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057BC0" w:rsidRPr="00DB58B5" w14:paraId="5140F821" w14:textId="77777777" w:rsidTr="006C57E9">
        <w:trPr>
          <w:trHeight w:hRule="exact" w:val="851"/>
        </w:trPr>
        <w:tc>
          <w:tcPr>
            <w:tcW w:w="1276" w:type="dxa"/>
            <w:tcBorders>
              <w:bottom w:val="single" w:sz="4" w:space="0" w:color="auto"/>
            </w:tcBorders>
          </w:tcPr>
          <w:p w14:paraId="4CB3E549" w14:textId="77777777" w:rsidR="00057BC0" w:rsidRPr="00DB58B5" w:rsidRDefault="00057BC0" w:rsidP="00186254"/>
        </w:tc>
        <w:tc>
          <w:tcPr>
            <w:tcW w:w="2268" w:type="dxa"/>
            <w:tcBorders>
              <w:bottom w:val="single" w:sz="4" w:space="0" w:color="auto"/>
            </w:tcBorders>
            <w:vAlign w:val="bottom"/>
          </w:tcPr>
          <w:p w14:paraId="2C700A6C" w14:textId="1B1F627D" w:rsidR="00057BC0" w:rsidRPr="00DB58B5" w:rsidRDefault="00057BC0" w:rsidP="00186254">
            <w:pPr>
              <w:spacing w:after="80" w:line="300" w:lineRule="exact"/>
              <w:rPr>
                <w:sz w:val="28"/>
              </w:rPr>
            </w:pPr>
          </w:p>
        </w:tc>
        <w:tc>
          <w:tcPr>
            <w:tcW w:w="6095" w:type="dxa"/>
            <w:gridSpan w:val="2"/>
            <w:tcBorders>
              <w:bottom w:val="single" w:sz="4" w:space="0" w:color="auto"/>
            </w:tcBorders>
            <w:vAlign w:val="bottom"/>
          </w:tcPr>
          <w:p w14:paraId="614C9019" w14:textId="77777777" w:rsidR="00057BC0" w:rsidRPr="00DB58B5" w:rsidRDefault="006C57E9" w:rsidP="006732F3">
            <w:pPr>
              <w:jc w:val="right"/>
            </w:pPr>
            <w:r w:rsidRPr="006C57E9">
              <w:rPr>
                <w:sz w:val="40"/>
              </w:rPr>
              <w:t>A</w:t>
            </w:r>
            <w:r>
              <w:t>/HRC/48/CRP.1</w:t>
            </w:r>
          </w:p>
        </w:tc>
      </w:tr>
      <w:tr w:rsidR="00057BC0" w:rsidRPr="00DB58B5" w14:paraId="0479E6A7" w14:textId="77777777" w:rsidTr="00186254">
        <w:trPr>
          <w:trHeight w:hRule="exact" w:val="2835"/>
        </w:trPr>
        <w:tc>
          <w:tcPr>
            <w:tcW w:w="1276" w:type="dxa"/>
            <w:tcBorders>
              <w:top w:val="single" w:sz="4" w:space="0" w:color="auto"/>
              <w:bottom w:val="single" w:sz="12" w:space="0" w:color="auto"/>
            </w:tcBorders>
          </w:tcPr>
          <w:p w14:paraId="447BFD27" w14:textId="54043238" w:rsidR="00057BC0" w:rsidRPr="00DB58B5" w:rsidRDefault="00057BC0" w:rsidP="00186254">
            <w:pPr>
              <w:spacing w:before="120"/>
              <w:jc w:val="center"/>
            </w:pPr>
          </w:p>
        </w:tc>
        <w:tc>
          <w:tcPr>
            <w:tcW w:w="5528" w:type="dxa"/>
            <w:gridSpan w:val="2"/>
            <w:tcBorders>
              <w:top w:val="single" w:sz="4" w:space="0" w:color="auto"/>
              <w:bottom w:val="single" w:sz="12" w:space="0" w:color="auto"/>
            </w:tcBorders>
          </w:tcPr>
          <w:p w14:paraId="63ABA1F9" w14:textId="4849D885" w:rsidR="00057BC0" w:rsidRPr="00740562" w:rsidRDefault="00057BC0" w:rsidP="00186254">
            <w:pPr>
              <w:spacing w:before="120" w:line="420" w:lineRule="exact"/>
              <w:rPr>
                <w:b/>
                <w:sz w:val="40"/>
                <w:szCs w:val="40"/>
              </w:rPr>
            </w:pPr>
          </w:p>
        </w:tc>
        <w:tc>
          <w:tcPr>
            <w:tcW w:w="2835" w:type="dxa"/>
            <w:tcBorders>
              <w:top w:val="single" w:sz="4" w:space="0" w:color="auto"/>
              <w:bottom w:val="single" w:sz="12" w:space="0" w:color="auto"/>
            </w:tcBorders>
          </w:tcPr>
          <w:p w14:paraId="4A71C15F" w14:textId="4A689151" w:rsidR="00057BC0" w:rsidRDefault="00251C07" w:rsidP="006732F3">
            <w:pPr>
              <w:spacing w:before="240" w:line="240" w:lineRule="exact"/>
            </w:pPr>
            <w:r>
              <w:t>1</w:t>
            </w:r>
            <w:r w:rsidR="00111CA4">
              <w:t>5</w:t>
            </w:r>
            <w:r>
              <w:t xml:space="preserve"> </w:t>
            </w:r>
            <w:r w:rsidR="006732F3">
              <w:t>septembre 2021</w:t>
            </w:r>
          </w:p>
          <w:p w14:paraId="09143348" w14:textId="77777777" w:rsidR="006732F3" w:rsidRDefault="006732F3" w:rsidP="006732F3">
            <w:pPr>
              <w:spacing w:line="240" w:lineRule="exact"/>
            </w:pPr>
          </w:p>
          <w:p w14:paraId="66FFF57F" w14:textId="2CCF76AB" w:rsidR="006732F3" w:rsidRPr="00DB58B5" w:rsidRDefault="00251C07" w:rsidP="006732F3">
            <w:pPr>
              <w:spacing w:line="240" w:lineRule="exact"/>
            </w:pPr>
            <w:r>
              <w:t>Français seulement</w:t>
            </w:r>
          </w:p>
        </w:tc>
      </w:tr>
    </w:tbl>
    <w:p w14:paraId="53923C28" w14:textId="77777777" w:rsidR="006C57E9" w:rsidRPr="006B7237" w:rsidRDefault="006C57E9" w:rsidP="006C57E9">
      <w:pPr>
        <w:spacing w:before="120"/>
        <w:rPr>
          <w:b/>
          <w:sz w:val="24"/>
          <w:szCs w:val="24"/>
          <w:u w:val="thick"/>
        </w:rPr>
      </w:pPr>
      <w:r w:rsidRPr="006B7237">
        <w:rPr>
          <w:b/>
          <w:sz w:val="24"/>
          <w:szCs w:val="24"/>
        </w:rPr>
        <w:t>Conseil des droits de l’homme</w:t>
      </w:r>
    </w:p>
    <w:p w14:paraId="2C1A99CF" w14:textId="794F884F" w:rsidR="006C57E9" w:rsidRDefault="006C57E9" w:rsidP="006C57E9">
      <w:r>
        <w:rPr>
          <w:b/>
        </w:rPr>
        <w:t>Quarante-</w:t>
      </w:r>
      <w:r w:rsidR="00925C2B">
        <w:rPr>
          <w:b/>
        </w:rPr>
        <w:t>huiti</w:t>
      </w:r>
      <w:r w:rsidR="00925C2B" w:rsidRPr="006B7237">
        <w:rPr>
          <w:b/>
        </w:rPr>
        <w:t>è</w:t>
      </w:r>
      <w:r w:rsidR="00925C2B">
        <w:rPr>
          <w:b/>
        </w:rPr>
        <w:t>me</w:t>
      </w:r>
      <w:r w:rsidR="00925C2B" w:rsidRPr="006B7237">
        <w:rPr>
          <w:b/>
        </w:rPr>
        <w:t xml:space="preserve"> </w:t>
      </w:r>
      <w:r w:rsidRPr="006B7237">
        <w:rPr>
          <w:b/>
        </w:rPr>
        <w:t>session</w:t>
      </w:r>
    </w:p>
    <w:p w14:paraId="138B546C" w14:textId="3F062046" w:rsidR="006C57E9" w:rsidRDefault="00251C07" w:rsidP="006C57E9">
      <w:r>
        <w:t>13 septembre-1</w:t>
      </w:r>
      <w:r w:rsidRPr="00251C07">
        <w:rPr>
          <w:vertAlign w:val="superscript"/>
        </w:rPr>
        <w:t>er</w:t>
      </w:r>
      <w:r>
        <w:t xml:space="preserve"> octobre 2021</w:t>
      </w:r>
    </w:p>
    <w:p w14:paraId="63326BE1" w14:textId="77777777" w:rsidR="006C57E9" w:rsidRDefault="006C57E9" w:rsidP="006C57E9">
      <w:r w:rsidRPr="006B7237">
        <w:t>Point 4 de l’ordre du jour</w:t>
      </w:r>
    </w:p>
    <w:p w14:paraId="20617CDE" w14:textId="77777777" w:rsidR="006C57E9" w:rsidRDefault="006C57E9" w:rsidP="006C57E9">
      <w:r w:rsidRPr="006B7237">
        <w:rPr>
          <w:b/>
        </w:rPr>
        <w:t>Situations des droits de l’homme qui requièrent l’attention du Conseil</w:t>
      </w:r>
    </w:p>
    <w:p w14:paraId="57001A3A" w14:textId="7B2D3289" w:rsidR="006C57E9" w:rsidRDefault="006C57E9" w:rsidP="006C57E9">
      <w:pPr>
        <w:pStyle w:val="HChG"/>
      </w:pPr>
      <w:r>
        <w:tab/>
      </w:r>
      <w:r>
        <w:tab/>
      </w:r>
      <w:r w:rsidR="00C44FA8">
        <w:t>Conclusions</w:t>
      </w:r>
      <w:r w:rsidR="008014A1">
        <w:t xml:space="preserve"> </w:t>
      </w:r>
      <w:r w:rsidRPr="006B7237">
        <w:t>détaillé</w:t>
      </w:r>
      <w:r w:rsidR="008014A1">
        <w:t>es</w:t>
      </w:r>
      <w:r w:rsidRPr="006B7237">
        <w:t xml:space="preserve"> de la Commission d’enquête sur le Burundi</w:t>
      </w:r>
    </w:p>
    <w:p w14:paraId="39FB0B25" w14:textId="77777777" w:rsidR="004054D3" w:rsidRDefault="006C57E9" w:rsidP="004054D3">
      <w:pPr>
        <w:spacing w:after="120"/>
        <w:rPr>
          <w:sz w:val="28"/>
        </w:rPr>
      </w:pPr>
      <w:r>
        <w:br w:type="page"/>
      </w:r>
      <w:r w:rsidR="004054D3">
        <w:rPr>
          <w:sz w:val="28"/>
        </w:rPr>
        <w:lastRenderedPageBreak/>
        <w:t>Table des matières</w:t>
      </w:r>
    </w:p>
    <w:p w14:paraId="6EE76FBE" w14:textId="77777777" w:rsidR="004054D3" w:rsidRDefault="004054D3" w:rsidP="004054D3">
      <w:pPr>
        <w:tabs>
          <w:tab w:val="right" w:pos="9638"/>
        </w:tabs>
        <w:spacing w:after="120"/>
        <w:ind w:left="283"/>
        <w:rPr>
          <w:sz w:val="18"/>
        </w:rPr>
      </w:pPr>
      <w:r>
        <w:rPr>
          <w:i/>
          <w:sz w:val="18"/>
        </w:rPr>
        <w:tab/>
        <w:t>Page</w:t>
      </w:r>
    </w:p>
    <w:p w14:paraId="3FB6BC0B" w14:textId="77777777" w:rsidR="004054D3" w:rsidRDefault="004054D3" w:rsidP="004054D3">
      <w:pPr>
        <w:tabs>
          <w:tab w:val="right" w:pos="850"/>
          <w:tab w:val="left" w:pos="1134"/>
          <w:tab w:val="left" w:pos="1559"/>
          <w:tab w:val="left" w:pos="1984"/>
          <w:tab w:val="left" w:leader="dot" w:pos="8929"/>
          <w:tab w:val="right" w:pos="9638"/>
        </w:tabs>
        <w:spacing w:after="120"/>
      </w:pPr>
      <w:r>
        <w:tab/>
        <w:t>I.</w:t>
      </w:r>
      <w:r>
        <w:tab/>
        <w:t>Introduction</w:t>
      </w:r>
      <w:r>
        <w:tab/>
      </w:r>
      <w:r>
        <w:tab/>
        <w:t>3</w:t>
      </w:r>
    </w:p>
    <w:p w14:paraId="6058BAC0" w14:textId="1AEED9E8" w:rsidR="004054D3" w:rsidRDefault="00BB64C3" w:rsidP="004054D3">
      <w:pPr>
        <w:tabs>
          <w:tab w:val="right" w:pos="850"/>
          <w:tab w:val="left" w:pos="1134"/>
          <w:tab w:val="left" w:pos="1559"/>
          <w:tab w:val="left" w:pos="1984"/>
          <w:tab w:val="left" w:leader="dot" w:pos="8929"/>
          <w:tab w:val="right" w:pos="9638"/>
        </w:tabs>
        <w:spacing w:after="120"/>
      </w:pPr>
      <w:r>
        <w:tab/>
      </w:r>
      <w:r>
        <w:tab/>
        <w:t>A.</w:t>
      </w:r>
      <w:r>
        <w:tab/>
      </w:r>
      <w:r w:rsidR="001B4390">
        <w:t>Proro</w:t>
      </w:r>
      <w:r>
        <w:t>gation du mandat de la Commission</w:t>
      </w:r>
      <w:r w:rsidR="004054D3">
        <w:tab/>
      </w:r>
      <w:r w:rsidR="004054D3">
        <w:tab/>
        <w:t>3</w:t>
      </w:r>
    </w:p>
    <w:p w14:paraId="47013FE6" w14:textId="77777777" w:rsidR="004054D3" w:rsidRDefault="00BB64C3" w:rsidP="004054D3">
      <w:pPr>
        <w:tabs>
          <w:tab w:val="right" w:pos="850"/>
          <w:tab w:val="left" w:pos="1134"/>
          <w:tab w:val="left" w:pos="1559"/>
          <w:tab w:val="left" w:pos="1984"/>
          <w:tab w:val="left" w:leader="dot" w:pos="8929"/>
          <w:tab w:val="right" w:pos="9638"/>
        </w:tabs>
        <w:spacing w:after="120"/>
      </w:pPr>
      <w:r>
        <w:tab/>
      </w:r>
      <w:r>
        <w:tab/>
        <w:t>B.</w:t>
      </w:r>
      <w:r>
        <w:tab/>
        <w:t>Coopération avec la Commission</w:t>
      </w:r>
      <w:r>
        <w:tab/>
      </w:r>
      <w:r>
        <w:tab/>
        <w:t>5</w:t>
      </w:r>
    </w:p>
    <w:p w14:paraId="15FD46D4"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t>C.</w:t>
      </w:r>
      <w:r>
        <w:tab/>
        <w:t>Méthodologie</w:t>
      </w:r>
      <w:r w:rsidR="00BB64C3">
        <w:t xml:space="preserve"> et droit applicable</w:t>
      </w:r>
      <w:r w:rsidR="00BB64C3">
        <w:tab/>
      </w:r>
      <w:r w:rsidR="00BB64C3">
        <w:tab/>
        <w:t>6</w:t>
      </w:r>
    </w:p>
    <w:p w14:paraId="3092F88D" w14:textId="77777777" w:rsidR="004054D3" w:rsidRDefault="00BB64C3" w:rsidP="004054D3">
      <w:pPr>
        <w:tabs>
          <w:tab w:val="right" w:pos="850"/>
          <w:tab w:val="left" w:pos="1134"/>
          <w:tab w:val="left" w:pos="1559"/>
          <w:tab w:val="left" w:pos="1984"/>
          <w:tab w:val="left" w:leader="dot" w:pos="8929"/>
          <w:tab w:val="right" w:pos="9638"/>
        </w:tabs>
        <w:spacing w:after="120"/>
      </w:pPr>
      <w:r>
        <w:tab/>
      </w:r>
      <w:r>
        <w:tab/>
        <w:t>D.</w:t>
      </w:r>
      <w:r>
        <w:tab/>
        <w:t>Principaux développements au niveau international</w:t>
      </w:r>
      <w:r>
        <w:tab/>
      </w:r>
      <w:r>
        <w:tab/>
        <w:t>8</w:t>
      </w:r>
    </w:p>
    <w:p w14:paraId="11560248" w14:textId="77777777" w:rsidR="004054D3" w:rsidRDefault="00BB64C3" w:rsidP="004054D3">
      <w:pPr>
        <w:tabs>
          <w:tab w:val="right" w:pos="850"/>
          <w:tab w:val="left" w:pos="1134"/>
          <w:tab w:val="left" w:pos="1559"/>
          <w:tab w:val="left" w:pos="1984"/>
          <w:tab w:val="left" w:leader="dot" w:pos="8929"/>
          <w:tab w:val="right" w:pos="9638"/>
        </w:tabs>
        <w:spacing w:after="120"/>
      </w:pPr>
      <w:r>
        <w:tab/>
        <w:t>II.</w:t>
      </w:r>
      <w:r>
        <w:tab/>
        <w:t>Situation des droits de l’homme au Burundi</w:t>
      </w:r>
      <w:r>
        <w:tab/>
      </w:r>
      <w:r>
        <w:tab/>
        <w:t>19</w:t>
      </w:r>
    </w:p>
    <w:p w14:paraId="2BA23B74" w14:textId="29056DD5" w:rsidR="004054D3" w:rsidRDefault="004054D3" w:rsidP="004054D3">
      <w:pPr>
        <w:tabs>
          <w:tab w:val="right" w:pos="850"/>
          <w:tab w:val="left" w:pos="1134"/>
          <w:tab w:val="left" w:pos="1559"/>
          <w:tab w:val="left" w:pos="1984"/>
          <w:tab w:val="left" w:leader="dot" w:pos="8929"/>
          <w:tab w:val="right" w:pos="9638"/>
        </w:tabs>
        <w:spacing w:after="120"/>
      </w:pPr>
      <w:r>
        <w:tab/>
      </w:r>
      <w:r>
        <w:tab/>
        <w:t>A</w:t>
      </w:r>
      <w:r w:rsidR="00BB64C3">
        <w:t>.</w:t>
      </w:r>
      <w:r w:rsidR="00BB64C3">
        <w:tab/>
      </w:r>
      <w:r w:rsidR="002A6CD9">
        <w:t>É</w:t>
      </w:r>
      <w:r w:rsidR="00BB64C3">
        <w:t>volution de la situation des droits de l’homme depuis 2015</w:t>
      </w:r>
      <w:r w:rsidR="00BB64C3">
        <w:tab/>
      </w:r>
      <w:r w:rsidR="00BB64C3">
        <w:tab/>
        <w:t>19</w:t>
      </w:r>
    </w:p>
    <w:p w14:paraId="09CFACEE" w14:textId="69B3EF2F" w:rsidR="004054D3" w:rsidRDefault="00BB64C3" w:rsidP="004054D3">
      <w:pPr>
        <w:tabs>
          <w:tab w:val="right" w:pos="850"/>
          <w:tab w:val="left" w:pos="1134"/>
          <w:tab w:val="left" w:pos="1559"/>
          <w:tab w:val="left" w:pos="1984"/>
          <w:tab w:val="left" w:leader="dot" w:pos="8929"/>
          <w:tab w:val="right" w:pos="9638"/>
        </w:tabs>
        <w:spacing w:after="120"/>
      </w:pPr>
      <w:r>
        <w:tab/>
      </w:r>
      <w:r>
        <w:tab/>
        <w:t>B.</w:t>
      </w:r>
      <w:r>
        <w:tab/>
      </w:r>
      <w:r w:rsidR="00845710">
        <w:t>Principales</w:t>
      </w:r>
      <w:r>
        <w:t xml:space="preserve"> violations </w:t>
      </w:r>
      <w:r w:rsidR="00845710">
        <w:t>et s</w:t>
      </w:r>
      <w:r>
        <w:t>ituation de</w:t>
      </w:r>
      <w:r w:rsidR="00EF4931">
        <w:t xml:space="preserve"> l’espace démocratique</w:t>
      </w:r>
      <w:r>
        <w:t xml:space="preserve"> depuis juin 2020</w:t>
      </w:r>
      <w:r w:rsidR="004054D3">
        <w:tab/>
      </w:r>
      <w:r w:rsidR="004054D3">
        <w:tab/>
      </w:r>
      <w:r>
        <w:t>2</w:t>
      </w:r>
      <w:r w:rsidR="004054D3">
        <w:t>5</w:t>
      </w:r>
    </w:p>
    <w:p w14:paraId="7F29ED7D" w14:textId="77777777" w:rsidR="00BB64C3" w:rsidRDefault="00BB64C3" w:rsidP="004054D3">
      <w:pPr>
        <w:tabs>
          <w:tab w:val="right" w:pos="850"/>
          <w:tab w:val="left" w:pos="1134"/>
          <w:tab w:val="left" w:pos="1559"/>
          <w:tab w:val="left" w:pos="1984"/>
          <w:tab w:val="left" w:leader="dot" w:pos="8929"/>
          <w:tab w:val="right" w:pos="9638"/>
        </w:tabs>
        <w:spacing w:after="120"/>
      </w:pPr>
      <w:r>
        <w:tab/>
      </w:r>
      <w:r>
        <w:tab/>
        <w:t>C.</w:t>
      </w:r>
      <w:r>
        <w:tab/>
        <w:t>Situation des rapatriés</w:t>
      </w:r>
      <w:r>
        <w:tab/>
      </w:r>
      <w:r>
        <w:tab/>
        <w:t>41</w:t>
      </w:r>
    </w:p>
    <w:p w14:paraId="0688DC1C" w14:textId="2A0FF7B6" w:rsidR="00E17D62" w:rsidRDefault="00E17D62" w:rsidP="004054D3">
      <w:pPr>
        <w:tabs>
          <w:tab w:val="right" w:pos="850"/>
          <w:tab w:val="left" w:pos="1134"/>
          <w:tab w:val="left" w:pos="1559"/>
          <w:tab w:val="left" w:pos="1984"/>
          <w:tab w:val="left" w:leader="dot" w:pos="8929"/>
          <w:tab w:val="right" w:pos="9638"/>
        </w:tabs>
        <w:spacing w:after="120"/>
      </w:pPr>
      <w:r>
        <w:tab/>
      </w:r>
      <w:r>
        <w:tab/>
        <w:t>D</w:t>
      </w:r>
      <w:r>
        <w:tab/>
        <w:t>Situation de la population en général</w:t>
      </w:r>
      <w:r>
        <w:tab/>
      </w:r>
      <w:r>
        <w:tab/>
        <w:t>4</w:t>
      </w:r>
      <w:r w:rsidR="00691F34">
        <w:t>5</w:t>
      </w:r>
    </w:p>
    <w:p w14:paraId="4B70CFD9"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E</w:t>
      </w:r>
      <w:r>
        <w:tab/>
        <w:t>Situation du système judiciaire</w:t>
      </w:r>
      <w:r>
        <w:tab/>
      </w:r>
      <w:r>
        <w:tab/>
        <w:t>53</w:t>
      </w:r>
    </w:p>
    <w:p w14:paraId="41E2A215"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F</w:t>
      </w:r>
      <w:r>
        <w:tab/>
        <w:t>Fondements économiques de l’État</w:t>
      </w:r>
      <w:r>
        <w:tab/>
      </w:r>
      <w:r>
        <w:tab/>
        <w:t>58</w:t>
      </w:r>
    </w:p>
    <w:p w14:paraId="2E70C8D6" w14:textId="579B9628" w:rsidR="00E17D62" w:rsidRDefault="00E17D62" w:rsidP="004054D3">
      <w:pPr>
        <w:tabs>
          <w:tab w:val="right" w:pos="850"/>
          <w:tab w:val="left" w:pos="1134"/>
          <w:tab w:val="left" w:pos="1559"/>
          <w:tab w:val="left" w:pos="1984"/>
          <w:tab w:val="left" w:leader="dot" w:pos="8929"/>
          <w:tab w:val="right" w:pos="9638"/>
        </w:tabs>
        <w:spacing w:after="120"/>
      </w:pPr>
      <w:r>
        <w:tab/>
      </w:r>
      <w:r>
        <w:tab/>
        <w:t>G</w:t>
      </w:r>
      <w:r>
        <w:tab/>
      </w:r>
      <w:r w:rsidR="00263433">
        <w:t>Situation</w:t>
      </w:r>
      <w:r>
        <w:t xml:space="preserve"> de l’État de droit</w:t>
      </w:r>
      <w:r>
        <w:tab/>
      </w:r>
      <w:r>
        <w:tab/>
        <w:t>64</w:t>
      </w:r>
    </w:p>
    <w:p w14:paraId="37D57EFA" w14:textId="77777777" w:rsidR="00E17D62" w:rsidRDefault="00E17D62" w:rsidP="004054D3">
      <w:pPr>
        <w:tabs>
          <w:tab w:val="right" w:pos="850"/>
          <w:tab w:val="left" w:pos="1134"/>
          <w:tab w:val="left" w:pos="1559"/>
          <w:tab w:val="left" w:pos="1984"/>
          <w:tab w:val="left" w:leader="dot" w:pos="8929"/>
          <w:tab w:val="right" w:pos="9638"/>
        </w:tabs>
        <w:spacing w:after="120"/>
      </w:pPr>
      <w:r>
        <w:tab/>
      </w:r>
      <w:r>
        <w:tab/>
        <w:t>H</w:t>
      </w:r>
      <w:r>
        <w:tab/>
        <w:t>Responsabilités</w:t>
      </w:r>
      <w:r>
        <w:tab/>
      </w:r>
      <w:r>
        <w:tab/>
        <w:t>68</w:t>
      </w:r>
    </w:p>
    <w:p w14:paraId="1475105E" w14:textId="77777777" w:rsidR="004054D3" w:rsidRDefault="004054D3" w:rsidP="004054D3">
      <w:pPr>
        <w:tabs>
          <w:tab w:val="right" w:pos="850"/>
          <w:tab w:val="left" w:pos="1134"/>
          <w:tab w:val="left" w:pos="1559"/>
          <w:tab w:val="left" w:pos="1984"/>
          <w:tab w:val="left" w:leader="dot" w:pos="8929"/>
          <w:tab w:val="right" w:pos="9638"/>
        </w:tabs>
        <w:spacing w:after="120"/>
      </w:pPr>
      <w:r>
        <w:tab/>
        <w:t>III.</w:t>
      </w:r>
      <w:r w:rsidR="00E17D62">
        <w:tab/>
        <w:t>Crimes de droit International</w:t>
      </w:r>
      <w:r w:rsidR="00E17D62">
        <w:tab/>
      </w:r>
      <w:r w:rsidR="00E17D62">
        <w:tab/>
        <w:t>68</w:t>
      </w:r>
    </w:p>
    <w:p w14:paraId="6A01ADED" w14:textId="2FD0B4F9" w:rsidR="004054D3" w:rsidRDefault="004054D3" w:rsidP="004054D3">
      <w:pPr>
        <w:tabs>
          <w:tab w:val="right" w:pos="850"/>
          <w:tab w:val="left" w:pos="1134"/>
          <w:tab w:val="left" w:pos="1559"/>
          <w:tab w:val="left" w:pos="1984"/>
          <w:tab w:val="left" w:leader="dot" w:pos="8929"/>
          <w:tab w:val="right" w:pos="9638"/>
        </w:tabs>
        <w:spacing w:after="120"/>
      </w:pPr>
      <w:r>
        <w:tab/>
      </w:r>
      <w:r>
        <w:tab/>
        <w:t>A.</w:t>
      </w:r>
      <w:r>
        <w:tab/>
      </w:r>
      <w:r w:rsidR="005F37D9">
        <w:t>É</w:t>
      </w:r>
      <w:r w:rsidR="00E17D62">
        <w:t>léments constitutifs et typologie des crimes contre l’humanité</w:t>
      </w:r>
      <w:r w:rsidR="00E17D62">
        <w:tab/>
      </w:r>
      <w:r w:rsidR="00E17D62">
        <w:tab/>
        <w:t>68</w:t>
      </w:r>
    </w:p>
    <w:p w14:paraId="5D7A5DC0" w14:textId="77777777" w:rsidR="004054D3" w:rsidRDefault="00E17D62" w:rsidP="00E17D62">
      <w:pPr>
        <w:tabs>
          <w:tab w:val="right" w:pos="850"/>
          <w:tab w:val="left" w:pos="1134"/>
          <w:tab w:val="left" w:pos="1559"/>
          <w:tab w:val="left" w:pos="1984"/>
          <w:tab w:val="left" w:leader="dot" w:pos="8929"/>
          <w:tab w:val="right" w:pos="9638"/>
        </w:tabs>
        <w:spacing w:after="120"/>
      </w:pPr>
      <w:r>
        <w:tab/>
      </w:r>
      <w:r>
        <w:tab/>
        <w:t>B.</w:t>
      </w:r>
      <w:r>
        <w:tab/>
        <w:t>Responsabilités individuelles</w:t>
      </w:r>
      <w:r w:rsidR="004054D3">
        <w:tab/>
      </w:r>
      <w:r w:rsidR="004054D3">
        <w:tab/>
        <w:t>7</w:t>
      </w:r>
      <w:r>
        <w:t>0</w:t>
      </w:r>
    </w:p>
    <w:p w14:paraId="3A6B63DF" w14:textId="77777777" w:rsidR="004054D3" w:rsidRDefault="004054D3" w:rsidP="004054D3">
      <w:pPr>
        <w:tabs>
          <w:tab w:val="right" w:pos="850"/>
          <w:tab w:val="left" w:pos="1134"/>
          <w:tab w:val="left" w:pos="1559"/>
          <w:tab w:val="left" w:pos="1984"/>
          <w:tab w:val="left" w:leader="dot" w:pos="8929"/>
          <w:tab w:val="right" w:pos="9638"/>
        </w:tabs>
        <w:spacing w:after="120"/>
      </w:pPr>
      <w:r>
        <w:tab/>
        <w:t>IV.</w:t>
      </w:r>
      <w:r>
        <w:tab/>
      </w:r>
      <w:r w:rsidR="00E17D62">
        <w:t>Facteurs de risque</w:t>
      </w:r>
      <w:r w:rsidR="00E17D62">
        <w:tab/>
      </w:r>
      <w:r w:rsidR="00E17D62">
        <w:tab/>
        <w:t>71</w:t>
      </w:r>
    </w:p>
    <w:p w14:paraId="44E322AD"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t>A.</w:t>
      </w:r>
      <w:r>
        <w:tab/>
      </w:r>
      <w:r w:rsidR="00E17D62">
        <w:t>Aperçu</w:t>
      </w:r>
      <w:r w:rsidR="00E17D62">
        <w:tab/>
      </w:r>
      <w:r w:rsidR="00E17D62">
        <w:tab/>
        <w:t>71</w:t>
      </w:r>
    </w:p>
    <w:p w14:paraId="58B61752" w14:textId="77777777" w:rsidR="004054D3" w:rsidRDefault="004054D3" w:rsidP="004054D3">
      <w:pPr>
        <w:tabs>
          <w:tab w:val="right" w:pos="850"/>
          <w:tab w:val="left" w:pos="1134"/>
          <w:tab w:val="left" w:pos="1559"/>
          <w:tab w:val="left" w:pos="1984"/>
          <w:tab w:val="left" w:leader="dot" w:pos="8929"/>
          <w:tab w:val="right" w:pos="9638"/>
        </w:tabs>
        <w:spacing w:after="120"/>
      </w:pPr>
      <w:r>
        <w:tab/>
      </w:r>
      <w:r>
        <w:tab/>
      </w:r>
      <w:r w:rsidR="00E17D62">
        <w:t>B.</w:t>
      </w:r>
      <w:r w:rsidR="00E17D62">
        <w:tab/>
        <w:t>Facteurs de risque</w:t>
      </w:r>
      <w:r w:rsidR="00E17D62">
        <w:tab/>
      </w:r>
      <w:r w:rsidR="00E17D62">
        <w:tab/>
      </w:r>
      <w:r>
        <w:t>7</w:t>
      </w:r>
      <w:r w:rsidR="00E17D62">
        <w:t>9</w:t>
      </w:r>
    </w:p>
    <w:p w14:paraId="5CA981C6" w14:textId="77777777" w:rsidR="004054D3" w:rsidRDefault="004054D3" w:rsidP="004054D3">
      <w:pPr>
        <w:tabs>
          <w:tab w:val="right" w:pos="850"/>
          <w:tab w:val="left" w:pos="1134"/>
          <w:tab w:val="left" w:pos="1559"/>
          <w:tab w:val="left" w:pos="1984"/>
          <w:tab w:val="left" w:leader="dot" w:pos="8929"/>
          <w:tab w:val="right" w:pos="9638"/>
        </w:tabs>
        <w:spacing w:after="120"/>
      </w:pPr>
      <w:r>
        <w:tab/>
        <w:t>V.</w:t>
      </w:r>
      <w:r>
        <w:tab/>
        <w:t>C</w:t>
      </w:r>
      <w:r w:rsidR="00306187">
        <w:t>onclusions et recommandations</w:t>
      </w:r>
      <w:r w:rsidR="00306187">
        <w:tab/>
      </w:r>
      <w:r w:rsidR="00306187">
        <w:tab/>
      </w:r>
      <w:r>
        <w:t>8</w:t>
      </w:r>
      <w:r w:rsidR="00306187">
        <w:t>1</w:t>
      </w:r>
    </w:p>
    <w:p w14:paraId="6DE472BA" w14:textId="2971E868" w:rsidR="004054D3" w:rsidRDefault="00306187" w:rsidP="004054D3">
      <w:pPr>
        <w:tabs>
          <w:tab w:val="right" w:pos="850"/>
          <w:tab w:val="left" w:pos="1134"/>
          <w:tab w:val="left" w:pos="1559"/>
          <w:tab w:val="left" w:pos="1984"/>
          <w:tab w:val="left" w:leader="dot" w:pos="8929"/>
          <w:tab w:val="right" w:pos="9638"/>
        </w:tabs>
        <w:spacing w:after="120"/>
      </w:pPr>
      <w:r>
        <w:tab/>
      </w:r>
      <w:r w:rsidR="004054D3">
        <w:tab/>
        <w:t xml:space="preserve">Annexes </w:t>
      </w:r>
      <w:r w:rsidR="004054D3">
        <w:tab/>
      </w:r>
      <w:r w:rsidR="004054D3">
        <w:tab/>
      </w:r>
      <w:r w:rsidR="004054D3">
        <w:tab/>
      </w:r>
      <w:r>
        <w:t>84</w:t>
      </w:r>
    </w:p>
    <w:p w14:paraId="701235B0" w14:textId="6ED84BC0" w:rsidR="004054D3" w:rsidRDefault="00306187" w:rsidP="004054D3">
      <w:pPr>
        <w:tabs>
          <w:tab w:val="right" w:pos="850"/>
          <w:tab w:val="left" w:pos="1134"/>
          <w:tab w:val="left" w:pos="1559"/>
          <w:tab w:val="left" w:pos="1984"/>
          <w:tab w:val="left" w:leader="dot" w:pos="8929"/>
          <w:tab w:val="right" w:pos="9638"/>
        </w:tabs>
        <w:spacing w:after="120"/>
      </w:pPr>
      <w:r>
        <w:tab/>
      </w:r>
      <w:r>
        <w:tab/>
        <w:t>I</w:t>
      </w:r>
      <w:r w:rsidR="000409A6">
        <w:t>.</w:t>
      </w:r>
      <w:r>
        <w:tab/>
        <w:t>Carte du Burundi</w:t>
      </w:r>
      <w:r>
        <w:tab/>
      </w:r>
      <w:r>
        <w:tab/>
        <w:t>84</w:t>
      </w:r>
    </w:p>
    <w:p w14:paraId="05A2A557" w14:textId="64EA97AE" w:rsidR="004054D3" w:rsidRDefault="004054D3" w:rsidP="004054D3">
      <w:pPr>
        <w:tabs>
          <w:tab w:val="right" w:pos="850"/>
          <w:tab w:val="left" w:pos="1134"/>
          <w:tab w:val="left" w:pos="1559"/>
          <w:tab w:val="left" w:pos="1984"/>
          <w:tab w:val="left" w:leader="dot" w:pos="8929"/>
          <w:tab w:val="right" w:pos="9638"/>
        </w:tabs>
        <w:spacing w:after="120"/>
      </w:pPr>
      <w:r>
        <w:tab/>
      </w:r>
      <w:r>
        <w:tab/>
        <w:t>II</w:t>
      </w:r>
      <w:r w:rsidR="000409A6">
        <w:t>.</w:t>
      </w:r>
      <w:r>
        <w:tab/>
        <w:t>Correspondance avec le Gouvernement du Burundi</w:t>
      </w:r>
      <w:r>
        <w:tab/>
      </w:r>
      <w:r>
        <w:tab/>
      </w:r>
      <w:r w:rsidR="00306187">
        <w:t>85</w:t>
      </w:r>
    </w:p>
    <w:p w14:paraId="4BADAC95" w14:textId="1941175E" w:rsidR="004054D3" w:rsidRDefault="004054D3" w:rsidP="004054D3">
      <w:pPr>
        <w:tabs>
          <w:tab w:val="right" w:pos="850"/>
          <w:tab w:val="left" w:pos="1134"/>
          <w:tab w:val="left" w:pos="1559"/>
          <w:tab w:val="left" w:pos="1984"/>
          <w:tab w:val="left" w:leader="dot" w:pos="8929"/>
          <w:tab w:val="right" w:pos="9638"/>
        </w:tabs>
        <w:spacing w:after="120"/>
      </w:pPr>
      <w:r>
        <w:tab/>
      </w:r>
      <w:r>
        <w:tab/>
        <w:t>III</w:t>
      </w:r>
      <w:r w:rsidR="000409A6">
        <w:t>.</w:t>
      </w:r>
      <w:r>
        <w:tab/>
        <w:t>Recommandations antérieu</w:t>
      </w:r>
      <w:r w:rsidR="00306187">
        <w:t>res faites par la Commission</w:t>
      </w:r>
      <w:r w:rsidR="00306187">
        <w:tab/>
      </w:r>
      <w:r w:rsidR="00306187">
        <w:tab/>
        <w:t>88</w:t>
      </w:r>
    </w:p>
    <w:p w14:paraId="60C2AFE3" w14:textId="0E07BD53" w:rsidR="004054D3" w:rsidRDefault="004054D3" w:rsidP="004054D3">
      <w:pPr>
        <w:tabs>
          <w:tab w:val="right" w:pos="850"/>
          <w:tab w:val="left" w:pos="1134"/>
          <w:tab w:val="left" w:pos="1559"/>
          <w:tab w:val="left" w:pos="1984"/>
          <w:tab w:val="left" w:leader="dot" w:pos="8929"/>
          <w:tab w:val="right" w:pos="9638"/>
        </w:tabs>
        <w:spacing w:after="120"/>
      </w:pPr>
      <w:r>
        <w:tab/>
      </w:r>
      <w:r>
        <w:tab/>
        <w:t>IV</w:t>
      </w:r>
      <w:r w:rsidR="000409A6">
        <w:t>.</w:t>
      </w:r>
      <w:r>
        <w:tab/>
        <w:t xml:space="preserve">Indicateurs des facteurs de risque communs identifiés dans le Cadre d’analyse </w:t>
      </w:r>
      <w:r>
        <w:br/>
      </w:r>
      <w:r>
        <w:tab/>
      </w:r>
      <w:r>
        <w:tab/>
      </w:r>
      <w:r>
        <w:tab/>
        <w:t>des atrocités criminelles (A/70/741-S/2016/71)</w:t>
      </w:r>
      <w:r>
        <w:tab/>
      </w:r>
      <w:r>
        <w:tab/>
      </w:r>
      <w:r w:rsidR="00306187">
        <w:t>107</w:t>
      </w:r>
      <w:r>
        <w:tab/>
      </w:r>
      <w:r w:rsidR="00306187">
        <w:tab/>
      </w:r>
      <w:r>
        <w:t>V</w:t>
      </w:r>
      <w:r w:rsidR="000409A6">
        <w:t>.</w:t>
      </w:r>
      <w:r>
        <w:tab/>
        <w:t>Document</w:t>
      </w:r>
      <w:r w:rsidR="003C413D">
        <w:t>s</w:t>
      </w:r>
      <w:r w:rsidR="00E4386A">
        <w:tab/>
      </w:r>
      <w:r w:rsidR="00E4386A">
        <w:tab/>
        <w:t>11</w:t>
      </w:r>
      <w:r w:rsidR="00306187">
        <w:t>6</w:t>
      </w:r>
    </w:p>
    <w:p w14:paraId="27E2768D" w14:textId="54762C15" w:rsidR="00E63335" w:rsidRPr="00E63335" w:rsidRDefault="00E63335" w:rsidP="00251C07">
      <w:pPr>
        <w:pStyle w:val="HChG"/>
        <w:tabs>
          <w:tab w:val="clear" w:pos="851"/>
          <w:tab w:val="right" w:pos="1134"/>
        </w:tabs>
        <w:ind w:hanging="567"/>
        <w:rPr>
          <w:sz w:val="20"/>
          <w:lang w:val="fr-FR"/>
        </w:rPr>
      </w:pPr>
      <w:r>
        <w:br w:type="page"/>
      </w:r>
      <w:r w:rsidR="004E42C1">
        <w:lastRenderedPageBreak/>
        <w:t>I.</w:t>
      </w:r>
      <w:r w:rsidR="00CE7B8F">
        <w:tab/>
      </w:r>
      <w:r w:rsidR="00251C07">
        <w:tab/>
      </w:r>
      <w:r w:rsidR="004E42C1">
        <w:rPr>
          <w:lang w:val="fr-FR"/>
        </w:rPr>
        <w:t>Introduction</w:t>
      </w:r>
    </w:p>
    <w:p w14:paraId="35EAC5F5" w14:textId="7838CE71" w:rsidR="00E63335" w:rsidRPr="004E42C1" w:rsidRDefault="00E63335" w:rsidP="004E42C1">
      <w:pPr>
        <w:pStyle w:val="SingleTxtG"/>
      </w:pPr>
      <w:r w:rsidRPr="004E42C1">
        <w:t>1.</w:t>
      </w:r>
      <w:r w:rsidRPr="004E42C1">
        <w:tab/>
        <w:t xml:space="preserve">Le présent </w:t>
      </w:r>
      <w:r w:rsidR="008014A1">
        <w:t>document</w:t>
      </w:r>
      <w:r w:rsidR="008014A1" w:rsidRPr="004E42C1">
        <w:t xml:space="preserve"> </w:t>
      </w:r>
      <w:r w:rsidR="001B3FAC">
        <w:t>détaille</w:t>
      </w:r>
      <w:r w:rsidR="008014A1">
        <w:t xml:space="preserve"> les conclusions décrites par la </w:t>
      </w:r>
      <w:r w:rsidR="008014A1" w:rsidRPr="000D6EB2">
        <w:t>Comm</w:t>
      </w:r>
      <w:r w:rsidR="008014A1">
        <w:t>ission d’enquête sur le Burundi</w:t>
      </w:r>
      <w:r w:rsidR="008014A1" w:rsidRPr="004E42C1">
        <w:t xml:space="preserve"> </w:t>
      </w:r>
      <w:r w:rsidR="008014A1">
        <w:t>dans son</w:t>
      </w:r>
      <w:r w:rsidRPr="004E42C1">
        <w:t xml:space="preserve"> rapport </w:t>
      </w:r>
      <w:r w:rsidR="008014A1">
        <w:t>soumis</w:t>
      </w:r>
      <w:r w:rsidR="008014A1" w:rsidRPr="004E42C1">
        <w:t xml:space="preserve"> </w:t>
      </w:r>
      <w:r w:rsidR="008014A1">
        <w:t xml:space="preserve">au </w:t>
      </w:r>
      <w:r w:rsidRPr="004E42C1">
        <w:t xml:space="preserve">Conseil des droits de l’homme </w:t>
      </w:r>
      <w:r w:rsidR="008014A1" w:rsidRPr="004E42C1">
        <w:t xml:space="preserve">à </w:t>
      </w:r>
      <w:r w:rsidR="008014A1">
        <w:t>s</w:t>
      </w:r>
      <w:r w:rsidR="008014A1" w:rsidRPr="004E42C1">
        <w:t xml:space="preserve">a quarante-huitième session </w:t>
      </w:r>
      <w:r w:rsidR="008014A1">
        <w:t>(</w:t>
      </w:r>
      <w:r w:rsidR="008014A1" w:rsidRPr="004E42C1">
        <w:t>A/HRC/48/68</w:t>
      </w:r>
      <w:r w:rsidR="008014A1">
        <w:t>)</w:t>
      </w:r>
      <w:r w:rsidR="008014A1" w:rsidRPr="004E42C1">
        <w:t xml:space="preserve">, </w:t>
      </w:r>
      <w:r w:rsidRPr="004E42C1">
        <w:t>en application de sa r</w:t>
      </w:r>
      <w:r w:rsidR="007D5EE0">
        <w:t>ésolution 45/19</w:t>
      </w:r>
      <w:r w:rsidRPr="004E42C1">
        <w:t xml:space="preserve"> adoptée le 6 octobre 2020. Il doit être lu dans la continuité des quatre rapports que la Commission a présentés lors des trente-sixième, trente-neuvième, quarante-deuxième et quarante-cinquième sessions du Conseil des droits de l’homme</w:t>
      </w:r>
      <w:r w:rsidRPr="00821019">
        <w:rPr>
          <w:vertAlign w:val="superscript"/>
        </w:rPr>
        <w:footnoteReference w:id="2"/>
      </w:r>
      <w:r w:rsidRPr="004E42C1">
        <w:t xml:space="preserve">, ainsi que des </w:t>
      </w:r>
      <w:r w:rsidR="00E33368">
        <w:t xml:space="preserve">documents de séance </w:t>
      </w:r>
      <w:r w:rsidRPr="004E42C1">
        <w:t>détaillés qui les accompagnent</w:t>
      </w:r>
      <w:r w:rsidRPr="00DD70EF">
        <w:rPr>
          <w:sz w:val="18"/>
          <w:szCs w:val="18"/>
          <w:vertAlign w:val="superscript"/>
        </w:rPr>
        <w:footnoteReference w:id="3"/>
      </w:r>
      <w:r w:rsidR="00DD70EF">
        <w:t>.</w:t>
      </w:r>
    </w:p>
    <w:p w14:paraId="322E6DBE" w14:textId="77777777" w:rsidR="00E63335" w:rsidRPr="00FA45AB" w:rsidRDefault="00CC4CC3" w:rsidP="00CE7B8F">
      <w:pPr>
        <w:pStyle w:val="H1G"/>
        <w:rPr>
          <w:lang w:val="fr-CH"/>
        </w:rPr>
      </w:pPr>
      <w:r w:rsidRPr="00FA45AB">
        <w:rPr>
          <w:lang w:val="fr-CH"/>
        </w:rPr>
        <w:tab/>
        <w:t>A.</w:t>
      </w:r>
      <w:r w:rsidRPr="00FA45AB">
        <w:rPr>
          <w:lang w:val="fr-CH"/>
        </w:rPr>
        <w:tab/>
      </w:r>
      <w:r w:rsidR="00E63335" w:rsidRPr="00FA45AB">
        <w:rPr>
          <w:lang w:val="fr-CH"/>
        </w:rPr>
        <w:t>Proroga</w:t>
      </w:r>
      <w:r w:rsidR="00926EA2" w:rsidRPr="00FA45AB">
        <w:rPr>
          <w:lang w:val="fr-CH"/>
        </w:rPr>
        <w:t>tion du mandat de la Commission</w:t>
      </w:r>
    </w:p>
    <w:p w14:paraId="3A34E38C" w14:textId="77777777" w:rsidR="00E63335" w:rsidRPr="004E42C1" w:rsidRDefault="00CC4CC3" w:rsidP="00CE7B8F">
      <w:pPr>
        <w:pStyle w:val="H23G"/>
      </w:pPr>
      <w:r>
        <w:tab/>
        <w:t>1.</w:t>
      </w:r>
      <w:r>
        <w:tab/>
      </w:r>
      <w:r w:rsidR="00E63335" w:rsidRPr="004E42C1">
        <w:t>Mandat de la Commission</w:t>
      </w:r>
    </w:p>
    <w:p w14:paraId="1A0A3D51" w14:textId="574269C7" w:rsidR="00E63335" w:rsidRPr="004E42C1" w:rsidRDefault="00E63335" w:rsidP="004E42C1">
      <w:pPr>
        <w:pStyle w:val="SingleTxtG"/>
      </w:pPr>
      <w:r w:rsidRPr="004E42C1">
        <w:t>2.</w:t>
      </w:r>
      <w:r w:rsidRPr="004E42C1">
        <w:tab/>
        <w:t>Dans sa résolution 45/19, le Conseil des d</w:t>
      </w:r>
      <w:r w:rsidR="00DD70EF">
        <w:t>roits de l’homme a décidé de «</w:t>
      </w:r>
      <w:r w:rsidR="006C772D">
        <w:t xml:space="preserve"> </w:t>
      </w:r>
      <w:r w:rsidR="00DD70EF">
        <w:t>P</w:t>
      </w:r>
      <w:r w:rsidRPr="004E42C1">
        <w:t>roroger le mandat de la Commission d’enquête sur le Burundi pour une nouvelle période d’un an afin qu’elle puisse poursuivre ses investigations, y compris en ce qui concerne les fondements économiques de l’État »</w:t>
      </w:r>
      <w:r w:rsidRPr="00DC7672">
        <w:rPr>
          <w:sz w:val="18"/>
          <w:szCs w:val="18"/>
          <w:vertAlign w:val="superscript"/>
        </w:rPr>
        <w:footnoteReference w:id="4"/>
      </w:r>
      <w:r w:rsidRPr="004E42C1">
        <w:t>. Le mandat global de la Commission reste celui qui a été défini initialement par le Conseil en 2016 lors de l’établissement de la Commission et complété en septembre 2019</w:t>
      </w:r>
      <w:r w:rsidRPr="00DD70EF">
        <w:rPr>
          <w:sz w:val="18"/>
          <w:szCs w:val="18"/>
          <w:vertAlign w:val="superscript"/>
        </w:rPr>
        <w:footnoteReference w:id="5"/>
      </w:r>
      <w:r w:rsidRPr="00DD70EF">
        <w:rPr>
          <w:sz w:val="18"/>
          <w:szCs w:val="18"/>
          <w:vertAlign w:val="superscript"/>
        </w:rPr>
        <w:t xml:space="preserve"> </w:t>
      </w:r>
      <w:r w:rsidRPr="004E42C1">
        <w:t>:</w:t>
      </w:r>
    </w:p>
    <w:p w14:paraId="32D1672B" w14:textId="6AB2DB74" w:rsidR="00E63335" w:rsidRPr="004E42C1" w:rsidRDefault="00FA4922" w:rsidP="009B74D2">
      <w:pPr>
        <w:pStyle w:val="SingleTxtG"/>
        <w:ind w:left="1701"/>
      </w:pPr>
      <w:r>
        <w:t>« a.</w:t>
      </w:r>
      <w:r>
        <w:tab/>
      </w:r>
      <w:r w:rsidR="00E63335" w:rsidRPr="004E42C1">
        <w:t>Mener une enquête approfondie sur les violations des droits de l’homme et atteintes à ces droits commises au Burundi depuis avril 2015, notamment pour en évaluer l’ampleur et déterminer s’il s’agit de crimes de droit international, afin de contribu</w:t>
      </w:r>
      <w:r w:rsidR="00846823">
        <w:t>er à la lutte contre l’impunité</w:t>
      </w:r>
      <w:r w:rsidR="00846823" w:rsidRPr="004E42C1">
        <w:t xml:space="preserve"> ;</w:t>
      </w:r>
    </w:p>
    <w:p w14:paraId="266F99FD" w14:textId="40D07E65" w:rsidR="00846823" w:rsidRDefault="00FA4922" w:rsidP="009B74D2">
      <w:pPr>
        <w:pStyle w:val="SingleTxtG"/>
        <w:ind w:left="1701"/>
      </w:pPr>
      <w:r>
        <w:t>b.</w:t>
      </w:r>
      <w:r>
        <w:tab/>
      </w:r>
      <w:r w:rsidR="00E63335" w:rsidRPr="004E42C1">
        <w:t>Identifier les auteurs présumés de violations des droits de l’homme et d’atteintes à ces droits commises au Burundi, en vue de faire pleinement respecter le principe de responsabilité ;</w:t>
      </w:r>
    </w:p>
    <w:p w14:paraId="22734FAF" w14:textId="2DC4FF2B" w:rsidR="00846823" w:rsidRDefault="00FA4922" w:rsidP="009B74D2">
      <w:pPr>
        <w:pStyle w:val="SingleTxtG"/>
        <w:ind w:left="1701"/>
      </w:pPr>
      <w:r>
        <w:t>c.</w:t>
      </w:r>
      <w:r>
        <w:tab/>
      </w:r>
      <w:r w:rsidR="00E63335" w:rsidRPr="004E42C1">
        <w:t>Formuler des recommandations sur les mesures à prendre pour garantir que les auteurs de ces actes aient à en répondre, quelle que soit leur affiliation ;</w:t>
      </w:r>
    </w:p>
    <w:p w14:paraId="3CC4BF12" w14:textId="239EE1A7" w:rsidR="00846823" w:rsidRDefault="00FA4922" w:rsidP="009B74D2">
      <w:pPr>
        <w:pStyle w:val="SingleTxtG"/>
        <w:ind w:left="1701"/>
      </w:pPr>
      <w:r>
        <w:t>d.</w:t>
      </w:r>
      <w:r>
        <w:tab/>
      </w:r>
      <w:r w:rsidR="00E63335" w:rsidRPr="004E42C1">
        <w:t>Dialoguer avec les autorités burundaises et toutes les autres parties prenantes, en particulier les organismes des Nations Unies, la société civile, les réfugiés, la présence du Haut-Commissariat au Burundi, les autorités de l’Union africaine et la Commission africaine des droits de l’homme et des peuples, afin de fournir l’appui et les conseils nécessaires à l’amélioration immédiate de la situation des droits de l’homme et à la lutte contre l’impunité</w:t>
      </w:r>
      <w:r>
        <w:t xml:space="preserve"> </w:t>
      </w:r>
      <w:r w:rsidR="00E63335" w:rsidRPr="004E42C1">
        <w:t>»</w:t>
      </w:r>
      <w:r w:rsidR="00E63335" w:rsidRPr="00846823">
        <w:rPr>
          <w:sz w:val="18"/>
          <w:szCs w:val="18"/>
          <w:vertAlign w:val="superscript"/>
        </w:rPr>
        <w:footnoteReference w:id="6"/>
      </w:r>
      <w:r w:rsidR="00E63335" w:rsidRPr="00846823">
        <w:rPr>
          <w:sz w:val="18"/>
          <w:szCs w:val="18"/>
          <w:vertAlign w:val="superscript"/>
        </w:rPr>
        <w:t> </w:t>
      </w:r>
      <w:r w:rsidR="00E63335" w:rsidRPr="004E42C1">
        <w:t>;</w:t>
      </w:r>
      <w:r>
        <w:t xml:space="preserve"> et</w:t>
      </w:r>
    </w:p>
    <w:p w14:paraId="36F20ED1" w14:textId="2EBF6C44" w:rsidR="00E63335" w:rsidRPr="004E42C1" w:rsidRDefault="00E63335" w:rsidP="009B74D2">
      <w:pPr>
        <w:pStyle w:val="SingleTxtG"/>
        <w:ind w:left="1701"/>
      </w:pPr>
      <w:r w:rsidRPr="004E42C1">
        <w:t>« Approfondir ses enquêtes, […] eu égard en particulier aux fondements économiques de l’État</w:t>
      </w:r>
      <w:r w:rsidR="00FA4922">
        <w:t> </w:t>
      </w:r>
      <w:r w:rsidRPr="00DC7672">
        <w:rPr>
          <w:sz w:val="18"/>
          <w:szCs w:val="18"/>
          <w:vertAlign w:val="superscript"/>
        </w:rPr>
        <w:footnoteReference w:id="7"/>
      </w:r>
      <w:r w:rsidRPr="004E42C1">
        <w:t>».</w:t>
      </w:r>
    </w:p>
    <w:p w14:paraId="517C7F13" w14:textId="29C830A5" w:rsidR="00E63335" w:rsidRPr="004E42C1" w:rsidRDefault="00926EA2" w:rsidP="004E42C1">
      <w:pPr>
        <w:pStyle w:val="SingleTxtG"/>
      </w:pPr>
      <w:r>
        <w:t>3.</w:t>
      </w:r>
      <w:r w:rsidR="00E63335" w:rsidRPr="004E42C1">
        <w:tab/>
        <w:t>La Commission est le seul mécanisme international indépendant qui est en mesure de mener des enquêtes impartiales sur les violations des droits de l’homme commises récemment au Burundi, mais également</w:t>
      </w:r>
      <w:r w:rsidR="006C772D">
        <w:t xml:space="preserve"> de</w:t>
      </w:r>
      <w:r w:rsidR="00E63335" w:rsidRPr="004E42C1">
        <w:t xml:space="preserve"> fournir une analyse approfondie et détaillée de la situation des droits de l’homme dans le pays. Au cours du présent terme de </w:t>
      </w:r>
      <w:r w:rsidR="006C772D">
        <w:t xml:space="preserve">son </w:t>
      </w:r>
      <w:r w:rsidR="00E63335" w:rsidRPr="004E42C1">
        <w:t>mandat, elle a dû faire face à des défis particuliers. La Commission déplore notamment que sa période de travail effective ait été réduite en raison de la crise financière qui a touché les Nations Unies et le gel des recrutements qui en a découlé, ce qui a retardé l</w:t>
      </w:r>
      <w:r w:rsidR="00DC7672">
        <w:t>a formation de son secrétariat.</w:t>
      </w:r>
    </w:p>
    <w:p w14:paraId="3023E062" w14:textId="459B5E9D" w:rsidR="00E63335" w:rsidRPr="004E42C1" w:rsidRDefault="00E63335" w:rsidP="004E42C1">
      <w:pPr>
        <w:pStyle w:val="SingleTxtG"/>
      </w:pPr>
      <w:r w:rsidRPr="004E42C1">
        <w:t>4.</w:t>
      </w:r>
      <w:r w:rsidRPr="004E42C1">
        <w:tab/>
        <w:t>Au cours de ce cinquième terme, la Commission a continué à travailler de manière indépendante et impartiale afin de remplir au mieux son mandat. Sa compétence matérielle est restée la même, à savoir : les violations de tous les droits de l’homme garantis par la législation nationale et le droit international commises par des agents ou entités étatiques ; ainsi que les atteintes à ces droits commises par des entités non-étatiques organisées avec une structure connue, ou par leurs membres. Sa compétence territoriale est toujours limitée aux faits commis sur le territoire burundais</w:t>
      </w:r>
      <w:r w:rsidRPr="00DC7672">
        <w:rPr>
          <w:sz w:val="18"/>
          <w:szCs w:val="18"/>
          <w:vertAlign w:val="superscript"/>
        </w:rPr>
        <w:footnoteReference w:id="8"/>
      </w:r>
      <w:r w:rsidRPr="004E42C1">
        <w:t>, même si la Commission s’estime compétente pour prendre en compte la répercussion ou la continuation de tels faits qui se produisent au-delà des frontières du Burundi. La compétence temporelle couvre la période qui a commencé en avril 2015 avec les premières manifestations contre la candidature de Pierre Nkurunziza à un troisième mandat présidentiel, et s’étend jusqu’à la date de présentation du présent rapport au Conseil des droits de l’homme en septembre 2021</w:t>
      </w:r>
      <w:r w:rsidRPr="00456A33">
        <w:rPr>
          <w:sz w:val="18"/>
          <w:szCs w:val="18"/>
          <w:vertAlign w:val="superscript"/>
        </w:rPr>
        <w:footnoteReference w:id="9"/>
      </w:r>
      <w:r w:rsidRPr="004E42C1">
        <w:t xml:space="preserve">. </w:t>
      </w:r>
    </w:p>
    <w:p w14:paraId="2DCB552E" w14:textId="3654C734" w:rsidR="00E63335" w:rsidRPr="004E42C1" w:rsidRDefault="00E63335" w:rsidP="004E42C1">
      <w:pPr>
        <w:pStyle w:val="SingleTxtG"/>
      </w:pPr>
      <w:r w:rsidRPr="004E42C1">
        <w:t>5.</w:t>
      </w:r>
      <w:r w:rsidRPr="004E42C1">
        <w:tab/>
        <w:t xml:space="preserve">Cependant, dans le présent </w:t>
      </w:r>
      <w:r w:rsidR="00E33368">
        <w:t>document</w:t>
      </w:r>
      <w:r w:rsidRPr="004E42C1">
        <w:t xml:space="preserve">, la Commission a décidé de s’intéresser principalement aux violations et atteintes commises depuis l’arrivée au pouvoir du Président </w:t>
      </w:r>
      <w:r w:rsidR="002A7986">
        <w:t>É</w:t>
      </w:r>
      <w:r w:rsidRPr="004E42C1">
        <w:t>variste Ndayishimiye le 18 juin 2020</w:t>
      </w:r>
      <w:r w:rsidRPr="00456A33">
        <w:rPr>
          <w:sz w:val="18"/>
          <w:szCs w:val="18"/>
          <w:vertAlign w:val="superscript"/>
        </w:rPr>
        <w:footnoteReference w:id="10"/>
      </w:r>
      <w:r w:rsidRPr="004E42C1">
        <w:t>, et d’analyser les développements les plus significatifs en matière de droits de l’homme et de lutte contre l’impunité et la corruption. Elle a poursuivi son analyse sur les facteurs de risque de dégradation de la situation des droits de l’homme pour faire suite à celles réalisées dans le contexte électoral de 2020 et immédiatement après ces élections</w:t>
      </w:r>
      <w:r w:rsidRPr="00456A33">
        <w:rPr>
          <w:sz w:val="18"/>
          <w:szCs w:val="18"/>
          <w:vertAlign w:val="superscript"/>
        </w:rPr>
        <w:footnoteReference w:id="11"/>
      </w:r>
      <w:r w:rsidRPr="004E42C1">
        <w:t>. La Commission a continué de se baser sur l’évolution des indicateurs déjà identifiés dans ses précédentes analyses.</w:t>
      </w:r>
    </w:p>
    <w:p w14:paraId="27C897FA" w14:textId="77777777" w:rsidR="00E63335" w:rsidRPr="004E42C1" w:rsidRDefault="00E63335" w:rsidP="004E42C1">
      <w:pPr>
        <w:pStyle w:val="SingleTxtG"/>
      </w:pPr>
      <w:r w:rsidRPr="004E42C1">
        <w:t>6.</w:t>
      </w:r>
      <w:r w:rsidRPr="004E42C1">
        <w:tab/>
        <w:t>À l’instar de ses précédents rapports, la Commission a également cherché à évaluer s’il existait des motifs raisonnables de croire que les violations documentées constituaient des crimes de droit international</w:t>
      </w:r>
      <w:r w:rsidRPr="00456A33">
        <w:rPr>
          <w:sz w:val="18"/>
          <w:szCs w:val="18"/>
          <w:vertAlign w:val="superscript"/>
        </w:rPr>
        <w:footnoteReference w:id="12"/>
      </w:r>
      <w:r w:rsidRPr="004E42C1">
        <w:t>. Elle a poursuivi ses enquêtes visant à établir les responsabilités pour les violations des droits de l’homme et atteintes à ceux-ci, ainsi que pour les crimes contre l’humanité qu’elle a pu documenter. Elle a pris soin de distinguer entre la responsabilité en matière de droits de l’homme, qui ne concerne que l’État du Burundi pour les actes commis par ses agents ou des individus ou des groupes agissant sous son autorité ou son contrôle</w:t>
      </w:r>
      <w:r w:rsidRPr="00456A33">
        <w:rPr>
          <w:sz w:val="18"/>
          <w:szCs w:val="18"/>
          <w:vertAlign w:val="superscript"/>
        </w:rPr>
        <w:footnoteReference w:id="13"/>
      </w:r>
      <w:r w:rsidRPr="004E42C1">
        <w:t>, et les responsabilités individuelles en matière de droit pénal international</w:t>
      </w:r>
      <w:r w:rsidRPr="00FB09E3">
        <w:rPr>
          <w:sz w:val="18"/>
          <w:szCs w:val="18"/>
          <w:vertAlign w:val="superscript"/>
        </w:rPr>
        <w:footnoteReference w:id="14"/>
      </w:r>
      <w:r w:rsidRPr="004E42C1">
        <w:t>.</w:t>
      </w:r>
    </w:p>
    <w:p w14:paraId="6BEACA74" w14:textId="6D6ADCFF" w:rsidR="00E63335" w:rsidRPr="004E42C1" w:rsidRDefault="00E63335" w:rsidP="004E42C1">
      <w:pPr>
        <w:pStyle w:val="SingleTxtG"/>
      </w:pPr>
      <w:r w:rsidRPr="004E42C1">
        <w:t>7.</w:t>
      </w:r>
      <w:r w:rsidRPr="004E42C1">
        <w:tab/>
        <w:t xml:space="preserve">Dans le présent </w:t>
      </w:r>
      <w:r w:rsidR="00E33368">
        <w:t>document</w:t>
      </w:r>
      <w:r w:rsidRPr="004E42C1">
        <w:t>, la Commission s’est également penchée sur la situation de l’État de droit au Burundi, qui est la clé pour établir un système de respect et de protection des droits de l’homme. L’État de droit a aussi un impact direct sur le niveau de développement économique, grande priorité du Président Ndayishimiye.</w:t>
      </w:r>
    </w:p>
    <w:p w14:paraId="2965A579" w14:textId="5C8952DE" w:rsidR="00E63335" w:rsidRPr="004E42C1" w:rsidRDefault="00E63335" w:rsidP="004E42C1">
      <w:pPr>
        <w:pStyle w:val="SingleTxtG"/>
      </w:pPr>
      <w:r w:rsidRPr="004E42C1">
        <w:t>8.</w:t>
      </w:r>
      <w:r w:rsidRPr="004E42C1">
        <w:tab/>
        <w:t xml:space="preserve">La Commission est confiante que la lecture combinée de l’ensemble de ses rapports permet de retracer la situation globale des droits de l’homme au Burundi entre avril 2015 et septembre 2021. Ces rapports ont également permis de donner une voix aux nombreuses victimes de violations des droits de l’homme et de crimes internationaux, qui ont été ignorées ou réduites au silence par les autorités burundaises successives qui ont nié l’existence de ces violations et ces crimes et ont donc refusé de les </w:t>
      </w:r>
      <w:r w:rsidR="00EB2996" w:rsidRPr="004E42C1">
        <w:t>reconna</w:t>
      </w:r>
      <w:r w:rsidR="00EB2996">
        <w:t>ît</w:t>
      </w:r>
      <w:r w:rsidR="00EB2996" w:rsidRPr="004E42C1">
        <w:t>re</w:t>
      </w:r>
      <w:r w:rsidRPr="004E42C1">
        <w:t xml:space="preserve"> comme des victimes et de s’acquitter de </w:t>
      </w:r>
      <w:r w:rsidR="00FB09E3">
        <w:t>leurs obligations envers elles.</w:t>
      </w:r>
    </w:p>
    <w:p w14:paraId="3B89EB00" w14:textId="7C73F02A" w:rsidR="00E63335" w:rsidRPr="004E42C1" w:rsidRDefault="00E63335" w:rsidP="004E42C1">
      <w:pPr>
        <w:pStyle w:val="SingleTxtG"/>
      </w:pPr>
      <w:r w:rsidRPr="004E42C1">
        <w:t>9.</w:t>
      </w:r>
      <w:r w:rsidRPr="004E42C1">
        <w:tab/>
        <w:t xml:space="preserve">En outre, ces rapports donnent </w:t>
      </w:r>
      <w:r w:rsidR="00EB2996">
        <w:t>d</w:t>
      </w:r>
      <w:r w:rsidRPr="004E42C1">
        <w:t>es éléments cruciaux et des analyses pertinentes pour comprendre la complexité de la situation dans le pays, les facteurs qui ont conduit à la crise politique de 2015 et les causes profondes des violations des droits de l’homme au Burundi, qui n’ont toujours pas été réglées, ainsi que les principaux facteurs de risque pour l’avenir</w:t>
      </w:r>
      <w:r w:rsidRPr="00FB09E3">
        <w:rPr>
          <w:sz w:val="18"/>
          <w:szCs w:val="18"/>
          <w:vertAlign w:val="superscript"/>
        </w:rPr>
        <w:footnoteReference w:id="15"/>
      </w:r>
      <w:r w:rsidR="00FB09E3">
        <w:t>.</w:t>
      </w:r>
    </w:p>
    <w:p w14:paraId="3A8C27AC" w14:textId="7AE5F2B6" w:rsidR="00E63335" w:rsidRPr="004E42C1" w:rsidRDefault="00E63335" w:rsidP="004E42C1">
      <w:pPr>
        <w:pStyle w:val="SingleTxtG"/>
      </w:pPr>
      <w:r w:rsidRPr="004E42C1">
        <w:t>10.</w:t>
      </w:r>
      <w:r w:rsidRPr="004E42C1">
        <w:tab/>
        <w:t xml:space="preserve">La Commission a systématiquement indiqué au fil de ses rapports quelles étaient les mesures à prendre par les différents acteurs, et particulièrement les autorités burundaises, afin d’améliorer réellement et durablement la situation des droits de l’homme au Burundi et garantir que de telles crises ne se répètent pas sur le long terme. La Commission est confiante que ses recommandations restent utiles à tous les acteurs concernés, notamment le Gouvernement du Burundi, mais aussi les partenaires nationaux et internationaux, afin de guider leur engagement visant à aider le pays à changer de cap et </w:t>
      </w:r>
      <w:r w:rsidR="000A69E7" w:rsidRPr="004E42C1">
        <w:t>à</w:t>
      </w:r>
      <w:r w:rsidR="000A69E7">
        <w:t xml:space="preserve"> </w:t>
      </w:r>
      <w:r w:rsidRPr="004E42C1">
        <w:t>s’engager vers un véritable</w:t>
      </w:r>
      <w:r w:rsidR="00CC4CC3">
        <w:t xml:space="preserve"> respect des droits de l’homme.</w:t>
      </w:r>
    </w:p>
    <w:p w14:paraId="2DDAB6B8" w14:textId="77777777" w:rsidR="00E63335" w:rsidRPr="004E42C1" w:rsidRDefault="00926EA2" w:rsidP="00CE7B8F">
      <w:pPr>
        <w:pStyle w:val="H23G"/>
      </w:pPr>
      <w:r>
        <w:tab/>
        <w:t>2.</w:t>
      </w:r>
      <w:r>
        <w:tab/>
      </w:r>
      <w:r w:rsidR="00E63335" w:rsidRPr="004E42C1">
        <w:t>Membres de la Commission</w:t>
      </w:r>
    </w:p>
    <w:p w14:paraId="3AA08464" w14:textId="016EFF04" w:rsidR="00E63335" w:rsidRPr="004E42C1" w:rsidRDefault="00E63335" w:rsidP="004E42C1">
      <w:pPr>
        <w:pStyle w:val="SingleTxtG"/>
      </w:pPr>
      <w:r w:rsidRPr="004E42C1">
        <w:t>11.</w:t>
      </w:r>
      <w:r w:rsidRPr="004E42C1">
        <w:tab/>
        <w:t>Doudou Di</w:t>
      </w:r>
      <w:r w:rsidR="008C14BB">
        <w:t>è</w:t>
      </w:r>
      <w:r w:rsidRPr="004E42C1">
        <w:t>ne (Sénégal) est le Président de la Commission depuis sa nomination le 1</w:t>
      </w:r>
      <w:r w:rsidRPr="00775AAE">
        <w:rPr>
          <w:vertAlign w:val="superscript"/>
        </w:rPr>
        <w:t>er</w:t>
      </w:r>
      <w:r w:rsidRPr="004E42C1">
        <w:t xml:space="preserve"> février 2018</w:t>
      </w:r>
      <w:r w:rsidRPr="00A06BBB">
        <w:rPr>
          <w:sz w:val="18"/>
          <w:szCs w:val="18"/>
          <w:vertAlign w:val="superscript"/>
        </w:rPr>
        <w:footnoteReference w:id="16"/>
      </w:r>
      <w:r w:rsidRPr="004E42C1">
        <w:t>. Françoise Hampson (Royaume-Uni) est membre de la Commission depuis le 22 novembre 2016</w:t>
      </w:r>
      <w:r w:rsidRPr="00A06BBB">
        <w:rPr>
          <w:sz w:val="18"/>
          <w:szCs w:val="18"/>
          <w:vertAlign w:val="superscript"/>
        </w:rPr>
        <w:footnoteReference w:id="17"/>
      </w:r>
      <w:r w:rsidRPr="004E42C1">
        <w:t>. Lucy Asuagbor (Cameroun), qui était membre depuis le 5 mars 2018, a démissionné le 24 mars 2021 suite à sa prise de nouvelles fonctions à plein temps au sein de la Commission nationale des droits de l’homme et des libertés du Cameroun</w:t>
      </w:r>
      <w:r w:rsidRPr="00A2532F">
        <w:rPr>
          <w:sz w:val="18"/>
          <w:szCs w:val="18"/>
          <w:vertAlign w:val="superscript"/>
        </w:rPr>
        <w:footnoteReference w:id="18"/>
      </w:r>
      <w:r w:rsidRPr="004E42C1">
        <w:t>.</w:t>
      </w:r>
    </w:p>
    <w:p w14:paraId="7DCB4592" w14:textId="77777777" w:rsidR="00E63335" w:rsidRPr="00FA45AB" w:rsidRDefault="00A2532F" w:rsidP="00CE7B8F">
      <w:pPr>
        <w:pStyle w:val="H1G"/>
        <w:rPr>
          <w:lang w:val="fr-CH"/>
        </w:rPr>
      </w:pPr>
      <w:r w:rsidRPr="00FA45AB">
        <w:rPr>
          <w:lang w:val="fr-CH"/>
        </w:rPr>
        <w:tab/>
        <w:t>B.</w:t>
      </w:r>
      <w:r w:rsidRPr="00FA45AB">
        <w:rPr>
          <w:lang w:val="fr-CH"/>
        </w:rPr>
        <w:tab/>
      </w:r>
      <w:r w:rsidR="00E63335" w:rsidRPr="00FA45AB">
        <w:rPr>
          <w:lang w:val="fr-CH"/>
        </w:rPr>
        <w:t xml:space="preserve">Coopération avec la Commission </w:t>
      </w:r>
    </w:p>
    <w:p w14:paraId="7A38E8DF" w14:textId="77777777" w:rsidR="00E63335" w:rsidRPr="004E42C1" w:rsidRDefault="00A2532F" w:rsidP="00CE7B8F">
      <w:pPr>
        <w:pStyle w:val="H23G"/>
      </w:pPr>
      <w:r>
        <w:tab/>
        <w:t>1.</w:t>
      </w:r>
      <w:r>
        <w:tab/>
      </w:r>
      <w:r w:rsidR="00E63335" w:rsidRPr="004E42C1">
        <w:t>Coopération du Burundi</w:t>
      </w:r>
    </w:p>
    <w:p w14:paraId="744AB682" w14:textId="77777777" w:rsidR="00E63335" w:rsidRPr="004E42C1" w:rsidRDefault="00E63335" w:rsidP="004E42C1">
      <w:pPr>
        <w:pStyle w:val="SingleTxtG"/>
      </w:pPr>
      <w:r w:rsidRPr="004E42C1">
        <w:t>12.</w:t>
      </w:r>
      <w:r w:rsidRPr="004E42C1">
        <w:tab/>
        <w:t>Lors du renouvellement du mandat de la Commission, le Conseil des droits de l’homme a réitéré son appel « au Gouvernement burundais de coopérer pleinement avec la Commission d’enquête, d’autoriser celle-ci à se rendre dans le pays et de lui fournir toutes les informations nécessaires à la bonne exécution de son mandat »</w:t>
      </w:r>
      <w:r w:rsidRPr="00A2532F">
        <w:rPr>
          <w:sz w:val="18"/>
          <w:szCs w:val="18"/>
          <w:vertAlign w:val="superscript"/>
        </w:rPr>
        <w:footnoteReference w:id="19"/>
      </w:r>
      <w:r w:rsidRPr="004E42C1">
        <w:t>.</w:t>
      </w:r>
    </w:p>
    <w:p w14:paraId="07F0F132" w14:textId="77777777" w:rsidR="00E63335" w:rsidRPr="004E42C1" w:rsidRDefault="00E63335" w:rsidP="004E42C1">
      <w:pPr>
        <w:pStyle w:val="SingleTxtG"/>
      </w:pPr>
      <w:r w:rsidRPr="004E42C1">
        <w:t>13.</w:t>
      </w:r>
      <w:r w:rsidRPr="004E42C1">
        <w:tab/>
        <w:t>La Commission a perpétué ses démarches visant à entamer le dialogue avec les autorités burundaises, y compris à travers l’envoi de correspondances à la Mission permanente de la République du Burundi auprès de l’Office des Nations Unies et des autres organisations internationales à Genève</w:t>
      </w:r>
      <w:r w:rsidRPr="00A2532F">
        <w:rPr>
          <w:sz w:val="18"/>
          <w:szCs w:val="18"/>
          <w:vertAlign w:val="superscript"/>
        </w:rPr>
        <w:footnoteReference w:id="20"/>
      </w:r>
      <w:r w:rsidRPr="004E42C1">
        <w:t xml:space="preserve">. Elle a également réitéré sa demande aux autorités burundaises de lui transmettre des informations pertinentes sur la situation des droits de l’homme dans le pays, notamment au sujet d’éventuelles atteintes à l’encontre d’agents de l’État et de membres du parti au pouvoir et sur les enquêtes éventuellement menées sur les incidents de sécurité les plus récents. Cependant, comme par le passé et malgré une certaine ouverture affichée par le Président Ndayishimiye envers d’autres acteurs de la communauté internationale, les autorités burundaises ont persisté dans leur refus </w:t>
      </w:r>
      <w:r w:rsidR="00A2532F">
        <w:t>de coopérer avec la Commission.</w:t>
      </w:r>
    </w:p>
    <w:p w14:paraId="5F065DCC" w14:textId="6761E435" w:rsidR="00E63335" w:rsidRPr="004E42C1" w:rsidRDefault="00E63335" w:rsidP="004E42C1">
      <w:pPr>
        <w:pStyle w:val="SingleTxtG"/>
      </w:pPr>
      <w:r w:rsidRPr="004E42C1">
        <w:t>14.</w:t>
      </w:r>
      <w:r w:rsidRPr="004E42C1">
        <w:tab/>
        <w:t xml:space="preserve">Le 23 septembre 2020, lors du dialogue interactif sur le Burundi organisé dans le cadre de la quarante-cinquième session du Conseil des droits de l’homme, le Représentant permanent du Burundi à Genève a rejeté le rapport que la Commission d’enquête venait de présenter. Il l’a qualifié de « diffamatoire », « d’insultant » et </w:t>
      </w:r>
      <w:r w:rsidR="007338B1">
        <w:t xml:space="preserve">de </w:t>
      </w:r>
      <w:r w:rsidRPr="004E42C1">
        <w:t>« politiquement motivé » sans étayer ses propos ni entrer sur le fond de telles accusations. Il a également indiqué que selon le Burundi, les mécanismes tels que la Commission d’enquête, le Bureau pays du Haut-</w:t>
      </w:r>
      <w:r w:rsidR="001972F7">
        <w:t>C</w:t>
      </w:r>
      <w:r w:rsidRPr="001536AA">
        <w:t>ommissariat</w:t>
      </w:r>
      <w:r w:rsidRPr="004E42C1">
        <w:t xml:space="preserve"> </w:t>
      </w:r>
      <w:r w:rsidR="007338B1">
        <w:t xml:space="preserve">des Nations Unies </w:t>
      </w:r>
      <w:r w:rsidRPr="004E42C1">
        <w:t>aux droits de l’homme ou les procédures spéciales n’étaient pas « les seuls canaux de coopération avec les Nations Unies » et qu’il « en existe d’autres plus positifs qui promeuvent les droits humains, le développement des États et l’épanouissement des peuples »</w:t>
      </w:r>
      <w:r w:rsidRPr="006C6831">
        <w:rPr>
          <w:sz w:val="18"/>
          <w:szCs w:val="18"/>
          <w:vertAlign w:val="superscript"/>
        </w:rPr>
        <w:footnoteReference w:id="21"/>
      </w:r>
      <w:r w:rsidRPr="004E42C1">
        <w:t>, rejetant ainsi le principe même de coopération avec les principaux mécanismes internationaux des droits de l’homme.</w:t>
      </w:r>
    </w:p>
    <w:p w14:paraId="2232A9E5" w14:textId="77777777" w:rsidR="00E63335" w:rsidRPr="004E42C1" w:rsidRDefault="00E63335" w:rsidP="004E42C1">
      <w:pPr>
        <w:pStyle w:val="SingleTxtG"/>
      </w:pPr>
      <w:r w:rsidRPr="004E42C1">
        <w:t>15.</w:t>
      </w:r>
      <w:r w:rsidRPr="004E42C1">
        <w:tab/>
        <w:t>Le 26 octobre 2020, lors du dialogue interactif sur le Burundi devant la Troisième Commission dans le cadre de la soixante-quinzième session de l’Assemblée générale des Nations Unies, le Représentant du Burundi a répété quasiment mot pour mot la déclaration faite à Genève le mois précédent.</w:t>
      </w:r>
      <w:r w:rsidRPr="006C6831">
        <w:rPr>
          <w:sz w:val="18"/>
          <w:szCs w:val="18"/>
          <w:vertAlign w:val="superscript"/>
        </w:rPr>
        <w:footnoteReference w:id="22"/>
      </w:r>
      <w:r w:rsidRPr="004E42C1">
        <w:t xml:space="preserve"> </w:t>
      </w:r>
    </w:p>
    <w:p w14:paraId="4DDD111A" w14:textId="35FC77BD" w:rsidR="00E63335" w:rsidRPr="004E42C1" w:rsidRDefault="00E63335" w:rsidP="004E42C1">
      <w:pPr>
        <w:pStyle w:val="SingleTxtG"/>
      </w:pPr>
      <w:r w:rsidRPr="004E42C1">
        <w:t>16.</w:t>
      </w:r>
      <w:r w:rsidRPr="004E42C1">
        <w:tab/>
        <w:t>Le 11 mars 2021, lors de la quarante-sixième session du Conseil des droits de l’homme, le Représentant permanent du Burundi a réitéré encore une fois les accusations selon lesquelles la Commission présentait des « allégations mensongères » et « politiquement orientées » sans apporter plus d’information</w:t>
      </w:r>
      <w:r w:rsidR="007338B1">
        <w:t>s</w:t>
      </w:r>
      <w:r w:rsidRPr="004E42C1">
        <w:t xml:space="preserve"> ou de détails</w:t>
      </w:r>
      <w:r w:rsidRPr="006C6831">
        <w:rPr>
          <w:sz w:val="18"/>
          <w:szCs w:val="18"/>
          <w:vertAlign w:val="superscript"/>
        </w:rPr>
        <w:footnoteReference w:id="23"/>
      </w:r>
      <w:r w:rsidRPr="004E42C1">
        <w:t>. La Commission constate que le Gouvernement burundais conserve la même approche envers le travail de la Commission qu’à l’égard des autres mécanismes de droits de l’homme qui exigent une redevabilité pour les violations spécifiques de</w:t>
      </w:r>
      <w:r w:rsidR="009A6BFD">
        <w:t>s</w:t>
      </w:r>
      <w:r w:rsidRPr="004E42C1">
        <w:t xml:space="preserve"> droits de l’homme.</w:t>
      </w:r>
    </w:p>
    <w:p w14:paraId="7527ACDC" w14:textId="77777777" w:rsidR="00E63335" w:rsidRPr="004E42C1" w:rsidRDefault="006C6831" w:rsidP="00CE7B8F">
      <w:pPr>
        <w:pStyle w:val="H23G"/>
      </w:pPr>
      <w:r>
        <w:tab/>
        <w:t>2.</w:t>
      </w:r>
      <w:r>
        <w:tab/>
      </w:r>
      <w:r w:rsidR="00E63335" w:rsidRPr="004E42C1">
        <w:t>Coopération avec d’autres entités</w:t>
      </w:r>
    </w:p>
    <w:p w14:paraId="0E1F648B" w14:textId="1A8A58A4" w:rsidR="00E63335" w:rsidRPr="004E42C1" w:rsidRDefault="00E63335" w:rsidP="004E42C1">
      <w:pPr>
        <w:pStyle w:val="SingleTxtG"/>
      </w:pPr>
      <w:r w:rsidRPr="004E42C1">
        <w:t>17.</w:t>
      </w:r>
      <w:r w:rsidRPr="004E42C1">
        <w:tab/>
        <w:t>Le Conseil des droits de l’homme a prié « le Haut-Commissariat des Nations Unies aux droits de l’homme de fournir à la Commission d’enquête toutes les ressources nécessaires à l’exécution de son mandat »</w:t>
      </w:r>
      <w:r w:rsidRPr="006C6831">
        <w:rPr>
          <w:sz w:val="18"/>
          <w:szCs w:val="18"/>
          <w:vertAlign w:val="superscript"/>
        </w:rPr>
        <w:footnoteReference w:id="24"/>
      </w:r>
      <w:r w:rsidRPr="004E42C1">
        <w:t xml:space="preserve">. Conformément à cette disposition et comme par le passé, la Commission a continué </w:t>
      </w:r>
      <w:r w:rsidR="009A6BFD">
        <w:t>de</w:t>
      </w:r>
      <w:r w:rsidRPr="004E42C1">
        <w:t xml:space="preserve"> bénéficier de l’entière coopération du Haut-Commissariat, qui a notamment mis à sa disposition un secrétariat avec les compétences spécialisées nécessaires à l’accomplissement de son mandat ainsi que l’indispensable assistance administrative, technique et logistique. Néanmoins, sa mise en place a été retardée en raison de la crise financière qui a affecté les Nations Unies.</w:t>
      </w:r>
    </w:p>
    <w:p w14:paraId="4FEF309C" w14:textId="25855BDF" w:rsidR="00E63335" w:rsidRPr="004E42C1" w:rsidRDefault="00E63335" w:rsidP="004E42C1">
      <w:pPr>
        <w:pStyle w:val="SingleTxtG"/>
      </w:pPr>
      <w:r w:rsidRPr="004E42C1">
        <w:t>18.</w:t>
      </w:r>
      <w:r w:rsidRPr="004E42C1">
        <w:tab/>
        <w:t>Ces facteurs ainsi que les restrictions de circulation liées à la pandémie de Covid-19 ont eu des répercussions sur la réalisation de</w:t>
      </w:r>
      <w:r w:rsidR="009A6BFD">
        <w:t>s</w:t>
      </w:r>
      <w:r w:rsidRPr="004E42C1">
        <w:t xml:space="preserve"> enquêtes</w:t>
      </w:r>
      <w:r w:rsidR="009A6BFD">
        <w:t xml:space="preserve"> de la Commission</w:t>
      </w:r>
      <w:r w:rsidRPr="004E42C1">
        <w:t xml:space="preserve">. </w:t>
      </w:r>
      <w:r w:rsidR="009A6BFD">
        <w:t xml:space="preserve">Cette dernière </w:t>
      </w:r>
      <w:r w:rsidRPr="004E42C1">
        <w:t xml:space="preserve">a dû prioriser les incidents et les violations </w:t>
      </w:r>
      <w:r w:rsidR="00734408">
        <w:t>des</w:t>
      </w:r>
      <w:r w:rsidR="00734408" w:rsidRPr="004E42C1">
        <w:t xml:space="preserve"> </w:t>
      </w:r>
      <w:r w:rsidRPr="004E42C1">
        <w:t>droits de l’homme à documenter et elle a choisi de se focaliser davantage sur les violations graves des droits civils et politiques au détriment des violations des droits économiques et sociaux qui avaient pu être couvert</w:t>
      </w:r>
      <w:r w:rsidR="00734408">
        <w:t>e</w:t>
      </w:r>
      <w:r w:rsidRPr="004E42C1">
        <w:t xml:space="preserve">s dans ses précédents rapports. </w:t>
      </w:r>
    </w:p>
    <w:p w14:paraId="2628BFF1" w14:textId="77777777" w:rsidR="00E63335" w:rsidRPr="00FA45AB" w:rsidRDefault="000F2502" w:rsidP="00C34191">
      <w:pPr>
        <w:pStyle w:val="H1G"/>
        <w:rPr>
          <w:lang w:val="fr-CH"/>
        </w:rPr>
      </w:pPr>
      <w:r w:rsidRPr="00FA45AB">
        <w:rPr>
          <w:lang w:val="fr-CH"/>
        </w:rPr>
        <w:tab/>
        <w:t>C.</w:t>
      </w:r>
      <w:r w:rsidRPr="00FA45AB">
        <w:rPr>
          <w:lang w:val="fr-CH"/>
        </w:rPr>
        <w:tab/>
      </w:r>
      <w:r w:rsidR="00E63335" w:rsidRPr="00FA45AB">
        <w:rPr>
          <w:lang w:val="fr-CH"/>
        </w:rPr>
        <w:t>Méthodologie et droit applicabl</w:t>
      </w:r>
      <w:r w:rsidRPr="00FA45AB">
        <w:rPr>
          <w:lang w:val="fr-CH"/>
        </w:rPr>
        <w:t>e</w:t>
      </w:r>
    </w:p>
    <w:p w14:paraId="04585047" w14:textId="77777777" w:rsidR="00E63335" w:rsidRPr="004E42C1" w:rsidRDefault="000F2502" w:rsidP="00C34191">
      <w:pPr>
        <w:pStyle w:val="H23G"/>
      </w:pPr>
      <w:r>
        <w:tab/>
        <w:t>1.</w:t>
      </w:r>
      <w:r>
        <w:tab/>
      </w:r>
      <w:r w:rsidR="00E63335" w:rsidRPr="004E42C1">
        <w:t>Méthodologie</w:t>
      </w:r>
    </w:p>
    <w:p w14:paraId="4B0C7175" w14:textId="77777777" w:rsidR="00E63335" w:rsidRPr="004E42C1" w:rsidRDefault="00E63335" w:rsidP="004E42C1">
      <w:pPr>
        <w:pStyle w:val="SingleTxtG"/>
      </w:pPr>
      <w:r w:rsidRPr="004E42C1">
        <w:t>19.</w:t>
      </w:r>
      <w:r w:rsidRPr="004E42C1">
        <w:tab/>
        <w:t>Au cours du présent terme de son mandat, la Commission a conservé sa méthodologie d’enquête</w:t>
      </w:r>
      <w:r w:rsidRPr="00CB62E2">
        <w:rPr>
          <w:rStyle w:val="FootnoteReference"/>
        </w:rPr>
        <w:footnoteReference w:id="25"/>
      </w:r>
      <w:r w:rsidRPr="00CB62E2">
        <w:rPr>
          <w:rStyle w:val="FootnoteReference"/>
        </w:rPr>
        <w:t xml:space="preserve"> </w:t>
      </w:r>
      <w:r w:rsidRPr="004E42C1">
        <w:t>et le niveau de preuve adopté précédemment, à savoir des « motifs raisonnables de croire »</w:t>
      </w:r>
      <w:r w:rsidRPr="00CB62E2">
        <w:rPr>
          <w:rStyle w:val="FootnoteReference"/>
        </w:rPr>
        <w:footnoteReference w:id="26"/>
      </w:r>
      <w:r w:rsidRPr="004E42C1">
        <w:t>, puisque ceux-ci sont parfaitement conformes aux orientations et pratiques reconnues pour les enquêtes sur des violations des droits de l’homme et des crimes internationaux par des mécanismes internationaux qui n’ont pas d’accès direct aux lieux où les faits ont été commis. Cette méthodologie repose sur les normes et règles pertinentes en la matière identifiées par le Haut-Commissariat des Nations Unies aux droits de l’homme (HCDH) et prend en compte les meilleures pratiques tirées de plus de deux décennies d’expérience</w:t>
      </w:r>
      <w:r w:rsidRPr="00CB62E2">
        <w:rPr>
          <w:rStyle w:val="FootnoteReference"/>
        </w:rPr>
        <w:footnoteReference w:id="27"/>
      </w:r>
      <w:r w:rsidRPr="004E42C1">
        <w:t>.</w:t>
      </w:r>
    </w:p>
    <w:p w14:paraId="6B93CB36" w14:textId="77777777" w:rsidR="00E63335" w:rsidRPr="004E42C1" w:rsidRDefault="00E63335" w:rsidP="004E42C1">
      <w:pPr>
        <w:pStyle w:val="SingleTxtG"/>
      </w:pPr>
      <w:r w:rsidRPr="004E42C1">
        <w:t>20.</w:t>
      </w:r>
      <w:r w:rsidRPr="004E42C1">
        <w:tab/>
        <w:t xml:space="preserve"> Malgré les difficultés spécifiques, la Commission a réalisé plus de 170 entretiens au cours de ce cinquième terme, ce qui fait un total de plus de 1770 témoignages réalisés depuis le début de son mandat</w:t>
      </w:r>
      <w:r w:rsidRPr="00CB62E2">
        <w:rPr>
          <w:rStyle w:val="FootnoteReference"/>
        </w:rPr>
        <w:footnoteReference w:id="28"/>
      </w:r>
      <w:r w:rsidRPr="004E42C1">
        <w:t xml:space="preserve">. Ces nouveaux témoignages ont été recueillis auprès de victimes, de témoins, d’auteurs de violations et d’autres sources, qui résident au </w:t>
      </w:r>
      <w:r w:rsidR="00CB62E2">
        <w:t>Burundi ou dans des pays tiers.</w:t>
      </w:r>
    </w:p>
    <w:p w14:paraId="19D04324" w14:textId="2728AF90" w:rsidR="00E63335" w:rsidRPr="004E42C1" w:rsidRDefault="00E63335" w:rsidP="004E42C1">
      <w:pPr>
        <w:pStyle w:val="SingleTxtG"/>
      </w:pPr>
      <w:r w:rsidRPr="004E42C1">
        <w:t>21.</w:t>
      </w:r>
      <w:r w:rsidRPr="004E42C1">
        <w:tab/>
        <w:t xml:space="preserve">La Commission a continué d’analyser chaque témoignage recueilli pour déterminer la fiabilité de la source et la validité des informations fournies. Les analyses et les conclusions présentées dans ce </w:t>
      </w:r>
      <w:r w:rsidR="00E33368">
        <w:t>document</w:t>
      </w:r>
      <w:r w:rsidR="00E33368" w:rsidRPr="004E42C1">
        <w:t xml:space="preserve"> </w:t>
      </w:r>
      <w:r w:rsidRPr="004E42C1">
        <w:t xml:space="preserve">sont exclusivement basées sur les informations qui ont pu être corroborées selon la méthodologie adoptée, notamment auprès d’autres sources primaires ou secondaires, et donc qui sont considérées comme crédibles par la Commission. Elle est confiante que les conclusions qu’elle présente dans le présent </w:t>
      </w:r>
      <w:r w:rsidR="00E33368">
        <w:t>document</w:t>
      </w:r>
      <w:r w:rsidR="00E33368" w:rsidRPr="004E42C1">
        <w:t xml:space="preserve"> </w:t>
      </w:r>
      <w:r w:rsidRPr="004E42C1">
        <w:t xml:space="preserve">sont solidement étayées et respectent le niveau de preuve adopté. Cependant, certains thèmes ou types d’incidents n’ont pas pu être suffisamment documentés, notamment en raison de la période de travail effective restreinte de son secrétariat et des restrictions de circulation internationales. C’est la raison pour laquelle les conclusions sur les violences sexuelles et basées sur le genre ou des cas de malversation économique restent limitées. Pour autant, cette absence de mention dans le présent </w:t>
      </w:r>
      <w:r w:rsidR="00E33368">
        <w:t>document</w:t>
      </w:r>
      <w:r w:rsidR="00E33368" w:rsidRPr="004E42C1">
        <w:t xml:space="preserve"> </w:t>
      </w:r>
      <w:r w:rsidRPr="004E42C1">
        <w:t>ne signifie nullement qu’aucun cas ou incident n’a eu lieu au cours de la période couverte. Cela indique seulement qu’en l’état actuel des choses, la Commission n’est pas en mesure de se prononcer à ce sujet.</w:t>
      </w:r>
    </w:p>
    <w:p w14:paraId="65AC8E59" w14:textId="7EA80379" w:rsidR="00E63335" w:rsidRPr="004E42C1" w:rsidRDefault="00E63335" w:rsidP="004E42C1">
      <w:pPr>
        <w:pStyle w:val="SingleTxtG"/>
      </w:pPr>
      <w:r w:rsidRPr="004E42C1">
        <w:t>22.</w:t>
      </w:r>
      <w:r w:rsidRPr="004E42C1">
        <w:tab/>
        <w:t xml:space="preserve">Pour son analyse des développements pertinents relatifs à la situation des droits de l’homme et aux facteurs de risque, la Commission s’est en partie basée sur </w:t>
      </w:r>
      <w:r w:rsidR="00981E71">
        <w:t>d</w:t>
      </w:r>
      <w:r w:rsidR="00981E71" w:rsidRPr="004E42C1">
        <w:t>es</w:t>
      </w:r>
      <w:r w:rsidRPr="004E42C1">
        <w:t xml:space="preserve"> documents officiels du Gouvernement du Burundi et </w:t>
      </w:r>
      <w:r w:rsidR="007D6571">
        <w:t>d’</w:t>
      </w:r>
      <w:r w:rsidRPr="004E42C1">
        <w:t>autres institutions burundaises</w:t>
      </w:r>
      <w:r w:rsidR="007D6571">
        <w:t>,</w:t>
      </w:r>
      <w:r w:rsidRPr="004E42C1">
        <w:t xml:space="preserve"> disponibles publiquement (rapports annuels, lois ou décrets), notamment sur leurs sites internet. Elle a également pris en compte les communications publiques telles que des comptes rendus des discours présidentiels, des communiqués de presse officiels, des messages publiés sur les comptes Twitter officiels ou personnels d’officiels burundais, des articles de la presse internationale et de médias burundais </w:t>
      </w:r>
      <w:r w:rsidR="00981E71">
        <w:t>notamment</w:t>
      </w:r>
      <w:r w:rsidRPr="004E42C1">
        <w:t xml:space="preserve"> la Radiotélévision nationale du Burundi (RTNB). Elle a également utilisé des rapports et autres documents publics préparés par les agences de l’Organisation des Nations Unies ou des </w:t>
      </w:r>
      <w:r w:rsidR="003D33EF">
        <w:t>i</w:t>
      </w:r>
      <w:r w:rsidRPr="004E42C1">
        <w:t>nstitutions indépendantes.</w:t>
      </w:r>
    </w:p>
    <w:p w14:paraId="27DDD71B" w14:textId="77777777" w:rsidR="00E63335" w:rsidRPr="004E42C1" w:rsidRDefault="00E63335" w:rsidP="00C34191">
      <w:pPr>
        <w:pStyle w:val="H23G"/>
      </w:pPr>
      <w:r w:rsidRPr="004E42C1">
        <w:tab/>
        <w:t>2.</w:t>
      </w:r>
      <w:r w:rsidRPr="004E42C1">
        <w:tab/>
        <w:t>Droit applicable</w:t>
      </w:r>
    </w:p>
    <w:p w14:paraId="0491FA6F" w14:textId="77777777" w:rsidR="00E63335" w:rsidRPr="004E42C1" w:rsidRDefault="00E63335" w:rsidP="004E42C1">
      <w:pPr>
        <w:pStyle w:val="SingleTxtG"/>
      </w:pPr>
      <w:r w:rsidRPr="004E42C1">
        <w:t>23.</w:t>
      </w:r>
      <w:r w:rsidRPr="004E42C1">
        <w:tab/>
        <w:t>Le droit applicable au travail de la Commission reste le droit international des droits de l’homme et le droit pénal international</w:t>
      </w:r>
      <w:r w:rsidRPr="00FB06DD">
        <w:rPr>
          <w:rStyle w:val="FootnoteReference"/>
        </w:rPr>
        <w:footnoteReference w:id="29"/>
      </w:r>
      <w:r w:rsidRPr="004E42C1">
        <w:t xml:space="preserve"> ainsi que les conventions relatives à la lutte contre la corruption pour ce qui concerne les fo</w:t>
      </w:r>
      <w:r w:rsidR="00205087">
        <w:t>ndements économiques de l’État.</w:t>
      </w:r>
    </w:p>
    <w:p w14:paraId="2FF74849" w14:textId="77777777" w:rsidR="00E63335" w:rsidRPr="00C34191" w:rsidRDefault="00E63335" w:rsidP="00C34191">
      <w:pPr>
        <w:pStyle w:val="H4G"/>
        <w:rPr>
          <w:b/>
          <w:i w:val="0"/>
        </w:rPr>
      </w:pPr>
      <w:r w:rsidRPr="004E42C1">
        <w:tab/>
      </w:r>
      <w:r w:rsidRPr="00C34191">
        <w:rPr>
          <w:b/>
          <w:i w:val="0"/>
        </w:rPr>
        <w:t>(a)</w:t>
      </w:r>
      <w:r w:rsidRPr="00C34191">
        <w:rPr>
          <w:b/>
          <w:i w:val="0"/>
        </w:rPr>
        <w:tab/>
        <w:t>Droit international des droits de l’homme</w:t>
      </w:r>
    </w:p>
    <w:p w14:paraId="3C9CEE2A" w14:textId="77777777" w:rsidR="00E63335" w:rsidRPr="004E42C1" w:rsidRDefault="00E63335" w:rsidP="004E42C1">
      <w:pPr>
        <w:pStyle w:val="SingleTxtG"/>
      </w:pPr>
      <w:r w:rsidRPr="004E42C1">
        <w:t>24.</w:t>
      </w:r>
      <w:r w:rsidRPr="004E42C1">
        <w:tab/>
        <w:t>Le Burundi reste partie aux mêmes conventions à vocation universelle, régionale et sous-régionale que celles mentionnées dans ses précédents rapports</w:t>
      </w:r>
      <w:r w:rsidRPr="00FB06DD">
        <w:rPr>
          <w:rStyle w:val="FootnoteReference"/>
        </w:rPr>
        <w:footnoteReference w:id="30"/>
      </w:r>
      <w:r w:rsidRPr="004E42C1">
        <w:t>. Il n’a toujours pas ratifié les deux protocoles facultatifs au Pacte international relatif aux droits civils et politiques, ni la Convention internationale sur la protection des droits de tous les travailleurs migrants et des membres de leur famille, comme il s’y était pourtant engagé lors de son troisième Examen périodique universel au mois de janvier 2018</w:t>
      </w:r>
      <w:r w:rsidRPr="00FB06DD">
        <w:rPr>
          <w:rStyle w:val="FootnoteReference"/>
        </w:rPr>
        <w:footnoteReference w:id="31"/>
      </w:r>
      <w:r w:rsidRPr="004E42C1">
        <w:t>.</w:t>
      </w:r>
    </w:p>
    <w:p w14:paraId="7BB84C1D" w14:textId="77777777" w:rsidR="00E63335" w:rsidRPr="00C34191" w:rsidRDefault="00E63335" w:rsidP="00C34191">
      <w:pPr>
        <w:pStyle w:val="H4G"/>
        <w:rPr>
          <w:b/>
          <w:i w:val="0"/>
        </w:rPr>
      </w:pPr>
      <w:r w:rsidRPr="004E42C1">
        <w:tab/>
      </w:r>
      <w:r w:rsidRPr="00C34191">
        <w:rPr>
          <w:b/>
          <w:i w:val="0"/>
        </w:rPr>
        <w:t>(b)</w:t>
      </w:r>
      <w:r w:rsidRPr="00C34191">
        <w:rPr>
          <w:b/>
          <w:i w:val="0"/>
        </w:rPr>
        <w:tab/>
        <w:t>Droit pénal international</w:t>
      </w:r>
    </w:p>
    <w:p w14:paraId="684CF303" w14:textId="77777777" w:rsidR="00E63335" w:rsidRPr="004E42C1" w:rsidRDefault="00E63335" w:rsidP="004E42C1">
      <w:pPr>
        <w:pStyle w:val="SingleTxtG"/>
      </w:pPr>
      <w:r w:rsidRPr="004E42C1">
        <w:t>25.</w:t>
      </w:r>
      <w:r w:rsidRPr="004E42C1">
        <w:tab/>
        <w:t>Le retrait du Burundi du Statut de Rome, qui est effectif depuis le 27 octobre 2017</w:t>
      </w:r>
      <w:r w:rsidRPr="00FB06DD">
        <w:rPr>
          <w:rStyle w:val="FootnoteReference"/>
        </w:rPr>
        <w:footnoteReference w:id="32"/>
      </w:r>
      <w:r w:rsidRPr="004E42C1">
        <w:t>, ne le dégage pas des obligations mises à sa charge lorsqu’il était partie à ce traité</w:t>
      </w:r>
      <w:r w:rsidRPr="00FB06DD">
        <w:rPr>
          <w:rStyle w:val="FootnoteReference"/>
        </w:rPr>
        <w:footnoteReference w:id="33"/>
      </w:r>
      <w:r w:rsidRPr="004E42C1">
        <w:t>, ni de ses obligations en vertu du droit international coutumier en matière de crimes internationaux. La Commission a donc continué à se référer aux définitions des crimes énoncées dans le Statut de Rome, qui sont reprises en grande partie dans le Code pénal du Burundi</w:t>
      </w:r>
      <w:r w:rsidRPr="00FB06DD">
        <w:rPr>
          <w:rStyle w:val="FootnoteReference"/>
        </w:rPr>
        <w:footnoteReference w:id="34"/>
      </w:r>
      <w:r w:rsidRPr="004E42C1">
        <w:t>, ainsi qu’à la jurisprudence des juridictions internationales, notamment celle des tribunaux pénaux pour l’ex-Yougoslav</w:t>
      </w:r>
      <w:r w:rsidR="00FB06DD">
        <w:t>ie (TPIY) et le Rwanda (TPIR).</w:t>
      </w:r>
    </w:p>
    <w:p w14:paraId="53528E54" w14:textId="77777777" w:rsidR="00E63335" w:rsidRPr="00C34191" w:rsidRDefault="00FB06DD" w:rsidP="00C34191">
      <w:pPr>
        <w:pStyle w:val="H4G"/>
        <w:rPr>
          <w:b/>
          <w:i w:val="0"/>
        </w:rPr>
      </w:pPr>
      <w:r>
        <w:tab/>
      </w:r>
      <w:r w:rsidR="00E63335" w:rsidRPr="00C34191">
        <w:rPr>
          <w:b/>
          <w:i w:val="0"/>
        </w:rPr>
        <w:t>(c)</w:t>
      </w:r>
      <w:r w:rsidR="00E63335" w:rsidRPr="00C34191">
        <w:rPr>
          <w:b/>
          <w:i w:val="0"/>
        </w:rPr>
        <w:tab/>
        <w:t>Conventions de lutte contre la corruption</w:t>
      </w:r>
    </w:p>
    <w:p w14:paraId="212B04C9" w14:textId="77777777" w:rsidR="00E63335" w:rsidRPr="004E42C1" w:rsidRDefault="00E63335" w:rsidP="004E42C1">
      <w:pPr>
        <w:pStyle w:val="SingleTxtG"/>
      </w:pPr>
      <w:r w:rsidRPr="004E42C1">
        <w:t>26.</w:t>
      </w:r>
      <w:r w:rsidRPr="004E42C1">
        <w:tab/>
        <w:t>Le Burundi est partie à la Convention de l’Union africaine pour la prévention et la lutte contre la corruption de 2003 depuis son entrée en vigueur le 5 août 2006 et à la Convention des Nations Unies contre la corruption de 2003 depuis mars 2006. Ces deux conventions sont les principaux instruments de référence en droit international pour ce qui a trait aux malversations économiques</w:t>
      </w:r>
      <w:r w:rsidR="00205087">
        <w:t xml:space="preserve"> documentées par la Commission.</w:t>
      </w:r>
    </w:p>
    <w:p w14:paraId="0A634573" w14:textId="77777777" w:rsidR="00E63335" w:rsidRPr="00FA45AB" w:rsidRDefault="00FB06DD" w:rsidP="00C34191">
      <w:pPr>
        <w:pStyle w:val="H1G"/>
        <w:rPr>
          <w:lang w:val="fr-CH"/>
        </w:rPr>
      </w:pPr>
      <w:r w:rsidRPr="00FA45AB">
        <w:rPr>
          <w:lang w:val="fr-CH"/>
        </w:rPr>
        <w:tab/>
        <w:t>D.</w:t>
      </w:r>
      <w:r w:rsidRPr="00FA45AB">
        <w:rPr>
          <w:lang w:val="fr-CH"/>
        </w:rPr>
        <w:tab/>
      </w:r>
      <w:r w:rsidR="00E63335" w:rsidRPr="00FA45AB">
        <w:rPr>
          <w:lang w:val="fr-CH"/>
        </w:rPr>
        <w:t>Principaux développements au niveau international</w:t>
      </w:r>
    </w:p>
    <w:p w14:paraId="1D6C099F" w14:textId="77777777" w:rsidR="00E63335" w:rsidRPr="004E42C1" w:rsidRDefault="00FB06DD" w:rsidP="00C34191">
      <w:pPr>
        <w:pStyle w:val="H23G"/>
      </w:pPr>
      <w:r>
        <w:tab/>
      </w:r>
      <w:r w:rsidR="00E63335" w:rsidRPr="004E42C1">
        <w:t>1.</w:t>
      </w:r>
      <w:r>
        <w:tab/>
      </w:r>
      <w:r w:rsidR="00E63335" w:rsidRPr="004E42C1">
        <w:t>Au sein de l’Organisation des Nations Unies</w:t>
      </w:r>
    </w:p>
    <w:p w14:paraId="54B9DF1E" w14:textId="77777777" w:rsidR="00E63335" w:rsidRPr="00C34191" w:rsidRDefault="004C25B4" w:rsidP="00C34191">
      <w:pPr>
        <w:pStyle w:val="H4G"/>
        <w:rPr>
          <w:b/>
          <w:i w:val="0"/>
        </w:rPr>
      </w:pPr>
      <w:r>
        <w:tab/>
      </w:r>
      <w:r>
        <w:tab/>
      </w:r>
      <w:r w:rsidR="00E63335" w:rsidRPr="00C34191">
        <w:rPr>
          <w:b/>
          <w:i w:val="0"/>
        </w:rPr>
        <w:t>Haut-Commissariat des Nati</w:t>
      </w:r>
      <w:r w:rsidRPr="00C34191">
        <w:rPr>
          <w:b/>
          <w:i w:val="0"/>
        </w:rPr>
        <w:t>ons Unies aux droits de l’homme</w:t>
      </w:r>
    </w:p>
    <w:p w14:paraId="79B1713D" w14:textId="28F15270" w:rsidR="00E63335" w:rsidRPr="004E42C1" w:rsidRDefault="004C25B4" w:rsidP="004E42C1">
      <w:pPr>
        <w:pStyle w:val="SingleTxtG"/>
      </w:pPr>
      <w:r>
        <w:t>27.</w:t>
      </w:r>
      <w:r>
        <w:tab/>
      </w:r>
      <w:r w:rsidR="00E63335" w:rsidRPr="004E42C1">
        <w:t>Le Gouvernement n’a pas autorisé le HCDH à rouvrir un bureau pays. Il n’accepte que des activités de renforcement des capacités et de coopération technique de la part du Centre des Nations Unies pour les droits de l’homme et la démocratie en Afrique centrale</w:t>
      </w:r>
      <w:r w:rsidR="00D96434">
        <w:t>,</w:t>
      </w:r>
      <w:r w:rsidR="00E63335" w:rsidRPr="004E42C1">
        <w:t xml:space="preserve"> b</w:t>
      </w:r>
      <w:r w:rsidR="0096732B">
        <w:t>asé au Cameroun.</w:t>
      </w:r>
    </w:p>
    <w:p w14:paraId="27522E38" w14:textId="77777777" w:rsidR="00E63335" w:rsidRPr="00C34191" w:rsidRDefault="004C25B4" w:rsidP="00C34191">
      <w:pPr>
        <w:pStyle w:val="H4G"/>
        <w:rPr>
          <w:b/>
          <w:i w:val="0"/>
        </w:rPr>
      </w:pPr>
      <w:r>
        <w:tab/>
      </w:r>
      <w:r>
        <w:tab/>
      </w:r>
      <w:r w:rsidR="00E63335" w:rsidRPr="00C34191">
        <w:rPr>
          <w:b/>
          <w:i w:val="0"/>
        </w:rPr>
        <w:t>Organes de traités sur les droits de l’homme</w:t>
      </w:r>
    </w:p>
    <w:p w14:paraId="16C3D3F7" w14:textId="77777777" w:rsidR="00E63335" w:rsidRPr="004E42C1" w:rsidRDefault="00E63335" w:rsidP="004E42C1">
      <w:pPr>
        <w:pStyle w:val="SingleTxtG"/>
      </w:pPr>
      <w:r w:rsidRPr="004E42C1">
        <w:t>28.</w:t>
      </w:r>
      <w:r w:rsidRPr="004E42C1">
        <w:tab/>
        <w:t>Le Burundi n’a pas encore établi de mécanisme national de prévention de la torture comme l’exige le Protocole facultatif à la Convention contre la torture et autres peines ou traitements cruels, inhumains ou dégradants auquel il a adhéré en octobre 2013</w:t>
      </w:r>
      <w:r w:rsidRPr="004C25B4">
        <w:rPr>
          <w:rStyle w:val="FootnoteReference"/>
        </w:rPr>
        <w:footnoteReference w:id="35"/>
      </w:r>
      <w:r w:rsidRPr="004E42C1">
        <w:t>. Ses rapports périodiques sur la mise en œuvre des traités fondamentaux des droits de l’homme restent dus au Comité pour l’élimination de la discrimination raciale depuis novembre 1998 ; au Comité des droits de l’enfant depuis octobre 2015 ; au Comité des droits des personnes handicapées depuis juin 2016 ; au Comité des droits économiques, sociaux et culturels depuis octobre 2020 et au Comité pour l’élimination des discriminations envers les femmes depuis novembre 2020.</w:t>
      </w:r>
    </w:p>
    <w:p w14:paraId="40C11BCB" w14:textId="2F5C88C2" w:rsidR="00E63335" w:rsidRPr="004E42C1" w:rsidRDefault="00E63335" w:rsidP="004E42C1">
      <w:pPr>
        <w:pStyle w:val="SingleTxtG"/>
      </w:pPr>
      <w:r w:rsidRPr="004E42C1">
        <w:t>29.</w:t>
      </w:r>
      <w:r w:rsidRPr="004E42C1">
        <w:tab/>
        <w:t>Au cours de sa 132</w:t>
      </w:r>
      <w:r w:rsidRPr="00D24B39">
        <w:rPr>
          <w:vertAlign w:val="superscript"/>
        </w:rPr>
        <w:t>ième</w:t>
      </w:r>
      <w:r w:rsidRPr="004E42C1">
        <w:t xml:space="preserve"> session tenue du 28 juin au 23 juillet 2021, le Comité des droits de l’homme a adopté une liste de questions</w:t>
      </w:r>
      <w:r w:rsidRPr="004C25B4">
        <w:rPr>
          <w:rStyle w:val="FootnoteReference"/>
        </w:rPr>
        <w:footnoteReference w:id="36"/>
      </w:r>
      <w:r w:rsidRPr="004E42C1">
        <w:t xml:space="preserve"> relatives au troisième rapport périodique soumis par le Burundi en septembre 2020</w:t>
      </w:r>
      <w:r w:rsidRPr="004C25B4">
        <w:rPr>
          <w:rStyle w:val="FootnoteReference"/>
        </w:rPr>
        <w:footnoteReference w:id="37"/>
      </w:r>
      <w:r w:rsidRPr="004E42C1">
        <w:t xml:space="preserve">. Dans sa liste de questions, le Comité a demandé au Gouvernement du Burundi, entre autres choses, de « répondre aux allégations concernant </w:t>
      </w:r>
      <w:r w:rsidR="008E7623">
        <w:t>les nombreuses</w:t>
      </w:r>
      <w:r w:rsidRPr="004E42C1">
        <w:t xml:space="preserve"> disparitions forcées et exécutions extrajudiciaires </w:t>
      </w:r>
      <w:r w:rsidR="008E7623">
        <w:t xml:space="preserve">dues </w:t>
      </w:r>
      <w:r w:rsidR="008E7623" w:rsidRPr="004E42C1">
        <w:t>à</w:t>
      </w:r>
      <w:r w:rsidRPr="004E42C1">
        <w:t xml:space="preserve"> des agents du Service </w:t>
      </w:r>
      <w:r w:rsidR="00401606">
        <w:t>n</w:t>
      </w:r>
      <w:r w:rsidRPr="004E42C1">
        <w:t xml:space="preserve">ational de Renseignement, de la police, des forces armées et </w:t>
      </w:r>
      <w:r w:rsidR="008E7623" w:rsidRPr="004E42C1">
        <w:t xml:space="preserve">à </w:t>
      </w:r>
      <w:r w:rsidRPr="004E42C1">
        <w:t>des Imbonerakure, dont les victimes sont principalement des opposants politiques</w:t>
      </w:r>
      <w:r w:rsidR="008E7623">
        <w:t>. Ces</w:t>
      </w:r>
      <w:r w:rsidRPr="004E42C1">
        <w:t xml:space="preserve"> violations</w:t>
      </w:r>
      <w:r w:rsidR="008E7623">
        <w:t>,</w:t>
      </w:r>
      <w:r w:rsidRPr="004E42C1">
        <w:t xml:space="preserve"> qui se sont intensifiées lors des manifestations du 2015, du référendum constitutionnel de mai 2018</w:t>
      </w:r>
      <w:r w:rsidR="008E7623">
        <w:t xml:space="preserve"> et</w:t>
      </w:r>
      <w:r w:rsidRPr="004E42C1">
        <w:t xml:space="preserve"> des élections de mai 2020, se poursuivent en juillet 2021 » et « à cet égard, fournir des renseignements : a) sur les mesures prises pour déterminer le sort des personnes disparues et les localiser ; b) sur les enquêtes menées, les poursuites engagées, les déclarations de culpabilité prononcées et les sanctions imposées aux responsables ; c) sur les mesures adoptées pour garantir aux familles des victimes l’accès à la justic</w:t>
      </w:r>
      <w:r w:rsidR="00377611">
        <w:t>e</w:t>
      </w:r>
      <w:r w:rsidR="008E7623">
        <w:t xml:space="preserve"> et </w:t>
      </w:r>
      <w:r w:rsidR="008E7623" w:rsidRPr="004E42C1">
        <w:t>à</w:t>
      </w:r>
      <w:r w:rsidR="008E7623">
        <w:t xml:space="preserve"> </w:t>
      </w:r>
      <w:r w:rsidR="00377611">
        <w:t>des réparations adéquates ».</w:t>
      </w:r>
    </w:p>
    <w:p w14:paraId="118B90A4" w14:textId="7EB85DA0" w:rsidR="00E63335" w:rsidRPr="004E42C1" w:rsidRDefault="00E63335" w:rsidP="004E42C1">
      <w:pPr>
        <w:pStyle w:val="SingleTxtG"/>
      </w:pPr>
      <w:r w:rsidRPr="004E42C1">
        <w:t>30.</w:t>
      </w:r>
      <w:r w:rsidR="0096732B">
        <w:tab/>
      </w:r>
      <w:r w:rsidRPr="004E42C1">
        <w:t xml:space="preserve">Le Comité lui a également demandé de « Commenter les informations faisant état de la pratique des autorités d’enterrer de manière immédiate des cadavres portant </w:t>
      </w:r>
      <w:r w:rsidR="00710531">
        <w:t>des</w:t>
      </w:r>
      <w:r w:rsidRPr="004E42C1">
        <w:t xml:space="preserve"> traces de mort violente, sans les identifier, sans avertir leurs familles ni ouvrir d</w:t>
      </w:r>
      <w:r w:rsidR="00710531">
        <w:t>’</w:t>
      </w:r>
      <w:r w:rsidRPr="004E42C1">
        <w:t>enquêtes sur les circonstances d</w:t>
      </w:r>
      <w:r w:rsidR="00710531">
        <w:t>es</w:t>
      </w:r>
      <w:r w:rsidRPr="004E42C1">
        <w:t xml:space="preserve"> décès », mais aussi de « donner des informations sur les mesures prises pour</w:t>
      </w:r>
      <w:r w:rsidR="00BE082C">
        <w:t> </w:t>
      </w:r>
      <w:r w:rsidRPr="004E42C1">
        <w:t xml:space="preserve">: a) prévenir les actes de violence sexuelle perpétrés sur </w:t>
      </w:r>
      <w:r w:rsidR="00094831">
        <w:t>d</w:t>
      </w:r>
      <w:r w:rsidRPr="004E42C1">
        <w:t xml:space="preserve">es femmes et </w:t>
      </w:r>
      <w:r w:rsidR="00094831">
        <w:t>d</w:t>
      </w:r>
      <w:r w:rsidRPr="004E42C1">
        <w:t xml:space="preserve">es filles, </w:t>
      </w:r>
      <w:r w:rsidRPr="001F5F68">
        <w:rPr>
          <w:lang w:val="fr-FR"/>
        </w:rPr>
        <w:t>mener des enquêtes s</w:t>
      </w:r>
      <w:r>
        <w:rPr>
          <w:lang w:val="fr-FR"/>
        </w:rPr>
        <w:t xml:space="preserve">ur ces actes, </w:t>
      </w:r>
      <w:r w:rsidR="00094831">
        <w:rPr>
          <w:bCs/>
          <w:lang w:val="fr-FR"/>
        </w:rPr>
        <w:t xml:space="preserve">poursuivre et sanctionner </w:t>
      </w:r>
      <w:r w:rsidR="00094831" w:rsidRPr="001F5F68">
        <w:rPr>
          <w:bCs/>
          <w:lang w:val="fr-FR"/>
        </w:rPr>
        <w:t xml:space="preserve">les </w:t>
      </w:r>
      <w:r w:rsidR="00094831">
        <w:rPr>
          <w:bCs/>
          <w:lang w:val="fr-FR"/>
        </w:rPr>
        <w:t xml:space="preserve">auteurs de ces actes, et </w:t>
      </w:r>
      <w:r w:rsidR="00094831" w:rsidRPr="001F5F68">
        <w:rPr>
          <w:bCs/>
          <w:lang w:val="fr-FR"/>
        </w:rPr>
        <w:t>assurer des réparations adéquates aux victimes</w:t>
      </w:r>
      <w:r w:rsidR="00094831">
        <w:rPr>
          <w:bCs/>
          <w:lang w:val="fr-FR"/>
        </w:rPr>
        <w:t>,</w:t>
      </w:r>
      <w:r w:rsidR="00094831">
        <w:t xml:space="preserve"> y compris </w:t>
      </w:r>
      <w:r w:rsidR="00094831" w:rsidRPr="001F5F68">
        <w:rPr>
          <w:lang w:val="fr-FR"/>
        </w:rPr>
        <w:t>des services médicaux et psychosociaux complets</w:t>
      </w:r>
      <w:r w:rsidRPr="004E42C1">
        <w:t xml:space="preserve">; b) sensibiliser les agents de l’État et </w:t>
      </w:r>
      <w:r w:rsidR="00D96434">
        <w:t>l</w:t>
      </w:r>
      <w:r w:rsidRPr="004E42C1">
        <w:t xml:space="preserve">es Imbonerakure </w:t>
      </w:r>
      <w:r w:rsidR="00D96434" w:rsidRPr="004E42C1">
        <w:t>à</w:t>
      </w:r>
      <w:r w:rsidR="00D96434">
        <w:t xml:space="preserve"> l’interdiction de</w:t>
      </w:r>
      <w:r w:rsidR="00D96434" w:rsidRPr="004E42C1">
        <w:t xml:space="preserve"> </w:t>
      </w:r>
      <w:r w:rsidRPr="004E42C1">
        <w:t>toute forme de violence à l’ég</w:t>
      </w:r>
      <w:r w:rsidR="0096732B">
        <w:t>ard des femmes et des filles ».</w:t>
      </w:r>
    </w:p>
    <w:p w14:paraId="32389EB3" w14:textId="7B701A65" w:rsidR="00E63335" w:rsidRPr="004E42C1" w:rsidRDefault="00E63335" w:rsidP="004E42C1">
      <w:pPr>
        <w:pStyle w:val="SingleTxtG"/>
      </w:pPr>
      <w:r w:rsidRPr="004E42C1">
        <w:t>31.</w:t>
      </w:r>
      <w:r w:rsidR="0096732B">
        <w:tab/>
      </w:r>
      <w:r w:rsidRPr="004E42C1">
        <w:t xml:space="preserve">Le Comité a aussi sollicité qu’ « à la lumière des allégations sur </w:t>
      </w:r>
      <w:r w:rsidR="00294E7A">
        <w:t>les</w:t>
      </w:r>
      <w:r w:rsidR="00294E7A" w:rsidRPr="004E42C1">
        <w:t xml:space="preserve"> </w:t>
      </w:r>
      <w:r w:rsidRPr="004E42C1">
        <w:t>nombreux cas de détentions arbitraires, y compris de mineurs, ciblant principalement des opposants politiques »</w:t>
      </w:r>
      <w:r w:rsidR="00876D5C">
        <w:t>,</w:t>
      </w:r>
      <w:r w:rsidRPr="004E42C1">
        <w:t xml:space="preserve"> le Gouvernement décrive « les mesures prises pour veiller à ce que les agents publics responsables de ces faits soient sanctionnés, que les personnes arrêtées arbitrairement soient libérées et que les victimes puissent bénéficier d’une réparation adéquate » et qu’il commente « les allégations qui continuent de faire état de nombreux actes de harcèlement, d’intimidation et de violations des droits de l’homme, y compris d’enlèvements, de disparitions, </w:t>
      </w:r>
      <w:r w:rsidR="00294E7A">
        <w:t xml:space="preserve">de </w:t>
      </w:r>
      <w:r w:rsidRPr="004E42C1">
        <w:t xml:space="preserve">détentions arbitraires, </w:t>
      </w:r>
      <w:r w:rsidR="00294E7A">
        <w:t xml:space="preserve">de </w:t>
      </w:r>
      <w:r w:rsidRPr="004E42C1">
        <w:t>torture</w:t>
      </w:r>
      <w:r w:rsidR="00294E7A">
        <w:t>s</w:t>
      </w:r>
      <w:r w:rsidRPr="004E42C1">
        <w:t xml:space="preserve">, </w:t>
      </w:r>
      <w:r w:rsidR="00294E7A">
        <w:t>de</w:t>
      </w:r>
      <w:r w:rsidRPr="004E42C1">
        <w:t xml:space="preserve"> violences sexuelles et </w:t>
      </w:r>
      <w:r w:rsidR="00294E7A">
        <w:t>d’</w:t>
      </w:r>
      <w:r w:rsidRPr="004E42C1">
        <w:t xml:space="preserve">exécutions extrajudiciaires, à l’encontre de journalistes, de défenseurs de droits de l’homme et d’opposants politiques, dont les auteurs seraient principalement </w:t>
      </w:r>
      <w:r w:rsidR="00294E7A">
        <w:t>d</w:t>
      </w:r>
      <w:r w:rsidRPr="004E42C1">
        <w:t>es membres de</w:t>
      </w:r>
      <w:r w:rsidR="00294E7A">
        <w:t>s</w:t>
      </w:r>
      <w:r w:rsidRPr="004E42C1">
        <w:t xml:space="preserve"> forces de police</w:t>
      </w:r>
      <w:r w:rsidR="00294E7A">
        <w:t xml:space="preserve"> et des</w:t>
      </w:r>
      <w:r w:rsidRPr="004E42C1">
        <w:t xml:space="preserve"> service</w:t>
      </w:r>
      <w:r w:rsidR="00294E7A">
        <w:t>s</w:t>
      </w:r>
      <w:r w:rsidRPr="004E42C1">
        <w:t xml:space="preserve"> de renseignement</w:t>
      </w:r>
      <w:r w:rsidR="00294E7A">
        <w:t>,</w:t>
      </w:r>
      <w:r w:rsidRPr="004E42C1">
        <w:t xml:space="preserve"> et des Imbonerakure ».</w:t>
      </w:r>
    </w:p>
    <w:p w14:paraId="412CF891" w14:textId="77777777" w:rsidR="00E63335" w:rsidRPr="00C34191" w:rsidRDefault="004C25B4" w:rsidP="00C34191">
      <w:pPr>
        <w:pStyle w:val="H4G"/>
        <w:rPr>
          <w:b/>
          <w:i w:val="0"/>
        </w:rPr>
      </w:pPr>
      <w:r>
        <w:tab/>
      </w:r>
      <w:r>
        <w:tab/>
      </w:r>
      <w:r w:rsidR="00E63335" w:rsidRPr="00C34191">
        <w:rPr>
          <w:b/>
          <w:i w:val="0"/>
        </w:rPr>
        <w:t>Procédures spéciales établies par le Conseil des droits de l’homme</w:t>
      </w:r>
    </w:p>
    <w:p w14:paraId="7548ADB6" w14:textId="77777777" w:rsidR="00E63335" w:rsidRPr="004E42C1" w:rsidRDefault="004C25B4" w:rsidP="00C34191">
      <w:pPr>
        <w:pStyle w:val="H4G"/>
      </w:pPr>
      <w:r>
        <w:tab/>
      </w:r>
      <w:r>
        <w:tab/>
      </w:r>
      <w:r w:rsidR="00E63335" w:rsidRPr="004E42C1">
        <w:t>Communication sur le cas de Germain Rukuki</w:t>
      </w:r>
    </w:p>
    <w:p w14:paraId="003D138F" w14:textId="77777777" w:rsidR="00E63335" w:rsidRPr="004E42C1" w:rsidRDefault="00E63335" w:rsidP="004E42C1">
      <w:pPr>
        <w:pStyle w:val="SingleTxtG"/>
      </w:pPr>
      <w:r w:rsidRPr="004E42C1">
        <w:t>32.</w:t>
      </w:r>
      <w:r w:rsidRPr="004E42C1">
        <w:tab/>
        <w:t>Le 29 septembre 2020, la Rapporteuse spéciale sur la situation des défenseurs des droits de l’homme, le Groupe de travail sur la détention arbitraire, la Rapporteuse spéciale sur la promotion et la protection du droit à la liberté d’opinion et d’expression, le Rapporteur spécial sur le droit de réunion pacifique et la liberté d’association, et le Rapporteur spécial sur l’indépendance des juges et des avocats, ont envoyé une lettre conjointe au Gouvernement du Burundi</w:t>
      </w:r>
      <w:r w:rsidRPr="00684B0A">
        <w:rPr>
          <w:rStyle w:val="FootnoteReference"/>
        </w:rPr>
        <w:footnoteReference w:id="38"/>
      </w:r>
      <w:r w:rsidRPr="004E42C1">
        <w:t xml:space="preserve"> dans laquelle ils ont fait part d’allégations d’irrégularités de procédure concernant la condamnation du défenseur des droits de l’homme Germain Rukuki à une peine de 32 ans de prison par le tribunal de grande instance de Ntahangwa. Ils ont regretté le manque de coopération de la part des autorités burundaises qui n’ont pas répondu à leurs communications antérieures sur ce cas</w:t>
      </w:r>
      <w:r w:rsidRPr="00684B0A">
        <w:rPr>
          <w:rStyle w:val="FootnoteReference"/>
        </w:rPr>
        <w:footnoteReference w:id="39"/>
      </w:r>
      <w:r w:rsidRPr="004E42C1">
        <w:t xml:space="preserve"> ni donné suite à l’avis du Groupe de travail sur la détention arbitraire demandant sa libération immédiate en raison du caractère arbitraire de sa détention</w:t>
      </w:r>
      <w:r w:rsidRPr="00684B0A">
        <w:rPr>
          <w:rStyle w:val="FootnoteReference"/>
        </w:rPr>
        <w:footnoteReference w:id="40"/>
      </w:r>
      <w:r w:rsidR="00684B0A">
        <w:t>.</w:t>
      </w:r>
    </w:p>
    <w:p w14:paraId="2531515D" w14:textId="63EB5200" w:rsidR="00E63335" w:rsidRPr="004E42C1" w:rsidRDefault="00E63335" w:rsidP="004E42C1">
      <w:pPr>
        <w:pStyle w:val="SingleTxtG"/>
      </w:pPr>
      <w:r w:rsidRPr="004E42C1">
        <w:t>33.</w:t>
      </w:r>
      <w:r w:rsidRPr="004E42C1">
        <w:tab/>
        <w:t xml:space="preserve">Prenant note de la décision de la Cour suprême du 30 juillet 2020 de casser l’arrêt de la cour d’appel de Ntahangwa du 17 juillet 2019 en raison d’irrégularités constatées dans les procédures, et du fait que Germain Rukuki allait être rejugé une seconde fois en appel, les titulaires de mandat au titre des procédures spéciales ont demandé au Gouvernement du Burundi, entre autres choses, de leur fournir dans un délai de 60 jours : toute information concernant les irrégularités procédurales que la Cour suprême a identifiées ; et toute information sur les mesures mises en place pour veiller à ce que les défenseurs des droits de l’homme au Burundi et leurs associations, puissent opérer dans un environnement sûr et favorable et mener leurs activités légitimes sans crainte d'intimidation ou de harcèlement d'aucune sorte. Au </w:t>
      </w:r>
      <w:r w:rsidR="00D121C0">
        <w:t>10 septembre</w:t>
      </w:r>
      <w:r w:rsidRPr="004E42C1">
        <w:t xml:space="preserve"> 2021, le Gouvernement du Burundi n’avait pas répondu à la communication des procédures spéciales.</w:t>
      </w:r>
    </w:p>
    <w:p w14:paraId="700B1D39" w14:textId="77777777" w:rsidR="00E63335" w:rsidRPr="004E42C1" w:rsidRDefault="00EA2EDE" w:rsidP="00EA2EDE">
      <w:pPr>
        <w:pStyle w:val="H4G"/>
      </w:pPr>
      <w:r>
        <w:tab/>
      </w:r>
      <w:r>
        <w:tab/>
      </w:r>
      <w:r w:rsidR="00E63335" w:rsidRPr="004E42C1">
        <w:t xml:space="preserve">Communication sur </w:t>
      </w:r>
      <w:r w:rsidR="00E63335" w:rsidRPr="00EA2EDE">
        <w:t>les</w:t>
      </w:r>
      <w:r w:rsidR="00E63335" w:rsidRPr="004E42C1">
        <w:t xml:space="preserve"> allégations de violations commises à l’encontre de réfugiés burundais en Tanzanie</w:t>
      </w:r>
    </w:p>
    <w:p w14:paraId="756CF5A3" w14:textId="77777777" w:rsidR="00E63335" w:rsidRPr="004E42C1" w:rsidRDefault="00E63335" w:rsidP="004E42C1">
      <w:pPr>
        <w:pStyle w:val="SingleTxtG"/>
      </w:pPr>
      <w:r w:rsidRPr="004E42C1">
        <w:t>34.</w:t>
      </w:r>
      <w:r w:rsidRPr="004E42C1">
        <w:tab/>
        <w:t>Le 1</w:t>
      </w:r>
      <w:r w:rsidRPr="001A5779">
        <w:rPr>
          <w:vertAlign w:val="superscript"/>
        </w:rPr>
        <w:t>er</w:t>
      </w:r>
      <w:r w:rsidRPr="004E42C1">
        <w:t xml:space="preserve"> mars 2021, le Groupe de travail sur les disparitions forcées ou involontaires, le Groupe de travail sur la détention arbitraire, la Rapporteuse spéciale sur les exécutions extrajudiciaires, sommaires ou arbitraires, et le Rapporteur spécial sur la torture et autres peines ou traitements cruels, inhumains ou dégradants, ont envoyé une lettre au Gouvernement du Burundi faisant état d’allégations reçues concernant des violations graves commises contre des réfugiés burundais en Tanzanie et certains réfugiés burundais rapatriés de force au Burundi</w:t>
      </w:r>
      <w:r w:rsidRPr="00684B0A">
        <w:rPr>
          <w:rStyle w:val="FootnoteReference"/>
        </w:rPr>
        <w:footnoteReference w:id="41"/>
      </w:r>
      <w:r w:rsidRPr="004E42C1">
        <w:t>.</w:t>
      </w:r>
    </w:p>
    <w:p w14:paraId="70E6F7EE" w14:textId="77777777" w:rsidR="00E63335" w:rsidRPr="004E42C1" w:rsidRDefault="00E63335" w:rsidP="004E42C1">
      <w:pPr>
        <w:pStyle w:val="SingleTxtG"/>
      </w:pPr>
      <w:r w:rsidRPr="004E42C1">
        <w:t>35.</w:t>
      </w:r>
      <w:r w:rsidRPr="004E42C1">
        <w:tab/>
        <w:t>Les représentants des procédures spéciales ont fait état d’allégations « de disparitions forcées, de torture, de retours forcés et d’intimidation à l’encontre des réfugiés burundais. La police et les services de renseignement tanzaniens, en coopération avec les services de renseignement burundais, auraient procédé à des arrestations arbitraires et des disparitions forcées des réfugiés burundais dont certains auraient été tués ou soumis à la torture avant d'être refoulés ou contraints de signer pour un « retour volontaire ». Par exemple, selon une source, 90 réfugiés auraient disparu entre les mains des forces de sécurité tanzaniennes, tandis que 140 réfugiés auraient été victimes de détention arbitraire, de torture et d'autres violations entre 2017 et 2020. Selon une autre source, « entre octobre 2019 et août 2020, les services de police et de renseignement tanzaniens auraient fait disparaître par la force, torturé et détenu arbitrairement au moins 11 Burundais pendant une période pouvant aller jusqu'à plusieurs semaines dans des conditions dégradantes dans un commissariat de police de Kibondo, dans la région de Kigoma. Trois ont été libérés en Tanzanie, tandis que les huit autres réfugiés auraient été renvoyés de force au Burundi en août 2020, où ils auraient été détenus sans aucune charge. Depuis janvier 2020, la police tanzanienne aurait arrêté et fait disparaître de force sept autres réfugiés et demandeurs d'asile. Les arrestations auraient eu lieu dans les camps de réfugiés de Mtendeli et Nduta dans la région de Kigoma, près de la frontière avec le Burundi ».</w:t>
      </w:r>
    </w:p>
    <w:p w14:paraId="67C25F11" w14:textId="77777777" w:rsidR="00E63335" w:rsidRPr="004E42C1" w:rsidRDefault="00E63335" w:rsidP="004E42C1">
      <w:pPr>
        <w:pStyle w:val="SingleTxtG"/>
      </w:pPr>
      <w:r w:rsidRPr="004E42C1">
        <w:t>36.</w:t>
      </w:r>
      <w:r w:rsidRPr="004E42C1">
        <w:tab/>
        <w:t>Les experts indépendants ont également dénoncé la dégradation de la situation sécuritaire dans les camps de réfugiés en raison de la présence d’agents de renseignement burundais se faisant passer pour des réfugiés afin d’identifier des individus spécifiques qui sont ensuite arrêtés par les f</w:t>
      </w:r>
      <w:r w:rsidR="00205087">
        <w:t>orces de sécurité tanzaniennes.</w:t>
      </w:r>
    </w:p>
    <w:p w14:paraId="26C607E3" w14:textId="384E3B1A" w:rsidR="00E63335" w:rsidRPr="004E42C1" w:rsidRDefault="00E63335" w:rsidP="004E42C1">
      <w:pPr>
        <w:pStyle w:val="SingleTxtG"/>
      </w:pPr>
      <w:r w:rsidRPr="004E42C1">
        <w:t>37.</w:t>
      </w:r>
      <w:r w:rsidRPr="004E42C1">
        <w:tab/>
        <w:t>Le 7 avril 2021, le Gouvernement du Burundi a envoyé une communication en réponse aux experts indépendants</w:t>
      </w:r>
      <w:r w:rsidRPr="007B3C5A">
        <w:rPr>
          <w:rStyle w:val="FootnoteReference"/>
        </w:rPr>
        <w:footnoteReference w:id="42"/>
      </w:r>
      <w:r w:rsidRPr="004E42C1">
        <w:t xml:space="preserve"> dans laquelle il n’adresse pas les nombreuses questions et demandes d’information</w:t>
      </w:r>
      <w:r w:rsidR="00876D5C">
        <w:t>s</w:t>
      </w:r>
      <w:r w:rsidRPr="004E42C1">
        <w:t xml:space="preserve"> complémentaires qui lui avaient été adressées. Il affirme seulement que les allégations présentées sont « mensongères et sans fondement légal » et que celles-ci sont initiées depuis 2015 par « des ennemis de la démocratie », que « les accusations rapportées par les experts sont fausses et comme toujours politiquement motivées, visant à ternir l’image du Burundi ». Il a finalement déclaré que « les groupes de travail, qui n’ont plus de raison d’être, devraient être suspendus »</w:t>
      </w:r>
      <w:r w:rsidRPr="00684B0A">
        <w:rPr>
          <w:rStyle w:val="FootnoteReference"/>
        </w:rPr>
        <w:footnoteReference w:id="43"/>
      </w:r>
      <w:r w:rsidRPr="004E42C1">
        <w:t>.</w:t>
      </w:r>
    </w:p>
    <w:p w14:paraId="4332FC38" w14:textId="77777777" w:rsidR="00E63335" w:rsidRPr="004E42C1" w:rsidRDefault="00EA2EDE" w:rsidP="00EA2EDE">
      <w:pPr>
        <w:pStyle w:val="H4G"/>
      </w:pPr>
      <w:r>
        <w:tab/>
      </w:r>
      <w:r>
        <w:tab/>
      </w:r>
      <w:r w:rsidR="00E63335" w:rsidRPr="004E42C1">
        <w:t>Le Groupe de travail sur la détention arbitraire</w:t>
      </w:r>
    </w:p>
    <w:p w14:paraId="1602C2FE" w14:textId="5EE3F11E" w:rsidR="00E63335" w:rsidRPr="004E42C1" w:rsidRDefault="00E63335" w:rsidP="004E42C1">
      <w:pPr>
        <w:pStyle w:val="SingleTxtG"/>
      </w:pPr>
      <w:r w:rsidRPr="004E42C1">
        <w:t>38.</w:t>
      </w:r>
      <w:r w:rsidRPr="004E42C1">
        <w:tab/>
        <w:t xml:space="preserve">Au cours de la période couverte par le présent </w:t>
      </w:r>
      <w:r w:rsidR="00E33368">
        <w:t>document</w:t>
      </w:r>
      <w:r w:rsidRPr="004E42C1">
        <w:t>, le Groupe de travail sur la détention arbitraire a adopté quatre avis concernant le Burundi : trois lors de sa 88</w:t>
      </w:r>
      <w:r w:rsidRPr="001A5779">
        <w:rPr>
          <w:vertAlign w:val="superscript"/>
        </w:rPr>
        <w:t xml:space="preserve">ième </w:t>
      </w:r>
      <w:r w:rsidRPr="004E42C1">
        <w:t>session tenue du 24 au 28 août 2020, et un avis lors de sa 90</w:t>
      </w:r>
      <w:r w:rsidRPr="001A5779">
        <w:rPr>
          <w:vertAlign w:val="superscript"/>
        </w:rPr>
        <w:t>ième</w:t>
      </w:r>
      <w:r w:rsidRPr="004E42C1">
        <w:t xml:space="preserve"> session organisée du 3 au 12 mai 2021. Le Groupe de travail a conclu que les quatre cas qui lui avaient été soumis, qui concernent cinq personnes, étaient constitutifs de détention arbitraire. Le Gouvernement du Burundi a refusé de coopérer avec le Groupe de travail. Il n’a pas répondu aux demandes d’informations détaillées sur les cas en question et sur les dispositions juridiques pertinentes en droit burundais et leur compatibilité avec les obligations du Burundi en vertu du droit international des droits de l’homme.</w:t>
      </w:r>
    </w:p>
    <w:p w14:paraId="02FF4B2A" w14:textId="4A97398C" w:rsidR="00E63335" w:rsidRPr="004E42C1" w:rsidRDefault="00E63335" w:rsidP="004E42C1">
      <w:pPr>
        <w:pStyle w:val="SingleTxtG"/>
      </w:pPr>
      <w:r w:rsidRPr="004E42C1">
        <w:t>39.</w:t>
      </w:r>
      <w:r w:rsidRPr="004E42C1">
        <w:tab/>
        <w:t>Le premier cas concerne la détention de Jean-Claude Hamenyimana</w:t>
      </w:r>
      <w:r w:rsidRPr="00684B0A">
        <w:rPr>
          <w:rStyle w:val="FootnoteReference"/>
        </w:rPr>
        <w:footnoteReference w:id="44"/>
      </w:r>
      <w:r w:rsidRPr="004E42C1">
        <w:t>, commerçant burundais</w:t>
      </w:r>
      <w:r w:rsidR="00711E2A">
        <w:t>,</w:t>
      </w:r>
      <w:r w:rsidRPr="004E42C1">
        <w:t xml:space="preserve"> arrêté le 19 janvier 2016 à son domicile en Mairie de Bujumbura par des policiers de l’Appui à la protection des institutions et de la Brigade de recherche et d’intervention judiciaire. M. Hamenyimana a été arrêté sans mandat d’arrêt et sans qu’il soit dûment informé des raisons de sa privation de liberté au moment de son arrestation. Le </w:t>
      </w:r>
      <w:r w:rsidRPr="004E42C1">
        <w:rPr>
          <w:rFonts w:eastAsiaTheme="minorHAnsi"/>
        </w:rPr>
        <w:t>23 août 2016</w:t>
      </w:r>
      <w:r w:rsidR="00711E2A">
        <w:rPr>
          <w:rFonts w:eastAsiaTheme="minorHAnsi"/>
        </w:rPr>
        <w:t>,</w:t>
      </w:r>
      <w:r w:rsidRPr="004E42C1">
        <w:rPr>
          <w:rFonts w:eastAsiaTheme="minorHAnsi"/>
        </w:rPr>
        <w:t xml:space="preserve"> la cour d’appel de Mukaza</w:t>
      </w:r>
      <w:r w:rsidRPr="004E42C1">
        <w:t xml:space="preserve"> a accepté s</w:t>
      </w:r>
      <w:r w:rsidRPr="004E42C1">
        <w:rPr>
          <w:rFonts w:eastAsiaTheme="minorHAnsi"/>
        </w:rPr>
        <w:t xml:space="preserve">a demande de mise en liberté provisoire qui avait été initialement rejetée en février 2016 par le tribunal de grande instance de Ntahangwa. Cependant, cette décision de la cour d’appel n’a pas été exécutée et M. </w:t>
      </w:r>
      <w:r w:rsidRPr="004E42C1">
        <w:t>Hamenyimana est resté détenu à titre préventif jusqu’à son procès. Inculpé d’atteinte à la sûreté intérieure de l’État, il</w:t>
      </w:r>
      <w:r w:rsidRPr="004E42C1">
        <w:rPr>
          <w:rFonts w:eastAsiaTheme="minorHAnsi"/>
        </w:rPr>
        <w:t xml:space="preserve"> a été acquitté le 8 août 2017 par le tribunal de grande instance de Mukaza, mais il n’a été remis en liberté qu’en date du 2 mai 2019, soit près de deux ans après son acquittement. De plus, il n’avait pas eu accès à un avocat lors des premières étapes de la procédure judiciaire et il avait été torturé lors de son interrogatoire par le Service national de renseignement où des menaces et des insultes à caractère ethnique avaient été proférées contre lui. Le Groupe de travail a donc conclu que sa détention avait été arbitraire car son arrestation et sa détention étaient dépourvues de fondement juridique ; parce que les violations des normes internationales relatives au droit à un procès équitable étaient d’une gravité telle qu’elles ont rendu la privation de liberté arbitraire ; et enfin</w:t>
      </w:r>
      <w:r w:rsidRPr="004E42C1">
        <w:t xml:space="preserve"> parce que la </w:t>
      </w:r>
      <w:r w:rsidRPr="004E42C1">
        <w:rPr>
          <w:rFonts w:eastAsiaTheme="minorHAnsi"/>
        </w:rPr>
        <w:t>privation de liberté constituait une violation du droit international pour des raisons de discrimination fondée sur son origine ethnique.</w:t>
      </w:r>
    </w:p>
    <w:p w14:paraId="0E4ED30F" w14:textId="6DFE456C" w:rsidR="00E63335" w:rsidRPr="004E42C1" w:rsidRDefault="00E63335" w:rsidP="004E42C1">
      <w:pPr>
        <w:pStyle w:val="SingleTxtG"/>
        <w:rPr>
          <w:rFonts w:eastAsiaTheme="minorHAnsi"/>
        </w:rPr>
      </w:pPr>
      <w:r w:rsidRPr="004E42C1">
        <w:rPr>
          <w:rFonts w:eastAsiaTheme="minorHAnsi"/>
        </w:rPr>
        <w:t>40.</w:t>
      </w:r>
      <w:r w:rsidRPr="004E42C1">
        <w:rPr>
          <w:rFonts w:eastAsiaTheme="minorHAnsi"/>
        </w:rPr>
        <w:tab/>
        <w:t>Le deuxième avis concerne les cas d’Ernest Nyabenda et de Patrick Nsengiyumva</w:t>
      </w:r>
      <w:r w:rsidRPr="001A5779">
        <w:rPr>
          <w:rFonts w:eastAsiaTheme="minorHAnsi"/>
          <w:vertAlign w:val="superscript"/>
        </w:rPr>
        <w:footnoteReference w:id="45"/>
      </w:r>
      <w:r w:rsidRPr="004E42C1">
        <w:rPr>
          <w:rFonts w:eastAsiaTheme="minorHAnsi"/>
        </w:rPr>
        <w:t>, deux militaires ex-FABs</w:t>
      </w:r>
      <w:r w:rsidRPr="009A5DF2">
        <w:rPr>
          <w:rStyle w:val="FootnoteReference"/>
          <w:rFonts w:eastAsiaTheme="minorHAnsi"/>
        </w:rPr>
        <w:footnoteReference w:id="46"/>
      </w:r>
      <w:r w:rsidRPr="004E42C1">
        <w:rPr>
          <w:rFonts w:eastAsiaTheme="minorHAnsi"/>
        </w:rPr>
        <w:t>, qui ont été arrêtés</w:t>
      </w:r>
      <w:r w:rsidR="00711E2A">
        <w:rPr>
          <w:rFonts w:eastAsiaTheme="minorHAnsi"/>
        </w:rPr>
        <w:t xml:space="preserve"> re</w:t>
      </w:r>
      <w:r w:rsidR="005677A1">
        <w:rPr>
          <w:rFonts w:eastAsiaTheme="minorHAnsi"/>
        </w:rPr>
        <w:t>spectivement</w:t>
      </w:r>
      <w:r w:rsidRPr="004E42C1">
        <w:rPr>
          <w:rFonts w:eastAsiaTheme="minorHAnsi"/>
        </w:rPr>
        <w:t xml:space="preserve"> le 2 août et le 8 août 2015</w:t>
      </w:r>
      <w:r w:rsidR="005677A1">
        <w:rPr>
          <w:rFonts w:eastAsiaTheme="minorHAnsi"/>
        </w:rPr>
        <w:t xml:space="preserve"> </w:t>
      </w:r>
      <w:r w:rsidRPr="004E42C1">
        <w:rPr>
          <w:rFonts w:eastAsiaTheme="minorHAnsi"/>
        </w:rPr>
        <w:t>suite à l’assassinat du Général Adolphe Nshi</w:t>
      </w:r>
      <w:r w:rsidR="00D12639">
        <w:rPr>
          <w:rFonts w:eastAsiaTheme="minorHAnsi"/>
        </w:rPr>
        <w:t>mirimana</w:t>
      </w:r>
      <w:r w:rsidR="005677A1">
        <w:rPr>
          <w:rFonts w:eastAsiaTheme="minorHAnsi"/>
        </w:rPr>
        <w:t xml:space="preserve">, </w:t>
      </w:r>
      <w:r w:rsidR="005677A1" w:rsidRPr="004E42C1">
        <w:rPr>
          <w:rFonts w:eastAsiaTheme="minorHAnsi"/>
        </w:rPr>
        <w:t>un des caciques du régime du feu Président Nkurunziza</w:t>
      </w:r>
      <w:r w:rsidR="005677A1">
        <w:rPr>
          <w:rFonts w:eastAsiaTheme="minorHAnsi"/>
        </w:rPr>
        <w:t>, le 2 août 2015</w:t>
      </w:r>
      <w:r w:rsidRPr="004E42C1">
        <w:rPr>
          <w:rFonts w:eastAsiaTheme="minorHAnsi"/>
        </w:rPr>
        <w:t xml:space="preserve">. Ils ont été détenus au </w:t>
      </w:r>
      <w:r w:rsidR="00503A75" w:rsidRPr="004E42C1">
        <w:t xml:space="preserve">Service national de renseignement </w:t>
      </w:r>
      <w:r w:rsidR="00503A75">
        <w:t>(</w:t>
      </w:r>
      <w:r w:rsidRPr="004E42C1">
        <w:rPr>
          <w:rFonts w:eastAsiaTheme="minorHAnsi"/>
        </w:rPr>
        <w:t>SNR</w:t>
      </w:r>
      <w:r w:rsidR="00503A75">
        <w:rPr>
          <w:rFonts w:eastAsiaTheme="minorHAnsi"/>
        </w:rPr>
        <w:t>)</w:t>
      </w:r>
      <w:r w:rsidRPr="004E42C1">
        <w:rPr>
          <w:rFonts w:eastAsiaTheme="minorHAnsi"/>
        </w:rPr>
        <w:t xml:space="preserve"> au-delà des délais légaux de garde à vue et des mandats d’arrêt ont été préparés seulement le 4 septembre 2015 lorsqu’ils ont été transférés à la prison de Gitega. Ils n’ont été présentés à la chambre du conseil qu’en novembre 2015 et ils n’ont pas eu accès à un avocat lors de la procédure judiciaire ouverte contre eux. Entre mai et décembre 2016, quatre audiences ont été organisées dans le cadre de leur procès, mais celui-ci a depuis été reporté </w:t>
      </w:r>
      <w:r w:rsidRPr="009C6993">
        <w:rPr>
          <w:rFonts w:eastAsiaTheme="minorHAnsi"/>
          <w:i/>
        </w:rPr>
        <w:t>sine die</w:t>
      </w:r>
      <w:r w:rsidRPr="004E42C1">
        <w:rPr>
          <w:rFonts w:eastAsiaTheme="minorHAnsi"/>
        </w:rPr>
        <w:t xml:space="preserve"> suite à la demande du ministère public d’obtenir un délai pour faire comparaître les témoins à charge une fois que ces derniers auraient trouvé une protection adéquate. M. Nyabenda et Nsengiyumva sont donc détenus « provisoirement » depuis 2015 sans qu’aucune démarche judicaire n’ait été entreprise depuis décembre 2016. Le Groupe de travail a considéré que leur détention était arbitraire en raison du défaut de fondement juridique de leur arrestation et détention ; parce que les violations du droit à un procès équitable, notamment le droit d’être jugé sans retard excessif, étaient d’une gravité telle qu’elles ont rendu leur privation de liberté arbitraire ; et également car leur arrestation et leur détention étaient le résultat d’une discrimination ethnique et politique, du fait qu’ils ont été arrêtés et détenus uniquement parce qu’ils étaient des militaires qui avaient été membres de l’ancienne armée régulière à majorité tutsie.</w:t>
      </w:r>
    </w:p>
    <w:p w14:paraId="2B72E472" w14:textId="5C6F55B5" w:rsidR="00E63335" w:rsidRPr="004E42C1" w:rsidRDefault="00E63335" w:rsidP="004E42C1">
      <w:pPr>
        <w:pStyle w:val="SingleTxtG"/>
        <w:rPr>
          <w:rFonts w:eastAsiaTheme="minorHAnsi"/>
        </w:rPr>
      </w:pPr>
      <w:r w:rsidRPr="004E42C1">
        <w:t>41.</w:t>
      </w:r>
      <w:r w:rsidRPr="004E42C1">
        <w:tab/>
        <w:t>Le troisième avis concerne Cadeau Bigirumugisha</w:t>
      </w:r>
      <w:r w:rsidRPr="009A5DF2">
        <w:rPr>
          <w:rStyle w:val="FootnoteReference"/>
        </w:rPr>
        <w:footnoteReference w:id="47"/>
      </w:r>
      <w:r w:rsidRPr="004E42C1">
        <w:t xml:space="preserve">, un militaire ex-FAB, arrêté le 10 août 2015 suite à l’assassinat du </w:t>
      </w:r>
      <w:r w:rsidRPr="004E42C1">
        <w:rPr>
          <w:rFonts w:eastAsiaTheme="minorHAnsi"/>
        </w:rPr>
        <w:t>Général Adolphe Nshi</w:t>
      </w:r>
      <w:r w:rsidR="00D12639">
        <w:rPr>
          <w:rFonts w:eastAsiaTheme="minorHAnsi"/>
        </w:rPr>
        <w:t>mirimana</w:t>
      </w:r>
      <w:r w:rsidRPr="004E42C1">
        <w:t xml:space="preserve">. Arrêté sans mandat et sans être informé des motifs de son arrestation, il a été conduit au siège du Service national de renseignement après avoir passé six jours dans les locaux de la police militaire. Il a été présenté devant la chambre du conseil seulement en novembre 2015 et la première audience de son procès a eu lieu en juillet 2016. Trois autres audiences ont eu lieu entre juillet et le 27 décembre 2016, date à laquelle le procès a été reporté </w:t>
      </w:r>
      <w:r w:rsidRPr="009C6993">
        <w:rPr>
          <w:rFonts w:eastAsiaTheme="minorHAnsi"/>
          <w:i/>
        </w:rPr>
        <w:t>sine die</w:t>
      </w:r>
      <w:r w:rsidRPr="004E42C1">
        <w:rPr>
          <w:rFonts w:eastAsiaTheme="minorHAnsi"/>
        </w:rPr>
        <w:t xml:space="preserve"> suite à la demande du ministère public d’obtenir un délai pour faire comparaître les témoins à charge une fois que ces derniers auraient trouvé une protection adéquate. Il n’a pas eu accès à un avocat pendant toute la procédure judiciaire. M. Bigirumugisha est détenu « provisoirement » depuis son arrestation en août 2015 sans qu’aucune démarche judicaire n’ait été entreprise depuis décembre 2016. Le Groupe de travail a considéré que sa détention était arbitraire en raison du défaut de fondement juridique de son arrestation et de sa détention ; parce que les violations du droit à un procès équitable, notamment le droit d’être jugé sans retard excessif, étaient d’une gravité telle qu’elles ont rendu leur privation de liberté arbitraire ; et également parce que son arrestation et sa détention étaient le résultat d’une discrimination ethnique et politique, du fait qu’il a été arrêté et détenu parce qu’il était un militaire qui avait été membre de l’ancienne armée régulière à majorité tutsie.</w:t>
      </w:r>
    </w:p>
    <w:p w14:paraId="6D7FD2D1" w14:textId="5BC6B2DA" w:rsidR="00E63335" w:rsidRPr="004E42C1" w:rsidRDefault="00E63335" w:rsidP="004E42C1">
      <w:pPr>
        <w:pStyle w:val="SingleTxtG"/>
      </w:pPr>
      <w:r w:rsidRPr="004E42C1">
        <w:t>42.</w:t>
      </w:r>
      <w:r w:rsidRPr="004E42C1">
        <w:tab/>
        <w:t>Le quatrième avis concerne la détention de Philibert Niyonkuru, un militaire ex-FABs qui était devenu policier, lui aussi détenu « à titre provisoire » depuis son arrestation le 18 août 2015</w:t>
      </w:r>
      <w:r w:rsidRPr="00705660">
        <w:rPr>
          <w:rStyle w:val="FootnoteReference"/>
        </w:rPr>
        <w:footnoteReference w:id="48"/>
      </w:r>
      <w:r w:rsidRPr="004E42C1">
        <w:t xml:space="preserve">. M. Niyonkuru a été arrêté et interrogé sans avocat par le Service national de renseignement dans le cadre de l’enquête sur l’assassinat du </w:t>
      </w:r>
      <w:r w:rsidRPr="004E42C1">
        <w:rPr>
          <w:rFonts w:eastAsiaTheme="minorHAnsi"/>
        </w:rPr>
        <w:t xml:space="preserve">Général Adolphe </w:t>
      </w:r>
      <w:r w:rsidR="00D12639" w:rsidRPr="004E42C1">
        <w:rPr>
          <w:rFonts w:eastAsiaTheme="minorHAnsi"/>
        </w:rPr>
        <w:t>Nshi</w:t>
      </w:r>
      <w:r w:rsidR="00D12639">
        <w:rPr>
          <w:rFonts w:eastAsiaTheme="minorHAnsi"/>
        </w:rPr>
        <w:t>mirimana</w:t>
      </w:r>
      <w:r w:rsidRPr="004E42C1">
        <w:rPr>
          <w:rFonts w:eastAsiaTheme="minorHAnsi"/>
        </w:rPr>
        <w:t>. L</w:t>
      </w:r>
      <w:r w:rsidRPr="004E42C1">
        <w:t>e 16 septembre 2015, il a été interrogé, toujours sans avocat, par un magistrat du parquet de la République et un mandat a été délivré en date du 30 septembre 2015. Après cette date, M. Niyonkuru a été transféré à la prison de Gitega. En novembre 2015, la chambre de conseil a confirmé sa détention provisoire. Le 6 mai 2016, il aurait été présenté au juge du fond, sans être assisté par un avocat et sans que le ministère public présente de témoins. D’autres audiences ont été organisées le 1</w:t>
      </w:r>
      <w:r w:rsidRPr="001A5779">
        <w:rPr>
          <w:vertAlign w:val="superscript"/>
        </w:rPr>
        <w:t xml:space="preserve">er </w:t>
      </w:r>
      <w:r w:rsidRPr="004E42C1">
        <w:t xml:space="preserve">août et ensuite le 11 octobre 2016, date à laquelle l’affaire a été mise en délibéré. Un mois plus tard, le tribunal aurait rouvert les débats pour permettre au ministère public de faire un complément d’enquête. Le 27 décembre 2016, une audience a été organisée et le ministère public a révélé que ses témoins n’avaient pas pu comparaître en raison d’un manque de protection, et l’affaire a été renvoyée </w:t>
      </w:r>
      <w:r w:rsidRPr="009C6993">
        <w:rPr>
          <w:i/>
        </w:rPr>
        <w:t>sine die</w:t>
      </w:r>
      <w:r w:rsidRPr="004E42C1">
        <w:t>. Depuis ce jour aucune audience n’a été programmée et M. Niyonkuru reste détenu à titre provisoire.</w:t>
      </w:r>
    </w:p>
    <w:p w14:paraId="11114E85" w14:textId="77777777" w:rsidR="00E63335" w:rsidRPr="004E42C1" w:rsidRDefault="00E63335" w:rsidP="004E42C1">
      <w:pPr>
        <w:pStyle w:val="SingleTxtG"/>
        <w:rPr>
          <w:rFonts w:eastAsiaTheme="minorHAnsi"/>
        </w:rPr>
      </w:pPr>
      <w:r w:rsidRPr="004E42C1">
        <w:rPr>
          <w:rFonts w:eastAsiaTheme="minorHAnsi"/>
        </w:rPr>
        <w:t>43.</w:t>
      </w:r>
      <w:r w:rsidRPr="004E42C1">
        <w:rPr>
          <w:rFonts w:eastAsiaTheme="minorHAnsi"/>
        </w:rPr>
        <w:tab/>
        <w:t>Le Groupe de travail a également considéré que cette détention était arbitraire en raison du défaut de fondement juridique de son arrestation et de sa détention ; parce que les violations du droit à un procès équitable, notamment le droit d’être jugé sans retard excessif, étaient d’une gravité telle qu’elles ont rendu sa privation de liberté arbitraire ; et également parce que son arrestation et sa détention étaient le résultat d’une discrimination ethnique et politique, du fait qu’il a été arrêté et détenu parce qu’il avait été militaire au sein de l’ancienne armée régulière à majorité tutsie.</w:t>
      </w:r>
    </w:p>
    <w:p w14:paraId="5FFDEDAD" w14:textId="77777777" w:rsidR="00E63335" w:rsidRPr="004E42C1" w:rsidRDefault="000F370C" w:rsidP="000F370C">
      <w:pPr>
        <w:pStyle w:val="H4G"/>
      </w:pPr>
      <w:r>
        <w:tab/>
      </w:r>
      <w:r>
        <w:tab/>
      </w:r>
      <w:r w:rsidR="00E63335" w:rsidRPr="004E42C1">
        <w:t>Le Groupe de travail sur les disparitions forcées ou involontaires</w:t>
      </w:r>
    </w:p>
    <w:p w14:paraId="2B93E9E1" w14:textId="77777777" w:rsidR="00E63335" w:rsidRPr="004E42C1" w:rsidRDefault="00E63335" w:rsidP="004E42C1">
      <w:pPr>
        <w:pStyle w:val="SingleTxtG"/>
      </w:pPr>
      <w:r w:rsidRPr="004E42C1">
        <w:t>44.</w:t>
      </w:r>
      <w:r w:rsidRPr="004E42C1">
        <w:tab/>
        <w:t>Au cours de sa 123</w:t>
      </w:r>
      <w:r w:rsidRPr="00D5736D">
        <w:rPr>
          <w:vertAlign w:val="superscript"/>
        </w:rPr>
        <w:t>ième</w:t>
      </w:r>
      <w:r w:rsidRPr="004E42C1">
        <w:t xml:space="preserve"> session tenue du 15 au 19 février 2021, le Groupe de travail sur les disparitions forcées ou involontaires a décidé de porter 12 cas de disparition forcée nouvellement signalés à l’attention du Burundi</w:t>
      </w:r>
      <w:r w:rsidRPr="00705660">
        <w:rPr>
          <w:rStyle w:val="FootnoteReference"/>
        </w:rPr>
        <w:footnoteReference w:id="49"/>
      </w:r>
      <w:r w:rsidRPr="004E42C1">
        <w:t>, qui concernent :</w:t>
      </w:r>
    </w:p>
    <w:p w14:paraId="22CC5F32" w14:textId="77777777" w:rsidR="00E63335" w:rsidRPr="004E42C1" w:rsidRDefault="00E63335" w:rsidP="00251C07">
      <w:pPr>
        <w:pStyle w:val="SingleTxtG"/>
        <w:ind w:firstLine="555"/>
      </w:pPr>
      <w:r w:rsidRPr="004E42C1">
        <w:t>(a)</w:t>
      </w:r>
      <w:r w:rsidRPr="004E42C1">
        <w:tab/>
        <w:t xml:space="preserve">Armel Banteyakandi, enlevé le 8 septembre 2018 devant chez lui et en présence de témoins par deux policiers ; </w:t>
      </w:r>
    </w:p>
    <w:p w14:paraId="156CB59E" w14:textId="46F260EC" w:rsidR="00E63335" w:rsidRPr="004E42C1" w:rsidRDefault="00E63335" w:rsidP="00251C07">
      <w:pPr>
        <w:pStyle w:val="SingleTxtG"/>
        <w:ind w:firstLine="555"/>
      </w:pPr>
      <w:r w:rsidRPr="004E42C1">
        <w:t>(b)</w:t>
      </w:r>
      <w:r w:rsidRPr="004E42C1">
        <w:tab/>
        <w:t>Jospin Keen Iradukunda, arrêté en février 2016 à Nyakabiga I, 10</w:t>
      </w:r>
      <w:r w:rsidRPr="00D5736D">
        <w:rPr>
          <w:vertAlign w:val="superscript"/>
        </w:rPr>
        <w:t>ème</w:t>
      </w:r>
      <w:r w:rsidRPr="004E42C1">
        <w:t xml:space="preserve"> avenue, commune Mukaza, Bujumbura Mairie, par des agents du SNR ;</w:t>
      </w:r>
    </w:p>
    <w:p w14:paraId="06802793" w14:textId="77777777" w:rsidR="00E63335" w:rsidRPr="004E42C1" w:rsidRDefault="00E63335" w:rsidP="00251C07">
      <w:pPr>
        <w:pStyle w:val="SingleTxtG"/>
        <w:ind w:firstLine="555"/>
      </w:pPr>
      <w:r w:rsidRPr="004E42C1">
        <w:t>(c)</w:t>
      </w:r>
      <w:r w:rsidRPr="004E42C1">
        <w:tab/>
        <w:t>Pierre Claver Habarugira, enlevé chez lui le 4 octobre 2015 par des individus en uniforme de police ;</w:t>
      </w:r>
    </w:p>
    <w:p w14:paraId="7D7AD637" w14:textId="77777777" w:rsidR="00E63335" w:rsidRPr="004E42C1" w:rsidRDefault="00E63335" w:rsidP="00251C07">
      <w:pPr>
        <w:pStyle w:val="SingleTxtG"/>
        <w:ind w:firstLine="555"/>
      </w:pPr>
      <w:r w:rsidRPr="004E42C1">
        <w:t>(d)</w:t>
      </w:r>
      <w:r w:rsidRPr="004E42C1">
        <w:tab/>
        <w:t>Elvis Irakoze, arrêté par des policiers le 11 décembre 2015 vers 23h00 dans un bar près de chez lui à Kinanira, à côté du dispensaire MUSALAC, Bujumbura Mairie ;</w:t>
      </w:r>
    </w:p>
    <w:p w14:paraId="6C78F570" w14:textId="77777777" w:rsidR="00E63335" w:rsidRPr="004E42C1" w:rsidRDefault="00E63335" w:rsidP="00251C07">
      <w:pPr>
        <w:pStyle w:val="SingleTxtG"/>
        <w:ind w:firstLine="555"/>
      </w:pPr>
      <w:r w:rsidRPr="004E42C1">
        <w:t>(e)</w:t>
      </w:r>
      <w:r w:rsidRPr="004E42C1">
        <w:tab/>
        <w:t>Ismaïl Bandushubwenge, qui a été vu pour la dernière fois le 10 décembre 2015 sur la 1</w:t>
      </w:r>
      <w:r w:rsidRPr="00D5736D">
        <w:rPr>
          <w:vertAlign w:val="superscript"/>
        </w:rPr>
        <w:t xml:space="preserve">ère </w:t>
      </w:r>
      <w:r w:rsidRPr="004E42C1">
        <w:t>avenue, zone Musaga, Bujumbura Mairie ;</w:t>
      </w:r>
    </w:p>
    <w:p w14:paraId="776CB475" w14:textId="4A47CF70" w:rsidR="00E63335" w:rsidRPr="004E42C1" w:rsidRDefault="00E63335" w:rsidP="00251C07">
      <w:pPr>
        <w:pStyle w:val="SingleTxtG"/>
        <w:ind w:firstLine="555"/>
      </w:pPr>
      <w:r w:rsidRPr="004E42C1">
        <w:t>(f)</w:t>
      </w:r>
      <w:r w:rsidRPr="004E42C1">
        <w:tab/>
        <w:t>Jean Paul Nintunze, qui a été vu pour la dernière fois le 5 juillet 2018, vers 15h00</w:t>
      </w:r>
      <w:r w:rsidR="00D5736D">
        <w:t>,</w:t>
      </w:r>
      <w:r w:rsidRPr="004E42C1">
        <w:t xml:space="preserve"> alors qu’il s’</w:t>
      </w:r>
      <w:r w:rsidR="00D5736D" w:rsidRPr="004E42C1">
        <w:t>entraîna</w:t>
      </w:r>
      <w:r w:rsidR="00D5736D">
        <w:t>it</w:t>
      </w:r>
      <w:r w:rsidRPr="004E42C1">
        <w:t xml:space="preserve"> près du camp Gihofi (521</w:t>
      </w:r>
      <w:r w:rsidRPr="00D5736D">
        <w:rPr>
          <w:vertAlign w:val="superscript"/>
        </w:rPr>
        <w:t>ième</w:t>
      </w:r>
      <w:r w:rsidRPr="004E42C1">
        <w:t xml:space="preserve"> bataillon) où il était militaire ;</w:t>
      </w:r>
    </w:p>
    <w:p w14:paraId="2053E690" w14:textId="77777777" w:rsidR="00E63335" w:rsidRPr="004E42C1" w:rsidRDefault="00E63335" w:rsidP="00251C07">
      <w:pPr>
        <w:pStyle w:val="SingleTxtG"/>
        <w:ind w:firstLine="555"/>
      </w:pPr>
      <w:r w:rsidRPr="004E42C1">
        <w:t>(g)</w:t>
      </w:r>
      <w:r w:rsidRPr="004E42C1">
        <w:tab/>
        <w:t>Nestor Ndayizeye, arrêté par des agents du SNR le 20 décembre 2015 dans la commune Bugabira, province Kirundo ;</w:t>
      </w:r>
    </w:p>
    <w:p w14:paraId="4DC0F81B" w14:textId="77777777" w:rsidR="00E63335" w:rsidRPr="004E42C1" w:rsidRDefault="00E63335" w:rsidP="00251C07">
      <w:pPr>
        <w:pStyle w:val="SingleTxtG"/>
        <w:ind w:firstLine="555"/>
      </w:pPr>
      <w:r w:rsidRPr="004E42C1">
        <w:t>(h)</w:t>
      </w:r>
      <w:r w:rsidRPr="004E42C1">
        <w:tab/>
        <w:t>Elie Bizimana, arrêté le 4 mars 2020 dans la commune Tenga-Gahwama, zone Rubrizi, commune Mutimbuzi, province Bujumbura (rural), par le chef du SNR de la commune Mutimbuzi ;</w:t>
      </w:r>
    </w:p>
    <w:p w14:paraId="7EFAFCD2" w14:textId="77777777" w:rsidR="00E63335" w:rsidRPr="004E42C1" w:rsidRDefault="00E63335" w:rsidP="00251C07">
      <w:pPr>
        <w:pStyle w:val="SingleTxtG"/>
        <w:ind w:firstLine="555"/>
      </w:pPr>
      <w:r w:rsidRPr="004E42C1">
        <w:t>(i)</w:t>
      </w:r>
      <w:r w:rsidRPr="004E42C1">
        <w:tab/>
        <w:t>Isaïe Batumunwa, enlevé par des agents du SNR le 22 juillet 2019 à 7h00 alors qu’il était en route vers le marché de Nyeshenza ;</w:t>
      </w:r>
    </w:p>
    <w:p w14:paraId="7DC1FC65" w14:textId="77777777" w:rsidR="00E63335" w:rsidRPr="004E42C1" w:rsidRDefault="00E63335" w:rsidP="00251C07">
      <w:pPr>
        <w:pStyle w:val="SingleTxtG"/>
        <w:ind w:firstLine="555"/>
      </w:pPr>
      <w:r w:rsidRPr="004E42C1">
        <w:t>(j)</w:t>
      </w:r>
      <w:r w:rsidRPr="004E42C1">
        <w:tab/>
        <w:t>Jean Claude Hakizimana, arrêté le 26 février 2020 vers 20h00 dans la commune Gihanga, par le chef des Imbonerakure de cette commune ;</w:t>
      </w:r>
    </w:p>
    <w:p w14:paraId="15FCB57E" w14:textId="77777777" w:rsidR="00E63335" w:rsidRPr="004E42C1" w:rsidRDefault="00E63335" w:rsidP="00251C07">
      <w:pPr>
        <w:pStyle w:val="SingleTxtG"/>
        <w:ind w:firstLine="555"/>
      </w:pPr>
      <w:r w:rsidRPr="004E42C1">
        <w:t>(k)</w:t>
      </w:r>
      <w:r w:rsidRPr="004E42C1">
        <w:tab/>
        <w:t>Egide Mpawenimana, enlevé le 9 juillet 2019 près du pont qui traverse la rivière Rusizi dans la commune Mutimbuzi, par le chef du SNR de cette commune ;</w:t>
      </w:r>
    </w:p>
    <w:p w14:paraId="1ACB4D8F" w14:textId="77777777" w:rsidR="00E63335" w:rsidRPr="004E42C1" w:rsidRDefault="00E63335" w:rsidP="00251C07">
      <w:pPr>
        <w:pStyle w:val="SingleTxtG"/>
        <w:ind w:firstLine="555"/>
      </w:pPr>
      <w:r w:rsidRPr="004E42C1">
        <w:t>(l)</w:t>
      </w:r>
      <w:r w:rsidRPr="004E42C1">
        <w:tab/>
        <w:t>Jérémie Ndayitwayeko, arrêté le 13 mai 2019 vers midi dans la commune Muyange par le chef du SNR de la province de Bujumbura (rural), qui était accompagné par le chef du SNR de la commune Mutimbuzi.</w:t>
      </w:r>
    </w:p>
    <w:p w14:paraId="046B35ED" w14:textId="38A0EF6C" w:rsidR="00E63335" w:rsidRPr="004E42C1" w:rsidRDefault="00E63335" w:rsidP="004E42C1">
      <w:pPr>
        <w:pStyle w:val="SingleTxtG"/>
      </w:pPr>
      <w:r w:rsidRPr="004E42C1">
        <w:t>45.</w:t>
      </w:r>
      <w:r w:rsidRPr="004E42C1">
        <w:tab/>
        <w:t>Ce sont donc 168 cas de disparitions forcées et involontaires qui ont été transmis officiellement aux autorités burundaises depuis 2016 par le Groupe de travail</w:t>
      </w:r>
      <w:r w:rsidRPr="00EA3D8A">
        <w:rPr>
          <w:vertAlign w:val="superscript"/>
        </w:rPr>
        <w:footnoteReference w:id="50"/>
      </w:r>
      <w:r w:rsidRPr="004E42C1">
        <w:t>, pour un total de 250 cas de disparitions forcées concernant le Burundi qui demeurent ouverts en l’absence d’informations transmises notamment par le Gouvernement afin de les élucider</w:t>
      </w:r>
      <w:r w:rsidRPr="00EA3D8A">
        <w:rPr>
          <w:vertAlign w:val="superscript"/>
        </w:rPr>
        <w:footnoteReference w:id="51"/>
      </w:r>
      <w:r w:rsidRPr="004E42C1">
        <w:t xml:space="preserve">. </w:t>
      </w:r>
    </w:p>
    <w:p w14:paraId="3727E225" w14:textId="4F0F8FE5" w:rsidR="00E63335" w:rsidRPr="004E42C1" w:rsidRDefault="00E63335" w:rsidP="004E42C1">
      <w:pPr>
        <w:pStyle w:val="SingleTxtG"/>
      </w:pPr>
      <w:r w:rsidRPr="004E42C1">
        <w:t>46.</w:t>
      </w:r>
      <w:r w:rsidRPr="004E42C1">
        <w:tab/>
        <w:t>La Commission d’enquête est donc particulièrement surprise par les propos du Président Ndayishimiye au sujet des disparitions forcées lors de son entretien avec RFI en date du 14 juillet 2021. Il a en effet déclaré qu’à sa connaissance « il n’y a pas de disparitions au Burundi. Sinon, vous me diriez : "Telle personne est disparue" »</w:t>
      </w:r>
      <w:r w:rsidRPr="00EA3D8A">
        <w:rPr>
          <w:vertAlign w:val="superscript"/>
        </w:rPr>
        <w:footnoteReference w:id="52"/>
      </w:r>
      <w:r w:rsidRPr="004E42C1">
        <w:t>, alors que le Gouvernement du Burundi a été formellement notifié d’au moins 250 cas de personnes disparues et informé de leurs noms et des détails concernant la date et les circonstances de leur disparition afin qu’il ouvre des enquêtes sur ces cas.</w:t>
      </w:r>
    </w:p>
    <w:p w14:paraId="099B6295" w14:textId="77777777" w:rsidR="00E63335" w:rsidRPr="004E42C1" w:rsidRDefault="00705660" w:rsidP="00705660">
      <w:pPr>
        <w:pStyle w:val="H4G"/>
      </w:pPr>
      <w:r>
        <w:tab/>
      </w:r>
      <w:r>
        <w:tab/>
      </w:r>
      <w:r w:rsidR="00E63335" w:rsidRPr="004E42C1">
        <w:t>Conseil de sécurité des Nations Unies</w:t>
      </w:r>
    </w:p>
    <w:p w14:paraId="2921A594" w14:textId="46DF5A3C" w:rsidR="00E63335" w:rsidRPr="004E42C1" w:rsidRDefault="00E63335" w:rsidP="004E42C1">
      <w:pPr>
        <w:pStyle w:val="SingleTxtG"/>
      </w:pPr>
      <w:r w:rsidRPr="004E42C1">
        <w:t>47.</w:t>
      </w:r>
      <w:r w:rsidRPr="004E42C1">
        <w:tab/>
        <w:t>Le 4 décembre 2020, le Conseil de sécurité a décidé de retirer le Burundi de son programme de travail et de discontinuer la demande faite dans sa résolution 2303 (2016) d’examiner régulièrement la situation au Burundi</w:t>
      </w:r>
      <w:r w:rsidRPr="00EA3D8A">
        <w:rPr>
          <w:vertAlign w:val="superscript"/>
        </w:rPr>
        <w:footnoteReference w:id="53"/>
      </w:r>
      <w:r w:rsidR="00EA3D8A">
        <w:t>.</w:t>
      </w:r>
      <w:r w:rsidRPr="00EA3D8A">
        <w:rPr>
          <w:vertAlign w:val="superscript"/>
        </w:rPr>
        <w:t>.</w:t>
      </w:r>
      <w:r w:rsidRPr="004E42C1">
        <w:t xml:space="preserve"> Il a néanmoins demandé à ce que le Burundi soit couvert dans le cadre des rapports réguliers du Secrétaire général sur la région des Grands Lacs et l’Afrique centrale. Depuis 2019, les séances du Conseil afin d’examiner la situation au Burundi n’avaient pu être organisées que de manière irrégulière ou ad hoc, en raison notamment de l’opposition du Burundi</w:t>
      </w:r>
      <w:r w:rsidRPr="00EA3D8A">
        <w:rPr>
          <w:vertAlign w:val="superscript"/>
        </w:rPr>
        <w:footnoteReference w:id="54"/>
      </w:r>
      <w:r w:rsidR="00205087">
        <w:t>.</w:t>
      </w:r>
    </w:p>
    <w:p w14:paraId="0FA41661" w14:textId="77777777" w:rsidR="00E63335" w:rsidRPr="004E42C1" w:rsidRDefault="00E63335" w:rsidP="004E42C1">
      <w:pPr>
        <w:pStyle w:val="SingleTxtG"/>
      </w:pPr>
      <w:r w:rsidRPr="004E42C1">
        <w:t>48.</w:t>
      </w:r>
      <w:r w:rsidRPr="004E42C1">
        <w:tab/>
        <w:t>Le Conseil de sécurité a officiellement basé sa décision sur « l’amélioration des conditions de sécurité au Burundi [...] à la suite d’élections qui se sont déroulées de façon globalement pacifique [...] Il se félicite des mesures prises pour lutter contre l’impunité ainsi que des progrès réalisés concernant certains aspects de l’égalité des genres et de l’autonomisation des femmes et encourage le Gouvernement burundais à redoubler d’efforts dans ces domaines ».</w:t>
      </w:r>
    </w:p>
    <w:p w14:paraId="24FB31CD" w14:textId="77777777" w:rsidR="00E63335" w:rsidRPr="004E42C1" w:rsidRDefault="00E63335" w:rsidP="004E42C1">
      <w:pPr>
        <w:pStyle w:val="SingleTxtG"/>
      </w:pPr>
      <w:r w:rsidRPr="004E42C1">
        <w:t>49.</w:t>
      </w:r>
      <w:r w:rsidRPr="004E42C1">
        <w:tab/>
        <w:t>Cependant, le Conseil « constate les progrès réalisés jusqu’à présent et souligne qu’il reste encore beaucoup à accomplir pour faire avancer la réconciliation nationale, la promotion de l’état de droit et d’un système judiciaire indépendant et efficace, la préservation de l’espace démocratique et le respect des libertés fondamentales, telles que la liberté d’expression, y compris pour les membres de la presse et les acteurs de la société civile, la consolidation de la paix, la cohésion sociale et le développement ». Il note également « que les violations des droits humains et les atteintes à ces droits continuent de soulever des préoccupations » mais il se co</w:t>
      </w:r>
      <w:r w:rsidR="00934B40">
        <w:t>ntente à cet égard de « demander</w:t>
      </w:r>
      <w:r w:rsidRPr="004E42C1">
        <w:t xml:space="preserve"> au Gouvernement burundais de faire en sorte qu’il soit mis fin à ces violations et atteintes et de tenir les auteurs responsables de leurs actes ». Finalement, le Conseil « exhorte le Gouvernement burundais à coopérer avec l’ONU pour surmonter ces problèmes (…) et prend note du rapport du Secrétaire général sur la mission d’évaluation stratégique concernant les activités des Nations Unies au Burundi compte tenu de ses</w:t>
      </w:r>
      <w:r w:rsidR="00934B40">
        <w:t xml:space="preserve"> recommandations pertinentes ».</w:t>
      </w:r>
    </w:p>
    <w:p w14:paraId="53B23F8B" w14:textId="7A516CC2" w:rsidR="00E63335" w:rsidRPr="004E42C1" w:rsidRDefault="00E63335" w:rsidP="004E42C1">
      <w:pPr>
        <w:pStyle w:val="SingleTxtG"/>
      </w:pPr>
      <w:r w:rsidRPr="004E42C1">
        <w:t>50.</w:t>
      </w:r>
      <w:r w:rsidRPr="004E42C1">
        <w:tab/>
        <w:t>En effet, le 2 novembre 2020, le Secrétaire général des Nations Unies avait envoyé au Conseil de sécurité son rapport sur la situation au Burundi</w:t>
      </w:r>
      <w:r w:rsidRPr="00934B40">
        <w:rPr>
          <w:rStyle w:val="FootnoteReference"/>
        </w:rPr>
        <w:footnoteReference w:id="55"/>
      </w:r>
      <w:r>
        <w:t>,</w:t>
      </w:r>
      <w:r w:rsidRPr="004E42C1">
        <w:t xml:space="preserve"> qui avait été préparé à la demande du Conseil et rédigé suite à la mission d’évaluation stratégique au Burundi qui s’était déroulée du 14 au 19 septembre 2020 et qui était dirigée conjointement par l’Envoyé spécial du Secrétaire-général pour la région des Grands Lacs, Huang Xia, et la Sous-Secrétaire générale pour l’Afrique, Bintou Keita.</w:t>
      </w:r>
    </w:p>
    <w:p w14:paraId="4550110C" w14:textId="77777777" w:rsidR="00E63335" w:rsidRPr="004E42C1" w:rsidRDefault="00E63335" w:rsidP="004E42C1">
      <w:pPr>
        <w:pStyle w:val="SingleTxtG"/>
      </w:pPr>
      <w:r w:rsidRPr="004E42C1">
        <w:t>51.</w:t>
      </w:r>
      <w:r w:rsidRPr="004E42C1">
        <w:tab/>
        <w:t xml:space="preserve">Dans sa lettre qui transmettait son rapport au Président du Conseil, le Secrétaire général avait souligné qu’il existait « une volonté forte et réelle d’opérer un changement positif » au Burundi, et le fait que la « communauté internationale a la possibilité d’aider le Gouvernement et le peuple burundais à tirer parti de cette dynamique, en les assistant activement dans la transformation souhaitée par le pays, tout en facilitant la réconciliation, la mise en place d’un système politique inclusif et la promotion des droits humains et des libertés fondamentales pour tous les Burundais et Burundaises. La disposition du Président Ndayishimiye et du Gouvernement burundais à collaborer avec les acteurs régionaux et internationaux, dans un esprit de respect mutuel </w:t>
      </w:r>
      <w:r w:rsidR="00205087">
        <w:t>et de partenariat, est louable</w:t>
      </w:r>
      <w:r w:rsidRPr="004E42C1">
        <w:t> ».</w:t>
      </w:r>
    </w:p>
    <w:p w14:paraId="2BAAC244" w14:textId="77777777" w:rsidR="00E63335" w:rsidRPr="004E42C1" w:rsidRDefault="00E63335" w:rsidP="004E42C1">
      <w:pPr>
        <w:pStyle w:val="SingleTxtG"/>
      </w:pPr>
      <w:r w:rsidRPr="004E42C1">
        <w:t>52.</w:t>
      </w:r>
      <w:r w:rsidRPr="004E42C1">
        <w:tab/>
        <w:t>Dans le rapport du Secrétaire général sur la mission d’évaluation stratégique, il était mentionné que « le processus électoral de 2020 a été considéré comme globalement pacifique, nonobstant quelques incidents de violence ouverte entre le parti au pouvoir et l’opposition ainsi que des allégations d’irrégularités. Les parties prenantes burundaises consultées durant la mission d’évaluation stratégique ont fait savoir qu’elles acceptaient le résultat des élections et affirmé leur volonté d’aller de l’avant et de donner au Gouvernement une chance d’honorer ses promesses électorales »</w:t>
      </w:r>
      <w:r w:rsidRPr="00934B40">
        <w:rPr>
          <w:rStyle w:val="FootnoteReference"/>
        </w:rPr>
        <w:footnoteReference w:id="56"/>
      </w:r>
      <w:r w:rsidRPr="004E42C1">
        <w:t>. Le parti CNL avait toutefois réfuté avoir reconnu et accepté le résultat des élections de 2020 comme il a été indiqué dans le rapport</w:t>
      </w:r>
      <w:r w:rsidRPr="00934B40">
        <w:rPr>
          <w:rStyle w:val="FootnoteReference"/>
        </w:rPr>
        <w:footnoteReference w:id="57"/>
      </w:r>
      <w:r w:rsidRPr="004E42C1">
        <w:t>.</w:t>
      </w:r>
    </w:p>
    <w:p w14:paraId="332D65C6" w14:textId="45BFBB28" w:rsidR="00E63335" w:rsidRPr="004E42C1" w:rsidRDefault="00E63335" w:rsidP="004E42C1">
      <w:pPr>
        <w:pStyle w:val="SingleTxtG"/>
      </w:pPr>
      <w:r w:rsidRPr="004E42C1">
        <w:t>53.</w:t>
      </w:r>
      <w:r w:rsidRPr="004E42C1">
        <w:tab/>
        <w:t xml:space="preserve">Le Secrétaire </w:t>
      </w:r>
      <w:r w:rsidR="00BF2C07">
        <w:t>g</w:t>
      </w:r>
      <w:r w:rsidRPr="004E42C1">
        <w:t>énéral avait néanmoins souligné que « la situation demeure fragile. Certaines parties prenantes ont fait part de leur préoccupation face au contrôle écrasant exercé par le parti au pouvoir »</w:t>
      </w:r>
      <w:r w:rsidRPr="00934B40">
        <w:rPr>
          <w:rStyle w:val="FootnoteReference"/>
        </w:rPr>
        <w:footnoteReference w:id="58"/>
      </w:r>
      <w:r w:rsidRPr="004E42C1">
        <w:t>. D’autres préoccupations avaient également été relevées, telles que la militarisation du régime avec la nomination de nombreux militaires à des postes clefs, ainsi que le refus du Gouvernement d’engager le dialogue sur le possible retour de Burundais en exil considérés par le pouvoir comme des criminels. De même, l’absence de solution à long terme des problèmes de paix et de sécurité, y compris au niveau régional, et « la méfiance persistante et généralisée qui règne parmi les citoyennes et citoyens et les communautés, ainsi qu’entre l’opposition et le Gouvernement » avaient été relevées</w:t>
      </w:r>
      <w:r w:rsidRPr="00934B40">
        <w:rPr>
          <w:rStyle w:val="FootnoteReference"/>
        </w:rPr>
        <w:footnoteReference w:id="59"/>
      </w:r>
      <w:r w:rsidRPr="004E42C1">
        <w:t>.</w:t>
      </w:r>
    </w:p>
    <w:p w14:paraId="4CD54940" w14:textId="677BCDAA" w:rsidR="00E63335" w:rsidRPr="004E42C1" w:rsidRDefault="00E63335" w:rsidP="004E42C1">
      <w:pPr>
        <w:pStyle w:val="SingleTxtG"/>
      </w:pPr>
      <w:r w:rsidRPr="004E42C1">
        <w:t>54.</w:t>
      </w:r>
      <w:r w:rsidRPr="004E42C1">
        <w:tab/>
        <w:t xml:space="preserve">Le Secrétaire </w:t>
      </w:r>
      <w:r w:rsidR="00BF2C07">
        <w:t>g</w:t>
      </w:r>
      <w:r w:rsidRPr="004E42C1">
        <w:t>énéral avait également noté que « le Gouvernement a déclaré que les membres des Imbonerakure n’étaient pas armés, ne constituaient pas une menace pour la paix et la sécurité et étaient pleinement déterminés à soutenir les efforts de développement national ». Il avait également relevé que le Gouvernement burundais minimisait l’importance des incidents impliquant des groupes armés et notamment les affrontements entre ceux-ci et les forces de sécurité ou les attaques contre des civils, les qualifiant de simples activités criminelles par des groupes de bandits.</w:t>
      </w:r>
    </w:p>
    <w:p w14:paraId="2D67F51E" w14:textId="77777777" w:rsidR="00E63335" w:rsidRPr="004E42C1" w:rsidRDefault="00E63335" w:rsidP="004E42C1">
      <w:pPr>
        <w:pStyle w:val="SingleTxtG"/>
      </w:pPr>
      <w:r w:rsidRPr="004E42C1">
        <w:t>55.</w:t>
      </w:r>
      <w:r w:rsidRPr="004E42C1">
        <w:tab/>
        <w:t>Dans le rapport du Secrétaire général sur la mise en œuvre de l’Accord-cadre pour la paix, la sécurité et la coopération pour la République démocratique du Congo et la région</w:t>
      </w:r>
      <w:r w:rsidRPr="007C28A9">
        <w:rPr>
          <w:rStyle w:val="FootnoteReference"/>
        </w:rPr>
        <w:footnoteReference w:id="60"/>
      </w:r>
      <w:r w:rsidRPr="004E42C1">
        <w:t>, publié le 30 mars 2021, il est simplement fait état au sujet du Burundi de certains incidents de sécurité transfrontaliers ayant eu lieu depuis septembre 2020 ainsi que de la libération des journalistes d’Iwacu le 24 décemb</w:t>
      </w:r>
      <w:r w:rsidR="00205087">
        <w:t>re 2020.</w:t>
      </w:r>
    </w:p>
    <w:p w14:paraId="31B95F5B" w14:textId="77777777" w:rsidR="00E63335" w:rsidRPr="004E42C1" w:rsidRDefault="007C28A9" w:rsidP="007C28A9">
      <w:pPr>
        <w:pStyle w:val="H4G"/>
      </w:pPr>
      <w:r>
        <w:tab/>
      </w:r>
      <w:r>
        <w:tab/>
      </w:r>
      <w:r w:rsidR="00E63335" w:rsidRPr="004E42C1">
        <w:t>Commission de consolidation de la paix</w:t>
      </w:r>
    </w:p>
    <w:p w14:paraId="2F8BEF6A" w14:textId="240B1615" w:rsidR="00E63335" w:rsidRPr="004E42C1" w:rsidRDefault="00E63335" w:rsidP="004E42C1">
      <w:pPr>
        <w:pStyle w:val="SingleTxtG"/>
      </w:pPr>
      <w:r w:rsidRPr="004E42C1">
        <w:t>56.</w:t>
      </w:r>
      <w:r w:rsidRPr="004E42C1">
        <w:tab/>
        <w:t>Le 17 mars 2021, la Commission de consolidation de la paix a tenu une réunion virtuelle sur le Burundi au cours de laquelle il a été expliqué que le Burundi avait choisi de poursuivre son engagement avec cette Commission afin de mobiliser la communauté internationale à soutenir les priorités du Gouvernement du Burundi. Il a été rappelé que le Fonds pour la consolidation de la paix a versé 86 millions de dollars américains pour financer des projets de renforcement de l’État de droit, de la justice et du secteur de la sécurité, et des droits de l’homme mais aussi pour la résolution des conflits fonciers, soutenir le retour des rapatriés et leurs communautés d’accueil, ainsi que les activités visant à favoriser le dialogue et la cohésion sociale au niveau local. Il a été annoncé également qu’une évaluation indépendante des actions et projets soutenus par le Fonds entre 2014 et 2020 serait conduite afin de mesurer leur impact et guider le</w:t>
      </w:r>
      <w:r w:rsidR="00506000">
        <w:t>s</w:t>
      </w:r>
      <w:r w:rsidRPr="004E42C1">
        <w:t xml:space="preserve"> prochains investissements, notamment ceux en faveur des femmes et des jeunes</w:t>
      </w:r>
      <w:r w:rsidRPr="007C28A9">
        <w:rPr>
          <w:rStyle w:val="FootnoteReference"/>
        </w:rPr>
        <w:footnoteReference w:id="61"/>
      </w:r>
      <w:r w:rsidR="007C28A9">
        <w:t>.</w:t>
      </w:r>
    </w:p>
    <w:p w14:paraId="2CC44684" w14:textId="77777777" w:rsidR="00E63335" w:rsidRPr="009C6993" w:rsidRDefault="00E63335" w:rsidP="004E42C1">
      <w:pPr>
        <w:pStyle w:val="SingleTxtG"/>
        <w:rPr>
          <w:i/>
        </w:rPr>
      </w:pPr>
      <w:r w:rsidRPr="009C6993">
        <w:rPr>
          <w:i/>
        </w:rPr>
        <w:t>Bureau de l’Envoyé spécial du Secrétaire général pour le Burundi</w:t>
      </w:r>
    </w:p>
    <w:p w14:paraId="00D1FE7D" w14:textId="77777777" w:rsidR="00E63335" w:rsidRPr="004E42C1" w:rsidRDefault="00E63335" w:rsidP="004E42C1">
      <w:pPr>
        <w:pStyle w:val="SingleTxtG"/>
      </w:pPr>
      <w:r w:rsidRPr="004E42C1">
        <w:t>57.</w:t>
      </w:r>
      <w:r w:rsidRPr="004E42C1">
        <w:tab/>
        <w:t>Dans son rapport sur la situation au Burundi</w:t>
      </w:r>
      <w:r w:rsidRPr="007C28A9">
        <w:rPr>
          <w:rStyle w:val="FootnoteReference"/>
        </w:rPr>
        <w:footnoteReference w:id="62"/>
      </w:r>
      <w:r w:rsidRPr="004E42C1">
        <w:t>, le Secrétaire général des Nations Unies avait indiqué que le Président et le ministre des Affaires étrangères lui avaient assuré que « le Gouvernement était prêt à s’engager, dès que possible, dans un dialogue constructif sur l’avenir du Bureau de l’Envoyé(e) spécial(e) pour le Burundi »</w:t>
      </w:r>
      <w:r w:rsidRPr="007C28A9">
        <w:rPr>
          <w:rStyle w:val="FootnoteReference"/>
        </w:rPr>
        <w:footnoteReference w:id="63"/>
      </w:r>
      <w:r w:rsidRPr="004E42C1">
        <w:t>. Le Secrétaire général avait d’ailleurs recommandé que ce Bureau reste ouvert jusqu’au 31 décembre 2021 afin de préparer la transition vers une nouvelle présence qui « pourrait également encourager et soutenir, le cas échéant, un véritable dialogue sur les questions clés entre les autorités et les représentantes et représentants des groupes d’opposition, l’opposition interne et les membres de la diaspora, y compris celles et ceux qui sont en exil, ainsi que les dirigeantes et dirigeants de la société civile, en mettant l’accent sur la recherche d’un consensus pour la pérennisation de la paix, par la promotion de la réconciliation, de la cohésion nationale et de la construction et de la consolidation de la paix ». Cependant, le 17 novembre 2020, le Gouvernement du Burundi a notifié le Secrétaire général que le Bureau de l’Envoyé spécial serait formellement fermé et liquidé au 31 décembre 2020, en raison notamment de la paix et de la sécurité qui régnaient dans le pays</w:t>
      </w:r>
      <w:r w:rsidRPr="007C28A9">
        <w:rPr>
          <w:rStyle w:val="FootnoteReference"/>
        </w:rPr>
        <w:footnoteReference w:id="64"/>
      </w:r>
      <w:r w:rsidR="00205087">
        <w:t>.</w:t>
      </w:r>
    </w:p>
    <w:p w14:paraId="3DA4C660" w14:textId="366E5025" w:rsidR="00E63335" w:rsidRPr="004E42C1" w:rsidRDefault="00E63335" w:rsidP="004E42C1">
      <w:pPr>
        <w:pStyle w:val="SingleTxtG"/>
      </w:pPr>
      <w:r w:rsidRPr="004E42C1">
        <w:t>58.</w:t>
      </w:r>
      <w:r w:rsidRPr="004E42C1">
        <w:tab/>
        <w:t>Le 24 novembre 2020, l’Envoyé spécial du Secrétaire général pour les Grands Lacs a fait part au Président Ndayishimiye de la requête du Secrétaire général d’accorder à l’ONU un délai de 9 à 12 mois pour effectuer les formalités administratives, logistiques et légales en rapport avec la fermeture et la liquidation du Bureau, tel</w:t>
      </w:r>
      <w:r w:rsidR="00635A8F">
        <w:t>le</w:t>
      </w:r>
      <w:r w:rsidRPr="004E42C1">
        <w:t>s que la résiliation des contrats du personnel local et international, le paiement des fournisseurs et l’épuration d’autres obligations financières. Le Président du Burundi « a fait savoir qu’il marquait son accord, du moment que les deux parties comprennent de la même manière que ce Bureau doit être fermé et liquidé. Il a estimé toutefois que ce sont des questions techniques qui ne devraient pas poser de problème, les techniciens burundais étant appelés à travailler avec ceux de l’ONU pour déterminer les délais nécessaires pour ces formalités ainsi que le chronogramme »</w:t>
      </w:r>
      <w:r w:rsidRPr="007C28A9">
        <w:rPr>
          <w:rStyle w:val="FootnoteReference"/>
        </w:rPr>
        <w:footnoteReference w:id="65"/>
      </w:r>
      <w:r w:rsidR="00205087">
        <w:t>.</w:t>
      </w:r>
    </w:p>
    <w:p w14:paraId="474E6B76" w14:textId="3DB70181" w:rsidR="00E63335" w:rsidRPr="004E42C1" w:rsidRDefault="00E63335" w:rsidP="004E42C1">
      <w:pPr>
        <w:pStyle w:val="SingleTxtG"/>
      </w:pPr>
      <w:r w:rsidRPr="004E42C1">
        <w:t>59.</w:t>
      </w:r>
      <w:r w:rsidRPr="004E42C1">
        <w:tab/>
        <w:t>Ce Bureau a donc été officiellement fermé le 31 mai 2021</w:t>
      </w:r>
      <w:r w:rsidRPr="00F824A3">
        <w:rPr>
          <w:rStyle w:val="FootnoteReference"/>
        </w:rPr>
        <w:footnoteReference w:id="66"/>
      </w:r>
      <w:r w:rsidRPr="004E42C1">
        <w:t>. Au cours de la cérémonie marquant sa fermeture, le secrétaire permanent du ministère des Affaires étrangères du Burundi a déclaré que « la présence des Nations Unies à caractère exclusivement politique n’éta</w:t>
      </w:r>
      <w:r w:rsidR="0068434B">
        <w:t>[i]</w:t>
      </w:r>
      <w:r w:rsidRPr="004E42C1">
        <w:t>t pas pertinente. Seule la présence des Nations Unies à caractère socio-économique à travers l’équipe pays pour accompagner le Burundi dans ses efforts de développement socio-économique est nécessaire »</w:t>
      </w:r>
      <w:r w:rsidRPr="00F824A3">
        <w:rPr>
          <w:rStyle w:val="FootnoteReference"/>
        </w:rPr>
        <w:footnoteReference w:id="67"/>
      </w:r>
      <w:r w:rsidR="00205087">
        <w:t>.</w:t>
      </w:r>
    </w:p>
    <w:p w14:paraId="79653DEB" w14:textId="3DFF4313" w:rsidR="00E63335" w:rsidRPr="004E42C1" w:rsidRDefault="00E63335" w:rsidP="004E42C1">
      <w:pPr>
        <w:pStyle w:val="SingleTxtG"/>
      </w:pPr>
      <w:r w:rsidRPr="004E42C1">
        <w:t>60.</w:t>
      </w:r>
      <w:r w:rsidRPr="004E42C1">
        <w:tab/>
        <w:t>Pour rappel, le Bureau de l’Envoyé spécial du Secrétaire général pour le Burundi avait été créé en 2015 pour apporter un appui au pays en matière de consolidation de la paix, notamment à travers ses bons offices, en appui au Gouvernement et au peuple burundais, et en coopération avec la Communauté d’Afrique de l’Est (CAE), l’Union africaine (UA) et d’autres partenaires</w:t>
      </w:r>
      <w:r w:rsidRPr="00F824A3">
        <w:rPr>
          <w:rStyle w:val="FootnoteReference"/>
        </w:rPr>
        <w:footnoteReference w:id="68"/>
      </w:r>
      <w:r w:rsidR="00506000">
        <w:t>.</w:t>
      </w:r>
      <w:r w:rsidRPr="004E42C1">
        <w:t xml:space="preserve"> Le dernier Envoyé spécial, M. Kafando, avait démissionné le 30 octobre 2019</w:t>
      </w:r>
      <w:r w:rsidRPr="00F824A3">
        <w:rPr>
          <w:rStyle w:val="FootnoteReference"/>
        </w:rPr>
        <w:footnoteReference w:id="69"/>
      </w:r>
      <w:r w:rsidRPr="004E42C1">
        <w:t xml:space="preserve"> et il </w:t>
      </w:r>
      <w:r w:rsidR="004E42C1">
        <w:t>n’avait pas été remplacé.</w:t>
      </w:r>
    </w:p>
    <w:p w14:paraId="41B1C0ED" w14:textId="77777777" w:rsidR="00E63335" w:rsidRPr="004E42C1" w:rsidRDefault="00F824A3" w:rsidP="00C34191">
      <w:pPr>
        <w:pStyle w:val="H23G"/>
      </w:pPr>
      <w:r>
        <w:tab/>
      </w:r>
      <w:r w:rsidR="00E63335" w:rsidRPr="004E42C1">
        <w:t>2</w:t>
      </w:r>
      <w:r>
        <w:t>.</w:t>
      </w:r>
      <w:r>
        <w:tab/>
      </w:r>
      <w:r w:rsidR="00E63335" w:rsidRPr="004E42C1">
        <w:t>Au sein des instances régionales</w:t>
      </w:r>
    </w:p>
    <w:p w14:paraId="5B432979" w14:textId="77777777" w:rsidR="00E63335" w:rsidRPr="00C34191" w:rsidRDefault="00F824A3" w:rsidP="00C34191">
      <w:pPr>
        <w:pStyle w:val="H4G"/>
        <w:rPr>
          <w:b/>
          <w:i w:val="0"/>
        </w:rPr>
      </w:pPr>
      <w:r>
        <w:tab/>
      </w:r>
      <w:r>
        <w:tab/>
      </w:r>
      <w:r w:rsidR="00E63335" w:rsidRPr="00C34191">
        <w:rPr>
          <w:b/>
          <w:i w:val="0"/>
        </w:rPr>
        <w:t>Union africaine</w:t>
      </w:r>
    </w:p>
    <w:p w14:paraId="3A9AFDF2" w14:textId="77777777" w:rsidR="00E63335" w:rsidRPr="004E42C1" w:rsidRDefault="00E63335" w:rsidP="004E42C1">
      <w:pPr>
        <w:pStyle w:val="SingleTxtG"/>
      </w:pPr>
      <w:r w:rsidRPr="004E42C1">
        <w:t>61.</w:t>
      </w:r>
      <w:r w:rsidRPr="004E42C1">
        <w:tab/>
        <w:t>Le 27 avril 2021, le Conseil de paix et de sécurité de l’Union africaine s’est félicité « des progrès significatifs enregistrés dans la situation politique et sécuritaire au Burundi depuis le début de la crise en 2015 et, […] également de l’amélioration des relations entre le Burundi et ses voisins, ainsi qu'avec l’Union européenne et d'autres partenaires bilatéraux et multilatéraux ». Il a donc décidé « à la lumière des progrès significatifs accomplis et des développements positifs constatés au Burundi, de mettre fin au mandat de la Mission d’Observateurs des Droits de l’homme et d’Experts militaires de l’UA au Burundi, le 31 mai 2021 » et de retirer le Burundi de son ordre du jour.</w:t>
      </w:r>
      <w:r w:rsidRPr="00F824A3">
        <w:rPr>
          <w:rStyle w:val="FootnoteReference"/>
        </w:rPr>
        <w:footnoteReference w:id="70"/>
      </w:r>
    </w:p>
    <w:p w14:paraId="76989083" w14:textId="77777777" w:rsidR="00E63335" w:rsidRPr="00C34191" w:rsidRDefault="008D14DA" w:rsidP="00C34191">
      <w:pPr>
        <w:pStyle w:val="H4G"/>
        <w:rPr>
          <w:b/>
          <w:i w:val="0"/>
        </w:rPr>
      </w:pPr>
      <w:r>
        <w:tab/>
      </w:r>
      <w:r>
        <w:tab/>
      </w:r>
      <w:r w:rsidR="00E63335" w:rsidRPr="00C34191">
        <w:rPr>
          <w:b/>
          <w:i w:val="0"/>
        </w:rPr>
        <w:t>Commission africaine des droits de l’homme et des peuples</w:t>
      </w:r>
    </w:p>
    <w:p w14:paraId="55ECDE76" w14:textId="4FC45689" w:rsidR="00E63335" w:rsidRPr="004E42C1" w:rsidRDefault="00E63335" w:rsidP="004E42C1">
      <w:pPr>
        <w:pStyle w:val="SingleTxtG"/>
      </w:pPr>
      <w:r w:rsidRPr="004E42C1">
        <w:t>62.</w:t>
      </w:r>
      <w:r w:rsidRPr="004E42C1">
        <w:tab/>
        <w:t>Le 15 décembre 2020, la Rapporteuse spéciale de la Commission africaine sur les réfugiés, les demandeurs d’asile, les déplacés internes et les migrants en Afrique a publié un communiqué dans lequel elle fait part de sa préoccupation quant à « la situation de réfugiés burundais en Tanzanie, dont le respect des droits fondamentaux tels que l’accès au droit d’asile et le principe de non refoulement seraient compromis ». Elle a notamment mentionné les rapports « faisant état de manœuvres d’intimidation à l’endroit des réfugiés burundais afin de les pousser à quitter le pays lui sont parvenus […] des menaces d’expulsions par le gouvernement tanzanien, la fermeture et la destruction des marchés dans les camps, l’imposition des restrictions à leurs activités commerciales, ainsi que l’accès aux différents services et la liberté de circuler, [et] […] des cas de disparations forcées dans certains camps de réfugiés burundais ». La Rapporteuse spéciale a également dénoncé « les pressions de plus en plus fortes que subissent les réfugiés burundais par les autorités tanzaniennes en vue de provoquer des départs forcés et/ou expulsions ».</w:t>
      </w:r>
      <w:r w:rsidRPr="00F824A3">
        <w:rPr>
          <w:rStyle w:val="FootnoteReference"/>
        </w:rPr>
        <w:footnoteReference w:id="71"/>
      </w:r>
    </w:p>
    <w:p w14:paraId="75E26C56" w14:textId="77777777" w:rsidR="00E63335" w:rsidRPr="004E42C1" w:rsidRDefault="00F824A3" w:rsidP="00F824A3">
      <w:pPr>
        <w:pStyle w:val="H23G"/>
      </w:pPr>
      <w:r>
        <w:tab/>
      </w:r>
      <w:r>
        <w:tab/>
      </w:r>
      <w:r w:rsidR="00E63335" w:rsidRPr="004E42C1">
        <w:t>Union européenne</w:t>
      </w:r>
    </w:p>
    <w:p w14:paraId="0A632225" w14:textId="77777777" w:rsidR="00E63335" w:rsidRPr="004E42C1" w:rsidRDefault="00E63335" w:rsidP="004E42C1">
      <w:pPr>
        <w:pStyle w:val="SingleTxtG"/>
      </w:pPr>
      <w:r w:rsidRPr="004E42C1">
        <w:t>63.</w:t>
      </w:r>
      <w:r w:rsidRPr="004E42C1">
        <w:tab/>
        <w:t>Le 7 décembre 2020, le Président Ndayihimiye a officiellement renoué le dialogue au plus haut niveau avec l’Union européenne (UE) alors que celui-ci était au point mort depuis la prise de sanctions contre le Burundi par l’UE en mars 2016 en raison notamment de graves violations des droits de l’homme commises depuis avril 2015, conformément à l’article 96 de l’Accord de Cotonou. Le Président a reçu le Représentant de l’UE et les ambassadeurs des pays membres de l’UE ayant leur résidence à Bujumbura</w:t>
      </w:r>
      <w:r w:rsidRPr="00F7318D">
        <w:rPr>
          <w:rStyle w:val="FootnoteReference"/>
        </w:rPr>
        <w:footnoteReference w:id="72"/>
      </w:r>
      <w:r w:rsidRPr="004E42C1">
        <w:t>. Ces derniers ont promis de tout mettre en œuvre pour que l’UE puisse soutenir les efforts des institutions du Burundi pour le développement du pays, en se basant notamment sur les six priorités identifiées par le Président Ndayishimiye : la bonne gouvernance, la santé publique, l’éducation, l’agriculture et l’élevage, la gratuité des soins pour les retraités et le développement de la jeunesse.</w:t>
      </w:r>
    </w:p>
    <w:p w14:paraId="5DD72B51" w14:textId="77777777" w:rsidR="00E63335" w:rsidRPr="004E42C1" w:rsidRDefault="00E63335" w:rsidP="004E42C1">
      <w:pPr>
        <w:pStyle w:val="SingleTxtG"/>
      </w:pPr>
      <w:r w:rsidRPr="004E42C1">
        <w:t>64.</w:t>
      </w:r>
      <w:r w:rsidRPr="004E42C1">
        <w:tab/>
        <w:t>Le 2 février 2021, le Représentant de l’UE au Burundi, accompagné des ambassadeurs de l’Allemagne, la Belgique, la France, et les Pays-Bas, a poursuivi la reprise de dialogue politique au niveau technique, comme demandé par le Président Ndayishimiye, en participant à une réunion avec le ministre burundais des Affaires étrangères et de la Coopération au développement. Il s’agissait de mettre en place une feuille de route permettant de déboucher sur la normalisation des relations entre le Burundi et l’Union européenne et ses pays membres, et notamment la reprise de la coopération suspendue depuis mars 2016, y compris l’aide budgétaire directe</w:t>
      </w:r>
      <w:r w:rsidRPr="00F7318D">
        <w:rPr>
          <w:rStyle w:val="FootnoteReference"/>
        </w:rPr>
        <w:footnoteReference w:id="73"/>
      </w:r>
      <w:r w:rsidRPr="004E42C1">
        <w:t>.</w:t>
      </w:r>
    </w:p>
    <w:p w14:paraId="46127241" w14:textId="77777777" w:rsidR="00E63335" w:rsidRPr="004E42C1" w:rsidRDefault="00E63335" w:rsidP="004E42C1">
      <w:pPr>
        <w:pStyle w:val="SingleTxtG"/>
      </w:pPr>
      <w:r w:rsidRPr="004E42C1">
        <w:t>65.</w:t>
      </w:r>
      <w:r w:rsidRPr="004E42C1">
        <w:tab/>
        <w:t>Le 5 février 2021, dans une lettre ouverte adressée au Haut-Représentant de l’Union européenne pour les affaires étrangères et la politique de sécurité, des députés européens ont souligné que les raisons qui avaient justifié la prise de sanctions en 2016, notamment les violations graves des droits de l’homme, n’avaient pas disparu. Selon eux, une reprise du dialogue en vue du rétablissement de la coopération dans le cadre de l’accord de Cotonou ne pouvait être envisagée tant que le Gouvernement burundais n’avait pas donné de preuves tangibles de sa volonté d’améliorer la situation des droits de l’homme dans le pays</w:t>
      </w:r>
      <w:r w:rsidRPr="00F7318D">
        <w:rPr>
          <w:rStyle w:val="FootnoteReference"/>
        </w:rPr>
        <w:footnoteReference w:id="74"/>
      </w:r>
      <w:r w:rsidRPr="004E42C1">
        <w:t xml:space="preserve">. </w:t>
      </w:r>
    </w:p>
    <w:p w14:paraId="7E9902D7" w14:textId="6B6C3CD8" w:rsidR="00E63335" w:rsidRPr="004E42C1" w:rsidRDefault="00E63335" w:rsidP="004E42C1">
      <w:pPr>
        <w:pStyle w:val="SingleTxtG"/>
      </w:pPr>
      <w:r w:rsidRPr="004E42C1">
        <w:t>66.</w:t>
      </w:r>
      <w:r w:rsidRPr="004E42C1">
        <w:tab/>
        <w:t>Les rencontres entre les représentants de l’Union européenne et de ses pays membres au Burundi et le Gouvernement du Burundi se sont poursuivies à différents niveaux au premier semestre de 2021 afin de trouver un accord sur la reprise de la coopération</w:t>
      </w:r>
      <w:r w:rsidRPr="00F7318D">
        <w:rPr>
          <w:rStyle w:val="FootnoteReference"/>
        </w:rPr>
        <w:footnoteReference w:id="75"/>
      </w:r>
      <w:r w:rsidRPr="004E42C1">
        <w:t xml:space="preserve">. Du 24 avril au 4 mai 2021, le ministre des Affaires étrangères et de la </w:t>
      </w:r>
      <w:r w:rsidR="00D46CFB">
        <w:t>C</w:t>
      </w:r>
      <w:r w:rsidRPr="004E42C1">
        <w:t>oopération au développement du Burundi s’est rendu en France, en Belgique et en Suisse afin de poursuivre le plaidoyer en faveur de la levée des sanctions de l’Union européenne</w:t>
      </w:r>
      <w:r w:rsidRPr="00F7318D">
        <w:rPr>
          <w:rStyle w:val="FootnoteReference"/>
        </w:rPr>
        <w:footnoteReference w:id="76"/>
      </w:r>
      <w:r w:rsidRPr="004E42C1">
        <w:t>.</w:t>
      </w:r>
    </w:p>
    <w:p w14:paraId="0FDEE620" w14:textId="77777777" w:rsidR="00E63335" w:rsidRPr="004E42C1" w:rsidRDefault="00E63335" w:rsidP="004E42C1">
      <w:pPr>
        <w:pStyle w:val="SingleTxtG"/>
      </w:pPr>
      <w:r w:rsidRPr="004E42C1">
        <w:t>67.</w:t>
      </w:r>
      <w:r w:rsidRPr="004E42C1">
        <w:tab/>
        <w:t>Le 21 juin 2021, l’Ambassadeur de l’Union européenne au Burundi a annoncé que le processus pour lever la suspension des aides financières directes au Gouvernement burundais était lancé. Il a précisé que la décision avait été prise à l’unanimité par les deux groupes de travail de l’UE mais qu’elle devrait encore être avalisée par le Conseil des ministres de l’UE, et que cette reprise des financements se ferait sans conditionnalité. Il a précisé que les aides financières de l’UE seraient destinées en priorité à des travaux de réaménagement du port de Bujumbura, et à soutenir des projets dans le secteur de l’agriculture, la santé, la protection de l’environnement et le changement climatique et l’accès à la justice.</w:t>
      </w:r>
      <w:r w:rsidRPr="00F7318D">
        <w:rPr>
          <w:rStyle w:val="FootnoteReference"/>
        </w:rPr>
        <w:footnoteReference w:id="77"/>
      </w:r>
      <w:r w:rsidRPr="004E42C1">
        <w:t xml:space="preserve"> </w:t>
      </w:r>
    </w:p>
    <w:p w14:paraId="2C18CD76" w14:textId="6EA972E6" w:rsidR="00E63335" w:rsidRPr="004E42C1" w:rsidRDefault="00E63335" w:rsidP="004E42C1">
      <w:pPr>
        <w:pStyle w:val="SingleTxtG"/>
      </w:pPr>
      <w:r w:rsidRPr="004E42C1">
        <w:t>68.</w:t>
      </w:r>
      <w:r w:rsidRPr="004E42C1">
        <w:tab/>
        <w:t xml:space="preserve">Le même jour, plusieurs ONGs internationales avaient publié une lettre ouverte à l’Union européenne pour lui demander de ne pas lever les sanctions contre le Burundi « en l’absence de progrès significatifs sur la situation des droits humains et sur l’impunité généralisée pour les atteintes graves aux droits humains passées et continues dans le pays ». Elles avaient notamment rappelé que la « matrice des engagements » établie en 2016, sur laquelle l’Union </w:t>
      </w:r>
      <w:r w:rsidR="00B721B6">
        <w:t xml:space="preserve">européenne </w:t>
      </w:r>
      <w:r w:rsidRPr="004E42C1">
        <w:t xml:space="preserve">attendait des progrès spécifiques et concrets de la part du </w:t>
      </w:r>
      <w:r w:rsidR="00BE2A8E">
        <w:t>G</w:t>
      </w:r>
      <w:r w:rsidRPr="004E42C1">
        <w:t xml:space="preserve">ouvernement burundais avant de lever les mesures, restait pertinente en l’absence de mesures prises par le Président Ndayishimiye dans ces domaines. Elles avaient finalement appelé l’Union européenne à, entre autres choses, « s’assurer que les engagements du </w:t>
      </w:r>
      <w:r w:rsidR="00040EED">
        <w:t>G</w:t>
      </w:r>
      <w:r w:rsidRPr="004E42C1">
        <w:t>ouvernement burundais en matière de droits humains, y compris ceux de sa feuille de route, sont ambitieux, détaillés et exhaustifs, sont régulièrement surveillés grâce à un mécanisme de suivi rigoureux et font l’objet de discussions dans le cadre du dialogue politique avec l’UE ».</w:t>
      </w:r>
      <w:r w:rsidRPr="002152E3">
        <w:rPr>
          <w:rStyle w:val="FootnoteReference"/>
        </w:rPr>
        <w:footnoteReference w:id="78"/>
      </w:r>
    </w:p>
    <w:p w14:paraId="5AAC8330" w14:textId="77777777" w:rsidR="00E63335" w:rsidRPr="004E42C1" w:rsidRDefault="002152E3" w:rsidP="002152E3">
      <w:pPr>
        <w:pStyle w:val="H23G"/>
      </w:pPr>
      <w:r>
        <w:tab/>
      </w:r>
      <w:r>
        <w:tab/>
      </w:r>
      <w:r w:rsidR="00E63335" w:rsidRPr="004E42C1">
        <w:t>Sanctions ciblées contre des ressortissants burundais</w:t>
      </w:r>
    </w:p>
    <w:p w14:paraId="2731C199" w14:textId="48323F43" w:rsidR="00E63335" w:rsidRPr="004E42C1" w:rsidRDefault="00E63335" w:rsidP="004E42C1">
      <w:pPr>
        <w:pStyle w:val="SingleTxtG"/>
      </w:pPr>
      <w:r w:rsidRPr="004E42C1">
        <w:t>69.</w:t>
      </w:r>
      <w:r w:rsidRPr="004E42C1">
        <w:tab/>
        <w:t>Le 29 octobre 2020, le Conseil de l’Union européenne a prolongé jusqu'au 31 octobre 2021 les sanctions ciblées (interdiction de voyages et gels des avoirs)</w:t>
      </w:r>
      <w:r w:rsidR="00D46CFB">
        <w:t xml:space="preserve"> </w:t>
      </w:r>
      <w:r w:rsidRPr="004E42C1">
        <w:t>prises en 2015 à l'encontre de quatre personnes du Burundi et qui ont été renouvelées de manière régulière</w:t>
      </w:r>
      <w:r w:rsidRPr="002152E3">
        <w:rPr>
          <w:rStyle w:val="FootnoteReference"/>
        </w:rPr>
        <w:footnoteReference w:id="79"/>
      </w:r>
      <w:r w:rsidRPr="004E42C1">
        <w:t>. Il s’agit de: Godefroid Bizimana (Chargé de mission à la Présidence de la République, ex-directeur général adjoint de la police), Gervais Ndirakobuca, alias « Ndakugarika » (ancien chef de cabinet de l’administration présidentielle chargé de la police nationale, ancien chef du SNR et actuel ministre de l’Intérieur, du Développement communautaire et de la Sécurité publique), Joseph Mathias Niyonzima, alias « Kazungu » (agent du SNR), et Léonard Ngendakumana (suspecté d’être impliqué dans la tentative de coup d’État de mai 2015). Le 11 novembre 2020, la Suisse a renouvelé les sanctions contre ces mêmes personnes qui avaient été décidées par l’ordonnance du 4 décembre 2015</w:t>
      </w:r>
      <w:r w:rsidRPr="002152E3">
        <w:rPr>
          <w:rStyle w:val="FootnoteReference"/>
        </w:rPr>
        <w:footnoteReference w:id="80"/>
      </w:r>
      <w:r w:rsidR="00205087">
        <w:t>.</w:t>
      </w:r>
    </w:p>
    <w:p w14:paraId="580CD3BE" w14:textId="24EED634" w:rsidR="00E63335" w:rsidRPr="004E42C1" w:rsidRDefault="00E63335" w:rsidP="004E42C1">
      <w:pPr>
        <w:pStyle w:val="SingleTxtG"/>
      </w:pPr>
      <w:r w:rsidRPr="004E42C1">
        <w:t>70.</w:t>
      </w:r>
      <w:r w:rsidRPr="004E42C1">
        <w:tab/>
        <w:t>Au 1</w:t>
      </w:r>
      <w:r w:rsidRPr="009C6993">
        <w:rPr>
          <w:vertAlign w:val="superscript"/>
        </w:rPr>
        <w:t xml:space="preserve">er </w:t>
      </w:r>
      <w:r w:rsidRPr="004E42C1">
        <w:t>août 2021, les États-Unis d’Amérique maintenaient des sanctions ciblées (gel des avoirs, interdiction de voyager, mais également de réaliser des transactions commerciales avec les entreprises détenues par ces personnes) à l’encontre de 10 ressortissants burundais</w:t>
      </w:r>
      <w:r w:rsidRPr="002152E3">
        <w:rPr>
          <w:rStyle w:val="FootnoteReference"/>
        </w:rPr>
        <w:footnoteReference w:id="81"/>
      </w:r>
      <w:r w:rsidRPr="004E42C1">
        <w:t>. Les sanctions initiales décidées par le Président Obama dans son ordre exécutif n° 73634 du 22 novembre 2015 concernaient : Alain Guillaume Bunyoni (ancien ministre de la Sécurité publique et actuel Premier ministre</w:t>
      </w:r>
      <w:r w:rsidR="00816486" w:rsidRPr="004E42C1">
        <w:t>) ;</w:t>
      </w:r>
      <w:r w:rsidRPr="004E42C1">
        <w:t xml:space="preserve"> Godefroid Niyombare (impliqué dans la tentative de coup d’État de mai 2015) et Godefroid Bizimana (ex-directeur général adjoint de la police nationale). Par la suite, d’autres personnes avaient été ajoutées par le Département du Trésor, qui a la compétence de le faire en consultation avec le Département d’État : Gervais Ndirakobuca, alias « Ndakugarika » (ancien chef de cabinet de l’administration présidentielle chargé de la police nationale, ancien chef du SNR et actuel ministre de de l’Intérieur, du Développement communautaire et de la Sécurité publique) ajouté en décembre 2015; Léonard Ngendakumana (officier) en décembre 2015 ; Joseph Mathias Niyonzima, alias « Kazungu » (agent du SNR) en décembre 2015 ; Alexis Sinduhije (président du parti politique d’opposition MSD) en décembre 2015 ; Edouard Nshimirimana (ancien lieutenant-colonel) en juin 2016 ; Ignace Sibomana (chef du renseignement militaire) en juin 2016 et Marius Ngendabanka (commandant de la première région militaire et chef adjoint des forces terrestres) en juin 2016. Cyrille Ndayirukiye (ancien ministre de la Défense), qui avait été visé par les sanctions initiales du 22 novembre 2015, est décédé en avril 2021 alors qu’il était détenu à la prison de Gitega après avoir été condamné à la perpétuité en janvier 2016 pour son implication dans le coup d’</w:t>
      </w:r>
      <w:r w:rsidR="00C15378" w:rsidRPr="004E42C1">
        <w:t>É</w:t>
      </w:r>
      <w:r w:rsidRPr="004E42C1">
        <w:t>tat raté de mai 2015</w:t>
      </w:r>
      <w:r w:rsidRPr="008D1F72">
        <w:rPr>
          <w:rStyle w:val="FootnoteReference"/>
        </w:rPr>
        <w:footnoteReference w:id="82"/>
      </w:r>
      <w:r w:rsidRPr="004E42C1">
        <w:t>.</w:t>
      </w:r>
    </w:p>
    <w:p w14:paraId="2E4A51BE" w14:textId="77777777" w:rsidR="00E63335" w:rsidRPr="004E42C1" w:rsidRDefault="00A00A34" w:rsidP="00A00A34">
      <w:pPr>
        <w:pStyle w:val="H23G"/>
      </w:pPr>
      <w:r>
        <w:tab/>
      </w:r>
      <w:r>
        <w:tab/>
      </w:r>
      <w:r w:rsidR="00E63335" w:rsidRPr="004E42C1">
        <w:t>Organisation internationale de la Francophonie</w:t>
      </w:r>
    </w:p>
    <w:p w14:paraId="742EC016" w14:textId="34DE991A" w:rsidR="00E63335" w:rsidRPr="004E42C1" w:rsidRDefault="00E63335" w:rsidP="004E42C1">
      <w:pPr>
        <w:pStyle w:val="SingleTxtG"/>
      </w:pPr>
      <w:r w:rsidRPr="004E42C1">
        <w:t>71. Lors de sa 112</w:t>
      </w:r>
      <w:r w:rsidRPr="00D46CFB">
        <w:rPr>
          <w:vertAlign w:val="superscript"/>
        </w:rPr>
        <w:t>ème</w:t>
      </w:r>
      <w:r w:rsidRPr="004E42C1">
        <w:t xml:space="preserve"> session tenue les 4 et 5 novembre 2020, le Conseil permanent de l’Organisation internationale de la Francophonie (OIF) a décidé de mettre fin à la suspension de la coopération multilatérale avec le Burundi qui avait été décidée en avril 2016</w:t>
      </w:r>
      <w:r w:rsidR="00D46CFB">
        <w:t xml:space="preserve"> </w:t>
      </w:r>
      <w:r w:rsidRPr="004E42C1">
        <w:t>conformément à l’avis favorable qu’il avait déjà émis à ce sujet au cours de sa session de juillet 2020. Cette décision a été principalement basée sur la tenue des élections de 2020 et « les engagements pris par les nouvelles autorités en faveur du bien-être, de l’indépendance, de la sécurité quotidienne des Burundais, ainsi que de la garantie de leurs</w:t>
      </w:r>
      <w:r w:rsidR="008D1F72">
        <w:t xml:space="preserve"> droits et de leurs libertés »</w:t>
      </w:r>
      <w:r w:rsidRPr="008D1F72">
        <w:rPr>
          <w:rStyle w:val="FootnoteReference"/>
        </w:rPr>
        <w:footnoteReference w:id="83"/>
      </w:r>
      <w:r w:rsidR="008D1F72">
        <w:t>.</w:t>
      </w:r>
    </w:p>
    <w:p w14:paraId="53E59824" w14:textId="612D725F" w:rsidR="00E63335" w:rsidRPr="004E42C1" w:rsidRDefault="00E63335" w:rsidP="004E42C1">
      <w:pPr>
        <w:pStyle w:val="SingleTxtG"/>
      </w:pPr>
      <w:r w:rsidRPr="004E42C1">
        <w:t>72.</w:t>
      </w:r>
      <w:r w:rsidRPr="004E42C1">
        <w:tab/>
        <w:t xml:space="preserve">Le Conseil a demandé à la Secrétaire-générale de l’OIF « de poursuivre la mobilisation de la Francophonie, en lien avec ses partenaires, en faveur de la consolidation de la paix, du renforcement de la démocratie, de l’ouverture de l’espace politique, avec la participation de la société civile, de la protection des droits de </w:t>
      </w:r>
      <w:r w:rsidR="0043051E">
        <w:t>l’h</w:t>
      </w:r>
      <w:r w:rsidRPr="004E42C1">
        <w:t xml:space="preserve">omme et des libertés fondamentales, en particulier la liberté de la presse, ainsi que de l’égalité entre les femmes et les hommes ». Il a également proposé « qu’un rapport contenant des recommandations destinées à appuyer le Burundi dans cette direction lui soit présenté par la Secrétaire générale lors de sa prochaine session ». Finalement le Conseil a encouragé les autorités burundaises « à œuvrer à la construction d’un espace politique inclusif, à la consolidation de la stabilité politique, au renforcement de l’ouverture démocratique, de la démocratie, de l’État de droit et de </w:t>
      </w:r>
      <w:r w:rsidR="006D683C">
        <w:t>l’</w:t>
      </w:r>
      <w:r w:rsidRPr="004E42C1">
        <w:t xml:space="preserve">égalité entre les femmes et les hommes, ainsi qu’à la protection des droits de </w:t>
      </w:r>
      <w:r w:rsidR="006D683C">
        <w:t>l’h</w:t>
      </w:r>
      <w:r w:rsidRPr="004E42C1">
        <w:t xml:space="preserve">omme, par l’adoption de mesures concrètes destinées à garantir les droits de </w:t>
      </w:r>
      <w:r w:rsidR="006D683C">
        <w:t>l’h</w:t>
      </w:r>
      <w:r w:rsidRPr="004E42C1">
        <w:t>omme et les libertés fondamentales des Burundais et à ren</w:t>
      </w:r>
      <w:r w:rsidR="008D14DA">
        <w:t>forcer le climat de confiance »</w:t>
      </w:r>
      <w:r w:rsidRPr="008D14DA">
        <w:rPr>
          <w:rStyle w:val="FootnoteReference"/>
        </w:rPr>
        <w:footnoteReference w:id="84"/>
      </w:r>
      <w:r w:rsidR="008D14DA">
        <w:t>.</w:t>
      </w:r>
    </w:p>
    <w:p w14:paraId="6DF9CD1E" w14:textId="77777777" w:rsidR="00E63335" w:rsidRPr="004E42C1" w:rsidRDefault="008D14DA" w:rsidP="008D14DA">
      <w:pPr>
        <w:pStyle w:val="H23G"/>
      </w:pPr>
      <w:r>
        <w:tab/>
      </w:r>
      <w:r>
        <w:tab/>
      </w:r>
      <w:r w:rsidR="00E63335" w:rsidRPr="004E42C1">
        <w:t>Alliance mondiale des institutions nationales des droits de l’homme</w:t>
      </w:r>
    </w:p>
    <w:p w14:paraId="233EF987" w14:textId="77777777" w:rsidR="00E63335" w:rsidRPr="004E42C1" w:rsidRDefault="00E63335" w:rsidP="004E42C1">
      <w:pPr>
        <w:pStyle w:val="SingleTxtG"/>
      </w:pPr>
      <w:r w:rsidRPr="004E42C1">
        <w:t>73.</w:t>
      </w:r>
      <w:r w:rsidRPr="004E42C1">
        <w:tab/>
        <w:t>En juin 2021, l’Alliance mondiale des institutions nationales des droits de l’homme (GANHRI) a doté à nouveau la Commission nationale des droits de l’homme du Burundi (CNIDH) de l’accréditation au statut A. De fait, la CNIDH est théoriquement censée fonctionner de manière indépendante. Dans son rapport</w:t>
      </w:r>
      <w:r w:rsidRPr="008D14DA">
        <w:rPr>
          <w:rStyle w:val="FootnoteReference"/>
        </w:rPr>
        <w:footnoteReference w:id="85"/>
      </w:r>
      <w:r w:rsidRPr="004E42C1">
        <w:t>, le sous-comité d’accréditation (SCA) s’est tout d’abord félicité « des efforts déployés par la CNIDH afin de promouvoir et de protéger les droits de l’homme dans le contexte difficile dans lequel elle opère ». Ensuite, le SCA a encouragé « la CNIDH à poursuivre ces efforts, et à renforcer son cadre institutionnel et son efficacité ». Il a également souligné que les Institutions nationales des droits de l’homme « qui ont été accréditées au statut A devraient prendre des mesures raisonnables visant à renforcer leur efficacité et leur indépendance, conformément aux Principes de Paris et aux recommandations formulées par le SCA au cours de cet examen ». Il a aussi indiqué que « pour fonctionner efficacement, une INDH [Institution nationale des droits de l’homme] doit obtenir un niveau suffisant de financement pour garantir son indépendance et sa capacité à déterminer librement ses priorités et ses activités ». Finalement, le SCA a encouragé « la CNIDH à poursuivre ses efforts en matière d’interaction avec le système international des droits de l’homme »</w:t>
      </w:r>
      <w:r w:rsidRPr="008D14DA">
        <w:rPr>
          <w:rStyle w:val="FootnoteReference"/>
        </w:rPr>
        <w:footnoteReference w:id="86"/>
      </w:r>
      <w:r w:rsidRPr="004E42C1">
        <w:t>.</w:t>
      </w:r>
    </w:p>
    <w:p w14:paraId="08E12BBF" w14:textId="77777777" w:rsidR="00E63335" w:rsidRPr="004E42C1" w:rsidRDefault="00E63335" w:rsidP="004E42C1">
      <w:pPr>
        <w:pStyle w:val="SingleTxtG"/>
      </w:pPr>
      <w:r w:rsidRPr="004E42C1">
        <w:t>74.</w:t>
      </w:r>
      <w:r w:rsidRPr="004E42C1">
        <w:tab/>
        <w:t>La Commission d’enquête note effectivement les efforts réalisés par la CNIDH pour adresser dans son rapport annuel de 2020 certains cas de torture et autres mauvais traitements, de détention arbitraire et de violations du droit à un procès équitable, mais aucun n’est lié au processus électoral ou n’a de dimension politique. De plus, la CNIDH n’a rapporté que quelques cas de violations mineures des droits civils et politiques dans le cadre du processus électoral, mais aucun cas de violation de droit à la vie, ni d’enlèvement ou de disparition forcée, ni de violation des libertés publiques. La Commission d’enquête émet donc des rése</w:t>
      </w:r>
      <w:r w:rsidR="008D14DA">
        <w:t>rves sur de telles conclusions.</w:t>
      </w:r>
    </w:p>
    <w:p w14:paraId="4157EE57" w14:textId="3B612E94" w:rsidR="00E63335" w:rsidRPr="004E42C1" w:rsidRDefault="00E63335" w:rsidP="004E42C1">
      <w:pPr>
        <w:pStyle w:val="SingleTxtG"/>
      </w:pPr>
      <w:r w:rsidRPr="004E42C1">
        <w:t>75.</w:t>
      </w:r>
      <w:r w:rsidRPr="004E42C1">
        <w:tab/>
        <w:t>La Commission d’enquête souligne cependant qu’au mois d’avril 2021</w:t>
      </w:r>
      <w:r w:rsidR="00877C1B">
        <w:t>,</w:t>
      </w:r>
      <w:r w:rsidRPr="004E42C1">
        <w:t xml:space="preserve"> une délégation de la CNIDH a initié un contact avec elle, ce qui a permis à la Commission et à la CNIDH d’échanger sur leur travail respectif. La Commission espère que sa ré-accréditation encouragera la CNIDH à démontrer dans la pratique qu’elle est effectivement indépendante, notamment en s’occupant de tous les cas de violations, y compris les plus sensibles, et même si elle exerce sa mission dans un espace démocratique fermé qui nécessite plus que jamais une CNIDH indépendante et opérationnelle.</w:t>
      </w:r>
    </w:p>
    <w:p w14:paraId="655F6309" w14:textId="77777777" w:rsidR="00E63335" w:rsidRPr="004E42C1" w:rsidRDefault="008D14DA" w:rsidP="008D14DA">
      <w:pPr>
        <w:pStyle w:val="H23G"/>
      </w:pPr>
      <w:r>
        <w:tab/>
      </w:r>
      <w:r>
        <w:tab/>
      </w:r>
      <w:r w:rsidR="00E63335" w:rsidRPr="004E42C1">
        <w:t>Cour pénale internationale</w:t>
      </w:r>
    </w:p>
    <w:p w14:paraId="17672B89" w14:textId="77777777" w:rsidR="0008167F" w:rsidRDefault="00E63335" w:rsidP="004E42C1">
      <w:pPr>
        <w:pStyle w:val="SingleTxtG"/>
      </w:pPr>
      <w:r w:rsidRPr="004E42C1">
        <w:t>76.</w:t>
      </w:r>
      <w:r w:rsidRPr="004E42C1">
        <w:tab/>
        <w:t>L’enquête ouverte le 25 octobre 2017 par le Procureur de la Cour pénale internationale sur les crimes contre l’humanité – notamment de meurtres, de tentatives de meurtre, d’emprisonnements ou d’autres formes de privation grave de liberté physique, de tortures, de viols, de disparitions forcées et de persécutions</w:t>
      </w:r>
      <w:r w:rsidR="006468DB">
        <w:t xml:space="preserve"> </w:t>
      </w:r>
      <w:r w:rsidRPr="004E42C1">
        <w:t>– commis au Burundi ou à l’extérieur du pays par des ressortissants burundais entre le 26 avril 2015 et le 26 octobre 2017 se poursuit</w:t>
      </w:r>
      <w:r w:rsidRPr="001A74F0">
        <w:rPr>
          <w:rStyle w:val="FootnoteReference"/>
        </w:rPr>
        <w:footnoteReference w:id="87"/>
      </w:r>
      <w:r w:rsidR="006468DB">
        <w:t>.</w:t>
      </w:r>
    </w:p>
    <w:p w14:paraId="060924C9" w14:textId="77777777" w:rsidR="00617673" w:rsidRPr="00617673" w:rsidRDefault="00617673" w:rsidP="007213D8">
      <w:pPr>
        <w:pStyle w:val="HChG"/>
      </w:pPr>
      <w:r>
        <w:tab/>
      </w:r>
      <w:r w:rsidRPr="00617673">
        <w:t>II.</w:t>
      </w:r>
      <w:r>
        <w:tab/>
      </w:r>
      <w:r w:rsidRPr="00617673">
        <w:t xml:space="preserve">Situation des droits de </w:t>
      </w:r>
      <w:r w:rsidRPr="007213D8">
        <w:t>l’homme</w:t>
      </w:r>
      <w:r w:rsidRPr="00617673">
        <w:t xml:space="preserve"> au Burundi </w:t>
      </w:r>
    </w:p>
    <w:p w14:paraId="27D4E200" w14:textId="77777777" w:rsidR="00617673" w:rsidRPr="00FA45AB" w:rsidRDefault="007213D8" w:rsidP="00675BA1">
      <w:pPr>
        <w:pStyle w:val="H1G"/>
        <w:rPr>
          <w:lang w:val="fr-CH"/>
        </w:rPr>
      </w:pPr>
      <w:r w:rsidRPr="00FA45AB">
        <w:rPr>
          <w:lang w:val="fr-CH"/>
        </w:rPr>
        <w:tab/>
        <w:t>A.</w:t>
      </w:r>
      <w:r w:rsidRPr="00FA45AB">
        <w:rPr>
          <w:lang w:val="fr-CH"/>
        </w:rPr>
        <w:tab/>
      </w:r>
      <w:r w:rsidR="00617673" w:rsidRPr="00FA45AB">
        <w:rPr>
          <w:lang w:val="fr-CH"/>
        </w:rPr>
        <w:t>Évolution de la situation des droits de l’homme depuis 2015</w:t>
      </w:r>
    </w:p>
    <w:p w14:paraId="2CEEEF92" w14:textId="77777777" w:rsidR="00617673" w:rsidRPr="00617673" w:rsidRDefault="00617673" w:rsidP="00617673">
      <w:pPr>
        <w:pStyle w:val="SingleTxtG"/>
      </w:pPr>
      <w:r w:rsidRPr="00617673">
        <w:t>77.</w:t>
      </w:r>
      <w:r w:rsidRPr="00617673">
        <w:tab/>
        <w:t>Depuis son établissement en 2016, la Commission a documenté au fil de ses rapports de nombreuses violations graves des droits de l’homme commises au Burundi depuis avril 2015, dont certaines constituent des crimes contre l’humanité. La Commission estime nécessaire de rappeler brièvement comment ces violations ont év</w:t>
      </w:r>
      <w:r w:rsidR="002A4D7A">
        <w:t>olué au cours de cette période.</w:t>
      </w:r>
    </w:p>
    <w:p w14:paraId="65697826" w14:textId="7EB8DEE5" w:rsidR="00617673" w:rsidRPr="00617673" w:rsidRDefault="00617673" w:rsidP="00617673">
      <w:pPr>
        <w:pStyle w:val="SingleTxtG"/>
      </w:pPr>
      <w:r w:rsidRPr="00617673">
        <w:t>78.</w:t>
      </w:r>
      <w:r w:rsidRPr="00617673">
        <w:tab/>
        <w:t xml:space="preserve">Les principales violations des droits de l’homme sont globalement restées les mêmes : des cas d’exécution extrajudiciaire, d’arrestation et de détention arbitraires, de disparition </w:t>
      </w:r>
      <w:r w:rsidRPr="00617673">
        <w:rPr>
          <w:lang w:val="fr-FR"/>
        </w:rPr>
        <w:t>forcée,</w:t>
      </w:r>
      <w:r w:rsidRPr="00617673">
        <w:t xml:space="preserve"> de torture et de traitement cruel, inhumain ou dégradant, de violence sexuelle</w:t>
      </w:r>
      <w:r w:rsidR="00055087">
        <w:t>,</w:t>
      </w:r>
      <w:r w:rsidRPr="00617673">
        <w:t xml:space="preserve"> </w:t>
      </w:r>
      <w:r w:rsidRPr="00617673">
        <w:rPr>
          <w:lang w:val="fr-FR"/>
        </w:rPr>
        <w:t>ainsi que des violations des libertés publiques telles que les libertés d’expression, d’association, de réunion et de circulation. Des violations des droits économiques et sociaux ont également été constatées, notamment des cas de discrimination d’accès à l’emploi et à l’éducation sur la base de l’affiliation politique.</w:t>
      </w:r>
    </w:p>
    <w:p w14:paraId="1A3327EB" w14:textId="029ABDEC" w:rsidR="00617673" w:rsidRPr="00617673" w:rsidRDefault="00617673" w:rsidP="00617673">
      <w:pPr>
        <w:pStyle w:val="SingleTxtG"/>
      </w:pPr>
      <w:r w:rsidRPr="00617673">
        <w:t>79.</w:t>
      </w:r>
      <w:r w:rsidRPr="00617673">
        <w:tab/>
        <w:t>C’est notamment le profil des victimes et des auteurs ainsi que les modes opératoires qui ont évolué en fonction des circonstances et des enjeux sur le terrain : tout d’abord la répression des manifestations contre le troisième mandat de Pierre Nkurunziza en 2015, la répression du coup d’État raté de mai 2015 et les attaques des camps militaires de décembre 2015, et ensuite l’organisation du référendum constitutionnel de mai 2018 et finalement le processus électoral de 2020 et la consol</w:t>
      </w:r>
      <w:r w:rsidR="00C62AA4">
        <w:t xml:space="preserve">idation du pouvoir du </w:t>
      </w:r>
      <w:r w:rsidR="00055087" w:rsidRPr="00617673">
        <w:rPr>
          <w:lang w:val="fr-FR"/>
        </w:rPr>
        <w:t xml:space="preserve">Conseil national pour la défense de la démocratie-Forces pour la défense de la démocratie </w:t>
      </w:r>
      <w:r w:rsidR="00055087">
        <w:rPr>
          <w:lang w:val="fr-FR"/>
        </w:rPr>
        <w:t>(</w:t>
      </w:r>
      <w:r w:rsidR="00C62AA4">
        <w:t>CNDD-FDD</w:t>
      </w:r>
      <w:r w:rsidR="00055087">
        <w:t>)</w:t>
      </w:r>
      <w:r w:rsidR="00C62AA4">
        <w:t>.</w:t>
      </w:r>
    </w:p>
    <w:p w14:paraId="378F1B3E" w14:textId="77777777" w:rsidR="00617673" w:rsidRPr="00617673" w:rsidRDefault="00C62AA4" w:rsidP="00C62AA4">
      <w:pPr>
        <w:pStyle w:val="H23G"/>
      </w:pPr>
      <w:r>
        <w:tab/>
      </w:r>
      <w:r w:rsidR="00617673" w:rsidRPr="00617673">
        <w:t>1.</w:t>
      </w:r>
      <w:r>
        <w:tab/>
      </w:r>
      <w:r w:rsidR="00617673" w:rsidRPr="00617673">
        <w:t>Principales conclusions de la Commission d’enquête</w:t>
      </w:r>
    </w:p>
    <w:p w14:paraId="0814EE32" w14:textId="77777777" w:rsidR="00617673" w:rsidRPr="00C62AA4" w:rsidRDefault="00C62AA4" w:rsidP="00C62AA4">
      <w:pPr>
        <w:pStyle w:val="H4G"/>
        <w:rPr>
          <w:b/>
          <w:i w:val="0"/>
        </w:rPr>
      </w:pPr>
      <w:r w:rsidRPr="00C62AA4">
        <w:rPr>
          <w:b/>
          <w:i w:val="0"/>
        </w:rPr>
        <w:tab/>
        <w:t>a)</w:t>
      </w:r>
      <w:r w:rsidRPr="00C62AA4">
        <w:rPr>
          <w:b/>
          <w:i w:val="0"/>
        </w:rPr>
        <w:tab/>
      </w:r>
      <w:r w:rsidR="00617673" w:rsidRPr="00C62AA4">
        <w:rPr>
          <w:b/>
          <w:i w:val="0"/>
        </w:rPr>
        <w:t>2015 - 2016</w:t>
      </w:r>
    </w:p>
    <w:p w14:paraId="2602B162" w14:textId="0F1D6154" w:rsidR="00617673" w:rsidRPr="00617673" w:rsidRDefault="00617673" w:rsidP="00617673">
      <w:pPr>
        <w:pStyle w:val="SingleTxtG"/>
      </w:pPr>
      <w:r w:rsidRPr="00617673">
        <w:t>80.</w:t>
      </w:r>
      <w:r w:rsidRPr="00617673">
        <w:tab/>
        <w:t>En 2015 et en 2016, les victimes étaient en majorité des jeunes hommes (à l’exception des victimes de violences sexuelles), qui avaient comme point commun d’être des opposants, réels ou perçus comme tels, au Gouvernement : manifestants contre la candidature du Président Nkurunziza à un troisième mandat lors de l’élection présidentielle de 2015 ; membres de partis politiques d’opposition (en particulier du parti Mouvement pour la solidarité et la démocratie (MSD) et du parti Forces nationales de libération (FNL)), ainsi que leurs proches ; membres des anciennes Forces armées burundaises (ex-FAB) ; membres de la société civile ; journalistes ; personnes soupçonnées d’avoir soutenu ou participé au coup d’État manqué de 2015 ; membres ou sympathisants de groupes armés d’opposition, ou personnes sur le chemin de l’exil suspectées de ce fait de rejoindre ces groupes. La Commission avait également constaté un phénomène d’embrigadement de la population au sein du parti au pouvoir, le CNDD-FDD</w:t>
      </w:r>
      <w:r w:rsidR="00055087">
        <w:t>,</w:t>
      </w:r>
      <w:r w:rsidRPr="00617673">
        <w:t xml:space="preserve"> et de sa ligu</w:t>
      </w:r>
      <w:r w:rsidR="002A4D7A">
        <w:t>e des jeunes, les Imbonerakure.</w:t>
      </w:r>
    </w:p>
    <w:p w14:paraId="505BBF70" w14:textId="77777777" w:rsidR="00617673" w:rsidRPr="00617673" w:rsidRDefault="00C62AA4" w:rsidP="00C62AA4">
      <w:pPr>
        <w:pStyle w:val="H23G"/>
      </w:pPr>
      <w:r>
        <w:tab/>
      </w:r>
      <w:r w:rsidR="00617673" w:rsidRPr="00617673">
        <w:t>b)</w:t>
      </w:r>
      <w:r>
        <w:tab/>
        <w:t>2017 - 2018</w:t>
      </w:r>
    </w:p>
    <w:p w14:paraId="6ACC066C" w14:textId="77777777" w:rsidR="00617673" w:rsidRPr="00617673" w:rsidRDefault="00617673" w:rsidP="00617673">
      <w:pPr>
        <w:pStyle w:val="SingleTxtG"/>
        <w:rPr>
          <w:lang w:val="fr-FR"/>
        </w:rPr>
      </w:pPr>
      <w:r w:rsidRPr="00617673">
        <w:rPr>
          <w:lang w:val="fr-FR"/>
        </w:rPr>
        <w:t>81.</w:t>
      </w:r>
      <w:r w:rsidRPr="00617673">
        <w:rPr>
          <w:lang w:val="fr-FR"/>
        </w:rPr>
        <w:tab/>
        <w:t>Les victimes de ces violations étaient en majorité des opposants au Gouvernement et/ou au parti au pouvoir ou des personnes perçues comme tels : membres de partis politiques d’opposition (en particulier des FNL d’Agathon Rwasa et du MSD) ; sympathisants de groupes armés d’opposition ; Burundais tentant de fuir le pays et de ce fait suspectés de rejoindre ces groupes armés ; ou journalistes et membres d’organisations de la société civile. Le phénomène d’embrigadement de la population au sein du CNDD-FDD et des Imbonerakure s’était intensifié en prévision de la campagne pour la révision de la Constitution et durant celle-ci. Les Burundais, même apolitiques, refusant ou n’ayant pas pu s’inscrire sur les listes électorales, ainsi que ceux qui ne s’étaient pas acquittés de la contribution obligatoire pour financer les élections de 2020, avaient particulièrement été ciblés. La liberté d’expression s’était davantage restreinte puisque les principaux médias indépendants et les organisations de défense des droits de l’homme avaient été bannis.</w:t>
      </w:r>
    </w:p>
    <w:p w14:paraId="301F5C2A" w14:textId="77777777" w:rsidR="00617673" w:rsidRPr="00617673" w:rsidRDefault="00C62AA4" w:rsidP="00C62AA4">
      <w:pPr>
        <w:pStyle w:val="H23G"/>
      </w:pPr>
      <w:r>
        <w:tab/>
      </w:r>
      <w:r w:rsidR="00617673" w:rsidRPr="00617673">
        <w:t>c)</w:t>
      </w:r>
      <w:r>
        <w:tab/>
        <w:t>2018-2019</w:t>
      </w:r>
    </w:p>
    <w:p w14:paraId="3E1F85B5" w14:textId="77777777" w:rsidR="00617673" w:rsidRPr="00617673" w:rsidRDefault="00617673" w:rsidP="00617673">
      <w:pPr>
        <w:pStyle w:val="SingleTxtG"/>
        <w:rPr>
          <w:lang w:val="fr-FR"/>
        </w:rPr>
      </w:pPr>
      <w:r w:rsidRPr="00617673">
        <w:t>82.</w:t>
      </w:r>
      <w:r w:rsidRPr="00617673">
        <w:tab/>
        <w:t>L</w:t>
      </w:r>
      <w:r w:rsidRPr="00617673">
        <w:rPr>
          <w:lang w:val="fr-FR"/>
        </w:rPr>
        <w:t>es principales violations des droits de l’homme avaient continué d’avoir une dimension politique et nombre d’entre elles avaient fait suite au référendum constitutionnel organisé en mai 2018 ou alors s’étaient inscrites dans le contexte de la préparation des élections de 2020. La majorité des victimes avait été ciblée en raison de l’alignement ou de l’appartenance, réelle ou supposée, à un autre parti politique que le CNDD-FDD. Les personnes qui avaient été actives au sein des mouvements ayant organisé la campagne pour le « non » au référendum constitutionnel avaient été particulièrement visées. Les membres du parti d’opposition créé par Agathon Rwasa, le Congrès national pour la liberté (CNL), et officiellement agréé le14 février 2019, avaient été victimes de nombreuses violations de leu</w:t>
      </w:r>
      <w:r w:rsidR="00C62AA4">
        <w:rPr>
          <w:lang w:val="fr-FR"/>
        </w:rPr>
        <w:t>rs droits civils et politiques.</w:t>
      </w:r>
    </w:p>
    <w:p w14:paraId="5A595169" w14:textId="77777777" w:rsidR="00617673" w:rsidRPr="00617673" w:rsidRDefault="00C62AA4" w:rsidP="00617673">
      <w:pPr>
        <w:pStyle w:val="SingleTxtG"/>
        <w:rPr>
          <w:lang w:val="fr-FR"/>
        </w:rPr>
      </w:pPr>
      <w:r>
        <w:rPr>
          <w:lang w:val="fr-FR"/>
        </w:rPr>
        <w:t>83.</w:t>
      </w:r>
      <w:r>
        <w:rPr>
          <w:lang w:val="fr-FR"/>
        </w:rPr>
        <w:tab/>
      </w:r>
      <w:r w:rsidR="00617673" w:rsidRPr="00617673">
        <w:rPr>
          <w:lang w:val="fr-FR"/>
        </w:rPr>
        <w:t>Des jeunes hommes accusés de soutenir ou d’appartenir aux groupes armés d’opposition, souvent en raison d’un séjour ou d’un déplacement à l’étranger, ou en lien avec leur implication, réelle ou supposée, dans la contestation contre le troisième mandat ou les incidents sécuritaires de 2015, avaient continué d’êtr</w:t>
      </w:r>
      <w:r>
        <w:rPr>
          <w:lang w:val="fr-FR"/>
        </w:rPr>
        <w:t>e spécifiquement visés.</w:t>
      </w:r>
    </w:p>
    <w:p w14:paraId="2F950F20" w14:textId="4699D12C" w:rsidR="00617673" w:rsidRPr="00617673" w:rsidRDefault="00617673" w:rsidP="00617673">
      <w:pPr>
        <w:pStyle w:val="SingleTxtG"/>
        <w:rPr>
          <w:lang w:val="fr-FR"/>
        </w:rPr>
      </w:pPr>
      <w:r w:rsidRPr="00617673">
        <w:rPr>
          <w:lang w:val="fr-FR"/>
        </w:rPr>
        <w:t>84.</w:t>
      </w:r>
      <w:r w:rsidRPr="00617673">
        <w:rPr>
          <w:lang w:val="fr-FR"/>
        </w:rPr>
        <w:tab/>
        <w:t xml:space="preserve">Des personnes sans affiliation ou activité politique avaient été également ciblées pour avoir refusé de rejoindre le CNDD-FDD ou sa ligue des jeunes. De même, les personnes suspectées de ne pas vouloir suivre la ligne du Gouvernement et du CNDD-FDD, notamment pour soutenir la révision constitutionnelle, avaient également été visées, ainsi que celles qui n’avaient pas versé les diverses contributions financières exigées, principalement pour financer les élections de 2020, et même si cela était dû à </w:t>
      </w:r>
      <w:r w:rsidR="00C62AA4">
        <w:rPr>
          <w:lang w:val="fr-FR"/>
        </w:rPr>
        <w:t>un manque de moyens financiers.</w:t>
      </w:r>
    </w:p>
    <w:p w14:paraId="0471FA46" w14:textId="77777777" w:rsidR="00617673" w:rsidRPr="00617673" w:rsidRDefault="00617673" w:rsidP="00617673">
      <w:pPr>
        <w:pStyle w:val="SingleTxtG"/>
        <w:rPr>
          <w:lang w:val="fr-FR"/>
        </w:rPr>
      </w:pPr>
      <w:r w:rsidRPr="00617673">
        <w:rPr>
          <w:lang w:val="fr-FR"/>
        </w:rPr>
        <w:t>85.</w:t>
      </w:r>
      <w:r w:rsidRPr="00617673">
        <w:rPr>
          <w:lang w:val="fr-FR"/>
        </w:rPr>
        <w:tab/>
        <w:t>Des membres de la famille ou des proches de personnes ciblées avaient également été victimes de violations, de manière délibérée ou suite à une erreur d’identité, ou encore par opportunisme, notamment lors d’attaques nocturnes de foyers au cours desquelles des femmes et des filles présentes avaient été v</w:t>
      </w:r>
      <w:r w:rsidR="00C62AA4">
        <w:rPr>
          <w:lang w:val="fr-FR"/>
        </w:rPr>
        <w:t>ictimes de violences sexuelles.</w:t>
      </w:r>
    </w:p>
    <w:p w14:paraId="239AF306" w14:textId="77777777" w:rsidR="00617673" w:rsidRPr="00617673" w:rsidRDefault="00617673" w:rsidP="00617673">
      <w:pPr>
        <w:pStyle w:val="SingleTxtG"/>
        <w:rPr>
          <w:lang w:val="fr-FR"/>
        </w:rPr>
      </w:pPr>
      <w:r w:rsidRPr="00617673">
        <w:rPr>
          <w:lang w:val="fr-FR"/>
        </w:rPr>
        <w:t>86.</w:t>
      </w:r>
      <w:r w:rsidRPr="00617673">
        <w:rPr>
          <w:lang w:val="fr-FR"/>
        </w:rPr>
        <w:tab/>
        <w:t>Des ressortissants burundais qui avaient pris refuge à l’étranger et étaient rentrés au Burundi, notamment dans le cadre du programme d’aide au retour volontaire établi en 2017, avaient été également ciblés. De manière plus générale, nombre d’entre eux, une fois arrivés sur leur colline d’origine, avaient fait face à une suspicion globale, voire une véritable hostilité de la part des autorités administrativ</w:t>
      </w:r>
      <w:r w:rsidR="00C62AA4">
        <w:rPr>
          <w:lang w:val="fr-FR"/>
        </w:rPr>
        <w:t>es locales et des Imbonerakure.</w:t>
      </w:r>
    </w:p>
    <w:p w14:paraId="0A69EB60" w14:textId="77777777" w:rsidR="00617673" w:rsidRPr="00617673" w:rsidRDefault="00617673" w:rsidP="00617673">
      <w:pPr>
        <w:pStyle w:val="SingleTxtG"/>
      </w:pPr>
      <w:r w:rsidRPr="00617673">
        <w:t>87.</w:t>
      </w:r>
      <w:r w:rsidRPr="00617673">
        <w:tab/>
        <w:t>De nombreuses violations avaient eu lieu dans des zones rurales, au niveau des zones et des collines quadrillées par les Imbonerakure, qui cherchaient à contrôler la population dans son ensemble, particulièrement au niveau de la base, et contraindre son allégeance au CNDD-FDD. C’étaient donc principalement des gens modestes, voire pauvres, souvent des cultivateurs sans grands moyens ni beaucoup d’éducation qui avaient été visés à cette période alors qu’au début de la crise, la répression avait touché principalement des leaders politiques et des responsables de la société civile, y compris des défenseurs des droits de l’homme, des étudiants, qui résidaient en majorité dans la ville de Bujumbura. Les défenseurs des droits de l’homme et les journalistes sont restés des cibles du régime depuis 2015, même si beaucoup d’entre eux ont dû fuir le pays.</w:t>
      </w:r>
    </w:p>
    <w:p w14:paraId="1C776C36" w14:textId="77777777" w:rsidR="00617673" w:rsidRPr="00617673" w:rsidRDefault="00C62AA4" w:rsidP="00C62AA4">
      <w:pPr>
        <w:pStyle w:val="H23G"/>
      </w:pPr>
      <w:r>
        <w:tab/>
      </w:r>
      <w:r w:rsidR="00617673" w:rsidRPr="00617673">
        <w:t>d)</w:t>
      </w:r>
      <w:r>
        <w:tab/>
      </w:r>
      <w:r w:rsidR="00617673" w:rsidRPr="00617673">
        <w:t>2019-2020</w:t>
      </w:r>
    </w:p>
    <w:p w14:paraId="2C7F1F25" w14:textId="77777777" w:rsidR="00617673" w:rsidRPr="00617673" w:rsidRDefault="00617673" w:rsidP="00617673">
      <w:pPr>
        <w:pStyle w:val="SingleTxtG"/>
      </w:pPr>
      <w:r w:rsidRPr="00617673">
        <w:t>88.</w:t>
      </w:r>
      <w:r w:rsidRPr="00617673">
        <w:tab/>
        <w:t>Les principales violations avaient eu lieu dans le contexte du processus électoral de 2020 qui avait commencé dès 2019, avec de nombreuses violations des libertés publiques, notamment la liberté de réunion pacifique et d’association, la liberté d’expression et d’information et celle de prendre part à la direction des affaires publiques, qui comprend le droit de voter librement et d’être élu. Les appels à la haine politique et/ou ethnique - dont certains constituaient une incitation à la discrimination, à l’hostilité ou à la violence, s’étaient multipliés durant cette période.</w:t>
      </w:r>
    </w:p>
    <w:p w14:paraId="23DAABE1" w14:textId="77777777" w:rsidR="00617673" w:rsidRPr="00617673" w:rsidRDefault="00617673" w:rsidP="00617673">
      <w:pPr>
        <w:pStyle w:val="SingleTxtG"/>
      </w:pPr>
      <w:r w:rsidRPr="00617673">
        <w:t>89.</w:t>
      </w:r>
      <w:r w:rsidRPr="00617673">
        <w:tab/>
        <w:t>Les principales victimes avaient été les partis politiques d’opposition et leurs membres ainsi que des journalistes et des organes de presse indépendants. La population en général avait néanmoins continué de subir de manière régulière des violations des droits de l’homme et de vivre sous le contrôle étroit des Imbonerakure et des responsables administratifs locaux affiliés au parti au pouvoir.</w:t>
      </w:r>
    </w:p>
    <w:p w14:paraId="17009DA0" w14:textId="77777777" w:rsidR="00617673" w:rsidRPr="00617673" w:rsidRDefault="00675BA1" w:rsidP="00675BA1">
      <w:pPr>
        <w:pStyle w:val="H23G"/>
      </w:pPr>
      <w:r>
        <w:tab/>
      </w:r>
      <w:r w:rsidR="00617673" w:rsidRPr="00617673">
        <w:t>e)</w:t>
      </w:r>
      <w:r>
        <w:tab/>
      </w:r>
      <w:r w:rsidR="00617673" w:rsidRPr="00617673">
        <w:t>Principaux auteurs</w:t>
      </w:r>
    </w:p>
    <w:p w14:paraId="0DABB029" w14:textId="43B56FF1" w:rsidR="00617673" w:rsidRPr="00617673" w:rsidRDefault="00617673" w:rsidP="00617673">
      <w:pPr>
        <w:pStyle w:val="SingleTxtG"/>
        <w:rPr>
          <w:lang w:val="fr-FR"/>
        </w:rPr>
      </w:pPr>
      <w:r w:rsidRPr="00617673">
        <w:rPr>
          <w:lang w:val="fr-FR"/>
        </w:rPr>
        <w:t>90.</w:t>
      </w:r>
      <w:r w:rsidRPr="00617673">
        <w:rPr>
          <w:lang w:val="fr-FR"/>
        </w:rPr>
        <w:tab/>
        <w:t>Dans un premier temps, les principaux auteurs avaient été des agents de la police, notamment de ses unités spécialisées de l’Appui à la protection des institutions (API) et les Groupes mobiles d’intervention rapide (GMIR), et du SNR, ainsi que des militaires. Cependant, ces derniers ont été plus rarement impliqués dans les cas de violation des droits de l’homme après 2016, lorsque la répression directe des manifestations de 2015, de la tentative du coup d’État de mai 2015 et des attaques des camps militaires de décembre 2015 s’est progressivement estom</w:t>
      </w:r>
      <w:r w:rsidR="00675BA1">
        <w:rPr>
          <w:lang w:val="fr-FR"/>
        </w:rPr>
        <w:t>pée.</w:t>
      </w:r>
    </w:p>
    <w:p w14:paraId="0E91CEBE" w14:textId="77777777" w:rsidR="00617673" w:rsidRPr="00617673" w:rsidRDefault="00617673" w:rsidP="00617673">
      <w:pPr>
        <w:pStyle w:val="SingleTxtG"/>
        <w:rPr>
          <w:lang w:val="fr-FR"/>
        </w:rPr>
      </w:pPr>
      <w:r w:rsidRPr="00617673">
        <w:rPr>
          <w:lang w:val="fr-FR"/>
        </w:rPr>
        <w:t>91.</w:t>
      </w:r>
      <w:r w:rsidRPr="00617673">
        <w:rPr>
          <w:lang w:val="fr-FR"/>
        </w:rPr>
        <w:tab/>
        <w:t>En revanche, au fil des années, des Imbonerakure et des responsables administratifs locaux, agissant seuls ou conjointement avec des agents de police ou du SNR, ont été de plus en plus fréquemment impliqués dans les violations des droits de l’homme. Dans les cas d’arrestation et de détention arbitraires, en plus des agents de la police et du SNR qui en sont directement responsables, le personnel judiciaire et parfois pénitentiaire était également responsable des cas de détention arbitraire.</w:t>
      </w:r>
    </w:p>
    <w:p w14:paraId="0AB50B32" w14:textId="77777777" w:rsidR="00617673" w:rsidRPr="00617673" w:rsidRDefault="00675BA1" w:rsidP="00675BA1">
      <w:pPr>
        <w:pStyle w:val="H23G"/>
      </w:pPr>
      <w:r>
        <w:tab/>
      </w:r>
      <w:r w:rsidR="00617673" w:rsidRPr="00617673">
        <w:t>2.</w:t>
      </w:r>
      <w:r>
        <w:tab/>
      </w:r>
      <w:r w:rsidR="00617673" w:rsidRPr="00617673">
        <w:t>Indices statistiques depuis 2015</w:t>
      </w:r>
    </w:p>
    <w:p w14:paraId="5E7B2B2B" w14:textId="77777777" w:rsidR="00617673" w:rsidRPr="00617673" w:rsidRDefault="00617673" w:rsidP="00617673">
      <w:pPr>
        <w:pStyle w:val="SingleTxtG"/>
      </w:pPr>
      <w:r w:rsidRPr="00617673">
        <w:t>92.</w:t>
      </w:r>
      <w:r w:rsidRPr="00617673">
        <w:tab/>
        <w:t xml:space="preserve">Plusieurs organisations indépendantes ont effectué chaque année des analyses quantitatives qui démontrent toute la dégradation incontestable de la situation des droits de l’homme depuis 2015, et ces indices statistiques corroborent parfaitement les constatations et les conclusions de la Commission d’enquête depuis le début de ses enquêtes. </w:t>
      </w:r>
    </w:p>
    <w:p w14:paraId="3633FEB1" w14:textId="77777777" w:rsidR="00617673" w:rsidRPr="00617673" w:rsidRDefault="00675BA1" w:rsidP="00675BA1">
      <w:pPr>
        <w:pStyle w:val="H23G"/>
      </w:pPr>
      <w:r>
        <w:tab/>
      </w:r>
      <w:r w:rsidR="00617673" w:rsidRPr="00617673">
        <w:t>a)</w:t>
      </w:r>
      <w:r>
        <w:tab/>
      </w:r>
      <w:r w:rsidR="00617673" w:rsidRPr="00617673">
        <w:t>Les libertés publiques</w:t>
      </w:r>
    </w:p>
    <w:p w14:paraId="03BE9FA0" w14:textId="77777777" w:rsidR="00617673" w:rsidRDefault="00617673" w:rsidP="00617673">
      <w:pPr>
        <w:pStyle w:val="SingleTxtG"/>
      </w:pPr>
      <w:r w:rsidRPr="00617673">
        <w:t>93.</w:t>
      </w:r>
      <w:r w:rsidRPr="00617673">
        <w:tab/>
        <w:t>Freedom House prépare annuellement un indice de la « liberté d’accès des populations à leurs droits politiques et aux libertés publiques » dans chaque pays. Selon le dernier indice disponible, le Burundi obtient pour l’année 2020 le score très faible de 14 points sur 100 (4 points sur 40 pour le respect des droits politiques et 10 points sur 60 pour celui des libertés publiques), ce qui le classe parmi les pays « non libres »</w:t>
      </w:r>
      <w:r w:rsidRPr="00617673">
        <w:rPr>
          <w:vertAlign w:val="superscript"/>
        </w:rPr>
        <w:footnoteReference w:id="88"/>
      </w:r>
      <w:r w:rsidRPr="00617673">
        <w:t>. Le déclin du respect des droits politiques et des libertés publiques au Burundi depuis 2015 est clairement révélé par cet instrument</w:t>
      </w:r>
      <w:r w:rsidRPr="00617673">
        <w:rPr>
          <w:vertAlign w:val="superscript"/>
        </w:rPr>
        <w:footnoteReference w:id="89"/>
      </w:r>
      <w:r w:rsidRPr="00617673">
        <w:t>.</w:t>
      </w:r>
    </w:p>
    <w:p w14:paraId="5B6F58A9" w14:textId="77777777" w:rsidR="00675BA1" w:rsidRPr="00617673" w:rsidRDefault="00675BA1" w:rsidP="00617673">
      <w:pPr>
        <w:pStyle w:val="SingleTxtG"/>
      </w:pPr>
    </w:p>
    <w:tbl>
      <w:tblPr>
        <w:tblStyle w:val="TableGrid7"/>
        <w:tblW w:w="0" w:type="auto"/>
        <w:tblInd w:w="1129" w:type="dxa"/>
        <w:tblLayout w:type="fixed"/>
        <w:tblLook w:val="04A0" w:firstRow="1" w:lastRow="0" w:firstColumn="1" w:lastColumn="0" w:noHBand="0" w:noVBand="1"/>
      </w:tblPr>
      <w:tblGrid>
        <w:gridCol w:w="993"/>
        <w:gridCol w:w="992"/>
        <w:gridCol w:w="992"/>
        <w:gridCol w:w="1276"/>
        <w:gridCol w:w="992"/>
        <w:gridCol w:w="992"/>
        <w:gridCol w:w="1134"/>
      </w:tblGrid>
      <w:tr w:rsidR="00675BA1" w:rsidRPr="00617673" w14:paraId="13B9BFD3" w14:textId="77777777" w:rsidTr="003C0DC2">
        <w:trPr>
          <w:trHeight w:val="404"/>
        </w:trPr>
        <w:tc>
          <w:tcPr>
            <w:tcW w:w="993" w:type="dxa"/>
          </w:tcPr>
          <w:p w14:paraId="59A93CFC" w14:textId="77777777" w:rsidR="00675BA1" w:rsidRPr="00617673" w:rsidRDefault="00675BA1" w:rsidP="003C2ED3">
            <w:pPr>
              <w:rPr>
                <w:lang w:val="en-GB"/>
              </w:rPr>
            </w:pPr>
            <w:r w:rsidRPr="00617673">
              <w:rPr>
                <w:lang w:val="en-GB"/>
              </w:rPr>
              <w:t>2014</w:t>
            </w:r>
          </w:p>
        </w:tc>
        <w:tc>
          <w:tcPr>
            <w:tcW w:w="992" w:type="dxa"/>
          </w:tcPr>
          <w:p w14:paraId="4C957779" w14:textId="77777777" w:rsidR="00675BA1" w:rsidRPr="00617673" w:rsidRDefault="00675BA1" w:rsidP="003C2ED3">
            <w:pPr>
              <w:rPr>
                <w:lang w:val="en-GB"/>
              </w:rPr>
            </w:pPr>
            <w:r w:rsidRPr="00617673">
              <w:rPr>
                <w:lang w:val="en-GB"/>
              </w:rPr>
              <w:t>2015</w:t>
            </w:r>
          </w:p>
        </w:tc>
        <w:tc>
          <w:tcPr>
            <w:tcW w:w="992" w:type="dxa"/>
          </w:tcPr>
          <w:p w14:paraId="1D153453" w14:textId="77777777" w:rsidR="00675BA1" w:rsidRPr="00617673" w:rsidRDefault="00675BA1" w:rsidP="003C2ED3">
            <w:pPr>
              <w:rPr>
                <w:lang w:val="en-GB"/>
              </w:rPr>
            </w:pPr>
            <w:r w:rsidRPr="00617673">
              <w:rPr>
                <w:lang w:val="en-GB"/>
              </w:rPr>
              <w:t>2016</w:t>
            </w:r>
          </w:p>
        </w:tc>
        <w:tc>
          <w:tcPr>
            <w:tcW w:w="1276" w:type="dxa"/>
          </w:tcPr>
          <w:p w14:paraId="5185260C" w14:textId="77777777" w:rsidR="00675BA1" w:rsidRPr="00617673" w:rsidRDefault="00675BA1" w:rsidP="003C2ED3">
            <w:pPr>
              <w:rPr>
                <w:lang w:val="en-GB"/>
              </w:rPr>
            </w:pPr>
            <w:r w:rsidRPr="00617673">
              <w:rPr>
                <w:lang w:val="en-GB"/>
              </w:rPr>
              <w:t>2017</w:t>
            </w:r>
          </w:p>
        </w:tc>
        <w:tc>
          <w:tcPr>
            <w:tcW w:w="992" w:type="dxa"/>
          </w:tcPr>
          <w:p w14:paraId="7C1188A7" w14:textId="77777777" w:rsidR="00675BA1" w:rsidRPr="00617673" w:rsidRDefault="00675BA1" w:rsidP="003C2ED3">
            <w:pPr>
              <w:rPr>
                <w:lang w:val="en-GB"/>
              </w:rPr>
            </w:pPr>
            <w:r w:rsidRPr="00617673">
              <w:rPr>
                <w:lang w:val="en-GB"/>
              </w:rPr>
              <w:t>2018</w:t>
            </w:r>
          </w:p>
        </w:tc>
        <w:tc>
          <w:tcPr>
            <w:tcW w:w="992" w:type="dxa"/>
          </w:tcPr>
          <w:p w14:paraId="47B456E5" w14:textId="77777777" w:rsidR="00675BA1" w:rsidRPr="00617673" w:rsidRDefault="00675BA1" w:rsidP="003C2ED3">
            <w:pPr>
              <w:rPr>
                <w:lang w:val="en-GB"/>
              </w:rPr>
            </w:pPr>
            <w:r w:rsidRPr="00617673">
              <w:rPr>
                <w:lang w:val="en-GB"/>
              </w:rPr>
              <w:t>2019</w:t>
            </w:r>
          </w:p>
        </w:tc>
        <w:tc>
          <w:tcPr>
            <w:tcW w:w="1134" w:type="dxa"/>
          </w:tcPr>
          <w:p w14:paraId="6C765C24" w14:textId="77777777" w:rsidR="00675BA1" w:rsidRPr="00617673" w:rsidRDefault="00675BA1" w:rsidP="003C2ED3">
            <w:pPr>
              <w:rPr>
                <w:lang w:val="en-GB"/>
              </w:rPr>
            </w:pPr>
            <w:r w:rsidRPr="00617673">
              <w:rPr>
                <w:lang w:val="en-GB"/>
              </w:rPr>
              <w:t>2020</w:t>
            </w:r>
          </w:p>
        </w:tc>
      </w:tr>
      <w:tr w:rsidR="00675BA1" w:rsidRPr="00617673" w14:paraId="021655A9" w14:textId="77777777" w:rsidTr="003C0DC2">
        <w:trPr>
          <w:trHeight w:val="404"/>
        </w:trPr>
        <w:tc>
          <w:tcPr>
            <w:tcW w:w="993" w:type="dxa"/>
          </w:tcPr>
          <w:p w14:paraId="5800C71C" w14:textId="77777777" w:rsidR="00675BA1" w:rsidRPr="00617673" w:rsidRDefault="00675BA1" w:rsidP="003C2ED3">
            <w:pPr>
              <w:rPr>
                <w:lang w:val="en-GB"/>
              </w:rPr>
            </w:pPr>
            <w:r w:rsidRPr="00617673">
              <w:rPr>
                <w:lang w:val="en-GB"/>
              </w:rPr>
              <w:t>32/100</w:t>
            </w:r>
          </w:p>
        </w:tc>
        <w:tc>
          <w:tcPr>
            <w:tcW w:w="992" w:type="dxa"/>
          </w:tcPr>
          <w:p w14:paraId="30E365A0" w14:textId="77777777" w:rsidR="00675BA1" w:rsidRPr="00617673" w:rsidRDefault="00675BA1" w:rsidP="003C2ED3">
            <w:pPr>
              <w:rPr>
                <w:lang w:val="en-GB"/>
              </w:rPr>
            </w:pPr>
            <w:r w:rsidRPr="00617673">
              <w:rPr>
                <w:lang w:val="en-GB"/>
              </w:rPr>
              <w:t>19/100</w:t>
            </w:r>
          </w:p>
        </w:tc>
        <w:tc>
          <w:tcPr>
            <w:tcW w:w="992" w:type="dxa"/>
          </w:tcPr>
          <w:p w14:paraId="1EBE668C" w14:textId="77777777" w:rsidR="00675BA1" w:rsidRPr="00617673" w:rsidRDefault="00675BA1" w:rsidP="003C2ED3">
            <w:pPr>
              <w:rPr>
                <w:lang w:val="en-GB"/>
              </w:rPr>
            </w:pPr>
            <w:r w:rsidRPr="00617673">
              <w:rPr>
                <w:lang w:val="en-GB"/>
              </w:rPr>
              <w:t>19/100</w:t>
            </w:r>
          </w:p>
        </w:tc>
        <w:tc>
          <w:tcPr>
            <w:tcW w:w="1276" w:type="dxa"/>
          </w:tcPr>
          <w:p w14:paraId="0970BDEA" w14:textId="77777777" w:rsidR="00675BA1" w:rsidRPr="00617673" w:rsidRDefault="00675BA1" w:rsidP="003C2ED3">
            <w:pPr>
              <w:rPr>
                <w:lang w:val="en-GB"/>
              </w:rPr>
            </w:pPr>
            <w:r w:rsidRPr="00617673">
              <w:rPr>
                <w:lang w:val="en-GB"/>
              </w:rPr>
              <w:t>18/100</w:t>
            </w:r>
          </w:p>
        </w:tc>
        <w:tc>
          <w:tcPr>
            <w:tcW w:w="992" w:type="dxa"/>
          </w:tcPr>
          <w:p w14:paraId="45325E33" w14:textId="77777777" w:rsidR="00675BA1" w:rsidRPr="00617673" w:rsidRDefault="00675BA1" w:rsidP="003C2ED3">
            <w:pPr>
              <w:rPr>
                <w:lang w:val="en-GB"/>
              </w:rPr>
            </w:pPr>
            <w:r w:rsidRPr="00617673">
              <w:rPr>
                <w:lang w:val="en-GB"/>
              </w:rPr>
              <w:t>14/100</w:t>
            </w:r>
          </w:p>
        </w:tc>
        <w:tc>
          <w:tcPr>
            <w:tcW w:w="992" w:type="dxa"/>
          </w:tcPr>
          <w:p w14:paraId="38549A1A" w14:textId="77777777" w:rsidR="00675BA1" w:rsidRPr="00617673" w:rsidRDefault="00675BA1" w:rsidP="003C2ED3">
            <w:pPr>
              <w:rPr>
                <w:lang w:val="en-GB"/>
              </w:rPr>
            </w:pPr>
            <w:r w:rsidRPr="00617673">
              <w:rPr>
                <w:lang w:val="en-GB"/>
              </w:rPr>
              <w:t>13/100</w:t>
            </w:r>
          </w:p>
        </w:tc>
        <w:tc>
          <w:tcPr>
            <w:tcW w:w="1134" w:type="dxa"/>
          </w:tcPr>
          <w:p w14:paraId="20A8AD8A" w14:textId="77777777" w:rsidR="00675BA1" w:rsidRPr="00617673" w:rsidRDefault="00675BA1" w:rsidP="003C2ED3">
            <w:pPr>
              <w:rPr>
                <w:lang w:val="en-GB"/>
              </w:rPr>
            </w:pPr>
            <w:r w:rsidRPr="00617673">
              <w:rPr>
                <w:lang w:val="en-GB"/>
              </w:rPr>
              <w:t>14/100</w:t>
            </w:r>
          </w:p>
        </w:tc>
      </w:tr>
    </w:tbl>
    <w:p w14:paraId="2DE0F5A9" w14:textId="77777777" w:rsidR="00617673" w:rsidRPr="00617673" w:rsidRDefault="00617673" w:rsidP="003C0DC2">
      <w:pPr>
        <w:pStyle w:val="SingleTxtG"/>
        <w:jc w:val="center"/>
        <w:rPr>
          <w:i/>
        </w:rPr>
      </w:pPr>
      <w:r w:rsidRPr="00617673">
        <w:rPr>
          <w:i/>
        </w:rPr>
        <w:t>Indice des libertés publiques au Burundi de 2014 à 2020 de Freedom House</w:t>
      </w:r>
    </w:p>
    <w:p w14:paraId="2A3D0FE4" w14:textId="77777777" w:rsidR="00617673" w:rsidRPr="00617673" w:rsidRDefault="00675BA1" w:rsidP="00675BA1">
      <w:pPr>
        <w:pStyle w:val="H23G"/>
      </w:pPr>
      <w:r>
        <w:tab/>
      </w:r>
      <w:r w:rsidR="00617673" w:rsidRPr="00617673">
        <w:t>b)</w:t>
      </w:r>
      <w:r>
        <w:tab/>
      </w:r>
      <w:r w:rsidR="00617673" w:rsidRPr="00617673">
        <w:t>La liberté de la presse</w:t>
      </w:r>
    </w:p>
    <w:p w14:paraId="039770DA" w14:textId="77777777" w:rsidR="00617673" w:rsidRPr="00617673" w:rsidRDefault="00675BA1" w:rsidP="00617673">
      <w:pPr>
        <w:pStyle w:val="SingleTxtG"/>
        <w:rPr>
          <w:lang w:val="fr-FR"/>
        </w:rPr>
      </w:pPr>
      <w:r>
        <w:t>94.</w:t>
      </w:r>
      <w:r>
        <w:tab/>
      </w:r>
      <w:r w:rsidR="00617673" w:rsidRPr="00617673">
        <w:t xml:space="preserve">L’organisation Reporters sans frontières établit chaque année un classement de la situation de la liberté de la presse dans 180 pays et territoires en les ordonnant du plus respectueux de la liberté de la presse au pays le moins libre. Les performances du Burundi depuis 2015 dans ce domaine sont très claires, comme le démontre le tableau ci-dessous. Si le Burundi a gagné 13 places dans ce classement en 2021, cela est </w:t>
      </w:r>
      <w:r w:rsidR="00617673" w:rsidRPr="00617673">
        <w:rPr>
          <w:lang w:val="fr-FR"/>
        </w:rPr>
        <w:t xml:space="preserve">dû principalement à la libération des quatre journalistes du Groupe de presse </w:t>
      </w:r>
      <w:r w:rsidR="00617673" w:rsidRPr="00617673">
        <w:rPr>
          <w:iCs/>
          <w:lang w:val="fr-FR"/>
        </w:rPr>
        <w:t>Iwacu suite à la grâce présidentielle qui leur a été accordée</w:t>
      </w:r>
      <w:r w:rsidR="00617673" w:rsidRPr="00617673">
        <w:rPr>
          <w:i/>
          <w:iCs/>
          <w:vertAlign w:val="superscript"/>
          <w:lang w:val="fr-FR"/>
        </w:rPr>
        <w:footnoteReference w:id="90"/>
      </w:r>
      <w:r w:rsidR="00617673" w:rsidRPr="00617673">
        <w:rPr>
          <w:lang w:val="fr-FR"/>
        </w:rPr>
        <w:t>.</w:t>
      </w:r>
    </w:p>
    <w:tbl>
      <w:tblPr>
        <w:tblStyle w:val="TableGrid7"/>
        <w:tblW w:w="0" w:type="auto"/>
        <w:tblLook w:val="04A0" w:firstRow="1" w:lastRow="0" w:firstColumn="1" w:lastColumn="0" w:noHBand="0" w:noVBand="1"/>
      </w:tblPr>
      <w:tblGrid>
        <w:gridCol w:w="981"/>
        <w:gridCol w:w="663"/>
        <w:gridCol w:w="918"/>
        <w:gridCol w:w="917"/>
        <w:gridCol w:w="916"/>
        <w:gridCol w:w="916"/>
        <w:gridCol w:w="916"/>
        <w:gridCol w:w="951"/>
        <w:gridCol w:w="879"/>
        <w:gridCol w:w="966"/>
      </w:tblGrid>
      <w:tr w:rsidR="00617673" w:rsidRPr="00617673" w14:paraId="730543E0" w14:textId="77777777" w:rsidTr="00251C07">
        <w:tc>
          <w:tcPr>
            <w:tcW w:w="981" w:type="dxa"/>
          </w:tcPr>
          <w:p w14:paraId="3770A77D" w14:textId="77777777" w:rsidR="00617673" w:rsidRPr="00617673" w:rsidRDefault="00617673" w:rsidP="00A6387A"/>
        </w:tc>
        <w:tc>
          <w:tcPr>
            <w:tcW w:w="663" w:type="dxa"/>
          </w:tcPr>
          <w:p w14:paraId="77D63FB9" w14:textId="77777777" w:rsidR="00617673" w:rsidRPr="00617673" w:rsidRDefault="00617673" w:rsidP="00A6387A">
            <w:pPr>
              <w:rPr>
                <w:lang w:val="en-GB"/>
              </w:rPr>
            </w:pPr>
            <w:r w:rsidRPr="00617673">
              <w:rPr>
                <w:lang w:val="en-GB"/>
              </w:rPr>
              <w:t>2013</w:t>
            </w:r>
          </w:p>
        </w:tc>
        <w:tc>
          <w:tcPr>
            <w:tcW w:w="918" w:type="dxa"/>
          </w:tcPr>
          <w:p w14:paraId="715789D3" w14:textId="77777777" w:rsidR="00617673" w:rsidRPr="00617673" w:rsidRDefault="00617673" w:rsidP="00A6387A">
            <w:pPr>
              <w:rPr>
                <w:lang w:val="en-GB"/>
              </w:rPr>
            </w:pPr>
            <w:r w:rsidRPr="00617673">
              <w:rPr>
                <w:lang w:val="en-GB"/>
              </w:rPr>
              <w:t>2014</w:t>
            </w:r>
          </w:p>
        </w:tc>
        <w:tc>
          <w:tcPr>
            <w:tcW w:w="917" w:type="dxa"/>
          </w:tcPr>
          <w:p w14:paraId="464F59F7" w14:textId="77777777" w:rsidR="00617673" w:rsidRPr="00617673" w:rsidRDefault="00617673" w:rsidP="00A6387A">
            <w:pPr>
              <w:rPr>
                <w:lang w:val="en-GB"/>
              </w:rPr>
            </w:pPr>
            <w:r w:rsidRPr="00617673">
              <w:rPr>
                <w:lang w:val="en-GB"/>
              </w:rPr>
              <w:t>2015</w:t>
            </w:r>
          </w:p>
        </w:tc>
        <w:tc>
          <w:tcPr>
            <w:tcW w:w="916" w:type="dxa"/>
          </w:tcPr>
          <w:p w14:paraId="6D3B2B60" w14:textId="77777777" w:rsidR="00617673" w:rsidRPr="00617673" w:rsidRDefault="00617673" w:rsidP="00A6387A">
            <w:pPr>
              <w:rPr>
                <w:lang w:val="en-GB"/>
              </w:rPr>
            </w:pPr>
            <w:r w:rsidRPr="00617673">
              <w:rPr>
                <w:lang w:val="en-GB"/>
              </w:rPr>
              <w:t>2016</w:t>
            </w:r>
          </w:p>
        </w:tc>
        <w:tc>
          <w:tcPr>
            <w:tcW w:w="916" w:type="dxa"/>
          </w:tcPr>
          <w:p w14:paraId="11FBE921" w14:textId="77777777" w:rsidR="00617673" w:rsidRPr="00617673" w:rsidRDefault="00617673" w:rsidP="00A6387A">
            <w:pPr>
              <w:rPr>
                <w:lang w:val="en-GB"/>
              </w:rPr>
            </w:pPr>
            <w:r w:rsidRPr="00617673">
              <w:rPr>
                <w:lang w:val="en-GB"/>
              </w:rPr>
              <w:t>2017</w:t>
            </w:r>
          </w:p>
        </w:tc>
        <w:tc>
          <w:tcPr>
            <w:tcW w:w="916" w:type="dxa"/>
          </w:tcPr>
          <w:p w14:paraId="082B5628" w14:textId="77777777" w:rsidR="00617673" w:rsidRPr="00617673" w:rsidRDefault="00617673" w:rsidP="00A6387A">
            <w:pPr>
              <w:rPr>
                <w:lang w:val="en-GB"/>
              </w:rPr>
            </w:pPr>
            <w:r w:rsidRPr="00617673">
              <w:rPr>
                <w:lang w:val="en-GB"/>
              </w:rPr>
              <w:t>2018</w:t>
            </w:r>
          </w:p>
        </w:tc>
        <w:tc>
          <w:tcPr>
            <w:tcW w:w="951" w:type="dxa"/>
          </w:tcPr>
          <w:p w14:paraId="0194F4BB" w14:textId="77777777" w:rsidR="00617673" w:rsidRPr="00617673" w:rsidRDefault="00617673" w:rsidP="00A6387A">
            <w:pPr>
              <w:rPr>
                <w:lang w:val="en-GB"/>
              </w:rPr>
            </w:pPr>
            <w:r w:rsidRPr="00617673">
              <w:rPr>
                <w:lang w:val="en-GB"/>
              </w:rPr>
              <w:t>2019</w:t>
            </w:r>
          </w:p>
        </w:tc>
        <w:tc>
          <w:tcPr>
            <w:tcW w:w="879" w:type="dxa"/>
          </w:tcPr>
          <w:p w14:paraId="4A7D6640" w14:textId="77777777" w:rsidR="00617673" w:rsidRPr="00617673" w:rsidRDefault="00617673" w:rsidP="00A6387A">
            <w:pPr>
              <w:rPr>
                <w:lang w:val="en-GB"/>
              </w:rPr>
            </w:pPr>
            <w:r w:rsidRPr="00617673">
              <w:rPr>
                <w:lang w:val="en-GB"/>
              </w:rPr>
              <w:t>2020</w:t>
            </w:r>
          </w:p>
        </w:tc>
        <w:tc>
          <w:tcPr>
            <w:tcW w:w="966" w:type="dxa"/>
          </w:tcPr>
          <w:p w14:paraId="47C8878F" w14:textId="77777777" w:rsidR="00617673" w:rsidRPr="00617673" w:rsidRDefault="00617673" w:rsidP="00A6387A">
            <w:pPr>
              <w:rPr>
                <w:lang w:val="en-GB"/>
              </w:rPr>
            </w:pPr>
            <w:r w:rsidRPr="00617673">
              <w:rPr>
                <w:lang w:val="en-GB"/>
              </w:rPr>
              <w:t>2021</w:t>
            </w:r>
          </w:p>
        </w:tc>
      </w:tr>
      <w:tr w:rsidR="00617673" w:rsidRPr="00617673" w14:paraId="2F4BFEE3" w14:textId="77777777" w:rsidTr="00251C07">
        <w:tc>
          <w:tcPr>
            <w:tcW w:w="981" w:type="dxa"/>
          </w:tcPr>
          <w:p w14:paraId="2C09DACB" w14:textId="77777777" w:rsidR="00617673" w:rsidRPr="00617673" w:rsidRDefault="00617673" w:rsidP="00A6387A">
            <w:pPr>
              <w:rPr>
                <w:lang w:val="en-GB"/>
              </w:rPr>
            </w:pPr>
            <w:r w:rsidRPr="00617673">
              <w:rPr>
                <w:lang w:val="en-GB"/>
              </w:rPr>
              <w:t xml:space="preserve">Rang sur 180 pays </w:t>
            </w:r>
          </w:p>
        </w:tc>
        <w:tc>
          <w:tcPr>
            <w:tcW w:w="663" w:type="dxa"/>
          </w:tcPr>
          <w:p w14:paraId="111B5F50" w14:textId="77777777" w:rsidR="00617673" w:rsidRPr="00617673" w:rsidRDefault="00617673" w:rsidP="00A6387A">
            <w:pPr>
              <w:rPr>
                <w:lang w:val="en-GB"/>
              </w:rPr>
            </w:pPr>
            <w:r w:rsidRPr="00617673">
              <w:rPr>
                <w:lang w:val="en-GB"/>
              </w:rPr>
              <w:t>132</w:t>
            </w:r>
          </w:p>
        </w:tc>
        <w:tc>
          <w:tcPr>
            <w:tcW w:w="918" w:type="dxa"/>
          </w:tcPr>
          <w:p w14:paraId="62243110" w14:textId="77777777" w:rsidR="00617673" w:rsidRPr="00617673" w:rsidRDefault="00617673" w:rsidP="00A6387A">
            <w:pPr>
              <w:rPr>
                <w:lang w:val="en-GB"/>
              </w:rPr>
            </w:pPr>
            <w:r w:rsidRPr="00617673">
              <w:rPr>
                <w:lang w:val="en-GB"/>
              </w:rPr>
              <w:t>142</w:t>
            </w:r>
          </w:p>
        </w:tc>
        <w:tc>
          <w:tcPr>
            <w:tcW w:w="917" w:type="dxa"/>
          </w:tcPr>
          <w:p w14:paraId="217B2B13" w14:textId="77777777" w:rsidR="00617673" w:rsidRPr="00617673" w:rsidRDefault="00617673" w:rsidP="00A6387A">
            <w:pPr>
              <w:rPr>
                <w:lang w:val="en-GB"/>
              </w:rPr>
            </w:pPr>
            <w:r w:rsidRPr="00617673">
              <w:rPr>
                <w:lang w:val="en-GB"/>
              </w:rPr>
              <w:t>145</w:t>
            </w:r>
          </w:p>
        </w:tc>
        <w:tc>
          <w:tcPr>
            <w:tcW w:w="916" w:type="dxa"/>
          </w:tcPr>
          <w:p w14:paraId="0D303FD6" w14:textId="77777777" w:rsidR="00617673" w:rsidRPr="00617673" w:rsidRDefault="00617673" w:rsidP="00A6387A">
            <w:pPr>
              <w:rPr>
                <w:lang w:val="en-GB"/>
              </w:rPr>
            </w:pPr>
            <w:r w:rsidRPr="00617673">
              <w:rPr>
                <w:lang w:val="en-GB"/>
              </w:rPr>
              <w:t>156</w:t>
            </w:r>
          </w:p>
        </w:tc>
        <w:tc>
          <w:tcPr>
            <w:tcW w:w="916" w:type="dxa"/>
          </w:tcPr>
          <w:p w14:paraId="0F0DB69C" w14:textId="77777777" w:rsidR="00617673" w:rsidRPr="00617673" w:rsidRDefault="00617673" w:rsidP="00A6387A">
            <w:pPr>
              <w:rPr>
                <w:lang w:val="en-GB"/>
              </w:rPr>
            </w:pPr>
            <w:r w:rsidRPr="00617673">
              <w:rPr>
                <w:lang w:val="en-GB"/>
              </w:rPr>
              <w:t>160</w:t>
            </w:r>
          </w:p>
        </w:tc>
        <w:tc>
          <w:tcPr>
            <w:tcW w:w="916" w:type="dxa"/>
          </w:tcPr>
          <w:p w14:paraId="1C232530" w14:textId="77777777" w:rsidR="00617673" w:rsidRPr="00617673" w:rsidRDefault="00617673" w:rsidP="00A6387A">
            <w:pPr>
              <w:rPr>
                <w:lang w:val="en-GB"/>
              </w:rPr>
            </w:pPr>
            <w:r w:rsidRPr="00617673">
              <w:rPr>
                <w:lang w:val="en-GB"/>
              </w:rPr>
              <w:t>159</w:t>
            </w:r>
          </w:p>
        </w:tc>
        <w:tc>
          <w:tcPr>
            <w:tcW w:w="951" w:type="dxa"/>
          </w:tcPr>
          <w:p w14:paraId="0B5663DA" w14:textId="77777777" w:rsidR="00617673" w:rsidRPr="00617673" w:rsidRDefault="00617673" w:rsidP="00A6387A">
            <w:pPr>
              <w:rPr>
                <w:lang w:val="en-GB"/>
              </w:rPr>
            </w:pPr>
            <w:r w:rsidRPr="00617673">
              <w:rPr>
                <w:lang w:val="en-GB"/>
              </w:rPr>
              <w:t>159</w:t>
            </w:r>
          </w:p>
        </w:tc>
        <w:tc>
          <w:tcPr>
            <w:tcW w:w="879" w:type="dxa"/>
          </w:tcPr>
          <w:p w14:paraId="0C416BA1" w14:textId="77777777" w:rsidR="00617673" w:rsidRPr="00617673" w:rsidRDefault="00617673" w:rsidP="00A6387A">
            <w:pPr>
              <w:rPr>
                <w:lang w:val="en-GB"/>
              </w:rPr>
            </w:pPr>
            <w:r w:rsidRPr="00617673">
              <w:rPr>
                <w:lang w:val="en-GB"/>
              </w:rPr>
              <w:t>160</w:t>
            </w:r>
          </w:p>
        </w:tc>
        <w:tc>
          <w:tcPr>
            <w:tcW w:w="966" w:type="dxa"/>
          </w:tcPr>
          <w:p w14:paraId="44CAB344" w14:textId="77777777" w:rsidR="00617673" w:rsidRPr="00617673" w:rsidRDefault="00617673" w:rsidP="00A6387A">
            <w:pPr>
              <w:rPr>
                <w:lang w:val="en-GB"/>
              </w:rPr>
            </w:pPr>
            <w:r w:rsidRPr="00617673">
              <w:rPr>
                <w:lang w:val="en-GB"/>
              </w:rPr>
              <w:t>147</w:t>
            </w:r>
          </w:p>
        </w:tc>
      </w:tr>
    </w:tbl>
    <w:p w14:paraId="117E1360" w14:textId="77777777" w:rsidR="00617673" w:rsidRPr="00617673" w:rsidRDefault="00617673" w:rsidP="00617673">
      <w:pPr>
        <w:pStyle w:val="SingleTxtG"/>
        <w:rPr>
          <w:i/>
        </w:rPr>
      </w:pPr>
      <w:r w:rsidRPr="00617673">
        <w:rPr>
          <w:i/>
        </w:rPr>
        <w:t>Indice de la liberté de la presse au Burundi de 2013 à 2021 de Reporters sans frontières</w:t>
      </w:r>
    </w:p>
    <w:p w14:paraId="2CB9F33D" w14:textId="77777777" w:rsidR="00617673" w:rsidRPr="00617673" w:rsidRDefault="003C0DC2" w:rsidP="003C0DC2">
      <w:pPr>
        <w:pStyle w:val="H23G"/>
      </w:pPr>
      <w:r>
        <w:tab/>
      </w:r>
      <w:r w:rsidR="00617673" w:rsidRPr="00617673">
        <w:t>c)</w:t>
      </w:r>
      <w:r>
        <w:tab/>
      </w:r>
      <w:r w:rsidR="00617673" w:rsidRPr="00617673">
        <w:t>La corruption</w:t>
      </w:r>
    </w:p>
    <w:p w14:paraId="74B528D3" w14:textId="77777777" w:rsidR="00617673" w:rsidRDefault="00617673" w:rsidP="00617673">
      <w:pPr>
        <w:pStyle w:val="SingleTxtG"/>
      </w:pPr>
      <w:r w:rsidRPr="00617673">
        <w:t>95.</w:t>
      </w:r>
      <w:r w:rsidRPr="00617673">
        <w:tab/>
        <w:t>En ce qui concerne la corruption, l’indice de perception de la corruption publié annuellement par l’organisation Transparency international est significatif. Un score proche de zéro indique la prévalence de la corruption dans un pays, alors qu’un score proche de 100 témoigne de l’absence de corruption</w:t>
      </w:r>
      <w:r w:rsidRPr="00617673">
        <w:rPr>
          <w:vertAlign w:val="superscript"/>
        </w:rPr>
        <w:footnoteReference w:id="91"/>
      </w:r>
      <w:r w:rsidRPr="00617673">
        <w:t>.</w:t>
      </w:r>
    </w:p>
    <w:tbl>
      <w:tblPr>
        <w:tblStyle w:val="TableGrid7"/>
        <w:tblW w:w="0" w:type="auto"/>
        <w:tblInd w:w="421" w:type="dxa"/>
        <w:tblLook w:val="04A0" w:firstRow="1" w:lastRow="0" w:firstColumn="1" w:lastColumn="0" w:noHBand="0" w:noVBand="1"/>
      </w:tblPr>
      <w:tblGrid>
        <w:gridCol w:w="1275"/>
        <w:gridCol w:w="851"/>
        <w:gridCol w:w="850"/>
        <w:gridCol w:w="851"/>
        <w:gridCol w:w="850"/>
        <w:gridCol w:w="851"/>
        <w:gridCol w:w="850"/>
        <w:gridCol w:w="851"/>
        <w:gridCol w:w="850"/>
      </w:tblGrid>
      <w:tr w:rsidR="00617673" w:rsidRPr="00617673" w14:paraId="2AA9EE9A" w14:textId="77777777" w:rsidTr="003C0DC2">
        <w:tc>
          <w:tcPr>
            <w:tcW w:w="1275" w:type="dxa"/>
          </w:tcPr>
          <w:p w14:paraId="428F881A" w14:textId="77777777" w:rsidR="00617673" w:rsidRPr="00617673" w:rsidRDefault="00617673" w:rsidP="00A6387A"/>
        </w:tc>
        <w:tc>
          <w:tcPr>
            <w:tcW w:w="851" w:type="dxa"/>
          </w:tcPr>
          <w:p w14:paraId="176524BD" w14:textId="77777777" w:rsidR="00617673" w:rsidRPr="00617673" w:rsidRDefault="00617673" w:rsidP="00A6387A">
            <w:r w:rsidRPr="00617673">
              <w:t>2013</w:t>
            </w:r>
          </w:p>
        </w:tc>
        <w:tc>
          <w:tcPr>
            <w:tcW w:w="850" w:type="dxa"/>
          </w:tcPr>
          <w:p w14:paraId="1E3F3197" w14:textId="77777777" w:rsidR="00617673" w:rsidRPr="00617673" w:rsidRDefault="00617673" w:rsidP="00A6387A">
            <w:r w:rsidRPr="00617673">
              <w:t>2014</w:t>
            </w:r>
          </w:p>
        </w:tc>
        <w:tc>
          <w:tcPr>
            <w:tcW w:w="851" w:type="dxa"/>
          </w:tcPr>
          <w:p w14:paraId="795E39E8" w14:textId="77777777" w:rsidR="00617673" w:rsidRPr="00617673" w:rsidRDefault="00617673" w:rsidP="00A6387A">
            <w:r w:rsidRPr="00617673">
              <w:t>2015</w:t>
            </w:r>
          </w:p>
        </w:tc>
        <w:tc>
          <w:tcPr>
            <w:tcW w:w="850" w:type="dxa"/>
          </w:tcPr>
          <w:p w14:paraId="2EE06122" w14:textId="77777777" w:rsidR="00617673" w:rsidRPr="00617673" w:rsidRDefault="00617673" w:rsidP="00A6387A">
            <w:r w:rsidRPr="00617673">
              <w:t>2016</w:t>
            </w:r>
          </w:p>
        </w:tc>
        <w:tc>
          <w:tcPr>
            <w:tcW w:w="851" w:type="dxa"/>
          </w:tcPr>
          <w:p w14:paraId="70FB25E6" w14:textId="77777777" w:rsidR="00617673" w:rsidRPr="00617673" w:rsidRDefault="00617673" w:rsidP="00A6387A">
            <w:r w:rsidRPr="00617673">
              <w:t>2017</w:t>
            </w:r>
          </w:p>
        </w:tc>
        <w:tc>
          <w:tcPr>
            <w:tcW w:w="850" w:type="dxa"/>
          </w:tcPr>
          <w:p w14:paraId="6DE9CC82" w14:textId="77777777" w:rsidR="00617673" w:rsidRPr="00617673" w:rsidRDefault="00617673" w:rsidP="00A6387A">
            <w:r w:rsidRPr="00617673">
              <w:t>2018</w:t>
            </w:r>
          </w:p>
        </w:tc>
        <w:tc>
          <w:tcPr>
            <w:tcW w:w="851" w:type="dxa"/>
          </w:tcPr>
          <w:p w14:paraId="3D577D0E" w14:textId="77777777" w:rsidR="00617673" w:rsidRPr="00617673" w:rsidRDefault="00617673" w:rsidP="00A6387A">
            <w:r w:rsidRPr="00617673">
              <w:t>2019</w:t>
            </w:r>
          </w:p>
        </w:tc>
        <w:tc>
          <w:tcPr>
            <w:tcW w:w="850" w:type="dxa"/>
          </w:tcPr>
          <w:p w14:paraId="6065563B" w14:textId="77777777" w:rsidR="00617673" w:rsidRPr="00617673" w:rsidRDefault="00617673" w:rsidP="00A6387A">
            <w:r w:rsidRPr="00617673">
              <w:t>2020</w:t>
            </w:r>
          </w:p>
        </w:tc>
      </w:tr>
      <w:tr w:rsidR="00617673" w:rsidRPr="00617673" w14:paraId="28E4E5BB" w14:textId="77777777" w:rsidTr="003C0DC2">
        <w:tc>
          <w:tcPr>
            <w:tcW w:w="1275" w:type="dxa"/>
          </w:tcPr>
          <w:p w14:paraId="54334344" w14:textId="77777777" w:rsidR="00617673" w:rsidRPr="00617673" w:rsidRDefault="00617673" w:rsidP="00A6387A">
            <w:r w:rsidRPr="00617673">
              <w:t>Score</w:t>
            </w:r>
          </w:p>
        </w:tc>
        <w:tc>
          <w:tcPr>
            <w:tcW w:w="851" w:type="dxa"/>
          </w:tcPr>
          <w:p w14:paraId="4DA85FD1" w14:textId="77777777" w:rsidR="00617673" w:rsidRPr="00617673" w:rsidRDefault="00617673" w:rsidP="00A6387A">
            <w:r w:rsidRPr="00617673">
              <w:t>21</w:t>
            </w:r>
          </w:p>
        </w:tc>
        <w:tc>
          <w:tcPr>
            <w:tcW w:w="850" w:type="dxa"/>
          </w:tcPr>
          <w:p w14:paraId="4F70C624" w14:textId="77777777" w:rsidR="00617673" w:rsidRPr="00617673" w:rsidRDefault="00617673" w:rsidP="00A6387A">
            <w:r w:rsidRPr="00617673">
              <w:t>20</w:t>
            </w:r>
          </w:p>
        </w:tc>
        <w:tc>
          <w:tcPr>
            <w:tcW w:w="851" w:type="dxa"/>
          </w:tcPr>
          <w:p w14:paraId="346E3E87" w14:textId="77777777" w:rsidR="00617673" w:rsidRPr="00617673" w:rsidRDefault="00617673" w:rsidP="00A6387A">
            <w:r w:rsidRPr="00617673">
              <w:t>21</w:t>
            </w:r>
          </w:p>
        </w:tc>
        <w:tc>
          <w:tcPr>
            <w:tcW w:w="850" w:type="dxa"/>
          </w:tcPr>
          <w:p w14:paraId="046186A8" w14:textId="77777777" w:rsidR="00617673" w:rsidRPr="00617673" w:rsidRDefault="00617673" w:rsidP="00A6387A">
            <w:r w:rsidRPr="00617673">
              <w:t>20</w:t>
            </w:r>
          </w:p>
        </w:tc>
        <w:tc>
          <w:tcPr>
            <w:tcW w:w="851" w:type="dxa"/>
          </w:tcPr>
          <w:p w14:paraId="2C7784B1" w14:textId="77777777" w:rsidR="00617673" w:rsidRPr="00617673" w:rsidRDefault="00617673" w:rsidP="00A6387A">
            <w:r w:rsidRPr="00617673">
              <w:t>22</w:t>
            </w:r>
          </w:p>
        </w:tc>
        <w:tc>
          <w:tcPr>
            <w:tcW w:w="850" w:type="dxa"/>
          </w:tcPr>
          <w:p w14:paraId="002A53D8" w14:textId="77777777" w:rsidR="00617673" w:rsidRPr="00617673" w:rsidRDefault="00617673" w:rsidP="00A6387A">
            <w:r w:rsidRPr="00617673">
              <w:t>17</w:t>
            </w:r>
          </w:p>
        </w:tc>
        <w:tc>
          <w:tcPr>
            <w:tcW w:w="851" w:type="dxa"/>
          </w:tcPr>
          <w:p w14:paraId="72DF3B44" w14:textId="77777777" w:rsidR="00617673" w:rsidRPr="00617673" w:rsidRDefault="00617673" w:rsidP="00A6387A">
            <w:r w:rsidRPr="00617673">
              <w:t>19</w:t>
            </w:r>
          </w:p>
        </w:tc>
        <w:tc>
          <w:tcPr>
            <w:tcW w:w="850" w:type="dxa"/>
          </w:tcPr>
          <w:p w14:paraId="78F18993" w14:textId="77777777" w:rsidR="00617673" w:rsidRPr="00617673" w:rsidRDefault="00617673" w:rsidP="00A6387A">
            <w:r w:rsidRPr="00617673">
              <w:t>19</w:t>
            </w:r>
          </w:p>
          <w:p w14:paraId="6537CDF4" w14:textId="77777777" w:rsidR="00617673" w:rsidRPr="00617673" w:rsidRDefault="00617673" w:rsidP="00A6387A"/>
        </w:tc>
      </w:tr>
      <w:tr w:rsidR="00617673" w:rsidRPr="00617673" w14:paraId="42A3348C" w14:textId="77777777" w:rsidTr="003C0DC2">
        <w:tc>
          <w:tcPr>
            <w:tcW w:w="1275" w:type="dxa"/>
          </w:tcPr>
          <w:p w14:paraId="704DF379" w14:textId="77777777" w:rsidR="00617673" w:rsidRPr="00617673" w:rsidRDefault="00617673" w:rsidP="00A6387A">
            <w:r w:rsidRPr="00617673">
              <w:t>Rang sur 180 pays</w:t>
            </w:r>
          </w:p>
        </w:tc>
        <w:tc>
          <w:tcPr>
            <w:tcW w:w="851" w:type="dxa"/>
          </w:tcPr>
          <w:p w14:paraId="7982602A" w14:textId="77777777" w:rsidR="00617673" w:rsidRPr="00617673" w:rsidRDefault="00617673" w:rsidP="00A6387A">
            <w:r w:rsidRPr="00617673">
              <w:t>157</w:t>
            </w:r>
          </w:p>
        </w:tc>
        <w:tc>
          <w:tcPr>
            <w:tcW w:w="850" w:type="dxa"/>
          </w:tcPr>
          <w:p w14:paraId="19B02B2A" w14:textId="77777777" w:rsidR="00617673" w:rsidRPr="00617673" w:rsidRDefault="00617673" w:rsidP="00A6387A">
            <w:r w:rsidRPr="00617673">
              <w:t>159</w:t>
            </w:r>
          </w:p>
        </w:tc>
        <w:tc>
          <w:tcPr>
            <w:tcW w:w="851" w:type="dxa"/>
          </w:tcPr>
          <w:p w14:paraId="1674A022" w14:textId="77777777" w:rsidR="00617673" w:rsidRPr="00617673" w:rsidRDefault="00617673" w:rsidP="00A6387A">
            <w:pPr>
              <w:rPr>
                <w:lang w:val="en-GB"/>
              </w:rPr>
            </w:pPr>
            <w:r w:rsidRPr="00617673">
              <w:t>1</w:t>
            </w:r>
            <w:r w:rsidRPr="00617673">
              <w:rPr>
                <w:lang w:val="en-GB"/>
              </w:rPr>
              <w:t>50</w:t>
            </w:r>
          </w:p>
        </w:tc>
        <w:tc>
          <w:tcPr>
            <w:tcW w:w="850" w:type="dxa"/>
          </w:tcPr>
          <w:p w14:paraId="133002D5" w14:textId="77777777" w:rsidR="00617673" w:rsidRPr="00617673" w:rsidRDefault="00617673" w:rsidP="00A6387A">
            <w:pPr>
              <w:rPr>
                <w:lang w:val="en-GB"/>
              </w:rPr>
            </w:pPr>
            <w:r w:rsidRPr="00617673">
              <w:rPr>
                <w:lang w:val="en-GB"/>
              </w:rPr>
              <w:t>159</w:t>
            </w:r>
          </w:p>
        </w:tc>
        <w:tc>
          <w:tcPr>
            <w:tcW w:w="851" w:type="dxa"/>
          </w:tcPr>
          <w:p w14:paraId="33E96DFC" w14:textId="77777777" w:rsidR="00617673" w:rsidRPr="00617673" w:rsidRDefault="00617673" w:rsidP="00A6387A">
            <w:pPr>
              <w:rPr>
                <w:lang w:val="en-GB"/>
              </w:rPr>
            </w:pPr>
            <w:r w:rsidRPr="00617673">
              <w:rPr>
                <w:lang w:val="en-GB"/>
              </w:rPr>
              <w:t>157</w:t>
            </w:r>
          </w:p>
        </w:tc>
        <w:tc>
          <w:tcPr>
            <w:tcW w:w="850" w:type="dxa"/>
          </w:tcPr>
          <w:p w14:paraId="1D2D36C3" w14:textId="77777777" w:rsidR="00617673" w:rsidRPr="00617673" w:rsidRDefault="00617673" w:rsidP="00A6387A">
            <w:pPr>
              <w:rPr>
                <w:lang w:val="en-GB"/>
              </w:rPr>
            </w:pPr>
            <w:r w:rsidRPr="00617673">
              <w:rPr>
                <w:lang w:val="en-GB"/>
              </w:rPr>
              <w:t>170</w:t>
            </w:r>
          </w:p>
        </w:tc>
        <w:tc>
          <w:tcPr>
            <w:tcW w:w="851" w:type="dxa"/>
          </w:tcPr>
          <w:p w14:paraId="6A9AA4FD" w14:textId="77777777" w:rsidR="00617673" w:rsidRPr="00617673" w:rsidRDefault="00617673" w:rsidP="00A6387A">
            <w:pPr>
              <w:rPr>
                <w:lang w:val="en-GB"/>
              </w:rPr>
            </w:pPr>
            <w:r w:rsidRPr="00617673">
              <w:rPr>
                <w:lang w:val="en-GB"/>
              </w:rPr>
              <w:t>165</w:t>
            </w:r>
          </w:p>
        </w:tc>
        <w:tc>
          <w:tcPr>
            <w:tcW w:w="850" w:type="dxa"/>
          </w:tcPr>
          <w:p w14:paraId="49B8690F" w14:textId="77777777" w:rsidR="00617673" w:rsidRPr="00617673" w:rsidRDefault="00617673" w:rsidP="00A6387A">
            <w:pPr>
              <w:rPr>
                <w:lang w:val="en-GB"/>
              </w:rPr>
            </w:pPr>
            <w:r w:rsidRPr="00617673">
              <w:rPr>
                <w:lang w:val="en-GB"/>
              </w:rPr>
              <w:t>165</w:t>
            </w:r>
          </w:p>
        </w:tc>
      </w:tr>
    </w:tbl>
    <w:p w14:paraId="0A23BF5F" w14:textId="77777777" w:rsidR="00617673" w:rsidRPr="00617673" w:rsidRDefault="00617673" w:rsidP="00617673">
      <w:pPr>
        <w:pStyle w:val="SingleTxtG"/>
        <w:rPr>
          <w:i/>
        </w:rPr>
      </w:pPr>
      <w:r w:rsidRPr="00617673">
        <w:rPr>
          <w:i/>
        </w:rPr>
        <w:t>Indice de la corruption au Burundi de 2013 à 2020 de Transparency International</w:t>
      </w:r>
    </w:p>
    <w:p w14:paraId="18715131" w14:textId="77777777" w:rsidR="00617673" w:rsidRPr="00617673" w:rsidRDefault="00AE24EF" w:rsidP="00AE24EF">
      <w:pPr>
        <w:pStyle w:val="H23G"/>
      </w:pPr>
      <w:r>
        <w:tab/>
      </w:r>
      <w:r w:rsidR="00617673" w:rsidRPr="00617673">
        <w:t>d)</w:t>
      </w:r>
      <w:r>
        <w:tab/>
      </w:r>
      <w:r w:rsidR="00617673" w:rsidRPr="00617673">
        <w:t xml:space="preserve">La </w:t>
      </w:r>
      <w:r w:rsidR="00617673" w:rsidRPr="00AE24EF">
        <w:t>performance</w:t>
      </w:r>
      <w:r w:rsidR="00617673" w:rsidRPr="00617673">
        <w:t xml:space="preserve"> démocratique</w:t>
      </w:r>
    </w:p>
    <w:p w14:paraId="4E4488AF" w14:textId="77777777" w:rsidR="00617673" w:rsidRPr="00617673" w:rsidRDefault="00617673" w:rsidP="00617673">
      <w:pPr>
        <w:pStyle w:val="SingleTxtG"/>
      </w:pPr>
      <w:r w:rsidRPr="00617673">
        <w:t>96.</w:t>
      </w:r>
      <w:r w:rsidRPr="00617673">
        <w:tab/>
        <w:t>Le groupe de presse The Economist établit quant à lui un indice annuel de la performance démocratique. Le Burundi est considéré depuis 2013 comme un pays autoritaire – auparavant il était classé comme « régime hybride » – avec des scores de plus en plus faibles en matière de respect du pluralisme et de la participation politique, des libertés publiques et de la culture de tolérance politique.</w:t>
      </w:r>
      <w:r w:rsidRPr="00617673">
        <w:rPr>
          <w:vertAlign w:val="superscript"/>
        </w:rPr>
        <w:footnoteReference w:id="92"/>
      </w:r>
    </w:p>
    <w:tbl>
      <w:tblPr>
        <w:tblStyle w:val="TableGrid7"/>
        <w:tblW w:w="0" w:type="auto"/>
        <w:tblInd w:w="562" w:type="dxa"/>
        <w:tblLook w:val="04A0" w:firstRow="1" w:lastRow="0" w:firstColumn="1" w:lastColumn="0" w:noHBand="0" w:noVBand="1"/>
      </w:tblPr>
      <w:tblGrid>
        <w:gridCol w:w="851"/>
        <w:gridCol w:w="850"/>
        <w:gridCol w:w="851"/>
        <w:gridCol w:w="992"/>
        <w:gridCol w:w="851"/>
        <w:gridCol w:w="992"/>
        <w:gridCol w:w="850"/>
        <w:gridCol w:w="851"/>
        <w:gridCol w:w="850"/>
      </w:tblGrid>
      <w:tr w:rsidR="00617673" w:rsidRPr="00617673" w14:paraId="4A5D85AE" w14:textId="77777777" w:rsidTr="00AE24EF">
        <w:tc>
          <w:tcPr>
            <w:tcW w:w="851" w:type="dxa"/>
          </w:tcPr>
          <w:p w14:paraId="2448A965" w14:textId="77777777" w:rsidR="00617673" w:rsidRPr="00617673" w:rsidRDefault="00617673" w:rsidP="00A6387A"/>
        </w:tc>
        <w:tc>
          <w:tcPr>
            <w:tcW w:w="850" w:type="dxa"/>
          </w:tcPr>
          <w:p w14:paraId="12974F7A" w14:textId="77777777" w:rsidR="00617673" w:rsidRPr="00617673" w:rsidRDefault="00617673" w:rsidP="00A6387A">
            <w:pPr>
              <w:rPr>
                <w:lang w:val="en-GB"/>
              </w:rPr>
            </w:pPr>
            <w:r w:rsidRPr="00617673">
              <w:rPr>
                <w:lang w:val="en-GB"/>
              </w:rPr>
              <w:t>2013</w:t>
            </w:r>
          </w:p>
        </w:tc>
        <w:tc>
          <w:tcPr>
            <w:tcW w:w="851" w:type="dxa"/>
          </w:tcPr>
          <w:p w14:paraId="51D0AF3F" w14:textId="77777777" w:rsidR="00617673" w:rsidRPr="00617673" w:rsidRDefault="00617673" w:rsidP="00A6387A">
            <w:pPr>
              <w:rPr>
                <w:lang w:val="en-GB"/>
              </w:rPr>
            </w:pPr>
            <w:r w:rsidRPr="00617673">
              <w:rPr>
                <w:lang w:val="en-GB"/>
              </w:rPr>
              <w:t>2014</w:t>
            </w:r>
          </w:p>
        </w:tc>
        <w:tc>
          <w:tcPr>
            <w:tcW w:w="992" w:type="dxa"/>
          </w:tcPr>
          <w:p w14:paraId="4DDFD901" w14:textId="77777777" w:rsidR="00617673" w:rsidRPr="00617673" w:rsidRDefault="00617673" w:rsidP="00A6387A">
            <w:pPr>
              <w:rPr>
                <w:lang w:val="en-GB"/>
              </w:rPr>
            </w:pPr>
            <w:r w:rsidRPr="00617673">
              <w:rPr>
                <w:lang w:val="en-GB"/>
              </w:rPr>
              <w:t>2015</w:t>
            </w:r>
          </w:p>
        </w:tc>
        <w:tc>
          <w:tcPr>
            <w:tcW w:w="851" w:type="dxa"/>
          </w:tcPr>
          <w:p w14:paraId="1F94E264" w14:textId="77777777" w:rsidR="00617673" w:rsidRPr="00617673" w:rsidRDefault="00617673" w:rsidP="00A6387A">
            <w:pPr>
              <w:rPr>
                <w:lang w:val="en-GB"/>
              </w:rPr>
            </w:pPr>
            <w:r w:rsidRPr="00617673">
              <w:rPr>
                <w:lang w:val="en-GB"/>
              </w:rPr>
              <w:t>2016</w:t>
            </w:r>
          </w:p>
        </w:tc>
        <w:tc>
          <w:tcPr>
            <w:tcW w:w="992" w:type="dxa"/>
          </w:tcPr>
          <w:p w14:paraId="2DBDE6CD" w14:textId="77777777" w:rsidR="00617673" w:rsidRPr="00617673" w:rsidRDefault="00617673" w:rsidP="00A6387A">
            <w:pPr>
              <w:rPr>
                <w:lang w:val="en-GB"/>
              </w:rPr>
            </w:pPr>
            <w:r w:rsidRPr="00617673">
              <w:rPr>
                <w:lang w:val="en-GB"/>
              </w:rPr>
              <w:t>2017</w:t>
            </w:r>
          </w:p>
        </w:tc>
        <w:tc>
          <w:tcPr>
            <w:tcW w:w="850" w:type="dxa"/>
          </w:tcPr>
          <w:p w14:paraId="694C2375" w14:textId="77777777" w:rsidR="00617673" w:rsidRPr="00617673" w:rsidRDefault="00617673" w:rsidP="00A6387A">
            <w:pPr>
              <w:rPr>
                <w:lang w:val="en-GB"/>
              </w:rPr>
            </w:pPr>
            <w:r w:rsidRPr="00617673">
              <w:rPr>
                <w:lang w:val="en-GB"/>
              </w:rPr>
              <w:t>2018</w:t>
            </w:r>
          </w:p>
        </w:tc>
        <w:tc>
          <w:tcPr>
            <w:tcW w:w="851" w:type="dxa"/>
          </w:tcPr>
          <w:p w14:paraId="28F9294E" w14:textId="77777777" w:rsidR="00617673" w:rsidRPr="00617673" w:rsidRDefault="00617673" w:rsidP="00A6387A">
            <w:pPr>
              <w:rPr>
                <w:lang w:val="en-GB"/>
              </w:rPr>
            </w:pPr>
            <w:r w:rsidRPr="00617673">
              <w:rPr>
                <w:lang w:val="en-GB"/>
              </w:rPr>
              <w:t>2019</w:t>
            </w:r>
          </w:p>
        </w:tc>
        <w:tc>
          <w:tcPr>
            <w:tcW w:w="850" w:type="dxa"/>
          </w:tcPr>
          <w:p w14:paraId="79B25B17" w14:textId="77777777" w:rsidR="00617673" w:rsidRPr="00617673" w:rsidRDefault="00617673" w:rsidP="00A6387A">
            <w:pPr>
              <w:rPr>
                <w:lang w:val="en-GB"/>
              </w:rPr>
            </w:pPr>
            <w:r w:rsidRPr="00617673">
              <w:rPr>
                <w:lang w:val="en-GB"/>
              </w:rPr>
              <w:t>2020</w:t>
            </w:r>
          </w:p>
        </w:tc>
      </w:tr>
      <w:tr w:rsidR="00617673" w:rsidRPr="00617673" w14:paraId="05507DB8" w14:textId="77777777" w:rsidTr="00AE24EF">
        <w:tc>
          <w:tcPr>
            <w:tcW w:w="851" w:type="dxa"/>
          </w:tcPr>
          <w:p w14:paraId="00DE35AA" w14:textId="77777777" w:rsidR="00617673" w:rsidRPr="00617673" w:rsidRDefault="00617673" w:rsidP="00A6387A">
            <w:pPr>
              <w:rPr>
                <w:lang w:val="en-GB"/>
              </w:rPr>
            </w:pPr>
            <w:r w:rsidRPr="00617673">
              <w:rPr>
                <w:lang w:val="en-GB"/>
              </w:rPr>
              <w:t>Score sur 10</w:t>
            </w:r>
          </w:p>
        </w:tc>
        <w:tc>
          <w:tcPr>
            <w:tcW w:w="850" w:type="dxa"/>
          </w:tcPr>
          <w:p w14:paraId="67BD58E0" w14:textId="77777777" w:rsidR="00617673" w:rsidRPr="00617673" w:rsidRDefault="00617673" w:rsidP="00A6387A">
            <w:pPr>
              <w:rPr>
                <w:lang w:val="en-GB"/>
              </w:rPr>
            </w:pPr>
            <w:r w:rsidRPr="00617673">
              <w:t>3.41</w:t>
            </w:r>
          </w:p>
        </w:tc>
        <w:tc>
          <w:tcPr>
            <w:tcW w:w="851" w:type="dxa"/>
          </w:tcPr>
          <w:p w14:paraId="66078A53" w14:textId="77777777" w:rsidR="00617673" w:rsidRPr="00617673" w:rsidRDefault="00617673" w:rsidP="00A6387A">
            <w:pPr>
              <w:rPr>
                <w:lang w:val="en-GB"/>
              </w:rPr>
            </w:pPr>
            <w:r w:rsidRPr="00617673">
              <w:t>3.33</w:t>
            </w:r>
          </w:p>
        </w:tc>
        <w:tc>
          <w:tcPr>
            <w:tcW w:w="992" w:type="dxa"/>
          </w:tcPr>
          <w:p w14:paraId="4A528E9C" w14:textId="77777777" w:rsidR="00617673" w:rsidRPr="00617673" w:rsidRDefault="00617673" w:rsidP="00A6387A">
            <w:pPr>
              <w:rPr>
                <w:lang w:val="en-GB"/>
              </w:rPr>
            </w:pPr>
            <w:r w:rsidRPr="00617673">
              <w:t>2.49</w:t>
            </w:r>
          </w:p>
        </w:tc>
        <w:tc>
          <w:tcPr>
            <w:tcW w:w="851" w:type="dxa"/>
          </w:tcPr>
          <w:p w14:paraId="5C35C532" w14:textId="77777777" w:rsidR="00617673" w:rsidRPr="00617673" w:rsidRDefault="00617673" w:rsidP="00A6387A">
            <w:pPr>
              <w:rPr>
                <w:lang w:val="en-GB"/>
              </w:rPr>
            </w:pPr>
            <w:r w:rsidRPr="00617673">
              <w:t>2.40</w:t>
            </w:r>
          </w:p>
        </w:tc>
        <w:tc>
          <w:tcPr>
            <w:tcW w:w="992" w:type="dxa"/>
          </w:tcPr>
          <w:p w14:paraId="15DAF6CB" w14:textId="77777777" w:rsidR="00617673" w:rsidRPr="00617673" w:rsidRDefault="00617673" w:rsidP="00A6387A">
            <w:pPr>
              <w:rPr>
                <w:lang w:val="en-GB"/>
              </w:rPr>
            </w:pPr>
            <w:r w:rsidRPr="00617673">
              <w:t>2.33</w:t>
            </w:r>
          </w:p>
        </w:tc>
        <w:tc>
          <w:tcPr>
            <w:tcW w:w="850" w:type="dxa"/>
          </w:tcPr>
          <w:p w14:paraId="0C3A853E" w14:textId="77777777" w:rsidR="00617673" w:rsidRPr="00617673" w:rsidRDefault="00617673" w:rsidP="00A6387A">
            <w:pPr>
              <w:rPr>
                <w:lang w:val="en-GB"/>
              </w:rPr>
            </w:pPr>
            <w:r w:rsidRPr="00617673">
              <w:t>2.33</w:t>
            </w:r>
          </w:p>
        </w:tc>
        <w:tc>
          <w:tcPr>
            <w:tcW w:w="851" w:type="dxa"/>
          </w:tcPr>
          <w:p w14:paraId="3C16578B" w14:textId="77777777" w:rsidR="00617673" w:rsidRPr="00617673" w:rsidRDefault="00617673" w:rsidP="00A6387A">
            <w:pPr>
              <w:rPr>
                <w:lang w:val="en-GB"/>
              </w:rPr>
            </w:pPr>
            <w:r w:rsidRPr="00617673">
              <w:t>2.15</w:t>
            </w:r>
          </w:p>
        </w:tc>
        <w:tc>
          <w:tcPr>
            <w:tcW w:w="850" w:type="dxa"/>
          </w:tcPr>
          <w:p w14:paraId="402935EE" w14:textId="77777777" w:rsidR="00617673" w:rsidRPr="00617673" w:rsidRDefault="00617673" w:rsidP="00A6387A">
            <w:r w:rsidRPr="00617673">
              <w:t>2.14</w:t>
            </w:r>
          </w:p>
          <w:p w14:paraId="0806BB6A" w14:textId="77777777" w:rsidR="00617673" w:rsidRPr="00617673" w:rsidRDefault="00617673" w:rsidP="00A6387A">
            <w:pPr>
              <w:rPr>
                <w:lang w:val="en-GB"/>
              </w:rPr>
            </w:pPr>
          </w:p>
        </w:tc>
      </w:tr>
    </w:tbl>
    <w:p w14:paraId="7BF3B5C3" w14:textId="77777777" w:rsidR="00617673" w:rsidRPr="00617673" w:rsidRDefault="00617673" w:rsidP="00617673">
      <w:pPr>
        <w:pStyle w:val="SingleTxtG"/>
        <w:rPr>
          <w:i/>
        </w:rPr>
      </w:pPr>
      <w:r w:rsidRPr="00617673">
        <w:rPr>
          <w:i/>
        </w:rPr>
        <w:t>Indice de la performance démocratique du Burundi de 2013 à 2020 de The Economist</w:t>
      </w:r>
    </w:p>
    <w:p w14:paraId="4F90E357" w14:textId="77777777" w:rsidR="00617673" w:rsidRPr="00617673" w:rsidRDefault="00AE24EF" w:rsidP="00AE24EF">
      <w:pPr>
        <w:pStyle w:val="H23G"/>
      </w:pPr>
      <w:r>
        <w:tab/>
      </w:r>
      <w:r w:rsidR="00617673" w:rsidRPr="00617673">
        <w:t>e)</w:t>
      </w:r>
      <w:r>
        <w:tab/>
      </w:r>
      <w:r w:rsidR="00617673" w:rsidRPr="00617673">
        <w:t>Le développement humain</w:t>
      </w:r>
    </w:p>
    <w:p w14:paraId="046E50DC" w14:textId="77777777" w:rsidR="00617673" w:rsidRPr="00617673" w:rsidRDefault="00617673" w:rsidP="00617673">
      <w:pPr>
        <w:pStyle w:val="SingleTxtG"/>
      </w:pPr>
      <w:r w:rsidRPr="00617673">
        <w:t>97.</w:t>
      </w:r>
      <w:r w:rsidRPr="00617673">
        <w:tab/>
        <w:t>L’indice du développement humain publié chaque année par le Programme des Nations Unies pour le développement (PNUD) indique que le Burundi est faiblement développé au niveau humain</w:t>
      </w:r>
      <w:r w:rsidRPr="00617673">
        <w:rPr>
          <w:lang w:val="fr-FR"/>
        </w:rPr>
        <w:t xml:space="preserve"> </w:t>
      </w:r>
      <w:r w:rsidRPr="00617673">
        <w:t>et qu’il affiche d’importants manquements dans la réalisation des droits économiques et sociaux qui affectent le niveau et la qualité de vie des Burundais. De plus, son évolution à cet égard tend plutôt vers la négative depuis 2015.</w:t>
      </w:r>
      <w:r w:rsidRPr="00617673">
        <w:rPr>
          <w:vertAlign w:val="superscript"/>
        </w:rPr>
        <w:footnoteReference w:id="93"/>
      </w:r>
    </w:p>
    <w:tbl>
      <w:tblPr>
        <w:tblStyle w:val="TableGrid7"/>
        <w:tblW w:w="0" w:type="auto"/>
        <w:tblInd w:w="1129" w:type="dxa"/>
        <w:tblLook w:val="04A0" w:firstRow="1" w:lastRow="0" w:firstColumn="1" w:lastColumn="0" w:noHBand="0" w:noVBand="1"/>
      </w:tblPr>
      <w:tblGrid>
        <w:gridCol w:w="1276"/>
        <w:gridCol w:w="851"/>
        <w:gridCol w:w="1134"/>
        <w:gridCol w:w="1134"/>
        <w:gridCol w:w="992"/>
        <w:gridCol w:w="992"/>
        <w:gridCol w:w="992"/>
      </w:tblGrid>
      <w:tr w:rsidR="00617673" w:rsidRPr="00617673" w14:paraId="05C418D0" w14:textId="77777777" w:rsidTr="00AE24EF">
        <w:tc>
          <w:tcPr>
            <w:tcW w:w="1276" w:type="dxa"/>
          </w:tcPr>
          <w:p w14:paraId="60CBF5DF" w14:textId="77777777" w:rsidR="00617673" w:rsidRPr="00617673" w:rsidRDefault="00617673" w:rsidP="00A6387A"/>
        </w:tc>
        <w:tc>
          <w:tcPr>
            <w:tcW w:w="851" w:type="dxa"/>
          </w:tcPr>
          <w:p w14:paraId="0BA4548A" w14:textId="77777777" w:rsidR="00617673" w:rsidRPr="00617673" w:rsidRDefault="00617673" w:rsidP="00A6387A">
            <w:r w:rsidRPr="00617673">
              <w:t>2014</w:t>
            </w:r>
          </w:p>
        </w:tc>
        <w:tc>
          <w:tcPr>
            <w:tcW w:w="1134" w:type="dxa"/>
          </w:tcPr>
          <w:p w14:paraId="3A4BF485" w14:textId="77777777" w:rsidR="00617673" w:rsidRPr="00617673" w:rsidRDefault="00617673" w:rsidP="00A6387A">
            <w:r w:rsidRPr="00617673">
              <w:t>2015</w:t>
            </w:r>
          </w:p>
        </w:tc>
        <w:tc>
          <w:tcPr>
            <w:tcW w:w="1134" w:type="dxa"/>
          </w:tcPr>
          <w:p w14:paraId="0EF0699C" w14:textId="77777777" w:rsidR="00617673" w:rsidRPr="00617673" w:rsidRDefault="00617673" w:rsidP="00A6387A">
            <w:r w:rsidRPr="00617673">
              <w:t>2016</w:t>
            </w:r>
          </w:p>
        </w:tc>
        <w:tc>
          <w:tcPr>
            <w:tcW w:w="992" w:type="dxa"/>
          </w:tcPr>
          <w:p w14:paraId="3810509A" w14:textId="77777777" w:rsidR="00617673" w:rsidRPr="00617673" w:rsidRDefault="00617673" w:rsidP="00A6387A">
            <w:r w:rsidRPr="00617673">
              <w:t>2017</w:t>
            </w:r>
          </w:p>
        </w:tc>
        <w:tc>
          <w:tcPr>
            <w:tcW w:w="992" w:type="dxa"/>
          </w:tcPr>
          <w:p w14:paraId="64F0EFFF" w14:textId="77777777" w:rsidR="00617673" w:rsidRPr="00617673" w:rsidRDefault="00617673" w:rsidP="00A6387A">
            <w:r w:rsidRPr="00617673">
              <w:t>2018</w:t>
            </w:r>
          </w:p>
        </w:tc>
        <w:tc>
          <w:tcPr>
            <w:tcW w:w="992" w:type="dxa"/>
          </w:tcPr>
          <w:p w14:paraId="0A33F17E" w14:textId="77777777" w:rsidR="00617673" w:rsidRPr="00617673" w:rsidRDefault="00617673" w:rsidP="00A6387A">
            <w:r w:rsidRPr="00617673">
              <w:t>2019</w:t>
            </w:r>
          </w:p>
        </w:tc>
      </w:tr>
      <w:tr w:rsidR="00617673" w:rsidRPr="00617673" w14:paraId="35D13426" w14:textId="77777777" w:rsidTr="00AE24EF">
        <w:tc>
          <w:tcPr>
            <w:tcW w:w="1276" w:type="dxa"/>
          </w:tcPr>
          <w:p w14:paraId="4EF89337" w14:textId="77777777" w:rsidR="00617673" w:rsidRPr="00617673" w:rsidRDefault="00617673" w:rsidP="00A6387A">
            <w:r w:rsidRPr="00617673">
              <w:t>Rang sur 189 pays</w:t>
            </w:r>
          </w:p>
        </w:tc>
        <w:tc>
          <w:tcPr>
            <w:tcW w:w="851" w:type="dxa"/>
          </w:tcPr>
          <w:p w14:paraId="313492E7" w14:textId="77777777" w:rsidR="00617673" w:rsidRPr="00617673" w:rsidRDefault="00617673" w:rsidP="00A6387A">
            <w:r w:rsidRPr="00617673">
              <w:t>180</w:t>
            </w:r>
          </w:p>
        </w:tc>
        <w:tc>
          <w:tcPr>
            <w:tcW w:w="1134" w:type="dxa"/>
          </w:tcPr>
          <w:p w14:paraId="48F46D4D" w14:textId="77777777" w:rsidR="00617673" w:rsidRPr="00617673" w:rsidRDefault="00617673" w:rsidP="00A6387A">
            <w:r w:rsidRPr="00617673">
              <w:t>180</w:t>
            </w:r>
          </w:p>
        </w:tc>
        <w:tc>
          <w:tcPr>
            <w:tcW w:w="1134" w:type="dxa"/>
          </w:tcPr>
          <w:p w14:paraId="64120474" w14:textId="77777777" w:rsidR="00617673" w:rsidRPr="00617673" w:rsidRDefault="00617673" w:rsidP="00A6387A">
            <w:r w:rsidRPr="00617673">
              <w:t>181</w:t>
            </w:r>
          </w:p>
        </w:tc>
        <w:tc>
          <w:tcPr>
            <w:tcW w:w="992" w:type="dxa"/>
          </w:tcPr>
          <w:p w14:paraId="2241BC0C" w14:textId="77777777" w:rsidR="00617673" w:rsidRPr="00617673" w:rsidRDefault="00617673" w:rsidP="00A6387A">
            <w:r w:rsidRPr="00617673">
              <w:t>184</w:t>
            </w:r>
          </w:p>
        </w:tc>
        <w:tc>
          <w:tcPr>
            <w:tcW w:w="992" w:type="dxa"/>
          </w:tcPr>
          <w:p w14:paraId="4ED7CD09" w14:textId="77777777" w:rsidR="00617673" w:rsidRPr="00617673" w:rsidRDefault="00617673" w:rsidP="00A6387A">
            <w:r w:rsidRPr="00617673">
              <w:t>184</w:t>
            </w:r>
          </w:p>
        </w:tc>
        <w:tc>
          <w:tcPr>
            <w:tcW w:w="992" w:type="dxa"/>
          </w:tcPr>
          <w:p w14:paraId="47E1A058" w14:textId="77777777" w:rsidR="00617673" w:rsidRPr="00617673" w:rsidRDefault="00617673" w:rsidP="00A6387A">
            <w:r w:rsidRPr="00617673">
              <w:t>185</w:t>
            </w:r>
          </w:p>
        </w:tc>
      </w:tr>
      <w:tr w:rsidR="00617673" w:rsidRPr="00617673" w14:paraId="38B3E05C" w14:textId="77777777" w:rsidTr="00AE24EF">
        <w:tc>
          <w:tcPr>
            <w:tcW w:w="1276" w:type="dxa"/>
          </w:tcPr>
          <w:p w14:paraId="35CA6A06" w14:textId="77777777" w:rsidR="00617673" w:rsidRPr="00617673" w:rsidRDefault="00617673" w:rsidP="00A6387A">
            <w:r w:rsidRPr="00617673">
              <w:t>Score</w:t>
            </w:r>
          </w:p>
        </w:tc>
        <w:tc>
          <w:tcPr>
            <w:tcW w:w="851" w:type="dxa"/>
          </w:tcPr>
          <w:p w14:paraId="31524850" w14:textId="77777777" w:rsidR="00617673" w:rsidRPr="00617673" w:rsidRDefault="00617673" w:rsidP="00A6387A">
            <w:r w:rsidRPr="00617673">
              <w:t>0,438</w:t>
            </w:r>
          </w:p>
        </w:tc>
        <w:tc>
          <w:tcPr>
            <w:tcW w:w="1134" w:type="dxa"/>
          </w:tcPr>
          <w:p w14:paraId="3CAD00A0" w14:textId="77777777" w:rsidR="00617673" w:rsidRPr="00617673" w:rsidRDefault="00617673" w:rsidP="00A6387A">
            <w:r w:rsidRPr="00617673">
              <w:t>0,437</w:t>
            </w:r>
          </w:p>
        </w:tc>
        <w:tc>
          <w:tcPr>
            <w:tcW w:w="1134" w:type="dxa"/>
          </w:tcPr>
          <w:p w14:paraId="53FDD29D" w14:textId="77777777" w:rsidR="00617673" w:rsidRPr="00617673" w:rsidRDefault="00617673" w:rsidP="00A6387A">
            <w:r w:rsidRPr="00617673">
              <w:t>0,438</w:t>
            </w:r>
          </w:p>
        </w:tc>
        <w:tc>
          <w:tcPr>
            <w:tcW w:w="992" w:type="dxa"/>
          </w:tcPr>
          <w:p w14:paraId="4B85BEBB" w14:textId="77777777" w:rsidR="00617673" w:rsidRPr="00617673" w:rsidRDefault="00617673" w:rsidP="00A6387A">
            <w:r w:rsidRPr="00617673">
              <w:t>0,434</w:t>
            </w:r>
          </w:p>
        </w:tc>
        <w:tc>
          <w:tcPr>
            <w:tcW w:w="992" w:type="dxa"/>
          </w:tcPr>
          <w:p w14:paraId="64F2E2C6" w14:textId="77777777" w:rsidR="00617673" w:rsidRPr="00617673" w:rsidRDefault="00617673" w:rsidP="00A6387A">
            <w:r w:rsidRPr="00617673">
              <w:t>0,431</w:t>
            </w:r>
          </w:p>
        </w:tc>
        <w:tc>
          <w:tcPr>
            <w:tcW w:w="992" w:type="dxa"/>
          </w:tcPr>
          <w:p w14:paraId="54F2B3C6" w14:textId="77777777" w:rsidR="00617673" w:rsidRPr="00617673" w:rsidRDefault="00617673" w:rsidP="00A6387A">
            <w:r w:rsidRPr="00617673">
              <w:t>0,433</w:t>
            </w:r>
          </w:p>
          <w:p w14:paraId="7DE797B4" w14:textId="77777777" w:rsidR="00617673" w:rsidRPr="00617673" w:rsidRDefault="00617673" w:rsidP="00A6387A"/>
        </w:tc>
      </w:tr>
    </w:tbl>
    <w:p w14:paraId="67B2E896" w14:textId="77777777" w:rsidR="00617673" w:rsidRPr="00617673" w:rsidRDefault="00617673" w:rsidP="002A4D7A">
      <w:pPr>
        <w:pStyle w:val="SingleTxtG"/>
        <w:jc w:val="center"/>
        <w:rPr>
          <w:i/>
        </w:rPr>
      </w:pPr>
      <w:r w:rsidRPr="00617673">
        <w:rPr>
          <w:i/>
        </w:rPr>
        <w:t>Indice du développement humain au Burundi de 2014 à 2019 du PNUD</w:t>
      </w:r>
    </w:p>
    <w:p w14:paraId="5591A10D" w14:textId="77777777" w:rsidR="00617673" w:rsidRPr="00617673" w:rsidRDefault="00AE24EF" w:rsidP="00AE24EF">
      <w:pPr>
        <w:pStyle w:val="H23G"/>
      </w:pPr>
      <w:r>
        <w:tab/>
      </w:r>
      <w:r w:rsidR="00617673" w:rsidRPr="00617673">
        <w:t>f)</w:t>
      </w:r>
      <w:r>
        <w:tab/>
      </w:r>
      <w:r w:rsidR="00617673" w:rsidRPr="00617673">
        <w:t>La gouvernance</w:t>
      </w:r>
    </w:p>
    <w:p w14:paraId="4EDC5267" w14:textId="77777777" w:rsidR="00617673" w:rsidRPr="00617673" w:rsidRDefault="00617673" w:rsidP="00617673">
      <w:pPr>
        <w:pStyle w:val="SingleTxtG"/>
      </w:pPr>
      <w:r w:rsidRPr="00617673">
        <w:t>98.</w:t>
      </w:r>
      <w:r w:rsidRPr="00617673">
        <w:tab/>
        <w:t>L’indice de gouvernance en Afrique préparé par la Fondation Mo Ibrahim sur la base de dizaines de sources indépendantes</w:t>
      </w:r>
      <w:r w:rsidRPr="00617673">
        <w:rPr>
          <w:vertAlign w:val="superscript"/>
        </w:rPr>
        <w:footnoteReference w:id="94"/>
      </w:r>
      <w:r w:rsidRPr="00617673">
        <w:t xml:space="preserve"> donne un aperçu objectif et global de l’état de la gouvernance au Burundi et de son évolution vers la négative au cours des dix dernières années, principalement à partir de 2015.</w:t>
      </w:r>
    </w:p>
    <w:tbl>
      <w:tblPr>
        <w:tblStyle w:val="TableGrid7"/>
        <w:tblW w:w="0" w:type="auto"/>
        <w:tblLook w:val="04A0" w:firstRow="1" w:lastRow="0" w:firstColumn="1" w:lastColumn="0" w:noHBand="0" w:noVBand="1"/>
      </w:tblPr>
      <w:tblGrid>
        <w:gridCol w:w="663"/>
        <w:gridCol w:w="771"/>
        <w:gridCol w:w="768"/>
        <w:gridCol w:w="856"/>
        <w:gridCol w:w="855"/>
        <w:gridCol w:w="855"/>
        <w:gridCol w:w="855"/>
        <w:gridCol w:w="855"/>
        <w:gridCol w:w="882"/>
        <w:gridCol w:w="827"/>
        <w:gridCol w:w="845"/>
      </w:tblGrid>
      <w:tr w:rsidR="00617673" w:rsidRPr="00617673" w14:paraId="339F63B4" w14:textId="77777777" w:rsidTr="00251C07">
        <w:tc>
          <w:tcPr>
            <w:tcW w:w="663" w:type="dxa"/>
          </w:tcPr>
          <w:p w14:paraId="60D0236A" w14:textId="77777777" w:rsidR="00617673" w:rsidRPr="00617673" w:rsidRDefault="00617673" w:rsidP="00A6387A">
            <w:r w:rsidRPr="00617673">
              <w:t>2010</w:t>
            </w:r>
          </w:p>
        </w:tc>
        <w:tc>
          <w:tcPr>
            <w:tcW w:w="771" w:type="dxa"/>
          </w:tcPr>
          <w:p w14:paraId="2BEB72AD" w14:textId="77777777" w:rsidR="00617673" w:rsidRPr="00617673" w:rsidRDefault="00617673" w:rsidP="00A6387A">
            <w:r w:rsidRPr="00617673">
              <w:t>2011</w:t>
            </w:r>
          </w:p>
        </w:tc>
        <w:tc>
          <w:tcPr>
            <w:tcW w:w="768" w:type="dxa"/>
          </w:tcPr>
          <w:p w14:paraId="029B102C" w14:textId="77777777" w:rsidR="00617673" w:rsidRPr="00617673" w:rsidRDefault="00617673" w:rsidP="00A6387A">
            <w:pPr>
              <w:rPr>
                <w:lang w:val="en-GB"/>
              </w:rPr>
            </w:pPr>
            <w:r w:rsidRPr="00617673">
              <w:rPr>
                <w:lang w:val="en-GB"/>
              </w:rPr>
              <w:t>2012</w:t>
            </w:r>
          </w:p>
        </w:tc>
        <w:tc>
          <w:tcPr>
            <w:tcW w:w="856" w:type="dxa"/>
          </w:tcPr>
          <w:p w14:paraId="11C819BD" w14:textId="77777777" w:rsidR="00617673" w:rsidRPr="00617673" w:rsidRDefault="00617673" w:rsidP="00A6387A">
            <w:pPr>
              <w:rPr>
                <w:lang w:val="en-GB"/>
              </w:rPr>
            </w:pPr>
            <w:r w:rsidRPr="00617673">
              <w:rPr>
                <w:lang w:val="en-GB"/>
              </w:rPr>
              <w:t>2013</w:t>
            </w:r>
          </w:p>
        </w:tc>
        <w:tc>
          <w:tcPr>
            <w:tcW w:w="855" w:type="dxa"/>
          </w:tcPr>
          <w:p w14:paraId="44903284" w14:textId="77777777" w:rsidR="00617673" w:rsidRPr="00617673" w:rsidRDefault="00617673" w:rsidP="00A6387A">
            <w:pPr>
              <w:rPr>
                <w:lang w:val="en-GB"/>
              </w:rPr>
            </w:pPr>
            <w:r w:rsidRPr="00617673">
              <w:rPr>
                <w:lang w:val="en-GB"/>
              </w:rPr>
              <w:t>2014</w:t>
            </w:r>
          </w:p>
        </w:tc>
        <w:tc>
          <w:tcPr>
            <w:tcW w:w="855" w:type="dxa"/>
          </w:tcPr>
          <w:p w14:paraId="6AEECE0A" w14:textId="77777777" w:rsidR="00617673" w:rsidRPr="00617673" w:rsidRDefault="00617673" w:rsidP="00A6387A">
            <w:pPr>
              <w:rPr>
                <w:lang w:val="en-GB"/>
              </w:rPr>
            </w:pPr>
            <w:r w:rsidRPr="00617673">
              <w:rPr>
                <w:lang w:val="en-GB"/>
              </w:rPr>
              <w:t>2015</w:t>
            </w:r>
          </w:p>
        </w:tc>
        <w:tc>
          <w:tcPr>
            <w:tcW w:w="855" w:type="dxa"/>
          </w:tcPr>
          <w:p w14:paraId="66633889" w14:textId="77777777" w:rsidR="00617673" w:rsidRPr="00617673" w:rsidRDefault="00617673" w:rsidP="00A6387A">
            <w:pPr>
              <w:rPr>
                <w:lang w:val="en-GB"/>
              </w:rPr>
            </w:pPr>
            <w:r w:rsidRPr="00617673">
              <w:rPr>
                <w:lang w:val="en-GB"/>
              </w:rPr>
              <w:t>2016</w:t>
            </w:r>
          </w:p>
        </w:tc>
        <w:tc>
          <w:tcPr>
            <w:tcW w:w="855" w:type="dxa"/>
          </w:tcPr>
          <w:p w14:paraId="077CD6FC" w14:textId="77777777" w:rsidR="00617673" w:rsidRPr="00617673" w:rsidRDefault="00617673" w:rsidP="00A6387A">
            <w:pPr>
              <w:rPr>
                <w:lang w:val="en-GB"/>
              </w:rPr>
            </w:pPr>
            <w:r w:rsidRPr="00617673">
              <w:rPr>
                <w:lang w:val="en-GB"/>
              </w:rPr>
              <w:t>2017</w:t>
            </w:r>
          </w:p>
        </w:tc>
        <w:tc>
          <w:tcPr>
            <w:tcW w:w="882" w:type="dxa"/>
          </w:tcPr>
          <w:p w14:paraId="5B5034A6" w14:textId="77777777" w:rsidR="00617673" w:rsidRPr="00617673" w:rsidRDefault="00617673" w:rsidP="00A6387A">
            <w:pPr>
              <w:rPr>
                <w:lang w:val="en-GB"/>
              </w:rPr>
            </w:pPr>
            <w:r w:rsidRPr="00617673">
              <w:rPr>
                <w:lang w:val="en-GB"/>
              </w:rPr>
              <w:t>2018</w:t>
            </w:r>
          </w:p>
        </w:tc>
        <w:tc>
          <w:tcPr>
            <w:tcW w:w="827" w:type="dxa"/>
          </w:tcPr>
          <w:p w14:paraId="2F009980" w14:textId="77777777" w:rsidR="00617673" w:rsidRPr="00617673" w:rsidRDefault="00617673" w:rsidP="00A6387A">
            <w:pPr>
              <w:rPr>
                <w:lang w:val="en-GB"/>
              </w:rPr>
            </w:pPr>
            <w:r w:rsidRPr="00617673">
              <w:rPr>
                <w:lang w:val="en-GB"/>
              </w:rPr>
              <w:t>2019</w:t>
            </w:r>
          </w:p>
        </w:tc>
        <w:tc>
          <w:tcPr>
            <w:tcW w:w="845" w:type="dxa"/>
          </w:tcPr>
          <w:p w14:paraId="450D8B22" w14:textId="77777777" w:rsidR="00617673" w:rsidRPr="00617673" w:rsidRDefault="00617673" w:rsidP="00A6387A">
            <w:pPr>
              <w:rPr>
                <w:lang w:val="en-GB"/>
              </w:rPr>
            </w:pPr>
            <w:r w:rsidRPr="00617673">
              <w:rPr>
                <w:lang w:val="en-GB"/>
              </w:rPr>
              <w:t>2010-2019</w:t>
            </w:r>
          </w:p>
        </w:tc>
      </w:tr>
      <w:tr w:rsidR="00617673" w:rsidRPr="00617673" w14:paraId="20EFB082" w14:textId="77777777" w:rsidTr="00251C07">
        <w:tc>
          <w:tcPr>
            <w:tcW w:w="663" w:type="dxa"/>
          </w:tcPr>
          <w:p w14:paraId="04C0CDC1" w14:textId="77777777" w:rsidR="00617673" w:rsidRPr="00617673" w:rsidRDefault="00617673" w:rsidP="00A6387A">
            <w:pPr>
              <w:rPr>
                <w:lang w:val="en-GB"/>
              </w:rPr>
            </w:pPr>
            <w:r w:rsidRPr="00617673">
              <w:rPr>
                <w:lang w:val="en-GB"/>
              </w:rPr>
              <w:t>40.5</w:t>
            </w:r>
          </w:p>
        </w:tc>
        <w:tc>
          <w:tcPr>
            <w:tcW w:w="771" w:type="dxa"/>
          </w:tcPr>
          <w:p w14:paraId="73A22506" w14:textId="77777777" w:rsidR="00617673" w:rsidRPr="00617673" w:rsidRDefault="00617673" w:rsidP="00A6387A">
            <w:pPr>
              <w:rPr>
                <w:lang w:val="en-GB"/>
              </w:rPr>
            </w:pPr>
            <w:r w:rsidRPr="00617673">
              <w:rPr>
                <w:lang w:val="en-GB"/>
              </w:rPr>
              <w:t>41.0</w:t>
            </w:r>
          </w:p>
        </w:tc>
        <w:tc>
          <w:tcPr>
            <w:tcW w:w="768" w:type="dxa"/>
          </w:tcPr>
          <w:p w14:paraId="2E735510" w14:textId="77777777" w:rsidR="00617673" w:rsidRPr="00617673" w:rsidRDefault="00617673" w:rsidP="00A6387A">
            <w:pPr>
              <w:rPr>
                <w:lang w:val="en-GB"/>
              </w:rPr>
            </w:pPr>
            <w:r w:rsidRPr="00617673">
              <w:t>42.1</w:t>
            </w:r>
          </w:p>
        </w:tc>
        <w:tc>
          <w:tcPr>
            <w:tcW w:w="856" w:type="dxa"/>
          </w:tcPr>
          <w:p w14:paraId="19930049" w14:textId="77777777" w:rsidR="00617673" w:rsidRPr="00617673" w:rsidRDefault="00617673" w:rsidP="00A6387A">
            <w:pPr>
              <w:rPr>
                <w:lang w:val="en-GB"/>
              </w:rPr>
            </w:pPr>
            <w:r w:rsidRPr="00617673">
              <w:t>41.9</w:t>
            </w:r>
          </w:p>
        </w:tc>
        <w:tc>
          <w:tcPr>
            <w:tcW w:w="855" w:type="dxa"/>
          </w:tcPr>
          <w:p w14:paraId="377EB036" w14:textId="77777777" w:rsidR="00617673" w:rsidRPr="00617673" w:rsidRDefault="00617673" w:rsidP="00A6387A">
            <w:pPr>
              <w:rPr>
                <w:lang w:val="en-GB"/>
              </w:rPr>
            </w:pPr>
            <w:r w:rsidRPr="00617673">
              <w:t>41.8</w:t>
            </w:r>
          </w:p>
        </w:tc>
        <w:tc>
          <w:tcPr>
            <w:tcW w:w="855" w:type="dxa"/>
          </w:tcPr>
          <w:p w14:paraId="123ACA3B" w14:textId="77777777" w:rsidR="00617673" w:rsidRPr="00617673" w:rsidRDefault="00617673" w:rsidP="00A6387A">
            <w:pPr>
              <w:rPr>
                <w:lang w:val="en-GB"/>
              </w:rPr>
            </w:pPr>
            <w:r w:rsidRPr="00617673">
              <w:t>38.1</w:t>
            </w:r>
          </w:p>
        </w:tc>
        <w:tc>
          <w:tcPr>
            <w:tcW w:w="855" w:type="dxa"/>
          </w:tcPr>
          <w:p w14:paraId="746CFF44" w14:textId="77777777" w:rsidR="00617673" w:rsidRPr="00617673" w:rsidRDefault="00617673" w:rsidP="00A6387A">
            <w:pPr>
              <w:rPr>
                <w:lang w:val="en-GB"/>
              </w:rPr>
            </w:pPr>
            <w:r w:rsidRPr="00617673">
              <w:t>37.2</w:t>
            </w:r>
          </w:p>
        </w:tc>
        <w:tc>
          <w:tcPr>
            <w:tcW w:w="855" w:type="dxa"/>
          </w:tcPr>
          <w:p w14:paraId="1489B8A2" w14:textId="77777777" w:rsidR="00617673" w:rsidRPr="00617673" w:rsidRDefault="00617673" w:rsidP="00A6387A">
            <w:pPr>
              <w:rPr>
                <w:lang w:val="en-GB"/>
              </w:rPr>
            </w:pPr>
            <w:r w:rsidRPr="00617673">
              <w:t>37.2</w:t>
            </w:r>
          </w:p>
        </w:tc>
        <w:tc>
          <w:tcPr>
            <w:tcW w:w="882" w:type="dxa"/>
          </w:tcPr>
          <w:p w14:paraId="027CEC1B" w14:textId="77777777" w:rsidR="00617673" w:rsidRPr="00617673" w:rsidRDefault="00617673" w:rsidP="00A6387A">
            <w:pPr>
              <w:rPr>
                <w:lang w:val="en-GB"/>
              </w:rPr>
            </w:pPr>
            <w:r w:rsidRPr="00617673">
              <w:t>36.4</w:t>
            </w:r>
          </w:p>
        </w:tc>
        <w:tc>
          <w:tcPr>
            <w:tcW w:w="827" w:type="dxa"/>
          </w:tcPr>
          <w:p w14:paraId="0D7A85B4" w14:textId="77777777" w:rsidR="00617673" w:rsidRPr="00617673" w:rsidRDefault="00617673" w:rsidP="00A6387A">
            <w:r w:rsidRPr="00617673">
              <w:t>36.9</w:t>
            </w:r>
          </w:p>
          <w:p w14:paraId="3067FF38" w14:textId="77777777" w:rsidR="00617673" w:rsidRPr="00617673" w:rsidRDefault="00617673" w:rsidP="00A6387A">
            <w:pPr>
              <w:rPr>
                <w:lang w:val="en-GB"/>
              </w:rPr>
            </w:pPr>
          </w:p>
        </w:tc>
        <w:tc>
          <w:tcPr>
            <w:tcW w:w="845" w:type="dxa"/>
          </w:tcPr>
          <w:p w14:paraId="20B6D3FF" w14:textId="77777777" w:rsidR="00617673" w:rsidRPr="00617673" w:rsidRDefault="00617673" w:rsidP="00A6387A">
            <w:r w:rsidRPr="00617673">
              <w:t>-3,6</w:t>
            </w:r>
          </w:p>
        </w:tc>
      </w:tr>
    </w:tbl>
    <w:p w14:paraId="26534105" w14:textId="77777777" w:rsidR="00617673" w:rsidRPr="00617673" w:rsidRDefault="00617673" w:rsidP="00617673">
      <w:pPr>
        <w:pStyle w:val="SingleTxtG"/>
        <w:rPr>
          <w:i/>
        </w:rPr>
      </w:pPr>
      <w:r w:rsidRPr="00617673">
        <w:rPr>
          <w:i/>
        </w:rPr>
        <w:t>Indice de gouvernance du Burundi de 2010 à 2019 de la Fondation Mo Ibrahim</w:t>
      </w:r>
    </w:p>
    <w:p w14:paraId="0107FE21" w14:textId="77777777" w:rsidR="00617673" w:rsidRPr="00617673" w:rsidRDefault="00617673" w:rsidP="00617673">
      <w:pPr>
        <w:pStyle w:val="SingleTxtG"/>
      </w:pPr>
      <w:r w:rsidRPr="00617673">
        <w:t>99.</w:t>
      </w:r>
      <w:r w:rsidRPr="00617673">
        <w:tab/>
        <w:t>Cet indice de performance globale en matière de gouvernance, particulièrement significatif, repose sur 276 indicateurs regroupés sous quatre thèmes clefs : la sécurité et l’État de droit ; la participation, les droits et l’inclusion ; les fondements des opportunités économiques ; et le développement humain, auxquels viennent s’ajouter 45 indicateurs subjectifs de la perception de la performance en matière de gouvernance par la population. Cet indice global cache donc de très grandes disparités au niveau des tendances propres à chaque thème clef, dont le compte rendu exhaustif est disponible sur le site internet de la Fondation Mo Ibrahim</w:t>
      </w:r>
      <w:r w:rsidRPr="003C2ED3">
        <w:rPr>
          <w:rStyle w:val="FootnoteReference"/>
        </w:rPr>
        <w:footnoteReference w:id="95"/>
      </w:r>
      <w:r w:rsidR="003C2ED3">
        <w:t>.</w:t>
      </w:r>
    </w:p>
    <w:p w14:paraId="47CC1AA7" w14:textId="4822A5B7" w:rsidR="00617673" w:rsidRDefault="00617673" w:rsidP="00617673">
      <w:pPr>
        <w:pStyle w:val="SingleTxtG"/>
      </w:pPr>
      <w:r w:rsidRPr="00617673">
        <w:t>100.</w:t>
      </w:r>
      <w:r w:rsidRPr="00617673">
        <w:tab/>
        <w:t xml:space="preserve">Effectivement, entre 2010 et 2019, la sécurité et </w:t>
      </w:r>
      <w:r w:rsidRPr="00617673">
        <w:rPr>
          <w:lang w:val="fr-FR"/>
        </w:rPr>
        <w:t>l’État</w:t>
      </w:r>
      <w:r w:rsidRPr="00617673">
        <w:t xml:space="preserve"> de droit, la participation, les droits et l’inclusion ont reculé de manière significative alors que les bases des opportunités économiques et le développement humain ont stagné ou légèrement progressé. La crise politique de 2015 apparaît claire</w:t>
      </w:r>
      <w:r w:rsidR="002A4D7A">
        <w:t>ment comme un point de rupture.</w:t>
      </w:r>
    </w:p>
    <w:tbl>
      <w:tblPr>
        <w:tblStyle w:val="TableGrid7"/>
        <w:tblW w:w="0" w:type="auto"/>
        <w:jc w:val="center"/>
        <w:tblLook w:val="04A0" w:firstRow="1" w:lastRow="0" w:firstColumn="1" w:lastColumn="0" w:noHBand="0" w:noVBand="1"/>
      </w:tblPr>
      <w:tblGrid>
        <w:gridCol w:w="1652"/>
        <w:gridCol w:w="663"/>
        <w:gridCol w:w="702"/>
        <w:gridCol w:w="700"/>
        <w:gridCol w:w="734"/>
        <w:gridCol w:w="734"/>
        <w:gridCol w:w="734"/>
        <w:gridCol w:w="734"/>
        <w:gridCol w:w="734"/>
        <w:gridCol w:w="745"/>
        <w:gridCol w:w="723"/>
        <w:gridCol w:w="774"/>
      </w:tblGrid>
      <w:tr w:rsidR="00617673" w:rsidRPr="00617673" w14:paraId="3E0C2985" w14:textId="77777777" w:rsidTr="0089221D">
        <w:trPr>
          <w:jc w:val="center"/>
        </w:trPr>
        <w:tc>
          <w:tcPr>
            <w:tcW w:w="1652" w:type="dxa"/>
          </w:tcPr>
          <w:p w14:paraId="7C27504B" w14:textId="77777777" w:rsidR="00617673" w:rsidRPr="00617673" w:rsidRDefault="00617673" w:rsidP="0089221D"/>
        </w:tc>
        <w:tc>
          <w:tcPr>
            <w:tcW w:w="663" w:type="dxa"/>
          </w:tcPr>
          <w:p w14:paraId="0B404AAE" w14:textId="77777777" w:rsidR="00617673" w:rsidRPr="00617673" w:rsidRDefault="00617673" w:rsidP="0089221D">
            <w:r w:rsidRPr="00617673">
              <w:t>2010</w:t>
            </w:r>
          </w:p>
        </w:tc>
        <w:tc>
          <w:tcPr>
            <w:tcW w:w="702" w:type="dxa"/>
          </w:tcPr>
          <w:p w14:paraId="3C7DAB62" w14:textId="77777777" w:rsidR="00617673" w:rsidRPr="00617673" w:rsidRDefault="00617673" w:rsidP="0089221D">
            <w:r w:rsidRPr="00617673">
              <w:t>2011</w:t>
            </w:r>
          </w:p>
        </w:tc>
        <w:tc>
          <w:tcPr>
            <w:tcW w:w="700" w:type="dxa"/>
          </w:tcPr>
          <w:p w14:paraId="3C24B4F4" w14:textId="77777777" w:rsidR="00617673" w:rsidRPr="00617673" w:rsidRDefault="00617673" w:rsidP="0089221D">
            <w:pPr>
              <w:rPr>
                <w:lang w:val="en-GB"/>
              </w:rPr>
            </w:pPr>
            <w:r w:rsidRPr="00617673">
              <w:rPr>
                <w:lang w:val="en-GB"/>
              </w:rPr>
              <w:t>2012</w:t>
            </w:r>
          </w:p>
        </w:tc>
        <w:tc>
          <w:tcPr>
            <w:tcW w:w="734" w:type="dxa"/>
          </w:tcPr>
          <w:p w14:paraId="673ED320" w14:textId="77777777" w:rsidR="00617673" w:rsidRPr="00617673" w:rsidRDefault="00617673" w:rsidP="0089221D">
            <w:pPr>
              <w:rPr>
                <w:lang w:val="en-GB"/>
              </w:rPr>
            </w:pPr>
            <w:r w:rsidRPr="00617673">
              <w:rPr>
                <w:lang w:val="en-GB"/>
              </w:rPr>
              <w:t>2013</w:t>
            </w:r>
          </w:p>
        </w:tc>
        <w:tc>
          <w:tcPr>
            <w:tcW w:w="734" w:type="dxa"/>
          </w:tcPr>
          <w:p w14:paraId="70364E56" w14:textId="77777777" w:rsidR="00617673" w:rsidRPr="00617673" w:rsidRDefault="00617673" w:rsidP="0089221D">
            <w:pPr>
              <w:rPr>
                <w:lang w:val="en-GB"/>
              </w:rPr>
            </w:pPr>
            <w:r w:rsidRPr="00617673">
              <w:rPr>
                <w:lang w:val="en-GB"/>
              </w:rPr>
              <w:t>2014</w:t>
            </w:r>
          </w:p>
        </w:tc>
        <w:tc>
          <w:tcPr>
            <w:tcW w:w="734" w:type="dxa"/>
          </w:tcPr>
          <w:p w14:paraId="6E681FAB" w14:textId="77777777" w:rsidR="00617673" w:rsidRPr="00617673" w:rsidRDefault="00617673" w:rsidP="0089221D">
            <w:pPr>
              <w:rPr>
                <w:lang w:val="en-GB"/>
              </w:rPr>
            </w:pPr>
            <w:r w:rsidRPr="00617673">
              <w:rPr>
                <w:lang w:val="en-GB"/>
              </w:rPr>
              <w:t>2015</w:t>
            </w:r>
          </w:p>
        </w:tc>
        <w:tc>
          <w:tcPr>
            <w:tcW w:w="734" w:type="dxa"/>
          </w:tcPr>
          <w:p w14:paraId="2B93C8A7" w14:textId="77777777" w:rsidR="00617673" w:rsidRPr="00617673" w:rsidRDefault="00617673" w:rsidP="0089221D">
            <w:pPr>
              <w:rPr>
                <w:lang w:val="en-GB"/>
              </w:rPr>
            </w:pPr>
            <w:r w:rsidRPr="00617673">
              <w:rPr>
                <w:lang w:val="en-GB"/>
              </w:rPr>
              <w:t>2016</w:t>
            </w:r>
          </w:p>
        </w:tc>
        <w:tc>
          <w:tcPr>
            <w:tcW w:w="734" w:type="dxa"/>
          </w:tcPr>
          <w:p w14:paraId="5F8566F0" w14:textId="77777777" w:rsidR="00617673" w:rsidRPr="00617673" w:rsidRDefault="00617673" w:rsidP="0089221D">
            <w:pPr>
              <w:rPr>
                <w:lang w:val="en-GB"/>
              </w:rPr>
            </w:pPr>
            <w:r w:rsidRPr="00617673">
              <w:rPr>
                <w:lang w:val="en-GB"/>
              </w:rPr>
              <w:t>2017</w:t>
            </w:r>
          </w:p>
        </w:tc>
        <w:tc>
          <w:tcPr>
            <w:tcW w:w="745" w:type="dxa"/>
          </w:tcPr>
          <w:p w14:paraId="1BCAEED7" w14:textId="77777777" w:rsidR="00617673" w:rsidRPr="00617673" w:rsidRDefault="00617673" w:rsidP="0089221D">
            <w:pPr>
              <w:rPr>
                <w:lang w:val="en-GB"/>
              </w:rPr>
            </w:pPr>
            <w:r w:rsidRPr="00617673">
              <w:rPr>
                <w:lang w:val="en-GB"/>
              </w:rPr>
              <w:t>2018</w:t>
            </w:r>
          </w:p>
        </w:tc>
        <w:tc>
          <w:tcPr>
            <w:tcW w:w="723" w:type="dxa"/>
          </w:tcPr>
          <w:p w14:paraId="533965ED" w14:textId="77777777" w:rsidR="00617673" w:rsidRPr="00617673" w:rsidRDefault="00617673" w:rsidP="0089221D">
            <w:pPr>
              <w:rPr>
                <w:lang w:val="en-GB"/>
              </w:rPr>
            </w:pPr>
            <w:r w:rsidRPr="00617673">
              <w:rPr>
                <w:lang w:val="en-GB"/>
              </w:rPr>
              <w:t>2019</w:t>
            </w:r>
          </w:p>
        </w:tc>
        <w:tc>
          <w:tcPr>
            <w:tcW w:w="774" w:type="dxa"/>
          </w:tcPr>
          <w:p w14:paraId="5C081B4C" w14:textId="77777777" w:rsidR="00617673" w:rsidRPr="00617673" w:rsidRDefault="00617673" w:rsidP="0089221D">
            <w:pPr>
              <w:rPr>
                <w:lang w:val="en-GB"/>
              </w:rPr>
            </w:pPr>
            <w:r w:rsidRPr="00617673">
              <w:rPr>
                <w:lang w:val="en-GB"/>
              </w:rPr>
              <w:t>2010-2019</w:t>
            </w:r>
          </w:p>
        </w:tc>
      </w:tr>
      <w:tr w:rsidR="00617673" w:rsidRPr="00617673" w14:paraId="3D03ED7A" w14:textId="77777777" w:rsidTr="0089221D">
        <w:trPr>
          <w:jc w:val="center"/>
        </w:trPr>
        <w:tc>
          <w:tcPr>
            <w:tcW w:w="1652" w:type="dxa"/>
          </w:tcPr>
          <w:p w14:paraId="73A1B745" w14:textId="77777777" w:rsidR="00617673" w:rsidRPr="00617673" w:rsidRDefault="00617673" w:rsidP="0089221D">
            <w:r w:rsidRPr="00617673">
              <w:t>Sécurité et État de droit</w:t>
            </w:r>
          </w:p>
        </w:tc>
        <w:tc>
          <w:tcPr>
            <w:tcW w:w="663" w:type="dxa"/>
            <w:tcBorders>
              <w:left w:val="dashed" w:sz="6" w:space="0" w:color="B8B8B8"/>
            </w:tcBorders>
            <w:shd w:val="clear" w:color="auto" w:fill="FFFFFF"/>
            <w:vAlign w:val="center"/>
          </w:tcPr>
          <w:p w14:paraId="1E00B7BF" w14:textId="77777777" w:rsidR="00617673" w:rsidRPr="00617673" w:rsidRDefault="00617673" w:rsidP="0089221D">
            <w:pPr>
              <w:rPr>
                <w:lang w:val="en-GB"/>
              </w:rPr>
            </w:pPr>
            <w:r w:rsidRPr="00617673">
              <w:rPr>
                <w:lang w:val="en-GB"/>
              </w:rPr>
              <w:t>42.9</w:t>
            </w:r>
          </w:p>
        </w:tc>
        <w:tc>
          <w:tcPr>
            <w:tcW w:w="702" w:type="dxa"/>
            <w:tcBorders>
              <w:left w:val="dashed" w:sz="6" w:space="0" w:color="B8B8B8"/>
            </w:tcBorders>
            <w:shd w:val="clear" w:color="auto" w:fill="FFFFFF"/>
            <w:vAlign w:val="center"/>
          </w:tcPr>
          <w:p w14:paraId="1C95E099" w14:textId="77777777" w:rsidR="00617673" w:rsidRPr="00617673" w:rsidRDefault="00617673" w:rsidP="0089221D">
            <w:pPr>
              <w:rPr>
                <w:lang w:val="en-GB"/>
              </w:rPr>
            </w:pPr>
            <w:r w:rsidRPr="00617673">
              <w:rPr>
                <w:lang w:val="en-GB"/>
              </w:rPr>
              <w:t>42.8</w:t>
            </w:r>
          </w:p>
        </w:tc>
        <w:tc>
          <w:tcPr>
            <w:tcW w:w="700" w:type="dxa"/>
            <w:tcBorders>
              <w:left w:val="dashed" w:sz="6" w:space="0" w:color="B8B8B8"/>
            </w:tcBorders>
            <w:shd w:val="clear" w:color="auto" w:fill="FFFFFF"/>
            <w:vAlign w:val="center"/>
          </w:tcPr>
          <w:p w14:paraId="3CD608A0" w14:textId="77777777" w:rsidR="00617673" w:rsidRPr="00617673" w:rsidRDefault="00617673" w:rsidP="0089221D">
            <w:pPr>
              <w:rPr>
                <w:lang w:val="en-GB"/>
              </w:rPr>
            </w:pPr>
            <w:r w:rsidRPr="00617673">
              <w:rPr>
                <w:lang w:val="en-GB"/>
              </w:rPr>
              <w:t>42.3</w:t>
            </w:r>
          </w:p>
        </w:tc>
        <w:tc>
          <w:tcPr>
            <w:tcW w:w="734" w:type="dxa"/>
            <w:tcBorders>
              <w:left w:val="dashed" w:sz="6" w:space="0" w:color="B8B8B8"/>
            </w:tcBorders>
            <w:shd w:val="clear" w:color="auto" w:fill="FFFFFF"/>
            <w:vAlign w:val="center"/>
          </w:tcPr>
          <w:p w14:paraId="7A15C10E" w14:textId="77777777" w:rsidR="00617673" w:rsidRPr="00617673" w:rsidRDefault="00617673" w:rsidP="0089221D">
            <w:pPr>
              <w:rPr>
                <w:lang w:val="en-GB"/>
              </w:rPr>
            </w:pPr>
            <w:r w:rsidRPr="00617673">
              <w:rPr>
                <w:lang w:val="en-GB"/>
              </w:rPr>
              <w:t>39.9</w:t>
            </w:r>
          </w:p>
        </w:tc>
        <w:tc>
          <w:tcPr>
            <w:tcW w:w="734" w:type="dxa"/>
            <w:tcBorders>
              <w:left w:val="dashed" w:sz="6" w:space="0" w:color="B8B8B8"/>
            </w:tcBorders>
            <w:shd w:val="clear" w:color="auto" w:fill="FFFFFF"/>
            <w:vAlign w:val="center"/>
          </w:tcPr>
          <w:p w14:paraId="2F9C3B9C" w14:textId="77777777" w:rsidR="00617673" w:rsidRPr="00617673" w:rsidRDefault="00617673" w:rsidP="0089221D">
            <w:pPr>
              <w:rPr>
                <w:lang w:val="en-GB"/>
              </w:rPr>
            </w:pPr>
            <w:r w:rsidRPr="00617673">
              <w:rPr>
                <w:lang w:val="en-GB"/>
              </w:rPr>
              <w:t>39.3</w:t>
            </w:r>
          </w:p>
        </w:tc>
        <w:tc>
          <w:tcPr>
            <w:tcW w:w="734" w:type="dxa"/>
            <w:tcBorders>
              <w:left w:val="dashed" w:sz="6" w:space="0" w:color="B8B8B8"/>
            </w:tcBorders>
            <w:shd w:val="clear" w:color="auto" w:fill="FFFFFF"/>
            <w:vAlign w:val="center"/>
          </w:tcPr>
          <w:p w14:paraId="17A79D86" w14:textId="77777777" w:rsidR="00617673" w:rsidRPr="00617673" w:rsidRDefault="00617673" w:rsidP="0089221D">
            <w:pPr>
              <w:rPr>
                <w:lang w:val="en-GB"/>
              </w:rPr>
            </w:pPr>
            <w:r w:rsidRPr="00617673">
              <w:rPr>
                <w:lang w:val="en-GB"/>
              </w:rPr>
              <w:t>29.9</w:t>
            </w:r>
          </w:p>
        </w:tc>
        <w:tc>
          <w:tcPr>
            <w:tcW w:w="734" w:type="dxa"/>
            <w:tcBorders>
              <w:left w:val="dashed" w:sz="6" w:space="0" w:color="B8B8B8"/>
            </w:tcBorders>
            <w:shd w:val="clear" w:color="auto" w:fill="FFFFFF"/>
            <w:vAlign w:val="center"/>
          </w:tcPr>
          <w:p w14:paraId="1452ECF5" w14:textId="77777777" w:rsidR="00617673" w:rsidRPr="00617673" w:rsidRDefault="00617673" w:rsidP="0089221D">
            <w:pPr>
              <w:rPr>
                <w:lang w:val="en-GB"/>
              </w:rPr>
            </w:pPr>
            <w:r w:rsidRPr="00617673">
              <w:rPr>
                <w:lang w:val="en-GB"/>
              </w:rPr>
              <w:t>29.2</w:t>
            </w:r>
          </w:p>
        </w:tc>
        <w:tc>
          <w:tcPr>
            <w:tcW w:w="734" w:type="dxa"/>
            <w:tcBorders>
              <w:left w:val="dashed" w:sz="6" w:space="0" w:color="B8B8B8"/>
            </w:tcBorders>
            <w:shd w:val="clear" w:color="auto" w:fill="FFFFFF"/>
            <w:vAlign w:val="center"/>
          </w:tcPr>
          <w:p w14:paraId="4C592D39" w14:textId="77777777" w:rsidR="00617673" w:rsidRPr="00617673" w:rsidRDefault="00617673" w:rsidP="0089221D">
            <w:pPr>
              <w:rPr>
                <w:lang w:val="en-GB"/>
              </w:rPr>
            </w:pPr>
            <w:r w:rsidRPr="00617673">
              <w:rPr>
                <w:lang w:val="en-GB"/>
              </w:rPr>
              <w:t>30.7</w:t>
            </w:r>
          </w:p>
        </w:tc>
        <w:tc>
          <w:tcPr>
            <w:tcW w:w="745" w:type="dxa"/>
            <w:tcBorders>
              <w:left w:val="dashed" w:sz="6" w:space="0" w:color="B8B8B8"/>
            </w:tcBorders>
            <w:shd w:val="clear" w:color="auto" w:fill="FFFFFF"/>
            <w:vAlign w:val="center"/>
          </w:tcPr>
          <w:p w14:paraId="1428C2B8" w14:textId="77777777" w:rsidR="00617673" w:rsidRPr="00617673" w:rsidRDefault="00617673" w:rsidP="0089221D">
            <w:pPr>
              <w:rPr>
                <w:lang w:val="en-GB"/>
              </w:rPr>
            </w:pPr>
            <w:r w:rsidRPr="00617673">
              <w:rPr>
                <w:lang w:val="en-GB"/>
              </w:rPr>
              <w:t>29.7</w:t>
            </w:r>
          </w:p>
        </w:tc>
        <w:tc>
          <w:tcPr>
            <w:tcW w:w="723" w:type="dxa"/>
            <w:tcBorders>
              <w:left w:val="dashed" w:sz="6" w:space="0" w:color="B8B8B8"/>
            </w:tcBorders>
            <w:shd w:val="clear" w:color="auto" w:fill="FFFFFF"/>
            <w:vAlign w:val="center"/>
          </w:tcPr>
          <w:p w14:paraId="7AC2CC9B" w14:textId="77777777" w:rsidR="00617673" w:rsidRPr="00617673" w:rsidRDefault="00617673" w:rsidP="0089221D">
            <w:pPr>
              <w:rPr>
                <w:lang w:val="en-GB"/>
              </w:rPr>
            </w:pPr>
            <w:r w:rsidRPr="00617673">
              <w:rPr>
                <w:lang w:val="en-GB"/>
              </w:rPr>
              <w:t>30.2</w:t>
            </w:r>
          </w:p>
        </w:tc>
        <w:tc>
          <w:tcPr>
            <w:tcW w:w="774" w:type="dxa"/>
            <w:vAlign w:val="center"/>
          </w:tcPr>
          <w:p w14:paraId="1E304641" w14:textId="77777777" w:rsidR="00617673" w:rsidRPr="00617673" w:rsidRDefault="00617673" w:rsidP="0089221D">
            <w:r w:rsidRPr="00617673">
              <w:t>-12,7</w:t>
            </w:r>
          </w:p>
        </w:tc>
      </w:tr>
      <w:tr w:rsidR="00617673" w:rsidRPr="00617673" w14:paraId="7833EEB3" w14:textId="77777777" w:rsidTr="0089221D">
        <w:trPr>
          <w:jc w:val="center"/>
        </w:trPr>
        <w:tc>
          <w:tcPr>
            <w:tcW w:w="1652" w:type="dxa"/>
          </w:tcPr>
          <w:p w14:paraId="5ABA2E32" w14:textId="77777777" w:rsidR="00617673" w:rsidRPr="00617673" w:rsidRDefault="00617673" w:rsidP="0089221D">
            <w:pPr>
              <w:rPr>
                <w:lang w:val="en-GB"/>
              </w:rPr>
            </w:pPr>
            <w:r w:rsidRPr="00617673">
              <w:rPr>
                <w:lang w:val="en-GB"/>
              </w:rPr>
              <w:t>Participation, droits, inclusion</w:t>
            </w:r>
          </w:p>
        </w:tc>
        <w:tc>
          <w:tcPr>
            <w:tcW w:w="663" w:type="dxa"/>
            <w:tcBorders>
              <w:left w:val="dashed" w:sz="6" w:space="0" w:color="B8B8B8"/>
            </w:tcBorders>
            <w:shd w:val="clear" w:color="auto" w:fill="FFFFFF"/>
            <w:vAlign w:val="center"/>
          </w:tcPr>
          <w:p w14:paraId="338B1BF1" w14:textId="77777777" w:rsidR="00617673" w:rsidRPr="00617673" w:rsidRDefault="00617673" w:rsidP="0089221D">
            <w:pPr>
              <w:rPr>
                <w:lang w:val="en-GB"/>
              </w:rPr>
            </w:pPr>
            <w:r w:rsidRPr="00617673">
              <w:rPr>
                <w:lang w:val="en-GB"/>
              </w:rPr>
              <w:t>44.2</w:t>
            </w:r>
          </w:p>
        </w:tc>
        <w:tc>
          <w:tcPr>
            <w:tcW w:w="702" w:type="dxa"/>
            <w:tcBorders>
              <w:left w:val="dashed" w:sz="6" w:space="0" w:color="B8B8B8"/>
            </w:tcBorders>
            <w:shd w:val="clear" w:color="auto" w:fill="FFFFFF"/>
            <w:vAlign w:val="center"/>
          </w:tcPr>
          <w:p w14:paraId="7ABBB5FA" w14:textId="77777777" w:rsidR="00617673" w:rsidRPr="00617673" w:rsidRDefault="00617673" w:rsidP="0089221D">
            <w:pPr>
              <w:rPr>
                <w:lang w:val="en-GB"/>
              </w:rPr>
            </w:pPr>
            <w:r w:rsidRPr="00617673">
              <w:rPr>
                <w:lang w:val="en-GB"/>
              </w:rPr>
              <w:t>44.1</w:t>
            </w:r>
          </w:p>
        </w:tc>
        <w:tc>
          <w:tcPr>
            <w:tcW w:w="700" w:type="dxa"/>
            <w:tcBorders>
              <w:left w:val="dashed" w:sz="6" w:space="0" w:color="B8B8B8"/>
            </w:tcBorders>
            <w:shd w:val="clear" w:color="auto" w:fill="FFFFFF"/>
            <w:vAlign w:val="center"/>
          </w:tcPr>
          <w:p w14:paraId="0E413853" w14:textId="77777777" w:rsidR="00617673" w:rsidRPr="00617673" w:rsidRDefault="00617673" w:rsidP="0089221D">
            <w:r w:rsidRPr="00617673">
              <w:rPr>
                <w:lang w:val="en-GB"/>
              </w:rPr>
              <w:t>44.8</w:t>
            </w:r>
          </w:p>
        </w:tc>
        <w:tc>
          <w:tcPr>
            <w:tcW w:w="734" w:type="dxa"/>
            <w:tcBorders>
              <w:left w:val="dashed" w:sz="6" w:space="0" w:color="B8B8B8"/>
            </w:tcBorders>
            <w:shd w:val="clear" w:color="auto" w:fill="FFFFFF"/>
            <w:vAlign w:val="center"/>
          </w:tcPr>
          <w:p w14:paraId="771A8F68" w14:textId="77777777" w:rsidR="00617673" w:rsidRPr="00617673" w:rsidRDefault="00617673" w:rsidP="0089221D">
            <w:r w:rsidRPr="00617673">
              <w:rPr>
                <w:lang w:val="en-GB"/>
              </w:rPr>
              <w:t>44.1</w:t>
            </w:r>
          </w:p>
        </w:tc>
        <w:tc>
          <w:tcPr>
            <w:tcW w:w="734" w:type="dxa"/>
            <w:tcBorders>
              <w:left w:val="dashed" w:sz="6" w:space="0" w:color="B8B8B8"/>
            </w:tcBorders>
            <w:shd w:val="clear" w:color="auto" w:fill="FFFFFF"/>
            <w:vAlign w:val="center"/>
          </w:tcPr>
          <w:p w14:paraId="50FC7F04" w14:textId="77777777" w:rsidR="00617673" w:rsidRPr="00617673" w:rsidRDefault="00617673" w:rsidP="0089221D">
            <w:r w:rsidRPr="00617673">
              <w:rPr>
                <w:lang w:val="en-GB"/>
              </w:rPr>
              <w:t>43.4</w:t>
            </w:r>
          </w:p>
        </w:tc>
        <w:tc>
          <w:tcPr>
            <w:tcW w:w="734" w:type="dxa"/>
            <w:tcBorders>
              <w:left w:val="dashed" w:sz="6" w:space="0" w:color="B8B8B8"/>
            </w:tcBorders>
            <w:shd w:val="clear" w:color="auto" w:fill="FFFFFF"/>
            <w:vAlign w:val="center"/>
          </w:tcPr>
          <w:p w14:paraId="01A1AE93" w14:textId="77777777" w:rsidR="00617673" w:rsidRPr="00617673" w:rsidRDefault="00617673" w:rsidP="0089221D">
            <w:r w:rsidRPr="00617673">
              <w:rPr>
                <w:lang w:val="en-GB"/>
              </w:rPr>
              <w:t>39.2</w:t>
            </w:r>
          </w:p>
        </w:tc>
        <w:tc>
          <w:tcPr>
            <w:tcW w:w="734" w:type="dxa"/>
            <w:tcBorders>
              <w:left w:val="dashed" w:sz="6" w:space="0" w:color="B8B8B8"/>
            </w:tcBorders>
            <w:shd w:val="clear" w:color="auto" w:fill="FFFFFF"/>
            <w:vAlign w:val="center"/>
          </w:tcPr>
          <w:p w14:paraId="32B2E304" w14:textId="77777777" w:rsidR="00617673" w:rsidRPr="00617673" w:rsidRDefault="00617673" w:rsidP="0089221D">
            <w:r w:rsidRPr="00617673">
              <w:rPr>
                <w:lang w:val="en-GB"/>
              </w:rPr>
              <w:t>36.2</w:t>
            </w:r>
          </w:p>
        </w:tc>
        <w:tc>
          <w:tcPr>
            <w:tcW w:w="734" w:type="dxa"/>
            <w:tcBorders>
              <w:left w:val="dashed" w:sz="6" w:space="0" w:color="B8B8B8"/>
            </w:tcBorders>
            <w:shd w:val="clear" w:color="auto" w:fill="FFFFFF"/>
            <w:vAlign w:val="center"/>
          </w:tcPr>
          <w:p w14:paraId="13BBF157" w14:textId="77777777" w:rsidR="00617673" w:rsidRPr="00617673" w:rsidRDefault="00617673" w:rsidP="0089221D">
            <w:r w:rsidRPr="00617673">
              <w:rPr>
                <w:lang w:val="en-GB"/>
              </w:rPr>
              <w:t>35.2</w:t>
            </w:r>
          </w:p>
        </w:tc>
        <w:tc>
          <w:tcPr>
            <w:tcW w:w="745" w:type="dxa"/>
            <w:tcBorders>
              <w:left w:val="dashed" w:sz="6" w:space="0" w:color="B8B8B8"/>
            </w:tcBorders>
            <w:shd w:val="clear" w:color="auto" w:fill="FFFFFF"/>
            <w:vAlign w:val="center"/>
          </w:tcPr>
          <w:p w14:paraId="2C265044" w14:textId="77777777" w:rsidR="00617673" w:rsidRPr="00617673" w:rsidRDefault="00617673" w:rsidP="0089221D">
            <w:r w:rsidRPr="00617673">
              <w:rPr>
                <w:lang w:val="en-GB"/>
              </w:rPr>
              <w:t>34.0</w:t>
            </w:r>
          </w:p>
        </w:tc>
        <w:tc>
          <w:tcPr>
            <w:tcW w:w="723" w:type="dxa"/>
            <w:tcBorders>
              <w:left w:val="dashed" w:sz="6" w:space="0" w:color="B8B8B8"/>
            </w:tcBorders>
            <w:shd w:val="clear" w:color="auto" w:fill="FFFFFF"/>
            <w:vAlign w:val="center"/>
          </w:tcPr>
          <w:p w14:paraId="54E1FEA1" w14:textId="77777777" w:rsidR="00617673" w:rsidRPr="00617673" w:rsidRDefault="00617673" w:rsidP="0089221D">
            <w:r w:rsidRPr="00617673">
              <w:rPr>
                <w:lang w:val="en-GB"/>
              </w:rPr>
              <w:t>33.2</w:t>
            </w:r>
          </w:p>
        </w:tc>
        <w:tc>
          <w:tcPr>
            <w:tcW w:w="774" w:type="dxa"/>
            <w:vAlign w:val="center"/>
          </w:tcPr>
          <w:p w14:paraId="7CF25857" w14:textId="77777777" w:rsidR="00617673" w:rsidRPr="00617673" w:rsidRDefault="00617673" w:rsidP="0089221D">
            <w:r w:rsidRPr="00617673">
              <w:t>-11.0</w:t>
            </w:r>
          </w:p>
        </w:tc>
      </w:tr>
      <w:tr w:rsidR="00617673" w:rsidRPr="00617673" w14:paraId="27425862" w14:textId="77777777" w:rsidTr="0089221D">
        <w:trPr>
          <w:jc w:val="center"/>
        </w:trPr>
        <w:tc>
          <w:tcPr>
            <w:tcW w:w="1652" w:type="dxa"/>
          </w:tcPr>
          <w:p w14:paraId="7B5934D9" w14:textId="77777777" w:rsidR="00617673" w:rsidRPr="00617673" w:rsidRDefault="00617673" w:rsidP="0089221D">
            <w:pPr>
              <w:rPr>
                <w:lang w:val="en-GB"/>
              </w:rPr>
            </w:pPr>
            <w:r w:rsidRPr="00617673">
              <w:rPr>
                <w:lang w:val="en-GB"/>
              </w:rPr>
              <w:t>Bases des opportunités économiques</w:t>
            </w:r>
          </w:p>
        </w:tc>
        <w:tc>
          <w:tcPr>
            <w:tcW w:w="663" w:type="dxa"/>
            <w:tcBorders>
              <w:left w:val="dashed" w:sz="6" w:space="0" w:color="B8B8B8"/>
            </w:tcBorders>
            <w:shd w:val="clear" w:color="auto" w:fill="FFFFFF"/>
            <w:vAlign w:val="center"/>
          </w:tcPr>
          <w:p w14:paraId="284D515C" w14:textId="77777777" w:rsidR="00617673" w:rsidRPr="00617673" w:rsidRDefault="00617673" w:rsidP="0089221D">
            <w:pPr>
              <w:rPr>
                <w:lang w:val="en-GB"/>
              </w:rPr>
            </w:pPr>
            <w:r w:rsidRPr="00617673">
              <w:rPr>
                <w:lang w:val="en-GB"/>
              </w:rPr>
              <w:t>34.0</w:t>
            </w:r>
          </w:p>
        </w:tc>
        <w:tc>
          <w:tcPr>
            <w:tcW w:w="702" w:type="dxa"/>
            <w:tcBorders>
              <w:left w:val="dashed" w:sz="6" w:space="0" w:color="B8B8B8"/>
            </w:tcBorders>
            <w:shd w:val="clear" w:color="auto" w:fill="FFFFFF"/>
            <w:vAlign w:val="center"/>
          </w:tcPr>
          <w:p w14:paraId="3936F8E2" w14:textId="77777777" w:rsidR="00617673" w:rsidRPr="00617673" w:rsidRDefault="00617673" w:rsidP="0089221D">
            <w:pPr>
              <w:rPr>
                <w:lang w:val="en-GB"/>
              </w:rPr>
            </w:pPr>
            <w:r w:rsidRPr="00617673">
              <w:rPr>
                <w:lang w:val="en-GB"/>
              </w:rPr>
              <w:t>35.2</w:t>
            </w:r>
          </w:p>
        </w:tc>
        <w:tc>
          <w:tcPr>
            <w:tcW w:w="700" w:type="dxa"/>
            <w:tcBorders>
              <w:left w:val="dashed" w:sz="6" w:space="0" w:color="B8B8B8"/>
            </w:tcBorders>
            <w:shd w:val="clear" w:color="auto" w:fill="FFFFFF"/>
            <w:vAlign w:val="center"/>
          </w:tcPr>
          <w:p w14:paraId="0CF6D45D" w14:textId="77777777" w:rsidR="00617673" w:rsidRPr="00617673" w:rsidRDefault="00617673" w:rsidP="0089221D">
            <w:r w:rsidRPr="00617673">
              <w:rPr>
                <w:lang w:val="en-GB"/>
              </w:rPr>
              <w:t>36.8</w:t>
            </w:r>
          </w:p>
        </w:tc>
        <w:tc>
          <w:tcPr>
            <w:tcW w:w="734" w:type="dxa"/>
            <w:tcBorders>
              <w:left w:val="dashed" w:sz="6" w:space="0" w:color="B8B8B8"/>
            </w:tcBorders>
            <w:shd w:val="clear" w:color="auto" w:fill="FFFFFF"/>
            <w:vAlign w:val="center"/>
          </w:tcPr>
          <w:p w14:paraId="743DBA97" w14:textId="77777777" w:rsidR="00617673" w:rsidRPr="00617673" w:rsidRDefault="00617673" w:rsidP="0089221D">
            <w:r w:rsidRPr="00617673">
              <w:rPr>
                <w:lang w:val="en-GB"/>
              </w:rPr>
              <w:t>38.5</w:t>
            </w:r>
          </w:p>
        </w:tc>
        <w:tc>
          <w:tcPr>
            <w:tcW w:w="734" w:type="dxa"/>
            <w:tcBorders>
              <w:left w:val="dashed" w:sz="6" w:space="0" w:color="B8B8B8"/>
            </w:tcBorders>
            <w:shd w:val="clear" w:color="auto" w:fill="FFFFFF"/>
            <w:vAlign w:val="center"/>
          </w:tcPr>
          <w:p w14:paraId="7F2C25A4" w14:textId="77777777" w:rsidR="00617673" w:rsidRPr="00617673" w:rsidRDefault="00617673" w:rsidP="0089221D">
            <w:r w:rsidRPr="00617673">
              <w:rPr>
                <w:lang w:val="en-GB"/>
              </w:rPr>
              <w:t>36.9</w:t>
            </w:r>
          </w:p>
        </w:tc>
        <w:tc>
          <w:tcPr>
            <w:tcW w:w="734" w:type="dxa"/>
            <w:tcBorders>
              <w:left w:val="dashed" w:sz="6" w:space="0" w:color="B8B8B8"/>
            </w:tcBorders>
            <w:shd w:val="clear" w:color="auto" w:fill="FFFFFF"/>
            <w:vAlign w:val="center"/>
          </w:tcPr>
          <w:p w14:paraId="5BAD0F45" w14:textId="77777777" w:rsidR="00617673" w:rsidRPr="00617673" w:rsidRDefault="00617673" w:rsidP="0089221D">
            <w:r w:rsidRPr="00617673">
              <w:rPr>
                <w:lang w:val="en-GB"/>
              </w:rPr>
              <w:t>36.6</w:t>
            </w:r>
          </w:p>
        </w:tc>
        <w:tc>
          <w:tcPr>
            <w:tcW w:w="734" w:type="dxa"/>
            <w:tcBorders>
              <w:left w:val="dashed" w:sz="6" w:space="0" w:color="B8B8B8"/>
            </w:tcBorders>
            <w:shd w:val="clear" w:color="auto" w:fill="FFFFFF"/>
            <w:vAlign w:val="center"/>
          </w:tcPr>
          <w:p w14:paraId="192FAC4D" w14:textId="77777777" w:rsidR="00617673" w:rsidRPr="00617673" w:rsidRDefault="00617673" w:rsidP="0089221D">
            <w:r w:rsidRPr="00617673">
              <w:rPr>
                <w:lang w:val="en-GB"/>
              </w:rPr>
              <w:t>36.4</w:t>
            </w:r>
          </w:p>
        </w:tc>
        <w:tc>
          <w:tcPr>
            <w:tcW w:w="734" w:type="dxa"/>
            <w:tcBorders>
              <w:left w:val="dashed" w:sz="6" w:space="0" w:color="B8B8B8"/>
            </w:tcBorders>
            <w:shd w:val="clear" w:color="auto" w:fill="FFFFFF"/>
            <w:vAlign w:val="center"/>
          </w:tcPr>
          <w:p w14:paraId="54F1BE78" w14:textId="77777777" w:rsidR="00617673" w:rsidRPr="00617673" w:rsidRDefault="00617673" w:rsidP="0089221D">
            <w:r w:rsidRPr="00617673">
              <w:rPr>
                <w:lang w:val="en-GB"/>
              </w:rPr>
              <w:t>36.5</w:t>
            </w:r>
          </w:p>
        </w:tc>
        <w:tc>
          <w:tcPr>
            <w:tcW w:w="745" w:type="dxa"/>
            <w:tcBorders>
              <w:left w:val="dashed" w:sz="6" w:space="0" w:color="B8B8B8"/>
            </w:tcBorders>
            <w:shd w:val="clear" w:color="auto" w:fill="FFFFFF"/>
            <w:vAlign w:val="center"/>
          </w:tcPr>
          <w:p w14:paraId="5924D9C8" w14:textId="77777777" w:rsidR="00617673" w:rsidRPr="00617673" w:rsidRDefault="00617673" w:rsidP="0089221D">
            <w:r w:rsidRPr="00617673">
              <w:rPr>
                <w:lang w:val="en-GB"/>
              </w:rPr>
              <w:t>35.7</w:t>
            </w:r>
          </w:p>
        </w:tc>
        <w:tc>
          <w:tcPr>
            <w:tcW w:w="723" w:type="dxa"/>
            <w:tcBorders>
              <w:left w:val="dashed" w:sz="6" w:space="0" w:color="B8B8B8"/>
            </w:tcBorders>
            <w:shd w:val="clear" w:color="auto" w:fill="FFFFFF"/>
            <w:vAlign w:val="center"/>
          </w:tcPr>
          <w:p w14:paraId="75C3C5D7" w14:textId="77777777" w:rsidR="00617673" w:rsidRPr="00617673" w:rsidRDefault="00617673" w:rsidP="0089221D">
            <w:r w:rsidRPr="00617673">
              <w:rPr>
                <w:lang w:val="en-GB"/>
              </w:rPr>
              <w:t>37.0</w:t>
            </w:r>
          </w:p>
        </w:tc>
        <w:tc>
          <w:tcPr>
            <w:tcW w:w="774" w:type="dxa"/>
            <w:vAlign w:val="center"/>
          </w:tcPr>
          <w:p w14:paraId="7289B06E" w14:textId="77777777" w:rsidR="00617673" w:rsidRPr="00617673" w:rsidRDefault="00617673" w:rsidP="0089221D">
            <w:r w:rsidRPr="00617673">
              <w:t>+3.0</w:t>
            </w:r>
          </w:p>
        </w:tc>
      </w:tr>
      <w:tr w:rsidR="00617673" w:rsidRPr="00617673" w14:paraId="79BA9864" w14:textId="77777777" w:rsidTr="0089221D">
        <w:trPr>
          <w:jc w:val="center"/>
        </w:trPr>
        <w:tc>
          <w:tcPr>
            <w:tcW w:w="1652" w:type="dxa"/>
          </w:tcPr>
          <w:p w14:paraId="37457B26" w14:textId="77777777" w:rsidR="00617673" w:rsidRPr="00617673" w:rsidRDefault="00617673" w:rsidP="0089221D">
            <w:pPr>
              <w:rPr>
                <w:lang w:val="en-GB"/>
              </w:rPr>
            </w:pPr>
            <w:r w:rsidRPr="00617673">
              <w:rPr>
                <w:lang w:val="en-GB"/>
              </w:rPr>
              <w:t>Développement humain</w:t>
            </w:r>
          </w:p>
        </w:tc>
        <w:tc>
          <w:tcPr>
            <w:tcW w:w="663" w:type="dxa"/>
            <w:tcBorders>
              <w:left w:val="dashed" w:sz="6" w:space="0" w:color="B8B8B8"/>
            </w:tcBorders>
            <w:shd w:val="clear" w:color="auto" w:fill="FFFFFF"/>
            <w:vAlign w:val="center"/>
          </w:tcPr>
          <w:p w14:paraId="7F922895" w14:textId="77777777" w:rsidR="00617673" w:rsidRPr="00617673" w:rsidRDefault="00617673" w:rsidP="0089221D">
            <w:pPr>
              <w:rPr>
                <w:lang w:val="en-GB"/>
              </w:rPr>
            </w:pPr>
            <w:r w:rsidRPr="00617673">
              <w:rPr>
                <w:lang w:val="en-GB"/>
              </w:rPr>
              <w:t>40.9</w:t>
            </w:r>
          </w:p>
        </w:tc>
        <w:tc>
          <w:tcPr>
            <w:tcW w:w="702" w:type="dxa"/>
            <w:tcBorders>
              <w:left w:val="dashed" w:sz="6" w:space="0" w:color="B8B8B8"/>
            </w:tcBorders>
            <w:shd w:val="clear" w:color="auto" w:fill="FFFFFF"/>
            <w:vAlign w:val="center"/>
          </w:tcPr>
          <w:p w14:paraId="252BDCC8" w14:textId="77777777" w:rsidR="00617673" w:rsidRPr="00617673" w:rsidRDefault="00617673" w:rsidP="0089221D">
            <w:pPr>
              <w:rPr>
                <w:lang w:val="en-GB"/>
              </w:rPr>
            </w:pPr>
            <w:r w:rsidRPr="00617673">
              <w:rPr>
                <w:lang w:val="en-GB"/>
              </w:rPr>
              <w:t>41.7</w:t>
            </w:r>
          </w:p>
        </w:tc>
        <w:tc>
          <w:tcPr>
            <w:tcW w:w="700" w:type="dxa"/>
            <w:tcBorders>
              <w:left w:val="dashed" w:sz="6" w:space="0" w:color="B8B8B8"/>
            </w:tcBorders>
            <w:shd w:val="clear" w:color="auto" w:fill="FFFFFF"/>
            <w:vAlign w:val="center"/>
          </w:tcPr>
          <w:p w14:paraId="1EC1B9DA" w14:textId="77777777" w:rsidR="00617673" w:rsidRPr="00617673" w:rsidRDefault="00617673" w:rsidP="0089221D">
            <w:r w:rsidRPr="00617673">
              <w:rPr>
                <w:lang w:val="en-GB"/>
              </w:rPr>
              <w:t>44.3</w:t>
            </w:r>
          </w:p>
        </w:tc>
        <w:tc>
          <w:tcPr>
            <w:tcW w:w="734" w:type="dxa"/>
            <w:tcBorders>
              <w:left w:val="dashed" w:sz="6" w:space="0" w:color="B8B8B8"/>
            </w:tcBorders>
            <w:shd w:val="clear" w:color="auto" w:fill="FFFFFF"/>
            <w:vAlign w:val="center"/>
          </w:tcPr>
          <w:p w14:paraId="0903A7D5" w14:textId="77777777" w:rsidR="00617673" w:rsidRPr="00617673" w:rsidRDefault="00617673" w:rsidP="0089221D">
            <w:r w:rsidRPr="00617673">
              <w:rPr>
                <w:lang w:val="en-GB"/>
              </w:rPr>
              <w:t>45.2</w:t>
            </w:r>
          </w:p>
        </w:tc>
        <w:tc>
          <w:tcPr>
            <w:tcW w:w="734" w:type="dxa"/>
            <w:tcBorders>
              <w:left w:val="dashed" w:sz="6" w:space="0" w:color="B8B8B8"/>
            </w:tcBorders>
            <w:shd w:val="clear" w:color="auto" w:fill="FFFFFF"/>
            <w:vAlign w:val="center"/>
          </w:tcPr>
          <w:p w14:paraId="6C4A3C5D" w14:textId="77777777" w:rsidR="00617673" w:rsidRPr="00617673" w:rsidRDefault="00617673" w:rsidP="0089221D">
            <w:r w:rsidRPr="00617673">
              <w:rPr>
                <w:lang w:val="en-GB"/>
              </w:rPr>
              <w:t>47.4</w:t>
            </w:r>
          </w:p>
        </w:tc>
        <w:tc>
          <w:tcPr>
            <w:tcW w:w="734" w:type="dxa"/>
            <w:tcBorders>
              <w:left w:val="dashed" w:sz="6" w:space="0" w:color="B8B8B8"/>
            </w:tcBorders>
            <w:shd w:val="clear" w:color="auto" w:fill="FFFFFF"/>
            <w:vAlign w:val="center"/>
          </w:tcPr>
          <w:p w14:paraId="76FABF82" w14:textId="77777777" w:rsidR="00617673" w:rsidRPr="00617673" w:rsidRDefault="00617673" w:rsidP="0089221D">
            <w:r w:rsidRPr="00617673">
              <w:rPr>
                <w:lang w:val="en-GB"/>
              </w:rPr>
              <w:t>46.9</w:t>
            </w:r>
          </w:p>
        </w:tc>
        <w:tc>
          <w:tcPr>
            <w:tcW w:w="734" w:type="dxa"/>
            <w:tcBorders>
              <w:left w:val="dashed" w:sz="6" w:space="0" w:color="B8B8B8"/>
            </w:tcBorders>
            <w:shd w:val="clear" w:color="auto" w:fill="FFFFFF"/>
            <w:vAlign w:val="center"/>
          </w:tcPr>
          <w:p w14:paraId="0C91C4A8" w14:textId="77777777" w:rsidR="00617673" w:rsidRPr="00617673" w:rsidRDefault="00617673" w:rsidP="0089221D">
            <w:r w:rsidRPr="00617673">
              <w:rPr>
                <w:lang w:val="en-GB"/>
              </w:rPr>
              <w:t>46.9</w:t>
            </w:r>
          </w:p>
        </w:tc>
        <w:tc>
          <w:tcPr>
            <w:tcW w:w="734" w:type="dxa"/>
            <w:tcBorders>
              <w:left w:val="dashed" w:sz="6" w:space="0" w:color="B8B8B8"/>
            </w:tcBorders>
            <w:shd w:val="clear" w:color="auto" w:fill="FFFFFF"/>
            <w:vAlign w:val="center"/>
          </w:tcPr>
          <w:p w14:paraId="4F322032" w14:textId="77777777" w:rsidR="00617673" w:rsidRPr="00617673" w:rsidRDefault="00617673" w:rsidP="0089221D">
            <w:r w:rsidRPr="00617673">
              <w:rPr>
                <w:lang w:val="en-GB"/>
              </w:rPr>
              <w:t>46.5</w:t>
            </w:r>
          </w:p>
        </w:tc>
        <w:tc>
          <w:tcPr>
            <w:tcW w:w="745" w:type="dxa"/>
            <w:tcBorders>
              <w:left w:val="dashed" w:sz="6" w:space="0" w:color="B8B8B8"/>
            </w:tcBorders>
            <w:shd w:val="clear" w:color="auto" w:fill="FFFFFF"/>
            <w:vAlign w:val="center"/>
          </w:tcPr>
          <w:p w14:paraId="5109FCB9" w14:textId="77777777" w:rsidR="00617673" w:rsidRPr="00617673" w:rsidRDefault="00617673" w:rsidP="0089221D">
            <w:r w:rsidRPr="00617673">
              <w:rPr>
                <w:lang w:val="en-GB"/>
              </w:rPr>
              <w:t>46.2</w:t>
            </w:r>
          </w:p>
        </w:tc>
        <w:tc>
          <w:tcPr>
            <w:tcW w:w="723" w:type="dxa"/>
            <w:tcBorders>
              <w:left w:val="dashed" w:sz="6" w:space="0" w:color="B8B8B8"/>
            </w:tcBorders>
            <w:shd w:val="clear" w:color="auto" w:fill="FFFFFF"/>
            <w:vAlign w:val="center"/>
          </w:tcPr>
          <w:p w14:paraId="073127E4" w14:textId="77777777" w:rsidR="00617673" w:rsidRPr="00617673" w:rsidRDefault="00617673" w:rsidP="0089221D">
            <w:r w:rsidRPr="00617673">
              <w:rPr>
                <w:lang w:val="en-GB"/>
              </w:rPr>
              <w:t>47.2</w:t>
            </w:r>
          </w:p>
        </w:tc>
        <w:tc>
          <w:tcPr>
            <w:tcW w:w="774" w:type="dxa"/>
            <w:vAlign w:val="center"/>
          </w:tcPr>
          <w:p w14:paraId="03D411C6" w14:textId="77777777" w:rsidR="00617673" w:rsidRPr="00617673" w:rsidRDefault="00617673" w:rsidP="0089221D">
            <w:r w:rsidRPr="00617673">
              <w:t>+6.3</w:t>
            </w:r>
          </w:p>
        </w:tc>
      </w:tr>
    </w:tbl>
    <w:p w14:paraId="06752EC4" w14:textId="795E8E4A" w:rsidR="00617673" w:rsidRDefault="00617673" w:rsidP="00617673">
      <w:pPr>
        <w:pStyle w:val="SingleTxtG"/>
        <w:rPr>
          <w:i/>
        </w:rPr>
      </w:pPr>
      <w:r w:rsidRPr="00617673">
        <w:rPr>
          <w:i/>
        </w:rPr>
        <w:t>Indices des thèmes clefs de la gouvernance au Burundi de 2010 à 2019 de la Fondation Mo Ibrahim</w:t>
      </w:r>
    </w:p>
    <w:p w14:paraId="588FC12F" w14:textId="2900E91D" w:rsidR="00617673" w:rsidRPr="00617673" w:rsidRDefault="00617673" w:rsidP="00617673">
      <w:pPr>
        <w:pStyle w:val="SingleTxtG"/>
      </w:pPr>
      <w:r w:rsidRPr="00617673">
        <w:t>101.</w:t>
      </w:r>
      <w:r w:rsidRPr="00617673">
        <w:tab/>
        <w:t xml:space="preserve">Au niveau de la sécurité et de l’État de droit, les indicateurs qui présentent des reculs particulièrement notables concernent : l’absence de violence contre les civils de la part du Gouvernement (-51,5 points) mais également de la part d’acteurs non étatiques (-81,3 points) ; l’indépendance du système judiciaire qui a reculé </w:t>
      </w:r>
      <w:r w:rsidRPr="00617673">
        <w:rPr>
          <w:lang w:val="fr-FR"/>
        </w:rPr>
        <w:t>de</w:t>
      </w:r>
      <w:r w:rsidRPr="00617673">
        <w:t xml:space="preserve"> 26 points en dix ans pour atteindre le score abyssal de 3,6 points (sur 100). Le contrôle institutionnel de l’action du Gouvernement a reculé (-25,9 points) tout comme celui informel par la société civile (-15,5 points). L’absence de sanctions contre des agents de l’État pour leurs fautes et abus de pouvoir est significative à cet égard (-28,6 points avec un faible score de 14,3 en 2019). De même, l</w:t>
      </w:r>
      <w:r w:rsidR="00394A72">
        <w:t>’indicateur qui concerne l</w:t>
      </w:r>
      <w:r w:rsidRPr="00617673">
        <w:t>es efforts de lutte contre le trafic d’êtres humains a reculé de 50 points pour devenir quasiment négligeable avec un score proche de zéro. La lutte contre la corruption apparaît comme globalement inexistante avec un score nul en matière d’enquêtes après un net recul de 25 points depuis 2015, et un faible score de 14,3 points pour ce qui est des politiques relatives à la lutte anti-corruption. Le seul élément positif à cet égard avait été la mise en place des institutions spécialisées de lutte contre la corruption (50 points sur 100), que le Gouvernement burundais déclare pourtant vouloir abolir</w:t>
      </w:r>
      <w:r w:rsidRPr="003C2ED3">
        <w:rPr>
          <w:rStyle w:val="FootnoteReference"/>
        </w:rPr>
        <w:footnoteReference w:id="96"/>
      </w:r>
      <w:r w:rsidRPr="00617673">
        <w:t>.</w:t>
      </w:r>
    </w:p>
    <w:p w14:paraId="1232366E" w14:textId="77777777" w:rsidR="00617673" w:rsidRPr="00617673" w:rsidRDefault="00617673" w:rsidP="00617673">
      <w:pPr>
        <w:pStyle w:val="SingleTxtG"/>
      </w:pPr>
      <w:r w:rsidRPr="00617673">
        <w:t>102.</w:t>
      </w:r>
      <w:r w:rsidRPr="00617673">
        <w:tab/>
        <w:t>En ce qui concerne la « participation, droits et inclusion », on relève que la liberté d’association s’est effondrée (-50 points), tout comme la liberté d’expression (-50 points) et la liberté de réunion (-25 points), pour devenir quasi inexistantes avec des scores de zéro point en 2019. On note également l’écroulement de l’impartialité des médias (-60,6 points) et de la liberté d’établissement et de fonctionnement des organisations de la société civile (-50,3 points ; avec un score de 2 sur 100 en 2019), ainsi que la hausse de l’absence de harcèlement des journalistes (-47,8 points ; avec un score de 5,8 sur 100 en 2019). La liberté des partis politiques a également fortement diminué (-29,6 points, avec un score de 4,7 points sur 100 en 2019). Le seul progrès remarquable est celui de la participation des femmes dans la vie politique (+24,5 points).</w:t>
      </w:r>
    </w:p>
    <w:p w14:paraId="2B5EC2B9" w14:textId="77777777" w:rsidR="00617673" w:rsidRPr="00617673" w:rsidRDefault="00617673" w:rsidP="00617673">
      <w:pPr>
        <w:pStyle w:val="SingleTxtG"/>
      </w:pPr>
      <w:r w:rsidRPr="00617673">
        <w:t>103.</w:t>
      </w:r>
      <w:r w:rsidRPr="00617673">
        <w:tab/>
        <w:t>Pour ce qui est des bases des opportunités économiques, on peut noter la performance négative de l’administration publique en matière d’état civil, de statistiques, de capacité fiscale, de mobilisation des recettes et de la gestion budgétaire, qui a globalement baissé de 7 points. La perte de l’indépendance du Bureau national des statiques (-25 points ; avec un score de zéro en 2019) est particulièrement marquante. La gestion budgétaire et financière du pays, qui requiert un budget complet et crédible lié aux priorités politiques, des systèmes de gestion financière efficaces et des rapports comptables et fiscaux opportuns et exacts est en net recul (-20,4 points). L’environnement global pour les affaires stagne (+2,3 points). En revanche, il y a eu des améliorations au niveau des infrastructures (+12,6 points).</w:t>
      </w:r>
    </w:p>
    <w:p w14:paraId="6D6105DA" w14:textId="77777777" w:rsidR="00617673" w:rsidRPr="00617673" w:rsidRDefault="00617673" w:rsidP="00617673">
      <w:pPr>
        <w:pStyle w:val="SingleTxtG"/>
      </w:pPr>
      <w:r w:rsidRPr="00617673">
        <w:t xml:space="preserve">104. </w:t>
      </w:r>
      <w:r w:rsidRPr="00617673">
        <w:tab/>
        <w:t>En ce qui concerne le développement humain : des progrès sont à souligner dans le domaine de la santé (+6,7 points) et de l’accès à l’eau potable (+6,5 points). L’égalité dans l’accès à l’éducation a augmenté (+11,6 points), principalement en ce qui concerne l’égalité de genre (+28,5 points). Le taux global de scolarisation a légèrement augmenté (+3,9 points). La protection sociale stagne à un niveau assez bas (-1,6 point ; avec un score de 35,6 points sur 100 en 2019) puisque les filets de protection sociale de base en cas de chômage, de situation de handicap, de pauvreté, de maladie ou de vieillesse ont baissé (-16,7 points), alors que les services et les politiques sociales en matière de santé et d’éducation augmentaient (+12,4 points). La protection de l’environnement a quant à elle progressé (+9,7 points).</w:t>
      </w:r>
    </w:p>
    <w:p w14:paraId="3E2A6372" w14:textId="59EE8805" w:rsidR="00617673" w:rsidRPr="00FA45AB" w:rsidRDefault="003C2ED3" w:rsidP="003C2ED3">
      <w:pPr>
        <w:pStyle w:val="H1G"/>
        <w:rPr>
          <w:lang w:val="fr-CH"/>
        </w:rPr>
      </w:pPr>
      <w:r w:rsidRPr="00FA45AB">
        <w:rPr>
          <w:lang w:val="fr-CH"/>
        </w:rPr>
        <w:tab/>
        <w:t>B.</w:t>
      </w:r>
      <w:r w:rsidRPr="00FA45AB">
        <w:rPr>
          <w:lang w:val="fr-CH"/>
        </w:rPr>
        <w:tab/>
      </w:r>
      <w:r w:rsidR="00D73D58">
        <w:rPr>
          <w:lang w:val="fr-CH"/>
        </w:rPr>
        <w:t>P</w:t>
      </w:r>
      <w:r w:rsidR="00D73D58" w:rsidRPr="00FA45AB">
        <w:rPr>
          <w:lang w:val="fr-CH"/>
        </w:rPr>
        <w:t xml:space="preserve">rincipales violations </w:t>
      </w:r>
      <w:r w:rsidR="00D73D58">
        <w:rPr>
          <w:lang w:val="fr-CH"/>
        </w:rPr>
        <w:t>et s</w:t>
      </w:r>
      <w:r w:rsidR="00617673" w:rsidRPr="00FA45AB">
        <w:rPr>
          <w:lang w:val="fr-CH"/>
        </w:rPr>
        <w:t>ituation de</w:t>
      </w:r>
      <w:r w:rsidR="00782284">
        <w:rPr>
          <w:lang w:val="fr-CH"/>
        </w:rPr>
        <w:t xml:space="preserve"> </w:t>
      </w:r>
      <w:r w:rsidR="00617673" w:rsidRPr="00FA45AB">
        <w:rPr>
          <w:lang w:val="fr-CH"/>
        </w:rPr>
        <w:t>l’</w:t>
      </w:r>
      <w:r w:rsidR="00782284">
        <w:rPr>
          <w:lang w:val="fr-CH"/>
        </w:rPr>
        <w:t xml:space="preserve">espace démocratique </w:t>
      </w:r>
      <w:r w:rsidR="00617673" w:rsidRPr="00FA45AB">
        <w:rPr>
          <w:lang w:val="fr-CH"/>
        </w:rPr>
        <w:t>depuis juin 2020</w:t>
      </w:r>
    </w:p>
    <w:p w14:paraId="7B35F1F0" w14:textId="77777777" w:rsidR="00617673" w:rsidRPr="00617673" w:rsidRDefault="00C52168" w:rsidP="00617673">
      <w:pPr>
        <w:pStyle w:val="SingleTxtG"/>
        <w:rPr>
          <w:lang w:val="fr-FR"/>
        </w:rPr>
      </w:pPr>
      <w:r>
        <w:rPr>
          <w:lang w:val="fr-FR"/>
        </w:rPr>
        <w:t>105.</w:t>
      </w:r>
      <w:r w:rsidR="00617673" w:rsidRPr="00617673">
        <w:rPr>
          <w:lang w:val="fr-FR"/>
        </w:rPr>
        <w:tab/>
        <w:t>Des violations des droits de l’homme ont été commises depuis juin 2020, tout d’abord dans le cadre du processus électoral de 2020 comme l’avait constaté la Commission dans son rapport précédent. Une fois les élections terminées, les violations ont continué à une moindre échelle avant de connaître une recrudescence depuis juin 2021, principalement en lien avec les multiples incidents de sécurité qui ont eu lieu sur le territoire burundais. L’espace démocratique reste fermé avec un contrôle étroit exercé par les autorités sur les médias et la société civile malgré certains gestes symboliques isolés d’ouverture posés par le Président Ndayishimiye pour donner des gages à la communauté internationale que la situation serait en train de changer dans le pays. Cependant, de tels gestes ne sont pas de nature structurelle et ne peuvent donc pas continuer à améliorer durablement et en profondeur la s</w:t>
      </w:r>
      <w:r w:rsidR="002A4D7A">
        <w:rPr>
          <w:lang w:val="fr-FR"/>
        </w:rPr>
        <w:t>ituation des droits de l’homme.</w:t>
      </w:r>
    </w:p>
    <w:p w14:paraId="5F8F891C" w14:textId="02A6B224" w:rsidR="00617673" w:rsidRPr="00617673" w:rsidRDefault="00C52168" w:rsidP="00617673">
      <w:pPr>
        <w:pStyle w:val="SingleTxtG"/>
        <w:rPr>
          <w:lang w:val="fr-FR"/>
        </w:rPr>
      </w:pPr>
      <w:r>
        <w:rPr>
          <w:lang w:val="fr-FR"/>
        </w:rPr>
        <w:t>106.</w:t>
      </w:r>
      <w:r w:rsidR="00617673" w:rsidRPr="00617673">
        <w:rPr>
          <w:lang w:val="fr-FR"/>
        </w:rPr>
        <w:tab/>
        <w:t>La Commission a constaté que des violations des droits de l’homme commises depuis l’investiture du Président Ndayishimiye ont visé principalement des membres de partis d’opposition, des personnes soupçonnées d’être impliquées dans les attaques armées ou de collaborer avec des groupes armés, mais aussi dans une moindre mesure, des rapatriés et la population burundaise en général. Des agents du SNR, placés sous la responsabilité directe du Président Ndayishimiye, ont été les principaux auteurs des cas d’exécution, disparition forcée, arrestation et détention arbitraires et torture en lien avec les attaques armées, ayant continué à agir en toute impunité. Des policiers, relevant notamment des Groupements mobiles d’intervention rapide (GMIR), et des Imbonerakure ont également été impliqués dans des cas d’exécution, d’arrestation et de torture. Le système judiciaire a continué à être utilisé comme un outil de cette répression, en validant et prolongeant les détentions arbitraires et aucune avancée significative n’a été enregistrée en matière de lutte contre l’impunité pour les violations passées. En outre, la population burundaise vit toujours dans une situation de grande pauvreté qui impacte négativement la jouissance de ses droits économiques et sociaux, notamment le droit à un niveau de vie suffisant, le droit à l’alimentation, le droit à la santé et le droit à l’éduc</w:t>
      </w:r>
      <w:r w:rsidR="002A4D7A">
        <w:rPr>
          <w:lang w:val="fr-FR"/>
        </w:rPr>
        <w:t>ation.</w:t>
      </w:r>
    </w:p>
    <w:p w14:paraId="208BDA01" w14:textId="77777777" w:rsidR="00617673" w:rsidRPr="00617673" w:rsidRDefault="00C52168" w:rsidP="00617673">
      <w:pPr>
        <w:pStyle w:val="SingleTxtG"/>
        <w:rPr>
          <w:lang w:val="fr-FR"/>
        </w:rPr>
      </w:pPr>
      <w:r>
        <w:rPr>
          <w:lang w:val="fr-FR"/>
        </w:rPr>
        <w:t>107.</w:t>
      </w:r>
      <w:r w:rsidR="00617673" w:rsidRPr="00617673">
        <w:rPr>
          <w:lang w:val="fr-FR"/>
        </w:rPr>
        <w:tab/>
        <w:t>Par ailleurs, les autorités burundaises semblent toutefois avoir pris conscience, dans une certaine mesure, de plusieurs problèmes profonds qui ont un impact direct sur la situation des droits de l’homme dans le pays, notamment les dysfonctionnements du système judiciaire, la prévalence de la corruption à tous les niveaux, y compris au niveau de la justice. Certaines mesures ont été prises, mais elles ont tendance à être pernicieuses sur le long terme puisqu’elles consistent à renforcer le contrôle de l’Exécutif à tous les niveaux.</w:t>
      </w:r>
    </w:p>
    <w:p w14:paraId="3037223E" w14:textId="77777777" w:rsidR="00617673" w:rsidRPr="00617673" w:rsidRDefault="003C2ED3" w:rsidP="003C2ED3">
      <w:pPr>
        <w:pStyle w:val="H23G"/>
      </w:pPr>
      <w:r>
        <w:tab/>
        <w:t>1.</w:t>
      </w:r>
      <w:r>
        <w:tab/>
      </w:r>
      <w:r w:rsidR="00617673" w:rsidRPr="00617673">
        <w:t>Violations des droits de l’homme et atteintes à ceux-ci commises en lien avec les incidents de sécurité</w:t>
      </w:r>
    </w:p>
    <w:p w14:paraId="4E29821C" w14:textId="77777777" w:rsidR="00617673" w:rsidRPr="003C2ED3" w:rsidRDefault="003C2ED3" w:rsidP="003C2ED3">
      <w:pPr>
        <w:pStyle w:val="H4G"/>
        <w:rPr>
          <w:b/>
          <w:i w:val="0"/>
        </w:rPr>
      </w:pPr>
      <w:r>
        <w:tab/>
      </w:r>
      <w:r w:rsidRPr="003C2ED3">
        <w:rPr>
          <w:b/>
          <w:i w:val="0"/>
        </w:rPr>
        <w:t>a)</w:t>
      </w:r>
      <w:r w:rsidRPr="003C2ED3">
        <w:rPr>
          <w:b/>
          <w:i w:val="0"/>
        </w:rPr>
        <w:tab/>
      </w:r>
      <w:r w:rsidR="00617673" w:rsidRPr="003C2ED3">
        <w:rPr>
          <w:b/>
          <w:i w:val="0"/>
        </w:rPr>
        <w:t>Multiplication des incidents de sécurité</w:t>
      </w:r>
    </w:p>
    <w:p w14:paraId="297140FE" w14:textId="19C4E172" w:rsidR="00617673" w:rsidRPr="00617673" w:rsidRDefault="00617673" w:rsidP="00617673">
      <w:pPr>
        <w:pStyle w:val="SingleTxtG"/>
        <w:rPr>
          <w:lang w:val="fr-FR"/>
        </w:rPr>
      </w:pPr>
      <w:r w:rsidRPr="00617673">
        <w:rPr>
          <w:lang w:val="fr-FR"/>
        </w:rPr>
        <w:t xml:space="preserve">108. </w:t>
      </w:r>
      <w:r w:rsidRPr="00617673">
        <w:rPr>
          <w:lang w:val="fr-FR"/>
        </w:rPr>
        <w:tab/>
        <w:t xml:space="preserve">À la fin du mois d’août 2020 et au début de septembre 2020, plusieurs incidents sécuritaires ont été signalés, notamment des affrontements armés et des échanges de tirs entre des membres des forces de sécurité, parfois appuyés d’Imbonerakure, et des membres de groupes armés – souvent non identifiés - mais aussi des attaques </w:t>
      </w:r>
      <w:r w:rsidR="001C4B8B">
        <w:rPr>
          <w:lang w:val="fr-FR"/>
        </w:rPr>
        <w:t xml:space="preserve">contre </w:t>
      </w:r>
      <w:r w:rsidRPr="00617673">
        <w:rPr>
          <w:lang w:val="fr-FR"/>
        </w:rPr>
        <w:t>de</w:t>
      </w:r>
      <w:r w:rsidR="001C4B8B">
        <w:rPr>
          <w:lang w:val="fr-FR"/>
        </w:rPr>
        <w:t>s</w:t>
      </w:r>
      <w:r w:rsidRPr="00617673">
        <w:rPr>
          <w:lang w:val="fr-FR"/>
        </w:rPr>
        <w:t xml:space="preserve"> civils par des groupes d’hommes armés non identifiés. De tels incidents ont été notamment enregistrés entre les 23 et 25 août </w:t>
      </w:r>
      <w:r w:rsidR="001C4B8B">
        <w:rPr>
          <w:lang w:val="fr-FR"/>
        </w:rPr>
        <w:t xml:space="preserve">2020 </w:t>
      </w:r>
      <w:r w:rsidRPr="00617673">
        <w:rPr>
          <w:lang w:val="fr-FR"/>
        </w:rPr>
        <w:t xml:space="preserve">dans la province Rumonge, le 28 août dans la province Bujumbura (rural), le 29 août dans la province Bubanza, le 30 août dans la province </w:t>
      </w:r>
      <w:r w:rsidR="001C4B8B">
        <w:rPr>
          <w:lang w:val="fr-FR"/>
        </w:rPr>
        <w:t xml:space="preserve">Bujumbura </w:t>
      </w:r>
      <w:r w:rsidRPr="00617673">
        <w:rPr>
          <w:lang w:val="fr-FR"/>
        </w:rPr>
        <w:t xml:space="preserve">par des groupes armés d’opposition ou d’incidents de nature sécuritaire, se contentant de parler d’actes Bujumbura (rural), le 6 septembre dans la province Rumonge, les 11 et 12 septembre </w:t>
      </w:r>
      <w:r w:rsidR="001C4B8B">
        <w:rPr>
          <w:lang w:val="fr-FR"/>
        </w:rPr>
        <w:t xml:space="preserve">2020 </w:t>
      </w:r>
      <w:r w:rsidRPr="00617673">
        <w:rPr>
          <w:lang w:val="fr-FR"/>
        </w:rPr>
        <w:t>dans la province Rumonge, le 26 septembre dans la province Kayanza</w:t>
      </w:r>
      <w:r w:rsidRPr="003C2ED3">
        <w:rPr>
          <w:rStyle w:val="FootnoteReference"/>
        </w:rPr>
        <w:footnoteReference w:id="97"/>
      </w:r>
      <w:r w:rsidRPr="00617673">
        <w:rPr>
          <w:lang w:val="fr-FR"/>
        </w:rPr>
        <w:t xml:space="preserve">. Il y aurait eu des morts et des blessés, parmi les forces de l’ordre et de sécurité, les Imbonerakure, les membres des groupes armés </w:t>
      </w:r>
      <w:r w:rsidR="003C2ED3">
        <w:rPr>
          <w:lang w:val="fr-FR"/>
        </w:rPr>
        <w:t>mais aussi la population civile</w:t>
      </w:r>
      <w:r w:rsidRPr="003C2ED3">
        <w:rPr>
          <w:rStyle w:val="FootnoteReference"/>
        </w:rPr>
        <w:footnoteReference w:id="98"/>
      </w:r>
      <w:r w:rsidR="003C2ED3">
        <w:rPr>
          <w:lang w:val="fr-FR"/>
        </w:rPr>
        <w:t>.</w:t>
      </w:r>
      <w:r w:rsidRPr="00617673">
        <w:rPr>
          <w:lang w:val="fr-FR"/>
        </w:rPr>
        <w:t xml:space="preserve"> Cependant, le 25 septembre 2020, lors d’une émission publique, le Chef de l’État a nié qu’il s’agissait d’attaques commis</w:t>
      </w:r>
      <w:r w:rsidR="0074599A">
        <w:rPr>
          <w:lang w:val="fr-FR"/>
        </w:rPr>
        <w:t>es par des groupes rebelles et affirmé que ces incidents étaient commis</w:t>
      </w:r>
      <w:r w:rsidRPr="00617673">
        <w:rPr>
          <w:lang w:val="fr-FR"/>
        </w:rPr>
        <w:t xml:space="preserve"> par des malfaiteurs</w:t>
      </w:r>
      <w:r w:rsidRPr="003C2ED3">
        <w:rPr>
          <w:rStyle w:val="FootnoteReference"/>
        </w:rPr>
        <w:footnoteReference w:id="99"/>
      </w:r>
      <w:r w:rsidRPr="00617673">
        <w:rPr>
          <w:lang w:val="fr-FR"/>
        </w:rPr>
        <w:t>. De nouveaux affrontements armés auraient eu lieu le 21 et le 28 novembre 2020, le 5 décembre 2020 et les 2, 9 et 16 janvier 2021 et des attaques contre les populations civiles ont été rapportées aux dates des 10, 17, 24 et 31 octobre 2020, 7, 14 et 28 novembre 2020, 26 décembre 2020 et 23 janvier 2021</w:t>
      </w:r>
      <w:r w:rsidRPr="003C2ED3">
        <w:rPr>
          <w:rStyle w:val="FootnoteReference"/>
        </w:rPr>
        <w:footnoteReference w:id="100"/>
      </w:r>
      <w:r w:rsidR="003C2ED3">
        <w:rPr>
          <w:lang w:val="fr-FR"/>
        </w:rPr>
        <w:t>.</w:t>
      </w:r>
    </w:p>
    <w:p w14:paraId="2D7A2AB4" w14:textId="1D9E7BA1" w:rsidR="00617673" w:rsidRPr="00617673" w:rsidRDefault="00D4414B" w:rsidP="00617673">
      <w:pPr>
        <w:pStyle w:val="SingleTxtG"/>
        <w:rPr>
          <w:lang w:val="fr-FR"/>
        </w:rPr>
      </w:pPr>
      <w:r>
        <w:rPr>
          <w:lang w:val="fr-FR"/>
        </w:rPr>
        <w:t>109.</w:t>
      </w:r>
      <w:r w:rsidR="002A4D7A">
        <w:rPr>
          <w:lang w:val="fr-FR"/>
        </w:rPr>
        <w:tab/>
      </w:r>
      <w:r w:rsidR="0074599A">
        <w:rPr>
          <w:lang w:val="fr-FR"/>
        </w:rPr>
        <w:t xml:space="preserve">Des </w:t>
      </w:r>
      <w:r w:rsidR="00617673" w:rsidRPr="00617673">
        <w:rPr>
          <w:lang w:val="fr-FR"/>
        </w:rPr>
        <w:t xml:space="preserve">attaques ciblées visant notamment des membres du parti au pouvoir ou leurs proches ont été commises : le 4 avril 2021, une bande d’hommes armés a attaqué le domicile du président du CNDD-FDD sur la colline Makamba, dans le chef-lieu de la province Mwaro, et </w:t>
      </w:r>
      <w:r w:rsidR="00D710AC">
        <w:rPr>
          <w:lang w:val="fr-FR"/>
        </w:rPr>
        <w:t>a</w:t>
      </w:r>
      <w:r w:rsidR="00D710AC" w:rsidRPr="00617673">
        <w:rPr>
          <w:lang w:val="fr-FR"/>
        </w:rPr>
        <w:t xml:space="preserve"> </w:t>
      </w:r>
      <w:r w:rsidR="00617673" w:rsidRPr="00617673">
        <w:rPr>
          <w:lang w:val="fr-FR"/>
        </w:rPr>
        <w:t>tué son fils de 15 ans et un domestique</w:t>
      </w:r>
      <w:r w:rsidR="00617673" w:rsidRPr="00D4414B">
        <w:rPr>
          <w:rStyle w:val="FootnoteReference"/>
        </w:rPr>
        <w:footnoteReference w:id="101"/>
      </w:r>
      <w:r w:rsidR="00617673" w:rsidRPr="00617673">
        <w:rPr>
          <w:lang w:val="fr-FR"/>
        </w:rPr>
        <w:t>. Le 16 avril 2021, un groupe d’hommes armés a attaqué un bar situé dans la commune Rusaka, province Mwaro, causant la mort de sept personnes, dont le comptable communal, son épouse et leur fille, ainsi que le p</w:t>
      </w:r>
      <w:r w:rsidR="0074599A">
        <w:rPr>
          <w:lang w:val="fr-FR"/>
        </w:rPr>
        <w:t>e</w:t>
      </w:r>
      <w:r w:rsidR="00617673" w:rsidRPr="00617673">
        <w:rPr>
          <w:lang w:val="fr-FR"/>
        </w:rPr>
        <w:t>rcepteur communal</w:t>
      </w:r>
      <w:r w:rsidR="00617673" w:rsidRPr="00D4414B">
        <w:rPr>
          <w:rStyle w:val="FootnoteReference"/>
        </w:rPr>
        <w:footnoteReference w:id="102"/>
      </w:r>
      <w:r w:rsidR="00617673" w:rsidRPr="00617673">
        <w:rPr>
          <w:lang w:val="fr-FR"/>
        </w:rPr>
        <w:t>.</w:t>
      </w:r>
    </w:p>
    <w:p w14:paraId="7C828D09" w14:textId="77777777" w:rsidR="00617673" w:rsidRPr="00617673" w:rsidRDefault="002A4D7A" w:rsidP="00617673">
      <w:pPr>
        <w:pStyle w:val="SingleTxtG"/>
        <w:rPr>
          <w:lang w:val="fr-FR"/>
        </w:rPr>
      </w:pPr>
      <w:r>
        <w:rPr>
          <w:lang w:val="fr-FR"/>
        </w:rPr>
        <w:t>110.</w:t>
      </w:r>
      <w:r w:rsidR="00617673" w:rsidRPr="00617673">
        <w:rPr>
          <w:lang w:val="fr-FR"/>
        </w:rPr>
        <w:tab/>
        <w:t>Par la suite, ce sont des attaques aveugles contre la population qui ont eu lieu : le 9 mai 2021, dans la province Muramvya, un convoi de véhicules circulant de Gitega vers Bujumbura a été attaqué par un groupe d’hommes armés qui a tiré de manière indiscriminée sur les passagers. Le bilan annoncé est très lourd avec au moins 10 personnes tuées, dont un haut gradé de l’armée qui avait servi dans la mission de l’Union africaine en Somalie et sa fille, ainsi qu’une dizaine de personnes blessées</w:t>
      </w:r>
      <w:r w:rsidR="00617673" w:rsidRPr="00D4414B">
        <w:rPr>
          <w:rStyle w:val="FootnoteReference"/>
        </w:rPr>
        <w:footnoteReference w:id="103"/>
      </w:r>
      <w:r w:rsidR="00617673" w:rsidRPr="00617673">
        <w:rPr>
          <w:lang w:val="fr-FR"/>
        </w:rPr>
        <w:t>.</w:t>
      </w:r>
    </w:p>
    <w:p w14:paraId="6719A9CE" w14:textId="77777777" w:rsidR="00617673" w:rsidRPr="00617673" w:rsidRDefault="002A4D7A" w:rsidP="00617673">
      <w:pPr>
        <w:pStyle w:val="SingleTxtG"/>
        <w:rPr>
          <w:lang w:val="fr-FR"/>
        </w:rPr>
      </w:pPr>
      <w:r>
        <w:rPr>
          <w:lang w:val="fr-FR"/>
        </w:rPr>
        <w:t>111.</w:t>
      </w:r>
      <w:r w:rsidR="00617673" w:rsidRPr="00617673">
        <w:rPr>
          <w:lang w:val="fr-FR"/>
        </w:rPr>
        <w:tab/>
        <w:t>Le 25 mai 2021, vers 19h00, des grenades ont été lancées à plusieurs endroits très fréquentés de la ville de Bujumbura, notamment des parkings de bus. Ces attaques ont fait selon le bilan officiel deux morts et des dizaines de blessés, beaucoup plus selon des sources officieuses. Quelques jours plus tard, des grenades ont été lancées dans la province Muramvya faisant des blessés.</w:t>
      </w:r>
      <w:r w:rsidR="00617673" w:rsidRPr="00D4414B">
        <w:rPr>
          <w:rStyle w:val="FootnoteReference"/>
        </w:rPr>
        <w:footnoteReference w:id="104"/>
      </w:r>
    </w:p>
    <w:p w14:paraId="753A50E2" w14:textId="77777777" w:rsidR="00617673" w:rsidRPr="00617673" w:rsidRDefault="002A4D7A" w:rsidP="00617673">
      <w:pPr>
        <w:pStyle w:val="SingleTxtG"/>
        <w:rPr>
          <w:lang w:val="fr-FR"/>
        </w:rPr>
      </w:pPr>
      <w:r>
        <w:rPr>
          <w:lang w:val="fr-FR"/>
        </w:rPr>
        <w:t>112.</w:t>
      </w:r>
      <w:r w:rsidR="00617673" w:rsidRPr="00617673">
        <w:rPr>
          <w:lang w:val="fr-FR"/>
        </w:rPr>
        <w:tab/>
        <w:t>Le 28 juin 2021, vers 20h00, des minibus de transport en commun ont été attaqués par un groupe d’hommes armés qui avaient bloqué la route entre Bujumbura et Gitega au niveau de la commune Rutegama (province Muramvya). Ces derniers ont tiré sur les passagers et mis le feu aux véhicules. Le bilan officieux fait état d’une vingtaine de personnes tuées dont certaines ont été brûlées vives et un couple assassiné par le groupe armé lors de sa fuite.</w:t>
      </w:r>
      <w:r w:rsidR="00617673" w:rsidRPr="007A41B2">
        <w:rPr>
          <w:rStyle w:val="FootnoteReference"/>
        </w:rPr>
        <w:footnoteReference w:id="105"/>
      </w:r>
    </w:p>
    <w:p w14:paraId="3902CB77" w14:textId="4AB1BA24" w:rsidR="00617673" w:rsidRPr="00617673" w:rsidRDefault="002A4D7A" w:rsidP="00617673">
      <w:pPr>
        <w:pStyle w:val="SingleTxtG"/>
        <w:rPr>
          <w:lang w:val="fr-FR"/>
        </w:rPr>
      </w:pPr>
      <w:r>
        <w:rPr>
          <w:lang w:val="fr-FR"/>
        </w:rPr>
        <w:t>113.</w:t>
      </w:r>
      <w:r w:rsidR="00617673" w:rsidRPr="00617673">
        <w:rPr>
          <w:lang w:val="fr-FR"/>
        </w:rPr>
        <w:tab/>
        <w:t>Ainsi ce sont 537 incidents de sécurité, qui ont fait 410 victimes parmi la population civile mais également les forces de l’ordre et de sécurité, les Imbonerakure</w:t>
      </w:r>
      <w:r w:rsidR="00C14538">
        <w:rPr>
          <w:lang w:val="fr-FR"/>
        </w:rPr>
        <w:t xml:space="preserve"> et</w:t>
      </w:r>
      <w:r w:rsidR="00617673" w:rsidRPr="00617673">
        <w:rPr>
          <w:lang w:val="fr-FR"/>
        </w:rPr>
        <w:t xml:space="preserve"> les membres des groupes armés, qui ont été dénombrés entre le 18 juin 2020 (date d’investiture du Président Ndayishimiye) et le 30 juillet 2021</w:t>
      </w:r>
      <w:r w:rsidR="00617673" w:rsidRPr="007A41B2">
        <w:rPr>
          <w:rStyle w:val="FootnoteReference"/>
        </w:rPr>
        <w:footnoteReference w:id="106"/>
      </w:r>
      <w:r w:rsidR="00617673" w:rsidRPr="00617673">
        <w:rPr>
          <w:lang w:val="fr-FR"/>
        </w:rPr>
        <w:t xml:space="preserve">. </w:t>
      </w:r>
    </w:p>
    <w:p w14:paraId="48C436CB" w14:textId="77777777" w:rsidR="00617673" w:rsidRPr="00C52168" w:rsidRDefault="0044646E" w:rsidP="00C52168">
      <w:pPr>
        <w:pStyle w:val="H4G"/>
        <w:rPr>
          <w:b/>
          <w:i w:val="0"/>
          <w:lang w:val="fr-FR"/>
        </w:rPr>
      </w:pPr>
      <w:r w:rsidRPr="00C52168">
        <w:rPr>
          <w:b/>
          <w:i w:val="0"/>
          <w:lang w:val="fr-FR"/>
        </w:rPr>
        <w:tab/>
      </w:r>
      <w:r w:rsidR="00617673" w:rsidRPr="00C52168">
        <w:rPr>
          <w:b/>
          <w:i w:val="0"/>
          <w:lang w:val="fr-FR"/>
        </w:rPr>
        <w:t>b)</w:t>
      </w:r>
      <w:r w:rsidRPr="00C52168">
        <w:rPr>
          <w:b/>
          <w:i w:val="0"/>
          <w:lang w:val="fr-FR"/>
        </w:rPr>
        <w:tab/>
      </w:r>
      <w:r w:rsidR="00617673" w:rsidRPr="00C52168">
        <w:rPr>
          <w:b/>
          <w:i w:val="0"/>
          <w:lang w:val="fr-FR"/>
        </w:rPr>
        <w:t>Violations des droits à la vie, à la liberté et à l’intégrité physique</w:t>
      </w:r>
    </w:p>
    <w:p w14:paraId="2A76D92C" w14:textId="77777777" w:rsidR="00617673" w:rsidRPr="00617673" w:rsidRDefault="002A4D7A" w:rsidP="00617673">
      <w:pPr>
        <w:pStyle w:val="SingleTxtG"/>
        <w:rPr>
          <w:lang w:val="fr-FR"/>
        </w:rPr>
      </w:pPr>
      <w:r>
        <w:rPr>
          <w:lang w:val="fr-FR"/>
        </w:rPr>
        <w:t>114.</w:t>
      </w:r>
      <w:r w:rsidR="00617673" w:rsidRPr="00617673">
        <w:rPr>
          <w:lang w:val="fr-FR"/>
        </w:rPr>
        <w:tab/>
        <w:t>Les autorités burundaises ont qualifié certains incidents soit de simples actions par des groupes de criminels</w:t>
      </w:r>
      <w:r w:rsidR="00617673" w:rsidRPr="007A41B2">
        <w:rPr>
          <w:rStyle w:val="FootnoteReference"/>
        </w:rPr>
        <w:footnoteReference w:id="107"/>
      </w:r>
      <w:r w:rsidR="00617673" w:rsidRPr="00617673">
        <w:rPr>
          <w:lang w:val="fr-FR"/>
        </w:rPr>
        <w:t>, soit d’actes de terrorisme</w:t>
      </w:r>
      <w:r w:rsidR="00617673" w:rsidRPr="007A41B2">
        <w:rPr>
          <w:rStyle w:val="FootnoteReference"/>
        </w:rPr>
        <w:footnoteReference w:id="108"/>
      </w:r>
      <w:r w:rsidR="00617673" w:rsidRPr="00617673">
        <w:rPr>
          <w:lang w:val="fr-FR"/>
        </w:rPr>
        <w:t>. Elles auraient essayé de rechercher les personnes responsables, ce qui est tout à fait légitime. Cependant, pour ce faire, elles ont mené des opérations de traque à grande échelle qui ont notamment ciblé des membres du parti CNL et des ex-FABs. Ainsi, après une brève période d’accalmie à la fin du processus électoral, des violations graves des droits de l’homme ont recommencé et même augmenté de manière significative à partir du mois de juin 2021. Il s’agit principalement de violations du droit à la vie</w:t>
      </w:r>
      <w:r w:rsidR="00617673" w:rsidRPr="007A41B2">
        <w:rPr>
          <w:rStyle w:val="FootnoteReference"/>
        </w:rPr>
        <w:footnoteReference w:id="109"/>
      </w:r>
      <w:r w:rsidR="00617673" w:rsidRPr="00617673">
        <w:rPr>
          <w:lang w:val="fr-FR"/>
        </w:rPr>
        <w:t xml:space="preserve"> avec des disparitions forcées et des exécutions, de violations du droit à la liberté et à la sécurité avec des arrestations et des détentions arbitraires, et de violations du droit à ne pas être soumis à la torture et à de mauvais traitements, souvent commises de manière cumulative contre une même personne.</w:t>
      </w:r>
    </w:p>
    <w:p w14:paraId="556085DE" w14:textId="27FCBCE7" w:rsidR="00617673" w:rsidRPr="00617673" w:rsidRDefault="002A4D7A" w:rsidP="00617673">
      <w:pPr>
        <w:pStyle w:val="SingleTxtG"/>
        <w:rPr>
          <w:lang w:val="fr-FR"/>
        </w:rPr>
      </w:pPr>
      <w:r>
        <w:rPr>
          <w:lang w:val="fr-FR"/>
        </w:rPr>
        <w:t>115.</w:t>
      </w:r>
      <w:r w:rsidR="00617673" w:rsidRPr="00617673">
        <w:rPr>
          <w:lang w:val="fr-FR"/>
        </w:rPr>
        <w:tab/>
        <w:t>La Commission n’a pas pu déterminer si les soupçons des autorités quant à l’implication de ces personnes dans les attaques étaient fondés sur des preuves objectives ou seulement liés à leur appartenance politique ou leur profil ethnique, et donc relevant plutôt de la répression des opposants politiques. Elle souligne néanmoins que la lutte contre la criminalité et le terrorisme doit être menée dans le respect des droits de l’homme, notamment le droit à la vie, le droit à ne pas être torturé, les droits à la liberté et à la sécurité, le droit à un procès équitable</w:t>
      </w:r>
      <w:r w:rsidR="00C60FCA">
        <w:rPr>
          <w:lang w:val="fr-FR"/>
        </w:rPr>
        <w:t xml:space="preserve"> et </w:t>
      </w:r>
      <w:r w:rsidR="00617673" w:rsidRPr="00617673">
        <w:rPr>
          <w:lang w:val="fr-FR"/>
        </w:rPr>
        <w:t>le droit à ne pas être discriminé en raison de ses origines ethniques ou son appartenance politique</w:t>
      </w:r>
      <w:r w:rsidR="00617673" w:rsidRPr="007A41B2">
        <w:rPr>
          <w:rStyle w:val="FootnoteReference"/>
        </w:rPr>
        <w:footnoteReference w:id="110"/>
      </w:r>
      <w:r w:rsidR="00617673" w:rsidRPr="00617673">
        <w:rPr>
          <w:lang w:val="fr-FR"/>
        </w:rPr>
        <w:t>.</w:t>
      </w:r>
    </w:p>
    <w:p w14:paraId="5B02CC6C" w14:textId="23E5DD0D" w:rsidR="00617673" w:rsidRPr="00617673" w:rsidRDefault="002A4D7A" w:rsidP="00617673">
      <w:pPr>
        <w:pStyle w:val="SingleTxtG"/>
        <w:rPr>
          <w:lang w:val="fr-FR"/>
        </w:rPr>
      </w:pPr>
      <w:r>
        <w:rPr>
          <w:lang w:val="fr-FR"/>
        </w:rPr>
        <w:t>116.</w:t>
      </w:r>
      <w:r w:rsidR="00617673" w:rsidRPr="00617673">
        <w:rPr>
          <w:lang w:val="fr-FR"/>
        </w:rPr>
        <w:tab/>
      </w:r>
      <w:r w:rsidR="00617673" w:rsidRPr="00617673">
        <w:t xml:space="preserve">Les témoignages recueillis démontrent le mode opératoire bien établi de ces violations. </w:t>
      </w:r>
      <w:r w:rsidR="00617673" w:rsidRPr="00617673">
        <w:rPr>
          <w:lang w:val="fr-FR"/>
        </w:rPr>
        <w:t xml:space="preserve">Des membres du CNL, des ex-FABs ou des rapatriés ont été accusés de collaborer avec </w:t>
      </w:r>
      <w:r w:rsidR="00C60FCA">
        <w:rPr>
          <w:lang w:val="fr-FR"/>
        </w:rPr>
        <w:t>d</w:t>
      </w:r>
      <w:r w:rsidR="00617673" w:rsidRPr="00617673">
        <w:rPr>
          <w:lang w:val="fr-FR"/>
        </w:rPr>
        <w:t>es rebelles, notamment de leur fournir un soutien logistique comme leur apporter de la nourriture, cacher des armes ou collecter et/ou leur transmettre des informations</w:t>
      </w:r>
      <w:r w:rsidR="00617673" w:rsidRPr="007A41B2">
        <w:rPr>
          <w:rStyle w:val="FootnoteReference"/>
        </w:rPr>
        <w:footnoteReference w:id="111"/>
      </w:r>
      <w:r w:rsidR="00617673" w:rsidRPr="00617673">
        <w:rPr>
          <w:lang w:val="fr-FR"/>
        </w:rPr>
        <w:t>.</w:t>
      </w:r>
    </w:p>
    <w:p w14:paraId="01916F9C" w14:textId="77777777" w:rsidR="00617673" w:rsidRPr="00617673" w:rsidRDefault="00CD7679" w:rsidP="00D9201F">
      <w:pPr>
        <w:pStyle w:val="H56G"/>
        <w:rPr>
          <w:lang w:val="fr-FR"/>
        </w:rPr>
      </w:pPr>
      <w:r>
        <w:rPr>
          <w:lang w:val="fr-FR"/>
        </w:rPr>
        <w:tab/>
      </w:r>
      <w:r>
        <w:rPr>
          <w:lang w:val="fr-FR"/>
        </w:rPr>
        <w:tab/>
      </w:r>
      <w:r w:rsidR="00617673" w:rsidRPr="00C52168">
        <w:t>Une personne a expliqué</w:t>
      </w:r>
      <w:r w:rsidR="00617673" w:rsidRPr="00617673">
        <w:rPr>
          <w:lang w:val="fr-FR"/>
        </w:rPr>
        <w:t> :</w:t>
      </w:r>
    </w:p>
    <w:p w14:paraId="4373529E" w14:textId="6BD5BF8A" w:rsidR="00617673" w:rsidRPr="00617673" w:rsidRDefault="00617673" w:rsidP="007A41B2">
      <w:pPr>
        <w:pStyle w:val="SingleTxtG"/>
        <w:ind w:left="1701"/>
        <w:rPr>
          <w:lang w:val="fr-FR"/>
        </w:rPr>
      </w:pPr>
      <w:r w:rsidRPr="00617673">
        <w:rPr>
          <w:i/>
          <w:lang w:val="fr-FR"/>
        </w:rPr>
        <w:t>« Il m’a demandé pourquoi j’avais acheté une provision anormale de nourriture. Il m’accusait de faire un stock pour des combattants. […] Je lui ai dit que j’avais une famille de [X]</w:t>
      </w:r>
      <w:r w:rsidR="00C60FCA">
        <w:rPr>
          <w:i/>
          <w:lang w:val="fr-FR"/>
        </w:rPr>
        <w:t xml:space="preserve"> […]</w:t>
      </w:r>
      <w:r w:rsidRPr="00617673">
        <w:rPr>
          <w:i/>
          <w:lang w:val="fr-FR"/>
        </w:rPr>
        <w:t>, que cela faisait [X] personnes à la maison et que la ration n’était pas suffisante pour une semaine</w:t>
      </w:r>
      <w:r w:rsidR="00C60FCA">
        <w:rPr>
          <w:i/>
          <w:lang w:val="fr-FR"/>
        </w:rPr>
        <w:t xml:space="preserve"> […] </w:t>
      </w:r>
      <w:r w:rsidRPr="00617673">
        <w:rPr>
          <w:i/>
          <w:lang w:val="fr-FR"/>
        </w:rPr>
        <w:t>il n'y avait rien d'anormal dans cet approvisionnement »</w:t>
      </w:r>
      <w:r w:rsidRPr="007A41B2">
        <w:rPr>
          <w:rStyle w:val="FootnoteReference"/>
        </w:rPr>
        <w:footnoteReference w:id="112"/>
      </w:r>
      <w:r w:rsidRPr="00617673">
        <w:rPr>
          <w:lang w:val="fr-FR"/>
        </w:rPr>
        <w:t>.</w:t>
      </w:r>
    </w:p>
    <w:p w14:paraId="2A944D22" w14:textId="77777777" w:rsidR="00617673" w:rsidRPr="00617673" w:rsidRDefault="00617673" w:rsidP="00617673">
      <w:pPr>
        <w:pStyle w:val="SingleTxtG"/>
        <w:rPr>
          <w:lang w:val="fr-FR"/>
        </w:rPr>
      </w:pPr>
      <w:r w:rsidRPr="00617673">
        <w:rPr>
          <w:lang w:val="fr-FR"/>
        </w:rPr>
        <w:t xml:space="preserve">117. </w:t>
      </w:r>
      <w:r w:rsidRPr="00617673">
        <w:rPr>
          <w:lang w:val="fr-FR"/>
        </w:rPr>
        <w:tab/>
        <w:t>Ils ont été arrêtés, généralement sans mandat, par des policiers, notamment ceux relevant d’unités spéciales comme les GMIR, ou des agents du SNR, accompagnés ou non d’Imbonerakure, plus rarement des Imbonerakure seuls. Parfois, certains de leurs proches ont été également arrêtés, détenus et poursuivis à leur place ou pour complicité</w:t>
      </w:r>
      <w:r w:rsidRPr="00CD7679">
        <w:rPr>
          <w:rStyle w:val="FootnoteReference"/>
        </w:rPr>
        <w:footnoteReference w:id="113"/>
      </w:r>
      <w:r w:rsidRPr="00617673">
        <w:rPr>
          <w:lang w:val="fr-FR"/>
        </w:rPr>
        <w:t>. Pendant leur détention et leur interrogatoire par le SNR, ils ont été souvent torturés et maltraités, y compris avec des violences à caractère sexuel</w:t>
      </w:r>
      <w:r w:rsidRPr="00CD7679">
        <w:rPr>
          <w:rStyle w:val="FootnoteReference"/>
        </w:rPr>
        <w:footnoteReference w:id="114"/>
      </w:r>
      <w:r w:rsidRPr="00617673">
        <w:rPr>
          <w:lang w:val="fr-FR"/>
        </w:rPr>
        <w:t>, dans le but de les faire avouer ou révéler des informations sur les groupes rebelles et leurs opérations</w:t>
      </w:r>
      <w:r w:rsidRPr="00CD7679">
        <w:rPr>
          <w:rStyle w:val="FootnoteReference"/>
        </w:rPr>
        <w:footnoteReference w:id="115"/>
      </w:r>
      <w:r w:rsidRPr="00617673">
        <w:rPr>
          <w:lang w:val="fr-FR"/>
        </w:rPr>
        <w:t>. Les tortures infligées auraient, dans deux cas, provoqué des blessures fatales aux victimes et ces décès n’auraient pas fait l’objet d’une enquête</w:t>
      </w:r>
      <w:r w:rsidRPr="00CD7679">
        <w:rPr>
          <w:rStyle w:val="FootnoteReference"/>
        </w:rPr>
        <w:footnoteReference w:id="116"/>
      </w:r>
      <w:r w:rsidR="00CD7679">
        <w:rPr>
          <w:lang w:val="fr-FR"/>
        </w:rPr>
        <w:t>.</w:t>
      </w:r>
    </w:p>
    <w:p w14:paraId="16962527" w14:textId="77777777" w:rsidR="00617673" w:rsidRPr="00617673" w:rsidRDefault="00CD7679" w:rsidP="00D9201F">
      <w:pPr>
        <w:pStyle w:val="H56G"/>
        <w:rPr>
          <w:lang w:val="fr-FR"/>
        </w:rPr>
      </w:pPr>
      <w:r>
        <w:rPr>
          <w:lang w:val="fr-FR"/>
        </w:rPr>
        <w:tab/>
      </w:r>
      <w:r>
        <w:rPr>
          <w:lang w:val="fr-FR"/>
        </w:rPr>
        <w:tab/>
      </w:r>
      <w:r w:rsidR="00617673" w:rsidRPr="00617673">
        <w:rPr>
          <w:lang w:val="fr-FR"/>
        </w:rPr>
        <w:t>Un témoin a raconté :</w:t>
      </w:r>
    </w:p>
    <w:p w14:paraId="191C003E" w14:textId="2D212789" w:rsidR="00617673" w:rsidRPr="00617673" w:rsidRDefault="00617673" w:rsidP="00CD7679">
      <w:pPr>
        <w:pStyle w:val="SingleTxtG"/>
        <w:ind w:left="1701"/>
        <w:rPr>
          <w:lang w:val="fr-FR"/>
        </w:rPr>
      </w:pPr>
      <w:r w:rsidRPr="00617673">
        <w:rPr>
          <w:lang w:val="fr-FR"/>
        </w:rPr>
        <w:t>« </w:t>
      </w:r>
      <w:r w:rsidRPr="00617673">
        <w:rPr>
          <w:i/>
          <w:lang w:val="fr-FR"/>
        </w:rPr>
        <w:t>Le commissaire m’a dit : "Écoute, je suis fatigué, ne me fatigue pas encore plus. Dis-moi la vérité. Dis-moi d’où tu viens et ce que tu viens faire ?". Après il a appelé un policier de la documentation qui s’appelle [A]. Après, [A] m’a ligoté et sur ordre du commissaire</w:t>
      </w:r>
      <w:r w:rsidR="001F319B">
        <w:rPr>
          <w:i/>
          <w:lang w:val="fr-FR"/>
        </w:rPr>
        <w:t xml:space="preserve"> et</w:t>
      </w:r>
      <w:r w:rsidRPr="00617673">
        <w:rPr>
          <w:i/>
          <w:lang w:val="fr-FR"/>
        </w:rPr>
        <w:t xml:space="preserve"> il a commencé à me frapper jusqu’à ce qu'il se fatigue […] Il m'a ligoté les mains derrière le dos avec une corde et il m’a menotté les jambes avec des menottes […] Ils m’ont gardé ligoté et menotté jusqu'au lendemain. […] J’ai des séquelles. […] les autres fois j'étais battu avec mes codétenus. […] Il m'a frappé sur la colonne vertébrale avec quelque chose qui est en plastique mais qui est pliable. Ça s'appelle une chicote je pense. […] Les paroles et accusations qui revenaient souvent en me frappant c’était d’avouer que je faisais partie d’un groupe armé, que j’étais parti en [X] pour mobiliser un groupe armé pour renverser le pouvoir, que j’essayais de renverser le pouvoir</w:t>
      </w:r>
      <w:r w:rsidRPr="00617673">
        <w:rPr>
          <w:lang w:val="fr-FR"/>
        </w:rPr>
        <w:t> »</w:t>
      </w:r>
      <w:r w:rsidRPr="00706E3E">
        <w:rPr>
          <w:rStyle w:val="FootnoteReference"/>
        </w:rPr>
        <w:footnoteReference w:id="117"/>
      </w:r>
      <w:r w:rsidRPr="00617673">
        <w:rPr>
          <w:lang w:val="fr-FR"/>
        </w:rPr>
        <w:t>.</w:t>
      </w:r>
    </w:p>
    <w:p w14:paraId="1BA2962E" w14:textId="5D890BF9" w:rsidR="00617673" w:rsidRPr="00617673" w:rsidRDefault="0044646E" w:rsidP="00617673">
      <w:pPr>
        <w:pStyle w:val="SingleTxtG"/>
        <w:rPr>
          <w:lang w:val="fr-FR"/>
        </w:rPr>
      </w:pPr>
      <w:r>
        <w:rPr>
          <w:lang w:val="fr-FR"/>
        </w:rPr>
        <w:t>118.</w:t>
      </w:r>
      <w:r w:rsidR="00617673" w:rsidRPr="00617673">
        <w:rPr>
          <w:lang w:val="fr-FR"/>
        </w:rPr>
        <w:tab/>
        <w:t xml:space="preserve">Pendant cette période de détention par le SNR, ils ont été quasi systématiquement détenus </w:t>
      </w:r>
      <w:r w:rsidR="00617673" w:rsidRPr="00617673">
        <w:rPr>
          <w:i/>
          <w:lang w:val="fr-FR"/>
        </w:rPr>
        <w:t>incomunicado</w:t>
      </w:r>
      <w:r w:rsidR="00617673" w:rsidRPr="00617673">
        <w:rPr>
          <w:lang w:val="fr-FR"/>
        </w:rPr>
        <w:t xml:space="preserve">, privés d’accès à un </w:t>
      </w:r>
      <w:r w:rsidR="001C4B8B">
        <w:rPr>
          <w:lang w:val="fr-FR"/>
        </w:rPr>
        <w:t>avocat</w:t>
      </w:r>
      <w:r w:rsidR="00617673" w:rsidRPr="00617673">
        <w:rPr>
          <w:lang w:val="fr-FR"/>
        </w:rPr>
        <w:t xml:space="preserve">, et leurs proches ignoraient où ils se trouvaient, les autorités burundaises ne reconnaissant pas les détenir. Ces faits constituent </w:t>
      </w:r>
      <w:r w:rsidR="00617673" w:rsidRPr="00617673">
        <w:rPr>
          <w:i/>
          <w:lang w:val="fr-FR"/>
        </w:rPr>
        <w:t>de facto</w:t>
      </w:r>
      <w:r w:rsidR="00617673" w:rsidRPr="00617673">
        <w:rPr>
          <w:lang w:val="fr-FR"/>
        </w:rPr>
        <w:t xml:space="preserve"> une situation de disparition forcée puisque la personne est placée en dehors de la protection de la loi, même si cela n’est que de manière temporaire</w:t>
      </w:r>
      <w:r w:rsidR="00617673" w:rsidRPr="00706E3E">
        <w:rPr>
          <w:rStyle w:val="FootnoteReference"/>
        </w:rPr>
        <w:footnoteReference w:id="118"/>
      </w:r>
      <w:r w:rsidR="00617673" w:rsidRPr="00617673">
        <w:rPr>
          <w:lang w:val="fr-FR"/>
        </w:rPr>
        <w:t>. Parfois, après un certain temps, certaines personnes sont réapparues dans un lieu de détention, souvent présentant des séquelles des tortures subies</w:t>
      </w:r>
      <w:r w:rsidR="00617673" w:rsidRPr="00706E3E">
        <w:rPr>
          <w:rStyle w:val="FootnoteReference"/>
        </w:rPr>
        <w:footnoteReference w:id="119"/>
      </w:r>
      <w:r w:rsidR="00617673" w:rsidRPr="00617673">
        <w:rPr>
          <w:lang w:val="fr-FR"/>
        </w:rPr>
        <w:t>. Elles ont alors ensuite généralement été détenues à titre préventif dans le cadre des poursuites ouvertes contre elles pour « atteinte à la sûreté intérieure de l’État »</w:t>
      </w:r>
      <w:r w:rsidR="00617673" w:rsidRPr="00706E3E">
        <w:rPr>
          <w:rStyle w:val="FootnoteReference"/>
        </w:rPr>
        <w:footnoteReference w:id="120"/>
      </w:r>
      <w:r w:rsidR="00617673" w:rsidRPr="00617673">
        <w:rPr>
          <w:lang w:val="fr-FR"/>
        </w:rPr>
        <w:t>, « participation à des bandes armés »</w:t>
      </w:r>
      <w:r w:rsidR="00617673" w:rsidRPr="00706E3E">
        <w:rPr>
          <w:rStyle w:val="FootnoteReference"/>
        </w:rPr>
        <w:footnoteReference w:id="121"/>
      </w:r>
      <w:r w:rsidR="00617673" w:rsidRPr="00617673">
        <w:rPr>
          <w:lang w:val="fr-FR"/>
        </w:rPr>
        <w:t xml:space="preserve"> ou « détention illégale d’armes »</w:t>
      </w:r>
      <w:r w:rsidR="00617673" w:rsidRPr="00706E3E">
        <w:rPr>
          <w:rStyle w:val="FootnoteReference"/>
        </w:rPr>
        <w:footnoteReference w:id="122"/>
      </w:r>
      <w:r w:rsidR="00617673" w:rsidRPr="00617673">
        <w:rPr>
          <w:lang w:val="fr-FR"/>
        </w:rPr>
        <w:t>. En revanche, la majorité des personnes disparues n’est pas réapparue et leur sort demeure inconnu jusqu’à ce jour, même s’il semble raisonnable de penser qu’elles ont été exécutées</w:t>
      </w:r>
      <w:r w:rsidR="00617673" w:rsidRPr="00706E3E">
        <w:rPr>
          <w:rStyle w:val="FootnoteReference"/>
        </w:rPr>
        <w:footnoteReference w:id="123"/>
      </w:r>
      <w:r w:rsidR="00617673" w:rsidRPr="00617673">
        <w:rPr>
          <w:lang w:val="fr-FR"/>
        </w:rPr>
        <w:t xml:space="preserve">. </w:t>
      </w:r>
    </w:p>
    <w:p w14:paraId="10A76B13" w14:textId="77777777" w:rsidR="00617673" w:rsidRPr="00617673" w:rsidRDefault="00407928" w:rsidP="00D9201F">
      <w:pPr>
        <w:pStyle w:val="H56G"/>
        <w:rPr>
          <w:lang w:val="fr-FR"/>
        </w:rPr>
      </w:pPr>
      <w:r>
        <w:rPr>
          <w:lang w:val="fr-FR"/>
        </w:rPr>
        <w:tab/>
      </w:r>
      <w:r>
        <w:rPr>
          <w:lang w:val="fr-FR"/>
        </w:rPr>
        <w:tab/>
      </w:r>
      <w:r w:rsidR="00617673" w:rsidRPr="00617673">
        <w:rPr>
          <w:lang w:val="fr-FR"/>
        </w:rPr>
        <w:t>Un proche d’une personne disparue a témoigné :</w:t>
      </w:r>
    </w:p>
    <w:p w14:paraId="01C360BE" w14:textId="77777777" w:rsidR="00617673" w:rsidRPr="00617673" w:rsidRDefault="00617673" w:rsidP="00407928">
      <w:pPr>
        <w:pStyle w:val="SingleTxtG"/>
        <w:ind w:left="1701"/>
        <w:rPr>
          <w:lang w:val="fr-FR"/>
        </w:rPr>
      </w:pPr>
      <w:r w:rsidRPr="00617673">
        <w:rPr>
          <w:lang w:val="fr-FR"/>
        </w:rPr>
        <w:t>« </w:t>
      </w:r>
      <w:r w:rsidRPr="00617673">
        <w:rPr>
          <w:i/>
          <w:lang w:val="fr-FR"/>
        </w:rPr>
        <w:t>Le [X] 2021, un groupe de policiers est venu chez lui pour faire une fouille-perquisition. Ils n’ont rien trouvé chez lui. Il n’était pas chez lui, mais [Y] était là. Les policiers ont dit à [Y] qu'il devait se présenter à la police quand il revenait. Comme il ne s'accusait de rien, il s'est présenté […] à la police […]. Au bureau de la police […] des agents de la documentation sont entrés et l’ont directement sorti du bureau et l’ont mis dans un véhicule. On n’a plus de nouvelles de lui depuis cette date. On a cherché dans les cachots de [A] et de [B], mais on ne l’a pas trouvé. On ne sait pas s’il existe encore. [Il] était accusé d'être de mèche avec les rebelles </w:t>
      </w:r>
      <w:r w:rsidRPr="00617673">
        <w:rPr>
          <w:lang w:val="fr-FR"/>
        </w:rPr>
        <w:t>»</w:t>
      </w:r>
      <w:r w:rsidRPr="00407928">
        <w:rPr>
          <w:rStyle w:val="FootnoteReference"/>
        </w:rPr>
        <w:footnoteReference w:id="124"/>
      </w:r>
      <w:r w:rsidRPr="00617673">
        <w:rPr>
          <w:lang w:val="fr-FR"/>
        </w:rPr>
        <w:t xml:space="preserve">. </w:t>
      </w:r>
    </w:p>
    <w:p w14:paraId="55DABC90" w14:textId="18C8F440" w:rsidR="00617673" w:rsidRPr="00617673" w:rsidRDefault="00617673" w:rsidP="00617673">
      <w:pPr>
        <w:pStyle w:val="SingleTxtG"/>
        <w:rPr>
          <w:lang w:val="fr-FR"/>
        </w:rPr>
      </w:pPr>
      <w:r w:rsidRPr="00617673">
        <w:rPr>
          <w:lang w:val="fr-FR"/>
        </w:rPr>
        <w:t>Quelques semaines plus tard, la personne disparue est réapparue en détention après avoir été détenue et torturée au SNR, période pendant laquelle ses proches sont restés sans nouvelle</w:t>
      </w:r>
      <w:r w:rsidR="00072791">
        <w:rPr>
          <w:lang w:val="fr-FR"/>
        </w:rPr>
        <w:t>s</w:t>
      </w:r>
      <w:r w:rsidRPr="00617673">
        <w:rPr>
          <w:lang w:val="fr-FR"/>
        </w:rPr>
        <w:t xml:space="preserve"> malgré les démarches qu’elles ont effectuées.</w:t>
      </w:r>
    </w:p>
    <w:p w14:paraId="4380B6B4" w14:textId="3D81E310" w:rsidR="00617673" w:rsidRPr="00617673" w:rsidRDefault="0044646E" w:rsidP="00617673">
      <w:pPr>
        <w:pStyle w:val="SingleTxtG"/>
        <w:rPr>
          <w:lang w:val="fr-FR"/>
        </w:rPr>
      </w:pPr>
      <w:r>
        <w:rPr>
          <w:lang w:val="fr-FR"/>
        </w:rPr>
        <w:t>119.</w:t>
      </w:r>
      <w:r w:rsidR="00617673" w:rsidRPr="00617673">
        <w:rPr>
          <w:lang w:val="fr-FR"/>
        </w:rPr>
        <w:tab/>
        <w:t>Des proches des personnes arrêtées ou recherchées, notamment des femmes, ont également été arrêtées et détenues arbitrairement par le SNR et poursuivies pour ne pas les avoir dénoncé</w:t>
      </w:r>
      <w:r w:rsidR="00224CEE">
        <w:rPr>
          <w:lang w:val="fr-FR"/>
        </w:rPr>
        <w:t>e</w:t>
      </w:r>
      <w:r w:rsidR="00617673" w:rsidRPr="00617673">
        <w:rPr>
          <w:lang w:val="fr-FR"/>
        </w:rPr>
        <w:t>s ou sans vraiment de raison officielle, dans le cadre d’enquêtes sur des incidents de sécurité dont leur époux, ou un autre membre masculin de leur famille, serait présumé responsable</w:t>
      </w:r>
      <w:r w:rsidR="00617673" w:rsidRPr="00407928">
        <w:rPr>
          <w:rStyle w:val="FootnoteReference"/>
        </w:rPr>
        <w:footnoteReference w:id="125"/>
      </w:r>
      <w:r w:rsidR="00617673" w:rsidRPr="00617673">
        <w:rPr>
          <w:lang w:val="fr-FR"/>
        </w:rPr>
        <w:t>. Au moins l’une de ces femmes a été victime de viol</w:t>
      </w:r>
      <w:r w:rsidR="00260107">
        <w:rPr>
          <w:lang w:val="fr-FR"/>
        </w:rPr>
        <w:t xml:space="preserve"> durant sa détention</w:t>
      </w:r>
      <w:r w:rsidR="00617673" w:rsidRPr="00617673">
        <w:rPr>
          <w:lang w:val="fr-FR"/>
        </w:rPr>
        <w:t>. La Commission rappelle qu’elle avait constaté l’existence de telles pratiques par le passé : des membres des forces de sécurité ainsi que des Imbonerakure avaient régulièrement commis des violations graves du droit à l’intégrité physique, notamment des viols, et du droit à la liberté contre des femmes et des filles pour les punir des agissements de leurs proches ou les contraindre à rejoindre le CNDD-FDD ou encore lors d’attaques de foyers visant des personnes perçues comme des opposants</w:t>
      </w:r>
      <w:r w:rsidR="00617673" w:rsidRPr="00407928">
        <w:rPr>
          <w:rStyle w:val="FootnoteReference"/>
        </w:rPr>
        <w:footnoteReference w:id="126"/>
      </w:r>
      <w:r w:rsidR="00407928">
        <w:rPr>
          <w:lang w:val="fr-FR"/>
        </w:rPr>
        <w:t>.</w:t>
      </w:r>
    </w:p>
    <w:p w14:paraId="638DED08" w14:textId="77777777" w:rsidR="00617673" w:rsidRPr="00617673" w:rsidRDefault="00617673" w:rsidP="00617673">
      <w:pPr>
        <w:pStyle w:val="SingleTxtG"/>
        <w:rPr>
          <w:lang w:val="fr-FR"/>
        </w:rPr>
      </w:pPr>
      <w:r w:rsidRPr="00617673">
        <w:rPr>
          <w:lang w:val="fr-FR"/>
        </w:rPr>
        <w:t>120.</w:t>
      </w:r>
      <w:r w:rsidR="0044646E">
        <w:rPr>
          <w:lang w:val="fr-FR"/>
        </w:rPr>
        <w:tab/>
      </w:r>
      <w:r w:rsidRPr="00617673">
        <w:rPr>
          <w:lang w:val="fr-FR"/>
        </w:rPr>
        <w:t>Par ailleurs, des hommes soupçonnés d’être membres de groupes armés impliqués dans les incidents de sécurité ou d’aider ces derniers ont été exécutés par des policiers ou des agents du SNR, y compris alors qu’ils étaient en détention. Aucune enquête crédible n’a été ouverte sur ces incidents.</w:t>
      </w:r>
      <w:r w:rsidRPr="00407928">
        <w:rPr>
          <w:rStyle w:val="FootnoteReference"/>
        </w:rPr>
        <w:footnoteReference w:id="127"/>
      </w:r>
    </w:p>
    <w:p w14:paraId="4F5EE96A" w14:textId="77777777" w:rsidR="00617673" w:rsidRPr="00617673" w:rsidRDefault="002A4D7A" w:rsidP="00D9201F">
      <w:pPr>
        <w:pStyle w:val="H56G"/>
        <w:rPr>
          <w:lang w:val="fr-FR"/>
        </w:rPr>
      </w:pPr>
      <w:r>
        <w:rPr>
          <w:lang w:val="fr-FR"/>
        </w:rPr>
        <w:tab/>
      </w:r>
      <w:r>
        <w:rPr>
          <w:lang w:val="fr-FR"/>
        </w:rPr>
        <w:tab/>
      </w:r>
      <w:r w:rsidR="00617673" w:rsidRPr="00617673">
        <w:rPr>
          <w:lang w:val="fr-FR"/>
        </w:rPr>
        <w:t>Un témoin a raconté :</w:t>
      </w:r>
    </w:p>
    <w:p w14:paraId="072D5EF4" w14:textId="77777777" w:rsidR="00617673" w:rsidRPr="00617673" w:rsidRDefault="00617673" w:rsidP="002A4D7A">
      <w:pPr>
        <w:pStyle w:val="SingleTxtG"/>
        <w:ind w:left="1701"/>
        <w:rPr>
          <w:lang w:val="fr-FR"/>
        </w:rPr>
      </w:pPr>
      <w:r w:rsidRPr="00617673">
        <w:rPr>
          <w:lang w:val="fr-FR"/>
        </w:rPr>
        <w:t>« </w:t>
      </w:r>
      <w:r w:rsidRPr="00617673">
        <w:rPr>
          <w:i/>
          <w:lang w:val="fr-FR"/>
        </w:rPr>
        <w:t>Un policier est venu et a tiré une balle sur [X] et il est mort sur le champ. J’ai vu que c’était un homme en uniforme de la police, mais je ne sais pas de quel policier il s’agissait. Il est rentré, il a regardé [X]. Il avait une torche qu’il a pointée vers [X] et lui a tiré dessus trois fois : deux fois à la tête et une fois au ventre. Puis il a éteint sa torche et il est parti. […] Le cadavre est resté là […]. Il y avait du sang partout autour du cadavre </w:t>
      </w:r>
      <w:r w:rsidRPr="00617673">
        <w:rPr>
          <w:lang w:val="fr-FR"/>
        </w:rPr>
        <w:t>»</w:t>
      </w:r>
      <w:r w:rsidRPr="00407928">
        <w:rPr>
          <w:rStyle w:val="FootnoteReference"/>
        </w:rPr>
        <w:footnoteReference w:id="128"/>
      </w:r>
      <w:r w:rsidRPr="00617673">
        <w:rPr>
          <w:lang w:val="fr-FR"/>
        </w:rPr>
        <w:t>.</w:t>
      </w:r>
    </w:p>
    <w:p w14:paraId="0EEE7441" w14:textId="03684946" w:rsidR="00617673" w:rsidRPr="00617673" w:rsidRDefault="00617673" w:rsidP="00617673">
      <w:pPr>
        <w:pStyle w:val="SingleTxtG"/>
        <w:rPr>
          <w:lang w:val="fr-FR"/>
        </w:rPr>
      </w:pPr>
      <w:r w:rsidRPr="00617673">
        <w:rPr>
          <w:lang w:val="fr-FR"/>
        </w:rPr>
        <w:t>121.</w:t>
      </w:r>
      <w:r w:rsidR="0044646E">
        <w:rPr>
          <w:lang w:val="fr-FR"/>
        </w:rPr>
        <w:tab/>
      </w:r>
      <w:r w:rsidRPr="00617673">
        <w:rPr>
          <w:lang w:val="fr-FR"/>
        </w:rPr>
        <w:t>C’est dans ce contexte que certains prisonniers ayant bénéficié de la grâce présidentielle accordée à 5 000 d’entre eux au mois de mars 2021</w:t>
      </w:r>
      <w:r w:rsidRPr="00407928">
        <w:rPr>
          <w:rStyle w:val="FootnoteReference"/>
        </w:rPr>
        <w:footnoteReference w:id="129"/>
      </w:r>
      <w:r w:rsidRPr="00617673">
        <w:rPr>
          <w:lang w:val="fr-FR"/>
        </w:rPr>
        <w:t>, et qui ont commencé à être libérés progressivement à partir de la fin du mois d’avril</w:t>
      </w:r>
      <w:r w:rsidRPr="00407928">
        <w:rPr>
          <w:rStyle w:val="FootnoteReference"/>
        </w:rPr>
        <w:footnoteReference w:id="130"/>
      </w:r>
      <w:r w:rsidRPr="00617673">
        <w:rPr>
          <w:lang w:val="fr-FR"/>
        </w:rPr>
        <w:t>, ont été ré-arrêtés peu après leur libération et d’autres</w:t>
      </w:r>
      <w:r w:rsidR="00E85335">
        <w:rPr>
          <w:lang w:val="fr-FR"/>
        </w:rPr>
        <w:t>,</w:t>
      </w:r>
      <w:r w:rsidRPr="00617673">
        <w:rPr>
          <w:lang w:val="fr-FR"/>
        </w:rPr>
        <w:t xml:space="preserve"> enlevés et portés disparus, notamment des personnes qui avaient été détenues en lien avec leur affiliation politique ou leur participation aux manifestations de 2015</w:t>
      </w:r>
      <w:r w:rsidRPr="00407928">
        <w:rPr>
          <w:rStyle w:val="FootnoteReference"/>
        </w:rPr>
        <w:footnoteReference w:id="131"/>
      </w:r>
      <w:r w:rsidRPr="00617673">
        <w:rPr>
          <w:lang w:val="fr-FR"/>
        </w:rPr>
        <w:t>.</w:t>
      </w:r>
    </w:p>
    <w:p w14:paraId="5E4B2532" w14:textId="77777777" w:rsidR="00617673" w:rsidRPr="00617673" w:rsidRDefault="0044646E" w:rsidP="00203B81">
      <w:pPr>
        <w:pStyle w:val="H4G"/>
        <w:rPr>
          <w:lang w:val="fr-FR"/>
        </w:rPr>
      </w:pPr>
      <w:r>
        <w:rPr>
          <w:lang w:val="fr-FR"/>
        </w:rPr>
        <w:tab/>
      </w:r>
      <w:r w:rsidR="00617673" w:rsidRPr="00203B81">
        <w:rPr>
          <w:b/>
          <w:i w:val="0"/>
          <w:lang w:val="fr-FR"/>
        </w:rPr>
        <w:t>c)</w:t>
      </w:r>
      <w:r>
        <w:rPr>
          <w:lang w:val="fr-FR"/>
        </w:rPr>
        <w:tab/>
      </w:r>
      <w:r w:rsidR="00617673" w:rsidRPr="00203B81">
        <w:rPr>
          <w:b/>
          <w:i w:val="0"/>
          <w:lang w:val="fr-FR"/>
        </w:rPr>
        <w:t>Atteintes au droit à la vie</w:t>
      </w:r>
    </w:p>
    <w:p w14:paraId="03DEDAB1" w14:textId="77777777" w:rsidR="00617673" w:rsidRPr="00617673" w:rsidRDefault="0044646E" w:rsidP="00617673">
      <w:pPr>
        <w:pStyle w:val="SingleTxtG"/>
        <w:rPr>
          <w:lang w:val="fr-FR"/>
        </w:rPr>
      </w:pPr>
      <w:r>
        <w:rPr>
          <w:lang w:val="fr-FR"/>
        </w:rPr>
        <w:t>122.</w:t>
      </w:r>
      <w:r>
        <w:rPr>
          <w:lang w:val="fr-FR"/>
        </w:rPr>
        <w:tab/>
      </w:r>
      <w:r w:rsidR="00617673" w:rsidRPr="00617673">
        <w:rPr>
          <w:lang w:val="fr-FR"/>
        </w:rPr>
        <w:t>La Commission a également reçu des allégations crédibles sur des cas d’atteinte au droit à la vie. Des Imbonerakure, des membres du CNDD-FDD avec des responsabilités administratives au niveau local et certains de leurs proches auraient été délibérément tués par des hommes armés non identifiés</w:t>
      </w:r>
      <w:r w:rsidR="00617673" w:rsidRPr="0044646E">
        <w:rPr>
          <w:rStyle w:val="FootnoteReference"/>
        </w:rPr>
        <w:footnoteReference w:id="132"/>
      </w:r>
      <w:r w:rsidR="00617673" w:rsidRPr="00617673">
        <w:rPr>
          <w:lang w:val="fr-FR"/>
        </w:rPr>
        <w:t>. Des groupes d’hommes armés non identifiés seraient également responsables des attaques indiscriminées ayant causé la mort de nombreux civils</w:t>
      </w:r>
      <w:r w:rsidR="00617673" w:rsidRPr="0044646E">
        <w:rPr>
          <w:rStyle w:val="FootnoteReference"/>
        </w:rPr>
        <w:footnoteReference w:id="133"/>
      </w:r>
      <w:r w:rsidR="00617673" w:rsidRPr="00617673">
        <w:rPr>
          <w:lang w:val="fr-FR"/>
        </w:rPr>
        <w:t>. La Commission n’a pas été en mesure d’identifier les auteurs, faute notamment d’un accès aux victimes proches du parti CNDD-FDD peu enclines à coopérer avec elle pour ce qui est des attaques ciblées, mais également en raison du refus du Gouvernement de partager avec elle des informations sur c</w:t>
      </w:r>
      <w:r>
        <w:rPr>
          <w:lang w:val="fr-FR"/>
        </w:rPr>
        <w:t>es attaques.</w:t>
      </w:r>
    </w:p>
    <w:p w14:paraId="38BCE079" w14:textId="77777777" w:rsidR="00617673" w:rsidRPr="00617673" w:rsidRDefault="0044646E" w:rsidP="0044646E">
      <w:pPr>
        <w:pStyle w:val="H23G"/>
      </w:pPr>
      <w:r>
        <w:tab/>
        <w:t>2.</w:t>
      </w:r>
      <w:r>
        <w:tab/>
      </w:r>
      <w:r w:rsidR="00617673" w:rsidRPr="00617673">
        <w:t>Situation</w:t>
      </w:r>
      <w:r w:rsidR="00203B81">
        <w:t xml:space="preserve"> des médias et des journalistes</w:t>
      </w:r>
    </w:p>
    <w:p w14:paraId="40FC5A99" w14:textId="3D804561" w:rsidR="00617673" w:rsidRPr="00617673" w:rsidRDefault="00617673" w:rsidP="00617673">
      <w:pPr>
        <w:pStyle w:val="SingleTxtG"/>
      </w:pPr>
      <w:r w:rsidRPr="00617673">
        <w:t>123.</w:t>
      </w:r>
      <w:r w:rsidR="0044646E">
        <w:tab/>
      </w:r>
      <w:r w:rsidRPr="00617673">
        <w:t xml:space="preserve">Dans ses précédents rapports, la Commission avait constaté que les médias et les journalistes indépendants qui arrivaient à </w:t>
      </w:r>
      <w:r w:rsidR="00072791">
        <w:t>opérer</w:t>
      </w:r>
      <w:r w:rsidR="00072791" w:rsidRPr="00617673">
        <w:t xml:space="preserve"> </w:t>
      </w:r>
      <w:r w:rsidRPr="00617673">
        <w:t>malgré le contexte difficile faisaient face à un contrôle étroit de leurs activités par les autorités et à un accroissement des restrictions abusives qui leur sont imposées par le truchement de la loi ou de règlements. Dans le contexte du processus électoral de 2020, les autorités avaient encore renforcé leur contrôle sur les médias et les journalistes, notamment en instrumentalisant le système judiciaire puisque des journalistes ont été poursuivis et condamnés pour avoir exercé leur travail de recherche d’informations sur des incidents de sécurité.</w:t>
      </w:r>
    </w:p>
    <w:p w14:paraId="2C2C74DA" w14:textId="77777777" w:rsidR="00617673" w:rsidRPr="00617673" w:rsidRDefault="00617673" w:rsidP="00617673">
      <w:pPr>
        <w:pStyle w:val="SingleTxtG"/>
      </w:pPr>
      <w:r w:rsidRPr="00617673">
        <w:rPr>
          <w:lang w:val="fr-FR"/>
        </w:rPr>
        <w:t>124.</w:t>
      </w:r>
      <w:r w:rsidR="0044646E">
        <w:rPr>
          <w:lang w:val="fr-FR"/>
        </w:rPr>
        <w:tab/>
      </w:r>
      <w:r w:rsidRPr="00617673">
        <w:rPr>
          <w:lang w:val="fr-FR"/>
        </w:rPr>
        <w:t xml:space="preserve">Les principales avancées qui ont eu lieu depuis l’arrivée au pouvoir du Président Ndayishimiye concernent les médias. </w:t>
      </w:r>
      <w:r w:rsidRPr="00617673">
        <w:t xml:space="preserve">Le Gouvernement du Burundi a pris des mesures afin de desserrer l’étau qui pesait sur la presse, mais étant davantage symboliques que structurelles, </w:t>
      </w:r>
      <w:r w:rsidRPr="00617673">
        <w:rPr>
          <w:lang w:val="fr-FR"/>
        </w:rPr>
        <w:t>elles ne peuvent pas contribuer à garantir effectivement et durablement les libertés d’information et d’expression. De</w:t>
      </w:r>
      <w:r w:rsidRPr="00617673">
        <w:t>s problèmes persistent et le traitement réservé aux journalistes burundais en exil depuis 2015 reste un sujet de préoccupation.</w:t>
      </w:r>
    </w:p>
    <w:p w14:paraId="408B9DCC" w14:textId="77777777" w:rsidR="00617673" w:rsidRPr="00203B81" w:rsidRDefault="0044646E" w:rsidP="00203B81">
      <w:pPr>
        <w:pStyle w:val="H4G"/>
        <w:rPr>
          <w:b/>
          <w:i w:val="0"/>
          <w:lang w:val="fr-FR"/>
        </w:rPr>
      </w:pPr>
      <w:r>
        <w:rPr>
          <w:lang w:val="fr-FR"/>
        </w:rPr>
        <w:tab/>
      </w:r>
      <w:r w:rsidR="00617673" w:rsidRPr="00203B81">
        <w:rPr>
          <w:b/>
          <w:i w:val="0"/>
          <w:lang w:val="fr-FR"/>
        </w:rPr>
        <w:t>a)</w:t>
      </w:r>
      <w:r w:rsidRPr="00203B81">
        <w:rPr>
          <w:b/>
          <w:i w:val="0"/>
          <w:lang w:val="fr-FR"/>
        </w:rPr>
        <w:tab/>
      </w:r>
      <w:r w:rsidR="00617673" w:rsidRPr="00203B81">
        <w:rPr>
          <w:b/>
          <w:i w:val="0"/>
          <w:lang w:val="fr-FR"/>
        </w:rPr>
        <w:t>La libération des journalistes d’Iwacu</w:t>
      </w:r>
    </w:p>
    <w:p w14:paraId="47316357" w14:textId="308849A9" w:rsidR="00617673" w:rsidRPr="00617673" w:rsidRDefault="00617673" w:rsidP="00617673">
      <w:pPr>
        <w:pStyle w:val="SingleTxtG"/>
        <w:rPr>
          <w:lang w:val="fr-FR"/>
        </w:rPr>
      </w:pPr>
      <w:r w:rsidRPr="00617673">
        <w:rPr>
          <w:lang w:val="fr-FR"/>
        </w:rPr>
        <w:t>125.</w:t>
      </w:r>
      <w:r w:rsidR="0044646E">
        <w:rPr>
          <w:lang w:val="fr-FR"/>
        </w:rPr>
        <w:tab/>
      </w:r>
      <w:r w:rsidRPr="00617673">
        <w:t>Une des mesures les plus notables prise</w:t>
      </w:r>
      <w:r w:rsidR="00E85335">
        <w:t>s</w:t>
      </w:r>
      <w:r w:rsidRPr="00617673">
        <w:t xml:space="preserve"> par le Président est la libération, l</w:t>
      </w:r>
      <w:r w:rsidRPr="00617673">
        <w:rPr>
          <w:lang w:val="fr-FR"/>
        </w:rPr>
        <w:t xml:space="preserve">e 24 décembre 2020, </w:t>
      </w:r>
      <w:r w:rsidRPr="00617673">
        <w:t xml:space="preserve">des quatre journalistes </w:t>
      </w:r>
      <w:r w:rsidRPr="00617673">
        <w:rPr>
          <w:lang w:val="fr-FR"/>
        </w:rPr>
        <w:t xml:space="preserve">du groupe de presse </w:t>
      </w:r>
      <w:r w:rsidRPr="00617673">
        <w:t xml:space="preserve">Iwacu, </w:t>
      </w:r>
      <w:r w:rsidRPr="00617673">
        <w:rPr>
          <w:lang w:val="fr-FR"/>
        </w:rPr>
        <w:t>Agnès Ndirubusa, Christine Kamikazi, Térence Mpozenzi et Egide Harerimana</w:t>
      </w:r>
      <w:r w:rsidRPr="0044646E">
        <w:rPr>
          <w:rStyle w:val="FootnoteReference"/>
        </w:rPr>
        <w:footnoteReference w:id="134"/>
      </w:r>
      <w:r w:rsidRPr="00617673">
        <w:rPr>
          <w:lang w:val="fr-FR"/>
        </w:rPr>
        <w:t>. Ils avaient été arrêtés le 22 octobre 2019 alors qu’ils cherchaient à couvrir des affrontements armés survenus le matin même dans la province Bubanza. Le 30 janvier 2020, ils avaient été condamnés pour « tentative impossible de complicité d’atteinte à la sureté intérieure de l’État » à deux ans et demi de prison et un million de francs burundais d’amende chacun. La peine avait été confirmée en appel le 6 juin 2020.</w:t>
      </w:r>
      <w:r w:rsidRPr="0044646E">
        <w:rPr>
          <w:rStyle w:val="FootnoteReference"/>
        </w:rPr>
        <w:footnoteReference w:id="135"/>
      </w:r>
    </w:p>
    <w:p w14:paraId="1EBDBCB3" w14:textId="77777777" w:rsidR="00617673" w:rsidRPr="00617673" w:rsidRDefault="00617673" w:rsidP="00617673">
      <w:pPr>
        <w:pStyle w:val="SingleTxtG"/>
        <w:rPr>
          <w:lang w:val="fr-FR"/>
        </w:rPr>
      </w:pPr>
      <w:r w:rsidRPr="00617673">
        <w:rPr>
          <w:lang w:val="fr-FR"/>
        </w:rPr>
        <w:t>126.</w:t>
      </w:r>
      <w:r w:rsidR="0044646E">
        <w:rPr>
          <w:lang w:val="fr-FR"/>
        </w:rPr>
        <w:tab/>
      </w:r>
      <w:r w:rsidRPr="00617673">
        <w:rPr>
          <w:lang w:val="fr-FR"/>
        </w:rPr>
        <w:t>Le Président Ndayishimiye a décidé de leur accorder la grâce présidentielle, mesure qui constituait en fait une remise de peine de 16 mois qui n’efface pas leur condamnation ni les amendes qui leur avaient été infligées</w:t>
      </w:r>
      <w:r w:rsidRPr="0044646E">
        <w:rPr>
          <w:rStyle w:val="FootnoteReference"/>
        </w:rPr>
        <w:footnoteReference w:id="136"/>
      </w:r>
      <w:r w:rsidRPr="00617673">
        <w:rPr>
          <w:lang w:val="fr-FR"/>
        </w:rPr>
        <w:t>. Les autorités burundaises n’ont donc pas reconnu ni leur innocence ni la nature arbitraire de leur arrestation et de leur détention pendant un an et deux mois.</w:t>
      </w:r>
    </w:p>
    <w:p w14:paraId="525242F5" w14:textId="77777777" w:rsidR="00617673" w:rsidRPr="00203B81" w:rsidRDefault="0044646E" w:rsidP="00203B81">
      <w:pPr>
        <w:pStyle w:val="H4G"/>
        <w:rPr>
          <w:b/>
          <w:i w:val="0"/>
          <w:lang w:val="fr-FR"/>
        </w:rPr>
      </w:pPr>
      <w:r>
        <w:rPr>
          <w:lang w:val="fr-FR"/>
        </w:rPr>
        <w:tab/>
      </w:r>
      <w:r w:rsidR="00617673" w:rsidRPr="00203B81">
        <w:rPr>
          <w:b/>
          <w:i w:val="0"/>
          <w:lang w:val="fr-FR"/>
        </w:rPr>
        <w:t>b)</w:t>
      </w:r>
      <w:r w:rsidRPr="00203B81">
        <w:rPr>
          <w:b/>
          <w:i w:val="0"/>
          <w:lang w:val="fr-FR"/>
        </w:rPr>
        <w:tab/>
      </w:r>
      <w:r w:rsidR="00617673" w:rsidRPr="00203B81">
        <w:rPr>
          <w:b/>
          <w:i w:val="0"/>
          <w:lang w:val="fr-FR"/>
        </w:rPr>
        <w:t>Levée des sa</w:t>
      </w:r>
      <w:r w:rsidR="002A4D7A" w:rsidRPr="00203B81">
        <w:rPr>
          <w:b/>
          <w:i w:val="0"/>
          <w:lang w:val="fr-FR"/>
        </w:rPr>
        <w:t>nctions contre certains médias</w:t>
      </w:r>
    </w:p>
    <w:p w14:paraId="38DF7FC1" w14:textId="77777777" w:rsidR="00617673" w:rsidRPr="00617673" w:rsidRDefault="00617673" w:rsidP="00617673">
      <w:pPr>
        <w:pStyle w:val="SingleTxtG"/>
        <w:rPr>
          <w:lang w:val="fr-FR"/>
        </w:rPr>
      </w:pPr>
      <w:r w:rsidRPr="00617673">
        <w:rPr>
          <w:lang w:val="fr-FR"/>
        </w:rPr>
        <w:t>127.</w:t>
      </w:r>
      <w:r w:rsidR="0044646E">
        <w:rPr>
          <w:lang w:val="fr-FR"/>
        </w:rPr>
        <w:tab/>
      </w:r>
      <w:r w:rsidRPr="00617673">
        <w:rPr>
          <w:lang w:val="fr-FR"/>
        </w:rPr>
        <w:t>Le 28 janvier 2021, lors d’un atelier de deux jours organisé pour les professionnels des médias, intitulé « Jamais sans les médias », le Président Ndayishimiye a rappelé l’importance de leur rôle dans la sauvegarde de la cohésion sociale et dans la poursuite des objectifs de développement durable. Il a réaffirmé « son engagement pour une presse libre et responsable » au Burundi et demandé au Conseil national de la Communication (CNC) de rencontrer les responsables des médias sanctionnés ou suspendus dans le pays afin de permettre de trouver des solutions afin que ces médias reprennent leurs activités</w:t>
      </w:r>
      <w:r w:rsidRPr="00617673">
        <w:rPr>
          <w:vertAlign w:val="superscript"/>
          <w:lang w:val="fr-FR"/>
        </w:rPr>
        <w:footnoteReference w:id="137"/>
      </w:r>
      <w:r w:rsidRPr="00617673">
        <w:rPr>
          <w:lang w:val="fr-FR"/>
        </w:rPr>
        <w:t>.</w:t>
      </w:r>
    </w:p>
    <w:p w14:paraId="154CD0A7" w14:textId="011224CF" w:rsidR="00617673" w:rsidRPr="00617673" w:rsidRDefault="00617673" w:rsidP="00617673">
      <w:pPr>
        <w:pStyle w:val="SingleTxtG"/>
        <w:rPr>
          <w:lang w:val="fr-FR"/>
        </w:rPr>
      </w:pPr>
      <w:r w:rsidRPr="00617673">
        <w:rPr>
          <w:lang w:val="fr-FR"/>
        </w:rPr>
        <w:t>128.</w:t>
      </w:r>
      <w:r w:rsidR="00342A71">
        <w:rPr>
          <w:lang w:val="fr-FR"/>
        </w:rPr>
        <w:tab/>
      </w:r>
      <w:r w:rsidRPr="00617673">
        <w:rPr>
          <w:lang w:val="fr-FR"/>
        </w:rPr>
        <w:t>Le 1</w:t>
      </w:r>
      <w:r w:rsidRPr="00617673">
        <w:rPr>
          <w:vertAlign w:val="superscript"/>
          <w:lang w:val="fr-FR"/>
        </w:rPr>
        <w:t>er</w:t>
      </w:r>
      <w:r w:rsidRPr="00617673">
        <w:rPr>
          <w:lang w:val="fr-FR"/>
        </w:rPr>
        <w:t xml:space="preserve"> février 2021, le CNC a effectivement rencontré à huis clos pour une « première prise de contact » des représentants de certains médias sanctionnés ou suspendus, notamment des radios internationales BBC et VOA, de la radio Bonesha FM, du Groupe de presse Iwacu et des journaux en ligne Ikiriho et Nawe</w:t>
      </w:r>
      <w:r w:rsidRPr="00342A71">
        <w:rPr>
          <w:rStyle w:val="FootnoteReference"/>
        </w:rPr>
        <w:footnoteReference w:id="138"/>
      </w:r>
      <w:r w:rsidRPr="00617673">
        <w:rPr>
          <w:lang w:val="fr-FR"/>
        </w:rPr>
        <w:t xml:space="preserve">. Le Président du CNC a souligné que la question des journalistes en exil accusés d’avoir participé au coup d’État raté du 13 mai 2015 n’était pas du ressort du CNC. Le 12 février, les sanctions contre le Groupe de presse Iwacu ont été levées par le CNC, à savoir </w:t>
      </w:r>
      <w:r w:rsidR="00C5582A">
        <w:rPr>
          <w:lang w:val="fr-FR"/>
        </w:rPr>
        <w:t>la</w:t>
      </w:r>
      <w:r w:rsidRPr="00617673">
        <w:rPr>
          <w:lang w:val="fr-FR"/>
        </w:rPr>
        <w:t xml:space="preserve"> fermeture de la rubrique commentaires</w:t>
      </w:r>
      <w:r w:rsidRPr="00342A71">
        <w:rPr>
          <w:rStyle w:val="FootnoteReference"/>
        </w:rPr>
        <w:footnoteReference w:id="139"/>
      </w:r>
      <w:r w:rsidRPr="00617673">
        <w:rPr>
          <w:lang w:val="fr-FR"/>
        </w:rPr>
        <w:t>, alors que les restrictions d’accès direct au site internet d’Iwacu depuis le Burundi étaient quant à elles maintenues puisqu’il n’est accessible qu’à travers l’utilisation d’un VPN ou du site miroir</w:t>
      </w:r>
      <w:r w:rsidRPr="00342A71">
        <w:rPr>
          <w:rStyle w:val="FootnoteReference"/>
        </w:rPr>
        <w:footnoteReference w:id="140"/>
      </w:r>
      <w:r w:rsidR="002A4D7A">
        <w:rPr>
          <w:lang w:val="fr-FR"/>
        </w:rPr>
        <w:t>.</w:t>
      </w:r>
    </w:p>
    <w:p w14:paraId="77FC50AE" w14:textId="77777777" w:rsidR="00617673" w:rsidRPr="00617673" w:rsidRDefault="00617673" w:rsidP="00617673">
      <w:pPr>
        <w:pStyle w:val="SingleTxtG"/>
        <w:rPr>
          <w:lang w:val="fr-FR"/>
        </w:rPr>
      </w:pPr>
      <w:r w:rsidRPr="00617673">
        <w:rPr>
          <w:lang w:val="fr-FR"/>
        </w:rPr>
        <w:t>129.</w:t>
      </w:r>
      <w:r w:rsidR="00342A71">
        <w:rPr>
          <w:lang w:val="fr-FR"/>
        </w:rPr>
        <w:tab/>
      </w:r>
      <w:r w:rsidRPr="00617673">
        <w:rPr>
          <w:lang w:val="fr-FR"/>
        </w:rPr>
        <w:t>Le 19 février 2021, le CNC a annoncé que les sanctions imposées à la radio Bonesha étaient levées suite au changement de direction – puisque l’ancien directeur était poursuivi par la justice burundaise dans le dossier RPS 100</w:t>
      </w:r>
      <w:r w:rsidRPr="00342A71">
        <w:rPr>
          <w:rStyle w:val="FootnoteReference"/>
        </w:rPr>
        <w:footnoteReference w:id="141"/>
      </w:r>
      <w:r w:rsidRPr="00617673">
        <w:rPr>
          <w:lang w:val="fr-FR"/>
        </w:rPr>
        <w:t xml:space="preserve"> - et à la signature d’un cahier des charges par lequel la nouvelle direction s’engage à « prendre toutes les dispositions pertinentes afin d’éviter toute faute professionnelle qui entrerait en contradiction avec les lois et règlements en vigueur au Burundi »</w:t>
      </w:r>
      <w:r w:rsidRPr="00342A71">
        <w:rPr>
          <w:rStyle w:val="FootnoteReference"/>
        </w:rPr>
        <w:footnoteReference w:id="142"/>
      </w:r>
      <w:r w:rsidR="002A4D7A">
        <w:rPr>
          <w:lang w:val="fr-FR"/>
        </w:rPr>
        <w:t>.</w:t>
      </w:r>
    </w:p>
    <w:p w14:paraId="7B8F9D96" w14:textId="2E0AF481" w:rsidR="00617673" w:rsidRPr="00617673" w:rsidRDefault="00617673" w:rsidP="00617673">
      <w:pPr>
        <w:pStyle w:val="SingleTxtG"/>
        <w:rPr>
          <w:lang w:val="fr-FR"/>
        </w:rPr>
      </w:pPr>
      <w:r w:rsidRPr="00617673">
        <w:rPr>
          <w:lang w:val="fr-FR"/>
        </w:rPr>
        <w:t>130.</w:t>
      </w:r>
      <w:r w:rsidR="00342A71">
        <w:rPr>
          <w:lang w:val="fr-FR"/>
        </w:rPr>
        <w:tab/>
      </w:r>
      <w:r w:rsidRPr="00617673">
        <w:rPr>
          <w:lang w:val="fr-FR"/>
        </w:rPr>
        <w:t>Le 21 avril 2021, lors de son assemblée extraordinaire, le CNC a annoncé que quatre médias étaient autorisés à émettre à nouveau : la radio Voix de la réconciliation, la radio</w:t>
      </w:r>
      <w:r w:rsidR="00E85335">
        <w:rPr>
          <w:lang w:val="fr-FR"/>
        </w:rPr>
        <w:t>-</w:t>
      </w:r>
      <w:r w:rsidRPr="00617673">
        <w:rPr>
          <w:lang w:val="fr-FR"/>
        </w:rPr>
        <w:t xml:space="preserve">télévision Burundi Bwiza, la télévision Isanganiro et la radio Kazoza avec une télévision en ligne </w:t>
      </w:r>
      <w:r w:rsidRPr="00617673">
        <w:rPr>
          <w:i/>
          <w:lang w:val="fr-FR"/>
        </w:rPr>
        <w:t>ijwi ry’ukugwiza umwimbu</w:t>
      </w:r>
      <w:r w:rsidRPr="00617673">
        <w:rPr>
          <w:lang w:val="fr-FR"/>
        </w:rPr>
        <w:t>. Cependant, le même jour, le CNC a fait également le point sur les manquements et fautes professionnelles de certains médias et a indiqué que le Groupe de presse Iwacu avait publié le 6 mars 2021 « un article qui était mal conçu […] en rapport avec une conférence publique par vidéoconférence, à laquelle avaient participé les acteurs politiques de l’opposition » et malgré la promesse du Directeur d’Iwacu de « corriger cette erreur », le CNC a mentionné qu’il continuait son enquête sur le dossier</w:t>
      </w:r>
      <w:r w:rsidRPr="00342A71">
        <w:rPr>
          <w:rStyle w:val="FootnoteReference"/>
        </w:rPr>
        <w:footnoteReference w:id="143"/>
      </w:r>
      <w:r w:rsidRPr="00617673">
        <w:rPr>
          <w:lang w:val="fr-FR"/>
        </w:rPr>
        <w:t>. L’article en question faisait état de la réunion virtuelle organisée par le Mouvement d’action patriotique (MAP) sur l’avenir de l’Accord d’Arusha et les risques qu’il ne devienne complètement caduc</w:t>
      </w:r>
      <w:r w:rsidRPr="00342A71">
        <w:rPr>
          <w:rStyle w:val="FootnoteReference"/>
        </w:rPr>
        <w:footnoteReference w:id="144"/>
      </w:r>
      <w:r w:rsidR="002A4D7A">
        <w:rPr>
          <w:lang w:val="fr-FR"/>
        </w:rPr>
        <w:t>.</w:t>
      </w:r>
    </w:p>
    <w:p w14:paraId="7DF36760" w14:textId="19F2A2DA" w:rsidR="00617673" w:rsidRPr="00617673" w:rsidRDefault="00617673" w:rsidP="00617673">
      <w:pPr>
        <w:pStyle w:val="SingleTxtG"/>
        <w:rPr>
          <w:lang w:val="fr-FR"/>
        </w:rPr>
      </w:pPr>
      <w:r w:rsidRPr="00617673">
        <w:rPr>
          <w:lang w:val="fr-FR"/>
        </w:rPr>
        <w:t>131.</w:t>
      </w:r>
      <w:r w:rsidR="00342A71">
        <w:rPr>
          <w:lang w:val="fr-FR"/>
        </w:rPr>
        <w:tab/>
      </w:r>
      <w:r w:rsidRPr="00617673">
        <w:rPr>
          <w:lang w:val="fr-FR"/>
        </w:rPr>
        <w:t>Le 5 juin 2021, il a été annoncé que le média en ligne Ikiriho allait bientôt reprendre ses activités</w:t>
      </w:r>
      <w:r w:rsidRPr="00342A71">
        <w:rPr>
          <w:rStyle w:val="FootnoteReference"/>
        </w:rPr>
        <w:footnoteReference w:id="145"/>
      </w:r>
      <w:r w:rsidRPr="00617673">
        <w:rPr>
          <w:lang w:val="fr-FR"/>
        </w:rPr>
        <w:t>. Ce journal, pourtant réputé proche du pouvoir burundais, avait été suspendu le 12 octobre 2018 par le Procureur général de la République, officiellement suite à la plainte pour diffamation déposée par une banque qu’Ikiroho avait accusée de blanchiment d’argent, mais plus vraisemblablement en raison de luttes intestines au sein du CNDD-FDD</w:t>
      </w:r>
      <w:r w:rsidRPr="00342A71">
        <w:rPr>
          <w:rStyle w:val="FootnoteReference"/>
        </w:rPr>
        <w:footnoteReference w:id="146"/>
      </w:r>
      <w:r w:rsidRPr="00617673">
        <w:rPr>
          <w:lang w:val="fr-FR"/>
        </w:rPr>
        <w:t>. Le journal en ligne a repris effectivement ses activités le 16 juin 2021</w:t>
      </w:r>
      <w:r w:rsidRPr="00342A71">
        <w:rPr>
          <w:rStyle w:val="FootnoteReference"/>
        </w:rPr>
        <w:footnoteReference w:id="147"/>
      </w:r>
      <w:r w:rsidRPr="00617673">
        <w:rPr>
          <w:lang w:val="fr-FR"/>
        </w:rPr>
        <w:t>.</w:t>
      </w:r>
    </w:p>
    <w:p w14:paraId="53E91A05" w14:textId="41B51EB5" w:rsidR="00617673" w:rsidRPr="00617673" w:rsidRDefault="00617673" w:rsidP="00617673">
      <w:pPr>
        <w:pStyle w:val="SingleTxtG"/>
        <w:rPr>
          <w:lang w:val="fr-FR"/>
        </w:rPr>
      </w:pPr>
      <w:r w:rsidRPr="00617673">
        <w:rPr>
          <w:lang w:val="fr-FR"/>
        </w:rPr>
        <w:t>132.</w:t>
      </w:r>
      <w:r w:rsidR="00342A71">
        <w:rPr>
          <w:lang w:val="fr-FR"/>
        </w:rPr>
        <w:tab/>
      </w:r>
      <w:r w:rsidRPr="00617673">
        <w:rPr>
          <w:lang w:val="fr-FR"/>
        </w:rPr>
        <w:t>Le 16 juin 2021, le Conseil national de la communication a annoncé « qu’il n’y a pas d’entraves à ce que la BBC World Service au Burundi soit autorisé</w:t>
      </w:r>
      <w:r w:rsidR="00C5582A">
        <w:rPr>
          <w:lang w:val="fr-FR"/>
        </w:rPr>
        <w:t>e</w:t>
      </w:r>
      <w:r w:rsidRPr="00617673">
        <w:rPr>
          <w:lang w:val="fr-FR"/>
        </w:rPr>
        <w:t xml:space="preserve"> d’introduire une nouvelle demande d’autorisation d’exploitation pour la bonne marche de la procédure »</w:t>
      </w:r>
      <w:r w:rsidRPr="008520C6">
        <w:rPr>
          <w:rStyle w:val="FootnoteReference"/>
        </w:rPr>
        <w:footnoteReference w:id="148"/>
      </w:r>
      <w:r w:rsidRPr="00617673">
        <w:rPr>
          <w:lang w:val="fr-FR"/>
        </w:rPr>
        <w:t>. Pour rappel, la BBC avait été suspendue par le CNC le 29 mars 2019 pour sanctionner la diffusion du reportage « </w:t>
      </w:r>
      <w:r w:rsidRPr="00617673">
        <w:rPr>
          <w:i/>
          <w:lang w:val="fr-FR"/>
        </w:rPr>
        <w:t>Kamwe Kamwe</w:t>
      </w:r>
      <w:r w:rsidRPr="00617673">
        <w:rPr>
          <w:lang w:val="fr-FR"/>
        </w:rPr>
        <w:t> » révélant l’existence de lieux de détention secrets à travers le pays où des personnes détenues illégalement auraient été torturées, puis exécutées par des membres du SNR. Selon le CNC, ce reportage était « mensonger, calomnieux et accablant pour le Burundi »</w:t>
      </w:r>
      <w:r w:rsidRPr="008520C6">
        <w:rPr>
          <w:rStyle w:val="FootnoteReference"/>
        </w:rPr>
        <w:footnoteReference w:id="149"/>
      </w:r>
      <w:r w:rsidR="002A4D7A">
        <w:rPr>
          <w:lang w:val="fr-FR"/>
        </w:rPr>
        <w:t>.</w:t>
      </w:r>
    </w:p>
    <w:p w14:paraId="67245D7D" w14:textId="64BF00ED" w:rsidR="00617673" w:rsidRPr="00617673" w:rsidRDefault="00617673" w:rsidP="00617673">
      <w:pPr>
        <w:pStyle w:val="SingleTxtG"/>
        <w:rPr>
          <w:lang w:val="fr-FR"/>
        </w:rPr>
      </w:pPr>
      <w:r w:rsidRPr="00617673">
        <w:rPr>
          <w:lang w:val="fr-FR"/>
        </w:rPr>
        <w:t>133. En revanche, il a été rapporté par le Comité pour la protection des journalistes que la radio internationale Voice of America (VOA)</w:t>
      </w:r>
      <w:r w:rsidR="005F114B">
        <w:rPr>
          <w:lang w:val="fr-FR"/>
        </w:rPr>
        <w:t>,</w:t>
      </w:r>
      <w:r w:rsidRPr="00617673">
        <w:rPr>
          <w:lang w:val="fr-FR"/>
        </w:rPr>
        <w:t xml:space="preserve"> suspendue depuis 2019</w:t>
      </w:r>
      <w:r w:rsidR="005F114B">
        <w:rPr>
          <w:lang w:val="fr-FR"/>
        </w:rPr>
        <w:t>,</w:t>
      </w:r>
      <w:r w:rsidRPr="00617673">
        <w:rPr>
          <w:lang w:val="fr-FR"/>
        </w:rPr>
        <w:t xml:space="preserve"> ne pourrait reprendre ses activités à la condition que le cas d’un de ses journalistes recherché par la justice burundaise soit « résolu »</w:t>
      </w:r>
      <w:r w:rsidRPr="008520C6">
        <w:rPr>
          <w:rStyle w:val="FootnoteReference"/>
        </w:rPr>
        <w:footnoteReference w:id="150"/>
      </w:r>
      <w:r w:rsidR="002A4D7A">
        <w:rPr>
          <w:lang w:val="fr-FR"/>
        </w:rPr>
        <w:t>.</w:t>
      </w:r>
    </w:p>
    <w:p w14:paraId="5DC3C4D5" w14:textId="77777777" w:rsidR="00617673" w:rsidRPr="00617673" w:rsidRDefault="002A4D7A" w:rsidP="002A4D7A">
      <w:pPr>
        <w:pStyle w:val="H23G"/>
        <w:rPr>
          <w:lang w:val="fr-FR"/>
        </w:rPr>
      </w:pPr>
      <w:r>
        <w:rPr>
          <w:lang w:val="fr-FR"/>
        </w:rPr>
        <w:tab/>
      </w:r>
      <w:r w:rsidR="00617673" w:rsidRPr="00617673">
        <w:rPr>
          <w:lang w:val="fr-FR"/>
        </w:rPr>
        <w:t>c)</w:t>
      </w:r>
      <w:r>
        <w:rPr>
          <w:lang w:val="fr-FR"/>
        </w:rPr>
        <w:tab/>
      </w:r>
      <w:r w:rsidR="00617673" w:rsidRPr="00617673">
        <w:rPr>
          <w:lang w:val="fr-FR"/>
        </w:rPr>
        <w:t>Condamnation des journalistes en exil</w:t>
      </w:r>
    </w:p>
    <w:p w14:paraId="3A631099" w14:textId="52BEA397" w:rsidR="00617673" w:rsidRPr="00617673" w:rsidRDefault="00617673" w:rsidP="00617673">
      <w:pPr>
        <w:pStyle w:val="SingleTxtG"/>
        <w:rPr>
          <w:lang w:val="fr-FR"/>
        </w:rPr>
      </w:pPr>
      <w:r w:rsidRPr="00617673">
        <w:t>134.</w:t>
      </w:r>
      <w:r w:rsidR="008520C6">
        <w:tab/>
      </w:r>
      <w:r w:rsidRPr="00617673">
        <w:t>Dans le cadre de ses démarches de semi-ouverture envers la presse, l</w:t>
      </w:r>
      <w:r w:rsidRPr="00617673">
        <w:rPr>
          <w:lang w:val="fr-FR"/>
        </w:rPr>
        <w:t>e Gouvernement burundais n’a pas vraiment abordé le sort réservé aux journalistes burundais qui ont fui le Burundi dès 2015 et des médias burundais suspendus à cette date, tels que la Radio publique africaine (RPA) et Télé Renaissance. Au contraire, des développements récents sur le plan judiciaire semblent fermer la porte à toute possibilité de retour et de reprise d’activité.</w:t>
      </w:r>
    </w:p>
    <w:p w14:paraId="058082AB" w14:textId="32BFE725" w:rsidR="00617673" w:rsidRPr="00617673" w:rsidRDefault="00617673" w:rsidP="00617673">
      <w:pPr>
        <w:pStyle w:val="SingleTxtG"/>
        <w:rPr>
          <w:lang w:val="fr-FR"/>
        </w:rPr>
      </w:pPr>
      <w:r w:rsidRPr="00617673">
        <w:t>135.</w:t>
      </w:r>
      <w:r w:rsidR="008520C6">
        <w:tab/>
      </w:r>
      <w:r w:rsidRPr="00617673">
        <w:t>Le 2 février 2021, la Cour suprême du Burundi a affiché publiquement – dans le cadre de la signification à domicile inconnu pour exécution – sa décision datée du 23 juin 2020 dans le dossier RPS 100</w:t>
      </w:r>
      <w:r w:rsidRPr="008520C6">
        <w:rPr>
          <w:rStyle w:val="FootnoteReference"/>
        </w:rPr>
        <w:footnoteReference w:id="151"/>
      </w:r>
      <w:r w:rsidRPr="00617673">
        <w:t xml:space="preserve">, dans lequel étaient poursuivis 34 </w:t>
      </w:r>
      <w:r w:rsidRPr="00617673">
        <w:rPr>
          <w:lang w:val="fr-FR"/>
        </w:rPr>
        <w:t xml:space="preserve">« putschistes en fuite à l’étranger », dont sept journalistes, </w:t>
      </w:r>
      <w:r w:rsidRPr="00617673">
        <w:t>accusés d’avoir pris part à la tentative de coup d’État du 13 mai 2015, contre lesquels d</w:t>
      </w:r>
      <w:r w:rsidRPr="00617673">
        <w:rPr>
          <w:lang w:val="fr-FR"/>
        </w:rPr>
        <w:t>es mandats d’arrêt internationaux avaient été émis le 2 février 2016 par le Secrétaire général de la Cour suprême</w:t>
      </w:r>
      <w:r w:rsidRPr="008520C6">
        <w:rPr>
          <w:rStyle w:val="FootnoteReference"/>
        </w:rPr>
        <w:footnoteReference w:id="152"/>
      </w:r>
      <w:r w:rsidRPr="00617673">
        <w:t>. Parmi les accusés dans ce dossier, qui sont tous en exil, il y a également des représentants de la société civile et des avocats actifs dans le domaine des droits de l’homme, des frondeurs du CNDD-FDD ainsi que des militaires.</w:t>
      </w:r>
    </w:p>
    <w:p w14:paraId="346DC88B" w14:textId="77777777" w:rsidR="00617673" w:rsidRPr="00617673" w:rsidRDefault="00617673" w:rsidP="00617673">
      <w:pPr>
        <w:pStyle w:val="SingleTxtG"/>
      </w:pPr>
      <w:r w:rsidRPr="00617673">
        <w:rPr>
          <w:lang w:val="fr-FR"/>
        </w:rPr>
        <w:t>136.</w:t>
      </w:r>
      <w:r w:rsidR="008520C6">
        <w:rPr>
          <w:lang w:val="fr-FR"/>
        </w:rPr>
        <w:tab/>
      </w:r>
      <w:r w:rsidRPr="00617673">
        <w:rPr>
          <w:lang w:val="fr-FR"/>
        </w:rPr>
        <w:t xml:space="preserve">Tous les accusés ont été reconnus coupables d’attentat à l’autorité de l’État, assassinats et destructions. Ils ont donc été </w:t>
      </w:r>
      <w:r w:rsidRPr="00617673">
        <w:t>condamnés à la servitude pénale à perpétuité assortie de l’interdiction d’exercer une fonction publique, une activité professionnelle ou sociale pendant 20 ans ainsi qu’à payer conjointement - et de manière solidaire avec les 21 militaires condamnés en mai 2016 dans un autre dossier</w:t>
      </w:r>
      <w:r w:rsidRPr="008520C6">
        <w:rPr>
          <w:rStyle w:val="FootnoteReference"/>
        </w:rPr>
        <w:footnoteReference w:id="153"/>
      </w:r>
      <w:r w:rsidRPr="00617673">
        <w:t xml:space="preserve"> - plus de 5,5 milliards de francs burundais (environ 2,8 millions de dollars des États Unis d’Amérique</w:t>
      </w:r>
      <w:r w:rsidRPr="008520C6">
        <w:rPr>
          <w:rStyle w:val="FootnoteReference"/>
        </w:rPr>
        <w:footnoteReference w:id="154"/>
      </w:r>
      <w:r w:rsidRPr="00617673">
        <w:t>) en dommages et intérêts au profit de l’État, du parti CNDD-FDD, de la Radiotélévision Rema FM et de divers particuliers. La Cour a précisé que leurs biens mobiliers et immobiliers, qui avaient été saisis par la Justice en mai 2019</w:t>
      </w:r>
      <w:r w:rsidRPr="008520C6">
        <w:rPr>
          <w:rStyle w:val="FootnoteReference"/>
        </w:rPr>
        <w:footnoteReference w:id="155"/>
      </w:r>
      <w:r w:rsidRPr="00617673">
        <w:t>, seraient vendus pour payer les dommages exigés. La vente aux enchères des biens saisis en mai 2019 a effectivement été organisée de 11 au 14 novembre 2020</w:t>
      </w:r>
      <w:r w:rsidRPr="009966C0">
        <w:rPr>
          <w:rStyle w:val="FootnoteReference"/>
        </w:rPr>
        <w:footnoteReference w:id="156"/>
      </w:r>
      <w:r w:rsidRPr="00617673">
        <w:t xml:space="preserve"> alors même que le jugement de la Cour suprême n’avait pas été rendu public.</w:t>
      </w:r>
    </w:p>
    <w:p w14:paraId="2DFAE33D" w14:textId="77777777" w:rsidR="00617673" w:rsidRPr="00617673" w:rsidRDefault="008520C6" w:rsidP="008520C6">
      <w:pPr>
        <w:pStyle w:val="H23G"/>
        <w:rPr>
          <w:lang w:val="fr-FR"/>
        </w:rPr>
      </w:pPr>
      <w:r>
        <w:rPr>
          <w:lang w:val="fr-FR"/>
        </w:rPr>
        <w:tab/>
      </w:r>
      <w:r w:rsidR="00617673" w:rsidRPr="00617673">
        <w:rPr>
          <w:lang w:val="fr-FR"/>
        </w:rPr>
        <w:t>d)</w:t>
      </w:r>
      <w:r>
        <w:rPr>
          <w:lang w:val="fr-FR"/>
        </w:rPr>
        <w:tab/>
      </w:r>
      <w:r w:rsidR="00617673" w:rsidRPr="00617673">
        <w:rPr>
          <w:lang w:val="fr-FR"/>
        </w:rPr>
        <w:t>Harcèlement des journalistes</w:t>
      </w:r>
    </w:p>
    <w:p w14:paraId="0CEC74ED" w14:textId="6BF9A8DE" w:rsidR="00617673" w:rsidRPr="00617673" w:rsidRDefault="00617673" w:rsidP="00617673">
      <w:pPr>
        <w:pStyle w:val="SingleTxtG"/>
      </w:pPr>
      <w:r w:rsidRPr="00617673">
        <w:t>137.</w:t>
      </w:r>
      <w:r w:rsidR="0070578F">
        <w:tab/>
      </w:r>
      <w:r w:rsidRPr="00617673">
        <w:t xml:space="preserve">Malgré les discours du Président Ndayishimiye en faveur de la liberté de la presse, la pratique </w:t>
      </w:r>
      <w:r w:rsidR="005F114B">
        <w:t>qui consiste à</w:t>
      </w:r>
      <w:r w:rsidRPr="00617673">
        <w:t xml:space="preserve"> vilipender les journalistes os</w:t>
      </w:r>
      <w:r w:rsidR="005F114B">
        <w:t>a</w:t>
      </w:r>
      <w:r w:rsidRPr="00617673">
        <w:t xml:space="preserve">nt critiquer le </w:t>
      </w:r>
      <w:r w:rsidR="005F114B">
        <w:t>G</w:t>
      </w:r>
      <w:r w:rsidRPr="00617673">
        <w:t>ouvernement ou ses actions, ou encore révéler des affaires de corruption ou de mauvaise gouvernance par</w:t>
      </w:r>
      <w:r w:rsidR="009966C0">
        <w:t>mi certains caciques du régime</w:t>
      </w:r>
      <w:r w:rsidR="005F114B">
        <w:t xml:space="preserve">, </w:t>
      </w:r>
      <w:r w:rsidR="005F114B" w:rsidRPr="00617673">
        <w:t>perdure</w:t>
      </w:r>
      <w:r w:rsidR="009966C0">
        <w:t>.</w:t>
      </w:r>
    </w:p>
    <w:p w14:paraId="664E72CD" w14:textId="77777777" w:rsidR="00617673" w:rsidRPr="00617673" w:rsidRDefault="00617673" w:rsidP="00617673">
      <w:pPr>
        <w:pStyle w:val="SingleTxtG"/>
      </w:pPr>
      <w:r w:rsidRPr="00617673">
        <w:t>138.</w:t>
      </w:r>
      <w:r w:rsidR="0070578F">
        <w:tab/>
      </w:r>
      <w:r w:rsidRPr="00617673">
        <w:t>Par exemple, au mois de mai 2021, un fait divers a fait couler beaucoup d’encre au Burundi, notamment sur les réseaux sociaux, à savoir le décès d’un jeune étudiant à l’Université de Bujumbura qui selon certains rapports serait « mort de faim ». Ce dernier issu d’une famille pauvre de l’intérieur du pays n’avait pas reçu la bourse d’études qui lui était due pendant plusieurs mois, tout comme nombre d’autres étudiants, en raison de dysfonctionnements au sein de l’administration publique chargée de délivrer les bourses universitaires. L’ancien porte-parole du Président Nkurunziza, qui est actuellement Chef du Bureau chargé des affaires politiques et socio-culturelles de la Présidence de la République, a tout à la fois reconnu et détaillé les dysfonctionnements et les lourdeurs administratives à la base des retards significatifs du paiement des bourses universitaires, tout en critiquant de manière virulente les personnes et les journalistes qui ont dénoncé cette situation. Dans un long message publié sur son compt</w:t>
      </w:r>
      <w:r w:rsidR="008520C6">
        <w:t>e Facebook il a ainsi déclaré :</w:t>
      </w:r>
    </w:p>
    <w:p w14:paraId="6A96FFFB" w14:textId="77777777" w:rsidR="00617673" w:rsidRPr="00617673" w:rsidRDefault="00617673" w:rsidP="008520C6">
      <w:pPr>
        <w:pStyle w:val="SingleTxtG"/>
        <w:ind w:left="1701"/>
        <w:rPr>
          <w:i/>
          <w:lang w:val="x-none"/>
        </w:rPr>
      </w:pPr>
      <w:r w:rsidRPr="00617673">
        <w:rPr>
          <w:lang w:val="x-none"/>
        </w:rPr>
        <w:t>« </w:t>
      </w:r>
      <w:r w:rsidRPr="00617673">
        <w:rPr>
          <w:i/>
          <w:lang w:val="x-none"/>
        </w:rPr>
        <w:t>10. En tant que Burundais épris de patriotisme, j’estime que personne ne peut se décharger de ses responsabilités lorsque l’image de notre nation est ternie et que la réputation de nos dirigeants est mise à mal souvent par une clique de ventriotes, pêcheurs en eaux troubles ou impérialistes.</w:t>
      </w:r>
    </w:p>
    <w:p w14:paraId="3DE73466" w14:textId="77777777" w:rsidR="00617673" w:rsidRPr="00617673" w:rsidRDefault="00617673" w:rsidP="008520C6">
      <w:pPr>
        <w:pStyle w:val="SingleTxtG"/>
        <w:ind w:left="1701"/>
        <w:rPr>
          <w:lang w:val="x-none"/>
        </w:rPr>
      </w:pPr>
      <w:r w:rsidRPr="00617673">
        <w:rPr>
          <w:i/>
          <w:lang w:val="x-none"/>
        </w:rPr>
        <w:t>11. La presse locale et les communicateurs auraient dû faire mieux pour éclairer l’opinion sur ce cas d’espèce. À chacun son arme et son travail pour défendre l’honneur de notre pays et barrer la route aux détracteurs</w:t>
      </w:r>
      <w:r w:rsidRPr="00617673">
        <w:rPr>
          <w:lang w:val="x-none"/>
        </w:rPr>
        <w:t> ».</w:t>
      </w:r>
      <w:r w:rsidRPr="009966C0">
        <w:rPr>
          <w:rStyle w:val="FootnoteReference"/>
        </w:rPr>
        <w:footnoteReference w:id="157"/>
      </w:r>
      <w:r w:rsidRPr="00617673">
        <w:rPr>
          <w:lang w:val="x-none"/>
        </w:rPr>
        <w:t xml:space="preserve"> </w:t>
      </w:r>
    </w:p>
    <w:p w14:paraId="37CA0319" w14:textId="77777777" w:rsidR="00617673" w:rsidRPr="00617673" w:rsidRDefault="00617673" w:rsidP="00617673">
      <w:pPr>
        <w:pStyle w:val="SingleTxtG"/>
        <w:rPr>
          <w:lang w:val="fr-FR"/>
        </w:rPr>
      </w:pPr>
      <w:r w:rsidRPr="00617673">
        <w:rPr>
          <w:lang w:val="fr-FR"/>
        </w:rPr>
        <w:t>139.</w:t>
      </w:r>
      <w:r w:rsidR="0070578F">
        <w:rPr>
          <w:lang w:val="fr-FR"/>
        </w:rPr>
        <w:tab/>
      </w:r>
      <w:r w:rsidRPr="00617673">
        <w:rPr>
          <w:lang w:val="fr-FR"/>
        </w:rPr>
        <w:t>Ces propos illustrent parfaitement l’ambivalence des autorités burundaises qui affirment soutenir la liberté de la presse mais considèrent les critiques comme autant d’attaques contre l’image du Burundi et ses dirigeants. De même, les médias indépendants et/ou en exil qui rapportent les incidents de sécurité ont été soupçonnés ou accusés de complicité avec les auteurs des incidents et ont fait l’objet de menaces à peine voilées, y compris par des personnes proches de certaines autorités</w:t>
      </w:r>
      <w:r w:rsidRPr="009966C0">
        <w:rPr>
          <w:rStyle w:val="FootnoteReference"/>
        </w:rPr>
        <w:footnoteReference w:id="158"/>
      </w:r>
      <w:r w:rsidRPr="00617673">
        <w:rPr>
          <w:lang w:val="fr-FR"/>
        </w:rPr>
        <w:t xml:space="preserve">. Le sort des quatre journalistes d’Iwacu est bien sûr présent dans toutes les têtes des journalistes. </w:t>
      </w:r>
    </w:p>
    <w:p w14:paraId="1661197C" w14:textId="0BDB79B9" w:rsidR="00617673" w:rsidRPr="00617673" w:rsidRDefault="00617673" w:rsidP="00617673">
      <w:pPr>
        <w:pStyle w:val="SingleTxtG"/>
      </w:pPr>
      <w:r w:rsidRPr="00617673">
        <w:rPr>
          <w:lang w:val="fr-FR"/>
        </w:rPr>
        <w:t>140.</w:t>
      </w:r>
      <w:r w:rsidR="0070578F">
        <w:rPr>
          <w:lang w:val="fr-FR"/>
        </w:rPr>
        <w:tab/>
      </w:r>
      <w:r w:rsidRPr="00617673">
        <w:rPr>
          <w:lang w:val="fr-FR"/>
        </w:rPr>
        <w:t>En l’absence de réforme de fond pour garantir effectivement la liberté de l’information et protéger les journalistes dans l’exercice de leur travail, l’autocensure reste le maître mot pour les journalistes burundais qui ont parfois été</w:t>
      </w:r>
      <w:r w:rsidRPr="00617673">
        <w:t xml:space="preserve"> menacés</w:t>
      </w:r>
      <w:r w:rsidRPr="00617673">
        <w:rPr>
          <w:lang w:val="fr-FR"/>
        </w:rPr>
        <w:t xml:space="preserve">. Ils évaluent au jour le jour leur marge de manœuvre, qui est laissée au bon vouloir des autorités locales. </w:t>
      </w:r>
      <w:r w:rsidRPr="00617673">
        <w:t>Ils se sentent surveillés, y compris dans leurs déplacements</w:t>
      </w:r>
      <w:r w:rsidR="00587052">
        <w:t>,</w:t>
      </w:r>
      <w:r w:rsidRPr="00617673">
        <w:t xml:space="preserve"> et le CNC n’hésite pas à les convoquer pour leur demander des comptes. Ils savent qu’ils peuvent être accusés à tout moment de faire circuler des informations que le Gouvernement ou les autorités locales souhaiteraient dissimuler.</w:t>
      </w:r>
      <w:r w:rsidRPr="009966C0">
        <w:rPr>
          <w:rStyle w:val="FootnoteReference"/>
        </w:rPr>
        <w:footnoteReference w:id="159"/>
      </w:r>
      <w:r w:rsidRPr="009966C0">
        <w:rPr>
          <w:rStyle w:val="FootnoteReference"/>
        </w:rPr>
        <w:t xml:space="preserve"> </w:t>
      </w:r>
      <w:r w:rsidRPr="00617673">
        <w:rPr>
          <w:lang w:val="fr-FR"/>
        </w:rPr>
        <w:t>Si l’attitude des autorités locales envers les journalistes indépendants semble s’être un peu assouplie ces derniers temps, comme l’expliquent les journalistes d’Iwacu partis recueillir des informations sur l’attaque des véhicules du 26 juin 2021</w:t>
      </w:r>
      <w:r w:rsidRPr="000257C1">
        <w:rPr>
          <w:rStyle w:val="FootnoteReference"/>
        </w:rPr>
        <w:footnoteReference w:id="160"/>
      </w:r>
      <w:r w:rsidRPr="00617673">
        <w:rPr>
          <w:lang w:val="fr-FR"/>
        </w:rPr>
        <w:t>, le fait est que la situation demeure précaire et les restrictions arbitraires toujours p</w:t>
      </w:r>
      <w:r w:rsidR="0070578F">
        <w:rPr>
          <w:lang w:val="fr-FR"/>
        </w:rPr>
        <w:t>ossibles.</w:t>
      </w:r>
    </w:p>
    <w:p w14:paraId="6D7AEED4" w14:textId="77777777" w:rsidR="00617673" w:rsidRPr="00617673" w:rsidRDefault="000257C1" w:rsidP="00D9201F">
      <w:pPr>
        <w:pStyle w:val="H56G"/>
      </w:pPr>
      <w:r>
        <w:tab/>
      </w:r>
      <w:r>
        <w:tab/>
      </w:r>
      <w:r w:rsidR="00617673" w:rsidRPr="00617673">
        <w:t>Un journaliste a expliqué :</w:t>
      </w:r>
    </w:p>
    <w:p w14:paraId="20292B09" w14:textId="77777777" w:rsidR="00617673" w:rsidRPr="00617673" w:rsidRDefault="00617673" w:rsidP="000257C1">
      <w:pPr>
        <w:pStyle w:val="SingleTxtG"/>
        <w:ind w:left="1701"/>
      </w:pPr>
      <w:r w:rsidRPr="00617673">
        <w:t>« </w:t>
      </w:r>
      <w:r w:rsidRPr="00617673">
        <w:rPr>
          <w:i/>
        </w:rPr>
        <w:t>Je continue de faire l'objet de menaces de la part du […] de la police, du […] du SNR […] et de quelques membres du parti CNDD-FDD, les Imbonerakure. Ils me reprochent de donner des informations qui sont relayées par les réseaux sociaux et sur les ondes des radios au Rwanda. Je suis suspect à cause de ces informations qui circulent</w:t>
      </w:r>
      <w:r w:rsidRPr="00617673">
        <w:t> »</w:t>
      </w:r>
      <w:r w:rsidRPr="000257C1">
        <w:rPr>
          <w:rStyle w:val="FootnoteReference"/>
        </w:rPr>
        <w:footnoteReference w:id="161"/>
      </w:r>
      <w:r w:rsidRPr="00617673">
        <w:t>.</w:t>
      </w:r>
    </w:p>
    <w:p w14:paraId="424DEB55" w14:textId="63D040DC" w:rsidR="00617673" w:rsidRPr="00617673" w:rsidRDefault="00617673" w:rsidP="00617673">
      <w:pPr>
        <w:pStyle w:val="SingleTxtG"/>
      </w:pPr>
      <w:r w:rsidRPr="00617673">
        <w:t>141.</w:t>
      </w:r>
      <w:r w:rsidR="000257C1">
        <w:tab/>
      </w:r>
      <w:r w:rsidRPr="00617673">
        <w:t>Les médias officiels ne font preuve d’aucun esprit critique depuis bien longtemps et se refusent à émettre la moindre réserve ou questionner l’action gouvernementale, et encore moins mentionner des incidents de sécurité comme par exemple les grenades lancées dans plusieurs endroits à Bujumbura le 26 mai 2021 ni les violations des droits de l’homme, y compris les dépouilles retrouvées régulièrement sur la voie publique</w:t>
      </w:r>
      <w:r w:rsidRPr="000257C1">
        <w:rPr>
          <w:rStyle w:val="FootnoteReference"/>
        </w:rPr>
        <w:footnoteReference w:id="162"/>
      </w:r>
      <w:r w:rsidRPr="00617673">
        <w:t>. Les célébrations du premier anniversaire du décès du Président Nkurunziza et de celui de l’intronisation du Président Ndayishimiye ont vu les médias officiels se lancer dans une opération de propagande en faveur de ces deux personnalités</w:t>
      </w:r>
      <w:r w:rsidRPr="000257C1">
        <w:rPr>
          <w:rStyle w:val="FootnoteReference"/>
        </w:rPr>
        <w:footnoteReference w:id="163"/>
      </w:r>
      <w:r w:rsidRPr="000257C1">
        <w:rPr>
          <w:rStyle w:val="FootnoteReference"/>
        </w:rPr>
        <w:t>.</w:t>
      </w:r>
      <w:r w:rsidR="000257C1">
        <w:t>.</w:t>
      </w:r>
    </w:p>
    <w:p w14:paraId="536D4B6D" w14:textId="77777777" w:rsidR="00617673" w:rsidRPr="00617673" w:rsidRDefault="000257C1" w:rsidP="000257C1">
      <w:pPr>
        <w:pStyle w:val="H23G"/>
        <w:rPr>
          <w:lang w:val="fr-FR"/>
        </w:rPr>
      </w:pPr>
      <w:r>
        <w:rPr>
          <w:lang w:val="fr-FR"/>
        </w:rPr>
        <w:tab/>
      </w:r>
      <w:r w:rsidR="00617673" w:rsidRPr="00617673">
        <w:rPr>
          <w:lang w:val="fr-FR"/>
        </w:rPr>
        <w:t>e)</w:t>
      </w:r>
      <w:r>
        <w:rPr>
          <w:lang w:val="fr-FR"/>
        </w:rPr>
        <w:tab/>
      </w:r>
      <w:r w:rsidR="00617673" w:rsidRPr="00617673">
        <w:rPr>
          <w:lang w:val="fr-FR"/>
        </w:rPr>
        <w:t>Révision de la loi sur la Presse</w:t>
      </w:r>
    </w:p>
    <w:p w14:paraId="22F37243" w14:textId="77777777" w:rsidR="00617673" w:rsidRPr="00617673" w:rsidRDefault="00617673" w:rsidP="00617673">
      <w:pPr>
        <w:pStyle w:val="SingleTxtG"/>
        <w:rPr>
          <w:lang w:val="fr-FR"/>
        </w:rPr>
      </w:pPr>
      <w:r w:rsidRPr="00617673">
        <w:rPr>
          <w:lang w:val="fr-FR"/>
        </w:rPr>
        <w:t>142.</w:t>
      </w:r>
      <w:r w:rsidR="000257C1">
        <w:rPr>
          <w:lang w:val="fr-FR"/>
        </w:rPr>
        <w:tab/>
      </w:r>
      <w:r w:rsidRPr="00617673">
        <w:rPr>
          <w:lang w:val="fr-FR"/>
        </w:rPr>
        <w:t>Le 28 juin 2021, la ministre de la Communication, des Technologies d’information et des Médias a lancé un atelier du processus de consultation sur la révision de la loi sur la presse de 2018</w:t>
      </w:r>
      <w:r w:rsidRPr="000257C1">
        <w:rPr>
          <w:rStyle w:val="FootnoteReference"/>
        </w:rPr>
        <w:footnoteReference w:id="164"/>
      </w:r>
      <w:r w:rsidRPr="00617673">
        <w:rPr>
          <w:lang w:val="fr-FR"/>
        </w:rPr>
        <w:t>. Selon les informations qui ont circulé publiquement, le but de cette révision est d’encadrer les médias en ligne et les radios communautaires pour lesquelles les dispositions de la loi existante seraient lacunaires ; mais également empêcher la circulation sur les réseaux sociaux de « contenus contraires à la culture burundaise »</w:t>
      </w:r>
      <w:r w:rsidRPr="000257C1">
        <w:rPr>
          <w:rStyle w:val="FootnoteReference"/>
        </w:rPr>
        <w:footnoteReference w:id="165"/>
      </w:r>
      <w:r w:rsidRPr="00617673">
        <w:rPr>
          <w:lang w:val="fr-FR"/>
        </w:rPr>
        <w:t>. La seule vraie mesure structurelle prévue tend donc vers le renforcement du contrôle des contenus de la presse.</w:t>
      </w:r>
    </w:p>
    <w:p w14:paraId="21B9DE22" w14:textId="77777777" w:rsidR="00617673" w:rsidRPr="00617673" w:rsidRDefault="00203B81" w:rsidP="00203B81">
      <w:pPr>
        <w:pStyle w:val="H23G"/>
      </w:pPr>
      <w:r>
        <w:tab/>
        <w:t>3.</w:t>
      </w:r>
      <w:r>
        <w:tab/>
      </w:r>
      <w:r w:rsidR="00617673" w:rsidRPr="00617673">
        <w:t xml:space="preserve">Situation de la société civile </w:t>
      </w:r>
    </w:p>
    <w:p w14:paraId="728B6FF4" w14:textId="5E0BC9F9" w:rsidR="00617673" w:rsidRPr="00617673" w:rsidRDefault="00617673" w:rsidP="00617673">
      <w:pPr>
        <w:pStyle w:val="SingleTxtG"/>
      </w:pPr>
      <w:r w:rsidRPr="00617673">
        <w:t>143.</w:t>
      </w:r>
      <w:r w:rsidR="000257C1">
        <w:tab/>
      </w:r>
      <w:r w:rsidRPr="00617673">
        <w:t>Dans son précédent rapport, la Commission avait constaté que le Gouvernement burundais avait cherché à accroître son contrôle sur les ONG</w:t>
      </w:r>
      <w:r w:rsidR="00013A78">
        <w:t>s</w:t>
      </w:r>
      <w:r w:rsidRPr="00617673">
        <w:t xml:space="preserve"> aussi bien nationales qu’étrangères dans le but de museler les observateurs indépendants pendant la période électorale</w:t>
      </w:r>
      <w:r w:rsidRPr="000257C1">
        <w:rPr>
          <w:rStyle w:val="FootnoteReference"/>
        </w:rPr>
        <w:footnoteReference w:id="166"/>
      </w:r>
      <w:r w:rsidRPr="00617673">
        <w:t>.</w:t>
      </w:r>
    </w:p>
    <w:p w14:paraId="04A61924" w14:textId="77777777" w:rsidR="00617673" w:rsidRPr="00617673" w:rsidRDefault="00617673" w:rsidP="00617673">
      <w:pPr>
        <w:pStyle w:val="SingleTxtG"/>
      </w:pPr>
      <w:r w:rsidRPr="00617673">
        <w:rPr>
          <w:lang w:val="fr-FR"/>
        </w:rPr>
        <w:t>144.</w:t>
      </w:r>
      <w:r w:rsidR="000257C1">
        <w:rPr>
          <w:lang w:val="fr-FR"/>
        </w:rPr>
        <w:tab/>
      </w:r>
      <w:r w:rsidRPr="00617673">
        <w:rPr>
          <w:lang w:val="fr-FR"/>
        </w:rPr>
        <w:t xml:space="preserve">Depuis l’investiture du Président Ndayishimiye, quelques développements positifs concernent la société civile, mais ce sont généralement des gestes </w:t>
      </w:r>
      <w:r w:rsidRPr="00617673">
        <w:rPr>
          <w:i/>
          <w:lang w:val="fr-FR"/>
        </w:rPr>
        <w:t xml:space="preserve">ad hoc </w:t>
      </w:r>
      <w:r w:rsidRPr="00617673">
        <w:rPr>
          <w:lang w:val="fr-FR"/>
        </w:rPr>
        <w:t xml:space="preserve">symboliques. Par exemple, le 2 avril 2021, </w:t>
      </w:r>
      <w:r w:rsidRPr="00617673">
        <w:t>le ministre de l’Intérieur, du Développement communautaire et de la Sécurité publique a autorisé l’organisation PARCEM (Parole et actions pour le réveil des consciences et l’évolution des mentalités) à reprendre ses activités</w:t>
      </w:r>
      <w:r w:rsidRPr="000257C1">
        <w:rPr>
          <w:rStyle w:val="FootnoteReference"/>
        </w:rPr>
        <w:footnoteReference w:id="167"/>
      </w:r>
      <w:r w:rsidRPr="00617673">
        <w:t>. Cette organisation avait fait l’objet d’une mesure de suspension temporaire en juin 2019 pour avoir « terni l’image du pays » en ayant présenté un rapport critique sur les conditions socio-économiques</w:t>
      </w:r>
      <w:r w:rsidRPr="000257C1">
        <w:rPr>
          <w:rStyle w:val="FootnoteReference"/>
        </w:rPr>
        <w:footnoteReference w:id="168"/>
      </w:r>
      <w:r w:rsidRPr="00617673">
        <w:t>. Depuis, PARCEM a repris ses activités et a notamment présenté un plan de relance économique pour lutter contre la pauvreté généralisée de la population burundaise, qui inclut notamment un plan de construction d’infrastructure et la lutte contre la corruption</w:t>
      </w:r>
      <w:r w:rsidRPr="00203B81">
        <w:rPr>
          <w:rStyle w:val="FootnoteReference"/>
        </w:rPr>
        <w:footnoteReference w:id="169"/>
      </w:r>
      <w:r w:rsidRPr="00617673">
        <w:t>.</w:t>
      </w:r>
    </w:p>
    <w:p w14:paraId="3CAE5954" w14:textId="77777777" w:rsidR="00617673" w:rsidRPr="00203B81" w:rsidRDefault="00203B81" w:rsidP="00203B81">
      <w:pPr>
        <w:pStyle w:val="H4G"/>
        <w:rPr>
          <w:b/>
          <w:i w:val="0"/>
        </w:rPr>
      </w:pPr>
      <w:r>
        <w:rPr>
          <w:b/>
          <w:i w:val="0"/>
        </w:rPr>
        <w:tab/>
        <w:t>a</w:t>
      </w:r>
      <w:r w:rsidR="00617673" w:rsidRPr="00203B81">
        <w:rPr>
          <w:b/>
          <w:i w:val="0"/>
        </w:rPr>
        <w:t>)</w:t>
      </w:r>
      <w:r>
        <w:rPr>
          <w:b/>
          <w:i w:val="0"/>
        </w:rPr>
        <w:tab/>
      </w:r>
      <w:r w:rsidR="00617673" w:rsidRPr="00203B81">
        <w:rPr>
          <w:b/>
          <w:i w:val="0"/>
        </w:rPr>
        <w:t>Libération de défenseurs des droits de l’homme</w:t>
      </w:r>
    </w:p>
    <w:p w14:paraId="07A5B9AB" w14:textId="1653DD5B" w:rsidR="00617673" w:rsidRPr="00617673" w:rsidRDefault="00617673" w:rsidP="00617673">
      <w:pPr>
        <w:pStyle w:val="SingleTxtG"/>
        <w:rPr>
          <w:lang w:val="fr-FR"/>
        </w:rPr>
      </w:pPr>
      <w:r w:rsidRPr="00617673">
        <w:t>145.</w:t>
      </w:r>
      <w:r w:rsidR="00203B81">
        <w:tab/>
      </w:r>
      <w:r w:rsidRPr="00617673">
        <w:rPr>
          <w:lang w:val="fr-FR"/>
        </w:rPr>
        <w:t>Le 27 avril 2021, le défenseur des droits de l’homme Nestor Nibitanga, un ancien collaborateur de l’Association pour la protection des droits humains et des personnes détenues (APRODH), a été libéré par grâce présidentielle après quatre années de détention arbitraire</w:t>
      </w:r>
      <w:r w:rsidRPr="00203B81">
        <w:rPr>
          <w:rStyle w:val="FootnoteReference"/>
        </w:rPr>
        <w:footnoteReference w:id="170"/>
      </w:r>
      <w:r w:rsidRPr="00617673">
        <w:rPr>
          <w:lang w:val="fr-FR"/>
        </w:rPr>
        <w:t xml:space="preserve">. Pour rappel, Nestor Nibitanga avait été arrêté le 21 novembre 2017 et condamné le 13 août 2018 à cinq ans de prison en raison de ses activités au sein de l’APRODH </w:t>
      </w:r>
      <w:r w:rsidR="005F114B">
        <w:rPr>
          <w:lang w:val="fr-FR"/>
        </w:rPr>
        <w:t>(</w:t>
      </w:r>
      <w:r w:rsidRPr="00617673">
        <w:rPr>
          <w:lang w:val="fr-FR"/>
        </w:rPr>
        <w:t>avant que cette organisation ne soit radiée par le Gouvernement en octobre 2016</w:t>
      </w:r>
      <w:r w:rsidR="005F114B">
        <w:rPr>
          <w:lang w:val="fr-FR"/>
        </w:rPr>
        <w:t>)</w:t>
      </w:r>
      <w:r w:rsidRPr="00617673">
        <w:rPr>
          <w:lang w:val="fr-FR"/>
        </w:rPr>
        <w:t xml:space="preserve"> qui avaient été qualifiées abusivement « d’atteintes à la sûreté intérieure de l’État » après un procès marqué par des irrégularités et des violations des </w:t>
      </w:r>
      <w:r w:rsidR="00203B81">
        <w:rPr>
          <w:lang w:val="fr-FR"/>
        </w:rPr>
        <w:t>droits fondamentaux de l’accusé</w:t>
      </w:r>
      <w:r w:rsidRPr="00203B81">
        <w:rPr>
          <w:rStyle w:val="FootnoteReference"/>
        </w:rPr>
        <w:footnoteReference w:id="171"/>
      </w:r>
      <w:r w:rsidR="00203B81">
        <w:rPr>
          <w:lang w:val="fr-FR"/>
        </w:rPr>
        <w:t>.</w:t>
      </w:r>
    </w:p>
    <w:p w14:paraId="6A194ED2" w14:textId="77777777" w:rsidR="00617673" w:rsidRPr="00617673" w:rsidRDefault="00617673" w:rsidP="00617673">
      <w:pPr>
        <w:pStyle w:val="SingleTxtG"/>
      </w:pPr>
      <w:r w:rsidRPr="00617673">
        <w:t>146.</w:t>
      </w:r>
      <w:r w:rsidR="00203B81">
        <w:tab/>
      </w:r>
      <w:r w:rsidRPr="00617673">
        <w:t>Le 30 juin 2021, Germain Rukuki, un autre défenseur des droits de l’homme ancien membre de l’ACAT-Burundi qui était détenu arbitrairement depuis juillet 2017</w:t>
      </w:r>
      <w:r w:rsidRPr="00203B81">
        <w:rPr>
          <w:rStyle w:val="FootnoteReference"/>
        </w:rPr>
        <w:footnoteReference w:id="172"/>
      </w:r>
      <w:r w:rsidRPr="00617673">
        <w:t>, a été également libéré suite à son deuxième procès en appel tenu le 24 mars 2021. En effet, en juin 2020, la Cour suprême avait cassé le premier jugement en appel datant du 17 juillet 2019 qui confirmait sa condamnation initiale à 32 ans de prison. Dans son jugement adopté le 4 juin 2021 mais rendu public seulement le 21 juin 2021, la cour d’appel de Ntahangwa l’a donc acquitté des charges de « participation à un mouvement insurrectionnel », « d’atteinte à la sureté de l’État » et « d’attentat contre l’autorité de l’État », mais elle l’a reconnu coupable de « rébellion » et condamné à une peine d’un an de prison et au paiement d’une amende de 50 000 francs burundais (environ 25 dollars) ainsi que des frais de justice</w:t>
      </w:r>
      <w:r w:rsidRPr="00203B81">
        <w:rPr>
          <w:rStyle w:val="FootnoteReference"/>
        </w:rPr>
        <w:footnoteReference w:id="173"/>
      </w:r>
      <w:r w:rsidRPr="00617673">
        <w:t>. Comme Germain Rukuki était détenu depuis près de quatre ans, il aurait dû être immédiatement libéré puisqu’il avait déjà purgé sa peine. Malgré cela, il a fallu attendre une semaine et des pressions des organisations de la société civile</w:t>
      </w:r>
      <w:r w:rsidRPr="00203B81">
        <w:rPr>
          <w:rStyle w:val="FootnoteReference"/>
        </w:rPr>
        <w:footnoteReference w:id="174"/>
      </w:r>
      <w:r w:rsidRPr="00203B81">
        <w:rPr>
          <w:rStyle w:val="FootnoteReference"/>
        </w:rPr>
        <w:t xml:space="preserve"> </w:t>
      </w:r>
      <w:r w:rsidRPr="00617673">
        <w:t>ainsi que de la CNIDH</w:t>
      </w:r>
      <w:r w:rsidRPr="00203B81">
        <w:rPr>
          <w:rStyle w:val="FootnoteReference"/>
        </w:rPr>
        <w:footnoteReference w:id="175"/>
      </w:r>
      <w:r w:rsidRPr="00617673">
        <w:t xml:space="preserve"> et de l’Union européenne</w:t>
      </w:r>
      <w:r w:rsidRPr="00203B81">
        <w:rPr>
          <w:rStyle w:val="FootnoteReference"/>
        </w:rPr>
        <w:footnoteReference w:id="176"/>
      </w:r>
      <w:r w:rsidRPr="00617673">
        <w:t xml:space="preserve"> qui ont demandé sa libération effective.</w:t>
      </w:r>
    </w:p>
    <w:p w14:paraId="3A8AE01A" w14:textId="77777777" w:rsidR="00617673" w:rsidRPr="00203B81" w:rsidRDefault="00203B81" w:rsidP="00203B81">
      <w:pPr>
        <w:pStyle w:val="H4G"/>
        <w:rPr>
          <w:b/>
          <w:i w:val="0"/>
        </w:rPr>
      </w:pPr>
      <w:r>
        <w:rPr>
          <w:b/>
          <w:i w:val="0"/>
        </w:rPr>
        <w:tab/>
      </w:r>
      <w:r w:rsidR="00617673" w:rsidRPr="00203B81">
        <w:rPr>
          <w:b/>
          <w:i w:val="0"/>
        </w:rPr>
        <w:t>b)</w:t>
      </w:r>
      <w:r>
        <w:rPr>
          <w:b/>
          <w:i w:val="0"/>
        </w:rPr>
        <w:tab/>
      </w:r>
      <w:r w:rsidR="00617673" w:rsidRPr="00203B81">
        <w:rPr>
          <w:b/>
          <w:i w:val="0"/>
        </w:rPr>
        <w:t>Renforcement du contrôle de la société civile</w:t>
      </w:r>
    </w:p>
    <w:p w14:paraId="7CC40E1F" w14:textId="77777777" w:rsidR="00617673" w:rsidRPr="00617673" w:rsidRDefault="00617673" w:rsidP="00617673">
      <w:pPr>
        <w:pStyle w:val="SingleTxtG"/>
        <w:rPr>
          <w:lang w:val="fr-FR"/>
        </w:rPr>
      </w:pPr>
      <w:r w:rsidRPr="00617673">
        <w:rPr>
          <w:lang w:val="fr-FR"/>
        </w:rPr>
        <w:t>147.</w:t>
      </w:r>
      <w:r w:rsidR="00203B81">
        <w:rPr>
          <w:lang w:val="fr-FR"/>
        </w:rPr>
        <w:tab/>
      </w:r>
      <w:r w:rsidRPr="00617673">
        <w:rPr>
          <w:lang w:val="fr-FR"/>
        </w:rPr>
        <w:t>Cependant, le Gouvernement a pris des mesures qui visent plutôt à renforcer davantage son contrôle sur les activités et le fonctionnement des organisations de la société civile qu’à rouvrir véritablement l’espace démocratique et permettre à ces organisations de fonctionner librement. En effet, les autorités burundaises considèrent que la société civile est uniquement là pour les assister, niant ainsi le principe même de la liberté d’association qui inclut la liberté de décider des buts poursui</w:t>
      </w:r>
      <w:r w:rsidR="00203B81">
        <w:rPr>
          <w:lang w:val="fr-FR"/>
        </w:rPr>
        <w:t>vis et des moyens d’y parvenir.</w:t>
      </w:r>
    </w:p>
    <w:p w14:paraId="085EC2D0" w14:textId="47552DA2" w:rsidR="00617673" w:rsidRPr="00617673" w:rsidRDefault="00617673" w:rsidP="00617673">
      <w:pPr>
        <w:pStyle w:val="SingleTxtG"/>
        <w:rPr>
          <w:lang w:val="fr-FR"/>
        </w:rPr>
      </w:pPr>
      <w:r w:rsidRPr="00617673">
        <w:rPr>
          <w:lang w:val="fr-FR"/>
        </w:rPr>
        <w:t>148.</w:t>
      </w:r>
      <w:r w:rsidR="00203B81">
        <w:rPr>
          <w:lang w:val="fr-FR"/>
        </w:rPr>
        <w:tab/>
      </w:r>
      <w:r w:rsidRPr="00617673">
        <w:rPr>
          <w:lang w:val="fr-FR"/>
        </w:rPr>
        <w:t>Par exemple, le Gouvernement a décidé de limiter les frais de fonctionnement au sein des projets financés par les partenaires techniques et financiers, notamment en alignant les salaires sur ceux des établissements publics burundais</w:t>
      </w:r>
      <w:r w:rsidRPr="00617673">
        <w:rPr>
          <w:vertAlign w:val="superscript"/>
          <w:lang w:val="fr-FR"/>
        </w:rPr>
        <w:footnoteReference w:id="177"/>
      </w:r>
      <w:r w:rsidRPr="00617673">
        <w:rPr>
          <w:lang w:val="fr-FR"/>
        </w:rPr>
        <w:t>. Désormais, une grille salariale harmonise les rémunérations des gestionnaires et personnels ainsi que les frais de fonctionnement au sein de ces projets, notamment du fait que les financements reçus doivent être destinés aux « projets d’investissement en harmonie avec les priorités retenues dans la Politique nationale de développement et non aux frais de gestion », et comme le « volume du travail est similaire à celui se trouvant au niveau de l’administration publique et des établissements publics burundais », le Gouvernement considère que « le niveau de rémunération excessivement élevé au sein de ces projets ne se justifie pas ». Il estime également que la « performance dans les projets financés par les partenaires techniques et financiers est douteuse au regard des retards dans l’exécution des projets, avec des demandes de prolongation des délais, des contentieux observés, ainsi que des dépenses inéligibles que l’État est appelé à supporter dans certains cas ». Finalement, il considère que les « disparités salariales au sein des projets financés par les partenaires techniques et financiers ne sauraient se justifier dans un contexte national de recherche du rétablissement de l’équité salariale par la mise en place d’une politique salariale équitable dans l’administration publique burundaise ». De fait, les personnes travaillant dans de tels projets doivent désormais être rémunérées « aux niveaux des salaires en vigueur au sein des Établissements publics burundais mieux rémunérés ».</w:t>
      </w:r>
      <w:r w:rsidRPr="00203B81">
        <w:rPr>
          <w:rStyle w:val="FootnoteReference"/>
        </w:rPr>
        <w:footnoteReference w:id="178"/>
      </w:r>
    </w:p>
    <w:p w14:paraId="4B0DFAB0" w14:textId="77777777" w:rsidR="00617673" w:rsidRPr="00617673" w:rsidRDefault="00617673" w:rsidP="00617673">
      <w:pPr>
        <w:pStyle w:val="SingleTxtG"/>
        <w:rPr>
          <w:lang w:val="fr-FR"/>
        </w:rPr>
      </w:pPr>
      <w:r w:rsidRPr="00617673">
        <w:rPr>
          <w:lang w:val="fr-FR"/>
        </w:rPr>
        <w:t>149.</w:t>
      </w:r>
      <w:r w:rsidR="00203B81">
        <w:rPr>
          <w:lang w:val="fr-FR"/>
        </w:rPr>
        <w:tab/>
      </w:r>
      <w:r w:rsidRPr="00617673">
        <w:rPr>
          <w:lang w:val="fr-FR"/>
        </w:rPr>
        <w:t xml:space="preserve"> Le 25 novembre 2020, lors du Conseil des ministres, le Président Ndayishimiye a ajouté que les projets financés par les partenaires techniques et financiers « sont pour l’État burundais et les ministres doivent les suivre de près. Les fonds accordés à ces projets doivent servir à leur réalisation et non comme frais de fonctionnement. C’est pourquoi pour les projets à venir, leur conception et leur réalisation doivent être une affaire de l’État. Les gestionnaires de ces projets doivent savoir qu’ils sont au service de l’État et non au service du partenaire qui a financé le projet ».</w:t>
      </w:r>
      <w:r w:rsidRPr="00203B81">
        <w:rPr>
          <w:rStyle w:val="FootnoteReference"/>
        </w:rPr>
        <w:footnoteReference w:id="179"/>
      </w:r>
      <w:r w:rsidRPr="00617673">
        <w:rPr>
          <w:lang w:val="fr-FR"/>
        </w:rPr>
        <w:t xml:space="preserve"> </w:t>
      </w:r>
    </w:p>
    <w:p w14:paraId="0E635A60" w14:textId="1DE3A5E1" w:rsidR="00617673" w:rsidRPr="00617673" w:rsidRDefault="00F41948" w:rsidP="00617673">
      <w:pPr>
        <w:pStyle w:val="SingleTxtG"/>
        <w:rPr>
          <w:lang w:val="fr-FR"/>
        </w:rPr>
      </w:pPr>
      <w:r>
        <w:rPr>
          <w:lang w:val="fr-FR"/>
        </w:rPr>
        <w:t>150.</w:t>
      </w:r>
      <w:r>
        <w:rPr>
          <w:lang w:val="fr-FR"/>
        </w:rPr>
        <w:tab/>
      </w:r>
      <w:r w:rsidR="00617673" w:rsidRPr="00617673">
        <w:rPr>
          <w:lang w:val="fr-FR"/>
        </w:rPr>
        <w:t>En février 2021, le ministre de l’Intérieur, du Développement communautaire et de la Sécurité publique a envoyé une lettre aux représentants des ONG</w:t>
      </w:r>
      <w:r w:rsidR="000F5994">
        <w:rPr>
          <w:lang w:val="fr-FR"/>
        </w:rPr>
        <w:t>s</w:t>
      </w:r>
      <w:r w:rsidR="00617673" w:rsidRPr="00617673">
        <w:rPr>
          <w:lang w:val="fr-FR"/>
        </w:rPr>
        <w:t xml:space="preserve"> étrangères actives dans une province afin de les notifier de la visite par une délégation du ministère chargée d’inspecter les réalisations mentionnées dans les rapports périodiques et de collecter des informations telles que la structure du budget, la régularité dans la préparation et la transmission des rapports sur les activités des ONG</w:t>
      </w:r>
      <w:r w:rsidR="000F5994">
        <w:rPr>
          <w:lang w:val="fr-FR"/>
        </w:rPr>
        <w:t>s</w:t>
      </w:r>
      <w:r w:rsidR="00617673" w:rsidRPr="00617673">
        <w:rPr>
          <w:lang w:val="fr-FR"/>
        </w:rPr>
        <w:t xml:space="preserve"> étrangères aux autorités burundaises, la transmission du plan d’action et du budget annuel de l’organisation, la composition ethnique du personnel et les effectifs de genre, la vérification des agréments des salariés expatriés et de leur salaire ainsi que de l’implication des comités de recrutement instaurés par le Gouvernement dans les procédures d’embauche</w:t>
      </w:r>
      <w:r w:rsidR="00617673" w:rsidRPr="00203B81">
        <w:rPr>
          <w:rStyle w:val="FootnoteReference"/>
        </w:rPr>
        <w:footnoteReference w:id="180"/>
      </w:r>
      <w:r w:rsidR="00617673" w:rsidRPr="00617673">
        <w:rPr>
          <w:lang w:val="fr-FR"/>
        </w:rPr>
        <w:t xml:space="preserve">. </w:t>
      </w:r>
    </w:p>
    <w:p w14:paraId="472719A8" w14:textId="77777777" w:rsidR="00617673" w:rsidRPr="00617673" w:rsidRDefault="00617673" w:rsidP="00617673">
      <w:pPr>
        <w:pStyle w:val="SingleTxtG"/>
        <w:rPr>
          <w:lang w:val="fr-FR"/>
        </w:rPr>
      </w:pPr>
      <w:r w:rsidRPr="00617673">
        <w:rPr>
          <w:lang w:val="fr-FR"/>
        </w:rPr>
        <w:t>151.</w:t>
      </w:r>
      <w:r w:rsidR="00F41948">
        <w:rPr>
          <w:lang w:val="fr-FR"/>
        </w:rPr>
        <w:tab/>
      </w:r>
      <w:r w:rsidRPr="00617673">
        <w:rPr>
          <w:lang w:val="fr-FR"/>
        </w:rPr>
        <w:t>Le 5 mai 2021, le ministre des Affaires étrangères et de la Coopération au développement a refusé, sans fournir d’explication, de proroger l’agrément du représentant légal d’une ONG étrangère</w:t>
      </w:r>
      <w:r w:rsidRPr="00203B81">
        <w:rPr>
          <w:rStyle w:val="FootnoteReference"/>
        </w:rPr>
        <w:footnoteReference w:id="181"/>
      </w:r>
      <w:r w:rsidRPr="00617673">
        <w:rPr>
          <w:lang w:val="fr-FR"/>
        </w:rPr>
        <w:t xml:space="preserve">. </w:t>
      </w:r>
    </w:p>
    <w:p w14:paraId="7FD9025E" w14:textId="77777777" w:rsidR="00617673" w:rsidRPr="00F41948" w:rsidRDefault="00F41948" w:rsidP="00F41948">
      <w:pPr>
        <w:pStyle w:val="H4G"/>
        <w:rPr>
          <w:b/>
          <w:i w:val="0"/>
          <w:lang w:val="fr-FR"/>
        </w:rPr>
      </w:pPr>
      <w:r>
        <w:rPr>
          <w:b/>
          <w:i w:val="0"/>
          <w:lang w:val="fr-FR"/>
        </w:rPr>
        <w:tab/>
      </w:r>
      <w:r w:rsidR="00617673" w:rsidRPr="00F41948">
        <w:rPr>
          <w:b/>
          <w:i w:val="0"/>
          <w:lang w:val="fr-FR"/>
        </w:rPr>
        <w:t>c)</w:t>
      </w:r>
      <w:r>
        <w:rPr>
          <w:b/>
          <w:i w:val="0"/>
          <w:lang w:val="fr-FR"/>
        </w:rPr>
        <w:tab/>
      </w:r>
      <w:r w:rsidR="00617673" w:rsidRPr="00F41948">
        <w:rPr>
          <w:b/>
          <w:i w:val="0"/>
          <w:lang w:val="fr-FR"/>
        </w:rPr>
        <w:t>Méfiance et hostilité persistantes envers la société civile</w:t>
      </w:r>
    </w:p>
    <w:p w14:paraId="433CDA17" w14:textId="77777777" w:rsidR="00617673" w:rsidRPr="00617673" w:rsidRDefault="00617673" w:rsidP="00617673">
      <w:pPr>
        <w:pStyle w:val="SingleTxtG"/>
        <w:rPr>
          <w:lang w:val="fr-FR"/>
        </w:rPr>
      </w:pPr>
      <w:r w:rsidRPr="00617673">
        <w:rPr>
          <w:lang w:val="fr-FR"/>
        </w:rPr>
        <w:t>152.</w:t>
      </w:r>
      <w:r w:rsidR="002B4C3F">
        <w:rPr>
          <w:lang w:val="fr-FR"/>
        </w:rPr>
        <w:tab/>
      </w:r>
      <w:r w:rsidRPr="00617673">
        <w:rPr>
          <w:lang w:val="fr-FR"/>
        </w:rPr>
        <w:t>Le 13 octobre 2020, Tony Germain Nkina, un avocat, qui était le représentant de l’APRODH dans la province Kayanza jusqu’à la suspension de l’organisation par le Gouvernement en 2015</w:t>
      </w:r>
      <w:r w:rsidRPr="00203B81">
        <w:rPr>
          <w:rStyle w:val="FootnoteReference"/>
        </w:rPr>
        <w:footnoteReference w:id="182"/>
      </w:r>
      <w:r w:rsidRPr="00617673">
        <w:rPr>
          <w:lang w:val="fr-FR"/>
        </w:rPr>
        <w:t>, a été arrêté dans la commune de Kabarore. Il s’était rendu sur les lieux pour rencontrer un de ses clients dans le cadre de ses activités professionnelles et le conseiller dans le cadre d’un conflit foncier. Après avoir été brièvement détenu par le service de renseignement à Kayanza, il a été transféré à la police, et enfin à la prison de Ngozi. Le 15 juin 2021, le tribunal de grande instance de Kayanza l’a déclaré coupable de « collaboration avec les rebelles qui ont attaqué le Burundi » et l’a condamné à cinq ans d’emprisonnement et au paiement d’une amende d’un million de francs burundais (environ 500 dollars). Son client, Apollinaire Hitimana, a également été arrêté et déclaré coupable de complicité à la même infraction et condamné à deux ans et demi d’emprisonnement et au paiement d’une amende de 500 000 francs burundais (environ 250 dollars). Pour rappel, au début du mois d’octobre 2020, plusieurs incidents de sécurité ont été enregistrés, notamment dans la province Kayanza. Le procureur l’a accusé, sans présenter d’éléments de preuve, d’être allé au Rwanda pour livrer des informations au président de l’APRODH, Pierre Claver Mbonimpa, qui vit en Europe, ainsi qu’au RED-Tabara.</w:t>
      </w:r>
      <w:r w:rsidRPr="002B4C3F">
        <w:rPr>
          <w:rStyle w:val="FootnoteReference"/>
        </w:rPr>
        <w:footnoteReference w:id="183"/>
      </w:r>
      <w:r w:rsidRPr="00617673">
        <w:rPr>
          <w:lang w:val="fr-FR"/>
        </w:rPr>
        <w:t xml:space="preserve"> Cet ancien défenseur des droits de l’homme serait donc détenu principalement en lien avec ses activités passées au sein de l’APRODH.</w:t>
      </w:r>
    </w:p>
    <w:p w14:paraId="3658C19C" w14:textId="77777777" w:rsidR="00617673" w:rsidRPr="00617673" w:rsidRDefault="00617673" w:rsidP="00617673">
      <w:pPr>
        <w:pStyle w:val="SingleTxtG"/>
        <w:rPr>
          <w:lang w:val="fr-FR"/>
        </w:rPr>
      </w:pPr>
      <w:r w:rsidRPr="00617673">
        <w:rPr>
          <w:lang w:val="fr-FR"/>
        </w:rPr>
        <w:t>153.</w:t>
      </w:r>
      <w:r w:rsidR="002B4C3F">
        <w:rPr>
          <w:lang w:val="fr-FR"/>
        </w:rPr>
        <w:tab/>
      </w:r>
      <w:r w:rsidRPr="00617673">
        <w:rPr>
          <w:lang w:val="fr-FR"/>
        </w:rPr>
        <w:t>Un sentiment de méfiance et d’hostilité envers les organisations de la société civile est palpable de la part des autorités, qui présentent souvent les organisations de la société civile comme des prédateurs et captant l’argent des partenaires techniques et financiers, inefficaces, voire néfastes. Par exemple, le Président de l’Assemblé nationale a déclaré que « la société coopérative Sangwe est le fondement de la multiplication de richesse au niveau des collines et au niveau provincial. Les associations sans but lucratif n’ont plus de place au Burundi vu la grand’soif de développement qui presse le pas ce jour »</w:t>
      </w:r>
      <w:r w:rsidRPr="002B4C3F">
        <w:rPr>
          <w:rStyle w:val="FootnoteReference"/>
        </w:rPr>
        <w:footnoteReference w:id="184"/>
      </w:r>
      <w:r w:rsidRPr="00617673">
        <w:rPr>
          <w:lang w:val="fr-FR"/>
        </w:rPr>
        <w:t xml:space="preserve">. </w:t>
      </w:r>
    </w:p>
    <w:p w14:paraId="0765C189" w14:textId="77777777" w:rsidR="00617673" w:rsidRPr="00617673" w:rsidRDefault="00617673" w:rsidP="00617673">
      <w:pPr>
        <w:pStyle w:val="SingleTxtG"/>
        <w:rPr>
          <w:lang w:val="fr-FR"/>
        </w:rPr>
      </w:pPr>
      <w:r w:rsidRPr="00617673">
        <w:rPr>
          <w:lang w:val="fr-FR"/>
        </w:rPr>
        <w:t>154.</w:t>
      </w:r>
      <w:r w:rsidR="002B4C3F">
        <w:rPr>
          <w:lang w:val="fr-FR"/>
        </w:rPr>
        <w:tab/>
      </w:r>
      <w:r w:rsidRPr="00617673">
        <w:rPr>
          <w:lang w:val="fr-FR"/>
        </w:rPr>
        <w:t>Il n’est donc pas étonnant que dans un tel contexte, quelques ONGs étrangères s’adaptent à ce que le Gouvernement attend d’eux et font des efforts supplémentaires pour plaire aux autorités</w:t>
      </w:r>
      <w:r w:rsidRPr="002B4C3F">
        <w:rPr>
          <w:rStyle w:val="FootnoteReference"/>
        </w:rPr>
        <w:footnoteReference w:id="185"/>
      </w:r>
      <w:r w:rsidRPr="00617673">
        <w:rPr>
          <w:lang w:val="fr-FR"/>
        </w:rPr>
        <w:t xml:space="preserve">. </w:t>
      </w:r>
    </w:p>
    <w:p w14:paraId="52439AF2" w14:textId="29C48767" w:rsidR="00617673" w:rsidRPr="00617673" w:rsidRDefault="00617673" w:rsidP="00617673">
      <w:pPr>
        <w:pStyle w:val="SingleTxtG"/>
        <w:rPr>
          <w:lang w:val="fr-FR"/>
        </w:rPr>
      </w:pPr>
      <w:r w:rsidRPr="00617673">
        <w:t>155.</w:t>
      </w:r>
      <w:r w:rsidR="002B4C3F">
        <w:tab/>
      </w:r>
      <w:r w:rsidRPr="00617673">
        <w:t xml:space="preserve">Pour rappel, cinq avocats et/ou représentants d’ONGs actives dans le domaine des droits de l’homme, qui avaient été accusés d’avoir pris part à la tentative de coup d’État raté du 13 mai 2015, ont </w:t>
      </w:r>
      <w:r w:rsidRPr="00617673">
        <w:rPr>
          <w:lang w:val="fr-FR"/>
        </w:rPr>
        <w:t xml:space="preserve">été reconnus coupables d’attentat à l’autorité de l’État, assassinats et destructions et </w:t>
      </w:r>
      <w:r w:rsidRPr="00617673">
        <w:t>condamnés à la servitude pénale à perpétuité par la Cour suprême. Ils étaient poursuivis avec sept journalistes</w:t>
      </w:r>
      <w:r w:rsidRPr="002B4C3F">
        <w:rPr>
          <w:rStyle w:val="FootnoteReference"/>
        </w:rPr>
        <w:footnoteReference w:id="186"/>
      </w:r>
      <w:r w:rsidRPr="00617673">
        <w:t>, des frondeurs du CNDD-FDD ainsi que des militaires dans le dossier RPS 100</w:t>
      </w:r>
      <w:r w:rsidRPr="002B4C3F">
        <w:rPr>
          <w:rStyle w:val="FootnoteReference"/>
        </w:rPr>
        <w:footnoteReference w:id="187"/>
      </w:r>
      <w:r w:rsidRPr="00617673">
        <w:t>. Ils ont été jugés en leur absence et sans avoir pu se faire représenter par un avocat. Leurs biens mobiliers et immobiliers, qui avaient été saisis par la Justice en mai 2019</w:t>
      </w:r>
      <w:r w:rsidRPr="002B4C3F">
        <w:rPr>
          <w:rStyle w:val="FootnoteReference"/>
        </w:rPr>
        <w:footnoteReference w:id="188"/>
      </w:r>
      <w:r w:rsidRPr="00617673">
        <w:t>, ont été vendus aux enchères organisées du 11 au 14 novembre 2020</w:t>
      </w:r>
      <w:r w:rsidRPr="002B4C3F">
        <w:rPr>
          <w:rStyle w:val="FootnoteReference"/>
        </w:rPr>
        <w:footnoteReference w:id="189"/>
      </w:r>
      <w:r w:rsidRPr="00617673">
        <w:t xml:space="preserve"> afin de payer les 5,5 milliards de francs burundais (environ 2,8 millions de dollars) de dommages et intérêts au profit de l’État, du parti CNDD-FDD, de la Radiotélévision Rem</w:t>
      </w:r>
      <w:r w:rsidR="002B4C3F">
        <w:t>a FM et de divers particuliers.</w:t>
      </w:r>
    </w:p>
    <w:p w14:paraId="5E9995EF" w14:textId="77777777" w:rsidR="00617673" w:rsidRPr="00617673" w:rsidRDefault="002B4C3F" w:rsidP="002B4C3F">
      <w:pPr>
        <w:pStyle w:val="H23G"/>
      </w:pPr>
      <w:r>
        <w:tab/>
      </w:r>
      <w:r w:rsidR="00617673" w:rsidRPr="00617673">
        <w:t>4.</w:t>
      </w:r>
      <w:r>
        <w:tab/>
      </w:r>
      <w:r w:rsidR="00617673" w:rsidRPr="00617673">
        <w:t>Situation des partis politiques d’opposition</w:t>
      </w:r>
    </w:p>
    <w:p w14:paraId="4519D4F4" w14:textId="77777777" w:rsidR="00617673" w:rsidRPr="002B4C3F" w:rsidRDefault="00617673" w:rsidP="00617673">
      <w:pPr>
        <w:pStyle w:val="SingleTxtG"/>
        <w:rPr>
          <w:rStyle w:val="FootnoteReference"/>
        </w:rPr>
      </w:pPr>
      <w:r w:rsidRPr="00617673">
        <w:t>156.</w:t>
      </w:r>
      <w:r w:rsidR="002B4C3F">
        <w:tab/>
      </w:r>
      <w:r w:rsidRPr="00617673">
        <w:t>Dans le cadre des élections de 2020, la Commission avait constaté de nombreuses restrictions abusives et violations des libertés d’association, de réunion pacifique et d’expression qui visaient particulièrement le parti d’opposition CNL. Elles avaient pour objectif de réduire ses chances de gagner les élections en l’empêchant notamment de mener à bien des activités politiques usuelles dans une démocratie telles que l’organisation de rassemblements et de réunions publiques et privées, ou interdisant l’établissement ou l’ouverture de permanences du parti CNL ou en les saccageant, ainsi qu’en censurant les propos critiques envers le Gouvernement, notamment en poursuivant les auteurs en justice.</w:t>
      </w:r>
      <w:r w:rsidRPr="002B4C3F">
        <w:rPr>
          <w:rStyle w:val="FootnoteReference"/>
        </w:rPr>
        <w:footnoteReference w:id="190"/>
      </w:r>
    </w:p>
    <w:p w14:paraId="526341CB" w14:textId="1F4098D8" w:rsidR="00617673" w:rsidRPr="00617673" w:rsidRDefault="00617673" w:rsidP="00617673">
      <w:pPr>
        <w:pStyle w:val="SingleTxtG"/>
        <w:rPr>
          <w:lang w:val="fr-FR"/>
        </w:rPr>
      </w:pPr>
      <w:r w:rsidRPr="00617673">
        <w:t>157.</w:t>
      </w:r>
      <w:r w:rsidR="002B4C3F">
        <w:tab/>
      </w:r>
      <w:r w:rsidRPr="00617673">
        <w:t>Au cours du présent terme, la Commission a documenté des c</w:t>
      </w:r>
      <w:r w:rsidRPr="00617673">
        <w:rPr>
          <w:lang w:val="fr-FR"/>
        </w:rPr>
        <w:t>as qui ont confirmé ses conclusions présentées dans son précédent rapport sur le recours à la torture, y compris à caractère sexuel dans le contexte des élections de 2020</w:t>
      </w:r>
      <w:r w:rsidRPr="002B4C3F">
        <w:rPr>
          <w:rStyle w:val="FootnoteReference"/>
        </w:rPr>
        <w:footnoteReference w:id="191"/>
      </w:r>
      <w:r w:rsidRPr="00617673">
        <w:rPr>
          <w:lang w:val="fr-FR"/>
        </w:rPr>
        <w:t>, notamment des cas de viol collectif commis contre des femmes dans le contexte des élections de 2020 par des Imbonerakure</w:t>
      </w:r>
      <w:r w:rsidRPr="00B851C3">
        <w:rPr>
          <w:rStyle w:val="FootnoteReference"/>
        </w:rPr>
        <w:footnoteReference w:id="192"/>
      </w:r>
      <w:r w:rsidRPr="00617673">
        <w:rPr>
          <w:lang w:val="fr-FR"/>
        </w:rPr>
        <w:t>. Les victimes, des femmes célibataires ou dont le mari avait disparu suite au harcèlement ou à un enlèvement par des Imbonerakure, ont été visées en raison de leur refus de rejoindre le CNDD-FDD durant la campagne électorale</w:t>
      </w:r>
      <w:r w:rsidRPr="00B851C3">
        <w:rPr>
          <w:rStyle w:val="FootnoteReference"/>
        </w:rPr>
        <w:footnoteReference w:id="193"/>
      </w:r>
      <w:r w:rsidRPr="00617673">
        <w:rPr>
          <w:lang w:val="fr-FR"/>
        </w:rPr>
        <w:t>. Les auteurs de ces viols</w:t>
      </w:r>
      <w:r w:rsidR="00160D94">
        <w:rPr>
          <w:lang w:val="fr-FR"/>
        </w:rPr>
        <w:t>, qui</w:t>
      </w:r>
      <w:r w:rsidRPr="00617673">
        <w:rPr>
          <w:lang w:val="fr-FR"/>
        </w:rPr>
        <w:t xml:space="preserve"> arboraient des accessoires ou T-shirt à l’effigie du CNDD-FDD, ont </w:t>
      </w:r>
      <w:r w:rsidR="00160D94">
        <w:rPr>
          <w:lang w:val="fr-FR"/>
        </w:rPr>
        <w:t xml:space="preserve">été </w:t>
      </w:r>
      <w:r w:rsidRPr="00617673">
        <w:rPr>
          <w:lang w:val="fr-FR"/>
        </w:rPr>
        <w:t>identifiés</w:t>
      </w:r>
      <w:r w:rsidR="00160D94">
        <w:rPr>
          <w:lang w:val="fr-FR"/>
        </w:rPr>
        <w:t xml:space="preserve"> par les victimes</w:t>
      </w:r>
      <w:r w:rsidRPr="00617673">
        <w:rPr>
          <w:lang w:val="fr-FR"/>
        </w:rPr>
        <w:t xml:space="preserve"> comme des Imbonerakure, </w:t>
      </w:r>
      <w:r w:rsidR="00160D94">
        <w:rPr>
          <w:lang w:val="fr-FR"/>
        </w:rPr>
        <w:t>parmi lesquels</w:t>
      </w:r>
      <w:r w:rsidR="00160D94" w:rsidRPr="00617673">
        <w:rPr>
          <w:lang w:val="fr-FR"/>
        </w:rPr>
        <w:t xml:space="preserve"> </w:t>
      </w:r>
      <w:r w:rsidRPr="00617673">
        <w:rPr>
          <w:lang w:val="fr-FR"/>
        </w:rPr>
        <w:t>certains étaient des voisins. À l’instar des cas de violences sexuelles commis pour des motifs politiques documentés au cours des termes précédents, ces viols ont été l’aboutissement d’une période d’intimidation et de harcèlement de la part des Imbonerakure. Dans deux cas, ils ont résulté en une grossesse, aggravant la détresse matérielle et psychique des victimes. Aucune des victimes n’a osé dénoncer les faits aux autorités, et toutes ont fui le Burundi dès qu’</w:t>
      </w:r>
      <w:r w:rsidR="00B851C3">
        <w:rPr>
          <w:lang w:val="fr-FR"/>
        </w:rPr>
        <w:t>elles en ont eu la possibilité.</w:t>
      </w:r>
    </w:p>
    <w:p w14:paraId="46311F00" w14:textId="77777777" w:rsidR="00617673" w:rsidRPr="00617673" w:rsidRDefault="00617673" w:rsidP="00617673">
      <w:pPr>
        <w:pStyle w:val="SingleTxtG"/>
      </w:pPr>
      <w:r w:rsidRPr="00617673">
        <w:rPr>
          <w:lang w:val="fr-FR"/>
        </w:rPr>
        <w:t>158.</w:t>
      </w:r>
      <w:r w:rsidR="00B851C3">
        <w:rPr>
          <w:lang w:val="fr-FR"/>
        </w:rPr>
        <w:tab/>
      </w:r>
      <w:r w:rsidRPr="00617673">
        <w:rPr>
          <w:lang w:val="fr-FR"/>
        </w:rPr>
        <w:t>À l’issue des élections, les nombreuses restrictions abusives et violations des droits aux libertés d’association, de réunion pacifique et d’expression qui visaient les partis d’opposition, notamment le CNL, telles que l’interdiction d’organiser des rassemblements et des réunions ou d’ouvrir des permanences, se sont amenuisées. Cela est logiquement dû au fait que le CNL a réduit ses activités après les élections et qu’il ne représente plus une « menace » imminente pour le parti au pouvoir, d’autant plus qu’il ne participe ni au Gouvernement, ni au Bureau de l’Assemblée nationale, même s’il a</w:t>
      </w:r>
      <w:r w:rsidRPr="00617673">
        <w:t xml:space="preserve"> obtenu plus de sièges de députés que le parti UPRONA qui a été choisi pour la deuxième vice-présidence du bureau de l’Assemblée</w:t>
      </w:r>
      <w:r w:rsidRPr="00B851C3">
        <w:rPr>
          <w:rStyle w:val="FootnoteReference"/>
        </w:rPr>
        <w:footnoteReference w:id="194"/>
      </w:r>
      <w:r w:rsidRPr="00B851C3">
        <w:rPr>
          <w:rStyle w:val="FootnoteReference"/>
        </w:rPr>
        <w:t>.</w:t>
      </w:r>
      <w:r w:rsidR="00B851C3">
        <w:t>.</w:t>
      </w:r>
    </w:p>
    <w:p w14:paraId="58377923" w14:textId="77777777" w:rsidR="00617673" w:rsidRPr="00B851C3" w:rsidRDefault="00B851C3" w:rsidP="00B851C3">
      <w:pPr>
        <w:pStyle w:val="H4G"/>
        <w:rPr>
          <w:b/>
          <w:i w:val="0"/>
        </w:rPr>
      </w:pPr>
      <w:r>
        <w:rPr>
          <w:b/>
          <w:i w:val="0"/>
        </w:rPr>
        <w:tab/>
      </w:r>
      <w:r w:rsidR="00617673" w:rsidRPr="00B851C3">
        <w:rPr>
          <w:b/>
          <w:i w:val="0"/>
        </w:rPr>
        <w:t>a)</w:t>
      </w:r>
      <w:r>
        <w:rPr>
          <w:b/>
          <w:i w:val="0"/>
        </w:rPr>
        <w:tab/>
      </w:r>
      <w:r w:rsidR="00617673" w:rsidRPr="00B851C3">
        <w:rPr>
          <w:b/>
          <w:i w:val="0"/>
        </w:rPr>
        <w:t>Restrictions abusives des libertés d’association et de réunion</w:t>
      </w:r>
    </w:p>
    <w:p w14:paraId="632F2B86" w14:textId="738B554E" w:rsidR="00617673" w:rsidRPr="00617673" w:rsidRDefault="00617673" w:rsidP="00617673">
      <w:pPr>
        <w:pStyle w:val="SingleTxtG"/>
        <w:rPr>
          <w:lang w:val="fr-FR"/>
        </w:rPr>
      </w:pPr>
      <w:r w:rsidRPr="00617673">
        <w:rPr>
          <w:lang w:val="fr-FR"/>
        </w:rPr>
        <w:t xml:space="preserve">159. Des incidents ont néanmoins été rapportés dans plusieurs provinces : </w:t>
      </w:r>
      <w:r w:rsidRPr="00617673">
        <w:t>plusieurs permanences du CNL ont été saccagées notamment au mois de juin 2021</w:t>
      </w:r>
      <w:r w:rsidRPr="00B851C3">
        <w:rPr>
          <w:rStyle w:val="FootnoteReference"/>
        </w:rPr>
        <w:footnoteReference w:id="195"/>
      </w:r>
      <w:r w:rsidRPr="00617673">
        <w:t>, même si beaucoup avaient été fermées par le parti après les élections pour des raisons de coût financier. I</w:t>
      </w:r>
      <w:r w:rsidRPr="00617673">
        <w:rPr>
          <w:lang w:val="fr-FR"/>
        </w:rPr>
        <w:t>l reste difficile pour le CNL, voire impossible dans certaines communes, d’organiser des réunions, comme ce fut par exemple le cas pour la célébration du 2</w:t>
      </w:r>
      <w:r w:rsidRPr="00617673">
        <w:rPr>
          <w:vertAlign w:val="superscript"/>
          <w:lang w:val="fr-FR"/>
        </w:rPr>
        <w:t>ième</w:t>
      </w:r>
      <w:r w:rsidRPr="00617673">
        <w:rPr>
          <w:lang w:val="fr-FR"/>
        </w:rPr>
        <w:t xml:space="preserve"> anniversaire de la création du parti qui dans au moins une localité a été interrompue et interdite</w:t>
      </w:r>
      <w:r w:rsidRPr="00B851C3">
        <w:rPr>
          <w:rStyle w:val="FootnoteReference"/>
        </w:rPr>
        <w:footnoteReference w:id="196"/>
      </w:r>
      <w:r w:rsidRPr="00617673">
        <w:rPr>
          <w:lang w:val="fr-FR"/>
        </w:rPr>
        <w:t>.</w:t>
      </w:r>
    </w:p>
    <w:p w14:paraId="03F6C07C" w14:textId="77777777" w:rsidR="00617673" w:rsidRPr="00617673" w:rsidRDefault="00B851C3" w:rsidP="00D9201F">
      <w:pPr>
        <w:pStyle w:val="H56G"/>
        <w:rPr>
          <w:lang w:val="fr-FR"/>
        </w:rPr>
      </w:pPr>
      <w:r>
        <w:rPr>
          <w:lang w:val="fr-FR"/>
        </w:rPr>
        <w:tab/>
      </w:r>
      <w:r>
        <w:rPr>
          <w:lang w:val="fr-FR"/>
        </w:rPr>
        <w:tab/>
      </w:r>
      <w:r w:rsidR="00617673" w:rsidRPr="00617673">
        <w:rPr>
          <w:lang w:val="fr-FR"/>
        </w:rPr>
        <w:t>Un témoin a raconté :</w:t>
      </w:r>
    </w:p>
    <w:p w14:paraId="2C43053A" w14:textId="435477D7" w:rsidR="00617673" w:rsidRPr="00617673" w:rsidRDefault="00617673" w:rsidP="00B851C3">
      <w:pPr>
        <w:pStyle w:val="SingleTxtG"/>
        <w:ind w:left="1701"/>
        <w:rPr>
          <w:lang w:val="fr-FR"/>
        </w:rPr>
      </w:pPr>
      <w:r w:rsidRPr="00617673">
        <w:rPr>
          <w:lang w:val="fr-FR"/>
        </w:rPr>
        <w:t>« C’</w:t>
      </w:r>
      <w:r w:rsidRPr="00617673">
        <w:rPr>
          <w:i/>
          <w:lang w:val="fr-FR"/>
        </w:rPr>
        <w:t>est d’abord le chef de colline qui a refusé […]  et a dit que la célébration ne peut pas avoir lieu. Ensuite le chef de zone est arrivé pour empêcher aussi les préparatifs de la cérémonie. Il était très mécontent de voir les militants mobilisés et il a commencé à détruire les hangars […]  installés pour la fête</w:t>
      </w:r>
      <w:r w:rsidRPr="00617673">
        <w:rPr>
          <w:lang w:val="fr-FR"/>
        </w:rPr>
        <w:t> »</w:t>
      </w:r>
      <w:r w:rsidRPr="00B851C3">
        <w:rPr>
          <w:rStyle w:val="FootnoteReference"/>
        </w:rPr>
        <w:footnoteReference w:id="197"/>
      </w:r>
      <w:r w:rsidRPr="00617673">
        <w:rPr>
          <w:lang w:val="fr-FR"/>
        </w:rPr>
        <w:t>.</w:t>
      </w:r>
    </w:p>
    <w:p w14:paraId="19A0F8E6" w14:textId="77777777" w:rsidR="00617673" w:rsidRPr="00617673" w:rsidRDefault="00B851C3" w:rsidP="00D9201F">
      <w:pPr>
        <w:pStyle w:val="H56G"/>
        <w:rPr>
          <w:lang w:val="fr-FR"/>
        </w:rPr>
      </w:pPr>
      <w:r>
        <w:rPr>
          <w:lang w:val="fr-FR"/>
        </w:rPr>
        <w:tab/>
      </w:r>
      <w:r>
        <w:rPr>
          <w:lang w:val="fr-FR"/>
        </w:rPr>
        <w:tab/>
      </w:r>
      <w:r w:rsidR="00617673" w:rsidRPr="00617673">
        <w:rPr>
          <w:lang w:val="fr-FR"/>
        </w:rPr>
        <w:t>Un militant du CNL a expliqué :</w:t>
      </w:r>
    </w:p>
    <w:p w14:paraId="4F794D4C" w14:textId="77777777" w:rsidR="00617673" w:rsidRPr="00617673" w:rsidRDefault="00617673" w:rsidP="00B851C3">
      <w:pPr>
        <w:pStyle w:val="SingleTxtG"/>
        <w:ind w:left="1701"/>
        <w:rPr>
          <w:lang w:val="fr-FR"/>
        </w:rPr>
      </w:pPr>
      <w:r w:rsidRPr="00617673">
        <w:rPr>
          <w:lang w:val="fr-FR"/>
        </w:rPr>
        <w:t>« </w:t>
      </w:r>
      <w:r w:rsidRPr="00617673">
        <w:rPr>
          <w:i/>
          <w:lang w:val="fr-FR"/>
        </w:rPr>
        <w:t xml:space="preserve">On ne peut même pas ouvrir nos permanences et y rester pendant cinq minutes sans l’autorisation de l’administrateur communal. Il a donné l'ordre aux agents de la police d’arrêter toute personne qu’on trouvera dans une permanence du CNL sans son autorisation. […] » </w:t>
      </w:r>
      <w:r w:rsidRPr="00B851C3">
        <w:rPr>
          <w:rStyle w:val="FootnoteReference"/>
        </w:rPr>
        <w:footnoteReference w:id="198"/>
      </w:r>
      <w:r w:rsidRPr="00617673">
        <w:rPr>
          <w:lang w:val="fr-FR"/>
        </w:rPr>
        <w:t>. </w:t>
      </w:r>
    </w:p>
    <w:p w14:paraId="712DC12C" w14:textId="77777777" w:rsidR="00617673" w:rsidRPr="00617673" w:rsidRDefault="00617673" w:rsidP="00617673">
      <w:pPr>
        <w:pStyle w:val="SingleTxtG"/>
        <w:rPr>
          <w:lang w:val="fr-FR"/>
        </w:rPr>
      </w:pPr>
      <w:r w:rsidRPr="00617673">
        <w:rPr>
          <w:lang w:val="fr-FR"/>
        </w:rPr>
        <w:t>160.</w:t>
      </w:r>
      <w:r w:rsidR="001B0A17">
        <w:rPr>
          <w:lang w:val="fr-FR"/>
        </w:rPr>
        <w:tab/>
      </w:r>
      <w:r w:rsidRPr="00617673">
        <w:rPr>
          <w:lang w:val="fr-FR"/>
        </w:rPr>
        <w:t>Des militants de partis d’opposition ont également été harcelés ou maltraités par des Imbonerakure en représailles à leur engagement politique et d’autres ont été intimidés pour les forcer à rejoindre le CNDD-FDD</w:t>
      </w:r>
      <w:r w:rsidRPr="00B851C3">
        <w:rPr>
          <w:rStyle w:val="FootnoteReference"/>
        </w:rPr>
        <w:footnoteReference w:id="199"/>
      </w:r>
      <w:r w:rsidRPr="00617673">
        <w:rPr>
          <w:lang w:val="fr-FR"/>
        </w:rPr>
        <w:t>. Des marches d’Imbonerakure scandant des chants hostiles aux opposants politiques, parfois sous la forme d’entraînements sportifs, ont continué de se dérouler dans certaines collines rurales</w:t>
      </w:r>
      <w:r w:rsidRPr="00B851C3">
        <w:rPr>
          <w:rStyle w:val="FootnoteReference"/>
        </w:rPr>
        <w:footnoteReference w:id="200"/>
      </w:r>
      <w:r w:rsidRPr="00617673">
        <w:rPr>
          <w:lang w:val="fr-FR"/>
        </w:rPr>
        <w:t>. Un témoin a rapporté les propos tenus par des Imbonerakure alors qu’ils maltraitaient des membres du CNL :</w:t>
      </w:r>
    </w:p>
    <w:p w14:paraId="3092653F" w14:textId="6D2A47B5" w:rsidR="00617673" w:rsidRPr="00617673" w:rsidRDefault="00617673" w:rsidP="00D9201F">
      <w:pPr>
        <w:pStyle w:val="SingleTxtG"/>
        <w:ind w:left="1701"/>
        <w:rPr>
          <w:lang w:val="fr-FR"/>
        </w:rPr>
      </w:pPr>
      <w:r w:rsidRPr="00617673">
        <w:rPr>
          <w:lang w:val="fr-FR"/>
        </w:rPr>
        <w:t>« </w:t>
      </w:r>
      <w:r w:rsidRPr="00617673">
        <w:rPr>
          <w:i/>
          <w:lang w:val="fr-FR"/>
        </w:rPr>
        <w:t>La seule appartenance au parti</w:t>
      </w:r>
      <w:r w:rsidR="00392B50">
        <w:rPr>
          <w:i/>
          <w:lang w:val="fr-FR"/>
        </w:rPr>
        <w:t xml:space="preserve"> [CNL]</w:t>
      </w:r>
      <w:r w:rsidRPr="00617673">
        <w:rPr>
          <w:i/>
          <w:lang w:val="fr-FR"/>
        </w:rPr>
        <w:t xml:space="preserve"> provoque un dégo</w:t>
      </w:r>
      <w:r w:rsidR="00392B50">
        <w:rPr>
          <w:i/>
          <w:lang w:val="fr-FR"/>
        </w:rPr>
        <w:t>û</w:t>
      </w:r>
      <w:r w:rsidRPr="00617673">
        <w:rPr>
          <w:i/>
          <w:lang w:val="fr-FR"/>
        </w:rPr>
        <w:t>t de leur part. Pendant que les Imbonerakure les frappaient, ils disaient : "</w:t>
      </w:r>
      <w:r w:rsidRPr="00617673">
        <w:rPr>
          <w:i/>
          <w:iCs/>
          <w:lang w:val="fr-FR"/>
        </w:rPr>
        <w:t>Que vous a donné ce Rwasa ? Pourquoi continuez-vous à le soutenir ? Pourquoi vous ne l’abandonnez pas ?"</w:t>
      </w:r>
      <w:r w:rsidRPr="00617673">
        <w:rPr>
          <w:i/>
          <w:lang w:val="fr-FR"/>
        </w:rPr>
        <w:t> </w:t>
      </w:r>
      <w:r w:rsidRPr="00617673">
        <w:rPr>
          <w:lang w:val="fr-FR"/>
        </w:rPr>
        <w:t>»</w:t>
      </w:r>
      <w:r w:rsidRPr="00D9201F">
        <w:rPr>
          <w:rStyle w:val="FootnoteReference"/>
        </w:rPr>
        <w:footnoteReference w:id="201"/>
      </w:r>
      <w:r w:rsidRPr="00617673">
        <w:rPr>
          <w:lang w:val="fr-FR"/>
        </w:rPr>
        <w:t>. </w:t>
      </w:r>
    </w:p>
    <w:p w14:paraId="52896E35" w14:textId="77777777" w:rsidR="00617673" w:rsidRPr="00D9201F" w:rsidRDefault="00D9201F" w:rsidP="00D9201F">
      <w:pPr>
        <w:pStyle w:val="H4G"/>
        <w:rPr>
          <w:b/>
          <w:i w:val="0"/>
          <w:lang w:val="fr-FR"/>
        </w:rPr>
      </w:pPr>
      <w:r w:rsidRPr="00D9201F">
        <w:rPr>
          <w:b/>
          <w:i w:val="0"/>
          <w:lang w:val="fr-FR"/>
        </w:rPr>
        <w:tab/>
      </w:r>
      <w:r w:rsidR="00617673" w:rsidRPr="00D9201F">
        <w:rPr>
          <w:b/>
          <w:i w:val="0"/>
          <w:lang w:val="fr-FR"/>
        </w:rPr>
        <w:t>b)</w:t>
      </w:r>
      <w:r w:rsidRPr="00D9201F">
        <w:rPr>
          <w:b/>
          <w:i w:val="0"/>
          <w:lang w:val="fr-FR"/>
        </w:rPr>
        <w:tab/>
      </w:r>
      <w:r w:rsidR="00617673" w:rsidRPr="00D9201F">
        <w:rPr>
          <w:b/>
          <w:i w:val="0"/>
          <w:lang w:val="fr-FR"/>
        </w:rPr>
        <w:t>Violations du droit à la liberté et à l’intégrité physique</w:t>
      </w:r>
    </w:p>
    <w:p w14:paraId="7D55D7DE" w14:textId="55D6D0F0" w:rsidR="00617673" w:rsidRPr="00617673" w:rsidRDefault="00617673" w:rsidP="00617673">
      <w:pPr>
        <w:pStyle w:val="SingleTxtG"/>
        <w:rPr>
          <w:lang w:val="fr-FR"/>
        </w:rPr>
      </w:pPr>
      <w:r w:rsidRPr="00617673">
        <w:rPr>
          <w:lang w:val="fr-FR"/>
        </w:rPr>
        <w:t>161.</w:t>
      </w:r>
      <w:r w:rsidR="00D9201F">
        <w:rPr>
          <w:lang w:val="fr-FR"/>
        </w:rPr>
        <w:tab/>
      </w:r>
      <w:r w:rsidRPr="00617673">
        <w:rPr>
          <w:lang w:val="fr-FR"/>
        </w:rPr>
        <w:t>Certains membres du CNL ont été arrêtés et détenus arbitrairement sous divers prétextes en représailles de leurs activités politiques, telles que la collecte de contribution auprès des membres du parti pour construire des permanences ou tenir des réunions « illégales ». Ils ont parfois été torturés ou maltraités lors de leur arrestation et leur détention, même si le nombre de cas a globalement baissé à l’issue des élections avant de s’accroître à nouveau à partir de juin 2021, notamment dans le cadre de la lutte contre les groupes rebelles</w:t>
      </w:r>
      <w:r w:rsidRPr="00D9201F">
        <w:rPr>
          <w:rStyle w:val="FootnoteReference"/>
        </w:rPr>
        <w:footnoteReference w:id="202"/>
      </w:r>
      <w:r w:rsidR="006A2D92">
        <w:rPr>
          <w:lang w:val="fr-FR"/>
        </w:rPr>
        <w:t>.</w:t>
      </w:r>
    </w:p>
    <w:p w14:paraId="0A3D9FA2" w14:textId="77777777" w:rsidR="00617673" w:rsidRPr="00617673" w:rsidRDefault="00D9201F" w:rsidP="00D9201F">
      <w:pPr>
        <w:pStyle w:val="H56G"/>
        <w:rPr>
          <w:lang w:val="fr-FR"/>
        </w:rPr>
      </w:pPr>
      <w:r>
        <w:rPr>
          <w:lang w:val="fr-FR"/>
        </w:rPr>
        <w:tab/>
      </w:r>
      <w:r>
        <w:rPr>
          <w:lang w:val="fr-FR"/>
        </w:rPr>
        <w:tab/>
      </w:r>
      <w:r w:rsidR="00617673" w:rsidRPr="00617673">
        <w:rPr>
          <w:lang w:val="fr-FR"/>
        </w:rPr>
        <w:t xml:space="preserve">Une personne a expliqué : </w:t>
      </w:r>
    </w:p>
    <w:p w14:paraId="7921BE73" w14:textId="4E74B854" w:rsidR="00617673" w:rsidRPr="00617673" w:rsidRDefault="00617673" w:rsidP="00D9201F">
      <w:pPr>
        <w:pStyle w:val="SingleTxtG"/>
        <w:ind w:left="1701"/>
        <w:rPr>
          <w:lang w:val="fr-FR"/>
        </w:rPr>
      </w:pPr>
      <w:r w:rsidRPr="00617673">
        <w:rPr>
          <w:lang w:val="fr-FR"/>
        </w:rPr>
        <w:t>« </w:t>
      </w:r>
      <w:r w:rsidRPr="00617673">
        <w:rPr>
          <w:i/>
          <w:lang w:val="fr-FR"/>
        </w:rPr>
        <w:t>Sur notre colline, les membres du CNL sont maltraités et il n’y a aucun recours possible. Ils n’ont aucun endroit pour aller porter plainte et faire recours. Si tu commets la moindre infraction et si tu es un CNL, ils vont en faire une grande affaire. Il y a un membre du CNL qui a saisi des poules qui ne lui appartenaient pas car elles étaient venues picorer dans son champ d</w:t>
      </w:r>
      <w:r w:rsidR="005F114B">
        <w:rPr>
          <w:i/>
          <w:lang w:val="fr-FR"/>
        </w:rPr>
        <w:t xml:space="preserve">e </w:t>
      </w:r>
      <w:r w:rsidRPr="00617673">
        <w:rPr>
          <w:i/>
          <w:lang w:val="fr-FR"/>
        </w:rPr>
        <w:t>haricots. Elles appartenaient à son voisin. Comme c’était un CNL, il a été arrêté et emprisonné. Il est toujours en détention. On lui demande de payer une amende de 50 000 francs burundais [environ 25 dollars]et des dommages et intérêts au propriétaire des poules </w:t>
      </w:r>
      <w:r w:rsidRPr="00617673">
        <w:rPr>
          <w:lang w:val="fr-FR"/>
        </w:rPr>
        <w:t>»</w:t>
      </w:r>
      <w:r w:rsidRPr="00D9201F">
        <w:rPr>
          <w:rStyle w:val="FootnoteReference"/>
        </w:rPr>
        <w:footnoteReference w:id="203"/>
      </w:r>
      <w:r w:rsidRPr="00617673">
        <w:rPr>
          <w:lang w:val="fr-FR"/>
        </w:rPr>
        <w:t>.</w:t>
      </w:r>
    </w:p>
    <w:p w14:paraId="35E56C43" w14:textId="77777777" w:rsidR="00617673" w:rsidRPr="00617673" w:rsidRDefault="00D9201F" w:rsidP="00D9201F">
      <w:pPr>
        <w:pStyle w:val="H56G"/>
        <w:rPr>
          <w:lang w:val="fr-FR"/>
        </w:rPr>
      </w:pPr>
      <w:r>
        <w:rPr>
          <w:lang w:val="fr-FR"/>
        </w:rPr>
        <w:tab/>
      </w:r>
      <w:r>
        <w:rPr>
          <w:lang w:val="fr-FR"/>
        </w:rPr>
        <w:tab/>
      </w:r>
      <w:r w:rsidR="00617673" w:rsidRPr="00617673">
        <w:rPr>
          <w:lang w:val="fr-FR"/>
        </w:rPr>
        <w:t>Une autre a indiqué au sujet d’un membre du CNL qui a été arrêté en janvier 2021 :</w:t>
      </w:r>
    </w:p>
    <w:p w14:paraId="3D772127" w14:textId="77777777" w:rsidR="00617673" w:rsidRPr="00617673" w:rsidRDefault="00617673" w:rsidP="00D9201F">
      <w:pPr>
        <w:pStyle w:val="SingleTxtG"/>
        <w:ind w:left="1701"/>
        <w:rPr>
          <w:lang w:val="fr-FR"/>
        </w:rPr>
      </w:pPr>
      <w:r w:rsidRPr="00617673">
        <w:rPr>
          <w:lang w:val="fr-FR"/>
        </w:rPr>
        <w:t>« </w:t>
      </w:r>
      <w:r w:rsidRPr="00617673">
        <w:rPr>
          <w:i/>
          <w:lang w:val="fr-FR"/>
        </w:rPr>
        <w:t>On ne lui reprochait rien, mais sa colline a reçu beaucoup de voix du CNL et derrière ce qui est arrivé à [X], je pense qu’ils voulaient faire peur à ceux qui voudraient adhérer au CNL ou à ceux qui sont dans le CNL</w:t>
      </w:r>
      <w:r w:rsidRPr="00617673">
        <w:rPr>
          <w:lang w:val="fr-FR"/>
        </w:rPr>
        <w:t> »</w:t>
      </w:r>
      <w:r w:rsidRPr="00617673">
        <w:rPr>
          <w:vertAlign w:val="superscript"/>
          <w:lang w:val="fr-FR"/>
        </w:rPr>
        <w:footnoteReference w:id="204"/>
      </w:r>
      <w:r w:rsidRPr="00617673">
        <w:rPr>
          <w:lang w:val="fr-FR"/>
        </w:rPr>
        <w:t>.</w:t>
      </w:r>
    </w:p>
    <w:p w14:paraId="0D042793" w14:textId="77777777" w:rsidR="00617673" w:rsidRPr="00D9201F" w:rsidRDefault="00D9201F" w:rsidP="00D9201F">
      <w:pPr>
        <w:pStyle w:val="H4G"/>
        <w:rPr>
          <w:b/>
          <w:i w:val="0"/>
          <w:lang w:val="fr-FR"/>
        </w:rPr>
      </w:pPr>
      <w:r>
        <w:rPr>
          <w:lang w:val="fr-FR"/>
        </w:rPr>
        <w:tab/>
      </w:r>
      <w:r w:rsidR="00617673" w:rsidRPr="00D9201F">
        <w:rPr>
          <w:b/>
          <w:i w:val="0"/>
          <w:lang w:val="fr-FR"/>
        </w:rPr>
        <w:t>c)</w:t>
      </w:r>
      <w:r w:rsidRPr="00D9201F">
        <w:rPr>
          <w:b/>
          <w:i w:val="0"/>
          <w:lang w:val="fr-FR"/>
        </w:rPr>
        <w:tab/>
      </w:r>
      <w:r w:rsidR="00617673" w:rsidRPr="00D9201F">
        <w:rPr>
          <w:b/>
          <w:i w:val="0"/>
          <w:lang w:val="fr-FR"/>
        </w:rPr>
        <w:t>Violations du droit à la vie</w:t>
      </w:r>
    </w:p>
    <w:p w14:paraId="736EDF22" w14:textId="77777777" w:rsidR="00617673" w:rsidRPr="00617673" w:rsidRDefault="00617673" w:rsidP="00617673">
      <w:pPr>
        <w:pStyle w:val="SingleTxtG"/>
        <w:rPr>
          <w:lang w:val="fr-FR"/>
        </w:rPr>
      </w:pPr>
      <w:r w:rsidRPr="00617673">
        <w:rPr>
          <w:lang w:val="fr-FR"/>
        </w:rPr>
        <w:t>162.</w:t>
      </w:r>
      <w:r w:rsidR="00D9201F">
        <w:rPr>
          <w:lang w:val="fr-FR"/>
        </w:rPr>
        <w:tab/>
      </w:r>
      <w:r w:rsidRPr="00617673">
        <w:rPr>
          <w:lang w:val="fr-FR"/>
        </w:rPr>
        <w:t>Des membres actifs du CNL ont été victimes de disparition forcée dans les mois qui ont suivi les élections ; ils ont été vus pour la dernière fois alors qu’ils étaient emmenés par des agents de l’État ou des Imbonerakure. Si au moins une personne a par la suite été retrouvée en détention, le sort des au</w:t>
      </w:r>
      <w:r w:rsidR="00D9201F">
        <w:rPr>
          <w:lang w:val="fr-FR"/>
        </w:rPr>
        <w:t>tres victimes reste indéterminé</w:t>
      </w:r>
      <w:r w:rsidRPr="00D9201F">
        <w:rPr>
          <w:rStyle w:val="FootnoteReference"/>
        </w:rPr>
        <w:footnoteReference w:id="205"/>
      </w:r>
      <w:r w:rsidR="00D9201F">
        <w:rPr>
          <w:lang w:val="fr-FR"/>
        </w:rPr>
        <w:t>.</w:t>
      </w:r>
    </w:p>
    <w:p w14:paraId="7ABBED5F" w14:textId="77777777" w:rsidR="00617673" w:rsidRPr="00617673" w:rsidRDefault="00617673" w:rsidP="00617673">
      <w:pPr>
        <w:pStyle w:val="SingleTxtG"/>
      </w:pPr>
      <w:r w:rsidRPr="00617673">
        <w:rPr>
          <w:lang w:val="fr-FR"/>
        </w:rPr>
        <w:t>163.</w:t>
      </w:r>
      <w:r w:rsidR="00D9201F">
        <w:rPr>
          <w:lang w:val="fr-FR"/>
        </w:rPr>
        <w:tab/>
      </w:r>
      <w:r w:rsidRPr="00617673">
        <w:t>Par exemple, Oscar Nahimana, un membre du CNL qui était le vice-président de la commission électorale communale indépendante de la commune Kirundo, province Kirundo, lors des élections de 2020, est porté disparu depuis le 28 septembre 2020.</w:t>
      </w:r>
      <w:r w:rsidRPr="00617673">
        <w:rPr>
          <w:lang w:val="fr-FR"/>
        </w:rPr>
        <w:t xml:space="preserve"> </w:t>
      </w:r>
      <w:r w:rsidRPr="00617673">
        <w:t>Il aurait été arrêté par des représentants du parti CNDD-FDD au niveau local car il aurait notamment refusé de signer des documents relatifs à la certification des élections communales et n’a plus été revu par la suite. Les autorités n’ont pas diligenté d’enquête effective malgré les démarches effectuées à différents niveaux par les responsables du parti CNL. À ce jour son sort demeure inconnu.</w:t>
      </w:r>
      <w:r w:rsidRPr="00D9201F">
        <w:rPr>
          <w:rStyle w:val="FootnoteReference"/>
        </w:rPr>
        <w:footnoteReference w:id="206"/>
      </w:r>
    </w:p>
    <w:p w14:paraId="6C72AB1F" w14:textId="77777777" w:rsidR="00617673" w:rsidRPr="00617673" w:rsidRDefault="00617673" w:rsidP="00617673">
      <w:pPr>
        <w:pStyle w:val="SingleTxtG"/>
        <w:rPr>
          <w:lang w:val="fr-FR"/>
        </w:rPr>
      </w:pPr>
      <w:r w:rsidRPr="00617673">
        <w:rPr>
          <w:lang w:val="fr-FR"/>
        </w:rPr>
        <w:t>164.</w:t>
      </w:r>
      <w:r w:rsidR="00D9201F">
        <w:rPr>
          <w:lang w:val="fr-FR"/>
        </w:rPr>
        <w:tab/>
      </w:r>
      <w:r w:rsidRPr="00617673">
        <w:rPr>
          <w:lang w:val="fr-FR"/>
        </w:rPr>
        <w:t>Un autre cas est la disparition d’Elie Ngomirakiza, le représentant du CNL au niveau de la commune de Mutimbuzi, province Bujumbura (rural). Il a été vu pour la dernière fois le 9 juillet 2021 alors qu’il était emmené par des militaires. Par le passé, il avait déjà été harcelé et arrêté pour son engagement politique. Le parti CNL a entrepris des démarches auprès des autorités et de la CNIDH pour s’enquérir de son sort, mais jusqu’à présent ses démarches sont restées vaines</w:t>
      </w:r>
      <w:r w:rsidRPr="00642C8E">
        <w:rPr>
          <w:rStyle w:val="FootnoteReference"/>
        </w:rPr>
        <w:footnoteReference w:id="207"/>
      </w:r>
      <w:r w:rsidR="00642C8E">
        <w:rPr>
          <w:lang w:val="fr-FR"/>
        </w:rPr>
        <w:t>.</w:t>
      </w:r>
    </w:p>
    <w:p w14:paraId="729A778F" w14:textId="0FD901EA" w:rsidR="00617673" w:rsidRPr="00617673" w:rsidRDefault="00617673" w:rsidP="00617673">
      <w:pPr>
        <w:pStyle w:val="SingleTxtG"/>
        <w:rPr>
          <w:lang w:val="fr-FR"/>
        </w:rPr>
      </w:pPr>
      <w:r w:rsidRPr="00617673">
        <w:rPr>
          <w:lang w:val="fr-FR"/>
        </w:rPr>
        <w:t>165.</w:t>
      </w:r>
      <w:r w:rsidR="00642C8E">
        <w:rPr>
          <w:lang w:val="fr-FR"/>
        </w:rPr>
        <w:tab/>
      </w:r>
      <w:r w:rsidRPr="00617673">
        <w:rPr>
          <w:lang w:val="fr-FR"/>
        </w:rPr>
        <w:t>Au vu de ces cas récents, qui ont été portés à la connaissance des autorités burundaises et de la CNIDH, la Commission s’étonne que le Président Ndayishimiye ait affirmé le 14 juillet 2021 ne pas être au courant de cas de disparition forcée, déclarant « En tout cas, à ce que je sache, il n’y a pas de disparitions au Burundi. Sinon, vous me diriez : "Telle personne est disparue" […] Les gens disent qu’ils ont disparu, mais je sais qu’ils sont quelque part »</w:t>
      </w:r>
      <w:r w:rsidRPr="00642C8E">
        <w:rPr>
          <w:rStyle w:val="FootnoteReference"/>
        </w:rPr>
        <w:footnoteReference w:id="208"/>
      </w:r>
      <w:r w:rsidRPr="00617673">
        <w:rPr>
          <w:vertAlign w:val="superscript"/>
          <w:lang w:val="fr-FR"/>
        </w:rPr>
        <w:t> </w:t>
      </w:r>
      <w:r w:rsidRPr="00617673">
        <w:rPr>
          <w:lang w:val="fr-FR"/>
        </w:rPr>
        <w:t>; et que le 28 juillet 2021, le Procureur général de la République ait quant à lui déclaré que les allégations sur des cas de personnes disparues étaient « mensongères » car des personnes partaient rejoindre des groupes armés sans prévenir leur famille, ce qui expliquait que les familles croyaient à tort que la personne avait disparu</w:t>
      </w:r>
      <w:r w:rsidRPr="00642C8E">
        <w:rPr>
          <w:rStyle w:val="FootnoteReference"/>
        </w:rPr>
        <w:footnoteReference w:id="209"/>
      </w:r>
      <w:r w:rsidRPr="00617673">
        <w:rPr>
          <w:lang w:val="fr-FR"/>
        </w:rPr>
        <w:t>. Pour rappel, la CNIDH n’a pas constaté de cas de disparition dans son rapport annuel sur l’année 2020 alors que le cas d’Oscar Nahimana a notamment été enregistré pendant cette période.</w:t>
      </w:r>
    </w:p>
    <w:p w14:paraId="7500ABF5" w14:textId="77777777" w:rsidR="00617673" w:rsidRPr="00642C8E" w:rsidRDefault="00642C8E" w:rsidP="00642C8E">
      <w:pPr>
        <w:pStyle w:val="H4G"/>
        <w:rPr>
          <w:b/>
          <w:i w:val="0"/>
          <w:lang w:val="fr-FR"/>
        </w:rPr>
      </w:pPr>
      <w:r>
        <w:rPr>
          <w:b/>
          <w:i w:val="0"/>
          <w:lang w:val="fr-FR"/>
        </w:rPr>
        <w:tab/>
      </w:r>
      <w:r w:rsidR="00617673" w:rsidRPr="00642C8E">
        <w:rPr>
          <w:b/>
          <w:i w:val="0"/>
          <w:lang w:val="fr-FR"/>
        </w:rPr>
        <w:t>d)</w:t>
      </w:r>
      <w:r>
        <w:rPr>
          <w:b/>
          <w:i w:val="0"/>
          <w:lang w:val="fr-FR"/>
        </w:rPr>
        <w:tab/>
      </w:r>
      <w:r w:rsidR="00617673" w:rsidRPr="00642C8E">
        <w:rPr>
          <w:b/>
          <w:i w:val="0"/>
          <w:lang w:val="fr-FR"/>
        </w:rPr>
        <w:t>Intolérance politique et discours de haine</w:t>
      </w:r>
    </w:p>
    <w:p w14:paraId="35D1CC2B" w14:textId="0D0930FF" w:rsidR="00617673" w:rsidRPr="00617673" w:rsidRDefault="00617673" w:rsidP="00617673">
      <w:pPr>
        <w:pStyle w:val="SingleTxtG"/>
      </w:pPr>
      <w:r w:rsidRPr="00617673">
        <w:rPr>
          <w:lang w:val="fr-FR"/>
        </w:rPr>
        <w:t>166.</w:t>
      </w:r>
      <w:r w:rsidR="00642C8E">
        <w:rPr>
          <w:lang w:val="fr-FR"/>
        </w:rPr>
        <w:tab/>
      </w:r>
      <w:r w:rsidRPr="00617673">
        <w:rPr>
          <w:lang w:val="fr-FR"/>
        </w:rPr>
        <w:t>Les discours de haine envers les opposants ont été globalement remplacés par des appels officiels à la tolérance politique, mais des propos qui tendent à assimiler les opposants à des « ennemis du pays » ressurgissent de temps à autre. Le Président Ndayishimiye lui-même a soufflé le chaud et le froid à ce sujet, reconnaissant la liberté d’expression des partis politiques pour ensuite dénoncer ceux qui ne soutiennent pas le Gouvernement comme des « agents d’États étrangers »</w:t>
      </w:r>
      <w:r w:rsidRPr="00642C8E">
        <w:rPr>
          <w:rStyle w:val="FootnoteReference"/>
        </w:rPr>
        <w:footnoteReference w:id="210"/>
      </w:r>
      <w:r w:rsidRPr="00617673">
        <w:t xml:space="preserve">. </w:t>
      </w:r>
      <w:r w:rsidRPr="00617673">
        <w:rPr>
          <w:lang w:val="fr-FR"/>
        </w:rPr>
        <w:t xml:space="preserve">Il semble donc ne tolérer l’opposition politique que si elle accepte de travailler avec son Gouvernement. </w:t>
      </w:r>
      <w:r w:rsidRPr="00617673">
        <w:t>Le 8 juin 2021, dans son discours prononcé à l’occasion de la levée de deuil définitive de feu Président Nkurunziza et de la célébration de la Journée nationale du Patriotisme, le Président Ndayishimiye a déclaré : « Celui qui est mécontent de ses réalisations [du feu Président Nkurunziza] en faveur du Burundi et des Burundais est tout simplement le genre de personne possédée par le démon qui ne pense qu’à faire du mal »</w:t>
      </w:r>
      <w:r w:rsidRPr="00642C8E">
        <w:rPr>
          <w:rStyle w:val="FootnoteReference"/>
        </w:rPr>
        <w:footnoteReference w:id="211"/>
      </w:r>
      <w:r w:rsidRPr="00617673">
        <w:t xml:space="preserve">. </w:t>
      </w:r>
    </w:p>
    <w:p w14:paraId="10A3415C" w14:textId="2A4BD3BB" w:rsidR="00617673" w:rsidRPr="00617673" w:rsidRDefault="00617673" w:rsidP="00617673">
      <w:pPr>
        <w:pStyle w:val="SingleTxtG"/>
      </w:pPr>
      <w:r w:rsidRPr="00617673">
        <w:t>167.</w:t>
      </w:r>
      <w:r w:rsidR="00642C8E">
        <w:tab/>
      </w:r>
      <w:r w:rsidRPr="00617673">
        <w:t xml:space="preserve">Toute l’ambiguïté de la position du Président Ndayishimiye sur les partis politiques et leur rôle est clairement exprimée dans ces extraits de son message adressé le 6 janvier 2021 aux représentants des partis politiques agréés à l’occasion de l’échange des vœux du nouvel an : « Autrefois, </w:t>
      </w:r>
      <w:r w:rsidR="00120D2D" w:rsidRPr="00120D2D">
        <w:t xml:space="preserve">lorsqu’il y avait des élections, </w:t>
      </w:r>
      <w:r w:rsidRPr="00617673">
        <w:t xml:space="preserve">les partis politiques se disputaient et </w:t>
      </w:r>
      <w:r w:rsidR="00120D2D" w:rsidRPr="00120D2D">
        <w:t>leurs</w:t>
      </w:r>
      <w:r w:rsidRPr="00617673">
        <w:t xml:space="preserve"> membres se regardaient en chiens de faïence</w:t>
      </w:r>
      <w:r w:rsidR="00120D2D" w:rsidRPr="00120D2D">
        <w:t>. Au lieu de parler de partis politiques qui s’opposaient entre eux, nous disions qu’il y avait</w:t>
      </w:r>
      <w:r w:rsidRPr="00617673">
        <w:t xml:space="preserve"> des </w:t>
      </w:r>
      <w:r w:rsidR="00120D2D" w:rsidRPr="00120D2D">
        <w:t xml:space="preserve">partis </w:t>
      </w:r>
      <w:r w:rsidRPr="00617673">
        <w:t xml:space="preserve">alliés </w:t>
      </w:r>
      <w:r w:rsidR="00120D2D" w:rsidRPr="00120D2D">
        <w:t>au Gouvernement</w:t>
      </w:r>
      <w:r w:rsidRPr="00617673">
        <w:t xml:space="preserve"> d’un côté et </w:t>
      </w:r>
      <w:r w:rsidR="00120D2D" w:rsidRPr="00120D2D">
        <w:t>des partis</w:t>
      </w:r>
      <w:r w:rsidR="00120D2D">
        <w:t xml:space="preserve"> qui s’opposaient à l’État. </w:t>
      </w:r>
      <w:r w:rsidR="005F114B" w:rsidRPr="00617673">
        <w:rPr>
          <w:lang w:val="fr-FR"/>
        </w:rPr>
        <w:t xml:space="preserve">[…] </w:t>
      </w:r>
      <w:r w:rsidRPr="00617673">
        <w:t xml:space="preserve">À ce moment-là, on oubliait que combattre le </w:t>
      </w:r>
      <w:r w:rsidR="00120D2D" w:rsidRPr="00120D2D">
        <w:t>Gouvernement</w:t>
      </w:r>
      <w:r w:rsidRPr="00617673">
        <w:t>, c’est combattre le pays</w:t>
      </w:r>
      <w:r w:rsidR="00120D2D" w:rsidRPr="00120D2D">
        <w:t>, mais ceux qui parlaient ainsi considéraient</w:t>
      </w:r>
      <w:r w:rsidRPr="00617673">
        <w:t xml:space="preserve"> cela comme une marque d’honneur. Nous n’accomplissions pas notre devoir : servir le pays en respectant les autres, en renforçant la sécurité et en contribuant au développement </w:t>
      </w:r>
      <w:r w:rsidR="005F114B" w:rsidRPr="00617673">
        <w:rPr>
          <w:lang w:val="fr-FR"/>
        </w:rPr>
        <w:t>[…]</w:t>
      </w:r>
      <w:r w:rsidR="005F114B">
        <w:rPr>
          <w:lang w:val="fr-FR"/>
        </w:rPr>
        <w:t xml:space="preserve"> </w:t>
      </w:r>
      <w:r w:rsidRPr="00617673">
        <w:t>»</w:t>
      </w:r>
      <w:r w:rsidRPr="00642C8E">
        <w:rPr>
          <w:rStyle w:val="FootnoteReference"/>
        </w:rPr>
        <w:footnoteReference w:id="212"/>
      </w:r>
      <w:r w:rsidR="000A60D1">
        <w:t>.</w:t>
      </w:r>
      <w:r w:rsidRPr="00617673">
        <w:t xml:space="preserve"> Il a ensuite ajouté : « Au sortir d’une élection, la défaite d’un parti n’implique pas sa disparition. </w:t>
      </w:r>
      <w:r w:rsidR="00A84C4B">
        <w:t xml:space="preserve">En effet vous, les </w:t>
      </w:r>
      <w:r w:rsidRPr="00617673">
        <w:t>hommes politiques</w:t>
      </w:r>
      <w:r w:rsidR="00A84C4B">
        <w:t>, vous</w:t>
      </w:r>
      <w:r w:rsidR="00A84C4B" w:rsidRPr="00A84C4B">
        <w:t xml:space="preserve"> êtes</w:t>
      </w:r>
      <w:r w:rsidRPr="00617673">
        <w:t xml:space="preserve"> des conseillers car vous vous y connaissez en politique</w:t>
      </w:r>
      <w:r w:rsidR="00A84C4B" w:rsidRPr="00A84C4B">
        <w:t>. Il est important que les autorités administratives vous écoutent. Qu’on ne vous désigne pas comme des opposants de l’</w:t>
      </w:r>
      <w:r w:rsidR="00A84C4B">
        <w:t xml:space="preserve">État mais comme des </w:t>
      </w:r>
      <w:r w:rsidR="00A84C4B" w:rsidRPr="00A84C4B">
        <w:t>redresseurs des torts afin que nous réalisions les souhaits du peuple</w:t>
      </w:r>
      <w:r w:rsidRPr="00617673">
        <w:t> »</w:t>
      </w:r>
      <w:r w:rsidRPr="00CE61B8">
        <w:rPr>
          <w:rStyle w:val="FootnoteReference"/>
        </w:rPr>
        <w:footnoteReference w:id="213"/>
      </w:r>
      <w:r w:rsidR="000A60D1">
        <w:t>.</w:t>
      </w:r>
      <w:r w:rsidRPr="00617673">
        <w:t xml:space="preserve"> Ainsi, le 20 août 2021, les partis politiques, exception faite du CNL, ont participé à un atelier organisé par le Gouvernement du Burundi, sous la direction du ministre de l’Intérieur, de la Sécurité publique et du Développement communautaire, afin d’élaborer leurs programmes politiques et veiller à ce que ceux-ci soient conformes au plan de développement du Gouvernement pour 2018-2027</w:t>
      </w:r>
      <w:r w:rsidRPr="00CE61B8">
        <w:rPr>
          <w:rStyle w:val="FootnoteReference"/>
        </w:rPr>
        <w:footnoteReference w:id="214"/>
      </w:r>
      <w:r w:rsidR="00974626">
        <w:t>.</w:t>
      </w:r>
      <w:r w:rsidRPr="00CE61B8">
        <w:rPr>
          <w:rStyle w:val="FootnoteReference"/>
        </w:rPr>
        <w:t>.</w:t>
      </w:r>
    </w:p>
    <w:p w14:paraId="4DA15736" w14:textId="236E4082" w:rsidR="00617673" w:rsidRPr="00617673" w:rsidRDefault="00617673" w:rsidP="00617673">
      <w:pPr>
        <w:pStyle w:val="SingleTxtG"/>
      </w:pPr>
      <w:r w:rsidRPr="00617673">
        <w:rPr>
          <w:lang w:val="fr-FR"/>
        </w:rPr>
        <w:t>168.</w:t>
      </w:r>
      <w:r w:rsidR="00AC5898">
        <w:rPr>
          <w:lang w:val="fr-FR"/>
        </w:rPr>
        <w:tab/>
      </w:r>
      <w:r w:rsidRPr="00617673">
        <w:rPr>
          <w:lang w:val="fr-FR"/>
        </w:rPr>
        <w:t xml:space="preserve">Des députés de l’opposition ayant osé questionner ou critiquer l’action gouvernementale ont fait les frais de cette défiance envers l’opposition politique, qui semble profondément ancrée chez les dignitaires du CNDD-FDD. Par exemple, l’ancien député Fabien Banciryanino, une des rares voix critiques sous le régime du Président Nkurunziza, a été arrêté le 8 octobre 2020 et poursuivi pour rébellion, dénonciation calomnieuse et atteinte à la sûreté intérieure et extérieure de l’État. Le 7 mai 2021, il a été condamné à un an de prison. </w:t>
      </w:r>
      <w:r w:rsidRPr="00617673">
        <w:t>Le 26 mai 2021, lors de la séance portant sur la présentation par l’Ombudsman de son rapport annuel pour 2020</w:t>
      </w:r>
      <w:r w:rsidRPr="00CE61B8">
        <w:rPr>
          <w:rStyle w:val="FootnoteReference"/>
        </w:rPr>
        <w:footnoteReference w:id="215"/>
      </w:r>
      <w:r w:rsidR="000A60D1">
        <w:t>,</w:t>
      </w:r>
      <w:r w:rsidRPr="00617673">
        <w:t xml:space="preserve"> un député CNL, Nicodème Nduwimana, a été indirectement menacé par le Président de l’Assemblée nationale pour des propos tenus dans l’enceinte de l’Assemblée. Le député avait simplement demandé à l’Ombudsman s’il était au courant que des prisonniers ayant purgé leur peine restaient détenus. Le Président de l’Assemblée l’a alors interrompu pour lui demander s’il était en train de plaider « pour les personnes qui lançaient des grenades une fois sortis de prison, comme la veille à Bujumbura ».</w:t>
      </w:r>
      <w:r w:rsidRPr="00CE61B8">
        <w:rPr>
          <w:rStyle w:val="FootnoteReference"/>
        </w:rPr>
        <w:footnoteReference w:id="216"/>
      </w:r>
    </w:p>
    <w:p w14:paraId="4F7BAB3A" w14:textId="77777777" w:rsidR="00617673" w:rsidRPr="00617673" w:rsidRDefault="00617673" w:rsidP="00617673">
      <w:pPr>
        <w:pStyle w:val="SingleTxtG"/>
        <w:rPr>
          <w:lang w:val="fr-FR"/>
        </w:rPr>
      </w:pPr>
      <w:r w:rsidRPr="00617673">
        <w:rPr>
          <w:lang w:val="fr-FR"/>
        </w:rPr>
        <w:t>169.</w:t>
      </w:r>
      <w:r w:rsidR="00AC5898">
        <w:rPr>
          <w:lang w:val="fr-FR"/>
        </w:rPr>
        <w:tab/>
      </w:r>
      <w:r w:rsidRPr="00617673">
        <w:rPr>
          <w:lang w:val="fr-FR"/>
        </w:rPr>
        <w:t xml:space="preserve">Si la violence politique semble globalement diminuer, ce n’est pas pour autant un signe d’une amélioration de la tolérance politique. Aucune mesure structurelle n’a été prise pour garantir que les coupables des violences commises lors des élections soient sanctionnés ou empêcher que de telles pratiques ne ressurgissent, </w:t>
      </w:r>
      <w:r w:rsidRPr="00617673">
        <w:t>notamment lors des prochaines échéances électorales</w:t>
      </w:r>
      <w:r w:rsidRPr="00AC5898">
        <w:rPr>
          <w:rStyle w:val="FootnoteReference"/>
        </w:rPr>
        <w:footnoteReference w:id="217"/>
      </w:r>
      <w:r w:rsidRPr="00617673">
        <w:t>.</w:t>
      </w:r>
      <w:r w:rsidRPr="00617673">
        <w:rPr>
          <w:lang w:val="fr-FR"/>
        </w:rPr>
        <w:t xml:space="preserve"> Des instructions auraient été données à des Imbonerakure après les élections pour qu’ils cessent la violence envers les opposants</w:t>
      </w:r>
      <w:r w:rsidRPr="00AC5898">
        <w:rPr>
          <w:rStyle w:val="FootnoteReference"/>
        </w:rPr>
        <w:footnoteReference w:id="218"/>
      </w:r>
      <w:r w:rsidRPr="00617673">
        <w:rPr>
          <w:lang w:val="fr-FR"/>
        </w:rPr>
        <w:t>, mais ils restent mobilisables à tout moment par les autorités et le parti CNDD-FDD, comme cela a été le cas dans certaines provinces à la suite des incidents de sécurité</w:t>
      </w:r>
      <w:r w:rsidRPr="00AC5898">
        <w:rPr>
          <w:rStyle w:val="FootnoteReference"/>
        </w:rPr>
        <w:footnoteReference w:id="219"/>
      </w:r>
      <w:r w:rsidRPr="00AC5898">
        <w:rPr>
          <w:rStyle w:val="FootnoteReference"/>
        </w:rPr>
        <w:t>.</w:t>
      </w:r>
      <w:r w:rsidR="00CE61B8">
        <w:rPr>
          <w:lang w:val="fr-FR"/>
        </w:rPr>
        <w:t>.</w:t>
      </w:r>
    </w:p>
    <w:p w14:paraId="44292712" w14:textId="5E14196D" w:rsidR="00617673" w:rsidRPr="00617673" w:rsidRDefault="00617673" w:rsidP="00617673">
      <w:pPr>
        <w:pStyle w:val="SingleTxtG"/>
      </w:pPr>
      <w:r w:rsidRPr="00617673">
        <w:rPr>
          <w:lang w:val="fr-FR"/>
        </w:rPr>
        <w:t>170.</w:t>
      </w:r>
      <w:r w:rsidR="00AC5898">
        <w:rPr>
          <w:lang w:val="fr-FR"/>
        </w:rPr>
        <w:tab/>
      </w:r>
      <w:r w:rsidRPr="00617673">
        <w:rPr>
          <w:lang w:val="fr-FR"/>
        </w:rPr>
        <w:t xml:space="preserve">Effectivement, depuis les attaques armées du printemps 2021, les membres du CNL sont, par endroits, à nouveau étroitement surveillés par les Imbonerakure et dans certaines provinces le nombre de cas d’arrestation et détention arbitraires, de torture et mauvais traitements mais aussi d’enlèvement et de disparition de militants du CNL a augmenté depuis juin 2021 et tout au cours de l’été 2021, souvent sous couvert de la lutte contre les groupes armés. Comme indiqué précédemment, étant donné l’opacité qui entoure ces procédures, il est impossible de déterminer pour chaque cas si </w:t>
      </w:r>
      <w:r w:rsidRPr="00617673">
        <w:t>les autorités disposent d’éléments de preuves objectifs ou si elles se basent principalement sur leur seule affiliation politique</w:t>
      </w:r>
      <w:r w:rsidRPr="00AC5898">
        <w:rPr>
          <w:rStyle w:val="FootnoteReference"/>
        </w:rPr>
        <w:footnoteReference w:id="220"/>
      </w:r>
      <w:r w:rsidRPr="00617673">
        <w:t>. La Commission considère néanmoins avoir des motifs raisonnables de croire qu’un nombre significatif d’opposants politiques ont été victimes de violations sous couvert de la traque des responsables d’attaques armé</w:t>
      </w:r>
      <w:r w:rsidR="000A60D1">
        <w:t>e</w:t>
      </w:r>
      <w:r w:rsidRPr="00617673">
        <w:t>s.</w:t>
      </w:r>
    </w:p>
    <w:p w14:paraId="3C1FC75F" w14:textId="77777777" w:rsidR="00617673" w:rsidRPr="00FA45AB" w:rsidRDefault="002E39C6" w:rsidP="00AC5898">
      <w:pPr>
        <w:pStyle w:val="H1G"/>
        <w:rPr>
          <w:lang w:val="fr-CH"/>
        </w:rPr>
      </w:pPr>
      <w:r w:rsidRPr="00FA45AB">
        <w:rPr>
          <w:lang w:val="fr-CH"/>
        </w:rPr>
        <w:tab/>
      </w:r>
      <w:r w:rsidR="00AC5898" w:rsidRPr="00FA45AB">
        <w:rPr>
          <w:lang w:val="fr-CH"/>
        </w:rPr>
        <w:t>C.</w:t>
      </w:r>
      <w:r w:rsidRPr="00FA45AB">
        <w:rPr>
          <w:lang w:val="fr-CH"/>
        </w:rPr>
        <w:tab/>
        <w:t>Situation des rapatriés</w:t>
      </w:r>
    </w:p>
    <w:p w14:paraId="2A304DDF" w14:textId="489AB89F" w:rsidR="00617673" w:rsidRPr="00617673" w:rsidRDefault="00617673" w:rsidP="00617673">
      <w:pPr>
        <w:pStyle w:val="SingleTxtG"/>
      </w:pPr>
      <w:r w:rsidRPr="00617673">
        <w:t>171.</w:t>
      </w:r>
      <w:r w:rsidR="00F622D8">
        <w:tab/>
      </w:r>
      <w:r w:rsidRPr="00617673">
        <w:t>Dans ses précédents rapports, la Commission avait documenté que les personnes rapatriées au Burundi, principalement depuis la Tanzanie dans le cadre du programme d’aide au retour établi en 2017, avaient fait face à une hostilité générale de la part d’autorités administratives locales et d’Imbonerakure. Certaines avaient été victimes de graves violations des droits de l’homme qui les avaient poussées à fuir à nouveau le pays, d’autres avaient été intimidées, menacées, maltraitées, dépouillées de leur kit d’appui au retour et de leurs biens. Cette situation avait atteint son paroxysme suite aux incidents de sécurité de 2020, puisque les rapatriés, tout comme toute personne ayant voyagé à l’extérieur du pays</w:t>
      </w:r>
      <w:r w:rsidR="000A60D1">
        <w:t>,</w:t>
      </w:r>
      <w:r w:rsidRPr="00617673">
        <w:t xml:space="preserve"> pouvai</w:t>
      </w:r>
      <w:r w:rsidR="000A60D1">
        <w:t>en</w:t>
      </w:r>
      <w:r w:rsidRPr="00617673">
        <w:t>t être soupçonné</w:t>
      </w:r>
      <w:r w:rsidR="000A60D1">
        <w:t>s</w:t>
      </w:r>
      <w:r w:rsidRPr="00617673">
        <w:t xml:space="preserve"> de lien avec les groupes armés d’opposition</w:t>
      </w:r>
      <w:r w:rsidRPr="002C2D92">
        <w:rPr>
          <w:rStyle w:val="FootnoteReference"/>
        </w:rPr>
        <w:footnoteReference w:id="221"/>
      </w:r>
      <w:r w:rsidRPr="00617673">
        <w:t xml:space="preserve">. </w:t>
      </w:r>
    </w:p>
    <w:p w14:paraId="1252E2F8" w14:textId="77777777" w:rsidR="00617673" w:rsidRPr="00617673" w:rsidRDefault="00617673" w:rsidP="00617673">
      <w:pPr>
        <w:pStyle w:val="SingleTxtG"/>
        <w:rPr>
          <w:lang w:val="fr-FR"/>
        </w:rPr>
      </w:pPr>
      <w:r w:rsidRPr="00617673">
        <w:rPr>
          <w:lang w:val="fr-FR"/>
        </w:rPr>
        <w:t>172.</w:t>
      </w:r>
      <w:r w:rsidR="00563FC1">
        <w:rPr>
          <w:lang w:val="fr-FR"/>
        </w:rPr>
        <w:tab/>
      </w:r>
      <w:r w:rsidRPr="00617673">
        <w:rPr>
          <w:lang w:val="fr-FR"/>
        </w:rPr>
        <w:t>Le Haut-Commissariat des Nations Unies pour les réfugiés (HCR) ne considère toujours pas que les conditions au Burundi soient propices à la promotion du rapatriement librement consenti, mais il offre un soutien aux réfugiés burundais qui veulent exercer leur droit au retour, pour autant que leur décision soit volontaire, libre et informée, et que leur retour s’effectue dans la sécurité et la dignité. Depuis l’été 2020, les rapatriements de réfugiés volontaires facilités par le HCR se sont accélérés. Le 27 août 2020, a eu lieu le premier convoi de rapatriement des réfugiés burundais depuis le Rwanda dans le cadre du programme de rapatriement volontaire organisé en coopération avec le HCR. Ainsi, au 30 juin 2021, 164 990 réfugiés burundais ont été rapatriés dans le cadre du programme tripartite d’appui au retour volontaire démarré en 2017, dont 42 299 depuis janvier 2021</w:t>
      </w:r>
      <w:r w:rsidRPr="002C2D92">
        <w:rPr>
          <w:rStyle w:val="FootnoteReference"/>
        </w:rPr>
        <w:footnoteReference w:id="222"/>
      </w:r>
      <w:r w:rsidRPr="00617673">
        <w:rPr>
          <w:lang w:val="fr-FR"/>
        </w:rPr>
        <w:t>. Les réfugiés sont principalement rentrés de Tanzanie (129 535) et du Rwanda (28 212)</w:t>
      </w:r>
      <w:r w:rsidRPr="002C2D92">
        <w:rPr>
          <w:rStyle w:val="FootnoteReference"/>
        </w:rPr>
        <w:footnoteReference w:id="223"/>
      </w:r>
      <w:r w:rsidRPr="00617673">
        <w:rPr>
          <w:lang w:val="fr-FR"/>
        </w:rPr>
        <w:t>. À la même date du 30 juin 2021, 276 275 Burundais étaient encore officiellement réfugiés dans les pays limitrophes</w:t>
      </w:r>
      <w:r w:rsidRPr="002C2D92">
        <w:rPr>
          <w:rStyle w:val="FootnoteReference"/>
        </w:rPr>
        <w:footnoteReference w:id="224"/>
      </w:r>
      <w:r w:rsidRPr="00617673">
        <w:rPr>
          <w:lang w:val="fr-FR"/>
        </w:rPr>
        <w:t>.</w:t>
      </w:r>
    </w:p>
    <w:p w14:paraId="645481E0" w14:textId="31FE2D3A" w:rsidR="00617673" w:rsidRPr="00617673" w:rsidRDefault="00617673" w:rsidP="00617673">
      <w:pPr>
        <w:pStyle w:val="SingleTxtG"/>
        <w:rPr>
          <w:lang w:val="fr-FR"/>
        </w:rPr>
      </w:pPr>
      <w:r w:rsidRPr="00617673">
        <w:rPr>
          <w:lang w:val="fr-FR"/>
        </w:rPr>
        <w:t>173.</w:t>
      </w:r>
      <w:r w:rsidR="00563FC1">
        <w:rPr>
          <w:lang w:val="fr-FR"/>
        </w:rPr>
        <w:tab/>
      </w:r>
      <w:r w:rsidRPr="00617673">
        <w:rPr>
          <w:lang w:val="fr-FR"/>
        </w:rPr>
        <w:t>En 2020, seulement 40% de l’appel de fonds de 293 millions de dollars lancé par le HCR pour soutenir les réfugiés burundais ont été financés. Les réfugiés ont donc vu leurs rations alimentaires se réduire</w:t>
      </w:r>
      <w:r w:rsidR="000A60D1">
        <w:rPr>
          <w:lang w:val="fr-FR"/>
        </w:rPr>
        <w:t xml:space="preserve"> </w:t>
      </w:r>
      <w:r w:rsidRPr="00617673">
        <w:rPr>
          <w:lang w:val="fr-FR"/>
        </w:rPr>
        <w:t>; ils ont manqué d’abris adéquats, et ont fait face à de</w:t>
      </w:r>
      <w:r w:rsidR="000A60D1">
        <w:rPr>
          <w:lang w:val="fr-FR"/>
        </w:rPr>
        <w:t>s</w:t>
      </w:r>
      <w:r w:rsidRPr="00617673">
        <w:rPr>
          <w:lang w:val="fr-FR"/>
        </w:rPr>
        <w:t xml:space="preserve"> pénuries de médicaments et des moyens de subsistance insuffisants. En février 2021, le HCR a lancé un nouvel appel de fonds de 222 millions de dollars afin de pouvoir fournir au cours de l’année 2021, avec 33 organisations partenaires, de la nourriture, des abris, des services éducatifs, ainsi que l’accès aux soins de santé et à l’eau aux quelque 315 000 Burundais qui </w:t>
      </w:r>
      <w:r w:rsidR="00AE55C5">
        <w:rPr>
          <w:lang w:val="fr-FR"/>
        </w:rPr>
        <w:t>restaient</w:t>
      </w:r>
      <w:r w:rsidR="00AE55C5" w:rsidRPr="00617673">
        <w:rPr>
          <w:lang w:val="fr-FR"/>
        </w:rPr>
        <w:t xml:space="preserve"> </w:t>
      </w:r>
      <w:r w:rsidRPr="00617673">
        <w:rPr>
          <w:lang w:val="fr-FR"/>
        </w:rPr>
        <w:t>réfugiés dans les pays limitrophes</w:t>
      </w:r>
      <w:r w:rsidR="00AE55C5">
        <w:rPr>
          <w:lang w:val="fr-FR"/>
        </w:rPr>
        <w:t xml:space="preserve"> à cette date</w:t>
      </w:r>
      <w:r w:rsidRPr="002C2D92">
        <w:rPr>
          <w:rStyle w:val="FootnoteReference"/>
        </w:rPr>
        <w:footnoteReference w:id="225"/>
      </w:r>
      <w:r w:rsidRPr="00617673">
        <w:rPr>
          <w:lang w:val="fr-FR"/>
        </w:rPr>
        <w:t>. Au 1</w:t>
      </w:r>
      <w:r w:rsidRPr="00617673">
        <w:rPr>
          <w:vertAlign w:val="superscript"/>
          <w:lang w:val="fr-FR"/>
        </w:rPr>
        <w:t>er</w:t>
      </w:r>
      <w:r w:rsidRPr="00617673">
        <w:rPr>
          <w:lang w:val="fr-FR"/>
        </w:rPr>
        <w:t xml:space="preserve"> juin 2021, les fonds reçus ne couvraient que 14% des 72,5 millions de dollars requis par le HCR lui-même pour le Burundi dans le cadre de l’appel de fonds global</w:t>
      </w:r>
      <w:r w:rsidRPr="002C2D92">
        <w:rPr>
          <w:rStyle w:val="FootnoteReference"/>
        </w:rPr>
        <w:footnoteReference w:id="226"/>
      </w:r>
      <w:r w:rsidRPr="00617673">
        <w:rPr>
          <w:lang w:val="fr-FR"/>
        </w:rPr>
        <w:t xml:space="preserve">. </w:t>
      </w:r>
    </w:p>
    <w:p w14:paraId="40F40BE8" w14:textId="77777777" w:rsidR="00617673" w:rsidRPr="00617673" w:rsidRDefault="00617673" w:rsidP="00617673">
      <w:pPr>
        <w:pStyle w:val="SingleTxtG"/>
      </w:pPr>
      <w:r w:rsidRPr="00617673">
        <w:rPr>
          <w:lang w:val="fr-FR"/>
        </w:rPr>
        <w:t>174.</w:t>
      </w:r>
      <w:r w:rsidR="00563FC1">
        <w:rPr>
          <w:lang w:val="fr-FR"/>
        </w:rPr>
        <w:tab/>
      </w:r>
      <w:r w:rsidRPr="00617673">
        <w:rPr>
          <w:lang w:val="fr-FR"/>
        </w:rPr>
        <w:t>En février 2021, le HCR a également lancé un appel pour un montant de 104,3 millions de dollars afin de soutenir le rapatriement prévu de 143</w:t>
      </w:r>
      <w:r w:rsidRPr="00617673">
        <w:t> </w:t>
      </w:r>
      <w:r w:rsidRPr="00617673">
        <w:rPr>
          <w:lang w:val="fr-FR"/>
        </w:rPr>
        <w:t>000 réfugiés burundais en 2021</w:t>
      </w:r>
      <w:r w:rsidRPr="002C2D92">
        <w:rPr>
          <w:rStyle w:val="FootnoteReference"/>
        </w:rPr>
        <w:footnoteReference w:id="227"/>
      </w:r>
      <w:r w:rsidRPr="00617673">
        <w:rPr>
          <w:lang w:val="fr-FR"/>
        </w:rPr>
        <w:t xml:space="preserve">, mais également soutenir les 120 494 Burundais qui ont été rapatriés depuis 2017 et n’ont pas reçu « une assistance appropriée pour une réintégration adéquate », ainsi que 87 378 membres des communautés d’accueil dans les six principales provinces de retour qui sont considérés comme particulièrement vulnérables : Ruyigi (24 566), </w:t>
      </w:r>
      <w:r w:rsidRPr="00617673">
        <w:t>Makamba (18 855), Muyinga (16 445), Cankuzo (10 451), Rutana (8 884), Kirundo (8 177).</w:t>
      </w:r>
      <w:r w:rsidRPr="002C2D92">
        <w:rPr>
          <w:rStyle w:val="FootnoteReference"/>
        </w:rPr>
        <w:footnoteReference w:id="228"/>
      </w:r>
    </w:p>
    <w:p w14:paraId="4742DC74" w14:textId="7BBA684D" w:rsidR="00617673" w:rsidRPr="00563FC1" w:rsidRDefault="00563FC1" w:rsidP="00563FC1">
      <w:pPr>
        <w:pStyle w:val="H4G"/>
        <w:rPr>
          <w:b/>
          <w:i w:val="0"/>
        </w:rPr>
      </w:pPr>
      <w:r>
        <w:rPr>
          <w:b/>
          <w:i w:val="0"/>
        </w:rPr>
        <w:tab/>
      </w:r>
      <w:r w:rsidR="00617673" w:rsidRPr="00563FC1">
        <w:rPr>
          <w:b/>
          <w:i w:val="0"/>
        </w:rPr>
        <w:t>a)</w:t>
      </w:r>
      <w:r>
        <w:rPr>
          <w:b/>
          <w:i w:val="0"/>
        </w:rPr>
        <w:tab/>
      </w:r>
      <w:r w:rsidR="00CF6E64">
        <w:rPr>
          <w:b/>
          <w:i w:val="0"/>
        </w:rPr>
        <w:t>C</w:t>
      </w:r>
      <w:r w:rsidR="00617673" w:rsidRPr="00563FC1">
        <w:rPr>
          <w:b/>
          <w:i w:val="0"/>
        </w:rPr>
        <w:t>limat de méfiance envers les rapatriés</w:t>
      </w:r>
    </w:p>
    <w:p w14:paraId="6B103551" w14:textId="77777777" w:rsidR="00617673" w:rsidRPr="00617673" w:rsidRDefault="00617673" w:rsidP="00617673">
      <w:pPr>
        <w:pStyle w:val="SingleTxtG"/>
      </w:pPr>
      <w:r w:rsidRPr="00617673">
        <w:t>175.</w:t>
      </w:r>
      <w:r w:rsidR="00563FC1">
        <w:tab/>
      </w:r>
      <w:r w:rsidRPr="00617673">
        <w:t>Depuis les élections de 2020, le climat d’hostilité et de suspicion envers les rapatriés a diminué dans une certaine mesure, notamment grâce à des instructions qui auraient été données aux responsables administratifs de garantir un meilleur accueil aux rapatriés, puisque c’est un enjeu majeur pour permettre le retour massif des réfugiés souhaité par le Gouvernement</w:t>
      </w:r>
      <w:r w:rsidRPr="00F933B4">
        <w:rPr>
          <w:rStyle w:val="FootnoteReference"/>
        </w:rPr>
        <w:footnoteReference w:id="229"/>
      </w:r>
      <w:r w:rsidRPr="00617673">
        <w:t xml:space="preserve">. </w:t>
      </w:r>
    </w:p>
    <w:p w14:paraId="3B42E07D" w14:textId="77777777" w:rsidR="00617673" w:rsidRPr="00617673" w:rsidRDefault="00F933B4" w:rsidP="00F933B4">
      <w:pPr>
        <w:pStyle w:val="H56G"/>
      </w:pPr>
      <w:r>
        <w:tab/>
      </w:r>
      <w:r>
        <w:tab/>
      </w:r>
      <w:r w:rsidR="00617673" w:rsidRPr="00617673">
        <w:t>Un rapatrié a mentionné :</w:t>
      </w:r>
    </w:p>
    <w:p w14:paraId="0FAADF99" w14:textId="77777777" w:rsidR="00617673" w:rsidRPr="00617673" w:rsidRDefault="00617673" w:rsidP="00F933B4">
      <w:pPr>
        <w:pStyle w:val="SingleTxtG"/>
        <w:ind w:left="1701"/>
      </w:pPr>
      <w:r w:rsidRPr="00617673">
        <w:t>« </w:t>
      </w:r>
      <w:r w:rsidRPr="00617673">
        <w:rPr>
          <w:i/>
        </w:rPr>
        <w:t>On n’a pas été harcelés par les autorités administratives. C'est clair qu’il y avait des consignes qui leur ont été données. Je ne suis pas sûr de savoir quelles sont les consignes qu’elles auraient reçues mais ce que je vois c’est qu'il y a une nette différence entre la manière dont les autorités communales et provinciales nous accueillent lorsque nous leur confions des problèmes que nous rencontrons. Les autorités locales sont beaucoup plus méfiantes à notre égard</w:t>
      </w:r>
      <w:r w:rsidRPr="00617673">
        <w:t> »</w:t>
      </w:r>
      <w:r w:rsidRPr="00F933B4">
        <w:rPr>
          <w:rStyle w:val="FootnoteReference"/>
        </w:rPr>
        <w:footnoteReference w:id="230"/>
      </w:r>
      <w:r w:rsidRPr="00617673">
        <w:t>.</w:t>
      </w:r>
    </w:p>
    <w:p w14:paraId="1761D1BA" w14:textId="495DDDC2" w:rsidR="00617673" w:rsidRPr="00617673" w:rsidRDefault="00617673" w:rsidP="00617673">
      <w:pPr>
        <w:pStyle w:val="SingleTxtG"/>
      </w:pPr>
      <w:r w:rsidRPr="00617673">
        <w:t>176.</w:t>
      </w:r>
      <w:r w:rsidR="005C481C">
        <w:tab/>
      </w:r>
      <w:r w:rsidRPr="00617673">
        <w:t xml:space="preserve">Cependant, selon le HCR, 22% des rapatriés estiment que la situation sécuritaire au Burundi ne s’est pas améliorée depuis leur fuite. Ils font également face à des stéréotypes et à des préjugés répandus au sein des communautés locales qui affectent la cohésion sociale et l’accès des rapatriés aux droits et/ou aux services, ainsi qu’à des actes de discrimination et de harcèlement. La situation s’est aggravée avec la pandémie </w:t>
      </w:r>
      <w:r w:rsidR="000A60D1">
        <w:t xml:space="preserve">de </w:t>
      </w:r>
      <w:r w:rsidR="00D56558">
        <w:t>Covid</w:t>
      </w:r>
      <w:r w:rsidRPr="00617673">
        <w:t>-19 et la perception erronée que les rapatriés</w:t>
      </w:r>
      <w:r w:rsidR="00F933B4">
        <w:t xml:space="preserve"> sont des « porteurs de virus »</w:t>
      </w:r>
      <w:r w:rsidRPr="00F933B4">
        <w:rPr>
          <w:rStyle w:val="FootnoteReference"/>
        </w:rPr>
        <w:footnoteReference w:id="231"/>
      </w:r>
      <w:r w:rsidR="00F933B4">
        <w:t>.</w:t>
      </w:r>
      <w:r w:rsidRPr="00617673">
        <w:t xml:space="preserve"> En juin 2021, la Conférence des Evêques catholiques a notamment regretté que « les rapatriés ne soient bien accueillis dans certaines localités du pays et soient malheureusement intimidés et opprimés par ceux qui devaient les aider à bien s’intégrer dans la société »</w:t>
      </w:r>
      <w:r w:rsidRPr="00F933B4">
        <w:rPr>
          <w:rStyle w:val="FootnoteReference"/>
        </w:rPr>
        <w:footnoteReference w:id="232"/>
      </w:r>
      <w:r w:rsidRPr="00617673">
        <w:t>.</w:t>
      </w:r>
    </w:p>
    <w:p w14:paraId="20CA794C" w14:textId="77777777" w:rsidR="00617673" w:rsidRPr="00617673" w:rsidRDefault="00617673" w:rsidP="00617673">
      <w:pPr>
        <w:pStyle w:val="SingleTxtG"/>
      </w:pPr>
      <w:r w:rsidRPr="00617673">
        <w:t>177.</w:t>
      </w:r>
      <w:r w:rsidR="005C481C">
        <w:tab/>
      </w:r>
      <w:r w:rsidRPr="00617673">
        <w:t>Dans ce cadre, la Commission a reçu des témoignages au sujet de rapatriés qui ont continué à faire face à une méfiance générale de la part des autorités locales et des Imbonerakure</w:t>
      </w:r>
      <w:r w:rsidRPr="00F933B4">
        <w:rPr>
          <w:rStyle w:val="FootnoteReference"/>
        </w:rPr>
        <w:footnoteReference w:id="233"/>
      </w:r>
      <w:r w:rsidRPr="00617673">
        <w:t>.</w:t>
      </w:r>
    </w:p>
    <w:p w14:paraId="07F2E2AB" w14:textId="77777777" w:rsidR="00617673" w:rsidRPr="00617673" w:rsidRDefault="00F933B4" w:rsidP="00F933B4">
      <w:pPr>
        <w:pStyle w:val="H56G"/>
      </w:pPr>
      <w:r>
        <w:tab/>
      </w:r>
      <w:r>
        <w:tab/>
      </w:r>
      <w:r w:rsidR="00617673" w:rsidRPr="00617673">
        <w:t>Un rapatrié a expliqué :</w:t>
      </w:r>
    </w:p>
    <w:p w14:paraId="0BEE7E4F" w14:textId="7BF8A201" w:rsidR="00617673" w:rsidRPr="00617673" w:rsidRDefault="00617673" w:rsidP="00F933B4">
      <w:pPr>
        <w:pStyle w:val="SingleTxtG"/>
        <w:ind w:left="1701"/>
      </w:pPr>
      <w:r w:rsidRPr="00617673">
        <w:rPr>
          <w:lang w:val="fr-FR"/>
        </w:rPr>
        <w:t>« </w:t>
      </w:r>
      <w:r w:rsidRPr="00617673">
        <w:rPr>
          <w:i/>
          <w:lang w:val="fr-FR"/>
        </w:rPr>
        <w:t>Quand nous sommes arrivés à la commune de [X] même, nous avons remarqué que les choses n’étaient pas roses comme ils l’avaient dit. Les personnes qui n’avaient pas fui nous considéraient avec méfiance. Ceux qu’on appelle les Imbonerakure nous posaient beaucoup de questions surtout que j’ai laissé mes parents et mes frères et sœurs au</w:t>
      </w:r>
      <w:r w:rsidR="008E37C1">
        <w:rPr>
          <w:i/>
          <w:lang w:val="fr-FR"/>
        </w:rPr>
        <w:t>[X]</w:t>
      </w:r>
      <w:r w:rsidRPr="00617673">
        <w:rPr>
          <w:i/>
          <w:lang w:val="fr-FR"/>
        </w:rPr>
        <w:t>. Ils me demandaient pourquoi eux ils n’étaient pas rentrés</w:t>
      </w:r>
      <w:r w:rsidRPr="00617673">
        <w:rPr>
          <w:lang w:val="fr-FR"/>
        </w:rPr>
        <w:t> »</w:t>
      </w:r>
      <w:r w:rsidRPr="00F933B4">
        <w:rPr>
          <w:rStyle w:val="FootnoteReference"/>
        </w:rPr>
        <w:footnoteReference w:id="234"/>
      </w:r>
      <w:r w:rsidRPr="00617673">
        <w:rPr>
          <w:lang w:val="fr-FR"/>
        </w:rPr>
        <w:t>.</w:t>
      </w:r>
    </w:p>
    <w:p w14:paraId="0C6FCCA0" w14:textId="77777777" w:rsidR="00617673" w:rsidRPr="00617673" w:rsidRDefault="00617673" w:rsidP="00617673">
      <w:pPr>
        <w:pStyle w:val="SingleTxtG"/>
      </w:pPr>
      <w:r w:rsidRPr="00617673">
        <w:t>178.</w:t>
      </w:r>
      <w:r w:rsidR="005C481C">
        <w:tab/>
      </w:r>
      <w:r w:rsidRPr="00617673">
        <w:t>Des personnes qui avaient été politiquement actives dans le passé et qui parfois ne sont pas rentrées dans le cadre du programme officiel d’appui au rapatriement ont continué à être soupçonnées de collaborer avec des groupes armés et étaient recherchées. Certaines ont même été torturées, surtout celles en provenance du Rwanda, notamment par des Imbonerakure</w:t>
      </w:r>
      <w:r w:rsidRPr="00F933B4">
        <w:rPr>
          <w:rStyle w:val="FootnoteReference"/>
        </w:rPr>
        <w:footnoteReference w:id="235"/>
      </w:r>
      <w:r w:rsidRPr="00617673">
        <w:t>. Parfois, la seule peur d’être arrêté ou tué a poussé des réfugiés, y compris ceux venus par eux-mêmes en reconnaissance, à retourner vers leur pays d’accueil</w:t>
      </w:r>
      <w:r w:rsidRPr="00F933B4">
        <w:rPr>
          <w:rStyle w:val="FootnoteReference"/>
        </w:rPr>
        <w:footnoteReference w:id="236"/>
      </w:r>
      <w:r w:rsidRPr="00617673">
        <w:t>.</w:t>
      </w:r>
    </w:p>
    <w:p w14:paraId="69A60FC9" w14:textId="77777777" w:rsidR="00617673" w:rsidRPr="00617673" w:rsidRDefault="00F933B4" w:rsidP="00F933B4">
      <w:pPr>
        <w:pStyle w:val="H56G"/>
      </w:pPr>
      <w:r>
        <w:tab/>
      </w:r>
      <w:r>
        <w:tab/>
      </w:r>
      <w:r w:rsidR="00617673" w:rsidRPr="00617673">
        <w:t>Un témoin a raconté :</w:t>
      </w:r>
    </w:p>
    <w:p w14:paraId="22B86EA2" w14:textId="43E15CFC" w:rsidR="00617673" w:rsidRPr="00617673" w:rsidRDefault="00617673" w:rsidP="00F933B4">
      <w:pPr>
        <w:pStyle w:val="SingleTxtG"/>
        <w:ind w:left="1701"/>
        <w:rPr>
          <w:lang w:val="fr-FR"/>
        </w:rPr>
      </w:pPr>
      <w:r w:rsidRPr="00617673">
        <w:rPr>
          <w:lang w:val="fr-FR"/>
        </w:rPr>
        <w:t>« </w:t>
      </w:r>
      <w:r w:rsidRPr="00617673">
        <w:rPr>
          <w:i/>
          <w:lang w:val="fr-FR"/>
        </w:rPr>
        <w:t xml:space="preserve">Après les attaques à la grenade à Bujumbura au mois de mai 2021, on a commencé à chercher les réfugiés qui venaient </w:t>
      </w:r>
      <w:r w:rsidR="00923D20">
        <w:rPr>
          <w:i/>
          <w:lang w:val="fr-FR"/>
        </w:rPr>
        <w:t>[…]</w:t>
      </w:r>
      <w:r w:rsidRPr="00617673">
        <w:rPr>
          <w:i/>
          <w:lang w:val="fr-FR"/>
        </w:rPr>
        <w:t xml:space="preserve">. On disait que c’étaient des réfugiés </w:t>
      </w:r>
      <w:r w:rsidR="00923D20">
        <w:rPr>
          <w:i/>
          <w:lang w:val="fr-FR"/>
        </w:rPr>
        <w:t xml:space="preserve">[…] </w:t>
      </w:r>
      <w:r w:rsidRPr="00617673">
        <w:rPr>
          <w:i/>
          <w:lang w:val="fr-FR"/>
        </w:rPr>
        <w:t xml:space="preserve">qui ont fait cela. Un voisin m’a dit que mon nom avait été donné à la documentation car on recherchait des réfugiés en provenance </w:t>
      </w:r>
      <w:r w:rsidR="00923D20">
        <w:rPr>
          <w:i/>
          <w:lang w:val="fr-FR"/>
        </w:rPr>
        <w:t>[…]</w:t>
      </w:r>
      <w:r w:rsidRPr="00617673">
        <w:rPr>
          <w:i/>
          <w:lang w:val="fr-FR"/>
        </w:rPr>
        <w:t>. Un jour que je n’étais pas chez moi, la documentation est venue où j’habitais [...] J’ai analysé ma situation. Je ne pouvais pas aller chez moi, je ne pouvais pas aller à [X] ou à Bujumbura. J’ai pris la décision de retourner en exil</w:t>
      </w:r>
      <w:r w:rsidRPr="00617673">
        <w:rPr>
          <w:lang w:val="fr-FR"/>
        </w:rPr>
        <w:t> »</w:t>
      </w:r>
      <w:r w:rsidRPr="0007457B">
        <w:rPr>
          <w:rStyle w:val="FootnoteReference"/>
        </w:rPr>
        <w:footnoteReference w:id="237"/>
      </w:r>
      <w:r w:rsidRPr="00617673">
        <w:rPr>
          <w:lang w:val="fr-FR"/>
        </w:rPr>
        <w:t>.</w:t>
      </w:r>
    </w:p>
    <w:p w14:paraId="7593F68F" w14:textId="77777777" w:rsidR="00617673" w:rsidRPr="00617673" w:rsidRDefault="0007457B" w:rsidP="0007457B">
      <w:pPr>
        <w:pStyle w:val="H56G"/>
      </w:pPr>
      <w:r>
        <w:tab/>
      </w:r>
      <w:r>
        <w:tab/>
      </w:r>
      <w:r w:rsidR="00617673" w:rsidRPr="00617673">
        <w:t>Un autre témoin, arrêté et interrogé par le SNR a expliqué :</w:t>
      </w:r>
    </w:p>
    <w:p w14:paraId="4866CE66" w14:textId="77777777" w:rsidR="00617673" w:rsidRPr="00617673" w:rsidRDefault="00617673" w:rsidP="0007457B">
      <w:pPr>
        <w:pStyle w:val="SingleTxtG"/>
        <w:ind w:left="1701"/>
      </w:pPr>
      <w:r w:rsidRPr="00617673">
        <w:t>« </w:t>
      </w:r>
      <w:r w:rsidRPr="00617673">
        <w:rPr>
          <w:i/>
        </w:rPr>
        <w:t>Ils m’ont posé les mêmes questions sur le camp, la rébellion, etc. Je leur ai dit que je n’avais aucune information là-dessus. Je leur ai dit qu’après toutes ces années passées au camp, j’avais entendu dire que la paix était revenue et j’avais donc décidé de rentrer. Je n’avais pas d’autres raisons de le faire. Ils m’ont dit que je leur cachais des choses, que j’étais venu en reconnaissance, que j’étais venu préparer le terrain pour les rebelles. […] Quand je niais, ils me frappaient et ils arrêtaient quand je n’étais plus en mesure de répondre. […] Ils me frappaient partout. J’ai même reçu un coup au niveau de la tête près de mon oreille. J’en ressens encore les douleurs</w:t>
      </w:r>
      <w:r w:rsidRPr="00617673">
        <w:t> »</w:t>
      </w:r>
      <w:r w:rsidRPr="0007457B">
        <w:rPr>
          <w:rStyle w:val="FootnoteReference"/>
        </w:rPr>
        <w:footnoteReference w:id="238"/>
      </w:r>
      <w:r w:rsidRPr="00617673">
        <w:t>.</w:t>
      </w:r>
    </w:p>
    <w:p w14:paraId="139FEB17" w14:textId="77777777" w:rsidR="00617673" w:rsidRPr="0007457B" w:rsidRDefault="0007457B" w:rsidP="0007457B">
      <w:pPr>
        <w:pStyle w:val="H4G"/>
        <w:rPr>
          <w:b/>
          <w:i w:val="0"/>
        </w:rPr>
      </w:pPr>
      <w:r>
        <w:rPr>
          <w:b/>
          <w:i w:val="0"/>
        </w:rPr>
        <w:tab/>
      </w:r>
      <w:r w:rsidR="00617673" w:rsidRPr="0007457B">
        <w:rPr>
          <w:b/>
          <w:i w:val="0"/>
        </w:rPr>
        <w:t>b)</w:t>
      </w:r>
      <w:r>
        <w:rPr>
          <w:b/>
          <w:i w:val="0"/>
        </w:rPr>
        <w:tab/>
      </w:r>
      <w:r w:rsidR="00617673" w:rsidRPr="0007457B">
        <w:rPr>
          <w:b/>
          <w:i w:val="0"/>
        </w:rPr>
        <w:t>Conditions socioéconomiques précai</w:t>
      </w:r>
      <w:r>
        <w:rPr>
          <w:b/>
          <w:i w:val="0"/>
        </w:rPr>
        <w:t>res</w:t>
      </w:r>
    </w:p>
    <w:p w14:paraId="790A8055" w14:textId="31A1E4AD" w:rsidR="00617673" w:rsidRPr="00617673" w:rsidRDefault="00617673" w:rsidP="00617673">
      <w:pPr>
        <w:pStyle w:val="SingleTxtG"/>
      </w:pPr>
      <w:r w:rsidRPr="00617673">
        <w:t>179.</w:t>
      </w:r>
      <w:r w:rsidR="0007457B">
        <w:tab/>
      </w:r>
      <w:r w:rsidRPr="00617673">
        <w:t>De grandes difficultés persistent également au niveau de la réintégration socio-économique des rapatriés car « les conditions d’accueil dans les zones d’origine demeurent précaires en raison de la pauvreté chronique, des vulnérabilités préexistantes dans ces localités et de l’insuffisance de réponse adéquate, liées aux solutions durables et au développement »</w:t>
      </w:r>
      <w:r w:rsidRPr="0007457B">
        <w:rPr>
          <w:rStyle w:val="FootnoteReference"/>
        </w:rPr>
        <w:footnoteReference w:id="239"/>
      </w:r>
      <w:r w:rsidRPr="00617673">
        <w:t>. Il est estimé qu’environ 70% des rapatriés ont des besoins humanitaires sévères (139 354 personnes) et 23% ont des besoins extrêmes (45 293 personnes), surtout dans les province</w:t>
      </w:r>
      <w:r w:rsidR="00181F87">
        <w:t>s</w:t>
      </w:r>
      <w:r w:rsidRPr="00617673">
        <w:t xml:space="preserve"> Cankuzo et Ruyigi</w:t>
      </w:r>
      <w:r w:rsidRPr="0007457B">
        <w:rPr>
          <w:rStyle w:val="FootnoteReference"/>
        </w:rPr>
        <w:footnoteReference w:id="240"/>
      </w:r>
      <w:r w:rsidRPr="00617673">
        <w:t xml:space="preserve">. </w:t>
      </w:r>
    </w:p>
    <w:p w14:paraId="1CDA2F57" w14:textId="77777777" w:rsidR="00617673" w:rsidRPr="00617673" w:rsidRDefault="00617673" w:rsidP="0007457B">
      <w:pPr>
        <w:pStyle w:val="SingleTxtG"/>
      </w:pPr>
      <w:r w:rsidRPr="00617673">
        <w:rPr>
          <w:lang w:val="fr-FR"/>
        </w:rPr>
        <w:t>180.</w:t>
      </w:r>
      <w:r w:rsidR="0007457B">
        <w:rPr>
          <w:lang w:val="fr-FR"/>
        </w:rPr>
        <w:tab/>
      </w:r>
      <w:r w:rsidRPr="00617673">
        <w:t>Selon l’équipe du HCR au Burundi, qui assure un suivi régulier de la protection des rapatriés depuis 2019, « la pression exercée par les gouvernements régionaux pour augmenter le rythme des retours a continué de s’intensifier ce qui a eu pour effet de surcharger la capacité d’accueil du HCR, en plus dépasser la capacité d’absorption dans les zones de retour »</w:t>
      </w:r>
      <w:r w:rsidRPr="0007457B">
        <w:rPr>
          <w:rStyle w:val="FootnoteReference"/>
        </w:rPr>
        <w:footnoteReference w:id="241"/>
      </w:r>
      <w:r w:rsidR="0007457B">
        <w:t>.</w:t>
      </w:r>
      <w:r w:rsidRPr="00617673">
        <w:t xml:space="preserve"> Parmi les principaux défis relevés par le HCR, on relève l’accès à l’eau potable avec seulement 41% des personnes interrogées par le HCR qui y ont accès ; l’accès au logement, puisque seulement 36% des ménages rapatriés ont eu accès à leur ancienne maison à leur retour, la plupart ayant été dégradées ou détruites par les phénomènes climatiques ; ainsi que la sécurité alimentaire (seulement 19% des personnes interrogées ont déclaré être satisfaites du niveau de leur sécurité alimentaire, la très grande majorité se plaignant de quantités insuffisantes pour faire deux repas par jour et de la faible diversité alimentaire)</w:t>
      </w:r>
      <w:r w:rsidRPr="0007457B">
        <w:rPr>
          <w:rStyle w:val="FootnoteReference"/>
        </w:rPr>
        <w:footnoteReference w:id="242"/>
      </w:r>
      <w:r w:rsidRPr="00617673">
        <w:t>. En revanche, dans le domaine de l’accès aux soins, une majorité de rapatriés se sont déclarés satisfaits (58%), même si certains ont déclaré ne pas avoir les moyens financiers nécessaires pour se soigner</w:t>
      </w:r>
      <w:r w:rsidRPr="0007457B">
        <w:rPr>
          <w:rStyle w:val="FootnoteReference"/>
        </w:rPr>
        <w:footnoteReference w:id="243"/>
      </w:r>
      <w:r w:rsidRPr="00617673">
        <w:t>.</w:t>
      </w:r>
    </w:p>
    <w:p w14:paraId="076ACC4F" w14:textId="77777777" w:rsidR="00617673" w:rsidRPr="00617673" w:rsidRDefault="00617673" w:rsidP="00617673">
      <w:pPr>
        <w:pStyle w:val="SingleTxtG"/>
      </w:pPr>
      <w:r w:rsidRPr="00617673">
        <w:t>181.</w:t>
      </w:r>
      <w:r w:rsidR="0007457B">
        <w:tab/>
      </w:r>
      <w:r w:rsidRPr="00617673">
        <w:t>Selon le HCR, de nombreux rapatriés n’étaient pas satisfaits de leurs conditions de vie et de leur situation après être rentrés au Burundi. Lors des exercices de suivi des rapatriés organisés en 2020, le HCR a constaté qu’environ 33% (4 698 ménages) ne se trouvaient plus dans leurs zones de retour respectives contre seulement 9% en 2019</w:t>
      </w:r>
      <w:r w:rsidRPr="0007457B">
        <w:rPr>
          <w:rStyle w:val="FootnoteReference"/>
        </w:rPr>
        <w:footnoteReference w:id="244"/>
      </w:r>
      <w:r w:rsidRPr="00617673">
        <w:t>. Une telle situation est « probablement due à une combinaison de facteurs allant des difficultés à accéder aux opportunités socio-économiques, y compris le manque de moyens de subsistance, d’abris ou de terres au retour et après le retour, le manque d’accès aux écoles et aux services de santé, ou les problèmes de sécurité, y compris les conflits locaux, mais aussi le harcèlement, persécution et discrimination par les communautés locales ou autres »</w:t>
      </w:r>
      <w:r w:rsidRPr="0007457B">
        <w:rPr>
          <w:rStyle w:val="FootnoteReference"/>
        </w:rPr>
        <w:footnoteReference w:id="245"/>
      </w:r>
      <w:r w:rsidRPr="00617673">
        <w:t>.</w:t>
      </w:r>
    </w:p>
    <w:p w14:paraId="7CBFB834" w14:textId="2E75A04A" w:rsidR="00617673" w:rsidRPr="00617673" w:rsidRDefault="00617673" w:rsidP="00617673">
      <w:pPr>
        <w:pStyle w:val="SingleTxtG"/>
      </w:pPr>
      <w:r w:rsidRPr="00617673">
        <w:t>182.</w:t>
      </w:r>
      <w:r w:rsidR="00DA1302">
        <w:tab/>
      </w:r>
      <w:r w:rsidRPr="00617673">
        <w:t>De plus, à l’instar du reste de la population, les disputes foncières et intrafamiliales ne trouvent pas de solutions satisfaisantes en raison notamment des dysfonctionnements du système judiciaire burundais. Dans le cadre de telles disputes privées impliquant des rapatriés, des Imbonerakure ont parfois été appelés pour « régler cette situation » par l’intimidation et la force ou lorsque des membres du parti</w:t>
      </w:r>
      <w:r w:rsidR="00181F87">
        <w:t xml:space="preserve"> au pouvoir</w:t>
      </w:r>
      <w:r w:rsidRPr="00617673">
        <w:t xml:space="preserve"> étaient parties au litige, les rapatriés ont préféré abandonner leur plainte ou requête par crainte pour leur sécurité</w:t>
      </w:r>
      <w:r w:rsidRPr="00DA1302">
        <w:rPr>
          <w:rStyle w:val="FootnoteReference"/>
        </w:rPr>
        <w:footnoteReference w:id="246"/>
      </w:r>
      <w:r w:rsidRPr="00617673">
        <w:t xml:space="preserve">. </w:t>
      </w:r>
    </w:p>
    <w:p w14:paraId="4EFCCBFF" w14:textId="77777777" w:rsidR="00617673" w:rsidRPr="00DA1302" w:rsidRDefault="00DA1302" w:rsidP="00DA1302">
      <w:pPr>
        <w:pStyle w:val="H4G"/>
        <w:rPr>
          <w:b/>
          <w:i w:val="0"/>
        </w:rPr>
      </w:pPr>
      <w:r>
        <w:rPr>
          <w:b/>
          <w:i w:val="0"/>
        </w:rPr>
        <w:tab/>
      </w:r>
      <w:r w:rsidR="00617673" w:rsidRPr="00DA1302">
        <w:rPr>
          <w:b/>
          <w:i w:val="0"/>
        </w:rPr>
        <w:t>c)</w:t>
      </w:r>
      <w:r>
        <w:rPr>
          <w:b/>
          <w:i w:val="0"/>
        </w:rPr>
        <w:tab/>
      </w:r>
      <w:r w:rsidR="00617673" w:rsidRPr="00DA1302">
        <w:rPr>
          <w:b/>
          <w:i w:val="0"/>
        </w:rPr>
        <w:t>Situation des femmes rapatriées</w:t>
      </w:r>
    </w:p>
    <w:p w14:paraId="532ADC70" w14:textId="77777777" w:rsidR="00617673" w:rsidRPr="00617673" w:rsidRDefault="00617673" w:rsidP="00617673">
      <w:pPr>
        <w:pStyle w:val="SingleTxtG"/>
        <w:rPr>
          <w:lang w:val="fr-FR"/>
        </w:rPr>
      </w:pPr>
      <w:r w:rsidRPr="00617673">
        <w:rPr>
          <w:lang w:val="fr-FR"/>
        </w:rPr>
        <w:t>183.</w:t>
      </w:r>
      <w:r w:rsidR="00DA1302">
        <w:rPr>
          <w:lang w:val="fr-FR"/>
        </w:rPr>
        <w:tab/>
      </w:r>
      <w:r w:rsidRPr="00617673">
        <w:rPr>
          <w:lang w:val="fr-FR"/>
        </w:rPr>
        <w:t>Les ménages dirigés par des femmes sont encore plus vulnérables et rencontrent des difficultés spécifiques : les femmes qui n’étaient pas légalement mariées et qui sont revenues sans leur conjoint n’ont pas le droit de retourner dans leur ancienne maison/terre et sont sujettes à la discrimination ainsi qu’à des menaces verbales et physiques</w:t>
      </w:r>
      <w:r w:rsidRPr="00DA1302">
        <w:rPr>
          <w:rStyle w:val="FootnoteReference"/>
        </w:rPr>
        <w:footnoteReference w:id="247"/>
      </w:r>
      <w:r w:rsidRPr="00617673">
        <w:rPr>
          <w:lang w:val="fr-FR"/>
        </w:rPr>
        <w:t>. Elles courent également des risques accrus d’exposition aux violences sexuelles, y compris le viol, le trafic humain, le mariage forcé, la prostitution forcée, les violences domestiques, etc., en raison notamment de leur situation de grande pauvreté conjuguée à la dégradation socio-économique du pays</w:t>
      </w:r>
      <w:r w:rsidRPr="00DA1302">
        <w:rPr>
          <w:rStyle w:val="FootnoteReference"/>
        </w:rPr>
        <w:footnoteReference w:id="248"/>
      </w:r>
      <w:r w:rsidRPr="00617673">
        <w:rPr>
          <w:lang w:val="fr-FR"/>
        </w:rPr>
        <w:t>. Il est estimé que globalement entre 30% et 70% de femmes rapatriées et 9% de filles de rapatriées sont exposées à des risques accrus de violences fondées sur le genre</w:t>
      </w:r>
      <w:r w:rsidRPr="00DA1302">
        <w:rPr>
          <w:rStyle w:val="FootnoteReference"/>
        </w:rPr>
        <w:footnoteReference w:id="249"/>
      </w:r>
      <w:r w:rsidRPr="00617673">
        <w:rPr>
          <w:lang w:val="fr-FR"/>
        </w:rPr>
        <w:t>, alors que l’État a l’obligation de protéger les femmes et les filles, notamment en agissant avec diligence pour prévenir ces actes de violence, en enquêtant sur ces actes et en punissant les auteurs</w:t>
      </w:r>
      <w:r w:rsidRPr="00DA1302">
        <w:rPr>
          <w:rStyle w:val="FootnoteReference"/>
        </w:rPr>
        <w:footnoteReference w:id="250"/>
      </w:r>
      <w:r w:rsidRPr="00617673">
        <w:rPr>
          <w:lang w:val="fr-FR"/>
        </w:rPr>
        <w:t>.</w:t>
      </w:r>
    </w:p>
    <w:p w14:paraId="3865B7A3" w14:textId="77777777" w:rsidR="00617673" w:rsidRPr="00617673" w:rsidRDefault="00DA1302" w:rsidP="00DA1302">
      <w:pPr>
        <w:pStyle w:val="H56G"/>
        <w:rPr>
          <w:lang w:val="fr-FR"/>
        </w:rPr>
      </w:pPr>
      <w:r>
        <w:rPr>
          <w:lang w:val="fr-FR"/>
        </w:rPr>
        <w:tab/>
      </w:r>
      <w:r>
        <w:rPr>
          <w:lang w:val="fr-FR"/>
        </w:rPr>
        <w:tab/>
      </w:r>
      <w:r w:rsidR="00617673" w:rsidRPr="00617673">
        <w:rPr>
          <w:lang w:val="fr-FR"/>
        </w:rPr>
        <w:t>Par exemple, une femme a raconté la violence domestique dont elle a été victime à son retour au Burundi :</w:t>
      </w:r>
    </w:p>
    <w:p w14:paraId="3142AFC6" w14:textId="57AD89E6" w:rsidR="00617673" w:rsidRPr="00617673" w:rsidRDefault="00617673" w:rsidP="00DA1302">
      <w:pPr>
        <w:pStyle w:val="SingleTxtG"/>
        <w:ind w:left="1701"/>
        <w:rPr>
          <w:lang w:val="fr-FR"/>
        </w:rPr>
      </w:pPr>
      <w:r w:rsidRPr="00617673">
        <w:rPr>
          <w:lang w:val="fr-FR"/>
        </w:rPr>
        <w:t>« </w:t>
      </w:r>
      <w:r w:rsidRPr="00617673">
        <w:rPr>
          <w:i/>
          <w:lang w:val="fr-FR"/>
        </w:rPr>
        <w:t>Mon mari venait de [X] et nous nous sommes rencontrés ici au camp. […] Mon mari ne me frappait pas [au camp] parce qu'on était proche de la famille. Ce n’est que quand nous sommes rentrés au Burundi qu'il a commencé à me frapper. […] Nous sommes arrivés au Burundi et puis il a complètement changé. Il a dit qu'il n’avait pas le temps de m'aider à m’occuper de l’enfant. […] Il a commencé à passer des nuits en dehors de notre maison sans me dire où il allait. Il a commencé à me montrer une autre face de lui que je ne connaissais pas. […] Après, l’argent qu’on nous avait donné pour le rapatriement, il a tout pris et il a disparu pendant trois mois. […] Il exigeait aussi que je quitte sa maison pour qu’il amène une femme de son ethnie […] Il me frappait avec des bâtons, y compris à la tête. Surtout il me frappait dans les côtes et le ventre en disant qu’il ne voulait pas que j’ai d'autres enfants</w:t>
      </w:r>
      <w:r w:rsidRPr="00617673">
        <w:rPr>
          <w:lang w:val="fr-FR"/>
        </w:rPr>
        <w:t> »</w:t>
      </w:r>
      <w:r w:rsidRPr="00DA1302">
        <w:rPr>
          <w:rStyle w:val="FootnoteReference"/>
        </w:rPr>
        <w:footnoteReference w:id="251"/>
      </w:r>
      <w:r w:rsidRPr="00617673">
        <w:rPr>
          <w:lang w:val="fr-FR"/>
        </w:rPr>
        <w:t>.</w:t>
      </w:r>
    </w:p>
    <w:p w14:paraId="3FD8528B" w14:textId="77777777" w:rsidR="00617673" w:rsidRPr="00DA1302" w:rsidRDefault="00DA1302" w:rsidP="00DA1302">
      <w:pPr>
        <w:pStyle w:val="H4G"/>
        <w:rPr>
          <w:b/>
          <w:i w:val="0"/>
        </w:rPr>
      </w:pPr>
      <w:r>
        <w:rPr>
          <w:b/>
          <w:i w:val="0"/>
        </w:rPr>
        <w:tab/>
      </w:r>
      <w:r w:rsidR="00617673" w:rsidRPr="00DA1302">
        <w:rPr>
          <w:b/>
          <w:i w:val="0"/>
        </w:rPr>
        <w:t>d)</w:t>
      </w:r>
      <w:r>
        <w:rPr>
          <w:b/>
          <w:i w:val="0"/>
        </w:rPr>
        <w:tab/>
      </w:r>
      <w:r w:rsidR="00617673" w:rsidRPr="00DA1302">
        <w:rPr>
          <w:b/>
          <w:i w:val="0"/>
        </w:rPr>
        <w:t>Situation des enfants rapatriés</w:t>
      </w:r>
    </w:p>
    <w:p w14:paraId="68E38465" w14:textId="77777777" w:rsidR="00617673" w:rsidRPr="00617673" w:rsidRDefault="00617673" w:rsidP="00617673">
      <w:pPr>
        <w:pStyle w:val="SingleTxtG"/>
      </w:pPr>
      <w:r w:rsidRPr="00617673">
        <w:t>184.</w:t>
      </w:r>
      <w:r w:rsidR="00DA1302">
        <w:tab/>
      </w:r>
      <w:r w:rsidRPr="00617673">
        <w:t xml:space="preserve">Il est estimé qu’en 2021, </w:t>
      </w:r>
      <w:r w:rsidRPr="00617673">
        <w:rPr>
          <w:lang w:val="fr-FR"/>
        </w:rPr>
        <w:t xml:space="preserve">28 000 enfants rapatriés entre 2017 et 2020 auraient encore un besoin de protection, tout comme 52 000 enfants qui seront rapatriés en 2021. L’enregistrement à l’état civil et l’obtention de certificat de naissance sont des défis pour les familles en situation d’extrême précarité et qui ne sont souvent pas au courant des démarches à suivre ou font face à des obstacles matériels tels que le prix, la distance pour se rendre sur les lieux pour l’enregistrement, etc. En conséquence, au 31 août 2020, seulement 45% des enfants rapatriés depuis 2017 avaient </w:t>
      </w:r>
      <w:r w:rsidR="00DA1302">
        <w:rPr>
          <w:lang w:val="fr-FR"/>
        </w:rPr>
        <w:t>reçu un certificat de naissance</w:t>
      </w:r>
      <w:r w:rsidRPr="00DA1302">
        <w:rPr>
          <w:rStyle w:val="FootnoteReference"/>
        </w:rPr>
        <w:footnoteReference w:id="252"/>
      </w:r>
      <w:r w:rsidR="00DA1302">
        <w:rPr>
          <w:lang w:val="fr-FR"/>
        </w:rPr>
        <w:t>.</w:t>
      </w:r>
      <w:r w:rsidRPr="00617673">
        <w:rPr>
          <w:lang w:val="fr-FR"/>
        </w:rPr>
        <w:t xml:space="preserve"> </w:t>
      </w:r>
    </w:p>
    <w:p w14:paraId="70B81ECB" w14:textId="77777777" w:rsidR="00617673" w:rsidRPr="00617673" w:rsidRDefault="00617673" w:rsidP="00617673">
      <w:pPr>
        <w:pStyle w:val="SingleTxtG"/>
      </w:pPr>
      <w:r w:rsidRPr="00617673">
        <w:t>185.</w:t>
      </w:r>
      <w:r w:rsidR="00DA1302">
        <w:tab/>
      </w:r>
      <w:r w:rsidRPr="00617673">
        <w:t>Les enfants rapatriés font souvent face à des difficultés d’adaptation sociale car leur situation a un impact sur leur santé psychologique, ce qui affecte leur scolarisation. Certains ont également des difficultés à s’inscrire à l’école en l’absence de documents d’état-civil</w:t>
      </w:r>
      <w:r w:rsidRPr="00DA1302">
        <w:rPr>
          <w:rStyle w:val="FootnoteReference"/>
        </w:rPr>
        <w:footnoteReference w:id="253"/>
      </w:r>
      <w:r w:rsidRPr="00617673">
        <w:t>. Effectivement, seulement 48% des enfants rapatriés sont inscrits à l’école, dont 34% à l’école primaire et 14% à l’école secondaire</w:t>
      </w:r>
      <w:r w:rsidRPr="00617673">
        <w:rPr>
          <w:vertAlign w:val="superscript"/>
        </w:rPr>
        <w:footnoteReference w:id="254"/>
      </w:r>
      <w:r w:rsidRPr="00617673">
        <w:t>.</w:t>
      </w:r>
    </w:p>
    <w:p w14:paraId="09A54C37" w14:textId="77777777" w:rsidR="00617673" w:rsidRPr="00FA45AB" w:rsidRDefault="000D45ED" w:rsidP="000D45ED">
      <w:pPr>
        <w:pStyle w:val="H1G"/>
        <w:rPr>
          <w:lang w:val="fr-CH"/>
        </w:rPr>
      </w:pPr>
      <w:r w:rsidRPr="00FA45AB">
        <w:rPr>
          <w:lang w:val="fr-CH"/>
        </w:rPr>
        <w:tab/>
        <w:t>D.</w:t>
      </w:r>
      <w:r w:rsidRPr="00FA45AB">
        <w:rPr>
          <w:lang w:val="fr-CH"/>
        </w:rPr>
        <w:tab/>
      </w:r>
      <w:r w:rsidR="00617673" w:rsidRPr="00FA45AB">
        <w:rPr>
          <w:lang w:val="fr-CH"/>
        </w:rPr>
        <w:t xml:space="preserve">Situation de la population en général </w:t>
      </w:r>
    </w:p>
    <w:p w14:paraId="25698BCF" w14:textId="77777777" w:rsidR="00617673" w:rsidRPr="00617673" w:rsidRDefault="000D45ED" w:rsidP="000D45ED">
      <w:pPr>
        <w:pStyle w:val="H23G"/>
      </w:pPr>
      <w:r>
        <w:tab/>
        <w:t>1.</w:t>
      </w:r>
      <w:r>
        <w:tab/>
      </w:r>
      <w:r w:rsidR="00617673" w:rsidRPr="00617673">
        <w:t>Situation socio-économique et humanitaire</w:t>
      </w:r>
    </w:p>
    <w:p w14:paraId="5D255605" w14:textId="77777777" w:rsidR="00617673" w:rsidRPr="00617673" w:rsidRDefault="00617673" w:rsidP="00617673">
      <w:pPr>
        <w:pStyle w:val="SingleTxtG"/>
        <w:rPr>
          <w:lang w:val="fr-FR"/>
        </w:rPr>
      </w:pPr>
      <w:r w:rsidRPr="00617673">
        <w:rPr>
          <w:lang w:val="fr-FR"/>
        </w:rPr>
        <w:t>186.</w:t>
      </w:r>
      <w:r w:rsidR="000D45ED">
        <w:rPr>
          <w:lang w:val="fr-FR"/>
        </w:rPr>
        <w:tab/>
      </w:r>
      <w:r w:rsidRPr="00617673">
        <w:rPr>
          <w:lang w:val="fr-FR"/>
        </w:rPr>
        <w:t>La situation globale de la population burundaise en matière de jouissance de ses droits économiques et sociaux reste préoccupante comme l’indiquent les différents rapports et indices statistiques établis par diverses agences des Nations Unies. Pour rappel, l’Etat burundais a l’obligation, en vertu du droit international des droits de l’homme, de prendre des mesures positives pour faciliter l’exercice des droits de l’homme de sa population, y compris les droits à un niveau de vie suffisant, à l’alimentation, à la santé, etc. En 2020, le Burundi occupe la 185</w:t>
      </w:r>
      <w:r w:rsidRPr="00617673">
        <w:rPr>
          <w:vertAlign w:val="superscript"/>
          <w:lang w:val="fr-FR"/>
        </w:rPr>
        <w:t>ième</w:t>
      </w:r>
      <w:r w:rsidRPr="00617673">
        <w:rPr>
          <w:lang w:val="fr-FR"/>
        </w:rPr>
        <w:t xml:space="preserve"> place sur les 189 pays classés sur l’indice de développement humain</w:t>
      </w:r>
      <w:r w:rsidRPr="000D45ED">
        <w:rPr>
          <w:rStyle w:val="FootnoteReference"/>
        </w:rPr>
        <w:footnoteReference w:id="255"/>
      </w:r>
      <w:r w:rsidRPr="00617673">
        <w:rPr>
          <w:lang w:val="fr-FR"/>
        </w:rPr>
        <w:t>. Selon la Banque mondiale, en 2019, 83,4% de la population vivait sous le seuil de pauvreté (sur la base du seuil international de pauvreté de 1,90 dollar par habitant et par jour en 2011)</w:t>
      </w:r>
      <w:r w:rsidRPr="000D45ED">
        <w:rPr>
          <w:rStyle w:val="FootnoteReference"/>
        </w:rPr>
        <w:footnoteReference w:id="256"/>
      </w:r>
      <w:r w:rsidRPr="00617673">
        <w:rPr>
          <w:lang w:val="fr-FR"/>
        </w:rPr>
        <w:t>, avec un revenu annuel par habitant particulièrement bas de 260 dollars (contre 520 en République démocratique du Congo –RDC et 1 080 en Tanzanie)</w:t>
      </w:r>
      <w:r w:rsidRPr="000D45ED">
        <w:rPr>
          <w:rStyle w:val="FootnoteReference"/>
        </w:rPr>
        <w:footnoteReference w:id="257"/>
      </w:r>
      <w:r w:rsidRPr="00617673">
        <w:rPr>
          <w:lang w:val="fr-FR"/>
        </w:rPr>
        <w:t>. Pour rappel, c’était 72,8% de la population qui vivait sous le seuil de pauvreté en 2013 et il est estimé que ce taux atteindra 87,4% de la population en 2023</w:t>
      </w:r>
      <w:r w:rsidRPr="000D45ED">
        <w:rPr>
          <w:rStyle w:val="FootnoteReference"/>
        </w:rPr>
        <w:footnoteReference w:id="258"/>
      </w:r>
      <w:r w:rsidRPr="00617673">
        <w:rPr>
          <w:lang w:val="fr-FR"/>
        </w:rPr>
        <w:t>.</w:t>
      </w:r>
    </w:p>
    <w:p w14:paraId="189E3935" w14:textId="77777777" w:rsidR="00617673" w:rsidRPr="000D45ED" w:rsidRDefault="000D45ED" w:rsidP="000D45ED">
      <w:pPr>
        <w:pStyle w:val="H4G"/>
        <w:rPr>
          <w:b/>
          <w:i w:val="0"/>
          <w:lang w:val="fr-FR"/>
        </w:rPr>
      </w:pPr>
      <w:r>
        <w:rPr>
          <w:b/>
          <w:i w:val="0"/>
          <w:lang w:val="fr-FR"/>
        </w:rPr>
        <w:tab/>
      </w:r>
      <w:r w:rsidR="00617673" w:rsidRPr="000D45ED">
        <w:rPr>
          <w:b/>
          <w:i w:val="0"/>
          <w:lang w:val="fr-FR"/>
        </w:rPr>
        <w:t>a</w:t>
      </w:r>
      <w:r>
        <w:rPr>
          <w:b/>
          <w:i w:val="0"/>
          <w:lang w:val="fr-FR"/>
        </w:rPr>
        <w:t>)</w:t>
      </w:r>
      <w:r>
        <w:rPr>
          <w:b/>
          <w:i w:val="0"/>
          <w:lang w:val="fr-FR"/>
        </w:rPr>
        <w:tab/>
      </w:r>
      <w:r w:rsidR="00617673" w:rsidRPr="000D45ED">
        <w:rPr>
          <w:b/>
          <w:i w:val="0"/>
          <w:lang w:val="fr-FR"/>
        </w:rPr>
        <w:t>Sécurité alimentaire et nutrition</w:t>
      </w:r>
    </w:p>
    <w:p w14:paraId="090566D9" w14:textId="6FD17850" w:rsidR="00617673" w:rsidRPr="00617673" w:rsidRDefault="00617673" w:rsidP="00617673">
      <w:pPr>
        <w:pStyle w:val="SingleTxtG"/>
        <w:rPr>
          <w:lang w:val="fr-FR"/>
        </w:rPr>
      </w:pPr>
      <w:r w:rsidRPr="00617673">
        <w:rPr>
          <w:lang w:val="fr-FR"/>
        </w:rPr>
        <w:t>187.</w:t>
      </w:r>
      <w:r w:rsidR="000D45ED">
        <w:rPr>
          <w:lang w:val="fr-FR"/>
        </w:rPr>
        <w:tab/>
      </w:r>
      <w:r w:rsidRPr="00617673">
        <w:rPr>
          <w:lang w:val="fr-FR"/>
        </w:rPr>
        <w:t>En 2020</w:t>
      </w:r>
      <w:r w:rsidR="000C6611">
        <w:rPr>
          <w:lang w:val="fr-FR"/>
        </w:rPr>
        <w:t xml:space="preserve">, </w:t>
      </w:r>
      <w:r w:rsidRPr="00617673">
        <w:rPr>
          <w:lang w:val="fr-FR"/>
        </w:rPr>
        <w:t>les prix des denrées de base comme le haricot, le riz et le maïs ont augmenté, notamment en raison de la fermeture partielle des frontières décidée dans le cadre de la pandémie de Covid-19 et des diverses catastrophes naturelles qui ont affecté les récoltes. Par exemple, en juillet 2020, le prix des haricots a augmenté de 31% par rapport à 2019 et de 38% par rapport à la moyenne des cinq dernières années. Le prix du maïs a quant à lui augmenté de 13% par rapport à 2019.</w:t>
      </w:r>
      <w:r w:rsidRPr="000D45ED">
        <w:rPr>
          <w:rStyle w:val="FootnoteReference"/>
        </w:rPr>
        <w:footnoteReference w:id="259"/>
      </w:r>
      <w:r w:rsidRPr="00617673">
        <w:rPr>
          <w:lang w:val="fr-FR"/>
        </w:rPr>
        <w:t xml:space="preserve"> </w:t>
      </w:r>
    </w:p>
    <w:p w14:paraId="59EE7290" w14:textId="77777777" w:rsidR="00617673" w:rsidRPr="00617673" w:rsidRDefault="00617673" w:rsidP="00617673">
      <w:pPr>
        <w:pStyle w:val="SingleTxtG"/>
        <w:rPr>
          <w:lang w:val="fr-FR"/>
        </w:rPr>
      </w:pPr>
      <w:r w:rsidRPr="00617673">
        <w:rPr>
          <w:lang w:val="fr-FR"/>
        </w:rPr>
        <w:t>188.</w:t>
      </w:r>
      <w:r w:rsidR="000D45ED">
        <w:rPr>
          <w:lang w:val="fr-FR"/>
        </w:rPr>
        <w:tab/>
      </w:r>
      <w:r w:rsidRPr="00617673">
        <w:rPr>
          <w:lang w:val="fr-FR"/>
        </w:rPr>
        <w:t>Selon l’aperçu des besoins humanitaires en 2021 préparé par le Bureau des Nations Unies pour la coordination des affaires humanitaires (OCHA), 2,3 millions de personnes au sein d’une population globale estimée à 12,6 millions sont dans le besoin d’assistance humanitaire, dont 661 000 en situation de besoin aigu. Parmi les personnes dans le besoin, 131 000 personnes sont des déplacés internes, 185 000 sont des rapatriés, 1,8 million sont des Burundais vulnérables et 95 000 des réfugiés de pays tiers, dont 50,8% sont des femmes, 56,7% sont des enfants et 15% des personnes vivant en situation de handicap.</w:t>
      </w:r>
      <w:r w:rsidRPr="000D45ED">
        <w:rPr>
          <w:rStyle w:val="FootnoteReference"/>
        </w:rPr>
        <w:footnoteReference w:id="260"/>
      </w:r>
      <w:r w:rsidRPr="00617673">
        <w:rPr>
          <w:lang w:val="fr-FR"/>
        </w:rPr>
        <w:t xml:space="preserve"> </w:t>
      </w:r>
    </w:p>
    <w:p w14:paraId="49A006F1" w14:textId="77777777" w:rsidR="00617673" w:rsidRPr="00F55128" w:rsidRDefault="00617673" w:rsidP="00F55128">
      <w:pPr>
        <w:pStyle w:val="SingleTxtG"/>
        <w:rPr>
          <w:rStyle w:val="FootnoteReference"/>
        </w:rPr>
      </w:pPr>
      <w:r w:rsidRPr="00617673">
        <w:rPr>
          <w:lang w:val="fr-FR"/>
        </w:rPr>
        <w:t>189.</w:t>
      </w:r>
      <w:r w:rsidR="000D45ED">
        <w:rPr>
          <w:lang w:val="fr-FR"/>
        </w:rPr>
        <w:tab/>
      </w:r>
      <w:r w:rsidRPr="00617673">
        <w:rPr>
          <w:lang w:val="fr-FR"/>
        </w:rPr>
        <w:t>La majorité d’entre elles a des besoins relatifs à la sécurité alimentaire (2 millions de personnes), en matière de nutrition (704 000 personnes dont 63% d’enfants et 37% de femmes), de santé (578 000 personnes), d’accès à l’eau, à l’assainissement et à l’hygiène (540 000 personnes), de protection (450 000 personnes), de protection de l’enfance (243 000 personnes), d’accès à un abri (249 000 personnes), de violence basée sur le genre (176 000 personnes) et d’accès à l’éduction (157 000 personnes). Ces chiffres sont en légère évolution par rapport à 2020 où 1,7 million de personnes avaient besoin d’assistance humanitaire, dont 600 000 en situation de besoin aigu. Les domaines dans lesquels le nombre de personnes dans le besoin ont le plus augmenté par rapport à 2020 sont la sécurité alimentaire (2 millions de personnes en 2021 contre 1,7 million en 2020), la nutrition (700 000 personnes en 2021 contre 340 000 personnes en 2020) et l’éducation (160 000 personnes en 2021 contre 70 000 en 2020</w:t>
      </w:r>
      <w:r w:rsidR="00F55128">
        <w:rPr>
          <w:lang w:val="fr-FR"/>
        </w:rPr>
        <w:t>)</w:t>
      </w:r>
      <w:r w:rsidRPr="00F55128">
        <w:rPr>
          <w:rStyle w:val="FootnoteReference"/>
        </w:rPr>
        <w:footnoteReference w:id="261"/>
      </w:r>
    </w:p>
    <w:p w14:paraId="2B97168A" w14:textId="77777777" w:rsidR="00617673" w:rsidRPr="00617673" w:rsidRDefault="00617673" w:rsidP="00617673">
      <w:pPr>
        <w:pStyle w:val="SingleTxtG"/>
        <w:rPr>
          <w:lang w:val="fr-FR"/>
        </w:rPr>
      </w:pPr>
      <w:r w:rsidRPr="00617673">
        <w:rPr>
          <w:lang w:val="fr-FR"/>
        </w:rPr>
        <w:t>190.</w:t>
      </w:r>
      <w:r w:rsidR="000D45ED">
        <w:rPr>
          <w:lang w:val="fr-FR"/>
        </w:rPr>
        <w:tab/>
      </w:r>
      <w:r w:rsidRPr="00617673">
        <w:rPr>
          <w:lang w:val="fr-FR"/>
        </w:rPr>
        <w:t>En effet, selon le Programme alimentaire mondial, seulement 28% de la population burundaise est en situation de sécurité alimentaire et 58% souffre de malnutrition chronique</w:t>
      </w:r>
      <w:r w:rsidRPr="00F55128">
        <w:rPr>
          <w:rStyle w:val="FootnoteReference"/>
        </w:rPr>
        <w:footnoteReference w:id="262"/>
      </w:r>
      <w:r w:rsidRPr="00617673">
        <w:rPr>
          <w:lang w:val="fr-FR"/>
        </w:rPr>
        <w:t>. En conséquence, 52% des enfants burundais de moins de cinq ans ont un retard de croissance (</w:t>
      </w:r>
      <w:r w:rsidRPr="00617673">
        <w:rPr>
          <w:i/>
          <w:lang w:val="fr-FR"/>
        </w:rPr>
        <w:t>stunting rate</w:t>
      </w:r>
      <w:r w:rsidRPr="00617673">
        <w:rPr>
          <w:lang w:val="fr-FR"/>
        </w:rPr>
        <w:t>) alors que le seuil d’alerte se situe à 40%</w:t>
      </w:r>
      <w:r w:rsidRPr="00F55128">
        <w:rPr>
          <w:rStyle w:val="FootnoteReference"/>
        </w:rPr>
        <w:footnoteReference w:id="263"/>
      </w:r>
      <w:r w:rsidRPr="00617673">
        <w:rPr>
          <w:lang w:val="fr-FR"/>
        </w:rPr>
        <w:t>. La Banque mondiale estime quant à elle que ce sont 57,5% des garçons burundais de moins de 5 ans et 50,7% des filles qui présentent un retard de croissance en 2019, pour une moyenne de 54% des enfants burundais</w:t>
      </w:r>
      <w:r w:rsidRPr="00F55128">
        <w:rPr>
          <w:rStyle w:val="FootnoteReference"/>
        </w:rPr>
        <w:footnoteReference w:id="264"/>
      </w:r>
      <w:r w:rsidRPr="00617673">
        <w:rPr>
          <w:lang w:val="fr-FR"/>
        </w:rPr>
        <w:t>. Pour rappel, les retards de croissance chez les enfants très jeunes ont des effets à long terme ; ils entrainent souvent des problèmes de santé et affectent le développement cognitif, la réussite scolaire, la productivité économique et la reproduction maternelle à l’âge adulte</w:t>
      </w:r>
      <w:r w:rsidRPr="00F55128">
        <w:rPr>
          <w:rStyle w:val="FootnoteReference"/>
        </w:rPr>
        <w:footnoteReference w:id="265"/>
      </w:r>
      <w:r w:rsidRPr="00617673">
        <w:rPr>
          <w:lang w:val="fr-FR"/>
        </w:rPr>
        <w:t>.</w:t>
      </w:r>
    </w:p>
    <w:p w14:paraId="3ECA52E7" w14:textId="3790321E" w:rsidR="00617673" w:rsidRPr="00F55128" w:rsidRDefault="00617673" w:rsidP="00F55128">
      <w:pPr>
        <w:pStyle w:val="SingleTxtG"/>
      </w:pPr>
      <w:r w:rsidRPr="00617673">
        <w:rPr>
          <w:lang w:val="fr-FR"/>
        </w:rPr>
        <w:t>191.</w:t>
      </w:r>
      <w:r w:rsidR="000D45ED">
        <w:rPr>
          <w:lang w:val="fr-FR"/>
        </w:rPr>
        <w:tab/>
      </w:r>
      <w:r w:rsidRPr="00617673">
        <w:rPr>
          <w:lang w:val="fr-FR"/>
        </w:rPr>
        <w:t>La population fait régulièrement face à des pénuries de produits de consommation de base, notamment le carburant, le sucre, la farine de blé et l’huile de palme ou à l’augmentation de leur prix</w:t>
      </w:r>
      <w:r w:rsidRPr="00F55128">
        <w:rPr>
          <w:rStyle w:val="FootnoteReference"/>
        </w:rPr>
        <w:footnoteReference w:id="266"/>
      </w:r>
      <w:r w:rsidRPr="00617673">
        <w:rPr>
          <w:lang w:val="fr-FR"/>
        </w:rPr>
        <w:t>. Par exemple, la Société sucrière de Moso (Sosumo), l’entreprise publique en charge de la production de sucre, qui avait pourtant confirmé que le niveau de production avait quadruplé entre 1988 et 2020 passant de 4 658 tonnes à 20 436 tonnes, n’a pas été en mesure de répondre à la demande intérieure et a dû avoir recours à des importations. Le prix du sucre a donc grimpé jusqu’à 3 000 francs burundais au kilogramme (approximativement 1,53 dollar)</w:t>
      </w:r>
      <w:r w:rsidRPr="00F55128">
        <w:rPr>
          <w:rStyle w:val="FootnoteReference"/>
        </w:rPr>
        <w:footnoteReference w:id="267"/>
      </w:r>
      <w:r w:rsidR="00181F87">
        <w:t>.</w:t>
      </w:r>
      <w:r w:rsidRPr="00617673">
        <w:rPr>
          <w:lang w:val="fr-FR"/>
        </w:rPr>
        <w:t xml:space="preserve"> Le Gouvernement a expliqué que ces hausses de prix étaient dues à la spéculation et il a décidé de fixer les prix de vente de certains produits agricoles et interdire les exportations, notamment d’huile de palme, y compris afin de constituer des stocks stratégiques</w:t>
      </w:r>
      <w:r w:rsidRPr="00F55128">
        <w:rPr>
          <w:rStyle w:val="FootnoteReference"/>
        </w:rPr>
        <w:footnoteReference w:id="268"/>
      </w:r>
      <w:r w:rsidR="00F55128">
        <w:rPr>
          <w:lang w:val="fr-FR"/>
        </w:rPr>
        <w:t>.</w:t>
      </w:r>
    </w:p>
    <w:p w14:paraId="2FA1259B" w14:textId="77777777" w:rsidR="00617673" w:rsidRPr="000D45ED" w:rsidRDefault="000D45ED" w:rsidP="000D45ED">
      <w:pPr>
        <w:pStyle w:val="H4G"/>
        <w:rPr>
          <w:b/>
          <w:i w:val="0"/>
          <w:lang w:val="fr-FR"/>
        </w:rPr>
      </w:pPr>
      <w:r>
        <w:rPr>
          <w:b/>
          <w:i w:val="0"/>
          <w:lang w:val="fr-FR"/>
        </w:rPr>
        <w:tab/>
      </w:r>
      <w:r w:rsidR="00617673" w:rsidRPr="000D45ED">
        <w:rPr>
          <w:b/>
          <w:i w:val="0"/>
          <w:lang w:val="fr-FR"/>
        </w:rPr>
        <w:t>b)</w:t>
      </w:r>
      <w:r>
        <w:rPr>
          <w:b/>
          <w:i w:val="0"/>
          <w:lang w:val="fr-FR"/>
        </w:rPr>
        <w:tab/>
      </w:r>
      <w:r w:rsidR="00617673" w:rsidRPr="000D45ED">
        <w:rPr>
          <w:b/>
          <w:i w:val="0"/>
          <w:lang w:val="fr-FR"/>
        </w:rPr>
        <w:t>Catastrophes naturelles et déplacements internes</w:t>
      </w:r>
    </w:p>
    <w:p w14:paraId="542C80F3" w14:textId="3016C051" w:rsidR="00617673" w:rsidRPr="00617673" w:rsidRDefault="00617673" w:rsidP="00617673">
      <w:pPr>
        <w:pStyle w:val="SingleTxtG"/>
        <w:rPr>
          <w:lang w:val="fr-FR"/>
        </w:rPr>
      </w:pPr>
      <w:r w:rsidRPr="00617673">
        <w:rPr>
          <w:lang w:val="fr-FR"/>
        </w:rPr>
        <w:t>192.</w:t>
      </w:r>
      <w:r w:rsidR="000D45ED">
        <w:rPr>
          <w:lang w:val="fr-FR"/>
        </w:rPr>
        <w:tab/>
      </w:r>
      <w:r w:rsidRPr="00617673">
        <w:rPr>
          <w:lang w:val="fr-FR"/>
        </w:rPr>
        <w:t>La situation humanitaire alarmante constatée au Burundi par les agences humanitaires des Nations Unies est liée en partie aux catastrophes naturelles récurrentes, notamment les pluies excessives entraînant des inondations et des glissements de terrain, mais également à la pandémie de Covid-19. Ces facteurs ont contribué à exacerber les vulnérabilités préexistantes et ont entraîné un accroissement du nombre de déplacés internes. C’est dans les provinces Cankuzo et Ruyigi, frontalières avec la Tanzanie, mais aussi la province Kirundo, frontalière avec le Rwanda, que les conditions humanitaires sont les plus graves et les personnes dans le besoin sont les plus nombreuses.</w:t>
      </w:r>
      <w:r w:rsidRPr="00F55128">
        <w:rPr>
          <w:rStyle w:val="FootnoteReference"/>
        </w:rPr>
        <w:footnoteReference w:id="269"/>
      </w:r>
    </w:p>
    <w:p w14:paraId="4108FBD5" w14:textId="77777777" w:rsidR="00617673" w:rsidRPr="00617673" w:rsidRDefault="000D45ED" w:rsidP="00617673">
      <w:pPr>
        <w:pStyle w:val="SingleTxtG"/>
      </w:pPr>
      <w:r>
        <w:t>193.</w:t>
      </w:r>
      <w:r>
        <w:tab/>
      </w:r>
      <w:r w:rsidR="00617673" w:rsidRPr="00617673">
        <w:t>En fait, le Burundi est un des pays parmi les plus vulnérables aux catastrophes naturelles, classé au 169</w:t>
      </w:r>
      <w:r w:rsidR="00617673" w:rsidRPr="00617673">
        <w:rPr>
          <w:vertAlign w:val="superscript"/>
        </w:rPr>
        <w:t xml:space="preserve">ième </w:t>
      </w:r>
      <w:r w:rsidR="00617673" w:rsidRPr="00617673">
        <w:t>rang sur 181 pays, étant « enclavé avec un relief accidenté et sujet à des inondations et glissements de terrain récurrents ». La pression croissante sur les ressources en eau et en sol, la faible couverture forestière (seulement 12% de terres boisées en 2016) ainsi que la faiblesse d’aménagement de certaines zones à risque d’inondations expliquent notamment la fréquence de ces catastrophes.</w:t>
      </w:r>
      <w:r w:rsidR="00617673" w:rsidRPr="00617673">
        <w:rPr>
          <w:lang w:val="fr-FR"/>
        </w:rPr>
        <w:t xml:space="preserve"> </w:t>
      </w:r>
      <w:r w:rsidR="00617673" w:rsidRPr="00617673">
        <w:t>Les provinces du nord (Ngozi, Kirundo), de l’ouest (Bubanza, Bujumbura) et du centre (Gitega) sont les plus vulnérables à ces catastrophes.</w:t>
      </w:r>
      <w:r w:rsidR="00617673" w:rsidRPr="00F55128">
        <w:rPr>
          <w:rStyle w:val="FootnoteReference"/>
        </w:rPr>
        <w:footnoteReference w:id="270"/>
      </w:r>
    </w:p>
    <w:p w14:paraId="16D0300F" w14:textId="77777777" w:rsidR="00617673" w:rsidRPr="00617673" w:rsidRDefault="000D45ED" w:rsidP="00617673">
      <w:pPr>
        <w:pStyle w:val="SingleTxtG"/>
      </w:pPr>
      <w:r>
        <w:t>194.</w:t>
      </w:r>
      <w:r>
        <w:tab/>
      </w:r>
      <w:r w:rsidR="00617673" w:rsidRPr="00617673">
        <w:t>Près de 100 000 personnes ont été ainsi affectées par des catastrophes naturelles en 2020 qui ont causé le déplacement de 44 222 d’entre elles</w:t>
      </w:r>
      <w:r w:rsidR="00617673" w:rsidRPr="00C13828">
        <w:rPr>
          <w:rStyle w:val="FootnoteReference"/>
        </w:rPr>
        <w:footnoteReference w:id="271"/>
      </w:r>
      <w:r w:rsidR="00617673" w:rsidRPr="00617673">
        <w:t>. De nouveaux</w:t>
      </w:r>
      <w:r w:rsidR="00617673" w:rsidRPr="00617673">
        <w:rPr>
          <w:lang w:val="fr-FR"/>
        </w:rPr>
        <w:t xml:space="preserve"> sites de déplacés ont dû être créés en raison de la stagnation prolongée des eaux dans les localités d’origine de ces déplacés (particulièrement à l’ouest du pays) qui empêchait leur retour</w:t>
      </w:r>
      <w:r w:rsidR="00617673" w:rsidRPr="00C13828">
        <w:rPr>
          <w:rStyle w:val="FootnoteReference"/>
        </w:rPr>
        <w:footnoteReference w:id="272"/>
      </w:r>
      <w:r w:rsidR="00617673" w:rsidRPr="00617673">
        <w:rPr>
          <w:lang w:val="fr-FR"/>
        </w:rPr>
        <w:t>. L’État burundais n’est évidemment pas responsable de ces phénomènes, mais il est dans l’obligation de protéger sa population.</w:t>
      </w:r>
    </w:p>
    <w:p w14:paraId="3C3FFFD4" w14:textId="77777777" w:rsidR="00617673" w:rsidRPr="000D45ED" w:rsidRDefault="000D45ED" w:rsidP="000D45ED">
      <w:pPr>
        <w:pStyle w:val="H4G"/>
        <w:rPr>
          <w:b/>
          <w:i w:val="0"/>
          <w:lang w:val="fr-FR"/>
        </w:rPr>
      </w:pPr>
      <w:r>
        <w:rPr>
          <w:b/>
          <w:i w:val="0"/>
          <w:lang w:val="fr-FR"/>
        </w:rPr>
        <w:tab/>
      </w:r>
      <w:r w:rsidR="00617673" w:rsidRPr="000D45ED">
        <w:rPr>
          <w:b/>
          <w:i w:val="0"/>
          <w:lang w:val="fr-FR"/>
        </w:rPr>
        <w:t>c)</w:t>
      </w:r>
      <w:r>
        <w:rPr>
          <w:b/>
          <w:i w:val="0"/>
          <w:lang w:val="fr-FR"/>
        </w:rPr>
        <w:tab/>
      </w:r>
      <w:r w:rsidR="00617673" w:rsidRPr="000D45ED">
        <w:rPr>
          <w:b/>
          <w:i w:val="0"/>
          <w:lang w:val="fr-FR"/>
        </w:rPr>
        <w:t>Situation médicale et sanitaire</w:t>
      </w:r>
    </w:p>
    <w:p w14:paraId="7E464CA4" w14:textId="7A3103EA" w:rsidR="00617673" w:rsidRPr="00617673" w:rsidRDefault="00617673" w:rsidP="00617673">
      <w:pPr>
        <w:pStyle w:val="SingleTxtG"/>
      </w:pPr>
      <w:r w:rsidRPr="00617673">
        <w:t>195.</w:t>
      </w:r>
      <w:r w:rsidR="000D45ED">
        <w:tab/>
      </w:r>
      <w:r w:rsidRPr="00617673">
        <w:t xml:space="preserve">Sur le plan sanitaire, le Burundi fait régulièrement face à la résurgence de maladies à potentiel épidémique comme le choléra et le paludisme. Toutefois, peu de cas de malaria et de choléra ont été enregistrés en 2020 par rapport à 2019 qui avait été marqué par une flambée épidémique de paludisme et une persistance du choléra. Seulement 70 cas de choléra ont été enregistrés de janvier à mai 2020 et seulement </w:t>
      </w:r>
      <w:r w:rsidR="008268E0">
        <w:t>cinq</w:t>
      </w:r>
      <w:r w:rsidRPr="00617673">
        <w:t xml:space="preserve"> districts sanitaires sur 47 étaient en état d’alerte concernant le paludisme. Le Burundi fait face néanmoins à une flambé</w:t>
      </w:r>
      <w:r w:rsidR="00C13828">
        <w:t>e importante de cas de rougeole</w:t>
      </w:r>
      <w:r w:rsidRPr="00C13828">
        <w:rPr>
          <w:rStyle w:val="FootnoteReference"/>
        </w:rPr>
        <w:footnoteReference w:id="273"/>
      </w:r>
      <w:r w:rsidR="00C13828">
        <w:t>.</w:t>
      </w:r>
    </w:p>
    <w:p w14:paraId="4A9D813A" w14:textId="00474CA2" w:rsidR="00617673" w:rsidRPr="00617673" w:rsidRDefault="00617673" w:rsidP="00617673">
      <w:pPr>
        <w:pStyle w:val="SingleTxtG"/>
        <w:rPr>
          <w:lang w:val="fr-FR"/>
        </w:rPr>
      </w:pPr>
      <w:r w:rsidRPr="00617673">
        <w:rPr>
          <w:lang w:val="fr-FR"/>
        </w:rPr>
        <w:t>196.</w:t>
      </w:r>
      <w:r w:rsidR="000D45ED">
        <w:rPr>
          <w:lang w:val="fr-FR"/>
        </w:rPr>
        <w:tab/>
      </w:r>
      <w:r w:rsidRPr="00617673">
        <w:rPr>
          <w:lang w:val="fr-FR"/>
        </w:rPr>
        <w:t>La précarité financière d’une grande partie de la population fragilise l’accès aux soins de santé de base et secondaires, et le réseau des structures médicales reste inadéquat en quantité et au niveau de la variété des soins prodigués. La durée de marche pour se rendre dans la structure de soins la plus proche est de moins de 30 minutes pour seulement 49% des Burundais. Il faut marcher entre 31 et 120 minutes pour 46% des ménages, et plus de deux heures pour 5% des ménages. Pour 20% des ménages vivant en milieu rural, le temps moyen se situe ent</w:t>
      </w:r>
      <w:r w:rsidR="00C13828">
        <w:rPr>
          <w:lang w:val="fr-FR"/>
        </w:rPr>
        <w:t>re une et deux heures de marche</w:t>
      </w:r>
      <w:r w:rsidRPr="00C13828">
        <w:rPr>
          <w:rStyle w:val="FootnoteReference"/>
        </w:rPr>
        <w:footnoteReference w:id="274"/>
      </w:r>
      <w:r w:rsidR="00D56558">
        <w:t>.</w:t>
      </w:r>
    </w:p>
    <w:p w14:paraId="44152868" w14:textId="77777777" w:rsidR="00617673" w:rsidRPr="00617673" w:rsidRDefault="00617673" w:rsidP="00617673">
      <w:pPr>
        <w:pStyle w:val="SingleTxtG"/>
      </w:pPr>
      <w:r w:rsidRPr="00617673">
        <w:rPr>
          <w:lang w:val="fr-FR"/>
        </w:rPr>
        <w:t>197.</w:t>
      </w:r>
      <w:r w:rsidR="000D45ED">
        <w:rPr>
          <w:lang w:val="fr-FR"/>
        </w:rPr>
        <w:tab/>
      </w:r>
      <w:r w:rsidRPr="00617673">
        <w:rPr>
          <w:lang w:val="fr-FR"/>
        </w:rPr>
        <w:t>Face à cette situation, le Président Ndayishimiye a promis lors de son investiture, de doter chacune des 119 communes d’un hôpital. Il a demandé que soient identifiés les centres de santé existants dans les 116 communes sans hôpital qui pourraient devenir cet hôpital</w:t>
      </w:r>
      <w:r w:rsidRPr="00AB6C6B">
        <w:rPr>
          <w:rStyle w:val="FootnoteReference"/>
        </w:rPr>
        <w:footnoteReference w:id="275"/>
      </w:r>
      <w:r w:rsidRPr="00617673">
        <w:rPr>
          <w:lang w:val="fr-FR"/>
        </w:rPr>
        <w:t>. L</w:t>
      </w:r>
      <w:r w:rsidRPr="00617673">
        <w:t>e Gouvernement a également prévu de réviser le prix de la carte d’assurance maladie (CAM) instaurée en 1984 avec un tarif unique de 3 000 Fbu (environ 1,50 dollar)</w:t>
      </w:r>
      <w:r w:rsidRPr="00AB6C6B">
        <w:rPr>
          <w:rStyle w:val="FootnoteReference"/>
        </w:rPr>
        <w:footnoteReference w:id="276"/>
      </w:r>
      <w:r w:rsidRPr="00617673">
        <w:t>. Celle-ci va devenir gratuite pour les plus vulnérables, le prix restera de 3 000 Fbu pour les ménages avec les plus faibles revenus et augmentera à 25 000 Fbu (environ 12,5 dollars) pour les ménages à revenu moyen et à 100 000 Fbu (environ 51 dollars) pour les ménages plus aisés</w:t>
      </w:r>
      <w:r w:rsidRPr="00AB6C6B">
        <w:rPr>
          <w:rStyle w:val="FootnoteReference"/>
        </w:rPr>
        <w:footnoteReference w:id="277"/>
      </w:r>
      <w:r w:rsidRPr="00617673">
        <w:t>. Le Gouvernement a expliqué que l’objectif de cette mesure était d’améliorer l’accessibilité financière des populations aux soins de santé. Il reste à voir comment cette initiative sera mise en œuvre, notamment pour l’identification des personnes les plus vulnérables ou à faible revenu, et si ces dernières pourront enfin avoir un accès facilité à des services de santé de qualité.</w:t>
      </w:r>
    </w:p>
    <w:p w14:paraId="345B9A39" w14:textId="77777777" w:rsidR="00617673" w:rsidRPr="00617673" w:rsidRDefault="00617673" w:rsidP="00617673">
      <w:pPr>
        <w:pStyle w:val="SingleTxtG"/>
        <w:rPr>
          <w:lang w:val="fr-FR"/>
        </w:rPr>
      </w:pPr>
      <w:r w:rsidRPr="00617673">
        <w:rPr>
          <w:lang w:val="fr-FR"/>
        </w:rPr>
        <w:t>198.</w:t>
      </w:r>
      <w:r w:rsidR="000D45ED">
        <w:rPr>
          <w:lang w:val="fr-FR"/>
        </w:rPr>
        <w:tab/>
      </w:r>
      <w:r w:rsidRPr="00617673">
        <w:rPr>
          <w:lang w:val="fr-FR"/>
        </w:rPr>
        <w:t>Face à la pandémie de Covid-19, le Président Ndayishimiye a immédiatement pris le contre-pied de son prédécesseur en déclarant que cette pandémie représentait un grand risque pour le pays. Au mois de mars 2021, le pays a adopté un plan national de riposte à la pandémie de Covid-19 pour la période avril-septembre 2021</w:t>
      </w:r>
      <w:r w:rsidRPr="00AB6C6B">
        <w:rPr>
          <w:rStyle w:val="FootnoteReference"/>
        </w:rPr>
        <w:footnoteReference w:id="278"/>
      </w:r>
      <w:r w:rsidRPr="00617673">
        <w:rPr>
          <w:lang w:val="fr-FR"/>
        </w:rPr>
        <w:t>. Des mesures ont été prises pour essayer d’endiguer la propagation de la maladie, notamment en ayant recours aux tests de dépistage, en décidant de mettre en quarantaine les voyageurs, en fermant partiellement les frontières terrestres et aériennes, et en reprenant la coopération avec l’Organisation mondiale de la santé (OMS) dont le nouveau Représentant est arrivé au mois d’avril 2021</w:t>
      </w:r>
      <w:r w:rsidRPr="00AB6C6B">
        <w:rPr>
          <w:rStyle w:val="FootnoteReference"/>
        </w:rPr>
        <w:footnoteReference w:id="279"/>
      </w:r>
      <w:r w:rsidR="00384271">
        <w:rPr>
          <w:lang w:val="fr-FR"/>
        </w:rPr>
        <w:t>.</w:t>
      </w:r>
    </w:p>
    <w:p w14:paraId="29A81703" w14:textId="77777777" w:rsidR="00617673" w:rsidRPr="00617673" w:rsidRDefault="00617673" w:rsidP="00617673">
      <w:pPr>
        <w:pStyle w:val="SingleTxtG"/>
        <w:rPr>
          <w:lang w:val="fr-FR"/>
        </w:rPr>
      </w:pPr>
      <w:r w:rsidRPr="00617673">
        <w:rPr>
          <w:lang w:val="fr-FR"/>
        </w:rPr>
        <w:t>199.</w:t>
      </w:r>
      <w:r w:rsidR="00384271">
        <w:rPr>
          <w:lang w:val="fr-FR"/>
        </w:rPr>
        <w:tab/>
      </w:r>
      <w:r w:rsidRPr="00617673">
        <w:rPr>
          <w:lang w:val="fr-FR"/>
        </w:rPr>
        <w:t>Selon le bilan publié par l’OMS, au 17 août 2021, la pandémie de Covid-19 aurait fait seulement dix morts pour un total de 10</w:t>
      </w:r>
      <w:r w:rsidRPr="00617673">
        <w:t> 198</w:t>
      </w:r>
      <w:r w:rsidRPr="00617673">
        <w:rPr>
          <w:lang w:val="fr-FR"/>
        </w:rPr>
        <w:t xml:space="preserve"> cas enregistrés depuis le printemps 2020</w:t>
      </w:r>
      <w:r w:rsidRPr="00384271">
        <w:rPr>
          <w:rStyle w:val="FootnoteReference"/>
        </w:rPr>
        <w:footnoteReference w:id="280"/>
      </w:r>
      <w:r w:rsidRPr="00617673">
        <w:rPr>
          <w:lang w:val="fr-FR"/>
        </w:rPr>
        <w:t>, bilan qui selon certains commentateurs serait sous-évalué</w:t>
      </w:r>
      <w:r w:rsidRPr="00384271">
        <w:rPr>
          <w:rStyle w:val="FootnoteReference"/>
        </w:rPr>
        <w:footnoteReference w:id="281"/>
      </w:r>
      <w:r w:rsidRPr="00617673">
        <w:rPr>
          <w:lang w:val="fr-FR"/>
        </w:rPr>
        <w:t>. Le Burundi a longtemps refusé d’entreprendre la vaccination de sa population car selon le Président, les vaccins étaient « encore au stade expérimental »</w:t>
      </w:r>
      <w:r w:rsidRPr="00384271">
        <w:rPr>
          <w:rStyle w:val="FootnoteReference"/>
        </w:rPr>
        <w:footnoteReference w:id="282"/>
      </w:r>
      <w:r w:rsidRPr="00617673">
        <w:rPr>
          <w:lang w:val="fr-FR"/>
        </w:rPr>
        <w:t xml:space="preserve"> ou encore que cela n’était pas nécessaire puisque « la population observe scrupuleusement les mesures barrières contre la COVID-19 »</w:t>
      </w:r>
      <w:r w:rsidRPr="00384271">
        <w:rPr>
          <w:rStyle w:val="FootnoteReference"/>
        </w:rPr>
        <w:footnoteReference w:id="283"/>
      </w:r>
      <w:r w:rsidRPr="00617673">
        <w:rPr>
          <w:lang w:val="fr-FR"/>
        </w:rPr>
        <w:t>. C’est seulement à la fin juillet 2021 que les autorités burundaises ont accepté du bout des lèvres un don de vaccins de la Banque mondiale et ont autorisé les Burundais qui le souhaitaient à se faire vacciner</w:t>
      </w:r>
      <w:r w:rsidRPr="00384271">
        <w:rPr>
          <w:rStyle w:val="FootnoteReference"/>
        </w:rPr>
        <w:footnoteReference w:id="284"/>
      </w:r>
      <w:r w:rsidRPr="00617673">
        <w:rPr>
          <w:lang w:val="fr-FR"/>
        </w:rPr>
        <w:t>. Cependant, aucune campagne pour inciter à la vaccination n’a été organisée et le Gouvernement a clarifié qu’il refusait d’assumer la responsabilité des éventuels effets secondaires des vaccins.</w:t>
      </w:r>
      <w:r w:rsidRPr="00384271">
        <w:rPr>
          <w:rStyle w:val="FootnoteReference"/>
        </w:rPr>
        <w:footnoteReference w:id="285"/>
      </w:r>
      <w:r w:rsidRPr="00617673">
        <w:rPr>
          <w:lang w:val="fr-FR"/>
        </w:rPr>
        <w:t xml:space="preserve"> Au 17 août 2021, aucune information sur la vaccination n’était disponible sur le site officiel du ministère de la Santé du Burundi</w:t>
      </w:r>
      <w:r w:rsidRPr="00384271">
        <w:rPr>
          <w:rStyle w:val="FootnoteReference"/>
        </w:rPr>
        <w:footnoteReference w:id="286"/>
      </w:r>
      <w:r w:rsidRPr="00617673">
        <w:rPr>
          <w:lang w:val="fr-FR"/>
        </w:rPr>
        <w:t>.</w:t>
      </w:r>
    </w:p>
    <w:p w14:paraId="5DF29276" w14:textId="77777777" w:rsidR="00617673" w:rsidRPr="00384271" w:rsidRDefault="00384271" w:rsidP="00384271">
      <w:pPr>
        <w:pStyle w:val="H4G"/>
        <w:rPr>
          <w:b/>
          <w:i w:val="0"/>
          <w:lang w:val="fr-FR"/>
        </w:rPr>
      </w:pPr>
      <w:r>
        <w:rPr>
          <w:b/>
          <w:i w:val="0"/>
          <w:lang w:val="fr-FR"/>
        </w:rPr>
        <w:tab/>
      </w:r>
      <w:r w:rsidR="00617673" w:rsidRPr="00384271">
        <w:rPr>
          <w:b/>
          <w:i w:val="0"/>
          <w:lang w:val="fr-FR"/>
        </w:rPr>
        <w:t>d)</w:t>
      </w:r>
      <w:r>
        <w:rPr>
          <w:b/>
          <w:i w:val="0"/>
          <w:lang w:val="fr-FR"/>
        </w:rPr>
        <w:tab/>
      </w:r>
      <w:r w:rsidR="00617673" w:rsidRPr="00384271">
        <w:rPr>
          <w:b/>
          <w:i w:val="0"/>
          <w:lang w:val="fr-FR"/>
        </w:rPr>
        <w:t>Situation des femmes et égalité de genre</w:t>
      </w:r>
    </w:p>
    <w:p w14:paraId="3DE9A6A3" w14:textId="77777777" w:rsidR="00617673" w:rsidRPr="00617673" w:rsidRDefault="00617673" w:rsidP="00617673">
      <w:pPr>
        <w:pStyle w:val="SingleTxtG"/>
        <w:rPr>
          <w:lang w:val="fr-FR"/>
        </w:rPr>
      </w:pPr>
      <w:r w:rsidRPr="00617673">
        <w:rPr>
          <w:lang w:val="fr-FR"/>
        </w:rPr>
        <w:t>200.</w:t>
      </w:r>
      <w:r w:rsidR="00384271">
        <w:rPr>
          <w:lang w:val="fr-FR"/>
        </w:rPr>
        <w:tab/>
      </w:r>
      <w:r w:rsidRPr="00617673">
        <w:rPr>
          <w:lang w:val="fr-FR"/>
        </w:rPr>
        <w:t>En matière d’égalité de genre, le Burundi figure à la 124</w:t>
      </w:r>
      <w:r w:rsidRPr="00617673">
        <w:rPr>
          <w:vertAlign w:val="superscript"/>
          <w:lang w:val="fr-FR"/>
        </w:rPr>
        <w:t>ième</w:t>
      </w:r>
      <w:r w:rsidRPr="00617673">
        <w:rPr>
          <w:lang w:val="fr-FR"/>
        </w:rPr>
        <w:t xml:space="preserve"> place sur 162 de l’indice de l’inégalité de genre (IIG), qui indique la perte du développement humain imputable à l’inégalité entre les hommes et les femmes. Le score élevé du Burundi est principalement lié aux problèmes touchant la santé reproductive des femmes et des filles, et à leur faible autonomisation et participation au marché du travail. Malgré de nombreuses déclarations (et apparentes initiatives) des autorités burundaises en faveur de l’autonomisation de la femme et de la santé maternelle notamment, cet indice a peu évolué au cours des cinq dernières années, passant de 0,515 en 2015 à 0,504 en 2019</w:t>
      </w:r>
      <w:r w:rsidRPr="00384271">
        <w:rPr>
          <w:rStyle w:val="FootnoteReference"/>
        </w:rPr>
        <w:footnoteReference w:id="287"/>
      </w:r>
      <w:r w:rsidRPr="00617673">
        <w:rPr>
          <w:lang w:val="fr-FR"/>
        </w:rPr>
        <w:t>. Concernant la santé de la reproduction, un taux important de mortalité maternelle persiste avec 334 décès pour 100 000 naissances contre une moyenne de 238 décès pour 100 000 naissances dans les pays en développement. Cela est dû notamment à l’insuffisance du plateau technique des services de santé.</w:t>
      </w:r>
      <w:r w:rsidRPr="00384271">
        <w:rPr>
          <w:rStyle w:val="FootnoteReference"/>
        </w:rPr>
        <w:footnoteReference w:id="288"/>
      </w:r>
    </w:p>
    <w:p w14:paraId="5AD4D712" w14:textId="77777777" w:rsidR="00617673" w:rsidRPr="00617673" w:rsidRDefault="00617673" w:rsidP="00617673">
      <w:pPr>
        <w:pStyle w:val="SingleTxtG"/>
        <w:rPr>
          <w:lang w:val="fr-FR"/>
        </w:rPr>
      </w:pPr>
      <w:r w:rsidRPr="00617673">
        <w:rPr>
          <w:lang w:val="fr-FR"/>
        </w:rPr>
        <w:t>201.</w:t>
      </w:r>
      <w:r w:rsidR="00384271">
        <w:rPr>
          <w:lang w:val="fr-FR"/>
        </w:rPr>
        <w:tab/>
      </w:r>
      <w:r w:rsidRPr="00617673">
        <w:rPr>
          <w:lang w:val="fr-FR"/>
        </w:rPr>
        <w:t>Il est estimé qu’en 2021, 176 000 personnes, dont 24 000 rapatriés, 25 000 déplacés internes et 127 000 autres personnes vulnérables qui pour 98% sont des femmes, auront besoin d’une assistance pour leur protection, notamment par rapport aux violences sexuelles et fondées sur le genre. Les acteurs humanitaires relèvent que la plupart des centres de santé ne disposent pas des ressources et capacités nécessaires (personnel formé et médicaments) pour prendre en charge de manière adéquate et spécifique les victimes de ces violences. Les services holistiques de première urgence pour les violences basées sur le genre à savoir médical, psychosocial, voire juridique et socio-économique, ne sont pas suffisants ni facilement accessibles avec seulement six centres intégrés opérationnels sur l’ensemble du pays dont la capacité opérationnelle est fortement diminuée depuis la fin du financement de la Banque mondiale. Si les autorités burundaises parviennent à couvrir certains besoins de la prise en charge psychosociale à travers les directions provinciales du développement familial et social, la prise en charge médicale et l’assistance juridique demeurent la responsabilité de la société civile ou des acteurs humanitaires. Il est difficile de garantir la gratuité des soins médicaux pour les survivantes de violences sexuelles et basées sur le genre</w:t>
      </w:r>
      <w:r w:rsidRPr="00A3520A">
        <w:rPr>
          <w:rStyle w:val="FootnoteReference"/>
        </w:rPr>
        <w:footnoteReference w:id="289"/>
      </w:r>
      <w:r w:rsidRPr="00617673">
        <w:rPr>
          <w:lang w:val="fr-FR"/>
        </w:rPr>
        <w:t xml:space="preserve">. </w:t>
      </w:r>
    </w:p>
    <w:p w14:paraId="1CA2F76E" w14:textId="77777777" w:rsidR="00617673" w:rsidRPr="00617673" w:rsidRDefault="00617673" w:rsidP="00617673">
      <w:pPr>
        <w:pStyle w:val="SingleTxtG"/>
        <w:rPr>
          <w:lang w:val="fr-FR"/>
        </w:rPr>
      </w:pPr>
      <w:r w:rsidRPr="00617673">
        <w:rPr>
          <w:lang w:val="fr-FR"/>
        </w:rPr>
        <w:t>202.</w:t>
      </w:r>
      <w:r w:rsidR="00A3520A">
        <w:rPr>
          <w:lang w:val="fr-FR"/>
        </w:rPr>
        <w:tab/>
      </w:r>
      <w:r w:rsidRPr="00617673">
        <w:rPr>
          <w:lang w:val="fr-FR"/>
        </w:rPr>
        <w:t>Les femmes et des filles qui vivent en situation de grande pauvreté font face à un risque accru d’exposition aux violences sexuelles telles que le viol, le trafic humain</w:t>
      </w:r>
      <w:r w:rsidRPr="00A3520A">
        <w:rPr>
          <w:rStyle w:val="FootnoteReference"/>
        </w:rPr>
        <w:footnoteReference w:id="290"/>
      </w:r>
      <w:r w:rsidRPr="00617673">
        <w:rPr>
          <w:lang w:val="fr-FR"/>
        </w:rPr>
        <w:t>, le mariage forcé, la prostitution forcée et les violences domestiques. La dégradation de leurs conditions de vie entraîne également l’adoption de stratégies négatives de survie comme la prostitution, qui augmentent à leur tour le risque de violences sexuelles et fondées sur le genre</w:t>
      </w:r>
      <w:r w:rsidRPr="00A3520A">
        <w:rPr>
          <w:rStyle w:val="FootnoteReference"/>
        </w:rPr>
        <w:footnoteReference w:id="291"/>
      </w:r>
      <w:r w:rsidRPr="00617673">
        <w:rPr>
          <w:lang w:val="fr-FR"/>
        </w:rPr>
        <w:t>. Dans un contexte général de pauvreté accrue et de manque de ressources affectées à la prise en charge holistique des violences sexuelles et basées sur le genre, plusieurs acteurs notent également une corrélation entre le niveau de pauvreté des survivantes (ou leur degré d’autonomie économique) et leur capacité à accéder aux services, soit en raison de la distance qui les sépare des centres de prise en charge, du caractère payant des soins ou de l’assistance ou encore de leur vulnérabilité aux pressions des auteurs ou de la communauté en cas de dénonciation des faits, particulièrement quand l’auteur dispose de moyens économiques et/ou d’une influence sociale relativement plus élevée</w:t>
      </w:r>
      <w:r w:rsidRPr="00A3520A">
        <w:rPr>
          <w:rStyle w:val="FootnoteReference"/>
        </w:rPr>
        <w:footnoteReference w:id="292"/>
      </w:r>
      <w:r w:rsidR="005616F5">
        <w:rPr>
          <w:lang w:val="fr-FR"/>
        </w:rPr>
        <w:t>.</w:t>
      </w:r>
    </w:p>
    <w:p w14:paraId="0DFC6B55" w14:textId="77777777" w:rsidR="00617673" w:rsidRPr="00A3520A" w:rsidRDefault="00A3520A" w:rsidP="00A3520A">
      <w:pPr>
        <w:pStyle w:val="H4G"/>
        <w:rPr>
          <w:b/>
          <w:i w:val="0"/>
          <w:lang w:val="fr-FR"/>
        </w:rPr>
      </w:pPr>
      <w:r>
        <w:rPr>
          <w:b/>
          <w:i w:val="0"/>
          <w:lang w:val="fr-FR"/>
        </w:rPr>
        <w:tab/>
        <w:t>e)</w:t>
      </w:r>
      <w:r>
        <w:rPr>
          <w:b/>
          <w:i w:val="0"/>
          <w:lang w:val="fr-FR"/>
        </w:rPr>
        <w:tab/>
      </w:r>
      <w:r w:rsidR="00617673" w:rsidRPr="00A3520A">
        <w:rPr>
          <w:b/>
          <w:i w:val="0"/>
          <w:lang w:val="fr-FR"/>
        </w:rPr>
        <w:t>Situation des enfants et leur droit à l’éducation</w:t>
      </w:r>
    </w:p>
    <w:p w14:paraId="27AE4205" w14:textId="77777777" w:rsidR="00617673" w:rsidRPr="00617673" w:rsidRDefault="00617673" w:rsidP="00617673">
      <w:pPr>
        <w:pStyle w:val="SingleTxtG"/>
        <w:rPr>
          <w:lang w:val="fr-FR"/>
        </w:rPr>
      </w:pPr>
      <w:r w:rsidRPr="00617673">
        <w:rPr>
          <w:lang w:val="fr-FR"/>
        </w:rPr>
        <w:t>203.</w:t>
      </w:r>
      <w:r w:rsidR="00A3520A">
        <w:rPr>
          <w:lang w:val="fr-FR"/>
        </w:rPr>
        <w:tab/>
      </w:r>
      <w:r w:rsidRPr="00617673">
        <w:rPr>
          <w:lang w:val="fr-FR"/>
        </w:rPr>
        <w:t>Selon les estimations de certains acteurs humanitaires, plus de 160 000 enfants burundais de 3 à 16 ans, dont 80 000 filles, risquent de ne pas être scolarisés ou de subir des interruptions de leur cursus en 2021, dont 35 000 enfants déplacés internes, 27 000 enfants rapatriés et 95 000 enfants vulnérables des communautés d’accueil de ces populations</w:t>
      </w:r>
      <w:r w:rsidRPr="005616F5">
        <w:rPr>
          <w:rStyle w:val="FootnoteReference"/>
        </w:rPr>
        <w:footnoteReference w:id="293"/>
      </w:r>
      <w:r w:rsidRPr="00617673">
        <w:rPr>
          <w:lang w:val="fr-FR"/>
        </w:rPr>
        <w:t>. Cependant, les résultats préliminaires de l’étude sur les enfants et adolescents en dehors de l’école (EADE) de 2020 révèlent que ce sont 1,9 million d’enfants qui sont non scolarisés au Burundi, dont de nombreux enfants contraints d’abandonner l’école pour contribuer aux besoins de leur famille. Par exemple, plus de 50% des enfants âgés de 4 à 19 ans résidant dans les provinces frontalières avec la Tanzanie étaient déscolarisés</w:t>
      </w:r>
      <w:r w:rsidR="005616F5">
        <w:rPr>
          <w:lang w:val="fr-FR"/>
        </w:rPr>
        <w:t xml:space="preserve"> en 2020</w:t>
      </w:r>
      <w:r w:rsidRPr="005616F5">
        <w:rPr>
          <w:rStyle w:val="FootnoteReference"/>
        </w:rPr>
        <w:footnoteReference w:id="294"/>
      </w:r>
      <w:r w:rsidR="005616F5">
        <w:rPr>
          <w:lang w:val="fr-FR"/>
        </w:rPr>
        <w:t>.</w:t>
      </w:r>
    </w:p>
    <w:p w14:paraId="2B851C49" w14:textId="77777777" w:rsidR="00617673" w:rsidRPr="00617673" w:rsidRDefault="00617673" w:rsidP="00617673">
      <w:pPr>
        <w:pStyle w:val="SingleTxtG"/>
        <w:rPr>
          <w:lang w:val="fr-FR"/>
        </w:rPr>
      </w:pPr>
      <w:r w:rsidRPr="00617673">
        <w:rPr>
          <w:lang w:val="fr-FR"/>
        </w:rPr>
        <w:t>204.</w:t>
      </w:r>
      <w:r w:rsidR="00A3520A">
        <w:rPr>
          <w:lang w:val="fr-FR"/>
        </w:rPr>
        <w:tab/>
      </w:r>
      <w:r w:rsidRPr="00617673">
        <w:rPr>
          <w:lang w:val="fr-FR"/>
        </w:rPr>
        <w:t>Le niveau élevé de pauvreté de leur famille, une offre éducative limitée tant au niveau des infrastructures que du nombre d’enseignants et un environnement d’apprentissage peu favorable, avec notamment une insuffisance de matériel pédagogique, d’eau et d’électricité sont les principales causes de la déscolarisation. Au cours de l’année scolaire 2019-2020, 1 609 salles de classe ont été détruites par les intempéries causant des interruptions des enseignements. Il y a en moyenne 75 élèves par salle de classe dans le pays mais jusqu’à 90 élèves par classe à Bujumbura (rural) et 133 enfants par classe dans la ville de Bujumbura (Mairie), ce qui crée des conditions peu propices à l’apprentissage, d’autant plus que souvent les enseignants n’ont pa</w:t>
      </w:r>
      <w:r w:rsidR="005616F5">
        <w:rPr>
          <w:lang w:val="fr-FR"/>
        </w:rPr>
        <w:t>s de formation suffisante</w:t>
      </w:r>
      <w:r w:rsidRPr="005616F5">
        <w:rPr>
          <w:rStyle w:val="FootnoteReference"/>
        </w:rPr>
        <w:footnoteReference w:id="295"/>
      </w:r>
      <w:r w:rsidR="005616F5">
        <w:rPr>
          <w:lang w:val="fr-FR"/>
        </w:rPr>
        <w:t>.</w:t>
      </w:r>
    </w:p>
    <w:p w14:paraId="4FC77AA5" w14:textId="77777777" w:rsidR="00617673" w:rsidRPr="00617673" w:rsidRDefault="00617673" w:rsidP="00617673">
      <w:pPr>
        <w:pStyle w:val="SingleTxtG"/>
        <w:rPr>
          <w:lang w:val="fr-FR"/>
        </w:rPr>
      </w:pPr>
      <w:r w:rsidRPr="00617673">
        <w:rPr>
          <w:lang w:val="fr-FR"/>
        </w:rPr>
        <w:t>205.</w:t>
      </w:r>
      <w:r w:rsidR="00A3520A">
        <w:rPr>
          <w:lang w:val="fr-FR"/>
        </w:rPr>
        <w:tab/>
      </w:r>
      <w:r w:rsidRPr="00617673">
        <w:rPr>
          <w:lang w:val="fr-FR"/>
        </w:rPr>
        <w:t>Les violences en milieu scolaire, y compris les violences sexuelles, les grossesses précoces et non désirées sont également des obstacles spécifiques à l’éducation des filles. Au cours de l’année scolaire 2017-2018, 1 432 filles avaient eu des grossesses en cours de scolarité et 1 524 filles sont tombées enceintes au cours de l’année scolaire 2018-2019.</w:t>
      </w:r>
      <w:r w:rsidRPr="003027B1">
        <w:rPr>
          <w:rStyle w:val="FootnoteReference"/>
        </w:rPr>
        <w:footnoteReference w:id="296"/>
      </w:r>
    </w:p>
    <w:p w14:paraId="7BEC28F6" w14:textId="77777777" w:rsidR="00617673" w:rsidRPr="00617673" w:rsidRDefault="003027B1" w:rsidP="00617673">
      <w:pPr>
        <w:pStyle w:val="SingleTxtG"/>
      </w:pPr>
      <w:r>
        <w:rPr>
          <w:lang w:val="fr-FR"/>
        </w:rPr>
        <w:t>206.</w:t>
      </w:r>
      <w:r>
        <w:rPr>
          <w:lang w:val="fr-FR"/>
        </w:rPr>
        <w:tab/>
      </w:r>
      <w:r w:rsidR="00617673" w:rsidRPr="00617673">
        <w:rPr>
          <w:lang w:val="fr-FR"/>
        </w:rPr>
        <w:t>Par ailleurs</w:t>
      </w:r>
      <w:r w:rsidR="00617673" w:rsidRPr="00617673">
        <w:t>, on dénombre plus de 5 000 enfants en situation de rue dans les seules villes de Bujumbura, Gitega, Ngozi et Kayanza et ces chiffres ont tendance à augmenter régulièrement, résultat de la pauvreté et/ou des maltraitances au sein des communautés ou de leur famille</w:t>
      </w:r>
      <w:r w:rsidR="00617673" w:rsidRPr="003027B1">
        <w:rPr>
          <w:rStyle w:val="FootnoteReference"/>
        </w:rPr>
        <w:footnoteReference w:id="297"/>
      </w:r>
      <w:r w:rsidR="00617673" w:rsidRPr="00617673">
        <w:t>.</w:t>
      </w:r>
    </w:p>
    <w:p w14:paraId="5F7A755F" w14:textId="77777777" w:rsidR="00617673" w:rsidRPr="00617673" w:rsidRDefault="003027B1" w:rsidP="003027B1">
      <w:pPr>
        <w:pStyle w:val="H23G"/>
      </w:pPr>
      <w:r>
        <w:tab/>
        <w:t>2.</w:t>
      </w:r>
      <w:r>
        <w:tab/>
      </w:r>
      <w:r w:rsidR="00617673" w:rsidRPr="00617673">
        <w:t>Principales violations des droits de l’homme contre la population</w:t>
      </w:r>
    </w:p>
    <w:p w14:paraId="77F5B53E" w14:textId="77777777" w:rsidR="00617673" w:rsidRPr="003027B1" w:rsidRDefault="003027B1" w:rsidP="003027B1">
      <w:pPr>
        <w:pStyle w:val="H4G"/>
        <w:rPr>
          <w:b/>
          <w:i w:val="0"/>
          <w:lang w:val="fr-FR"/>
        </w:rPr>
      </w:pPr>
      <w:r>
        <w:rPr>
          <w:b/>
          <w:i w:val="0"/>
          <w:lang w:val="fr-FR"/>
        </w:rPr>
        <w:tab/>
      </w:r>
      <w:r w:rsidR="00617673" w:rsidRPr="003027B1">
        <w:rPr>
          <w:b/>
          <w:i w:val="0"/>
          <w:lang w:val="fr-FR"/>
        </w:rPr>
        <w:t>a)</w:t>
      </w:r>
      <w:r>
        <w:rPr>
          <w:b/>
          <w:i w:val="0"/>
          <w:lang w:val="fr-FR"/>
        </w:rPr>
        <w:tab/>
      </w:r>
      <w:r w:rsidR="00617673" w:rsidRPr="003027B1">
        <w:rPr>
          <w:b/>
          <w:i w:val="0"/>
          <w:lang w:val="fr-FR"/>
        </w:rPr>
        <w:t>Contributions forcées</w:t>
      </w:r>
    </w:p>
    <w:p w14:paraId="283715C5" w14:textId="77777777" w:rsidR="00617673" w:rsidRPr="00617673" w:rsidRDefault="00617673" w:rsidP="00617673">
      <w:pPr>
        <w:pStyle w:val="SingleTxtG"/>
        <w:rPr>
          <w:lang w:val="fr-FR"/>
        </w:rPr>
      </w:pPr>
      <w:r w:rsidRPr="00617673">
        <w:rPr>
          <w:lang w:val="fr-FR"/>
        </w:rPr>
        <w:t>207.</w:t>
      </w:r>
      <w:r w:rsidR="003027B1">
        <w:rPr>
          <w:lang w:val="fr-FR"/>
        </w:rPr>
        <w:tab/>
      </w:r>
      <w:r w:rsidRPr="00617673">
        <w:rPr>
          <w:lang w:val="fr-FR"/>
        </w:rPr>
        <w:t>Par le passé, la Commission a largement documenté la pratique très fréquente de demander à la population de verser sous la contrainte des contributions soi-disant volontaires, et parfois obligatoires, notamment au profit du parti au pouvoir CNDD-FDD et pour organiser les élections de 2020. Ces contributions, souvent sans base légale et dont il est quasi impossible de vérifier le montant global et leur utilisation, ont un impact direct sur le droit à un niveau de vie suffisant de la population dont la majorité vit dans une grande pauvreté</w:t>
      </w:r>
      <w:r w:rsidRPr="003027B1">
        <w:rPr>
          <w:rStyle w:val="FootnoteReference"/>
        </w:rPr>
        <w:footnoteReference w:id="298"/>
      </w:r>
      <w:r w:rsidRPr="00617673">
        <w:rPr>
          <w:lang w:val="fr-FR"/>
        </w:rPr>
        <w:t>.</w:t>
      </w:r>
    </w:p>
    <w:p w14:paraId="27596122" w14:textId="77777777" w:rsidR="00617673" w:rsidRPr="00617673" w:rsidRDefault="00617673" w:rsidP="00617673">
      <w:pPr>
        <w:pStyle w:val="SingleTxtG"/>
      </w:pPr>
      <w:r w:rsidRPr="00617673">
        <w:rPr>
          <w:lang w:val="fr-FR"/>
        </w:rPr>
        <w:t>208.</w:t>
      </w:r>
      <w:r w:rsidR="003027B1">
        <w:rPr>
          <w:lang w:val="fr-FR"/>
        </w:rPr>
        <w:tab/>
      </w:r>
      <w:r w:rsidRPr="00617673">
        <w:rPr>
          <w:lang w:val="fr-FR"/>
        </w:rPr>
        <w:t>Depuis l’investiture du Président Ndayishimiye, la population a continué à être contrainte de verser des contributions afin de financer des infrastructures publiques, contribuer au développement ou soutenir le parti au pouvoir, sous peine de se voir notamment refuser l’accès à des services ou des lieux publics, ou dénier l’octroi de documents administratifs</w:t>
      </w:r>
      <w:r w:rsidRPr="003027B1">
        <w:rPr>
          <w:rStyle w:val="FootnoteReference"/>
        </w:rPr>
        <w:footnoteReference w:id="299"/>
      </w:r>
      <w:r w:rsidRPr="00617673">
        <w:rPr>
          <w:lang w:val="fr-FR"/>
        </w:rPr>
        <w:t xml:space="preserve">. Le ministre de l’Intérieur, du Développement communautaire et de la Sécurité publique </w:t>
      </w:r>
      <w:r w:rsidRPr="00617673">
        <w:t>a lui-même reconnu et dénoncé l’existence de telles pratiques par certaines autorités communales et provinciales</w:t>
      </w:r>
      <w:r w:rsidRPr="003027B1">
        <w:rPr>
          <w:rStyle w:val="FootnoteReference"/>
        </w:rPr>
        <w:footnoteReference w:id="300"/>
      </w:r>
      <w:r w:rsidRPr="00617673">
        <w:t>.</w:t>
      </w:r>
    </w:p>
    <w:p w14:paraId="23824509" w14:textId="77777777" w:rsidR="00617673" w:rsidRPr="00617673" w:rsidRDefault="003027B1" w:rsidP="003027B1">
      <w:pPr>
        <w:pStyle w:val="H56G"/>
      </w:pPr>
      <w:r>
        <w:tab/>
      </w:r>
      <w:r>
        <w:tab/>
      </w:r>
      <w:r w:rsidR="00617673" w:rsidRPr="00617673">
        <w:t>Un témoin a expliqué :</w:t>
      </w:r>
    </w:p>
    <w:p w14:paraId="579F2503" w14:textId="77777777" w:rsidR="00617673" w:rsidRPr="00617673" w:rsidRDefault="00617673" w:rsidP="003027B1">
      <w:pPr>
        <w:pStyle w:val="SingleTxtG"/>
        <w:ind w:left="1701"/>
        <w:rPr>
          <w:lang w:val="fr-FR"/>
        </w:rPr>
      </w:pPr>
      <w:r w:rsidRPr="00617673">
        <w:rPr>
          <w:lang w:val="fr-FR"/>
        </w:rPr>
        <w:t>« </w:t>
      </w:r>
      <w:r w:rsidRPr="00617673">
        <w:rPr>
          <w:i/>
          <w:lang w:val="fr-FR"/>
        </w:rPr>
        <w:t>Nous devons donner des contributions à des barrières où on te somme de donner de l’argent. Ce sont les Imbonerakure qui le demandent. On te remet une quittance et puis après tu ne dois plus la payer. Ils ont fait cela en janvier 2021. On a donné 500 Fbu [environ 0,25 dollar]. […] C'était déjà comme cela l’année passée. Il n’y avait pas de fréquence établie. Parfois on peut te demander 1 000 Fbu, puis trois mois après 500 Fbu. On te disait que c'était pour le développement ou leur parti. Si tu n’avais pas la somme, tu devais donner quelque chose en échange. Par exemple, des haricots. Je ne sais pas si ce sont des quittances officielles. […] Le montant est pour un ménage</w:t>
      </w:r>
      <w:r w:rsidRPr="00617673">
        <w:rPr>
          <w:lang w:val="fr-FR"/>
        </w:rPr>
        <w:t> »</w:t>
      </w:r>
      <w:r w:rsidRPr="003027B1">
        <w:rPr>
          <w:rStyle w:val="FootnoteReference"/>
        </w:rPr>
        <w:footnoteReference w:id="301"/>
      </w:r>
      <w:r w:rsidRPr="00617673">
        <w:rPr>
          <w:lang w:val="fr-FR"/>
        </w:rPr>
        <w:t>.</w:t>
      </w:r>
    </w:p>
    <w:p w14:paraId="4FE80A3B" w14:textId="77777777" w:rsidR="00617673" w:rsidRPr="00617673" w:rsidRDefault="00617673" w:rsidP="00617673">
      <w:pPr>
        <w:pStyle w:val="SingleTxtG"/>
        <w:rPr>
          <w:lang w:val="fr-FR"/>
        </w:rPr>
      </w:pPr>
      <w:r w:rsidRPr="00617673">
        <w:rPr>
          <w:lang w:val="fr-FR"/>
        </w:rPr>
        <w:t>209.</w:t>
      </w:r>
      <w:r w:rsidR="003027B1">
        <w:rPr>
          <w:lang w:val="fr-FR"/>
        </w:rPr>
        <w:tab/>
      </w:r>
      <w:r w:rsidRPr="00617673">
        <w:rPr>
          <w:lang w:val="fr-FR"/>
        </w:rPr>
        <w:t>Par exemple, une contribution « volontaire » a ainsi été organisée auprès de fonctionnaires dans au moins une province pour financer une compétition de football en l’honneur du feu Président Nkurunziza</w:t>
      </w:r>
      <w:r w:rsidRPr="003027B1">
        <w:rPr>
          <w:rStyle w:val="FootnoteReference"/>
        </w:rPr>
        <w:footnoteReference w:id="302"/>
      </w:r>
      <w:r w:rsidRPr="00617673">
        <w:rPr>
          <w:lang w:val="fr-FR"/>
        </w:rPr>
        <w:t> ; des personnes ont été menacées car elles ne donnaient pas suffisamment pour le CNDD-FDD</w:t>
      </w:r>
      <w:r w:rsidRPr="003027B1">
        <w:rPr>
          <w:rStyle w:val="FootnoteReference"/>
        </w:rPr>
        <w:footnoteReference w:id="303"/>
      </w:r>
      <w:r w:rsidRPr="00617673">
        <w:rPr>
          <w:lang w:val="fr-FR"/>
        </w:rPr>
        <w:t> ; le gouverneur de la province Cankuzo a obligé les fonctionnaires à acheter des pagnes pour célébrer la fête du travail</w:t>
      </w:r>
      <w:r w:rsidRPr="003027B1">
        <w:rPr>
          <w:rStyle w:val="FootnoteReference"/>
        </w:rPr>
        <w:footnoteReference w:id="304"/>
      </w:r>
      <w:r w:rsidRPr="00617673">
        <w:rPr>
          <w:lang w:val="fr-FR"/>
        </w:rPr>
        <w:t> ; des Imbonerakure sont passés de maison en maison pour récolter les « contributions volontaires » organisés au mois d’août 2021, à l’occasion des journées dédiées à la « solidarité locale » et à « la fête communale »</w:t>
      </w:r>
      <w:r w:rsidRPr="003027B1">
        <w:rPr>
          <w:rStyle w:val="FootnoteReference"/>
        </w:rPr>
        <w:footnoteReference w:id="305"/>
      </w:r>
      <w:r w:rsidRPr="00617673">
        <w:rPr>
          <w:lang w:val="fr-FR"/>
        </w:rPr>
        <w:t>.</w:t>
      </w:r>
    </w:p>
    <w:p w14:paraId="0B9C14C5" w14:textId="5BEBB95A" w:rsidR="00617673" w:rsidRPr="00617673" w:rsidRDefault="00617673" w:rsidP="00617673">
      <w:pPr>
        <w:pStyle w:val="SingleTxtG"/>
        <w:rPr>
          <w:lang w:val="fr-FR"/>
        </w:rPr>
      </w:pPr>
      <w:r w:rsidRPr="00617673">
        <w:rPr>
          <w:lang w:val="fr-FR"/>
        </w:rPr>
        <w:t>210.</w:t>
      </w:r>
      <w:r w:rsidR="00FC7026">
        <w:rPr>
          <w:lang w:val="fr-FR"/>
        </w:rPr>
        <w:tab/>
      </w:r>
      <w:r w:rsidRPr="00617673">
        <w:rPr>
          <w:lang w:val="fr-FR"/>
        </w:rPr>
        <w:t>Le gouverneur de la province Rumonge a déclaré être « en train de construire un nouveau bureau provincial. Cela sera un bâtiment en étages de deux niveaux. Dans les prévisions, le bureau va coûter environ 1,3 milliard de francs burundais [environ 666 000 dollars]. Mais, le constat est que ça va aller au-delà. […] L’argent vient premièrement de la population. Le deadline de paiement d’au moins 2 000 francs burundais [environ 1 dollar] par toute personne de Rumonge, ayant 18 ans, est fixé au 15 mai 2021. Des communiqués ont été faits, des réunions organisées. […] Recouvrement forcé ? Moi je n’ai pas encore entendu cela. Nous passons par des communiqués. Des chefs collinaires ont des reçus de paiement. Les administrateurs ne font que le suivi. […] En matière de développement, personne ne doit traîner les pieds. […] Ceux qui traînent les pieds sont pris comme des ennemis du développement. Dans ce genre de travaux, il n’y a pas de démocratie. Il faut le comprendre. Nous devons nous aligner. Tout le monde doit suivre »</w:t>
      </w:r>
      <w:r w:rsidRPr="00FC7026">
        <w:rPr>
          <w:rStyle w:val="FootnoteReference"/>
        </w:rPr>
        <w:footnoteReference w:id="306"/>
      </w:r>
      <w:r w:rsidRPr="00617673">
        <w:rPr>
          <w:lang w:val="fr-FR"/>
        </w:rPr>
        <w:t>.</w:t>
      </w:r>
    </w:p>
    <w:p w14:paraId="00C390D6" w14:textId="77777777" w:rsidR="00617673" w:rsidRPr="00617673" w:rsidRDefault="00617673" w:rsidP="00617673">
      <w:pPr>
        <w:pStyle w:val="SingleTxtG"/>
        <w:rPr>
          <w:lang w:val="fr-FR"/>
        </w:rPr>
      </w:pPr>
      <w:r w:rsidRPr="00617673">
        <w:rPr>
          <w:lang w:val="fr-FR"/>
        </w:rPr>
        <w:t>211.</w:t>
      </w:r>
      <w:r w:rsidR="00FC7026">
        <w:rPr>
          <w:lang w:val="fr-FR"/>
        </w:rPr>
        <w:tab/>
      </w:r>
      <w:r w:rsidRPr="00617673">
        <w:rPr>
          <w:lang w:val="fr-FR"/>
        </w:rPr>
        <w:t>Le gouverneur de la province Muyinga a quant à lui déclaré être en train de faire construire un bureau de la province pour un montant de 1,8 milliard de francs burundais (environ 915 000 dollars) financé principalement par des contributions soi-disant volontaires</w:t>
      </w:r>
      <w:r w:rsidRPr="00FC7026">
        <w:rPr>
          <w:rStyle w:val="FootnoteReference"/>
        </w:rPr>
        <w:footnoteReference w:id="307"/>
      </w:r>
      <w:r w:rsidRPr="00617673">
        <w:rPr>
          <w:lang w:val="fr-FR"/>
        </w:rPr>
        <w:t>. Dans cette même province, les travaux de construction de bureau de la commune Muyinga, bâti notamment grâce aux contributions « volontaires » de la population, ont été lancés le 21 août 2021</w:t>
      </w:r>
      <w:r w:rsidRPr="00FC7026">
        <w:rPr>
          <w:rStyle w:val="FootnoteReference"/>
        </w:rPr>
        <w:footnoteReference w:id="308"/>
      </w:r>
      <w:r w:rsidRPr="00617673">
        <w:rPr>
          <w:lang w:val="fr-FR"/>
        </w:rPr>
        <w:t>.</w:t>
      </w:r>
    </w:p>
    <w:p w14:paraId="218C1DE9" w14:textId="77777777" w:rsidR="00617673" w:rsidRPr="00FC7026" w:rsidRDefault="00FC7026" w:rsidP="00FC7026">
      <w:pPr>
        <w:pStyle w:val="H4G"/>
        <w:rPr>
          <w:b/>
          <w:i w:val="0"/>
          <w:lang w:val="fr-FR"/>
        </w:rPr>
      </w:pPr>
      <w:r>
        <w:rPr>
          <w:b/>
          <w:i w:val="0"/>
          <w:lang w:val="fr-FR"/>
        </w:rPr>
        <w:tab/>
        <w:t>b)</w:t>
      </w:r>
      <w:r>
        <w:rPr>
          <w:b/>
          <w:i w:val="0"/>
          <w:lang w:val="fr-FR"/>
        </w:rPr>
        <w:tab/>
      </w:r>
      <w:r w:rsidR="00617673" w:rsidRPr="00FC7026">
        <w:rPr>
          <w:b/>
          <w:i w:val="0"/>
          <w:lang w:val="fr-FR"/>
        </w:rPr>
        <w:t>Violences commises par les Imbonerakure</w:t>
      </w:r>
    </w:p>
    <w:p w14:paraId="17643D4D" w14:textId="6493E42E" w:rsidR="00617673" w:rsidRPr="00617673" w:rsidRDefault="00617673" w:rsidP="00617673">
      <w:pPr>
        <w:pStyle w:val="SingleTxtG"/>
        <w:rPr>
          <w:lang w:val="fr-FR"/>
        </w:rPr>
      </w:pPr>
      <w:r w:rsidRPr="00617673">
        <w:rPr>
          <w:lang w:val="fr-FR"/>
        </w:rPr>
        <w:t>212.</w:t>
      </w:r>
      <w:r w:rsidR="00FC7026">
        <w:rPr>
          <w:lang w:val="fr-FR"/>
        </w:rPr>
        <w:tab/>
      </w:r>
      <w:r w:rsidRPr="00617673">
        <w:rPr>
          <w:lang w:val="fr-FR"/>
        </w:rPr>
        <w:t>Depuis l’arrivée au pouvoir d’</w:t>
      </w:r>
      <w:r w:rsidR="005445BC">
        <w:rPr>
          <w:lang w:val="fr-FR"/>
        </w:rPr>
        <w:t>É</w:t>
      </w:r>
      <w:r w:rsidRPr="00617673">
        <w:rPr>
          <w:lang w:val="fr-FR"/>
        </w:rPr>
        <w:t>variste Ndayishimiye, le nombre d’incidents violents impliquant des Imbonerakure a diminué dans plusieurs provinces suite notamment à des ordres qui leur auraient été donnés à cet effet et l’appel du Président lui-même à ce qu’ils se concentrent sur le développement du pays et arrêtent de se substituer aux forces de l’ordre et de sécurité</w:t>
      </w:r>
      <w:r w:rsidRPr="00FC7026">
        <w:rPr>
          <w:rStyle w:val="FootnoteReference"/>
        </w:rPr>
        <w:footnoteReference w:id="309"/>
      </w:r>
      <w:r w:rsidRPr="00617673">
        <w:rPr>
          <w:lang w:val="fr-FR"/>
        </w:rPr>
        <w:t>. Cependant, dans les régions frontalières et celles qui ont été le théâtre d’attaques armées depuis septembre 2020, ils sont restés mobilisés par les autorités pour assurer la sécurité, notamment au sein des comités mixtes de sécurité. Ils ont donc continué à commettre des violences, notamment lors des rondes nocturnes qui leur offrent par endroits l’occasion de dé</w:t>
      </w:r>
      <w:r w:rsidR="00FC7026">
        <w:rPr>
          <w:lang w:val="fr-FR"/>
        </w:rPr>
        <w:t>pouiller les personnes croisées</w:t>
      </w:r>
      <w:r w:rsidRPr="00FC7026">
        <w:rPr>
          <w:rStyle w:val="FootnoteReference"/>
        </w:rPr>
        <w:footnoteReference w:id="310"/>
      </w:r>
      <w:r w:rsidR="00FC7026">
        <w:rPr>
          <w:lang w:val="fr-FR"/>
        </w:rPr>
        <w:t>.</w:t>
      </w:r>
      <w:r w:rsidRPr="00617673">
        <w:rPr>
          <w:lang w:val="fr-FR"/>
        </w:rPr>
        <w:t xml:space="preserve"> D’ailleurs, le 30 juin 2021, des forces de défense ont reçu un ordre écrit interne de s’appuyer sur les « mouvements politiques armés » afin de mettre hors d’état de nuire les bandes armées, ce qui est une reconnaissance quasi</w:t>
      </w:r>
      <w:r w:rsidR="008268E0">
        <w:rPr>
          <w:lang w:val="fr-FR"/>
        </w:rPr>
        <w:t xml:space="preserve"> </w:t>
      </w:r>
      <w:r w:rsidRPr="00617673">
        <w:rPr>
          <w:lang w:val="fr-FR"/>
        </w:rPr>
        <w:t>officielle du fait que la ligue des jeunes du CNDD-FDD est armée et agit en appui des forces de défense</w:t>
      </w:r>
      <w:r w:rsidRPr="00FC7026">
        <w:rPr>
          <w:rStyle w:val="FootnoteReference"/>
        </w:rPr>
        <w:footnoteReference w:id="311"/>
      </w:r>
      <w:r w:rsidRPr="00617673">
        <w:rPr>
          <w:lang w:val="fr-FR"/>
        </w:rPr>
        <w:t>. Dans cette optique, des armes à feu auraient été distribuées aux Imbonerakure au cours des derniers mois</w:t>
      </w:r>
      <w:r w:rsidRPr="00FC7026">
        <w:rPr>
          <w:rStyle w:val="FootnoteReference"/>
        </w:rPr>
        <w:footnoteReference w:id="312"/>
      </w:r>
      <w:r w:rsidRPr="00617673">
        <w:rPr>
          <w:lang w:val="fr-FR"/>
        </w:rPr>
        <w:t>. Par ailleurs, des Imbonerakure ont continué à harceler et intimider des personnes afin qu’elles rejoignent le parti au pouvoir, mais dans une moindre mesure que par le passé</w:t>
      </w:r>
      <w:r w:rsidRPr="00FC7026">
        <w:rPr>
          <w:rStyle w:val="FootnoteReference"/>
        </w:rPr>
        <w:footnoteReference w:id="313"/>
      </w:r>
      <w:r w:rsidRPr="00617673">
        <w:rPr>
          <w:lang w:val="fr-FR"/>
        </w:rPr>
        <w:t>.</w:t>
      </w:r>
    </w:p>
    <w:p w14:paraId="1D0FF217" w14:textId="77777777" w:rsidR="00617673" w:rsidRPr="00617673" w:rsidRDefault="00617673" w:rsidP="00617673">
      <w:pPr>
        <w:pStyle w:val="SingleTxtG"/>
        <w:rPr>
          <w:lang w:val="fr-FR"/>
        </w:rPr>
      </w:pPr>
      <w:r w:rsidRPr="00617673">
        <w:rPr>
          <w:lang w:val="fr-FR"/>
        </w:rPr>
        <w:t>213.</w:t>
      </w:r>
      <w:r w:rsidR="00501964">
        <w:rPr>
          <w:lang w:val="fr-FR"/>
        </w:rPr>
        <w:tab/>
      </w:r>
      <w:r w:rsidRPr="00617673">
        <w:rPr>
          <w:lang w:val="fr-FR"/>
        </w:rPr>
        <w:t>La Commission a reçu des allégations crédibles selon lesquelles des Imbonerakure seraient mécontents et frustrés par la nouvelle approche du Président Ndayishimiye, qui leur a fait perdre à la fois du pouvoir et surtout leur source principale de revenus. Certains seraient même en train de questionner leur loyauté au Président et au CNDD-FDD, avec le risque qu’ils ne deviennent des éléments libres, et à court et moyen terme, des forces crimine</w:t>
      </w:r>
      <w:r w:rsidR="00FC7026">
        <w:rPr>
          <w:lang w:val="fr-FR"/>
        </w:rPr>
        <w:t>lles difficilement contrôlables</w:t>
      </w:r>
      <w:r w:rsidRPr="00FC7026">
        <w:rPr>
          <w:rStyle w:val="FootnoteReference"/>
        </w:rPr>
        <w:footnoteReference w:id="314"/>
      </w:r>
      <w:r w:rsidR="00FC7026">
        <w:rPr>
          <w:lang w:val="fr-FR"/>
        </w:rPr>
        <w:t>.</w:t>
      </w:r>
    </w:p>
    <w:p w14:paraId="7A41555A" w14:textId="77777777" w:rsidR="00617673" w:rsidRPr="00FC7026" w:rsidRDefault="00FC7026" w:rsidP="00FC7026">
      <w:pPr>
        <w:pStyle w:val="H4G"/>
        <w:rPr>
          <w:b/>
          <w:i w:val="0"/>
          <w:lang w:val="fr-FR"/>
        </w:rPr>
      </w:pPr>
      <w:r>
        <w:rPr>
          <w:b/>
          <w:i w:val="0"/>
          <w:lang w:val="fr-FR"/>
        </w:rPr>
        <w:tab/>
      </w:r>
      <w:r w:rsidR="00617673" w:rsidRPr="00FC7026">
        <w:rPr>
          <w:b/>
          <w:i w:val="0"/>
          <w:lang w:val="fr-FR"/>
        </w:rPr>
        <w:t>c)</w:t>
      </w:r>
      <w:r>
        <w:rPr>
          <w:b/>
          <w:i w:val="0"/>
          <w:lang w:val="fr-FR"/>
        </w:rPr>
        <w:tab/>
      </w:r>
      <w:r w:rsidR="00617673" w:rsidRPr="00FC7026">
        <w:rPr>
          <w:b/>
          <w:i w:val="0"/>
          <w:lang w:val="fr-FR"/>
        </w:rPr>
        <w:t>Arrestations arbitraires</w:t>
      </w:r>
    </w:p>
    <w:p w14:paraId="37744699" w14:textId="77777777" w:rsidR="00617673" w:rsidRPr="00617673" w:rsidRDefault="00617673" w:rsidP="00617673">
      <w:pPr>
        <w:pStyle w:val="SingleTxtG"/>
        <w:rPr>
          <w:lang w:val="fr-FR"/>
        </w:rPr>
      </w:pPr>
      <w:r w:rsidRPr="00617673">
        <w:rPr>
          <w:lang w:val="fr-FR"/>
        </w:rPr>
        <w:t>214.</w:t>
      </w:r>
      <w:r w:rsidR="00501964">
        <w:rPr>
          <w:lang w:val="fr-FR"/>
        </w:rPr>
        <w:tab/>
      </w:r>
      <w:r w:rsidRPr="00617673">
        <w:rPr>
          <w:lang w:val="fr-FR"/>
        </w:rPr>
        <w:t>La Commission a reçu des allégations crédibles au sujet de cas d’arrestation arbitraire de citoyens burundais, notamment à l’occasion de montages juridiques. Par exemple, des personnes seraient régulièrement arrêtées lors de fouilles-perquisitions massives parce que leur cahier de ménage n’était pas à jour ou présentait une irrégularité minime, ou dans le cadre de disputes entre voisins, et elles devraient alors verser une somme d’argent aux policiers afin d’être libérées</w:t>
      </w:r>
      <w:r w:rsidRPr="00724A09">
        <w:rPr>
          <w:rStyle w:val="FootnoteReference"/>
        </w:rPr>
        <w:footnoteReference w:id="315"/>
      </w:r>
      <w:r w:rsidRPr="00617673">
        <w:rPr>
          <w:lang w:val="fr-FR"/>
        </w:rPr>
        <w:t xml:space="preserve">. </w:t>
      </w:r>
    </w:p>
    <w:p w14:paraId="5E947076" w14:textId="77777777" w:rsidR="00617673" w:rsidRPr="00FC7026" w:rsidRDefault="00FC7026" w:rsidP="00FC7026">
      <w:pPr>
        <w:pStyle w:val="H4G"/>
        <w:rPr>
          <w:b/>
          <w:i w:val="0"/>
        </w:rPr>
      </w:pPr>
      <w:r>
        <w:rPr>
          <w:b/>
          <w:i w:val="0"/>
        </w:rPr>
        <w:tab/>
      </w:r>
      <w:r w:rsidR="00617673" w:rsidRPr="00FC7026">
        <w:rPr>
          <w:b/>
          <w:i w:val="0"/>
        </w:rPr>
        <w:t>d)</w:t>
      </w:r>
      <w:r>
        <w:rPr>
          <w:b/>
          <w:i w:val="0"/>
        </w:rPr>
        <w:tab/>
      </w:r>
      <w:r w:rsidR="00617673" w:rsidRPr="00FC7026">
        <w:rPr>
          <w:b/>
          <w:i w:val="0"/>
        </w:rPr>
        <w:t>Cadavres retrouvés dans l’espace public</w:t>
      </w:r>
    </w:p>
    <w:p w14:paraId="7FAB5208" w14:textId="77777777" w:rsidR="00617673" w:rsidRPr="00617673" w:rsidRDefault="00617673" w:rsidP="00617673">
      <w:pPr>
        <w:pStyle w:val="SingleTxtG"/>
        <w:rPr>
          <w:lang w:val="fr-FR"/>
        </w:rPr>
      </w:pPr>
      <w:r w:rsidRPr="00617673">
        <w:rPr>
          <w:lang w:val="fr-FR"/>
        </w:rPr>
        <w:t>215.</w:t>
      </w:r>
      <w:r w:rsidR="00753E88">
        <w:rPr>
          <w:lang w:val="fr-FR"/>
        </w:rPr>
        <w:tab/>
      </w:r>
      <w:r w:rsidRPr="00617673">
        <w:rPr>
          <w:lang w:val="fr-FR"/>
        </w:rPr>
        <w:t>De nombreux cadavres ont été régulièrement retrouvés dans l’espace public, notamment près d’axes routiers ou de cours d’eau. Les autorités locales ont continué à les inhumer immédiatement sans chercher à identifier les personnes décédées ni enquêter sur les causes du décès et les éventuels responsables, alors que la plupart des dépouilles présentaient des signes de mort violente</w:t>
      </w:r>
      <w:r w:rsidRPr="00617673">
        <w:rPr>
          <w:vertAlign w:val="superscript"/>
          <w:lang w:val="fr-FR"/>
        </w:rPr>
        <w:footnoteReference w:id="316"/>
      </w:r>
      <w:r w:rsidRPr="00617673">
        <w:rPr>
          <w:lang w:val="fr-FR"/>
        </w:rPr>
        <w:t>. Selon la Ligue Iteka, 554 personnes, dont 118 femmes, auraient été tuées au cours de la première année au pouvoir du Président Ndayishimiye, parmi lesquelles 250 dont la dépouille a été retrouvée dans l’espace public</w:t>
      </w:r>
      <w:r w:rsidRPr="00481A4A">
        <w:rPr>
          <w:rStyle w:val="FootnoteReference"/>
        </w:rPr>
        <w:footnoteReference w:id="317"/>
      </w:r>
      <w:r w:rsidRPr="00617673">
        <w:rPr>
          <w:lang w:val="fr-FR"/>
        </w:rPr>
        <w:t xml:space="preserve">. </w:t>
      </w:r>
    </w:p>
    <w:p w14:paraId="6B377FF9" w14:textId="77777777" w:rsidR="00617673" w:rsidRPr="00617673" w:rsidRDefault="00617673" w:rsidP="00617673">
      <w:pPr>
        <w:pStyle w:val="SingleTxtG"/>
        <w:rPr>
          <w:lang w:val="fr-FR"/>
        </w:rPr>
      </w:pPr>
      <w:r w:rsidRPr="00617673">
        <w:rPr>
          <w:lang w:val="fr-FR"/>
        </w:rPr>
        <w:t>216.</w:t>
      </w:r>
      <w:r w:rsidR="00753E88">
        <w:rPr>
          <w:lang w:val="fr-FR"/>
        </w:rPr>
        <w:tab/>
      </w:r>
      <w:r w:rsidRPr="00617673">
        <w:rPr>
          <w:lang w:val="fr-FR"/>
        </w:rPr>
        <w:t>En raison des carences graves des autorités face à ce phénomène, il est impossible de distinguer les cas constituant des violations du droit à la vie imputables à des agents de l’État ou des Imbonerakure, de ceux relevant du droit commun tels que des meurtres liés à des litiges fonciers ou familiaux ou des crimes crapuleux qui sont fréquents et commis en toute impunité, surtout lorsque les victimes appartiennent à un parti d’opposition. Le comportement des autorités constitue en lui-même une violation puisqu’en refusant d’ouvrir des enquêtes crédibles et impartiales sur ces cas, elles bafouent leur obligation de protéger les droits à la vie et à un recours utile. Leur silence persistant face à ce phénomène peut même être interprété comme un acquiescement implicite de ces pratiques, notamment lorsque les victimes n’appartiennent pas au CNDD-FDD.</w:t>
      </w:r>
    </w:p>
    <w:p w14:paraId="4B35607A" w14:textId="77777777" w:rsidR="00617673" w:rsidRPr="00FA45AB" w:rsidRDefault="00FC7026" w:rsidP="00FC7026">
      <w:pPr>
        <w:pStyle w:val="H1G"/>
        <w:rPr>
          <w:lang w:val="fr-CH"/>
        </w:rPr>
      </w:pPr>
      <w:r w:rsidRPr="00FA45AB">
        <w:rPr>
          <w:lang w:val="fr-CH"/>
        </w:rPr>
        <w:tab/>
        <w:t>E.</w:t>
      </w:r>
      <w:r w:rsidRPr="00FA45AB">
        <w:rPr>
          <w:lang w:val="fr-CH"/>
        </w:rPr>
        <w:tab/>
      </w:r>
      <w:r w:rsidR="00617673" w:rsidRPr="00FA45AB">
        <w:rPr>
          <w:lang w:val="fr-CH"/>
        </w:rPr>
        <w:t>Situation du système judiciaire </w:t>
      </w:r>
    </w:p>
    <w:p w14:paraId="59C30D3F" w14:textId="77777777" w:rsidR="00617673" w:rsidRPr="00617673" w:rsidRDefault="00FC7026" w:rsidP="00FC7026">
      <w:pPr>
        <w:pStyle w:val="H23G"/>
      </w:pPr>
      <w:r>
        <w:tab/>
      </w:r>
      <w:r w:rsidR="00617673" w:rsidRPr="00617673">
        <w:t>1.</w:t>
      </w:r>
      <w:r>
        <w:tab/>
      </w:r>
      <w:r w:rsidR="00617673" w:rsidRPr="00617673">
        <w:t>Dysfonctionnement persistant des institutions judiciaires</w:t>
      </w:r>
    </w:p>
    <w:p w14:paraId="2AE01D6E" w14:textId="77777777" w:rsidR="00617673" w:rsidRPr="00617673" w:rsidRDefault="00617673" w:rsidP="00617673">
      <w:pPr>
        <w:pStyle w:val="SingleTxtG"/>
        <w:rPr>
          <w:lang w:val="fr-FR"/>
        </w:rPr>
      </w:pPr>
      <w:r w:rsidRPr="00617673">
        <w:rPr>
          <w:lang w:val="fr-FR"/>
        </w:rPr>
        <w:t>217.</w:t>
      </w:r>
      <w:r w:rsidR="00753E88">
        <w:rPr>
          <w:lang w:val="fr-FR"/>
        </w:rPr>
        <w:tab/>
      </w:r>
      <w:r w:rsidRPr="00617673">
        <w:rPr>
          <w:lang w:val="fr-FR"/>
        </w:rPr>
        <w:t>Les nombreux dysfonctionnements de la justice constatés par le passé</w:t>
      </w:r>
      <w:r w:rsidRPr="00481A4A">
        <w:rPr>
          <w:rStyle w:val="FootnoteReference"/>
        </w:rPr>
        <w:footnoteReference w:id="318"/>
      </w:r>
      <w:r w:rsidRPr="00617673">
        <w:rPr>
          <w:lang w:val="fr-FR"/>
        </w:rPr>
        <w:t>, notamment la corruption, le trafic d’influence, les interférences d’autorités diverses et de membres du CNDD-FDD, le non-respect des procédures et des délais légaux, la non-exécution des décisions de justice, notamment celles de remise en liberté à titre provisoire ou après un acquittement, ainsi que l’inertie dans certaines procédures perdurent. Les victimes de violations restent privées de voie de recours utile, des interventions ayant lieu pour protéger les auteurs proches du parti au pouvoir. Dans de nombreux cas, les victimes ou leurs proches ont fait l’objet de menaces et d’intimidations, ce qui les a découragé</w:t>
      </w:r>
      <w:r w:rsidR="00481A4A">
        <w:rPr>
          <w:lang w:val="fr-FR"/>
        </w:rPr>
        <w:t>s de poursuivre leurs démarches</w:t>
      </w:r>
      <w:r w:rsidRPr="00481A4A">
        <w:rPr>
          <w:rStyle w:val="FootnoteReference"/>
        </w:rPr>
        <w:footnoteReference w:id="319"/>
      </w:r>
      <w:r w:rsidR="00481A4A">
        <w:rPr>
          <w:lang w:val="fr-FR"/>
        </w:rPr>
        <w:t>.</w:t>
      </w:r>
    </w:p>
    <w:p w14:paraId="650413C8" w14:textId="30764AEA" w:rsidR="00617673" w:rsidRPr="00617673" w:rsidRDefault="00617673" w:rsidP="00617673">
      <w:pPr>
        <w:pStyle w:val="SingleTxtG"/>
        <w:rPr>
          <w:lang w:val="fr-FR"/>
        </w:rPr>
      </w:pPr>
      <w:r w:rsidRPr="00617673">
        <w:rPr>
          <w:lang w:val="fr-FR"/>
        </w:rPr>
        <w:t>218.</w:t>
      </w:r>
      <w:r w:rsidR="00753E88">
        <w:rPr>
          <w:lang w:val="fr-FR"/>
        </w:rPr>
        <w:tab/>
      </w:r>
      <w:r w:rsidRPr="00617673">
        <w:rPr>
          <w:lang w:val="fr-FR"/>
        </w:rPr>
        <w:t>Le Président Ndayishimiye et son Gouvernement ont enfin pris conscience de ces problèmes et ont dénoncé notamment la corruption omniprésente, la lenteur des procédures et la non-exécution des décisions judiciaires. Par exemple, le Président de la République a déclaré que la réforme de la justice était l’une des priorités de son Gouvernement, avec comme principaux axes de réforme, celle du statut du Conseil supérieur de la magistrature, le rétablissement des conseils de notables collinaires et la fin du principe de l’action récursoire contre les fonctionnaires coupables d’infraction d</w:t>
      </w:r>
      <w:r w:rsidR="00481A4A">
        <w:rPr>
          <w:lang w:val="fr-FR"/>
        </w:rPr>
        <w:t>ans l’exercice de leur fonction</w:t>
      </w:r>
      <w:r w:rsidRPr="00481A4A">
        <w:rPr>
          <w:rStyle w:val="FootnoteReference"/>
        </w:rPr>
        <w:footnoteReference w:id="320"/>
      </w:r>
      <w:r w:rsidR="00481A4A">
        <w:rPr>
          <w:lang w:val="fr-FR"/>
        </w:rPr>
        <w:t>.</w:t>
      </w:r>
      <w:r w:rsidRPr="00617673">
        <w:rPr>
          <w:lang w:val="fr-FR"/>
        </w:rPr>
        <w:t xml:space="preserve"> Le 2 octobre 2020, lors du lancement de l’année judiciaire 2020-2021, le Président de la Cour suprême, le Procureur général de la République et la ministre de la Justice ont souligné les défis légaux, matériels et humains auxquels le système judiciaire faisait face, notamment « la corruption, les abus de pouvoir de la part de certains hauts dignitaires, le manque de moyens tant matériels qu’humains, l’adaptation du système et du code pénal aux réalités actuelles, la perte des valeurs intrinsèques traditionnelles ». Le 27 juillet 2021, le Président du Sénat a demandé à l’appareil judiciaire de travailler pour le bien de la population « en évitant la corruption qui handicape le secteur judiciaire. Il a découragé le mauvais comportement de certains magistrats qui exigent les pots de vin aux justiciables et a requis des sanctions exemplaires à leur encontre »</w:t>
      </w:r>
      <w:r w:rsidRPr="00481A4A">
        <w:rPr>
          <w:rStyle w:val="FootnoteReference"/>
        </w:rPr>
        <w:footnoteReference w:id="321"/>
      </w:r>
      <w:r w:rsidRPr="00617673">
        <w:rPr>
          <w:lang w:val="fr-FR"/>
        </w:rPr>
        <w:t>. Finalement, le 24 août 2021, à l’occasion d’une séance de moralisation sur la bonne gouvernance et le patriotisme à l’intention du corps de la justice Burundaise, le Président Ndayishimiye a déclaré qu’il était avéré que « ce secteur est gangrené par beaucoup de maux et imperfections notamment en rapport avec la corruption, les malversations économiques, etc. »</w:t>
      </w:r>
      <w:r w:rsidRPr="00481A4A">
        <w:rPr>
          <w:rStyle w:val="FootnoteReference"/>
        </w:rPr>
        <w:footnoteReference w:id="322"/>
      </w:r>
      <w:r w:rsidRPr="00617673">
        <w:rPr>
          <w:lang w:val="fr-FR"/>
        </w:rPr>
        <w:t>. Il a même ajouté, « Partout où je vais je reçois plus de 1 000 doléances contre la justice par jour. Je les trouve fondées après analyse. Les investisseurs étrangers ne viennent plus au Burundi. Vous trouvez des stratagèmes pour les dépouiller de leur argent. Ils n’ont nulle part où se plaindre. Vous vous mettez en bande pour les escroquer de leur argent […]</w:t>
      </w:r>
      <w:r w:rsidR="009551A0">
        <w:rPr>
          <w:lang w:val="fr-FR"/>
        </w:rPr>
        <w:t xml:space="preserve"> </w:t>
      </w:r>
      <w:r w:rsidRPr="00617673">
        <w:rPr>
          <w:lang w:val="fr-FR"/>
        </w:rPr>
        <w:t>»</w:t>
      </w:r>
      <w:r w:rsidRPr="00481A4A">
        <w:rPr>
          <w:rStyle w:val="FootnoteReference"/>
        </w:rPr>
        <w:footnoteReference w:id="323"/>
      </w:r>
      <w:r w:rsidR="009551A0">
        <w:t>.</w:t>
      </w:r>
    </w:p>
    <w:p w14:paraId="5E33F121" w14:textId="618F56C2" w:rsidR="00617673" w:rsidRPr="00617673" w:rsidRDefault="00617673" w:rsidP="00617673">
      <w:pPr>
        <w:pStyle w:val="SingleTxtG"/>
        <w:rPr>
          <w:lang w:val="fr-FR"/>
        </w:rPr>
      </w:pPr>
      <w:r w:rsidRPr="00617673">
        <w:rPr>
          <w:lang w:val="fr-FR"/>
        </w:rPr>
        <w:t>219.</w:t>
      </w:r>
      <w:r w:rsidR="00753E88">
        <w:rPr>
          <w:lang w:val="fr-FR"/>
        </w:rPr>
        <w:tab/>
      </w:r>
      <w:r w:rsidRPr="00617673">
        <w:rPr>
          <w:lang w:val="fr-FR"/>
        </w:rPr>
        <w:t>Cependant, au lieu de prendre des mesures structurelles, telles que celles recommandées par la Commission pour remédier à ces problèmes</w:t>
      </w:r>
      <w:r w:rsidRPr="00481A4A">
        <w:rPr>
          <w:rStyle w:val="FootnoteReference"/>
        </w:rPr>
        <w:footnoteReference w:id="324"/>
      </w:r>
      <w:r w:rsidRPr="00617673">
        <w:rPr>
          <w:lang w:val="fr-FR"/>
        </w:rPr>
        <w:t>, les autorités burundaises ont préféré s’attaquer au principe même de l’indépendance de la justice, y compris au principe de l’inamovibilité des magistrats. En juillet 2021, la ministre de la Justice, Jeanine Nibizi, a souligné que « le Gouvernement "ne tolérera jamais les juges et magistrats qui se cachent derrière le privilège d’indépendance de la magistrature pour prendre des décisions hâtives, qui sont en dehors de la loi à cause de la corruption ou du favoritisme". Elle a également saisi cette opportunité pour mettre en garde les juges de Gisuru contre ces manquements. Elle les a exhortés de dire le droit, de faire en sorte que les jugements soient rendus conformément à la loi et de mettre rapidement en exécution les procès déjà clôturés »</w:t>
      </w:r>
      <w:r w:rsidRPr="00481A4A">
        <w:rPr>
          <w:rStyle w:val="FootnoteReference"/>
        </w:rPr>
        <w:footnoteReference w:id="325"/>
      </w:r>
      <w:r w:rsidR="009551A0">
        <w:t>.</w:t>
      </w:r>
      <w:r w:rsidRPr="00481A4A">
        <w:rPr>
          <w:rStyle w:val="FootnoteReference"/>
        </w:rPr>
        <w:t xml:space="preserve"> </w:t>
      </w:r>
      <w:r w:rsidRPr="00617673">
        <w:rPr>
          <w:lang w:val="fr-FR"/>
        </w:rPr>
        <w:t>En août 2021, la ministre a réitéré ses critiques et menaces à peine voilées contre les magistrats, lors de sa visite à la prison de Gitega qui venait de brûler partiellement</w:t>
      </w:r>
      <w:r w:rsidRPr="00481A4A">
        <w:rPr>
          <w:rStyle w:val="FootnoteReference"/>
        </w:rPr>
        <w:footnoteReference w:id="326"/>
      </w:r>
      <w:r w:rsidRPr="00617673">
        <w:rPr>
          <w:lang w:val="fr-FR"/>
        </w:rPr>
        <w:t>. De telles décisions et déclarations ne peuvent que contribuer à saper encore plus le système judiciaire mais également l’état de droit</w:t>
      </w:r>
      <w:r w:rsidRPr="00481A4A">
        <w:rPr>
          <w:rStyle w:val="FootnoteReference"/>
        </w:rPr>
        <w:footnoteReference w:id="327"/>
      </w:r>
      <w:r w:rsidR="009551A0">
        <w:t>.</w:t>
      </w:r>
    </w:p>
    <w:p w14:paraId="6F377A52" w14:textId="0CE8DCB8" w:rsidR="00617673" w:rsidRPr="00617673" w:rsidRDefault="00FC7026" w:rsidP="00FC7026">
      <w:pPr>
        <w:pStyle w:val="H23G"/>
      </w:pPr>
      <w:r>
        <w:tab/>
      </w:r>
      <w:r w:rsidR="00617673" w:rsidRPr="00617673">
        <w:t>2.</w:t>
      </w:r>
      <w:r>
        <w:tab/>
      </w:r>
      <w:r w:rsidR="00617673" w:rsidRPr="00617673">
        <w:t>Contrôle renforcé de l’Exécutif sur le Judiciaire</w:t>
      </w:r>
    </w:p>
    <w:p w14:paraId="3E5CA06A" w14:textId="4CED82D9" w:rsidR="00617673" w:rsidRPr="00617673" w:rsidRDefault="00617673" w:rsidP="00617673">
      <w:pPr>
        <w:pStyle w:val="SingleTxtG"/>
        <w:rPr>
          <w:lang w:val="fr-FR"/>
        </w:rPr>
      </w:pPr>
      <w:r w:rsidRPr="00617673">
        <w:rPr>
          <w:lang w:val="fr-FR"/>
        </w:rPr>
        <w:t>220.</w:t>
      </w:r>
      <w:r w:rsidR="00753E88">
        <w:rPr>
          <w:lang w:val="fr-FR"/>
        </w:rPr>
        <w:tab/>
      </w:r>
      <w:r w:rsidRPr="00617673">
        <w:rPr>
          <w:lang w:val="fr-FR"/>
        </w:rPr>
        <w:t>Le 23 janvier 2021, une nouvelle loi a été promulguée, qui instaure un conseil de notables au niveau de chaque colline</w:t>
      </w:r>
      <w:r w:rsidRPr="00481A4A">
        <w:rPr>
          <w:rStyle w:val="FootnoteReference"/>
        </w:rPr>
        <w:footnoteReference w:id="328"/>
      </w:r>
      <w:r w:rsidRPr="00617673">
        <w:rPr>
          <w:lang w:val="fr-FR"/>
        </w:rPr>
        <w:t>. Ce conseil, dont les 15 membres sont élus pour une durée indéterminée, a pour mission de recevoir les plaintes et donner son avis sur toutes les affaires civiles relevant de la compétence des tribunaux de résidence, et de procéder à la conciliation entre les parties en conflit lorsque le litige ne relève pas « de l’ordre public et ne touche pas aux bonnes mœurs ». Il peut également « aplanir un conflit résultant d’une infraction » en décidant de l’octroi de dommages-intérêts</w:t>
      </w:r>
      <w:r w:rsidRPr="00481A4A">
        <w:rPr>
          <w:rStyle w:val="FootnoteReference"/>
        </w:rPr>
        <w:footnoteReference w:id="329"/>
      </w:r>
      <w:r w:rsidR="009551A0">
        <w:t>.</w:t>
      </w:r>
      <w:r w:rsidRPr="00617673">
        <w:rPr>
          <w:lang w:val="fr-FR"/>
        </w:rPr>
        <w:t xml:space="preserve"> Le conseil ne peut toutefois pas prononcer de peines</w:t>
      </w:r>
      <w:r w:rsidRPr="00481A4A">
        <w:rPr>
          <w:rStyle w:val="FootnoteReference"/>
        </w:rPr>
        <w:footnoteReference w:id="330"/>
      </w:r>
      <w:r w:rsidR="009551A0">
        <w:t>.</w:t>
      </w:r>
      <w:r w:rsidRPr="00617673">
        <w:rPr>
          <w:lang w:val="fr-FR"/>
        </w:rPr>
        <w:t xml:space="preserve"> L’accord obtenu et homologué à l’issue de la procédure de conciliation devient exécutoire et a valeur d’un jugement définitif</w:t>
      </w:r>
      <w:r w:rsidRPr="00481A4A">
        <w:rPr>
          <w:rStyle w:val="FootnoteReference"/>
        </w:rPr>
        <w:footnoteReference w:id="331"/>
      </w:r>
      <w:r w:rsidRPr="00617673">
        <w:rPr>
          <w:lang w:val="fr-FR"/>
        </w:rPr>
        <w:t>. En cas d’échec de la conciliation ou lorsque l’une des parties au litige s’estime lésée, elle peut saisir le tribunal de résidence qui n’est pas lié par l’avis du conseil de notables, mais doit motiver l’éventuel rejet de cet avis. Un tribunal de résidence saisi d’une affaire civile doit s’assurer préalablement que le conseil de notables a bien été saisi de l’affaire</w:t>
      </w:r>
      <w:r w:rsidRPr="00481A4A">
        <w:rPr>
          <w:rStyle w:val="FootnoteReference"/>
        </w:rPr>
        <w:footnoteReference w:id="332"/>
      </w:r>
      <w:r w:rsidRPr="00617673">
        <w:rPr>
          <w:lang w:val="fr-FR"/>
        </w:rPr>
        <w:t>.</w:t>
      </w:r>
    </w:p>
    <w:p w14:paraId="21987AEA" w14:textId="728CF62A" w:rsidR="00617673" w:rsidRPr="00617673" w:rsidRDefault="00617673" w:rsidP="00617673">
      <w:pPr>
        <w:pStyle w:val="SingleTxtG"/>
        <w:rPr>
          <w:lang w:val="fr-FR"/>
        </w:rPr>
      </w:pPr>
      <w:r w:rsidRPr="00617673">
        <w:rPr>
          <w:lang w:val="fr-FR"/>
        </w:rPr>
        <w:t>221.</w:t>
      </w:r>
      <w:r w:rsidR="00753E88">
        <w:rPr>
          <w:lang w:val="fr-FR"/>
        </w:rPr>
        <w:tab/>
      </w:r>
      <w:r w:rsidRPr="00617673">
        <w:rPr>
          <w:lang w:val="fr-FR"/>
        </w:rPr>
        <w:t>Une nouvelle juridiction de premier degré a donc été créé</w:t>
      </w:r>
      <w:r w:rsidR="001860D2">
        <w:rPr>
          <w:lang w:val="fr-FR"/>
        </w:rPr>
        <w:t>e</w:t>
      </w:r>
      <w:r w:rsidRPr="00617673">
        <w:rPr>
          <w:lang w:val="fr-FR"/>
        </w:rPr>
        <w:t xml:space="preserve"> pour les affaires civiles au niveau des collines, avec des « notables » désignés par la voie élective, ce qui entraîne </w:t>
      </w:r>
      <w:r w:rsidRPr="00617673">
        <w:rPr>
          <w:i/>
          <w:lang w:val="fr-FR"/>
        </w:rPr>
        <w:t>de facto</w:t>
      </w:r>
      <w:r w:rsidRPr="00617673">
        <w:rPr>
          <w:lang w:val="fr-FR"/>
        </w:rPr>
        <w:t xml:space="preserve"> une politisation de la justice. Le système politique étant totalement dominé par le parti au pouvoir, les futurs conseils de notables seront sans surprise dominés par le CNDD-FDD, voire composés à grande majorité des responsables administratifs collinaires, estompant ainsi la frontière entre l’Exécutif et le Judiciaire</w:t>
      </w:r>
      <w:r w:rsidRPr="00481A4A">
        <w:rPr>
          <w:rStyle w:val="FootnoteReference"/>
        </w:rPr>
        <w:footnoteReference w:id="333"/>
      </w:r>
      <w:r w:rsidRPr="00617673">
        <w:rPr>
          <w:lang w:val="fr-FR"/>
        </w:rPr>
        <w:t>. S’il est vrai que les tribunaux de résidence sont effectivement gangrénés par la corruption et le trafic d’influence</w:t>
      </w:r>
      <w:r w:rsidRPr="00481A4A">
        <w:rPr>
          <w:rStyle w:val="FootnoteReference"/>
        </w:rPr>
        <w:footnoteReference w:id="334"/>
      </w:r>
      <w:r w:rsidRPr="00617673">
        <w:rPr>
          <w:lang w:val="fr-FR"/>
        </w:rPr>
        <w:t>, aucune disposition particulière n’a été prise pour veiller à ce que de telles pratiques ne soient pas répliquées au sein des conseils de notables.</w:t>
      </w:r>
    </w:p>
    <w:p w14:paraId="16C8C3C5" w14:textId="77777777" w:rsidR="00617673" w:rsidRPr="00617673" w:rsidRDefault="00617673" w:rsidP="00617673">
      <w:pPr>
        <w:pStyle w:val="SingleTxtG"/>
        <w:rPr>
          <w:lang w:val="fr-FR"/>
        </w:rPr>
      </w:pPr>
      <w:r w:rsidRPr="00617673">
        <w:rPr>
          <w:lang w:val="fr-FR"/>
        </w:rPr>
        <w:t>222.</w:t>
      </w:r>
      <w:r w:rsidR="00753E88">
        <w:rPr>
          <w:lang w:val="fr-FR"/>
        </w:rPr>
        <w:tab/>
      </w:r>
      <w:r w:rsidRPr="00617673">
        <w:rPr>
          <w:lang w:val="fr-FR"/>
        </w:rPr>
        <w:t>Une autre grande réforme du Président Ndayishimiye est la révision du Conseil supérieur de la magistrature (CSM), avec la promulgation le 23 janvier 2021 de la loi organique portant révision de la loi organique numéro 1/13 du 12 juin 2019 portant organisation et fonctionnement du Conseil supérieur de la magistrature</w:t>
      </w:r>
      <w:r w:rsidRPr="00481A4A">
        <w:rPr>
          <w:rStyle w:val="FootnoteReference"/>
        </w:rPr>
        <w:footnoteReference w:id="335"/>
      </w:r>
      <w:r w:rsidRPr="00617673">
        <w:rPr>
          <w:lang w:val="fr-FR"/>
        </w:rPr>
        <w:t>. Cette loi accroît et institutionnalise la possibilité pour l’Exécutif de contrôler le Judiciaire. Elle attribue au CSM, en plus de ses missions traditionnelles de « veiller au bon fonctionnement de toutes les institutions judiciaires » et de gestion des carrières des magistrats, la capacité d’« enjoindre les organes compétents d’engager des poursuites en cas d’infraction et en faire le suivi ; contrôler la qualité des jugements, arrêts et autres décisions judiciaires dénoncées ou portées à la connaissance du Conseil ainsi que leurs mesures d’exécution »</w:t>
      </w:r>
      <w:r w:rsidRPr="00481A4A">
        <w:rPr>
          <w:rStyle w:val="FootnoteReference"/>
        </w:rPr>
        <w:footnoteReference w:id="336"/>
      </w:r>
      <w:r w:rsidRPr="00617673">
        <w:rPr>
          <w:lang w:val="fr-FR"/>
        </w:rPr>
        <w:t>. De plus, selon l’article 5 de la loi, « lorsqu’aucune voie de recours judiciaire n’est plus ouverte en faveur du requérant, le Conseil supérieur de la magistrature, s’il estime le recours recevable, peut prendre toute mesure de redressement notamment pour cause d’intérêt social évident ».</w:t>
      </w:r>
    </w:p>
    <w:p w14:paraId="5298E88F" w14:textId="77777777" w:rsidR="00617673" w:rsidRPr="00617673" w:rsidRDefault="00617673" w:rsidP="00617673">
      <w:pPr>
        <w:pStyle w:val="SingleTxtG"/>
        <w:rPr>
          <w:lang w:val="fr-FR"/>
        </w:rPr>
      </w:pPr>
      <w:r w:rsidRPr="00617673">
        <w:rPr>
          <w:lang w:val="fr-FR"/>
        </w:rPr>
        <w:t>223.</w:t>
      </w:r>
      <w:r w:rsidR="00753E88">
        <w:rPr>
          <w:lang w:val="fr-FR"/>
        </w:rPr>
        <w:tab/>
      </w:r>
      <w:r w:rsidRPr="00617673">
        <w:rPr>
          <w:lang w:val="fr-FR"/>
        </w:rPr>
        <w:t>Lors de la présentation du projet de loi à l’Assemblée nationale, la ministre de la Justice a expliqué qu’il était important de réformer le CSM afin de lui permettre, « dans certaines conditions rigoureuses, selon les circonstances de la cause », de prendre toute mesure de redressement contre une « décision judiciaire notoirement injuste » qui consacre « une iniquité révoltante » alors même qu’elle est «  juridiquement sans reproches » et cela « bien qu’elle soit coulée en force de chose jugée ». Elle a ajouté que ce pouvoir devait s’exercer notamment pour les jugements rendus par les cours et tribunaux dans des dossiers qui ont été difficiles à exécuter et qui peuv</w:t>
      </w:r>
      <w:r w:rsidR="00481A4A">
        <w:rPr>
          <w:lang w:val="fr-FR"/>
        </w:rPr>
        <w:t>ent causer des troubles sociaux</w:t>
      </w:r>
      <w:r w:rsidRPr="00481A4A">
        <w:rPr>
          <w:rStyle w:val="FootnoteReference"/>
        </w:rPr>
        <w:footnoteReference w:id="337"/>
      </w:r>
      <w:r w:rsidR="00481A4A">
        <w:rPr>
          <w:lang w:val="fr-FR"/>
        </w:rPr>
        <w:t>.</w:t>
      </w:r>
    </w:p>
    <w:p w14:paraId="65DD6341" w14:textId="77777777" w:rsidR="00617673" w:rsidRPr="00617673" w:rsidRDefault="00617673" w:rsidP="00617673">
      <w:pPr>
        <w:pStyle w:val="SingleTxtG"/>
        <w:rPr>
          <w:lang w:val="fr-FR"/>
        </w:rPr>
      </w:pPr>
      <w:r w:rsidRPr="00617673">
        <w:rPr>
          <w:lang w:val="fr-FR"/>
        </w:rPr>
        <w:t>224. Force est de constater que le Conseil supérieur de la magistrature, organe dirigé et dominé par l’Exécutif, a désormais la capacité de recevoir des recours contre des décisions judiciaires pourtant rendues en dernière instance et de réviser ces dernières. La condition établie, non exclusive, de « cause d’intérêt social évident » est suffisamment vague et extensive pour lui permettre de se saisir de n’importe quelle affaire.</w:t>
      </w:r>
    </w:p>
    <w:p w14:paraId="7935ABAC" w14:textId="77777777" w:rsidR="00617673" w:rsidRPr="00617673" w:rsidRDefault="00617673" w:rsidP="00617673">
      <w:pPr>
        <w:pStyle w:val="SingleTxtG"/>
        <w:rPr>
          <w:lang w:val="fr-FR"/>
        </w:rPr>
      </w:pPr>
      <w:r w:rsidRPr="00617673">
        <w:rPr>
          <w:lang w:val="fr-FR"/>
        </w:rPr>
        <w:t>225.</w:t>
      </w:r>
      <w:r w:rsidR="00753E88">
        <w:rPr>
          <w:lang w:val="fr-FR"/>
        </w:rPr>
        <w:tab/>
      </w:r>
      <w:r w:rsidRPr="00617673">
        <w:rPr>
          <w:lang w:val="fr-FR"/>
        </w:rPr>
        <w:t>Cette loi a lancé un mouvement global qui tend à institutionnaliser le contrôle de la Justice par l’Exécutif. Vers la fin du mois de juillet 2021, le gouverneur de la province Bujumbura (rural) a ainsi annoncé vouloir contrôler les décisions judiciaires rendues et leur exécution. Après avoir rappelé le principe de double degré de juridiction existant au Burundi, le gouverneur a indiqué ne pas vouloir que cette possibilité de faire appel « soit une source d’injustice créant ainsi des procès interminables ». Il ajoute « Nous profitons de cette occasion pour attirer l’attention de juges qui rendent des procès à leur guise sous prétexte de ce principe [de droit d’appel] que des mesures administratives seront prises à leur encontre ». Après avoir cité des problèmes de fonctionnement récurrents constatés au sein des tribunaux, notamment dans les nombreux cas de litiges fonciers, le gouverneur déclare « Afin de donner suite aux plaintes reçues au cabinet qui sont liées aux jugements mal rendus et à la mauvaise exécution des sentences, il est recommandé au président du tribunal de grande instance et au procureur de se présenter au cabinet du gouverneur une fois le mois pour une délibération conjointe avec le cabinet du gouverneur »</w:t>
      </w:r>
      <w:r w:rsidRPr="00D622AD">
        <w:rPr>
          <w:rStyle w:val="FootnoteReference"/>
        </w:rPr>
        <w:footnoteReference w:id="338"/>
      </w:r>
      <w:r w:rsidRPr="00617673">
        <w:rPr>
          <w:lang w:val="fr-FR"/>
        </w:rPr>
        <w:t>.</w:t>
      </w:r>
    </w:p>
    <w:p w14:paraId="16DE5B50" w14:textId="77777777" w:rsidR="00617673" w:rsidRPr="00617673" w:rsidRDefault="00617673" w:rsidP="00617673">
      <w:pPr>
        <w:pStyle w:val="SingleTxtG"/>
        <w:rPr>
          <w:lang w:val="fr-FR"/>
        </w:rPr>
      </w:pPr>
      <w:r w:rsidRPr="00617673">
        <w:rPr>
          <w:lang w:val="fr-FR"/>
        </w:rPr>
        <w:t>226.</w:t>
      </w:r>
      <w:r w:rsidR="00753E88">
        <w:rPr>
          <w:lang w:val="fr-FR"/>
        </w:rPr>
        <w:tab/>
      </w:r>
      <w:r w:rsidRPr="00617673">
        <w:rPr>
          <w:lang w:val="fr-FR"/>
        </w:rPr>
        <w:t>À peu près à la même période, en réponse aux plaintes de la population sur le fonctionnement de la justice, la ministre de la Justice a destitué plusieurs juges au cours de descentes sur le terrain et elle a menacé d’en destituer d’autres</w:t>
      </w:r>
      <w:r w:rsidRPr="00D622AD">
        <w:rPr>
          <w:rStyle w:val="FootnoteReference"/>
        </w:rPr>
        <w:footnoteReference w:id="339"/>
      </w:r>
      <w:r w:rsidRPr="00617673">
        <w:rPr>
          <w:lang w:val="fr-FR"/>
        </w:rPr>
        <w:t>. Elle a également « mis en garde les magistrats qui partagent des messages sur les réseaux sociaux menaçant d’organiser des grèves suite aux récentes décisions du ministre de destituer certains magistrats. Elle a précisé que les magistrats qui se cachent derrière l’aspect de l’indépendance de la magistrature et qui exécutent des jugements en dehors de la loi, vont être bientôt limogés de leurs fonctions »</w:t>
      </w:r>
      <w:r w:rsidRPr="00D622AD">
        <w:rPr>
          <w:rStyle w:val="FootnoteReference"/>
        </w:rPr>
        <w:footnoteReference w:id="340"/>
      </w:r>
      <w:r w:rsidRPr="00617673">
        <w:rPr>
          <w:lang w:val="fr-FR"/>
        </w:rPr>
        <w:t>.</w:t>
      </w:r>
    </w:p>
    <w:p w14:paraId="7B2FF3FB" w14:textId="77777777" w:rsidR="00617673" w:rsidRPr="00617673" w:rsidRDefault="00753E88" w:rsidP="00617673">
      <w:pPr>
        <w:pStyle w:val="SingleTxtG"/>
        <w:rPr>
          <w:lang w:val="fr-FR"/>
        </w:rPr>
      </w:pPr>
      <w:r>
        <w:rPr>
          <w:lang w:val="fr-FR"/>
        </w:rPr>
        <w:t>227.</w:t>
      </w:r>
      <w:r>
        <w:rPr>
          <w:lang w:val="fr-FR"/>
        </w:rPr>
        <w:tab/>
      </w:r>
      <w:r w:rsidR="00617673" w:rsidRPr="00617673">
        <w:rPr>
          <w:lang w:val="fr-FR"/>
        </w:rPr>
        <w:t>En juillet 2021, le Président de l’Assemblée nationale, Gélase Ndabirabe, a critiqué le principe même de l’indépendance de la Justice et il a même recommandé que les dossiers politiques et sensibles soient traités dans les comités mixtes de sécurité</w:t>
      </w:r>
      <w:r w:rsidR="00617673" w:rsidRPr="00D622AD">
        <w:rPr>
          <w:rStyle w:val="FootnoteReference"/>
        </w:rPr>
        <w:footnoteReference w:id="341"/>
      </w:r>
      <w:r w:rsidR="00617673" w:rsidRPr="00617673">
        <w:rPr>
          <w:lang w:val="fr-FR"/>
        </w:rPr>
        <w:t>.</w:t>
      </w:r>
    </w:p>
    <w:p w14:paraId="687282D2" w14:textId="48B631BF" w:rsidR="00617673" w:rsidRPr="00617673" w:rsidRDefault="00617673" w:rsidP="00617673">
      <w:pPr>
        <w:pStyle w:val="SingleTxtG"/>
        <w:rPr>
          <w:lang w:val="fr-FR"/>
        </w:rPr>
      </w:pPr>
      <w:r w:rsidRPr="00617673">
        <w:rPr>
          <w:lang w:val="fr-FR"/>
        </w:rPr>
        <w:t>228.</w:t>
      </w:r>
      <w:r w:rsidR="00753E88">
        <w:rPr>
          <w:lang w:val="fr-FR"/>
        </w:rPr>
        <w:tab/>
      </w:r>
      <w:r w:rsidRPr="00617673">
        <w:rPr>
          <w:lang w:val="fr-FR"/>
        </w:rPr>
        <w:t>Face à de telles dérives, le 29 juillet 2021, le ministre de l’Intérieur, de la Sécurité publique et du Développement communautaire, Gervais Ndirakobuca, a dû rappeler à l’ordre les responsables administratifs : « "Ne vous ingérez pas dans le judiciaire. Il y a des choses qui sont en train de faire du bruit dans la justice. Des lettres écrites par le gouverneur de Bujumbura et celui de Bururi avançant que vous êtes en train d’exécuter mes recommandations"</w:t>
      </w:r>
      <w:r w:rsidR="00B7758D">
        <w:rPr>
          <w:lang w:val="fr-FR"/>
        </w:rPr>
        <w:t>.</w:t>
      </w:r>
      <w:r w:rsidRPr="00617673">
        <w:rPr>
          <w:lang w:val="fr-FR"/>
        </w:rPr>
        <w:t xml:space="preserve"> Il a souligné qu’il n’existe pas d’ordres du ministre de l’Intérieur qui viennent se substituer à la justice</w:t>
      </w:r>
      <w:r w:rsidR="00B7758D">
        <w:rPr>
          <w:lang w:val="fr-FR"/>
        </w:rPr>
        <w:t>. "</w:t>
      </w:r>
      <w:r w:rsidRPr="00617673">
        <w:rPr>
          <w:lang w:val="fr-FR"/>
        </w:rPr>
        <w:t>Nous savons nos limites. Ce qui se trouve dans les mains de la justice reste là". Selon le ministre Ndirakobuca, un administratif peut seulement orienter un citoyen, un préjudiciable</w:t>
      </w:r>
      <w:r w:rsidR="00B7758D">
        <w:rPr>
          <w:lang w:val="fr-FR"/>
        </w:rPr>
        <w:t>. "</w:t>
      </w:r>
      <w:r w:rsidRPr="00617673">
        <w:rPr>
          <w:lang w:val="fr-FR"/>
        </w:rPr>
        <w:t>Mais ne vous substituez pas à la justice. C’est impossible. Le pays tomberait dans un chaos. Est-ce que vous me saisissez ? Le pays serait l’anarchie. La justice reste indépendante" »</w:t>
      </w:r>
      <w:r w:rsidRPr="00D622AD">
        <w:rPr>
          <w:rStyle w:val="FootnoteReference"/>
        </w:rPr>
        <w:footnoteReference w:id="342"/>
      </w:r>
      <w:r w:rsidRPr="00617673">
        <w:rPr>
          <w:lang w:val="fr-FR"/>
        </w:rPr>
        <w:t>.</w:t>
      </w:r>
    </w:p>
    <w:p w14:paraId="1B52FBF8" w14:textId="77777777" w:rsidR="00617673" w:rsidRPr="00617673" w:rsidRDefault="00FC7026" w:rsidP="00FC7026">
      <w:pPr>
        <w:pStyle w:val="H23G"/>
      </w:pPr>
      <w:r>
        <w:tab/>
      </w:r>
      <w:r w:rsidR="00617673" w:rsidRPr="00617673">
        <w:t>3.</w:t>
      </w:r>
      <w:r>
        <w:tab/>
      </w:r>
      <w:r w:rsidR="00617673" w:rsidRPr="00617673">
        <w:t>Abolition des institutions judiciaires anti-corruption</w:t>
      </w:r>
    </w:p>
    <w:p w14:paraId="5999199B" w14:textId="77777777" w:rsidR="00617673" w:rsidRPr="00617673" w:rsidRDefault="00753E88" w:rsidP="00617673">
      <w:pPr>
        <w:pStyle w:val="SingleTxtG"/>
        <w:rPr>
          <w:lang w:val="fr-FR"/>
        </w:rPr>
      </w:pPr>
      <w:r>
        <w:rPr>
          <w:lang w:val="fr-FR"/>
        </w:rPr>
        <w:t>229.</w:t>
      </w:r>
      <w:r>
        <w:rPr>
          <w:lang w:val="fr-FR"/>
        </w:rPr>
        <w:tab/>
      </w:r>
      <w:r w:rsidR="00617673" w:rsidRPr="00617673">
        <w:rPr>
          <w:lang w:val="fr-FR"/>
        </w:rPr>
        <w:t>Une autre réforme phare du système judiciaire entreprise par le Gouvernement du Président Ndayishimiye est très controversée, à savoir l’abolition des institutions spécialisées de lutte contre la corruption. Le 29 avril 2021, l’Assemblée nationale a adopté le projet de loi organique présenté par la ministre de la Justice visant à supprimer la Cour spéciale et la Brigade spéciale anti-corruption, officiellement afin « de rapprocher la justice pénale anti-corruption des justiciables ». La ministre a précisé que ces institutions spécialisées nécessitaient des moyens matériels et humains colossaux pour leur fonctionnement alors que leurs résultats restaient mitigés. Des sections anti-corruption doivent donc être instituées au sein des parquets et parquets-généraux, tout comme des chambres anti-corruption auprès des tribunaux de grande instance et des cours d’appels. La ministre a expliqué aux députés que « la compétence matérielle de la chambre anti-corruption du tribunal de grande instance en matière de lutte contre la corruption et les infractions connexes est limitée aux auteurs et complices de la corruption et des infractions qui lui sont connexes dont la valeur ne dépasse pas 100 millions de francs burundais. Les auteurs de la corruption notamment seront jugés par leur juge naturel, le juge qui lui est proche en l’occurrence la chambre anti-corruption du tribunal de grande instance. […] les missions qui étaient confiées à la brigade spéciale anti-corruption reviennent à une unité spécialisée anti-corruption créée au sein de la police judiciaire »</w:t>
      </w:r>
      <w:r w:rsidR="00617673" w:rsidRPr="00D622AD">
        <w:rPr>
          <w:rStyle w:val="FootnoteReference"/>
        </w:rPr>
        <w:footnoteReference w:id="343"/>
      </w:r>
      <w:r w:rsidR="00617673" w:rsidRPr="00617673">
        <w:rPr>
          <w:lang w:val="fr-FR"/>
        </w:rPr>
        <w:t>.</w:t>
      </w:r>
    </w:p>
    <w:p w14:paraId="5C112E7B" w14:textId="77777777" w:rsidR="00617673" w:rsidRPr="00617673" w:rsidRDefault="00617673" w:rsidP="00617673">
      <w:pPr>
        <w:pStyle w:val="SingleTxtG"/>
        <w:rPr>
          <w:lang w:val="fr-FR"/>
        </w:rPr>
      </w:pPr>
      <w:r w:rsidRPr="00617673">
        <w:rPr>
          <w:lang w:val="fr-FR"/>
        </w:rPr>
        <w:t>230.</w:t>
      </w:r>
      <w:r w:rsidR="00753E88">
        <w:rPr>
          <w:lang w:val="fr-FR"/>
        </w:rPr>
        <w:tab/>
      </w:r>
      <w:r w:rsidRPr="00617673">
        <w:rPr>
          <w:lang w:val="fr-FR"/>
        </w:rPr>
        <w:t>Cette décision est intervenue après que le ministère de la Bonne gouvernance, qui auparavant supervisait ces instances anti-corruption spécialisées, ait été supprimé par le Président Ndayishimiye. La raison qui avait été donnée était que la « bonne gouvernance » ét</w:t>
      </w:r>
      <w:r w:rsidR="00485573">
        <w:rPr>
          <w:lang w:val="fr-FR"/>
        </w:rPr>
        <w:t>ait désormais l’affaire de tous</w:t>
      </w:r>
      <w:r w:rsidRPr="00485573">
        <w:rPr>
          <w:rStyle w:val="FootnoteReference"/>
        </w:rPr>
        <w:footnoteReference w:id="344"/>
      </w:r>
      <w:r w:rsidR="00485573">
        <w:rPr>
          <w:lang w:val="fr-FR"/>
        </w:rPr>
        <w:t>.</w:t>
      </w:r>
    </w:p>
    <w:p w14:paraId="66E8B219" w14:textId="77777777" w:rsidR="00617673" w:rsidRPr="00617673" w:rsidRDefault="00617673" w:rsidP="00617673">
      <w:pPr>
        <w:pStyle w:val="SingleTxtG"/>
        <w:rPr>
          <w:lang w:val="fr-FR"/>
        </w:rPr>
      </w:pPr>
      <w:r w:rsidRPr="00617673">
        <w:rPr>
          <w:lang w:val="fr-FR"/>
        </w:rPr>
        <w:t>231.</w:t>
      </w:r>
      <w:r w:rsidR="00753E88">
        <w:rPr>
          <w:lang w:val="fr-FR"/>
        </w:rPr>
        <w:tab/>
      </w:r>
      <w:r w:rsidRPr="00617673">
        <w:rPr>
          <w:lang w:val="fr-FR"/>
        </w:rPr>
        <w:t>Le projet d’abolir les instances judiciaires spécialisées contre la corruption a été accueillie avec beaucoup de réserve par des membres de la société civile qui doutent de son bien-fondé</w:t>
      </w:r>
      <w:r w:rsidRPr="00485573">
        <w:rPr>
          <w:rStyle w:val="FootnoteReference"/>
        </w:rPr>
        <w:footnoteReference w:id="345"/>
      </w:r>
      <w:r w:rsidRPr="00617673">
        <w:rPr>
          <w:lang w:val="fr-FR"/>
        </w:rPr>
        <w:t>. L’OLUCOME, organisation de la société civile spécialisée sur les questions de corruption et de malversations économiques, a dénoncé cette loi comme marquant un profond recul en matière de lutte contre la corruption et une violation de la Convention des Nations Unies contre la corruption</w:t>
      </w:r>
      <w:r w:rsidRPr="00485573">
        <w:rPr>
          <w:rStyle w:val="FootnoteReference"/>
        </w:rPr>
        <w:footnoteReference w:id="346"/>
      </w:r>
      <w:r w:rsidRPr="00617673">
        <w:rPr>
          <w:lang w:val="fr-FR"/>
        </w:rPr>
        <w:t>.</w:t>
      </w:r>
    </w:p>
    <w:p w14:paraId="1E06CC01" w14:textId="77777777" w:rsidR="00617673" w:rsidRPr="00617673" w:rsidRDefault="00617673" w:rsidP="00617673">
      <w:pPr>
        <w:pStyle w:val="SingleTxtG"/>
        <w:rPr>
          <w:lang w:val="fr-FR"/>
        </w:rPr>
      </w:pPr>
      <w:r w:rsidRPr="00617673">
        <w:rPr>
          <w:lang w:val="fr-FR"/>
        </w:rPr>
        <w:t>232.</w:t>
      </w:r>
      <w:r w:rsidR="00753E88">
        <w:rPr>
          <w:lang w:val="fr-FR"/>
        </w:rPr>
        <w:tab/>
      </w:r>
      <w:r w:rsidRPr="00617673">
        <w:rPr>
          <w:lang w:val="fr-FR"/>
        </w:rPr>
        <w:t>Le 14 juin 2021, la Cour constitutionnelle, qui avait été saisie par le Président Ndayishimiye pour contrôler la conformité du projet de loi organique portant suppression des institutions anti-corruption à la Constitution, l’a déclaré non-conforme, mais seulement pour des questions de forme. Selon la Cour, la suppression de la Cour et du Parquet anti-corruption doit être faite par le biais d’une loi ordinaire et la suppression de la Brigade anti-corruption nécessite de réviser la loi organique portant création d’unités spécialisées de la police. La Cour a souligné que le Gouvernement avait toute la latitude pour remédier à ces problèmes de forme et adopter des projets de loi conformes. Il reste à voir si le Gouvernement va aller de l’avant avec son projet.</w:t>
      </w:r>
    </w:p>
    <w:p w14:paraId="05CD0D12" w14:textId="77777777" w:rsidR="00617673" w:rsidRPr="00617673" w:rsidRDefault="00FC7026" w:rsidP="00FC7026">
      <w:pPr>
        <w:pStyle w:val="H23G"/>
      </w:pPr>
      <w:r>
        <w:tab/>
      </w:r>
      <w:r w:rsidR="00617673" w:rsidRPr="00617673">
        <w:t>4.</w:t>
      </w:r>
      <w:r>
        <w:tab/>
      </w:r>
      <w:r w:rsidR="00617673" w:rsidRPr="00617673">
        <w:t xml:space="preserve">Instrumentalisation de cas emblématiques </w:t>
      </w:r>
    </w:p>
    <w:p w14:paraId="267B22B0" w14:textId="5453CFC7" w:rsidR="00617673" w:rsidRPr="00617673" w:rsidRDefault="00617673" w:rsidP="00617673">
      <w:pPr>
        <w:pStyle w:val="SingleTxtG"/>
      </w:pPr>
      <w:r w:rsidRPr="00617673">
        <w:t>233.</w:t>
      </w:r>
      <w:r w:rsidR="00753E88">
        <w:tab/>
      </w:r>
      <w:r w:rsidRPr="00617673">
        <w:t>Le manque d’indépendance de la justice burundaise est un problème qui remonte à de nombreuses années. Cependant, rarement l’instrumentalisation du système judiciaire à des fins politiques, rendue possible par le contrôle étroit exercé par l’Exécutif à son égard, n’est apparu</w:t>
      </w:r>
      <w:r w:rsidR="00D27151">
        <w:t>e</w:t>
      </w:r>
      <w:r w:rsidRPr="00617673">
        <w:t xml:space="preserve"> aussi clairement que depuis l’arrivée au pouvoir du Président Ndayishimiye.</w:t>
      </w:r>
    </w:p>
    <w:p w14:paraId="5CEE87C9" w14:textId="6FB36C39" w:rsidR="00617673" w:rsidRPr="00617673" w:rsidRDefault="00617673" w:rsidP="00617673">
      <w:pPr>
        <w:pStyle w:val="SingleTxtG"/>
      </w:pPr>
      <w:r w:rsidRPr="00617673">
        <w:t>234.</w:t>
      </w:r>
      <w:r w:rsidR="00753E88">
        <w:tab/>
      </w:r>
      <w:r w:rsidRPr="00617673">
        <w:t>Le cas du défenseur des droits de l’homme Germain Rukuki illustre parfaitement de telles pratiques ; la chronologie des dernières décisions judiciaires le concernant est particulièrement troublante. Le 26 avril 2018, il avait été arbitrairement condamné à 32 ans de prison pour atteinte à la sûreté de l’État en raison de ses activités légitimes au sein d’une organisation de la société civile</w:t>
      </w:r>
      <w:r w:rsidRPr="00485573">
        <w:rPr>
          <w:rStyle w:val="FootnoteReference"/>
        </w:rPr>
        <w:footnoteReference w:id="347"/>
      </w:r>
      <w:r w:rsidRPr="00617673">
        <w:t xml:space="preserve">. Le 30 juin 2020, soit 12 jours après l’investiture du Président Ndayishimiye, la Cour suprême </w:t>
      </w:r>
      <w:r w:rsidR="00D27151">
        <w:t xml:space="preserve">a </w:t>
      </w:r>
      <w:r w:rsidRPr="00617673">
        <w:t>décid</w:t>
      </w:r>
      <w:r w:rsidR="00D27151">
        <w:t>é</w:t>
      </w:r>
      <w:r w:rsidRPr="00617673">
        <w:t xml:space="preserve"> de casser la décision prise en appel le 17 juillet 2019 qui confirmait sa condamnation. Son deuxième procès en appel a tardé à se tenir, et il n’a été organisé que le 24 mars 2021, après la reprise du dialogue avec l’Union européenne qui inclut la question de la levée des sanctions. La deuxième décision en appel aurait dû être rendue au plus tard le 24 avril 2021 conformément au délai d’un mois imparti par le Code de procédure pénale. Cependant, elle n’a été rendue publique que le 21 juin 2021 – quelques heures après l’annonce du lancement de la procédure de levée des sanctions de l’Union européenne, mais ce n’est qu’une semaine plus tard, après diverses pressions et interventions, </w:t>
      </w:r>
      <w:r w:rsidR="00485573">
        <w:t>qu’il sera effectivement libéré</w:t>
      </w:r>
      <w:r w:rsidRPr="00485573">
        <w:rPr>
          <w:rStyle w:val="FootnoteReference"/>
        </w:rPr>
        <w:footnoteReference w:id="348"/>
      </w:r>
      <w:r w:rsidR="00485573">
        <w:t>.</w:t>
      </w:r>
    </w:p>
    <w:p w14:paraId="1B9C760C" w14:textId="77777777" w:rsidR="00617673" w:rsidRPr="00617673" w:rsidRDefault="00FC7026" w:rsidP="00FC7026">
      <w:pPr>
        <w:pStyle w:val="H23G"/>
      </w:pPr>
      <w:r>
        <w:tab/>
      </w:r>
      <w:r w:rsidR="00617673" w:rsidRPr="00617673">
        <w:t>5.</w:t>
      </w:r>
      <w:r>
        <w:tab/>
      </w:r>
      <w:r w:rsidR="00617673" w:rsidRPr="00617673">
        <w:t xml:space="preserve">Absence d’avancée dans la lutte contre l’impunité </w:t>
      </w:r>
    </w:p>
    <w:p w14:paraId="5C696A1F" w14:textId="398B11FC" w:rsidR="00617673" w:rsidRPr="00617673" w:rsidRDefault="00617673" w:rsidP="00617673">
      <w:pPr>
        <w:pStyle w:val="SingleTxtG"/>
      </w:pPr>
      <w:r w:rsidRPr="00617673">
        <w:t>235.</w:t>
      </w:r>
      <w:r w:rsidR="00753E88">
        <w:tab/>
      </w:r>
      <w:r w:rsidRPr="00617673">
        <w:t xml:space="preserve">Dans ses rapports précédents, la Commission avait constaté que les principaux auteurs des violations commises depuis 2015 bénéficiaient d’une impunité quasi systématique, y compris dans les cas les plus graves d’exécution sommaire, disparition forcée, torture et violences sexuelles et que les victimes de violations des droits de l’homme étaient privées de voies de recours utiles offertes, car elles étaient découragées de porter plainte n’en voyant pas l’utilité, en raison des dysfonctionnements du système judiciaire, ou </w:t>
      </w:r>
      <w:r w:rsidR="00156D83">
        <w:t>parce qu’</w:t>
      </w:r>
      <w:r w:rsidRPr="00617673">
        <w:t>elles avaient peur des représailles si elles le faisaient</w:t>
      </w:r>
      <w:r w:rsidRPr="00E82F13">
        <w:rPr>
          <w:rStyle w:val="FootnoteReference"/>
        </w:rPr>
        <w:footnoteReference w:id="349"/>
      </w:r>
      <w:r w:rsidR="00E82F13">
        <w:t>.</w:t>
      </w:r>
    </w:p>
    <w:p w14:paraId="049C0DF8" w14:textId="2E2DCFF8" w:rsidR="00617673" w:rsidRPr="00617673" w:rsidRDefault="00617673" w:rsidP="00617673">
      <w:pPr>
        <w:pStyle w:val="SingleTxtG"/>
      </w:pPr>
      <w:r w:rsidRPr="00617673">
        <w:rPr>
          <w:lang w:val="fr-FR"/>
        </w:rPr>
        <w:t>236.</w:t>
      </w:r>
      <w:r w:rsidR="00753E88">
        <w:rPr>
          <w:lang w:val="fr-FR"/>
        </w:rPr>
        <w:tab/>
      </w:r>
      <w:r w:rsidRPr="00617673">
        <w:rPr>
          <w:lang w:val="fr-FR"/>
        </w:rPr>
        <w:t xml:space="preserve">Aucun progrès significatif en matière de lutte contre l’impunité depuis l’investiture du Président Ndayishimiye n’a été enregistré. Au-delà des facteurs liés aux dysfonctionnements du système judiciaire, l’impunité généralisée est principalement due au manque de volonté politique des autorités burundaises au plus haut niveau. </w:t>
      </w:r>
      <w:r w:rsidRPr="00617673">
        <w:t xml:space="preserve">Tant que le Président Ndayishimiye et son Gouvernement continueront </w:t>
      </w:r>
      <w:r w:rsidR="00156D83">
        <w:t xml:space="preserve">à </w:t>
      </w:r>
      <w:r w:rsidRPr="00617673">
        <w:t>nier que des violations aient été commises depuis 2015 et à rejeter le principe même de dialogue sur les questions relatives aux droits de l’homme au Burundi, il est difficile de concevoir comment il pourrait y avoir un quelconque progrès dans la lutte contre l’impunité pour les violations passées et présentes, alors que cela constitue pourtant une des clefs pour améliorer la situation globale des droits de l’homme dans le pays.</w:t>
      </w:r>
    </w:p>
    <w:p w14:paraId="71D0A208" w14:textId="77777777" w:rsidR="00617673" w:rsidRPr="00617673" w:rsidRDefault="00617673" w:rsidP="00617673">
      <w:pPr>
        <w:pStyle w:val="SingleTxtG"/>
        <w:rPr>
          <w:lang w:val="fr-FR"/>
        </w:rPr>
      </w:pPr>
      <w:r w:rsidRPr="00617673">
        <w:rPr>
          <w:lang w:val="fr-FR"/>
        </w:rPr>
        <w:t>237.</w:t>
      </w:r>
      <w:r w:rsidR="00753E88">
        <w:rPr>
          <w:lang w:val="fr-FR"/>
        </w:rPr>
        <w:tab/>
      </w:r>
      <w:r w:rsidRPr="00617673">
        <w:rPr>
          <w:lang w:val="fr-FR"/>
        </w:rPr>
        <w:t>Les premières condamnations de l’été 2020 n’ont pas vraiment été suivies par d’autres qui auraient marqué une rupture significative avec le passé. Certes, quelques policiers et militaires ont été condamnés pour des crimes de droit commun, souvent commis sous l’emprise de l’alcool</w:t>
      </w:r>
      <w:r w:rsidRPr="00E82F13">
        <w:rPr>
          <w:rStyle w:val="FootnoteReference"/>
        </w:rPr>
        <w:footnoteReference w:id="350"/>
      </w:r>
      <w:r w:rsidRPr="00617673">
        <w:rPr>
          <w:lang w:val="fr-FR"/>
        </w:rPr>
        <w:t>, et des Imbonerakure ont été arrêtés pour des violations graves, mais plusieurs ont été par la suite libérés et/ou « punis » en interne</w:t>
      </w:r>
      <w:r w:rsidRPr="00E82F13">
        <w:rPr>
          <w:rStyle w:val="FootnoteReference"/>
        </w:rPr>
        <w:footnoteReference w:id="351"/>
      </w:r>
      <w:r w:rsidRPr="00617673">
        <w:rPr>
          <w:lang w:val="fr-FR"/>
        </w:rPr>
        <w:t xml:space="preserve">. Pour ceux qui restent détenus, il reste encore à voir si les procédures aboutiront. </w:t>
      </w:r>
    </w:p>
    <w:p w14:paraId="6FD70B6B" w14:textId="77777777" w:rsidR="00617673" w:rsidRPr="00617673" w:rsidRDefault="00617673" w:rsidP="00617673">
      <w:pPr>
        <w:pStyle w:val="SingleTxtG"/>
        <w:rPr>
          <w:lang w:val="fr-FR"/>
        </w:rPr>
      </w:pPr>
      <w:r w:rsidRPr="00617673">
        <w:rPr>
          <w:lang w:val="fr-FR"/>
        </w:rPr>
        <w:t>238.</w:t>
      </w:r>
      <w:r w:rsidR="00753E88">
        <w:rPr>
          <w:lang w:val="fr-FR"/>
        </w:rPr>
        <w:tab/>
      </w:r>
      <w:r w:rsidRPr="00617673">
        <w:rPr>
          <w:lang w:val="fr-FR"/>
        </w:rPr>
        <w:t>Des agents du SNR et assimilés, connus pour leur implication dans de nombreuses violations des droits de l’homme, auraient été arrêtés et détenus</w:t>
      </w:r>
      <w:r w:rsidRPr="00E82F13">
        <w:rPr>
          <w:rStyle w:val="FootnoteReference"/>
        </w:rPr>
        <w:footnoteReference w:id="352"/>
      </w:r>
      <w:r w:rsidRPr="00617673">
        <w:rPr>
          <w:lang w:val="fr-FR"/>
        </w:rPr>
        <w:t>. Toutefois, l’opacité entourant ces procédures ne permet pas de savoir si cela est lié à leurs actions passées, à d’autres crimes et délits ou relève plutôt d’un règlement de compte en interne.</w:t>
      </w:r>
    </w:p>
    <w:p w14:paraId="09F7491A" w14:textId="77777777" w:rsidR="00617673" w:rsidRPr="00FA45AB" w:rsidRDefault="00753E88" w:rsidP="00753E88">
      <w:pPr>
        <w:pStyle w:val="H1G"/>
        <w:rPr>
          <w:lang w:val="fr-CH"/>
        </w:rPr>
      </w:pPr>
      <w:r w:rsidRPr="00FA45AB">
        <w:rPr>
          <w:lang w:val="fr-CH"/>
        </w:rPr>
        <w:tab/>
        <w:t>F.</w:t>
      </w:r>
      <w:r w:rsidRPr="00FA45AB">
        <w:rPr>
          <w:lang w:val="fr-CH"/>
        </w:rPr>
        <w:tab/>
      </w:r>
      <w:r w:rsidR="00617673" w:rsidRPr="00FA45AB">
        <w:rPr>
          <w:lang w:val="fr-CH"/>
        </w:rPr>
        <w:t>Fondements économiques de l’État</w:t>
      </w:r>
    </w:p>
    <w:p w14:paraId="6EBC1B72" w14:textId="77777777" w:rsidR="00617673" w:rsidRPr="00617673" w:rsidRDefault="00617673" w:rsidP="00617673">
      <w:pPr>
        <w:pStyle w:val="SingleTxtG"/>
      </w:pPr>
      <w:r w:rsidRPr="00617673">
        <w:rPr>
          <w:bCs/>
          <w:lang w:val="fr-FR"/>
        </w:rPr>
        <w:t>239.</w:t>
      </w:r>
      <w:r w:rsidR="00724A09">
        <w:rPr>
          <w:bCs/>
          <w:lang w:val="fr-FR"/>
        </w:rPr>
        <w:tab/>
      </w:r>
      <w:r w:rsidRPr="00617673">
        <w:t>Conformément à son mandat, la Commission a poursuivi ses enquêtes sur les fondements économiques de l’État burundais, puisque ceux-ci ont un impact sur la situation des droits de l’homme dans le pays</w:t>
      </w:r>
      <w:r w:rsidRPr="00E82F13">
        <w:rPr>
          <w:rStyle w:val="FootnoteReference"/>
        </w:rPr>
        <w:footnoteReference w:id="353"/>
      </w:r>
      <w:r w:rsidRPr="00617673">
        <w:t>. Dans son rapport précédent, la Commission avait documenté que la corruption, des détournements de fonds publics et des conflits et des prises illégales d’intérêts sous-tendaient le fonctionnement de l’économie burundaise. Les malversations économiques, telles que la corruption et les détournements de fonds, diminuent les ressources disponibles qui sont nécessaires à l’État pour garantir les droits économiques, sociaux et culturels de sa population, notamment les droits à un niveau de vie suffisant, à la nourriture, à la santé, à l’éducation, à la protection sociale et au travail, alors que la majorité des Burundais vit dans une situation de grande pauvreté</w:t>
      </w:r>
      <w:r w:rsidRPr="00E82F13">
        <w:rPr>
          <w:rStyle w:val="FootnoteReference"/>
        </w:rPr>
        <w:footnoteReference w:id="354"/>
      </w:r>
      <w:r w:rsidRPr="00617673">
        <w:t>. Les ressources de l’État sont également nécessaires à la protection et la promotion des droits civils et politiques, par exemple pour permettre le bon fonctionnement des systèmes judiciaire, pénitentiaire et électoral. Lutter contre la corruption et les autres malversations économiques fait donc partie des obligations de l’État burundais en vertu du droit international.</w:t>
      </w:r>
    </w:p>
    <w:p w14:paraId="43EABA64" w14:textId="438539A2" w:rsidR="00617673" w:rsidRPr="00617673" w:rsidRDefault="00617673" w:rsidP="00617673">
      <w:pPr>
        <w:pStyle w:val="SingleTxtG"/>
        <w:rPr>
          <w:lang w:val="fr-FR"/>
        </w:rPr>
      </w:pPr>
      <w:r w:rsidRPr="00617673">
        <w:rPr>
          <w:lang w:val="fr-FR"/>
        </w:rPr>
        <w:t>240.</w:t>
      </w:r>
      <w:r w:rsidR="00724A09">
        <w:rPr>
          <w:lang w:val="fr-FR"/>
        </w:rPr>
        <w:tab/>
      </w:r>
      <w:r w:rsidRPr="00617673">
        <w:rPr>
          <w:lang w:val="fr-FR"/>
        </w:rPr>
        <w:t>La Commission tient à souligner que toutes ses constatations sur les fondements économiques de l'État rapporté</w:t>
      </w:r>
      <w:r w:rsidR="00156D83">
        <w:rPr>
          <w:lang w:val="fr-FR"/>
        </w:rPr>
        <w:t>e</w:t>
      </w:r>
      <w:r w:rsidRPr="00617673">
        <w:rPr>
          <w:lang w:val="fr-FR"/>
        </w:rPr>
        <w:t>s précédemment</w:t>
      </w:r>
      <w:r w:rsidRPr="00E82F13">
        <w:rPr>
          <w:rStyle w:val="FootnoteReference"/>
        </w:rPr>
        <w:footnoteReference w:id="355"/>
      </w:r>
      <w:r w:rsidRPr="00617673">
        <w:rPr>
          <w:lang w:val="fr-FR"/>
        </w:rPr>
        <w:t xml:space="preserve"> restent entièrement valables. </w:t>
      </w:r>
      <w:r w:rsidRPr="00617673">
        <w:t>Au cours du présent terme, la Commission a concentré ses enquêtes sur la lutte contre la corruption menée par les autorités burundaises.</w:t>
      </w:r>
      <w:r w:rsidRPr="00617673" w:rsidDel="00E81237">
        <w:t xml:space="preserve"> </w:t>
      </w:r>
      <w:r w:rsidRPr="00617673">
        <w:t>Elle s’est intéressée également à la question des concessions minières dont les contrats viennent d’être remis en cause par le Président Nd</w:t>
      </w:r>
      <w:r w:rsidR="000D1E76">
        <w:t>ayishimiye et son Gouvernement.</w:t>
      </w:r>
    </w:p>
    <w:p w14:paraId="7802A8C7" w14:textId="77777777" w:rsidR="00617673" w:rsidRPr="00617673" w:rsidRDefault="00753E88" w:rsidP="00753E88">
      <w:pPr>
        <w:pStyle w:val="H23G"/>
      </w:pPr>
      <w:r>
        <w:tab/>
      </w:r>
      <w:r w:rsidR="00617673" w:rsidRPr="00617673">
        <w:t>1.</w:t>
      </w:r>
      <w:r>
        <w:tab/>
      </w:r>
      <w:r w:rsidR="00617673" w:rsidRPr="00617673">
        <w:t>Situation économique et financière du Burundi – Mise à jour</w:t>
      </w:r>
    </w:p>
    <w:p w14:paraId="1911C691" w14:textId="77777777" w:rsidR="00617673" w:rsidRPr="00617673" w:rsidRDefault="00617673" w:rsidP="00617673">
      <w:pPr>
        <w:pStyle w:val="SingleTxtG"/>
      </w:pPr>
      <w:bookmarkStart w:id="0" w:name="_Hlk77165271"/>
      <w:r w:rsidRPr="00617673">
        <w:t>241.</w:t>
      </w:r>
      <w:r w:rsidR="00724A09">
        <w:tab/>
      </w:r>
      <w:r w:rsidRPr="00617673">
        <w:t>En 2020, les principaux indicateurs économiques ont baissé, notamment en raison de la pandémie de Covid-19. La croissance économique du pays a été estimée à 0,3% en 2020 contre 1,8% en 2019. Cette croissance économique stagnante a été caractérisée par un ralentissement de la production agricole</w:t>
      </w:r>
      <w:r w:rsidRPr="000D1E76">
        <w:rPr>
          <w:rStyle w:val="FootnoteReference"/>
        </w:rPr>
        <w:footnoteReference w:id="356"/>
      </w:r>
      <w:r w:rsidRPr="00617673">
        <w:t>. Le produit intérieur brut (PIB) est passé de 3,01 milliards de dollars en 2019 à 3,25 milliards en 2020</w:t>
      </w:r>
      <w:r w:rsidRPr="000D1E76">
        <w:rPr>
          <w:rStyle w:val="FootnoteReference"/>
        </w:rPr>
        <w:footnoteReference w:id="357"/>
      </w:r>
      <w:r w:rsidRPr="00617673">
        <w:t>. La pandémie a touché l’industrie et les services, dont la production a baissé respectivement de 4,5% et 1,8% par rapport à 2019. Concernant la demande, les investissements ont baissé d'environ 3%. La chute de la production agricole, conjuguée à la hausse des prix des produits importés, a entraîné une forte augmentation des prix. L'inflation a augmenté de 8,5 points en 2020, passant à 7,6% contre -0,7% en 2019</w:t>
      </w:r>
      <w:r w:rsidRPr="000D1E76">
        <w:rPr>
          <w:rStyle w:val="FootnoteReference"/>
        </w:rPr>
        <w:footnoteReference w:id="358"/>
      </w:r>
      <w:r w:rsidRPr="00617673">
        <w:t xml:space="preserve">. </w:t>
      </w:r>
    </w:p>
    <w:p w14:paraId="5E5D516E" w14:textId="77777777" w:rsidR="00617673" w:rsidRPr="00617673" w:rsidRDefault="00617673" w:rsidP="00617673">
      <w:pPr>
        <w:pStyle w:val="SingleTxtG"/>
      </w:pPr>
      <w:r w:rsidRPr="00617673">
        <w:t>242.</w:t>
      </w:r>
      <w:r w:rsidR="00724A09">
        <w:tab/>
      </w:r>
      <w:r w:rsidRPr="00617673">
        <w:t>Le déficit du compte courant s'est établi à 19,1% du PIB, contre un déficit de 17,8% en 2019. Cela s'est traduit par une réduction des réserves de change, qui pourraient couvrir moins de 30 jours d'importations dans le pays à la fin de 2020. Le taux de change officiel entre le franc burundais et le dollar américain a baissé de 3,8% entre mai 2019 et mai 2020. La faiblesse de la demande mondiale ayant entraîné une baisse de 4,4% des prix à l’exportation du café et de 10,4% pour le thé, les déficits commerciaux et courants se sont aggravés</w:t>
      </w:r>
      <w:r w:rsidRPr="000D1E76">
        <w:rPr>
          <w:rStyle w:val="FootnoteReference"/>
        </w:rPr>
        <w:footnoteReference w:id="359"/>
      </w:r>
      <w:r w:rsidRPr="00617673">
        <w:t>.</w:t>
      </w:r>
    </w:p>
    <w:p w14:paraId="3CEA2878" w14:textId="77777777" w:rsidR="00617673" w:rsidRPr="00617673" w:rsidRDefault="00617673" w:rsidP="00617673">
      <w:pPr>
        <w:pStyle w:val="SingleTxtG"/>
      </w:pPr>
      <w:r w:rsidRPr="00617673">
        <w:t>243.</w:t>
      </w:r>
      <w:r w:rsidR="00724A09">
        <w:tab/>
      </w:r>
      <w:r w:rsidRPr="00617673">
        <w:t xml:space="preserve">Le budget total de l’État a augmenté de 4,7% en 2020-2021, passant de 1648,8 millions de francs burundais (approximativement 856,5 millions dollars) par rapport au budget de l’année précédente 2019-2020 (1 574,9 milliards de francs burundais (environ 805 millions de dollars). Le budget alloué au secteur social représentait presque la moitié du budget total de l’État est passé de 44,8% à 48,4% sur la même période, cette augmentation a été surtout notable dans le secteur de la </w:t>
      </w:r>
      <w:r w:rsidR="000D1E76">
        <w:t>santé</w:t>
      </w:r>
      <w:r w:rsidRPr="000D1E76">
        <w:rPr>
          <w:rStyle w:val="FootnoteReference"/>
        </w:rPr>
        <w:footnoteReference w:id="360"/>
      </w:r>
      <w:r w:rsidR="000D1E76">
        <w:t>.</w:t>
      </w:r>
      <w:r w:rsidRPr="00617673">
        <w:t xml:space="preserve"> Le déficit budgétaire a doublé pour atteindre 8,7% du PIB en 2020, contre 4,2% en 2019, les dépenses courantes ayant augmenté d’environ 4%.</w:t>
      </w:r>
    </w:p>
    <w:p w14:paraId="14503D00" w14:textId="77777777" w:rsidR="00617673" w:rsidRPr="00617673" w:rsidRDefault="00617673" w:rsidP="00617673">
      <w:pPr>
        <w:pStyle w:val="SingleTxtG"/>
      </w:pPr>
      <w:r w:rsidRPr="00617673">
        <w:t>244.</w:t>
      </w:r>
      <w:r w:rsidR="00724A09">
        <w:tab/>
      </w:r>
      <w:r w:rsidRPr="00617673">
        <w:t>Les organismes de financement internationaux soutiennent des programmes d’assistance socio-économique importants pour la population burundaise. Le processus de financement d’un projet, pour être conforme aux pratiques acceptées de coopération internationale et de gestion financière, doit comprendre un certain nombre d’étapes, telles que la sélection des partenariats, une évaluation des risques, la réalisation d’audits internes et externes, l’évaluation des performances. Les organismes contactés par la Commission n’ont pas partagé d’informations indiquant qu’il y aurait eu des cas spécifiques de corruption ou de détournement de fonds par des partenaires locaux en charge de la mise en œuvre de leurs projets. Cependant, étant donné que la corruption reste un problème majeur, et tout en reconnaissant l’importance et la valeur des mécanismes déjà mis en place pour adresser les possibles allégations de corruption et de détournement de fonds, la Commission souligne qu’une approche plus proactive mériterait d’être considérée par les organismes de financement internationaux afin d’enc</w:t>
      </w:r>
      <w:r w:rsidR="000D1E76">
        <w:t>ore mieux prévenir les risques.</w:t>
      </w:r>
    </w:p>
    <w:bookmarkEnd w:id="0"/>
    <w:p w14:paraId="6540DC2D" w14:textId="77777777" w:rsidR="00617673" w:rsidRPr="00617673" w:rsidRDefault="00753E88" w:rsidP="00753E88">
      <w:pPr>
        <w:pStyle w:val="H23G"/>
      </w:pPr>
      <w:r>
        <w:tab/>
      </w:r>
      <w:r w:rsidR="00617673" w:rsidRPr="00617673">
        <w:t>2.</w:t>
      </w:r>
      <w:r>
        <w:tab/>
      </w:r>
      <w:r w:rsidR="00B85477">
        <w:t>Corruption</w:t>
      </w:r>
    </w:p>
    <w:p w14:paraId="044B8683" w14:textId="77777777" w:rsidR="00617673" w:rsidRPr="00617673" w:rsidRDefault="00617673" w:rsidP="00617673">
      <w:pPr>
        <w:pStyle w:val="SingleTxtG"/>
      </w:pPr>
      <w:r w:rsidRPr="00617673">
        <w:t>245.</w:t>
      </w:r>
      <w:r w:rsidR="00724A09">
        <w:tab/>
      </w:r>
      <w:r w:rsidRPr="00617673">
        <w:t xml:space="preserve">Parmi les facteurs qui facilitent les pratiques de petite corruption qui empoisonnent la vie quotidienne de la population burundaise, on peut relever l’établissement par les autorités d’innombrables règles et règlements encadrant l’obtention de licences, de permis, l’enregistrement d’une nouvelle entreprise, la demande d’un prêt, la réalisation d’un investissement, la conduite ou la possession d’une voiture, l’obtention de devises étrangères, l’obtention d’un passeport, ainsi que les nombreuses autres activités qui nécessitent des documents ou des autorisations spécifiques. En effet, certains agents de l’État exercent </w:t>
      </w:r>
      <w:r w:rsidRPr="00617673">
        <w:rPr>
          <w:i/>
        </w:rPr>
        <w:t>de facto</w:t>
      </w:r>
      <w:r w:rsidRPr="00617673">
        <w:t xml:space="preserve"> un monopole de pouvoir pour autoriser, retarder ou refuser l’approbation ou la délivrance des documents</w:t>
      </w:r>
      <w:r w:rsidRPr="000D1E76">
        <w:rPr>
          <w:rStyle w:val="FootnoteReference"/>
        </w:rPr>
        <w:footnoteReference w:id="361"/>
      </w:r>
      <w:r w:rsidRPr="00617673">
        <w:t>. La délivrance rapide de documents juridiques tels que les passeports ou les documents d’identités ou relatifs au foncier, l’obtention de permis, ainsi que la rapidité de leur délivrance, dépendront du paiement d’un pot-de-vin. De nombreuses personnes deviennent alors des intermédiaires ou des facilitateurs entre les citoyens et ces agents publics</w:t>
      </w:r>
      <w:r w:rsidRPr="000D1E76">
        <w:rPr>
          <w:rStyle w:val="FootnoteReference"/>
        </w:rPr>
        <w:footnoteReference w:id="362"/>
      </w:r>
      <w:r w:rsidR="000D1E76">
        <w:t>.</w:t>
      </w:r>
    </w:p>
    <w:p w14:paraId="04BA06D4" w14:textId="77777777" w:rsidR="00617673" w:rsidRPr="00617673" w:rsidRDefault="00724A09" w:rsidP="00724A09">
      <w:pPr>
        <w:pStyle w:val="H56G"/>
      </w:pPr>
      <w:r>
        <w:tab/>
      </w:r>
      <w:r>
        <w:tab/>
      </w:r>
      <w:r w:rsidR="00617673" w:rsidRPr="00617673">
        <w:t xml:space="preserve">Par exemple, un témoin qui avait des difficultés à faire enregistrer son mariage a expliqué : </w:t>
      </w:r>
    </w:p>
    <w:p w14:paraId="6FA49E52" w14:textId="0CA7808B" w:rsidR="00617673" w:rsidRPr="00617673" w:rsidRDefault="00617673" w:rsidP="00724A09">
      <w:pPr>
        <w:pStyle w:val="SingleTxtG"/>
        <w:ind w:left="1701"/>
      </w:pPr>
      <w:r w:rsidRPr="00617673">
        <w:t>« </w:t>
      </w:r>
      <w:r w:rsidRPr="00617673">
        <w:rPr>
          <w:i/>
        </w:rPr>
        <w:t>J’ai demandé conseil et on m’a dit que ce serait mieux si je me rendais au bureau communal avec un peu d’argent et la fois suivante, je suis parti avec 17 000 Fbu [environ 8,5 dollars] que j’ai remis et on m’a inscrit. Rien n’aurait été fait si je n’avais pas donné cet argent. En fait tous les services que tu dois effectuer doivent se faire contre paiement. J’ai eu le même problème pour obtenir les documents pour ma moto, pour le contrôle technique. En fait il y a des commissionnaires qui sont chargés de t’aider avec ça, tu leur donnes de l’argent et il</w:t>
      </w:r>
      <w:r w:rsidR="0000137E">
        <w:rPr>
          <w:i/>
        </w:rPr>
        <w:t>s</w:t>
      </w:r>
      <w:r w:rsidRPr="00617673">
        <w:rPr>
          <w:i/>
        </w:rPr>
        <w:t xml:space="preserve"> s’en occupe</w:t>
      </w:r>
      <w:r w:rsidR="0000137E">
        <w:rPr>
          <w:i/>
        </w:rPr>
        <w:t>nt</w:t>
      </w:r>
      <w:r w:rsidRPr="00617673">
        <w:rPr>
          <w:i/>
        </w:rPr>
        <w:t xml:space="preserve"> et tu ne sais pas d’où c’est venu</w:t>
      </w:r>
      <w:r w:rsidRPr="00617673">
        <w:t> »</w:t>
      </w:r>
      <w:r w:rsidRPr="000D1E76">
        <w:rPr>
          <w:rStyle w:val="FootnoteReference"/>
        </w:rPr>
        <w:footnoteReference w:id="363"/>
      </w:r>
      <w:r w:rsidR="000D1E76">
        <w:t>.</w:t>
      </w:r>
    </w:p>
    <w:p w14:paraId="470D35CC" w14:textId="77777777" w:rsidR="00617673" w:rsidRPr="00617673" w:rsidRDefault="00724A09" w:rsidP="00617673">
      <w:pPr>
        <w:pStyle w:val="SingleTxtG"/>
      </w:pPr>
      <w:bookmarkStart w:id="1" w:name="_Hlk77174711"/>
      <w:r>
        <w:t>246.</w:t>
      </w:r>
      <w:r>
        <w:tab/>
      </w:r>
      <w:r w:rsidR="00617673" w:rsidRPr="00617673">
        <w:t>Le Président Ndayishimiye et son Gouvernement, reconnaissant le problème, ont fait de la lutte contre la corruption et la mauvaise gouvernance une priorité</w:t>
      </w:r>
      <w:r w:rsidR="00617673" w:rsidRPr="000D1E76">
        <w:rPr>
          <w:rStyle w:val="FootnoteReference"/>
        </w:rPr>
        <w:footnoteReference w:id="364"/>
      </w:r>
      <w:r w:rsidR="00617673" w:rsidRPr="00617673">
        <w:t>.</w:t>
      </w:r>
      <w:r w:rsidR="00617673" w:rsidRPr="00617673">
        <w:rPr>
          <w:lang w:val="fr-FR"/>
        </w:rPr>
        <w:t xml:space="preserve"> Par exemple, le </w:t>
      </w:r>
      <w:r w:rsidR="00617673" w:rsidRPr="00617673">
        <w:t>ministre de l’Intérieur, du Développement communautaire et de la Sécurité publique a dénoncé la pratique de certains conseillers communaux d’exiger des frais constituant des pots de vin pour la signature des documents liés à la vente de propriétés foncières et d’immeubles</w:t>
      </w:r>
      <w:r w:rsidR="00617673" w:rsidRPr="000D1E76">
        <w:rPr>
          <w:rStyle w:val="FootnoteReference"/>
        </w:rPr>
        <w:footnoteReference w:id="365"/>
      </w:r>
      <w:r w:rsidR="00617673" w:rsidRPr="00617673">
        <w:t>. Dans cette communication, il a également critiqué la pratique de certaines autorités communales et provinciales d’exiger des frais à titre de contribution au développement comme condition pour l’octroi des documents administratifs</w:t>
      </w:r>
      <w:r w:rsidR="00617673" w:rsidRPr="000D1E76">
        <w:rPr>
          <w:rStyle w:val="FootnoteReference"/>
        </w:rPr>
        <w:footnoteReference w:id="366"/>
      </w:r>
      <w:r w:rsidR="00B85477">
        <w:t>.</w:t>
      </w:r>
    </w:p>
    <w:p w14:paraId="606EB13B" w14:textId="77777777" w:rsidR="00617673" w:rsidRPr="00617673" w:rsidRDefault="00724A09" w:rsidP="00617673">
      <w:pPr>
        <w:pStyle w:val="SingleTxtG"/>
      </w:pPr>
      <w:r>
        <w:t>247.</w:t>
      </w:r>
      <w:r>
        <w:tab/>
      </w:r>
      <w:r w:rsidR="00617673" w:rsidRPr="00617673">
        <w:t>À cet égard, la Commission rappelle ses constatations au sujet des contributions forcées par des Imbonerakure et des responsables administratifs locaux, pratique persistante et répandue qui relève principalement de l’extorsion, mais également dans certains cas qui impliquent les autorités administratives, de la corruption</w:t>
      </w:r>
      <w:r w:rsidR="00617673" w:rsidRPr="000D1E76">
        <w:rPr>
          <w:rStyle w:val="FootnoteReference"/>
        </w:rPr>
        <w:footnoteReference w:id="367"/>
      </w:r>
      <w:r w:rsidR="00B85477">
        <w:t>.</w:t>
      </w:r>
    </w:p>
    <w:p w14:paraId="2CF66583" w14:textId="77777777" w:rsidR="00617673" w:rsidRPr="00617673" w:rsidRDefault="00617673" w:rsidP="00617673">
      <w:pPr>
        <w:pStyle w:val="SingleTxtG"/>
        <w:rPr>
          <w:lang w:val="fr-FR"/>
        </w:rPr>
      </w:pPr>
      <w:r w:rsidRPr="00617673">
        <w:t>248.</w:t>
      </w:r>
      <w:r w:rsidR="00724A09">
        <w:tab/>
      </w:r>
      <w:r w:rsidRPr="00617673">
        <w:t>Cependant, jusqu’à présent, les réformes entreprises par le Gouvernement burundais ont été plutôt modestes, voire contestables, comme le projet de supprimer les institutions anti-corruption spécialisées</w:t>
      </w:r>
      <w:r w:rsidRPr="000D1E76">
        <w:rPr>
          <w:rStyle w:val="FootnoteReference"/>
        </w:rPr>
        <w:footnoteReference w:id="368"/>
      </w:r>
      <w:r w:rsidRPr="00617673">
        <w:t>.</w:t>
      </w:r>
      <w:r w:rsidRPr="00617673">
        <w:rPr>
          <w:lang w:val="fr-FR"/>
        </w:rPr>
        <w:t xml:space="preserve"> Une fois encore, ce sont surtout des gestes symboliques qui ont été posés, comme la destitution le 1</w:t>
      </w:r>
      <w:r w:rsidRPr="00617673">
        <w:rPr>
          <w:vertAlign w:val="superscript"/>
          <w:lang w:val="fr-FR"/>
        </w:rPr>
        <w:t>er</w:t>
      </w:r>
      <w:r w:rsidRPr="00617673">
        <w:rPr>
          <w:lang w:val="fr-FR"/>
        </w:rPr>
        <w:t xml:space="preserve"> mai 2021 de la ministre du Commerce, du Transport, de l’Industrie et du Tourisme, dont les actes risquaient « de compromettre l’économie du pays »</w:t>
      </w:r>
      <w:r w:rsidRPr="00E666BD">
        <w:rPr>
          <w:rStyle w:val="FootnoteReference"/>
        </w:rPr>
        <w:footnoteReference w:id="369"/>
      </w:r>
      <w:r w:rsidRPr="00617673">
        <w:rPr>
          <w:lang w:val="fr-FR"/>
        </w:rPr>
        <w:t xml:space="preserve">. </w:t>
      </w:r>
      <w:r w:rsidRPr="00617673">
        <w:t>La ministre aurait été soupçonnée de détournements de fonds et accusée d’avoir vendu le dernier avion de la compagnie Air Burundi sans l’accord des autorités burundaises, mais aussi d’avoir mal géré des fonds destinés à la fusion de Air Burundi et la SOBUGEA</w:t>
      </w:r>
      <w:r w:rsidRPr="00E666BD">
        <w:rPr>
          <w:rStyle w:val="FootnoteReference"/>
        </w:rPr>
        <w:footnoteReference w:id="370"/>
      </w:r>
      <w:r w:rsidRPr="00617673">
        <w:t>. Le nouveau ministre du Commerce nommé le 12 mai 2021 a fait annuler le contrat de vente de l’avion en question</w:t>
      </w:r>
      <w:r w:rsidRPr="00E666BD">
        <w:rPr>
          <w:rStyle w:val="FootnoteReference"/>
        </w:rPr>
        <w:footnoteReference w:id="371"/>
      </w:r>
      <w:r w:rsidRPr="00617673">
        <w:t xml:space="preserve">. De même, </w:t>
      </w:r>
      <w:r w:rsidRPr="00617673">
        <w:rPr>
          <w:lang w:val="fr-FR"/>
        </w:rPr>
        <w:t>au printemps 2021, des percepteurs et comptables communaux accusés de détournement de fonds ont été limogés de manière collective, sans que des enquêtes approfondies ni des poursuites judiciaires ne soient ouvertes</w:t>
      </w:r>
      <w:r w:rsidRPr="00E666BD">
        <w:rPr>
          <w:rStyle w:val="FootnoteReference"/>
        </w:rPr>
        <w:footnoteReference w:id="372"/>
      </w:r>
      <w:r w:rsidRPr="00617673">
        <w:rPr>
          <w:lang w:val="fr-FR"/>
        </w:rPr>
        <w:t xml:space="preserve">. L’effet dissuasif de telles décisions reste à prouver alors que ces sanctions collectives laissent un sentiment d’arbitraire. </w:t>
      </w:r>
    </w:p>
    <w:p w14:paraId="17EA36DA" w14:textId="31DF8284" w:rsidR="00617673" w:rsidRPr="00617673" w:rsidRDefault="00617673" w:rsidP="00617673">
      <w:pPr>
        <w:pStyle w:val="SingleTxtG"/>
      </w:pPr>
      <w:r w:rsidRPr="00617673">
        <w:rPr>
          <w:lang w:val="fr-FR"/>
        </w:rPr>
        <w:t>249.</w:t>
      </w:r>
      <w:r w:rsidR="00724A09">
        <w:rPr>
          <w:lang w:val="fr-FR"/>
        </w:rPr>
        <w:tab/>
      </w:r>
      <w:r w:rsidRPr="00617673">
        <w:rPr>
          <w:lang w:val="fr-FR"/>
        </w:rPr>
        <w:t xml:space="preserve">Par ailleurs, </w:t>
      </w:r>
      <w:r w:rsidRPr="00617673">
        <w:t>le ministre de l’Intérieur, du Développement communautaire et de la Sécurité publique a interdit les collectes obligatoires pratiquées par les associations de transporteurs sur les parkings. Ces dernières avaient été dénoncées comme abusives, puisque les chauffeurs et autres employés du secteur ne pouvaient jamais bénéficier du soutien financier de ces associations en cas de besoin</w:t>
      </w:r>
      <w:r w:rsidRPr="00E666BD">
        <w:rPr>
          <w:rStyle w:val="FootnoteReference"/>
        </w:rPr>
        <w:footnoteReference w:id="373"/>
      </w:r>
      <w:r w:rsidR="002B032A">
        <w:t>.</w:t>
      </w:r>
    </w:p>
    <w:p w14:paraId="34D8FBCF" w14:textId="77777777" w:rsidR="00617673" w:rsidRPr="00617673" w:rsidRDefault="00617673" w:rsidP="00617673">
      <w:pPr>
        <w:pStyle w:val="SingleTxtG"/>
        <w:rPr>
          <w:lang w:val="fr-FR"/>
        </w:rPr>
      </w:pPr>
      <w:r w:rsidRPr="00617673">
        <w:rPr>
          <w:lang w:val="fr-FR"/>
        </w:rPr>
        <w:t>250.</w:t>
      </w:r>
      <w:r w:rsidR="00724A09">
        <w:rPr>
          <w:lang w:val="fr-FR"/>
        </w:rPr>
        <w:tab/>
      </w:r>
      <w:r w:rsidRPr="00617673">
        <w:rPr>
          <w:lang w:val="fr-FR"/>
        </w:rPr>
        <w:t>Toutes ces actions ont néanmoins été saluées comme des mesures encourageantes par l’organisation PARCEM. Cette dernière recommande d’établir également des stratégies en amont pour garantir la transparence dans la gestion des fonds collectés surtout au niveau de la gestion des marchés publics, l’enrichissement illicite, et la gestion des deniers publics</w:t>
      </w:r>
      <w:r w:rsidRPr="00E666BD">
        <w:rPr>
          <w:rStyle w:val="FootnoteReference"/>
        </w:rPr>
        <w:footnoteReference w:id="374"/>
      </w:r>
      <w:r w:rsidRPr="00617673">
        <w:rPr>
          <w:lang w:val="fr-FR"/>
        </w:rPr>
        <w:t>.</w:t>
      </w:r>
    </w:p>
    <w:p w14:paraId="6EBC4A38" w14:textId="77777777" w:rsidR="00617673" w:rsidRPr="00617673" w:rsidRDefault="00617673" w:rsidP="00617673">
      <w:pPr>
        <w:pStyle w:val="SingleTxtG"/>
      </w:pPr>
      <w:r w:rsidRPr="00617673">
        <w:rPr>
          <w:lang w:val="fr-FR"/>
        </w:rPr>
        <w:t>251.</w:t>
      </w:r>
      <w:r w:rsidR="00724A09">
        <w:rPr>
          <w:lang w:val="fr-FR"/>
        </w:rPr>
        <w:tab/>
      </w:r>
      <w:r w:rsidRPr="00617673">
        <w:rPr>
          <w:lang w:val="fr-FR"/>
        </w:rPr>
        <w:t xml:space="preserve">Le Chef de l’État a parfois affiché une attitude ambiguë en matière de lutte contre la corruption, en tergiversant sur la déclaration de </w:t>
      </w:r>
      <w:r w:rsidRPr="00617673">
        <w:t>biens des mandataires publics pourtant prévue par la Constitution</w:t>
      </w:r>
      <w:r w:rsidRPr="00E666BD">
        <w:rPr>
          <w:rStyle w:val="FootnoteReference"/>
        </w:rPr>
        <w:footnoteReference w:id="375"/>
      </w:r>
      <w:r w:rsidRPr="00617673">
        <w:t xml:space="preserve"> ou en déclarant que seuls les cas de corruption commis après son investiture feraient l’objet d’enquêtes, consacrant </w:t>
      </w:r>
      <w:r w:rsidRPr="00617673">
        <w:rPr>
          <w:i/>
        </w:rPr>
        <w:t>de facto</w:t>
      </w:r>
      <w:r w:rsidRPr="00617673">
        <w:t xml:space="preserve"> l’impunité pour les faits antérieurs</w:t>
      </w:r>
      <w:r w:rsidRPr="00E666BD">
        <w:rPr>
          <w:rStyle w:val="FootnoteReference"/>
        </w:rPr>
        <w:footnoteReference w:id="376"/>
      </w:r>
      <w:r w:rsidRPr="00617673">
        <w:t>. Selon lui, il serait contre-productif de remuer le passé : « parce que si on poursuit ceux qui ont pillé les biens publics au cours des dernières années, on va perdre du temps dans les enquêtes, on ne va plus travailler et le pays va devenir plus pauvre. Aujourd’hui, je dis : ceux qui ont volé, c’est fait. On va mettre votre cas devant la Commission vérité et réconciliation […] »</w:t>
      </w:r>
      <w:r w:rsidRPr="00E666BD">
        <w:rPr>
          <w:rStyle w:val="FootnoteReference"/>
        </w:rPr>
        <w:footnoteReference w:id="377"/>
      </w:r>
      <w:r w:rsidRPr="00617673">
        <w:t xml:space="preserve">. </w:t>
      </w:r>
    </w:p>
    <w:p w14:paraId="1E47B7F6" w14:textId="77777777" w:rsidR="00617673" w:rsidRPr="00617673" w:rsidRDefault="00724A09" w:rsidP="00617673">
      <w:pPr>
        <w:pStyle w:val="SingleTxtG"/>
        <w:rPr>
          <w:lang w:val="fr-FR"/>
        </w:rPr>
      </w:pPr>
      <w:r>
        <w:t>252.</w:t>
      </w:r>
      <w:r>
        <w:tab/>
      </w:r>
      <w:r w:rsidR="00617673" w:rsidRPr="00617673">
        <w:t>Pendant l’été 2021, il a également déclaré lors d’une séance de prière du CNDD-FDD, que pour mieux combattre la corruption et en même temps contribuer au développement du pays, il accepterait désormais tous les pots-de-vin qui lui seraient offerts : « Si tu es généreux, n’hésite surtout pas à me donner un pot-de-vin. J’ai pris la décision de ne plus refuser un pot-de-vin. Je prendrai l’argent et je l’utiliserai pour construire des écoles. Puis je ne lui donne pas ce qu’il cherche. Ce n’est pas compliqué. C’est le seul moyen de combattre la corruption. […] Une fois que tu as pris le pot de vin, tu l’utilises pour construire des écoles et tu diras à la personne : " tu n’auras pas ce que tu cherches". Qu’il aille donc se plaindre que je lui ai pris de l’argent ! Je sais comment vaincre la corruption : tu laisses les gens faire mais tu t’assures que rien n’en sort. »</w:t>
      </w:r>
      <w:r w:rsidR="00617673" w:rsidRPr="00E666BD">
        <w:rPr>
          <w:rStyle w:val="FootnoteReference"/>
        </w:rPr>
        <w:footnoteReference w:id="378"/>
      </w:r>
      <w:r w:rsidR="00617673" w:rsidRPr="00617673">
        <w:t>.</w:t>
      </w:r>
    </w:p>
    <w:p w14:paraId="18F54F46" w14:textId="77777777" w:rsidR="00617673" w:rsidRPr="00617673" w:rsidRDefault="00724A09" w:rsidP="00617673">
      <w:pPr>
        <w:pStyle w:val="SingleTxtG"/>
        <w:rPr>
          <w:i/>
          <w:iCs/>
        </w:rPr>
      </w:pPr>
      <w:r>
        <w:rPr>
          <w:lang w:val="fr-FR"/>
        </w:rPr>
        <w:t>253.</w:t>
      </w:r>
      <w:r>
        <w:rPr>
          <w:lang w:val="fr-FR"/>
        </w:rPr>
        <w:tab/>
      </w:r>
      <w:r w:rsidR="00617673" w:rsidRPr="00617673">
        <w:rPr>
          <w:lang w:val="fr-FR"/>
        </w:rPr>
        <w:t xml:space="preserve">En l’état actuel des choses et en l’absence de réforme structurelle crédible, la Commission considère qu’elle a des motifs raisonnables de croire que la corruption continue à être endémique au Burundi, aussi bien celle qui affecte la population dans sa vie quotidienne que la grande corruption. Par exemple, </w:t>
      </w:r>
      <w:bookmarkEnd w:id="1"/>
      <w:r w:rsidR="00617673" w:rsidRPr="00617673">
        <w:t>des barrières continueraient d’être érigées par la police à l’intérieur du pays pour obliger les conducteurs à leur verser de l’argent pour éviter une amende, y compris lorsqu’il n’y a pas d’infraction routière avérée, pratique qui aurait même augmenté depuis le début de la pandémie de Covid-19</w:t>
      </w:r>
      <w:r w:rsidR="00617673" w:rsidRPr="00A314F3">
        <w:rPr>
          <w:rStyle w:val="FootnoteReference"/>
        </w:rPr>
        <w:footnoteReference w:id="379"/>
      </w:r>
      <w:r w:rsidR="00617673" w:rsidRPr="00617673">
        <w:t>.</w:t>
      </w:r>
    </w:p>
    <w:p w14:paraId="0936E69F" w14:textId="77777777" w:rsidR="00617673" w:rsidRPr="00617673" w:rsidRDefault="00753E88" w:rsidP="00753E88">
      <w:pPr>
        <w:pStyle w:val="H23G"/>
      </w:pPr>
      <w:r>
        <w:tab/>
      </w:r>
      <w:r w:rsidR="00617673" w:rsidRPr="00617673">
        <w:t>3.</w:t>
      </w:r>
      <w:r>
        <w:tab/>
      </w:r>
      <w:r w:rsidR="00617673" w:rsidRPr="00617673">
        <w:t>Développements concernant le secteur minier</w:t>
      </w:r>
    </w:p>
    <w:p w14:paraId="1A3A0AAD" w14:textId="77777777" w:rsidR="00617673" w:rsidRPr="00617673" w:rsidRDefault="00724A09" w:rsidP="00617673">
      <w:pPr>
        <w:pStyle w:val="SingleTxtG"/>
        <w:rPr>
          <w:lang w:val="fr-FR"/>
        </w:rPr>
      </w:pPr>
      <w:r>
        <w:t>254.</w:t>
      </w:r>
      <w:r>
        <w:tab/>
      </w:r>
      <w:r w:rsidR="00617673" w:rsidRPr="00617673">
        <w:t>Le sous-sol burundais abrite une importante richesse en termes de ressources minérales, notamment de l’or, du nickel (environ 5% des réserves mondiales), des Terres rares, du tantale, de l’étain, du tungstène, des minéraux industriels comme le kaolin, des phosphates, des carbonates, du vanadium, du calcaire et de la tourbe</w:t>
      </w:r>
      <w:r w:rsidR="00617673" w:rsidRPr="00A314F3">
        <w:rPr>
          <w:rStyle w:val="FootnoteReference"/>
        </w:rPr>
        <w:footnoteReference w:id="380"/>
      </w:r>
      <w:r w:rsidR="00617673" w:rsidRPr="00617673">
        <w:t>. Cependant, l’exploitation minière, qu’elle soit industrielle ou artisanale, n’a pas été une source importante de revenus officiels pour l’économie du pays. En effet, elle ne représente que 1% du produit intérieur brut du pays, soit environ 30 millions de dollars, et 1,7% du budget 2019-2020</w:t>
      </w:r>
      <w:r w:rsidR="00617673" w:rsidRPr="00A314F3">
        <w:rPr>
          <w:rStyle w:val="FootnoteReference"/>
        </w:rPr>
        <w:footnoteReference w:id="381"/>
      </w:r>
      <w:r w:rsidR="00A314F3">
        <w:t>.</w:t>
      </w:r>
    </w:p>
    <w:p w14:paraId="46262134" w14:textId="77777777" w:rsidR="00617673" w:rsidRPr="00617673" w:rsidRDefault="00724A09" w:rsidP="00617673">
      <w:pPr>
        <w:pStyle w:val="SingleTxtG"/>
        <w:rPr>
          <w:lang w:val="fr-FR"/>
        </w:rPr>
      </w:pPr>
      <w:r>
        <w:rPr>
          <w:lang w:val="fr-FR"/>
        </w:rPr>
        <w:t>255.</w:t>
      </w:r>
      <w:r>
        <w:rPr>
          <w:lang w:val="fr-FR"/>
        </w:rPr>
        <w:tab/>
      </w:r>
      <w:r w:rsidR="00617673" w:rsidRPr="00617673">
        <w:rPr>
          <w:lang w:val="fr-FR"/>
        </w:rPr>
        <w:t xml:space="preserve">Le Gouvernement burundais ayant décidé de développer l’exploitation minière industrielle depuis quelques années afin d’accroître la production et les revenus tirés de ces ressources naturelles, avait accordé des droits de concession d’exploration et d’exploitation à une douzaine d’entreprises minières, conformément au Code minier révisé en 2013. Ce Code prévoit des permis d’exploitation de longue durée (25 ans), l’État se voit attribué au moins 10% du capital de la </w:t>
      </w:r>
      <w:r w:rsidR="00617673" w:rsidRPr="00617673">
        <w:rPr>
          <w:i/>
          <w:lang w:val="fr-FR"/>
        </w:rPr>
        <w:t>joint venture</w:t>
      </w:r>
      <w:r w:rsidR="00617673" w:rsidRPr="00617673">
        <w:rPr>
          <w:lang w:val="fr-FR"/>
        </w:rPr>
        <w:t xml:space="preserve"> formée avec la société minière et au moins 30% des voix à son conseil d’administration, ainsi que des positions prépondérantes en son sein, tels que le poste de vice-président. Le Gouvernement conserve donc un droit de regard et de contrôle significatif sur les activités des sociétés minières malgré une participation limitée</w:t>
      </w:r>
      <w:r w:rsidR="00617673" w:rsidRPr="00A314F3">
        <w:rPr>
          <w:rStyle w:val="FootnoteReference"/>
        </w:rPr>
        <w:footnoteReference w:id="382"/>
      </w:r>
      <w:r w:rsidR="00A314F3">
        <w:rPr>
          <w:lang w:val="fr-FR"/>
        </w:rPr>
        <w:t>.</w:t>
      </w:r>
    </w:p>
    <w:p w14:paraId="58DD90AB" w14:textId="77777777" w:rsidR="00617673" w:rsidRPr="00617673" w:rsidRDefault="00617673" w:rsidP="00617673">
      <w:pPr>
        <w:pStyle w:val="SingleTxtG"/>
        <w:rPr>
          <w:lang w:val="fr-FR"/>
        </w:rPr>
      </w:pPr>
      <w:r w:rsidRPr="00617673">
        <w:rPr>
          <w:lang w:val="fr-FR"/>
        </w:rPr>
        <w:t xml:space="preserve">256. Pour rappel, c’est justement dans le cadre des négociations des licences minières que la Commission avait constaté que leur obtention était conditionnée au versement de sommes importantes à des </w:t>
      </w:r>
      <w:r w:rsidRPr="00617673">
        <w:t>personnes</w:t>
      </w:r>
      <w:r w:rsidRPr="00617673">
        <w:rPr>
          <w:lang w:val="fr-FR"/>
        </w:rPr>
        <w:t xml:space="preserve"> haut placées, notamment l’ancien Président Nkurunziza et certains de ses proches</w:t>
      </w:r>
      <w:r w:rsidRPr="00A314F3">
        <w:rPr>
          <w:rStyle w:val="FootnoteReference"/>
        </w:rPr>
        <w:footnoteReference w:id="383"/>
      </w:r>
      <w:r w:rsidRPr="00617673">
        <w:rPr>
          <w:lang w:val="fr-FR"/>
        </w:rPr>
        <w:t>. De même, l</w:t>
      </w:r>
      <w:r w:rsidRPr="00617673">
        <w:t xml:space="preserve">e manque de transparence sur </w:t>
      </w:r>
      <w:r w:rsidRPr="00617673">
        <w:rPr>
          <w:lang w:val="fr-FR"/>
        </w:rPr>
        <w:t xml:space="preserve">les montants et les versements des aides annuelles </w:t>
      </w:r>
      <w:r w:rsidRPr="00617673">
        <w:t>prévues</w:t>
      </w:r>
      <w:r w:rsidRPr="00617673">
        <w:rPr>
          <w:lang w:val="fr-FR"/>
        </w:rPr>
        <w:t xml:space="preserve"> dans les contrats de concessions minières pour le développement communautaire,</w:t>
      </w:r>
      <w:r w:rsidRPr="00617673">
        <w:t xml:space="preserve"> conjugué à l’absence de réalisations visibles sur le terrain, posaient des questions sur l’existence de possibles détournements</w:t>
      </w:r>
      <w:r w:rsidRPr="00A314F3">
        <w:rPr>
          <w:rStyle w:val="FootnoteReference"/>
        </w:rPr>
        <w:footnoteReference w:id="384"/>
      </w:r>
      <w:r w:rsidRPr="00617673">
        <w:rPr>
          <w:lang w:val="fr-FR"/>
        </w:rPr>
        <w:t>.</w:t>
      </w:r>
    </w:p>
    <w:p w14:paraId="4888064B" w14:textId="77777777" w:rsidR="00617673" w:rsidRPr="00753E88" w:rsidRDefault="00753E88" w:rsidP="00753E88">
      <w:pPr>
        <w:pStyle w:val="H4G"/>
        <w:rPr>
          <w:b/>
          <w:i w:val="0"/>
          <w:lang w:val="fr-FR"/>
        </w:rPr>
      </w:pPr>
      <w:r>
        <w:rPr>
          <w:b/>
          <w:i w:val="0"/>
          <w:lang w:val="fr-FR"/>
        </w:rPr>
        <w:tab/>
      </w:r>
      <w:r w:rsidR="00617673" w:rsidRPr="00753E88">
        <w:rPr>
          <w:b/>
          <w:i w:val="0"/>
          <w:lang w:val="fr-FR"/>
        </w:rPr>
        <w:t>a)</w:t>
      </w:r>
      <w:r>
        <w:rPr>
          <w:b/>
          <w:i w:val="0"/>
          <w:lang w:val="fr-FR"/>
        </w:rPr>
        <w:tab/>
      </w:r>
      <w:r w:rsidR="00617673" w:rsidRPr="00753E88">
        <w:rPr>
          <w:b/>
          <w:i w:val="0"/>
          <w:lang w:val="fr-FR"/>
        </w:rPr>
        <w:t>Suspension des licences minières</w:t>
      </w:r>
    </w:p>
    <w:p w14:paraId="25664C94" w14:textId="77777777" w:rsidR="00617673" w:rsidRPr="00617673" w:rsidRDefault="00724A09" w:rsidP="00617673">
      <w:pPr>
        <w:pStyle w:val="SingleTxtG"/>
      </w:pPr>
      <w:r>
        <w:t>257.</w:t>
      </w:r>
      <w:r>
        <w:tab/>
      </w:r>
      <w:r w:rsidR="00617673" w:rsidRPr="00617673">
        <w:t>Le Président Ndayishimiye a</w:t>
      </w:r>
      <w:r w:rsidR="00617673" w:rsidRPr="00617673">
        <w:rPr>
          <w:lang w:val="fr-FR"/>
        </w:rPr>
        <w:t>, peu après son arrivée au pouvoir,</w:t>
      </w:r>
      <w:r w:rsidR="00617673" w:rsidRPr="00617673">
        <w:t xml:space="preserve"> commandé un audit du secteur minier, sans doute pour donner suite aux accusations du Conseil national de sécurité (CNS) de 2019, selon lesquelles les sociétés minières ne s’acquittaient pas de leurs engagements et produisaient des rapports biaisés cachant la réalité de la production obtenue</w:t>
      </w:r>
      <w:r w:rsidR="00617673" w:rsidRPr="00A314F3">
        <w:rPr>
          <w:rStyle w:val="FootnoteReference"/>
        </w:rPr>
        <w:footnoteReference w:id="385"/>
      </w:r>
      <w:r w:rsidR="00617673" w:rsidRPr="00617673">
        <w:t>. Le 8 avril 2021, le Gouvernement a interdit à la société Rainbow Mining Burundi d´exporter les matières de Terres rares qu´elle exploite à Gakara. Cette décision a été prise sur fond d’allégations que la société faisait des déclarations erronées quant aux teneurs en Terres rares et aux prix de vente réels</w:t>
      </w:r>
      <w:r w:rsidR="00617673" w:rsidRPr="00A314F3">
        <w:rPr>
          <w:rStyle w:val="FootnoteReference"/>
        </w:rPr>
        <w:footnoteReference w:id="386"/>
      </w:r>
      <w:r w:rsidR="00617673" w:rsidRPr="00617673">
        <w:t>. Le 15 avril 2021, le Premier ministre, Alain-Guillaume Bunyoni, a dénoncé les pratiques des sociétés minières qui « spolient le pays de ses richesses naturelles » et a également accusé les compagnies minières de ne pas respecter l’accord qui les lie au Gouvernement concernant les versements au Trésor public</w:t>
      </w:r>
      <w:r w:rsidR="00617673" w:rsidRPr="00A314F3">
        <w:rPr>
          <w:rStyle w:val="FootnoteReference"/>
        </w:rPr>
        <w:footnoteReference w:id="387"/>
      </w:r>
      <w:r w:rsidR="00617673" w:rsidRPr="00617673">
        <w:t>.</w:t>
      </w:r>
    </w:p>
    <w:p w14:paraId="2332B08F" w14:textId="77777777" w:rsidR="00617673" w:rsidRPr="00617673" w:rsidRDefault="00617673" w:rsidP="00617673">
      <w:pPr>
        <w:pStyle w:val="SingleTxtG"/>
      </w:pPr>
      <w:r w:rsidRPr="00617673">
        <w:t>258.</w:t>
      </w:r>
      <w:r w:rsidR="00724A09">
        <w:tab/>
      </w:r>
      <w:r w:rsidRPr="00617673">
        <w:t>Le 1</w:t>
      </w:r>
      <w:r w:rsidRPr="00617673">
        <w:rPr>
          <w:vertAlign w:val="superscript"/>
        </w:rPr>
        <w:t>er</w:t>
      </w:r>
      <w:r w:rsidRPr="00617673">
        <w:t xml:space="preserve"> juillet 2021, le Président a annoncé que les accords de concession minière établis dans des conditions illicites ou présentant des lacunes seraient suspendus ou résiliés afin que les ressources naturelles contribuent réellement au développement du pays. Finalement, à la mi-juillet 2021, le Gouvernement a suspendu les activités de l’ensemble des sociétés minières, les accusant de ne pas avoir respecté les conventions minières qui de toute manière ne seraient pas suffisamment profitables au Burundi. Il a déclaré que les conventions minières devaient être renégociées dans une formule « gagnant-gagnant »</w:t>
      </w:r>
      <w:r w:rsidRPr="00F445FA">
        <w:rPr>
          <w:rStyle w:val="FootnoteReference"/>
        </w:rPr>
        <w:footnoteReference w:id="388"/>
      </w:r>
      <w:r w:rsidR="00F445FA">
        <w:t>.</w:t>
      </w:r>
    </w:p>
    <w:p w14:paraId="6B7AB6D6" w14:textId="77777777" w:rsidR="00617673" w:rsidRPr="00617673" w:rsidRDefault="00724A09" w:rsidP="00617673">
      <w:pPr>
        <w:pStyle w:val="SingleTxtG"/>
      </w:pPr>
      <w:r>
        <w:t>259.</w:t>
      </w:r>
      <w:r>
        <w:tab/>
      </w:r>
      <w:r w:rsidR="00617673" w:rsidRPr="00617673">
        <w:t>La menace de rupture unilatérale des accords miniers pourrait effectivement aboutir à des accords plus avantageux pour le pays. Cependant, les négociations doivent se faire dans une totale transparence pour pouvoir avoir un impact positif sur les pratiques de corruption. À défaut, il est possible d’envisager que ces renégociations deviennent l’occasion de nouveaux versements à des autorités haut placées. Dans l’intérêt de toutes les parties concernées, toute mesure visant à lutter contre la corruption ou réguler les activités des entreprises minières doit se faire dans le respect de l’État de droit.</w:t>
      </w:r>
      <w:r w:rsidR="00617673" w:rsidRPr="00617673">
        <w:tab/>
      </w:r>
    </w:p>
    <w:p w14:paraId="5DC52E85" w14:textId="77777777" w:rsidR="00617673" w:rsidRPr="00617673" w:rsidRDefault="00617673" w:rsidP="00617673">
      <w:pPr>
        <w:pStyle w:val="SingleTxtG"/>
        <w:rPr>
          <w:iCs/>
        </w:rPr>
      </w:pPr>
      <w:r w:rsidRPr="00617673">
        <w:t>260.</w:t>
      </w:r>
      <w:r w:rsidR="00724A09">
        <w:tab/>
      </w:r>
      <w:r w:rsidRPr="00617673">
        <w:t>Effectivement, l’entreprise Rainbow Mining Burundi a demandé la levée de la mesure de suspension de l’exploitation minière et son Président, qui a multiplié les visites au Burundi dans ce but, a noté</w:t>
      </w:r>
      <w:r w:rsidRPr="00617673">
        <w:rPr>
          <w:iCs/>
        </w:rPr>
        <w:t xml:space="preserve"> que la suspension en cours contrevenait à la loi burundaise et a été imposée sans procédure régulière et appropriée. Il a relevé également que le Gouvernement burundais n’avait jamais fourni de prix alternatifs crédibles et fondés sur des données pour le concentré exporté, ni d’analyse alternative crédible par un tiers des teneurs des échantillons qu’il détient pour chaque lot exporté à ce jour</w:t>
      </w:r>
      <w:r w:rsidRPr="00F445FA">
        <w:rPr>
          <w:rStyle w:val="FootnoteReference"/>
        </w:rPr>
        <w:footnoteReference w:id="389"/>
      </w:r>
      <w:r w:rsidRPr="00617673">
        <w:rPr>
          <w:iCs/>
        </w:rPr>
        <w:t>.</w:t>
      </w:r>
    </w:p>
    <w:p w14:paraId="5A60FFF5" w14:textId="77777777" w:rsidR="00617673" w:rsidRPr="00753E88" w:rsidRDefault="00753E88" w:rsidP="00753E88">
      <w:pPr>
        <w:pStyle w:val="H4G"/>
        <w:rPr>
          <w:b/>
          <w:i w:val="0"/>
          <w:lang w:val="fr-FR"/>
        </w:rPr>
      </w:pPr>
      <w:r>
        <w:rPr>
          <w:b/>
          <w:i w:val="0"/>
          <w:lang w:val="fr-FR"/>
        </w:rPr>
        <w:tab/>
      </w:r>
      <w:r w:rsidR="00617673" w:rsidRPr="00753E88">
        <w:rPr>
          <w:b/>
          <w:i w:val="0"/>
          <w:lang w:val="fr-FR"/>
        </w:rPr>
        <w:t>b)</w:t>
      </w:r>
      <w:r>
        <w:rPr>
          <w:b/>
          <w:i w:val="0"/>
          <w:lang w:val="fr-FR"/>
        </w:rPr>
        <w:tab/>
      </w:r>
      <w:r w:rsidR="00617673" w:rsidRPr="00753E88">
        <w:rPr>
          <w:b/>
          <w:i w:val="0"/>
          <w:lang w:val="fr-FR"/>
        </w:rPr>
        <w:t>Lacunes dans le traçage et la certification des ressources minières</w:t>
      </w:r>
    </w:p>
    <w:p w14:paraId="5648479F" w14:textId="77777777" w:rsidR="00617673" w:rsidRPr="00617673" w:rsidRDefault="00617673" w:rsidP="00617673">
      <w:pPr>
        <w:pStyle w:val="SingleTxtG"/>
      </w:pPr>
      <w:r w:rsidRPr="00617673">
        <w:t>261.</w:t>
      </w:r>
      <w:r w:rsidR="00724A09">
        <w:tab/>
      </w:r>
      <w:r w:rsidRPr="00617673">
        <w:t>La Commission souligne le manque de progrès dans la mise en œuvre des pratiques de diligence raisonnable, d’exploitation minière responsable et d’approvisionnement conformes aux lignes directrices de l’Organisation de coopération et de développement économiques (OCDE)</w:t>
      </w:r>
      <w:r w:rsidRPr="00F445FA">
        <w:rPr>
          <w:rStyle w:val="FootnoteReference"/>
        </w:rPr>
        <w:footnoteReference w:id="390"/>
      </w:r>
      <w:r w:rsidRPr="00617673">
        <w:t>, notamment à travers le système de suivi et de certification des minéraux de la Conférence internationale sur la région des grands lacs (CIRGL) et de l’Initiative pour la transparence dans les industries extractives (ITIE)</w:t>
      </w:r>
      <w:r w:rsidRPr="00F445FA">
        <w:rPr>
          <w:rStyle w:val="FootnoteReference"/>
        </w:rPr>
        <w:footnoteReference w:id="391"/>
      </w:r>
      <w:r w:rsidRPr="00617673">
        <w:t>.</w:t>
      </w:r>
    </w:p>
    <w:p w14:paraId="2FD1B45A" w14:textId="77777777" w:rsidR="00617673" w:rsidRPr="00617673" w:rsidRDefault="00724A09" w:rsidP="00617673">
      <w:pPr>
        <w:pStyle w:val="SingleTxtG"/>
        <w:rPr>
          <w:iCs/>
        </w:rPr>
      </w:pPr>
      <w:bookmarkStart w:id="2" w:name="_Hlk79160645"/>
      <w:r>
        <w:rPr>
          <w:iCs/>
          <w:lang w:val="fr-FR"/>
        </w:rPr>
        <w:t>262.</w:t>
      </w:r>
      <w:r>
        <w:rPr>
          <w:iCs/>
          <w:lang w:val="fr-FR"/>
        </w:rPr>
        <w:tab/>
      </w:r>
      <w:r w:rsidR="00617673" w:rsidRPr="00617673">
        <w:rPr>
          <w:iCs/>
          <w:lang w:val="fr-FR"/>
        </w:rPr>
        <w:t>Pour rappel, l</w:t>
      </w:r>
      <w:r w:rsidR="00617673" w:rsidRPr="00617673">
        <w:t xml:space="preserve">es lignes directrices de l’OCDE sur le devoir de diligence fournissent des recommandations détaillées afin d’aider les entreprises à respecter les droits de l’homme et à éviter de contribuer aux conflits par leurs décisions et leurs pratiques d’achat de minéraux. Ces lignes directrices sont destinées à toute entreprise susceptible de s’approvisionner en minerais ou en métaux provenant de zones affectées par des conflits ou à haut risque. Les lignes directrices de l’OCDE ont une portée mondiale et s’appliquent à toutes les chaînes </w:t>
      </w:r>
      <w:r w:rsidR="00F445FA">
        <w:t>d’approvisionnement en minéraux</w:t>
      </w:r>
      <w:r w:rsidR="00617673" w:rsidRPr="00F445FA">
        <w:rPr>
          <w:rStyle w:val="FootnoteReference"/>
        </w:rPr>
        <w:footnoteReference w:id="392"/>
      </w:r>
      <w:r w:rsidR="00F445FA">
        <w:t>.</w:t>
      </w:r>
    </w:p>
    <w:p w14:paraId="028B9EC8" w14:textId="77777777" w:rsidR="00617673" w:rsidRPr="00617673" w:rsidRDefault="00617673" w:rsidP="00617673">
      <w:pPr>
        <w:pStyle w:val="SingleTxtG"/>
        <w:rPr>
          <w:i/>
          <w:iCs/>
        </w:rPr>
      </w:pPr>
      <w:r w:rsidRPr="00617673">
        <w:t>263.</w:t>
      </w:r>
      <w:r w:rsidR="00724A09">
        <w:tab/>
      </w:r>
      <w:r w:rsidRPr="00617673">
        <w:t>Le Mécanisme de suivi et de certification des minéraux de la CIRGL a pour but de mettre en place des chaînes de minéraux durables et libres de conflit au sein des États membres de la CIRGL, dans le but d’éliminer le soutien aux forces armées qui alimentent ou prolongent les conflits, et qui, par ailleurs, commettent de graves violations des droits de la personne</w:t>
      </w:r>
      <w:r w:rsidRPr="00320ED6">
        <w:rPr>
          <w:rStyle w:val="FootnoteReference"/>
        </w:rPr>
        <w:footnoteReference w:id="393"/>
      </w:r>
      <w:r w:rsidRPr="00617673">
        <w:t>. Les normes et procédures décrites dans ce document visent à empêcher les groupes armés non étatiques et les forces de sécurité publiques ou privées d’intervenir illégalement le long de la chaîne d’approvisionnement ou de commettre de graves violations des droits de l’homme</w:t>
      </w:r>
      <w:r w:rsidRPr="00320ED6">
        <w:rPr>
          <w:rStyle w:val="FootnoteReference"/>
        </w:rPr>
        <w:footnoteReference w:id="394"/>
      </w:r>
      <w:r w:rsidRPr="00617673">
        <w:rPr>
          <w:i/>
          <w:iCs/>
        </w:rPr>
        <w:t>.</w:t>
      </w:r>
      <w:r w:rsidRPr="00617673">
        <w:rPr>
          <w:iCs/>
        </w:rPr>
        <w:t xml:space="preserve"> </w:t>
      </w:r>
      <w:r w:rsidRPr="00617673">
        <w:t>Il s’agit d’une norme régionale obligatoire de certification de quatre ressources – l’étain, le tungstène, le tantale et l’or – issues de l’un des États membres de la CIRGL ou transitant par l’un d’eux. Cependant, selon les informations recueillies par la Commission, un tel certificat serait rarement délivré par les autorités compétentes du Burundi.</w:t>
      </w:r>
    </w:p>
    <w:p w14:paraId="2558C7FD" w14:textId="77777777" w:rsidR="00617673" w:rsidRPr="00617673" w:rsidRDefault="00724A09" w:rsidP="00617673">
      <w:pPr>
        <w:pStyle w:val="SingleTxtG"/>
      </w:pPr>
      <w:r>
        <w:t>264.</w:t>
      </w:r>
      <w:r>
        <w:tab/>
      </w:r>
      <w:r w:rsidR="00617673" w:rsidRPr="00617673">
        <w:t>L’ITIE vise quant à elle à renforcer la confiance entre les gouvernements, les entreprises et la société civile en exigeant la divulgation des informations tout au long de la chaîne de valeur du secteur extractif : de l’octroi d’une licence d’extraction jusqu’au circuit qu’empruntent les revenus pour parvenir aux autorités, ainsi que leur contribution à l’économie et à la société dans son ensemble</w:t>
      </w:r>
      <w:r w:rsidR="00617673" w:rsidRPr="00320ED6">
        <w:rPr>
          <w:rStyle w:val="FootnoteReference"/>
        </w:rPr>
        <w:footnoteReference w:id="395"/>
      </w:r>
      <w:r w:rsidR="00617673" w:rsidRPr="00617673">
        <w:t>. En 2015, le Gouvernement burundais s’était formellement engagé à mettre en œuvre l’ITIE</w:t>
      </w:r>
      <w:r w:rsidR="00617673" w:rsidRPr="00320ED6">
        <w:rPr>
          <w:rStyle w:val="FootnoteReference"/>
        </w:rPr>
        <w:footnoteReference w:id="396"/>
      </w:r>
      <w:r w:rsidR="00617673" w:rsidRPr="00617673">
        <w:t>, et en vue de préparer sa candidature, il a entrepris avec le soutien de la Banque mondiale et de l’Agence allemande de coopération internationale pour le développement (GIZ), une étude exploratoire pour identifier les obstacles potentie</w:t>
      </w:r>
      <w:r w:rsidR="00320ED6">
        <w:t>ls à la mise en œuvre de l’ITIE</w:t>
      </w:r>
      <w:r w:rsidR="00617673" w:rsidRPr="00320ED6">
        <w:rPr>
          <w:rStyle w:val="FootnoteReference"/>
        </w:rPr>
        <w:footnoteReference w:id="397"/>
      </w:r>
      <w:r w:rsidR="00320ED6">
        <w:t>.</w:t>
      </w:r>
      <w:r w:rsidR="00617673" w:rsidRPr="00617673">
        <w:t xml:space="preserve"> Cependant, depuis lors, il n’y a eu aucune avancée concernant son adhésion à l’ITIE.</w:t>
      </w:r>
    </w:p>
    <w:p w14:paraId="59383D25" w14:textId="77777777" w:rsidR="00617673" w:rsidRPr="00617673" w:rsidRDefault="00617673" w:rsidP="00617673">
      <w:pPr>
        <w:pStyle w:val="SingleTxtG"/>
      </w:pPr>
      <w:r w:rsidRPr="00617673">
        <w:t>265.</w:t>
      </w:r>
      <w:r w:rsidR="00724A09">
        <w:tab/>
      </w:r>
      <w:r w:rsidRPr="00617673">
        <w:t>L'objectif de l’initiative internationale de la chaîne d’approvisionnement de l’étain (ITSCI) est de créer des chaînes d'approvisionnement en minerais responsables qui évitent de contribuer aux conflits, aux violations des droits de l'homme ou à d'autres risques tels que la corruption. L'ITSCI fait référence au Guide de l’OCDE sur le devoir de diligence pour des chaînes d'approvisionnement en minerais responsables dans les zo</w:t>
      </w:r>
      <w:r w:rsidR="00320ED6">
        <w:t>nes de conflit et à haut risque</w:t>
      </w:r>
      <w:r w:rsidRPr="00320ED6">
        <w:rPr>
          <w:rStyle w:val="FootnoteReference"/>
        </w:rPr>
        <w:footnoteReference w:id="398"/>
      </w:r>
      <w:r w:rsidR="00320ED6">
        <w:t>.</w:t>
      </w:r>
      <w:r w:rsidRPr="00617673">
        <w:t xml:space="preserve"> </w:t>
      </w:r>
    </w:p>
    <w:p w14:paraId="4433EC74" w14:textId="77777777" w:rsidR="00617673" w:rsidRPr="00617673" w:rsidRDefault="00617673" w:rsidP="00617673">
      <w:pPr>
        <w:pStyle w:val="SingleTxtG"/>
      </w:pPr>
      <w:r w:rsidRPr="00617673">
        <w:t>266.</w:t>
      </w:r>
      <w:r w:rsidR="00724A09">
        <w:tab/>
      </w:r>
      <w:r w:rsidRPr="00617673">
        <w:t>L’ITSCI et le ministère burundais de l’Hydraulique, Énergie et des Mines ont décidé de travailler ensemble en 2011, mais ce n'est qu'en 2014 que les investissements des entreprises et du gouvernement lui-même ont permis de démarrer les opérations de terrain e</w:t>
      </w:r>
      <w:r w:rsidR="00320ED6">
        <w:t>t la formation à la traçabilité</w:t>
      </w:r>
      <w:r w:rsidRPr="00320ED6">
        <w:rPr>
          <w:rStyle w:val="FootnoteReference"/>
        </w:rPr>
        <w:footnoteReference w:id="399"/>
      </w:r>
      <w:r w:rsidR="00320ED6">
        <w:t>.</w:t>
      </w:r>
    </w:p>
    <w:bookmarkEnd w:id="2"/>
    <w:p w14:paraId="679CCD9B" w14:textId="63FB63D3" w:rsidR="00617673" w:rsidRPr="00FA45AB" w:rsidRDefault="00753E88" w:rsidP="00753E88">
      <w:pPr>
        <w:pStyle w:val="H1G"/>
        <w:rPr>
          <w:lang w:val="fr-CH"/>
        </w:rPr>
      </w:pPr>
      <w:r w:rsidRPr="00FA45AB">
        <w:rPr>
          <w:lang w:val="fr-CH"/>
        </w:rPr>
        <w:tab/>
        <w:t>G.</w:t>
      </w:r>
      <w:r w:rsidRPr="00FA45AB">
        <w:rPr>
          <w:lang w:val="fr-CH"/>
        </w:rPr>
        <w:tab/>
      </w:r>
      <w:r w:rsidR="00F81571">
        <w:rPr>
          <w:lang w:val="fr-CH"/>
        </w:rPr>
        <w:t>Situation</w:t>
      </w:r>
      <w:r w:rsidR="00617673" w:rsidRPr="00FA45AB">
        <w:rPr>
          <w:lang w:val="fr-CH"/>
        </w:rPr>
        <w:t xml:space="preserve"> de l’État de droit </w:t>
      </w:r>
    </w:p>
    <w:p w14:paraId="0588911F" w14:textId="0E45B422" w:rsidR="00617673" w:rsidRPr="00617673" w:rsidRDefault="00617673" w:rsidP="00617673">
      <w:pPr>
        <w:pStyle w:val="SingleTxtG"/>
      </w:pPr>
      <w:r w:rsidRPr="00617673">
        <w:t>267.</w:t>
      </w:r>
      <w:r w:rsidR="00724A09">
        <w:tab/>
      </w:r>
      <w:r w:rsidRPr="00617673">
        <w:t>Le respect de l’État de droit est fondamental à plusieurs niveaux puisqu’il est avéré qu’au-delà du respect et de la protection des droits civils et politiques, ce dernier a également un impact direct sur le niveau de développement économique, d’éducation, la stabilité d’un pays et la moyenne d’espérance de vie</w:t>
      </w:r>
      <w:r w:rsidRPr="00320ED6">
        <w:rPr>
          <w:rStyle w:val="FootnoteReference"/>
        </w:rPr>
        <w:footnoteReference w:id="400"/>
      </w:r>
      <w:r w:rsidRPr="00617673">
        <w:t>. L’État de droit repose sur quatre principes universels : la responsabilité des autorités et des personnes et entités privé</w:t>
      </w:r>
      <w:r w:rsidR="00932FAB">
        <w:t>e</w:t>
      </w:r>
      <w:r w:rsidRPr="00617673">
        <w:t xml:space="preserve">s devant la loi ; des lois justes et claires qui sont appliquées de manière équitable et qui garantissent les droits fondamentaux ; un gouvernement ouvert qui signifie que les procédures d’adoption et de mise en œuvre des lois soient accessibles, justes et efficaces ; et une justice accessible, </w:t>
      </w:r>
      <w:r w:rsidR="00AF622D">
        <w:t>indépendante et impartiale</w:t>
      </w:r>
      <w:r w:rsidRPr="00AF622D">
        <w:rPr>
          <w:rStyle w:val="FootnoteReference"/>
        </w:rPr>
        <w:footnoteReference w:id="401"/>
      </w:r>
      <w:r w:rsidR="00AF622D">
        <w:t>.</w:t>
      </w:r>
      <w:r w:rsidRPr="00617673">
        <w:t xml:space="preserve"> L’État de droit repose sur trois postulats : « l’État qui agit au moyen du droit, l’État qui est assujetti au droit et l’État dont le droit comporte certains attributs intrinsèques »</w:t>
      </w:r>
      <w:r w:rsidRPr="00AF622D">
        <w:rPr>
          <w:rStyle w:val="FootnoteReference"/>
        </w:rPr>
        <w:footnoteReference w:id="402"/>
      </w:r>
      <w:r w:rsidRPr="00617673">
        <w:t>. </w:t>
      </w:r>
    </w:p>
    <w:p w14:paraId="3CA66B47" w14:textId="77777777" w:rsidR="00617673" w:rsidRPr="00617673" w:rsidRDefault="00724A09" w:rsidP="00617673">
      <w:pPr>
        <w:pStyle w:val="SingleTxtG"/>
        <w:rPr>
          <w:lang w:val="fr-FR"/>
        </w:rPr>
      </w:pPr>
      <w:r>
        <w:rPr>
          <w:lang w:val="fr-FR"/>
        </w:rPr>
        <w:t>268.</w:t>
      </w:r>
      <w:r>
        <w:rPr>
          <w:lang w:val="fr-FR"/>
        </w:rPr>
        <w:tab/>
      </w:r>
      <w:r w:rsidR="00617673" w:rsidRPr="00617673">
        <w:rPr>
          <w:lang w:val="fr-FR"/>
        </w:rPr>
        <w:t>Malgré la volonté affichée du Président Ndayishimiye de promouvoir l’État de droit, sérieusement détérioré depuis des années</w:t>
      </w:r>
      <w:r w:rsidR="00617673" w:rsidRPr="00AF622D">
        <w:rPr>
          <w:rStyle w:val="FootnoteReference"/>
        </w:rPr>
        <w:footnoteReference w:id="403"/>
      </w:r>
      <w:r w:rsidR="00617673" w:rsidRPr="00617673">
        <w:rPr>
          <w:lang w:val="fr-FR"/>
        </w:rPr>
        <w:t>, ce dernier continue de s’éroder puisque les procédures et lois sont encore moins respectées qu’auparavant, avec de nombreuses brèches faites aux principes de légalité</w:t>
      </w:r>
      <w:r w:rsidR="00617673" w:rsidRPr="00AF622D">
        <w:rPr>
          <w:rStyle w:val="FootnoteReference"/>
        </w:rPr>
        <w:footnoteReference w:id="404"/>
      </w:r>
      <w:r w:rsidR="00617673" w:rsidRPr="00617673">
        <w:rPr>
          <w:lang w:val="fr-FR"/>
        </w:rPr>
        <w:t>, de redevabilité des autorités</w:t>
      </w:r>
      <w:r w:rsidR="00617673" w:rsidRPr="00AF622D">
        <w:rPr>
          <w:rStyle w:val="FootnoteReference"/>
        </w:rPr>
        <w:footnoteReference w:id="405"/>
      </w:r>
      <w:r w:rsidR="00617673" w:rsidRPr="00617673">
        <w:rPr>
          <w:lang w:val="fr-FR"/>
        </w:rPr>
        <w:t xml:space="preserve"> et de séparation des pouvoirs</w:t>
      </w:r>
      <w:r w:rsidR="00617673" w:rsidRPr="00AF622D">
        <w:rPr>
          <w:rStyle w:val="FootnoteReference"/>
        </w:rPr>
        <w:footnoteReference w:id="406"/>
      </w:r>
      <w:r w:rsidR="00A6655C">
        <w:rPr>
          <w:lang w:val="fr-FR"/>
        </w:rPr>
        <w:t>.</w:t>
      </w:r>
    </w:p>
    <w:p w14:paraId="453D256D" w14:textId="77777777" w:rsidR="00617673" w:rsidRPr="00617673" w:rsidRDefault="00753E88" w:rsidP="00753E88">
      <w:pPr>
        <w:pStyle w:val="H23G"/>
        <w:rPr>
          <w:lang w:val="fr-FR"/>
        </w:rPr>
      </w:pPr>
      <w:r>
        <w:rPr>
          <w:lang w:val="fr-FR"/>
        </w:rPr>
        <w:tab/>
        <w:t>1</w:t>
      </w:r>
      <w:r w:rsidR="00724A09">
        <w:rPr>
          <w:lang w:val="fr-FR"/>
        </w:rPr>
        <w:t>.</w:t>
      </w:r>
      <w:r>
        <w:rPr>
          <w:lang w:val="fr-FR"/>
        </w:rPr>
        <w:tab/>
      </w:r>
      <w:r w:rsidR="00617673" w:rsidRPr="00617673">
        <w:rPr>
          <w:lang w:val="fr-FR"/>
        </w:rPr>
        <w:t>Un État burundais transgressant les lois</w:t>
      </w:r>
    </w:p>
    <w:p w14:paraId="55D1AEBF" w14:textId="77777777" w:rsidR="00617673" w:rsidRPr="00617673" w:rsidRDefault="00617673" w:rsidP="00617673">
      <w:pPr>
        <w:pStyle w:val="SingleTxtG"/>
        <w:rPr>
          <w:lang w:val="fr-FR"/>
        </w:rPr>
      </w:pPr>
      <w:r w:rsidRPr="00617673">
        <w:rPr>
          <w:lang w:val="fr-FR"/>
        </w:rPr>
        <w:t>269.</w:t>
      </w:r>
      <w:r w:rsidR="00724A09">
        <w:rPr>
          <w:lang w:val="fr-FR"/>
        </w:rPr>
        <w:tab/>
      </w:r>
      <w:r w:rsidRPr="00617673">
        <w:rPr>
          <w:lang w:val="fr-FR"/>
        </w:rPr>
        <w:t>Des autorités au plus haut niveau ont ouvertement autorisé ou accepté la transgression de la Constitution et de lois. Par exemple, les ministres n’ont pas rempli leur obligation constitutionnelle de déclarer leurs biens. Pour rappel, après avoir insisté le 23 août 2020 sur l’obligation de tous les ministres de déclarer leurs biens dans un délai de deux semaines, conformément à la Constitution de 2018</w:t>
      </w:r>
      <w:r w:rsidRPr="00AF622D">
        <w:rPr>
          <w:rStyle w:val="FootnoteReference"/>
        </w:rPr>
        <w:footnoteReference w:id="407"/>
      </w:r>
      <w:r w:rsidRPr="00617673">
        <w:rPr>
          <w:lang w:val="fr-FR"/>
        </w:rPr>
        <w:t>, le Président Ndayishimiye a fait volte-face en déclarant lors d’une émission de radio tenue le 25 septembre 2020 : « Nous savons que la Constitution nous oblige à le faire, mais nous avons trouvé que c’est impossible. Certains passeraient une semaine à faire la liste de leurs biens. La richesse d’une personne est un secret. Nous allons voir à la fin du mandat si rien ne cloche »</w:t>
      </w:r>
      <w:r w:rsidRPr="00AF622D">
        <w:rPr>
          <w:rStyle w:val="FootnoteReference"/>
        </w:rPr>
        <w:footnoteReference w:id="408"/>
      </w:r>
      <w:r w:rsidRPr="00617673">
        <w:rPr>
          <w:lang w:val="fr-FR"/>
        </w:rPr>
        <w:t>. Il a simplement indiqué que si certains présentaient « des signes flagrants d’enrichissement illicite » en fin de mandat, ils pourraient se voir exiger de rendre des comptes. Effectivement, selon les informations en possession de l’OLUCOME, aucune déclaration de patrimoine n’avait été faite par les membres du Gouvernement au 1</w:t>
      </w:r>
      <w:r w:rsidRPr="00617673">
        <w:rPr>
          <w:vertAlign w:val="superscript"/>
          <w:lang w:val="fr-FR"/>
        </w:rPr>
        <w:t>er</w:t>
      </w:r>
      <w:r w:rsidRPr="00617673">
        <w:rPr>
          <w:lang w:val="fr-FR"/>
        </w:rPr>
        <w:t xml:space="preserve"> décembre 2020</w:t>
      </w:r>
      <w:r w:rsidRPr="00AF622D">
        <w:rPr>
          <w:rStyle w:val="FootnoteReference"/>
        </w:rPr>
        <w:footnoteReference w:id="409"/>
      </w:r>
      <w:r w:rsidRPr="00617673">
        <w:rPr>
          <w:lang w:val="fr-FR"/>
        </w:rPr>
        <w:t>. Cependant, le 9 juin 2021, lors du Conseil des ministres, le Président a déclaré que ces déclarations pouvaient être remplies puisque les formulaires étaient désormais disponibles</w:t>
      </w:r>
      <w:r w:rsidRPr="00AF622D">
        <w:rPr>
          <w:rStyle w:val="FootnoteReference"/>
        </w:rPr>
        <w:footnoteReference w:id="410"/>
      </w:r>
      <w:r w:rsidRPr="00617673">
        <w:rPr>
          <w:lang w:val="fr-FR"/>
        </w:rPr>
        <w:t>, mais il n’y a pas encore de confirmation que des ministres aient bien rempli leur déclaration.</w:t>
      </w:r>
    </w:p>
    <w:p w14:paraId="42ABA7D3" w14:textId="77777777" w:rsidR="00617673" w:rsidRPr="00617673" w:rsidRDefault="00617673" w:rsidP="00617673">
      <w:pPr>
        <w:pStyle w:val="SingleTxtG"/>
      </w:pPr>
      <w:r w:rsidRPr="00617673">
        <w:rPr>
          <w:lang w:val="fr-FR"/>
        </w:rPr>
        <w:t>270.</w:t>
      </w:r>
      <w:r w:rsidR="00724A09">
        <w:rPr>
          <w:lang w:val="fr-FR"/>
        </w:rPr>
        <w:tab/>
      </w:r>
      <w:r w:rsidRPr="00617673">
        <w:rPr>
          <w:lang w:val="fr-FR"/>
        </w:rPr>
        <w:t>L’Accord de paix d’Arusha avait prévu des quotas ethniques au sein des principales institutions étatiques de l’Exécutif et du Législatif (60</w:t>
      </w:r>
      <w:r w:rsidRPr="00617673">
        <w:t>% de Hutus et 40% de Tutsis) et au sein des forces de défense et de sécurité (</w:t>
      </w:r>
      <w:r w:rsidRPr="00617673">
        <w:rPr>
          <w:lang w:val="fr-FR"/>
        </w:rPr>
        <w:t>50</w:t>
      </w:r>
      <w:r w:rsidRPr="00617673">
        <w:t>% de Hutus et 50% de Tutsis). Alors que le Président Ndayishimiye, à l’instar de son prédécesseur, martèle que les ethnies n’existent pas au Burundi et qu’elles ont été créées par les colonisateurs pour diviser la population burundaise</w:t>
      </w:r>
      <w:r w:rsidRPr="00AF622D">
        <w:rPr>
          <w:rStyle w:val="FootnoteReference"/>
        </w:rPr>
        <w:footnoteReference w:id="411"/>
      </w:r>
      <w:r w:rsidRPr="00617673">
        <w:t xml:space="preserve">, la Constitution adoptée en 2018 a repris ces quotas ethniques, y a ajouté des quotas de genre (30% de femmes) et les a même étendus aux institutions judiciaires, tout en les abolissant </w:t>
      </w:r>
      <w:r w:rsidRPr="00617673">
        <w:rPr>
          <w:i/>
        </w:rPr>
        <w:t>de facto</w:t>
      </w:r>
      <w:r w:rsidRPr="00617673">
        <w:t xml:space="preserve"> pour le Service national de renseignement - puisque celui-ci n’est plus officiellement partie des corps de défense et de sécurité mais placé sous le contrôle direct du Chef de l’État. En parallèle, les autorités burundaises ont cherché à appliquer ces quotas aux organisations non-gouvernementales étrangères</w:t>
      </w:r>
      <w:r w:rsidRPr="00A6655C">
        <w:rPr>
          <w:rStyle w:val="FootnoteReference"/>
        </w:rPr>
        <w:footnoteReference w:id="412"/>
      </w:r>
      <w:r w:rsidRPr="00617673">
        <w:t>. Cependant</w:t>
      </w:r>
      <w:r w:rsidRPr="00617673">
        <w:rPr>
          <w:lang w:val="fr-FR"/>
        </w:rPr>
        <w:t>, selon des estimations crédibles, les quotas ethniques au sein des principales institutions et des forces de défense et de sécurité ne seraient plus respectés sauf au Parlement,</w:t>
      </w:r>
      <w:r w:rsidRPr="00617673">
        <w:rPr>
          <w:vertAlign w:val="superscript"/>
          <w:lang w:val="fr-FR"/>
        </w:rPr>
        <w:t xml:space="preserve"> </w:t>
      </w:r>
      <w:r w:rsidRPr="00617673">
        <w:t>et l’ensemble des institutions est largement dominé par des personnes hutues</w:t>
      </w:r>
      <w:r w:rsidRPr="00A6655C">
        <w:rPr>
          <w:rStyle w:val="FootnoteReference"/>
        </w:rPr>
        <w:footnoteReference w:id="413"/>
      </w:r>
      <w:r w:rsidRPr="00617673">
        <w:t>.</w:t>
      </w:r>
    </w:p>
    <w:p w14:paraId="7689BA2A" w14:textId="77777777" w:rsidR="00617673" w:rsidRPr="00617673" w:rsidRDefault="00753E88" w:rsidP="00753E88">
      <w:pPr>
        <w:pStyle w:val="H23G"/>
        <w:rPr>
          <w:lang w:val="fr-FR"/>
        </w:rPr>
      </w:pPr>
      <w:r>
        <w:rPr>
          <w:lang w:val="fr-FR"/>
        </w:rPr>
        <w:tab/>
        <w:t>2.</w:t>
      </w:r>
      <w:r>
        <w:rPr>
          <w:lang w:val="fr-FR"/>
        </w:rPr>
        <w:tab/>
      </w:r>
      <w:r w:rsidR="00617673" w:rsidRPr="00617673">
        <w:rPr>
          <w:lang w:val="fr-FR"/>
        </w:rPr>
        <w:t>Un État affranchi des procédures légales</w:t>
      </w:r>
    </w:p>
    <w:p w14:paraId="1CB7D0F3" w14:textId="742D5DAD" w:rsidR="00617673" w:rsidRPr="00617673" w:rsidRDefault="00617673" w:rsidP="00617673">
      <w:pPr>
        <w:pStyle w:val="SingleTxtG"/>
        <w:rPr>
          <w:lang w:val="fr-FR"/>
        </w:rPr>
      </w:pPr>
      <w:r w:rsidRPr="00617673">
        <w:rPr>
          <w:lang w:val="fr-FR"/>
        </w:rPr>
        <w:t>271.</w:t>
      </w:r>
      <w:r w:rsidR="00724A09">
        <w:rPr>
          <w:lang w:val="fr-FR"/>
        </w:rPr>
        <w:tab/>
      </w:r>
      <w:r w:rsidRPr="00617673">
        <w:rPr>
          <w:lang w:val="fr-FR"/>
        </w:rPr>
        <w:t>Des autorités ont outrepassé leurs compétences en prenant des décisions sans respecter les procédures légales. Par exemple, au nom de la lutte contre la corruption, le 9 avril 2021, le ministre de l’Intérieur, du Développement communautaire et de la Sécurité publique, Gervais Ndirakobuca, a annoncé le limogeage avec effet immédiat des 119 comptables communaux que compte le Burundi pour « avoir handicapé la collecte des recettes communales en complicité avec les anciens percepteurs précédemment démis de leur fonction »</w:t>
      </w:r>
      <w:r w:rsidRPr="00A6655C">
        <w:rPr>
          <w:rStyle w:val="FootnoteReference"/>
        </w:rPr>
        <w:footnoteReference w:id="414"/>
      </w:r>
      <w:r w:rsidRPr="00617673">
        <w:rPr>
          <w:lang w:val="fr-FR"/>
        </w:rPr>
        <w:t>. De la même manière, à la fin du mois de février 2021, le ministère de l’Intérieur, du Développement communautaire et de la Sécurité publique a remplacé tous les percepteurs pour la collecte et la perception des taxes et impôts en Mairie de Bujumbura, peu après les avoir accusé</w:t>
      </w:r>
      <w:r w:rsidR="002A212D">
        <w:rPr>
          <w:lang w:val="fr-FR"/>
        </w:rPr>
        <w:t>s</w:t>
      </w:r>
      <w:r w:rsidRPr="00617673">
        <w:rPr>
          <w:lang w:val="fr-FR"/>
        </w:rPr>
        <w:t xml:space="preserve"> de détourner systématiquement des fonds, évoquant même un montant de 121 millions de francs burundais par semaine (environ 62 000 dollars)</w:t>
      </w:r>
      <w:r w:rsidRPr="00A6655C">
        <w:rPr>
          <w:rStyle w:val="FootnoteReference"/>
        </w:rPr>
        <w:footnoteReference w:id="415"/>
      </w:r>
      <w:r w:rsidRPr="00617673">
        <w:rPr>
          <w:lang w:val="fr-FR"/>
        </w:rPr>
        <w:t>.</w:t>
      </w:r>
    </w:p>
    <w:p w14:paraId="74426D0A" w14:textId="77777777" w:rsidR="00617673" w:rsidRPr="00617673" w:rsidRDefault="00617673" w:rsidP="00617673">
      <w:pPr>
        <w:pStyle w:val="SingleTxtG"/>
        <w:rPr>
          <w:lang w:val="fr-FR"/>
        </w:rPr>
      </w:pPr>
      <w:r w:rsidRPr="00617673">
        <w:rPr>
          <w:lang w:val="fr-FR"/>
        </w:rPr>
        <w:t>272.</w:t>
      </w:r>
      <w:r w:rsidR="00724A09">
        <w:rPr>
          <w:lang w:val="fr-FR"/>
        </w:rPr>
        <w:tab/>
      </w:r>
      <w:r w:rsidRPr="00617673">
        <w:rPr>
          <w:lang w:val="fr-FR"/>
        </w:rPr>
        <w:t>Sans se prononcer sur le fond de ces décisions, la Commission note que leur base légale est contestable, voire carrément inexistante, et elles sont donc incompatibles avec les standards relatifs à la prévisibilité du droit, notamment au vu des délais très courts pour les exécuter et l’impossibilité de faire un recours contre elles. Ainsi, les comptables communaux sont recrutés sur concours par l’administrateur communal après approbation du Conseil et non nommés par le ministre de l’Intérieur. Ce dernier a donc pris cette décision en violation de la loi sur l’administration communale de 2020</w:t>
      </w:r>
      <w:r w:rsidRPr="00A6655C">
        <w:rPr>
          <w:rStyle w:val="FootnoteReference"/>
        </w:rPr>
        <w:footnoteReference w:id="416"/>
      </w:r>
      <w:r w:rsidRPr="00617673">
        <w:rPr>
          <w:lang w:val="fr-FR"/>
        </w:rPr>
        <w:t>, et du droit du travail, qui offre une certaine protection aux employés communaux, notamment quant aux procédures à suivre pour des licenciements pour faute</w:t>
      </w:r>
      <w:r w:rsidRPr="00A6655C">
        <w:rPr>
          <w:rStyle w:val="FootnoteReference"/>
        </w:rPr>
        <w:footnoteReference w:id="417"/>
      </w:r>
      <w:r w:rsidRPr="00617673">
        <w:rPr>
          <w:lang w:val="fr-FR"/>
        </w:rPr>
        <w:t xml:space="preserve">. </w:t>
      </w:r>
    </w:p>
    <w:p w14:paraId="297C2EFA" w14:textId="77777777" w:rsidR="00617673" w:rsidRPr="00617673" w:rsidRDefault="00724A09" w:rsidP="00617673">
      <w:pPr>
        <w:pStyle w:val="SingleTxtG"/>
        <w:rPr>
          <w:lang w:val="fr-FR"/>
        </w:rPr>
      </w:pPr>
      <w:r>
        <w:rPr>
          <w:lang w:val="fr-FR"/>
        </w:rPr>
        <w:t>273.</w:t>
      </w:r>
      <w:r>
        <w:rPr>
          <w:lang w:val="fr-FR"/>
        </w:rPr>
        <w:tab/>
      </w:r>
      <w:r w:rsidR="00617673" w:rsidRPr="00617673">
        <w:rPr>
          <w:lang w:val="fr-FR"/>
        </w:rPr>
        <w:t>En février 2021, le même ministre a décidé que les commerçants qui ont leur boutique près des marchés publics devaient fermer dans un délai de 10 jours et déménager à l’intérieur de ces marchés</w:t>
      </w:r>
      <w:r w:rsidR="00617673" w:rsidRPr="00A6655C">
        <w:rPr>
          <w:rStyle w:val="FootnoteReference"/>
        </w:rPr>
        <w:footnoteReference w:id="418"/>
      </w:r>
      <w:r w:rsidR="00617673" w:rsidRPr="00617673">
        <w:rPr>
          <w:lang w:val="fr-FR"/>
        </w:rPr>
        <w:t>. Le 16 mars 2021, il a donné deux semaines aux commerçants installés près du marché de Jabe, zone Bwiza, commune Mukaza, à Bujumbura Mairie, pour déménager à l’intérieur du marché</w:t>
      </w:r>
      <w:r w:rsidR="00617673" w:rsidRPr="00A6655C">
        <w:rPr>
          <w:rStyle w:val="FootnoteReference"/>
        </w:rPr>
        <w:footnoteReference w:id="419"/>
      </w:r>
      <w:r w:rsidR="00617673" w:rsidRPr="00617673">
        <w:rPr>
          <w:lang w:val="fr-FR"/>
        </w:rPr>
        <w:t>. Toutefois, la grande majorité des commerçants concernés exerçaient légalement leur activité et payaient leurs taxes aux autorités nationales et locales, en conformité avec le principe de la liberté de commerce consacré par la Constitution du Burundi et avec le Code du commerce de 2015</w:t>
      </w:r>
      <w:r w:rsidR="00617673" w:rsidRPr="00950F51">
        <w:rPr>
          <w:rStyle w:val="FootnoteReference"/>
        </w:rPr>
        <w:footnoteReference w:id="420"/>
      </w:r>
      <w:r w:rsidR="00617673" w:rsidRPr="00617673">
        <w:rPr>
          <w:lang w:val="fr-FR"/>
        </w:rPr>
        <w:t>. Selon l’OLUCOME, une telle décision est contraire au droit burundais en matière commerciale et constitue un abus de pouvoir</w:t>
      </w:r>
      <w:r w:rsidR="00617673" w:rsidRPr="00950F51">
        <w:rPr>
          <w:rStyle w:val="FootnoteReference"/>
        </w:rPr>
        <w:footnoteReference w:id="421"/>
      </w:r>
      <w:r w:rsidR="00617673" w:rsidRPr="00617673">
        <w:rPr>
          <w:lang w:val="fr-FR"/>
        </w:rPr>
        <w:t xml:space="preserve">. </w:t>
      </w:r>
    </w:p>
    <w:p w14:paraId="39286B6C" w14:textId="41EBBD29" w:rsidR="00617673" w:rsidRPr="00617673" w:rsidRDefault="00724A09" w:rsidP="00617673">
      <w:pPr>
        <w:pStyle w:val="SingleTxtG"/>
        <w:rPr>
          <w:lang w:val="fr-FR"/>
        </w:rPr>
      </w:pPr>
      <w:r>
        <w:rPr>
          <w:lang w:val="fr-FR"/>
        </w:rPr>
        <w:t>274.</w:t>
      </w:r>
      <w:r>
        <w:rPr>
          <w:lang w:val="fr-FR"/>
        </w:rPr>
        <w:tab/>
      </w:r>
      <w:r w:rsidR="00617673" w:rsidRPr="00617673">
        <w:rPr>
          <w:lang w:val="fr-FR"/>
        </w:rPr>
        <w:t>Les autorités locales multiplient également les taxes et contributions en tout genre souvent sans aucun fondement légal. De telles pratiques existent depuis un moment, notamment les collectes de « contributions », souvent soi-disant volontaires, afin de financer aussi bien des infrastructures publiques (école</w:t>
      </w:r>
      <w:r w:rsidR="0000137E">
        <w:rPr>
          <w:lang w:val="fr-FR"/>
        </w:rPr>
        <w:t>s</w:t>
      </w:r>
      <w:r w:rsidR="00617673" w:rsidRPr="00617673">
        <w:rPr>
          <w:lang w:val="fr-FR"/>
        </w:rPr>
        <w:t>, bâtiment</w:t>
      </w:r>
      <w:r w:rsidR="0000137E">
        <w:rPr>
          <w:lang w:val="fr-FR"/>
        </w:rPr>
        <w:t>s</w:t>
      </w:r>
      <w:r w:rsidR="00617673" w:rsidRPr="00617673">
        <w:rPr>
          <w:lang w:val="fr-FR"/>
        </w:rPr>
        <w:t xml:space="preserve"> administratif</w:t>
      </w:r>
      <w:r w:rsidR="0000137E">
        <w:rPr>
          <w:lang w:val="fr-FR"/>
        </w:rPr>
        <w:t>s</w:t>
      </w:r>
      <w:r w:rsidR="00617673" w:rsidRPr="00617673">
        <w:rPr>
          <w:lang w:val="fr-FR"/>
        </w:rPr>
        <w:t xml:space="preserve"> </w:t>
      </w:r>
      <w:r w:rsidR="0000137E" w:rsidRPr="00617673">
        <w:rPr>
          <w:lang w:val="fr-FR"/>
        </w:rPr>
        <w:t>loca</w:t>
      </w:r>
      <w:r w:rsidR="0000137E">
        <w:rPr>
          <w:lang w:val="fr-FR"/>
        </w:rPr>
        <w:t>ux</w:t>
      </w:r>
      <w:r w:rsidR="00617673" w:rsidRPr="00617673">
        <w:rPr>
          <w:lang w:val="fr-FR"/>
        </w:rPr>
        <w:t>, stade</w:t>
      </w:r>
      <w:r w:rsidR="0000137E">
        <w:rPr>
          <w:lang w:val="fr-FR"/>
        </w:rPr>
        <w:t>s</w:t>
      </w:r>
      <w:r w:rsidR="00617673" w:rsidRPr="00617673">
        <w:rPr>
          <w:lang w:val="fr-FR"/>
        </w:rPr>
        <w:t>, route</w:t>
      </w:r>
      <w:r w:rsidR="0000137E">
        <w:rPr>
          <w:lang w:val="fr-FR"/>
        </w:rPr>
        <w:t>s</w:t>
      </w:r>
      <w:r w:rsidR="00617673" w:rsidRPr="00617673">
        <w:rPr>
          <w:lang w:val="fr-FR"/>
        </w:rPr>
        <w:t>, etc.) que soutenir le parti au pouvoir CNDD-FDD (activités festives ou permanences locales)</w:t>
      </w:r>
      <w:r w:rsidR="00617673" w:rsidRPr="00950F51">
        <w:rPr>
          <w:rStyle w:val="FootnoteReference"/>
        </w:rPr>
        <w:footnoteReference w:id="422"/>
      </w:r>
      <w:r w:rsidR="00617673" w:rsidRPr="00617673">
        <w:rPr>
          <w:lang w:val="fr-FR"/>
        </w:rPr>
        <w:t xml:space="preserve">. </w:t>
      </w:r>
    </w:p>
    <w:p w14:paraId="50343801" w14:textId="77777777" w:rsidR="00617673" w:rsidRPr="00617673" w:rsidRDefault="00617673" w:rsidP="00617673">
      <w:pPr>
        <w:pStyle w:val="SingleTxtG"/>
        <w:rPr>
          <w:lang w:val="fr-FR"/>
        </w:rPr>
      </w:pPr>
      <w:r w:rsidRPr="00617673">
        <w:rPr>
          <w:lang w:val="fr-FR"/>
        </w:rPr>
        <w:t>275.</w:t>
      </w:r>
      <w:r w:rsidR="00724A09">
        <w:rPr>
          <w:lang w:val="fr-FR"/>
        </w:rPr>
        <w:tab/>
      </w:r>
      <w:r w:rsidRPr="00617673">
        <w:rPr>
          <w:lang w:val="fr-FR"/>
        </w:rPr>
        <w:t>De manière certes plus anecdotique mais non moins significative, on peut noter que le Président du Sénat, Emmanuel Sinzohagera, a appelé, à plusieurs reprises lors de tournées à l’intérieur du pays, les responsables administratifs locaux à « emprisonner les couples en situation de concubinage et les faire travailler dans les champs de la commune »</w:t>
      </w:r>
      <w:r w:rsidRPr="00950F51">
        <w:rPr>
          <w:rStyle w:val="FootnoteReference"/>
        </w:rPr>
        <w:footnoteReference w:id="423"/>
      </w:r>
      <w:r w:rsidRPr="00617673">
        <w:rPr>
          <w:lang w:val="fr-FR"/>
        </w:rPr>
        <w:t>. Il a été également rapporté que le Président de l’Assemblée nationale, Gelase Ndabirabe, a recommandé à ces mêmes responsables administratifs le recours « aux coups de bâtons pour recadrer la population »</w:t>
      </w:r>
      <w:r w:rsidRPr="00950F51">
        <w:rPr>
          <w:rStyle w:val="FootnoteReference"/>
        </w:rPr>
        <w:footnoteReference w:id="424"/>
      </w:r>
      <w:r w:rsidRPr="00617673">
        <w:rPr>
          <w:lang w:val="fr-FR"/>
        </w:rPr>
        <w:t xml:space="preserve">. </w:t>
      </w:r>
      <w:r w:rsidRPr="00617673">
        <w:t>Le Maire de Bujumbura a ordonné aux habitants du quartier de Mukaza de repeindre la façade de leur maison à l’approche des célébrations de l’indépendance du Burundi, sous peine de se voir infliger une amende</w:t>
      </w:r>
      <w:r w:rsidRPr="00950F51">
        <w:rPr>
          <w:rStyle w:val="FootnoteReference"/>
        </w:rPr>
        <w:footnoteReference w:id="425"/>
      </w:r>
      <w:r w:rsidRPr="00617673">
        <w:t xml:space="preserve">. </w:t>
      </w:r>
      <w:r w:rsidRPr="00617673">
        <w:rPr>
          <w:lang w:val="fr-FR"/>
        </w:rPr>
        <w:t>Le gouverneur de la province Rumonge a indiqué que pour lutter contre la production, la vente et la consommation de boissons prohibées, il avait recouru à des arrestations et des détentions arbitraires comme sanction collective : « Nous avons décidé que si on la saisit [la boisson prohibée appelée ‘</w:t>
      </w:r>
      <w:r w:rsidRPr="00617673">
        <w:rPr>
          <w:i/>
          <w:lang w:val="fr-FR"/>
        </w:rPr>
        <w:t>Kanyanga’</w:t>
      </w:r>
      <w:r w:rsidRPr="00617673">
        <w:rPr>
          <w:lang w:val="fr-FR"/>
        </w:rPr>
        <w:t>] sur une telle colline, ce sont les élus collinaires qui seront emprisonnés les premiers. Nous avons passé à l’acte. Beaucoup d’élus collinaires ont été arrêtés et emprisonnés »</w:t>
      </w:r>
      <w:r w:rsidRPr="00950F51">
        <w:rPr>
          <w:rStyle w:val="FootnoteReference"/>
        </w:rPr>
        <w:footnoteReference w:id="426"/>
      </w:r>
      <w:r w:rsidRPr="00617673">
        <w:rPr>
          <w:lang w:val="fr-FR"/>
        </w:rPr>
        <w:t>.</w:t>
      </w:r>
    </w:p>
    <w:p w14:paraId="18626F66" w14:textId="77777777" w:rsidR="00617673" w:rsidRPr="00617673" w:rsidRDefault="00617673" w:rsidP="00617673">
      <w:pPr>
        <w:pStyle w:val="SingleTxtG"/>
        <w:rPr>
          <w:lang w:val="fr-FR"/>
        </w:rPr>
      </w:pPr>
      <w:r w:rsidRPr="00617673">
        <w:rPr>
          <w:lang w:val="fr-FR"/>
        </w:rPr>
        <w:t>276.</w:t>
      </w:r>
      <w:r w:rsidR="00724A09">
        <w:rPr>
          <w:lang w:val="fr-FR"/>
        </w:rPr>
        <w:tab/>
      </w:r>
      <w:r w:rsidRPr="00617673">
        <w:rPr>
          <w:lang w:val="fr-FR"/>
        </w:rPr>
        <w:t>En revanche, des décisions prises légalement n’ont pas été pleinement exécutées ou mises en œuvre, comme la grâce présidentielle accordée théoriquement à 5 200 prisonniers en mars 2021, qui n’a commencé à être appliquée qu’à la mi-avril. Au début de juillet 2021, seulement 2 600 prisonniers graciés avaient effectivement été libérés, dont certains ont été ré-arrêtés peu après leur libération et d’autres enlevés et portés disparus</w:t>
      </w:r>
      <w:r w:rsidRPr="00950F51">
        <w:rPr>
          <w:rStyle w:val="FootnoteReference"/>
        </w:rPr>
        <w:footnoteReference w:id="427"/>
      </w:r>
      <w:r w:rsidRPr="00617673">
        <w:rPr>
          <w:lang w:val="fr-FR"/>
        </w:rPr>
        <w:t>. Au 10 août 2021, selon une ONG burundaise, 4 828 prisonniers graciés avaient effectivement retrouvé leur liberté</w:t>
      </w:r>
      <w:r w:rsidRPr="00950F51">
        <w:rPr>
          <w:rStyle w:val="FootnoteReference"/>
        </w:rPr>
        <w:footnoteReference w:id="428"/>
      </w:r>
      <w:r w:rsidRPr="00617673">
        <w:rPr>
          <w:lang w:val="fr-FR"/>
        </w:rPr>
        <w:t>. Des décisions de justice n’ont pas été exécutées, notamment des décisions de mise en liberté provisoire dans l’attente du procès ou de remise en liberté après acquittement</w:t>
      </w:r>
      <w:r w:rsidRPr="00950F51">
        <w:rPr>
          <w:rStyle w:val="FootnoteReference"/>
        </w:rPr>
        <w:footnoteReference w:id="429"/>
      </w:r>
      <w:r w:rsidRPr="00617673">
        <w:rPr>
          <w:lang w:val="fr-FR"/>
        </w:rPr>
        <w:t>. Au contraire, d’autres décisions telles que la destruction des constructions considérées anarchiques ou illégales ont été exécutées quasi immédiatement sans offrir de voie de recours ni de délai raisonnable aux personnes concernées</w:t>
      </w:r>
      <w:r w:rsidRPr="00950F51">
        <w:rPr>
          <w:rStyle w:val="FootnoteReference"/>
        </w:rPr>
        <w:footnoteReference w:id="430"/>
      </w:r>
      <w:r w:rsidRPr="00617673">
        <w:rPr>
          <w:lang w:val="fr-FR"/>
        </w:rPr>
        <w:t>.</w:t>
      </w:r>
    </w:p>
    <w:p w14:paraId="0151199F" w14:textId="066C02CD" w:rsidR="00617673" w:rsidRPr="00617673" w:rsidRDefault="00617673" w:rsidP="00617673">
      <w:pPr>
        <w:pStyle w:val="SingleTxtG"/>
        <w:rPr>
          <w:lang w:val="fr-FR"/>
        </w:rPr>
      </w:pPr>
      <w:r w:rsidRPr="00617673">
        <w:rPr>
          <w:lang w:val="fr-FR"/>
        </w:rPr>
        <w:t>277.</w:t>
      </w:r>
      <w:r w:rsidR="00724A09">
        <w:rPr>
          <w:lang w:val="fr-FR"/>
        </w:rPr>
        <w:tab/>
      </w:r>
      <w:r w:rsidRPr="00617673">
        <w:rPr>
          <w:lang w:val="fr-FR"/>
        </w:rPr>
        <w:t>Le Président Ndayishimiye a avalisé l’ensemble de ces décisions, directement ou implicitement, et donc la manière dont elles ont été prises sans base légale, ni respect des procédures, ni possibilité pour les personnes concernées de faire recours</w:t>
      </w:r>
      <w:r w:rsidRPr="00FA45AB">
        <w:rPr>
          <w:lang w:val="fr-FR"/>
        </w:rPr>
        <w:t xml:space="preserve">. </w:t>
      </w:r>
      <w:r w:rsidR="00FA45AB" w:rsidRPr="00FA45AB">
        <w:t>Le principe de légalité, la sécurité juridique, la prévention de l’abus de pouvoir, l’égalité devant la loi et la non-discrimination, et l’accès à la justice ne sont donc pas</w:t>
      </w:r>
      <w:r w:rsidR="00F576D2">
        <w:t xml:space="preserve"> suffisamment</w:t>
      </w:r>
      <w:r w:rsidR="00FA45AB" w:rsidRPr="00FA45AB">
        <w:t xml:space="preserve"> garantis au Burundi.</w:t>
      </w:r>
    </w:p>
    <w:p w14:paraId="1F50A156" w14:textId="77777777" w:rsidR="00617673" w:rsidRPr="00FA45AB" w:rsidRDefault="00753E88" w:rsidP="00753E88">
      <w:pPr>
        <w:pStyle w:val="H1G"/>
        <w:rPr>
          <w:lang w:val="fr-CH"/>
        </w:rPr>
      </w:pPr>
      <w:r w:rsidRPr="00FA45AB">
        <w:rPr>
          <w:lang w:val="fr-CH"/>
        </w:rPr>
        <w:tab/>
        <w:t>H.</w:t>
      </w:r>
      <w:r w:rsidRPr="00FA45AB">
        <w:rPr>
          <w:lang w:val="fr-CH"/>
        </w:rPr>
        <w:tab/>
      </w:r>
      <w:r w:rsidR="00617673" w:rsidRPr="00FA45AB">
        <w:rPr>
          <w:lang w:val="fr-CH"/>
        </w:rPr>
        <w:t>Responsabilités</w:t>
      </w:r>
    </w:p>
    <w:p w14:paraId="734A1909" w14:textId="77777777" w:rsidR="00617673" w:rsidRPr="00617673" w:rsidRDefault="00753E88" w:rsidP="00753E88">
      <w:pPr>
        <w:pStyle w:val="H23G"/>
      </w:pPr>
      <w:r>
        <w:tab/>
      </w:r>
      <w:r w:rsidR="00617673" w:rsidRPr="00617673">
        <w:t>1.</w:t>
      </w:r>
      <w:r w:rsidR="00617673" w:rsidRPr="00617673">
        <w:tab/>
        <w:t>Responsabilité de l’État burundais</w:t>
      </w:r>
    </w:p>
    <w:p w14:paraId="7CAF6DD5" w14:textId="77777777" w:rsidR="00617673" w:rsidRPr="00617673" w:rsidRDefault="00724A09" w:rsidP="00617673">
      <w:pPr>
        <w:pStyle w:val="SingleTxtG"/>
        <w:rPr>
          <w:lang w:val="fr-FR"/>
        </w:rPr>
      </w:pPr>
      <w:r>
        <w:rPr>
          <w:lang w:val="fr-FR"/>
        </w:rPr>
        <w:t>278.</w:t>
      </w:r>
      <w:r>
        <w:rPr>
          <w:lang w:val="fr-FR"/>
        </w:rPr>
        <w:tab/>
      </w:r>
      <w:r w:rsidR="00617673" w:rsidRPr="00617673">
        <w:rPr>
          <w:lang w:val="fr-FR"/>
        </w:rPr>
        <w:t>L’État burundais peut être tenu responsable des faits constituant des violations des droits de l’homme commis par des agents de l’État, notamment du SNR et de la police, mais également des autorités administratives qui représentent l’État à divers échelons.</w:t>
      </w:r>
    </w:p>
    <w:p w14:paraId="71157AD6" w14:textId="77777777" w:rsidR="00617673" w:rsidRPr="00617673" w:rsidRDefault="00617673" w:rsidP="00617673">
      <w:pPr>
        <w:pStyle w:val="SingleTxtG"/>
        <w:rPr>
          <w:lang w:val="fr-FR"/>
        </w:rPr>
      </w:pPr>
      <w:r w:rsidRPr="00617673">
        <w:rPr>
          <w:lang w:val="fr-FR"/>
        </w:rPr>
        <w:t>279.</w:t>
      </w:r>
      <w:r w:rsidR="00724A09">
        <w:rPr>
          <w:lang w:val="fr-FR"/>
        </w:rPr>
        <w:tab/>
      </w:r>
      <w:r w:rsidRPr="00617673">
        <w:rPr>
          <w:lang w:val="fr-FR"/>
        </w:rPr>
        <w:t>Les Imbonerakure agissent souvent seuls, parfois comme supplétifs ou en remplacement des forces de sécurité, en présence d’agents de l’État, avec leur assentiment ou à leur demande. Ils jouissent d’une grande liberté d’action conférée par les autorités burundaises, qui ont pourtant les moyens de les contrôler. Certains détiennent du matériel et des équipements réservés aux corps de défense et de sécurité, ce qui démontre leur rôle central au sein des structures de sécurité formelles et informelles de l’État burundais. L’État burundais est directement responsable de leurs actions entreprises sur instruction de ses agents, ou sous leur totale dépendance ou contrôle effectif. Pour les autres cas de figure, en ne diligentant pas les enquêtes nécessaires et en n’entamant pas de poursuites effectives, l’État burundais engage sa responsabilité en matière de protection des droits de l’homme</w:t>
      </w:r>
      <w:r w:rsidRPr="002A5A0E">
        <w:rPr>
          <w:rStyle w:val="FootnoteReference"/>
        </w:rPr>
        <w:footnoteReference w:id="431"/>
      </w:r>
      <w:r w:rsidRPr="00617673">
        <w:rPr>
          <w:lang w:val="fr-FR"/>
        </w:rPr>
        <w:t>.</w:t>
      </w:r>
    </w:p>
    <w:p w14:paraId="5707C105" w14:textId="77777777" w:rsidR="00617673" w:rsidRPr="00617673" w:rsidRDefault="00724A09" w:rsidP="00724A09">
      <w:pPr>
        <w:pStyle w:val="H23G"/>
      </w:pPr>
      <w:r>
        <w:tab/>
      </w:r>
      <w:r w:rsidR="00617673" w:rsidRPr="00617673">
        <w:t>2.</w:t>
      </w:r>
      <w:r w:rsidR="00617673" w:rsidRPr="00617673">
        <w:tab/>
        <w:t>Responsabilité des groupes armés</w:t>
      </w:r>
    </w:p>
    <w:p w14:paraId="5F84C9E9" w14:textId="77777777" w:rsidR="00245829" w:rsidRDefault="00617673" w:rsidP="00617673">
      <w:pPr>
        <w:pStyle w:val="SingleTxtG"/>
        <w:rPr>
          <w:lang w:val="fr-FR"/>
        </w:rPr>
      </w:pPr>
      <w:r w:rsidRPr="00617673">
        <w:rPr>
          <w:lang w:val="fr-FR"/>
        </w:rPr>
        <w:t>280.</w:t>
      </w:r>
      <w:r w:rsidR="00724A09">
        <w:rPr>
          <w:lang w:val="fr-FR"/>
        </w:rPr>
        <w:tab/>
      </w:r>
      <w:r w:rsidRPr="00617673">
        <w:rPr>
          <w:lang w:val="fr-FR"/>
        </w:rPr>
        <w:t>La Commission a recueilli des informations sur un cas récent d’atteinte aux droits à la liberté et à la sécurité et à l’intégrité physique qui concerne plusieurs victimes, y compris des enfants, commis sur le territoire burundais par un groupe armé non identifié. De plus, des groupes armés seraient également responsables de graves atteintes au droit à la vie dans le cadre d’attaques armées, mais la Commission n’a pas été en mesure de documenter suffisamment ces cas afin de corroborer le déroulement des faits et identifier éventuellement les auteurs, en raison notamment du refus de coopération du Gouvernement</w:t>
      </w:r>
      <w:r>
        <w:rPr>
          <w:lang w:val="fr-FR"/>
        </w:rPr>
        <w:t>.</w:t>
      </w:r>
    </w:p>
    <w:p w14:paraId="0442DB78" w14:textId="77777777" w:rsidR="00EA0F0E" w:rsidRPr="00EA0F0E" w:rsidRDefault="00445D7B" w:rsidP="000614F5">
      <w:pPr>
        <w:pStyle w:val="HChG"/>
      </w:pPr>
      <w:r>
        <w:tab/>
      </w:r>
      <w:r w:rsidR="00EA0F0E" w:rsidRPr="00EA0F0E">
        <w:t>III.</w:t>
      </w:r>
      <w:r w:rsidR="00EA0F0E" w:rsidRPr="00EA0F0E">
        <w:tab/>
        <w:t>Crimes de droit international</w:t>
      </w:r>
    </w:p>
    <w:p w14:paraId="13EA4CAF" w14:textId="77777777" w:rsidR="00EA0F0E" w:rsidRPr="00FA45AB" w:rsidRDefault="00445D7B" w:rsidP="000614F5">
      <w:pPr>
        <w:pStyle w:val="H1G"/>
        <w:rPr>
          <w:lang w:val="fr-CH"/>
        </w:rPr>
      </w:pPr>
      <w:r w:rsidRPr="00FA45AB">
        <w:rPr>
          <w:lang w:val="fr-CH"/>
        </w:rPr>
        <w:tab/>
        <w:t>A.</w:t>
      </w:r>
      <w:r w:rsidRPr="00FA45AB">
        <w:rPr>
          <w:lang w:val="fr-CH"/>
        </w:rPr>
        <w:tab/>
      </w:r>
      <w:r w:rsidR="00EA0F0E" w:rsidRPr="00FA45AB">
        <w:rPr>
          <w:lang w:val="fr-CH"/>
        </w:rPr>
        <w:t>Éléments constitutifs et typologie des crimes contre l’humanité</w:t>
      </w:r>
    </w:p>
    <w:p w14:paraId="1E8C90FF" w14:textId="77777777" w:rsidR="00EA0F0E" w:rsidRPr="00EA0F0E" w:rsidRDefault="00724A09" w:rsidP="00EA0F0E">
      <w:pPr>
        <w:pStyle w:val="SingleTxtG"/>
        <w:rPr>
          <w:bCs/>
          <w:lang w:val="fr-FR"/>
        </w:rPr>
      </w:pPr>
      <w:r>
        <w:t>281.</w:t>
      </w:r>
      <w:r w:rsidR="00EA0F0E" w:rsidRPr="00EA0F0E">
        <w:tab/>
        <w:t>Dans ses précédents rapports, la Commission avait considéré avoir des motifs raisonnables de croire que des crimes contre l’humanité</w:t>
      </w:r>
      <w:r w:rsidR="00EA0F0E" w:rsidRPr="00EA0F0E">
        <w:rPr>
          <w:bCs/>
          <w:lang w:val="fr-FR"/>
        </w:rPr>
        <w:t>, tels que définis par le Statut de Rome de la Cour pénale internationale</w:t>
      </w:r>
      <w:r w:rsidR="00EA0F0E" w:rsidRPr="002A5A0E">
        <w:rPr>
          <w:rStyle w:val="FootnoteReference"/>
        </w:rPr>
        <w:footnoteReference w:id="432"/>
      </w:r>
      <w:r w:rsidR="00EA0F0E" w:rsidRPr="00EA0F0E">
        <w:rPr>
          <w:bCs/>
          <w:lang w:val="fr-FR"/>
        </w:rPr>
        <w:t>,</w:t>
      </w:r>
      <w:r w:rsidR="00EA0F0E" w:rsidRPr="00EA0F0E">
        <w:t xml:space="preserve"> avaient été perpétrés au Burundi depuis 2015, à savoir </w:t>
      </w:r>
      <w:r w:rsidR="00EA0F0E" w:rsidRPr="00EA0F0E">
        <w:rPr>
          <w:bCs/>
          <w:lang w:val="fr-FR"/>
        </w:rPr>
        <w:t>des meurtres, des emprisonnements ou autres formes graves de privation de liberté physique, des tortures, des viols et autres formes de violence sexuelle de gravité comparable, et des persécutions à caractère politique.</w:t>
      </w:r>
      <w:r w:rsidR="00EA0F0E" w:rsidRPr="002A5A0E">
        <w:rPr>
          <w:rStyle w:val="FootnoteReference"/>
        </w:rPr>
        <w:footnoteReference w:id="433"/>
      </w:r>
      <w:r w:rsidR="00EA0F0E" w:rsidRPr="00EA0F0E">
        <w:rPr>
          <w:bCs/>
          <w:lang w:val="fr-FR"/>
        </w:rPr>
        <w:t xml:space="preserve"> </w:t>
      </w:r>
    </w:p>
    <w:p w14:paraId="294E4659" w14:textId="77777777" w:rsidR="00EA0F0E" w:rsidRPr="00EA0F0E" w:rsidRDefault="00EA0F0E" w:rsidP="00EA0F0E">
      <w:pPr>
        <w:pStyle w:val="SingleTxtG"/>
        <w:rPr>
          <w:bCs/>
          <w:lang w:val="fr-FR"/>
        </w:rPr>
      </w:pPr>
      <w:r w:rsidRPr="00EA0F0E">
        <w:rPr>
          <w:bCs/>
          <w:lang w:val="fr-FR"/>
        </w:rPr>
        <w:t>282.</w:t>
      </w:r>
      <w:r w:rsidRPr="00EA0F0E">
        <w:rPr>
          <w:bCs/>
          <w:lang w:val="fr-FR"/>
        </w:rPr>
        <w:tab/>
        <w:t>Au vu du contexte qui a prévalu au Burundi au cours de la période considérée dans le présent rapport, caractérisé par la poursuite des violations graves des droits de l’homme, notamment contre les opposants politiques, la Commission considère qu’elle a des motifs raisonnables de croire que des crimes contre l’humanité ont continué d’être perpétrés au Burundi.</w:t>
      </w:r>
    </w:p>
    <w:p w14:paraId="3AED9A6D" w14:textId="42D1D249" w:rsidR="00EA0F0E" w:rsidRPr="00EA0F0E" w:rsidRDefault="00EA0F0E" w:rsidP="00EA0F0E">
      <w:pPr>
        <w:pStyle w:val="SingleTxtG"/>
        <w:rPr>
          <w:bCs/>
          <w:lang w:val="fr-FR"/>
        </w:rPr>
      </w:pPr>
      <w:r w:rsidRPr="00EA0F0E">
        <w:rPr>
          <w:bCs/>
          <w:lang w:val="fr-FR"/>
        </w:rPr>
        <w:t>283.</w:t>
      </w:r>
      <w:r w:rsidRPr="00EA0F0E">
        <w:rPr>
          <w:bCs/>
          <w:lang w:val="fr-FR"/>
        </w:rPr>
        <w:tab/>
        <w:t>Pour rappel, selon le Statut de Rome, les actes constitutifs des crimes contre l’humanité doivent être « commis dans le cadre d’une attaque généralisée ou systématique lancée contre toute population civile et en connaissance de cette attaque »</w:t>
      </w:r>
      <w:r w:rsidRPr="002A5A0E">
        <w:rPr>
          <w:rStyle w:val="FootnoteReference"/>
        </w:rPr>
        <w:footnoteReference w:id="434"/>
      </w:r>
      <w:r w:rsidRPr="00EA0F0E">
        <w:rPr>
          <w:bCs/>
          <w:lang w:val="fr-FR"/>
        </w:rPr>
        <w:t>. L’« attaque » ne doit pas nécessairement être de nature militaire, mais peut consister en la multiplication d’actes constitutifs de crimes contre l’humanité</w:t>
      </w:r>
      <w:r w:rsidRPr="002A5A0E">
        <w:rPr>
          <w:rStyle w:val="FootnoteReference"/>
        </w:rPr>
        <w:footnoteReference w:id="435"/>
      </w:r>
      <w:r w:rsidRPr="00EA0F0E">
        <w:rPr>
          <w:bCs/>
          <w:lang w:val="fr-FR"/>
        </w:rPr>
        <w:t xml:space="preserve"> qui ne doivent pas être des actes isolés</w:t>
      </w:r>
      <w:r w:rsidRPr="002A5A0E">
        <w:rPr>
          <w:rStyle w:val="FootnoteReference"/>
        </w:rPr>
        <w:footnoteReference w:id="436"/>
      </w:r>
      <w:r w:rsidRPr="00EA0F0E">
        <w:rPr>
          <w:bCs/>
          <w:lang w:val="fr-FR"/>
        </w:rPr>
        <w:t>. Cette attaque doit être dirigée contre une population civile dont le caractère civil n’est pas altéré par la présence parmi les victimes de certains non-civils</w:t>
      </w:r>
      <w:r w:rsidRPr="0008548D">
        <w:rPr>
          <w:rStyle w:val="FootnoteReference"/>
        </w:rPr>
        <w:footnoteReference w:id="437"/>
      </w:r>
      <w:r w:rsidRPr="00EA0F0E">
        <w:rPr>
          <w:bCs/>
          <w:lang w:val="fr-FR"/>
        </w:rPr>
        <w:t>. Le caractère « généralisé ou systématique » de l’attaque peut se déduire du nombre d’exactions constatées, de leur répartition géographique et de la pluralité des victimes et des auteurs. L’existence d’un « scénario des crimes » consistant en « une répétition délibérée et régulière des comportements criminels similaires »</w:t>
      </w:r>
      <w:r w:rsidRPr="0008548D">
        <w:rPr>
          <w:rStyle w:val="FootnoteReference"/>
        </w:rPr>
        <w:footnoteReference w:id="438"/>
      </w:r>
      <w:r w:rsidRPr="00EA0F0E">
        <w:rPr>
          <w:bCs/>
          <w:lang w:val="fr-FR"/>
        </w:rPr>
        <w:t xml:space="preserve"> ou de modes opératoires similaires, peut également être révélateur du caractère systématique de l’attaque. De même, le « cadre politique global dans lequel s’inscrivent les actes criminels », la « teneur d’un programme politique telle qu’elle résulte des écrits de ses auteurs et de leurs discours », la « mobilisation des forces armées » et « l’ampleur des exactions perpétrées »</w:t>
      </w:r>
      <w:r w:rsidRPr="0008548D">
        <w:rPr>
          <w:rStyle w:val="FootnoteReference"/>
        </w:rPr>
        <w:footnoteReference w:id="439"/>
      </w:r>
      <w:r w:rsidRPr="00EA0F0E">
        <w:rPr>
          <w:bCs/>
          <w:lang w:val="fr-FR"/>
        </w:rPr>
        <w:t xml:space="preserve"> peuvent permettre de déduire l’existence d’une « politique d’État ou d’une organisation » ayant pour but de commettre ladite attaque</w:t>
      </w:r>
      <w:r w:rsidRPr="0008548D">
        <w:rPr>
          <w:rStyle w:val="FootnoteReference"/>
        </w:rPr>
        <w:footnoteReference w:id="440"/>
      </w:r>
      <w:r w:rsidRPr="00EA0F0E">
        <w:rPr>
          <w:bCs/>
          <w:lang w:val="fr-FR"/>
        </w:rPr>
        <w:t>. Les auteurs doivent également avoir une compréhension du contexte dans lequel s’inscrivent leurs actes.</w:t>
      </w:r>
    </w:p>
    <w:p w14:paraId="0A1A5C14" w14:textId="77777777" w:rsidR="00EA0F0E" w:rsidRPr="00EA0F0E" w:rsidRDefault="00EA0F0E" w:rsidP="00EA0F0E">
      <w:pPr>
        <w:pStyle w:val="SingleTxtG"/>
        <w:rPr>
          <w:bCs/>
          <w:lang w:val="fr-FR"/>
        </w:rPr>
      </w:pPr>
      <w:r w:rsidRPr="00EA0F0E">
        <w:rPr>
          <w:bCs/>
          <w:lang w:val="fr-FR"/>
        </w:rPr>
        <w:t>284.</w:t>
      </w:r>
      <w:r w:rsidRPr="00EA0F0E">
        <w:rPr>
          <w:bCs/>
          <w:lang w:val="fr-FR"/>
        </w:rPr>
        <w:tab/>
        <w:t>La Commission a documenté un nombre suffisamment important d’actes pouvant être constitutifs de crimes contre l’humanité, notamment des meurtres, des emprisonnements, des tortures et des persécutions à caractère politique, pour lui permettre de déterminer qu’il ne s’agit pas d’actes isolés. Certains ont continué à s’inscrire dans le cadre du processus électoral</w:t>
      </w:r>
      <w:r w:rsidRPr="0008548D">
        <w:rPr>
          <w:rStyle w:val="FootnoteReference"/>
        </w:rPr>
        <w:footnoteReference w:id="441"/>
      </w:r>
      <w:r w:rsidRPr="00EA0F0E">
        <w:rPr>
          <w:bCs/>
          <w:lang w:val="fr-FR"/>
        </w:rPr>
        <w:t xml:space="preserve"> et d’autres dans le cadre de la traque des auteurs des incidents de sécurité qui se sont multipliés dans le pays dès la fin de l’été 2020.</w:t>
      </w:r>
    </w:p>
    <w:p w14:paraId="4EA79C85" w14:textId="60687957" w:rsidR="00EA0F0E" w:rsidRPr="00EA0F0E" w:rsidRDefault="00EA0F0E" w:rsidP="00EA0F0E">
      <w:pPr>
        <w:pStyle w:val="SingleTxtG"/>
        <w:rPr>
          <w:lang w:val="fr-FR"/>
        </w:rPr>
      </w:pPr>
      <w:r w:rsidRPr="00EA0F0E">
        <w:rPr>
          <w:bCs/>
          <w:lang w:val="fr-FR"/>
        </w:rPr>
        <w:t xml:space="preserve">285. </w:t>
      </w:r>
      <w:r w:rsidRPr="00EA0F0E">
        <w:rPr>
          <w:bCs/>
          <w:lang w:val="fr-FR"/>
        </w:rPr>
        <w:tab/>
        <w:t>Ces actes ont visé de manière délibérée des civils, notamment des responsables de partis politiques d’opposition, principalement du CNL, mais aussi des militaires ex-FABs actifs ou non. En effet, même s</w:t>
      </w:r>
      <w:r w:rsidRPr="00EA0F0E">
        <w:rPr>
          <w:lang w:val="fr-FR"/>
        </w:rPr>
        <w:t>’il s’avérait que certaines de ces personnes avaient effectivement des liens avec des groupes armés, en l’absence d’un conflit armé sur le territoire burundais, elles n’en demeurent pas moins des civils et doivent donc être traitées comme tels dans le cadre de la traque des responsables des incidents de sécurité. Elles peuvent être poursuivies pour leurs crimes éventuels en vertu du droit burundais</w:t>
      </w:r>
      <w:r w:rsidR="007E6054">
        <w:rPr>
          <w:lang w:val="fr-FR"/>
        </w:rPr>
        <w:t>,</w:t>
      </w:r>
      <w:r w:rsidRPr="00EA0F0E">
        <w:rPr>
          <w:lang w:val="fr-FR"/>
        </w:rPr>
        <w:t xml:space="preserve"> mais elles doivent bénéficier de leurs droits fondamentaux, notamment le droit à la vie, le droit d’être traité avec humanité et avec le respect de la dignité inhérente à la personne humaine, et le droit à ne pas être torturé. </w:t>
      </w:r>
    </w:p>
    <w:p w14:paraId="0F2C7D00" w14:textId="77777777" w:rsidR="00EA0F0E" w:rsidRPr="00EA0F0E" w:rsidRDefault="00EA0F0E" w:rsidP="00EA0F0E">
      <w:pPr>
        <w:pStyle w:val="SingleTxtG"/>
        <w:rPr>
          <w:bCs/>
          <w:lang w:val="fr-FR"/>
        </w:rPr>
      </w:pPr>
      <w:r w:rsidRPr="00EA0F0E">
        <w:rPr>
          <w:bCs/>
          <w:lang w:val="fr-FR"/>
        </w:rPr>
        <w:t xml:space="preserve">286. </w:t>
      </w:r>
      <w:r w:rsidRPr="00EA0F0E">
        <w:rPr>
          <w:bCs/>
          <w:lang w:val="fr-FR"/>
        </w:rPr>
        <w:tab/>
        <w:t>La Commission souligne que depuis plusieurs années, les autorités burundaises ont régulièrement assimilé les opposants politiques et les voix critiques à des ennemis du pays et donc aux groupes armés d’opposition, et elles ont toléré, sinon alimenté les discours de haine à leur égard</w:t>
      </w:r>
      <w:r w:rsidRPr="0008548D">
        <w:rPr>
          <w:rStyle w:val="FootnoteReference"/>
        </w:rPr>
        <w:footnoteReference w:id="442"/>
      </w:r>
      <w:r w:rsidRPr="00EA0F0E">
        <w:rPr>
          <w:bCs/>
          <w:lang w:val="fr-FR"/>
        </w:rPr>
        <w:t xml:space="preserve">. Étant donné </w:t>
      </w:r>
      <w:r w:rsidRPr="00EA0F0E">
        <w:rPr>
          <w:lang w:val="fr-FR"/>
        </w:rPr>
        <w:t xml:space="preserve">l’opacité entourant les opérations des forces de sécurité et les éventuelles procédures judiciaires, il est impossible </w:t>
      </w:r>
      <w:r w:rsidRPr="00EA0F0E">
        <w:rPr>
          <w:bCs/>
          <w:lang w:val="fr-FR"/>
        </w:rPr>
        <w:t xml:space="preserve">de déterminer au cas par cas </w:t>
      </w:r>
      <w:r w:rsidRPr="00EA0F0E">
        <w:rPr>
          <w:lang w:val="fr-FR"/>
        </w:rPr>
        <w:t xml:space="preserve">s’il existe </w:t>
      </w:r>
      <w:r w:rsidRPr="00EA0F0E">
        <w:rPr>
          <w:bCs/>
          <w:lang w:val="fr-FR"/>
        </w:rPr>
        <w:t>des éléments de preuve raisonnables et objectifs démontrant l’implication des personnes ciblées dans les incidents sécuritaires. Cependant, la Commission estime qu’un nombre significatif d’entre elles l’ont été principalement sur la base de leur affiliation politique.</w:t>
      </w:r>
    </w:p>
    <w:p w14:paraId="57CA1761" w14:textId="77777777" w:rsidR="00EA0F0E" w:rsidRPr="00EA0F0E" w:rsidRDefault="00EA0F0E" w:rsidP="00EA0F0E">
      <w:pPr>
        <w:pStyle w:val="SingleTxtG"/>
        <w:rPr>
          <w:lang w:val="fr-FR"/>
        </w:rPr>
      </w:pPr>
      <w:r w:rsidRPr="00EA0F0E">
        <w:rPr>
          <w:bCs/>
          <w:lang w:val="fr-FR"/>
        </w:rPr>
        <w:t>287.</w:t>
      </w:r>
      <w:r w:rsidRPr="00EA0F0E">
        <w:rPr>
          <w:bCs/>
          <w:lang w:val="fr-FR"/>
        </w:rPr>
        <w:tab/>
        <w:t>La similitude des modes opératoires de ces incidents qui se sont déroulés dans plusieurs provinces et commis par des auteurs différents permet de déduire l’existence d’un « scénario des crimes »</w:t>
      </w:r>
      <w:r w:rsidRPr="00EA0F0E">
        <w:rPr>
          <w:lang w:val="fr-FR"/>
        </w:rPr>
        <w:t xml:space="preserve"> avec l’objectif d’affaiblir, voire de « neutraliser », l’opposition politique et permettre au CNDD-FDD de se maintenir au pouvoir et consolider ce dernier</w:t>
      </w:r>
      <w:r w:rsidRPr="0008548D">
        <w:rPr>
          <w:rStyle w:val="FootnoteReference"/>
        </w:rPr>
        <w:footnoteReference w:id="443"/>
      </w:r>
      <w:r w:rsidRPr="00EA0F0E">
        <w:rPr>
          <w:lang w:val="fr-FR"/>
        </w:rPr>
        <w:t>. Cet objectif est d’ailleurs rappelé régulièrement dans les chants et slogans de ce parti, notamment lors de la campagne électorale, et également par la suite lors de rassemblements et démonstrations de force du</w:t>
      </w:r>
      <w:r w:rsidR="0008548D">
        <w:rPr>
          <w:lang w:val="fr-FR"/>
        </w:rPr>
        <w:t xml:space="preserve"> parti.</w:t>
      </w:r>
    </w:p>
    <w:p w14:paraId="4D7E80E5" w14:textId="77777777" w:rsidR="00EA0F0E" w:rsidRPr="00EA0F0E" w:rsidRDefault="00EA0F0E" w:rsidP="00EA0F0E">
      <w:pPr>
        <w:pStyle w:val="SingleTxtG"/>
        <w:rPr>
          <w:lang w:val="fr-FR"/>
        </w:rPr>
      </w:pPr>
      <w:r w:rsidRPr="00EA0F0E">
        <w:rPr>
          <w:bCs/>
          <w:lang w:val="fr-FR"/>
        </w:rPr>
        <w:t>288.</w:t>
      </w:r>
      <w:r w:rsidRPr="00EA0F0E">
        <w:rPr>
          <w:bCs/>
          <w:lang w:val="fr-FR"/>
        </w:rPr>
        <w:tab/>
        <w:t xml:space="preserve">Dans le cadre du processus électoral, les principaux auteurs de ces actes, à savoir des Imbonerakure, des responsables administratifs locaux et des agents des forces de sécurité et de défense, avaient </w:t>
      </w:r>
      <w:r w:rsidRPr="00EA0F0E">
        <w:rPr>
          <w:lang w:val="fr-FR"/>
        </w:rPr>
        <w:t xml:space="preserve">agi en toute connaissance de cause puisque l’objectif des autorités et du parti CNDD-FDD de gagner les élections à tout prix était régulièrement rappelé, y compris de manière publique. </w:t>
      </w:r>
      <w:r w:rsidRPr="00EA0F0E">
        <w:rPr>
          <w:bCs/>
          <w:lang w:val="fr-FR"/>
        </w:rPr>
        <w:t>De la même manière, il est évident que des</w:t>
      </w:r>
      <w:r w:rsidRPr="00EA0F0E">
        <w:rPr>
          <w:lang w:val="fr-FR"/>
        </w:rPr>
        <w:t xml:space="preserve"> agents du SNR et des policiers des unités spécialisées et dans une mesure moindre des Imbonerakure, qui ont été spécialement mobilisés dans le cadre de la lutte contre les auteurs d’actes de terrorisme et les groupes armés</w:t>
      </w:r>
      <w:r w:rsidRPr="00B9542A">
        <w:rPr>
          <w:rStyle w:val="FootnoteReference"/>
        </w:rPr>
        <w:footnoteReference w:id="444"/>
      </w:r>
      <w:r w:rsidRPr="00EA0F0E">
        <w:rPr>
          <w:lang w:val="fr-FR"/>
        </w:rPr>
        <w:t>, avaie</w:t>
      </w:r>
      <w:r w:rsidRPr="00EA0F0E">
        <w:rPr>
          <w:bCs/>
          <w:lang w:val="fr-FR"/>
        </w:rPr>
        <w:t>nt une compréhension du contexte global dans lequel s’inscrivaient leurs actes, et notamment l’identification des opposants politiques comme des « ennemis du pays »</w:t>
      </w:r>
      <w:r w:rsidR="00445D7B">
        <w:rPr>
          <w:bCs/>
          <w:lang w:val="fr-FR"/>
        </w:rPr>
        <w:t>.</w:t>
      </w:r>
    </w:p>
    <w:p w14:paraId="39E65240" w14:textId="77777777" w:rsidR="00EA0F0E" w:rsidRPr="00FA45AB" w:rsidRDefault="00445D7B" w:rsidP="00E44FBF">
      <w:pPr>
        <w:pStyle w:val="H1G"/>
        <w:rPr>
          <w:lang w:val="fr-CH"/>
        </w:rPr>
      </w:pPr>
      <w:r w:rsidRPr="00FA45AB">
        <w:rPr>
          <w:lang w:val="fr-CH"/>
        </w:rPr>
        <w:tab/>
      </w:r>
      <w:r w:rsidR="00EA0F0E" w:rsidRPr="00FA45AB">
        <w:rPr>
          <w:lang w:val="fr-CH"/>
        </w:rPr>
        <w:t>B.</w:t>
      </w:r>
      <w:r w:rsidR="00EA0F0E" w:rsidRPr="00FA45AB">
        <w:rPr>
          <w:lang w:val="fr-CH"/>
        </w:rPr>
        <w:tab/>
        <w:t>Responsabilités individuelles</w:t>
      </w:r>
    </w:p>
    <w:p w14:paraId="53EE2B81" w14:textId="03F2018C" w:rsidR="00EA0F0E" w:rsidRPr="00EA0F0E" w:rsidRDefault="00EA0F0E" w:rsidP="00EA0F0E">
      <w:pPr>
        <w:pStyle w:val="SingleTxtG"/>
      </w:pPr>
      <w:r w:rsidRPr="00EA0F0E">
        <w:t>289.</w:t>
      </w:r>
      <w:r w:rsidRPr="00EA0F0E">
        <w:tab/>
        <w:t>Les éléments d’information recueillis par la Commission au cours du présent terme de mandat indiquent que les principaux auteurs présumés des crimes contre l’humanité commis dans ce contexte sont des agents du SNR, de la police, notamment de</w:t>
      </w:r>
      <w:r w:rsidR="007E6054">
        <w:t xml:space="preserve"> ses</w:t>
      </w:r>
      <w:r w:rsidRPr="00EA0F0E">
        <w:t xml:space="preserve"> unités spécialisées telles que le GMIR, d</w:t>
      </w:r>
      <w:r w:rsidR="007E6054">
        <w:t>es membres du</w:t>
      </w:r>
      <w:r w:rsidRPr="00EA0F0E">
        <w:t xml:space="preserve"> personnel judiciaire ainsi que des Imbonerakure. </w:t>
      </w:r>
    </w:p>
    <w:p w14:paraId="7307CDED" w14:textId="77777777" w:rsidR="00EA0F0E" w:rsidRPr="00EA0F0E" w:rsidRDefault="00EA0F0E" w:rsidP="00EA0F0E">
      <w:pPr>
        <w:pStyle w:val="SingleTxtG"/>
      </w:pPr>
      <w:r w:rsidRPr="00EA0F0E">
        <w:t>290.</w:t>
      </w:r>
      <w:r w:rsidRPr="00EA0F0E">
        <w:tab/>
        <w:t>La Commission a établi une liste des auteurs individuels présumés depuis le premier terme de son mandat qui a été régulièrement mise à jour</w:t>
      </w:r>
      <w:r w:rsidRPr="00B9542A">
        <w:rPr>
          <w:rStyle w:val="FootnoteReference"/>
        </w:rPr>
        <w:footnoteReference w:id="445"/>
      </w:r>
      <w:r w:rsidRPr="00EA0F0E">
        <w:t>. Cette liste reste confidentielle afin de protéger les sources et respecter la présomption d’innocence des auteurs présumés. À la fin de son mandat, la Commission remettra cette liste au Haut-Commissaire des Nations Unies aux droits de l’homme. En attendant, la Commission se réserve la possibilité de la partager quand elle le considère nécessaire ou utile.</w:t>
      </w:r>
    </w:p>
    <w:p w14:paraId="31F230F3" w14:textId="67CB555D" w:rsidR="00EA0F0E" w:rsidRPr="00EA0F0E" w:rsidRDefault="00EA0F0E" w:rsidP="00EA0F0E">
      <w:pPr>
        <w:pStyle w:val="SingleTxtG"/>
      </w:pPr>
      <w:r w:rsidRPr="00EA0F0E">
        <w:t>291.</w:t>
      </w:r>
      <w:r w:rsidRPr="00EA0F0E">
        <w:tab/>
        <w:t>Dans sa liste d’auteurs, la Commission fait la distinction entre les responsabilités directes et celles indirectes des chefs militaires et des supérieurs hiérarchiques, y compris civils</w:t>
      </w:r>
      <w:r w:rsidRPr="00B9542A">
        <w:rPr>
          <w:rStyle w:val="FootnoteReference"/>
        </w:rPr>
        <w:footnoteReference w:id="446"/>
      </w:r>
      <w:r w:rsidRPr="00EA0F0E">
        <w:t>. À cet égard, la Commission rappelle qu’en vertu de la Constitution de 2018 qui a détaché le SNR des forces de défense et de sécurité pour le rattacher directement au Président de la République, celui-ci peut voir sa responsabilité pénale personnelle engagée pour les crimes contre l’humanité commis par des agents du SNR, en tant que supérieur hiérarchique qui « ordonne, sollicite ou encourage » la commission d’un crime contre l’humanité</w:t>
      </w:r>
      <w:r w:rsidRPr="00B9542A">
        <w:rPr>
          <w:rStyle w:val="FootnoteReference"/>
        </w:rPr>
        <w:footnoteReference w:id="447"/>
      </w:r>
      <w:r w:rsidRPr="00EA0F0E">
        <w:t xml:space="preserve"> ou s’il reste inactif face aux agissements criminels d’un subordonné placé sous son autorité et son contrôle effectifs</w:t>
      </w:r>
      <w:r w:rsidRPr="00B9542A">
        <w:rPr>
          <w:rStyle w:val="FootnoteReference"/>
        </w:rPr>
        <w:footnoteReference w:id="448"/>
      </w:r>
      <w:r w:rsidRPr="00EA0F0E">
        <w:t>.</w:t>
      </w:r>
    </w:p>
    <w:p w14:paraId="051B76A9" w14:textId="77777777" w:rsidR="00EA0F0E" w:rsidRDefault="00EA0F0E" w:rsidP="00EA0F0E">
      <w:pPr>
        <w:pStyle w:val="SingleTxtG"/>
      </w:pPr>
      <w:r w:rsidRPr="00EA0F0E">
        <w:t>292.</w:t>
      </w:r>
      <w:r w:rsidRPr="00EA0F0E">
        <w:tab/>
        <w:t>Finalement, dans certaines provinces, des membres de la ligue des jeunes du parti CNDD-FDD, les Imbonerakure, ont continué d’avoir un rôle central dans la traque des responsables présumés d’incidents de sécurité, agissant en coopération avec le SNR et la police ou parfois seuls. Les appareils sécuritaires formels et informels restent imbriqués et les institutions étatiques et celles du parti CNDD-FDD tendent encore à se confondre surtout quand la situation sécuritaire devient tendue ou volatile. Les exactions commises dans ce contexte par des Imbonerakure sont donc non seulement imputables à l’État burundais lorsqu’elles sont constitutives de violations des droits de l’homme, mais elles pourraient être constitutives de crimes contre l’humanité dont les Imbonerakure peuvent être tenus pénalement responsables de manière individuelle s’il est démontré que ces actes s’inscrivent dans une politique d’État consistant à persécuter l’opposition politique, y compris à la faveur de la traque des auteurs d’incidents de sécurité</w:t>
      </w:r>
      <w:r>
        <w:t>.</w:t>
      </w:r>
    </w:p>
    <w:p w14:paraId="09A3E2ED" w14:textId="77777777" w:rsidR="00445D7B" w:rsidRPr="00445D7B" w:rsidRDefault="00445D7B" w:rsidP="00E44FBF">
      <w:pPr>
        <w:pStyle w:val="HChG"/>
      </w:pPr>
      <w:r>
        <w:tab/>
      </w:r>
      <w:r w:rsidRPr="00445D7B">
        <w:t>IV.</w:t>
      </w:r>
      <w:r>
        <w:tab/>
      </w:r>
      <w:r w:rsidRPr="00E44FBF">
        <w:t>Facteurs</w:t>
      </w:r>
      <w:r w:rsidRPr="00445D7B">
        <w:t xml:space="preserve"> de risque</w:t>
      </w:r>
    </w:p>
    <w:p w14:paraId="6F45540B" w14:textId="77777777" w:rsidR="00445D7B" w:rsidRPr="00FA45AB" w:rsidRDefault="00445D7B" w:rsidP="00E44FBF">
      <w:pPr>
        <w:pStyle w:val="H1G"/>
        <w:rPr>
          <w:lang w:val="fr-CH"/>
        </w:rPr>
      </w:pPr>
      <w:r w:rsidRPr="00FA45AB">
        <w:rPr>
          <w:lang w:val="fr-CH"/>
        </w:rPr>
        <w:tab/>
        <w:t>A.</w:t>
      </w:r>
      <w:r w:rsidRPr="00FA45AB">
        <w:rPr>
          <w:lang w:val="fr-CH"/>
        </w:rPr>
        <w:tab/>
        <w:t>Aperçu</w:t>
      </w:r>
    </w:p>
    <w:p w14:paraId="51B621CE" w14:textId="77777777" w:rsidR="00445D7B" w:rsidRPr="00445D7B" w:rsidRDefault="00445D7B" w:rsidP="00E44FBF">
      <w:pPr>
        <w:pStyle w:val="H23G"/>
      </w:pPr>
      <w:r>
        <w:tab/>
      </w:r>
      <w:r w:rsidRPr="00445D7B">
        <w:t>1.</w:t>
      </w:r>
      <w:r>
        <w:tab/>
      </w:r>
      <w:r w:rsidRPr="00445D7B">
        <w:t>Cadre d’analyse des facteurs de risque d’atrocités criminelles</w:t>
      </w:r>
    </w:p>
    <w:p w14:paraId="533BC6C2" w14:textId="77777777" w:rsidR="00445D7B" w:rsidRPr="00445D7B" w:rsidRDefault="00445D7B" w:rsidP="00445D7B">
      <w:pPr>
        <w:pStyle w:val="SingleTxtG"/>
        <w:rPr>
          <w:lang w:val="fr-FR"/>
        </w:rPr>
      </w:pPr>
      <w:r w:rsidRPr="00445D7B">
        <w:rPr>
          <w:lang w:val="fr-FR"/>
        </w:rPr>
        <w:t>293.</w:t>
      </w:r>
      <w:r w:rsidRPr="00445D7B">
        <w:rPr>
          <w:lang w:val="fr-FR"/>
        </w:rPr>
        <w:tab/>
        <w:t>Depuis 2019, la Commission procède de manière systématique à une analyse des facteurs de risque de détérioration de la situation des droits de l’homme au Burundi. Pour ce faire, elle se base sur les indicateurs retenus pour les huit facteurs de risque communs identifiés dans le Cadre d’analyse des atrocités criminelles, qui a été élaboré par le Bureau des Nations Unies du Conseiller spécial pour la prévention du génocide et du Conseiller spécial pour la responsabilité de protéger</w:t>
      </w:r>
      <w:r w:rsidRPr="002B28EE">
        <w:rPr>
          <w:rStyle w:val="FootnoteReference"/>
        </w:rPr>
        <w:footnoteReference w:id="449"/>
      </w:r>
      <w:r w:rsidRPr="00445D7B">
        <w:rPr>
          <w:lang w:val="fr-FR"/>
        </w:rPr>
        <w:t>. Ce Cadre d’analyse « résulte de recherches approfondies sur les législations, la jurisprudence des juridictions internationales et la doctrine, et des connaissances spécialisées acquises par les bureaux du Conseiller spécial pour la prévention du génocide et du Conseiller spécial pour la responsabilité de protéger »</w:t>
      </w:r>
      <w:r w:rsidRPr="002B28EE">
        <w:rPr>
          <w:rStyle w:val="FootnoteReference"/>
        </w:rPr>
        <w:footnoteReference w:id="450"/>
      </w:r>
      <w:r w:rsidRPr="00445D7B">
        <w:rPr>
          <w:lang w:val="fr-FR"/>
        </w:rPr>
        <w:t>. La Commission a considéré que le Cadre d’analyse était l’outil méthodologique le plus complet et pertinent pour sa démarche qui s’inscrit dans la logique d’alerte rapide et de prévention. Une telle analyse permet de suivre objectivement l’évolution de la situation au Burundi, et si besoin, d’alerter les autorités burundaises, la communauté internationale et les autres acteurs pertinents sur une possible détérioration de la situation des droits de l’homme.</w:t>
      </w:r>
    </w:p>
    <w:p w14:paraId="65D55E35" w14:textId="77777777" w:rsidR="00445D7B" w:rsidRPr="00445D7B" w:rsidRDefault="00445D7B" w:rsidP="00445D7B">
      <w:pPr>
        <w:pStyle w:val="SingleTxtG"/>
        <w:rPr>
          <w:lang w:val="fr-FR"/>
        </w:rPr>
      </w:pPr>
      <w:r w:rsidRPr="00445D7B">
        <w:t>294.</w:t>
      </w:r>
      <w:r w:rsidRPr="00445D7B">
        <w:tab/>
        <w:t xml:space="preserve">Pour rappel, les facteurs de risque sont définis comme des conditions, telles que des comportements, des circonstances et des éléments, qui créent un environnement propice à la perpétration d’atrocités criminelles ou qui indiquent un potentiel, une probabilité et un risque de leur occurrence. </w:t>
      </w:r>
      <w:r w:rsidRPr="00445D7B">
        <w:rPr>
          <w:lang w:val="fr-FR"/>
        </w:rPr>
        <w:t>Certains de ces facteurs ont une dimension structurelle et d’autres sont conjoncturels, étant liés à des circonstances dynamiques ou des évènements. La Commission a constamment rappelé que constater l’existence de ces facteurs ne lui permettait pas pour autant de tirer des conclusions quant à la probabilité que des atrocités criminelles se produisent ni, le cas échéant, de déterminer à quel moment ou de quelle manière</w:t>
      </w:r>
      <w:r w:rsidRPr="002B28EE">
        <w:rPr>
          <w:rStyle w:val="FootnoteReference"/>
        </w:rPr>
        <w:footnoteReference w:id="451"/>
      </w:r>
      <w:r w:rsidRPr="00445D7B">
        <w:rPr>
          <w:lang w:val="fr-FR"/>
        </w:rPr>
        <w:t>.</w:t>
      </w:r>
    </w:p>
    <w:p w14:paraId="28B7C8D6" w14:textId="65A2DCB6" w:rsidR="00445D7B" w:rsidRPr="00445D7B" w:rsidRDefault="00445D7B" w:rsidP="00445D7B">
      <w:pPr>
        <w:pStyle w:val="SingleTxtG"/>
        <w:rPr>
          <w:lang w:val="fr-FR"/>
        </w:rPr>
      </w:pPr>
      <w:r w:rsidRPr="00445D7B">
        <w:rPr>
          <w:lang w:val="fr-FR"/>
        </w:rPr>
        <w:t>295.</w:t>
      </w:r>
      <w:r w:rsidRPr="00445D7B">
        <w:rPr>
          <w:lang w:val="fr-FR"/>
        </w:rPr>
        <w:tab/>
        <w:t>À la veille des élections de 2020, la Commission avait constaté que les huit facteurs de risque communs aux atrocités criminelles étaient bien présents au Burundi, avec un nombre significatif d’indicateurs pour chacun d’entre eux. Certains s’étaient d’ailleurs renforcés au fur et à mesure de l’approche des élections de mai 2020</w:t>
      </w:r>
      <w:r w:rsidRPr="002B28EE">
        <w:rPr>
          <w:rStyle w:val="FootnoteReference"/>
        </w:rPr>
        <w:footnoteReference w:id="452"/>
      </w:r>
      <w:r w:rsidRPr="00445D7B">
        <w:rPr>
          <w:lang w:val="fr-FR"/>
        </w:rPr>
        <w:t>, comme le démontrait le nombre élevé d’indicateurs pour plusieurs facteurs. À l’issue des élections, certains facteurs de risque s’étaient atténués, notamment ceux ayant une dimension conjoncturelle, même si aucun n’avait entièrement disparu. Les facteurs avec une dimension structurelle demeuraient tous plus ou moins tels quels, compte tenu de l’absence de mesures de réforme en profondeur entreprises par les autorités burundaises. Pour rappel, les indices statistiques établis par diverses organisations indépendantes démontrent la dégradation progressive et continue depuis 2015 de la situation en matière de libertés publiques, liberté de la presse, corruption, performance démocratique, développement humain, et gouvernance</w:t>
      </w:r>
      <w:r w:rsidRPr="002B28EE">
        <w:rPr>
          <w:rStyle w:val="FootnoteReference"/>
        </w:rPr>
        <w:footnoteReference w:id="453"/>
      </w:r>
      <w:r w:rsidR="002B28EE">
        <w:rPr>
          <w:lang w:val="fr-FR"/>
        </w:rPr>
        <w:t>.</w:t>
      </w:r>
    </w:p>
    <w:p w14:paraId="76C3A821" w14:textId="77777777" w:rsidR="00445D7B" w:rsidRPr="00445D7B" w:rsidRDefault="00445D7B" w:rsidP="002C5CB4">
      <w:pPr>
        <w:pStyle w:val="H23G"/>
      </w:pPr>
      <w:r>
        <w:tab/>
      </w:r>
      <w:r w:rsidRPr="00445D7B">
        <w:t>2.</w:t>
      </w:r>
      <w:r>
        <w:tab/>
      </w:r>
      <w:r w:rsidRPr="00445D7B">
        <w:t>Développements notables pour l’analyse des facteurs de risque</w:t>
      </w:r>
    </w:p>
    <w:p w14:paraId="4B15DE8B" w14:textId="77777777" w:rsidR="00445D7B" w:rsidRPr="00445D7B" w:rsidRDefault="00445D7B" w:rsidP="00445D7B">
      <w:pPr>
        <w:pStyle w:val="SingleTxtG"/>
      </w:pPr>
      <w:r w:rsidRPr="00445D7B">
        <w:t>296.</w:t>
      </w:r>
      <w:r w:rsidRPr="00445D7B">
        <w:tab/>
        <w:t>Au-delà des développements mentionnés dans la partie sur la situation des droits de l’homme, certains évènements ou incidents qui ont eu lieu depuis les élections de 2020 et l’investiture du Président Ndayishimiye sont à relever car ils sont particulièrement significatifs dans le cadre de l’analyse sur les facteurs de risque, certains démontrant la persistance de plusieurs indicateurs ou au contraire leur atténuation.</w:t>
      </w:r>
    </w:p>
    <w:p w14:paraId="21075995" w14:textId="77777777" w:rsidR="00445D7B" w:rsidRPr="002C5CB4" w:rsidRDefault="00445D7B" w:rsidP="002C5CB4">
      <w:pPr>
        <w:pStyle w:val="H4G"/>
        <w:rPr>
          <w:b/>
          <w:i w:val="0"/>
          <w:lang w:val="fr-FR"/>
        </w:rPr>
      </w:pPr>
      <w:r w:rsidRPr="002C5CB4">
        <w:rPr>
          <w:b/>
          <w:i w:val="0"/>
          <w:lang w:val="fr-FR"/>
        </w:rPr>
        <w:tab/>
        <w:t>a)</w:t>
      </w:r>
      <w:r w:rsidRPr="002C5CB4">
        <w:rPr>
          <w:b/>
          <w:i w:val="0"/>
          <w:lang w:val="fr-FR"/>
        </w:rPr>
        <w:tab/>
        <w:t>L’héritage du feu Président Nkurunziza en matière de droits de l’homme</w:t>
      </w:r>
    </w:p>
    <w:p w14:paraId="32046FDD" w14:textId="33232E30" w:rsidR="00445D7B" w:rsidRPr="00445D7B" w:rsidRDefault="00445D7B" w:rsidP="00445D7B">
      <w:pPr>
        <w:pStyle w:val="SingleTxtG"/>
      </w:pPr>
      <w:r w:rsidRPr="00445D7B">
        <w:rPr>
          <w:lang w:val="fr-FR"/>
        </w:rPr>
        <w:t>297.</w:t>
      </w:r>
      <w:r w:rsidRPr="00445D7B">
        <w:rPr>
          <w:lang w:val="fr-FR"/>
        </w:rPr>
        <w:tab/>
        <w:t xml:space="preserve">Le Président Ndayishimiye revendique pleinement l’héritage du Président Nkurunziza auquel il a confirmé l’octroi, malgré son décès, du statut de « Guide suprême du patriotisme ». </w:t>
      </w:r>
      <w:r w:rsidRPr="00445D7B">
        <w:t>Le 20 mai 2021, l’Assemblée nationale a en effet adopté le projet de loi n°1/14 du 4 juin 2021 portant modification la loi n°1/06 du 10 mars 2020 portant instauration et octroi du statut de Guide suprême du patriotisme au Burundi au Président Pierre Nkurunziza. La journée nationale du patriotisme instaurée par l</w:t>
      </w:r>
      <w:r w:rsidR="004A02E5">
        <w:t>a</w:t>
      </w:r>
      <w:r w:rsidRPr="00445D7B">
        <w:t xml:space="preserve"> loi n°1/06 doit désormais être célébrée le 8 juin de chaque année, date anniversaire du décès de Pierre Nkurunziza, au lieu du mois de juillet, et « comme le Guide suprême n’est plus en vie », c’est le Président de la République qui doit dés</w:t>
      </w:r>
      <w:r w:rsidR="008810C8">
        <w:t>ormais présider cette journée.</w:t>
      </w:r>
    </w:p>
    <w:p w14:paraId="6F4436BE" w14:textId="77777777" w:rsidR="00445D7B" w:rsidRPr="00445D7B" w:rsidRDefault="00445D7B" w:rsidP="00445D7B">
      <w:pPr>
        <w:pStyle w:val="SingleTxtG"/>
      </w:pPr>
      <w:r w:rsidRPr="00445D7B">
        <w:t>298.</w:t>
      </w:r>
      <w:r w:rsidRPr="00445D7B">
        <w:tab/>
        <w:t>Le Président Ndayishimiye a multiplié les éloges publics de son prédécesseur, comme par exemple lors de sa levée de de</w:t>
      </w:r>
      <w:r w:rsidR="008810C8">
        <w:t>uil définitive le 8 juin 2021 :</w:t>
      </w:r>
    </w:p>
    <w:p w14:paraId="26F4FF7A" w14:textId="77777777" w:rsidR="008810C8" w:rsidRDefault="00445D7B" w:rsidP="008810C8">
      <w:pPr>
        <w:pStyle w:val="SingleTxtG"/>
        <w:ind w:left="1701"/>
        <w:rPr>
          <w:lang w:val="fr-FR"/>
        </w:rPr>
      </w:pPr>
      <w:r w:rsidRPr="00445D7B">
        <w:rPr>
          <w:lang w:val="fr-FR"/>
        </w:rPr>
        <w:t>« </w:t>
      </w:r>
      <w:r w:rsidRPr="00445D7B">
        <w:rPr>
          <w:i/>
          <w:lang w:val="fr-FR"/>
        </w:rPr>
        <w:t>Dieu nous avait donné Feu Son Excellence Pierre Nkurunziza comme un cadeau, une bénédiction et un Leader doté de dons extraordinaires que nous ne pouvons pas réussir à énumérer ici. […] Parler des œuvres de Feu Pierre Nkurunziza, le Guide suprême du patriotisme, prendrait des heures et des heures, car Dieu l’avait comblé de dons multiples. […] Les Burundais se souviendront toujours de Feu Pierre Nkurunziza comme celui qui a restauré la confiance entre l’autorité dirigeante et la population. Il s’est battu vaillamment pour que la démocratie ne régresse pas. […] Pour terminer, Moi en ma qualité d’Héritier, le Président de la République du Burundi, je réitère ma promesse envers les Burundais que je marcherai sur les traces du Guide Pierre Nkurunziza […]</w:t>
      </w:r>
      <w:r w:rsidRPr="00445D7B">
        <w:rPr>
          <w:lang w:val="fr-FR"/>
        </w:rPr>
        <w:t> »</w:t>
      </w:r>
      <w:r w:rsidRPr="008810C8">
        <w:rPr>
          <w:rStyle w:val="FootnoteReference"/>
        </w:rPr>
        <w:footnoteReference w:id="454"/>
      </w:r>
      <w:r w:rsidR="008810C8">
        <w:rPr>
          <w:lang w:val="fr-FR"/>
        </w:rPr>
        <w:t>.</w:t>
      </w:r>
    </w:p>
    <w:p w14:paraId="47843BD0" w14:textId="77777777" w:rsidR="00445D7B" w:rsidRPr="00445D7B" w:rsidRDefault="00445D7B" w:rsidP="008810C8">
      <w:pPr>
        <w:pStyle w:val="SingleTxtG"/>
      </w:pPr>
      <w:r w:rsidRPr="00445D7B">
        <w:t>299.</w:t>
      </w:r>
      <w:r w:rsidRPr="00445D7B">
        <w:tab/>
        <w:t>Il est donc somme toute logique qu’à l’instar de son prédécesseur, le Président Ndayishimiye refuse de coopérer pleinement avec les mécanismes internationaux des droits de l’homme et/ou de discuter des questions relatives aux violations des droits de l’homme commises au Burundi. Dans leurs comptes rendus des discussions avec l’Union européenne, le Président Ndayishimiye et le ministre des Affaires étrangères du Burundi réfèrent systématiquement à la crise politique de 2015 et aux violations des droits de l’homme commises depuis lors, comme des « malentendus », des « points de divergence », des « zones d’ombre »</w:t>
      </w:r>
      <w:r w:rsidRPr="008810C8">
        <w:rPr>
          <w:rStyle w:val="FootnoteReference"/>
        </w:rPr>
        <w:footnoteReference w:id="455"/>
      </w:r>
      <w:r w:rsidRPr="00445D7B">
        <w:t xml:space="preserve">, sur lesquels il conviendrait de simplement « tourner la page ». L’emploi de tels euphémismes vise à cacher la réalité des faits et atteste du refus du Président Ndayishimiye et des autorités burundaises d’entreprendre quelque mesure que ce soit pour lutter contre l’impunité en ce qui concerne ces violations alors qu’il s’agit d’une condition </w:t>
      </w:r>
      <w:r w:rsidRPr="00445D7B">
        <w:rPr>
          <w:i/>
        </w:rPr>
        <w:t>sine qua non</w:t>
      </w:r>
      <w:r w:rsidRPr="00445D7B">
        <w:t xml:space="preserve"> à toute véritable réconciliation et amélioration de la situation des </w:t>
      </w:r>
      <w:r w:rsidR="008810C8">
        <w:t>droits de l’homme dans le pays.</w:t>
      </w:r>
    </w:p>
    <w:p w14:paraId="50728B7C" w14:textId="77777777" w:rsidR="00445D7B" w:rsidRPr="00445D7B" w:rsidRDefault="00445D7B" w:rsidP="00445D7B">
      <w:pPr>
        <w:pStyle w:val="SingleTxtG"/>
      </w:pPr>
      <w:r w:rsidRPr="00445D7B">
        <w:t>300.</w:t>
      </w:r>
      <w:r w:rsidRPr="00445D7B">
        <w:tab/>
        <w:t>Par ailleurs, même pour les incidents les plus récents commis depuis son investiture, le Président Ndayishimiye et son Gouvernement maintiennent le narratif selon lequel toute mention de violation des droits de l’homme constituerait une attaque politiquement motivée afin « de ternir l’image du pays »</w:t>
      </w:r>
      <w:r w:rsidRPr="008810C8">
        <w:rPr>
          <w:rStyle w:val="FootnoteReference"/>
        </w:rPr>
        <w:footnoteReference w:id="456"/>
      </w:r>
      <w:r w:rsidRPr="00445D7B">
        <w:t xml:space="preserve"> et réfutent la réalité de ces violations. Par exemple, au sujet de nombreux cas de disparition forcée qui ont été commis depuis 2015, dont certains documentés en détail par la présente Commission, d’autres notifiés aux autorités burundaises par le Groupe de travail des Nations Unies sur les disparitions forcées et involontaires, diverses hautes autorités dont le Président Ndayishimiye et Sylvestre Nyandwi, le Procureur général de la République, ont simplement nié que ces personnes aient véritablement disparu et ils ont affirmé qu’elles seraient au Rwanda ou auraient rejoint les groupes armés d’opposition, sans justifier leurs propos ou donner des informations sur les éventuelles enquêtes qui auraient été ouvertes et auraient permis de justifier  de telles affirmations</w:t>
      </w:r>
      <w:r w:rsidRPr="00F83946">
        <w:rPr>
          <w:rStyle w:val="FootnoteReference"/>
        </w:rPr>
        <w:footnoteReference w:id="457"/>
      </w:r>
      <w:r w:rsidRPr="00445D7B">
        <w:t xml:space="preserve">. </w:t>
      </w:r>
    </w:p>
    <w:p w14:paraId="18F65ADA" w14:textId="77777777" w:rsidR="00445D7B" w:rsidRPr="00445D7B" w:rsidRDefault="00445D7B" w:rsidP="00445D7B">
      <w:pPr>
        <w:pStyle w:val="SingleTxtG"/>
        <w:rPr>
          <w:lang w:val="fr-FR"/>
        </w:rPr>
      </w:pPr>
      <w:r w:rsidRPr="00445D7B">
        <w:t>301.</w:t>
      </w:r>
      <w:r w:rsidRPr="00445D7B">
        <w:tab/>
        <w:t xml:space="preserve">Comme sous la présidence de Nkurunziza, </w:t>
      </w:r>
      <w:r w:rsidRPr="00445D7B">
        <w:rPr>
          <w:lang w:val="fr-FR"/>
        </w:rPr>
        <w:t>la religion et le politique demeurent étroitement liés, les références à une alliance entre Dieu et le Burundi sont fréquentes à tous les niveaux. Le Président Ndayishimiye, catholique pratiquant, organise régulièrement des prières d’action de grâce et des « séances de moralisation », il participe aux messes dominicales où il prend régulièrement la parole</w:t>
      </w:r>
      <w:r w:rsidRPr="00F83946">
        <w:rPr>
          <w:rStyle w:val="FootnoteReference"/>
        </w:rPr>
        <w:footnoteReference w:id="458"/>
      </w:r>
      <w:r w:rsidRPr="00445D7B">
        <w:rPr>
          <w:lang w:val="fr-FR"/>
        </w:rPr>
        <w:t>. Par ailleurs, Emmanuel Sinzohagera, le Président du Sénat, qui occupe lui aussi une grande place dans l’espace médiatique officiel, est également un « révérend pasteur » de l’Église méthodiste unie du Burundi dont il est en plus le représentant légal</w:t>
      </w:r>
      <w:r w:rsidRPr="00F83946">
        <w:rPr>
          <w:rStyle w:val="FootnoteReference"/>
        </w:rPr>
        <w:footnoteReference w:id="459"/>
      </w:r>
      <w:r w:rsidRPr="00445D7B">
        <w:rPr>
          <w:lang w:val="fr-FR"/>
        </w:rPr>
        <w:t>. La distinction entre ce qui relève du politique et du religieux et de la sphère privée s’est effacée. La religion continue donc d’être utilisée pour affermir l’autorité et la légitimité du Président Ndayishimiye, et plus largement, consolider le pouvoir du CNDD-FDD, avec toutes les dérives possibles que cela peut engendrer.</w:t>
      </w:r>
    </w:p>
    <w:p w14:paraId="79C841A0" w14:textId="77777777" w:rsidR="00445D7B" w:rsidRPr="002C5CB4" w:rsidRDefault="00F83946" w:rsidP="002C5CB4">
      <w:pPr>
        <w:pStyle w:val="H4G"/>
        <w:rPr>
          <w:b/>
          <w:i w:val="0"/>
          <w:lang w:val="fr-FR"/>
        </w:rPr>
      </w:pPr>
      <w:r>
        <w:rPr>
          <w:lang w:val="fr-FR"/>
        </w:rPr>
        <w:tab/>
      </w:r>
      <w:r w:rsidR="00445D7B" w:rsidRPr="002C5CB4">
        <w:rPr>
          <w:b/>
          <w:i w:val="0"/>
          <w:lang w:val="fr-FR"/>
        </w:rPr>
        <w:t>b)</w:t>
      </w:r>
      <w:r w:rsidRPr="002C5CB4">
        <w:rPr>
          <w:b/>
          <w:i w:val="0"/>
          <w:lang w:val="fr-FR"/>
        </w:rPr>
        <w:tab/>
      </w:r>
      <w:r w:rsidR="00445D7B" w:rsidRPr="002C5CB4">
        <w:rPr>
          <w:b/>
          <w:i w:val="0"/>
          <w:lang w:val="fr-FR"/>
        </w:rPr>
        <w:t>Le réengagement avec la communauté internationale</w:t>
      </w:r>
    </w:p>
    <w:p w14:paraId="128A9D2D" w14:textId="24DE553F" w:rsidR="00445D7B" w:rsidRPr="00445D7B" w:rsidRDefault="00445D7B" w:rsidP="00445D7B">
      <w:pPr>
        <w:pStyle w:val="SingleTxtG"/>
      </w:pPr>
      <w:r w:rsidRPr="00445D7B">
        <w:rPr>
          <w:lang w:val="fr-FR"/>
        </w:rPr>
        <w:t>302.</w:t>
      </w:r>
      <w:r w:rsidRPr="00445D7B">
        <w:rPr>
          <w:lang w:val="fr-FR"/>
        </w:rPr>
        <w:tab/>
        <w:t>Le Président Ndayishimiye n’a pas hésité, dans un domaine, à rompre avec son prédécesseur afin de tenter de normaliser les relations du Burundi avec la communauté internationale et réduire certaines tensions anciennes.</w:t>
      </w:r>
      <w:r w:rsidRPr="00445D7B">
        <w:t xml:space="preserve"> Alors que Pierre Nkurunziza n’avait pas quitté le Burundi au cours de son troisième mandat – à part quelques heures du côté tanzanien de la frontière commune avec le Burundi - le Président Ndayishimiye a multiplié les visites sur le continent africain : la Tanzanie, la Guinée </w:t>
      </w:r>
      <w:r w:rsidR="007D0302">
        <w:t>É</w:t>
      </w:r>
      <w:r w:rsidRPr="00445D7B">
        <w:t>quatoriale, l’</w:t>
      </w:r>
      <w:r w:rsidR="007D0302">
        <w:t>É</w:t>
      </w:r>
      <w:r w:rsidRPr="00445D7B">
        <w:t>gypte, l</w:t>
      </w:r>
      <w:r w:rsidR="009C6993">
        <w:t>a République du</w:t>
      </w:r>
      <w:r w:rsidRPr="00445D7B">
        <w:t xml:space="preserve"> Congo, l’Ouganda, le Kenya et la République démocratique du Congo – par ordre chronologique. Il a également reçu la visite officielle de la Présidente d’Ethiopie et de la Présidente de la République unie de Tanzanie et il a participé aux réunions de la Communauté d’Afrique de l’Est et de la Communauté économique d’Afrique centrale, auxquelles le Président Nkurunziza avait été largement absent</w:t>
      </w:r>
      <w:r w:rsidRPr="00F83946">
        <w:rPr>
          <w:rStyle w:val="FootnoteReference"/>
        </w:rPr>
        <w:footnoteReference w:id="460"/>
      </w:r>
      <w:r w:rsidRPr="00445D7B">
        <w:t>. Le ministre des Affaires étrangères a entrepris une tournée en Europe, qualifiée de « technique », puisqu’il n’a pas rencontré ses homologues, excepté celui de la Confédération helvétique</w:t>
      </w:r>
      <w:r w:rsidRPr="00F83946">
        <w:rPr>
          <w:rStyle w:val="FootnoteReference"/>
        </w:rPr>
        <w:footnoteReference w:id="461"/>
      </w:r>
      <w:r w:rsidR="00F83946">
        <w:t>.</w:t>
      </w:r>
    </w:p>
    <w:p w14:paraId="12DEA9F3" w14:textId="77777777" w:rsidR="00445D7B" w:rsidRPr="00445D7B" w:rsidRDefault="00445D7B" w:rsidP="00445D7B">
      <w:pPr>
        <w:pStyle w:val="SingleTxtG"/>
      </w:pPr>
      <w:r w:rsidRPr="00445D7B">
        <w:t>303.</w:t>
      </w:r>
      <w:r w:rsidRPr="00445D7B">
        <w:tab/>
        <w:t>Des relations de coopération ont été également renouées avec les pays de la région avec lesquels les rapports avaient parfois été tendus sous la Présidence de Nkurunziza, notamment le Rwanda. Des rencontres entre les ministres des Affaires étrangères des deux pays</w:t>
      </w:r>
      <w:r w:rsidRPr="00F83946">
        <w:rPr>
          <w:rStyle w:val="FootnoteReference"/>
        </w:rPr>
        <w:footnoteReference w:id="462"/>
      </w:r>
      <w:r w:rsidRPr="00445D7B">
        <w:t xml:space="preserve"> et même de leurs services de renseignement militaires</w:t>
      </w:r>
      <w:r w:rsidRPr="00F83946">
        <w:rPr>
          <w:rStyle w:val="FootnoteReference"/>
        </w:rPr>
        <w:footnoteReference w:id="463"/>
      </w:r>
      <w:r w:rsidRPr="00445D7B">
        <w:t xml:space="preserve"> ont été organisées depuis l’été 2020, ce qui a débouché le 30 juillet 2021 sur la remise aux autorités burundaises par le Rwanda de 19 rebelles burundais qui avaient été arrêtés sur le territoire rwandais en septembre 2020 et dont le sort demeure depuis incertain</w:t>
      </w:r>
      <w:r w:rsidRPr="00F83946">
        <w:rPr>
          <w:rStyle w:val="FootnoteReference"/>
        </w:rPr>
        <w:footnoteReference w:id="464"/>
      </w:r>
      <w:r w:rsidRPr="00445D7B">
        <w:t>. D’ailleurs, l’affrontement armé fortuit entre des militaires burundais et rwandais à la frontière des deux pays qui a eu lieu le 28 février 2021 a été réglé très rapidement entre les services de renseignement militaires, ce qui aurait été pratiquement inimaginable quelques mois auparavant</w:t>
      </w:r>
      <w:r w:rsidRPr="00F83946">
        <w:rPr>
          <w:rStyle w:val="FootnoteReference"/>
        </w:rPr>
        <w:footnoteReference w:id="465"/>
      </w:r>
      <w:r w:rsidRPr="00445D7B">
        <w:t>.</w:t>
      </w:r>
    </w:p>
    <w:p w14:paraId="09E6F9DB" w14:textId="77777777" w:rsidR="00445D7B" w:rsidRPr="00445D7B" w:rsidRDefault="00445D7B" w:rsidP="00445D7B">
      <w:pPr>
        <w:pStyle w:val="SingleTxtG"/>
        <w:rPr>
          <w:lang w:val="fr-FR"/>
        </w:rPr>
      </w:pPr>
      <w:r w:rsidRPr="00445D7B">
        <w:t>304.</w:t>
      </w:r>
      <w:r w:rsidRPr="00445D7B">
        <w:tab/>
        <w:t xml:space="preserve">La reprise du dialogue avec </w:t>
      </w:r>
      <w:r w:rsidRPr="00445D7B">
        <w:rPr>
          <w:lang w:val="fr-FR"/>
        </w:rPr>
        <w:t>l’Union européenne et ses membres afin de normaliser leurs relations</w:t>
      </w:r>
      <w:r w:rsidRPr="00F83946">
        <w:rPr>
          <w:rStyle w:val="FootnoteReference"/>
        </w:rPr>
        <w:footnoteReference w:id="466"/>
      </w:r>
      <w:r w:rsidRPr="00445D7B">
        <w:t xml:space="preserve"> marque elle aussi une rupture au niveau des relations internationales </w:t>
      </w:r>
      <w:r w:rsidRPr="00445D7B">
        <w:rPr>
          <w:lang w:val="fr-FR"/>
        </w:rPr>
        <w:t>du Burundi, qui s’explique par l’objectif rappelé régulièrement par les autorités burundaises d’obtenir la levée de toutes les sanctions économiques qui pèsent sur le pays depuis 2016. La plupart des gestes symboliques posés par le Président Ndayishimiye depuis son investiture s’inscrivent dans ce cadre et cette stratégie. Il reste à voir ce qu’il adviendra de cette attitude des autorités burundaises envers l’UE et ses membres une fois que leur objectif aura été atteint ou si au contraire celui-ci n’était pas atteint ou que le processus pour lever les sanctions prenait trop de temps.</w:t>
      </w:r>
    </w:p>
    <w:p w14:paraId="51920546" w14:textId="77777777" w:rsidR="00445D7B" w:rsidRPr="002C5CB4" w:rsidRDefault="00F83946" w:rsidP="002C5CB4">
      <w:pPr>
        <w:pStyle w:val="H4G"/>
        <w:rPr>
          <w:b/>
          <w:i w:val="0"/>
          <w:lang w:val="fr-FR"/>
        </w:rPr>
      </w:pPr>
      <w:r w:rsidRPr="002C5CB4">
        <w:rPr>
          <w:b/>
          <w:i w:val="0"/>
          <w:lang w:val="fr-FR"/>
        </w:rPr>
        <w:tab/>
      </w:r>
      <w:r w:rsidR="00445D7B" w:rsidRPr="002C5CB4">
        <w:rPr>
          <w:b/>
          <w:i w:val="0"/>
          <w:lang w:val="fr-FR"/>
        </w:rPr>
        <w:t>c)</w:t>
      </w:r>
      <w:r w:rsidRPr="002C5CB4">
        <w:rPr>
          <w:b/>
          <w:i w:val="0"/>
          <w:lang w:val="fr-FR"/>
        </w:rPr>
        <w:tab/>
      </w:r>
      <w:r w:rsidR="002C5CB4">
        <w:rPr>
          <w:b/>
          <w:i w:val="0"/>
          <w:lang w:val="fr-FR"/>
        </w:rPr>
        <w:t>La concentration des pouvoirs</w:t>
      </w:r>
    </w:p>
    <w:p w14:paraId="69E13501" w14:textId="77777777" w:rsidR="00445D7B" w:rsidRPr="00445D7B" w:rsidRDefault="00445D7B" w:rsidP="00445D7B">
      <w:pPr>
        <w:pStyle w:val="SingleTxtG"/>
        <w:rPr>
          <w:lang w:val="fr-FR"/>
        </w:rPr>
      </w:pPr>
      <w:r w:rsidRPr="00445D7B">
        <w:rPr>
          <w:lang w:val="fr-FR"/>
        </w:rPr>
        <w:t>305.</w:t>
      </w:r>
      <w:r w:rsidRPr="00445D7B">
        <w:rPr>
          <w:lang w:val="fr-FR"/>
        </w:rPr>
        <w:tab/>
        <w:t>La démocratie consociative</w:t>
      </w:r>
      <w:r w:rsidRPr="00F83946">
        <w:rPr>
          <w:rStyle w:val="FootnoteReference"/>
        </w:rPr>
        <w:footnoteReference w:id="467"/>
      </w:r>
      <w:r w:rsidRPr="00445D7B">
        <w:rPr>
          <w:lang w:val="fr-FR"/>
        </w:rPr>
        <w:t xml:space="preserve"> instaurée par l’Accord d’Arusha prévoyait une participation de l’opposition politique au pouvoir et les gouvernements successifs du Président Nkurunziza comprenaient effectivement quelques ministres issus de l’opposition tout comme les bureaux de l’Assemblée nationale et du Sénat. Cependant, les institutions politiques actuelles, du niveau central au niveau local, sont entièrement contrôlées par le CNDD-FDD. Seul le Vice-Président, Prosper Mazombaza</w:t>
      </w:r>
      <w:r w:rsidRPr="00F83946">
        <w:rPr>
          <w:rStyle w:val="FootnoteReference"/>
        </w:rPr>
        <w:footnoteReference w:id="468"/>
      </w:r>
      <w:r w:rsidRPr="00445D7B">
        <w:rPr>
          <w:lang w:val="fr-FR"/>
        </w:rPr>
        <w:t>, qui a un rôle éminemment honorifique, est issu du parti d’opposition UPRONA, tout comme le deuxième vice-président de l’Assemblée nationale, Abel Gashatsi, alors que ce parti est loin d’être un parti d’opposition significatif. Le CNL qui a obtenu le plus grand nombre de voix et de députés après le CNDD-FDD</w:t>
      </w:r>
      <w:r w:rsidRPr="007936F4">
        <w:rPr>
          <w:rStyle w:val="FootnoteReference"/>
        </w:rPr>
        <w:footnoteReference w:id="469"/>
      </w:r>
      <w:r w:rsidRPr="00445D7B">
        <w:rPr>
          <w:lang w:val="fr-FR"/>
        </w:rPr>
        <w:t xml:space="preserve"> a été totalement écarté de ces postes</w:t>
      </w:r>
      <w:r w:rsidRPr="007936F4">
        <w:rPr>
          <w:rStyle w:val="FootnoteReference"/>
        </w:rPr>
        <w:footnoteReference w:id="470"/>
      </w:r>
      <w:r w:rsidRPr="00445D7B">
        <w:rPr>
          <w:lang w:val="fr-FR"/>
        </w:rPr>
        <w:t>. Le Bureau du Sénat pour la première fois est composé uniquement de membres du CNDD-FDD</w:t>
      </w:r>
      <w:r w:rsidRPr="007936F4">
        <w:rPr>
          <w:rStyle w:val="FootnoteReference"/>
        </w:rPr>
        <w:footnoteReference w:id="471"/>
      </w:r>
      <w:r w:rsidRPr="00445D7B">
        <w:rPr>
          <w:lang w:val="fr-FR"/>
        </w:rPr>
        <w:t xml:space="preserve">. Les responsables administratifs locaux à tous les niveaux seraient également quasi exclusivement des membres du CNDD-FDD. </w:t>
      </w:r>
      <w:r w:rsidRPr="00445D7B">
        <w:t>La concentration du pouvoir au profit du CNDD-FDD est inégalée dans l’histoire récente du Burundi</w:t>
      </w:r>
      <w:r w:rsidRPr="007936F4">
        <w:rPr>
          <w:rStyle w:val="FootnoteReference"/>
        </w:rPr>
        <w:footnoteReference w:id="472"/>
      </w:r>
      <w:r w:rsidRPr="00445D7B">
        <w:t xml:space="preserve"> et </w:t>
      </w:r>
      <w:r w:rsidRPr="00445D7B">
        <w:rPr>
          <w:lang w:val="fr-FR"/>
        </w:rPr>
        <w:t>s’inscrit dans un espace politique et démocratique verrouillé sans véritables contre-pouvoirs. Le Parlement contrôlé par le CNDD-FDD entérine les projets de loi à la quasi-unanimité et ne constitue pas un espace de discussion ou un outil de contrôle de l’Exécutif</w:t>
      </w:r>
      <w:r w:rsidR="007936F4">
        <w:rPr>
          <w:lang w:val="fr-FR"/>
        </w:rPr>
        <w:t>.</w:t>
      </w:r>
    </w:p>
    <w:p w14:paraId="6FEC4624" w14:textId="77777777" w:rsidR="00445D7B" w:rsidRPr="00445D7B" w:rsidRDefault="00445D7B" w:rsidP="00445D7B">
      <w:pPr>
        <w:pStyle w:val="SingleTxtG"/>
      </w:pPr>
      <w:r w:rsidRPr="00445D7B">
        <w:rPr>
          <w:lang w:val="fr-FR"/>
        </w:rPr>
        <w:t>306.</w:t>
      </w:r>
      <w:r w:rsidRPr="00445D7B">
        <w:rPr>
          <w:lang w:val="fr-FR"/>
        </w:rPr>
        <w:tab/>
        <w:t>Cet état des choses</w:t>
      </w:r>
      <w:r w:rsidRPr="00445D7B">
        <w:t xml:space="preserve"> conjugué aux entorses constatées aux principes de légalité, de séparation des pouvoirs et à l’érosion continue de l’État de droit, permet de se demander légitimement si le Burundi ne devrait pas être qualifié de régime à tendance autoritaire</w:t>
      </w:r>
      <w:r w:rsidRPr="007936F4">
        <w:rPr>
          <w:rStyle w:val="FootnoteReference"/>
        </w:rPr>
        <w:footnoteReference w:id="473"/>
      </w:r>
      <w:r w:rsidRPr="00445D7B">
        <w:t>. En effet, « l’organisation d’élections régulières par des pouvoirs qui entretiennent un système politique déséquilibré en leur faveur ne peut suffire à définir une démocratie »</w:t>
      </w:r>
      <w:r w:rsidRPr="007936F4">
        <w:rPr>
          <w:rStyle w:val="FootnoteReference"/>
        </w:rPr>
        <w:footnoteReference w:id="474"/>
      </w:r>
      <w:r w:rsidRPr="00445D7B">
        <w:t>, dont une vision réductrice focalisée sur la tenue d’élections suffisamment crédibles « néglige les aspects fondamentaux que sont l’environnement institutionnel (neutralité politique des institutions, État de droit réel et non pas seulement théorique, etc.. ) et, plus généralement, la situation du marché politique (comportements et structures politiques, inclusivité de la citoyenneté, offre politique réelle, rappor</w:t>
      </w:r>
      <w:r w:rsidR="007936F4">
        <w:t>ts de force politiques, etc.) »</w:t>
      </w:r>
      <w:r w:rsidRPr="007936F4">
        <w:rPr>
          <w:rStyle w:val="FootnoteReference"/>
        </w:rPr>
        <w:footnoteReference w:id="475"/>
      </w:r>
      <w:r w:rsidR="007936F4">
        <w:t>.</w:t>
      </w:r>
    </w:p>
    <w:p w14:paraId="28215A5E" w14:textId="00C3DB2E" w:rsidR="00445D7B" w:rsidRPr="00445D7B" w:rsidRDefault="00445D7B" w:rsidP="00445D7B">
      <w:pPr>
        <w:pStyle w:val="SingleTxtG"/>
      </w:pPr>
      <w:r w:rsidRPr="00445D7B">
        <w:t>307.</w:t>
      </w:r>
      <w:r w:rsidRPr="00445D7B">
        <w:tab/>
        <w:t>En fait, l</w:t>
      </w:r>
      <w:r w:rsidRPr="00445D7B">
        <w:rPr>
          <w:lang w:val="fr-FR"/>
        </w:rPr>
        <w:t>e seul espace où des discussions et des différends sont possibles est au sein du parti CNDD-FDD. Des tensions semblent émerger entre une aile qui comprend Alain-Guillaume Bunyoni, l’actuel Premier ministre, et Révérien Ndikuriyo</w:t>
      </w:r>
      <w:r w:rsidRPr="007936F4">
        <w:rPr>
          <w:rStyle w:val="FootnoteReference"/>
        </w:rPr>
        <w:footnoteReference w:id="476"/>
      </w:r>
      <w:r w:rsidRPr="00445D7B">
        <w:rPr>
          <w:lang w:val="fr-FR"/>
        </w:rPr>
        <w:t>, le nouveau secrétaire-général du parti élu le 24 janvier 2021, et l’aile du Président Ndayishimiye. Elles pourraient d’ailleurs expliquer certaines incohérences et revirements du Président et le fait que certaines de ses décisions ne soient pas mises en œuvre, mais également les raisons pour lesquelles le Président Ndayishimiye a cherché à consolider ses pouvoirs au sein du Gouvernement, notamment en réorganisant et en renforçant les services de la Présidence.</w:t>
      </w:r>
      <w:r w:rsidRPr="00445D7B">
        <w:t xml:space="preserve"> Désormais, ce sont en effet  huit administrations spécialisées qui sont placées sous le contrôle direct du Président : la Banque de la République du Burundi, le SNR, le Secrétariat permanent du Conseil national de sécurité (CNS), le Secrétariat permanent du Conseil supérieur de la magistrature, qui est désormais chargé de revoir et « corriger » les décisions de justice</w:t>
      </w:r>
      <w:r w:rsidRPr="007936F4">
        <w:rPr>
          <w:rStyle w:val="FootnoteReference"/>
        </w:rPr>
        <w:footnoteReference w:id="477"/>
      </w:r>
      <w:r w:rsidRPr="00445D7B">
        <w:t>, l’Inspection générale de l’État (IGE), l’Agence de promotion des investissements, l’Agence de régulation et de contrôle des télécommunications (ARCT), ainsi que le Burundi Backbone System (BBS). Ce dernier est « un consortium d'opérateurs de télécommunications burundais qui ont uni leurs forces pour construire un réseau national de fibre optique avec l'aide de la Banque mondiale. La société a été lancée en mars 2013</w:t>
      </w:r>
      <w:r w:rsidRPr="00445D7B">
        <w:rPr>
          <w:b/>
        </w:rPr>
        <w:t> </w:t>
      </w:r>
      <w:r w:rsidRPr="00445D7B">
        <w:t>». Le BBS est également un « opérateur d’infrastructures spécialisé dans la conception, la construction, l’exploitation technique et la commercialisation de réseaux très haut débit. Partenaire des institutions gouvernementales dans le cadre du réseau ‘Communication Gouvernementale’ (COMGOV), des universités, des Banques, BBS exploite des réseaux ouverts à tous les opérateurs de services et destinés aux services publics</w:t>
      </w:r>
      <w:r w:rsidR="004A78EE">
        <w:t>, entreprises et particuliers »</w:t>
      </w:r>
      <w:r w:rsidRPr="004A78EE">
        <w:rPr>
          <w:rStyle w:val="FootnoteReference"/>
        </w:rPr>
        <w:footnoteReference w:id="478"/>
      </w:r>
      <w:r w:rsidR="004A78EE">
        <w:t>.</w:t>
      </w:r>
    </w:p>
    <w:p w14:paraId="7E07F600" w14:textId="77777777" w:rsidR="00445D7B" w:rsidRPr="00445D7B" w:rsidRDefault="00445D7B" w:rsidP="00445D7B">
      <w:pPr>
        <w:pStyle w:val="SingleTxtG"/>
        <w:rPr>
          <w:lang w:val="fr-FR"/>
        </w:rPr>
      </w:pPr>
      <w:r w:rsidRPr="00445D7B">
        <w:rPr>
          <w:lang w:val="fr-FR"/>
        </w:rPr>
        <w:t>308.</w:t>
      </w:r>
      <w:r w:rsidRPr="00445D7B">
        <w:rPr>
          <w:lang w:val="fr-FR"/>
        </w:rPr>
        <w:tab/>
        <w:t>Par ailleurs, la différence de couverture médiatique officielle entre les représentants des deux « camps » est assez surprenante et pourrait être révélatrice de cette lutte d’influence interne. La visibilité médiatique est effectivement le principal lien entre l’homme politique et le public de citoyens et d’électeurs et donc importante pour leur popularité, même si une surexposition médiatique ne va pas sans certains risques. D’un côté, le Président Ndayishimiye est incontournable, ses activités sont couvertes de manière quasi quotidienne par la RTNB</w:t>
      </w:r>
      <w:r w:rsidRPr="004A78EE">
        <w:rPr>
          <w:rStyle w:val="FootnoteReference"/>
        </w:rPr>
        <w:footnoteReference w:id="479"/>
      </w:r>
      <w:r w:rsidRPr="00445D7B">
        <w:rPr>
          <w:lang w:val="fr-FR"/>
        </w:rPr>
        <w:t>, y compris lorsqu’il s’agit d’activités privées et de nature religieuse, tout comme dans une moindre mesure celles de la première dame</w:t>
      </w:r>
      <w:r w:rsidRPr="004A78EE">
        <w:rPr>
          <w:rStyle w:val="FootnoteReference"/>
        </w:rPr>
        <w:footnoteReference w:id="480"/>
      </w:r>
      <w:r w:rsidRPr="00445D7B">
        <w:rPr>
          <w:lang w:val="fr-FR"/>
        </w:rPr>
        <w:t>.</w:t>
      </w:r>
    </w:p>
    <w:p w14:paraId="53970BD5" w14:textId="7351521D" w:rsidR="00445D7B" w:rsidRPr="00445D7B" w:rsidRDefault="00445D7B" w:rsidP="00445D7B">
      <w:pPr>
        <w:pStyle w:val="SingleTxtG"/>
        <w:rPr>
          <w:lang w:val="fr-FR"/>
        </w:rPr>
      </w:pPr>
      <w:r w:rsidRPr="00445D7B">
        <w:rPr>
          <w:lang w:val="fr-FR"/>
        </w:rPr>
        <w:t>309.</w:t>
      </w:r>
      <w:r w:rsidRPr="00445D7B">
        <w:rPr>
          <w:lang w:val="fr-FR"/>
        </w:rPr>
        <w:tab/>
        <w:t>Par contraste, le Premier ministre est remarquablement absent ; les articles le mentionnant se sont faits même de plus en plus rares depuis février 2021, et ils se limitent à faire état de quelques activités officielles.</w:t>
      </w:r>
      <w:r w:rsidRPr="004A78EE">
        <w:rPr>
          <w:rStyle w:val="FootnoteReference"/>
        </w:rPr>
        <w:footnoteReference w:id="481"/>
      </w:r>
      <w:r w:rsidRPr="00445D7B">
        <w:rPr>
          <w:lang w:val="fr-FR"/>
        </w:rPr>
        <w:t xml:space="preserve"> Le ministre de l’Intérieur, du Développement communautaire et de la Sécurité publique et le nouveau secrétaire général du CNDD-FDD, n’ont pas eux non plus fait l’objet d’articles récents sur le site de la RTNB, alors que celle-ci avait suivi de près les descentes sur le terrain d’</w:t>
      </w:r>
      <w:r w:rsidR="000F2DD3">
        <w:rPr>
          <w:lang w:val="fr-FR"/>
        </w:rPr>
        <w:t>É</w:t>
      </w:r>
      <w:r w:rsidRPr="00445D7B">
        <w:rPr>
          <w:lang w:val="fr-FR"/>
        </w:rPr>
        <w:t>variste Ndayishimiye lorsqu’il occupait ce poste et notamment lorsqu’il venait d’être désigné comme candidat du parti pour l’élection présidentielle. En revanche, toujours pendant cette période, le Président du Sénat est également omniprésent avec plus d’une quarantaine d’articles qui lui ont été consacrés, y compris sur ses activités privées et religieuses. Le Président de l’Assemblée nationale bénéficie quant à lui d’une couverture médiatique moindre avec seulement une dizaine d’articles, tout comme le vice-Président de la République et les autres ministres qui ne font l’objet que d</w:t>
      </w:r>
      <w:r w:rsidR="004A78EE">
        <w:rPr>
          <w:lang w:val="fr-FR"/>
        </w:rPr>
        <w:t>’une poignée d’articles chacun.</w:t>
      </w:r>
    </w:p>
    <w:p w14:paraId="7B6411F5" w14:textId="77777777" w:rsidR="00445D7B" w:rsidRPr="002C5CB4" w:rsidRDefault="004A78EE" w:rsidP="002C5CB4">
      <w:pPr>
        <w:pStyle w:val="H4G"/>
        <w:rPr>
          <w:b/>
          <w:i w:val="0"/>
          <w:lang w:val="fr-FR"/>
        </w:rPr>
      </w:pPr>
      <w:r w:rsidRPr="002C5CB4">
        <w:rPr>
          <w:b/>
          <w:i w:val="0"/>
          <w:lang w:val="fr-FR"/>
        </w:rPr>
        <w:tab/>
      </w:r>
      <w:r w:rsidR="00445D7B" w:rsidRPr="002C5CB4">
        <w:rPr>
          <w:b/>
          <w:i w:val="0"/>
          <w:lang w:val="fr-FR"/>
        </w:rPr>
        <w:t>d)</w:t>
      </w:r>
      <w:r w:rsidRPr="002C5CB4">
        <w:rPr>
          <w:b/>
          <w:i w:val="0"/>
          <w:lang w:val="fr-FR"/>
        </w:rPr>
        <w:tab/>
      </w:r>
      <w:r w:rsidR="00445D7B" w:rsidRPr="002C5CB4">
        <w:rPr>
          <w:b/>
          <w:i w:val="0"/>
          <w:lang w:val="fr-FR"/>
        </w:rPr>
        <w:t>Le processus de justice transitionnelle et le travail de mémoire</w:t>
      </w:r>
    </w:p>
    <w:p w14:paraId="4911E481" w14:textId="77777777" w:rsidR="00445D7B" w:rsidRPr="00445D7B" w:rsidRDefault="00445D7B" w:rsidP="00445D7B">
      <w:pPr>
        <w:pStyle w:val="SingleTxtG"/>
      </w:pPr>
      <w:r w:rsidRPr="00445D7B">
        <w:t>310.</w:t>
      </w:r>
      <w:r w:rsidRPr="00445D7B">
        <w:tab/>
        <w:t>La Commission vérité et réconciliation (CVR) a poursuivi ses activités qui consistent principalement à l’exhumation de fosses communes de victimes des massacres de 1972</w:t>
      </w:r>
      <w:r w:rsidRPr="004A78EE">
        <w:rPr>
          <w:rStyle w:val="FootnoteReference"/>
        </w:rPr>
        <w:footnoteReference w:id="482"/>
      </w:r>
      <w:r w:rsidRPr="00445D7B">
        <w:t>, notamment</w:t>
      </w:r>
      <w:r w:rsidRPr="00445D7B">
        <w:rPr>
          <w:lang w:val="fr-FR"/>
        </w:rPr>
        <w:t xml:space="preserve"> dans les provinces Gitega, Karusi, Makamba, Rumonge, Bururi, Kirundo, Muyinga, mais aussi à l’été 2021 en Mairie de Bujumbura et ses environs. </w:t>
      </w:r>
      <w:r w:rsidRPr="00445D7B">
        <w:t>Le 7 janvier 2021, le Président de la CVR a présenté son rapport d’étape pour 2020 au Parlement réuni en Congrès</w:t>
      </w:r>
      <w:r w:rsidRPr="00151A70">
        <w:rPr>
          <w:rStyle w:val="FootnoteReference"/>
        </w:rPr>
        <w:footnoteReference w:id="483"/>
      </w:r>
      <w:r w:rsidRPr="00445D7B">
        <w:t>. Dans celui-ci, la CVR a détaillé ses activités de vérification et d’exhumation ainsi que son rapport sur le déroulement des évènements de 1972 et les principaux modes opérato</w:t>
      </w:r>
      <w:r w:rsidR="00637AA0">
        <w:t>ires de ces massacres de masse.</w:t>
      </w:r>
    </w:p>
    <w:p w14:paraId="4CF6C356" w14:textId="584CB9A5" w:rsidR="00445D7B" w:rsidRPr="00445D7B" w:rsidRDefault="00445D7B" w:rsidP="00445D7B">
      <w:pPr>
        <w:pStyle w:val="SingleTxtG"/>
      </w:pPr>
      <w:r w:rsidRPr="00445D7B">
        <w:t>311.</w:t>
      </w:r>
      <w:r w:rsidRPr="00445D7B">
        <w:tab/>
        <w:t>Le travail de la CVR reste entaché par les accusations concernant sa partialité, et sans surprise, ses activités ont suscité des inquiétudes parmi les Burundais</w:t>
      </w:r>
      <w:r w:rsidRPr="00637AA0">
        <w:rPr>
          <w:rStyle w:val="FootnoteReference"/>
        </w:rPr>
        <w:footnoteReference w:id="484"/>
      </w:r>
      <w:r w:rsidRPr="00445D7B">
        <w:t>. Par exemple, au cours d’une rencontre organisée le 25 mars 2021 entre la CVR, des intellectuels et des universitaires burundais, certains ont déclaré craindre que le travail de la CVR ne réveille des mémoires blessées qui pourraient conduire à des cas de représailles, et ils ont voulu savoir comment la Commission procédait pour répondre à cette question</w:t>
      </w:r>
      <w:r w:rsidRPr="00637AA0">
        <w:rPr>
          <w:rStyle w:val="FootnoteReference"/>
        </w:rPr>
        <w:footnoteReference w:id="485"/>
      </w:r>
      <w:r w:rsidRPr="00445D7B">
        <w:t>. Malheureusement, la CVR a une fois de plus esquivé la question, pourtant pertinente, légitime et cruciale. Son Président se contente de répéter que la vérité libère et permet la véritable réconciliation</w:t>
      </w:r>
      <w:r w:rsidRPr="00637AA0">
        <w:rPr>
          <w:rStyle w:val="FootnoteReference"/>
        </w:rPr>
        <w:footnoteReference w:id="486"/>
      </w:r>
      <w:r w:rsidRPr="00445D7B">
        <w:t>, et à préciser que la CVR a un mandat portant sur la période de 1885 à 2008 qui lui permettra de travailler dans le futur sur les autres crises</w:t>
      </w:r>
      <w:r w:rsidRPr="00637AA0">
        <w:rPr>
          <w:rStyle w:val="FootnoteReference"/>
        </w:rPr>
        <w:footnoteReference w:id="487"/>
      </w:r>
      <w:r w:rsidRPr="00445D7B">
        <w:t xml:space="preserve">. </w:t>
      </w:r>
    </w:p>
    <w:p w14:paraId="6F691D3D" w14:textId="77777777" w:rsidR="00445D7B" w:rsidRPr="00445D7B" w:rsidRDefault="00445D7B" w:rsidP="00445D7B">
      <w:pPr>
        <w:pStyle w:val="SingleTxtG"/>
      </w:pPr>
      <w:r w:rsidRPr="00445D7B">
        <w:t>312.</w:t>
      </w:r>
      <w:r w:rsidRPr="00445D7B">
        <w:tab/>
        <w:t>Si la recherche de la vérité est effectivement un objectif important et louable dans le cadre d’un processus de justice transitionnelle, celui-ci est néanmoins tellement complexe et sensible que des précautions doivent être prises pour éviter de faire ressurgir les anciens antagonismes. Les processus mémoriels peuvent devenir « des tyrannies mémorielles, notamment lorsque la prolifération des mémoriaux ne tient pas compte des points de vue différents ou ne tolère pas la remise en question, enferme les populations dans leur passé et laisse peu de place au souvenir d’autres événements et relations entre les groupes de personnes […] trop de mémoire, en particulier si elle représente des versions irréconciliables du passé, peut nuire à une société au lieu de l’aider. Toutes les sociétés sortant d’un conflit ou divisées font face à la nécessité d’établir un équilibre fragile entre l’oubli et la mémoire »</w:t>
      </w:r>
      <w:r w:rsidRPr="00637AA0">
        <w:rPr>
          <w:rStyle w:val="FootnoteReference"/>
        </w:rPr>
        <w:footnoteReference w:id="488"/>
      </w:r>
      <w:r w:rsidRPr="00445D7B">
        <w:t>. De plus, un processus de justice transitionnelle effectif doit comprendre une approche globale comprenant les autres piliers et pas seulement la recherche de la vérité, à savoir des poursuites pénales individuelles, la mise en place d’un programme de réparation pour les victimes et des réformes institutionnelles afin de garantir que de tels actes ne se reproduisent plus</w:t>
      </w:r>
      <w:r w:rsidRPr="00637AA0">
        <w:rPr>
          <w:rStyle w:val="FootnoteReference"/>
        </w:rPr>
        <w:footnoteReference w:id="489"/>
      </w:r>
      <w:r w:rsidRPr="00445D7B">
        <w:t>.</w:t>
      </w:r>
    </w:p>
    <w:p w14:paraId="7550B935" w14:textId="77777777" w:rsidR="00445D7B" w:rsidRPr="00445D7B" w:rsidRDefault="00445D7B" w:rsidP="00445D7B">
      <w:pPr>
        <w:pStyle w:val="SingleTxtG"/>
        <w:rPr>
          <w:lang w:val="fr-FR"/>
        </w:rPr>
      </w:pPr>
      <w:r w:rsidRPr="00445D7B">
        <w:t>313.</w:t>
      </w:r>
      <w:r w:rsidRPr="00445D7B">
        <w:tab/>
        <w:t>Sans doute pour anticiper les possibles critiques et controverses à venir, lors d’une retraite organisée du 13 au 16 juillet 2021, la CVR a décidé que pour procéder à la qualification juridique des évènements de 1972, elle demanderait l’appui d’experts juristes pour l’aider à mener à bien ce travail</w:t>
      </w:r>
      <w:r w:rsidRPr="00637AA0">
        <w:rPr>
          <w:rStyle w:val="FootnoteReference"/>
        </w:rPr>
        <w:footnoteReference w:id="490"/>
      </w:r>
      <w:r w:rsidRPr="00445D7B">
        <w:t xml:space="preserve">. De même, le 5 août 2021, le Président de la CVR a organisé une conférence de presse pour faire le point sur le travail accompli au cours de laquelle il a clarifié qu’au-delà de </w:t>
      </w:r>
      <w:r w:rsidRPr="00445D7B">
        <w:rPr>
          <w:lang w:val="fr-FR"/>
        </w:rPr>
        <w:t>l’identification et l’exhumation des fosses communes, le</w:t>
      </w:r>
      <w:r w:rsidRPr="00445D7B">
        <w:t xml:space="preserve"> travail de la CVR comprenait également : </w:t>
      </w:r>
      <w:r w:rsidRPr="00445D7B">
        <w:rPr>
          <w:lang w:val="fr-FR"/>
        </w:rPr>
        <w:t>des contacts et des audiences auprès des représentants des institutions ; la visite des archives disponibles ; l’identification des auteurs présumés et les sauveteurs ; l’audition des témoins, des victimes et des autres personnes ressources</w:t>
      </w:r>
      <w:r w:rsidRPr="00637AA0">
        <w:rPr>
          <w:rStyle w:val="FootnoteReference"/>
        </w:rPr>
        <w:footnoteReference w:id="491"/>
      </w:r>
      <w:r w:rsidRPr="00445D7B">
        <w:rPr>
          <w:lang w:val="fr-FR"/>
        </w:rPr>
        <w:t>.</w:t>
      </w:r>
    </w:p>
    <w:p w14:paraId="652308F9" w14:textId="7FE02714" w:rsidR="00445D7B" w:rsidRPr="00445D7B" w:rsidRDefault="00445D7B" w:rsidP="00445D7B">
      <w:pPr>
        <w:pStyle w:val="SingleTxtG"/>
      </w:pPr>
      <w:r w:rsidRPr="00445D7B">
        <w:rPr>
          <w:lang w:val="fr-FR"/>
        </w:rPr>
        <w:t>314.</w:t>
      </w:r>
      <w:r w:rsidRPr="00445D7B">
        <w:rPr>
          <w:lang w:val="fr-FR"/>
        </w:rPr>
        <w:tab/>
        <w:t xml:space="preserve">En parallèle du travail de la CVR, </w:t>
      </w:r>
      <w:r w:rsidRPr="00445D7B">
        <w:t>le Sénat a organisé entre avril et juin 2021 une série de cinq conférences portant sur les massacres de 1972 avec pour thème « se souvenir et bien qualifier les événements de 1972 au Burundi », sans qu’elles ne soient directement liées au travail de la CVR ou organisées en concertation avec cette dernière</w:t>
      </w:r>
      <w:r w:rsidRPr="00151A70">
        <w:rPr>
          <w:rStyle w:val="FootnoteReference"/>
        </w:rPr>
        <w:footnoteReference w:id="492"/>
      </w:r>
      <w:r w:rsidRPr="00445D7B">
        <w:t>. Le Président du Sénat a indiqué que l’objectif était de « donner une opportunité à tout Burundais qui le souhaite de témoigner sur les crimes commis au Burundi en 1972 afin que la vérité soit connue »</w:t>
      </w:r>
      <w:r w:rsidRPr="00151A70">
        <w:rPr>
          <w:rStyle w:val="FootnoteReference"/>
        </w:rPr>
        <w:footnoteReference w:id="493"/>
      </w:r>
      <w:r w:rsidR="001F1AFA">
        <w:t>.</w:t>
      </w:r>
      <w:r w:rsidRPr="00445D7B">
        <w:t xml:space="preserve"> Le Sénat a justifié son projet par le rôle qui lui a été confié de « conseiller le Président de la République et le Président de l’Assemblée nationale sur toute question, notamment d’ordre législatif »</w:t>
      </w:r>
      <w:r w:rsidRPr="00151A70">
        <w:rPr>
          <w:rStyle w:val="FootnoteReference"/>
        </w:rPr>
        <w:footnoteReference w:id="494"/>
      </w:r>
      <w:r w:rsidRPr="00445D7B">
        <w:t>, notamment sur la question de l’éradication des divisions ethniques afin de construire un Burundi juste, équitable et véritablement réconcilié. En outre, il a été également mentionné que ces conférences permettraient au Sénat de se prononcer sur la possible abolition des quotas ethniques dans le futur comme le prévoit la Constitution</w:t>
      </w:r>
      <w:r w:rsidRPr="00151A70">
        <w:rPr>
          <w:rStyle w:val="FootnoteReference"/>
        </w:rPr>
        <w:footnoteReference w:id="495"/>
      </w:r>
      <w:r w:rsidRPr="00445D7B">
        <w:t>, sans autrement expliquer la raison pour laquelle et comment les évènements de 1972 serviraient de base à la</w:t>
      </w:r>
      <w:r w:rsidR="00151A70">
        <w:t xml:space="preserve"> décision du Sénat à cet égard.</w:t>
      </w:r>
    </w:p>
    <w:p w14:paraId="2A677A00" w14:textId="77777777" w:rsidR="00445D7B" w:rsidRPr="00445D7B" w:rsidRDefault="00445D7B" w:rsidP="00445D7B">
      <w:pPr>
        <w:pStyle w:val="SingleTxtG"/>
      </w:pPr>
      <w:r w:rsidRPr="00445D7B">
        <w:t>315.</w:t>
      </w:r>
      <w:r w:rsidRPr="00445D7B">
        <w:tab/>
        <w:t>Les organisateurs et les participants ont affirmé que ces conférences n’avaient pas pour objectif « de susciter un esprit de vengeance mais de guérir et libérer les âmes meurtries, favoriser la réconciliation afin de léguer à la jeunesse un Burundi meilleur »</w:t>
      </w:r>
      <w:r w:rsidRPr="00151A70">
        <w:rPr>
          <w:rStyle w:val="FootnoteReference"/>
        </w:rPr>
        <w:footnoteReference w:id="496"/>
      </w:r>
      <w:r w:rsidRPr="00445D7B">
        <w:t>. Elles ne cherchaient pas non plus à « accuser les Batutsi ou les Bahutu. C’est plutôt de guérir les âmes blessées par ces évènements malheureux, favoriser une véritable réconciliation entre les burundais, informer correctement la jeunesse sur l’histoire du pays pour ne plus retomber dans les mêmes travers afin de bâtir un Burundi meilleur »</w:t>
      </w:r>
      <w:r w:rsidRPr="00151A70">
        <w:rPr>
          <w:rStyle w:val="FootnoteReference"/>
        </w:rPr>
        <w:footnoteReference w:id="497"/>
      </w:r>
      <w:r w:rsidR="00151A70">
        <w:t>.</w:t>
      </w:r>
    </w:p>
    <w:p w14:paraId="000D42E1" w14:textId="388D11F6" w:rsidR="00445D7B" w:rsidRPr="00445D7B" w:rsidRDefault="00445D7B" w:rsidP="00445D7B">
      <w:pPr>
        <w:pStyle w:val="SingleTxtG"/>
      </w:pPr>
      <w:r w:rsidRPr="00445D7B">
        <w:t>316.</w:t>
      </w:r>
      <w:r w:rsidRPr="00445D7B">
        <w:tab/>
        <w:t>Cependant, le principal et quasi unique intervenant lors de ces conférences a été l’ancien président Sylvestre Ntibantunganya, qui a présenté une version controversée des évènements déclencheurs des massacres et qui en tout cas diffère de celle présentée par la CVR dans son rapport annuel. En effet, la CVR a rappelé que préalablement à la planification des massacres de 1972</w:t>
      </w:r>
      <w:r w:rsidR="00576DA8">
        <w:t>,</w:t>
      </w:r>
      <w:r w:rsidRPr="00445D7B">
        <w:t xml:space="preserve"> « il y </w:t>
      </w:r>
      <w:r w:rsidRPr="00445D7B">
        <w:rPr>
          <w:lang w:val="fr-FR"/>
        </w:rPr>
        <w:t>a eu des attaques des insurgés bahutu dans la province de Bururi surtout dans l’arrondissement de Makamba et sur le littoral du lac Tanganyika »</w:t>
      </w:r>
      <w:r w:rsidRPr="00151A70">
        <w:rPr>
          <w:rStyle w:val="FootnoteReference"/>
        </w:rPr>
        <w:footnoteReference w:id="498"/>
      </w:r>
      <w:r w:rsidRPr="00445D7B">
        <w:rPr>
          <w:lang w:val="fr-FR"/>
        </w:rPr>
        <w:t>. L</w:t>
      </w:r>
      <w:r w:rsidRPr="00445D7B">
        <w:t>’ancien Président Ntibantunganya déclare au contraire que les massacres initiaux des populations tutsies dans le Sud du pays auraient été organisés par le Président Micombero lui-même, qui se serait appuyé sur des mercenaires étrangers manipulés, afin de pouvoir par la suite justifier les massacres de Hutus commis dans le cadre de la répression</w:t>
      </w:r>
      <w:r w:rsidRPr="00151A70">
        <w:rPr>
          <w:rStyle w:val="FootnoteReference"/>
        </w:rPr>
        <w:footnoteReference w:id="499"/>
      </w:r>
      <w:r w:rsidRPr="00445D7B">
        <w:t>. Très rapidement, dans le cadre de ces conférences, les appels se sont multipliés afin que ces évènements soient reconnus par le Gouvernement du Burundi, mais également par la communauté internationale comme un génocide contre les Hutus</w:t>
      </w:r>
      <w:r w:rsidRPr="00151A70">
        <w:rPr>
          <w:rStyle w:val="FootnoteReference"/>
        </w:rPr>
        <w:footnoteReference w:id="500"/>
      </w:r>
      <w:r w:rsidRPr="00445D7B">
        <w:t>. Pour rappel, la CVR préfère quant à elle attendre la fin de ses enquêtes et obtenir l’appui d’experts juridiques pour procéder à l’éventuelle qualification juridique de ces évènements.</w:t>
      </w:r>
    </w:p>
    <w:p w14:paraId="4E507790" w14:textId="77777777" w:rsidR="00445D7B" w:rsidRPr="00445D7B" w:rsidRDefault="00445D7B" w:rsidP="00445D7B">
      <w:pPr>
        <w:pStyle w:val="SingleTxtG"/>
        <w:rPr>
          <w:lang w:val="fr-FR"/>
        </w:rPr>
      </w:pPr>
      <w:r w:rsidRPr="00445D7B">
        <w:t>317.</w:t>
      </w:r>
      <w:r w:rsidRPr="00445D7B">
        <w:tab/>
        <w:t xml:space="preserve">Une telle multiplication d’initiatives parallèles et quelque peu concurrentes, voire contradictoires, conjugué à leur </w:t>
      </w:r>
      <w:r w:rsidRPr="00445D7B">
        <w:rPr>
          <w:lang w:val="fr-FR"/>
        </w:rPr>
        <w:t xml:space="preserve">approche unilatérale et partiale de l’histoire du pays, accentue le risque d’une lecture mémorielle ethnique et de surenchère dans la victimisation d’une ethnie par rapport à l’autre. En toute logique, ces activités ont fait resurgir des controverses au sein de la société burundaise et ont donc accru le risque d’incitation </w:t>
      </w:r>
      <w:r w:rsidR="00151A70">
        <w:rPr>
          <w:lang w:val="fr-FR"/>
        </w:rPr>
        <w:t>à la haine ethnique.</w:t>
      </w:r>
    </w:p>
    <w:p w14:paraId="0007AEED" w14:textId="77777777" w:rsidR="00445D7B" w:rsidRPr="002C5CB4" w:rsidRDefault="002C5CB4" w:rsidP="002C5CB4">
      <w:pPr>
        <w:pStyle w:val="H4G"/>
        <w:rPr>
          <w:b/>
          <w:i w:val="0"/>
          <w:lang w:val="fr-FR"/>
        </w:rPr>
      </w:pPr>
      <w:r w:rsidRPr="002C5CB4">
        <w:rPr>
          <w:b/>
          <w:i w:val="0"/>
          <w:lang w:val="fr-FR"/>
        </w:rPr>
        <w:tab/>
      </w:r>
      <w:r w:rsidR="00445D7B" w:rsidRPr="002C5CB4">
        <w:rPr>
          <w:b/>
          <w:i w:val="0"/>
          <w:lang w:val="fr-FR"/>
        </w:rPr>
        <w:t>e)</w:t>
      </w:r>
      <w:r w:rsidRPr="002C5CB4">
        <w:rPr>
          <w:b/>
          <w:i w:val="0"/>
          <w:lang w:val="fr-FR"/>
        </w:rPr>
        <w:tab/>
      </w:r>
      <w:r w:rsidR="00445D7B" w:rsidRPr="002C5CB4">
        <w:rPr>
          <w:b/>
          <w:i w:val="0"/>
          <w:lang w:val="fr-FR"/>
        </w:rPr>
        <w:t>Les activités de recensement</w:t>
      </w:r>
    </w:p>
    <w:p w14:paraId="41CE64E2" w14:textId="77777777" w:rsidR="00445D7B" w:rsidRPr="00445D7B" w:rsidRDefault="00445D7B" w:rsidP="00445D7B">
      <w:pPr>
        <w:pStyle w:val="SingleTxtG"/>
        <w:rPr>
          <w:lang w:val="fr-FR"/>
        </w:rPr>
      </w:pPr>
      <w:r w:rsidRPr="00445D7B">
        <w:rPr>
          <w:lang w:val="fr-FR"/>
        </w:rPr>
        <w:t>318.</w:t>
      </w:r>
      <w:r w:rsidRPr="00445D7B">
        <w:rPr>
          <w:lang w:val="fr-FR"/>
        </w:rPr>
        <w:tab/>
        <w:t>Le Gouvernement a décidé d’effectuer un recensement de tous les fonctionnaires, initialement prévu pour les 26 et 27 octobre 2020, mais qui a dû être prolongé jusqu’au 6 novembre 2020. L’objectif était « d’avoir des données fiables en rapport avec toutes les ressources humaines de l’État en vue d’une gestion rationnelle »</w:t>
      </w:r>
      <w:r w:rsidRPr="002C5CB4">
        <w:rPr>
          <w:rStyle w:val="FootnoteReference"/>
        </w:rPr>
        <w:footnoteReference w:id="501"/>
      </w:r>
      <w:r w:rsidRPr="00445D7B">
        <w:rPr>
          <w:lang w:val="fr-FR"/>
        </w:rPr>
        <w:t xml:space="preserve">. Le ministre </w:t>
      </w:r>
      <w:r w:rsidRPr="00445D7B">
        <w:t xml:space="preserve">de la Fonction publique, du Travail et de l’Emploi a d’ailleurs proposé de mettre </w:t>
      </w:r>
      <w:r w:rsidRPr="00445D7B">
        <w:rPr>
          <w:lang w:val="fr-FR"/>
        </w:rPr>
        <w:t>en place un centre des données qui hébergerait toutes les données collectées par le Gouvernement, ainsi que l’extension du recensement aux sociétés mixtes et au secteur privé</w:t>
      </w:r>
      <w:r w:rsidRPr="002C5CB4">
        <w:rPr>
          <w:rStyle w:val="FootnoteReference"/>
        </w:rPr>
        <w:footnoteReference w:id="502"/>
      </w:r>
      <w:r w:rsidR="002C5CB4">
        <w:rPr>
          <w:lang w:val="fr-FR"/>
        </w:rPr>
        <w:t>.</w:t>
      </w:r>
    </w:p>
    <w:p w14:paraId="1C70086A" w14:textId="77777777" w:rsidR="00445D7B" w:rsidRPr="00445D7B" w:rsidRDefault="00445D7B" w:rsidP="00445D7B">
      <w:pPr>
        <w:pStyle w:val="SingleTxtG"/>
        <w:rPr>
          <w:lang w:val="fr-FR"/>
        </w:rPr>
      </w:pPr>
      <w:r w:rsidRPr="00445D7B">
        <w:rPr>
          <w:lang w:val="fr-FR"/>
        </w:rPr>
        <w:t>319.</w:t>
      </w:r>
      <w:r w:rsidRPr="00445D7B">
        <w:rPr>
          <w:lang w:val="fr-FR"/>
        </w:rPr>
        <w:tab/>
        <w:t xml:space="preserve">Cependant, ce recensement a été critiqué et il a soulevé de nombreuses préoccupations en raison notamment de questions sensibles et personnelles dont la raison d’être n’était pas justifiée dans le cadre de la gestion des ressources humaines, d’autant plus que les autorités n’ont pas présenté de réelles garanties sur la manière dont ces données seraient conservées, protégées ou utilisées. En effet, parmi la centaine de questions demandées, les fonctionnaires devaient indiquer leur appartenance ethnique, </w:t>
      </w:r>
      <w:r w:rsidRPr="00445D7B">
        <w:t>leur adresse email privée, leur confession religieuse, l’identité et la profession de leurs parents, leur éventuelle affiliation à un syndicat, ainsi que fournir une photo d’eux-mêmes et une copie recto/verso de leur carte nationale d’identité</w:t>
      </w:r>
      <w:r w:rsidR="002C5CB4">
        <w:rPr>
          <w:lang w:val="fr-FR"/>
        </w:rPr>
        <w:t>.</w:t>
      </w:r>
    </w:p>
    <w:p w14:paraId="10FF9A03" w14:textId="77777777" w:rsidR="00445D7B" w:rsidRPr="00445D7B" w:rsidRDefault="00445D7B" w:rsidP="00445D7B">
      <w:pPr>
        <w:pStyle w:val="SingleTxtG"/>
        <w:rPr>
          <w:lang w:val="fr-FR"/>
        </w:rPr>
      </w:pPr>
      <w:r w:rsidRPr="00445D7B">
        <w:rPr>
          <w:lang w:val="fr-FR"/>
        </w:rPr>
        <w:t>320.</w:t>
      </w:r>
      <w:r w:rsidRPr="00445D7B">
        <w:rPr>
          <w:lang w:val="fr-FR"/>
        </w:rPr>
        <w:tab/>
        <w:t>Par ailleurs, comme le dernier recensement de la population burundaise remonte à 2008, dans la perspective de la mise en place de l’Union monétaire de la Communauté d’Afrique de l’Est en 2024, le Gouvernement burundais a commencé à préparer le recensement global de la population, de l’habitat, de l’agriculture et de l’élevage qui sera organisé en 2022</w:t>
      </w:r>
      <w:r w:rsidRPr="002C5CB4">
        <w:rPr>
          <w:rStyle w:val="FootnoteReference"/>
        </w:rPr>
        <w:footnoteReference w:id="503"/>
      </w:r>
      <w:r w:rsidRPr="00445D7B">
        <w:rPr>
          <w:lang w:val="fr-FR"/>
        </w:rPr>
        <w:t>. Dans cette perspective, la nouvelle loi portant réorganisation du système statistique au Burundi adoptée par l’Assemblée nationale le 23 février 2021 prévoit « l’obligation pour les personnes physiques et morales de répondre aux questions statistiques » sous peine de sanction pénale. La loi garantit « en contrepartie, l’affirmation du secret statistique pour protéger ces personnes »</w:t>
      </w:r>
      <w:r w:rsidRPr="002C5CB4">
        <w:rPr>
          <w:rStyle w:val="FootnoteReference"/>
        </w:rPr>
        <w:footnoteReference w:id="504"/>
      </w:r>
      <w:r w:rsidRPr="00445D7B">
        <w:rPr>
          <w:lang w:val="fr-FR"/>
        </w:rPr>
        <w:t>. Les 22 et 23 juillet 2021, l’Institut des statistiques et d’études économiques du Burundi (ISTEEBU) a organisé, en partenariat avec le Fonds des Nations Unies pour la population (UNFPA), un atelier technique de consultation afin d’examiner, d’enrichir et de finaliser le questionnaire du recensement général de 2022</w:t>
      </w:r>
      <w:r w:rsidRPr="002C5CB4">
        <w:rPr>
          <w:rStyle w:val="FootnoteReference"/>
        </w:rPr>
        <w:footnoteReference w:id="505"/>
      </w:r>
      <w:r w:rsidRPr="00445D7B">
        <w:rPr>
          <w:lang w:val="fr-FR"/>
        </w:rPr>
        <w:t>. Il reste à voir si ce dernier va inclure des questions sensibles à l’instar de celles demandées aux fonctionnaires, notamment leur appartenance ethnique, et comment cela serait perçu au sein de la société burundaise et avec quelles répercussions possibles.</w:t>
      </w:r>
    </w:p>
    <w:p w14:paraId="5915316F" w14:textId="77777777" w:rsidR="00445D7B" w:rsidRPr="00FA45AB" w:rsidRDefault="00A32F3C" w:rsidP="002C5CB4">
      <w:pPr>
        <w:pStyle w:val="H1G"/>
        <w:rPr>
          <w:lang w:val="fr-CH"/>
        </w:rPr>
      </w:pPr>
      <w:r w:rsidRPr="00FA45AB">
        <w:rPr>
          <w:lang w:val="fr-CH"/>
        </w:rPr>
        <w:tab/>
      </w:r>
      <w:r w:rsidR="00445D7B" w:rsidRPr="00FA45AB">
        <w:rPr>
          <w:lang w:val="fr-CH"/>
        </w:rPr>
        <w:t>B.</w:t>
      </w:r>
      <w:r w:rsidRPr="00FA45AB">
        <w:rPr>
          <w:lang w:val="fr-CH"/>
        </w:rPr>
        <w:tab/>
      </w:r>
      <w:r w:rsidR="00445D7B" w:rsidRPr="00FA45AB">
        <w:rPr>
          <w:lang w:val="fr-CH"/>
        </w:rPr>
        <w:t>Facteurs de risque</w:t>
      </w:r>
    </w:p>
    <w:p w14:paraId="1D166650" w14:textId="77777777" w:rsidR="00445D7B" w:rsidRPr="00445D7B" w:rsidRDefault="00445D7B" w:rsidP="00445D7B">
      <w:pPr>
        <w:pStyle w:val="SingleTxtG"/>
        <w:rPr>
          <w:lang w:val="fr-FR"/>
        </w:rPr>
      </w:pPr>
      <w:r w:rsidRPr="00445D7B">
        <w:rPr>
          <w:lang w:val="fr-FR"/>
        </w:rPr>
        <w:t>321.</w:t>
      </w:r>
      <w:r w:rsidRPr="00445D7B">
        <w:rPr>
          <w:lang w:val="fr-FR"/>
        </w:rPr>
        <w:tab/>
        <w:t>L’analyse des facteurs de risque démontre que la situation au Burundi mérite toujours une grande vigilance. L’instabilité en matière de sécurité qui crée un environnement propice aux atrocités criminelles (facteur de risque n</w:t>
      </w:r>
      <w:r w:rsidRPr="00445D7B">
        <w:rPr>
          <w:vertAlign w:val="superscript"/>
          <w:lang w:val="fr-FR"/>
        </w:rPr>
        <w:t>o</w:t>
      </w:r>
      <w:r w:rsidRPr="00445D7B">
        <w:rPr>
          <w:lang w:val="fr-FR"/>
        </w:rPr>
        <w:t xml:space="preserve"> 1) est révélée par les indicateurs suivants : crise sécuritaire provoquée par des actes de terrorisme et multiplication des incidents de sécurité (1b) ; urgence humanitaire pour les Burundais à l’intérieur et à l’extérieur du pays pouvant être causée notamment par une catastrophe naturelle ou une épidémie (1c) ; tension politique provoquée par des régimes autocratiques ou une lourde répression de l’opposition politique (1f) ; instabilité économique provoquée par une pénurie de ressources (1g) ; crise grave de l’économie nationale (1h) ; grande pauvreté de la population (1i).</w:t>
      </w:r>
    </w:p>
    <w:p w14:paraId="7F5FCF9E" w14:textId="77777777" w:rsidR="00445D7B" w:rsidRPr="00445D7B" w:rsidRDefault="00445D7B" w:rsidP="00445D7B">
      <w:pPr>
        <w:pStyle w:val="SingleTxtG"/>
        <w:rPr>
          <w:lang w:val="fr-FR"/>
        </w:rPr>
      </w:pPr>
      <w:r w:rsidRPr="00445D7B">
        <w:rPr>
          <w:lang w:val="fr-FR"/>
        </w:rPr>
        <w:t>322.</w:t>
      </w:r>
      <w:r w:rsidRPr="00445D7B">
        <w:rPr>
          <w:lang w:val="fr-FR"/>
        </w:rPr>
        <w:tab/>
        <w:t>En revanche, les indicateurs suivants se sont estompés : si la crise politique née du transfert de pouvoir non pacifique en 2015 n’a pas été résolue, les élections de 2020 et des déclarations visant à normaliser les relations entre le Burundi et la communauté internationale ont atténué cet aspect (1d). De même, les allégations de fraudes électorales massives en 2020 ne semblent pas avoir de conséquences sur la perception de la légitimité du Gouvernement (1d).</w:t>
      </w:r>
    </w:p>
    <w:p w14:paraId="19ACE852" w14:textId="77777777" w:rsidR="00445D7B" w:rsidRPr="00445D7B" w:rsidRDefault="00445D7B" w:rsidP="00445D7B">
      <w:pPr>
        <w:pStyle w:val="SingleTxtG"/>
        <w:rPr>
          <w:lang w:val="fr-FR"/>
        </w:rPr>
      </w:pPr>
      <w:r w:rsidRPr="00445D7B">
        <w:rPr>
          <w:lang w:val="fr-FR"/>
        </w:rPr>
        <w:t>323.</w:t>
      </w:r>
      <w:r w:rsidRPr="00445D7B">
        <w:rPr>
          <w:lang w:val="fr-FR"/>
        </w:rPr>
        <w:tab/>
        <w:t>Le facteur de risque n</w:t>
      </w:r>
      <w:r w:rsidRPr="00445D7B">
        <w:rPr>
          <w:vertAlign w:val="superscript"/>
          <w:lang w:val="fr-FR"/>
        </w:rPr>
        <w:t>o</w:t>
      </w:r>
      <w:r w:rsidRPr="00445D7B">
        <w:rPr>
          <w:lang w:val="fr-FR"/>
        </w:rPr>
        <w:t xml:space="preserve"> 2 concerne l’existence d’antécédents de violations graves des droits de l’homme qui n’ont été ni empêchées ni punies, créant ainsi un risque de survenance de nouvelles violations. Ce facteur de nature structurelle, lié à l’absence de volonté politique et à la faiblesse des institutions pour lutter contre l’impunité, reste donc significatif : violations graves, passées et actuelles, des droits de l’homme (2a) ; actes de génocide, crimes contre l’humanité et crimes de guerre qui ont marqué l’histoire récente (2b) ; politique ou pratique d’impunité ou de tolérance à l’égard des violations graves des droits de l’homme (2c) ; refus du Gouvernement d’utiliser tous les moyens possibles pour faire cesser les violations ou sa réticence à le faire (2d) ; maintien d’une aide aux groupes accusés de violations et non-condamnation de leurs actes (2e) ; rapports partiaux concernant les violations graves des droits de l’homme ou refus du Gouvernement de reconnaître l’existence de telles violations (2f) ; absence de processus de réconciliation ou de justice transitionnelle impartial et inclusif (2g) ; méfiance généralisée de la population envers les institutions de l’État en raison de l’impunité (2h).</w:t>
      </w:r>
    </w:p>
    <w:p w14:paraId="19595873" w14:textId="77777777" w:rsidR="00445D7B" w:rsidRPr="00445D7B" w:rsidRDefault="00445D7B" w:rsidP="00445D7B">
      <w:pPr>
        <w:pStyle w:val="SingleTxtG"/>
        <w:rPr>
          <w:lang w:val="fr-FR"/>
        </w:rPr>
      </w:pPr>
      <w:r w:rsidRPr="00445D7B">
        <w:rPr>
          <w:lang w:val="fr-FR"/>
        </w:rPr>
        <w:t>324.</w:t>
      </w:r>
      <w:r w:rsidRPr="00445D7B">
        <w:rPr>
          <w:lang w:val="fr-FR"/>
        </w:rPr>
        <w:tab/>
        <w:t>Le facteur de risque n</w:t>
      </w:r>
      <w:r w:rsidRPr="00445D7B">
        <w:rPr>
          <w:vertAlign w:val="superscript"/>
          <w:lang w:val="fr-FR"/>
        </w:rPr>
        <w:t>o</w:t>
      </w:r>
      <w:r w:rsidRPr="00445D7B">
        <w:rPr>
          <w:lang w:val="fr-FR"/>
        </w:rPr>
        <w:t xml:space="preserve"> 3, qui concerne la faiblesse des structures étatiques et met en cause la capacité de l’État de prévenir les atrocités criminelles ou de les faire cesser et de les juger, reste également présent : manque de ressources et de représentation adéquate dans les institutions judiciaires et celles chargées de l’application des lois et de la protection des droits de l’homme (3b) ; absence de justice indépendante et impartiale (3c) ; absence de contrôle civil efficace des forces de sécurité (3d) ; niveau élevé de corruption et de mauvaise gouvernance (3e) ; mécanismes internes de contrôle et d’établissement des responsabilités inadéquats et ineffectifs et mécanismes externes quasi inexistants ou difficilement accessibles aux victimes (3f).</w:t>
      </w:r>
    </w:p>
    <w:p w14:paraId="13A2F245" w14:textId="77777777" w:rsidR="00445D7B" w:rsidRPr="00445D7B" w:rsidRDefault="00445D7B" w:rsidP="00445D7B">
      <w:pPr>
        <w:pStyle w:val="SingleTxtG"/>
        <w:rPr>
          <w:lang w:val="fr-FR"/>
        </w:rPr>
      </w:pPr>
      <w:r w:rsidRPr="00445D7B">
        <w:rPr>
          <w:lang w:val="fr-FR"/>
        </w:rPr>
        <w:t>325.</w:t>
      </w:r>
      <w:r w:rsidRPr="00445D7B">
        <w:rPr>
          <w:lang w:val="fr-FR"/>
        </w:rPr>
        <w:tab/>
        <w:t>Le facteur de risque n°4 porte sur l’existence de raisons, de buts ou d’autres éléments motivant l’usage de la violence contre des groupes particuliers. Ce facteur reste présent avec plusieurs indicateurs : motivations politiques visant la consolidation du pouvoir en place (4a) ; intérêts économiques liés à la conservation du pouvoir (4b) ; opposants politiques perçus comme une menace aux intérêts ou aux objectifs du Gouvernement, ou considérés comme déloyaux envers le pays (4e) ; appartenance ou adhésion, réelle ou supposée, de groupes à l’opposition armée (4f) ; idéologie du CNDD-FDD marquée par son paradigme de « vérité » et donc de suprématie de cette identité politique sur toutes les autres (4g) ; instrumentalisation des griefs et des cas d’impunité du passé à des fins politiques (4h) ; existence d’un traumatisme social provoqué par des situations de violence passées non résolues qui ont engendré des sentiments de perte, de déplacement et d’injustice ainsi qu’un désir possible de revanche (4i).</w:t>
      </w:r>
    </w:p>
    <w:p w14:paraId="6D350746" w14:textId="77777777" w:rsidR="00445D7B" w:rsidRPr="00445D7B" w:rsidRDefault="00445D7B" w:rsidP="00445D7B">
      <w:pPr>
        <w:pStyle w:val="SingleTxtG"/>
        <w:rPr>
          <w:lang w:val="fr-FR"/>
        </w:rPr>
      </w:pPr>
      <w:r w:rsidRPr="00445D7B">
        <w:rPr>
          <w:lang w:val="fr-FR"/>
        </w:rPr>
        <w:t>326.</w:t>
      </w:r>
      <w:r w:rsidRPr="00445D7B">
        <w:rPr>
          <w:lang w:val="fr-FR"/>
        </w:rPr>
        <w:tab/>
        <w:t>Le facteur de risque n</w:t>
      </w:r>
      <w:r w:rsidRPr="00445D7B">
        <w:rPr>
          <w:vertAlign w:val="superscript"/>
          <w:lang w:val="fr-FR"/>
        </w:rPr>
        <w:t>o</w:t>
      </w:r>
      <w:r w:rsidRPr="00445D7B">
        <w:rPr>
          <w:lang w:val="fr-FR"/>
        </w:rPr>
        <w:t xml:space="preserve"> 5, qui est la capacité des auteurs potentiels de commettre des atrocités criminelles, reste présent : disponibilité de personnel, d’armes et de munitions ou de moyens financiers publics ou privés permettant de les acquérir (5a) ; capacité de transporter et de déployer du personnel et de transporter et de distribuer des armes et des munitions (5b) ; capacité d’encourager ou de recruter de nombreux partisans au sein de populations ou de groupes et disponibilité de moyens pour les mobiliser (5c) ; solide culture d’obéissance à l’autorité et de conformité au groupe, présente au sein du CNDD-FDD et des Imbonerakure (5d) ; présence d’autres forces armées ou de groupes armés non étatiques (5e).</w:t>
      </w:r>
    </w:p>
    <w:p w14:paraId="2664E9D7" w14:textId="77777777" w:rsidR="00445D7B" w:rsidRPr="00445D7B" w:rsidRDefault="00445D7B" w:rsidP="00445D7B">
      <w:pPr>
        <w:pStyle w:val="SingleTxtG"/>
        <w:rPr>
          <w:lang w:val="fr-FR"/>
        </w:rPr>
      </w:pPr>
      <w:r w:rsidRPr="00445D7B">
        <w:rPr>
          <w:lang w:val="fr-FR"/>
        </w:rPr>
        <w:t>327.</w:t>
      </w:r>
      <w:r w:rsidRPr="00445D7B">
        <w:rPr>
          <w:lang w:val="fr-FR"/>
        </w:rPr>
        <w:tab/>
        <w:t>L’absence de facteurs atténuants (facteur de risque n°6) persiste malgré quelques gestes des autorités à l’égard des médias, qui restent insuffisants pour garantir une presse libre et indépendante. Les indicateurs sont les suivants : absence de société civile nationale solide, organisée et représentative, et de médias nationaux libres, diversifiés et indépendants</w:t>
      </w:r>
      <w:r w:rsidRPr="000E79FE">
        <w:rPr>
          <w:rStyle w:val="FootnoteReference"/>
        </w:rPr>
        <w:footnoteReference w:id="506"/>
      </w:r>
      <w:r w:rsidRPr="00445D7B">
        <w:rPr>
          <w:lang w:val="fr-FR"/>
        </w:rPr>
        <w:t xml:space="preserve"> (6b) ; absence d’accès aux médias internationaux (6c) ; coopération limitée, voire inexistante, avec les mécanismes internationaux et régionaux des droits de l’homme (6g) ; manque de volonté du Gouvernement d’engager un dialogue, de faire des concessions et de solliciter l’appui de la communauté internationale, notamment sur les questions des droits de l’homme (6h) ; manque de soutien de certains États limitrophes pour protéger la population burundaise en quête de refuge (6j) ; absence de mécanisme national d’alerte rapide (6k).</w:t>
      </w:r>
    </w:p>
    <w:p w14:paraId="2259ED02" w14:textId="77777777" w:rsidR="00445D7B" w:rsidRPr="00445D7B" w:rsidRDefault="00445D7B" w:rsidP="00445D7B">
      <w:pPr>
        <w:pStyle w:val="SingleTxtG"/>
        <w:rPr>
          <w:lang w:val="fr-FR"/>
        </w:rPr>
      </w:pPr>
      <w:r w:rsidRPr="00445D7B">
        <w:rPr>
          <w:lang w:val="fr-FR"/>
        </w:rPr>
        <w:t>328.</w:t>
      </w:r>
      <w:r w:rsidRPr="00445D7B">
        <w:rPr>
          <w:lang w:val="fr-FR"/>
        </w:rPr>
        <w:tab/>
        <w:t>La question de la coopération et de l’engagement du Burundi avec la communauté internationale et l’Organisation des Nations Unies mais aussi les organisations non gouvernementales internationales ou autres acteurs internationaux ou régionaux (6d) et (6f) est devenue complexe. D’un côté, le pays a redoublé ses efforts au niveau diplomatique afin de normaliser ses relations avec les pays de la région, les organisations internationales et régionales dont l’Union européenne, mais, parallèlement, il s’est opposé à toute coopération portant sur les questions politiques ou relatives aux droits de l’homme, notamment en fermant le Bureau de l’Envoyé spécial des Nations Unies et en refusant la réouverture du Bureau du Haut-Commissariat aux droits de l’homme.</w:t>
      </w:r>
    </w:p>
    <w:p w14:paraId="6EE6336D" w14:textId="77777777" w:rsidR="00445D7B" w:rsidRPr="00445D7B" w:rsidRDefault="00445D7B" w:rsidP="00445D7B">
      <w:pPr>
        <w:pStyle w:val="SingleTxtG"/>
        <w:rPr>
          <w:lang w:val="fr-FR"/>
        </w:rPr>
      </w:pPr>
      <w:r w:rsidRPr="00445D7B">
        <w:rPr>
          <w:lang w:val="fr-FR"/>
        </w:rPr>
        <w:t>329.</w:t>
      </w:r>
      <w:r w:rsidRPr="00445D7B">
        <w:rPr>
          <w:lang w:val="fr-FR"/>
        </w:rPr>
        <w:tab/>
        <w:t>Le facteur de risque n°7 porte sur un climat et des circonstances propices à la violence et aux violations des droits de l’homme, y compris l’instrumentalisation à des fins politiques de l’identité, d’événements du passé ou de motifs de se livrer à la violence. Les principaux indicateurs sont : l’ingérence dans des institutions vitales de l’État, ou des modifications de leur composition ou de l’équilibre des pouvoirs, ce qui est le cas en matière de quotas ethniques (7b) ; la mobilisation des Imbonerakure dans des zones qui sont le théâtre d’incidents de sécurité (7e) ; les violations persistantes du droit à la vie, du droit à l’intégrité physique, du droit à la liberté et du droit à la sécurité d’opposants politiques (7h) ; la politisation de l’identité et d’événements du passé, même si les déclarations provocatrices, les campagnes de propagande ou d’incitation à la haine avec une dimension politique et/ou ethnique ont diminué (7m).</w:t>
      </w:r>
    </w:p>
    <w:p w14:paraId="104FC44D" w14:textId="77777777" w:rsidR="00445D7B" w:rsidRPr="00445D7B" w:rsidRDefault="00445D7B" w:rsidP="00445D7B">
      <w:pPr>
        <w:pStyle w:val="SingleTxtG"/>
        <w:rPr>
          <w:lang w:val="fr-FR"/>
        </w:rPr>
      </w:pPr>
      <w:r w:rsidRPr="00445D7B">
        <w:rPr>
          <w:lang w:val="fr-FR"/>
        </w:rPr>
        <w:t>330.</w:t>
      </w:r>
      <w:r w:rsidRPr="00445D7B">
        <w:rPr>
          <w:lang w:val="fr-FR"/>
        </w:rPr>
        <w:tab/>
        <w:t>Le facteur de risque n°8 relatif aux facteurs déclencheurs s’était amenuisé à l’issue des élections de 2020. D’autres indicateurs ont également évolué positivement à cet égard : les succès diplomatiques des autorités burundaises auprès de la communauté internationale, dont les mesures ne sont plus systématiquement perçues comme des menaces à la souveraineté de l’État, sauf celles concernant les droits de l’homme (8c) ; les allégations réitérées de fraudes lors des élections 2020 n’ont pas altéré la légitimité du pouvoir (8d) ; les actes d’incitation ou la propagande haineuse envers les opposants politiques ont officiellement diminué après les élections (8g).</w:t>
      </w:r>
    </w:p>
    <w:p w14:paraId="5F2A806F" w14:textId="77777777" w:rsidR="00EA0F0E" w:rsidRDefault="00445D7B" w:rsidP="00445D7B">
      <w:pPr>
        <w:pStyle w:val="SingleTxtG"/>
        <w:rPr>
          <w:lang w:val="fr-FR"/>
        </w:rPr>
      </w:pPr>
      <w:r w:rsidRPr="00445D7B">
        <w:rPr>
          <w:lang w:val="fr-FR"/>
        </w:rPr>
        <w:t>331.</w:t>
      </w:r>
      <w:r w:rsidRPr="00445D7B">
        <w:rPr>
          <w:lang w:val="fr-FR"/>
        </w:rPr>
        <w:tab/>
        <w:t>Cependant des indicateurs persistent : des actes de violence graves (8e) ; le problème de la mémoire et de la commémoration officielle des crimes du passé ou d’épisodes traumatiques ou historiques sur une base ethnique qui pourrait exacerber les tensions entre groupes (8k) ; et des actes liés aux processus d’établissement des responsabilités pour des atrocités passées qui peuvent être perçus comme injustes (8l). Il reste aussi à voir ce qu’il sera fait du recensement de tous les fonctionnaires et de celui à venir de la population, et des craintes et critiques qu’ils suscitent en raison de questions sur l’appartenance ethnique (8h).</w:t>
      </w:r>
    </w:p>
    <w:p w14:paraId="7C8E0095" w14:textId="77777777" w:rsidR="00A32F3C" w:rsidRPr="00A32F3C" w:rsidRDefault="00FF7160" w:rsidP="002560B3">
      <w:pPr>
        <w:pStyle w:val="HChG"/>
      </w:pPr>
      <w:r>
        <w:tab/>
      </w:r>
      <w:r w:rsidR="007E5390">
        <w:t>V</w:t>
      </w:r>
      <w:r w:rsidR="00A32F3C" w:rsidRPr="00A32F3C">
        <w:t>.</w:t>
      </w:r>
      <w:r w:rsidR="00A32F3C" w:rsidRPr="00A32F3C">
        <w:tab/>
        <w:t>Conclusions et recommandations</w:t>
      </w:r>
    </w:p>
    <w:p w14:paraId="6EB9414C" w14:textId="77777777" w:rsidR="00A32F3C" w:rsidRPr="00A32F3C" w:rsidRDefault="00A32F3C" w:rsidP="00A32F3C">
      <w:pPr>
        <w:pStyle w:val="SingleTxtG"/>
        <w:rPr>
          <w:b/>
        </w:rPr>
      </w:pPr>
      <w:r w:rsidRPr="00251C07">
        <w:t>332</w:t>
      </w:r>
      <w:r w:rsidRPr="00A32F3C">
        <w:rPr>
          <w:b/>
        </w:rPr>
        <w:t>.</w:t>
      </w:r>
      <w:r w:rsidRPr="00A32F3C">
        <w:rPr>
          <w:b/>
        </w:rPr>
        <w:tab/>
        <w:t>Après plus d’un an d’exercice du pouvoir, si le Président Ndayishimiye et son Gouvernement ont nettement amélioré les relations entre le Burundi et la communauté internationale, peu de choses ont changé en profondeur au niveau des droits de l’homme. Des gestes symboliques, parfois spectaculaires, ont été faits, mais ils ne peuvent pas contribuer à lutter durablement contre l’impunité ou la corruption ni à rouvrir l’espace démocratique. Des violations graves des droits de l’homme ont continué à être commises par des agents de l’État et des Imbonerakure à l’instigation des autorités ou avec leur acquiescement. Les facteurs de risque ont certes évolué, mais ils demeurent tous présents.</w:t>
      </w:r>
    </w:p>
    <w:p w14:paraId="540AF379" w14:textId="77777777" w:rsidR="00A32F3C" w:rsidRPr="00A32F3C" w:rsidRDefault="00A32F3C" w:rsidP="00A32F3C">
      <w:pPr>
        <w:pStyle w:val="SingleTxtG"/>
        <w:rPr>
          <w:b/>
        </w:rPr>
      </w:pPr>
      <w:r w:rsidRPr="00251C07">
        <w:t>333</w:t>
      </w:r>
      <w:r w:rsidRPr="00A32F3C">
        <w:rPr>
          <w:b/>
        </w:rPr>
        <w:t>.</w:t>
      </w:r>
      <w:r w:rsidRPr="00A32F3C">
        <w:rPr>
          <w:b/>
          <w:bCs/>
        </w:rPr>
        <w:tab/>
        <w:t>L</w:t>
      </w:r>
      <w:r w:rsidRPr="00A32F3C">
        <w:rPr>
          <w:b/>
        </w:rPr>
        <w:t>a Commission fait donc les recommandations suivantes aux autorités burundaises :</w:t>
      </w:r>
    </w:p>
    <w:p w14:paraId="432B5454" w14:textId="77777777" w:rsidR="00A32F3C" w:rsidRPr="00A32F3C" w:rsidRDefault="00A32F3C" w:rsidP="00332C6D">
      <w:pPr>
        <w:pStyle w:val="SingleTxtG"/>
        <w:ind w:firstLine="567"/>
        <w:rPr>
          <w:b/>
        </w:rPr>
      </w:pPr>
      <w:r w:rsidRPr="00A32F3C">
        <w:rPr>
          <w:b/>
        </w:rPr>
        <w:t>a)</w:t>
      </w:r>
      <w:r w:rsidRPr="00A32F3C">
        <w:rPr>
          <w:b/>
        </w:rPr>
        <w:tab/>
        <w:t>Mettre en œuvre les précédentes recommandations de la Commission, notamment celles concernant les mesures prioritaires pour faire cesser les violations des droits de l’homme et les crimes internationaux, lutter contre l’impunité et les malversations économiques, rouvrir l’espace démocratique, garantir les libertés publiques, réformer le système judiciaire et contrôler les Imbonerakure</w:t>
      </w:r>
      <w:r w:rsidRPr="002560B3">
        <w:rPr>
          <w:rStyle w:val="FootnoteReference"/>
        </w:rPr>
        <w:footnoteReference w:id="507"/>
      </w:r>
      <w:r w:rsidRPr="002560B3">
        <w:rPr>
          <w:rStyle w:val="FootnoteReference"/>
        </w:rPr>
        <w:t> </w:t>
      </w:r>
      <w:r w:rsidRPr="00A32F3C">
        <w:rPr>
          <w:b/>
        </w:rPr>
        <w:t>;</w:t>
      </w:r>
    </w:p>
    <w:p w14:paraId="21AD6577" w14:textId="77777777" w:rsidR="00A32F3C" w:rsidRPr="00A32F3C" w:rsidRDefault="00A32F3C" w:rsidP="00332C6D">
      <w:pPr>
        <w:pStyle w:val="SingleTxtG"/>
        <w:ind w:firstLine="567"/>
        <w:rPr>
          <w:b/>
        </w:rPr>
      </w:pPr>
      <w:r w:rsidRPr="00A32F3C">
        <w:rPr>
          <w:b/>
        </w:rPr>
        <w:t>b)</w:t>
      </w:r>
      <w:r w:rsidRPr="00A32F3C">
        <w:rPr>
          <w:b/>
        </w:rPr>
        <w:tab/>
        <w:t>Reconnaître publiquement l’existence des violations des droits de l’homme commises au Burundi depuis avril 2015, rechercher et punir les responsables, et accorder des réparations aux victimes ;</w:t>
      </w:r>
    </w:p>
    <w:p w14:paraId="6675DF3A" w14:textId="77777777" w:rsidR="00D0395B" w:rsidRDefault="00A32F3C" w:rsidP="00332C6D">
      <w:pPr>
        <w:pStyle w:val="SingleTxtG"/>
        <w:ind w:firstLine="567"/>
        <w:rPr>
          <w:b/>
        </w:rPr>
      </w:pPr>
      <w:r w:rsidRPr="00A32F3C">
        <w:rPr>
          <w:b/>
        </w:rPr>
        <w:t>c)</w:t>
      </w:r>
      <w:r w:rsidRPr="00A32F3C">
        <w:rPr>
          <w:b/>
        </w:rPr>
        <w:tab/>
        <w:t>Garantir la sécurité, la liberté et l’intégrité physique des opposants politiques et de leurs proches, des journalistes, des membres de la société civile, des défenseurs des droits de l’homme et des rapatriés ; veiller à ce qu’ils ne fassent pas l’objet d’actes de violence, d’intimidation, de harcèlement ou de toute forme de discrimination, notamment dans l’exercice de leurs libertés fondamentales ;</w:t>
      </w:r>
    </w:p>
    <w:p w14:paraId="141A391C" w14:textId="1BCB6F34" w:rsidR="00A32F3C" w:rsidRPr="00A32F3C" w:rsidRDefault="00A32F3C" w:rsidP="00332C6D">
      <w:pPr>
        <w:pStyle w:val="SingleTxtG"/>
        <w:ind w:firstLine="567"/>
        <w:rPr>
          <w:b/>
        </w:rPr>
      </w:pPr>
      <w:r w:rsidRPr="00A32F3C">
        <w:rPr>
          <w:b/>
        </w:rPr>
        <w:t>d)</w:t>
      </w:r>
      <w:r w:rsidRPr="00A32F3C">
        <w:rPr>
          <w:b/>
        </w:rPr>
        <w:tab/>
        <w:t>Garantir que la recherche des responsables d’attaques armées se fasse dans le respect des droits fondamentaux et des procédures légales et sans discrimination ;</w:t>
      </w:r>
    </w:p>
    <w:p w14:paraId="4D0DA776" w14:textId="77777777" w:rsidR="00A32F3C" w:rsidRPr="00A32F3C" w:rsidRDefault="00A32F3C" w:rsidP="00332C6D">
      <w:pPr>
        <w:pStyle w:val="SingleTxtG"/>
        <w:ind w:firstLine="567"/>
        <w:rPr>
          <w:b/>
        </w:rPr>
      </w:pPr>
      <w:r w:rsidRPr="00A32F3C">
        <w:rPr>
          <w:b/>
        </w:rPr>
        <w:t>e)</w:t>
      </w:r>
      <w:r w:rsidRPr="00A32F3C">
        <w:rPr>
          <w:b/>
        </w:rPr>
        <w:tab/>
        <w:t>Faire cesser définitivement l’usurpation des fonctions des forces de sécurité ou de la justice par des Imbonerakure, et poursuivre en justice et sanctionner de manière exemplaire ceux impliqués dans des violations ;</w:t>
      </w:r>
    </w:p>
    <w:p w14:paraId="1FDE2DDD" w14:textId="77777777" w:rsidR="00A32F3C" w:rsidRPr="00A32F3C" w:rsidRDefault="00A32F3C" w:rsidP="00332C6D">
      <w:pPr>
        <w:pStyle w:val="SingleTxtG"/>
        <w:ind w:firstLine="567"/>
        <w:rPr>
          <w:b/>
        </w:rPr>
      </w:pPr>
      <w:r w:rsidRPr="00A32F3C">
        <w:rPr>
          <w:b/>
        </w:rPr>
        <w:t>f)</w:t>
      </w:r>
      <w:r w:rsidRPr="00A32F3C">
        <w:rPr>
          <w:b/>
        </w:rPr>
        <w:tab/>
        <w:t>Instaurer un mécanisme national de prévention de la torture conforme aux normes internationales, qui s’attèle en priorité à empêcher la torture par les agents du SNR ;</w:t>
      </w:r>
    </w:p>
    <w:p w14:paraId="29924284" w14:textId="77777777" w:rsidR="00A32F3C" w:rsidRPr="00A32F3C" w:rsidRDefault="00A32F3C" w:rsidP="00332C6D">
      <w:pPr>
        <w:pStyle w:val="SingleTxtG"/>
        <w:ind w:firstLine="567"/>
        <w:rPr>
          <w:b/>
        </w:rPr>
      </w:pPr>
      <w:r w:rsidRPr="00A32F3C">
        <w:rPr>
          <w:b/>
        </w:rPr>
        <w:t>g)</w:t>
      </w:r>
      <w:r w:rsidRPr="00A32F3C">
        <w:rPr>
          <w:b/>
        </w:rPr>
        <w:tab/>
        <w:t>Coopérer pleinement avec tous les mécanismes internationaux et régionaux des droits de l’homme, y compris sur les questions sensibles, et leur permettre d’entreprendre des activités de contrôle indépendant et, dans ce sens, rouvrir le bureau de pays du Haut-Commissariat des Nations Unies aux droits de l’homme ;</w:t>
      </w:r>
    </w:p>
    <w:p w14:paraId="6B0E8383" w14:textId="77777777" w:rsidR="00A32F3C" w:rsidRPr="00A32F3C" w:rsidRDefault="00A32F3C" w:rsidP="00332C6D">
      <w:pPr>
        <w:pStyle w:val="SingleTxtG"/>
        <w:ind w:firstLine="567"/>
        <w:rPr>
          <w:b/>
        </w:rPr>
      </w:pPr>
      <w:r w:rsidRPr="00A32F3C">
        <w:rPr>
          <w:b/>
        </w:rPr>
        <w:t>h)</w:t>
      </w:r>
      <w:r w:rsidRPr="00A32F3C">
        <w:rPr>
          <w:b/>
        </w:rPr>
        <w:tab/>
        <w:t>Prendre des mesures afin de lutter efficacement contre la corruption, notamment en mettant en œuvre les recommandations du Groupe d’examen de l’application de la Convention des Nations Unies contre la corruption</w:t>
      </w:r>
      <w:r w:rsidRPr="002560B3">
        <w:rPr>
          <w:rStyle w:val="FootnoteReference"/>
        </w:rPr>
        <w:footnoteReference w:id="508"/>
      </w:r>
      <w:r w:rsidRPr="00A32F3C">
        <w:rPr>
          <w:b/>
        </w:rPr>
        <w:t>, mais également en :</w:t>
      </w:r>
    </w:p>
    <w:p w14:paraId="4FA8B9D6" w14:textId="238B4547" w:rsidR="00A32F3C" w:rsidRPr="00A32F3C" w:rsidRDefault="00A32F3C" w:rsidP="00A32F3C">
      <w:pPr>
        <w:pStyle w:val="SingleTxtG"/>
        <w:rPr>
          <w:b/>
        </w:rPr>
      </w:pPr>
      <w:r w:rsidRPr="00A32F3C">
        <w:rPr>
          <w:b/>
        </w:rPr>
        <w:t>Instituant des sanctions significatives pour les faits de corruption de nature à garantir une dissuasion administrative, réglementaire, financière et économique :</w:t>
      </w:r>
    </w:p>
    <w:p w14:paraId="16EE1C9D" w14:textId="77777777" w:rsidR="00A32F3C" w:rsidRPr="00A32F3C" w:rsidRDefault="00A32F3C" w:rsidP="00A32F3C">
      <w:pPr>
        <w:pStyle w:val="SingleTxtG"/>
        <w:rPr>
          <w:b/>
        </w:rPr>
      </w:pPr>
      <w:r w:rsidRPr="00A32F3C">
        <w:rPr>
          <w:b/>
        </w:rPr>
        <w:t>Renforçant la gestion des programmes de développement, notamment leur suivi et l’évaluation, les audits, les retours d’information et les examens par des organismes consultatifs internationaux et indépendants à travers des objectifs mesurables afin d’éradiquer toute possibilité de détournement des fonds ;</w:t>
      </w:r>
    </w:p>
    <w:p w14:paraId="47CC6CA8" w14:textId="601674E8" w:rsidR="00A32F3C" w:rsidRPr="00A32F3C" w:rsidRDefault="00A32F3C" w:rsidP="00A32F3C">
      <w:pPr>
        <w:pStyle w:val="SingleTxtG"/>
        <w:rPr>
          <w:b/>
        </w:rPr>
      </w:pPr>
      <w:r w:rsidRPr="00A32F3C">
        <w:rPr>
          <w:b/>
        </w:rPr>
        <w:t>Maintenant, réformant et améliorant l’efficacité des institutions spécialisées anti-corruption, notamment la Cour anti-corruption et la Brigade spéciale anti-corruption</w:t>
      </w:r>
      <w:r w:rsidR="00E02B24">
        <w:rPr>
          <w:b/>
        </w:rPr>
        <w:t> </w:t>
      </w:r>
      <w:r w:rsidRPr="00A32F3C">
        <w:rPr>
          <w:b/>
        </w:rPr>
        <w:t>;</w:t>
      </w:r>
    </w:p>
    <w:p w14:paraId="087136A9" w14:textId="77777777" w:rsidR="00A32F3C" w:rsidRPr="00A32F3C" w:rsidRDefault="00A32F3C" w:rsidP="00332C6D">
      <w:pPr>
        <w:pStyle w:val="SingleTxtG"/>
        <w:ind w:firstLine="567"/>
        <w:rPr>
          <w:b/>
        </w:rPr>
      </w:pPr>
      <w:r w:rsidRPr="00A32F3C">
        <w:rPr>
          <w:b/>
        </w:rPr>
        <w:t>i)</w:t>
      </w:r>
      <w:r w:rsidRPr="00A32F3C">
        <w:rPr>
          <w:b/>
        </w:rPr>
        <w:tab/>
        <w:t>Garantir la transparence et la bonne gouvernance dans la gestion des ressources provenant de l'exploitation minière, notamment en :</w:t>
      </w:r>
    </w:p>
    <w:p w14:paraId="7A4AABC3" w14:textId="77777777" w:rsidR="00A32F3C" w:rsidRPr="00A32F3C" w:rsidRDefault="00A32F3C" w:rsidP="00A32F3C">
      <w:pPr>
        <w:pStyle w:val="SingleTxtG"/>
        <w:rPr>
          <w:b/>
        </w:rPr>
      </w:pPr>
      <w:r w:rsidRPr="00A32F3C">
        <w:rPr>
          <w:b/>
        </w:rPr>
        <w:t>Mettant en œuvre les Lignes directrices de l’OCDE sur la diligence raisonnable pour des chaînes d’approvisionnement responsables en minéraux provenant de zones touchées par un conflit ou à haut risque ;</w:t>
      </w:r>
    </w:p>
    <w:p w14:paraId="1DAC44CA" w14:textId="77777777" w:rsidR="00A32F3C" w:rsidRPr="00A32F3C" w:rsidRDefault="00A32F3C" w:rsidP="00A32F3C">
      <w:pPr>
        <w:pStyle w:val="SingleTxtG"/>
        <w:rPr>
          <w:b/>
        </w:rPr>
      </w:pPr>
      <w:r w:rsidRPr="00A32F3C">
        <w:rPr>
          <w:b/>
        </w:rPr>
        <w:t>Prenant toutes les mesures nécessaires pour se conformer immédiatement au système de suivi et de certification des minéraux de la CIRGL ;</w:t>
      </w:r>
    </w:p>
    <w:p w14:paraId="74D7B10D" w14:textId="77777777" w:rsidR="00A32F3C" w:rsidRPr="00A32F3C" w:rsidRDefault="00A32F3C" w:rsidP="00A32F3C">
      <w:pPr>
        <w:pStyle w:val="SingleTxtG"/>
        <w:rPr>
          <w:b/>
        </w:rPr>
      </w:pPr>
      <w:r w:rsidRPr="00A32F3C">
        <w:rPr>
          <w:b/>
        </w:rPr>
        <w:t>Adhérant à l’Initiative pour la transparence dans les industries extractives (ITIE) ;</w:t>
      </w:r>
    </w:p>
    <w:p w14:paraId="11B03E5B" w14:textId="77777777" w:rsidR="00A32F3C" w:rsidRPr="00A32F3C" w:rsidRDefault="00A32F3C" w:rsidP="00A32F3C">
      <w:pPr>
        <w:pStyle w:val="SingleTxtG"/>
        <w:rPr>
          <w:b/>
        </w:rPr>
      </w:pPr>
      <w:r w:rsidRPr="00A32F3C">
        <w:rPr>
          <w:b/>
        </w:rPr>
        <w:t>Établissant un registre national public des membres et principaux actionnaires des sociétés burundaises qui sont parties à des contrats miniers ;</w:t>
      </w:r>
    </w:p>
    <w:p w14:paraId="3154DBA3" w14:textId="77777777" w:rsidR="00A32F3C" w:rsidRPr="00A32F3C" w:rsidRDefault="00A32F3C" w:rsidP="00A32F3C">
      <w:pPr>
        <w:pStyle w:val="SingleTxtG"/>
        <w:rPr>
          <w:b/>
        </w:rPr>
      </w:pPr>
      <w:r w:rsidRPr="00A32F3C">
        <w:rPr>
          <w:b/>
        </w:rPr>
        <w:t>Garantissant que les renégociations de licences minières se fassent en toute transparence ;</w:t>
      </w:r>
    </w:p>
    <w:p w14:paraId="1F7AC6FF" w14:textId="77777777" w:rsidR="00A32F3C" w:rsidRPr="00A32F3C" w:rsidRDefault="00A32F3C" w:rsidP="00332C6D">
      <w:pPr>
        <w:pStyle w:val="SingleTxtG"/>
        <w:ind w:firstLine="567"/>
        <w:rPr>
          <w:b/>
        </w:rPr>
      </w:pPr>
      <w:r w:rsidRPr="00A32F3C">
        <w:rPr>
          <w:b/>
        </w:rPr>
        <w:t>j)</w:t>
      </w:r>
      <w:r w:rsidRPr="00A32F3C">
        <w:rPr>
          <w:b/>
        </w:rPr>
        <w:tab/>
        <w:t>Garantir que le travail de la Commission vérité et réconciliation soit professionnel, inclusif, impartial, objectif, transparent, équilibré, intègre et crédible, pour qu’il puisse contribuer véritablement et durablement à la réconciliation nationale ;</w:t>
      </w:r>
    </w:p>
    <w:p w14:paraId="4430E2C1" w14:textId="488CF57D" w:rsidR="00A32F3C" w:rsidRPr="00A32F3C" w:rsidRDefault="00A32F3C" w:rsidP="00332C6D">
      <w:pPr>
        <w:pStyle w:val="SingleTxtG"/>
        <w:ind w:firstLine="567"/>
        <w:rPr>
          <w:b/>
        </w:rPr>
      </w:pPr>
      <w:r w:rsidRPr="00A32F3C">
        <w:rPr>
          <w:b/>
        </w:rPr>
        <w:t>k)</w:t>
      </w:r>
      <w:r w:rsidRPr="00A32F3C">
        <w:rPr>
          <w:b/>
        </w:rPr>
        <w:tab/>
        <w:t xml:space="preserve">Prendre des mesures urgentes afin de restaurer l’état de droit en garantissant le règne de la loi, y compris au sein du Gouvernement et des institutions de l’appareil d’État, et le respect de la séparation des pouvoirs, y compris en veillant au respect des équilibres ethniques dans la structure des institutions étatiques, </w:t>
      </w:r>
      <w:r w:rsidR="002508B4">
        <w:rPr>
          <w:b/>
        </w:rPr>
        <w:t>conformé</w:t>
      </w:r>
      <w:r w:rsidRPr="00A32F3C">
        <w:rPr>
          <w:b/>
        </w:rPr>
        <w:t>ment à l’accord de paix d’Arusha et la Constitution burundaise ;</w:t>
      </w:r>
    </w:p>
    <w:p w14:paraId="2277CFD8" w14:textId="77777777" w:rsidR="00A32F3C" w:rsidRPr="00A32F3C" w:rsidRDefault="00A32F3C" w:rsidP="00332C6D">
      <w:pPr>
        <w:pStyle w:val="SingleTxtG"/>
        <w:ind w:firstLine="567"/>
        <w:rPr>
          <w:b/>
        </w:rPr>
      </w:pPr>
      <w:r w:rsidRPr="00A32F3C">
        <w:rPr>
          <w:b/>
        </w:rPr>
        <w:t>l)</w:t>
      </w:r>
      <w:r w:rsidRPr="00A32F3C">
        <w:rPr>
          <w:b/>
        </w:rPr>
        <w:tab/>
        <w:t>Garantir la jouissance par la population du droit à la vie dans la dignité</w:t>
      </w:r>
      <w:r w:rsidRPr="00A32F3C">
        <w:rPr>
          <w:b/>
          <w:vertAlign w:val="superscript"/>
        </w:rPr>
        <w:footnoteReference w:id="509"/>
      </w:r>
      <w:r w:rsidRPr="00A32F3C">
        <w:rPr>
          <w:b/>
        </w:rPr>
        <w:t xml:space="preserve"> et de ses droits économiques et sociaux, particulièrement le droit à un niveau de vie suffisant, notamment en élaborant et mettant en œuvre les budgets de l’État de manière à utiliser au maximum les ressources disponibles.</w:t>
      </w:r>
    </w:p>
    <w:p w14:paraId="243398F6" w14:textId="77777777" w:rsidR="00A32F3C" w:rsidRPr="00A32F3C" w:rsidRDefault="00A32F3C" w:rsidP="00A32F3C">
      <w:pPr>
        <w:pStyle w:val="SingleTxtG"/>
        <w:rPr>
          <w:b/>
        </w:rPr>
      </w:pPr>
      <w:r w:rsidRPr="00251C07">
        <w:t>334</w:t>
      </w:r>
      <w:r w:rsidRPr="00A32F3C">
        <w:rPr>
          <w:b/>
        </w:rPr>
        <w:t>.</w:t>
      </w:r>
      <w:r w:rsidRPr="00A32F3C">
        <w:rPr>
          <w:b/>
        </w:rPr>
        <w:tab/>
        <w:t>La Commission recommande aux groupes armés de cesser les atteintes aux droits de l’homme et tout acte de violence contre les institutions de l’État et contre les civils.</w:t>
      </w:r>
    </w:p>
    <w:p w14:paraId="6A7FDFC5" w14:textId="77777777" w:rsidR="00A32F3C" w:rsidRPr="00A32F3C" w:rsidRDefault="00A32F3C" w:rsidP="00A32F3C">
      <w:pPr>
        <w:pStyle w:val="SingleTxtG"/>
        <w:rPr>
          <w:b/>
        </w:rPr>
      </w:pPr>
      <w:r w:rsidRPr="00251C07">
        <w:t>335</w:t>
      </w:r>
      <w:r w:rsidRPr="00A32F3C">
        <w:rPr>
          <w:b/>
        </w:rPr>
        <w:t>.</w:t>
      </w:r>
      <w:r w:rsidRPr="00A32F3C">
        <w:rPr>
          <w:b/>
        </w:rPr>
        <w:tab/>
        <w:t>La Commission adresse à la communauté internationale les recommandations suivantes :</w:t>
      </w:r>
    </w:p>
    <w:p w14:paraId="46B87091" w14:textId="77777777" w:rsidR="00A32F3C" w:rsidRPr="00A32F3C" w:rsidRDefault="00A32F3C" w:rsidP="00332C6D">
      <w:pPr>
        <w:pStyle w:val="SingleTxtG"/>
        <w:ind w:firstLine="567"/>
        <w:rPr>
          <w:b/>
        </w:rPr>
      </w:pPr>
      <w:r w:rsidRPr="00A32F3C">
        <w:rPr>
          <w:b/>
        </w:rPr>
        <w:t>a)</w:t>
      </w:r>
      <w:r w:rsidRPr="00A32F3C">
        <w:rPr>
          <w:b/>
        </w:rPr>
        <w:tab/>
        <w:t>Maintenir sa vigilance sur la situation des droits de l’homme au Burundi, notamment grâce à un mécanisme international indépendant qui puisse suivre objectivement la situation des droits de l’homme dans ce pays ;</w:t>
      </w:r>
    </w:p>
    <w:p w14:paraId="2CC34903" w14:textId="77777777" w:rsidR="00A32F3C" w:rsidRPr="00A32F3C" w:rsidRDefault="00A32F3C" w:rsidP="00332C6D">
      <w:pPr>
        <w:pStyle w:val="SingleTxtG"/>
        <w:ind w:firstLine="567"/>
        <w:rPr>
          <w:b/>
        </w:rPr>
      </w:pPr>
      <w:r w:rsidRPr="00A32F3C">
        <w:rPr>
          <w:b/>
        </w:rPr>
        <w:t>b)</w:t>
      </w:r>
      <w:r w:rsidRPr="00A32F3C">
        <w:rPr>
          <w:b/>
        </w:rPr>
        <w:tab/>
        <w:t>Veiller à ce que les réfugiés ne soient pas forcés à rentrer au Burundi dans le cadre du programme tripartite d’appui au retour volontaire, notamment en raison de conditions de vie dégradées, et à ce que les retours soient volontaires, dignes et sécurisés ;</w:t>
      </w:r>
    </w:p>
    <w:p w14:paraId="5AD4C5DD" w14:textId="77777777" w:rsidR="00A32F3C" w:rsidRPr="00A32F3C" w:rsidRDefault="00A32F3C" w:rsidP="00332C6D">
      <w:pPr>
        <w:pStyle w:val="SingleTxtG"/>
        <w:ind w:firstLine="567"/>
        <w:rPr>
          <w:b/>
        </w:rPr>
      </w:pPr>
      <w:r w:rsidRPr="00A32F3C">
        <w:rPr>
          <w:b/>
        </w:rPr>
        <w:t>c)</w:t>
      </w:r>
      <w:r w:rsidRPr="00A32F3C">
        <w:rPr>
          <w:b/>
        </w:rPr>
        <w:tab/>
        <w:t>Soutenir les organisations indépendantes de la société civile travaillant sur les droits de l’homme au Burundi, y compris celles en dehors du pays, notamment pour faire des enquêtes et des rapports publics sur les violations des droits de l’homme dans ce pays.</w:t>
      </w:r>
    </w:p>
    <w:p w14:paraId="2FB79DF5" w14:textId="77777777" w:rsidR="00A32F3C" w:rsidRPr="00A32F3C" w:rsidRDefault="00A32F3C" w:rsidP="00A32F3C">
      <w:pPr>
        <w:pStyle w:val="SingleTxtG"/>
        <w:rPr>
          <w:b/>
        </w:rPr>
      </w:pPr>
      <w:r w:rsidRPr="00251C07">
        <w:t>336</w:t>
      </w:r>
      <w:r w:rsidRPr="00A32F3C">
        <w:rPr>
          <w:b/>
        </w:rPr>
        <w:t>.</w:t>
      </w:r>
      <w:r w:rsidRPr="00A32F3C">
        <w:rPr>
          <w:b/>
        </w:rPr>
        <w:tab/>
        <w:t>La Commission adresse aux partenaires techniques et financiers du Burundi les recommandations suivantes :</w:t>
      </w:r>
    </w:p>
    <w:p w14:paraId="32337E58" w14:textId="77777777" w:rsidR="00A32F3C" w:rsidRPr="00A32F3C" w:rsidRDefault="00A32F3C" w:rsidP="00332C6D">
      <w:pPr>
        <w:pStyle w:val="SingleTxtG"/>
        <w:ind w:firstLine="567"/>
        <w:rPr>
          <w:b/>
        </w:rPr>
      </w:pPr>
      <w:r w:rsidRPr="00A32F3C">
        <w:rPr>
          <w:b/>
        </w:rPr>
        <w:t>a)</w:t>
      </w:r>
      <w:r w:rsidRPr="00A32F3C">
        <w:rPr>
          <w:b/>
        </w:rPr>
        <w:tab/>
        <w:t>Mettre en place des procédures pour minimiser au maximum et éradiquer les risques de malversations économiques dans le cadre de projets d’aide au développement ;</w:t>
      </w:r>
    </w:p>
    <w:p w14:paraId="7C82D49A" w14:textId="77777777" w:rsidR="00A32F3C" w:rsidRPr="00A32F3C" w:rsidRDefault="00A32F3C" w:rsidP="00332C6D">
      <w:pPr>
        <w:pStyle w:val="SingleTxtG"/>
        <w:ind w:firstLine="567"/>
        <w:rPr>
          <w:b/>
        </w:rPr>
      </w:pPr>
      <w:r w:rsidRPr="00A32F3C">
        <w:rPr>
          <w:b/>
        </w:rPr>
        <w:t>b)</w:t>
      </w:r>
      <w:r w:rsidRPr="00A32F3C">
        <w:rPr>
          <w:b/>
        </w:rPr>
        <w:tab/>
        <w:t>Favoriser les projets qui visent à atténuer durablement les facteurs de risque et améliorer la transparence et la redevabilité en matière de gestion des finances publiques.</w:t>
      </w:r>
    </w:p>
    <w:p w14:paraId="42230198" w14:textId="13763D96" w:rsidR="006354E7" w:rsidRPr="00FA45AB" w:rsidRDefault="00A32F3C" w:rsidP="00A32F3C">
      <w:pPr>
        <w:pStyle w:val="SingleTxtG"/>
        <w:rPr>
          <w:b/>
        </w:rPr>
      </w:pPr>
      <w:r w:rsidRPr="00251C07">
        <w:t>337</w:t>
      </w:r>
      <w:r w:rsidRPr="00FA45AB">
        <w:rPr>
          <w:b/>
        </w:rPr>
        <w:t xml:space="preserve">. </w:t>
      </w:r>
      <w:r w:rsidR="00E02B24">
        <w:rPr>
          <w:b/>
        </w:rPr>
        <w:tab/>
      </w:r>
      <w:r w:rsidRPr="00FA45AB">
        <w:rPr>
          <w:b/>
        </w:rPr>
        <w:t>Finalement, la Commission recommande à l’Alliance mondiale des institutions nationales des droits de l’homme (GANHRI) de veiller à ce que la Commission nationale indépendante des droits de l’homme soit en mesure de fonctionner de manière conforme aux principes de Paris, y compris en l’aidant à renforcer son indépendance et ses capacités</w:t>
      </w:r>
      <w:r w:rsidR="00FF7160" w:rsidRPr="00FA45AB">
        <w:rPr>
          <w:b/>
        </w:rPr>
        <w:t>.</w:t>
      </w:r>
    </w:p>
    <w:p w14:paraId="5401028D" w14:textId="77777777" w:rsidR="006354E7" w:rsidRPr="00FA45AB" w:rsidRDefault="006354E7">
      <w:pPr>
        <w:rPr>
          <w:b/>
        </w:rPr>
      </w:pPr>
      <w:r w:rsidRPr="00FA45AB">
        <w:rPr>
          <w:b/>
        </w:rPr>
        <w:br w:type="page"/>
      </w:r>
    </w:p>
    <w:p w14:paraId="45CBCF5D" w14:textId="7C84F422" w:rsidR="006354E7" w:rsidRPr="00FD140A" w:rsidRDefault="007E5390" w:rsidP="006354E7">
      <w:pPr>
        <w:pStyle w:val="HMG"/>
        <w:rPr>
          <w:sz w:val="20"/>
          <w:lang w:eastAsia="en-GB"/>
        </w:rPr>
      </w:pPr>
      <w:r>
        <w:rPr>
          <w:noProof/>
          <w:lang w:eastAsia="en-GB"/>
        </w:rPr>
        <w:tab/>
      </w:r>
      <w:r w:rsidR="006354E7" w:rsidRPr="00841F62">
        <w:rPr>
          <w:noProof/>
          <w:lang w:eastAsia="en-GB"/>
        </w:rPr>
        <w:t>Annexes</w:t>
      </w:r>
    </w:p>
    <w:p w14:paraId="36DEEB18" w14:textId="77777777" w:rsidR="006354E7" w:rsidRPr="00191564" w:rsidRDefault="006354E7" w:rsidP="006354E7">
      <w:pPr>
        <w:pStyle w:val="HChG"/>
        <w:rPr>
          <w:lang w:eastAsia="en-GB"/>
        </w:rPr>
      </w:pPr>
      <w:r w:rsidRPr="00191564">
        <w:rPr>
          <w:lang w:eastAsia="en-GB"/>
        </w:rPr>
        <w:tab/>
      </w:r>
      <w:r>
        <w:rPr>
          <w:lang w:eastAsia="en-GB"/>
        </w:rPr>
        <w:t>I.</w:t>
      </w:r>
      <w:r w:rsidRPr="00191564">
        <w:rPr>
          <w:lang w:eastAsia="en-GB"/>
        </w:rPr>
        <w:tab/>
        <w:t>Carte du Burundi</w:t>
      </w:r>
    </w:p>
    <w:p w14:paraId="20EDB610" w14:textId="77777777" w:rsidR="006354E7" w:rsidRPr="001F0A9B" w:rsidRDefault="006354E7" w:rsidP="006354E7">
      <w:pPr>
        <w:rPr>
          <w:b/>
          <w:lang w:eastAsia="en-GB"/>
        </w:rPr>
      </w:pPr>
    </w:p>
    <w:p w14:paraId="5A6E3C15" w14:textId="77777777" w:rsidR="006354E7" w:rsidRPr="001F0A9B" w:rsidRDefault="006354E7" w:rsidP="006354E7">
      <w:pPr>
        <w:rPr>
          <w:b/>
          <w:lang w:eastAsia="en-GB"/>
        </w:rPr>
      </w:pPr>
      <w:r w:rsidRPr="001F0A9B">
        <w:rPr>
          <w:noProof/>
          <w:lang w:val="en-GB" w:eastAsia="en-GB"/>
        </w:rPr>
        <w:drawing>
          <wp:inline distT="0" distB="0" distL="0" distR="0" wp14:anchorId="6DD245F4" wp14:editId="36D286CB">
            <wp:extent cx="5585460" cy="6908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405" cy="6965631"/>
                    </a:xfrm>
                    <a:prstGeom prst="rect">
                      <a:avLst/>
                    </a:prstGeom>
                    <a:noFill/>
                    <a:ln>
                      <a:noFill/>
                    </a:ln>
                  </pic:spPr>
                </pic:pic>
              </a:graphicData>
            </a:graphic>
          </wp:inline>
        </w:drawing>
      </w:r>
    </w:p>
    <w:p w14:paraId="5203DB47" w14:textId="77777777" w:rsidR="006354E7" w:rsidRPr="00191564" w:rsidRDefault="006354E7" w:rsidP="006354E7">
      <w:pPr>
        <w:pStyle w:val="HChG"/>
        <w:rPr>
          <w:lang w:eastAsia="en-GB"/>
        </w:rPr>
      </w:pPr>
      <w:r>
        <w:rPr>
          <w:lang w:eastAsia="en-GB"/>
        </w:rPr>
        <w:tab/>
        <w:t>II.</w:t>
      </w:r>
      <w:r w:rsidRPr="00191564">
        <w:rPr>
          <w:lang w:eastAsia="en-GB"/>
        </w:rPr>
        <w:tab/>
        <w:t>Correspondance avec le Gouvernement du Burundi</w:t>
      </w:r>
    </w:p>
    <w:p w14:paraId="790010FA" w14:textId="77777777" w:rsidR="006354E7" w:rsidRPr="00AE6049" w:rsidRDefault="006354E7" w:rsidP="006354E7">
      <w:pPr>
        <w:rPr>
          <w:lang w:val="en-GB" w:eastAsia="en-GB"/>
        </w:rPr>
      </w:pPr>
      <w:r w:rsidRPr="00805ACB">
        <w:rPr>
          <w:noProof/>
          <w:lang w:val="en-GB" w:eastAsia="en-GB"/>
        </w:rPr>
        <w:drawing>
          <wp:inline distT="0" distB="0" distL="0" distR="0" wp14:anchorId="4589FBFA" wp14:editId="599484AE">
            <wp:extent cx="5731510" cy="8105917"/>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8105917"/>
                    </a:xfrm>
                    <a:prstGeom prst="rect">
                      <a:avLst/>
                    </a:prstGeom>
                    <a:noFill/>
                    <a:ln>
                      <a:noFill/>
                    </a:ln>
                  </pic:spPr>
                </pic:pic>
              </a:graphicData>
            </a:graphic>
          </wp:inline>
        </w:drawing>
      </w:r>
    </w:p>
    <w:p w14:paraId="12982D07" w14:textId="77777777" w:rsidR="006354E7" w:rsidRDefault="006354E7" w:rsidP="006354E7">
      <w:pPr>
        <w:rPr>
          <w:lang w:eastAsia="en-GB"/>
        </w:rPr>
      </w:pPr>
      <w:r w:rsidRPr="00805ACB">
        <w:rPr>
          <w:noProof/>
          <w:lang w:val="en-GB" w:eastAsia="en-GB"/>
        </w:rPr>
        <w:drawing>
          <wp:inline distT="0" distB="0" distL="0" distR="0" wp14:anchorId="31B2DF67" wp14:editId="3631443E">
            <wp:extent cx="5731510" cy="8127164"/>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8127164"/>
                    </a:xfrm>
                    <a:prstGeom prst="rect">
                      <a:avLst/>
                    </a:prstGeom>
                    <a:noFill/>
                    <a:ln>
                      <a:noFill/>
                    </a:ln>
                  </pic:spPr>
                </pic:pic>
              </a:graphicData>
            </a:graphic>
          </wp:inline>
        </w:drawing>
      </w:r>
    </w:p>
    <w:p w14:paraId="73040FBA" w14:textId="77777777" w:rsidR="006354E7" w:rsidRDefault="006354E7" w:rsidP="006354E7">
      <w:pPr>
        <w:rPr>
          <w:b/>
          <w:sz w:val="24"/>
          <w:lang w:val="en-GB" w:eastAsia="en-GB"/>
        </w:rPr>
      </w:pPr>
      <w:r w:rsidRPr="00805ACB">
        <w:rPr>
          <w:noProof/>
          <w:lang w:val="en-GB" w:eastAsia="en-GB"/>
        </w:rPr>
        <w:drawing>
          <wp:inline distT="0" distB="0" distL="0" distR="0" wp14:anchorId="1B13BF7D" wp14:editId="5FA5E464">
            <wp:extent cx="5731510" cy="4069100"/>
            <wp:effectExtent l="0" t="0" r="254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069100"/>
                    </a:xfrm>
                    <a:prstGeom prst="rect">
                      <a:avLst/>
                    </a:prstGeom>
                    <a:noFill/>
                    <a:ln>
                      <a:noFill/>
                    </a:ln>
                  </pic:spPr>
                </pic:pic>
              </a:graphicData>
            </a:graphic>
          </wp:inline>
        </w:drawing>
      </w:r>
      <w:r>
        <w:rPr>
          <w:lang w:eastAsia="en-GB"/>
        </w:rPr>
        <w:br w:type="page"/>
      </w:r>
    </w:p>
    <w:p w14:paraId="7DDC3685" w14:textId="77777777" w:rsidR="006354E7" w:rsidRDefault="006354E7" w:rsidP="006354E7">
      <w:pPr>
        <w:pStyle w:val="HChG"/>
        <w:rPr>
          <w:lang w:eastAsia="en-GB"/>
        </w:rPr>
      </w:pPr>
      <w:r>
        <w:rPr>
          <w:lang w:eastAsia="en-GB"/>
        </w:rPr>
        <w:tab/>
        <w:t>III.</w:t>
      </w:r>
      <w:r>
        <w:rPr>
          <w:lang w:eastAsia="en-GB"/>
        </w:rPr>
        <w:tab/>
      </w:r>
      <w:r>
        <w:rPr>
          <w:lang w:eastAsia="en-GB"/>
        </w:rPr>
        <w:tab/>
        <w:t>Recommandations antérieures faites par la Commission</w:t>
      </w:r>
    </w:p>
    <w:p w14:paraId="04249883" w14:textId="77777777" w:rsidR="006354E7" w:rsidRPr="0084034F" w:rsidRDefault="006354E7" w:rsidP="006354E7">
      <w:pPr>
        <w:pStyle w:val="H1G"/>
        <w:tabs>
          <w:tab w:val="clear" w:pos="851"/>
          <w:tab w:val="right" w:pos="1134"/>
        </w:tabs>
        <w:ind w:hanging="567"/>
        <w:rPr>
          <w:lang w:val="fr-CH" w:eastAsia="en-GB"/>
        </w:rPr>
      </w:pPr>
      <w:r w:rsidRPr="0084034F">
        <w:rPr>
          <w:lang w:val="fr-CH" w:eastAsia="en-GB"/>
        </w:rPr>
        <w:t>1.</w:t>
      </w:r>
      <w:r w:rsidRPr="0084034F">
        <w:rPr>
          <w:lang w:val="fr-CH" w:eastAsia="en-GB"/>
        </w:rPr>
        <w:tab/>
      </w:r>
      <w:r w:rsidRPr="0084034F">
        <w:rPr>
          <w:lang w:val="fr-CH" w:eastAsia="en-GB"/>
        </w:rPr>
        <w:tab/>
        <w:t>Recommandations faites en 2020</w:t>
      </w:r>
    </w:p>
    <w:p w14:paraId="0AFB8760" w14:textId="77777777" w:rsidR="006354E7" w:rsidRPr="00280477" w:rsidRDefault="006354E7" w:rsidP="006354E7">
      <w:pPr>
        <w:pStyle w:val="H23G"/>
      </w:pPr>
      <w:r>
        <w:tab/>
      </w:r>
      <w:r>
        <w:tab/>
      </w:r>
      <w:r w:rsidRPr="00280477">
        <w:t>Version française</w:t>
      </w:r>
    </w:p>
    <w:p w14:paraId="6E8520AD" w14:textId="77777777" w:rsidR="006354E7" w:rsidRPr="00280477" w:rsidRDefault="006354E7" w:rsidP="006354E7">
      <w:pPr>
        <w:pStyle w:val="SingleTxtG"/>
      </w:pPr>
      <w:r>
        <w:t>1</w:t>
      </w:r>
      <w:r w:rsidRPr="00E13A03">
        <w:t>.</w:t>
      </w:r>
      <w:r w:rsidRPr="00280477">
        <w:rPr>
          <w:bCs/>
        </w:rPr>
        <w:tab/>
      </w:r>
      <w:r w:rsidRPr="00280477">
        <w:t xml:space="preserve">Vu la profondeur historique de la crise burundaise et la dimension en partie structurelle des violations des droits de l’homme, et prenant en compte le principe de la responsabilité de protéger le peuple burundais, y compris dans le cadre de la transition politique en cours au Burundi, ainsi que les mesures susceptibles d’atténuer les facteurs de risque, </w:t>
      </w:r>
      <w:r w:rsidRPr="00280477">
        <w:rPr>
          <w:bCs/>
        </w:rPr>
        <w:t>l</w:t>
      </w:r>
      <w:r w:rsidRPr="00280477">
        <w:t>a Commission réitère tout d’abord ses précédentes recommandations</w:t>
      </w:r>
      <w:r w:rsidRPr="00CE281A">
        <w:rPr>
          <w:rStyle w:val="FootnoteReference"/>
        </w:rPr>
        <w:footnoteReference w:id="510"/>
      </w:r>
      <w:r w:rsidRPr="00280477">
        <w:t>, qui demeurent entièrement valables et pertinentes, particulièrement celles adressées aux autorités burundaises concernant les mesures prioritaires pour faire cesser les violations des droits de l’homme et les crimes internationaux, lutter contre l’impunité et améliorer la situation des droits de l’homme dans le pays, notamment la réouverture de l’espace démocratique et la protection des libertés publiques. Ses recommandations portant sur les mesures à plus long terme relatives à la révision du cadre juridique et à la réforme du système judiciaire restent cruciales.</w:t>
      </w:r>
    </w:p>
    <w:p w14:paraId="29A77599" w14:textId="77777777" w:rsidR="006354E7" w:rsidRPr="00280477" w:rsidRDefault="006354E7" w:rsidP="006354E7">
      <w:pPr>
        <w:pStyle w:val="SingleTxtG"/>
        <w:rPr>
          <w:bCs/>
          <w:lang w:val="fr-FR"/>
        </w:rPr>
      </w:pPr>
      <w:r>
        <w:t>2</w:t>
      </w:r>
      <w:r w:rsidRPr="00280477">
        <w:t>.</w:t>
      </w:r>
      <w:r w:rsidRPr="00280477">
        <w:tab/>
        <w:t xml:space="preserve">Ensuite, la Commission adresse </w:t>
      </w:r>
      <w:r w:rsidRPr="00280477">
        <w:rPr>
          <w:bCs/>
          <w:lang w:val="fr-FR"/>
        </w:rPr>
        <w:t>aux autorités burundaise</w:t>
      </w:r>
      <w:r>
        <w:rPr>
          <w:bCs/>
          <w:lang w:val="fr-FR"/>
        </w:rPr>
        <w:t>s les recommandations suivantes</w:t>
      </w:r>
      <w:r w:rsidRPr="00280477">
        <w:rPr>
          <w:bCs/>
          <w:lang w:val="fr-FR"/>
        </w:rPr>
        <w:t>:</w:t>
      </w:r>
    </w:p>
    <w:p w14:paraId="18574068" w14:textId="77777777" w:rsidR="006354E7" w:rsidRDefault="006354E7" w:rsidP="006354E7">
      <w:pPr>
        <w:pStyle w:val="Bullet1G"/>
        <w:numPr>
          <w:ilvl w:val="0"/>
          <w:numId w:val="0"/>
        </w:numPr>
        <w:tabs>
          <w:tab w:val="left" w:pos="1985"/>
        </w:tabs>
        <w:ind w:left="1848" w:hanging="357"/>
      </w:pPr>
      <w:r>
        <w:t>a.</w:t>
      </w:r>
      <w:r>
        <w:tab/>
      </w:r>
      <w:r w:rsidRPr="00280477">
        <w:t>Rouvrir le bureau de pays du Haut-Commissariat aux droits de l’</w:t>
      </w:r>
      <w:r>
        <w:t>homme</w:t>
      </w:r>
      <w:r w:rsidRPr="00280477">
        <w:t>;</w:t>
      </w:r>
    </w:p>
    <w:p w14:paraId="664E96BE" w14:textId="77777777" w:rsidR="006354E7" w:rsidRPr="00BD1D8F" w:rsidRDefault="006354E7" w:rsidP="006354E7">
      <w:pPr>
        <w:pStyle w:val="Bullet1G"/>
        <w:numPr>
          <w:ilvl w:val="0"/>
          <w:numId w:val="0"/>
        </w:numPr>
        <w:tabs>
          <w:tab w:val="left" w:pos="1985"/>
        </w:tabs>
        <w:ind w:left="1848" w:hanging="357"/>
        <w:rPr>
          <w:bCs/>
        </w:rPr>
      </w:pPr>
      <w:r w:rsidRPr="00BD1D8F">
        <w:rPr>
          <w:bCs/>
        </w:rPr>
        <w:t>b.</w:t>
      </w:r>
      <w:r w:rsidRPr="00BD1D8F">
        <w:rPr>
          <w:bCs/>
        </w:rPr>
        <w:tab/>
      </w:r>
      <w:r w:rsidRPr="00280477">
        <w:t>Libérer immédiatement les défenseurs des droits de l’homme et journalistes détenus arbitrairement, ainsi que tous les prisonniers politiques, notamment ceux des partis d’opposition arrêtés et détenus dans le c</w:t>
      </w:r>
      <w:r>
        <w:t>ontexte des élections de 2020;</w:t>
      </w:r>
    </w:p>
    <w:p w14:paraId="6FF9E35E" w14:textId="77777777" w:rsidR="006354E7" w:rsidRPr="00BD1D8F" w:rsidRDefault="006354E7" w:rsidP="006354E7">
      <w:pPr>
        <w:pStyle w:val="Bullet1G"/>
        <w:numPr>
          <w:ilvl w:val="0"/>
          <w:numId w:val="0"/>
        </w:numPr>
        <w:tabs>
          <w:tab w:val="left" w:pos="1985"/>
        </w:tabs>
        <w:ind w:left="1848" w:hanging="357"/>
        <w:rPr>
          <w:bCs/>
        </w:rPr>
      </w:pPr>
      <w:r w:rsidRPr="00BD1D8F">
        <w:rPr>
          <w:bCs/>
        </w:rPr>
        <w:t>c.</w:t>
      </w:r>
      <w:r w:rsidRPr="00BD1D8F">
        <w:rPr>
          <w:bCs/>
        </w:rPr>
        <w:tab/>
        <w:t>Garantir la sécurité, la liberté et l’intégrité physique des membres des partis d’opposition, dont le CNL, et assurer qu’ils ne fassent pas l’objet d’actes d’intimidation, de harcèlement ou de toute forme de discrimination en représailles à leur engagement politique</w:t>
      </w:r>
      <w:r w:rsidRPr="00280477">
        <w:t>;</w:t>
      </w:r>
    </w:p>
    <w:p w14:paraId="60948003" w14:textId="77777777" w:rsidR="006354E7" w:rsidRPr="00DE7492" w:rsidRDefault="006354E7" w:rsidP="006354E7">
      <w:pPr>
        <w:pStyle w:val="Bullet1G"/>
        <w:numPr>
          <w:ilvl w:val="0"/>
          <w:numId w:val="0"/>
        </w:numPr>
        <w:tabs>
          <w:tab w:val="left" w:pos="1985"/>
        </w:tabs>
        <w:ind w:left="1848" w:hanging="357"/>
        <w:rPr>
          <w:bCs/>
        </w:rPr>
      </w:pPr>
      <w:r w:rsidRPr="00DE7492">
        <w:rPr>
          <w:bCs/>
        </w:rPr>
        <w:t>d.</w:t>
      </w:r>
      <w:r w:rsidRPr="00DE7492">
        <w:rPr>
          <w:bCs/>
        </w:rPr>
        <w:tab/>
        <w:t>Rétablir toutes les libertés publiques pour permettre que les futures échéances électorales soient libres, crédibles et transparentes</w:t>
      </w:r>
      <w:r w:rsidRPr="00280477">
        <w:t>;</w:t>
      </w:r>
    </w:p>
    <w:p w14:paraId="3BFFDE76" w14:textId="77777777" w:rsidR="006354E7" w:rsidRPr="00DE7492" w:rsidRDefault="006354E7" w:rsidP="006354E7">
      <w:pPr>
        <w:pStyle w:val="Bullet1G"/>
        <w:numPr>
          <w:ilvl w:val="0"/>
          <w:numId w:val="0"/>
        </w:numPr>
        <w:tabs>
          <w:tab w:val="left" w:pos="1985"/>
        </w:tabs>
        <w:ind w:left="1848" w:hanging="357"/>
        <w:rPr>
          <w:bCs/>
        </w:rPr>
      </w:pPr>
      <w:r w:rsidRPr="00DE7492">
        <w:rPr>
          <w:bCs/>
        </w:rPr>
        <w:t>e.</w:t>
      </w:r>
      <w:r w:rsidRPr="00DE7492">
        <w:rPr>
          <w:bCs/>
        </w:rPr>
        <w:tab/>
        <w:t>Faire cesser l’usurpation des fonctions des forces de sécurité ou de la justice par des Imbonerakure, et poursuivre en justice et sanctionner de manière exemplaire ceux ayant été impliqués dans des violations − sinon dissoudre cette ligue</w:t>
      </w:r>
      <w:r w:rsidRPr="00280477">
        <w:t>;</w:t>
      </w:r>
    </w:p>
    <w:p w14:paraId="620639DE" w14:textId="77777777" w:rsidR="006354E7" w:rsidRPr="00DE7492" w:rsidRDefault="006354E7" w:rsidP="006354E7">
      <w:pPr>
        <w:pStyle w:val="Bullet1G"/>
        <w:numPr>
          <w:ilvl w:val="0"/>
          <w:numId w:val="0"/>
        </w:numPr>
        <w:tabs>
          <w:tab w:val="left" w:pos="1985"/>
        </w:tabs>
        <w:ind w:left="1848" w:hanging="357"/>
        <w:rPr>
          <w:bCs/>
        </w:rPr>
      </w:pPr>
      <w:r w:rsidRPr="00DE7492">
        <w:rPr>
          <w:bCs/>
        </w:rPr>
        <w:t>f.</w:t>
      </w:r>
      <w:r w:rsidRPr="00DE7492">
        <w:rPr>
          <w:bCs/>
        </w:rPr>
        <w:tab/>
        <w:t>Réformer les comités mixtes de sécurité humaine afin de les rendre plus inclusifs et de limiter leurs compétences</w:t>
      </w:r>
      <w:r w:rsidRPr="00280477">
        <w:t>;</w:t>
      </w:r>
    </w:p>
    <w:p w14:paraId="23E6F429" w14:textId="77777777" w:rsidR="006354E7" w:rsidRPr="00DE7492" w:rsidRDefault="006354E7" w:rsidP="006354E7">
      <w:pPr>
        <w:pStyle w:val="Bullet1G"/>
        <w:numPr>
          <w:ilvl w:val="0"/>
          <w:numId w:val="0"/>
        </w:numPr>
        <w:tabs>
          <w:tab w:val="left" w:pos="1985"/>
        </w:tabs>
        <w:ind w:left="1848" w:hanging="357"/>
        <w:rPr>
          <w:bCs/>
        </w:rPr>
      </w:pPr>
      <w:r w:rsidRPr="00DE7492">
        <w:rPr>
          <w:bCs/>
        </w:rPr>
        <w:t>g.</w:t>
      </w:r>
      <w:r w:rsidRPr="00DE7492">
        <w:rPr>
          <w:bCs/>
        </w:rPr>
        <w:tab/>
        <w:t>S’acquitter de leurs obligations spécifiques en matière de droits des femmes et de droits de l’enfant</w:t>
      </w:r>
      <w:r w:rsidRPr="00280477">
        <w:t>;</w:t>
      </w:r>
    </w:p>
    <w:p w14:paraId="6E317BB2" w14:textId="77777777" w:rsidR="006354E7" w:rsidRPr="00280477" w:rsidRDefault="006354E7" w:rsidP="006354E7">
      <w:pPr>
        <w:pStyle w:val="Bullet1G"/>
        <w:numPr>
          <w:ilvl w:val="0"/>
          <w:numId w:val="0"/>
        </w:numPr>
        <w:tabs>
          <w:tab w:val="left" w:pos="1985"/>
        </w:tabs>
        <w:ind w:left="1848" w:hanging="357"/>
        <w:rPr>
          <w:bCs/>
        </w:rPr>
      </w:pPr>
      <w:r w:rsidRPr="00280477">
        <w:rPr>
          <w:bCs/>
        </w:rPr>
        <w:t>h.</w:t>
      </w:r>
      <w:r w:rsidRPr="00280477">
        <w:rPr>
          <w:bCs/>
        </w:rPr>
        <w:tab/>
        <w:t>M</w:t>
      </w:r>
      <w:r w:rsidRPr="00280477">
        <w:rPr>
          <w:bCs/>
          <w:lang w:val="fr-FR"/>
        </w:rPr>
        <w:t xml:space="preserve">ettre fin au recrutement des enfants par les Imbonerakure et démanteler les </w:t>
      </w:r>
      <w:r w:rsidRPr="00280477">
        <w:rPr>
          <w:bCs/>
          <w:iCs/>
          <w:lang w:val="fr-FR"/>
        </w:rPr>
        <w:t>« aiglons »</w:t>
      </w:r>
      <w:r w:rsidRPr="00280477">
        <w:rPr>
          <w:bCs/>
          <w:lang w:val="fr-FR"/>
        </w:rPr>
        <w:t> du CNDD</w:t>
      </w:r>
      <w:r w:rsidRPr="00280477">
        <w:rPr>
          <w:bCs/>
          <w:lang w:val="fr-FR"/>
        </w:rPr>
        <w:noBreakHyphen/>
        <w:t>FDD</w:t>
      </w:r>
      <w:r w:rsidRPr="00280477">
        <w:t>;</w:t>
      </w:r>
    </w:p>
    <w:p w14:paraId="7B633B58" w14:textId="77777777" w:rsidR="006354E7" w:rsidRPr="00280477" w:rsidRDefault="006354E7" w:rsidP="006354E7">
      <w:pPr>
        <w:pStyle w:val="Bullet1G"/>
        <w:numPr>
          <w:ilvl w:val="0"/>
          <w:numId w:val="0"/>
        </w:numPr>
        <w:tabs>
          <w:tab w:val="left" w:pos="1985"/>
        </w:tabs>
        <w:ind w:left="1848" w:hanging="357"/>
        <w:rPr>
          <w:bCs/>
        </w:rPr>
      </w:pPr>
      <w:r w:rsidRPr="00280477">
        <w:rPr>
          <w:bCs/>
        </w:rPr>
        <w:t>i.</w:t>
      </w:r>
      <w:r w:rsidRPr="00280477">
        <w:rPr>
          <w:bCs/>
        </w:rPr>
        <w:tab/>
      </w:r>
      <w:r w:rsidRPr="00280477">
        <w:rPr>
          <w:bCs/>
          <w:lang w:val="fr-FR"/>
        </w:rPr>
        <w:t>Établir des services de prise en charge psychosociale pour les enfants victimes ou témoins de violations graves, particulièrement parmi les rapatriés</w:t>
      </w:r>
      <w:r w:rsidRPr="00280477">
        <w:t>;</w:t>
      </w:r>
    </w:p>
    <w:p w14:paraId="28E89D86" w14:textId="77777777" w:rsidR="006354E7" w:rsidRPr="00280477" w:rsidRDefault="006354E7" w:rsidP="006354E7">
      <w:pPr>
        <w:pStyle w:val="Bullet1G"/>
        <w:numPr>
          <w:ilvl w:val="0"/>
          <w:numId w:val="0"/>
        </w:numPr>
        <w:tabs>
          <w:tab w:val="left" w:pos="1985"/>
        </w:tabs>
        <w:ind w:left="1848" w:hanging="357"/>
        <w:rPr>
          <w:bCs/>
        </w:rPr>
      </w:pPr>
      <w:r w:rsidRPr="00280477">
        <w:rPr>
          <w:bCs/>
        </w:rPr>
        <w:t>j.</w:t>
      </w:r>
      <w:r w:rsidRPr="00280477">
        <w:rPr>
          <w:bCs/>
        </w:rPr>
        <w:tab/>
        <w:t>Garantir l’accès à la justice et à des services médicaux et psychosociaux adaptés aux victimes de violences sexuelles, y compris les victimes masculines</w:t>
      </w:r>
      <w:r w:rsidRPr="00280477">
        <w:t>;</w:t>
      </w:r>
    </w:p>
    <w:p w14:paraId="7EEFEF93" w14:textId="77777777" w:rsidR="006354E7" w:rsidRPr="00280477" w:rsidRDefault="006354E7" w:rsidP="006354E7">
      <w:pPr>
        <w:pStyle w:val="Bullet1G"/>
        <w:numPr>
          <w:ilvl w:val="0"/>
          <w:numId w:val="0"/>
        </w:numPr>
        <w:tabs>
          <w:tab w:val="left" w:pos="1985"/>
        </w:tabs>
        <w:ind w:left="1848" w:hanging="357"/>
        <w:rPr>
          <w:bCs/>
        </w:rPr>
      </w:pPr>
      <w:r w:rsidRPr="00280477">
        <w:rPr>
          <w:bCs/>
        </w:rPr>
        <w:t>k.</w:t>
      </w:r>
      <w:r w:rsidRPr="00280477">
        <w:rPr>
          <w:bCs/>
        </w:rPr>
        <w:tab/>
        <w:t>Instituer un quota de 30% de femmes dans les conseils collinaires</w:t>
      </w:r>
      <w:r w:rsidRPr="00280477">
        <w:t>;</w:t>
      </w:r>
    </w:p>
    <w:p w14:paraId="55C6C8B2" w14:textId="77777777" w:rsidR="006354E7" w:rsidRPr="00280477" w:rsidRDefault="006354E7" w:rsidP="006354E7">
      <w:pPr>
        <w:pStyle w:val="Bullet1G"/>
        <w:numPr>
          <w:ilvl w:val="0"/>
          <w:numId w:val="0"/>
        </w:numPr>
        <w:tabs>
          <w:tab w:val="left" w:pos="1985"/>
        </w:tabs>
        <w:ind w:left="1848" w:hanging="357"/>
        <w:rPr>
          <w:bCs/>
        </w:rPr>
      </w:pPr>
      <w:r w:rsidRPr="00280477">
        <w:rPr>
          <w:bCs/>
        </w:rPr>
        <w:t>l.</w:t>
      </w:r>
      <w:r w:rsidRPr="00280477">
        <w:rPr>
          <w:bCs/>
        </w:rPr>
        <w:tab/>
        <w:t>Reprendre une pleine coopération avec l’Organisation mondiale de la Santé</w:t>
      </w:r>
      <w:r w:rsidRPr="00280477">
        <w:t>;</w:t>
      </w:r>
    </w:p>
    <w:p w14:paraId="460E3CE4" w14:textId="77777777" w:rsidR="006354E7" w:rsidRPr="00280477" w:rsidRDefault="006354E7" w:rsidP="006354E7">
      <w:pPr>
        <w:pStyle w:val="Bullet1G"/>
        <w:numPr>
          <w:ilvl w:val="0"/>
          <w:numId w:val="0"/>
        </w:numPr>
        <w:tabs>
          <w:tab w:val="left" w:pos="1985"/>
        </w:tabs>
        <w:ind w:left="1848" w:hanging="357"/>
        <w:rPr>
          <w:bCs/>
        </w:rPr>
      </w:pPr>
      <w:r w:rsidRPr="00280477">
        <w:rPr>
          <w:bCs/>
        </w:rPr>
        <w:t>m.</w:t>
      </w:r>
      <w:r w:rsidRPr="00280477">
        <w:rPr>
          <w:bCs/>
        </w:rPr>
        <w:tab/>
        <w:t xml:space="preserve">Prendre des mesures afin de lutter efficacement contre les malversations économiques, notamment en assurant la transparence, la concurrence et l’établissement de critères objectifs et prédéterminés pour la passation des marchés publics, ainsi qu’un système de recours interne efficace, et ouvrir des enquêtes sur les allégations de cas de biens mal acquis; </w:t>
      </w:r>
    </w:p>
    <w:p w14:paraId="2B42C3B5" w14:textId="77777777" w:rsidR="006354E7" w:rsidRPr="00280477" w:rsidRDefault="006354E7" w:rsidP="006354E7">
      <w:pPr>
        <w:pStyle w:val="Bullet1G"/>
        <w:numPr>
          <w:ilvl w:val="0"/>
          <w:numId w:val="0"/>
        </w:numPr>
        <w:tabs>
          <w:tab w:val="left" w:pos="1985"/>
        </w:tabs>
        <w:ind w:left="1848" w:hanging="357"/>
      </w:pPr>
      <w:r w:rsidRPr="00280477">
        <w:t>n.</w:t>
      </w:r>
      <w:r w:rsidRPr="00280477">
        <w:tab/>
        <w:t>Devenir partie à l’Initiative pour la transparence dans les industries extractives et mettre en œuvre les normes associées;</w:t>
      </w:r>
    </w:p>
    <w:p w14:paraId="3B5AB82B" w14:textId="77777777" w:rsidR="006354E7" w:rsidRPr="00280477" w:rsidRDefault="006354E7" w:rsidP="006354E7">
      <w:pPr>
        <w:pStyle w:val="Bullet1G"/>
        <w:numPr>
          <w:ilvl w:val="0"/>
          <w:numId w:val="0"/>
        </w:numPr>
        <w:tabs>
          <w:tab w:val="left" w:pos="1985"/>
        </w:tabs>
        <w:ind w:left="1848" w:hanging="357"/>
      </w:pPr>
      <w:r w:rsidRPr="00280477">
        <w:t>o.</w:t>
      </w:r>
      <w:r w:rsidRPr="00280477">
        <w:tab/>
        <w:t>Publier systématiquement le budget annuel exécuté;</w:t>
      </w:r>
    </w:p>
    <w:p w14:paraId="2258130E" w14:textId="77777777" w:rsidR="006354E7" w:rsidRPr="00280477" w:rsidRDefault="006354E7" w:rsidP="006354E7">
      <w:pPr>
        <w:pStyle w:val="Bullet1G"/>
        <w:numPr>
          <w:ilvl w:val="0"/>
          <w:numId w:val="0"/>
        </w:numPr>
        <w:tabs>
          <w:tab w:val="left" w:pos="1985"/>
        </w:tabs>
        <w:ind w:left="1848" w:hanging="357"/>
      </w:pPr>
      <w:r w:rsidRPr="00280477">
        <w:t>p.</w:t>
      </w:r>
      <w:r w:rsidRPr="00280477">
        <w:tab/>
        <w:t>Garantir que les hauts responsables politiques et administratifs procèdent systématiquement à une déclaration publique de leur patrimoine à leur prise de fonction et à la fin de leur mandat.</w:t>
      </w:r>
    </w:p>
    <w:p w14:paraId="27DFB3DD" w14:textId="77777777" w:rsidR="006354E7" w:rsidRPr="00280477" w:rsidRDefault="006354E7" w:rsidP="006354E7">
      <w:pPr>
        <w:pStyle w:val="SingleTxtG"/>
      </w:pPr>
      <w:r>
        <w:tab/>
        <w:t>3</w:t>
      </w:r>
      <w:r w:rsidRPr="00280477">
        <w:t>.</w:t>
      </w:r>
      <w:r w:rsidRPr="00280477">
        <w:tab/>
      </w:r>
      <w:r w:rsidRPr="00280477">
        <w:rPr>
          <w:bCs/>
        </w:rPr>
        <w:t xml:space="preserve">Aux groupes rebelles d’opposition, la Commission recommande de </w:t>
      </w:r>
      <w:r w:rsidRPr="00280477">
        <w:t>s’abstenir de tout acte violent.</w:t>
      </w:r>
    </w:p>
    <w:p w14:paraId="4C03EC77" w14:textId="77777777" w:rsidR="006354E7" w:rsidRPr="00280477" w:rsidRDefault="006354E7" w:rsidP="006354E7">
      <w:pPr>
        <w:pStyle w:val="SingleTxtG"/>
        <w:rPr>
          <w:bCs/>
        </w:rPr>
      </w:pPr>
      <w:r>
        <w:tab/>
        <w:t>4</w:t>
      </w:r>
      <w:r w:rsidRPr="00280477">
        <w:t>.</w:t>
      </w:r>
      <w:r w:rsidRPr="00280477">
        <w:tab/>
      </w:r>
      <w:r w:rsidRPr="00280477">
        <w:rPr>
          <w:bCs/>
        </w:rPr>
        <w:t>À la communauté internationale, conformément à son devoir de vigilance, la Commission adresse</w:t>
      </w:r>
      <w:r w:rsidRPr="00280477">
        <w:rPr>
          <w:bCs/>
          <w:lang w:val="fr-FR"/>
        </w:rPr>
        <w:t xml:space="preserve"> les recommandations suivantes</w:t>
      </w:r>
      <w:r w:rsidRPr="00280477">
        <w:rPr>
          <w:bCs/>
        </w:rPr>
        <w:t>:</w:t>
      </w:r>
    </w:p>
    <w:p w14:paraId="4D938080" w14:textId="77777777" w:rsidR="006354E7" w:rsidRDefault="006354E7" w:rsidP="006354E7">
      <w:pPr>
        <w:pStyle w:val="Bullet1G"/>
        <w:numPr>
          <w:ilvl w:val="0"/>
          <w:numId w:val="0"/>
        </w:numPr>
        <w:tabs>
          <w:tab w:val="left" w:pos="1985"/>
        </w:tabs>
        <w:ind w:left="1848" w:hanging="357"/>
      </w:pPr>
      <w:r>
        <w:t>a.</w:t>
      </w:r>
      <w:r>
        <w:tab/>
      </w:r>
      <w:r w:rsidRPr="00280477">
        <w:t>Maintenir un mécanisme international indépendant qui puisse suivre objectivement la situation des droits de l’homme au Burundi, y compris au moyen des facteurs de risque et de la mise en œuvre des r</w:t>
      </w:r>
      <w:r>
        <w:t>ecommandations de la Commission</w:t>
      </w:r>
      <w:r w:rsidRPr="00280477">
        <w:t>;</w:t>
      </w:r>
    </w:p>
    <w:p w14:paraId="2EB57E3A" w14:textId="77777777" w:rsidR="006354E7" w:rsidRDefault="006354E7" w:rsidP="006354E7">
      <w:pPr>
        <w:pStyle w:val="Bullet1G"/>
        <w:numPr>
          <w:ilvl w:val="0"/>
          <w:numId w:val="0"/>
        </w:numPr>
        <w:tabs>
          <w:tab w:val="left" w:pos="1985"/>
        </w:tabs>
        <w:ind w:left="1848" w:hanging="357"/>
      </w:pPr>
      <w:r>
        <w:t>b.</w:t>
      </w:r>
      <w:r>
        <w:tab/>
      </w:r>
      <w:r w:rsidRPr="00280477">
        <w:t>Baser la reprise de la coopération internationale avec le Burundi et la levée des sanctions sur des progrès tangibles en matière de droits de l’homme et de lutte con</w:t>
      </w:r>
      <w:r>
        <w:t>tre l’impunité et la corruption</w:t>
      </w:r>
      <w:r w:rsidRPr="00280477">
        <w:t>;</w:t>
      </w:r>
    </w:p>
    <w:p w14:paraId="03B834BE" w14:textId="77777777" w:rsidR="006354E7" w:rsidRDefault="006354E7" w:rsidP="006354E7">
      <w:pPr>
        <w:pStyle w:val="Bullet1G"/>
        <w:numPr>
          <w:ilvl w:val="0"/>
          <w:numId w:val="0"/>
        </w:numPr>
        <w:tabs>
          <w:tab w:val="left" w:pos="1985"/>
        </w:tabs>
        <w:ind w:left="1848" w:hanging="357"/>
      </w:pPr>
      <w:r>
        <w:t>c.</w:t>
      </w:r>
      <w:r>
        <w:tab/>
      </w:r>
      <w:r w:rsidRPr="00280477">
        <w:t>S’assurer que les réfugiés ne soient pas forcés à rentrer au Burundi tant que les conditions dans le pays ne sont pas propices,</w:t>
      </w:r>
      <w:r>
        <w:t xml:space="preserve"> </w:t>
      </w:r>
      <w:r w:rsidRPr="00280477">
        <w:t>et demander un accès libre aux rapatr</w:t>
      </w:r>
      <w:r>
        <w:t>iés pour évaluer leur situation</w:t>
      </w:r>
      <w:r w:rsidRPr="00280477">
        <w:t>;</w:t>
      </w:r>
    </w:p>
    <w:p w14:paraId="4CCBFCF1" w14:textId="77777777" w:rsidR="006354E7" w:rsidRPr="00280477" w:rsidRDefault="006354E7" w:rsidP="006354E7">
      <w:pPr>
        <w:pStyle w:val="Bullet1G"/>
        <w:numPr>
          <w:ilvl w:val="0"/>
          <w:numId w:val="0"/>
        </w:numPr>
        <w:tabs>
          <w:tab w:val="left" w:pos="1985"/>
        </w:tabs>
        <w:ind w:left="1848" w:hanging="357"/>
      </w:pPr>
      <w:r w:rsidRPr="00280477">
        <w:t>d.</w:t>
      </w:r>
      <w:r w:rsidRPr="00280477">
        <w:tab/>
        <w:t>Soutenir les organisations de la société civile actives dans le domaine des droits de l’homme au Burundi, notamment pour faire des enquêtes et des rapports publics.</w:t>
      </w:r>
    </w:p>
    <w:p w14:paraId="48B391ED" w14:textId="77777777" w:rsidR="006354E7" w:rsidRPr="00280477" w:rsidRDefault="006354E7" w:rsidP="006354E7">
      <w:pPr>
        <w:pStyle w:val="SingleTxtG"/>
      </w:pPr>
      <w:r>
        <w:t>5</w:t>
      </w:r>
      <w:r w:rsidRPr="00280477">
        <w:t>.</w:t>
      </w:r>
      <w:r w:rsidRPr="00280477">
        <w:tab/>
      </w:r>
      <w:r w:rsidRPr="00280477">
        <w:rPr>
          <w:bCs/>
        </w:rPr>
        <w:t xml:space="preserve">Aux États et aux organisations internationales qui financent des programmes d’aide internationale au développement, la Commission recommande de </w:t>
      </w:r>
      <w:r w:rsidRPr="00280477">
        <w:t xml:space="preserve">renforcer leurs procédures pour minimiser les risques de détournement de fonds et d’ouvrir systématiquement des enquêtes sur les allégations reçues à ce sujet, </w:t>
      </w:r>
      <w:r w:rsidRPr="00280477">
        <w:rPr>
          <w:bCs/>
        </w:rPr>
        <w:t>afin de s’assurer que ladite assistance est entièrement utilisée pour les objectifs prévus et au profit des bénéficiaires envisagés.</w:t>
      </w:r>
    </w:p>
    <w:p w14:paraId="2BF20BEA" w14:textId="77777777" w:rsidR="006354E7" w:rsidRPr="00280477" w:rsidRDefault="006354E7" w:rsidP="006354E7">
      <w:pPr>
        <w:pStyle w:val="SingleTxtG"/>
      </w:pPr>
      <w:r>
        <w:t>6</w:t>
      </w:r>
      <w:r w:rsidRPr="00280477">
        <w:t>.</w:t>
      </w:r>
      <w:r w:rsidRPr="00280477">
        <w:tab/>
      </w:r>
      <w:r w:rsidRPr="00280477">
        <w:rPr>
          <w:bCs/>
        </w:rPr>
        <w:t>Au système des Nations Unies, y compris à ses agences, la Commission adresse les recommandations suivantes:</w:t>
      </w:r>
    </w:p>
    <w:p w14:paraId="7FBFC92D" w14:textId="77777777" w:rsidR="006354E7" w:rsidRPr="00280477" w:rsidRDefault="006354E7" w:rsidP="006354E7">
      <w:pPr>
        <w:pStyle w:val="Bullet1G"/>
        <w:numPr>
          <w:ilvl w:val="0"/>
          <w:numId w:val="0"/>
        </w:numPr>
        <w:ind w:left="1848" w:hanging="357"/>
      </w:pPr>
      <w:r w:rsidRPr="00280477">
        <w:t>a.</w:t>
      </w:r>
      <w:r w:rsidRPr="00280477">
        <w:tab/>
        <w:t xml:space="preserve">Conformément à la politique de diligence voulue en matière de droits de l’homme, fournir un appui uniquement </w:t>
      </w:r>
      <w:r w:rsidRPr="00280477">
        <w:rPr>
          <w:lang w:val="fr-BE"/>
        </w:rPr>
        <w:t>lorsqu’il y a des garanties que ceux qui sont appelés à en bénéficier ne sont pas des auteurs de violations graves des droits de l’homme, sur le plan individuel ou institutionnel, et ne pas fournir un tel appui lorsqu’il y a eu des allégations crédibles à cet égard ou lorsque les autorités compétentes ne prennent pas les mesures de correcti</w:t>
      </w:r>
      <w:r>
        <w:rPr>
          <w:lang w:val="fr-BE"/>
        </w:rPr>
        <w:t>on ou d’atténuation nécessaires</w:t>
      </w:r>
      <w:r w:rsidRPr="00280477">
        <w:rPr>
          <w:lang w:val="fr-BE"/>
        </w:rPr>
        <w:t>;</w:t>
      </w:r>
    </w:p>
    <w:p w14:paraId="7B95B3E3" w14:textId="77777777" w:rsidR="006354E7" w:rsidRDefault="006354E7" w:rsidP="006354E7">
      <w:pPr>
        <w:pStyle w:val="Bullet1G"/>
        <w:numPr>
          <w:ilvl w:val="0"/>
          <w:numId w:val="0"/>
        </w:numPr>
        <w:ind w:left="1848" w:hanging="357"/>
        <w:rPr>
          <w:lang w:val="fr-FR"/>
        </w:rPr>
      </w:pPr>
      <w:r>
        <w:rPr>
          <w:lang w:val="fr-FR"/>
        </w:rPr>
        <w:t>b.</w:t>
      </w:r>
      <w:r>
        <w:rPr>
          <w:lang w:val="fr-FR"/>
        </w:rPr>
        <w:tab/>
      </w:r>
      <w:r w:rsidRPr="00280477">
        <w:t>Renforcer l</w:t>
      </w:r>
      <w:r w:rsidRPr="00280477">
        <w:rPr>
          <w:lang w:val="fr-FR"/>
        </w:rPr>
        <w:t>’appui à la réponse aux violences sexuelles ou fondées sur le genre pour mieux prendre en compte les besoins spécifiques des victimes, y compris parmi les réfugiés.</w:t>
      </w:r>
    </w:p>
    <w:p w14:paraId="39230513" w14:textId="77777777" w:rsidR="006354E7" w:rsidRPr="00280477" w:rsidRDefault="006354E7" w:rsidP="006354E7">
      <w:pPr>
        <w:pStyle w:val="H23G"/>
        <w:rPr>
          <w:lang w:val="en-GB"/>
        </w:rPr>
      </w:pPr>
      <w:r w:rsidRPr="00191564">
        <w:tab/>
      </w:r>
      <w:r w:rsidRPr="00191564">
        <w:tab/>
      </w:r>
      <w:r w:rsidRPr="00280477">
        <w:rPr>
          <w:lang w:val="en-GB"/>
        </w:rPr>
        <w:t>Version anglaise</w:t>
      </w:r>
    </w:p>
    <w:p w14:paraId="0F867C40" w14:textId="77777777" w:rsidR="006354E7" w:rsidRPr="00280477" w:rsidRDefault="006354E7" w:rsidP="006354E7">
      <w:pPr>
        <w:pStyle w:val="SingleTxtG"/>
        <w:rPr>
          <w:lang w:val="en-CA"/>
        </w:rPr>
      </w:pPr>
      <w:r>
        <w:rPr>
          <w:lang w:val="en-CA"/>
        </w:rPr>
        <w:t>1</w:t>
      </w:r>
      <w:r w:rsidRPr="00280477">
        <w:rPr>
          <w:lang w:val="en-CA"/>
        </w:rPr>
        <w:t>.</w:t>
      </w:r>
      <w:r w:rsidRPr="00280477">
        <w:rPr>
          <w:lang w:val="en-CA"/>
        </w:rPr>
        <w:tab/>
      </w:r>
      <w:r w:rsidRPr="00280477">
        <w:rPr>
          <w:bCs/>
          <w:lang w:val="en-CA"/>
        </w:rPr>
        <w:t>In view of the historical depth of the Burundian crisis and the partly structural dimension of human rights violations, and taking into account the principle of the responsibility to protect the people of Burundi, including in the context of the political transition under way in the country, as well as the measures likely to mitigate risk factors, the Commission first reiterates its previous recommendations.</w:t>
      </w:r>
      <w:r w:rsidRPr="00CE281A">
        <w:rPr>
          <w:rStyle w:val="FootnoteReference"/>
        </w:rPr>
        <w:footnoteReference w:id="511"/>
      </w:r>
      <w:r w:rsidRPr="00280477">
        <w:rPr>
          <w:bCs/>
          <w:lang w:val="en-CA"/>
        </w:rPr>
        <w:t xml:space="preserve"> Those recommendations remain entirely valid and relevant, particularly those addressed to the Burundian authorities concerning measures to be given priority in order to put an end to human rights violations and international crimes, to combat impunity and to improve the human rights situation in the country, including the reopening of the democratic space and the protection of civil liberties.</w:t>
      </w:r>
      <w:r w:rsidRPr="00280477">
        <w:rPr>
          <w:lang w:val="en-CA"/>
        </w:rPr>
        <w:t xml:space="preserve"> </w:t>
      </w:r>
      <w:r w:rsidRPr="00280477">
        <w:rPr>
          <w:bCs/>
          <w:lang w:val="en-CA"/>
        </w:rPr>
        <w:t>Its recommendations for longer-term measures relating to the review of the legal framework and the reform of the judiciary remain crucial.</w:t>
      </w:r>
    </w:p>
    <w:p w14:paraId="42F5E5FD" w14:textId="77777777" w:rsidR="006354E7" w:rsidRPr="00280477" w:rsidRDefault="006354E7" w:rsidP="006354E7">
      <w:pPr>
        <w:pStyle w:val="SingleTxtG"/>
        <w:rPr>
          <w:bCs/>
          <w:lang w:val="en-CA"/>
        </w:rPr>
      </w:pPr>
      <w:r>
        <w:rPr>
          <w:lang w:val="en-CA"/>
        </w:rPr>
        <w:t>2</w:t>
      </w:r>
      <w:r w:rsidRPr="00280477">
        <w:rPr>
          <w:lang w:val="en-CA"/>
        </w:rPr>
        <w:t>.</w:t>
      </w:r>
      <w:r w:rsidRPr="00280477">
        <w:rPr>
          <w:lang w:val="en-CA"/>
        </w:rPr>
        <w:tab/>
      </w:r>
      <w:r w:rsidRPr="00280477">
        <w:rPr>
          <w:bCs/>
          <w:lang w:val="en-CA"/>
        </w:rPr>
        <w:t>The Commission also makes the following recommendations to the Burundian authorities:</w:t>
      </w:r>
    </w:p>
    <w:p w14:paraId="6E84EA08" w14:textId="77777777" w:rsidR="006354E7" w:rsidRDefault="006354E7" w:rsidP="006354E7">
      <w:pPr>
        <w:pStyle w:val="Bullet1G"/>
        <w:numPr>
          <w:ilvl w:val="0"/>
          <w:numId w:val="0"/>
        </w:numPr>
        <w:ind w:left="1848" w:hanging="357"/>
        <w:rPr>
          <w:lang w:val="en-CA"/>
        </w:rPr>
      </w:pPr>
      <w:r>
        <w:rPr>
          <w:lang w:val="en-CA"/>
        </w:rPr>
        <w:t>a.</w:t>
      </w:r>
      <w:r>
        <w:rPr>
          <w:lang w:val="en-CA"/>
        </w:rPr>
        <w:tab/>
      </w:r>
      <w:r w:rsidRPr="00AD54CD">
        <w:rPr>
          <w:lang w:val="en-CA"/>
        </w:rPr>
        <w:t>To reopen the country office of the Office of the United Nations High Commissioner for Human Rights;</w:t>
      </w:r>
    </w:p>
    <w:p w14:paraId="7C132DE9" w14:textId="77777777" w:rsidR="006354E7" w:rsidRPr="00AD54CD" w:rsidRDefault="006354E7" w:rsidP="006354E7">
      <w:pPr>
        <w:pStyle w:val="Bullet1G"/>
        <w:numPr>
          <w:ilvl w:val="0"/>
          <w:numId w:val="0"/>
        </w:numPr>
        <w:ind w:left="1848" w:hanging="357"/>
        <w:rPr>
          <w:lang w:val="en-CA"/>
        </w:rPr>
      </w:pPr>
      <w:r w:rsidRPr="00AD54CD">
        <w:rPr>
          <w:lang w:val="en-CA"/>
        </w:rPr>
        <w:t>b.</w:t>
      </w:r>
      <w:r w:rsidRPr="00AD54CD">
        <w:rPr>
          <w:lang w:val="en-CA"/>
        </w:rPr>
        <w:tab/>
        <w:t>To immediately release human rights defenders and journalists who have been arbitrarily detained, as well as all political prisoners, including those from opposition parties arrested and detained in the context of the 2020 elections;</w:t>
      </w:r>
    </w:p>
    <w:p w14:paraId="06D55156" w14:textId="77777777" w:rsidR="006354E7" w:rsidRPr="00280477" w:rsidRDefault="006354E7" w:rsidP="006354E7">
      <w:pPr>
        <w:pStyle w:val="Bullet1G"/>
        <w:numPr>
          <w:ilvl w:val="0"/>
          <w:numId w:val="0"/>
        </w:numPr>
        <w:ind w:left="1848" w:hanging="357"/>
        <w:rPr>
          <w:lang w:val="en-CA"/>
        </w:rPr>
      </w:pPr>
      <w:r w:rsidRPr="00280477">
        <w:rPr>
          <w:lang w:val="en-CA"/>
        </w:rPr>
        <w:t>c.</w:t>
      </w:r>
      <w:r w:rsidRPr="00280477">
        <w:rPr>
          <w:lang w:val="en-CA"/>
        </w:rPr>
        <w:tab/>
        <w:t>To guarantee the safety, freedom and physical integrity of members of opposition parties, including the Congrès national pour la liberté, and to ensure that they are not subjected to intimidation, harassment or any form of discrimination as a reprisal for their political activities;</w:t>
      </w:r>
    </w:p>
    <w:p w14:paraId="409E164D" w14:textId="77777777" w:rsidR="006354E7" w:rsidRPr="00280477" w:rsidRDefault="006354E7" w:rsidP="006354E7">
      <w:pPr>
        <w:pStyle w:val="Bullet1G"/>
        <w:numPr>
          <w:ilvl w:val="0"/>
          <w:numId w:val="0"/>
        </w:numPr>
        <w:ind w:left="1848" w:hanging="357"/>
        <w:rPr>
          <w:lang w:val="en-CA"/>
        </w:rPr>
      </w:pPr>
      <w:r w:rsidRPr="00280477">
        <w:rPr>
          <w:lang w:val="en-CA"/>
        </w:rPr>
        <w:t>d.</w:t>
      </w:r>
      <w:r w:rsidRPr="00280477">
        <w:rPr>
          <w:lang w:val="en-CA"/>
        </w:rPr>
        <w:tab/>
        <w:t>To restore all civil liberties to enable future elections to be free, credible and transparent;</w:t>
      </w:r>
    </w:p>
    <w:p w14:paraId="0BCA5B72" w14:textId="77777777" w:rsidR="006354E7" w:rsidRPr="00280477" w:rsidRDefault="006354E7" w:rsidP="006354E7">
      <w:pPr>
        <w:pStyle w:val="Bullet1G"/>
        <w:numPr>
          <w:ilvl w:val="0"/>
          <w:numId w:val="0"/>
        </w:numPr>
        <w:ind w:left="1848" w:hanging="357"/>
        <w:rPr>
          <w:lang w:val="en-CA"/>
        </w:rPr>
      </w:pPr>
      <w:r w:rsidRPr="00280477">
        <w:rPr>
          <w:lang w:val="en-CA"/>
        </w:rPr>
        <w:t>e.</w:t>
      </w:r>
      <w:r w:rsidRPr="00280477">
        <w:rPr>
          <w:lang w:val="en-CA"/>
        </w:rPr>
        <w:tab/>
        <w:t>To stop the Imbonerakure from usurping the functions of the security forces and the judiciary and to prosecute and punish, as an example, those who have been involved in violations, or alternatively to dissolve the Imbonerakure;</w:t>
      </w:r>
    </w:p>
    <w:p w14:paraId="6D22E539" w14:textId="77777777" w:rsidR="006354E7" w:rsidRPr="00280477" w:rsidRDefault="006354E7" w:rsidP="006354E7">
      <w:pPr>
        <w:pStyle w:val="Bullet1G"/>
        <w:numPr>
          <w:ilvl w:val="0"/>
          <w:numId w:val="0"/>
        </w:numPr>
        <w:ind w:left="1848" w:hanging="357"/>
        <w:rPr>
          <w:lang w:val="en-CA"/>
        </w:rPr>
      </w:pPr>
      <w:r w:rsidRPr="00280477">
        <w:rPr>
          <w:lang w:val="en-CA"/>
        </w:rPr>
        <w:t>f.</w:t>
      </w:r>
      <w:r w:rsidRPr="00280477">
        <w:rPr>
          <w:lang w:val="en-CA"/>
        </w:rPr>
        <w:tab/>
        <w:t>To reform the Joint Human Security Committees to make them more inclusive and to limit the scope of their competence;</w:t>
      </w:r>
    </w:p>
    <w:p w14:paraId="6EC0C07A" w14:textId="77777777" w:rsidR="006354E7" w:rsidRPr="00280477" w:rsidRDefault="006354E7" w:rsidP="006354E7">
      <w:pPr>
        <w:pStyle w:val="Bullet1G"/>
        <w:numPr>
          <w:ilvl w:val="0"/>
          <w:numId w:val="0"/>
        </w:numPr>
        <w:ind w:left="1848" w:hanging="357"/>
        <w:rPr>
          <w:lang w:val="en-CA"/>
        </w:rPr>
      </w:pPr>
      <w:r w:rsidRPr="00280477">
        <w:rPr>
          <w:lang w:val="en-CA"/>
        </w:rPr>
        <w:t>g.</w:t>
      </w:r>
      <w:r w:rsidRPr="00280477">
        <w:rPr>
          <w:lang w:val="en-CA"/>
        </w:rPr>
        <w:tab/>
        <w:t>To fulfil the specific obligations of the authorities with regard to women’s rights and the rights of the child;</w:t>
      </w:r>
    </w:p>
    <w:p w14:paraId="73A5036D" w14:textId="77777777" w:rsidR="006354E7" w:rsidRPr="00280477" w:rsidRDefault="006354E7" w:rsidP="006354E7">
      <w:pPr>
        <w:pStyle w:val="Bullet1G"/>
        <w:numPr>
          <w:ilvl w:val="0"/>
          <w:numId w:val="0"/>
        </w:numPr>
        <w:ind w:left="1848" w:hanging="357"/>
        <w:rPr>
          <w:lang w:val="en-CA"/>
        </w:rPr>
      </w:pPr>
      <w:r w:rsidRPr="00280477">
        <w:rPr>
          <w:lang w:val="en-CA"/>
        </w:rPr>
        <w:t>h.</w:t>
      </w:r>
      <w:r w:rsidRPr="00280477">
        <w:rPr>
          <w:lang w:val="en-CA"/>
        </w:rPr>
        <w:tab/>
        <w:t>To put an end to the recruitment of children by the Imbonerakure and to disband the CNDD-FDD party’s “Little Eagles”;</w:t>
      </w:r>
    </w:p>
    <w:p w14:paraId="1C815739" w14:textId="77777777" w:rsidR="006354E7" w:rsidRPr="00280477" w:rsidRDefault="006354E7" w:rsidP="006354E7">
      <w:pPr>
        <w:pStyle w:val="Bullet1G"/>
        <w:numPr>
          <w:ilvl w:val="0"/>
          <w:numId w:val="0"/>
        </w:numPr>
        <w:ind w:left="1848" w:hanging="357"/>
        <w:rPr>
          <w:lang w:val="en-CA"/>
        </w:rPr>
      </w:pPr>
      <w:r w:rsidRPr="00280477">
        <w:rPr>
          <w:lang w:val="en-CA"/>
        </w:rPr>
        <w:t>i.</w:t>
      </w:r>
      <w:r w:rsidRPr="00280477">
        <w:rPr>
          <w:lang w:val="en-CA"/>
        </w:rPr>
        <w:tab/>
        <w:t>To establish psychosocial care services for child victims and witnesses of serious human rights violations, particularly among returnees;</w:t>
      </w:r>
    </w:p>
    <w:p w14:paraId="28FBEB78" w14:textId="77777777" w:rsidR="006354E7" w:rsidRPr="00280477" w:rsidRDefault="006354E7" w:rsidP="006354E7">
      <w:pPr>
        <w:pStyle w:val="Bullet1G"/>
        <w:numPr>
          <w:ilvl w:val="0"/>
          <w:numId w:val="0"/>
        </w:numPr>
        <w:ind w:left="1848" w:hanging="357"/>
        <w:rPr>
          <w:lang w:val="en-CA"/>
        </w:rPr>
      </w:pPr>
      <w:r w:rsidRPr="00280477">
        <w:rPr>
          <w:lang w:val="en-CA"/>
        </w:rPr>
        <w:t>j.</w:t>
      </w:r>
      <w:r w:rsidRPr="00280477">
        <w:rPr>
          <w:lang w:val="en-CA"/>
        </w:rPr>
        <w:tab/>
        <w:t>To ensure access to justice and appropriate medical and psychosocial services for victims of sexual violence, including male victims;</w:t>
      </w:r>
    </w:p>
    <w:p w14:paraId="63851230" w14:textId="77777777" w:rsidR="006354E7" w:rsidRPr="00280477" w:rsidRDefault="006354E7" w:rsidP="006354E7">
      <w:pPr>
        <w:pStyle w:val="Bullet1G"/>
        <w:numPr>
          <w:ilvl w:val="0"/>
          <w:numId w:val="0"/>
        </w:numPr>
        <w:ind w:left="1848" w:hanging="357"/>
        <w:rPr>
          <w:lang w:val="en-CA"/>
        </w:rPr>
      </w:pPr>
      <w:r w:rsidRPr="00280477">
        <w:rPr>
          <w:lang w:val="en-CA"/>
        </w:rPr>
        <w:t>k.</w:t>
      </w:r>
      <w:r w:rsidRPr="00280477">
        <w:rPr>
          <w:lang w:val="en-CA"/>
        </w:rPr>
        <w:tab/>
        <w:t>To establish a 30 per cent quota for women on hill district councils;</w:t>
      </w:r>
    </w:p>
    <w:p w14:paraId="0317B31A" w14:textId="77777777" w:rsidR="006354E7" w:rsidRPr="00280477" w:rsidRDefault="006354E7" w:rsidP="006354E7">
      <w:pPr>
        <w:pStyle w:val="Bullet1G"/>
        <w:numPr>
          <w:ilvl w:val="0"/>
          <w:numId w:val="0"/>
        </w:numPr>
        <w:ind w:left="1848" w:hanging="357"/>
        <w:rPr>
          <w:lang w:val="en-CA"/>
        </w:rPr>
      </w:pPr>
      <w:r w:rsidRPr="00280477">
        <w:rPr>
          <w:lang w:val="en-CA"/>
        </w:rPr>
        <w:t>l.</w:t>
      </w:r>
      <w:r w:rsidRPr="00280477">
        <w:rPr>
          <w:lang w:val="en-CA"/>
        </w:rPr>
        <w:tab/>
        <w:t>To resume full cooperation with the World Health Organization;</w:t>
      </w:r>
    </w:p>
    <w:p w14:paraId="3F3EA2FE" w14:textId="77777777" w:rsidR="006354E7" w:rsidRPr="00280477" w:rsidRDefault="006354E7" w:rsidP="006354E7">
      <w:pPr>
        <w:pStyle w:val="Bullet1G"/>
        <w:numPr>
          <w:ilvl w:val="0"/>
          <w:numId w:val="0"/>
        </w:numPr>
        <w:ind w:left="1848" w:hanging="357"/>
        <w:rPr>
          <w:lang w:val="en-CA"/>
        </w:rPr>
      </w:pPr>
      <w:r w:rsidRPr="00280477">
        <w:rPr>
          <w:lang w:val="en-CA"/>
        </w:rPr>
        <w:t>m.</w:t>
      </w:r>
      <w:r w:rsidRPr="00280477">
        <w:rPr>
          <w:lang w:val="en-CA"/>
        </w:rPr>
        <w:tab/>
        <w:t xml:space="preserve">To take measures to effectively combat economic misfeasance, in particular by ensuring transparency, competition and the establishment of objective and pre-established criteria for the awarding of government contracts, as well as an effective system of domestic remedies, and to investigate allegations of cases of ill-gotten gains; </w:t>
      </w:r>
    </w:p>
    <w:p w14:paraId="60FFCD1B" w14:textId="77777777" w:rsidR="006354E7" w:rsidRPr="00280477" w:rsidRDefault="006354E7" w:rsidP="006354E7">
      <w:pPr>
        <w:pStyle w:val="Bullet1G"/>
        <w:numPr>
          <w:ilvl w:val="0"/>
          <w:numId w:val="0"/>
        </w:numPr>
        <w:ind w:left="1848" w:hanging="357"/>
        <w:rPr>
          <w:lang w:val="en-CA"/>
        </w:rPr>
      </w:pPr>
      <w:r w:rsidRPr="00280477">
        <w:rPr>
          <w:lang w:val="en-CA"/>
        </w:rPr>
        <w:t>n.</w:t>
      </w:r>
      <w:r w:rsidRPr="00280477">
        <w:rPr>
          <w:lang w:val="en-CA"/>
        </w:rPr>
        <w:tab/>
        <w:t>To become a party to the Extractive Industries Transparency Initiative and to implement the related standards;</w:t>
      </w:r>
    </w:p>
    <w:p w14:paraId="506C65B1" w14:textId="77777777" w:rsidR="006354E7" w:rsidRPr="00280477" w:rsidRDefault="006354E7" w:rsidP="006354E7">
      <w:pPr>
        <w:pStyle w:val="Bullet1G"/>
        <w:numPr>
          <w:ilvl w:val="0"/>
          <w:numId w:val="0"/>
        </w:numPr>
        <w:ind w:left="1848" w:hanging="357"/>
        <w:rPr>
          <w:lang w:val="en-CA"/>
        </w:rPr>
      </w:pPr>
      <w:r w:rsidRPr="00280477">
        <w:rPr>
          <w:lang w:val="en-CA"/>
        </w:rPr>
        <w:t>o.</w:t>
      </w:r>
      <w:r w:rsidRPr="00280477">
        <w:rPr>
          <w:lang w:val="en-CA"/>
        </w:rPr>
        <w:tab/>
        <w:t>To systematically publish the annual budget, as implemented;</w:t>
      </w:r>
    </w:p>
    <w:p w14:paraId="69860BD1" w14:textId="77777777" w:rsidR="006354E7" w:rsidRPr="00280477" w:rsidRDefault="006354E7" w:rsidP="006354E7">
      <w:pPr>
        <w:pStyle w:val="Bullet1G"/>
        <w:numPr>
          <w:ilvl w:val="0"/>
          <w:numId w:val="0"/>
        </w:numPr>
        <w:ind w:left="1848" w:hanging="357"/>
        <w:rPr>
          <w:lang w:val="en-CA"/>
        </w:rPr>
      </w:pPr>
      <w:r w:rsidRPr="00280477">
        <w:rPr>
          <w:lang w:val="en-CA"/>
        </w:rPr>
        <w:t>p.</w:t>
      </w:r>
      <w:r w:rsidRPr="00280477">
        <w:rPr>
          <w:lang w:val="en-CA"/>
        </w:rPr>
        <w:tab/>
        <w:t>To ensure that senior political and administrative officials systematically make a public declaration of their assets upon taking office and at the end of their term.</w:t>
      </w:r>
    </w:p>
    <w:p w14:paraId="56804CEE" w14:textId="77777777" w:rsidR="006354E7" w:rsidRPr="00280477" w:rsidRDefault="006354E7" w:rsidP="006354E7">
      <w:pPr>
        <w:pStyle w:val="Bullet1G"/>
        <w:numPr>
          <w:ilvl w:val="0"/>
          <w:numId w:val="0"/>
        </w:numPr>
        <w:ind w:left="1701" w:hanging="567"/>
        <w:rPr>
          <w:lang w:val="en-CA"/>
        </w:rPr>
      </w:pPr>
      <w:r>
        <w:rPr>
          <w:lang w:val="en-CA"/>
        </w:rPr>
        <w:t>3</w:t>
      </w:r>
      <w:r w:rsidRPr="00280477">
        <w:rPr>
          <w:lang w:val="en-CA"/>
        </w:rPr>
        <w:t>.</w:t>
      </w:r>
      <w:r w:rsidRPr="00280477">
        <w:rPr>
          <w:lang w:val="en-CA"/>
        </w:rPr>
        <w:tab/>
        <w:t>The Commission recommends that opposition rebel groups refrain from violence.</w:t>
      </w:r>
    </w:p>
    <w:p w14:paraId="131437E8" w14:textId="77777777" w:rsidR="006354E7" w:rsidRPr="00280477" w:rsidRDefault="006354E7" w:rsidP="006354E7">
      <w:pPr>
        <w:pStyle w:val="SingleTxtG"/>
        <w:rPr>
          <w:bCs/>
          <w:lang w:val="en-CA"/>
        </w:rPr>
      </w:pPr>
      <w:r>
        <w:rPr>
          <w:lang w:val="en-CA"/>
        </w:rPr>
        <w:t>4</w:t>
      </w:r>
      <w:r w:rsidRPr="00280477">
        <w:rPr>
          <w:lang w:val="en-CA"/>
        </w:rPr>
        <w:t>.</w:t>
      </w:r>
      <w:r w:rsidRPr="00280477">
        <w:rPr>
          <w:lang w:val="en-CA"/>
        </w:rPr>
        <w:tab/>
      </w:r>
      <w:r w:rsidRPr="00280477">
        <w:rPr>
          <w:bCs/>
          <w:lang w:val="en-CA"/>
        </w:rPr>
        <w:t>For the international community, in keeping with its duty of vigilance, the Commission has the following recommendations:</w:t>
      </w:r>
    </w:p>
    <w:p w14:paraId="09B172E9" w14:textId="77777777" w:rsidR="006354E7" w:rsidRPr="00280477" w:rsidRDefault="006354E7" w:rsidP="006354E7">
      <w:pPr>
        <w:pStyle w:val="Bullet1G"/>
        <w:numPr>
          <w:ilvl w:val="0"/>
          <w:numId w:val="0"/>
        </w:numPr>
        <w:ind w:left="1848" w:hanging="357"/>
        <w:rPr>
          <w:lang w:val="en-CA"/>
        </w:rPr>
      </w:pPr>
      <w:r w:rsidRPr="00280477">
        <w:rPr>
          <w:lang w:val="en-CA"/>
        </w:rPr>
        <w:t>a.</w:t>
      </w:r>
      <w:r w:rsidRPr="00280477">
        <w:rPr>
          <w:lang w:val="en-CA"/>
        </w:rPr>
        <w:tab/>
        <w:t>To maintain an independent international mechanism that can objectively monitor the human rights situation in Burundi, including through the monitoring of risk factors and the implementation of the Commission’s recommendations;</w:t>
      </w:r>
    </w:p>
    <w:p w14:paraId="77920DE3" w14:textId="77777777" w:rsidR="006354E7" w:rsidRPr="00280477" w:rsidRDefault="006354E7" w:rsidP="006354E7">
      <w:pPr>
        <w:pStyle w:val="Bullet1G"/>
        <w:numPr>
          <w:ilvl w:val="0"/>
          <w:numId w:val="0"/>
        </w:numPr>
        <w:ind w:left="1848" w:hanging="357"/>
        <w:rPr>
          <w:lang w:val="en-CA"/>
        </w:rPr>
      </w:pPr>
      <w:r w:rsidRPr="00280477">
        <w:rPr>
          <w:lang w:val="en-CA"/>
        </w:rPr>
        <w:t>b.</w:t>
      </w:r>
      <w:r w:rsidRPr="00280477">
        <w:rPr>
          <w:lang w:val="en-CA"/>
        </w:rPr>
        <w:tab/>
        <w:t>To base the resumption of international cooperation with Burundi and the lifting of sanctions on tangible progress in the area of human rights and the fight against impunity and corruption;</w:t>
      </w:r>
    </w:p>
    <w:p w14:paraId="392BB4FA" w14:textId="77777777" w:rsidR="006354E7" w:rsidRPr="00280477" w:rsidRDefault="006354E7" w:rsidP="006354E7">
      <w:pPr>
        <w:pStyle w:val="Bullet1G"/>
        <w:numPr>
          <w:ilvl w:val="0"/>
          <w:numId w:val="0"/>
        </w:numPr>
        <w:ind w:left="1848" w:hanging="357"/>
        <w:rPr>
          <w:lang w:val="en-CA"/>
        </w:rPr>
      </w:pPr>
      <w:r w:rsidRPr="00280477">
        <w:rPr>
          <w:lang w:val="en-CA"/>
        </w:rPr>
        <w:t>c.</w:t>
      </w:r>
      <w:r w:rsidRPr="00280477">
        <w:rPr>
          <w:lang w:val="en-CA"/>
        </w:rPr>
        <w:tab/>
        <w:t>To ensure that refugees are not forced to return to Burundi until conditions in the country are favourable and to request free access to returnees to assess their situation;</w:t>
      </w:r>
    </w:p>
    <w:p w14:paraId="5CCAA9DE" w14:textId="77777777" w:rsidR="006354E7" w:rsidRPr="00280477" w:rsidRDefault="006354E7" w:rsidP="006354E7">
      <w:pPr>
        <w:pStyle w:val="Bullet1G"/>
        <w:numPr>
          <w:ilvl w:val="0"/>
          <w:numId w:val="0"/>
        </w:numPr>
        <w:ind w:left="1848" w:hanging="357"/>
        <w:rPr>
          <w:lang w:val="en-CA"/>
        </w:rPr>
      </w:pPr>
      <w:r w:rsidRPr="00280477">
        <w:rPr>
          <w:lang w:val="en-CA"/>
        </w:rPr>
        <w:t>d.</w:t>
      </w:r>
      <w:r w:rsidRPr="00280477">
        <w:rPr>
          <w:lang w:val="en-CA"/>
        </w:rPr>
        <w:tab/>
        <w:t>To support civil society organizations active in the field of human rights in Burundi, in particular for investigations and public reporting.</w:t>
      </w:r>
    </w:p>
    <w:p w14:paraId="65E39BB0" w14:textId="77777777" w:rsidR="006354E7" w:rsidRPr="00280477" w:rsidRDefault="006354E7" w:rsidP="006354E7">
      <w:pPr>
        <w:pStyle w:val="SingleTxtG"/>
        <w:rPr>
          <w:lang w:val="en-CA"/>
        </w:rPr>
      </w:pPr>
      <w:r>
        <w:rPr>
          <w:lang w:val="en-CA"/>
        </w:rPr>
        <w:t>5</w:t>
      </w:r>
      <w:r w:rsidRPr="00280477">
        <w:rPr>
          <w:lang w:val="en-CA"/>
        </w:rPr>
        <w:t>.</w:t>
      </w:r>
      <w:r w:rsidRPr="00280477">
        <w:rPr>
          <w:lang w:val="en-CA"/>
        </w:rPr>
        <w:tab/>
      </w:r>
      <w:r w:rsidRPr="00280477">
        <w:rPr>
          <w:bCs/>
          <w:lang w:val="en-CA"/>
        </w:rPr>
        <w:t>The Commission recommends that States and international organizations funding international development assistance programmes strengthen their procedures to minimize the risk of misappropriation of funds and systematically investigate allegations that they receive in order to ensure that such assistance is fully utilized for the intended purposes and to the benefit of the intended beneficiaries.</w:t>
      </w:r>
    </w:p>
    <w:p w14:paraId="67D89A4F" w14:textId="77777777" w:rsidR="006354E7" w:rsidRPr="00280477" w:rsidRDefault="006354E7" w:rsidP="006354E7">
      <w:pPr>
        <w:pStyle w:val="SingleTxtG"/>
        <w:rPr>
          <w:lang w:val="en-CA"/>
        </w:rPr>
      </w:pPr>
      <w:r>
        <w:rPr>
          <w:lang w:val="en-CA"/>
        </w:rPr>
        <w:t>6</w:t>
      </w:r>
      <w:r w:rsidRPr="00280477">
        <w:rPr>
          <w:lang w:val="en-CA"/>
        </w:rPr>
        <w:t>.</w:t>
      </w:r>
      <w:r w:rsidRPr="00280477">
        <w:rPr>
          <w:lang w:val="en-CA"/>
        </w:rPr>
        <w:tab/>
      </w:r>
      <w:r w:rsidRPr="00280477">
        <w:rPr>
          <w:bCs/>
          <w:lang w:val="en-CA"/>
        </w:rPr>
        <w:t>To the United Nations system, including its agencies, the Commission makes the following recommendations:</w:t>
      </w:r>
    </w:p>
    <w:p w14:paraId="7BA4ADB3" w14:textId="77777777" w:rsidR="006354E7" w:rsidRPr="00280477" w:rsidRDefault="006354E7" w:rsidP="006354E7">
      <w:pPr>
        <w:pStyle w:val="Bullet1G"/>
        <w:numPr>
          <w:ilvl w:val="0"/>
          <w:numId w:val="0"/>
        </w:numPr>
        <w:ind w:left="1848" w:hanging="357"/>
        <w:rPr>
          <w:lang w:val="en-CA"/>
        </w:rPr>
      </w:pPr>
      <w:r w:rsidRPr="00280477">
        <w:rPr>
          <w:lang w:val="en-CA"/>
        </w:rPr>
        <w:t>a.</w:t>
      </w:r>
      <w:r w:rsidRPr="00280477">
        <w:rPr>
          <w:lang w:val="en-CA"/>
        </w:rPr>
        <w:tab/>
        <w:t>In accordance with the human rights due diligence policy, to provide support only when there are guarantees that those who are to benefit from it are not perpetrators of serious human rights violations, either individually or institutionally, and not to provide such support when there have been credible allegations in this regard or when the competent authorities fail to take the necessary corrective or mitigating measures;</w:t>
      </w:r>
    </w:p>
    <w:p w14:paraId="77A8A688" w14:textId="77777777" w:rsidR="006354E7" w:rsidRPr="00D9314D" w:rsidRDefault="006354E7" w:rsidP="006354E7">
      <w:pPr>
        <w:pStyle w:val="Bullet1G"/>
        <w:numPr>
          <w:ilvl w:val="0"/>
          <w:numId w:val="0"/>
        </w:numPr>
        <w:ind w:left="1848" w:hanging="357"/>
        <w:rPr>
          <w:lang w:val="en-GB" w:eastAsia="en-GB"/>
        </w:rPr>
      </w:pPr>
      <w:r w:rsidRPr="00D9314D">
        <w:rPr>
          <w:lang w:val="en-GB" w:eastAsia="en-GB"/>
        </w:rPr>
        <w:t>b.</w:t>
      </w:r>
      <w:r w:rsidRPr="00D9314D">
        <w:rPr>
          <w:lang w:val="en-GB" w:eastAsia="en-GB"/>
        </w:rPr>
        <w:tab/>
      </w:r>
      <w:r w:rsidRPr="00D9314D">
        <w:rPr>
          <w:lang w:val="en-CA"/>
        </w:rPr>
        <w:t>To strengthen support for the response to sexual and gender-based violence in order to better address the specific needs of victims, including among refugees</w:t>
      </w:r>
      <w:r>
        <w:rPr>
          <w:lang w:val="en-CA"/>
        </w:rPr>
        <w:t>.</w:t>
      </w:r>
    </w:p>
    <w:p w14:paraId="1C09AF03" w14:textId="77777777" w:rsidR="006354E7" w:rsidRPr="0084034F" w:rsidRDefault="006354E7" w:rsidP="006354E7">
      <w:pPr>
        <w:pStyle w:val="H1G"/>
        <w:tabs>
          <w:tab w:val="clear" w:pos="851"/>
          <w:tab w:val="right" w:pos="1134"/>
        </w:tabs>
        <w:ind w:hanging="567"/>
        <w:rPr>
          <w:lang w:val="fr-CH" w:eastAsia="en-GB"/>
        </w:rPr>
      </w:pPr>
      <w:r w:rsidRPr="0084034F">
        <w:rPr>
          <w:lang w:val="fr-CH" w:eastAsia="en-GB"/>
        </w:rPr>
        <w:t>2.</w:t>
      </w:r>
      <w:r w:rsidRPr="0084034F">
        <w:rPr>
          <w:lang w:val="fr-CH" w:eastAsia="en-GB"/>
        </w:rPr>
        <w:tab/>
      </w:r>
      <w:r w:rsidRPr="0084034F">
        <w:rPr>
          <w:lang w:val="fr-CH" w:eastAsia="en-GB"/>
        </w:rPr>
        <w:tab/>
        <w:t>Recommandations faites en 2019</w:t>
      </w:r>
    </w:p>
    <w:p w14:paraId="3A8BC674"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1F492B1B"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La tenue des élections de 2020 est un facteur de risque important. Afin qu’elles puissent se dérouler dans un climat apaisé tout en étant justes, libres, transparentes et crédibles, la Commission adresse aux autorités burundaise</w:t>
      </w:r>
      <w:r>
        <w:rPr>
          <w:lang w:eastAsia="en-GB"/>
        </w:rPr>
        <w:t>s les recommandations suivantes</w:t>
      </w:r>
      <w:r w:rsidRPr="0045107A">
        <w:rPr>
          <w:lang w:eastAsia="en-GB"/>
        </w:rPr>
        <w:t>:</w:t>
      </w:r>
    </w:p>
    <w:p w14:paraId="550771EA" w14:textId="77777777" w:rsidR="006354E7" w:rsidRPr="0045107A" w:rsidRDefault="006354E7" w:rsidP="006354E7">
      <w:pPr>
        <w:pStyle w:val="Bullet1G"/>
        <w:numPr>
          <w:ilvl w:val="0"/>
          <w:numId w:val="0"/>
        </w:numPr>
        <w:ind w:left="1848" w:hanging="357"/>
        <w:rPr>
          <w:lang w:eastAsia="en-GB"/>
        </w:rPr>
      </w:pPr>
      <w:r w:rsidRPr="0045107A">
        <w:rPr>
          <w:lang w:eastAsia="en-GB"/>
        </w:rPr>
        <w:t>a.</w:t>
      </w:r>
      <w:r w:rsidRPr="0045107A">
        <w:rPr>
          <w:lang w:eastAsia="en-GB"/>
        </w:rPr>
        <w:tab/>
        <w:t>Mettre en œuvre toutes les recommandations précédentes de la Commission</w:t>
      </w:r>
      <w:r w:rsidRPr="00CE281A">
        <w:rPr>
          <w:rStyle w:val="FootnoteReference"/>
        </w:rPr>
        <w:footnoteReference w:id="512"/>
      </w:r>
      <w:r w:rsidRPr="0045107A">
        <w:rPr>
          <w:lang w:eastAsia="en-GB"/>
        </w:rPr>
        <w:t>, qui restent plus que jamais valables et pertinentes, notamment celles concernant les mesures prioritaires afin de faire cesser les violations des droits de l’homme et les crimes internationaux, de lutter contre l’impunité, et d’améliorer la situation des droits de l’homme dans le pays, ainsi que celles à moyen et plus long termes relatives à la révision du cadre juridique et à l</w:t>
      </w:r>
      <w:r>
        <w:rPr>
          <w:lang w:eastAsia="en-GB"/>
        </w:rPr>
        <w:t>a réforme du système judiciaire</w:t>
      </w:r>
      <w:r w:rsidRPr="0045107A">
        <w:rPr>
          <w:lang w:eastAsia="en-GB"/>
        </w:rPr>
        <w:t>;</w:t>
      </w:r>
    </w:p>
    <w:p w14:paraId="2AC0D88C" w14:textId="77777777" w:rsidR="006354E7" w:rsidRPr="0045107A" w:rsidRDefault="006354E7" w:rsidP="006354E7">
      <w:pPr>
        <w:pStyle w:val="Bullet1G"/>
        <w:numPr>
          <w:ilvl w:val="0"/>
          <w:numId w:val="0"/>
        </w:numPr>
        <w:ind w:left="1848" w:hanging="357"/>
        <w:rPr>
          <w:lang w:eastAsia="en-GB"/>
        </w:rPr>
      </w:pPr>
      <w:r w:rsidRPr="0045107A">
        <w:rPr>
          <w:lang w:eastAsia="en-GB"/>
        </w:rPr>
        <w:t>b.</w:t>
      </w:r>
      <w:r w:rsidRPr="0045107A">
        <w:rPr>
          <w:lang w:eastAsia="en-GB"/>
        </w:rPr>
        <w:tab/>
        <w:t>Diligenter sans délai des enquêtes indépendantes et effectives sur les cas de violations documentés par la Commission depuis 2015, afin de permettre l’instauration d’un climat de confiance et de tolérance politique encourageant une participation inclus</w:t>
      </w:r>
      <w:r>
        <w:rPr>
          <w:lang w:eastAsia="en-GB"/>
        </w:rPr>
        <w:t>ive dans le processus électoral</w:t>
      </w:r>
      <w:r w:rsidRPr="0045107A">
        <w:rPr>
          <w:lang w:eastAsia="en-GB"/>
        </w:rPr>
        <w:t>;</w:t>
      </w:r>
    </w:p>
    <w:p w14:paraId="43403027" w14:textId="77777777" w:rsidR="006354E7" w:rsidRPr="0045107A" w:rsidRDefault="006354E7" w:rsidP="006354E7">
      <w:pPr>
        <w:pStyle w:val="Bullet1G"/>
        <w:numPr>
          <w:ilvl w:val="0"/>
          <w:numId w:val="0"/>
        </w:numPr>
        <w:ind w:left="1848" w:hanging="357"/>
        <w:rPr>
          <w:lang w:eastAsia="en-GB"/>
        </w:rPr>
      </w:pPr>
      <w:r w:rsidRPr="0045107A">
        <w:rPr>
          <w:lang w:eastAsia="en-GB"/>
        </w:rPr>
        <w:t>c.</w:t>
      </w:r>
      <w:r w:rsidRPr="0045107A">
        <w:rPr>
          <w:lang w:eastAsia="en-GB"/>
        </w:rPr>
        <w:tab/>
        <w:t>Se réengager de manière constructive et coopérative auprès de tous les mécanismes internationaux et régionaux des droits de l’homme et du Haut-Commissariat aux droits de l’homme, en leur permettant d’assurer pleinement et librement leurs mandats de suivi</w:t>
      </w:r>
      <w:r>
        <w:rPr>
          <w:lang w:eastAsia="en-GB"/>
        </w:rPr>
        <w:t xml:space="preserve"> des droits de l’homme</w:t>
      </w:r>
      <w:r w:rsidRPr="0045107A">
        <w:rPr>
          <w:lang w:eastAsia="en-GB"/>
        </w:rPr>
        <w:t>;</w:t>
      </w:r>
    </w:p>
    <w:p w14:paraId="108411FA" w14:textId="77777777" w:rsidR="006354E7" w:rsidRPr="0045107A" w:rsidRDefault="006354E7" w:rsidP="006354E7">
      <w:pPr>
        <w:pStyle w:val="Bullet1G"/>
        <w:numPr>
          <w:ilvl w:val="0"/>
          <w:numId w:val="0"/>
        </w:numPr>
        <w:ind w:left="1848" w:hanging="357"/>
        <w:rPr>
          <w:lang w:eastAsia="en-GB"/>
        </w:rPr>
      </w:pPr>
      <w:r w:rsidRPr="0045107A">
        <w:rPr>
          <w:lang w:eastAsia="en-GB"/>
        </w:rPr>
        <w:t>d.</w:t>
      </w:r>
      <w:r w:rsidRPr="0045107A">
        <w:rPr>
          <w:lang w:eastAsia="en-GB"/>
        </w:rPr>
        <w:tab/>
        <w:t>Assurer l’indépendance structurelle et financière des mécanismes nationaux des droits de l’homme et renforcer la capacité de leurs membres;</w:t>
      </w:r>
    </w:p>
    <w:p w14:paraId="35B25413" w14:textId="77777777" w:rsidR="006354E7" w:rsidRPr="0045107A" w:rsidRDefault="006354E7" w:rsidP="006354E7">
      <w:pPr>
        <w:pStyle w:val="Bullet1G"/>
        <w:numPr>
          <w:ilvl w:val="0"/>
          <w:numId w:val="0"/>
        </w:numPr>
        <w:ind w:left="1848" w:hanging="357"/>
        <w:rPr>
          <w:lang w:eastAsia="en-GB"/>
        </w:rPr>
      </w:pPr>
      <w:r w:rsidRPr="0045107A">
        <w:rPr>
          <w:lang w:eastAsia="en-GB"/>
        </w:rPr>
        <w:t>e.</w:t>
      </w:r>
      <w:r w:rsidRPr="0045107A">
        <w:rPr>
          <w:lang w:eastAsia="en-GB"/>
        </w:rPr>
        <w:tab/>
        <w:t>Prendre les mesures nécessaires afin de garantir la liberté d’établissement, d’organisation et de fonctionnement des ONG étrangères et nationales, y compris en révi</w:t>
      </w:r>
      <w:r>
        <w:rPr>
          <w:lang w:eastAsia="en-GB"/>
        </w:rPr>
        <w:t>sant les lois qui les régissent</w:t>
      </w:r>
      <w:r w:rsidRPr="0045107A">
        <w:rPr>
          <w:lang w:eastAsia="en-GB"/>
        </w:rPr>
        <w:t>;</w:t>
      </w:r>
    </w:p>
    <w:p w14:paraId="155035D8" w14:textId="77777777" w:rsidR="006354E7" w:rsidRPr="0045107A" w:rsidRDefault="006354E7" w:rsidP="006354E7">
      <w:pPr>
        <w:pStyle w:val="Bullet1G"/>
        <w:numPr>
          <w:ilvl w:val="0"/>
          <w:numId w:val="0"/>
        </w:numPr>
        <w:ind w:left="1848" w:hanging="357"/>
        <w:rPr>
          <w:lang w:eastAsia="en-GB"/>
        </w:rPr>
      </w:pPr>
      <w:r w:rsidRPr="0045107A">
        <w:rPr>
          <w:lang w:eastAsia="en-GB"/>
        </w:rPr>
        <w:t>f.</w:t>
      </w:r>
      <w:r w:rsidRPr="0045107A">
        <w:rPr>
          <w:lang w:eastAsia="en-GB"/>
        </w:rPr>
        <w:tab/>
        <w:t>Prendre les mesures nécessaires afin de garantir la liberté d’information dans le pays et le droit des médias locaux et internationaux d’exercer leurs activités conformément aux normes internationales, y compris en révisant les lois sur la presse et le Conse</w:t>
      </w:r>
      <w:r>
        <w:rPr>
          <w:lang w:eastAsia="en-GB"/>
        </w:rPr>
        <w:t>il national de la communication</w:t>
      </w:r>
      <w:r w:rsidRPr="0045107A">
        <w:rPr>
          <w:lang w:eastAsia="en-GB"/>
        </w:rPr>
        <w:t>;</w:t>
      </w:r>
    </w:p>
    <w:p w14:paraId="412E6A3F" w14:textId="77777777" w:rsidR="006354E7" w:rsidRPr="0045107A" w:rsidRDefault="006354E7" w:rsidP="006354E7">
      <w:pPr>
        <w:pStyle w:val="Bullet1G"/>
        <w:numPr>
          <w:ilvl w:val="0"/>
          <w:numId w:val="0"/>
        </w:numPr>
        <w:ind w:left="1848" w:hanging="357"/>
        <w:rPr>
          <w:lang w:eastAsia="en-GB"/>
        </w:rPr>
      </w:pPr>
      <w:r w:rsidRPr="0045107A">
        <w:rPr>
          <w:lang w:eastAsia="en-GB"/>
        </w:rPr>
        <w:t>g.</w:t>
      </w:r>
      <w:r w:rsidRPr="0045107A">
        <w:rPr>
          <w:lang w:eastAsia="en-GB"/>
        </w:rPr>
        <w:tab/>
        <w:t>Garantir la jouissance effective des libertés publiques, notamment les libertés d’opinion, d’expression, d’accès à l’information, d’association, d’assemblée et de religion, y compris en mettant fin à toute pratique de recrutement forcé au sein du parti au po</w:t>
      </w:r>
      <w:r>
        <w:rPr>
          <w:lang w:eastAsia="en-GB"/>
        </w:rPr>
        <w:t>uvoir et de sa ligue des jeunes</w:t>
      </w:r>
      <w:r w:rsidRPr="0045107A">
        <w:rPr>
          <w:lang w:eastAsia="en-GB"/>
        </w:rPr>
        <w:t>;</w:t>
      </w:r>
    </w:p>
    <w:p w14:paraId="2CAED75E" w14:textId="77777777" w:rsidR="006354E7" w:rsidRPr="0045107A" w:rsidRDefault="006354E7" w:rsidP="006354E7">
      <w:pPr>
        <w:pStyle w:val="Bullet1G"/>
        <w:numPr>
          <w:ilvl w:val="0"/>
          <w:numId w:val="0"/>
        </w:numPr>
        <w:ind w:left="1848" w:hanging="357"/>
        <w:rPr>
          <w:lang w:eastAsia="en-GB"/>
        </w:rPr>
      </w:pPr>
      <w:r w:rsidRPr="0045107A">
        <w:rPr>
          <w:lang w:eastAsia="en-GB"/>
        </w:rPr>
        <w:t>h.</w:t>
      </w:r>
      <w:r w:rsidRPr="0045107A">
        <w:rPr>
          <w:lang w:eastAsia="en-GB"/>
        </w:rPr>
        <w:tab/>
        <w:t>Appliquer les Lignes directrices sur l’accès à l’information et les élections en Afrique et les Lignes directrices sur la liberté d’association et de réunion en Afrique de la Commission africaine des d</w:t>
      </w:r>
      <w:r>
        <w:rPr>
          <w:lang w:eastAsia="en-GB"/>
        </w:rPr>
        <w:t>roits de l’homme et des peuples</w:t>
      </w:r>
      <w:r w:rsidRPr="0045107A">
        <w:rPr>
          <w:lang w:eastAsia="en-GB"/>
        </w:rPr>
        <w:t>;</w:t>
      </w:r>
    </w:p>
    <w:p w14:paraId="4A88FAE1" w14:textId="77777777" w:rsidR="006354E7" w:rsidRPr="0045107A" w:rsidRDefault="006354E7" w:rsidP="006354E7">
      <w:pPr>
        <w:pStyle w:val="Bullet1G"/>
        <w:numPr>
          <w:ilvl w:val="0"/>
          <w:numId w:val="0"/>
        </w:numPr>
        <w:ind w:left="1848" w:hanging="357"/>
        <w:rPr>
          <w:lang w:eastAsia="en-GB"/>
        </w:rPr>
      </w:pPr>
      <w:r w:rsidRPr="0045107A">
        <w:rPr>
          <w:lang w:eastAsia="en-GB"/>
        </w:rPr>
        <w:t>i.</w:t>
      </w:r>
      <w:r w:rsidRPr="0045107A">
        <w:rPr>
          <w:lang w:eastAsia="en-GB"/>
        </w:rPr>
        <w:tab/>
        <w:t>Garantir que tous les partis politiques peuvent mener leurs activités légitimes en toute liberté et sécurité, dans un climat de tolérance politique, notamment en sanctionnant tout propos d’incitation à la haine et à la violence contre les autres par</w:t>
      </w:r>
      <w:r>
        <w:rPr>
          <w:lang w:eastAsia="en-GB"/>
        </w:rPr>
        <w:t>tis politiques et leurs membres</w:t>
      </w:r>
      <w:r w:rsidRPr="0045107A">
        <w:rPr>
          <w:lang w:eastAsia="en-GB"/>
        </w:rPr>
        <w:t>;</w:t>
      </w:r>
    </w:p>
    <w:p w14:paraId="040D5964" w14:textId="77777777" w:rsidR="006354E7" w:rsidRPr="0045107A" w:rsidRDefault="006354E7" w:rsidP="006354E7">
      <w:pPr>
        <w:pStyle w:val="Bullet1G"/>
        <w:numPr>
          <w:ilvl w:val="0"/>
          <w:numId w:val="0"/>
        </w:numPr>
        <w:ind w:left="1848" w:hanging="357"/>
        <w:rPr>
          <w:lang w:eastAsia="en-GB"/>
        </w:rPr>
      </w:pPr>
      <w:r w:rsidRPr="0045107A">
        <w:rPr>
          <w:lang w:eastAsia="en-GB"/>
        </w:rPr>
        <w:t>j.</w:t>
      </w:r>
      <w:r w:rsidRPr="0045107A">
        <w:rPr>
          <w:lang w:eastAsia="en-GB"/>
        </w:rPr>
        <w:tab/>
        <w:t>Garantir, dans la pratique, notamment en révisant le Code électoral, le droit à prendre part à la gestion des affaires publiques s</w:t>
      </w:r>
      <w:r>
        <w:rPr>
          <w:lang w:eastAsia="en-GB"/>
        </w:rPr>
        <w:t>ans discrimination</w:t>
      </w:r>
      <w:r w:rsidRPr="0045107A">
        <w:rPr>
          <w:lang w:eastAsia="en-GB"/>
        </w:rPr>
        <w:t>;</w:t>
      </w:r>
    </w:p>
    <w:p w14:paraId="0F2B0807" w14:textId="77777777" w:rsidR="006354E7" w:rsidRPr="0045107A" w:rsidRDefault="006354E7" w:rsidP="006354E7">
      <w:pPr>
        <w:pStyle w:val="Bullet1G"/>
        <w:numPr>
          <w:ilvl w:val="0"/>
          <w:numId w:val="0"/>
        </w:numPr>
        <w:ind w:left="1848" w:hanging="357"/>
        <w:rPr>
          <w:lang w:eastAsia="en-GB"/>
        </w:rPr>
      </w:pPr>
      <w:r w:rsidRPr="0045107A">
        <w:rPr>
          <w:lang w:eastAsia="en-GB"/>
        </w:rPr>
        <w:t>k.</w:t>
      </w:r>
      <w:r w:rsidRPr="0045107A">
        <w:rPr>
          <w:lang w:eastAsia="en-GB"/>
        </w:rPr>
        <w:tab/>
        <w:t>Garantir, dans la pratique, l’indépendance structurelle de la Commission électorale nationale indépendante, notamment en révisant le décret la régissant afin que sa composition soit inclusive et équilibrée, et renforcer les capacités de ses membres aux échelons municipal et provinci</w:t>
      </w:r>
      <w:r>
        <w:rPr>
          <w:lang w:eastAsia="en-GB"/>
        </w:rPr>
        <w:t>al</w:t>
      </w:r>
      <w:r w:rsidRPr="0045107A">
        <w:rPr>
          <w:lang w:eastAsia="en-GB"/>
        </w:rPr>
        <w:t>;</w:t>
      </w:r>
    </w:p>
    <w:p w14:paraId="00DFBEF3" w14:textId="77777777" w:rsidR="006354E7" w:rsidRPr="0045107A" w:rsidRDefault="006354E7" w:rsidP="006354E7">
      <w:pPr>
        <w:pStyle w:val="Bullet1G"/>
        <w:numPr>
          <w:ilvl w:val="0"/>
          <w:numId w:val="0"/>
        </w:numPr>
        <w:ind w:left="1848" w:hanging="357"/>
        <w:rPr>
          <w:lang w:eastAsia="en-GB"/>
        </w:rPr>
      </w:pPr>
      <w:r w:rsidRPr="0045107A">
        <w:rPr>
          <w:lang w:eastAsia="en-GB"/>
        </w:rPr>
        <w:t>l.</w:t>
      </w:r>
      <w:r w:rsidRPr="0045107A">
        <w:rPr>
          <w:lang w:eastAsia="en-GB"/>
        </w:rPr>
        <w:tab/>
        <w:t>Permettre l’accès d’observateurs électoraux indépendants, internationaux et régionaux, et leur garantir, ainsi qu’aux observateurs nationaux issus de la société civile ou des partis politiques, une liberté de mouvement et d’action avant, pendant et</w:t>
      </w:r>
      <w:r>
        <w:rPr>
          <w:lang w:eastAsia="en-GB"/>
        </w:rPr>
        <w:t xml:space="preserve"> après les élections</w:t>
      </w:r>
      <w:r w:rsidRPr="0045107A">
        <w:rPr>
          <w:lang w:eastAsia="en-GB"/>
        </w:rPr>
        <w:t>;</w:t>
      </w:r>
    </w:p>
    <w:p w14:paraId="22AD31EB" w14:textId="77777777" w:rsidR="006354E7" w:rsidRPr="0045107A" w:rsidRDefault="006354E7" w:rsidP="006354E7">
      <w:pPr>
        <w:pStyle w:val="Bullet1G"/>
        <w:numPr>
          <w:ilvl w:val="0"/>
          <w:numId w:val="0"/>
        </w:numPr>
        <w:ind w:left="1848" w:hanging="357"/>
        <w:rPr>
          <w:lang w:eastAsia="en-GB"/>
        </w:rPr>
      </w:pPr>
      <w:r w:rsidRPr="0045107A">
        <w:rPr>
          <w:lang w:eastAsia="en-GB"/>
        </w:rPr>
        <w:t>m.</w:t>
      </w:r>
      <w:r w:rsidRPr="0045107A">
        <w:rPr>
          <w:lang w:eastAsia="en-GB"/>
        </w:rPr>
        <w:tab/>
        <w:t>Appliquer les Directives pour les missions d’observation et de suivi des</w:t>
      </w:r>
      <w:r>
        <w:rPr>
          <w:lang w:eastAsia="en-GB"/>
        </w:rPr>
        <w:t xml:space="preserve"> élections de l’Union africaine</w:t>
      </w:r>
      <w:r w:rsidRPr="0045107A">
        <w:rPr>
          <w:lang w:eastAsia="en-GB"/>
        </w:rPr>
        <w:t>;</w:t>
      </w:r>
    </w:p>
    <w:p w14:paraId="6960BC57" w14:textId="77777777" w:rsidR="006354E7" w:rsidRPr="0045107A" w:rsidRDefault="006354E7" w:rsidP="006354E7">
      <w:pPr>
        <w:pStyle w:val="Bullet1G"/>
        <w:numPr>
          <w:ilvl w:val="0"/>
          <w:numId w:val="0"/>
        </w:numPr>
        <w:ind w:left="1848" w:hanging="357"/>
        <w:rPr>
          <w:lang w:eastAsia="en-GB"/>
        </w:rPr>
      </w:pPr>
      <w:r w:rsidRPr="0045107A">
        <w:rPr>
          <w:lang w:eastAsia="en-GB"/>
        </w:rPr>
        <w:t>n.</w:t>
      </w:r>
      <w:r w:rsidRPr="0045107A">
        <w:rPr>
          <w:lang w:eastAsia="en-GB"/>
        </w:rPr>
        <w:tab/>
        <w:t>Permettre aux opposants politiques de rentrer d’exil afin de participer aux élections de 2020, et garantir leur liberté et leur sécurité, notamment en annulant les mandats d’arrêt contre ceux qui n’ont p</w:t>
      </w:r>
      <w:r>
        <w:rPr>
          <w:lang w:eastAsia="en-GB"/>
        </w:rPr>
        <w:t>as utilisé ou prôné la violence</w:t>
      </w:r>
      <w:r w:rsidRPr="0045107A">
        <w:rPr>
          <w:lang w:eastAsia="en-GB"/>
        </w:rPr>
        <w:t>;</w:t>
      </w:r>
    </w:p>
    <w:p w14:paraId="3F26553F" w14:textId="77777777" w:rsidR="006354E7" w:rsidRPr="0045107A" w:rsidRDefault="006354E7" w:rsidP="006354E7">
      <w:pPr>
        <w:pStyle w:val="Bullet1G"/>
        <w:numPr>
          <w:ilvl w:val="0"/>
          <w:numId w:val="0"/>
        </w:numPr>
        <w:ind w:left="1848" w:hanging="357"/>
        <w:rPr>
          <w:lang w:eastAsia="en-GB"/>
        </w:rPr>
      </w:pPr>
      <w:r w:rsidRPr="0045107A">
        <w:rPr>
          <w:lang w:eastAsia="en-GB"/>
        </w:rPr>
        <w:t>o.</w:t>
      </w:r>
      <w:r w:rsidRPr="0045107A">
        <w:rPr>
          <w:lang w:eastAsia="en-GB"/>
        </w:rPr>
        <w:tab/>
        <w:t>Libérer immédiatement tous les prisonniers politiques arrêtés et détenus en lien avec l’exercic</w:t>
      </w:r>
      <w:r>
        <w:rPr>
          <w:lang w:eastAsia="en-GB"/>
        </w:rPr>
        <w:t>e de leurs droits démocratiques</w:t>
      </w:r>
      <w:r w:rsidRPr="0045107A">
        <w:rPr>
          <w:lang w:eastAsia="en-GB"/>
        </w:rPr>
        <w:t>;</w:t>
      </w:r>
    </w:p>
    <w:p w14:paraId="3CA128CE" w14:textId="77777777" w:rsidR="006354E7" w:rsidRPr="0045107A" w:rsidRDefault="006354E7" w:rsidP="006354E7">
      <w:pPr>
        <w:pStyle w:val="Bullet1G"/>
        <w:numPr>
          <w:ilvl w:val="0"/>
          <w:numId w:val="0"/>
        </w:numPr>
        <w:ind w:left="1848" w:hanging="357"/>
        <w:rPr>
          <w:lang w:eastAsia="en-GB"/>
        </w:rPr>
      </w:pPr>
      <w:r w:rsidRPr="0045107A">
        <w:rPr>
          <w:lang w:eastAsia="en-GB"/>
        </w:rPr>
        <w:t>p.</w:t>
      </w:r>
      <w:r w:rsidRPr="0045107A">
        <w:rPr>
          <w:lang w:eastAsia="en-GB"/>
        </w:rPr>
        <w:tab/>
        <w:t>Renforcer la formation des forces de maintien de l’ordre, afin d’éviter les mauvais traitements et d’assurer u</w:t>
      </w:r>
      <w:r>
        <w:rPr>
          <w:lang w:eastAsia="en-GB"/>
        </w:rPr>
        <w:t>ne gestion pacifique des foules</w:t>
      </w:r>
      <w:r w:rsidRPr="0045107A">
        <w:rPr>
          <w:lang w:eastAsia="en-GB"/>
        </w:rPr>
        <w:t>;</w:t>
      </w:r>
    </w:p>
    <w:p w14:paraId="0DA7354A" w14:textId="77777777" w:rsidR="006354E7" w:rsidRPr="0045107A" w:rsidRDefault="006354E7" w:rsidP="006354E7">
      <w:pPr>
        <w:pStyle w:val="Bullet1G"/>
        <w:numPr>
          <w:ilvl w:val="0"/>
          <w:numId w:val="0"/>
        </w:numPr>
        <w:ind w:left="1848" w:hanging="357"/>
        <w:rPr>
          <w:lang w:eastAsia="en-GB"/>
        </w:rPr>
      </w:pPr>
      <w:r w:rsidRPr="0045107A">
        <w:rPr>
          <w:lang w:eastAsia="en-GB"/>
        </w:rPr>
        <w:t>q.</w:t>
      </w:r>
      <w:r w:rsidRPr="0045107A">
        <w:rPr>
          <w:lang w:eastAsia="en-GB"/>
        </w:rPr>
        <w:tab/>
        <w:t>Appliquer les Lignes directrices pour le maintien de l’ordre par les agents chargés de l’application des lois lors des réunions en Afrique, et le manuel de formation y relatif, élaborés par la Commission africaine des d</w:t>
      </w:r>
      <w:r>
        <w:rPr>
          <w:lang w:eastAsia="en-GB"/>
        </w:rPr>
        <w:t>roits de l’homme et des peuples</w:t>
      </w:r>
      <w:r w:rsidRPr="0045107A">
        <w:rPr>
          <w:lang w:eastAsia="en-GB"/>
        </w:rPr>
        <w:t>;</w:t>
      </w:r>
    </w:p>
    <w:p w14:paraId="62B4122D" w14:textId="77777777" w:rsidR="006354E7" w:rsidRPr="0045107A" w:rsidRDefault="006354E7" w:rsidP="006354E7">
      <w:pPr>
        <w:pStyle w:val="Bullet1G"/>
        <w:numPr>
          <w:ilvl w:val="0"/>
          <w:numId w:val="0"/>
        </w:numPr>
        <w:ind w:left="1848" w:hanging="357"/>
        <w:rPr>
          <w:lang w:eastAsia="en-GB"/>
        </w:rPr>
      </w:pPr>
      <w:r w:rsidRPr="0045107A">
        <w:rPr>
          <w:lang w:eastAsia="en-GB"/>
        </w:rPr>
        <w:t>r.</w:t>
      </w:r>
      <w:r w:rsidRPr="0045107A">
        <w:rPr>
          <w:lang w:eastAsia="en-GB"/>
        </w:rPr>
        <w:tab/>
        <w:t>Mettre fin à l’impunité des Imbonerakure en exerçant un contrôle sur eux, afin d’éviter l’usurpation des fonctions des forces de sécurité ou de la justice et de faire cesser leurs activités répressives et démonstra</w:t>
      </w:r>
      <w:r>
        <w:rPr>
          <w:lang w:eastAsia="en-GB"/>
        </w:rPr>
        <w:t>tions de force sur les collines</w:t>
      </w:r>
      <w:r w:rsidRPr="0045107A">
        <w:rPr>
          <w:lang w:eastAsia="en-GB"/>
        </w:rPr>
        <w:t>;</w:t>
      </w:r>
    </w:p>
    <w:p w14:paraId="312A2E54" w14:textId="77777777" w:rsidR="006354E7" w:rsidRPr="0045107A" w:rsidRDefault="006354E7" w:rsidP="006354E7">
      <w:pPr>
        <w:pStyle w:val="Bullet1G"/>
        <w:numPr>
          <w:ilvl w:val="0"/>
          <w:numId w:val="0"/>
        </w:numPr>
        <w:ind w:left="1848" w:hanging="357"/>
        <w:rPr>
          <w:lang w:eastAsia="en-GB"/>
        </w:rPr>
      </w:pPr>
      <w:r w:rsidRPr="0045107A">
        <w:rPr>
          <w:lang w:eastAsia="en-GB"/>
        </w:rPr>
        <w:t>s.</w:t>
      </w:r>
      <w:r w:rsidRPr="0045107A">
        <w:rPr>
          <w:lang w:eastAsia="en-GB"/>
        </w:rPr>
        <w:tab/>
        <w:t>Mettre fin à toutes les contributions illégales.</w:t>
      </w:r>
    </w:p>
    <w:p w14:paraId="3A400829" w14:textId="77777777" w:rsidR="006354E7" w:rsidRPr="0045107A" w:rsidRDefault="006354E7" w:rsidP="006354E7">
      <w:pPr>
        <w:pStyle w:val="SingleTxtG"/>
        <w:rPr>
          <w:lang w:eastAsia="en-GB"/>
        </w:rPr>
      </w:pPr>
      <w:r>
        <w:rPr>
          <w:lang w:eastAsia="en-GB"/>
        </w:rPr>
        <w:t>2</w:t>
      </w:r>
      <w:r w:rsidRPr="0045107A">
        <w:rPr>
          <w:lang w:eastAsia="en-GB"/>
        </w:rPr>
        <w:t>.</w:t>
      </w:r>
      <w:r w:rsidRPr="0045107A">
        <w:rPr>
          <w:lang w:eastAsia="en-GB"/>
        </w:rPr>
        <w:tab/>
        <w:t>À tous les partis politiques burundais, qu’ils participent ou non aux élections, la Commission recommande de s’abstenir de tout acte violent et de toute incitation à la haine et à la violence, notamment dans le contexte des élections de 2020.</w:t>
      </w:r>
    </w:p>
    <w:p w14:paraId="4585D6D9"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Aux groupes rebelles d’opposition, la Commission recommande de s’abstenir de tout acte violent et de toute incitation à la haine et à la violence</w:t>
      </w:r>
      <w:r w:rsidRPr="0045107A">
        <w:rPr>
          <w:bCs/>
          <w:lang w:eastAsia="en-GB"/>
        </w:rPr>
        <w:t>.</w:t>
      </w:r>
    </w:p>
    <w:p w14:paraId="3A902763"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À la communauté internationale, y compris l’Union africaine et le système des Nations Unies, la Commission adres</w:t>
      </w:r>
      <w:r>
        <w:rPr>
          <w:lang w:eastAsia="en-GB"/>
        </w:rPr>
        <w:t>se les recommandations suivante:</w:t>
      </w:r>
    </w:p>
    <w:p w14:paraId="4743D1AA" w14:textId="77777777" w:rsidR="006354E7" w:rsidRPr="0045107A" w:rsidRDefault="006354E7" w:rsidP="006354E7">
      <w:pPr>
        <w:pStyle w:val="Bullet1G"/>
        <w:numPr>
          <w:ilvl w:val="0"/>
          <w:numId w:val="0"/>
        </w:numPr>
        <w:ind w:left="1848" w:hanging="357"/>
        <w:rPr>
          <w:lang w:eastAsia="en-GB"/>
        </w:rPr>
      </w:pPr>
      <w:r w:rsidRPr="0045107A">
        <w:rPr>
          <w:lang w:eastAsia="en-GB"/>
        </w:rPr>
        <w:t>a.</w:t>
      </w:r>
      <w:r w:rsidRPr="0045107A">
        <w:rPr>
          <w:lang w:eastAsia="en-GB"/>
        </w:rPr>
        <w:tab/>
        <w:t>Renouveler le mandat de la présente Commission pour une année supplémentaire;</w:t>
      </w:r>
    </w:p>
    <w:p w14:paraId="0FCF324A" w14:textId="77777777" w:rsidR="006354E7" w:rsidRPr="0045107A" w:rsidRDefault="006354E7" w:rsidP="006354E7">
      <w:pPr>
        <w:pStyle w:val="Bullet1G"/>
        <w:numPr>
          <w:ilvl w:val="0"/>
          <w:numId w:val="0"/>
        </w:numPr>
        <w:ind w:left="1848" w:hanging="357"/>
        <w:rPr>
          <w:lang w:eastAsia="en-GB"/>
        </w:rPr>
      </w:pPr>
      <w:r w:rsidRPr="0045107A">
        <w:rPr>
          <w:lang w:eastAsia="en-GB"/>
        </w:rPr>
        <w:t>b.</w:t>
      </w:r>
      <w:r w:rsidRPr="0045107A">
        <w:rPr>
          <w:lang w:eastAsia="en-GB"/>
        </w:rPr>
        <w:tab/>
        <w:t>Continuer à suivre l’évolution de la situation des droits de l’homme au Burundi dans le contexte des élections de 2020 et, conformément aux principes de prévention et d’alerte précoce, faire régulièrement l’évaluation des risques, afin de permettre, en cas de détérioration, que soient développées et mises en œuvre des</w:t>
      </w:r>
      <w:r>
        <w:rPr>
          <w:lang w:eastAsia="en-GB"/>
        </w:rPr>
        <w:t xml:space="preserve"> stratégies de réponse adaptées</w:t>
      </w:r>
      <w:r w:rsidRPr="0045107A">
        <w:rPr>
          <w:lang w:eastAsia="en-GB"/>
        </w:rPr>
        <w:t>;</w:t>
      </w:r>
    </w:p>
    <w:p w14:paraId="1AC8F7F5" w14:textId="77777777" w:rsidR="006354E7" w:rsidRPr="0045107A" w:rsidRDefault="006354E7" w:rsidP="006354E7">
      <w:pPr>
        <w:pStyle w:val="Bullet1G"/>
        <w:numPr>
          <w:ilvl w:val="0"/>
          <w:numId w:val="0"/>
        </w:numPr>
        <w:ind w:left="1848" w:hanging="357"/>
        <w:rPr>
          <w:lang w:eastAsia="en-GB"/>
        </w:rPr>
      </w:pPr>
      <w:r w:rsidRPr="0045107A">
        <w:rPr>
          <w:lang w:eastAsia="en-GB"/>
        </w:rPr>
        <w:t>c.</w:t>
      </w:r>
      <w:r w:rsidRPr="0045107A">
        <w:rPr>
          <w:lang w:eastAsia="en-GB"/>
        </w:rPr>
        <w:tab/>
        <w:t>Mettre tout en œuvre pour assurer la tenue d’un dialogue interburundais inclusif af</w:t>
      </w:r>
      <w:r>
        <w:rPr>
          <w:lang w:eastAsia="en-GB"/>
        </w:rPr>
        <w:t>in de régler la crise politique</w:t>
      </w:r>
      <w:r w:rsidRPr="0045107A">
        <w:rPr>
          <w:lang w:eastAsia="en-GB"/>
        </w:rPr>
        <w:t>;</w:t>
      </w:r>
    </w:p>
    <w:p w14:paraId="2ADD38E3" w14:textId="77777777" w:rsidR="006354E7" w:rsidRPr="0045107A" w:rsidRDefault="006354E7" w:rsidP="006354E7">
      <w:pPr>
        <w:pStyle w:val="Bullet1G"/>
        <w:numPr>
          <w:ilvl w:val="0"/>
          <w:numId w:val="0"/>
        </w:numPr>
        <w:ind w:left="1848" w:hanging="357"/>
        <w:rPr>
          <w:lang w:eastAsia="en-GB"/>
        </w:rPr>
      </w:pPr>
      <w:r w:rsidRPr="0045107A">
        <w:rPr>
          <w:lang w:eastAsia="en-GB"/>
        </w:rPr>
        <w:t>d.</w:t>
      </w:r>
      <w:r w:rsidRPr="0045107A">
        <w:rPr>
          <w:lang w:eastAsia="en-GB"/>
        </w:rPr>
        <w:tab/>
        <w:t>Soutenir le renforcement des capacités des observateurs électoraux interna</w:t>
      </w:r>
      <w:r>
        <w:rPr>
          <w:lang w:eastAsia="en-GB"/>
        </w:rPr>
        <w:t>tionaux, régionaux et nationaux</w:t>
      </w:r>
      <w:r w:rsidRPr="0045107A">
        <w:rPr>
          <w:lang w:eastAsia="en-GB"/>
        </w:rPr>
        <w:t>;</w:t>
      </w:r>
    </w:p>
    <w:p w14:paraId="03DC2FDD" w14:textId="77777777" w:rsidR="006354E7" w:rsidRPr="0045107A" w:rsidRDefault="006354E7" w:rsidP="006354E7">
      <w:pPr>
        <w:pStyle w:val="Bullet1G"/>
        <w:numPr>
          <w:ilvl w:val="0"/>
          <w:numId w:val="0"/>
        </w:numPr>
        <w:ind w:left="1848" w:hanging="357"/>
        <w:rPr>
          <w:lang w:eastAsia="en-GB"/>
        </w:rPr>
      </w:pPr>
      <w:r w:rsidRPr="0045107A">
        <w:rPr>
          <w:lang w:eastAsia="en-GB"/>
        </w:rPr>
        <w:t>e.</w:t>
      </w:r>
      <w:r w:rsidRPr="0045107A">
        <w:rPr>
          <w:lang w:eastAsia="en-GB"/>
        </w:rPr>
        <w:tab/>
        <w:t>Envoyer des observateurs régionaux ou internationaux uniquement si leur liberté d’actio</w:t>
      </w:r>
      <w:r>
        <w:rPr>
          <w:lang w:eastAsia="en-GB"/>
        </w:rPr>
        <w:t>n est garantie dans la pratique</w:t>
      </w:r>
      <w:r w:rsidRPr="0045107A">
        <w:rPr>
          <w:lang w:eastAsia="en-GB"/>
        </w:rPr>
        <w:t>;</w:t>
      </w:r>
    </w:p>
    <w:p w14:paraId="3124EB22" w14:textId="77777777" w:rsidR="006354E7" w:rsidRPr="0045107A" w:rsidRDefault="006354E7" w:rsidP="006354E7">
      <w:pPr>
        <w:pStyle w:val="Bullet1G"/>
        <w:numPr>
          <w:ilvl w:val="0"/>
          <w:numId w:val="0"/>
        </w:numPr>
        <w:ind w:left="1848" w:hanging="357"/>
        <w:rPr>
          <w:lang w:eastAsia="en-GB"/>
        </w:rPr>
      </w:pPr>
      <w:r w:rsidRPr="0045107A">
        <w:rPr>
          <w:lang w:eastAsia="en-GB"/>
        </w:rPr>
        <w:t>f.</w:t>
      </w:r>
      <w:r w:rsidRPr="0045107A">
        <w:rPr>
          <w:lang w:eastAsia="en-GB"/>
        </w:rPr>
        <w:tab/>
        <w:t>S’assurer que l’aide humanitaire parvient intégralement à la population;</w:t>
      </w:r>
    </w:p>
    <w:p w14:paraId="705D3384" w14:textId="77777777" w:rsidR="006354E7" w:rsidRPr="0045107A" w:rsidRDefault="006354E7" w:rsidP="006354E7">
      <w:pPr>
        <w:pStyle w:val="Bullet1G"/>
        <w:numPr>
          <w:ilvl w:val="0"/>
          <w:numId w:val="0"/>
        </w:numPr>
        <w:ind w:left="1848" w:hanging="357"/>
        <w:rPr>
          <w:lang w:eastAsia="en-GB"/>
        </w:rPr>
      </w:pPr>
      <w:r w:rsidRPr="0045107A">
        <w:rPr>
          <w:lang w:eastAsia="en-GB"/>
        </w:rPr>
        <w:t>g.</w:t>
      </w:r>
      <w:r w:rsidRPr="0045107A">
        <w:rPr>
          <w:lang w:eastAsia="en-GB"/>
        </w:rPr>
        <w:tab/>
        <w:t>Répondre à l’appel de financement du Haut-Commissariat des Nations Unies pour les réfugiés en faveur des réfugié</w:t>
      </w:r>
      <w:r>
        <w:rPr>
          <w:lang w:eastAsia="en-GB"/>
        </w:rPr>
        <w:t>s burundais</w:t>
      </w:r>
      <w:r w:rsidRPr="0045107A">
        <w:rPr>
          <w:lang w:eastAsia="en-GB"/>
        </w:rPr>
        <w:t>;</w:t>
      </w:r>
    </w:p>
    <w:p w14:paraId="428E49B0" w14:textId="77777777" w:rsidR="006354E7" w:rsidRPr="0045107A" w:rsidRDefault="006354E7" w:rsidP="006354E7">
      <w:pPr>
        <w:pStyle w:val="Bullet1G"/>
        <w:numPr>
          <w:ilvl w:val="0"/>
          <w:numId w:val="0"/>
        </w:numPr>
        <w:ind w:left="1848" w:hanging="357"/>
        <w:rPr>
          <w:lang w:eastAsia="en-GB"/>
        </w:rPr>
      </w:pPr>
      <w:r w:rsidRPr="0045107A">
        <w:rPr>
          <w:lang w:eastAsia="en-GB"/>
        </w:rPr>
        <w:t>h.</w:t>
      </w:r>
      <w:r w:rsidRPr="0045107A">
        <w:rPr>
          <w:lang w:eastAsia="en-GB"/>
        </w:rPr>
        <w:tab/>
        <w:t>S’assurer que le suivi des rapatriés se fait dans la durée, de manière plus fréquente et transparente.</w:t>
      </w:r>
    </w:p>
    <w:p w14:paraId="67ADACCB" w14:textId="77777777" w:rsidR="006354E7" w:rsidRPr="0045107A" w:rsidRDefault="006354E7" w:rsidP="006354E7">
      <w:pPr>
        <w:pStyle w:val="SingleTxtG"/>
        <w:rPr>
          <w:lang w:eastAsia="en-GB"/>
        </w:rPr>
      </w:pPr>
      <w:r>
        <w:rPr>
          <w:lang w:eastAsia="en-GB"/>
        </w:rPr>
        <w:t>5</w:t>
      </w:r>
      <w:r w:rsidRPr="0045107A">
        <w:rPr>
          <w:lang w:eastAsia="en-GB"/>
        </w:rPr>
        <w:t>.</w:t>
      </w:r>
      <w:r w:rsidRPr="0045107A">
        <w:rPr>
          <w:lang w:eastAsia="en-GB"/>
        </w:rPr>
        <w:tab/>
        <w:t>Plus particulièrement, la Commission recommande au système des Nations Unies, conformément à l’initiative Les droits de l’homme avant tout, d’intensifier la promotion des droits de l’homme relevant des mandats propres aux agences et programmes concernés, de même que la collecte et la publication de données objectives et fiables sur la situation au Burundi.</w:t>
      </w:r>
    </w:p>
    <w:p w14:paraId="0CCAC902"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Aux États membres du Conseil de sécurité, la Commission recommande de maintenir le Burundi dans le programme de travail du Conseil, au regard des facteurs de risque identifiés, et d’inviter la Commission à lui rendre compte de ses conclusions.</w:t>
      </w:r>
    </w:p>
    <w:p w14:paraId="5A8DFC5C" w14:textId="77777777" w:rsidR="006354E7" w:rsidRPr="0045107A" w:rsidRDefault="006354E7" w:rsidP="006354E7">
      <w:pPr>
        <w:pStyle w:val="H23G"/>
        <w:rPr>
          <w:lang w:val="en-GB" w:eastAsia="en-GB"/>
        </w:rPr>
      </w:pPr>
      <w:r w:rsidRPr="00191564">
        <w:rPr>
          <w:lang w:eastAsia="en-GB"/>
        </w:rPr>
        <w:tab/>
      </w:r>
      <w:r w:rsidRPr="00191564">
        <w:rPr>
          <w:lang w:eastAsia="en-GB"/>
        </w:rPr>
        <w:tab/>
      </w:r>
      <w:r w:rsidRPr="0045107A">
        <w:rPr>
          <w:lang w:val="en-GB" w:eastAsia="en-GB"/>
        </w:rPr>
        <w:t>Version anglaise</w:t>
      </w:r>
    </w:p>
    <w:p w14:paraId="14173CD3" w14:textId="77777777" w:rsidR="006354E7" w:rsidRPr="0045107A" w:rsidRDefault="006354E7" w:rsidP="006354E7">
      <w:pPr>
        <w:pStyle w:val="SingleTxtG"/>
        <w:rPr>
          <w:lang w:val="en-GB" w:eastAsia="en-GB"/>
        </w:rPr>
      </w:pPr>
      <w:r>
        <w:rPr>
          <w:lang w:val="en-GB" w:eastAsia="en-GB"/>
        </w:rPr>
        <w:t>1</w:t>
      </w:r>
      <w:r w:rsidRPr="0045107A">
        <w:rPr>
          <w:lang w:val="en-GB" w:eastAsia="en-GB"/>
        </w:rPr>
        <w:t>.</w:t>
      </w:r>
      <w:r w:rsidRPr="0045107A">
        <w:rPr>
          <w:lang w:val="en-GB" w:eastAsia="en-GB"/>
        </w:rPr>
        <w:tab/>
      </w:r>
      <w:r w:rsidRPr="0045107A">
        <w:rPr>
          <w:bCs/>
          <w:lang w:val="en-GB" w:eastAsia="en-GB"/>
        </w:rPr>
        <w:t>The 2020 elections pose a major risk.</w:t>
      </w:r>
      <w:r w:rsidRPr="0045107A">
        <w:rPr>
          <w:lang w:val="en-GB" w:eastAsia="en-GB"/>
        </w:rPr>
        <w:t xml:space="preserve"> </w:t>
      </w:r>
      <w:r w:rsidRPr="0045107A">
        <w:rPr>
          <w:bCs/>
          <w:lang w:val="en-GB" w:eastAsia="en-GB"/>
        </w:rPr>
        <w:t>To ensure that they are peaceful, fair, free, transparent and credible, the Commission makes the following recommendations to the Burundian authorities:</w:t>
      </w:r>
    </w:p>
    <w:p w14:paraId="5A85379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a.</w:t>
      </w:r>
      <w:r w:rsidRPr="0045107A">
        <w:rPr>
          <w:lang w:val="en-GB" w:eastAsia="en-GB"/>
        </w:rPr>
        <w:tab/>
        <w:t>Give effect to all the Commission’s previous recommendations, which are more well-founded and relevant than ever, including those concerning priority measures to end human rights violations and international crimes, combat impunity and improve the human rights situation in the country and the medium- and longer-term recommendations on reforms to the legal framework and the judicial system;</w:t>
      </w:r>
      <w:r w:rsidRPr="00CE281A">
        <w:rPr>
          <w:rStyle w:val="FootnoteReference"/>
        </w:rPr>
        <w:footnoteReference w:id="513"/>
      </w:r>
    </w:p>
    <w:p w14:paraId="44BB349C"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b.</w:t>
      </w:r>
      <w:r w:rsidRPr="0045107A">
        <w:rPr>
          <w:lang w:val="en-GB" w:eastAsia="en-GB"/>
        </w:rPr>
        <w:tab/>
        <w:t>Conduct prompt, independent and effective investigations into the cases of violations documented by the Commission since 2015 with a view to creating a climate of trust and political tolerance conducive to inclusive participation in the electoral process;</w:t>
      </w:r>
    </w:p>
    <w:p w14:paraId="5CDE1F2F"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c.</w:t>
      </w:r>
      <w:r w:rsidRPr="0045107A">
        <w:rPr>
          <w:lang w:val="en-GB" w:eastAsia="en-GB"/>
        </w:rPr>
        <w:tab/>
        <w:t>Re-engage constructively and cooperatively with all international and regional human rights mechanisms and the Office of the United Nations High Commissioner for Human Rights, enabling them to carry out their human rights monitoring mandates fully and freely;</w:t>
      </w:r>
    </w:p>
    <w:p w14:paraId="505F381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d.</w:t>
      </w:r>
      <w:r w:rsidRPr="0045107A">
        <w:rPr>
          <w:lang w:val="en-GB" w:eastAsia="en-GB"/>
        </w:rPr>
        <w:tab/>
        <w:t>Ensure that national human rights mechanisms are institutionally and financially independent and build the capacity of their members;</w:t>
      </w:r>
    </w:p>
    <w:p w14:paraId="6FF7F1BE"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e.</w:t>
      </w:r>
      <w:r w:rsidRPr="0045107A">
        <w:rPr>
          <w:lang w:val="en-GB" w:eastAsia="en-GB"/>
        </w:rPr>
        <w:tab/>
        <w:t>Take the measures necessary to ensure that foreign and domestic NGOs can be freely established and organized and that they can operate freely, including by amending the laws regulating them;</w:t>
      </w:r>
    </w:p>
    <w:p w14:paraId="1601FDF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f.</w:t>
      </w:r>
      <w:r w:rsidRPr="0045107A">
        <w:rPr>
          <w:lang w:val="en-GB" w:eastAsia="en-GB"/>
        </w:rPr>
        <w:tab/>
        <w:t>Take the measures necessary to ensure freedom of information in the country and the right of local and international media to operate in accordance with international standards, including by amending the laws on the press and the National Communication Council;</w:t>
      </w:r>
    </w:p>
    <w:p w14:paraId="65797F0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g.</w:t>
      </w:r>
      <w:r w:rsidRPr="0045107A">
        <w:rPr>
          <w:lang w:val="en-GB" w:eastAsia="en-GB"/>
        </w:rPr>
        <w:tab/>
        <w:t>Guarantee the effective enjoyment of civil liberties, including the freedoms of opinion, expression, access to information, association, assembly and religion, not least by ending all forced recruitment to the ruling party and its youth league;</w:t>
      </w:r>
    </w:p>
    <w:p w14:paraId="010BA251"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h.</w:t>
      </w:r>
      <w:r w:rsidRPr="0045107A">
        <w:rPr>
          <w:lang w:val="en-GB" w:eastAsia="en-GB"/>
        </w:rPr>
        <w:tab/>
        <w:t>Follow the Guidelines on Access to Information and Elections in Africa and the Guidelines on Freedom of Association and Assembly of the African Commission on Human and Peoples’ Rights;</w:t>
      </w:r>
    </w:p>
    <w:p w14:paraId="365E9E52"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i.</w:t>
      </w:r>
      <w:r w:rsidRPr="0045107A">
        <w:rPr>
          <w:lang w:val="en-GB" w:eastAsia="en-GB"/>
        </w:rPr>
        <w:tab/>
        <w:t>Ensure that all political parties can engage in legitimate activities in complete freedom and security, in an environment of political tolerance, including by punishing any incitement to hatred and calls for violence against other political parties and their members;</w:t>
      </w:r>
    </w:p>
    <w:p w14:paraId="66EC7FA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j.</w:t>
      </w:r>
      <w:r w:rsidRPr="0045107A">
        <w:rPr>
          <w:lang w:val="en-GB" w:eastAsia="en-GB"/>
        </w:rPr>
        <w:tab/>
        <w:t>Ensure, in practice, the right to participate in the conduct of public affairs without discrimination, in particular by amending the Electoral Code;</w:t>
      </w:r>
    </w:p>
    <w:p w14:paraId="19EA73D4"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k.</w:t>
      </w:r>
      <w:r w:rsidRPr="0045107A">
        <w:rPr>
          <w:lang w:val="en-GB" w:eastAsia="en-GB"/>
        </w:rPr>
        <w:tab/>
        <w:t>Ensure, in practice, the institutional independence of the Independent National Electoral Commission, including by amending the decree governing it to make certain that its composition is inclusive and balanced, and strengthen the capacity of its members at the municipal and provincial levels;</w:t>
      </w:r>
    </w:p>
    <w:p w14:paraId="526A420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l.</w:t>
      </w:r>
      <w:r w:rsidRPr="0045107A">
        <w:rPr>
          <w:lang w:val="en-GB" w:eastAsia="en-GB"/>
        </w:rPr>
        <w:tab/>
        <w:t>Provide access to independent international and regional election observers and ensure that they and national observers from civil society or political parties enjoy freedom of movement and action before, during and after the elections;</w:t>
      </w:r>
    </w:p>
    <w:p w14:paraId="5174520C"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m.</w:t>
      </w:r>
      <w:r w:rsidRPr="0045107A">
        <w:rPr>
          <w:lang w:val="en-GB" w:eastAsia="en-GB"/>
        </w:rPr>
        <w:tab/>
        <w:t>Follow the Guidelines for African Union Electoral Observation and Monitoring Missions;</w:t>
      </w:r>
    </w:p>
    <w:p w14:paraId="767C7D15"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n.</w:t>
      </w:r>
      <w:r w:rsidRPr="0045107A">
        <w:rPr>
          <w:lang w:val="en-GB" w:eastAsia="en-GB"/>
        </w:rPr>
        <w:tab/>
        <w:t>Allow political opponents to return from exile to participate in the 2020 elections and guarantee their freedom and security, including by revoking warrants for the arrest of those who have not used or advocated violence;</w:t>
      </w:r>
    </w:p>
    <w:p w14:paraId="20D78FF5"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o.</w:t>
      </w:r>
      <w:r w:rsidRPr="0045107A">
        <w:rPr>
          <w:lang w:val="en-GB" w:eastAsia="en-GB"/>
        </w:rPr>
        <w:tab/>
        <w:t>Immediately release all political prisoners arrested and detained in connection with the exercise of their democratic rights;</w:t>
      </w:r>
    </w:p>
    <w:p w14:paraId="08BA7144"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p.</w:t>
      </w:r>
      <w:r w:rsidRPr="0045107A">
        <w:rPr>
          <w:lang w:val="en-GB" w:eastAsia="en-GB"/>
        </w:rPr>
        <w:tab/>
        <w:t>Make the training provided to law enforcement agencies more robust to avoid ill-treatment and ensure the peaceful control of crowds;</w:t>
      </w:r>
    </w:p>
    <w:p w14:paraId="7397E73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q.</w:t>
      </w:r>
      <w:r w:rsidRPr="0045107A">
        <w:rPr>
          <w:lang w:val="en-GB" w:eastAsia="en-GB"/>
        </w:rPr>
        <w:tab/>
        <w:t>Follow the Guidelines for the Policing of Assemblies by Law Enforcement Officials in Africa and the related training manual, both developed by the African Commission on Human and Peoples’ Rights;</w:t>
      </w:r>
    </w:p>
    <w:p w14:paraId="258DF49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r.</w:t>
      </w:r>
      <w:r w:rsidRPr="0045107A">
        <w:rPr>
          <w:lang w:val="en-GB" w:eastAsia="en-GB"/>
        </w:rPr>
        <w:tab/>
        <w:t>End the impunity of the Imbonerakure by exercising control over them so as to ensure that the functions of the security forces or the judiciary are not usurped and put an end to their repressive activities and shows of force in the hills;</w:t>
      </w:r>
    </w:p>
    <w:p w14:paraId="51ECDC9B"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s.</w:t>
      </w:r>
      <w:r w:rsidRPr="0045107A">
        <w:rPr>
          <w:lang w:val="en-GB" w:eastAsia="en-GB"/>
        </w:rPr>
        <w:tab/>
        <w:t>End all illegal contributions.</w:t>
      </w:r>
    </w:p>
    <w:p w14:paraId="06D81668" w14:textId="77777777" w:rsidR="006354E7" w:rsidRPr="0045107A" w:rsidRDefault="006354E7" w:rsidP="006354E7">
      <w:pPr>
        <w:pStyle w:val="SingleTxtG"/>
        <w:rPr>
          <w:lang w:val="en-GB" w:eastAsia="en-GB"/>
        </w:rPr>
      </w:pPr>
      <w:r>
        <w:rPr>
          <w:lang w:val="en-GB" w:eastAsia="en-GB"/>
        </w:rPr>
        <w:t>2</w:t>
      </w:r>
      <w:r w:rsidRPr="0045107A">
        <w:rPr>
          <w:lang w:val="en-GB" w:eastAsia="en-GB"/>
        </w:rPr>
        <w:t>.</w:t>
      </w:r>
      <w:r w:rsidRPr="0045107A">
        <w:rPr>
          <w:lang w:val="en-GB" w:eastAsia="en-GB"/>
        </w:rPr>
        <w:tab/>
      </w:r>
      <w:r w:rsidRPr="0045107A">
        <w:rPr>
          <w:bCs/>
          <w:lang w:val="en-GB" w:eastAsia="en-GB"/>
        </w:rPr>
        <w:t>The Commission recommends that, whether they participate in the elections or not, all political parties in Burundi refrain from violence and incitement to hatred or violence, particularly against the backdrop of the 2020 elections.</w:t>
      </w:r>
    </w:p>
    <w:p w14:paraId="2AE03D11" w14:textId="77777777" w:rsidR="006354E7" w:rsidRPr="0045107A" w:rsidRDefault="006354E7" w:rsidP="006354E7">
      <w:pPr>
        <w:pStyle w:val="SingleTxtG"/>
        <w:rPr>
          <w:lang w:val="en-GB" w:eastAsia="en-GB"/>
        </w:rPr>
      </w:pPr>
      <w:r>
        <w:rPr>
          <w:lang w:val="en-GB" w:eastAsia="en-GB"/>
        </w:rPr>
        <w:t>3</w:t>
      </w:r>
      <w:r w:rsidRPr="0045107A">
        <w:rPr>
          <w:lang w:val="en-GB" w:eastAsia="en-GB"/>
        </w:rPr>
        <w:t>.</w:t>
      </w:r>
      <w:r w:rsidRPr="0045107A">
        <w:rPr>
          <w:lang w:val="en-GB" w:eastAsia="en-GB"/>
        </w:rPr>
        <w:tab/>
      </w:r>
      <w:r w:rsidRPr="0045107A">
        <w:rPr>
          <w:bCs/>
          <w:lang w:val="en-GB" w:eastAsia="en-GB"/>
        </w:rPr>
        <w:t>The Commission recommends that opposition rebel groups refrain from violence and incitement to hatred or violence.</w:t>
      </w:r>
    </w:p>
    <w:p w14:paraId="7793923C" w14:textId="77777777" w:rsidR="006354E7" w:rsidRPr="0045107A" w:rsidRDefault="006354E7" w:rsidP="006354E7">
      <w:pPr>
        <w:pStyle w:val="SingleTxtG"/>
        <w:rPr>
          <w:lang w:val="en-GB" w:eastAsia="en-GB"/>
        </w:rPr>
      </w:pPr>
      <w:r>
        <w:rPr>
          <w:lang w:val="en-GB" w:eastAsia="en-GB"/>
        </w:rPr>
        <w:t>4</w:t>
      </w:r>
      <w:r w:rsidRPr="0045107A">
        <w:rPr>
          <w:lang w:val="en-GB" w:eastAsia="en-GB"/>
        </w:rPr>
        <w:t>.</w:t>
      </w:r>
      <w:r w:rsidRPr="0045107A">
        <w:rPr>
          <w:lang w:val="en-GB" w:eastAsia="en-GB"/>
        </w:rPr>
        <w:tab/>
      </w:r>
      <w:r w:rsidRPr="0045107A">
        <w:rPr>
          <w:bCs/>
          <w:lang w:val="en-GB" w:eastAsia="en-GB"/>
        </w:rPr>
        <w:t>For the international community, including the African Union and the United Nations system, the Commission has the following recommendations:</w:t>
      </w:r>
      <w:r w:rsidRPr="0045107A">
        <w:rPr>
          <w:lang w:val="en-GB" w:eastAsia="en-GB"/>
        </w:rPr>
        <w:t xml:space="preserve"> </w:t>
      </w:r>
    </w:p>
    <w:p w14:paraId="735DF890"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a.</w:t>
      </w:r>
      <w:r w:rsidRPr="0045107A">
        <w:rPr>
          <w:lang w:val="en-GB" w:eastAsia="en-GB"/>
        </w:rPr>
        <w:tab/>
        <w:t>Renew the mandate of the Commission for an additional year;</w:t>
      </w:r>
    </w:p>
    <w:p w14:paraId="77159463"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b.</w:t>
      </w:r>
      <w:r w:rsidRPr="0045107A">
        <w:rPr>
          <w:lang w:val="en-GB" w:eastAsia="en-GB"/>
        </w:rPr>
        <w:tab/>
        <w:t>Continue to monitor developments in the human rights situation in Burundi in the context of the 2020 elections and, in accordance with the principles of prevention and early warning, carry out regular risk assessments to enable the development and use of appropriate response strategies in the event of deterioration;</w:t>
      </w:r>
    </w:p>
    <w:p w14:paraId="11EA7F59"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c.</w:t>
      </w:r>
      <w:r w:rsidRPr="0045107A">
        <w:rPr>
          <w:lang w:val="en-GB" w:eastAsia="en-GB"/>
        </w:rPr>
        <w:tab/>
        <w:t>Make every effort to ensure that an inclusive inter-Burundi dialogue is held to resolve the political crisis;</w:t>
      </w:r>
    </w:p>
    <w:p w14:paraId="6C2423AA"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d.</w:t>
      </w:r>
      <w:r w:rsidRPr="0045107A">
        <w:rPr>
          <w:lang w:val="en-GB" w:eastAsia="en-GB"/>
        </w:rPr>
        <w:tab/>
        <w:t>Support capacity-building for international, regional and national election observers;</w:t>
      </w:r>
    </w:p>
    <w:p w14:paraId="417922A6"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e.</w:t>
      </w:r>
      <w:r w:rsidRPr="0045107A">
        <w:rPr>
          <w:lang w:val="en-GB" w:eastAsia="en-GB"/>
        </w:rPr>
        <w:tab/>
        <w:t>Send regional or international observers only if their freedom of action is guaranteed in practice;</w:t>
      </w:r>
    </w:p>
    <w:p w14:paraId="5F3317B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f.</w:t>
      </w:r>
      <w:r w:rsidRPr="0045107A">
        <w:rPr>
          <w:lang w:val="en-GB" w:eastAsia="en-GB"/>
        </w:rPr>
        <w:tab/>
        <w:t>Ensure that all humanitarian aid reaches the population;</w:t>
      </w:r>
    </w:p>
    <w:p w14:paraId="46229AE8"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g.</w:t>
      </w:r>
      <w:r w:rsidRPr="0045107A">
        <w:rPr>
          <w:lang w:val="en-GB" w:eastAsia="en-GB"/>
        </w:rPr>
        <w:tab/>
        <w:t>Respond to the appeal made by the Office of the United Nations High Commissioner for Refugees for funds for Burundi refugees;</w:t>
      </w:r>
    </w:p>
    <w:p w14:paraId="389D89AD" w14:textId="77777777" w:rsidR="006354E7" w:rsidRPr="0045107A" w:rsidRDefault="006354E7" w:rsidP="006354E7">
      <w:pPr>
        <w:pStyle w:val="Bullet1G"/>
        <w:numPr>
          <w:ilvl w:val="0"/>
          <w:numId w:val="0"/>
        </w:numPr>
        <w:ind w:left="1848" w:hanging="357"/>
        <w:rPr>
          <w:lang w:val="en-GB" w:eastAsia="en-GB"/>
        </w:rPr>
      </w:pPr>
      <w:r w:rsidRPr="0045107A">
        <w:rPr>
          <w:lang w:val="en-GB" w:eastAsia="en-GB"/>
        </w:rPr>
        <w:t>h.</w:t>
      </w:r>
      <w:r w:rsidRPr="0045107A">
        <w:rPr>
          <w:lang w:val="en-GB" w:eastAsia="en-GB"/>
        </w:rPr>
        <w:tab/>
        <w:t>Ensure that returnees are monitored in a sustained and more regular and transparent manner.</w:t>
      </w:r>
    </w:p>
    <w:p w14:paraId="0EB7920F" w14:textId="77777777" w:rsidR="006354E7" w:rsidRPr="0045107A" w:rsidRDefault="006354E7" w:rsidP="006354E7">
      <w:pPr>
        <w:pStyle w:val="SingleTxtG"/>
        <w:rPr>
          <w:lang w:val="en-GB" w:eastAsia="en-GB"/>
        </w:rPr>
      </w:pPr>
      <w:r>
        <w:rPr>
          <w:lang w:val="en-GB" w:eastAsia="en-GB"/>
        </w:rPr>
        <w:t>5</w:t>
      </w:r>
      <w:r w:rsidRPr="0045107A">
        <w:rPr>
          <w:lang w:val="en-GB" w:eastAsia="en-GB"/>
        </w:rPr>
        <w:t>.</w:t>
      </w:r>
      <w:r w:rsidRPr="0045107A">
        <w:rPr>
          <w:lang w:val="en-GB" w:eastAsia="en-GB"/>
        </w:rPr>
        <w:tab/>
      </w:r>
      <w:r w:rsidRPr="0045107A">
        <w:rPr>
          <w:bCs/>
          <w:lang w:val="en-GB" w:eastAsia="en-GB"/>
        </w:rPr>
        <w:t>In particular, the Commission recommends that the United Nations system, in accordance with the initiative Human Rights Up Front, take stronger measures to promote human rights, under the mandates of the relevant agencies and programmes, and to collect and publish objective and reliable data on the situation in Burundi.</w:t>
      </w:r>
    </w:p>
    <w:p w14:paraId="336B059E" w14:textId="77777777" w:rsidR="006354E7" w:rsidRPr="0045107A" w:rsidRDefault="006354E7" w:rsidP="006354E7">
      <w:pPr>
        <w:pStyle w:val="SingleTxtG"/>
        <w:rPr>
          <w:lang w:val="en-GB" w:eastAsia="en-GB"/>
        </w:rPr>
      </w:pPr>
      <w:r>
        <w:rPr>
          <w:lang w:val="en-GB" w:eastAsia="en-GB"/>
        </w:rPr>
        <w:t>6</w:t>
      </w:r>
      <w:r w:rsidRPr="0045107A">
        <w:rPr>
          <w:lang w:val="en-GB" w:eastAsia="en-GB"/>
        </w:rPr>
        <w:t>.</w:t>
      </w:r>
      <w:r w:rsidRPr="0045107A">
        <w:rPr>
          <w:lang w:val="en-GB" w:eastAsia="en-GB"/>
        </w:rPr>
        <w:tab/>
      </w:r>
      <w:r w:rsidRPr="0045107A">
        <w:rPr>
          <w:bCs/>
          <w:lang w:val="en-GB" w:eastAsia="en-GB"/>
        </w:rPr>
        <w:t>In view of the risk factors that have been identified, the Commission recommends that the States members of the Security Council keep Burundi on the Council’s programme of work and that the Council invite the Commission to report to it on its conclusions.</w:t>
      </w:r>
    </w:p>
    <w:p w14:paraId="2BC352C5" w14:textId="77777777" w:rsidR="006354E7" w:rsidRPr="00191564" w:rsidRDefault="006354E7" w:rsidP="006354E7">
      <w:pPr>
        <w:pStyle w:val="H1G"/>
        <w:rPr>
          <w:lang w:val="fr-CH" w:eastAsia="en-GB"/>
        </w:rPr>
      </w:pPr>
      <w:r w:rsidRPr="0045107A">
        <w:rPr>
          <w:lang w:eastAsia="en-GB"/>
        </w:rPr>
        <w:tab/>
      </w:r>
      <w:r w:rsidRPr="00191564">
        <w:rPr>
          <w:lang w:val="fr-CH" w:eastAsia="en-GB"/>
        </w:rPr>
        <w:t>3.</w:t>
      </w:r>
      <w:r w:rsidRPr="00191564">
        <w:rPr>
          <w:lang w:val="fr-CH" w:eastAsia="en-GB"/>
        </w:rPr>
        <w:tab/>
        <w:t>Recommandations faites en 2018</w:t>
      </w:r>
    </w:p>
    <w:p w14:paraId="7F4B1745"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7EC8ABBF"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La Commission recommande au Gouvernement burundais, comme mesures prioritaires:</w:t>
      </w:r>
    </w:p>
    <w:p w14:paraId="7371BDFD" w14:textId="77777777" w:rsidR="006354E7" w:rsidRPr="0045107A" w:rsidRDefault="006354E7" w:rsidP="006354E7">
      <w:pPr>
        <w:pStyle w:val="SingleTxtG"/>
        <w:ind w:left="1848" w:hanging="357"/>
        <w:rPr>
          <w:lang w:eastAsia="en-GB"/>
        </w:rPr>
      </w:pPr>
      <w:r w:rsidRPr="0045107A">
        <w:rPr>
          <w:lang w:eastAsia="en-GB"/>
        </w:rPr>
        <w:t>a.</w:t>
      </w:r>
      <w:r w:rsidRPr="0045107A">
        <w:rPr>
          <w:lang w:eastAsia="en-GB"/>
        </w:rPr>
        <w:tab/>
        <w:t>De mettre immédiatement un terme aux violations graves des droits de l’homme commises par des agents</w:t>
      </w:r>
      <w:r>
        <w:rPr>
          <w:lang w:eastAsia="en-GB"/>
        </w:rPr>
        <w:t xml:space="preserve"> de l’État et des Imbonerakure</w:t>
      </w:r>
      <w:r w:rsidRPr="0045107A">
        <w:rPr>
          <w:lang w:eastAsia="en-GB"/>
        </w:rPr>
        <w:t>;</w:t>
      </w:r>
    </w:p>
    <w:p w14:paraId="6D9279A2" w14:textId="77777777" w:rsidR="006354E7" w:rsidRPr="0045107A" w:rsidRDefault="006354E7" w:rsidP="006354E7">
      <w:pPr>
        <w:pStyle w:val="SingleTxtG"/>
        <w:ind w:left="1854" w:hanging="360"/>
        <w:rPr>
          <w:lang w:eastAsia="en-GB"/>
        </w:rPr>
      </w:pPr>
      <w:r w:rsidRPr="0045107A">
        <w:rPr>
          <w:lang w:eastAsia="en-GB"/>
        </w:rPr>
        <w:t>b.</w:t>
      </w:r>
      <w:r w:rsidRPr="0045107A">
        <w:rPr>
          <w:lang w:eastAsia="en-GB"/>
        </w:rPr>
        <w:tab/>
        <w:t>D’établir, avec le soutien de la communauté internationale, des mécanismes ad hoc chargés d’enquêter sur les violations des droits de l’homme et de poursuivre les auteurs de crimes de droit international qui ne font pas l’objet d’une enquête par la Cour pénale internationale;</w:t>
      </w:r>
    </w:p>
    <w:p w14:paraId="27513D41" w14:textId="77777777" w:rsidR="006354E7" w:rsidRPr="0045107A" w:rsidRDefault="006354E7" w:rsidP="006354E7">
      <w:pPr>
        <w:pStyle w:val="SingleTxtG"/>
        <w:ind w:left="1854" w:hanging="360"/>
        <w:rPr>
          <w:lang w:eastAsia="en-GB"/>
        </w:rPr>
      </w:pPr>
      <w:r w:rsidRPr="0045107A">
        <w:rPr>
          <w:lang w:eastAsia="en-GB"/>
        </w:rPr>
        <w:t>c.</w:t>
      </w:r>
      <w:r w:rsidRPr="0045107A">
        <w:rPr>
          <w:lang w:eastAsia="en-GB"/>
        </w:rPr>
        <w:tab/>
        <w:t>D’établir, avec le soutien de la communauté internationale, une entité indépendante chargée de faire la lumière sur les cas de disparition signalés depuis avril 2015, de localiser les possibles fosses communes, d’ex</w:t>
      </w:r>
      <w:r>
        <w:rPr>
          <w:lang w:eastAsia="en-GB"/>
        </w:rPr>
        <w:t>humer et d’identifier les corps</w:t>
      </w:r>
      <w:r w:rsidRPr="0045107A">
        <w:rPr>
          <w:lang w:eastAsia="en-GB"/>
        </w:rPr>
        <w:t>;</w:t>
      </w:r>
    </w:p>
    <w:p w14:paraId="72A7B4C3" w14:textId="77777777" w:rsidR="006354E7" w:rsidRDefault="006354E7" w:rsidP="006354E7">
      <w:pPr>
        <w:pStyle w:val="SingleTxtG"/>
        <w:ind w:left="1854" w:hanging="360"/>
        <w:rPr>
          <w:lang w:eastAsia="en-GB"/>
        </w:rPr>
      </w:pPr>
      <w:r>
        <w:rPr>
          <w:lang w:eastAsia="en-GB"/>
        </w:rPr>
        <w:t>d.</w:t>
      </w:r>
      <w:r>
        <w:rPr>
          <w:lang w:eastAsia="en-GB"/>
        </w:rPr>
        <w:tab/>
      </w:r>
      <w:r w:rsidRPr="0045107A">
        <w:rPr>
          <w:lang w:eastAsia="en-GB"/>
        </w:rPr>
        <w:t>De prendre des mesures pour que les victimes de torture et les femmes ayant subi des violences sexuelles aient accès à des soins appropriés, en particulier un libre accès à tous les soins de santé sexuelle et reproductive, ainsi qu’à un soutien psychologique;</w:t>
      </w:r>
    </w:p>
    <w:p w14:paraId="26CE87FD" w14:textId="77777777" w:rsidR="006354E7" w:rsidRDefault="006354E7" w:rsidP="006354E7">
      <w:pPr>
        <w:pStyle w:val="SingleTxtG"/>
        <w:ind w:left="1854" w:hanging="360"/>
        <w:rPr>
          <w:lang w:eastAsia="en-GB"/>
        </w:rPr>
      </w:pPr>
      <w:r>
        <w:rPr>
          <w:lang w:eastAsia="en-GB"/>
        </w:rPr>
        <w:t>e.</w:t>
      </w:r>
      <w:r>
        <w:rPr>
          <w:lang w:eastAsia="en-GB"/>
        </w:rPr>
        <w:tab/>
      </w:r>
      <w:r w:rsidRPr="0045107A">
        <w:rPr>
          <w:lang w:eastAsia="en-GB"/>
        </w:rPr>
        <w:t>D’appliquer les Lignes directrices sur la lutte contre les violences sexuelles et leurs conséquences en Afrique de la Commission africaine des d</w:t>
      </w:r>
      <w:r>
        <w:rPr>
          <w:lang w:eastAsia="en-GB"/>
        </w:rPr>
        <w:t>roits de l’homme et des peuples</w:t>
      </w:r>
      <w:r w:rsidRPr="0045107A">
        <w:rPr>
          <w:lang w:eastAsia="en-GB"/>
        </w:rPr>
        <w:t>;</w:t>
      </w:r>
    </w:p>
    <w:p w14:paraId="5C43C528" w14:textId="77777777" w:rsidR="006354E7" w:rsidRDefault="006354E7" w:rsidP="006354E7">
      <w:pPr>
        <w:pStyle w:val="SingleTxtG"/>
        <w:ind w:left="1854" w:hanging="360"/>
        <w:rPr>
          <w:lang w:eastAsia="en-GB"/>
        </w:rPr>
      </w:pPr>
      <w:r>
        <w:rPr>
          <w:lang w:eastAsia="en-GB"/>
        </w:rPr>
        <w:t>f.</w:t>
      </w:r>
      <w:r>
        <w:rPr>
          <w:lang w:eastAsia="en-GB"/>
        </w:rPr>
        <w:tab/>
        <w:t>D</w:t>
      </w:r>
      <w:r w:rsidRPr="0045107A">
        <w:rPr>
          <w:lang w:eastAsia="en-GB"/>
        </w:rPr>
        <w:t>e contrôler les hausses des prix, en particulier en revoyant l’augmentation des taxes et des impôts qui porte atteinte au droit à un niveau de vie suffisant de la population, et en supprimant les contributions qui touchent disproportionnellement</w:t>
      </w:r>
      <w:r>
        <w:rPr>
          <w:lang w:eastAsia="en-GB"/>
        </w:rPr>
        <w:t xml:space="preserve"> les personnes les plus pauvres</w:t>
      </w:r>
      <w:r w:rsidRPr="0045107A">
        <w:rPr>
          <w:lang w:eastAsia="en-GB"/>
        </w:rPr>
        <w:t>;</w:t>
      </w:r>
    </w:p>
    <w:p w14:paraId="2EEF7DFA" w14:textId="77777777" w:rsidR="006354E7" w:rsidRDefault="006354E7" w:rsidP="006354E7">
      <w:pPr>
        <w:pStyle w:val="SingleTxtG"/>
        <w:ind w:left="1854" w:hanging="360"/>
        <w:rPr>
          <w:lang w:eastAsia="en-GB"/>
        </w:rPr>
      </w:pPr>
      <w:r>
        <w:rPr>
          <w:lang w:eastAsia="en-GB"/>
        </w:rPr>
        <w:t>g.</w:t>
      </w:r>
      <w:r>
        <w:rPr>
          <w:lang w:eastAsia="en-GB"/>
        </w:rPr>
        <w:tab/>
      </w:r>
      <w:r w:rsidRPr="0045107A">
        <w:rPr>
          <w:lang w:eastAsia="en-GB"/>
        </w:rPr>
        <w:t>De coopérer avec les mécanismes internationaux des droits de l’homme, notamment:</w:t>
      </w:r>
    </w:p>
    <w:p w14:paraId="34C0AF9F"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r>
      <w:r>
        <w:rPr>
          <w:lang w:eastAsia="en-GB"/>
        </w:rPr>
        <w:t xml:space="preserve">i) </w:t>
      </w:r>
      <w:r w:rsidRPr="0045107A">
        <w:rPr>
          <w:lang w:eastAsia="en-GB"/>
        </w:rPr>
        <w:t>En accueillant à nouveau des m</w:t>
      </w:r>
      <w:r>
        <w:rPr>
          <w:lang w:eastAsia="en-GB"/>
        </w:rPr>
        <w:t>issions de procédures spéciales</w:t>
      </w:r>
      <w:r w:rsidRPr="0045107A">
        <w:rPr>
          <w:lang w:eastAsia="en-GB"/>
        </w:rPr>
        <w:t>;</w:t>
      </w:r>
    </w:p>
    <w:p w14:paraId="5F1E2B6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 xml:space="preserve">ii) En mettant en œuvre les recommandations de l’examen périodique universel, des organes conventionnels et des procédures spéciales, notamment en établissant un mécanisme national d’élaboration des rapports et </w:t>
      </w:r>
      <w:r>
        <w:rPr>
          <w:lang w:eastAsia="en-GB"/>
        </w:rPr>
        <w:t>de suivi</w:t>
      </w:r>
      <w:r w:rsidRPr="0045107A">
        <w:rPr>
          <w:lang w:eastAsia="en-GB"/>
        </w:rPr>
        <w:t>;</w:t>
      </w:r>
    </w:p>
    <w:p w14:paraId="2373AA38" w14:textId="77777777" w:rsidR="006354E7" w:rsidRDefault="006354E7" w:rsidP="006354E7">
      <w:pPr>
        <w:pStyle w:val="SingleTxtG"/>
        <w:ind w:left="1854" w:hanging="360"/>
        <w:rPr>
          <w:lang w:eastAsia="en-GB"/>
        </w:rPr>
      </w:pPr>
      <w:r>
        <w:rPr>
          <w:lang w:eastAsia="en-GB"/>
        </w:rPr>
        <w:t>h.</w:t>
      </w:r>
      <w:r>
        <w:rPr>
          <w:lang w:eastAsia="en-GB"/>
        </w:rPr>
        <w:tab/>
      </w:r>
      <w:r w:rsidRPr="0045107A">
        <w:rPr>
          <w:lang w:eastAsia="en-GB"/>
        </w:rPr>
        <w:t>D’autoriser le Haut-Commissariat des Nations Unies aux droits de l’homme à reprendre sans entrave l’ensem</w:t>
      </w:r>
      <w:r>
        <w:rPr>
          <w:lang w:eastAsia="en-GB"/>
        </w:rPr>
        <w:t>ble de ses activités au Burundi</w:t>
      </w:r>
      <w:r w:rsidRPr="0045107A">
        <w:rPr>
          <w:lang w:eastAsia="en-GB"/>
        </w:rPr>
        <w:t>;</w:t>
      </w:r>
    </w:p>
    <w:p w14:paraId="2755E8BB" w14:textId="77777777" w:rsidR="006354E7" w:rsidRPr="0045107A" w:rsidRDefault="006354E7" w:rsidP="006354E7">
      <w:pPr>
        <w:pStyle w:val="SingleTxtG"/>
        <w:ind w:left="1854" w:hanging="360"/>
        <w:rPr>
          <w:lang w:eastAsia="en-GB"/>
        </w:rPr>
      </w:pPr>
      <w:r w:rsidRPr="0045107A">
        <w:rPr>
          <w:lang w:eastAsia="en-GB"/>
        </w:rPr>
        <w:t>i.</w:t>
      </w:r>
      <w:r w:rsidRPr="0045107A">
        <w:rPr>
          <w:lang w:eastAsia="en-GB"/>
        </w:rPr>
        <w:tab/>
      </w:r>
      <w:r>
        <w:rPr>
          <w:lang w:eastAsia="en-GB"/>
        </w:rPr>
        <w:t>D</w:t>
      </w:r>
      <w:r w:rsidRPr="0045107A">
        <w:rPr>
          <w:lang w:eastAsia="en-GB"/>
        </w:rPr>
        <w:t>e signer et de mettre en œuvre le mémorandum d’entente avec l’Union africaine et de permettre le déploiement complet des 100 observateurs des droits de l’homme.</w:t>
      </w:r>
    </w:p>
    <w:p w14:paraId="25CE253A" w14:textId="77777777" w:rsidR="006354E7" w:rsidRPr="0045107A" w:rsidRDefault="006354E7" w:rsidP="006354E7">
      <w:pPr>
        <w:pStyle w:val="SingleTxtG"/>
        <w:keepNext/>
        <w:keepLines/>
        <w:rPr>
          <w:lang w:eastAsia="en-GB"/>
        </w:rPr>
      </w:pPr>
      <w:r>
        <w:rPr>
          <w:lang w:eastAsia="en-GB"/>
        </w:rPr>
        <w:t>2</w:t>
      </w:r>
      <w:r w:rsidRPr="0045107A">
        <w:rPr>
          <w:lang w:eastAsia="en-GB"/>
        </w:rPr>
        <w:t>.</w:t>
      </w:r>
      <w:r w:rsidRPr="0045107A">
        <w:rPr>
          <w:lang w:eastAsia="en-GB"/>
        </w:rPr>
        <w:tab/>
        <w:t>La Commission recommande également au Gouvernement burunda</w:t>
      </w:r>
      <w:r>
        <w:rPr>
          <w:lang w:eastAsia="en-GB"/>
        </w:rPr>
        <w:t>is, à moyen et plus long termes:</w:t>
      </w:r>
    </w:p>
    <w:p w14:paraId="7076ECFF" w14:textId="77777777" w:rsidR="006354E7" w:rsidRDefault="006354E7" w:rsidP="006354E7">
      <w:pPr>
        <w:pStyle w:val="SingleTxtG"/>
        <w:ind w:left="1848" w:hanging="357"/>
        <w:rPr>
          <w:lang w:eastAsia="en-GB"/>
        </w:rPr>
      </w:pPr>
      <w:r>
        <w:rPr>
          <w:lang w:eastAsia="en-GB"/>
        </w:rPr>
        <w:t>a.</w:t>
      </w:r>
      <w:r>
        <w:rPr>
          <w:lang w:eastAsia="en-GB"/>
        </w:rPr>
        <w:tab/>
      </w:r>
      <w:r w:rsidRPr="0045107A">
        <w:rPr>
          <w:lang w:eastAsia="en-GB"/>
        </w:rPr>
        <w:t>De réviser la loi organique du 8 mars 2018 portant révision de la loi n</w:t>
      </w:r>
      <w:r w:rsidRPr="00BA60D8">
        <w:rPr>
          <w:vertAlign w:val="superscript"/>
          <w:lang w:eastAsia="en-GB"/>
        </w:rPr>
        <w:t>o</w:t>
      </w:r>
      <w:r>
        <w:rPr>
          <w:lang w:eastAsia="en-GB"/>
        </w:rPr>
        <w:t> </w:t>
      </w:r>
      <w:r w:rsidRPr="0045107A">
        <w:rPr>
          <w:lang w:eastAsia="en-GB"/>
        </w:rPr>
        <w:t>01/03 du 24</w:t>
      </w:r>
      <w:r>
        <w:rPr>
          <w:lang w:eastAsia="en-GB"/>
        </w:rPr>
        <w:t> </w:t>
      </w:r>
      <w:r w:rsidRPr="0045107A">
        <w:rPr>
          <w:lang w:eastAsia="en-GB"/>
        </w:rPr>
        <w:t>janvier 2013 portant missions, composition, organisation et fonctionnement du Conseil national de la communication afin de garant</w:t>
      </w:r>
      <w:r>
        <w:rPr>
          <w:lang w:eastAsia="en-GB"/>
        </w:rPr>
        <w:t>ir l’indépendance de ce dernier;</w:t>
      </w:r>
    </w:p>
    <w:p w14:paraId="1D6EE50E" w14:textId="77777777" w:rsidR="006354E7" w:rsidRDefault="006354E7" w:rsidP="006354E7">
      <w:pPr>
        <w:pStyle w:val="SingleTxtG"/>
        <w:ind w:left="1854" w:hanging="360"/>
        <w:rPr>
          <w:lang w:eastAsia="en-GB"/>
        </w:rPr>
      </w:pPr>
      <w:r>
        <w:rPr>
          <w:lang w:eastAsia="en-GB"/>
        </w:rPr>
        <w:t>b.</w:t>
      </w:r>
      <w:r>
        <w:rPr>
          <w:lang w:eastAsia="en-GB"/>
        </w:rPr>
        <w:tab/>
      </w:r>
      <w:r w:rsidRPr="0045107A">
        <w:rPr>
          <w:lang w:eastAsia="en-GB"/>
        </w:rPr>
        <w:t>De ratifier la Convention internationale pour la protection de toutes les personnes contre les d</w:t>
      </w:r>
      <w:r>
        <w:rPr>
          <w:lang w:eastAsia="en-GB"/>
        </w:rPr>
        <w:t>isparitions forcées;</w:t>
      </w:r>
    </w:p>
    <w:p w14:paraId="42560BA6" w14:textId="77777777" w:rsidR="006354E7" w:rsidRDefault="006354E7" w:rsidP="006354E7">
      <w:pPr>
        <w:pStyle w:val="SingleTxtG"/>
        <w:ind w:left="1854" w:hanging="360"/>
        <w:rPr>
          <w:lang w:eastAsia="en-GB"/>
        </w:rPr>
      </w:pPr>
      <w:r>
        <w:rPr>
          <w:lang w:eastAsia="en-GB"/>
        </w:rPr>
        <w:t>c.</w:t>
      </w:r>
      <w:r>
        <w:rPr>
          <w:lang w:eastAsia="en-GB"/>
        </w:rPr>
        <w:tab/>
      </w:r>
      <w:r w:rsidRPr="0045107A">
        <w:rPr>
          <w:lang w:eastAsia="en-GB"/>
        </w:rPr>
        <w:t>De réviser les dispositions du Code de procédure pénale pour les mettre en conformité avec les normes internationales, en particulier les dispositions relatives aux délais de garde à vue et de contrôle de la détention, aux perquisitions de nuit et sans mandat, à la procédure de « flagrance », à l’infraction d’« atteinte à la sûreté intérieure de l’État », et à celles accordant une impunité de jure aux magistrats et aux officiers de police judiciaire</w:t>
      </w:r>
      <w:r>
        <w:rPr>
          <w:lang w:eastAsia="en-GB"/>
        </w:rPr>
        <w:t>;</w:t>
      </w:r>
    </w:p>
    <w:p w14:paraId="7A09B6AB" w14:textId="77777777" w:rsidR="006354E7" w:rsidRPr="0045107A" w:rsidRDefault="006354E7" w:rsidP="006354E7">
      <w:pPr>
        <w:pStyle w:val="SingleTxtG"/>
        <w:ind w:left="1854" w:hanging="360"/>
        <w:rPr>
          <w:lang w:eastAsia="en-GB"/>
        </w:rPr>
      </w:pPr>
      <w:r w:rsidRPr="0045107A">
        <w:rPr>
          <w:lang w:eastAsia="en-GB"/>
        </w:rPr>
        <w:t>d.</w:t>
      </w:r>
      <w:r w:rsidRPr="0045107A">
        <w:rPr>
          <w:lang w:eastAsia="en-GB"/>
        </w:rPr>
        <w:tab/>
        <w:t>De mettre fin aux détentions arbitraires et d’améliorer les conditions de détention:</w:t>
      </w:r>
    </w:p>
    <w:p w14:paraId="61B1B66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En appliquant les Lignes directrices sur les conditions d’arrestation, de garde à vue et de détention provisoire en Afrique de la Commission africaine des droits de l’homme et des peuples;</w:t>
      </w:r>
    </w:p>
    <w:p w14:paraId="79AE959B"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En garantissant le contrôle de la légalité des détentions et leur conformité avec les droits de l’homme.</w:t>
      </w:r>
    </w:p>
    <w:p w14:paraId="39AE4A81" w14:textId="77777777" w:rsidR="006354E7" w:rsidRDefault="006354E7" w:rsidP="006354E7">
      <w:pPr>
        <w:pStyle w:val="SingleTxtG"/>
        <w:ind w:left="1854" w:hanging="360"/>
        <w:rPr>
          <w:lang w:eastAsia="en-GB"/>
        </w:rPr>
      </w:pPr>
      <w:r>
        <w:rPr>
          <w:lang w:eastAsia="en-GB"/>
        </w:rPr>
        <w:t>e.</w:t>
      </w:r>
      <w:r>
        <w:rPr>
          <w:lang w:eastAsia="en-GB"/>
        </w:rPr>
        <w:tab/>
      </w:r>
      <w:r w:rsidRPr="0045107A">
        <w:rPr>
          <w:lang w:eastAsia="en-GB"/>
        </w:rPr>
        <w:t>Faute d’un système judiciaire indépendant et performant, de coopérer pleinement avec la Cour pénale internationale dans l’enquête qu’elle a ouverte le 25 octobre 2017;</w:t>
      </w:r>
    </w:p>
    <w:p w14:paraId="6E6CFF9E" w14:textId="77777777" w:rsidR="006354E7" w:rsidRPr="0045107A" w:rsidRDefault="006354E7" w:rsidP="006354E7">
      <w:pPr>
        <w:pStyle w:val="SingleTxtG"/>
        <w:ind w:left="1854" w:hanging="360"/>
        <w:rPr>
          <w:lang w:eastAsia="en-GB"/>
        </w:rPr>
      </w:pPr>
      <w:r w:rsidRPr="0045107A">
        <w:rPr>
          <w:lang w:eastAsia="en-GB"/>
        </w:rPr>
        <w:t>f.</w:t>
      </w:r>
      <w:r w:rsidRPr="0045107A">
        <w:rPr>
          <w:lang w:eastAsia="en-GB"/>
        </w:rPr>
        <w:tab/>
        <w:t>D’engager une réforme en profondeur du système judiciaire afin de garantir son indépendance, son impartialité et son effectivité, notamment:</w:t>
      </w:r>
    </w:p>
    <w:p w14:paraId="6697388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 En appliquant les Directives et les Principes sur le droit à un procès équitable et à l’assistance judiciaire en Afrique de la Commission africaine des droits de l’homme et des peuples;</w:t>
      </w:r>
    </w:p>
    <w:p w14:paraId="52613F48"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w:t>
      </w:r>
      <w:r w:rsidRPr="0045107A">
        <w:rPr>
          <w:lang w:eastAsia="en-GB"/>
        </w:rPr>
        <w:tab/>
        <w:t>En publiant les conclusions des états généraux de la justice de 2013 et en réunissant les acteurs du secteur et les partenaires internationaux pour discuter des mesures de suivi;</w:t>
      </w:r>
    </w:p>
    <w:p w14:paraId="77C580A0"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augmentant le budget du secteur de la justice et en garantissant son autonomie de gestion;</w:t>
      </w:r>
    </w:p>
    <w:p w14:paraId="6EE4614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revalorisant la rémunération des magistrats des juridictions ordinaires ainsi que les moyens et l’équipement à leur disposition;</w:t>
      </w:r>
    </w:p>
    <w:p w14:paraId="4A75A57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w:t>
      </w:r>
      <w:r>
        <w:rPr>
          <w:lang w:eastAsia="en-GB"/>
        </w:rPr>
        <w:t xml:space="preserve"> </w:t>
      </w:r>
      <w:r w:rsidRPr="0045107A">
        <w:rPr>
          <w:lang w:eastAsia="en-GB"/>
        </w:rPr>
        <w:t>En informatisant les greffes;</w:t>
      </w:r>
    </w:p>
    <w:p w14:paraId="1E59554B"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 En revoyant la composition du Conseil supérieur de la magistrature afin que ses membres soient en majorité désignés par leurs pairs;</w:t>
      </w:r>
    </w:p>
    <w:p w14:paraId="6429E54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vii) En revoyant les procédures de nomination, d’affectation, de notation et d’avancement des magistrats afin qu’elles ne dépendent pas du pouvoir exécutif;</w:t>
      </w:r>
    </w:p>
    <w:p w14:paraId="364DB620"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viii) En veillant au respect strict du principe d’inamovibilité des magistrats du siège;</w:t>
      </w:r>
    </w:p>
    <w:p w14:paraId="5E50C19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ix) En protégeant et en garantissant l’indépendance du système judiciaire en interdisant toute ingérence dans le fonctionnement de la justice par des autorités gouvernementales, des membres du parti au pouvoir ou par des membres des corps de défense et de sécurité, et en prenant des sanctions contre ceux qui influencent, ou cherchent à influencer, le fonctionnement de la justice;</w:t>
      </w:r>
    </w:p>
    <w:p w14:paraId="5B1FA122"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x) En développant des programmes d’aide juridictionnelle pour les plus vulnérables;</w:t>
      </w:r>
    </w:p>
    <w:p w14:paraId="6775890A"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xi) En renforçant les mécanismes de protection de victimes et de témoins, ainsi que leur efficacité, pour restaurer la confiance de la population et pour encourager les témoins à s’exprimer sans crainte pour leur sécurité.</w:t>
      </w:r>
    </w:p>
    <w:p w14:paraId="23172FDB" w14:textId="77777777" w:rsidR="006354E7" w:rsidRDefault="006354E7" w:rsidP="006354E7">
      <w:pPr>
        <w:pStyle w:val="SingleTxtG"/>
        <w:ind w:left="1854" w:hanging="360"/>
        <w:rPr>
          <w:lang w:eastAsia="en-GB"/>
        </w:rPr>
      </w:pPr>
      <w:r>
        <w:rPr>
          <w:lang w:eastAsia="en-GB"/>
        </w:rPr>
        <w:t>g.</w:t>
      </w:r>
      <w:r>
        <w:rPr>
          <w:lang w:eastAsia="en-GB"/>
        </w:rPr>
        <w:tab/>
      </w:r>
      <w:r w:rsidRPr="0045107A">
        <w:rPr>
          <w:lang w:eastAsia="en-GB"/>
        </w:rPr>
        <w:t>De mettre en place, en consultation avec les bénéficiaires, un programme de réparations des victimes des violations des droits de l’homme qui comprenne des réparations matérielles, symboliques, individuelles et collectives, et qui ne soit pas dépendant de la condamnation des auteurs;</w:t>
      </w:r>
    </w:p>
    <w:p w14:paraId="4B93BBA0" w14:textId="77777777" w:rsidR="006354E7" w:rsidRPr="0045107A" w:rsidRDefault="006354E7" w:rsidP="006354E7">
      <w:pPr>
        <w:pStyle w:val="SingleTxtG"/>
        <w:ind w:left="1854" w:hanging="360"/>
        <w:rPr>
          <w:lang w:eastAsia="en-GB"/>
        </w:rPr>
      </w:pPr>
      <w:r w:rsidRPr="0045107A">
        <w:rPr>
          <w:lang w:eastAsia="en-GB"/>
        </w:rPr>
        <w:t>h.</w:t>
      </w:r>
      <w:r w:rsidRPr="0045107A">
        <w:rPr>
          <w:lang w:eastAsia="en-GB"/>
        </w:rPr>
        <w:tab/>
        <w:t>D’établir le fond étatique pour les victimes de torture prévu par la loi et en conformité avec l’Observation générale n</w:t>
      </w:r>
      <w:r w:rsidRPr="00BA60D8">
        <w:rPr>
          <w:vertAlign w:val="superscript"/>
          <w:lang w:eastAsia="en-GB"/>
        </w:rPr>
        <w:t>o</w:t>
      </w:r>
      <w:r>
        <w:rPr>
          <w:lang w:eastAsia="en-GB"/>
        </w:rPr>
        <w:t> </w:t>
      </w:r>
      <w:r w:rsidRPr="0045107A">
        <w:rPr>
          <w:lang w:eastAsia="en-GB"/>
        </w:rPr>
        <w:t>4 de la Commission africaine des droits de l’homme et des peuples sur la Charte africaine des droits de l’homme et des peuples, concernant le droit à réparation des victimes de torture et autres peines ou traitements cruels, inhumains ou dégradants (art. 5);</w:t>
      </w:r>
    </w:p>
    <w:p w14:paraId="7D91C582" w14:textId="77777777" w:rsidR="006354E7" w:rsidRPr="0045107A" w:rsidRDefault="006354E7" w:rsidP="006354E7">
      <w:pPr>
        <w:pStyle w:val="Bullet2G"/>
        <w:numPr>
          <w:ilvl w:val="0"/>
          <w:numId w:val="0"/>
        </w:numPr>
        <w:ind w:left="1854" w:hanging="360"/>
        <w:rPr>
          <w:lang w:eastAsia="en-GB"/>
        </w:rPr>
      </w:pPr>
      <w:r w:rsidRPr="0045107A">
        <w:rPr>
          <w:lang w:eastAsia="en-GB"/>
        </w:rPr>
        <w:t>i.</w:t>
      </w:r>
      <w:r w:rsidRPr="0045107A">
        <w:rPr>
          <w:lang w:eastAsia="en-GB"/>
        </w:rPr>
        <w:tab/>
        <w:t>D’établir un fond pour l’indemnisation des victimes de détention arbitraire et illégale;</w:t>
      </w:r>
    </w:p>
    <w:p w14:paraId="5C530B01" w14:textId="77777777" w:rsidR="006354E7" w:rsidRDefault="006354E7" w:rsidP="006354E7">
      <w:pPr>
        <w:pStyle w:val="SingleTxtG"/>
        <w:tabs>
          <w:tab w:val="left" w:pos="1843"/>
        </w:tabs>
        <w:ind w:left="1848" w:hanging="357"/>
        <w:rPr>
          <w:lang w:eastAsia="en-GB"/>
        </w:rPr>
      </w:pPr>
      <w:r>
        <w:rPr>
          <w:lang w:eastAsia="en-GB"/>
        </w:rPr>
        <w:t>j.</w:t>
      </w:r>
      <w:r>
        <w:rPr>
          <w:lang w:eastAsia="en-GB"/>
        </w:rPr>
        <w:tab/>
      </w:r>
      <w:r w:rsidRPr="0045107A">
        <w:rPr>
          <w:lang w:eastAsia="en-GB"/>
        </w:rPr>
        <w:t>De réformer le secteur de la sécurité:</w:t>
      </w:r>
      <w:r>
        <w:rPr>
          <w:lang w:eastAsia="en-GB"/>
        </w:rPr>
        <w:t xml:space="preserve"> </w:t>
      </w:r>
    </w:p>
    <w:p w14:paraId="78DA0C16"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r>
      <w:r>
        <w:rPr>
          <w:lang w:eastAsia="en-GB"/>
        </w:rPr>
        <w:t xml:space="preserve">i) </w:t>
      </w:r>
      <w:r w:rsidRPr="0045107A">
        <w:rPr>
          <w:lang w:eastAsia="en-GB"/>
        </w:rPr>
        <w:t>En s’assurant que des éléments extérieurs n’accomplissent pas des activités de défense ou de sécurité;</w:t>
      </w:r>
    </w:p>
    <w:p w14:paraId="600EA95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 En délimitant clairement les rôles des différents corps de défense et de sécurité, en particulier du SNR;</w:t>
      </w:r>
    </w:p>
    <w:p w14:paraId="2D82760C"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suspendant les membres des corps de défense et de sécurité suspectés d’être impliqués dans des violations des droits de l’homme jusqu’au terme des enquêtes et des procédures judiciaires;</w:t>
      </w:r>
    </w:p>
    <w:p w14:paraId="00F77A3D"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établissant des procédures strictes et transparentes de sélection qui intègrent des mécanismes de vérification des antécédents;</w:t>
      </w:r>
    </w:p>
    <w:p w14:paraId="31191B6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v) En renforçant le contrôle civil et démocratique des corps de défense et de sécurité, en particulier du SNR.</w:t>
      </w:r>
    </w:p>
    <w:p w14:paraId="2B3CFC76" w14:textId="77777777" w:rsidR="006354E7" w:rsidRPr="0045107A" w:rsidRDefault="006354E7" w:rsidP="006354E7">
      <w:pPr>
        <w:pStyle w:val="SingleTxtG"/>
        <w:tabs>
          <w:tab w:val="left" w:pos="1843"/>
        </w:tabs>
        <w:ind w:left="1848" w:hanging="357"/>
        <w:rPr>
          <w:lang w:eastAsia="en-GB"/>
        </w:rPr>
      </w:pPr>
      <w:r w:rsidRPr="0045107A">
        <w:rPr>
          <w:lang w:eastAsia="en-GB"/>
        </w:rPr>
        <w:t>k.</w:t>
      </w:r>
      <w:r w:rsidRPr="0045107A">
        <w:rPr>
          <w:lang w:eastAsia="en-GB"/>
        </w:rPr>
        <w:tab/>
        <w:t>De s’acquitter de ses obligations internationales de respecter, de protéger et de garantir les droits économiques et sociaux:</w:t>
      </w:r>
    </w:p>
    <w:p w14:paraId="5DAE0921"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 En élaborant et en mettant en œuvre les budgets de l’État de manière à utiliser au maximum les ressources disponibles pour assurer le respect des droits de l’homme à la population appauvrie par la crise politique, en particulier des droits à l’alimentation, à l’eau et à la santé, et pour développer des indicateurs désagrégés, y compris par genre, pour mieux informer ses politiques;</w:t>
      </w:r>
    </w:p>
    <w:p w14:paraId="78A1196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 En entreprenant, en consultation avec les populations travaillant dans le secteur agricole, notamment les femmes, des réformes visant une meilleure protection des droits des femmes et une meilleure utilisation des terres pour l’agriculture, et en développant des perspectives de travail en dehors du secteur agricole;</w:t>
      </w:r>
    </w:p>
    <w:p w14:paraId="575887D7"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iii) En utilisant une approche fondée sur les droits de l’homme pour régler les conflits fonciers dont ceux touchant les personnes ayant fui le Burundi avant et après 2015;</w:t>
      </w:r>
    </w:p>
    <w:p w14:paraId="7A603405" w14:textId="77777777" w:rsidR="006354E7" w:rsidRPr="0045107A" w:rsidRDefault="006354E7" w:rsidP="006354E7">
      <w:pPr>
        <w:pStyle w:val="Bullet2G"/>
        <w:numPr>
          <w:ilvl w:val="0"/>
          <w:numId w:val="0"/>
        </w:numPr>
        <w:tabs>
          <w:tab w:val="left" w:pos="2024"/>
        </w:tabs>
        <w:ind w:left="2024" w:hanging="170"/>
        <w:rPr>
          <w:lang w:eastAsia="en-GB"/>
        </w:rPr>
      </w:pPr>
      <w:r w:rsidRPr="0045107A">
        <w:rPr>
          <w:lang w:eastAsia="en-GB"/>
        </w:rPr>
        <w:t>•</w:t>
      </w:r>
      <w:r w:rsidRPr="0045107A">
        <w:rPr>
          <w:lang w:eastAsia="en-GB"/>
        </w:rPr>
        <w:tab/>
        <w:t>iv) En mettant fin à toute considération politique dans les processus de recrutement au sein de l’administration publique, des sociétés publiques et des sociétés mixtes.</w:t>
      </w:r>
    </w:p>
    <w:p w14:paraId="57B899C1"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La Commission recommande aux partis politiques et aux groupes armés d’opposition de s’abstenir de toute attaque sur le territoire burundais et de tout discours appelant à la violence, et de s’engager dans la recherche d’une solution durable à la crise politique.</w:t>
      </w:r>
    </w:p>
    <w:p w14:paraId="5FEF575B"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La Commission recommande à l’Union africaine de donner une place importante, dans sa recherche d’une solution durable à la crise au Burundi, au respect des droits de l’homme et au rejet de l’impunité, tels que prévus par son Acte constitutif.</w:t>
      </w:r>
    </w:p>
    <w:p w14:paraId="7BF71A84" w14:textId="77777777" w:rsidR="006354E7" w:rsidRPr="0045107A" w:rsidRDefault="006354E7" w:rsidP="006354E7">
      <w:pPr>
        <w:pStyle w:val="SingleTxtG"/>
        <w:keepNext/>
        <w:keepLines/>
        <w:rPr>
          <w:lang w:eastAsia="en-GB"/>
        </w:rPr>
      </w:pPr>
      <w:r>
        <w:rPr>
          <w:lang w:eastAsia="en-GB"/>
        </w:rPr>
        <w:t>5</w:t>
      </w:r>
      <w:r w:rsidRPr="0045107A">
        <w:rPr>
          <w:lang w:eastAsia="en-GB"/>
        </w:rPr>
        <w:t>.</w:t>
      </w:r>
      <w:r w:rsidRPr="0045107A">
        <w:rPr>
          <w:lang w:eastAsia="en-GB"/>
        </w:rPr>
        <w:tab/>
        <w:t>La Commission recommande aux partenaires techniques et financiers du Burundi:</w:t>
      </w:r>
    </w:p>
    <w:p w14:paraId="51C13FB3" w14:textId="77777777" w:rsidR="006354E7" w:rsidRDefault="006354E7" w:rsidP="006354E7">
      <w:pPr>
        <w:pStyle w:val="SingleTxtG"/>
        <w:ind w:left="1848" w:hanging="357"/>
        <w:rPr>
          <w:lang w:eastAsia="en-GB"/>
        </w:rPr>
      </w:pPr>
      <w:r>
        <w:rPr>
          <w:lang w:eastAsia="en-GB"/>
        </w:rPr>
        <w:t>a.</w:t>
      </w:r>
      <w:r>
        <w:rPr>
          <w:lang w:eastAsia="en-GB"/>
        </w:rPr>
        <w:tab/>
      </w:r>
      <w:r w:rsidRPr="0045107A">
        <w:rPr>
          <w:lang w:eastAsia="en-GB"/>
        </w:rPr>
        <w:t>De suspendre ou de maintenir la suspension de toute aide budgétaire directe au Gouvernement en l’absence de priorisation des ressources internes en faveur des objectifs de développement durable et des droits économiques et sociaux de la population, et de mesures effectives contre la corruption;</w:t>
      </w:r>
    </w:p>
    <w:p w14:paraId="7DB598B4" w14:textId="77777777" w:rsidR="006354E7" w:rsidRDefault="006354E7" w:rsidP="006354E7">
      <w:pPr>
        <w:pStyle w:val="SingleTxtG"/>
        <w:ind w:left="1848" w:hanging="357"/>
        <w:rPr>
          <w:lang w:eastAsia="en-GB"/>
        </w:rPr>
      </w:pPr>
      <w:r>
        <w:rPr>
          <w:lang w:eastAsia="en-GB"/>
        </w:rPr>
        <w:t>b.</w:t>
      </w:r>
      <w:r>
        <w:rPr>
          <w:lang w:eastAsia="en-GB"/>
        </w:rPr>
        <w:tab/>
      </w:r>
      <w:r w:rsidRPr="0045107A">
        <w:rPr>
          <w:lang w:eastAsia="en-GB"/>
        </w:rPr>
        <w:t>De cibler les dons et les financements attribués au Gouvernement sur des projets en faveur des besoins de la population et de s’assurer que ceux-ci sont gérés efficacement et de manière transparente;</w:t>
      </w:r>
    </w:p>
    <w:p w14:paraId="3AB03A0F" w14:textId="77777777" w:rsidR="006354E7" w:rsidRPr="0045107A" w:rsidRDefault="006354E7" w:rsidP="006354E7">
      <w:pPr>
        <w:pStyle w:val="SingleTxtG"/>
        <w:ind w:left="1848" w:hanging="357"/>
        <w:rPr>
          <w:lang w:eastAsia="en-GB"/>
        </w:rPr>
      </w:pPr>
      <w:r w:rsidRPr="0045107A">
        <w:rPr>
          <w:lang w:eastAsia="en-GB"/>
        </w:rPr>
        <w:t>c.</w:t>
      </w:r>
      <w:r w:rsidRPr="0045107A">
        <w:rPr>
          <w:lang w:eastAsia="en-GB"/>
        </w:rPr>
        <w:tab/>
        <w:t>D’évaluer régulièrement l’impact des sanctions financières sur la population burundaise.</w:t>
      </w:r>
    </w:p>
    <w:p w14:paraId="15B03748"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La Commission recommande aux garants de l’Accord d’Arusha, en leur qualité d’acteurs engagés en faveur d’une paix durable au Burundi, de continuer à chercher une solution pérenne à la crise politique et des droits de l’homme qui préserve et garantit les acquis de l’Accord d’Arusha.</w:t>
      </w:r>
    </w:p>
    <w:p w14:paraId="244572DD" w14:textId="77777777" w:rsidR="006354E7" w:rsidRPr="0045107A" w:rsidRDefault="006354E7" w:rsidP="006354E7">
      <w:pPr>
        <w:pStyle w:val="H23G"/>
        <w:rPr>
          <w:lang w:val="en-US" w:eastAsia="en-GB"/>
        </w:rPr>
      </w:pPr>
      <w:r w:rsidRPr="0045107A">
        <w:rPr>
          <w:lang w:eastAsia="en-GB"/>
        </w:rPr>
        <w:tab/>
      </w:r>
      <w:r w:rsidRPr="0045107A">
        <w:rPr>
          <w:lang w:eastAsia="en-GB"/>
        </w:rPr>
        <w:tab/>
      </w:r>
      <w:r w:rsidRPr="0045107A">
        <w:rPr>
          <w:lang w:val="en-US" w:eastAsia="en-GB"/>
        </w:rPr>
        <w:t>Version anglaise</w:t>
      </w:r>
    </w:p>
    <w:p w14:paraId="17545A7C" w14:textId="77777777" w:rsidR="006354E7" w:rsidRPr="0045107A" w:rsidRDefault="006354E7" w:rsidP="006354E7">
      <w:pPr>
        <w:pStyle w:val="SingleTxtG"/>
        <w:rPr>
          <w:lang w:val="en-US" w:eastAsia="en-GB"/>
        </w:rPr>
      </w:pPr>
      <w:r>
        <w:rPr>
          <w:lang w:val="en-US" w:eastAsia="en-GB"/>
        </w:rPr>
        <w:t>1</w:t>
      </w:r>
      <w:r w:rsidRPr="0045107A">
        <w:rPr>
          <w:lang w:val="en-US" w:eastAsia="en-GB"/>
        </w:rPr>
        <w:t>.</w:t>
      </w:r>
      <w:r w:rsidRPr="0045107A">
        <w:rPr>
          <w:lang w:val="en-US" w:eastAsia="en-GB"/>
        </w:rPr>
        <w:tab/>
        <w:t>The Commission recommends that the Government of Burundi take the following measures as a matter of priority:</w:t>
      </w:r>
    </w:p>
    <w:p w14:paraId="1A20047E"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6A4742">
        <w:rPr>
          <w:lang w:val="en-US" w:eastAsia="en-GB"/>
        </w:rPr>
        <w:t>Put an immediate end to the gross human rights violations being committed by agents of the State and Imbonerakure;</w:t>
      </w:r>
    </w:p>
    <w:p w14:paraId="59590726" w14:textId="77777777" w:rsidR="006354E7" w:rsidRDefault="006354E7" w:rsidP="006354E7">
      <w:pPr>
        <w:pStyle w:val="SingleTxtG"/>
        <w:ind w:left="1848" w:hanging="357"/>
        <w:rPr>
          <w:lang w:val="en-US" w:eastAsia="en-GB"/>
        </w:rPr>
      </w:pPr>
      <w:r>
        <w:rPr>
          <w:lang w:val="en-US" w:eastAsia="en-GB"/>
        </w:rPr>
        <w:t>b.</w:t>
      </w:r>
      <w:r>
        <w:rPr>
          <w:lang w:val="en-US" w:eastAsia="en-GB"/>
        </w:rPr>
        <w:tab/>
      </w:r>
      <w:r w:rsidRPr="006A4742">
        <w:rPr>
          <w:lang w:val="en-US" w:eastAsia="en-GB"/>
        </w:rPr>
        <w:t>With the support of the international community, establish ad hoc mechanisms with a mandate to investigate human rights violations and to prosecute perpetrators of international crimes that are not being investigated by the International Criminal Court;</w:t>
      </w:r>
    </w:p>
    <w:p w14:paraId="4774318B" w14:textId="77777777" w:rsidR="006354E7" w:rsidRDefault="006354E7" w:rsidP="006354E7">
      <w:pPr>
        <w:pStyle w:val="SingleTxtG"/>
        <w:ind w:left="1848" w:hanging="357"/>
        <w:rPr>
          <w:lang w:val="en-US" w:eastAsia="en-GB"/>
        </w:rPr>
      </w:pPr>
      <w:r>
        <w:rPr>
          <w:lang w:val="en-US" w:eastAsia="en-GB"/>
        </w:rPr>
        <w:t>c.</w:t>
      </w:r>
      <w:r>
        <w:rPr>
          <w:lang w:val="en-US" w:eastAsia="en-GB"/>
        </w:rPr>
        <w:tab/>
      </w:r>
      <w:r w:rsidRPr="006A4742">
        <w:rPr>
          <w:lang w:val="en-US" w:eastAsia="en-GB"/>
        </w:rPr>
        <w:t>With the support of the international community, establish an independent body with a mandate to investigate the cases of disappearance reported since April 2015, locate potential mass graves, and exhume and identify the remains;</w:t>
      </w:r>
    </w:p>
    <w:p w14:paraId="4F9D7B2F" w14:textId="77777777" w:rsidR="006354E7" w:rsidRDefault="006354E7" w:rsidP="006354E7">
      <w:pPr>
        <w:pStyle w:val="SingleTxtG"/>
        <w:ind w:left="1848" w:hanging="357"/>
        <w:rPr>
          <w:lang w:val="en-US" w:eastAsia="en-GB"/>
        </w:rPr>
      </w:pPr>
      <w:r>
        <w:rPr>
          <w:lang w:val="en-US" w:eastAsia="en-GB"/>
        </w:rPr>
        <w:t>d.</w:t>
      </w:r>
      <w:r>
        <w:rPr>
          <w:lang w:val="en-US" w:eastAsia="en-GB"/>
        </w:rPr>
        <w:tab/>
      </w:r>
      <w:r w:rsidRPr="006A4742">
        <w:rPr>
          <w:lang w:val="en-US" w:eastAsia="en-GB"/>
        </w:rPr>
        <w:t>Take measures to ensure that victims of torture and women survivors of sexual violence have access to appropriate care, including free access to all sexual and reproductive health services and to psychological support;</w:t>
      </w:r>
    </w:p>
    <w:p w14:paraId="678BA42C" w14:textId="77777777" w:rsidR="006354E7" w:rsidRDefault="006354E7" w:rsidP="006354E7">
      <w:pPr>
        <w:pStyle w:val="SingleTxtG"/>
        <w:ind w:left="1848" w:hanging="357"/>
        <w:rPr>
          <w:lang w:val="en-US" w:eastAsia="en-GB"/>
        </w:rPr>
      </w:pPr>
      <w:r>
        <w:rPr>
          <w:lang w:val="en-US" w:eastAsia="en-GB"/>
        </w:rPr>
        <w:t>e.</w:t>
      </w:r>
      <w:r>
        <w:rPr>
          <w:lang w:val="en-US" w:eastAsia="en-GB"/>
        </w:rPr>
        <w:tab/>
      </w:r>
      <w:r w:rsidRPr="006A4742">
        <w:rPr>
          <w:lang w:val="en-US" w:eastAsia="en-GB"/>
        </w:rPr>
        <w:t>Implement the Guidelines on Combating Sexual Violence and its Consequences in Africa adopted by the African Commission on Human and Peoples’ Rights;</w:t>
      </w:r>
    </w:p>
    <w:p w14:paraId="73260D9D" w14:textId="77777777" w:rsidR="006354E7" w:rsidRDefault="006354E7" w:rsidP="006354E7">
      <w:pPr>
        <w:pStyle w:val="SingleTxtG"/>
        <w:ind w:left="1848" w:hanging="357"/>
        <w:rPr>
          <w:lang w:val="en-US" w:eastAsia="en-GB"/>
        </w:rPr>
      </w:pPr>
      <w:r>
        <w:rPr>
          <w:lang w:val="en-US" w:eastAsia="en-GB"/>
        </w:rPr>
        <w:t>f.</w:t>
      </w:r>
      <w:r>
        <w:rPr>
          <w:lang w:val="en-US" w:eastAsia="en-GB"/>
        </w:rPr>
        <w:tab/>
      </w:r>
      <w:r w:rsidRPr="006A4742">
        <w:rPr>
          <w:lang w:val="en-US" w:eastAsia="en-GB"/>
        </w:rPr>
        <w:t>Control price increases, in particular by reviewing duty and tax increases that are undermining the population’s right to an adequate standard of living and by abolishing contributions that disproportionately affect the poorest sectors;</w:t>
      </w:r>
    </w:p>
    <w:p w14:paraId="15E533E1" w14:textId="77777777" w:rsidR="006354E7" w:rsidRPr="006A4742" w:rsidRDefault="006354E7" w:rsidP="006354E7">
      <w:pPr>
        <w:pStyle w:val="SingleTxtG"/>
        <w:ind w:left="1848" w:hanging="357"/>
        <w:rPr>
          <w:lang w:val="en-US" w:eastAsia="en-GB"/>
        </w:rPr>
      </w:pPr>
      <w:r w:rsidRPr="006A4742">
        <w:rPr>
          <w:lang w:val="en-US" w:eastAsia="en-GB"/>
        </w:rPr>
        <w:t>g.</w:t>
      </w:r>
      <w:r w:rsidRPr="006A4742">
        <w:rPr>
          <w:lang w:val="en-US" w:eastAsia="en-GB"/>
        </w:rPr>
        <w:tab/>
        <w:t>Cooperate with international human rights mechanisms, in particular by:</w:t>
      </w:r>
    </w:p>
    <w:p w14:paraId="1503EB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Resuming the practice of allowing special procedures mandate holders to conduct missions to Burundi;</w:t>
      </w:r>
    </w:p>
    <w:p w14:paraId="5267858D"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Implementing the recommendations of the universal periodic review, treaty bodies and special procedures, including by establishing a national mechanism for reporting and follow-up.</w:t>
      </w:r>
    </w:p>
    <w:p w14:paraId="687B471D" w14:textId="77777777" w:rsidR="006354E7" w:rsidRPr="0045107A" w:rsidRDefault="006354E7" w:rsidP="006354E7">
      <w:pPr>
        <w:pStyle w:val="SingleTxtG"/>
        <w:ind w:left="1848" w:hanging="357"/>
        <w:rPr>
          <w:lang w:val="en-US" w:eastAsia="en-GB"/>
        </w:rPr>
      </w:pPr>
      <w:r w:rsidRPr="0045107A">
        <w:rPr>
          <w:lang w:val="en-US" w:eastAsia="en-GB"/>
        </w:rPr>
        <w:t>h.</w:t>
      </w:r>
      <w:r w:rsidRPr="0045107A">
        <w:rPr>
          <w:lang w:val="en-US" w:eastAsia="en-GB"/>
        </w:rPr>
        <w:tab/>
        <w:t>Authorize the Office of the United Nations High Commissioner for Human Rights to resume all its activities in Burundi without hindrance;</w:t>
      </w:r>
    </w:p>
    <w:p w14:paraId="5C641C05"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i) </w:t>
      </w:r>
      <w:r w:rsidRPr="0045107A">
        <w:rPr>
          <w:lang w:val="en-US" w:eastAsia="en-GB"/>
        </w:rPr>
        <w:t>Sign and implement the memorandum of understanding with the African Union and permit the full deployment of the 100 human rights observers provided for therein.</w:t>
      </w:r>
    </w:p>
    <w:p w14:paraId="0793C8A8" w14:textId="77777777" w:rsidR="006354E7" w:rsidRPr="0045107A" w:rsidRDefault="006354E7" w:rsidP="006354E7">
      <w:pPr>
        <w:pStyle w:val="SingleTxtG"/>
        <w:keepNext/>
        <w:keepLines/>
        <w:rPr>
          <w:lang w:val="en-US" w:eastAsia="en-GB"/>
        </w:rPr>
      </w:pPr>
      <w:r>
        <w:rPr>
          <w:lang w:val="en-US" w:eastAsia="en-GB"/>
        </w:rPr>
        <w:t>2</w:t>
      </w:r>
      <w:r w:rsidRPr="0045107A">
        <w:rPr>
          <w:lang w:val="en-US" w:eastAsia="en-GB"/>
        </w:rPr>
        <w:t>.</w:t>
      </w:r>
      <w:r w:rsidRPr="0045107A">
        <w:rPr>
          <w:lang w:val="en-US" w:eastAsia="en-GB"/>
        </w:rPr>
        <w:tab/>
        <w:t>For the medium and longer terms, the Commission also recommends that the Government of Burundi:</w:t>
      </w:r>
    </w:p>
    <w:p w14:paraId="4B858A88" w14:textId="77777777" w:rsidR="006354E7" w:rsidRDefault="006354E7" w:rsidP="006354E7">
      <w:pPr>
        <w:pStyle w:val="SingleTxtG"/>
        <w:tabs>
          <w:tab w:val="left" w:pos="2268"/>
        </w:tabs>
        <w:ind w:left="1848" w:hanging="357"/>
        <w:rPr>
          <w:lang w:val="en-US" w:eastAsia="en-GB"/>
        </w:rPr>
      </w:pPr>
      <w:r>
        <w:rPr>
          <w:lang w:val="en-US" w:eastAsia="en-GB"/>
        </w:rPr>
        <w:t>a.</w:t>
      </w:r>
      <w:r>
        <w:rPr>
          <w:lang w:val="en-US" w:eastAsia="en-GB"/>
        </w:rPr>
        <w:tab/>
      </w:r>
      <w:r w:rsidRPr="00DA7281">
        <w:rPr>
          <w:lang w:val="en-US" w:eastAsia="en-GB"/>
        </w:rPr>
        <w:t>Amend the Organization Act of 8 March 2018 amending Act No. 01/03 of 24 January 2013 on the mandate, composition, organization and functioning of the National Communication Council with a view to ensuring the latter’s independence;</w:t>
      </w:r>
    </w:p>
    <w:p w14:paraId="5D205168" w14:textId="77777777" w:rsidR="006354E7" w:rsidRDefault="006354E7" w:rsidP="006354E7">
      <w:pPr>
        <w:pStyle w:val="SingleTxtG"/>
        <w:tabs>
          <w:tab w:val="left" w:pos="2268"/>
        </w:tabs>
        <w:ind w:left="1854" w:hanging="360"/>
        <w:rPr>
          <w:lang w:val="en-US" w:eastAsia="en-GB"/>
        </w:rPr>
      </w:pPr>
      <w:r>
        <w:rPr>
          <w:lang w:val="en-US" w:eastAsia="en-GB"/>
        </w:rPr>
        <w:t>b.</w:t>
      </w:r>
      <w:r>
        <w:rPr>
          <w:lang w:val="en-US" w:eastAsia="en-GB"/>
        </w:rPr>
        <w:tab/>
      </w:r>
      <w:r w:rsidRPr="00DA7281">
        <w:rPr>
          <w:lang w:val="en-US" w:eastAsia="en-GB"/>
        </w:rPr>
        <w:t>Ratify the International Convention for the Protection of All Persons from Enforced Disappearance;</w:t>
      </w:r>
    </w:p>
    <w:p w14:paraId="3BDFDFFE" w14:textId="77777777" w:rsidR="006354E7" w:rsidRDefault="006354E7" w:rsidP="006354E7">
      <w:pPr>
        <w:pStyle w:val="SingleTxtG"/>
        <w:tabs>
          <w:tab w:val="left" w:pos="2268"/>
        </w:tabs>
        <w:ind w:left="1854" w:hanging="360"/>
        <w:rPr>
          <w:lang w:val="en-US" w:eastAsia="en-GB"/>
        </w:rPr>
      </w:pPr>
      <w:r>
        <w:rPr>
          <w:lang w:val="en-US" w:eastAsia="en-GB"/>
        </w:rPr>
        <w:t>c.</w:t>
      </w:r>
      <w:r>
        <w:rPr>
          <w:lang w:val="en-US" w:eastAsia="en-GB"/>
        </w:rPr>
        <w:tab/>
      </w:r>
      <w:r w:rsidRPr="00DA7281">
        <w:rPr>
          <w:lang w:val="en-US" w:eastAsia="en-GB"/>
        </w:rPr>
        <w:t xml:space="preserve">Amend the Code of Criminal Procedure to align its provisions with international standards, in particular the provisions on time limits for police custody and on oversight of detention, night-time and warrantless searches, the </w:t>
      </w:r>
      <w:r w:rsidRPr="00DA7281">
        <w:rPr>
          <w:i/>
          <w:iCs/>
          <w:lang w:val="en-US" w:eastAsia="en-GB"/>
        </w:rPr>
        <w:t xml:space="preserve">flagrante delicto </w:t>
      </w:r>
      <w:r w:rsidRPr="00DA7281">
        <w:rPr>
          <w:lang w:val="en-US" w:eastAsia="en-GB"/>
        </w:rPr>
        <w:t>procedure and the offence of “undermining the internal security of the State”, and provisions that grant de jure impunity to judges and to officers of the criminal investigation police (</w:t>
      </w:r>
      <w:r w:rsidRPr="00DA7281">
        <w:rPr>
          <w:i/>
          <w:iCs/>
          <w:lang w:val="en-US" w:eastAsia="en-GB"/>
        </w:rPr>
        <w:t>police judiciaire</w:t>
      </w:r>
      <w:r w:rsidRPr="00DA7281">
        <w:rPr>
          <w:lang w:val="en-US" w:eastAsia="en-GB"/>
        </w:rPr>
        <w:t>);</w:t>
      </w:r>
    </w:p>
    <w:p w14:paraId="16A0EB9E" w14:textId="77777777" w:rsidR="006354E7" w:rsidRPr="00DA7281" w:rsidRDefault="006354E7" w:rsidP="006354E7">
      <w:pPr>
        <w:pStyle w:val="SingleTxtG"/>
        <w:tabs>
          <w:tab w:val="left" w:pos="2268"/>
        </w:tabs>
        <w:ind w:left="1854" w:hanging="360"/>
        <w:rPr>
          <w:lang w:val="en-US" w:eastAsia="en-GB"/>
        </w:rPr>
      </w:pPr>
      <w:r w:rsidRPr="00DA7281">
        <w:rPr>
          <w:lang w:val="en-US" w:eastAsia="en-GB"/>
        </w:rPr>
        <w:t>d.</w:t>
      </w:r>
      <w:r w:rsidRPr="00DA7281">
        <w:rPr>
          <w:lang w:val="en-US" w:eastAsia="en-GB"/>
        </w:rPr>
        <w:tab/>
        <w:t>Put an end to arbitrary detention and improve conditions of detention by:</w:t>
      </w:r>
    </w:p>
    <w:p w14:paraId="367BC5CB"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Implementing the Guidelines on the Conditions of Arrest, Police Custody and Pre-Trial Detention in Africa adopted by the African Commission on Human and Peoples’ Rights;</w:t>
      </w:r>
    </w:p>
    <w:p w14:paraId="455FDBD5"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Ensuring that detention is subject to oversight measures for assessing its legality and compatibility with human rights.</w:t>
      </w:r>
    </w:p>
    <w:p w14:paraId="0981411D" w14:textId="77777777" w:rsidR="006354E7" w:rsidRDefault="006354E7" w:rsidP="006354E7">
      <w:pPr>
        <w:pStyle w:val="SingleTxtG"/>
        <w:tabs>
          <w:tab w:val="left" w:pos="2268"/>
        </w:tabs>
        <w:ind w:left="1854" w:hanging="360"/>
        <w:rPr>
          <w:lang w:val="en-US" w:eastAsia="en-GB"/>
        </w:rPr>
      </w:pPr>
      <w:r>
        <w:rPr>
          <w:lang w:val="en-US" w:eastAsia="en-GB"/>
        </w:rPr>
        <w:t>e.</w:t>
      </w:r>
      <w:r>
        <w:rPr>
          <w:lang w:val="en-US" w:eastAsia="en-GB"/>
        </w:rPr>
        <w:tab/>
      </w:r>
      <w:r w:rsidRPr="0045107A">
        <w:rPr>
          <w:lang w:val="en-US" w:eastAsia="en-GB"/>
        </w:rPr>
        <w:t>In the absence of an independent and efficient judicial system, cooperate fully with the International Criminal Court in the investigation opened on 25 October 2017;</w:t>
      </w:r>
    </w:p>
    <w:p w14:paraId="3EABBAFE" w14:textId="77777777" w:rsidR="006354E7" w:rsidRPr="0045107A" w:rsidRDefault="006354E7" w:rsidP="006354E7">
      <w:pPr>
        <w:pStyle w:val="SingleTxtG"/>
        <w:tabs>
          <w:tab w:val="left" w:pos="2268"/>
        </w:tabs>
        <w:ind w:left="1848" w:hanging="357"/>
        <w:rPr>
          <w:lang w:val="en-US" w:eastAsia="en-GB"/>
        </w:rPr>
      </w:pPr>
      <w:r w:rsidRPr="0045107A">
        <w:rPr>
          <w:lang w:val="en-US" w:eastAsia="en-GB"/>
        </w:rPr>
        <w:t>f.</w:t>
      </w:r>
      <w:r w:rsidRPr="0045107A">
        <w:rPr>
          <w:lang w:val="en-US" w:eastAsia="en-GB"/>
        </w:rPr>
        <w:tab/>
        <w:t>Undertake an in-depth reform of the judicial system to ensure its independence, impartiality and effectiveness, including by:</w:t>
      </w:r>
    </w:p>
    <w:p w14:paraId="5D318AB9"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Implementing the Principles and Guidelines on the Right to a Fair Trial and Legal Assistance in Africa adopted by the African Commission on Human and Peoples’ Rights;</w:t>
      </w:r>
    </w:p>
    <w:p w14:paraId="50A3BCFD"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ii) </w:t>
      </w:r>
      <w:r w:rsidRPr="0045107A">
        <w:rPr>
          <w:lang w:val="en-US" w:eastAsia="en-GB"/>
        </w:rPr>
        <w:t>Publishing the conclusions of the national forum on the justice system held in 2013 and convening a meeting of justice-sector stakeholders and international partners to discuss follow-up action;</w:t>
      </w:r>
    </w:p>
    <w:p w14:paraId="349611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Increasing the budget for the justice sector and ensuring that it is managed autonomously;</w:t>
      </w:r>
    </w:p>
    <w:p w14:paraId="7C2367B4"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Raising the pay levels of judges in the ordinary courts and increasing the resources and facilities available to them;</w:t>
      </w:r>
    </w:p>
    <w:p w14:paraId="754E5A5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 Computerizing court registries;</w:t>
      </w:r>
    </w:p>
    <w:p w14:paraId="59EC1EC2"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vi) Reviewing the composition of the Judicial Service Commission to ensure that the majority of its members are appointed by their peers;</w:t>
      </w:r>
    </w:p>
    <w:p w14:paraId="5264D50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vii) </w:t>
      </w:r>
      <w:r w:rsidRPr="0045107A">
        <w:rPr>
          <w:lang w:val="en-US" w:eastAsia="en-GB"/>
        </w:rPr>
        <w:t>Reviewing procedures for the appointment, assignment, evaluation and promotion of judges to ensure that such procedures are not dependent on the executive branch;</w:t>
      </w:r>
    </w:p>
    <w:p w14:paraId="014CBA72"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viii) Ensuring strict observance of the principle that judges should have security of tenure;</w:t>
      </w:r>
    </w:p>
    <w:p w14:paraId="77995F88"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ix) Protecting and safeguarding the independence of the judiciary by prohibiting any interference in the administration of justice by government authorities, members of the ruling party or members of the defence and security forces, and imposing penalties on anyone who influences or seeks to influence the administration of justice;</w:t>
      </w:r>
    </w:p>
    <w:p w14:paraId="51F2E67B"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x) Developing legal aid programmes for persons belonging to the most vulnerable groups;</w:t>
      </w:r>
    </w:p>
    <w:p w14:paraId="6E80EEA6"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r>
      <w:r>
        <w:rPr>
          <w:lang w:val="en-US" w:eastAsia="en-GB"/>
        </w:rPr>
        <w:t xml:space="preserve">xi) </w:t>
      </w:r>
      <w:r w:rsidRPr="0045107A">
        <w:rPr>
          <w:lang w:val="en-US" w:eastAsia="en-GB"/>
        </w:rPr>
        <w:t>Strengthening victim and witness protection mechanisms and improving their effectiveness in order to restore public trust and encourage witnesses to come forward without fear for their safety.</w:t>
      </w:r>
    </w:p>
    <w:p w14:paraId="63503AB5" w14:textId="77777777" w:rsidR="006354E7" w:rsidRDefault="006354E7" w:rsidP="006354E7">
      <w:pPr>
        <w:pStyle w:val="SingleTxtG"/>
        <w:tabs>
          <w:tab w:val="left" w:pos="2268"/>
        </w:tabs>
        <w:ind w:left="1848" w:hanging="357"/>
        <w:rPr>
          <w:lang w:val="en-US" w:eastAsia="en-GB"/>
        </w:rPr>
      </w:pPr>
      <w:r>
        <w:rPr>
          <w:lang w:val="en-US" w:eastAsia="en-GB"/>
        </w:rPr>
        <w:t>g.</w:t>
      </w:r>
      <w:r>
        <w:rPr>
          <w:lang w:val="en-US" w:eastAsia="en-GB"/>
        </w:rPr>
        <w:tab/>
      </w:r>
      <w:r w:rsidRPr="0045107A">
        <w:rPr>
          <w:lang w:val="en-US" w:eastAsia="en-GB"/>
        </w:rPr>
        <w:t>In consultation with the beneficiaries, establish a reparations programme for victims of human rights violations, ensuring that material, symbolic, individual and collective reparations are made available regardless of whether or not the perpetrators are convicted;</w:t>
      </w:r>
    </w:p>
    <w:p w14:paraId="17E91AE2" w14:textId="77777777" w:rsidR="006354E7" w:rsidRDefault="006354E7" w:rsidP="006354E7">
      <w:pPr>
        <w:pStyle w:val="SingleTxtG"/>
        <w:tabs>
          <w:tab w:val="left" w:pos="2268"/>
        </w:tabs>
        <w:ind w:left="1848" w:hanging="357"/>
        <w:rPr>
          <w:lang w:val="en-US" w:eastAsia="en-GB"/>
        </w:rPr>
      </w:pPr>
      <w:r>
        <w:rPr>
          <w:lang w:val="en-US" w:eastAsia="en-GB"/>
        </w:rPr>
        <w:t>h.</w:t>
      </w:r>
      <w:r>
        <w:rPr>
          <w:lang w:val="en-US" w:eastAsia="en-GB"/>
        </w:rPr>
        <w:tab/>
      </w:r>
      <w:r w:rsidRPr="009C2C0D">
        <w:rPr>
          <w:lang w:val="en-US" w:eastAsia="en-GB"/>
        </w:rPr>
        <w:t>Establish the State fund for victims of torture provided for by law, in conformity with general comment No. 4 on the African Charter on Human and Peoples’ Rights, adopted by the African Commission on Human and Peoples’ Rights, concerning the right to redress for victims of torture and other cruel, inhuman or degrading punishment or treatment (art. 5);</w:t>
      </w:r>
    </w:p>
    <w:p w14:paraId="64B8FD82" w14:textId="77777777" w:rsidR="006354E7" w:rsidRDefault="006354E7" w:rsidP="006354E7">
      <w:pPr>
        <w:pStyle w:val="SingleTxtG"/>
        <w:tabs>
          <w:tab w:val="left" w:pos="2268"/>
        </w:tabs>
        <w:ind w:left="1848" w:hanging="357"/>
        <w:rPr>
          <w:lang w:val="en-US" w:eastAsia="en-GB"/>
        </w:rPr>
      </w:pPr>
      <w:r>
        <w:rPr>
          <w:lang w:val="en-US" w:eastAsia="en-GB"/>
        </w:rPr>
        <w:t>i.</w:t>
      </w:r>
      <w:r>
        <w:rPr>
          <w:lang w:val="en-US" w:eastAsia="en-GB"/>
        </w:rPr>
        <w:tab/>
      </w:r>
      <w:r w:rsidRPr="009C2C0D">
        <w:rPr>
          <w:lang w:val="en-US" w:eastAsia="en-GB"/>
        </w:rPr>
        <w:t>Establish a compensation fund for victims of arbitrary and unlawful detention;</w:t>
      </w:r>
    </w:p>
    <w:p w14:paraId="27E240EA" w14:textId="77777777" w:rsidR="006354E7" w:rsidRPr="009C2C0D" w:rsidRDefault="006354E7" w:rsidP="006354E7">
      <w:pPr>
        <w:pStyle w:val="SingleTxtG"/>
        <w:tabs>
          <w:tab w:val="left" w:pos="2268"/>
        </w:tabs>
        <w:ind w:left="1848" w:hanging="357"/>
        <w:rPr>
          <w:lang w:val="en-US" w:eastAsia="en-GB"/>
        </w:rPr>
      </w:pPr>
      <w:r w:rsidRPr="009C2C0D">
        <w:rPr>
          <w:lang w:val="en-US" w:eastAsia="en-GB"/>
        </w:rPr>
        <w:t>j.</w:t>
      </w:r>
      <w:r w:rsidRPr="009C2C0D">
        <w:rPr>
          <w:lang w:val="en-US" w:eastAsia="en-GB"/>
        </w:rPr>
        <w:tab/>
        <w:t>Reform the security sector by:</w:t>
      </w:r>
    </w:p>
    <w:p w14:paraId="2DE11EEF"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Ensuring that outsiders are not involved in defence or security activities;</w:t>
      </w:r>
    </w:p>
    <w:p w14:paraId="306C8D11"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Clearly defining the roles of the various defence and security forces, in particular the National Intelligence Service;</w:t>
      </w:r>
    </w:p>
    <w:p w14:paraId="4F6CA1A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Suspending members of the defence and security forces who are suspected of involvement in human rights violations until the relevant investigations and judicial proceedings have concluded;</w:t>
      </w:r>
    </w:p>
    <w:p w14:paraId="1581C99A"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Establishing rigorous and transparent selection procedures that include vetting mechanisms;</w:t>
      </w:r>
    </w:p>
    <w:p w14:paraId="2F1FD530"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v) Strengthening democratic civilian control over the defence and security forces, in particular the National Intelligence Service.</w:t>
      </w:r>
    </w:p>
    <w:p w14:paraId="73426DC6" w14:textId="77777777" w:rsidR="006354E7" w:rsidRPr="0045107A" w:rsidRDefault="006354E7" w:rsidP="006354E7">
      <w:pPr>
        <w:pStyle w:val="SingleTxtG"/>
        <w:tabs>
          <w:tab w:val="left" w:pos="2268"/>
        </w:tabs>
        <w:ind w:left="1848" w:hanging="357"/>
        <w:rPr>
          <w:lang w:val="en-US" w:eastAsia="en-GB"/>
        </w:rPr>
      </w:pPr>
      <w:r w:rsidRPr="0045107A">
        <w:rPr>
          <w:lang w:val="en-US" w:eastAsia="en-GB"/>
        </w:rPr>
        <w:t>k.</w:t>
      </w:r>
      <w:r w:rsidRPr="0045107A">
        <w:rPr>
          <w:lang w:val="en-US" w:eastAsia="en-GB"/>
        </w:rPr>
        <w:tab/>
        <w:t>Meet its international obligations to respect, protect and fulfil economic and social rights by:</w:t>
      </w:r>
    </w:p>
    <w:p w14:paraId="567A2EE1"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 Developing and implementing State budgets in such a way as to maximize the use of available resources to ensure that the human rights of the sectors impoverished by the political crisis are respected, in particular the rights to food, water and health care, and to develop indicators disaggregated by factors such as gender in order to better inform its policies;</w:t>
      </w:r>
    </w:p>
    <w:p w14:paraId="28654196"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 In consultation with population groups working in the agricultural sector, including women, undertaking reforms with the aim of better protecting women’s rights and making better use of land for agriculture, and developing employment opportunities outside the agricultural sector;</w:t>
      </w:r>
    </w:p>
    <w:p w14:paraId="4F91D4C8"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iii) Taking a rights-based approach to the settlement of land conflicts, including those involving persons who fled Burundi either before or after 2015;</w:t>
      </w:r>
    </w:p>
    <w:p w14:paraId="289CECD3" w14:textId="77777777" w:rsidR="006354E7" w:rsidRPr="0045107A" w:rsidRDefault="006354E7" w:rsidP="006354E7">
      <w:pPr>
        <w:pStyle w:val="Bullet2G"/>
        <w:numPr>
          <w:ilvl w:val="0"/>
          <w:numId w:val="0"/>
        </w:numPr>
        <w:tabs>
          <w:tab w:val="left" w:pos="2024"/>
        </w:tabs>
        <w:ind w:left="2024" w:hanging="170"/>
        <w:rPr>
          <w:lang w:val="en-US" w:eastAsia="en-GB"/>
        </w:rPr>
      </w:pPr>
      <w:r w:rsidRPr="0045107A">
        <w:rPr>
          <w:lang w:val="en-US" w:eastAsia="en-GB"/>
        </w:rPr>
        <w:t>•</w:t>
      </w:r>
      <w:r w:rsidRPr="0045107A">
        <w:rPr>
          <w:lang w:val="en-US" w:eastAsia="en-GB"/>
        </w:rPr>
        <w:tab/>
        <w:t>iv) Ending the inclusion of any political considerations in hiring processes for the civil service, State enterprises and public-private enterprises.</w:t>
      </w:r>
    </w:p>
    <w:p w14:paraId="27363145" w14:textId="77777777" w:rsidR="006354E7" w:rsidRPr="0045107A" w:rsidRDefault="006354E7" w:rsidP="006354E7">
      <w:pPr>
        <w:pStyle w:val="SingleTxtG"/>
        <w:rPr>
          <w:lang w:val="en-US" w:eastAsia="en-GB"/>
        </w:rPr>
      </w:pPr>
      <w:r>
        <w:rPr>
          <w:lang w:val="en-US" w:eastAsia="en-GB"/>
        </w:rPr>
        <w:t>3</w:t>
      </w:r>
      <w:r w:rsidRPr="0045107A">
        <w:rPr>
          <w:lang w:val="en-US" w:eastAsia="en-GB"/>
        </w:rPr>
        <w:t>.</w:t>
      </w:r>
      <w:r w:rsidRPr="0045107A">
        <w:rPr>
          <w:lang w:val="en-US" w:eastAsia="en-GB"/>
        </w:rPr>
        <w:tab/>
        <w:t>The Commission recommends that political parties and armed opposition groups refrain from engaging in any attacks on Burundian territory and from any speech calling for violence, and that they join the effort to find a lasting solution to the political crisis.</w:t>
      </w:r>
    </w:p>
    <w:p w14:paraId="650CFD01" w14:textId="77777777" w:rsidR="006354E7" w:rsidRPr="0045107A" w:rsidRDefault="006354E7" w:rsidP="006354E7">
      <w:pPr>
        <w:pStyle w:val="SingleTxtG"/>
        <w:rPr>
          <w:lang w:val="en-US" w:eastAsia="en-GB"/>
        </w:rPr>
      </w:pPr>
      <w:r>
        <w:rPr>
          <w:lang w:val="en-US" w:eastAsia="en-GB"/>
        </w:rPr>
        <w:t>4</w:t>
      </w:r>
      <w:r w:rsidRPr="0045107A">
        <w:rPr>
          <w:lang w:val="en-US" w:eastAsia="en-GB"/>
        </w:rPr>
        <w:t>.</w:t>
      </w:r>
      <w:r w:rsidRPr="0045107A">
        <w:rPr>
          <w:lang w:val="en-US" w:eastAsia="en-GB"/>
        </w:rPr>
        <w:tab/>
        <w:t>The Commission recommends that the African Union, in its efforts to find a lasting solution to the crisis in Burundi, give priority to respect for human rights and the rejection of impunity, as provided for in its Constitutive Act.</w:t>
      </w:r>
    </w:p>
    <w:p w14:paraId="3E530081" w14:textId="77777777" w:rsidR="006354E7" w:rsidRPr="0045107A" w:rsidRDefault="006354E7" w:rsidP="006354E7">
      <w:pPr>
        <w:pStyle w:val="SingleTxtG"/>
        <w:rPr>
          <w:lang w:val="en-US" w:eastAsia="en-GB"/>
        </w:rPr>
      </w:pPr>
      <w:r>
        <w:rPr>
          <w:lang w:val="en-US" w:eastAsia="en-GB"/>
        </w:rPr>
        <w:t>5</w:t>
      </w:r>
      <w:r w:rsidRPr="0045107A">
        <w:rPr>
          <w:lang w:val="en-US" w:eastAsia="en-GB"/>
        </w:rPr>
        <w:t>.</w:t>
      </w:r>
      <w:r w:rsidRPr="0045107A">
        <w:rPr>
          <w:lang w:val="en-US" w:eastAsia="en-GB"/>
        </w:rPr>
        <w:tab/>
        <w:t>The Commission recommends that the technical and financial partners of Burundi:</w:t>
      </w:r>
    </w:p>
    <w:p w14:paraId="11473958" w14:textId="77777777" w:rsidR="006354E7" w:rsidRDefault="006354E7" w:rsidP="006354E7">
      <w:pPr>
        <w:pStyle w:val="SingleTxtG"/>
        <w:tabs>
          <w:tab w:val="left" w:pos="1843"/>
        </w:tabs>
        <w:ind w:left="1848" w:hanging="357"/>
        <w:rPr>
          <w:lang w:val="en-US" w:eastAsia="en-GB"/>
        </w:rPr>
      </w:pPr>
      <w:r>
        <w:rPr>
          <w:lang w:val="en-US" w:eastAsia="en-GB"/>
        </w:rPr>
        <w:t>a.</w:t>
      </w:r>
      <w:r>
        <w:rPr>
          <w:lang w:val="en-US" w:eastAsia="en-GB"/>
        </w:rPr>
        <w:tab/>
      </w:r>
      <w:r w:rsidRPr="009C2C0D">
        <w:rPr>
          <w:lang w:val="en-US" w:eastAsia="en-GB"/>
        </w:rPr>
        <w:t>Suspend, or maintain the suspension of, any direct budget support to the Government until such time as priority is given to the allocation of domestic resources for the fulfilment of the Sustainable Development Goals and the economic and social rights of the population, and effective measures are taken against corruption;</w:t>
      </w:r>
    </w:p>
    <w:p w14:paraId="746FAEB2" w14:textId="77777777" w:rsidR="006354E7" w:rsidRDefault="006354E7" w:rsidP="006354E7">
      <w:pPr>
        <w:pStyle w:val="SingleTxtG"/>
        <w:tabs>
          <w:tab w:val="left" w:pos="1843"/>
        </w:tabs>
        <w:ind w:left="1848" w:hanging="357"/>
        <w:rPr>
          <w:lang w:val="en-US" w:eastAsia="en-GB"/>
        </w:rPr>
      </w:pPr>
      <w:r>
        <w:rPr>
          <w:lang w:val="en-US" w:eastAsia="en-GB"/>
        </w:rPr>
        <w:t>b.</w:t>
      </w:r>
      <w:r>
        <w:rPr>
          <w:lang w:val="en-US" w:eastAsia="en-GB"/>
        </w:rPr>
        <w:tab/>
      </w:r>
      <w:r w:rsidRPr="009C2C0D">
        <w:rPr>
          <w:lang w:val="en-US" w:eastAsia="en-GB"/>
        </w:rPr>
        <w:t>Ensure that grants and financing provided to the Government are earmarked for projects to meet the population’s needs, and ensure that such funding is managed effectively and transparently;</w:t>
      </w:r>
    </w:p>
    <w:p w14:paraId="7B8DD8AC" w14:textId="77777777" w:rsidR="006354E7" w:rsidRPr="009C2C0D" w:rsidRDefault="006354E7" w:rsidP="006354E7">
      <w:pPr>
        <w:pStyle w:val="SingleTxtG"/>
        <w:tabs>
          <w:tab w:val="left" w:pos="1843"/>
        </w:tabs>
        <w:ind w:left="1848" w:hanging="357"/>
        <w:rPr>
          <w:lang w:val="en-US" w:eastAsia="en-GB"/>
        </w:rPr>
      </w:pPr>
      <w:r w:rsidRPr="009C2C0D">
        <w:rPr>
          <w:lang w:val="en-US" w:eastAsia="en-GB"/>
        </w:rPr>
        <w:t>c.</w:t>
      </w:r>
      <w:r w:rsidRPr="009C2C0D">
        <w:rPr>
          <w:lang w:val="en-US" w:eastAsia="en-GB"/>
        </w:rPr>
        <w:tab/>
        <w:t>Regularly evaluate the impact of financial sanctions on the people of Burundi.</w:t>
      </w:r>
    </w:p>
    <w:p w14:paraId="0BBE41FD" w14:textId="77777777" w:rsidR="006354E7" w:rsidRPr="0045107A" w:rsidRDefault="006354E7" w:rsidP="006354E7">
      <w:pPr>
        <w:pStyle w:val="SingleTxtG"/>
        <w:rPr>
          <w:lang w:val="en-US" w:eastAsia="en-GB"/>
        </w:rPr>
      </w:pPr>
      <w:r>
        <w:rPr>
          <w:lang w:val="en-US" w:eastAsia="en-GB"/>
        </w:rPr>
        <w:t>6</w:t>
      </w:r>
      <w:r w:rsidRPr="0045107A">
        <w:rPr>
          <w:lang w:val="en-US" w:eastAsia="en-GB"/>
        </w:rPr>
        <w:t>.</w:t>
      </w:r>
      <w:r w:rsidRPr="0045107A">
        <w:rPr>
          <w:lang w:val="en-US" w:eastAsia="en-GB"/>
        </w:rPr>
        <w:tab/>
        <w:t>The Commission recommends that the guarantors of the Arusha Agreement, in their capacity as committed proponents of a lasting peace in Burundi, continue to seek a durable solution to the political and human rights crisis that will preserve and safeguard the achievements of the Arusha Agreement.</w:t>
      </w:r>
    </w:p>
    <w:p w14:paraId="1CF631FF" w14:textId="77777777" w:rsidR="006354E7" w:rsidRPr="00191564" w:rsidRDefault="006354E7" w:rsidP="006354E7">
      <w:pPr>
        <w:pStyle w:val="H1G"/>
        <w:rPr>
          <w:lang w:val="fr-CH" w:eastAsia="en-GB"/>
        </w:rPr>
      </w:pPr>
      <w:r w:rsidRPr="0045107A">
        <w:rPr>
          <w:lang w:eastAsia="en-GB"/>
        </w:rPr>
        <w:tab/>
      </w:r>
      <w:r w:rsidRPr="00191564">
        <w:rPr>
          <w:lang w:val="fr-CH" w:eastAsia="en-GB"/>
        </w:rPr>
        <w:t>4.</w:t>
      </w:r>
      <w:r w:rsidRPr="00191564">
        <w:rPr>
          <w:lang w:val="fr-CH" w:eastAsia="en-GB"/>
        </w:rPr>
        <w:tab/>
        <w:t xml:space="preserve">Recommandations faites en 2017 </w:t>
      </w:r>
    </w:p>
    <w:p w14:paraId="2BE8C81F" w14:textId="77777777" w:rsidR="006354E7" w:rsidRPr="0045107A" w:rsidRDefault="006354E7" w:rsidP="006354E7">
      <w:pPr>
        <w:pStyle w:val="H23G"/>
        <w:rPr>
          <w:lang w:eastAsia="en-GB"/>
        </w:rPr>
      </w:pPr>
      <w:r w:rsidRPr="0045107A">
        <w:rPr>
          <w:lang w:eastAsia="en-GB"/>
        </w:rPr>
        <w:tab/>
      </w:r>
      <w:r w:rsidRPr="0045107A">
        <w:rPr>
          <w:lang w:eastAsia="en-GB"/>
        </w:rPr>
        <w:tab/>
        <w:t>Version française</w:t>
      </w:r>
    </w:p>
    <w:p w14:paraId="1C5227DA" w14:textId="77777777" w:rsidR="006354E7" w:rsidRPr="0045107A" w:rsidRDefault="006354E7" w:rsidP="006354E7">
      <w:pPr>
        <w:pStyle w:val="H4G"/>
        <w:rPr>
          <w:lang w:eastAsia="en-GB"/>
        </w:rPr>
      </w:pPr>
      <w:r w:rsidRPr="0045107A">
        <w:rPr>
          <w:lang w:eastAsia="en-GB"/>
        </w:rPr>
        <w:tab/>
        <w:t>1.</w:t>
      </w:r>
      <w:r w:rsidRPr="0045107A">
        <w:rPr>
          <w:lang w:eastAsia="en-GB"/>
        </w:rPr>
        <w:tab/>
        <w:t>Aux autorités burundaises</w:t>
      </w:r>
    </w:p>
    <w:p w14:paraId="16CFA0D4" w14:textId="77777777" w:rsidR="006354E7" w:rsidRPr="0045107A" w:rsidRDefault="006354E7" w:rsidP="006354E7">
      <w:pPr>
        <w:pStyle w:val="SingleTxtG"/>
        <w:rPr>
          <w:lang w:eastAsia="en-GB"/>
        </w:rPr>
      </w:pPr>
      <w:r>
        <w:rPr>
          <w:lang w:eastAsia="en-GB"/>
        </w:rPr>
        <w:t>1</w:t>
      </w:r>
      <w:r w:rsidRPr="0045107A">
        <w:rPr>
          <w:lang w:eastAsia="en-GB"/>
        </w:rPr>
        <w:t>.</w:t>
      </w:r>
      <w:r w:rsidRPr="0045107A">
        <w:rPr>
          <w:lang w:eastAsia="en-GB"/>
        </w:rPr>
        <w:tab/>
        <w:t>De mettre immédiatement un terme aux violations graves des droits de l’homme commises par des agents de l’État et des Imbonerakure sur lesquels l’État exerce un contrôle</w:t>
      </w:r>
      <w:r>
        <w:rPr>
          <w:lang w:eastAsia="en-GB"/>
        </w:rPr>
        <w:t>;</w:t>
      </w:r>
    </w:p>
    <w:p w14:paraId="36599532" w14:textId="77777777" w:rsidR="006354E7" w:rsidRPr="0045107A" w:rsidRDefault="006354E7" w:rsidP="006354E7">
      <w:pPr>
        <w:pStyle w:val="SingleTxtG"/>
        <w:rPr>
          <w:lang w:eastAsia="en-GB"/>
        </w:rPr>
      </w:pPr>
      <w:r>
        <w:rPr>
          <w:lang w:eastAsia="en-GB"/>
        </w:rPr>
        <w:t>2</w:t>
      </w:r>
      <w:r w:rsidRPr="0045107A">
        <w:rPr>
          <w:lang w:eastAsia="en-GB"/>
        </w:rPr>
        <w:t>.</w:t>
      </w:r>
      <w:r w:rsidRPr="0045107A">
        <w:rPr>
          <w:lang w:eastAsia="en-GB"/>
        </w:rPr>
        <w:tab/>
        <w:t>D’enquêter sur ces violations et s’assurer que les auteurs présumés soient jugés dans les meilleurs délais, dans des procédures crédibles, indépendantes et équitables, et que les victimes obtiennent une juste réparation. Dans le cas où les auteurs présumés sont des agents de l’État, les suspendre jusqu’au terme de l’enquête et de la procédure judiciaire;</w:t>
      </w:r>
    </w:p>
    <w:p w14:paraId="25BD7123" w14:textId="77777777" w:rsidR="006354E7" w:rsidRPr="0045107A" w:rsidRDefault="006354E7" w:rsidP="006354E7">
      <w:pPr>
        <w:pStyle w:val="SingleTxtG"/>
        <w:rPr>
          <w:lang w:eastAsia="en-GB"/>
        </w:rPr>
      </w:pPr>
      <w:r>
        <w:rPr>
          <w:lang w:eastAsia="en-GB"/>
        </w:rPr>
        <w:t>3</w:t>
      </w:r>
      <w:r w:rsidRPr="0045107A">
        <w:rPr>
          <w:lang w:eastAsia="en-GB"/>
        </w:rPr>
        <w:t>.</w:t>
      </w:r>
      <w:r w:rsidRPr="0045107A">
        <w:rPr>
          <w:lang w:eastAsia="en-GB"/>
        </w:rPr>
        <w:tab/>
        <w:t>De prendre des mesures concrètes pour une amélioration rapide de la situation des droits de l’homme, notamment en:</w:t>
      </w:r>
    </w:p>
    <w:p w14:paraId="6FAA1A9D"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Annulant les mandats d’arrêt contre des dirigeants de médias, d’organisations de la société civile et de partis politiques qui n’ont pas utilisé ou prôné la violence, et permettant leur retour en toute sécurité au Burundi;</w:t>
      </w:r>
    </w:p>
    <w:p w14:paraId="6BCBDD23"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Levant la suspension et la radiation des médias et organisations de la société civile, leur permettant de reprendre leurs activités en toute indépendance, et revoyant les lois adoptées en 2017 sur les organisations non-gouvernementales burundaises et internationales;</w:t>
      </w:r>
    </w:p>
    <w:p w14:paraId="06EF7B55"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Libérant immédiatement tous les prisonniers politiques;</w:t>
      </w:r>
    </w:p>
    <w:p w14:paraId="2C5B29D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S’assurant que toute personne arrêtée soit détenue dans un lieu de détention officiel et que des observateurs nationaux et internationaux soient autorisés à leur rendre visite;</w:t>
      </w:r>
    </w:p>
    <w:p w14:paraId="406125A0"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Veillant à ce que les officiers de police judiciaire ne soient pas habilités à mener des perquisitions sans mandat et de nuit comme envisagé dans les projets d’amendement du Code pénal et du Code de procédure pénale;</w:t>
      </w:r>
    </w:p>
    <w:p w14:paraId="69ED4303"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S’assurant que des individus qui n’y sont pas légalement habilités, en particulier des Imbonerakure, ne conduisent pas des activités de maintien de l’ordre ou n’y prennent pas part, y compris dans des lieux de détention, et qu’ils ne portent pas des uniformes militaires ou de police ou ne soient pas en possession d’armes;</w:t>
      </w:r>
    </w:p>
    <w:p w14:paraId="4E30CCC4"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Poursuivant les auteurs de discours haineux ou appelant à la violence;</w:t>
      </w:r>
    </w:p>
    <w:p w14:paraId="412C4CA7"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Mettant fin aux menaces, intimidations et actes d’extorsion par des agents de l’État et des Imbonerakure;</w:t>
      </w:r>
    </w:p>
    <w:p w14:paraId="5B856727"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Permettant aux victimes de violences sexuelles et de torture d’avoir accès à des services médicaux et psychosociaux.</w:t>
      </w:r>
    </w:p>
    <w:p w14:paraId="27D31DC2" w14:textId="77777777" w:rsidR="006354E7" w:rsidRPr="0045107A" w:rsidRDefault="006354E7" w:rsidP="006354E7">
      <w:pPr>
        <w:pStyle w:val="SingleTxtG"/>
        <w:rPr>
          <w:lang w:eastAsia="en-GB"/>
        </w:rPr>
      </w:pPr>
      <w:r>
        <w:rPr>
          <w:lang w:eastAsia="en-GB"/>
        </w:rPr>
        <w:t>4</w:t>
      </w:r>
      <w:r w:rsidRPr="0045107A">
        <w:rPr>
          <w:lang w:eastAsia="en-GB"/>
        </w:rPr>
        <w:t>.</w:t>
      </w:r>
      <w:r w:rsidRPr="0045107A">
        <w:rPr>
          <w:lang w:eastAsia="en-GB"/>
        </w:rPr>
        <w:tab/>
        <w:t>D’engager une réforme en profondeur du système judiciaire, notamment en:</w:t>
      </w:r>
    </w:p>
    <w:p w14:paraId="6929661A"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Publiant les conclusions des états généraux de la justice qui se sont tenus en 2013 à Gitega;</w:t>
      </w:r>
    </w:p>
    <w:p w14:paraId="743EF05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Revoyant la composition du Conseil national de la magistrature afin que ses membres soient en majorité désignés par leurs pairs;</w:t>
      </w:r>
    </w:p>
    <w:p w14:paraId="2D977EAB"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Revoyant les procédures de nomination, d’affectation, de notation et d’avancement des magistrats afin qu’elles ne dépendent pas du pouvoir exécutif;</w:t>
      </w:r>
    </w:p>
    <w:p w14:paraId="27E3352C"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Veillant au respect strict du principe d’inamovibilité des magistrats du siège;</w:t>
      </w:r>
    </w:p>
    <w:p w14:paraId="527BA4A9"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Protégeant et garantissant l’indépendance du système judiciaire en interdisant toute ingérence dans le fonctionnement de la justice par des autorités gouvernementales, des membres du parti au pouvoir ou des membres des corps de défense et de sécurité, et en prenant des sanctions contre ceux qui influencent, ou cherchent à influencer, le fonctionnement de la justice;</w:t>
      </w:r>
    </w:p>
    <w:p w14:paraId="6C68D2C4"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Développant des programmes d’aide juridictionnelle pour les plus vulnérables;</w:t>
      </w:r>
    </w:p>
    <w:p w14:paraId="0C6A8E36"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Renforçant les mécanismes de protection de victimes et de témoins, ainsi que leur efficacité, pour restaurer la confiance de la population et encourager les témoins à s’exprimer sans crainte pour leur sécurité.</w:t>
      </w:r>
    </w:p>
    <w:p w14:paraId="6EDE5B65" w14:textId="77777777" w:rsidR="006354E7" w:rsidRPr="0045107A" w:rsidRDefault="006354E7" w:rsidP="006354E7">
      <w:pPr>
        <w:pStyle w:val="SingleTxtG"/>
        <w:rPr>
          <w:lang w:eastAsia="en-GB"/>
        </w:rPr>
      </w:pPr>
      <w:r>
        <w:rPr>
          <w:lang w:eastAsia="en-GB"/>
        </w:rPr>
        <w:t>5</w:t>
      </w:r>
      <w:r w:rsidRPr="0045107A">
        <w:rPr>
          <w:lang w:eastAsia="en-GB"/>
        </w:rPr>
        <w:t>.</w:t>
      </w:r>
      <w:r w:rsidRPr="0045107A">
        <w:rPr>
          <w:lang w:eastAsia="en-GB"/>
        </w:rPr>
        <w:tab/>
        <w:t>De s’assurer que les membres des corps de défense et de sécurité respectent les droits de l’homme en toutes circonstances et servent les intérêts de la population dans son ensemble et pas uniquement ceux du parti au pouvoir, notamment en:</w:t>
      </w:r>
    </w:p>
    <w:p w14:paraId="63653138"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Renforçant le contrôle civil des corps de défense et de sécurité et l’indépendance des organes chargés de ce contrôle créés par la Constitution, en particulier le Parlement, la Commission nationale indépendante des droits de l’homme et l’Ombudsman;</w:t>
      </w:r>
    </w:p>
    <w:p w14:paraId="3C1E112D"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Remédiant à la carence constitutionnelle de contrôle civil du SNR;</w:t>
      </w:r>
    </w:p>
    <w:p w14:paraId="6885D166" w14:textId="77777777" w:rsidR="006354E7" w:rsidRPr="0045107A" w:rsidRDefault="006354E7" w:rsidP="006354E7">
      <w:pPr>
        <w:pStyle w:val="Bullet1G"/>
        <w:numPr>
          <w:ilvl w:val="0"/>
          <w:numId w:val="0"/>
        </w:numPr>
        <w:tabs>
          <w:tab w:val="left" w:pos="1701"/>
        </w:tabs>
        <w:ind w:left="1701" w:hanging="170"/>
        <w:rPr>
          <w:lang w:eastAsia="en-GB"/>
        </w:rPr>
      </w:pPr>
      <w:r w:rsidRPr="0045107A">
        <w:rPr>
          <w:lang w:eastAsia="en-GB"/>
        </w:rPr>
        <w:t>•</w:t>
      </w:r>
      <w:r w:rsidRPr="0045107A">
        <w:rPr>
          <w:lang w:eastAsia="en-GB"/>
        </w:rPr>
        <w:tab/>
        <w:t>Prenant des mesures pour vérifier les antécédents, notamment en matière de droits de l’homme, des agents des corps de défense et de sécurité et intégrant ces mesures à une refonte des procédures de recrutement et d’avancement de ces agents.</w:t>
      </w:r>
    </w:p>
    <w:p w14:paraId="70BF1F07" w14:textId="77777777" w:rsidR="006354E7" w:rsidRPr="0045107A" w:rsidRDefault="006354E7" w:rsidP="006354E7">
      <w:pPr>
        <w:pStyle w:val="SingleTxtG"/>
        <w:rPr>
          <w:lang w:eastAsia="en-GB"/>
        </w:rPr>
      </w:pPr>
      <w:r>
        <w:rPr>
          <w:lang w:eastAsia="en-GB"/>
        </w:rPr>
        <w:t>6</w:t>
      </w:r>
      <w:r w:rsidRPr="0045107A">
        <w:rPr>
          <w:lang w:eastAsia="en-GB"/>
        </w:rPr>
        <w:t>.</w:t>
      </w:r>
      <w:r w:rsidRPr="0045107A">
        <w:rPr>
          <w:lang w:eastAsia="en-GB"/>
        </w:rPr>
        <w:tab/>
        <w:t>De revenir sur sa décision de se retirer du Statut de Rome et coopérer pleinement avec la CPI dans la procédure d’examen préliminaire en cours et, si une enquête est ouverte, poursuivre cette coopération et assurer la protection des victimes et témoins;</w:t>
      </w:r>
    </w:p>
    <w:p w14:paraId="6F163BBD" w14:textId="77777777" w:rsidR="006354E7" w:rsidRPr="0045107A" w:rsidRDefault="006354E7" w:rsidP="006354E7">
      <w:pPr>
        <w:pStyle w:val="SingleTxtG"/>
        <w:rPr>
          <w:lang w:eastAsia="en-GB"/>
        </w:rPr>
      </w:pPr>
      <w:r>
        <w:rPr>
          <w:lang w:eastAsia="en-GB"/>
        </w:rPr>
        <w:t>7</w:t>
      </w:r>
      <w:r w:rsidRPr="0045107A">
        <w:rPr>
          <w:lang w:eastAsia="en-GB"/>
        </w:rPr>
        <w:t>.</w:t>
      </w:r>
      <w:r w:rsidRPr="0045107A">
        <w:rPr>
          <w:lang w:eastAsia="en-GB"/>
        </w:rPr>
        <w:tab/>
        <w:t>D’autoriser le HCDH à reprendre ses activités de documentation des violations des droits de l’homme au Burundi, suspendues depuis octobre 2016;</w:t>
      </w:r>
    </w:p>
    <w:p w14:paraId="42FEA697" w14:textId="77777777" w:rsidR="006354E7" w:rsidRPr="0045107A" w:rsidRDefault="006354E7" w:rsidP="006354E7">
      <w:pPr>
        <w:pStyle w:val="SingleTxtG"/>
        <w:rPr>
          <w:lang w:eastAsia="en-GB"/>
        </w:rPr>
      </w:pPr>
      <w:r>
        <w:rPr>
          <w:lang w:eastAsia="en-GB"/>
        </w:rPr>
        <w:t>8</w:t>
      </w:r>
      <w:r w:rsidRPr="0045107A">
        <w:rPr>
          <w:lang w:eastAsia="en-GB"/>
        </w:rPr>
        <w:t>.</w:t>
      </w:r>
      <w:r w:rsidRPr="0045107A">
        <w:rPr>
          <w:lang w:eastAsia="en-GB"/>
        </w:rPr>
        <w:tab/>
        <w:t>De signer et mettre en œuvre le mémorandum d’entente avec l’Union africaine et permettre le déploiement complet des 100 observateurs des droits de l’homme et des 100 experts militaires, décidé en 2016;</w:t>
      </w:r>
    </w:p>
    <w:p w14:paraId="3E49BC1B" w14:textId="77777777" w:rsidR="006354E7" w:rsidRPr="0045107A" w:rsidRDefault="006354E7" w:rsidP="006354E7">
      <w:pPr>
        <w:pStyle w:val="SingleTxtG"/>
        <w:rPr>
          <w:lang w:eastAsia="en-GB"/>
        </w:rPr>
      </w:pPr>
      <w:r>
        <w:rPr>
          <w:lang w:eastAsia="en-GB"/>
        </w:rPr>
        <w:t>9</w:t>
      </w:r>
      <w:r w:rsidRPr="0045107A">
        <w:rPr>
          <w:lang w:eastAsia="en-GB"/>
        </w:rPr>
        <w:t>.</w:t>
      </w:r>
      <w:r w:rsidRPr="0045107A">
        <w:rPr>
          <w:lang w:eastAsia="en-GB"/>
        </w:rPr>
        <w:tab/>
        <w:t xml:space="preserve">De coopérer avec les mécanismes des droits de l’homme des Nations Unies en accueillant à nouveau des missions des procédures spéciales et en mettant en œuvre les recommandations récentes des organes de traité; </w:t>
      </w:r>
    </w:p>
    <w:p w14:paraId="2DC23C10" w14:textId="77777777" w:rsidR="006354E7" w:rsidRPr="0045107A" w:rsidRDefault="006354E7" w:rsidP="006354E7">
      <w:pPr>
        <w:pStyle w:val="SingleTxtG"/>
        <w:rPr>
          <w:lang w:eastAsia="en-GB"/>
        </w:rPr>
      </w:pPr>
      <w:r>
        <w:rPr>
          <w:lang w:eastAsia="en-GB"/>
        </w:rPr>
        <w:t>10</w:t>
      </w:r>
      <w:r w:rsidRPr="0045107A">
        <w:rPr>
          <w:lang w:eastAsia="en-GB"/>
        </w:rPr>
        <w:t>.</w:t>
      </w:r>
      <w:r w:rsidRPr="0045107A">
        <w:rPr>
          <w:lang w:eastAsia="en-GB"/>
        </w:rPr>
        <w:tab/>
        <w:t>De s’engager activement dans la voie d’une résolution durable de la crise politique, notamment dans le cadre d’initiatives de dialogue engagées au niveau international.</w:t>
      </w:r>
    </w:p>
    <w:p w14:paraId="0F870D01" w14:textId="77777777" w:rsidR="006354E7" w:rsidRPr="0045107A" w:rsidRDefault="006354E7" w:rsidP="006354E7">
      <w:pPr>
        <w:pStyle w:val="H4G"/>
        <w:rPr>
          <w:lang w:eastAsia="en-GB"/>
        </w:rPr>
      </w:pPr>
      <w:r w:rsidRPr="0045107A">
        <w:rPr>
          <w:lang w:eastAsia="en-GB"/>
        </w:rPr>
        <w:tab/>
        <w:t>2.</w:t>
      </w:r>
      <w:r w:rsidRPr="0045107A">
        <w:rPr>
          <w:lang w:eastAsia="en-GB"/>
        </w:rPr>
        <w:tab/>
        <w:t>Aux partis politiques et groupes armés d’opposition</w:t>
      </w:r>
    </w:p>
    <w:p w14:paraId="4B0A9503" w14:textId="77777777" w:rsidR="006354E7" w:rsidRPr="0045107A" w:rsidRDefault="006354E7" w:rsidP="006354E7">
      <w:pPr>
        <w:pStyle w:val="SingleTxtG"/>
        <w:rPr>
          <w:lang w:eastAsia="en-GB"/>
        </w:rPr>
      </w:pPr>
      <w:r>
        <w:rPr>
          <w:lang w:eastAsia="en-GB"/>
        </w:rPr>
        <w:t>11</w:t>
      </w:r>
      <w:r w:rsidRPr="0045107A">
        <w:rPr>
          <w:lang w:eastAsia="en-GB"/>
        </w:rPr>
        <w:t>.</w:t>
      </w:r>
      <w:r w:rsidRPr="0045107A">
        <w:rPr>
          <w:lang w:eastAsia="en-GB"/>
        </w:rPr>
        <w:tab/>
        <w:t>De mettre immédiatement un terme aux atteintes aux droits de l’homme et aux actes de violence commis par leurs membres;</w:t>
      </w:r>
    </w:p>
    <w:p w14:paraId="70037006" w14:textId="77777777" w:rsidR="006354E7" w:rsidRPr="0045107A" w:rsidRDefault="006354E7" w:rsidP="006354E7">
      <w:pPr>
        <w:pStyle w:val="SingleTxtG"/>
        <w:rPr>
          <w:lang w:eastAsia="en-GB"/>
        </w:rPr>
      </w:pPr>
      <w:r>
        <w:rPr>
          <w:lang w:eastAsia="en-GB"/>
        </w:rPr>
        <w:t>12</w:t>
      </w:r>
      <w:r w:rsidRPr="0045107A">
        <w:rPr>
          <w:lang w:eastAsia="en-GB"/>
        </w:rPr>
        <w:t>.</w:t>
      </w:r>
      <w:r w:rsidRPr="0045107A">
        <w:rPr>
          <w:lang w:eastAsia="en-GB"/>
        </w:rPr>
        <w:tab/>
        <w:t>De s’abstenir de tout discours appelant à la violence et s’engager dans la recherche d’une solution durable à la crise politique au Burundi.</w:t>
      </w:r>
    </w:p>
    <w:p w14:paraId="4EED9183" w14:textId="77777777" w:rsidR="006354E7" w:rsidRPr="0045107A" w:rsidRDefault="006354E7" w:rsidP="006354E7">
      <w:pPr>
        <w:pStyle w:val="H4G"/>
        <w:rPr>
          <w:lang w:eastAsia="en-GB"/>
        </w:rPr>
      </w:pPr>
      <w:r>
        <w:rPr>
          <w:lang w:eastAsia="en-GB"/>
        </w:rPr>
        <w:tab/>
        <w:t>3</w:t>
      </w:r>
      <w:r w:rsidRPr="0045107A">
        <w:rPr>
          <w:lang w:eastAsia="en-GB"/>
        </w:rPr>
        <w:t>.</w:t>
      </w:r>
      <w:r w:rsidRPr="0045107A">
        <w:rPr>
          <w:lang w:eastAsia="en-GB"/>
        </w:rPr>
        <w:tab/>
        <w:t>Au Conseil des droits de l’homme</w:t>
      </w:r>
    </w:p>
    <w:p w14:paraId="0AF427D5" w14:textId="77777777" w:rsidR="006354E7" w:rsidRPr="0045107A" w:rsidRDefault="006354E7" w:rsidP="006354E7">
      <w:pPr>
        <w:pStyle w:val="SingleTxtG"/>
        <w:rPr>
          <w:lang w:eastAsia="en-GB"/>
        </w:rPr>
      </w:pPr>
      <w:r>
        <w:rPr>
          <w:lang w:eastAsia="en-GB"/>
        </w:rPr>
        <w:t>13</w:t>
      </w:r>
      <w:r w:rsidRPr="0045107A">
        <w:rPr>
          <w:lang w:eastAsia="en-GB"/>
        </w:rPr>
        <w:t>.</w:t>
      </w:r>
      <w:r w:rsidRPr="0045107A">
        <w:rPr>
          <w:lang w:eastAsia="en-GB"/>
        </w:rPr>
        <w:tab/>
        <w:t>De prolonger le mandat de la Commission pour une durée d’un an aux fins d’approfondir et de poursuivre ses enquêtes en raison de la persistance des violations graves des droits de l’homme et des atteintes à ceux-ci et en l’absence d’autres mécanismes spécifiques en mesure de mener des enquêtes indépendantes et approfondies sur la situation des droits de l’homme au Burundi;</w:t>
      </w:r>
    </w:p>
    <w:p w14:paraId="53A8D6AB" w14:textId="77777777" w:rsidR="006354E7" w:rsidRPr="0045107A" w:rsidRDefault="006354E7" w:rsidP="006354E7">
      <w:pPr>
        <w:pStyle w:val="SingleTxtG"/>
        <w:rPr>
          <w:lang w:eastAsia="en-GB"/>
        </w:rPr>
      </w:pPr>
      <w:r>
        <w:rPr>
          <w:lang w:eastAsia="en-GB"/>
        </w:rPr>
        <w:t>14</w:t>
      </w:r>
      <w:r w:rsidRPr="0045107A">
        <w:rPr>
          <w:lang w:eastAsia="en-GB"/>
        </w:rPr>
        <w:t>.</w:t>
      </w:r>
      <w:r w:rsidRPr="0045107A">
        <w:rPr>
          <w:lang w:eastAsia="en-GB"/>
        </w:rPr>
        <w:tab/>
        <w:t>De demander au Haut-Commissaire des Nations Unies aux droits de l’homme de faire un rapport sur l’évolution de sa coopération avec le Gouvernement du Burundi aux prochaines sessions du Conseil.</w:t>
      </w:r>
    </w:p>
    <w:p w14:paraId="0F40321E" w14:textId="77777777" w:rsidR="006354E7" w:rsidRPr="0045107A" w:rsidRDefault="006354E7" w:rsidP="006354E7">
      <w:pPr>
        <w:pStyle w:val="H4G"/>
        <w:rPr>
          <w:lang w:eastAsia="en-GB"/>
        </w:rPr>
      </w:pPr>
      <w:r w:rsidRPr="0045107A">
        <w:rPr>
          <w:lang w:eastAsia="en-GB"/>
        </w:rPr>
        <w:tab/>
      </w:r>
      <w:r>
        <w:rPr>
          <w:lang w:eastAsia="en-GB"/>
        </w:rPr>
        <w:t>4</w:t>
      </w:r>
      <w:r w:rsidRPr="0045107A">
        <w:rPr>
          <w:lang w:eastAsia="en-GB"/>
        </w:rPr>
        <w:t>.</w:t>
      </w:r>
      <w:r w:rsidRPr="0045107A">
        <w:rPr>
          <w:lang w:eastAsia="en-GB"/>
        </w:rPr>
        <w:tab/>
        <w:t>À la Cour pénale internationale</w:t>
      </w:r>
    </w:p>
    <w:p w14:paraId="2CCF7421" w14:textId="69A5E283" w:rsidR="006354E7" w:rsidRPr="0045107A" w:rsidRDefault="006354E7" w:rsidP="006354E7">
      <w:pPr>
        <w:pStyle w:val="SingleTxtG"/>
        <w:rPr>
          <w:lang w:eastAsia="en-GB"/>
        </w:rPr>
      </w:pPr>
      <w:r>
        <w:rPr>
          <w:lang w:eastAsia="en-GB"/>
        </w:rPr>
        <w:t>15</w:t>
      </w:r>
      <w:r w:rsidRPr="0045107A">
        <w:rPr>
          <w:lang w:eastAsia="en-GB"/>
        </w:rPr>
        <w:t>.</w:t>
      </w:r>
      <w:r w:rsidRPr="0045107A">
        <w:rPr>
          <w:lang w:eastAsia="en-GB"/>
        </w:rPr>
        <w:tab/>
        <w:t xml:space="preserve">D’ouvrir dans les plus brefs délais une enquête sur les crimes commis au Burundi au vu des conclusions contenues dans le présent </w:t>
      </w:r>
      <w:r w:rsidR="00E33368">
        <w:rPr>
          <w:lang w:eastAsia="en-GB"/>
        </w:rPr>
        <w:t>document</w:t>
      </w:r>
      <w:r w:rsidR="00E33368" w:rsidRPr="0045107A">
        <w:rPr>
          <w:lang w:eastAsia="en-GB"/>
        </w:rPr>
        <w:t xml:space="preserve"> </w:t>
      </w:r>
      <w:r w:rsidRPr="0045107A">
        <w:rPr>
          <w:lang w:eastAsia="en-GB"/>
        </w:rPr>
        <w:t>et d’autres informations à sa disposition.</w:t>
      </w:r>
    </w:p>
    <w:p w14:paraId="2DA6D78D" w14:textId="77777777" w:rsidR="006354E7" w:rsidRPr="0045107A" w:rsidRDefault="006354E7" w:rsidP="006354E7">
      <w:pPr>
        <w:pStyle w:val="H4G"/>
        <w:rPr>
          <w:lang w:eastAsia="en-GB"/>
        </w:rPr>
      </w:pPr>
      <w:r>
        <w:rPr>
          <w:lang w:eastAsia="en-GB"/>
        </w:rPr>
        <w:tab/>
        <w:t>5</w:t>
      </w:r>
      <w:r w:rsidRPr="0045107A">
        <w:rPr>
          <w:lang w:eastAsia="en-GB"/>
        </w:rPr>
        <w:t>.</w:t>
      </w:r>
      <w:r w:rsidRPr="0045107A">
        <w:rPr>
          <w:lang w:eastAsia="en-GB"/>
        </w:rPr>
        <w:tab/>
        <w:t>Au Conseil de sécurité des Nations Unies</w:t>
      </w:r>
    </w:p>
    <w:p w14:paraId="74A81396" w14:textId="77777777" w:rsidR="006354E7" w:rsidRPr="0045107A" w:rsidRDefault="006354E7" w:rsidP="006354E7">
      <w:pPr>
        <w:pStyle w:val="SingleTxtG"/>
        <w:rPr>
          <w:lang w:eastAsia="en-GB"/>
        </w:rPr>
      </w:pPr>
      <w:r>
        <w:rPr>
          <w:lang w:eastAsia="en-GB"/>
        </w:rPr>
        <w:t>16</w:t>
      </w:r>
      <w:r w:rsidRPr="0045107A">
        <w:rPr>
          <w:lang w:eastAsia="en-GB"/>
        </w:rPr>
        <w:t>.</w:t>
      </w:r>
      <w:r w:rsidRPr="0045107A">
        <w:rPr>
          <w:lang w:eastAsia="en-GB"/>
        </w:rPr>
        <w:tab/>
        <w:t>De prendre dûment compte des présentes conclusions de la Commission et de la persistance de violations graves des droits de l’homme dans toute discussion sur le Burundi et, dans ce contexte, veiller à la mise en œuvre effective de la résolution 2303 (2016);</w:t>
      </w:r>
    </w:p>
    <w:p w14:paraId="6F0459C0" w14:textId="77777777" w:rsidR="006354E7" w:rsidRPr="0045107A" w:rsidRDefault="006354E7" w:rsidP="006354E7">
      <w:pPr>
        <w:pStyle w:val="SingleTxtG"/>
        <w:rPr>
          <w:lang w:eastAsia="en-GB"/>
        </w:rPr>
      </w:pPr>
      <w:r>
        <w:rPr>
          <w:lang w:eastAsia="en-GB"/>
        </w:rPr>
        <w:t>17</w:t>
      </w:r>
      <w:r w:rsidRPr="0045107A">
        <w:rPr>
          <w:lang w:eastAsia="en-GB"/>
        </w:rPr>
        <w:t>.</w:t>
      </w:r>
      <w:r w:rsidRPr="0045107A">
        <w:rPr>
          <w:lang w:eastAsia="en-GB"/>
        </w:rPr>
        <w:tab/>
        <w:t>De saisir la CPI de tout crime de droit international qui serait commis au Burundi après le 27 octobre 2017;</w:t>
      </w:r>
    </w:p>
    <w:p w14:paraId="14F4091F" w14:textId="77777777" w:rsidR="006354E7" w:rsidRPr="0045107A" w:rsidRDefault="006354E7" w:rsidP="006354E7">
      <w:pPr>
        <w:pStyle w:val="SingleTxtG"/>
        <w:rPr>
          <w:lang w:eastAsia="en-GB"/>
        </w:rPr>
      </w:pPr>
      <w:r>
        <w:rPr>
          <w:lang w:eastAsia="en-GB"/>
        </w:rPr>
        <w:t>18</w:t>
      </w:r>
      <w:r w:rsidRPr="0045107A">
        <w:rPr>
          <w:lang w:eastAsia="en-GB"/>
        </w:rPr>
        <w:t>.</w:t>
      </w:r>
      <w:r w:rsidRPr="0045107A">
        <w:rPr>
          <w:lang w:eastAsia="en-GB"/>
        </w:rPr>
        <w:tab/>
        <w:t>De prendre des sanctions individuelles contre les principaux auteurs présumés de violations graves des droits de l’homme et de crimes de droit international au Burundi.</w:t>
      </w:r>
    </w:p>
    <w:p w14:paraId="710EB32A" w14:textId="77777777" w:rsidR="006354E7" w:rsidRPr="0045107A" w:rsidRDefault="006354E7" w:rsidP="006354E7">
      <w:pPr>
        <w:pStyle w:val="H4G"/>
        <w:rPr>
          <w:lang w:eastAsia="en-GB"/>
        </w:rPr>
      </w:pPr>
      <w:r>
        <w:rPr>
          <w:lang w:eastAsia="en-GB"/>
        </w:rPr>
        <w:tab/>
        <w:t>6</w:t>
      </w:r>
      <w:r w:rsidRPr="0045107A">
        <w:rPr>
          <w:lang w:eastAsia="en-GB"/>
        </w:rPr>
        <w:t>.</w:t>
      </w:r>
      <w:r w:rsidRPr="0045107A">
        <w:rPr>
          <w:lang w:eastAsia="en-GB"/>
        </w:rPr>
        <w:tab/>
        <w:t>Au Secrétaire-général des Nations Unies</w:t>
      </w:r>
    </w:p>
    <w:p w14:paraId="5BFC4858" w14:textId="77777777" w:rsidR="006354E7" w:rsidRPr="0045107A" w:rsidRDefault="006354E7" w:rsidP="006354E7">
      <w:pPr>
        <w:pStyle w:val="SingleTxtG"/>
        <w:rPr>
          <w:lang w:eastAsia="en-GB"/>
        </w:rPr>
      </w:pPr>
      <w:r>
        <w:rPr>
          <w:lang w:eastAsia="en-GB"/>
        </w:rPr>
        <w:t>19.</w:t>
      </w:r>
      <w:r w:rsidRPr="0045107A">
        <w:rPr>
          <w:lang w:eastAsia="en-GB"/>
        </w:rPr>
        <w:tab/>
        <w:t>De veiller à ce que le respect des droits de l’homme et la restauration de l’État de droit soient parmi les priorités de son Envoyé spécial sur le Burundi;</w:t>
      </w:r>
    </w:p>
    <w:p w14:paraId="78703BFF" w14:textId="77777777" w:rsidR="006354E7" w:rsidRPr="0045107A" w:rsidRDefault="006354E7" w:rsidP="006354E7">
      <w:pPr>
        <w:pStyle w:val="SingleTxtG"/>
        <w:rPr>
          <w:lang w:eastAsia="en-GB"/>
        </w:rPr>
      </w:pPr>
      <w:r>
        <w:rPr>
          <w:lang w:eastAsia="en-GB"/>
        </w:rPr>
        <w:t>20</w:t>
      </w:r>
      <w:r w:rsidRPr="0045107A">
        <w:rPr>
          <w:lang w:eastAsia="en-GB"/>
        </w:rPr>
        <w:t>.</w:t>
      </w:r>
      <w:r w:rsidRPr="0045107A">
        <w:rPr>
          <w:lang w:eastAsia="en-GB"/>
        </w:rPr>
        <w:tab/>
        <w:t>De veiller à ce qu’aucun auteur présumé de violations des droits de l’homme ou de crimes de droit international au Burundi ne soit recruté dans des missions de maintien de la paix des Nations Unies.</w:t>
      </w:r>
    </w:p>
    <w:p w14:paraId="04BA9249" w14:textId="77777777" w:rsidR="006354E7" w:rsidRPr="0045107A" w:rsidRDefault="006354E7" w:rsidP="006354E7">
      <w:pPr>
        <w:pStyle w:val="H4G"/>
        <w:rPr>
          <w:lang w:eastAsia="en-GB"/>
        </w:rPr>
      </w:pPr>
      <w:r>
        <w:rPr>
          <w:lang w:eastAsia="en-GB"/>
        </w:rPr>
        <w:tab/>
        <w:t>7</w:t>
      </w:r>
      <w:r w:rsidRPr="0045107A">
        <w:rPr>
          <w:lang w:eastAsia="en-GB"/>
        </w:rPr>
        <w:t>.</w:t>
      </w:r>
      <w:r w:rsidRPr="0045107A">
        <w:rPr>
          <w:lang w:eastAsia="en-GB"/>
        </w:rPr>
        <w:tab/>
        <w:t>Aux États membres des Nations Unies</w:t>
      </w:r>
    </w:p>
    <w:p w14:paraId="048ABCAF" w14:textId="77777777" w:rsidR="006354E7" w:rsidRPr="0045107A" w:rsidRDefault="006354E7" w:rsidP="006354E7">
      <w:pPr>
        <w:pStyle w:val="SingleTxtG"/>
        <w:rPr>
          <w:lang w:eastAsia="en-GB"/>
        </w:rPr>
      </w:pPr>
      <w:r>
        <w:rPr>
          <w:lang w:eastAsia="en-GB"/>
        </w:rPr>
        <w:t>21</w:t>
      </w:r>
      <w:r w:rsidRPr="0045107A">
        <w:rPr>
          <w:lang w:eastAsia="en-GB"/>
        </w:rPr>
        <w:t>.</w:t>
      </w:r>
      <w:r w:rsidRPr="0045107A">
        <w:rPr>
          <w:lang w:eastAsia="en-GB"/>
        </w:rPr>
        <w:tab/>
        <w:t>D’accorder prima facie le statut de réfugié aux demandeurs d’asile burundais et veiller au respect strict du principe de non-refoulement, ainsi qu’à la protection des réfugiés;</w:t>
      </w:r>
    </w:p>
    <w:p w14:paraId="597547F6" w14:textId="77777777" w:rsidR="006354E7" w:rsidRPr="0045107A" w:rsidRDefault="006354E7" w:rsidP="006354E7">
      <w:pPr>
        <w:pStyle w:val="SingleTxtG"/>
        <w:rPr>
          <w:lang w:eastAsia="en-GB"/>
        </w:rPr>
      </w:pPr>
      <w:r>
        <w:rPr>
          <w:lang w:eastAsia="en-GB"/>
        </w:rPr>
        <w:t>22</w:t>
      </w:r>
      <w:r w:rsidRPr="0045107A">
        <w:rPr>
          <w:lang w:eastAsia="en-GB"/>
        </w:rPr>
        <w:t>.</w:t>
      </w:r>
      <w:r w:rsidRPr="0045107A">
        <w:rPr>
          <w:lang w:eastAsia="en-GB"/>
        </w:rPr>
        <w:tab/>
        <w:t>De poursuivre, au titre de la compétence universelle, les auteurs présumés de crimes de droit international commis au Burundi se trouvant sur leur territoire;</w:t>
      </w:r>
    </w:p>
    <w:p w14:paraId="03567FAA" w14:textId="77777777" w:rsidR="006354E7" w:rsidRPr="0045107A" w:rsidRDefault="006354E7" w:rsidP="006354E7">
      <w:pPr>
        <w:pStyle w:val="SingleTxtG"/>
        <w:rPr>
          <w:lang w:eastAsia="en-GB"/>
        </w:rPr>
      </w:pPr>
      <w:r>
        <w:rPr>
          <w:lang w:eastAsia="en-GB"/>
        </w:rPr>
        <w:t>23</w:t>
      </w:r>
      <w:r w:rsidRPr="0045107A">
        <w:rPr>
          <w:lang w:eastAsia="en-GB"/>
        </w:rPr>
        <w:t>.</w:t>
      </w:r>
      <w:r w:rsidRPr="0045107A">
        <w:rPr>
          <w:lang w:eastAsia="en-GB"/>
        </w:rPr>
        <w:tab/>
        <w:t>De maintenir, en l’absence de toute amélioration de la situation des droits de l’homme dans le pays, les sanctions individuelles et la suspension de l’aide directe au Gouvernement burundais;</w:t>
      </w:r>
    </w:p>
    <w:p w14:paraId="286C4153" w14:textId="77777777" w:rsidR="006354E7" w:rsidRPr="0045107A" w:rsidRDefault="006354E7" w:rsidP="006354E7">
      <w:pPr>
        <w:pStyle w:val="SingleTxtG"/>
        <w:rPr>
          <w:lang w:eastAsia="en-GB"/>
        </w:rPr>
      </w:pPr>
      <w:r>
        <w:rPr>
          <w:lang w:eastAsia="en-GB"/>
        </w:rPr>
        <w:t>24</w:t>
      </w:r>
      <w:r w:rsidRPr="0045107A">
        <w:rPr>
          <w:lang w:eastAsia="en-GB"/>
        </w:rPr>
        <w:t>.</w:t>
      </w:r>
      <w:r w:rsidRPr="0045107A">
        <w:rPr>
          <w:lang w:eastAsia="en-GB"/>
        </w:rPr>
        <w:tab/>
        <w:t>De fournir une assistance technique aux autorités burundaises, dans la mesure où ces dernières font preuve d’une véritable volonté politique, afin de mener des enquêtes crédibles et indépendantes, notamment en matière d’autopsie, d’exhumation et d’identification des corps;</w:t>
      </w:r>
    </w:p>
    <w:p w14:paraId="5C12D934" w14:textId="77777777" w:rsidR="006354E7" w:rsidRPr="0045107A" w:rsidRDefault="006354E7" w:rsidP="006354E7">
      <w:pPr>
        <w:pStyle w:val="SingleTxtG"/>
        <w:rPr>
          <w:lang w:eastAsia="en-GB"/>
        </w:rPr>
      </w:pPr>
      <w:r>
        <w:rPr>
          <w:lang w:eastAsia="en-GB"/>
        </w:rPr>
        <w:t>25</w:t>
      </w:r>
      <w:r w:rsidRPr="0045107A">
        <w:rPr>
          <w:lang w:eastAsia="en-GB"/>
        </w:rPr>
        <w:t>.</w:t>
      </w:r>
      <w:r w:rsidRPr="0045107A">
        <w:rPr>
          <w:lang w:eastAsia="en-GB"/>
        </w:rPr>
        <w:tab/>
        <w:t>De soutenir la mise en place de services médicaux et psychosociaux spécialisés, notamment pour les victimes de torture et de violences sexuelles;</w:t>
      </w:r>
    </w:p>
    <w:p w14:paraId="5A2387BD" w14:textId="77777777" w:rsidR="006354E7" w:rsidRPr="0045107A" w:rsidRDefault="006354E7" w:rsidP="006354E7">
      <w:pPr>
        <w:pStyle w:val="SingleTxtG"/>
        <w:rPr>
          <w:lang w:eastAsia="en-GB"/>
        </w:rPr>
      </w:pPr>
      <w:r>
        <w:rPr>
          <w:lang w:eastAsia="en-GB"/>
        </w:rPr>
        <w:t>26</w:t>
      </w:r>
      <w:r w:rsidRPr="0045107A">
        <w:rPr>
          <w:lang w:eastAsia="en-GB"/>
        </w:rPr>
        <w:t>.</w:t>
      </w:r>
      <w:r w:rsidRPr="0045107A">
        <w:rPr>
          <w:lang w:eastAsia="en-GB"/>
        </w:rPr>
        <w:tab/>
        <w:t>De soutenir les autorités burundaises, si celles-ci font preuve d’une véritable volonté politique, dans tout effort de réforme du système judiciaire et du secteur de sécurité qu’elles voudront engager aux fins d’améliorer la situation des droits de l’homme.</w:t>
      </w:r>
    </w:p>
    <w:p w14:paraId="201B546C" w14:textId="77777777" w:rsidR="006354E7" w:rsidRPr="0045107A" w:rsidRDefault="006354E7" w:rsidP="006354E7">
      <w:pPr>
        <w:pStyle w:val="H4G"/>
        <w:rPr>
          <w:lang w:eastAsia="en-GB"/>
        </w:rPr>
      </w:pPr>
      <w:r>
        <w:rPr>
          <w:lang w:eastAsia="en-GB"/>
        </w:rPr>
        <w:tab/>
        <w:t>8</w:t>
      </w:r>
      <w:r w:rsidRPr="0045107A">
        <w:rPr>
          <w:lang w:eastAsia="en-GB"/>
        </w:rPr>
        <w:t>.</w:t>
      </w:r>
      <w:r w:rsidRPr="0045107A">
        <w:rPr>
          <w:lang w:eastAsia="en-GB"/>
        </w:rPr>
        <w:tab/>
        <w:t>À l’Union africain</w:t>
      </w:r>
      <w:r>
        <w:rPr>
          <w:lang w:eastAsia="en-GB"/>
        </w:rPr>
        <w:t>e</w:t>
      </w:r>
    </w:p>
    <w:p w14:paraId="53828940" w14:textId="77777777" w:rsidR="006354E7" w:rsidRPr="0045107A" w:rsidRDefault="006354E7" w:rsidP="006354E7">
      <w:pPr>
        <w:pStyle w:val="SingleTxtG"/>
        <w:rPr>
          <w:lang w:eastAsia="en-GB"/>
        </w:rPr>
      </w:pPr>
      <w:r>
        <w:rPr>
          <w:lang w:eastAsia="en-GB"/>
        </w:rPr>
        <w:t>27</w:t>
      </w:r>
      <w:r w:rsidRPr="0045107A">
        <w:rPr>
          <w:lang w:eastAsia="en-GB"/>
        </w:rPr>
        <w:t>.</w:t>
      </w:r>
      <w:r w:rsidRPr="0045107A">
        <w:rPr>
          <w:lang w:eastAsia="en-GB"/>
        </w:rPr>
        <w:tab/>
        <w:t>De reprendre l’initiative dans la recherche d’une solution durable à la crise au Burundi fondée sur le respect des droits de l’homme et le rejet de l’impunité, tels que prévus par son Acte constitutif, et s’y engager activement;</w:t>
      </w:r>
    </w:p>
    <w:p w14:paraId="51D84A2B" w14:textId="77777777" w:rsidR="006354E7" w:rsidRPr="0045107A" w:rsidRDefault="006354E7" w:rsidP="006354E7">
      <w:pPr>
        <w:pStyle w:val="SingleTxtG"/>
        <w:rPr>
          <w:lang w:eastAsia="en-GB"/>
        </w:rPr>
      </w:pPr>
      <w:r>
        <w:rPr>
          <w:lang w:eastAsia="en-GB"/>
        </w:rPr>
        <w:t>28</w:t>
      </w:r>
      <w:r w:rsidRPr="0045107A">
        <w:rPr>
          <w:lang w:eastAsia="en-GB"/>
        </w:rPr>
        <w:t>.</w:t>
      </w:r>
      <w:r w:rsidRPr="0045107A">
        <w:rPr>
          <w:lang w:eastAsia="en-GB"/>
        </w:rPr>
        <w:tab/>
        <w:t>De veiller à ce qu’aucun agent de l’État burundais accusé de violations des droits de l’homme ou de crimes de droit international ne soit recruté dans des missions de maintien de la paix de l’Union africaine;</w:t>
      </w:r>
    </w:p>
    <w:p w14:paraId="71A23F5E" w14:textId="77777777" w:rsidR="006354E7" w:rsidRPr="0045107A" w:rsidRDefault="006354E7" w:rsidP="006354E7">
      <w:pPr>
        <w:pStyle w:val="SingleTxtG"/>
        <w:rPr>
          <w:lang w:eastAsia="en-GB"/>
        </w:rPr>
      </w:pPr>
      <w:r>
        <w:rPr>
          <w:lang w:eastAsia="en-GB"/>
        </w:rPr>
        <w:t>29</w:t>
      </w:r>
      <w:r w:rsidRPr="0045107A">
        <w:rPr>
          <w:lang w:eastAsia="en-GB"/>
        </w:rPr>
        <w:t>.</w:t>
      </w:r>
      <w:r w:rsidRPr="0045107A">
        <w:rPr>
          <w:lang w:eastAsia="en-GB"/>
        </w:rPr>
        <w:tab/>
        <w:t>De s’assurer que l’équipe complète de ses observateurs des droits de l’homme et experts militaires soit rapidement déployée au Burundi;</w:t>
      </w:r>
    </w:p>
    <w:p w14:paraId="7865DAA1" w14:textId="77777777" w:rsidR="006354E7" w:rsidRPr="0045107A" w:rsidRDefault="006354E7" w:rsidP="006354E7">
      <w:pPr>
        <w:pStyle w:val="SingleTxtG"/>
        <w:rPr>
          <w:lang w:eastAsia="en-GB"/>
        </w:rPr>
      </w:pPr>
      <w:r>
        <w:rPr>
          <w:lang w:eastAsia="en-GB"/>
        </w:rPr>
        <w:t>30</w:t>
      </w:r>
      <w:r w:rsidRPr="0045107A">
        <w:rPr>
          <w:lang w:eastAsia="en-GB"/>
        </w:rPr>
        <w:t>.</w:t>
      </w:r>
      <w:r w:rsidRPr="0045107A">
        <w:rPr>
          <w:lang w:eastAsia="en-GB"/>
        </w:rPr>
        <w:tab/>
        <w:t>D’envisager, en cas de persistance de la situation actuelle au Burundi, l’application de l’article 4 (h) de son Acte constitutif, autorisant l’Union africaine à intervenir dans un État membre dans certaines circonstances, notamment en cas de crimes contre l’humanité.</w:t>
      </w:r>
    </w:p>
    <w:p w14:paraId="76813876" w14:textId="77777777" w:rsidR="006354E7" w:rsidRPr="0045107A" w:rsidRDefault="006354E7" w:rsidP="006354E7">
      <w:pPr>
        <w:pStyle w:val="H4G"/>
        <w:rPr>
          <w:lang w:eastAsia="en-GB"/>
        </w:rPr>
      </w:pPr>
      <w:r>
        <w:rPr>
          <w:lang w:eastAsia="en-GB"/>
        </w:rPr>
        <w:tab/>
        <w:t>9</w:t>
      </w:r>
      <w:r w:rsidRPr="0045107A">
        <w:rPr>
          <w:lang w:eastAsia="en-GB"/>
        </w:rPr>
        <w:t>.</w:t>
      </w:r>
      <w:r w:rsidRPr="0045107A">
        <w:rPr>
          <w:lang w:eastAsia="en-GB"/>
        </w:rPr>
        <w:tab/>
        <w:t>À la Communauté des États d’Afrique de l’Est</w:t>
      </w:r>
    </w:p>
    <w:p w14:paraId="56600F50" w14:textId="77777777" w:rsidR="006354E7" w:rsidRPr="0045107A" w:rsidRDefault="006354E7" w:rsidP="006354E7">
      <w:pPr>
        <w:pStyle w:val="SingleTxtG"/>
        <w:rPr>
          <w:lang w:eastAsia="en-GB"/>
        </w:rPr>
      </w:pPr>
      <w:r>
        <w:rPr>
          <w:lang w:eastAsia="en-GB"/>
        </w:rPr>
        <w:t>31</w:t>
      </w:r>
      <w:r w:rsidRPr="0045107A">
        <w:rPr>
          <w:lang w:eastAsia="en-GB"/>
        </w:rPr>
        <w:t>.</w:t>
      </w:r>
      <w:r w:rsidRPr="0045107A">
        <w:rPr>
          <w:lang w:eastAsia="en-GB"/>
        </w:rPr>
        <w:tab/>
        <w:t>De s’assurer que l’amélioration rapide de la situation des droits de l’homme soit une priorité dans ses efforts de médiation.</w:t>
      </w:r>
    </w:p>
    <w:p w14:paraId="3E38410F" w14:textId="77777777" w:rsidR="006354E7" w:rsidRPr="0045107A" w:rsidRDefault="006354E7" w:rsidP="006354E7">
      <w:pPr>
        <w:pStyle w:val="H4G"/>
        <w:rPr>
          <w:lang w:eastAsia="en-GB"/>
        </w:rPr>
      </w:pPr>
      <w:r w:rsidRPr="0045107A">
        <w:rPr>
          <w:lang w:eastAsia="en-GB"/>
        </w:rPr>
        <w:tab/>
        <w:t>10.</w:t>
      </w:r>
      <w:r w:rsidRPr="0045107A">
        <w:rPr>
          <w:lang w:eastAsia="en-GB"/>
        </w:rPr>
        <w:tab/>
        <w:t>Aux garants de l’Accords d’Arusha de 2000, en leur qualité d’acteurs engagés en faveur d’une paix durable au Burundi</w:t>
      </w:r>
    </w:p>
    <w:p w14:paraId="0F24C3DB" w14:textId="77777777" w:rsidR="006354E7" w:rsidRPr="0045107A" w:rsidRDefault="006354E7" w:rsidP="006354E7">
      <w:pPr>
        <w:pStyle w:val="SingleTxtG"/>
        <w:rPr>
          <w:lang w:eastAsia="en-GB"/>
        </w:rPr>
      </w:pPr>
      <w:r>
        <w:rPr>
          <w:lang w:eastAsia="en-GB"/>
        </w:rPr>
        <w:t>32</w:t>
      </w:r>
      <w:r w:rsidRPr="0045107A">
        <w:rPr>
          <w:lang w:eastAsia="en-GB"/>
        </w:rPr>
        <w:t>.</w:t>
      </w:r>
      <w:r w:rsidRPr="0045107A">
        <w:rPr>
          <w:lang w:eastAsia="en-GB"/>
        </w:rPr>
        <w:tab/>
        <w:t>De se réunir le plus rapidement possible en vue de trouver une solution pérenne à la crise politique et des droits de l’homme au Burundi.</w:t>
      </w:r>
    </w:p>
    <w:p w14:paraId="107A4F26" w14:textId="77777777" w:rsidR="006354E7" w:rsidRPr="0045107A" w:rsidRDefault="006354E7" w:rsidP="006354E7">
      <w:pPr>
        <w:pStyle w:val="H23G"/>
        <w:rPr>
          <w:lang w:val="en-US" w:eastAsia="en-GB"/>
        </w:rPr>
      </w:pPr>
      <w:r w:rsidRPr="0045107A">
        <w:rPr>
          <w:lang w:eastAsia="en-GB"/>
        </w:rPr>
        <w:tab/>
      </w:r>
      <w:r w:rsidRPr="0045107A">
        <w:rPr>
          <w:lang w:eastAsia="en-GB"/>
        </w:rPr>
        <w:tab/>
      </w:r>
      <w:r w:rsidRPr="0045107A">
        <w:rPr>
          <w:lang w:val="en-US" w:eastAsia="en-GB"/>
        </w:rPr>
        <w:t>Version anglaise</w:t>
      </w:r>
    </w:p>
    <w:p w14:paraId="3F3B2D30" w14:textId="77777777" w:rsidR="006354E7" w:rsidRPr="0045107A" w:rsidRDefault="006354E7" w:rsidP="006354E7">
      <w:pPr>
        <w:pStyle w:val="H4G"/>
        <w:rPr>
          <w:lang w:val="en-US" w:eastAsia="en-GB"/>
        </w:rPr>
      </w:pPr>
      <w:r w:rsidRPr="0045107A">
        <w:rPr>
          <w:lang w:val="en-US" w:eastAsia="en-GB"/>
        </w:rPr>
        <w:tab/>
        <w:t>1.</w:t>
      </w:r>
      <w:r w:rsidRPr="0045107A">
        <w:rPr>
          <w:lang w:val="en-US" w:eastAsia="en-GB"/>
        </w:rPr>
        <w:tab/>
        <w:t>The Burundian authorities should:</w:t>
      </w:r>
    </w:p>
    <w:p w14:paraId="5C414FBF" w14:textId="77777777" w:rsidR="006354E7" w:rsidRPr="0045107A" w:rsidRDefault="006354E7" w:rsidP="006354E7">
      <w:pPr>
        <w:pStyle w:val="SingleTxtG"/>
        <w:rPr>
          <w:lang w:val="en-US" w:eastAsia="en-GB"/>
        </w:rPr>
      </w:pPr>
      <w:r>
        <w:rPr>
          <w:lang w:val="en-US" w:eastAsia="en-GB"/>
        </w:rPr>
        <w:t>1</w:t>
      </w:r>
      <w:r w:rsidRPr="0045107A">
        <w:rPr>
          <w:lang w:val="en-US" w:eastAsia="en-GB"/>
        </w:rPr>
        <w:t>.</w:t>
      </w:r>
      <w:r w:rsidRPr="0045107A">
        <w:rPr>
          <w:lang w:val="en-US" w:eastAsia="en-GB"/>
        </w:rPr>
        <w:tab/>
        <w:t>Put an immediate end to the gross human rights violations being committed by agents of the State and Imbonerakure over which the State exercises control;</w:t>
      </w:r>
    </w:p>
    <w:p w14:paraId="509D2CE6" w14:textId="77777777" w:rsidR="006354E7" w:rsidRPr="0045107A" w:rsidRDefault="006354E7" w:rsidP="006354E7">
      <w:pPr>
        <w:pStyle w:val="SingleTxtG"/>
        <w:rPr>
          <w:lang w:val="en-US" w:eastAsia="en-GB"/>
        </w:rPr>
      </w:pPr>
      <w:r>
        <w:rPr>
          <w:lang w:val="en-US" w:eastAsia="en-GB"/>
        </w:rPr>
        <w:t>2</w:t>
      </w:r>
      <w:r w:rsidRPr="0045107A">
        <w:rPr>
          <w:lang w:val="en-US" w:eastAsia="en-GB"/>
        </w:rPr>
        <w:t>.</w:t>
      </w:r>
      <w:r w:rsidRPr="0045107A">
        <w:rPr>
          <w:lang w:val="en-US" w:eastAsia="en-GB"/>
        </w:rPr>
        <w:tab/>
        <w:t>Investigate these violations, ensure that the alleged perpetrators are prosecuted promptly in accordance with credible, independent and fair procedures, and that the victims obtain just reparation, and, where the alleged perpetrators are agents of the State, suspend them from their duties pending the completion of the investigation and the judicial proceedings;</w:t>
      </w:r>
    </w:p>
    <w:p w14:paraId="38D05D94" w14:textId="77777777" w:rsidR="006354E7" w:rsidRPr="0045107A" w:rsidRDefault="006354E7" w:rsidP="006354E7">
      <w:pPr>
        <w:pStyle w:val="SingleTxtG"/>
        <w:rPr>
          <w:lang w:val="en-US" w:eastAsia="en-GB"/>
        </w:rPr>
      </w:pPr>
      <w:r>
        <w:rPr>
          <w:lang w:val="en-US" w:eastAsia="en-GB"/>
        </w:rPr>
        <w:t>3</w:t>
      </w:r>
      <w:r w:rsidRPr="0045107A">
        <w:rPr>
          <w:lang w:val="en-US" w:eastAsia="en-GB"/>
        </w:rPr>
        <w:t>.</w:t>
      </w:r>
      <w:r w:rsidRPr="0045107A">
        <w:rPr>
          <w:lang w:val="en-US" w:eastAsia="en-GB"/>
        </w:rPr>
        <w:tab/>
        <w:t>Take practical measures to bring about a rapid improvement of the human rights situation, in particular by:</w:t>
      </w:r>
    </w:p>
    <w:p w14:paraId="2CA2D16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Withdrawing the warrants for the arrest of heads of media outlets, civil society organizations and political parties who have neither used nor advocated violence, and permitting their safe return to Burundi;</w:t>
      </w:r>
    </w:p>
    <w:p w14:paraId="7D493A8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Lifting the suspension and reversing the revocation of the licences of media and civil society organizations, permitting them to resume their activities with complete independence and reviewing the laws adopted in 2017 concerning non-profit organizations and foreign non-governmental organizations;</w:t>
      </w:r>
    </w:p>
    <w:p w14:paraId="7D58525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Immediately releasing all political prisoners;</w:t>
      </w:r>
    </w:p>
    <w:p w14:paraId="405CD8DC"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that every person arrested is detained in an official place of detention and that national and international observers are allowed to visit them;</w:t>
      </w:r>
    </w:p>
    <w:p w14:paraId="44F83B6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Ensure that criminal investigation officers (officiers de police judiciaire) are not authorized to conduct searches without a warrant, including at night, as envisaged in the draft amendments to the Criminal Code and the Code of Criminal Procedure;</w:t>
      </w:r>
    </w:p>
    <w:p w14:paraId="020AA859"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that individuals lacking legal authorization, particularly the Imbonerakure, do not perform or participate in law enforcement activities, including in places of detention, and do not wear military or police uniforms or possess weapons;</w:t>
      </w:r>
    </w:p>
    <w:p w14:paraId="6DE902F8"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Prosecuting individuals who incite hatred or violence;</w:t>
      </w:r>
    </w:p>
    <w:p w14:paraId="1F23DD7B"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Putting an end to threats, intimidation and acts of extortion by State officials and the Imbonerakure;</w:t>
      </w:r>
    </w:p>
    <w:p w14:paraId="3DF48C21"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Giving victims of sexual violence and torture access to medical and psychosocial services.</w:t>
      </w:r>
    </w:p>
    <w:p w14:paraId="69B09CA9" w14:textId="77777777" w:rsidR="006354E7" w:rsidRPr="0045107A" w:rsidRDefault="006354E7" w:rsidP="006354E7">
      <w:pPr>
        <w:pStyle w:val="SingleTxtG"/>
        <w:rPr>
          <w:lang w:val="en-US" w:eastAsia="en-GB"/>
        </w:rPr>
      </w:pPr>
      <w:r>
        <w:rPr>
          <w:lang w:val="en-US" w:eastAsia="en-GB"/>
        </w:rPr>
        <w:t>4</w:t>
      </w:r>
      <w:r w:rsidRPr="0045107A">
        <w:rPr>
          <w:lang w:val="en-US" w:eastAsia="en-GB"/>
        </w:rPr>
        <w:t>.</w:t>
      </w:r>
      <w:r w:rsidRPr="0045107A">
        <w:rPr>
          <w:lang w:val="en-US" w:eastAsia="en-GB"/>
        </w:rPr>
        <w:tab/>
        <w:t>Undertake a thorough reform of the judiciary, in particular by:</w:t>
      </w:r>
    </w:p>
    <w:p w14:paraId="3776F4F5"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Publishing the conclusions of the General Convention on the Judiciary (États généraux de la justice) held in Gitega in 2013;</w:t>
      </w:r>
    </w:p>
    <w:p w14:paraId="69A0349E"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Reviewing the composition of the Superior Council of Magistrates (Conseil supérieur de la magistrature) so that the majority of its members are designated by their peers;</w:t>
      </w:r>
    </w:p>
    <w:p w14:paraId="420F7487"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Reviewing the nomination, posting, evaluation and promotion procedures of magistrates so that they do not depend of the executive;</w:t>
      </w:r>
    </w:p>
    <w:p w14:paraId="65F644CB"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Ensuring the respect of the principle of security of tenure for judges;</w:t>
      </w:r>
    </w:p>
    <w:p w14:paraId="33BA1336"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Protecting and guaranteeing the independence of the judiciary by prohibiting all interference in their functions by governmental authorities, members of the ruling party or security and defence forces, and imposing sanctions on those who influence, or seek to influence, the functioning of the judiciary;</w:t>
      </w:r>
    </w:p>
    <w:p w14:paraId="047FD4F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Developing legal aid programmes for the most vulnerable;</w:t>
      </w:r>
    </w:p>
    <w:p w14:paraId="3718B841"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Reinforcing the protection mechanisms for victims and witnesses, as well as their efficiency, in order to restore people’s confidence in the system and to encourage witnesses to testify without fear for their security.</w:t>
      </w:r>
    </w:p>
    <w:p w14:paraId="4A6170E0" w14:textId="77777777" w:rsidR="006354E7" w:rsidRPr="0045107A" w:rsidRDefault="006354E7" w:rsidP="006354E7">
      <w:pPr>
        <w:pStyle w:val="SingleTxtG"/>
        <w:rPr>
          <w:lang w:val="en-US" w:eastAsia="en-GB"/>
        </w:rPr>
      </w:pPr>
      <w:r>
        <w:rPr>
          <w:lang w:val="en-US" w:eastAsia="en-GB"/>
        </w:rPr>
        <w:t>5</w:t>
      </w:r>
      <w:r w:rsidRPr="0045107A">
        <w:rPr>
          <w:lang w:val="en-US" w:eastAsia="en-GB"/>
        </w:rPr>
        <w:t>.</w:t>
      </w:r>
      <w:r w:rsidRPr="0045107A">
        <w:rPr>
          <w:lang w:val="en-US" w:eastAsia="en-GB"/>
        </w:rPr>
        <w:tab/>
        <w:t>Ensure that members of the defence and security forces respect human rights in all circumstances and serve the interests of the population as a whole, not solely those of the ruling party, in particular by:</w:t>
      </w:r>
    </w:p>
    <w:p w14:paraId="1734245C"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Reinforcing civilian control over the military and the independence of the competent organs created by the Constitution to supervise this control, in particular the Parliament, the National Human Rights Commission and the Ombudsman;</w:t>
      </w:r>
    </w:p>
    <w:p w14:paraId="46638EE0"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Implementing civilian control over the National Intelligence Service (Service national de renseignement) in line with the Constitution;</w:t>
      </w:r>
    </w:p>
    <w:p w14:paraId="746CFCB7" w14:textId="77777777" w:rsidR="006354E7" w:rsidRPr="0045107A" w:rsidRDefault="006354E7" w:rsidP="006354E7">
      <w:pPr>
        <w:pStyle w:val="Bullet1G"/>
        <w:numPr>
          <w:ilvl w:val="0"/>
          <w:numId w:val="0"/>
        </w:numPr>
        <w:tabs>
          <w:tab w:val="left" w:pos="1701"/>
        </w:tabs>
        <w:ind w:left="1701" w:hanging="170"/>
        <w:rPr>
          <w:lang w:val="en-US" w:eastAsia="en-GB"/>
        </w:rPr>
      </w:pPr>
      <w:r w:rsidRPr="0045107A">
        <w:rPr>
          <w:lang w:val="en-US" w:eastAsia="en-GB"/>
        </w:rPr>
        <w:t>•</w:t>
      </w:r>
      <w:r w:rsidRPr="0045107A">
        <w:rPr>
          <w:lang w:val="en-US" w:eastAsia="en-GB"/>
        </w:rPr>
        <w:tab/>
        <w:t>Conducting background checks, in particular on human rights, on defense and security forces and incorporating these measures into reforms of the recruitment and career progression of these agents.</w:t>
      </w:r>
    </w:p>
    <w:p w14:paraId="1427F46A" w14:textId="77777777" w:rsidR="006354E7" w:rsidRPr="0045107A" w:rsidRDefault="006354E7" w:rsidP="006354E7">
      <w:pPr>
        <w:pStyle w:val="SingleTxtG"/>
        <w:rPr>
          <w:lang w:val="en-US" w:eastAsia="en-GB"/>
        </w:rPr>
      </w:pPr>
      <w:r>
        <w:rPr>
          <w:lang w:val="en-US" w:eastAsia="en-GB"/>
        </w:rPr>
        <w:t>6</w:t>
      </w:r>
      <w:r w:rsidRPr="0045107A">
        <w:rPr>
          <w:lang w:val="en-US" w:eastAsia="en-GB"/>
        </w:rPr>
        <w:t>.</w:t>
      </w:r>
      <w:r w:rsidRPr="0045107A">
        <w:rPr>
          <w:lang w:val="en-US" w:eastAsia="en-GB"/>
        </w:rPr>
        <w:tab/>
        <w:t>Reconsider their decision to withdraw from the Rome Statute, cooperate fully with the International Criminal Court in the ongoing preliminary examination and, if an investigation is initiated, continue that cooperation, inter alia by ensuring the protection of victims and witnesses;</w:t>
      </w:r>
    </w:p>
    <w:p w14:paraId="5BD84AC4" w14:textId="77777777" w:rsidR="006354E7" w:rsidRPr="0045107A" w:rsidRDefault="006354E7" w:rsidP="006354E7">
      <w:pPr>
        <w:pStyle w:val="SingleTxtG"/>
        <w:rPr>
          <w:lang w:val="en-US" w:eastAsia="en-GB"/>
        </w:rPr>
      </w:pPr>
      <w:r>
        <w:rPr>
          <w:lang w:val="en-US" w:eastAsia="en-GB"/>
        </w:rPr>
        <w:t>7</w:t>
      </w:r>
      <w:r w:rsidRPr="0045107A">
        <w:rPr>
          <w:lang w:val="en-US" w:eastAsia="en-GB"/>
        </w:rPr>
        <w:t>.</w:t>
      </w:r>
      <w:r w:rsidRPr="0045107A">
        <w:rPr>
          <w:lang w:val="en-US" w:eastAsia="en-GB"/>
        </w:rPr>
        <w:tab/>
        <w:t>Authorize the Office of the United Nations High Commissioner for Human Rights to resume its documentation of human rights violations in Burundi, which has been suspended since October 2016;</w:t>
      </w:r>
    </w:p>
    <w:p w14:paraId="13B92D41" w14:textId="77777777" w:rsidR="006354E7" w:rsidRPr="0045107A" w:rsidRDefault="006354E7" w:rsidP="006354E7">
      <w:pPr>
        <w:pStyle w:val="SingleTxtG"/>
        <w:rPr>
          <w:lang w:val="en-US" w:eastAsia="en-GB"/>
        </w:rPr>
      </w:pPr>
      <w:r>
        <w:rPr>
          <w:lang w:val="en-US" w:eastAsia="en-GB"/>
        </w:rPr>
        <w:t>8</w:t>
      </w:r>
      <w:r w:rsidRPr="0045107A">
        <w:rPr>
          <w:lang w:val="en-US" w:eastAsia="en-GB"/>
        </w:rPr>
        <w:t>.</w:t>
      </w:r>
      <w:r w:rsidRPr="0045107A">
        <w:rPr>
          <w:lang w:val="en-US" w:eastAsia="en-GB"/>
        </w:rPr>
        <w:tab/>
        <w:t>Sign and implement the memorandum of understanding with the African Union and permit the full deployment of 100 human rights observers and 100 military experts that was decided upon in 2016;</w:t>
      </w:r>
    </w:p>
    <w:p w14:paraId="4209C73E" w14:textId="77777777" w:rsidR="006354E7" w:rsidRPr="0045107A" w:rsidRDefault="006354E7" w:rsidP="006354E7">
      <w:pPr>
        <w:pStyle w:val="SingleTxtG"/>
        <w:rPr>
          <w:lang w:val="en-US" w:eastAsia="en-GB"/>
        </w:rPr>
      </w:pPr>
      <w:r>
        <w:rPr>
          <w:lang w:val="en-US" w:eastAsia="en-GB"/>
        </w:rPr>
        <w:t>9</w:t>
      </w:r>
      <w:r w:rsidRPr="0045107A">
        <w:rPr>
          <w:lang w:val="en-US" w:eastAsia="en-GB"/>
        </w:rPr>
        <w:t>.</w:t>
      </w:r>
      <w:r w:rsidRPr="0045107A">
        <w:rPr>
          <w:lang w:val="en-US" w:eastAsia="en-GB"/>
        </w:rPr>
        <w:tab/>
        <w:t>Cooperate with United Nations human rights mechanisms by once again receiving special procedures missions and implementing the recent recommendations of treaty bodies;</w:t>
      </w:r>
    </w:p>
    <w:p w14:paraId="0C2D6AF2" w14:textId="77777777" w:rsidR="006354E7" w:rsidRPr="0045107A" w:rsidRDefault="006354E7" w:rsidP="006354E7">
      <w:pPr>
        <w:pStyle w:val="SingleTxtG"/>
        <w:rPr>
          <w:lang w:val="en-US" w:eastAsia="en-GB"/>
        </w:rPr>
      </w:pPr>
      <w:r>
        <w:rPr>
          <w:lang w:val="en-US" w:eastAsia="en-GB"/>
        </w:rPr>
        <w:t>10</w:t>
      </w:r>
      <w:r w:rsidRPr="0045107A">
        <w:rPr>
          <w:lang w:val="en-US" w:eastAsia="en-GB"/>
        </w:rPr>
        <w:t>.</w:t>
      </w:r>
      <w:r w:rsidRPr="0045107A">
        <w:rPr>
          <w:lang w:val="en-US" w:eastAsia="en-GB"/>
        </w:rPr>
        <w:tab/>
        <w:t>Actively seek a lasting solution to the political crisis, inter alia through international initiatives to promote dialogue.</w:t>
      </w:r>
    </w:p>
    <w:p w14:paraId="456C7C16" w14:textId="77777777" w:rsidR="006354E7" w:rsidRPr="0045107A" w:rsidRDefault="006354E7" w:rsidP="006354E7">
      <w:pPr>
        <w:pStyle w:val="H4G"/>
        <w:rPr>
          <w:lang w:val="en-US" w:eastAsia="en-GB"/>
        </w:rPr>
      </w:pPr>
      <w:r w:rsidRPr="0045107A">
        <w:rPr>
          <w:lang w:val="en-US" w:eastAsia="en-GB"/>
        </w:rPr>
        <w:tab/>
        <w:t>2.</w:t>
      </w:r>
      <w:r w:rsidRPr="0045107A">
        <w:rPr>
          <w:lang w:val="en-US" w:eastAsia="en-GB"/>
        </w:rPr>
        <w:tab/>
        <w:t>Political parties and armed opposition groups should:</w:t>
      </w:r>
    </w:p>
    <w:p w14:paraId="6DE13E57" w14:textId="77777777" w:rsidR="006354E7" w:rsidRPr="0045107A" w:rsidRDefault="006354E7" w:rsidP="006354E7">
      <w:pPr>
        <w:pStyle w:val="SingleTxtG"/>
        <w:rPr>
          <w:lang w:val="en-US" w:eastAsia="en-GB"/>
        </w:rPr>
      </w:pPr>
      <w:r>
        <w:rPr>
          <w:lang w:val="en-US" w:eastAsia="en-GB"/>
        </w:rPr>
        <w:t>11</w:t>
      </w:r>
      <w:r w:rsidRPr="0045107A">
        <w:rPr>
          <w:lang w:val="en-US" w:eastAsia="en-GB"/>
        </w:rPr>
        <w:t>.</w:t>
      </w:r>
      <w:r w:rsidRPr="0045107A">
        <w:rPr>
          <w:lang w:val="en-US" w:eastAsia="en-GB"/>
        </w:rPr>
        <w:tab/>
        <w:t>Put an immediate end to human rights abuses and acts of violence committed by their members;</w:t>
      </w:r>
    </w:p>
    <w:p w14:paraId="75219473" w14:textId="77777777" w:rsidR="006354E7" w:rsidRPr="0045107A" w:rsidRDefault="006354E7" w:rsidP="006354E7">
      <w:pPr>
        <w:pStyle w:val="SingleTxtG"/>
        <w:rPr>
          <w:lang w:val="en-US" w:eastAsia="en-GB"/>
        </w:rPr>
      </w:pPr>
      <w:r>
        <w:rPr>
          <w:lang w:val="en-US" w:eastAsia="en-GB"/>
        </w:rPr>
        <w:t>12</w:t>
      </w:r>
      <w:r w:rsidRPr="0045107A">
        <w:rPr>
          <w:lang w:val="en-US" w:eastAsia="en-GB"/>
        </w:rPr>
        <w:t>.</w:t>
      </w:r>
      <w:r w:rsidRPr="0045107A">
        <w:rPr>
          <w:lang w:val="en-US" w:eastAsia="en-GB"/>
        </w:rPr>
        <w:tab/>
        <w:t>Refrain from any incitement of violence and participate in the quest for a lasting solution to the political crisis in Burundi.</w:t>
      </w:r>
    </w:p>
    <w:p w14:paraId="244901EE" w14:textId="77777777" w:rsidR="006354E7" w:rsidRPr="0045107A" w:rsidRDefault="006354E7" w:rsidP="006354E7">
      <w:pPr>
        <w:pStyle w:val="H4G"/>
        <w:rPr>
          <w:lang w:val="en-US" w:eastAsia="en-GB"/>
        </w:rPr>
      </w:pPr>
      <w:r w:rsidRPr="0045107A">
        <w:rPr>
          <w:lang w:val="en-US" w:eastAsia="en-GB"/>
        </w:rPr>
        <w:tab/>
        <w:t>3</w:t>
      </w:r>
      <w:r>
        <w:rPr>
          <w:lang w:val="en-US" w:eastAsia="en-GB"/>
        </w:rPr>
        <w:t>.</w:t>
      </w:r>
      <w:r w:rsidRPr="0045107A">
        <w:rPr>
          <w:lang w:val="en-US" w:eastAsia="en-GB"/>
        </w:rPr>
        <w:tab/>
        <w:t>The Human Rights Council should:</w:t>
      </w:r>
    </w:p>
    <w:p w14:paraId="1FDBCE92" w14:textId="77777777" w:rsidR="006354E7" w:rsidRPr="0045107A" w:rsidRDefault="006354E7" w:rsidP="006354E7">
      <w:pPr>
        <w:pStyle w:val="SingleTxtG"/>
        <w:rPr>
          <w:lang w:val="en-US" w:eastAsia="en-GB"/>
        </w:rPr>
      </w:pPr>
      <w:r>
        <w:rPr>
          <w:lang w:val="en-US" w:eastAsia="en-GB"/>
        </w:rPr>
        <w:t>13</w:t>
      </w:r>
      <w:r w:rsidRPr="0045107A">
        <w:rPr>
          <w:lang w:val="en-US" w:eastAsia="en-GB"/>
        </w:rPr>
        <w:t>.</w:t>
      </w:r>
      <w:r w:rsidRPr="0045107A">
        <w:rPr>
          <w:lang w:val="en-US" w:eastAsia="en-GB"/>
        </w:rPr>
        <w:tab/>
        <w:t>Extend the Commission’s mandate for a period of one year to enable it to conduct further and more thorough investigations in view of the persistence of gross human rights violations and abuses and the absence of other specific mechanisms capable of undertaking independent and thorough investigations into the human rights situation in Burundi;</w:t>
      </w:r>
    </w:p>
    <w:p w14:paraId="4E9078FA" w14:textId="77777777" w:rsidR="006354E7" w:rsidRPr="0045107A" w:rsidRDefault="006354E7" w:rsidP="006354E7">
      <w:pPr>
        <w:pStyle w:val="SingleTxtG"/>
        <w:rPr>
          <w:lang w:val="en-US" w:eastAsia="en-GB"/>
        </w:rPr>
      </w:pPr>
      <w:r>
        <w:rPr>
          <w:lang w:val="en-US" w:eastAsia="en-GB"/>
        </w:rPr>
        <w:t>14</w:t>
      </w:r>
      <w:r w:rsidRPr="0045107A">
        <w:rPr>
          <w:lang w:val="en-US" w:eastAsia="en-GB"/>
        </w:rPr>
        <w:t>.</w:t>
      </w:r>
      <w:r w:rsidRPr="0045107A">
        <w:rPr>
          <w:lang w:val="en-US" w:eastAsia="en-GB"/>
        </w:rPr>
        <w:tab/>
        <w:t>Request the Office of the United Nations High Commissioner for Human Rights to report, at the forthcoming sessions of the Council, on the development of its cooperation with the Burundian Government.</w:t>
      </w:r>
    </w:p>
    <w:p w14:paraId="177DE2AB" w14:textId="77777777" w:rsidR="006354E7" w:rsidRPr="0045107A" w:rsidRDefault="006354E7" w:rsidP="006354E7">
      <w:pPr>
        <w:pStyle w:val="H4G"/>
        <w:rPr>
          <w:lang w:val="en-US" w:eastAsia="en-GB"/>
        </w:rPr>
      </w:pPr>
      <w:r w:rsidRPr="0045107A">
        <w:rPr>
          <w:lang w:val="en-US" w:eastAsia="en-GB"/>
        </w:rPr>
        <w:tab/>
        <w:t>4.</w:t>
      </w:r>
      <w:r w:rsidRPr="0045107A">
        <w:rPr>
          <w:lang w:val="en-US" w:eastAsia="en-GB"/>
        </w:rPr>
        <w:tab/>
        <w:t>The International Criminal Court should:</w:t>
      </w:r>
    </w:p>
    <w:p w14:paraId="536D7769" w14:textId="77777777" w:rsidR="006354E7" w:rsidRPr="0045107A" w:rsidRDefault="006354E7" w:rsidP="006354E7">
      <w:pPr>
        <w:pStyle w:val="SingleTxtG"/>
        <w:rPr>
          <w:lang w:val="en-US" w:eastAsia="en-GB"/>
        </w:rPr>
      </w:pPr>
      <w:r>
        <w:rPr>
          <w:lang w:val="en-US" w:eastAsia="en-GB"/>
        </w:rPr>
        <w:t>15</w:t>
      </w:r>
      <w:r w:rsidRPr="0045107A">
        <w:rPr>
          <w:lang w:val="en-US" w:eastAsia="en-GB"/>
        </w:rPr>
        <w:t>.</w:t>
      </w:r>
      <w:r w:rsidRPr="0045107A">
        <w:rPr>
          <w:lang w:val="en-US" w:eastAsia="en-GB"/>
        </w:rPr>
        <w:tab/>
        <w:t>Initiate, as soon as possible, an investigation into the crimes committed in Burundi in light of the conclusions contained in the present report and other information at its disposal.</w:t>
      </w:r>
    </w:p>
    <w:p w14:paraId="298AE750" w14:textId="77777777" w:rsidR="006354E7" w:rsidRPr="0045107A" w:rsidRDefault="006354E7" w:rsidP="006354E7">
      <w:pPr>
        <w:pStyle w:val="H4G"/>
        <w:rPr>
          <w:lang w:val="en-US" w:eastAsia="en-GB"/>
        </w:rPr>
      </w:pPr>
      <w:r w:rsidRPr="0045107A">
        <w:rPr>
          <w:lang w:val="en-US" w:eastAsia="en-GB"/>
        </w:rPr>
        <w:tab/>
        <w:t>5.</w:t>
      </w:r>
      <w:r w:rsidRPr="0045107A">
        <w:rPr>
          <w:lang w:val="en-US" w:eastAsia="en-GB"/>
        </w:rPr>
        <w:tab/>
        <w:t>The United Nations Security Council should:</w:t>
      </w:r>
    </w:p>
    <w:p w14:paraId="50D8BEAE" w14:textId="77777777" w:rsidR="006354E7" w:rsidRPr="0045107A" w:rsidRDefault="006354E7" w:rsidP="006354E7">
      <w:pPr>
        <w:pStyle w:val="SingleTxtG"/>
        <w:rPr>
          <w:lang w:val="en-US" w:eastAsia="en-GB"/>
        </w:rPr>
      </w:pPr>
      <w:r>
        <w:rPr>
          <w:lang w:val="en-US" w:eastAsia="en-GB"/>
        </w:rPr>
        <w:t>16</w:t>
      </w:r>
      <w:r w:rsidRPr="0045107A">
        <w:rPr>
          <w:lang w:val="en-US" w:eastAsia="en-GB"/>
        </w:rPr>
        <w:t>.</w:t>
      </w:r>
      <w:r w:rsidRPr="0045107A">
        <w:rPr>
          <w:lang w:val="en-US" w:eastAsia="en-GB"/>
        </w:rPr>
        <w:tab/>
        <w:t>Take due account of the Commission’s conclusions, as well as persistence of gross violations of human rights, in any discussion on Burundi and, in this context, ensure the effective implementation of resolution 2303 (2016);</w:t>
      </w:r>
    </w:p>
    <w:p w14:paraId="2617F227" w14:textId="77777777" w:rsidR="006354E7" w:rsidRPr="0045107A" w:rsidRDefault="006354E7" w:rsidP="006354E7">
      <w:pPr>
        <w:pStyle w:val="SingleTxtG"/>
        <w:rPr>
          <w:lang w:val="en-US" w:eastAsia="en-GB"/>
        </w:rPr>
      </w:pPr>
      <w:r>
        <w:rPr>
          <w:lang w:val="en-US" w:eastAsia="en-GB"/>
        </w:rPr>
        <w:t>17</w:t>
      </w:r>
      <w:r w:rsidRPr="0045107A">
        <w:rPr>
          <w:lang w:val="en-US" w:eastAsia="en-GB"/>
        </w:rPr>
        <w:t>.</w:t>
      </w:r>
      <w:r w:rsidRPr="0045107A">
        <w:rPr>
          <w:lang w:val="en-US" w:eastAsia="en-GB"/>
        </w:rPr>
        <w:tab/>
        <w:t>Refer to the International Criminal Court any international crime that might be committed in Burundi after 27 October 2017;</w:t>
      </w:r>
    </w:p>
    <w:p w14:paraId="7FB18CF1" w14:textId="77777777" w:rsidR="006354E7" w:rsidRPr="0045107A" w:rsidRDefault="006354E7" w:rsidP="006354E7">
      <w:pPr>
        <w:pStyle w:val="SingleTxtG"/>
        <w:rPr>
          <w:lang w:val="en-US" w:eastAsia="en-GB"/>
        </w:rPr>
      </w:pPr>
      <w:r>
        <w:rPr>
          <w:lang w:val="en-US" w:eastAsia="en-GB"/>
        </w:rPr>
        <w:t>18</w:t>
      </w:r>
      <w:r w:rsidRPr="0045107A">
        <w:rPr>
          <w:lang w:val="en-US" w:eastAsia="en-GB"/>
        </w:rPr>
        <w:t>.</w:t>
      </w:r>
      <w:r w:rsidRPr="0045107A">
        <w:rPr>
          <w:lang w:val="en-US" w:eastAsia="en-GB"/>
        </w:rPr>
        <w:tab/>
        <w:t>Impose individual sanctions against the principal alleged perpetrators of gross human rights violations and international crimes in Burundi.</w:t>
      </w:r>
    </w:p>
    <w:p w14:paraId="59790464" w14:textId="77777777" w:rsidR="006354E7" w:rsidRPr="0045107A" w:rsidRDefault="006354E7" w:rsidP="006354E7">
      <w:pPr>
        <w:pStyle w:val="H4G"/>
        <w:rPr>
          <w:lang w:val="en-US" w:eastAsia="en-GB"/>
        </w:rPr>
      </w:pPr>
      <w:r w:rsidRPr="0045107A">
        <w:rPr>
          <w:lang w:val="en-US" w:eastAsia="en-GB"/>
        </w:rPr>
        <w:tab/>
        <w:t>6.</w:t>
      </w:r>
      <w:r w:rsidRPr="0045107A">
        <w:rPr>
          <w:lang w:val="en-US" w:eastAsia="en-GB"/>
        </w:rPr>
        <w:tab/>
        <w:t>The Secretary-General of the United Nations should:</w:t>
      </w:r>
    </w:p>
    <w:p w14:paraId="12AA6080" w14:textId="77777777" w:rsidR="006354E7" w:rsidRPr="0045107A" w:rsidRDefault="006354E7" w:rsidP="006354E7">
      <w:pPr>
        <w:pStyle w:val="SingleTxtG"/>
        <w:rPr>
          <w:lang w:val="en-US" w:eastAsia="en-GB"/>
        </w:rPr>
      </w:pPr>
      <w:r>
        <w:rPr>
          <w:lang w:val="en-US" w:eastAsia="en-GB"/>
        </w:rPr>
        <w:t>19</w:t>
      </w:r>
      <w:r w:rsidRPr="0045107A">
        <w:rPr>
          <w:lang w:val="en-US" w:eastAsia="en-GB"/>
        </w:rPr>
        <w:t>.</w:t>
      </w:r>
      <w:r w:rsidRPr="0045107A">
        <w:rPr>
          <w:lang w:val="en-US" w:eastAsia="en-GB"/>
        </w:rPr>
        <w:tab/>
        <w:t>Ensure that respect for human rights and restoration of the rule of law are among the priorities of his Special Envoy for Burundi;</w:t>
      </w:r>
    </w:p>
    <w:p w14:paraId="2D44BEC1" w14:textId="77777777" w:rsidR="006354E7" w:rsidRPr="0045107A" w:rsidRDefault="006354E7" w:rsidP="006354E7">
      <w:pPr>
        <w:pStyle w:val="SingleTxtG"/>
        <w:rPr>
          <w:lang w:val="en-US" w:eastAsia="en-GB"/>
        </w:rPr>
      </w:pPr>
      <w:r>
        <w:rPr>
          <w:lang w:val="en-US" w:eastAsia="en-GB"/>
        </w:rPr>
        <w:t>20</w:t>
      </w:r>
      <w:r w:rsidRPr="0045107A">
        <w:rPr>
          <w:lang w:val="en-US" w:eastAsia="en-GB"/>
        </w:rPr>
        <w:t>.</w:t>
      </w:r>
      <w:r w:rsidRPr="0045107A">
        <w:rPr>
          <w:lang w:val="en-US" w:eastAsia="en-GB"/>
        </w:rPr>
        <w:tab/>
        <w:t>Ensure that no alleged perpetrator of human rights violations or international crimes in Burundi is recruited for United Nations peacekeeping missions.</w:t>
      </w:r>
    </w:p>
    <w:p w14:paraId="4156CB0E" w14:textId="77777777" w:rsidR="006354E7" w:rsidRPr="0045107A" w:rsidRDefault="006354E7" w:rsidP="006354E7">
      <w:pPr>
        <w:pStyle w:val="H4G"/>
        <w:rPr>
          <w:lang w:val="en-US" w:eastAsia="en-GB"/>
        </w:rPr>
      </w:pPr>
      <w:r w:rsidRPr="0045107A">
        <w:rPr>
          <w:lang w:val="en-US" w:eastAsia="en-GB"/>
        </w:rPr>
        <w:tab/>
        <w:t>7.</w:t>
      </w:r>
      <w:r w:rsidRPr="0045107A">
        <w:rPr>
          <w:lang w:val="en-US" w:eastAsia="en-GB"/>
        </w:rPr>
        <w:tab/>
        <w:t>The States Members of the United Nations should:</w:t>
      </w:r>
    </w:p>
    <w:p w14:paraId="39B8A2DD" w14:textId="77777777" w:rsidR="006354E7" w:rsidRPr="0045107A" w:rsidRDefault="006354E7" w:rsidP="006354E7">
      <w:pPr>
        <w:pStyle w:val="SingleTxtG"/>
        <w:rPr>
          <w:lang w:val="en-US" w:eastAsia="en-GB"/>
        </w:rPr>
      </w:pPr>
      <w:r>
        <w:rPr>
          <w:lang w:val="en-US" w:eastAsia="en-GB"/>
        </w:rPr>
        <w:t>21</w:t>
      </w:r>
      <w:r w:rsidRPr="0045107A">
        <w:rPr>
          <w:lang w:val="en-US" w:eastAsia="en-GB"/>
        </w:rPr>
        <w:t>.</w:t>
      </w:r>
      <w:r w:rsidRPr="0045107A">
        <w:rPr>
          <w:lang w:val="en-US" w:eastAsia="en-GB"/>
        </w:rPr>
        <w:tab/>
        <w:t>Grant prima facie refugee status to Burundian asylum seekers and ensure strict re64ect for the principle of non-refoulement and refugee protection;</w:t>
      </w:r>
    </w:p>
    <w:p w14:paraId="7B4CDCC3" w14:textId="77777777" w:rsidR="006354E7" w:rsidRPr="0045107A" w:rsidRDefault="006354E7" w:rsidP="006354E7">
      <w:pPr>
        <w:pStyle w:val="SingleTxtG"/>
        <w:rPr>
          <w:lang w:val="en-US" w:eastAsia="en-GB"/>
        </w:rPr>
      </w:pPr>
      <w:r>
        <w:rPr>
          <w:lang w:val="en-US" w:eastAsia="en-GB"/>
        </w:rPr>
        <w:t>22</w:t>
      </w:r>
      <w:r w:rsidRPr="0045107A">
        <w:rPr>
          <w:lang w:val="en-US" w:eastAsia="en-GB"/>
        </w:rPr>
        <w:t>.</w:t>
      </w:r>
      <w:r w:rsidRPr="0045107A">
        <w:rPr>
          <w:lang w:val="en-US" w:eastAsia="en-GB"/>
        </w:rPr>
        <w:tab/>
        <w:t>Prosecute, in accordance with the principle of universal jurisdiction, alleged perpetrators of international crimes committed in Burundi who are found to be in their territory;</w:t>
      </w:r>
    </w:p>
    <w:p w14:paraId="4EBE14EF" w14:textId="77777777" w:rsidR="006354E7" w:rsidRPr="0045107A" w:rsidRDefault="006354E7" w:rsidP="006354E7">
      <w:pPr>
        <w:pStyle w:val="SingleTxtG"/>
        <w:rPr>
          <w:lang w:val="en-US" w:eastAsia="en-GB"/>
        </w:rPr>
      </w:pPr>
      <w:r>
        <w:rPr>
          <w:lang w:val="en-US" w:eastAsia="en-GB"/>
        </w:rPr>
        <w:t>23</w:t>
      </w:r>
      <w:r w:rsidRPr="0045107A">
        <w:rPr>
          <w:lang w:val="en-US" w:eastAsia="en-GB"/>
        </w:rPr>
        <w:t>.</w:t>
      </w:r>
      <w:r w:rsidRPr="0045107A">
        <w:rPr>
          <w:lang w:val="en-US" w:eastAsia="en-GB"/>
        </w:rPr>
        <w:tab/>
        <w:t>Maintain, in the absence of any improvement in the human rights situation in Burundi, the individual sanctions and the suspension of direct aid to the Government;</w:t>
      </w:r>
    </w:p>
    <w:p w14:paraId="6D35E478" w14:textId="77777777" w:rsidR="006354E7" w:rsidRPr="0045107A" w:rsidRDefault="006354E7" w:rsidP="006354E7">
      <w:pPr>
        <w:pStyle w:val="SingleTxtG"/>
        <w:rPr>
          <w:lang w:val="en-US" w:eastAsia="en-GB"/>
        </w:rPr>
      </w:pPr>
      <w:r>
        <w:rPr>
          <w:lang w:val="en-US" w:eastAsia="en-GB"/>
        </w:rPr>
        <w:t>24</w:t>
      </w:r>
      <w:r w:rsidRPr="0045107A">
        <w:rPr>
          <w:lang w:val="en-US" w:eastAsia="en-GB"/>
        </w:rPr>
        <w:t>.</w:t>
      </w:r>
      <w:r w:rsidRPr="0045107A">
        <w:rPr>
          <w:lang w:val="en-US" w:eastAsia="en-GB"/>
        </w:rPr>
        <w:tab/>
        <w:t>Provide technical assistance inter alia in respect to autopsies, exhumations and identification of bodies, to enable the Burundian to conduct credible and independent investigations;</w:t>
      </w:r>
    </w:p>
    <w:p w14:paraId="478AD305" w14:textId="77777777" w:rsidR="006354E7" w:rsidRPr="0045107A" w:rsidRDefault="006354E7" w:rsidP="006354E7">
      <w:pPr>
        <w:pStyle w:val="SingleTxtG"/>
        <w:rPr>
          <w:lang w:val="en-US" w:eastAsia="en-GB"/>
        </w:rPr>
      </w:pPr>
      <w:r>
        <w:rPr>
          <w:lang w:val="en-US" w:eastAsia="en-GB"/>
        </w:rPr>
        <w:t>25</w:t>
      </w:r>
      <w:r w:rsidRPr="0045107A">
        <w:rPr>
          <w:lang w:val="en-US" w:eastAsia="en-GB"/>
        </w:rPr>
        <w:t>.</w:t>
      </w:r>
      <w:r w:rsidRPr="0045107A">
        <w:rPr>
          <w:lang w:val="en-US" w:eastAsia="en-GB"/>
        </w:rPr>
        <w:tab/>
        <w:t>Support the establishment of specialized medical and psychosocial services, especially for victims of torture and sexual violence;</w:t>
      </w:r>
    </w:p>
    <w:p w14:paraId="33CE315F" w14:textId="77777777" w:rsidR="006354E7" w:rsidRPr="0045107A" w:rsidRDefault="006354E7" w:rsidP="006354E7">
      <w:pPr>
        <w:pStyle w:val="SingleTxtG"/>
        <w:rPr>
          <w:lang w:val="en-US" w:eastAsia="en-GB"/>
        </w:rPr>
      </w:pPr>
      <w:r>
        <w:rPr>
          <w:lang w:val="en-US" w:eastAsia="en-GB"/>
        </w:rPr>
        <w:t>26</w:t>
      </w:r>
      <w:r w:rsidRPr="0045107A">
        <w:rPr>
          <w:lang w:val="en-US" w:eastAsia="en-GB"/>
        </w:rPr>
        <w:t>.</w:t>
      </w:r>
      <w:r w:rsidRPr="0045107A">
        <w:rPr>
          <w:lang w:val="en-US" w:eastAsia="en-GB"/>
        </w:rPr>
        <w:tab/>
        <w:t>Support Burundian authorities in any judicial and security sector reform endeavors that they might wish to undertake in order to improve the human rights situation.</w:t>
      </w:r>
    </w:p>
    <w:p w14:paraId="0848D917" w14:textId="77777777" w:rsidR="006354E7" w:rsidRPr="0045107A" w:rsidRDefault="006354E7" w:rsidP="006354E7">
      <w:pPr>
        <w:pStyle w:val="H4G"/>
        <w:rPr>
          <w:lang w:val="en-US" w:eastAsia="en-GB"/>
        </w:rPr>
      </w:pPr>
      <w:r w:rsidRPr="0045107A">
        <w:rPr>
          <w:lang w:val="en-US" w:eastAsia="en-GB"/>
        </w:rPr>
        <w:tab/>
        <w:t>8.</w:t>
      </w:r>
      <w:r w:rsidRPr="0045107A">
        <w:rPr>
          <w:lang w:val="en-US" w:eastAsia="en-GB"/>
        </w:rPr>
        <w:tab/>
        <w:t>The African Union should:</w:t>
      </w:r>
    </w:p>
    <w:p w14:paraId="6DBCF715" w14:textId="77777777" w:rsidR="006354E7" w:rsidRPr="0045107A" w:rsidRDefault="006354E7" w:rsidP="006354E7">
      <w:pPr>
        <w:pStyle w:val="SingleTxtG"/>
        <w:rPr>
          <w:lang w:val="en-US" w:eastAsia="en-GB"/>
        </w:rPr>
      </w:pPr>
      <w:r>
        <w:rPr>
          <w:lang w:val="en-US" w:eastAsia="en-GB"/>
        </w:rPr>
        <w:t>27</w:t>
      </w:r>
      <w:r w:rsidRPr="0045107A">
        <w:rPr>
          <w:lang w:val="en-US" w:eastAsia="en-GB"/>
        </w:rPr>
        <w:t>.</w:t>
      </w:r>
      <w:r w:rsidRPr="0045107A">
        <w:rPr>
          <w:lang w:val="en-US" w:eastAsia="en-GB"/>
        </w:rPr>
        <w:tab/>
        <w:t>Retake the lead in seeking a lasting solution to the crisis in Burundi based on respect for human rights and rejection of impunity, as provided for in its Constitutive Act, and play an active role in that process;</w:t>
      </w:r>
    </w:p>
    <w:p w14:paraId="055FD585" w14:textId="77777777" w:rsidR="006354E7" w:rsidRPr="0045107A" w:rsidRDefault="006354E7" w:rsidP="006354E7">
      <w:pPr>
        <w:pStyle w:val="SingleTxtG"/>
        <w:rPr>
          <w:lang w:val="en-US" w:eastAsia="en-GB"/>
        </w:rPr>
      </w:pPr>
      <w:r>
        <w:rPr>
          <w:lang w:val="en-US" w:eastAsia="en-GB"/>
        </w:rPr>
        <w:t>28</w:t>
      </w:r>
      <w:r w:rsidRPr="0045107A">
        <w:rPr>
          <w:lang w:val="en-US" w:eastAsia="en-GB"/>
        </w:rPr>
        <w:t>.</w:t>
      </w:r>
      <w:r w:rsidRPr="0045107A">
        <w:rPr>
          <w:lang w:val="en-US" w:eastAsia="en-GB"/>
        </w:rPr>
        <w:tab/>
        <w:t>Ensure that no agent of the Burundian State who is accused of human rights violations or international crimes is recruited for African Union peacekeeping missions;</w:t>
      </w:r>
    </w:p>
    <w:p w14:paraId="488F1094" w14:textId="77777777" w:rsidR="006354E7" w:rsidRPr="0045107A" w:rsidRDefault="006354E7" w:rsidP="006354E7">
      <w:pPr>
        <w:pStyle w:val="SingleTxtG"/>
        <w:rPr>
          <w:lang w:val="en-US" w:eastAsia="en-GB"/>
        </w:rPr>
      </w:pPr>
      <w:r>
        <w:rPr>
          <w:lang w:val="en-US" w:eastAsia="en-GB"/>
        </w:rPr>
        <w:t>29</w:t>
      </w:r>
      <w:r w:rsidRPr="0045107A">
        <w:rPr>
          <w:lang w:val="en-US" w:eastAsia="en-GB"/>
        </w:rPr>
        <w:t>.</w:t>
      </w:r>
      <w:r w:rsidRPr="0045107A">
        <w:rPr>
          <w:lang w:val="en-US" w:eastAsia="en-GB"/>
        </w:rPr>
        <w:tab/>
        <w:t>Ensure that the full complement of African Union human rights observers and military experts is deployed rapidly in Burundi;</w:t>
      </w:r>
    </w:p>
    <w:p w14:paraId="337BDFA0" w14:textId="77777777" w:rsidR="006354E7" w:rsidRPr="0045107A" w:rsidRDefault="006354E7" w:rsidP="006354E7">
      <w:pPr>
        <w:pStyle w:val="SingleTxtG"/>
        <w:rPr>
          <w:lang w:val="en-US" w:eastAsia="en-GB"/>
        </w:rPr>
      </w:pPr>
      <w:r>
        <w:rPr>
          <w:lang w:val="en-US" w:eastAsia="en-GB"/>
        </w:rPr>
        <w:t>30</w:t>
      </w:r>
      <w:r w:rsidRPr="0045107A">
        <w:rPr>
          <w:lang w:val="en-US" w:eastAsia="en-GB"/>
        </w:rPr>
        <w:t>.</w:t>
      </w:r>
      <w:r w:rsidRPr="0045107A">
        <w:rPr>
          <w:lang w:val="en-US" w:eastAsia="en-GB"/>
        </w:rPr>
        <w:tab/>
        <w:t>Consider, in the event that the current situation in Burundi persists, the application of Article 4 (h) of the Constitutive Act of the African Union, under which it is authorized to intervene in a member State in certain circumstances, particularly in the event of crimes against humanity.</w:t>
      </w:r>
    </w:p>
    <w:p w14:paraId="323EB925" w14:textId="77777777" w:rsidR="006354E7" w:rsidRPr="0045107A" w:rsidRDefault="006354E7" w:rsidP="006354E7">
      <w:pPr>
        <w:pStyle w:val="H4G"/>
        <w:rPr>
          <w:lang w:val="en-US" w:eastAsia="en-GB"/>
        </w:rPr>
      </w:pPr>
      <w:r w:rsidRPr="0045107A">
        <w:rPr>
          <w:lang w:val="en-US" w:eastAsia="en-GB"/>
        </w:rPr>
        <w:tab/>
        <w:t>9.</w:t>
      </w:r>
      <w:r w:rsidRPr="0045107A">
        <w:rPr>
          <w:lang w:val="en-US" w:eastAsia="en-GB"/>
        </w:rPr>
        <w:tab/>
        <w:t>The East African Community should:</w:t>
      </w:r>
    </w:p>
    <w:p w14:paraId="2B5186E0" w14:textId="77777777" w:rsidR="006354E7" w:rsidRPr="0045107A" w:rsidRDefault="006354E7" w:rsidP="006354E7">
      <w:pPr>
        <w:pStyle w:val="SingleTxtG"/>
        <w:rPr>
          <w:lang w:val="en-US" w:eastAsia="en-GB"/>
        </w:rPr>
      </w:pPr>
      <w:r>
        <w:rPr>
          <w:lang w:val="en-US" w:eastAsia="en-GB"/>
        </w:rPr>
        <w:t>31</w:t>
      </w:r>
      <w:r w:rsidRPr="0045107A">
        <w:rPr>
          <w:lang w:val="en-US" w:eastAsia="en-GB"/>
        </w:rPr>
        <w:t>.</w:t>
      </w:r>
      <w:r w:rsidRPr="0045107A">
        <w:rPr>
          <w:lang w:val="en-US" w:eastAsia="en-GB"/>
        </w:rPr>
        <w:tab/>
        <w:t>Ensure that a rapid improvement of the human rights situation is a priority in its mediation</w:t>
      </w:r>
      <w:r>
        <w:rPr>
          <w:lang w:val="en-US" w:eastAsia="en-GB"/>
        </w:rPr>
        <w:t xml:space="preserve"> efforts.</w:t>
      </w:r>
    </w:p>
    <w:p w14:paraId="71B00F52" w14:textId="77777777" w:rsidR="006354E7" w:rsidRPr="0045107A" w:rsidRDefault="006354E7" w:rsidP="006354E7">
      <w:pPr>
        <w:pStyle w:val="H4G"/>
        <w:rPr>
          <w:lang w:val="en-US" w:eastAsia="en-GB"/>
        </w:rPr>
      </w:pPr>
      <w:r w:rsidRPr="0045107A">
        <w:rPr>
          <w:lang w:val="en-US" w:eastAsia="en-GB"/>
        </w:rPr>
        <w:tab/>
        <w:t>10.</w:t>
      </w:r>
      <w:r w:rsidRPr="0045107A">
        <w:rPr>
          <w:lang w:val="en-US" w:eastAsia="en-GB"/>
        </w:rPr>
        <w:tab/>
        <w:t>The guarantors of the 2000 Arusha Agreement, in their capacity as committed proponents of a lasting peace in Burundi, should:</w:t>
      </w:r>
    </w:p>
    <w:p w14:paraId="0A48B5BA" w14:textId="77777777" w:rsidR="006354E7" w:rsidRDefault="006354E7" w:rsidP="006354E7">
      <w:pPr>
        <w:pStyle w:val="SingleTxtG"/>
        <w:rPr>
          <w:lang w:val="en-US" w:eastAsia="en-GB"/>
        </w:rPr>
      </w:pPr>
      <w:r>
        <w:rPr>
          <w:lang w:val="en-US" w:eastAsia="en-GB"/>
        </w:rPr>
        <w:t>32</w:t>
      </w:r>
      <w:r w:rsidRPr="0045107A">
        <w:rPr>
          <w:lang w:val="en-US" w:eastAsia="en-GB"/>
        </w:rPr>
        <w:t>.</w:t>
      </w:r>
      <w:r w:rsidRPr="0045107A">
        <w:rPr>
          <w:lang w:val="en-US" w:eastAsia="en-GB"/>
        </w:rPr>
        <w:tab/>
        <w:t>Meet with a view to finding a lasting solution to the political and human rights crisis in Burundi</w:t>
      </w:r>
      <w:r>
        <w:rPr>
          <w:lang w:val="en-US" w:eastAsia="en-GB"/>
        </w:rPr>
        <w:t>.</w:t>
      </w:r>
    </w:p>
    <w:p w14:paraId="22705AA4" w14:textId="77777777" w:rsidR="006354E7" w:rsidRDefault="006354E7" w:rsidP="006354E7">
      <w:pPr>
        <w:rPr>
          <w:lang w:val="en-US" w:eastAsia="en-GB"/>
        </w:rPr>
      </w:pPr>
      <w:r>
        <w:rPr>
          <w:lang w:val="en-US" w:eastAsia="en-GB"/>
        </w:rPr>
        <w:br w:type="page"/>
      </w:r>
    </w:p>
    <w:p w14:paraId="4B5216A6" w14:textId="77777777" w:rsidR="006354E7" w:rsidRPr="00363BCB" w:rsidRDefault="006354E7" w:rsidP="006354E7">
      <w:pPr>
        <w:pStyle w:val="HChG"/>
        <w:rPr>
          <w:lang w:eastAsia="en-GB"/>
        </w:rPr>
      </w:pPr>
      <w:r w:rsidRPr="00191564">
        <w:rPr>
          <w:lang w:val="en-GB" w:eastAsia="en-GB"/>
        </w:rPr>
        <w:tab/>
      </w:r>
      <w:r>
        <w:rPr>
          <w:lang w:eastAsia="en-GB"/>
        </w:rPr>
        <w:t>IV.</w:t>
      </w:r>
      <w:r>
        <w:rPr>
          <w:lang w:eastAsia="en-GB"/>
        </w:rPr>
        <w:tab/>
      </w:r>
      <w:r w:rsidRPr="00363BCB">
        <w:rPr>
          <w:lang w:eastAsia="en-GB"/>
        </w:rPr>
        <w:t xml:space="preserve">Indicateurs des facteurs de risque communs identifiés </w:t>
      </w:r>
      <w:r>
        <w:rPr>
          <w:lang w:eastAsia="en-GB"/>
        </w:rPr>
        <w:br/>
      </w:r>
      <w:r w:rsidRPr="00363BCB">
        <w:rPr>
          <w:lang w:eastAsia="en-GB"/>
        </w:rPr>
        <w:t xml:space="preserve">dans le Cadre d’analyse des atrocités criminelles </w:t>
      </w:r>
      <w:r>
        <w:rPr>
          <w:lang w:eastAsia="en-GB"/>
        </w:rPr>
        <w:br/>
      </w:r>
      <w:r w:rsidRPr="00363BCB">
        <w:rPr>
          <w:lang w:eastAsia="en-GB"/>
        </w:rPr>
        <w:t>(A/70/741–S/2016/71)</w:t>
      </w:r>
    </w:p>
    <w:p w14:paraId="273BCCAD" w14:textId="77777777" w:rsidR="006354E7" w:rsidRPr="00191564" w:rsidRDefault="006354E7" w:rsidP="006354E7">
      <w:pPr>
        <w:pStyle w:val="H1G"/>
        <w:rPr>
          <w:lang w:val="fr-CH" w:eastAsia="en-GB"/>
        </w:rPr>
      </w:pPr>
      <w:r w:rsidRPr="00191564">
        <w:rPr>
          <w:lang w:val="fr-CH" w:eastAsia="en-GB"/>
        </w:rPr>
        <w:tab/>
      </w:r>
      <w:r w:rsidRPr="00191564">
        <w:rPr>
          <w:lang w:val="fr-CH" w:eastAsia="en-GB"/>
        </w:rPr>
        <w:tab/>
        <w:t>Version française</w:t>
      </w:r>
    </w:p>
    <w:p w14:paraId="3C27D1AE" w14:textId="77777777" w:rsidR="006354E7" w:rsidRPr="00363BCB" w:rsidRDefault="006354E7" w:rsidP="006354E7">
      <w:pPr>
        <w:pStyle w:val="H23G"/>
        <w:rPr>
          <w:lang w:eastAsia="en-GB"/>
        </w:rPr>
      </w:pPr>
      <w:r w:rsidRPr="00363BCB">
        <w:rPr>
          <w:lang w:eastAsia="en-GB"/>
        </w:rPr>
        <w:tab/>
      </w:r>
      <w:r w:rsidRPr="00363BCB">
        <w:rPr>
          <w:lang w:eastAsia="en-GB"/>
        </w:rPr>
        <w:tab/>
        <w:t>Facteur de risque 1. Situations de conflit armé ou autres formes d’instabilité</w:t>
      </w:r>
    </w:p>
    <w:p w14:paraId="5EA3C8F7"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Conflit armé international ou non international;</w:t>
      </w:r>
    </w:p>
    <w:p w14:paraId="4C6193E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Crise sécuritaire provoquée, entre autres, par la dénonciation d’accords de paix, un conflit armé dans les pays voisins, des menaces d’interventions étrangères ou des actes de terro</w:t>
      </w:r>
      <w:r>
        <w:rPr>
          <w:lang w:eastAsia="en-GB"/>
        </w:rPr>
        <w:t>risme</w:t>
      </w:r>
      <w:r w:rsidRPr="00363BCB">
        <w:rPr>
          <w:lang w:eastAsia="en-GB"/>
        </w:rPr>
        <w:t>;</w:t>
      </w:r>
    </w:p>
    <w:p w14:paraId="56730B02"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Crise ou urgence humanitaire, pouvant être causée notamment par une catast</w:t>
      </w:r>
      <w:r>
        <w:rPr>
          <w:lang w:eastAsia="en-GB"/>
        </w:rPr>
        <w:t>rophe naturelle ou une épidémie</w:t>
      </w:r>
      <w:r w:rsidRPr="00363BCB">
        <w:rPr>
          <w:lang w:eastAsia="en-GB"/>
        </w:rPr>
        <w:t>;</w:t>
      </w:r>
    </w:p>
    <w:p w14:paraId="167A37A0"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Instabilité politique provoquée par un changement de régime ou un transfert d</w:t>
      </w:r>
      <w:r>
        <w:rPr>
          <w:lang w:eastAsia="en-GB"/>
        </w:rPr>
        <w:t>e pouvoir soudain ou irrégulier</w:t>
      </w:r>
      <w:r w:rsidRPr="00363BCB">
        <w:rPr>
          <w:lang w:eastAsia="en-GB"/>
        </w:rPr>
        <w:t>;</w:t>
      </w:r>
    </w:p>
    <w:p w14:paraId="69B4BE2E"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Instabilité politique provoquée par des luttes de pouvoir ou la montée en puissance de mouvements d’opposition n</w:t>
      </w:r>
      <w:r>
        <w:rPr>
          <w:lang w:eastAsia="en-GB"/>
        </w:rPr>
        <w:t>ationalistes, armés ou radicaux</w:t>
      </w:r>
      <w:r w:rsidRPr="00363BCB">
        <w:rPr>
          <w:lang w:eastAsia="en-GB"/>
        </w:rPr>
        <w:t>;</w:t>
      </w:r>
    </w:p>
    <w:p w14:paraId="55F0C85F"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Tension politique provoquée par des régimes autocratiques ou </w:t>
      </w:r>
      <w:r>
        <w:rPr>
          <w:lang w:eastAsia="en-GB"/>
        </w:rPr>
        <w:t>une lourde répression politique</w:t>
      </w:r>
      <w:r w:rsidRPr="00363BCB">
        <w:rPr>
          <w:lang w:eastAsia="en-GB"/>
        </w:rPr>
        <w:t>;</w:t>
      </w:r>
    </w:p>
    <w:p w14:paraId="1143C04D"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Instabilité économique provoquée par une pénurie de ressources ou des différends concernant leur u</w:t>
      </w:r>
      <w:r>
        <w:rPr>
          <w:lang w:eastAsia="en-GB"/>
        </w:rPr>
        <w:t>tilisation ou leur exploitation</w:t>
      </w:r>
      <w:r w:rsidRPr="00363BCB">
        <w:rPr>
          <w:lang w:eastAsia="en-GB"/>
        </w:rPr>
        <w:t>;</w:t>
      </w:r>
    </w:p>
    <w:p w14:paraId="6F351101"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Instabilité économique provoquée par une cris</w:t>
      </w:r>
      <w:r>
        <w:rPr>
          <w:lang w:eastAsia="en-GB"/>
        </w:rPr>
        <w:t>e grave de l’économie nationale</w:t>
      </w:r>
      <w:r w:rsidRPr="00363BCB">
        <w:rPr>
          <w:lang w:eastAsia="en-GB"/>
        </w:rPr>
        <w:t>;</w:t>
      </w:r>
    </w:p>
    <w:p w14:paraId="61DA34B2"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Instabilité économique provoquée par la misère, un chômage de masse ou de pr</w:t>
      </w:r>
      <w:r>
        <w:rPr>
          <w:lang w:eastAsia="en-GB"/>
        </w:rPr>
        <w:t>ofondes inégalités horizontales</w:t>
      </w:r>
      <w:r w:rsidRPr="00363BCB">
        <w:rPr>
          <w:lang w:eastAsia="en-GB"/>
        </w:rPr>
        <w:t>;</w:t>
      </w:r>
    </w:p>
    <w:p w14:paraId="0B2468B5"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Instabilité sociale provoquée par une résistance à l’autorité de l’État ou à ses politiques ou par des protesta</w:t>
      </w:r>
      <w:r>
        <w:rPr>
          <w:lang w:eastAsia="en-GB"/>
        </w:rPr>
        <w:t>tions de masse contre celles-ci</w:t>
      </w:r>
      <w:r w:rsidRPr="00363BCB">
        <w:rPr>
          <w:lang w:eastAsia="en-GB"/>
        </w:rPr>
        <w:t>;</w:t>
      </w:r>
    </w:p>
    <w:p w14:paraId="0ED1ABA4" w14:textId="77777777" w:rsidR="006354E7" w:rsidRPr="00363BCB" w:rsidRDefault="006354E7" w:rsidP="006354E7">
      <w:pPr>
        <w:pStyle w:val="SingleTxtG"/>
        <w:ind w:left="1854" w:hanging="360"/>
        <w:rPr>
          <w:lang w:eastAsia="en-GB"/>
        </w:rPr>
      </w:pPr>
      <w:r w:rsidRPr="00363BCB">
        <w:rPr>
          <w:lang w:eastAsia="en-GB"/>
        </w:rPr>
        <w:t>k.</w:t>
      </w:r>
      <w:r w:rsidRPr="00363BCB">
        <w:rPr>
          <w:lang w:eastAsia="en-GB"/>
        </w:rPr>
        <w:tab/>
        <w:t>Instabilité sociale provoquée par l’exclusion ou des tensions fondées sur des questions d’identité, leur perception ou leurs formes extrémistes.</w:t>
      </w:r>
    </w:p>
    <w:p w14:paraId="1CB27BC9" w14:textId="77777777" w:rsidR="006354E7" w:rsidRPr="00363BCB" w:rsidRDefault="006354E7" w:rsidP="006354E7">
      <w:pPr>
        <w:pStyle w:val="H23G"/>
        <w:rPr>
          <w:lang w:eastAsia="en-GB"/>
        </w:rPr>
      </w:pPr>
      <w:r w:rsidRPr="00363BCB">
        <w:rPr>
          <w:lang w:eastAsia="en-GB"/>
        </w:rPr>
        <w:tab/>
      </w:r>
      <w:r w:rsidRPr="00363BCB">
        <w:rPr>
          <w:lang w:eastAsia="en-GB"/>
        </w:rPr>
        <w:tab/>
        <w:t>Facteur de risque 2. Antécédents de violations graves du droit international des droits de l’homme et du droit international humanitaire</w:t>
      </w:r>
    </w:p>
    <w:p w14:paraId="06439342"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Restrictions ou violations graves, passées ou actuelles, des droits consacrés par le droit international des droits de l’homme et le droit international humanitaire, surtout si elles sont caractérisées par un comportement systématique observé préalablement et si elles visent des groupes, po</w:t>
      </w:r>
      <w:r>
        <w:rPr>
          <w:lang w:eastAsia="en-GB"/>
        </w:rPr>
        <w:t>pulations ou personnes protégés</w:t>
      </w:r>
      <w:r w:rsidRPr="00363BCB">
        <w:rPr>
          <w:lang w:eastAsia="en-GB"/>
        </w:rPr>
        <w:t>;</w:t>
      </w:r>
    </w:p>
    <w:p w14:paraId="6974F828"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Actes de génocide, crimes contre l’humanité, crimes de guerre ou incitation à les co</w:t>
      </w:r>
      <w:r>
        <w:rPr>
          <w:lang w:eastAsia="en-GB"/>
        </w:rPr>
        <w:t>mmettre, survenus dans le passé</w:t>
      </w:r>
      <w:r w:rsidRPr="00363BCB">
        <w:rPr>
          <w:lang w:eastAsia="en-GB"/>
        </w:rPr>
        <w:t>;</w:t>
      </w:r>
    </w:p>
    <w:p w14:paraId="476104AD"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 xml:space="preserve">Politique ou pratique d’impunité ou de tolérance à l’égard de violations graves du droit international des droits de l’homme et du droit international humanitaire, d’atrocités criminelles ou </w:t>
      </w:r>
      <w:r>
        <w:rPr>
          <w:lang w:eastAsia="en-GB"/>
        </w:rPr>
        <w:t>de l’incitation à les commettre</w:t>
      </w:r>
      <w:r w:rsidRPr="00363BCB">
        <w:rPr>
          <w:lang w:eastAsia="en-GB"/>
        </w:rPr>
        <w:t>;</w:t>
      </w:r>
    </w:p>
    <w:p w14:paraId="6FFD3B22"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Inaction, réticence à utiliser ou refus d’utiliser tous les moyens possibles pour faire cesser des violations graves prévues, prévisibles ou persistantes du droit international des droits de l’homme et du droit international humanitaire ou des atrocités criminelles probables</w:t>
      </w:r>
      <w:r>
        <w:rPr>
          <w:lang w:eastAsia="en-GB"/>
        </w:rPr>
        <w:t>, ou incitation à les commettre</w:t>
      </w:r>
      <w:r w:rsidRPr="00363BCB">
        <w:rPr>
          <w:lang w:eastAsia="en-GB"/>
        </w:rPr>
        <w:t>;</w:t>
      </w:r>
    </w:p>
    <w:p w14:paraId="60D282D5"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 xml:space="preserve">Maintien d’une aide à des groupes accusés de participer à des violations graves du droit international des droits de l’homme et du droit international humanitaire, notamment des atrocités criminelles, ou </w:t>
      </w:r>
      <w:r>
        <w:rPr>
          <w:lang w:eastAsia="en-GB"/>
        </w:rPr>
        <w:t>non-condamnation de leurs actes</w:t>
      </w:r>
      <w:r w:rsidRPr="00363BCB">
        <w:rPr>
          <w:lang w:eastAsia="en-GB"/>
        </w:rPr>
        <w:t>;</w:t>
      </w:r>
    </w:p>
    <w:p w14:paraId="06F20C69"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Justification de violations graves du droit international des droits de l’homme et du droit international humanitaire ou d’atrocités criminelles, rapports partiaux les concern</w:t>
      </w:r>
      <w:r>
        <w:rPr>
          <w:lang w:eastAsia="en-GB"/>
        </w:rPr>
        <w:t>ant ou refus de les reconnaître</w:t>
      </w:r>
      <w:r w:rsidRPr="00363BCB">
        <w:rPr>
          <w:lang w:eastAsia="en-GB"/>
        </w:rPr>
        <w:t>;</w:t>
      </w:r>
    </w:p>
    <w:p w14:paraId="0ED2C242"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 xml:space="preserve">Absence de processus de réconciliation ou de justice transitionnelle après un conflit, </w:t>
      </w:r>
      <w:r>
        <w:rPr>
          <w:lang w:eastAsia="en-GB"/>
        </w:rPr>
        <w:t>ou politisation de ce processus</w:t>
      </w:r>
      <w:r w:rsidRPr="00363BCB">
        <w:rPr>
          <w:lang w:eastAsia="en-GB"/>
        </w:rPr>
        <w:t>;</w:t>
      </w:r>
    </w:p>
    <w:p w14:paraId="46731499" w14:textId="77777777" w:rsidR="006354E7" w:rsidRPr="00363BCB" w:rsidRDefault="006354E7" w:rsidP="006354E7">
      <w:pPr>
        <w:pStyle w:val="SingleTxtG"/>
        <w:ind w:left="1854" w:hanging="360"/>
        <w:rPr>
          <w:lang w:eastAsia="en-GB"/>
        </w:rPr>
      </w:pPr>
      <w:r w:rsidRPr="00363BCB">
        <w:rPr>
          <w:lang w:eastAsia="en-GB"/>
        </w:rPr>
        <w:t>h.</w:t>
      </w:r>
      <w:r w:rsidRPr="00363BCB">
        <w:rPr>
          <w:lang w:eastAsia="en-GB"/>
        </w:rPr>
        <w:tab/>
        <w:t>Méfiance généralisée envers les institutions de l’État ou entre différents groupes en raison de l’impunité.</w:t>
      </w:r>
    </w:p>
    <w:p w14:paraId="47EA1B61" w14:textId="77777777" w:rsidR="006354E7" w:rsidRPr="00363BCB" w:rsidRDefault="006354E7" w:rsidP="006354E7">
      <w:pPr>
        <w:pStyle w:val="H23G"/>
        <w:rPr>
          <w:lang w:eastAsia="en-GB"/>
        </w:rPr>
      </w:pPr>
      <w:r w:rsidRPr="00363BCB">
        <w:rPr>
          <w:lang w:eastAsia="en-GB"/>
        </w:rPr>
        <w:tab/>
      </w:r>
      <w:r w:rsidRPr="00363BCB">
        <w:rPr>
          <w:lang w:eastAsia="en-GB"/>
        </w:rPr>
        <w:tab/>
        <w:t>Facteur de risque 3. Faiblesse des structures de l’État</w:t>
      </w:r>
    </w:p>
    <w:p w14:paraId="7B29445B"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 xml:space="preserve">Cadre juridique national n’offrant pas une protection suffisante et efficace, notamment par la ratification et l’incorporation dans le droit interne des instruments relatifs au droit international des droits de l’homme et au </w:t>
      </w:r>
      <w:r>
        <w:rPr>
          <w:lang w:eastAsia="en-GB"/>
        </w:rPr>
        <w:t>droit international humanitaire</w:t>
      </w:r>
      <w:r w:rsidRPr="00363BCB">
        <w:rPr>
          <w:lang w:eastAsia="en-GB"/>
        </w:rPr>
        <w:t>;</w:t>
      </w:r>
    </w:p>
    <w:p w14:paraId="79305B6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Manque de ressources au sein des institutions nationales, en particulier les institutions judiciaires et celles chargées de l’application des lois et de la protection des droits de l’homme, et manque de représen</w:t>
      </w:r>
      <w:r>
        <w:rPr>
          <w:lang w:eastAsia="en-GB"/>
        </w:rPr>
        <w:t>tation adéquate ou de formation</w:t>
      </w:r>
      <w:r w:rsidRPr="00363BCB">
        <w:rPr>
          <w:lang w:eastAsia="en-GB"/>
        </w:rPr>
        <w:t>;</w:t>
      </w:r>
    </w:p>
    <w:p w14:paraId="4F2E900C"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Absence de jus</w:t>
      </w:r>
      <w:r>
        <w:rPr>
          <w:lang w:eastAsia="en-GB"/>
        </w:rPr>
        <w:t>tice indépendante et impartiale</w:t>
      </w:r>
      <w:r w:rsidRPr="00363BCB">
        <w:rPr>
          <w:lang w:eastAsia="en-GB"/>
        </w:rPr>
        <w:t>;</w:t>
      </w:r>
    </w:p>
    <w:p w14:paraId="48590748"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Absence de contrôle civil efficace des</w:t>
      </w:r>
      <w:r>
        <w:rPr>
          <w:lang w:eastAsia="en-GB"/>
        </w:rPr>
        <w:t xml:space="preserve"> forces de sécurité</w:t>
      </w:r>
      <w:r w:rsidRPr="00363BCB">
        <w:rPr>
          <w:lang w:eastAsia="en-GB"/>
        </w:rPr>
        <w:t>;</w:t>
      </w:r>
    </w:p>
    <w:p w14:paraId="1A7936B7"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Niveaux élevés de corrupt</w:t>
      </w:r>
      <w:r>
        <w:rPr>
          <w:lang w:eastAsia="en-GB"/>
        </w:rPr>
        <w:t>ion ou mauvaise gouvernance</w:t>
      </w:r>
      <w:r w:rsidRPr="00363BCB">
        <w:rPr>
          <w:lang w:eastAsia="en-GB"/>
        </w:rPr>
        <w:t>;</w:t>
      </w:r>
    </w:p>
    <w:p w14:paraId="3734D0FD"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Absence ou insuffisance de mécanismes externes ou internes de contrôle et de responsabilité, notamment que les victimes peuvent </w:t>
      </w:r>
      <w:r>
        <w:rPr>
          <w:lang w:eastAsia="en-GB"/>
        </w:rPr>
        <w:t>saisir pour demander réparation</w:t>
      </w:r>
      <w:r w:rsidRPr="00363BCB">
        <w:rPr>
          <w:lang w:eastAsia="en-GB"/>
        </w:rPr>
        <w:t>;</w:t>
      </w:r>
    </w:p>
    <w:p w14:paraId="004250D5"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 xml:space="preserve">Manque de sensibilisation et de formation des forces militaires, des forces irrégulières, des groupes armés non étatiques et des autres acteurs concernés au droit international des droits de l’homme et au </w:t>
      </w:r>
      <w:r>
        <w:rPr>
          <w:lang w:eastAsia="en-GB"/>
        </w:rPr>
        <w:t>droit international humanitaire</w:t>
      </w:r>
      <w:r w:rsidRPr="00363BCB">
        <w:rPr>
          <w:lang w:eastAsia="en-GB"/>
        </w:rPr>
        <w:t>;</w:t>
      </w:r>
    </w:p>
    <w:p w14:paraId="0B23A378"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 xml:space="preserve">Manque de capacité de vérifier que les moyens et méthodes de guerre sont conformes aux normes du </w:t>
      </w:r>
      <w:r>
        <w:rPr>
          <w:lang w:eastAsia="en-GB"/>
        </w:rPr>
        <w:t>droit international humanitaire</w:t>
      </w:r>
      <w:r w:rsidRPr="00363BCB">
        <w:rPr>
          <w:lang w:eastAsia="en-GB"/>
        </w:rPr>
        <w:t>;</w:t>
      </w:r>
    </w:p>
    <w:p w14:paraId="7142ECE3"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Manque de moyens pour la réforme ou le renforcement des institutions, notamment par une a</w:t>
      </w:r>
      <w:r>
        <w:rPr>
          <w:lang w:eastAsia="en-GB"/>
        </w:rPr>
        <w:t>ide régionale ou internationale</w:t>
      </w:r>
      <w:r w:rsidRPr="00363BCB">
        <w:rPr>
          <w:lang w:eastAsia="en-GB"/>
        </w:rPr>
        <w:t>;</w:t>
      </w:r>
    </w:p>
    <w:p w14:paraId="2F86B4D2" w14:textId="77777777" w:rsidR="006354E7" w:rsidRPr="00363BCB" w:rsidRDefault="006354E7" w:rsidP="006354E7">
      <w:pPr>
        <w:pStyle w:val="SingleTxtG"/>
        <w:ind w:left="1854" w:hanging="360"/>
        <w:rPr>
          <w:lang w:eastAsia="en-GB"/>
        </w:rPr>
      </w:pPr>
      <w:r w:rsidRPr="00363BCB">
        <w:rPr>
          <w:lang w:eastAsia="en-GB"/>
        </w:rPr>
        <w:t>j.</w:t>
      </w:r>
      <w:r w:rsidRPr="00363BCB">
        <w:rPr>
          <w:lang w:eastAsia="en-GB"/>
        </w:rPr>
        <w:tab/>
        <w:t>Ressources insuffisantes pour mettre en œuvre des mesures globales de protection des populations.</w:t>
      </w:r>
    </w:p>
    <w:p w14:paraId="5DD3AA4A" w14:textId="77777777" w:rsidR="006354E7" w:rsidRPr="00363BCB" w:rsidRDefault="006354E7" w:rsidP="006354E7">
      <w:pPr>
        <w:pStyle w:val="H23G"/>
        <w:rPr>
          <w:lang w:eastAsia="en-GB"/>
        </w:rPr>
      </w:pPr>
      <w:r w:rsidRPr="00363BCB">
        <w:rPr>
          <w:lang w:eastAsia="en-GB"/>
        </w:rPr>
        <w:tab/>
      </w:r>
      <w:r w:rsidRPr="00363BCB">
        <w:rPr>
          <w:lang w:eastAsia="en-GB"/>
        </w:rPr>
        <w:tab/>
        <w:t>Facteur de risque 4. Motivations ou incitations</w:t>
      </w:r>
    </w:p>
    <w:p w14:paraId="1C38B619" w14:textId="77777777" w:rsidR="006354E7" w:rsidRPr="00363BCB" w:rsidRDefault="006354E7" w:rsidP="006354E7">
      <w:pPr>
        <w:pStyle w:val="SingleTxtG"/>
        <w:ind w:left="1848" w:hanging="357"/>
        <w:rPr>
          <w:lang w:eastAsia="en-GB"/>
        </w:rPr>
      </w:pPr>
      <w:r w:rsidRPr="00363BCB">
        <w:rPr>
          <w:lang w:eastAsia="en-GB"/>
        </w:rPr>
        <w:t>a.</w:t>
      </w:r>
      <w:r w:rsidRPr="00363BCB">
        <w:rPr>
          <w:lang w:eastAsia="en-GB"/>
        </w:rPr>
        <w:tab/>
        <w:t>Motivations politiques, en particulier celles visant l’acquisition</w:t>
      </w:r>
      <w:r>
        <w:rPr>
          <w:lang w:eastAsia="en-GB"/>
        </w:rPr>
        <w:t xml:space="preserve"> ou la consolidation du pouvoir</w:t>
      </w:r>
      <w:r w:rsidRPr="00363BCB">
        <w:rPr>
          <w:lang w:eastAsia="en-GB"/>
        </w:rPr>
        <w:t>;</w:t>
      </w:r>
    </w:p>
    <w:p w14:paraId="46AE8F0F" w14:textId="77777777" w:rsidR="006354E7" w:rsidRPr="00363BCB" w:rsidRDefault="006354E7" w:rsidP="006354E7">
      <w:pPr>
        <w:pStyle w:val="SingleTxtG"/>
        <w:ind w:left="1848" w:hanging="357"/>
        <w:rPr>
          <w:lang w:eastAsia="en-GB"/>
        </w:rPr>
      </w:pPr>
      <w:r w:rsidRPr="00363BCB">
        <w:rPr>
          <w:lang w:eastAsia="en-GB"/>
        </w:rPr>
        <w:t>b.</w:t>
      </w:r>
      <w:r w:rsidRPr="00363BCB">
        <w:rPr>
          <w:lang w:eastAsia="en-GB"/>
        </w:rPr>
        <w:tab/>
        <w:t>Intérêts économiques, notamment ceux fondés sur la préservation et le bien-être des élites ou de groupes d’identité, ou sur le contrôle d</w:t>
      </w:r>
      <w:r>
        <w:rPr>
          <w:lang w:eastAsia="en-GB"/>
        </w:rPr>
        <w:t>e la répartition des ressources</w:t>
      </w:r>
      <w:r w:rsidRPr="00363BCB">
        <w:rPr>
          <w:lang w:eastAsia="en-GB"/>
        </w:rPr>
        <w:t>;</w:t>
      </w:r>
    </w:p>
    <w:p w14:paraId="31B31235" w14:textId="77777777" w:rsidR="006354E7" w:rsidRPr="00363BCB" w:rsidRDefault="006354E7" w:rsidP="006354E7">
      <w:pPr>
        <w:pStyle w:val="SingleTxtG"/>
        <w:ind w:left="1848" w:hanging="357"/>
        <w:rPr>
          <w:lang w:eastAsia="en-GB"/>
        </w:rPr>
      </w:pPr>
      <w:r w:rsidRPr="00363BCB">
        <w:rPr>
          <w:lang w:eastAsia="en-GB"/>
        </w:rPr>
        <w:t>c.</w:t>
      </w:r>
      <w:r w:rsidRPr="00363BCB">
        <w:rPr>
          <w:lang w:eastAsia="en-GB"/>
        </w:rPr>
        <w:tab/>
        <w:t>Intérêts stratégiques ou militaires, notamment ceux fondés sur la protection ou la saisie de territoires et d</w:t>
      </w:r>
      <w:r>
        <w:rPr>
          <w:lang w:eastAsia="en-GB"/>
        </w:rPr>
        <w:t>e ressources</w:t>
      </w:r>
      <w:r w:rsidRPr="00363BCB">
        <w:rPr>
          <w:lang w:eastAsia="en-GB"/>
        </w:rPr>
        <w:t>;</w:t>
      </w:r>
    </w:p>
    <w:p w14:paraId="3DCE5A57" w14:textId="77777777" w:rsidR="006354E7" w:rsidRPr="00363BCB" w:rsidRDefault="006354E7" w:rsidP="006354E7">
      <w:pPr>
        <w:pStyle w:val="SingleTxtG"/>
        <w:ind w:left="1848" w:hanging="357"/>
        <w:rPr>
          <w:lang w:eastAsia="en-GB"/>
        </w:rPr>
      </w:pPr>
      <w:r w:rsidRPr="00363BCB">
        <w:rPr>
          <w:lang w:eastAsia="en-GB"/>
        </w:rPr>
        <w:t>d.</w:t>
      </w:r>
      <w:r w:rsidRPr="00363BCB">
        <w:rPr>
          <w:lang w:eastAsia="en-GB"/>
        </w:rPr>
        <w:tab/>
        <w:t xml:space="preserve">Autres intérêts, notamment ceux visant à rendre une </w:t>
      </w:r>
      <w:r>
        <w:rPr>
          <w:lang w:eastAsia="en-GB"/>
        </w:rPr>
        <w:t>zone homogène dans son identité</w:t>
      </w:r>
      <w:r w:rsidRPr="00363BCB">
        <w:rPr>
          <w:lang w:eastAsia="en-GB"/>
        </w:rPr>
        <w:t>;</w:t>
      </w:r>
    </w:p>
    <w:p w14:paraId="306C8257" w14:textId="77777777" w:rsidR="006354E7" w:rsidRPr="00363BCB" w:rsidRDefault="006354E7" w:rsidP="006354E7">
      <w:pPr>
        <w:pStyle w:val="SingleTxtG"/>
        <w:ind w:left="1848" w:hanging="357"/>
        <w:rPr>
          <w:lang w:eastAsia="en-GB"/>
        </w:rPr>
      </w:pPr>
      <w:r w:rsidRPr="00363BCB">
        <w:rPr>
          <w:lang w:eastAsia="en-GB"/>
        </w:rPr>
        <w:t>e.</w:t>
      </w:r>
      <w:r w:rsidRPr="00363BCB">
        <w:rPr>
          <w:lang w:eastAsia="en-GB"/>
        </w:rPr>
        <w:tab/>
        <w:t>Menaces réelles ou perçues comme telles de groupes, populations ou personnes protégés contre les intérêts ou les objectifs des auteurs d’actes criminels, notamment l’impression de déloyauté envers une cause;</w:t>
      </w:r>
    </w:p>
    <w:p w14:paraId="4DD10910" w14:textId="77777777" w:rsidR="006354E7" w:rsidRPr="00363BCB" w:rsidRDefault="006354E7" w:rsidP="006354E7">
      <w:pPr>
        <w:pStyle w:val="SingleTxtG"/>
        <w:ind w:left="1848" w:hanging="357"/>
        <w:rPr>
          <w:lang w:eastAsia="en-GB"/>
        </w:rPr>
      </w:pPr>
      <w:r w:rsidRPr="00363BCB">
        <w:rPr>
          <w:lang w:eastAsia="en-GB"/>
        </w:rPr>
        <w:t>f.</w:t>
      </w:r>
      <w:r w:rsidRPr="00363BCB">
        <w:rPr>
          <w:lang w:eastAsia="en-GB"/>
        </w:rPr>
        <w:tab/>
        <w:t>Appartenance ou adhésion réelle ou perçue comme telle de groupes, populations ou personnes protégés à</w:t>
      </w:r>
      <w:r>
        <w:rPr>
          <w:lang w:eastAsia="en-GB"/>
        </w:rPr>
        <w:t xml:space="preserve"> des groupes d’opposition armés</w:t>
      </w:r>
      <w:r w:rsidRPr="00363BCB">
        <w:rPr>
          <w:lang w:eastAsia="en-GB"/>
        </w:rPr>
        <w:t>;</w:t>
      </w:r>
    </w:p>
    <w:p w14:paraId="67559343" w14:textId="77777777" w:rsidR="006354E7" w:rsidRPr="00363BCB" w:rsidRDefault="006354E7" w:rsidP="006354E7">
      <w:pPr>
        <w:pStyle w:val="SingleTxtG"/>
        <w:ind w:left="1848" w:hanging="357"/>
        <w:rPr>
          <w:lang w:eastAsia="en-GB"/>
        </w:rPr>
      </w:pPr>
      <w:r w:rsidRPr="00363BCB">
        <w:rPr>
          <w:lang w:eastAsia="en-GB"/>
        </w:rPr>
        <w:t>g.</w:t>
      </w:r>
      <w:r w:rsidRPr="00363BCB">
        <w:rPr>
          <w:lang w:eastAsia="en-GB"/>
        </w:rPr>
        <w:tab/>
        <w:t>Idéologies fondées sur la suprématie d’une certaine identité ou sur des ver</w:t>
      </w:r>
      <w:r>
        <w:rPr>
          <w:lang w:eastAsia="en-GB"/>
        </w:rPr>
        <w:t>sions extrémistes de l’identité</w:t>
      </w:r>
      <w:r w:rsidRPr="00363BCB">
        <w:rPr>
          <w:lang w:eastAsia="en-GB"/>
        </w:rPr>
        <w:t>;</w:t>
      </w:r>
    </w:p>
    <w:p w14:paraId="58FF531F" w14:textId="77777777" w:rsidR="006354E7" w:rsidRPr="00363BCB" w:rsidRDefault="006354E7" w:rsidP="006354E7">
      <w:pPr>
        <w:pStyle w:val="SingleTxtG"/>
        <w:ind w:left="1848" w:hanging="357"/>
        <w:rPr>
          <w:lang w:eastAsia="en-GB"/>
        </w:rPr>
      </w:pPr>
      <w:r w:rsidRPr="00363BCB">
        <w:rPr>
          <w:lang w:eastAsia="en-GB"/>
        </w:rPr>
        <w:t>h.</w:t>
      </w:r>
      <w:r w:rsidRPr="00363BCB">
        <w:rPr>
          <w:lang w:eastAsia="en-GB"/>
        </w:rPr>
        <w:tab/>
        <w:t>Politisation de griefs, de tensions ou d</w:t>
      </w:r>
      <w:r>
        <w:rPr>
          <w:lang w:eastAsia="en-GB"/>
        </w:rPr>
        <w:t>e cas d’impunité issus du passé</w:t>
      </w:r>
      <w:r w:rsidRPr="00363BCB">
        <w:rPr>
          <w:lang w:eastAsia="en-GB"/>
        </w:rPr>
        <w:t>;</w:t>
      </w:r>
    </w:p>
    <w:p w14:paraId="5624A7AC" w14:textId="77777777" w:rsidR="006354E7" w:rsidRPr="00363BCB" w:rsidRDefault="006354E7" w:rsidP="006354E7">
      <w:pPr>
        <w:pStyle w:val="SingleTxtG"/>
        <w:ind w:left="1848" w:hanging="357"/>
        <w:rPr>
          <w:lang w:eastAsia="en-GB"/>
        </w:rPr>
      </w:pPr>
      <w:r w:rsidRPr="00363BCB">
        <w:rPr>
          <w:lang w:eastAsia="en-GB"/>
        </w:rPr>
        <w:t>i.</w:t>
      </w:r>
      <w:r w:rsidRPr="00363BCB">
        <w:rPr>
          <w:lang w:eastAsia="en-GB"/>
        </w:rPr>
        <w:tab/>
        <w:t>Traumatisme social provoqué par des situations de violence passées auxquelles il n’a pas été donné de suite satisfaisante et qui ont engendré des sentiments de perte, de déplacement et d’injustice et un désir possible de revanche.</w:t>
      </w:r>
    </w:p>
    <w:p w14:paraId="57416266" w14:textId="77777777" w:rsidR="006354E7" w:rsidRPr="00363BCB" w:rsidRDefault="006354E7" w:rsidP="006354E7">
      <w:pPr>
        <w:pStyle w:val="H23G"/>
        <w:rPr>
          <w:lang w:eastAsia="en-GB"/>
        </w:rPr>
      </w:pPr>
      <w:r w:rsidRPr="00363BCB">
        <w:rPr>
          <w:lang w:eastAsia="en-GB"/>
        </w:rPr>
        <w:tab/>
      </w:r>
      <w:r w:rsidRPr="00363BCB">
        <w:rPr>
          <w:lang w:eastAsia="en-GB"/>
        </w:rPr>
        <w:tab/>
        <w:t>Facteur de risque 5. Capacité de commettre des atrocités criminelles</w:t>
      </w:r>
    </w:p>
    <w:p w14:paraId="0268D8FF"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Disponibilité de personnel et d’armes et munitions ou de moyens financiers publics ou privé</w:t>
      </w:r>
      <w:r>
        <w:rPr>
          <w:lang w:eastAsia="en-GB"/>
        </w:rPr>
        <w:t>s permettant de les acquérir</w:t>
      </w:r>
      <w:r w:rsidRPr="00363BCB">
        <w:rPr>
          <w:lang w:eastAsia="en-GB"/>
        </w:rPr>
        <w:t>;</w:t>
      </w:r>
    </w:p>
    <w:p w14:paraId="0B595E5F"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 xml:space="preserve">Capacité de transporter et déployer du personnel et de transporter et distribuer des armes et des </w:t>
      </w:r>
      <w:r>
        <w:rPr>
          <w:lang w:eastAsia="en-GB"/>
        </w:rPr>
        <w:t>munitions</w:t>
      </w:r>
      <w:r w:rsidRPr="00363BCB">
        <w:rPr>
          <w:lang w:eastAsia="en-GB"/>
        </w:rPr>
        <w:t>;</w:t>
      </w:r>
    </w:p>
    <w:p w14:paraId="7E860AAC"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Capacité d’encourager ou de recruter de nombreux partisans au sein de populations ou de groupes et disponibili</w:t>
      </w:r>
      <w:r>
        <w:rPr>
          <w:lang w:eastAsia="en-GB"/>
        </w:rPr>
        <w:t>té de moyens pour les mobiliser</w:t>
      </w:r>
      <w:r w:rsidRPr="00363BCB">
        <w:rPr>
          <w:lang w:eastAsia="en-GB"/>
        </w:rPr>
        <w:t>;</w:t>
      </w:r>
    </w:p>
    <w:p w14:paraId="7754671A"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Solide culture d’obéissance à l’auto</w:t>
      </w:r>
      <w:r>
        <w:rPr>
          <w:lang w:eastAsia="en-GB"/>
        </w:rPr>
        <w:t>rité et de conformité au groupe</w:t>
      </w:r>
      <w:r w:rsidRPr="00363BCB">
        <w:rPr>
          <w:lang w:eastAsia="en-GB"/>
        </w:rPr>
        <w:t>;</w:t>
      </w:r>
    </w:p>
    <w:p w14:paraId="7C044076"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Présence d’autres forces armées ou de groupes armés non étatiques ou existence de liens</w:t>
      </w:r>
      <w:r>
        <w:rPr>
          <w:lang w:eastAsia="en-GB"/>
        </w:rPr>
        <w:t xml:space="preserve"> avec de tels forces ou groupes</w:t>
      </w:r>
      <w:r w:rsidRPr="00363BCB">
        <w:rPr>
          <w:lang w:eastAsia="en-GB"/>
        </w:rPr>
        <w:t>;</w:t>
      </w:r>
    </w:p>
    <w:p w14:paraId="4A29DDFC"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Présence d’acteurs commerciaux ou d’entreprises pouvant jouer un rôle déterminant en fournissant des biens, des services ou d’autres formes d’appui pratique ou technique con</w:t>
      </w:r>
      <w:r>
        <w:rPr>
          <w:lang w:eastAsia="en-GB"/>
        </w:rPr>
        <w:t>tribuant à soutenir les auteurs</w:t>
      </w:r>
      <w:r w:rsidRPr="00363BCB">
        <w:rPr>
          <w:lang w:eastAsia="en-GB"/>
        </w:rPr>
        <w:t>;</w:t>
      </w:r>
    </w:p>
    <w:p w14:paraId="4335F4C6"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Appui financier, politique ou autre d’acteurs nationaux influents</w:t>
      </w:r>
      <w:r>
        <w:rPr>
          <w:lang w:eastAsia="en-GB"/>
        </w:rPr>
        <w:t xml:space="preserve"> ou riches</w:t>
      </w:r>
      <w:r w:rsidRPr="00363BCB">
        <w:rPr>
          <w:lang w:eastAsia="en-GB"/>
        </w:rPr>
        <w:t>;</w:t>
      </w:r>
    </w:p>
    <w:p w14:paraId="07FC1CCF" w14:textId="77777777" w:rsidR="006354E7" w:rsidRPr="00363BCB" w:rsidRDefault="006354E7" w:rsidP="006354E7">
      <w:pPr>
        <w:pStyle w:val="SingleTxtG"/>
        <w:ind w:left="1854" w:hanging="360"/>
        <w:rPr>
          <w:lang w:eastAsia="en-GB"/>
        </w:rPr>
      </w:pPr>
      <w:r w:rsidRPr="00363BCB">
        <w:rPr>
          <w:lang w:eastAsia="en-GB"/>
        </w:rPr>
        <w:t>h.</w:t>
      </w:r>
      <w:r w:rsidRPr="00363BCB">
        <w:rPr>
          <w:lang w:eastAsia="en-GB"/>
        </w:rPr>
        <w:tab/>
        <w:t>Appui armé, financier, logistique ou autre, notamment sous la forme d’entraînement, fourni par des acteurs extérieurs, notamment des États, des organisations internationales ou régionales ou des entreprises privées.</w:t>
      </w:r>
    </w:p>
    <w:p w14:paraId="6DE9F29C" w14:textId="77777777" w:rsidR="006354E7" w:rsidRPr="00363BCB" w:rsidRDefault="006354E7" w:rsidP="006354E7">
      <w:pPr>
        <w:pStyle w:val="H23G"/>
        <w:rPr>
          <w:lang w:eastAsia="en-GB"/>
        </w:rPr>
      </w:pPr>
      <w:r w:rsidRPr="00363BCB">
        <w:rPr>
          <w:lang w:eastAsia="en-GB"/>
        </w:rPr>
        <w:tab/>
      </w:r>
      <w:r w:rsidRPr="00363BCB">
        <w:rPr>
          <w:lang w:eastAsia="en-GB"/>
        </w:rPr>
        <w:tab/>
        <w:t>Facteur de risque 6. Absence de facteurs atténuants</w:t>
      </w:r>
    </w:p>
    <w:p w14:paraId="430D3A77"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Insuffisance ou absence de processus d’autonomisation, de ressources, d’alliés ou d’autres éléments qui pourraient contribuer à la capacité des groupes, populations ou personnes pr</w:t>
      </w:r>
      <w:r>
        <w:rPr>
          <w:lang w:eastAsia="en-GB"/>
        </w:rPr>
        <w:t>otégés de se protéger eux-mêmes</w:t>
      </w:r>
      <w:r w:rsidRPr="00363BCB">
        <w:rPr>
          <w:lang w:eastAsia="en-GB"/>
        </w:rPr>
        <w:t>;</w:t>
      </w:r>
    </w:p>
    <w:p w14:paraId="6D88C15E"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Absence de société civile nationale solide, organisée et représentative et de médias nationaux libr</w:t>
      </w:r>
      <w:r>
        <w:rPr>
          <w:lang w:eastAsia="en-GB"/>
        </w:rPr>
        <w:t>es, diversifiés et indépendants</w:t>
      </w:r>
      <w:r w:rsidRPr="00363BCB">
        <w:rPr>
          <w:lang w:eastAsia="en-GB"/>
        </w:rPr>
        <w:t>;</w:t>
      </w:r>
    </w:p>
    <w:p w14:paraId="326F20B2"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Absence d’intérêt et d’attention des acteurs de la société civile internationale ou d’</w:t>
      </w:r>
      <w:r>
        <w:rPr>
          <w:lang w:eastAsia="en-GB"/>
        </w:rPr>
        <w:t>accès aux médias internationaux</w:t>
      </w:r>
      <w:r w:rsidRPr="00363BCB">
        <w:rPr>
          <w:lang w:eastAsia="en-GB"/>
        </w:rPr>
        <w:t>;</w:t>
      </w:r>
    </w:p>
    <w:p w14:paraId="6C4615B7"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Absence ou présence limitée des Nations Unies, d’organisations non gouvernementales internationales ou d’autres acteurs internationaux ou régionaux dans le p</w:t>
      </w:r>
      <w:r>
        <w:rPr>
          <w:lang w:eastAsia="en-GB"/>
        </w:rPr>
        <w:t>ays ayant accès aux populations</w:t>
      </w:r>
      <w:r w:rsidRPr="00363BCB">
        <w:rPr>
          <w:lang w:eastAsia="en-GB"/>
        </w:rPr>
        <w:t>;</w:t>
      </w:r>
    </w:p>
    <w:p w14:paraId="57BC1181"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Absence d’adhésion ou de participation effective de l’État à des organisations internationales ou régionales établissant des obligations</w:t>
      </w:r>
      <w:r>
        <w:rPr>
          <w:lang w:eastAsia="en-GB"/>
        </w:rPr>
        <w:t xml:space="preserve"> afférentes au statut de membre</w:t>
      </w:r>
      <w:r w:rsidRPr="00363BCB">
        <w:rPr>
          <w:lang w:eastAsia="en-GB"/>
        </w:rPr>
        <w:t>;</w:t>
      </w:r>
    </w:p>
    <w:p w14:paraId="64F85DCC"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Manque de contact, d’ouverture ou de relations politiques ou économiques avec </w:t>
      </w:r>
      <w:r>
        <w:rPr>
          <w:lang w:eastAsia="en-GB"/>
        </w:rPr>
        <w:t>d’autres États ou organisations</w:t>
      </w:r>
      <w:r w:rsidRPr="00363BCB">
        <w:rPr>
          <w:lang w:eastAsia="en-GB"/>
        </w:rPr>
        <w:t>;</w:t>
      </w:r>
    </w:p>
    <w:p w14:paraId="27335671"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Coopération limitée de l’État avec les mécanismes internationaux et régionaux des dr</w:t>
      </w:r>
      <w:r>
        <w:rPr>
          <w:lang w:eastAsia="en-GB"/>
        </w:rPr>
        <w:t>oits de l’homme</w:t>
      </w:r>
      <w:r w:rsidRPr="00363BCB">
        <w:rPr>
          <w:lang w:eastAsia="en-GB"/>
        </w:rPr>
        <w:t>;</w:t>
      </w:r>
    </w:p>
    <w:p w14:paraId="77880623"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Manque de volonté des parties à un conflit d’engager un dialogue, de faire des concessions et de solliciter l’appui de la communauté internationale, ou absence d’incitations à le faire;</w:t>
      </w:r>
    </w:p>
    <w:p w14:paraId="38606BCB"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Réticence ou échec des États Membres de l’Organisation des Nations Unies ou des organisations internationales ou régionales à aider un État à assumer sa responsabilité de protéger ses populations contre les atrocités criminelles, ou à agir lorsque l’État n’assume manifestement pas cette responsabilité, ou indifférence à cet égard</w:t>
      </w:r>
      <w:r>
        <w:rPr>
          <w:lang w:eastAsia="en-GB"/>
        </w:rPr>
        <w:t>;</w:t>
      </w:r>
    </w:p>
    <w:p w14:paraId="661426FB"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Manque de soutien des États voisins pour ce qui est de protéger les populati</w:t>
      </w:r>
      <w:r>
        <w:rPr>
          <w:lang w:eastAsia="en-GB"/>
        </w:rPr>
        <w:t>ons à risque en quête de refuge</w:t>
      </w:r>
      <w:r w:rsidRPr="00363BCB">
        <w:rPr>
          <w:lang w:eastAsia="en-GB"/>
        </w:rPr>
        <w:t>: fermeture des frontières, rapatriement forcé ou restrictio</w:t>
      </w:r>
      <w:r>
        <w:rPr>
          <w:lang w:eastAsia="en-GB"/>
        </w:rPr>
        <w:t>ns en matière d’aide</w:t>
      </w:r>
      <w:r w:rsidRPr="00363BCB">
        <w:rPr>
          <w:lang w:eastAsia="en-GB"/>
        </w:rPr>
        <w:t>;</w:t>
      </w:r>
    </w:p>
    <w:p w14:paraId="2E285C07" w14:textId="77777777" w:rsidR="006354E7" w:rsidRPr="00363BCB" w:rsidRDefault="006354E7" w:rsidP="006354E7">
      <w:pPr>
        <w:pStyle w:val="SingleTxtG"/>
        <w:ind w:left="1854" w:hanging="360"/>
        <w:rPr>
          <w:lang w:eastAsia="en-GB"/>
        </w:rPr>
      </w:pPr>
      <w:r w:rsidRPr="00363BCB">
        <w:rPr>
          <w:lang w:eastAsia="en-GB"/>
        </w:rPr>
        <w:t>k.</w:t>
      </w:r>
      <w:r w:rsidRPr="00363BCB">
        <w:rPr>
          <w:lang w:eastAsia="en-GB"/>
        </w:rPr>
        <w:tab/>
        <w:t>Absence de mécanisme d’alerte rapide permettant de prévenir des atrocités criminelles.</w:t>
      </w:r>
    </w:p>
    <w:p w14:paraId="5D5F4126" w14:textId="77777777" w:rsidR="006354E7" w:rsidRPr="00363BCB" w:rsidRDefault="006354E7" w:rsidP="006354E7">
      <w:pPr>
        <w:pStyle w:val="H23G"/>
        <w:rPr>
          <w:lang w:eastAsia="en-GB"/>
        </w:rPr>
      </w:pPr>
      <w:r w:rsidRPr="00363BCB">
        <w:rPr>
          <w:lang w:eastAsia="en-GB"/>
        </w:rPr>
        <w:tab/>
      </w:r>
      <w:r w:rsidRPr="00363BCB">
        <w:rPr>
          <w:lang w:eastAsia="en-GB"/>
        </w:rPr>
        <w:tab/>
        <w:t>Facteur de risque 7. Circonstances propices ou action préparatoire restreignant les</w:t>
      </w:r>
      <w:r>
        <w:rPr>
          <w:lang w:eastAsia="en-GB"/>
        </w:rPr>
        <w:t> </w:t>
      </w:r>
      <w:r w:rsidRPr="00363BCB">
        <w:rPr>
          <w:lang w:eastAsia="en-GB"/>
        </w:rPr>
        <w:t>droits fondamentaux</w:t>
      </w:r>
    </w:p>
    <w:p w14:paraId="2A532905" w14:textId="77777777" w:rsidR="006354E7" w:rsidRDefault="006354E7" w:rsidP="006354E7">
      <w:pPr>
        <w:pStyle w:val="SingleTxtG"/>
        <w:ind w:left="1848" w:hanging="357"/>
        <w:rPr>
          <w:lang w:eastAsia="en-GB"/>
        </w:rPr>
      </w:pPr>
      <w:r>
        <w:rPr>
          <w:lang w:eastAsia="en-GB"/>
        </w:rPr>
        <w:t>a.</w:t>
      </w:r>
      <w:r>
        <w:rPr>
          <w:lang w:eastAsia="en-GB"/>
        </w:rPr>
        <w:tab/>
        <w:t>Imposition de l’état d’urgence ou de mesures de sécurité extraordinaires restreignant les droits fondamentaux;</w:t>
      </w:r>
    </w:p>
    <w:p w14:paraId="535972F7"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Suspension d’institutions vitales de l’État ou ingérence dans ces</w:t>
      </w:r>
      <w:r>
        <w:rPr>
          <w:lang w:eastAsia="en-GB"/>
        </w:rPr>
        <w:t xml:space="preserve"> </w:t>
      </w:r>
      <w:r w:rsidRPr="00363BCB">
        <w:rPr>
          <w:lang w:eastAsia="en-GB"/>
        </w:rPr>
        <w:t>institutions, ou mesures provoquant des modifications de leur composition ou l’équilibre des pouvoirs, en particulier s’il en résulte l’exclusion ou une sous-rep</w:t>
      </w:r>
      <w:r>
        <w:rPr>
          <w:lang w:eastAsia="en-GB"/>
        </w:rPr>
        <w:t>résentation de groupes protégés</w:t>
      </w:r>
      <w:r w:rsidRPr="00363BCB">
        <w:rPr>
          <w:lang w:eastAsia="en-GB"/>
        </w:rPr>
        <w:t>;</w:t>
      </w:r>
    </w:p>
    <w:p w14:paraId="299C58E1"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Renforcement de l’appareil de sécurité, réorganisation ou mobilisation de celui-ci contre des groupes, po</w:t>
      </w:r>
      <w:r>
        <w:rPr>
          <w:lang w:eastAsia="en-GB"/>
        </w:rPr>
        <w:t>pulations ou personnes protégés</w:t>
      </w:r>
      <w:r w:rsidRPr="00363BCB">
        <w:rPr>
          <w:lang w:eastAsia="en-GB"/>
        </w:rPr>
        <w:t>;</w:t>
      </w:r>
    </w:p>
    <w:p w14:paraId="6E0A7FD6"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Acquisition de grandes quantités d’armes et de munitions ou d’autres objets pouvant être utilisés pour causer des dommages;</w:t>
      </w:r>
    </w:p>
    <w:p w14:paraId="23D71540" w14:textId="77777777" w:rsidR="006354E7" w:rsidRDefault="006354E7" w:rsidP="006354E7">
      <w:pPr>
        <w:pStyle w:val="SingleTxtG"/>
        <w:ind w:left="1854" w:hanging="360"/>
        <w:rPr>
          <w:lang w:eastAsia="en-GB"/>
        </w:rPr>
      </w:pPr>
      <w:r>
        <w:rPr>
          <w:lang w:eastAsia="en-GB"/>
        </w:rPr>
        <w:t>e.</w:t>
      </w:r>
      <w:r>
        <w:rPr>
          <w:lang w:eastAsia="en-GB"/>
        </w:rPr>
        <w:tab/>
      </w:r>
      <w:r w:rsidRPr="00363BCB">
        <w:rPr>
          <w:lang w:eastAsia="en-GB"/>
        </w:rPr>
        <w:t>Création de milices ou de groupes paramilitaires, ou intensification de l’app</w:t>
      </w:r>
      <w:r>
        <w:rPr>
          <w:lang w:eastAsia="en-GB"/>
        </w:rPr>
        <w:t>ui à de tels milices ou groupes</w:t>
      </w:r>
      <w:r w:rsidRPr="00363BCB">
        <w:rPr>
          <w:lang w:eastAsia="en-GB"/>
        </w:rPr>
        <w:t>;</w:t>
      </w:r>
    </w:p>
    <w:p w14:paraId="0D57104B"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 xml:space="preserve">Imposition d’un contrôle strict sur l’utilisation des moyens de communication </w:t>
      </w:r>
      <w:r>
        <w:rPr>
          <w:lang w:eastAsia="en-GB"/>
        </w:rPr>
        <w:t>ou interdiction d’y avoir accès</w:t>
      </w:r>
      <w:r w:rsidRPr="00363BCB">
        <w:rPr>
          <w:lang w:eastAsia="en-GB"/>
        </w:rPr>
        <w:t>;</w:t>
      </w:r>
    </w:p>
    <w:p w14:paraId="6018D121"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Expulsion ou refus d’autoriser la présence d’organisations non gouvernementales, d’organisations internationales, de médias ou d’autres acteurs pertinents ou imposition de lourdes restrictions à</w:t>
      </w:r>
      <w:r>
        <w:rPr>
          <w:lang w:eastAsia="en-GB"/>
        </w:rPr>
        <w:t xml:space="preserve"> leurs services et déplacements</w:t>
      </w:r>
      <w:r w:rsidRPr="00363BCB">
        <w:rPr>
          <w:lang w:eastAsia="en-GB"/>
        </w:rPr>
        <w:t>;</w:t>
      </w:r>
    </w:p>
    <w:p w14:paraId="331BCE8F"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Augmentation du nombre de violations du droit à la vie, de l’intégrité physique, de la liberté ou de la sécurité de membres de groupes, populations ou personnes protégés, ou adoption récente de mesures ou de lois qui leur portent atteinte ou constituent une disc</w:t>
      </w:r>
      <w:r>
        <w:rPr>
          <w:lang w:eastAsia="en-GB"/>
        </w:rPr>
        <w:t>rimination délibérée envers eux</w:t>
      </w:r>
      <w:r w:rsidRPr="00363BCB">
        <w:rPr>
          <w:lang w:eastAsia="en-GB"/>
        </w:rPr>
        <w:t>;</w:t>
      </w:r>
    </w:p>
    <w:p w14:paraId="4CD0092F"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Augmentation du nombre d’actes de violence graves contre les femmes et les enfants ou création de conditions facilitant la commission d’agressions sexuelles contre eux, notamm</w:t>
      </w:r>
      <w:r>
        <w:rPr>
          <w:lang w:eastAsia="en-GB"/>
        </w:rPr>
        <w:t>ent comme instrument de terreur</w:t>
      </w:r>
      <w:r w:rsidRPr="00363BCB">
        <w:rPr>
          <w:lang w:eastAsia="en-GB"/>
        </w:rPr>
        <w:t>;</w:t>
      </w:r>
    </w:p>
    <w:p w14:paraId="63FD239E"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Imposition de conditions de vie délétères ou déportation, appréhension, regroupement, ségrégation, évacuation, déplacement ou transfert forcés de groupes, populations ou individus protégés vers des camps, des zones rurales, des ghe</w:t>
      </w:r>
      <w:r>
        <w:rPr>
          <w:lang w:eastAsia="en-GB"/>
        </w:rPr>
        <w:t>ttos ou d’autres lieux désignés</w:t>
      </w:r>
      <w:r w:rsidRPr="00363BCB">
        <w:rPr>
          <w:lang w:eastAsia="en-GB"/>
        </w:rPr>
        <w:t>;</w:t>
      </w:r>
    </w:p>
    <w:p w14:paraId="014C528C" w14:textId="77777777" w:rsidR="006354E7" w:rsidRDefault="006354E7" w:rsidP="006354E7">
      <w:pPr>
        <w:pStyle w:val="SingleTxtG"/>
        <w:ind w:left="1854" w:hanging="360"/>
        <w:rPr>
          <w:lang w:eastAsia="en-GB"/>
        </w:rPr>
      </w:pPr>
      <w:r>
        <w:rPr>
          <w:lang w:eastAsia="en-GB"/>
        </w:rPr>
        <w:t>k.</w:t>
      </w:r>
      <w:r>
        <w:rPr>
          <w:lang w:eastAsia="en-GB"/>
        </w:rPr>
        <w:tab/>
      </w:r>
      <w:r w:rsidRPr="00363BCB">
        <w:rPr>
          <w:lang w:eastAsia="en-GB"/>
        </w:rPr>
        <w:t>Destruction ou pillage de biens ou d’installations essentiels à des groupes, populations ou personnes protégés, ou de biens liés à l’id</w:t>
      </w:r>
      <w:r>
        <w:rPr>
          <w:lang w:eastAsia="en-GB"/>
        </w:rPr>
        <w:t>entité culturelle et religieuse</w:t>
      </w:r>
      <w:r w:rsidRPr="00363BCB">
        <w:rPr>
          <w:lang w:eastAsia="en-GB"/>
        </w:rPr>
        <w:t>;</w:t>
      </w:r>
    </w:p>
    <w:p w14:paraId="680778C8" w14:textId="77777777" w:rsidR="006354E7" w:rsidRDefault="006354E7" w:rsidP="006354E7">
      <w:pPr>
        <w:pStyle w:val="SingleTxtG"/>
        <w:ind w:left="1854" w:hanging="360"/>
        <w:rPr>
          <w:lang w:eastAsia="en-GB"/>
        </w:rPr>
      </w:pPr>
      <w:r>
        <w:rPr>
          <w:lang w:eastAsia="en-GB"/>
        </w:rPr>
        <w:t>l.</w:t>
      </w:r>
      <w:r>
        <w:rPr>
          <w:lang w:eastAsia="en-GB"/>
        </w:rPr>
        <w:tab/>
      </w:r>
      <w:r w:rsidRPr="00363BCB">
        <w:rPr>
          <w:lang w:eastAsia="en-GB"/>
        </w:rPr>
        <w:t>Marquage de personnes ou de leurs biens au motif de leur appartenance à un groupe;</w:t>
      </w:r>
    </w:p>
    <w:p w14:paraId="01B18C25" w14:textId="77777777" w:rsidR="006354E7" w:rsidRDefault="006354E7" w:rsidP="006354E7">
      <w:pPr>
        <w:pStyle w:val="SingleTxtG"/>
        <w:ind w:left="1854" w:hanging="360"/>
        <w:rPr>
          <w:lang w:eastAsia="en-GB"/>
        </w:rPr>
      </w:pPr>
      <w:r>
        <w:rPr>
          <w:lang w:eastAsia="en-GB"/>
        </w:rPr>
        <w:t>m.</w:t>
      </w:r>
      <w:r>
        <w:rPr>
          <w:lang w:eastAsia="en-GB"/>
        </w:rPr>
        <w:tab/>
      </w:r>
      <w:r w:rsidRPr="00363BCB">
        <w:rPr>
          <w:lang w:eastAsia="en-GB"/>
        </w:rPr>
        <w:t>Politisation accrue de l’identité, d’événements du passé ou de mo</w:t>
      </w:r>
      <w:r>
        <w:rPr>
          <w:lang w:eastAsia="en-GB"/>
        </w:rPr>
        <w:t>tifs de se livrer à la violence</w:t>
      </w:r>
      <w:r w:rsidRPr="00363BCB">
        <w:rPr>
          <w:lang w:eastAsia="en-GB"/>
        </w:rPr>
        <w:t>;</w:t>
      </w:r>
    </w:p>
    <w:p w14:paraId="135A0D35" w14:textId="77777777" w:rsidR="006354E7" w:rsidRPr="00363BCB" w:rsidRDefault="006354E7" w:rsidP="006354E7">
      <w:pPr>
        <w:pStyle w:val="SingleTxtG"/>
        <w:ind w:left="1854" w:hanging="360"/>
        <w:rPr>
          <w:lang w:eastAsia="en-GB"/>
        </w:rPr>
      </w:pPr>
      <w:r w:rsidRPr="00363BCB">
        <w:rPr>
          <w:lang w:eastAsia="en-GB"/>
        </w:rPr>
        <w:t>n.</w:t>
      </w:r>
      <w:r w:rsidRPr="00363BCB">
        <w:rPr>
          <w:lang w:eastAsia="en-GB"/>
        </w:rPr>
        <w:tab/>
        <w:t>Augmentation du nombre de déclarations provocatrices, de campagnes de propagande ou d’incitations à la haine visant des groupes, populations ou personnes protégés.</w:t>
      </w:r>
    </w:p>
    <w:p w14:paraId="00B972B7" w14:textId="77777777" w:rsidR="006354E7" w:rsidRPr="00363BCB" w:rsidRDefault="006354E7" w:rsidP="006354E7">
      <w:pPr>
        <w:pStyle w:val="H23G"/>
        <w:rPr>
          <w:lang w:eastAsia="en-GB"/>
        </w:rPr>
      </w:pPr>
      <w:r w:rsidRPr="00363BCB">
        <w:rPr>
          <w:lang w:eastAsia="en-GB"/>
        </w:rPr>
        <w:tab/>
      </w:r>
      <w:r w:rsidRPr="00363BCB">
        <w:rPr>
          <w:lang w:eastAsia="en-GB"/>
        </w:rPr>
        <w:tab/>
        <w:t>Facteur de risque 8. Facteurs déclencheurs</w:t>
      </w:r>
    </w:p>
    <w:p w14:paraId="65729365" w14:textId="77777777" w:rsidR="006354E7" w:rsidRDefault="006354E7" w:rsidP="006354E7">
      <w:pPr>
        <w:pStyle w:val="SingleTxtG"/>
        <w:ind w:left="1848" w:hanging="357"/>
        <w:rPr>
          <w:lang w:eastAsia="en-GB"/>
        </w:rPr>
      </w:pPr>
      <w:r>
        <w:rPr>
          <w:lang w:eastAsia="en-GB"/>
        </w:rPr>
        <w:t>a.</w:t>
      </w:r>
      <w:r>
        <w:rPr>
          <w:lang w:eastAsia="en-GB"/>
        </w:rPr>
        <w:tab/>
      </w:r>
      <w:r w:rsidRPr="00363BCB">
        <w:rPr>
          <w:lang w:eastAsia="en-GB"/>
        </w:rPr>
        <w:t>Déploiement soudain de forces de sécurité ou déclenchement d’hostilités armées;</w:t>
      </w:r>
    </w:p>
    <w:p w14:paraId="778D7D61" w14:textId="77777777" w:rsidR="006354E7" w:rsidRDefault="006354E7" w:rsidP="006354E7">
      <w:pPr>
        <w:pStyle w:val="SingleTxtG"/>
        <w:ind w:left="1854" w:hanging="360"/>
        <w:rPr>
          <w:lang w:eastAsia="en-GB"/>
        </w:rPr>
      </w:pPr>
      <w:r>
        <w:rPr>
          <w:lang w:eastAsia="en-GB"/>
        </w:rPr>
        <w:t>b.</w:t>
      </w:r>
      <w:r>
        <w:rPr>
          <w:lang w:eastAsia="en-GB"/>
        </w:rPr>
        <w:tab/>
      </w:r>
      <w:r w:rsidRPr="00363BCB">
        <w:rPr>
          <w:lang w:eastAsia="en-GB"/>
        </w:rPr>
        <w:t>Débordement de conflits armés ou graves tensions dans les pays voisins;</w:t>
      </w:r>
    </w:p>
    <w:p w14:paraId="0A0FE8EE" w14:textId="77777777" w:rsidR="006354E7" w:rsidRDefault="006354E7" w:rsidP="006354E7">
      <w:pPr>
        <w:pStyle w:val="SingleTxtG"/>
        <w:ind w:left="1854" w:hanging="360"/>
        <w:rPr>
          <w:lang w:eastAsia="en-GB"/>
        </w:rPr>
      </w:pPr>
      <w:r>
        <w:rPr>
          <w:lang w:eastAsia="en-GB"/>
        </w:rPr>
        <w:t>c.</w:t>
      </w:r>
      <w:r>
        <w:rPr>
          <w:lang w:eastAsia="en-GB"/>
        </w:rPr>
        <w:tab/>
      </w:r>
      <w:r w:rsidRPr="00363BCB">
        <w:rPr>
          <w:lang w:eastAsia="en-GB"/>
        </w:rPr>
        <w:t>Mesures prises par la communauté internationale, perçues par un État comme menaçant sa so</w:t>
      </w:r>
      <w:r>
        <w:rPr>
          <w:lang w:eastAsia="en-GB"/>
        </w:rPr>
        <w:t>uveraineté</w:t>
      </w:r>
      <w:r w:rsidRPr="00363BCB">
        <w:rPr>
          <w:lang w:eastAsia="en-GB"/>
        </w:rPr>
        <w:t>;</w:t>
      </w:r>
    </w:p>
    <w:p w14:paraId="1F679B26" w14:textId="77777777" w:rsidR="006354E7" w:rsidRDefault="006354E7" w:rsidP="006354E7">
      <w:pPr>
        <w:pStyle w:val="SingleTxtG"/>
        <w:ind w:left="1854" w:hanging="360"/>
        <w:rPr>
          <w:lang w:eastAsia="en-GB"/>
        </w:rPr>
      </w:pPr>
      <w:r>
        <w:rPr>
          <w:lang w:eastAsia="en-GB"/>
        </w:rPr>
        <w:t>d.</w:t>
      </w:r>
      <w:r>
        <w:rPr>
          <w:lang w:eastAsia="en-GB"/>
        </w:rPr>
        <w:tab/>
      </w:r>
      <w:r w:rsidRPr="00363BCB">
        <w:rPr>
          <w:lang w:eastAsia="en-GB"/>
        </w:rPr>
        <w:t>Changements de régime, transferts de pouvoir ou modifications du pouvoir politique des groupes, survenant soudainem</w:t>
      </w:r>
      <w:r>
        <w:rPr>
          <w:lang w:eastAsia="en-GB"/>
        </w:rPr>
        <w:t>ent ou irrégulièrement</w:t>
      </w:r>
      <w:r w:rsidRPr="00363BCB">
        <w:rPr>
          <w:lang w:eastAsia="en-GB"/>
        </w:rPr>
        <w:t>;</w:t>
      </w:r>
    </w:p>
    <w:p w14:paraId="64B7CC7B" w14:textId="77777777" w:rsidR="006354E7" w:rsidRDefault="006354E7" w:rsidP="006354E7">
      <w:pPr>
        <w:pStyle w:val="SingleTxtG"/>
        <w:ind w:left="1848" w:hanging="357"/>
        <w:rPr>
          <w:lang w:eastAsia="en-GB"/>
        </w:rPr>
      </w:pPr>
      <w:r>
        <w:rPr>
          <w:lang w:eastAsia="en-GB"/>
        </w:rPr>
        <w:t>e.</w:t>
      </w:r>
      <w:r>
        <w:rPr>
          <w:lang w:eastAsia="en-GB"/>
        </w:rPr>
        <w:tab/>
      </w:r>
      <w:r w:rsidRPr="00363BCB">
        <w:rPr>
          <w:lang w:eastAsia="en-GB"/>
        </w:rPr>
        <w:t xml:space="preserve">Atteintes à la vie, à l’intégrité physique, à la liberté ou à la sécurité de dirigeants, de personnalités éminentes ou de membres de groupes opposés; autres actes de violence graves, </w:t>
      </w:r>
      <w:r>
        <w:rPr>
          <w:lang w:eastAsia="en-GB"/>
        </w:rPr>
        <w:t>notamment attentats terroristes</w:t>
      </w:r>
      <w:r w:rsidRPr="00363BCB">
        <w:rPr>
          <w:lang w:eastAsia="en-GB"/>
        </w:rPr>
        <w:t>;</w:t>
      </w:r>
    </w:p>
    <w:p w14:paraId="7A2C760D" w14:textId="77777777" w:rsidR="006354E7" w:rsidRDefault="006354E7" w:rsidP="006354E7">
      <w:pPr>
        <w:pStyle w:val="SingleTxtG"/>
        <w:ind w:left="1854" w:hanging="360"/>
        <w:rPr>
          <w:lang w:eastAsia="en-GB"/>
        </w:rPr>
      </w:pPr>
      <w:r>
        <w:rPr>
          <w:lang w:eastAsia="en-GB"/>
        </w:rPr>
        <w:t>f.</w:t>
      </w:r>
      <w:r>
        <w:rPr>
          <w:lang w:eastAsia="en-GB"/>
        </w:rPr>
        <w:tab/>
      </w:r>
      <w:r w:rsidRPr="00363BCB">
        <w:rPr>
          <w:lang w:eastAsia="en-GB"/>
        </w:rPr>
        <w:t>Manifestations religieuses ou actes réels ou perçus comme tels d’intolérance religieuse ou d’irrespect, notamment en dehors des front</w:t>
      </w:r>
      <w:r>
        <w:rPr>
          <w:lang w:eastAsia="en-GB"/>
        </w:rPr>
        <w:t>ières nationales</w:t>
      </w:r>
      <w:r w:rsidRPr="00363BCB">
        <w:rPr>
          <w:lang w:eastAsia="en-GB"/>
        </w:rPr>
        <w:t>;</w:t>
      </w:r>
    </w:p>
    <w:p w14:paraId="16B9DC18" w14:textId="77777777" w:rsidR="006354E7" w:rsidRDefault="006354E7" w:rsidP="006354E7">
      <w:pPr>
        <w:pStyle w:val="SingleTxtG"/>
        <w:ind w:left="1854" w:hanging="360"/>
        <w:rPr>
          <w:lang w:eastAsia="en-GB"/>
        </w:rPr>
      </w:pPr>
      <w:r>
        <w:rPr>
          <w:lang w:eastAsia="en-GB"/>
        </w:rPr>
        <w:t>g.</w:t>
      </w:r>
      <w:r>
        <w:rPr>
          <w:lang w:eastAsia="en-GB"/>
        </w:rPr>
        <w:tab/>
      </w:r>
      <w:r w:rsidRPr="00363BCB">
        <w:rPr>
          <w:lang w:eastAsia="en-GB"/>
        </w:rPr>
        <w:t>Actes d’incitation ou propagande haineuse visant des groupes</w:t>
      </w:r>
      <w:r>
        <w:rPr>
          <w:lang w:eastAsia="en-GB"/>
        </w:rPr>
        <w:t xml:space="preserve"> ou des personnes particulières</w:t>
      </w:r>
      <w:r w:rsidRPr="00363BCB">
        <w:rPr>
          <w:lang w:eastAsia="en-GB"/>
        </w:rPr>
        <w:t>;</w:t>
      </w:r>
    </w:p>
    <w:p w14:paraId="733D327F" w14:textId="77777777" w:rsidR="006354E7" w:rsidRDefault="006354E7" w:rsidP="006354E7">
      <w:pPr>
        <w:pStyle w:val="SingleTxtG"/>
        <w:ind w:left="1854" w:hanging="360"/>
        <w:rPr>
          <w:lang w:eastAsia="en-GB"/>
        </w:rPr>
      </w:pPr>
      <w:r>
        <w:rPr>
          <w:lang w:eastAsia="en-GB"/>
        </w:rPr>
        <w:t>h.</w:t>
      </w:r>
      <w:r>
        <w:rPr>
          <w:lang w:eastAsia="en-GB"/>
        </w:rPr>
        <w:tab/>
      </w:r>
      <w:r w:rsidRPr="00363BCB">
        <w:rPr>
          <w:lang w:eastAsia="en-GB"/>
        </w:rPr>
        <w:t>Recensement, élections, activités essentielles liées à ces processus o</w:t>
      </w:r>
      <w:r>
        <w:rPr>
          <w:lang w:eastAsia="en-GB"/>
        </w:rPr>
        <w:t>u mesures qui les déstabilisent</w:t>
      </w:r>
      <w:r w:rsidRPr="00363BCB">
        <w:rPr>
          <w:lang w:eastAsia="en-GB"/>
        </w:rPr>
        <w:t>;</w:t>
      </w:r>
    </w:p>
    <w:p w14:paraId="0DC731AB" w14:textId="77777777" w:rsidR="006354E7" w:rsidRDefault="006354E7" w:rsidP="006354E7">
      <w:pPr>
        <w:pStyle w:val="SingleTxtG"/>
        <w:ind w:left="1854" w:hanging="360"/>
        <w:rPr>
          <w:lang w:eastAsia="en-GB"/>
        </w:rPr>
      </w:pPr>
      <w:r>
        <w:rPr>
          <w:lang w:eastAsia="en-GB"/>
        </w:rPr>
        <w:t>i.</w:t>
      </w:r>
      <w:r>
        <w:rPr>
          <w:lang w:eastAsia="en-GB"/>
        </w:rPr>
        <w:tab/>
      </w:r>
      <w:r w:rsidRPr="00363BCB">
        <w:rPr>
          <w:lang w:eastAsia="en-GB"/>
        </w:rPr>
        <w:t>Changements soudains affectant l’économie ou la population active, résultant notamment de crises financières, de catastr</w:t>
      </w:r>
      <w:r>
        <w:rPr>
          <w:lang w:eastAsia="en-GB"/>
        </w:rPr>
        <w:t>ophes naturelles ou d’épidémies</w:t>
      </w:r>
      <w:r w:rsidRPr="00363BCB">
        <w:rPr>
          <w:lang w:eastAsia="en-GB"/>
        </w:rPr>
        <w:t>;</w:t>
      </w:r>
    </w:p>
    <w:p w14:paraId="2DC92698" w14:textId="77777777" w:rsidR="006354E7" w:rsidRDefault="006354E7" w:rsidP="006354E7">
      <w:pPr>
        <w:pStyle w:val="SingleTxtG"/>
        <w:ind w:left="1854" w:hanging="360"/>
        <w:rPr>
          <w:lang w:eastAsia="en-GB"/>
        </w:rPr>
      </w:pPr>
      <w:r>
        <w:rPr>
          <w:lang w:eastAsia="en-GB"/>
        </w:rPr>
        <w:t>j.</w:t>
      </w:r>
      <w:r>
        <w:rPr>
          <w:lang w:eastAsia="en-GB"/>
        </w:rPr>
        <w:tab/>
      </w:r>
      <w:r w:rsidRPr="00363BCB">
        <w:rPr>
          <w:lang w:eastAsia="en-GB"/>
        </w:rPr>
        <w:t>Découverte de ressources naturelles ou lancement de projets d’exploitation ayant de graves incidences sur les moyens de subsistance et la viabilité de groupes ou de populations civ</w:t>
      </w:r>
      <w:r>
        <w:rPr>
          <w:lang w:eastAsia="en-GB"/>
        </w:rPr>
        <w:t>iles</w:t>
      </w:r>
      <w:r w:rsidRPr="00363BCB">
        <w:rPr>
          <w:lang w:eastAsia="en-GB"/>
        </w:rPr>
        <w:t>;</w:t>
      </w:r>
    </w:p>
    <w:p w14:paraId="18DA54E9" w14:textId="77777777" w:rsidR="006354E7" w:rsidRDefault="006354E7" w:rsidP="006354E7">
      <w:pPr>
        <w:pStyle w:val="SingleTxtG"/>
        <w:ind w:left="1854" w:hanging="360"/>
        <w:rPr>
          <w:lang w:eastAsia="en-GB"/>
        </w:rPr>
      </w:pPr>
      <w:r>
        <w:rPr>
          <w:lang w:eastAsia="en-GB"/>
        </w:rPr>
        <w:t>k.</w:t>
      </w:r>
      <w:r>
        <w:rPr>
          <w:lang w:eastAsia="en-GB"/>
        </w:rPr>
        <w:tab/>
      </w:r>
      <w:r w:rsidRPr="00363BCB">
        <w:rPr>
          <w:lang w:eastAsia="en-GB"/>
        </w:rPr>
        <w:t>Commémoration de crimes du passé ou d’épisodes traumatiques ou historiques pouvant exacerber les tensions entre groupes, notamment la glorification d’auteurs d’atrocités</w:t>
      </w:r>
      <w:r>
        <w:rPr>
          <w:lang w:eastAsia="en-GB"/>
        </w:rPr>
        <w:t>;</w:t>
      </w:r>
    </w:p>
    <w:p w14:paraId="0AF83142" w14:textId="77777777" w:rsidR="006354E7" w:rsidRPr="00363BCB" w:rsidRDefault="006354E7" w:rsidP="006354E7">
      <w:pPr>
        <w:pStyle w:val="SingleTxtG"/>
        <w:ind w:left="1854" w:hanging="360"/>
        <w:rPr>
          <w:lang w:eastAsia="en-GB"/>
        </w:rPr>
      </w:pPr>
      <w:r w:rsidRPr="00363BCB">
        <w:rPr>
          <w:lang w:eastAsia="en-GB"/>
        </w:rPr>
        <w:t>l.</w:t>
      </w:r>
      <w:r w:rsidRPr="00363BCB">
        <w:rPr>
          <w:lang w:eastAsia="en-GB"/>
        </w:rPr>
        <w:tab/>
        <w:t>Actes liés aux processus d’établissement des responsabilités, en particulier s’ils sont perçus comme injustes</w:t>
      </w:r>
      <w:r>
        <w:rPr>
          <w:lang w:eastAsia="en-GB"/>
        </w:rPr>
        <w:t>.</w:t>
      </w:r>
    </w:p>
    <w:p w14:paraId="6E8676CF" w14:textId="77777777" w:rsidR="006354E7" w:rsidRPr="00363BCB" w:rsidRDefault="006354E7" w:rsidP="006354E7">
      <w:pPr>
        <w:pStyle w:val="H1G"/>
        <w:rPr>
          <w:lang w:eastAsia="en-GB"/>
        </w:rPr>
      </w:pPr>
      <w:r w:rsidRPr="00191564">
        <w:rPr>
          <w:lang w:val="fr-CH" w:eastAsia="en-GB"/>
        </w:rPr>
        <w:tab/>
      </w:r>
      <w:r w:rsidRPr="00191564">
        <w:rPr>
          <w:lang w:val="fr-CH" w:eastAsia="en-GB"/>
        </w:rPr>
        <w:tab/>
      </w:r>
      <w:r w:rsidRPr="00363BCB">
        <w:rPr>
          <w:lang w:eastAsia="en-GB"/>
        </w:rPr>
        <w:t>Version anglaise</w:t>
      </w:r>
    </w:p>
    <w:p w14:paraId="3788C821"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1. Situations of armed conflict or other forms of instability</w:t>
      </w:r>
    </w:p>
    <w:p w14:paraId="1572673E"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International or non-international armed conflict;</w:t>
      </w:r>
    </w:p>
    <w:p w14:paraId="60EF736A"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Security crisis caused by, among other factors, defection from peace agreements, armed conflict in neighboring countries, threats of external interventions or acts of terrorism;</w:t>
      </w:r>
    </w:p>
    <w:p w14:paraId="5D2B84B2"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1705F1">
        <w:rPr>
          <w:lang w:val="en-US" w:eastAsia="en-GB"/>
        </w:rPr>
        <w:t>Humanitarian crisis or emergency, including those caused by natural disasters or epidemics;</w:t>
      </w:r>
    </w:p>
    <w:p w14:paraId="698E7CAC"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1705F1">
        <w:rPr>
          <w:lang w:val="en-US" w:eastAsia="en-GB"/>
        </w:rPr>
        <w:t>Political instability caused by abrupt or irregular regime change or transfer of power;</w:t>
      </w:r>
    </w:p>
    <w:p w14:paraId="1A51D4CA"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1705F1">
        <w:rPr>
          <w:lang w:val="en-US" w:eastAsia="en-GB"/>
        </w:rPr>
        <w:t>Political instability caused by disputes over power or growing nationalist, armed or radical opposition movements;</w:t>
      </w:r>
    </w:p>
    <w:p w14:paraId="505CF7FD"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1705F1">
        <w:rPr>
          <w:lang w:val="en-US" w:eastAsia="en-GB"/>
        </w:rPr>
        <w:t>Political tension caused by autocratic regimes or severe political repression;</w:t>
      </w:r>
    </w:p>
    <w:p w14:paraId="19A27E01"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1705F1">
        <w:rPr>
          <w:lang w:val="en-US" w:eastAsia="en-GB"/>
        </w:rPr>
        <w:t>Economic instability caused by scarcity of resources or disputes over their use or exploitation;</w:t>
      </w:r>
    </w:p>
    <w:p w14:paraId="09C89EB8"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1705F1">
        <w:rPr>
          <w:lang w:val="en-US" w:eastAsia="en-GB"/>
        </w:rPr>
        <w:t>Economic instability caused by severe crisis in the national economy;</w:t>
      </w:r>
    </w:p>
    <w:p w14:paraId="707DAEB7"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1705F1">
        <w:rPr>
          <w:lang w:val="en-US" w:eastAsia="en-GB"/>
        </w:rPr>
        <w:t>Economic instability caused by acute poverty, mass unemployment or deep horizontal inequalities;</w:t>
      </w:r>
    </w:p>
    <w:p w14:paraId="20A49353"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1705F1">
        <w:rPr>
          <w:lang w:val="en-US" w:eastAsia="en-GB"/>
        </w:rPr>
        <w:t>Social instability caused by resistance to, or mass protests against, State authority or policies;</w:t>
      </w:r>
    </w:p>
    <w:p w14:paraId="64B49FE8" w14:textId="77777777" w:rsidR="006354E7" w:rsidRPr="001705F1" w:rsidRDefault="006354E7" w:rsidP="006354E7">
      <w:pPr>
        <w:pStyle w:val="SingleTxtG"/>
        <w:ind w:left="1854" w:hanging="360"/>
        <w:rPr>
          <w:lang w:val="en-US" w:eastAsia="en-GB"/>
        </w:rPr>
      </w:pPr>
      <w:r w:rsidRPr="001705F1">
        <w:rPr>
          <w:lang w:val="en-US" w:eastAsia="en-GB"/>
        </w:rPr>
        <w:t>k.</w:t>
      </w:r>
      <w:r w:rsidRPr="001705F1">
        <w:rPr>
          <w:lang w:val="en-US" w:eastAsia="en-GB"/>
        </w:rPr>
        <w:tab/>
        <w:t>Social instability caused by exclusion or tensions based on identity issues, their perception or extremist forms.</w:t>
      </w:r>
    </w:p>
    <w:p w14:paraId="00676F70"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2. Record of serious violations of international human rights and</w:t>
      </w:r>
      <w:r>
        <w:rPr>
          <w:lang w:val="en-US" w:eastAsia="en-GB"/>
        </w:rPr>
        <w:t> </w:t>
      </w:r>
      <w:r w:rsidRPr="00363BCB">
        <w:rPr>
          <w:lang w:val="en-US" w:eastAsia="en-GB"/>
        </w:rPr>
        <w:t>humanitarian law</w:t>
      </w:r>
    </w:p>
    <w:p w14:paraId="1B2ABB3C"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Past or present serious restrictions to or violations of international human rights and humanitarian law, particularly if assuming an early pattern of conduct and if targeting protected groups, populations or individuals;</w:t>
      </w:r>
    </w:p>
    <w:p w14:paraId="515DB255"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Past acts of genocide, crimes against humanity, war crimes or their incitement;</w:t>
      </w:r>
    </w:p>
    <w:p w14:paraId="128F3E53"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1705F1">
        <w:rPr>
          <w:lang w:val="en-US" w:eastAsia="en-GB"/>
        </w:rPr>
        <w:t>Policy or practice of impunity for or tolerance of serious violations of international human rights and humanitarian law, of atrocity crimes, or of their incitement;</w:t>
      </w:r>
    </w:p>
    <w:p w14:paraId="1C56A8A8"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1705F1">
        <w:rPr>
          <w:lang w:val="en-US" w:eastAsia="en-GB"/>
        </w:rPr>
        <w:t>Inaction, reluctance or refusal to use all possible means to stop planned, predictable or ongoing serious violations of international human rights and humanitarian law or likely atrocity crimes, or their incitement;</w:t>
      </w:r>
    </w:p>
    <w:p w14:paraId="4390F8D7"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1705F1">
        <w:rPr>
          <w:lang w:val="en-US" w:eastAsia="en-GB"/>
        </w:rPr>
        <w:t>Continuation of support to groups accused of involvement in serious violations of international human rights and humanitarian law, including atrocity crimes, or failure to condemn their actions;</w:t>
      </w:r>
    </w:p>
    <w:p w14:paraId="2BA738B5"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1705F1">
        <w:rPr>
          <w:lang w:val="en-US" w:eastAsia="en-GB"/>
        </w:rPr>
        <w:t>Justification, biased accounts or denial of serious violations of international human rights and humanitarian law or atrocity crimes;</w:t>
      </w:r>
    </w:p>
    <w:p w14:paraId="4937411C"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1705F1">
        <w:rPr>
          <w:lang w:val="en-US" w:eastAsia="en-GB"/>
        </w:rPr>
        <w:t>Politicization or absence of reconciliation or transitional justice processes following conflict;</w:t>
      </w:r>
    </w:p>
    <w:p w14:paraId="67C9A257" w14:textId="77777777" w:rsidR="006354E7" w:rsidRPr="001705F1" w:rsidRDefault="006354E7" w:rsidP="006354E7">
      <w:pPr>
        <w:pStyle w:val="SingleTxtG"/>
        <w:ind w:left="1854" w:hanging="360"/>
        <w:rPr>
          <w:lang w:val="en-US" w:eastAsia="en-GB"/>
        </w:rPr>
      </w:pPr>
      <w:r w:rsidRPr="001705F1">
        <w:rPr>
          <w:lang w:val="en-US" w:eastAsia="en-GB"/>
        </w:rPr>
        <w:t>h.</w:t>
      </w:r>
      <w:r w:rsidRPr="001705F1">
        <w:rPr>
          <w:lang w:val="en-US" w:eastAsia="en-GB"/>
        </w:rPr>
        <w:tab/>
        <w:t>Widespread</w:t>
      </w:r>
      <w:r>
        <w:rPr>
          <w:lang w:val="en-US" w:eastAsia="en-GB"/>
        </w:rPr>
        <w:t>.</w:t>
      </w:r>
    </w:p>
    <w:p w14:paraId="3D65D546"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3. Weakness of State structures</w:t>
      </w:r>
    </w:p>
    <w:p w14:paraId="06B3A6F7"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1705F1">
        <w:rPr>
          <w:lang w:val="en-US" w:eastAsia="en-GB"/>
        </w:rPr>
        <w:t>National legal framework that does not offer ample and effective protection, including through ratification and domestication of relevant international human rights and humanitarian law treaties;</w:t>
      </w:r>
    </w:p>
    <w:p w14:paraId="3518FE9D"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1705F1">
        <w:rPr>
          <w:lang w:val="en-US" w:eastAsia="en-GB"/>
        </w:rPr>
        <w:t>National institutions, particularly judicial, law enforcement and human rights institutions that lack sufficient resources, adequate representation or training;</w:t>
      </w:r>
    </w:p>
    <w:p w14:paraId="1AEC9F4F"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Lack of an independent and impartial judiciary;</w:t>
      </w:r>
    </w:p>
    <w:p w14:paraId="02A85E1D"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Lack of effective civilian control of security forces;</w:t>
      </w:r>
    </w:p>
    <w:p w14:paraId="102F2BCC"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High levels of corruption or poor governance;</w:t>
      </w:r>
    </w:p>
    <w:p w14:paraId="7CAFD97F"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Absence or inadequate external or internal mechanisms of oversight and accountability, including those where victims can seek recourse for their claims;</w:t>
      </w:r>
    </w:p>
    <w:p w14:paraId="0137CA50"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Lack of awareness of and training on international human rights and humanitarian law to military forces, irregular forces and non-State armed groups, or other relevant actors;</w:t>
      </w:r>
    </w:p>
    <w:p w14:paraId="54590533"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Lack of capacity to ensure that means and methods of warfare comply with international humanitarian law standards;</w:t>
      </w:r>
    </w:p>
    <w:p w14:paraId="762960D3"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Lack of resources for reform or institution-building, including through regional or international support;</w:t>
      </w:r>
    </w:p>
    <w:p w14:paraId="2C746827" w14:textId="77777777" w:rsidR="006354E7" w:rsidRPr="00EA6A4D" w:rsidRDefault="006354E7" w:rsidP="006354E7">
      <w:pPr>
        <w:pStyle w:val="SingleTxtG"/>
        <w:ind w:left="1854" w:hanging="360"/>
        <w:rPr>
          <w:lang w:val="en-US" w:eastAsia="en-GB"/>
        </w:rPr>
      </w:pPr>
      <w:r w:rsidRPr="00EA6A4D">
        <w:rPr>
          <w:lang w:val="en-US" w:eastAsia="en-GB"/>
        </w:rPr>
        <w:t>j.</w:t>
      </w:r>
      <w:r w:rsidRPr="00EA6A4D">
        <w:rPr>
          <w:lang w:val="en-US" w:eastAsia="en-GB"/>
        </w:rPr>
        <w:tab/>
        <w:t>Insufficient resources to implement overall measures aimed at protecting populations.</w:t>
      </w:r>
    </w:p>
    <w:p w14:paraId="08CC706B"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4. Motives or incentives</w:t>
      </w:r>
    </w:p>
    <w:p w14:paraId="260180F4"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Political motives, particularly those aimed at the attainment or consolidation of power;</w:t>
      </w:r>
    </w:p>
    <w:p w14:paraId="22BCE071"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Economic interests, including those based on the safeguard and well-being of elites or identity groups, or control over the distribution of resources;</w:t>
      </w:r>
    </w:p>
    <w:p w14:paraId="42FB13AF"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Strategic or military interests, including those based on protection or seizure of territory and resources;</w:t>
      </w:r>
    </w:p>
    <w:p w14:paraId="352F091A"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Other interests, including those aimed at rendering an area homogeneous in its identity;</w:t>
      </w:r>
    </w:p>
    <w:p w14:paraId="687CECD4"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Real or perceived threats posed by protected groups, populations or individuals against interests or objectives of perpetrators, including perceptions of disloyalty to a cause;</w:t>
      </w:r>
    </w:p>
    <w:p w14:paraId="1B967EAC"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Real or perceived membership of or support for armed opposition groups by protected groups, populations or individuals;</w:t>
      </w:r>
    </w:p>
    <w:p w14:paraId="77865769"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Ideologies based on the supremacy of a certain identity or on extremist versions of identity;</w:t>
      </w:r>
    </w:p>
    <w:p w14:paraId="77D4498F"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Politicization of past grievances, tensions or impunity;</w:t>
      </w:r>
    </w:p>
    <w:p w14:paraId="2616DAE0" w14:textId="77777777" w:rsidR="006354E7" w:rsidRPr="00EA6A4D" w:rsidRDefault="006354E7" w:rsidP="006354E7">
      <w:pPr>
        <w:pStyle w:val="SingleTxtG"/>
        <w:ind w:left="1854" w:hanging="360"/>
        <w:rPr>
          <w:lang w:val="en-US" w:eastAsia="en-GB"/>
        </w:rPr>
      </w:pPr>
      <w:r w:rsidRPr="00EA6A4D">
        <w:rPr>
          <w:lang w:val="en-US" w:eastAsia="en-GB"/>
        </w:rPr>
        <w:t>i.</w:t>
      </w:r>
      <w:r w:rsidRPr="00EA6A4D">
        <w:rPr>
          <w:lang w:val="en-US" w:eastAsia="en-GB"/>
        </w:rPr>
        <w:tab/>
        <w:t>Social trauma caused by past incidents of violence not adequately addressed and that produced feelings of loss, displacement, injustice and a possible desire for revenge.</w:t>
      </w:r>
    </w:p>
    <w:p w14:paraId="55D79AD1"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5. Capacity to commit atrocity crimes</w:t>
      </w:r>
    </w:p>
    <w:p w14:paraId="4B5B1CCA"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Availability of personnel and of arms and ammunition, or of the financial resources, public or private, for their procurement;</w:t>
      </w:r>
    </w:p>
    <w:p w14:paraId="016C5B8F"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Capacity to transport and deploy personnel and to transport and distribute arms and ammunition;</w:t>
      </w:r>
    </w:p>
    <w:p w14:paraId="35013F30"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Capacity to encourage or recruit large numbers of supporters from populations or groups, and availability of the means to mobilize them;</w:t>
      </w:r>
    </w:p>
    <w:p w14:paraId="0BE1DDCC"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Strong culture of obedience to authority and group conformity;</w:t>
      </w:r>
    </w:p>
    <w:p w14:paraId="7306936A"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Presence of or links with other armed forces or with non-State armed groups;</w:t>
      </w:r>
      <w:r w:rsidR="003724B4">
        <w:rPr>
          <w:lang w:val="en-US" w:eastAsia="en-GB"/>
        </w:rPr>
        <w:t xml:space="preserve">  </w:t>
      </w:r>
    </w:p>
    <w:p w14:paraId="5E5249D2"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Presence of commercial actors or companies that can serve as enablers by providing goods, services, or other forms of practical or technical support that help to sustain perpetrators;</w:t>
      </w:r>
    </w:p>
    <w:p w14:paraId="15E6ECB6"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Financial, political or other support of influential or wealthy national actors;</w:t>
      </w:r>
    </w:p>
    <w:p w14:paraId="5713B96A" w14:textId="77777777" w:rsidR="006354E7" w:rsidRPr="00EA6A4D" w:rsidRDefault="006354E7" w:rsidP="006354E7">
      <w:pPr>
        <w:pStyle w:val="SingleTxtG"/>
        <w:ind w:left="1854" w:hanging="360"/>
        <w:rPr>
          <w:lang w:val="en-US" w:eastAsia="en-GB"/>
        </w:rPr>
      </w:pPr>
      <w:r w:rsidRPr="00EA6A4D">
        <w:rPr>
          <w:lang w:val="en-US" w:eastAsia="en-GB"/>
        </w:rPr>
        <w:t>h.</w:t>
      </w:r>
      <w:r w:rsidRPr="00EA6A4D">
        <w:rPr>
          <w:lang w:val="en-US" w:eastAsia="en-GB"/>
        </w:rPr>
        <w:tab/>
        <w:t>Armed, financial, logistic, training or other support of external actors, including States, international or regional organizations, private companies, or others.</w:t>
      </w:r>
    </w:p>
    <w:p w14:paraId="2ABCF34C" w14:textId="77777777" w:rsidR="006354E7" w:rsidRPr="00363BCB" w:rsidRDefault="006354E7" w:rsidP="006354E7">
      <w:pPr>
        <w:pStyle w:val="H23G"/>
        <w:rPr>
          <w:lang w:val="en-US" w:eastAsia="en-GB"/>
        </w:rPr>
      </w:pPr>
      <w:r>
        <w:rPr>
          <w:lang w:val="en-US" w:eastAsia="en-GB"/>
        </w:rPr>
        <w:tab/>
      </w:r>
      <w:r>
        <w:rPr>
          <w:lang w:val="en-US" w:eastAsia="en-GB"/>
        </w:rPr>
        <w:tab/>
        <w:t xml:space="preserve">Risk factor </w:t>
      </w:r>
      <w:r w:rsidRPr="00363BCB">
        <w:rPr>
          <w:lang w:val="en-US" w:eastAsia="en-GB"/>
        </w:rPr>
        <w:t>6. Absence of mitigating factors</w:t>
      </w:r>
    </w:p>
    <w:p w14:paraId="2DCE71A5"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Limited or lack of empowerment processes, resources, allies or other elements that could contribute to the ability of protected groups, populations or individuals to protect themselves;</w:t>
      </w:r>
    </w:p>
    <w:p w14:paraId="63EA81E8"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Lack of a strong, organized and representative national civil society and of a free, diverse and independent national media;</w:t>
      </w:r>
    </w:p>
    <w:p w14:paraId="36869F9C"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Lack of interest and focus of international civil society actors or of access to international media;</w:t>
      </w:r>
    </w:p>
    <w:p w14:paraId="65A606F3"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Lack of, or limited presence of, the United Nations, international non-governmental organizations or other international or regional actors in the country and with access to populations;</w:t>
      </w:r>
    </w:p>
    <w:p w14:paraId="2D658BF8"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Lack of membership and effective participation of the State in international or regional organizations that establish mandatory membership obligations;</w:t>
      </w:r>
    </w:p>
    <w:p w14:paraId="2BB76DF4"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Lack of exposure, openness or establishment of political or economic relations with other States or organizations;</w:t>
      </w:r>
    </w:p>
    <w:p w14:paraId="370200B5"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Limited cooperation of the State with international and regional human rights mechanisms;</w:t>
      </w:r>
    </w:p>
    <w:p w14:paraId="62E1FC24"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Lack of incentives or willingness of parties to a conflict to engage in dialogue, make concessions and receive support from the international community;</w:t>
      </w:r>
    </w:p>
    <w:p w14:paraId="1292C97F"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Lack of interest, reluctance or failure of States Members of the United Nations or members of international or regional organizations to support a State to exercise its responsibility to protect populations from atrocity crimes, or to take action when the State manifestly fails that responsibility;</w:t>
      </w:r>
    </w:p>
    <w:p w14:paraId="2448CD81"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EA6A4D">
        <w:rPr>
          <w:lang w:val="en-US" w:eastAsia="en-GB"/>
        </w:rPr>
        <w:t>Lack of support by neighbouring States to protect populations at risk and in need of refuge, including by closure of borders, forced repatriation or aid restriction;</w:t>
      </w:r>
    </w:p>
    <w:p w14:paraId="18008277" w14:textId="77777777" w:rsidR="006354E7" w:rsidRPr="00EA6A4D" w:rsidRDefault="006354E7" w:rsidP="006354E7">
      <w:pPr>
        <w:pStyle w:val="SingleTxtG"/>
        <w:ind w:left="1854" w:hanging="360"/>
        <w:rPr>
          <w:lang w:val="en-US" w:eastAsia="en-GB"/>
        </w:rPr>
      </w:pPr>
      <w:r w:rsidRPr="00EA6A4D">
        <w:rPr>
          <w:lang w:val="en-US" w:eastAsia="en-GB"/>
        </w:rPr>
        <w:t>k.</w:t>
      </w:r>
      <w:r w:rsidRPr="00EA6A4D">
        <w:rPr>
          <w:lang w:val="en-US" w:eastAsia="en-GB"/>
        </w:rPr>
        <w:tab/>
        <w:t>Lack of an early warning mechanism relevant to the prevention of atrocity crimes.</w:t>
      </w:r>
    </w:p>
    <w:p w14:paraId="6699D656"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7. Enabling circumstances or preparatory action</w:t>
      </w:r>
    </w:p>
    <w:p w14:paraId="36C0898B"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Imposition of emergency laws or extraordinary security measures that erode fundamental rights;</w:t>
      </w:r>
    </w:p>
    <w:p w14:paraId="13696D58"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Suspension of or interference with vital State institutions, or measures that result in changes in their composition or balance of power, particularly if this results in the exclusion or lack of representation of protected groups;</w:t>
      </w:r>
    </w:p>
    <w:p w14:paraId="4E948642"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Strengthening of the security apparatus, its reorganization or mobilization against protected groups, populations or individuals;</w:t>
      </w:r>
    </w:p>
    <w:p w14:paraId="32EF8225"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Acquisition of large quantities of arms and ammunition or of other objects that could be used to inflict harm;</w:t>
      </w:r>
    </w:p>
    <w:p w14:paraId="29609C0F"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EA6A4D">
        <w:rPr>
          <w:lang w:val="en-US" w:eastAsia="en-GB"/>
        </w:rPr>
        <w:t>Creation of, or increased support to, militia or paramilitary groups;</w:t>
      </w:r>
    </w:p>
    <w:p w14:paraId="7A4FC463"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EA6A4D">
        <w:rPr>
          <w:lang w:val="en-US" w:eastAsia="en-GB"/>
        </w:rPr>
        <w:t>Imposition of strict control on the use of communication channels, or banning access to them;</w:t>
      </w:r>
    </w:p>
    <w:p w14:paraId="612DFB1B"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EA6A4D">
        <w:rPr>
          <w:lang w:val="en-US" w:eastAsia="en-GB"/>
        </w:rPr>
        <w:t>Expulsion or refusal to allow the presence of non-governmental organizations, international organizations, media or other relevant actors, or imposition of severe restrictions on their services and movements;</w:t>
      </w:r>
    </w:p>
    <w:p w14:paraId="3C071F70"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EA6A4D">
        <w:rPr>
          <w:lang w:val="en-US" w:eastAsia="en-GB"/>
        </w:rPr>
        <w:t>Increased violations of the right to life, physical integrity, liberty or security of members of protected groups, populations or individuals, or recent adoption of measures or legislation that affect or deliberately discriminate against them;</w:t>
      </w:r>
    </w:p>
    <w:p w14:paraId="784DE35A"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EA6A4D">
        <w:rPr>
          <w:lang w:val="en-US" w:eastAsia="en-GB"/>
        </w:rPr>
        <w:t>Increased serious acts of violence against women and children, or creation of conditions that facilitate acts of sexual violence against those groups, including as a tool of terror;</w:t>
      </w:r>
    </w:p>
    <w:p w14:paraId="5F17E177"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EA6A4D">
        <w:rPr>
          <w:lang w:val="en-US" w:eastAsia="en-GB"/>
        </w:rPr>
        <w:t>Imposition of life-threatening living conditions or the deportation, seizure, collection, segregation, evacuation or forced displacement or transfer of protected groups, populations or individuals to camps, rural areas, ghettos or other assigned locations;</w:t>
      </w:r>
    </w:p>
    <w:p w14:paraId="3231701E" w14:textId="77777777" w:rsidR="006354E7" w:rsidRDefault="006354E7" w:rsidP="006354E7">
      <w:pPr>
        <w:pStyle w:val="SingleTxtG"/>
        <w:ind w:left="1854" w:hanging="360"/>
        <w:rPr>
          <w:lang w:val="en-US" w:eastAsia="en-GB"/>
        </w:rPr>
      </w:pPr>
      <w:r>
        <w:rPr>
          <w:lang w:val="en-US" w:eastAsia="en-GB"/>
        </w:rPr>
        <w:t>k.</w:t>
      </w:r>
      <w:r>
        <w:rPr>
          <w:lang w:val="en-US" w:eastAsia="en-GB"/>
        </w:rPr>
        <w:tab/>
      </w:r>
      <w:r w:rsidRPr="00EA6A4D">
        <w:rPr>
          <w:lang w:val="en-US" w:eastAsia="en-GB"/>
        </w:rPr>
        <w:t>Destruction or plundering of essential goods or installations for protected groups, populations or individuals, or of property related to cultural and religious identity;</w:t>
      </w:r>
    </w:p>
    <w:p w14:paraId="2DA6F93B" w14:textId="77777777" w:rsidR="006354E7" w:rsidRDefault="006354E7" w:rsidP="006354E7">
      <w:pPr>
        <w:pStyle w:val="SingleTxtG"/>
        <w:ind w:left="1854" w:hanging="360"/>
        <w:rPr>
          <w:lang w:val="en-US" w:eastAsia="en-GB"/>
        </w:rPr>
      </w:pPr>
      <w:r>
        <w:rPr>
          <w:lang w:val="en-US" w:eastAsia="en-GB"/>
        </w:rPr>
        <w:t>l.</w:t>
      </w:r>
      <w:r>
        <w:rPr>
          <w:lang w:val="en-US" w:eastAsia="en-GB"/>
        </w:rPr>
        <w:tab/>
      </w:r>
      <w:r w:rsidRPr="00EA6A4D">
        <w:rPr>
          <w:lang w:val="en-US" w:eastAsia="en-GB"/>
        </w:rPr>
        <w:t>Marking of people or their property based on affiliation to a group;</w:t>
      </w:r>
    </w:p>
    <w:p w14:paraId="79B40719" w14:textId="77777777" w:rsidR="006354E7" w:rsidRDefault="006354E7" w:rsidP="006354E7">
      <w:pPr>
        <w:pStyle w:val="SingleTxtG"/>
        <w:ind w:left="1854" w:hanging="360"/>
        <w:rPr>
          <w:lang w:val="en-US" w:eastAsia="en-GB"/>
        </w:rPr>
      </w:pPr>
      <w:r>
        <w:rPr>
          <w:lang w:val="en-US" w:eastAsia="en-GB"/>
        </w:rPr>
        <w:t>m.</w:t>
      </w:r>
      <w:r>
        <w:rPr>
          <w:lang w:val="en-US" w:eastAsia="en-GB"/>
        </w:rPr>
        <w:tab/>
      </w:r>
      <w:r w:rsidRPr="00EA6A4D">
        <w:rPr>
          <w:lang w:val="en-US" w:eastAsia="en-GB"/>
        </w:rPr>
        <w:t>Increased politicization of identity, past events or motives to engage in violence;</w:t>
      </w:r>
    </w:p>
    <w:p w14:paraId="0A8152E8" w14:textId="77777777" w:rsidR="006354E7" w:rsidRPr="00EA6A4D" w:rsidRDefault="006354E7" w:rsidP="006354E7">
      <w:pPr>
        <w:pStyle w:val="SingleTxtG"/>
        <w:ind w:left="1854" w:hanging="360"/>
        <w:rPr>
          <w:lang w:val="en-US" w:eastAsia="en-GB"/>
        </w:rPr>
      </w:pPr>
      <w:r w:rsidRPr="00EA6A4D">
        <w:rPr>
          <w:lang w:val="en-US" w:eastAsia="en-GB"/>
        </w:rPr>
        <w:t>n.</w:t>
      </w:r>
      <w:r w:rsidRPr="00EA6A4D">
        <w:rPr>
          <w:lang w:val="en-US" w:eastAsia="en-GB"/>
        </w:rPr>
        <w:tab/>
        <w:t>Increased inflammatory rhetoric, propaganda campaigns or hate speech targeting protected groups, populations or individuals.</w:t>
      </w:r>
    </w:p>
    <w:p w14:paraId="1E563579" w14:textId="77777777" w:rsidR="006354E7" w:rsidRPr="00363BCB" w:rsidRDefault="006354E7" w:rsidP="006354E7">
      <w:pPr>
        <w:pStyle w:val="H23G"/>
        <w:rPr>
          <w:lang w:val="en-US" w:eastAsia="en-GB"/>
        </w:rPr>
      </w:pPr>
      <w:r w:rsidRPr="00363BCB">
        <w:rPr>
          <w:lang w:val="en-US" w:eastAsia="en-GB"/>
        </w:rPr>
        <w:tab/>
      </w:r>
      <w:r w:rsidRPr="00363BCB">
        <w:rPr>
          <w:lang w:val="en-US" w:eastAsia="en-GB"/>
        </w:rPr>
        <w:tab/>
        <w:t>Risk factor 8. Triggering factors</w:t>
      </w:r>
    </w:p>
    <w:p w14:paraId="6C4E165B" w14:textId="77777777" w:rsidR="006354E7" w:rsidRDefault="006354E7" w:rsidP="006354E7">
      <w:pPr>
        <w:pStyle w:val="SingleTxtG"/>
        <w:ind w:left="1848" w:hanging="357"/>
        <w:rPr>
          <w:lang w:val="en-US" w:eastAsia="en-GB"/>
        </w:rPr>
      </w:pPr>
      <w:r>
        <w:rPr>
          <w:lang w:val="en-US" w:eastAsia="en-GB"/>
        </w:rPr>
        <w:t>a.</w:t>
      </w:r>
      <w:r>
        <w:rPr>
          <w:lang w:val="en-US" w:eastAsia="en-GB"/>
        </w:rPr>
        <w:tab/>
      </w:r>
      <w:r w:rsidRPr="00EA6A4D">
        <w:rPr>
          <w:lang w:val="en-US" w:eastAsia="en-GB"/>
        </w:rPr>
        <w:t>Sudden deployment of security forces or commencement of armed hostilities</w:t>
      </w:r>
      <w:r w:rsidRPr="00363BCB">
        <w:rPr>
          <w:lang w:val="en-US" w:eastAsia="en-GB"/>
        </w:rPr>
        <w:t>;</w:t>
      </w:r>
    </w:p>
    <w:p w14:paraId="0ABC9221" w14:textId="77777777" w:rsidR="006354E7" w:rsidRDefault="006354E7" w:rsidP="006354E7">
      <w:pPr>
        <w:pStyle w:val="SingleTxtG"/>
        <w:ind w:left="1854" w:hanging="360"/>
        <w:rPr>
          <w:lang w:val="en-US" w:eastAsia="en-GB"/>
        </w:rPr>
      </w:pPr>
      <w:r>
        <w:rPr>
          <w:lang w:val="en-US" w:eastAsia="en-GB"/>
        </w:rPr>
        <w:t>b.</w:t>
      </w:r>
      <w:r>
        <w:rPr>
          <w:lang w:val="en-US" w:eastAsia="en-GB"/>
        </w:rPr>
        <w:tab/>
      </w:r>
      <w:r w:rsidRPr="00EA6A4D">
        <w:rPr>
          <w:lang w:val="en-US" w:eastAsia="en-GB"/>
        </w:rPr>
        <w:t>Spillover of armed conflicts or serious tensions in neighbouring countries;</w:t>
      </w:r>
    </w:p>
    <w:p w14:paraId="7F3EB335" w14:textId="77777777" w:rsidR="006354E7" w:rsidRDefault="006354E7" w:rsidP="006354E7">
      <w:pPr>
        <w:pStyle w:val="SingleTxtG"/>
        <w:ind w:left="1854" w:hanging="360"/>
        <w:rPr>
          <w:lang w:val="en-US" w:eastAsia="en-GB"/>
        </w:rPr>
      </w:pPr>
      <w:r>
        <w:rPr>
          <w:lang w:val="en-US" w:eastAsia="en-GB"/>
        </w:rPr>
        <w:t>c.</w:t>
      </w:r>
      <w:r>
        <w:rPr>
          <w:lang w:val="en-US" w:eastAsia="en-GB"/>
        </w:rPr>
        <w:tab/>
      </w:r>
      <w:r w:rsidRPr="00EA6A4D">
        <w:rPr>
          <w:lang w:val="en-US" w:eastAsia="en-GB"/>
        </w:rPr>
        <w:t>Measures taken by the international community perceived as threatening to a State’s sovereignty;</w:t>
      </w:r>
    </w:p>
    <w:p w14:paraId="236DF370" w14:textId="77777777" w:rsidR="006354E7" w:rsidRDefault="006354E7" w:rsidP="006354E7">
      <w:pPr>
        <w:pStyle w:val="SingleTxtG"/>
        <w:ind w:left="1854" w:hanging="360"/>
        <w:rPr>
          <w:lang w:val="en-US" w:eastAsia="en-GB"/>
        </w:rPr>
      </w:pPr>
      <w:r>
        <w:rPr>
          <w:lang w:val="en-US" w:eastAsia="en-GB"/>
        </w:rPr>
        <w:t>d.</w:t>
      </w:r>
      <w:r>
        <w:rPr>
          <w:lang w:val="en-US" w:eastAsia="en-GB"/>
        </w:rPr>
        <w:tab/>
      </w:r>
      <w:r w:rsidRPr="00EA6A4D">
        <w:rPr>
          <w:lang w:val="en-US" w:eastAsia="en-GB"/>
        </w:rPr>
        <w:t>Abrupt or irregular regime changes, transfers of power, or changes in political power of groups;</w:t>
      </w:r>
    </w:p>
    <w:p w14:paraId="4C20DAD7" w14:textId="77777777" w:rsidR="006354E7" w:rsidRDefault="006354E7" w:rsidP="006354E7">
      <w:pPr>
        <w:pStyle w:val="SingleTxtG"/>
        <w:ind w:left="1854" w:hanging="360"/>
        <w:rPr>
          <w:lang w:val="en-US" w:eastAsia="en-GB"/>
        </w:rPr>
      </w:pPr>
      <w:r>
        <w:rPr>
          <w:lang w:val="en-US" w:eastAsia="en-GB"/>
        </w:rPr>
        <w:t>e.</w:t>
      </w:r>
      <w:r>
        <w:rPr>
          <w:lang w:val="en-US" w:eastAsia="en-GB"/>
        </w:rPr>
        <w:tab/>
      </w:r>
      <w:r w:rsidRPr="00AD54CD">
        <w:rPr>
          <w:lang w:val="en-US" w:eastAsia="en-GB"/>
        </w:rPr>
        <w:t>Attacks against the life, physical integrity, liberty or security of leaders, prominent individuals or members of opposing groups; other serious acts of violence, such as terrorist attacks;</w:t>
      </w:r>
    </w:p>
    <w:p w14:paraId="23784B11" w14:textId="77777777" w:rsidR="006354E7" w:rsidRDefault="006354E7" w:rsidP="006354E7">
      <w:pPr>
        <w:pStyle w:val="SingleTxtG"/>
        <w:ind w:left="1854" w:hanging="360"/>
        <w:rPr>
          <w:lang w:val="en-US" w:eastAsia="en-GB"/>
        </w:rPr>
      </w:pPr>
      <w:r>
        <w:rPr>
          <w:lang w:val="en-US" w:eastAsia="en-GB"/>
        </w:rPr>
        <w:t>f.</w:t>
      </w:r>
      <w:r>
        <w:rPr>
          <w:lang w:val="en-US" w:eastAsia="en-GB"/>
        </w:rPr>
        <w:tab/>
      </w:r>
      <w:r w:rsidRPr="00AD54CD">
        <w:rPr>
          <w:lang w:val="en-US" w:eastAsia="en-GB"/>
        </w:rPr>
        <w:t>Religious events or real or perceived acts of religious intolerance or disrespect, including outside national borders;</w:t>
      </w:r>
    </w:p>
    <w:p w14:paraId="58E4804C" w14:textId="77777777" w:rsidR="006354E7" w:rsidRDefault="006354E7" w:rsidP="006354E7">
      <w:pPr>
        <w:pStyle w:val="SingleTxtG"/>
        <w:ind w:left="1854" w:hanging="360"/>
        <w:rPr>
          <w:lang w:val="en-US" w:eastAsia="en-GB"/>
        </w:rPr>
      </w:pPr>
      <w:r>
        <w:rPr>
          <w:lang w:val="en-US" w:eastAsia="en-GB"/>
        </w:rPr>
        <w:t>g.</w:t>
      </w:r>
      <w:r>
        <w:rPr>
          <w:lang w:val="en-US" w:eastAsia="en-GB"/>
        </w:rPr>
        <w:tab/>
      </w:r>
      <w:r w:rsidRPr="00AD54CD">
        <w:rPr>
          <w:lang w:val="en-US" w:eastAsia="en-GB"/>
        </w:rPr>
        <w:t>Acts of incitement or hate propaganda targeting particular groups or individuals;</w:t>
      </w:r>
    </w:p>
    <w:p w14:paraId="511ADB7E" w14:textId="77777777" w:rsidR="006354E7" w:rsidRDefault="006354E7" w:rsidP="006354E7">
      <w:pPr>
        <w:pStyle w:val="SingleTxtG"/>
        <w:ind w:left="1854" w:hanging="360"/>
        <w:rPr>
          <w:lang w:val="en-US" w:eastAsia="en-GB"/>
        </w:rPr>
      </w:pPr>
      <w:r>
        <w:rPr>
          <w:lang w:val="en-US" w:eastAsia="en-GB"/>
        </w:rPr>
        <w:t>h.</w:t>
      </w:r>
      <w:r>
        <w:rPr>
          <w:lang w:val="en-US" w:eastAsia="en-GB"/>
        </w:rPr>
        <w:tab/>
      </w:r>
      <w:r w:rsidRPr="00AD54CD">
        <w:rPr>
          <w:lang w:val="en-US" w:eastAsia="en-GB"/>
        </w:rPr>
        <w:t>Census, elections, pivotal activities related to those processes, or measures that destabilize them;</w:t>
      </w:r>
    </w:p>
    <w:p w14:paraId="0E636298" w14:textId="77777777" w:rsidR="006354E7" w:rsidRDefault="006354E7" w:rsidP="006354E7">
      <w:pPr>
        <w:pStyle w:val="SingleTxtG"/>
        <w:ind w:left="1854" w:hanging="360"/>
        <w:rPr>
          <w:lang w:val="en-US" w:eastAsia="en-GB"/>
        </w:rPr>
      </w:pPr>
      <w:r>
        <w:rPr>
          <w:lang w:val="en-US" w:eastAsia="en-GB"/>
        </w:rPr>
        <w:t>i.</w:t>
      </w:r>
      <w:r>
        <w:rPr>
          <w:lang w:val="en-US" w:eastAsia="en-GB"/>
        </w:rPr>
        <w:tab/>
      </w:r>
      <w:r w:rsidRPr="00AD54CD">
        <w:rPr>
          <w:lang w:val="en-US" w:eastAsia="en-GB"/>
        </w:rPr>
        <w:t>Sudden changes that affect the economy or the workforce, including as a result of financial crises, natural disasters or epidemics;</w:t>
      </w:r>
    </w:p>
    <w:p w14:paraId="15CA1153" w14:textId="77777777" w:rsidR="006354E7" w:rsidRDefault="006354E7" w:rsidP="006354E7">
      <w:pPr>
        <w:pStyle w:val="SingleTxtG"/>
        <w:ind w:left="1854" w:hanging="360"/>
        <w:rPr>
          <w:lang w:val="en-US" w:eastAsia="en-GB"/>
        </w:rPr>
      </w:pPr>
      <w:r>
        <w:rPr>
          <w:lang w:val="en-US" w:eastAsia="en-GB"/>
        </w:rPr>
        <w:t>j.</w:t>
      </w:r>
      <w:r>
        <w:rPr>
          <w:lang w:val="en-US" w:eastAsia="en-GB"/>
        </w:rPr>
        <w:tab/>
      </w:r>
      <w:r w:rsidRPr="00AD54CD">
        <w:rPr>
          <w:lang w:val="en-US" w:eastAsia="en-GB"/>
        </w:rPr>
        <w:t>Discovery of natural resources or launching of exploitation projects that have a serious impact on the livelihoods and sustainability of groups or civilian populations;</w:t>
      </w:r>
    </w:p>
    <w:p w14:paraId="04076829" w14:textId="77777777" w:rsidR="006354E7" w:rsidRDefault="006354E7" w:rsidP="006354E7">
      <w:pPr>
        <w:pStyle w:val="SingleTxtG"/>
        <w:ind w:left="1854" w:hanging="360"/>
        <w:rPr>
          <w:lang w:val="en-US" w:eastAsia="en-GB"/>
        </w:rPr>
      </w:pPr>
      <w:r>
        <w:rPr>
          <w:lang w:val="en-US" w:eastAsia="en-GB"/>
        </w:rPr>
        <w:t>k.</w:t>
      </w:r>
      <w:r>
        <w:rPr>
          <w:lang w:val="en-US" w:eastAsia="en-GB"/>
        </w:rPr>
        <w:tab/>
      </w:r>
      <w:r w:rsidRPr="00AD54CD">
        <w:rPr>
          <w:lang w:val="en-US" w:eastAsia="en-GB"/>
        </w:rPr>
        <w:t>Commemoration events of past crimes or of traumatic or historical episodes that can exacerbate tensions between groups, including the glorification of perpetrators of atrocities;</w:t>
      </w:r>
    </w:p>
    <w:p w14:paraId="2B33998E" w14:textId="77777777" w:rsidR="006354E7" w:rsidRDefault="006354E7" w:rsidP="006354E7">
      <w:pPr>
        <w:pStyle w:val="SingleTxtG"/>
        <w:ind w:left="1848" w:hanging="357"/>
        <w:rPr>
          <w:lang w:val="en-US" w:eastAsia="en-GB"/>
        </w:rPr>
      </w:pPr>
      <w:r w:rsidRPr="00AD54CD">
        <w:rPr>
          <w:lang w:val="en-US" w:eastAsia="en-GB"/>
        </w:rPr>
        <w:t>l.</w:t>
      </w:r>
      <w:r w:rsidRPr="00AD54CD">
        <w:rPr>
          <w:lang w:val="en-US" w:eastAsia="en-GB"/>
        </w:rPr>
        <w:tab/>
        <w:t>Acts related to accountability processes, particularly when perceived as unfair.</w:t>
      </w:r>
    </w:p>
    <w:p w14:paraId="759699F3" w14:textId="77777777" w:rsidR="003724B4" w:rsidRDefault="003724B4">
      <w:pPr>
        <w:rPr>
          <w:lang w:val="en-US" w:eastAsia="en-GB"/>
        </w:rPr>
      </w:pPr>
      <w:r>
        <w:rPr>
          <w:lang w:val="en-US" w:eastAsia="en-GB"/>
        </w:rPr>
        <w:br w:type="page"/>
      </w:r>
    </w:p>
    <w:p w14:paraId="2D9CF66A" w14:textId="77777777" w:rsidR="006354E7" w:rsidRDefault="006354E7" w:rsidP="006354E7">
      <w:pPr>
        <w:pStyle w:val="HChG"/>
        <w:rPr>
          <w:lang w:eastAsia="en-GB"/>
        </w:rPr>
      </w:pPr>
      <w:r w:rsidRPr="00191564">
        <w:rPr>
          <w:lang w:val="en-GB" w:eastAsia="en-GB"/>
        </w:rPr>
        <w:tab/>
      </w:r>
      <w:r>
        <w:rPr>
          <w:lang w:eastAsia="en-GB"/>
        </w:rPr>
        <w:t>V.</w:t>
      </w:r>
      <w:r>
        <w:rPr>
          <w:lang w:eastAsia="en-GB"/>
        </w:rPr>
        <w:tab/>
        <w:t>Documents</w:t>
      </w:r>
    </w:p>
    <w:p w14:paraId="79A61327" w14:textId="77777777" w:rsidR="003724B4" w:rsidRDefault="003724B4" w:rsidP="003724B4">
      <w:pPr>
        <w:rPr>
          <w:lang w:eastAsia="en-GB"/>
        </w:rPr>
      </w:pPr>
      <w:r>
        <w:rPr>
          <w:noProof/>
          <w:lang w:val="en-GB" w:eastAsia="en-GB"/>
        </w:rPr>
        <w:drawing>
          <wp:inline distT="0" distB="0" distL="0" distR="0" wp14:anchorId="238125FC" wp14:editId="2C9AEEC5">
            <wp:extent cx="5581650" cy="83343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8334375"/>
                    </a:xfrm>
                    <a:prstGeom prst="rect">
                      <a:avLst/>
                    </a:prstGeom>
                    <a:noFill/>
                    <a:ln>
                      <a:noFill/>
                    </a:ln>
                  </pic:spPr>
                </pic:pic>
              </a:graphicData>
            </a:graphic>
          </wp:inline>
        </w:drawing>
      </w:r>
    </w:p>
    <w:p w14:paraId="7339A66B" w14:textId="77777777" w:rsidR="003724B4" w:rsidRDefault="003724B4" w:rsidP="003724B4">
      <w:pPr>
        <w:rPr>
          <w:lang w:eastAsia="en-GB"/>
        </w:rPr>
      </w:pPr>
    </w:p>
    <w:p w14:paraId="05B23C67" w14:textId="77777777" w:rsidR="003724B4" w:rsidRDefault="003724B4" w:rsidP="003724B4">
      <w:pPr>
        <w:rPr>
          <w:lang w:eastAsia="en-GB"/>
        </w:rPr>
      </w:pPr>
    </w:p>
    <w:p w14:paraId="21C3F3B1" w14:textId="77777777" w:rsidR="006354E7" w:rsidRDefault="006354E7" w:rsidP="006354E7">
      <w:pPr>
        <w:rPr>
          <w:lang w:eastAsia="en-GB"/>
        </w:rPr>
      </w:pPr>
      <w:r w:rsidRPr="00C00AA0">
        <w:rPr>
          <w:noProof/>
          <w:lang w:val="en-GB" w:eastAsia="en-GB"/>
        </w:rPr>
        <w:drawing>
          <wp:inline distT="0" distB="0" distL="0" distR="0" wp14:anchorId="7A37C331" wp14:editId="48481A19">
            <wp:extent cx="6120130" cy="8191068"/>
            <wp:effectExtent l="0" t="0" r="0" b="635"/>
            <wp:docPr id="16" name="Picture 16" descr="C:\Users\kenfack\Downloads\FDNB_appel 30juin21securi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fack\Downloads\FDNB_appel 30juin21securit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7005" cy="8200269"/>
                    </a:xfrm>
                    <a:prstGeom prst="rect">
                      <a:avLst/>
                    </a:prstGeom>
                    <a:noFill/>
                    <a:ln>
                      <a:noFill/>
                    </a:ln>
                  </pic:spPr>
                </pic:pic>
              </a:graphicData>
            </a:graphic>
          </wp:inline>
        </w:drawing>
      </w:r>
    </w:p>
    <w:p w14:paraId="75689095" w14:textId="77777777" w:rsidR="006354E7" w:rsidRDefault="006354E7" w:rsidP="006354E7">
      <w:pPr>
        <w:rPr>
          <w:lang w:eastAsia="en-GB"/>
        </w:rPr>
      </w:pPr>
    </w:p>
    <w:p w14:paraId="477FA8AD" w14:textId="77777777" w:rsidR="006354E7" w:rsidRDefault="006354E7" w:rsidP="006354E7">
      <w:pPr>
        <w:rPr>
          <w:lang w:eastAsia="en-GB"/>
        </w:rPr>
      </w:pPr>
    </w:p>
    <w:p w14:paraId="0776DB21" w14:textId="77777777" w:rsidR="00A32F3C" w:rsidRDefault="00A32F3C" w:rsidP="006354E7">
      <w:pPr>
        <w:pStyle w:val="SingleTxtG"/>
        <w:ind w:left="0"/>
      </w:pPr>
    </w:p>
    <w:p w14:paraId="75C13223" w14:textId="77777777" w:rsidR="00AD4BD8" w:rsidRDefault="00AD4BD8" w:rsidP="006354E7">
      <w:pPr>
        <w:pStyle w:val="SingleTxtG"/>
        <w:ind w:left="0"/>
      </w:pPr>
    </w:p>
    <w:p w14:paraId="0FAD6EEA" w14:textId="77777777" w:rsidR="00AD4BD8" w:rsidRDefault="00AD4BD8" w:rsidP="006354E7">
      <w:pPr>
        <w:pStyle w:val="SingleTxtG"/>
        <w:ind w:left="0"/>
      </w:pPr>
      <w:r>
        <w:rPr>
          <w:noProof/>
          <w:lang w:val="en-GB" w:eastAsia="en-GB"/>
        </w:rPr>
        <w:drawing>
          <wp:inline distT="0" distB="0" distL="0" distR="0" wp14:anchorId="1627CB92" wp14:editId="0FB95504">
            <wp:extent cx="4747260" cy="76885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7260" cy="7688580"/>
                    </a:xfrm>
                    <a:prstGeom prst="rect">
                      <a:avLst/>
                    </a:prstGeom>
                    <a:noFill/>
                    <a:ln>
                      <a:noFill/>
                    </a:ln>
                  </pic:spPr>
                </pic:pic>
              </a:graphicData>
            </a:graphic>
          </wp:inline>
        </w:drawing>
      </w:r>
    </w:p>
    <w:p w14:paraId="0B84C6C6" w14:textId="77777777" w:rsidR="00F77084" w:rsidRDefault="00F77084" w:rsidP="006354E7">
      <w:pPr>
        <w:pStyle w:val="SingleTxtG"/>
        <w:ind w:left="0"/>
      </w:pPr>
    </w:p>
    <w:p w14:paraId="7FCA6381" w14:textId="77777777" w:rsidR="00F77084" w:rsidRDefault="00F77084" w:rsidP="006354E7">
      <w:pPr>
        <w:pStyle w:val="SingleTxtG"/>
        <w:ind w:left="0"/>
      </w:pPr>
    </w:p>
    <w:p w14:paraId="12585A4E" w14:textId="77777777" w:rsidR="00F77084" w:rsidRDefault="00F77084" w:rsidP="006354E7">
      <w:pPr>
        <w:pStyle w:val="SingleTxtG"/>
        <w:ind w:left="0"/>
      </w:pPr>
    </w:p>
    <w:p w14:paraId="628D2159" w14:textId="77777777" w:rsidR="00F77084" w:rsidRDefault="00F77084" w:rsidP="006354E7">
      <w:pPr>
        <w:pStyle w:val="SingleTxtG"/>
        <w:ind w:left="0"/>
      </w:pPr>
    </w:p>
    <w:p w14:paraId="5B454A51" w14:textId="77777777" w:rsidR="00F77084" w:rsidRDefault="00F77084" w:rsidP="006354E7">
      <w:pPr>
        <w:pStyle w:val="SingleTxtG"/>
        <w:ind w:left="0"/>
      </w:pPr>
    </w:p>
    <w:p w14:paraId="0C40F05A" w14:textId="77777777" w:rsidR="00F77084" w:rsidRDefault="00F77084" w:rsidP="006354E7">
      <w:pPr>
        <w:pStyle w:val="SingleTxtG"/>
        <w:ind w:left="0"/>
      </w:pPr>
    </w:p>
    <w:p w14:paraId="325167E4" w14:textId="77777777" w:rsidR="00F77084" w:rsidRDefault="00F77084" w:rsidP="006354E7">
      <w:pPr>
        <w:pStyle w:val="SingleTxtG"/>
        <w:ind w:left="0"/>
      </w:pPr>
    </w:p>
    <w:p w14:paraId="780B5C55" w14:textId="77777777" w:rsidR="00F77084" w:rsidRDefault="00F77084" w:rsidP="006354E7">
      <w:pPr>
        <w:pStyle w:val="SingleTxtG"/>
        <w:ind w:left="0"/>
      </w:pPr>
    </w:p>
    <w:p w14:paraId="66E22628" w14:textId="77777777" w:rsidR="00F77084" w:rsidRDefault="00F77084" w:rsidP="006354E7">
      <w:pPr>
        <w:pStyle w:val="SingleTxtG"/>
        <w:ind w:left="0"/>
      </w:pPr>
    </w:p>
    <w:p w14:paraId="0CDEC159" w14:textId="77777777" w:rsidR="00F77084" w:rsidRDefault="00F77084" w:rsidP="006354E7">
      <w:pPr>
        <w:pStyle w:val="SingleTxtG"/>
        <w:ind w:left="0"/>
      </w:pPr>
      <w:r>
        <w:rPr>
          <w:noProof/>
          <w:lang w:val="en-GB" w:eastAsia="en-GB"/>
        </w:rPr>
        <w:drawing>
          <wp:inline distT="0" distB="0" distL="0" distR="0" wp14:anchorId="2D8A422D" wp14:editId="35CE29E1">
            <wp:extent cx="4676775" cy="7112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76775" cy="7112000"/>
                    </a:xfrm>
                    <a:prstGeom prst="rect">
                      <a:avLst/>
                    </a:prstGeom>
                  </pic:spPr>
                </pic:pic>
              </a:graphicData>
            </a:graphic>
          </wp:inline>
        </w:drawing>
      </w:r>
    </w:p>
    <w:p w14:paraId="58AC2DA0" w14:textId="7C4005CE" w:rsidR="00F77084" w:rsidRDefault="00F77084" w:rsidP="006354E7">
      <w:pPr>
        <w:pStyle w:val="SingleTxtG"/>
        <w:ind w:left="0"/>
      </w:pPr>
      <w:r>
        <w:rPr>
          <w:noProof/>
          <w:lang w:val="en-GB" w:eastAsia="en-GB"/>
        </w:rPr>
        <w:drawing>
          <wp:inline distT="0" distB="0" distL="0" distR="0" wp14:anchorId="28DADD1F" wp14:editId="467088D5">
            <wp:extent cx="4695825" cy="576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95825" cy="5762625"/>
                    </a:xfrm>
                    <a:prstGeom prst="rect">
                      <a:avLst/>
                    </a:prstGeom>
                  </pic:spPr>
                </pic:pic>
              </a:graphicData>
            </a:graphic>
          </wp:inline>
        </w:drawing>
      </w:r>
    </w:p>
    <w:p w14:paraId="3F2BB296" w14:textId="586DAD39" w:rsidR="00251C07" w:rsidRPr="00251C07" w:rsidRDefault="00251C07" w:rsidP="00251C07">
      <w:pPr>
        <w:pStyle w:val="SingleTxtG"/>
        <w:suppressAutoHyphens/>
        <w:spacing w:before="240" w:after="0" w:line="240" w:lineRule="atLeast"/>
        <w:jc w:val="center"/>
        <w:rPr>
          <w:u w:val="single"/>
        </w:rPr>
      </w:pPr>
      <w:r>
        <w:rPr>
          <w:u w:val="single"/>
        </w:rPr>
        <w:tab/>
      </w:r>
      <w:r>
        <w:rPr>
          <w:u w:val="single"/>
        </w:rPr>
        <w:tab/>
      </w:r>
      <w:r>
        <w:rPr>
          <w:u w:val="single"/>
        </w:rPr>
        <w:tab/>
      </w:r>
      <w:r>
        <w:rPr>
          <w:u w:val="single"/>
        </w:rPr>
        <w:tab/>
      </w:r>
    </w:p>
    <w:sectPr w:rsidR="00251C07" w:rsidRPr="00251C07" w:rsidSect="006732F3">
      <w:headerReference w:type="even" r:id="rId20"/>
      <w:headerReference w:type="default" r:id="rId21"/>
      <w:footerReference w:type="even" r:id="rId22"/>
      <w:footerReference w:type="default" r:id="rId23"/>
      <w:endnotePr>
        <w:numFmt w:val="decimal"/>
      </w:endnotePr>
      <w:pgSz w:w="11907" w:h="16840" w:code="9"/>
      <w:pgMar w:top="1417" w:right="1134" w:bottom="1134" w:left="1134" w:header="850" w:footer="567" w:gutter="0"/>
      <w:cols w:space="720"/>
      <w:titlePg/>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6C006" w16cex:dateUtc="2021-09-11T03:41:00Z"/>
  <w16cex:commentExtensible w16cex:durableId="24E6C35D" w16cex:dateUtc="2021-09-11T03:55:00Z"/>
  <w16cex:commentExtensible w16cex:durableId="24E6C6BA" w16cex:dateUtc="2021-09-11T04:10:00Z"/>
  <w16cex:commentExtensible w16cex:durableId="24E6C756" w16cex:dateUtc="2021-09-11T04:12:00Z"/>
  <w16cex:commentExtensible w16cex:durableId="24E70032" w16cex:dateUtc="2021-09-11T08:15:00Z"/>
  <w16cex:commentExtensible w16cex:durableId="24E70064" w16cex:dateUtc="2021-09-11T08:16:00Z"/>
  <w16cex:commentExtensible w16cex:durableId="24E70139" w16cex:dateUtc="2021-09-11T08:19:00Z"/>
  <w16cex:commentExtensible w16cex:durableId="24E70211" w16cex:dateUtc="2021-09-11T08:23:00Z"/>
  <w16cex:commentExtensible w16cex:durableId="24E70439" w16cex:dateUtc="2021-09-11T08:32:00Z"/>
  <w16cex:commentExtensible w16cex:durableId="24E70511" w16cex:dateUtc="2021-09-11T08:36:00Z"/>
  <w16cex:commentExtensible w16cex:durableId="24E70574" w16cex:dateUtc="2021-09-11T08:37:00Z"/>
  <w16cex:commentExtensible w16cex:durableId="24E76139" w16cex:dateUtc="2021-09-11T15:09:00Z"/>
  <w16cex:commentExtensible w16cex:durableId="24E761C0" w16cex:dateUtc="2021-09-11T15:11:00Z"/>
  <w16cex:commentExtensible w16cex:durableId="24E7638B" w16cex:dateUtc="2021-09-11T15:19:00Z"/>
  <w16cex:commentExtensible w16cex:durableId="24E764EE" w16cex:dateUtc="2021-09-11T15:25:00Z"/>
  <w16cex:commentExtensible w16cex:durableId="24E769D7" w16cex:dateUtc="2021-09-11T15:45:00Z"/>
  <w16cex:commentExtensible w16cex:durableId="24E76B6F" w16cex:dateUtc="2021-09-11T15:52:00Z"/>
  <w16cex:commentExtensible w16cex:durableId="24E76C56" w16cex:dateUtc="2021-09-11T15:56:00Z"/>
  <w16cex:commentExtensible w16cex:durableId="24E7768E" w16cex:dateUtc="2021-09-11T16:40:00Z"/>
  <w16cex:commentExtensible w16cex:durableId="24E86164" w16cex:dateUtc="2021-09-12T09:22:00Z"/>
  <w16cex:commentExtensible w16cex:durableId="24E8663F" w16cex:dateUtc="2021-09-12T09:42:00Z"/>
  <w16cex:commentExtensible w16cex:durableId="24E96FE0" w16cex:dateUtc="2021-09-13T04:36:00Z"/>
  <w16cex:commentExtensible w16cex:durableId="24E97292" w16cex:dateUtc="2021-09-13T04: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900BC8" w14:textId="77777777" w:rsidR="00B50462" w:rsidRDefault="00B50462"/>
  </w:endnote>
  <w:endnote w:type="continuationSeparator" w:id="0">
    <w:p w14:paraId="2609A9BA" w14:textId="77777777" w:rsidR="00B50462" w:rsidRDefault="00B50462"/>
  </w:endnote>
  <w:endnote w:type="continuationNotice" w:id="1">
    <w:p w14:paraId="1AACF456" w14:textId="77777777" w:rsidR="00B50462" w:rsidRDefault="00B50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C1043" w14:textId="096649B2" w:rsidR="00925C2B" w:rsidRPr="006732F3" w:rsidRDefault="00925C2B" w:rsidP="006732F3">
    <w:pPr>
      <w:pStyle w:val="Footer"/>
      <w:tabs>
        <w:tab w:val="right" w:pos="9638"/>
      </w:tabs>
      <w:rPr>
        <w:sz w:val="18"/>
      </w:rPr>
    </w:pPr>
    <w:r w:rsidRPr="006732F3">
      <w:rPr>
        <w:b/>
        <w:sz w:val="18"/>
      </w:rPr>
      <w:fldChar w:fldCharType="begin"/>
    </w:r>
    <w:r w:rsidRPr="006732F3">
      <w:rPr>
        <w:b/>
        <w:sz w:val="18"/>
      </w:rPr>
      <w:instrText xml:space="preserve"> PAGE  \* MERGEFORMAT </w:instrText>
    </w:r>
    <w:r w:rsidRPr="006732F3">
      <w:rPr>
        <w:b/>
        <w:sz w:val="18"/>
      </w:rPr>
      <w:fldChar w:fldCharType="separate"/>
    </w:r>
    <w:r w:rsidR="00FE05EB">
      <w:rPr>
        <w:b/>
        <w:noProof/>
        <w:sz w:val="18"/>
      </w:rPr>
      <w:t>76</w:t>
    </w:r>
    <w:r w:rsidRPr="006732F3">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3249E" w14:textId="4BD79A03" w:rsidR="00925C2B" w:rsidRPr="006732F3" w:rsidRDefault="00925C2B" w:rsidP="006732F3">
    <w:pPr>
      <w:pStyle w:val="Footer"/>
      <w:tabs>
        <w:tab w:val="right" w:pos="9638"/>
      </w:tabs>
      <w:rPr>
        <w:b/>
        <w:sz w:val="18"/>
      </w:rPr>
    </w:pPr>
    <w:r>
      <w:tab/>
    </w:r>
    <w:r w:rsidRPr="006732F3">
      <w:rPr>
        <w:b/>
        <w:sz w:val="18"/>
      </w:rPr>
      <w:fldChar w:fldCharType="begin"/>
    </w:r>
    <w:r w:rsidRPr="006732F3">
      <w:rPr>
        <w:b/>
        <w:sz w:val="18"/>
      </w:rPr>
      <w:instrText xml:space="preserve"> PAGE  \* MERGEFORMAT </w:instrText>
    </w:r>
    <w:r w:rsidRPr="006732F3">
      <w:rPr>
        <w:b/>
        <w:sz w:val="18"/>
      </w:rPr>
      <w:fldChar w:fldCharType="separate"/>
    </w:r>
    <w:r w:rsidR="00FE05EB">
      <w:rPr>
        <w:b/>
        <w:noProof/>
        <w:sz w:val="18"/>
      </w:rPr>
      <w:t>75</w:t>
    </w:r>
    <w:r w:rsidRPr="006732F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82509" w14:textId="77777777" w:rsidR="00B50462" w:rsidRPr="00D27D5E" w:rsidRDefault="00B50462" w:rsidP="00D27D5E">
      <w:pPr>
        <w:tabs>
          <w:tab w:val="right" w:pos="2155"/>
        </w:tabs>
        <w:spacing w:after="80"/>
        <w:ind w:left="680"/>
        <w:rPr>
          <w:u w:val="single"/>
        </w:rPr>
      </w:pPr>
      <w:r>
        <w:rPr>
          <w:u w:val="single"/>
        </w:rPr>
        <w:tab/>
      </w:r>
    </w:p>
  </w:footnote>
  <w:footnote w:type="continuationSeparator" w:id="0">
    <w:p w14:paraId="7F1F59B5" w14:textId="77777777" w:rsidR="00B50462" w:rsidRPr="00D72E7E" w:rsidRDefault="00B50462" w:rsidP="00D72E7E">
      <w:pPr>
        <w:tabs>
          <w:tab w:val="right" w:pos="2155"/>
        </w:tabs>
        <w:spacing w:after="80"/>
        <w:ind w:left="680"/>
        <w:rPr>
          <w:u w:val="single"/>
        </w:rPr>
      </w:pPr>
      <w:r w:rsidRPr="00D72E7E">
        <w:rPr>
          <w:u w:val="single"/>
        </w:rPr>
        <w:tab/>
      </w:r>
    </w:p>
  </w:footnote>
  <w:footnote w:type="continuationNotice" w:id="1">
    <w:p w14:paraId="48744F8B" w14:textId="77777777" w:rsidR="00B50462" w:rsidRDefault="00B50462"/>
  </w:footnote>
  <w:footnote w:id="2">
    <w:p w14:paraId="581F2653" w14:textId="77777777" w:rsidR="00925C2B" w:rsidRPr="00F63FFB" w:rsidRDefault="00925C2B" w:rsidP="00E63335">
      <w:pPr>
        <w:pStyle w:val="FootnoteText"/>
      </w:pPr>
      <w:r>
        <w:tab/>
      </w:r>
      <w:r>
        <w:rPr>
          <w:rStyle w:val="FootnoteReference"/>
        </w:rPr>
        <w:footnoteRef/>
      </w:r>
      <w:r>
        <w:tab/>
      </w:r>
      <w:r w:rsidRPr="00F63FFB">
        <w:t>A/HRC/36/54, A/HRC/39/63, A/HRC/42/49 et A/HRC/45/32.</w:t>
      </w:r>
    </w:p>
  </w:footnote>
  <w:footnote w:id="3">
    <w:p w14:paraId="3E0E2A0D" w14:textId="77777777" w:rsidR="00925C2B" w:rsidRPr="00A7416F" w:rsidRDefault="00925C2B" w:rsidP="00E63335">
      <w:pPr>
        <w:pStyle w:val="FootnoteText"/>
      </w:pPr>
      <w:r>
        <w:tab/>
      </w:r>
      <w:r>
        <w:rPr>
          <w:rStyle w:val="FootnoteReference"/>
        </w:rPr>
        <w:footnoteRef/>
      </w:r>
      <w:r>
        <w:tab/>
      </w:r>
      <w:r w:rsidRPr="00747CC1">
        <w:t>A/HRC/36/CRP.1, A/HRC/39/CRP.1</w:t>
      </w:r>
      <w:r>
        <w:t>,</w:t>
      </w:r>
      <w:r w:rsidRPr="00747CC1">
        <w:t xml:space="preserve"> A/HRC/42/CRP.2 </w:t>
      </w:r>
      <w:r>
        <w:t>et A/HRC/45/CRP.1.</w:t>
      </w:r>
    </w:p>
  </w:footnote>
  <w:footnote w:id="4">
    <w:p w14:paraId="406FFDC7" w14:textId="77777777" w:rsidR="00925C2B" w:rsidRPr="00AB1465" w:rsidRDefault="00925C2B" w:rsidP="00926EA2">
      <w:pPr>
        <w:pStyle w:val="FootnoteText"/>
        <w:rPr>
          <w:lang w:val="fr-CH"/>
        </w:rPr>
      </w:pPr>
      <w:r w:rsidRPr="00FA45AB">
        <w:tab/>
      </w:r>
      <w:r>
        <w:rPr>
          <w:rStyle w:val="FootnoteReference"/>
        </w:rPr>
        <w:footnoteRef/>
      </w:r>
      <w:r>
        <w:rPr>
          <w:lang w:val="fr-CH"/>
        </w:rPr>
        <w:tab/>
        <w:t>A/HRC/RES/45/19, par. 25.</w:t>
      </w:r>
    </w:p>
  </w:footnote>
  <w:footnote w:id="5">
    <w:p w14:paraId="236798F5" w14:textId="77777777" w:rsidR="00925C2B" w:rsidRPr="00FB1D80" w:rsidRDefault="00925C2B" w:rsidP="00926EA2">
      <w:pPr>
        <w:pStyle w:val="FootnoteText"/>
        <w:rPr>
          <w:lang w:val="fr-CH"/>
        </w:rPr>
      </w:pPr>
      <w:r>
        <w:rPr>
          <w:lang w:val="fr-CH"/>
        </w:rPr>
        <w:tab/>
      </w:r>
      <w:r>
        <w:rPr>
          <w:rStyle w:val="FootnoteReference"/>
        </w:rPr>
        <w:footnoteRef/>
      </w:r>
      <w:r>
        <w:rPr>
          <w:lang w:val="fr-CH"/>
        </w:rPr>
        <w:tab/>
      </w:r>
      <w:r w:rsidRPr="00FB1D80">
        <w:rPr>
          <w:lang w:val="fr-CH"/>
        </w:rPr>
        <w:t>A/HRC/RES/33/24</w:t>
      </w:r>
      <w:r>
        <w:rPr>
          <w:lang w:val="fr-CH"/>
        </w:rPr>
        <w:t>, par. 23 et A/HRC/RES/42/26, par. 22.</w:t>
      </w:r>
    </w:p>
  </w:footnote>
  <w:footnote w:id="6">
    <w:p w14:paraId="5863A46D" w14:textId="12612C6D" w:rsidR="00925C2B" w:rsidRPr="00F14894" w:rsidRDefault="00925C2B" w:rsidP="00E63335">
      <w:pPr>
        <w:pStyle w:val="FootnoteText"/>
        <w:rPr>
          <w:lang w:val="fr-CH"/>
        </w:rPr>
      </w:pPr>
      <w:r>
        <w:rPr>
          <w:lang w:val="fr-CH"/>
        </w:rPr>
        <w:tab/>
      </w:r>
      <w:r>
        <w:rPr>
          <w:rStyle w:val="FootnoteReference"/>
        </w:rPr>
        <w:footnoteRef/>
      </w:r>
      <w:r>
        <w:rPr>
          <w:lang w:val="fr-CH"/>
        </w:rPr>
        <w:tab/>
      </w:r>
      <w:r w:rsidRPr="00F14894">
        <w:rPr>
          <w:lang w:val="fr-CH"/>
        </w:rPr>
        <w:t>A/HRC/RES/33/24, par</w:t>
      </w:r>
      <w:r>
        <w:rPr>
          <w:lang w:val="fr-CH"/>
        </w:rPr>
        <w:t>.</w:t>
      </w:r>
      <w:r w:rsidRPr="00F14894">
        <w:rPr>
          <w:lang w:val="fr-CH"/>
        </w:rPr>
        <w:t xml:space="preserve"> 23.</w:t>
      </w:r>
    </w:p>
  </w:footnote>
  <w:footnote w:id="7">
    <w:p w14:paraId="01A7D6FF" w14:textId="34F20261" w:rsidR="00925C2B" w:rsidRPr="00F14894" w:rsidRDefault="00925C2B" w:rsidP="00E63335">
      <w:pPr>
        <w:pStyle w:val="FootnoteText"/>
        <w:rPr>
          <w:lang w:val="fr-CH"/>
        </w:rPr>
      </w:pPr>
      <w:r>
        <w:rPr>
          <w:lang w:val="fr-CH"/>
        </w:rPr>
        <w:tab/>
      </w:r>
      <w:r>
        <w:rPr>
          <w:rStyle w:val="FootnoteReference"/>
        </w:rPr>
        <w:footnoteRef/>
      </w:r>
      <w:r>
        <w:rPr>
          <w:lang w:val="fr-CH"/>
        </w:rPr>
        <w:tab/>
        <w:t>A/HRC/RES/42/26, par. 22.</w:t>
      </w:r>
    </w:p>
  </w:footnote>
  <w:footnote w:id="8">
    <w:p w14:paraId="1EEFAF9C" w14:textId="77777777" w:rsidR="00925C2B" w:rsidRPr="006B7237" w:rsidRDefault="00925C2B" w:rsidP="00926EA2">
      <w:pPr>
        <w:pStyle w:val="FootnoteText"/>
        <w:spacing w:line="240" w:lineRule="auto"/>
        <w:rPr>
          <w:lang w:val="fr-CH"/>
        </w:rPr>
      </w:pPr>
      <w:r>
        <w:rPr>
          <w:lang w:val="fr-CH"/>
        </w:rPr>
        <w:tab/>
      </w:r>
      <w:r w:rsidRPr="006B7237">
        <w:rPr>
          <w:vertAlign w:val="superscript"/>
        </w:rPr>
        <w:footnoteRef/>
      </w:r>
      <w:r>
        <w:rPr>
          <w:lang w:val="fr-CH"/>
        </w:rPr>
        <w:tab/>
      </w:r>
      <w:r w:rsidRPr="006B7237">
        <w:rPr>
          <w:lang w:val="fr-CH"/>
        </w:rPr>
        <w:t>Voir A/HRC/RES/33/24</w:t>
      </w:r>
      <w:r>
        <w:rPr>
          <w:lang w:val="fr-CH"/>
        </w:rPr>
        <w:t xml:space="preserve">, </w:t>
      </w:r>
      <w:r w:rsidRPr="006B7237">
        <w:rPr>
          <w:lang w:val="fr-CH"/>
        </w:rPr>
        <w:t>par. 23.</w:t>
      </w:r>
    </w:p>
  </w:footnote>
  <w:footnote w:id="9">
    <w:p w14:paraId="6C30A546" w14:textId="1BEFBAE5" w:rsidR="00925C2B" w:rsidRPr="00FA45AB" w:rsidRDefault="00925C2B" w:rsidP="00FB09E3">
      <w:pPr>
        <w:pStyle w:val="FootnoteText"/>
        <w:rPr>
          <w:lang w:val="fr-CH"/>
        </w:rPr>
      </w:pPr>
      <w:r w:rsidRPr="006B7237">
        <w:rPr>
          <w:lang w:val="fr-CH"/>
        </w:rPr>
        <w:tab/>
      </w:r>
      <w:r w:rsidRPr="00FB09E3">
        <w:rPr>
          <w:vertAlign w:val="superscript"/>
        </w:rPr>
        <w:footnoteRef/>
      </w:r>
      <w:r>
        <w:rPr>
          <w:lang w:val="fr-CH"/>
        </w:rPr>
        <w:tab/>
      </w:r>
      <w:r w:rsidRPr="00FA45AB">
        <w:rPr>
          <w:lang w:val="fr-CH"/>
        </w:rPr>
        <w:t xml:space="preserve">Conformément aux exigences relatives à la procédure éditoriale de l’Organisation des Nations Unies, la Commission a dû finaliser son rapport au Conseil des droits de l’homme (A/HRC/48/68) à la fin du mois de juillet 2021. Elle a néanmoins poursuivi ses enquêtes jusqu’en août 2021 et le présent </w:t>
      </w:r>
      <w:r w:rsidR="00E33368">
        <w:rPr>
          <w:lang w:val="fr-CH"/>
        </w:rPr>
        <w:t>document</w:t>
      </w:r>
      <w:r w:rsidR="00E33368" w:rsidRPr="00FA45AB">
        <w:rPr>
          <w:lang w:val="fr-CH"/>
        </w:rPr>
        <w:t xml:space="preserve"> </w:t>
      </w:r>
      <w:r w:rsidRPr="00FA45AB">
        <w:rPr>
          <w:lang w:val="fr-CH"/>
        </w:rPr>
        <w:t xml:space="preserve">reflète l’ensemble de </w:t>
      </w:r>
      <w:r>
        <w:rPr>
          <w:lang w:val="fr-CH"/>
        </w:rPr>
        <w:t>s</w:t>
      </w:r>
      <w:r w:rsidRPr="00FA45AB">
        <w:rPr>
          <w:lang w:val="fr-CH"/>
        </w:rPr>
        <w:t>es enquêtes.</w:t>
      </w:r>
    </w:p>
  </w:footnote>
  <w:footnote w:id="10">
    <w:p w14:paraId="21415D37" w14:textId="2ADBE793" w:rsidR="00925C2B" w:rsidRPr="00FA45AB" w:rsidRDefault="00925C2B" w:rsidP="00FB09E3">
      <w:pPr>
        <w:pStyle w:val="FootnoteText"/>
        <w:rPr>
          <w:lang w:val="fr-CH"/>
        </w:rPr>
      </w:pPr>
      <w:r w:rsidRPr="00FA45AB">
        <w:rPr>
          <w:lang w:val="fr-CH"/>
        </w:rPr>
        <w:tab/>
      </w:r>
      <w:r w:rsidRPr="00FB09E3">
        <w:rPr>
          <w:rStyle w:val="FootnoteReference"/>
        </w:rPr>
        <w:footnoteRef/>
      </w:r>
      <w:r w:rsidRPr="00FA45AB">
        <w:rPr>
          <w:lang w:val="fr-CH"/>
        </w:rPr>
        <w:tab/>
        <w:t xml:space="preserve">La Commission a choisi cette date afin de pouvoir faire la jonction avec la période couverte dans son précédent rapport (A/HRC/45/32), qui couvrait les violations commises entre la mi-2019 et l’été 2020, et ainsi faire ressortir l’évolution de la situation des droits de l’homme dans le pays depuis les élections et la mise en place d’un nouveau Gouvernement. En ce qui concerne la documentation des cas de disparition forcée, d’exécution sommaire, et de violence sexuelle, la Commission a inclus dans </w:t>
      </w:r>
      <w:r w:rsidR="00E33368">
        <w:rPr>
          <w:lang w:val="fr-CH"/>
        </w:rPr>
        <w:t>le</w:t>
      </w:r>
      <w:r w:rsidR="00E33368" w:rsidRPr="00FA45AB">
        <w:rPr>
          <w:lang w:val="fr-CH"/>
        </w:rPr>
        <w:t xml:space="preserve"> </w:t>
      </w:r>
      <w:r w:rsidRPr="00FA45AB">
        <w:rPr>
          <w:lang w:val="fr-CH"/>
        </w:rPr>
        <w:t xml:space="preserve">présent </w:t>
      </w:r>
      <w:r w:rsidR="00E33368">
        <w:rPr>
          <w:lang w:val="fr-CH"/>
        </w:rPr>
        <w:t>document</w:t>
      </w:r>
      <w:r w:rsidR="00E33368" w:rsidRPr="00FA45AB">
        <w:rPr>
          <w:lang w:val="fr-CH"/>
        </w:rPr>
        <w:t xml:space="preserve"> </w:t>
      </w:r>
      <w:r w:rsidRPr="00FA45AB">
        <w:rPr>
          <w:lang w:val="fr-CH"/>
        </w:rPr>
        <w:t>les cas depuis janvier 2020 qui n’avaient pas été documentés précédemment.</w:t>
      </w:r>
    </w:p>
  </w:footnote>
  <w:footnote w:id="11">
    <w:p w14:paraId="63A1BCB4" w14:textId="6A526517" w:rsidR="00925C2B" w:rsidRPr="00FA45AB" w:rsidRDefault="00925C2B" w:rsidP="00FB09E3">
      <w:pPr>
        <w:pStyle w:val="FootnoteText"/>
        <w:rPr>
          <w:lang w:val="fr-CH"/>
        </w:rPr>
      </w:pPr>
      <w:r w:rsidRPr="00FA45AB">
        <w:rPr>
          <w:rStyle w:val="FootnoteReference"/>
          <w:lang w:val="fr-CH"/>
        </w:rPr>
        <w:tab/>
      </w:r>
      <w:r w:rsidRPr="00FB09E3">
        <w:rPr>
          <w:rStyle w:val="FootnoteReference"/>
        </w:rPr>
        <w:footnoteRef/>
      </w:r>
      <w:r w:rsidRPr="00FA45AB">
        <w:rPr>
          <w:rStyle w:val="FootnoteReference"/>
          <w:lang w:val="fr-CH"/>
        </w:rPr>
        <w:tab/>
      </w:r>
      <w:r w:rsidRPr="00FA45AB">
        <w:rPr>
          <w:lang w:val="fr-CH"/>
        </w:rPr>
        <w:t xml:space="preserve">Voir A/HRC/42/CRP.2, par. 379-562 et A/HRC/45/CRP.1, par. </w:t>
      </w:r>
      <w:r>
        <w:rPr>
          <w:lang w:val="fr-CH"/>
        </w:rPr>
        <w:t>743-782.</w:t>
      </w:r>
    </w:p>
  </w:footnote>
  <w:footnote w:id="12">
    <w:p w14:paraId="4ED1284C" w14:textId="77777777" w:rsidR="00925C2B" w:rsidRPr="00FA45AB" w:rsidRDefault="00925C2B" w:rsidP="00FB09E3">
      <w:pPr>
        <w:pStyle w:val="FootnoteText"/>
        <w:rPr>
          <w:lang w:val="fr-CH"/>
        </w:rPr>
      </w:pPr>
      <w:r w:rsidRPr="00FA45AB">
        <w:rPr>
          <w:lang w:val="fr-CH"/>
        </w:rPr>
        <w:tab/>
      </w:r>
      <w:r w:rsidRPr="00FB09E3">
        <w:rPr>
          <w:rStyle w:val="FootnoteReference"/>
        </w:rPr>
        <w:footnoteRef/>
      </w:r>
      <w:r w:rsidRPr="00FA45AB">
        <w:rPr>
          <w:lang w:val="fr-CH"/>
        </w:rPr>
        <w:tab/>
        <w:t>Par cette expression utilisée dans la résolution 33/24 du Conseil des droits de l’homme, la Commission a compris les « crimes les plus graves qui touchent l’ensemble de la communauté internationale » tels qu’ils sont définis dans l’article 5 (1) du Statut de Rome de la Cour pénale internationale. Le fait que le Burundi ne soit plus partie à ce traité depuis le 27 octobre 2017 ne rend pas la définition de ces crimes caduque dans le contexte burundais, cette définition étant notamment reprise dans le Code pénal du Burundi (Livre deuxième, titre I, chapitre I du Code pénal burundais).</w:t>
      </w:r>
    </w:p>
  </w:footnote>
  <w:footnote w:id="13">
    <w:p w14:paraId="4903BC75" w14:textId="514FBC22" w:rsidR="00925C2B" w:rsidRPr="00FA45AB" w:rsidRDefault="00925C2B" w:rsidP="00FB09E3">
      <w:pPr>
        <w:pStyle w:val="FootnoteText"/>
        <w:rPr>
          <w:lang w:val="fr-CH"/>
        </w:rPr>
      </w:pPr>
      <w:r w:rsidRPr="00FA45AB">
        <w:rPr>
          <w:lang w:val="fr-CH"/>
        </w:rPr>
        <w:tab/>
      </w:r>
      <w:r w:rsidRPr="00FA45AB">
        <w:rPr>
          <w:lang w:val="fr-CH"/>
        </w:rPr>
        <w:tab/>
        <w:t xml:space="preserve">Voir la partie II du présent </w:t>
      </w:r>
      <w:r w:rsidR="00E33368">
        <w:rPr>
          <w:lang w:val="fr-CH"/>
        </w:rPr>
        <w:t>document</w:t>
      </w:r>
      <w:r w:rsidRPr="00FA45AB">
        <w:rPr>
          <w:lang w:val="fr-CH"/>
        </w:rPr>
        <w:t>.</w:t>
      </w:r>
    </w:p>
  </w:footnote>
  <w:footnote w:id="14">
    <w:p w14:paraId="2F61ADF8" w14:textId="7AF133FF" w:rsidR="00925C2B" w:rsidRPr="00FA45AB" w:rsidRDefault="00925C2B" w:rsidP="00FB09E3">
      <w:pPr>
        <w:pStyle w:val="FootnoteText"/>
        <w:rPr>
          <w:lang w:val="fr-CH"/>
        </w:rPr>
      </w:pPr>
      <w:r w:rsidRPr="00FA45AB">
        <w:rPr>
          <w:lang w:val="fr-CH"/>
        </w:rPr>
        <w:tab/>
      </w:r>
      <w:r w:rsidRPr="00CC4CC3">
        <w:rPr>
          <w:rStyle w:val="FootnoteReference"/>
        </w:rPr>
        <w:footnoteRef/>
      </w:r>
      <w:r w:rsidRPr="00FA45AB">
        <w:rPr>
          <w:lang w:val="fr-CH"/>
        </w:rPr>
        <w:tab/>
        <w:t xml:space="preserve">Voir la partie III du présent </w:t>
      </w:r>
      <w:r w:rsidR="00E33368">
        <w:rPr>
          <w:lang w:val="fr-CH"/>
        </w:rPr>
        <w:t>document</w:t>
      </w:r>
      <w:r w:rsidRPr="00FA45AB">
        <w:rPr>
          <w:lang w:val="fr-CH"/>
        </w:rPr>
        <w:t>.</w:t>
      </w:r>
    </w:p>
  </w:footnote>
  <w:footnote w:id="15">
    <w:p w14:paraId="515BD849" w14:textId="77777777" w:rsidR="00925C2B" w:rsidRPr="00FA45AB" w:rsidRDefault="00925C2B" w:rsidP="00FB09E3">
      <w:pPr>
        <w:pStyle w:val="FootnoteText"/>
        <w:rPr>
          <w:lang w:val="fr-CH"/>
        </w:rPr>
      </w:pPr>
      <w:r w:rsidRPr="00FA45AB">
        <w:rPr>
          <w:lang w:val="fr-CH"/>
        </w:rPr>
        <w:tab/>
      </w:r>
      <w:r w:rsidRPr="00CC4CC3">
        <w:rPr>
          <w:rStyle w:val="FootnoteReference"/>
        </w:rPr>
        <w:footnoteRef/>
      </w:r>
      <w:r w:rsidRPr="00FA45AB">
        <w:rPr>
          <w:lang w:val="fr-CH"/>
        </w:rPr>
        <w:tab/>
        <w:t>Voir A/HRC/39/CRP.1, par. 67 à 215.</w:t>
      </w:r>
    </w:p>
  </w:footnote>
  <w:footnote w:id="16">
    <w:p w14:paraId="4B855684" w14:textId="77777777" w:rsidR="00925C2B" w:rsidRPr="006B7237" w:rsidRDefault="00925C2B" w:rsidP="00A2532F">
      <w:pPr>
        <w:pStyle w:val="FootnoteText"/>
        <w:spacing w:line="240" w:lineRule="auto"/>
        <w:ind w:right="567"/>
        <w:rPr>
          <w:lang w:val="fr-CH"/>
        </w:rPr>
      </w:pPr>
      <w:r>
        <w:rPr>
          <w:lang w:val="fr-CH"/>
        </w:rPr>
        <w:tab/>
      </w:r>
      <w:r w:rsidRPr="006B7237">
        <w:rPr>
          <w:vertAlign w:val="superscript"/>
        </w:rPr>
        <w:footnoteRef/>
      </w:r>
      <w:r>
        <w:rPr>
          <w:lang w:val="fr-CH"/>
        </w:rPr>
        <w:tab/>
        <w:t xml:space="preserve">Voir : </w:t>
      </w:r>
      <w:hyperlink r:id="rId1" w:history="1">
        <w:r w:rsidRPr="006B7237">
          <w:rPr>
            <w:rStyle w:val="Hyperlink"/>
            <w:lang w:val="fr-CH"/>
          </w:rPr>
          <w:t>http://www.ohchr.org/EN/NewsEvents/Pages/DisplayNews.aspx?NewsID=22621&amp;LangID=E</w:t>
        </w:r>
      </w:hyperlink>
      <w:r w:rsidRPr="006B7237">
        <w:rPr>
          <w:lang w:val="fr-CH"/>
        </w:rPr>
        <w:t>.</w:t>
      </w:r>
    </w:p>
  </w:footnote>
  <w:footnote w:id="17">
    <w:p w14:paraId="5554D24E" w14:textId="77777777" w:rsidR="00925C2B" w:rsidRPr="006B7237" w:rsidRDefault="00925C2B" w:rsidP="00A2532F">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Voir : </w:t>
      </w:r>
      <w:hyperlink r:id="rId2" w:history="1">
        <w:r w:rsidRPr="006B7237">
          <w:rPr>
            <w:rStyle w:val="Hyperlink"/>
            <w:lang w:val="fr-CH"/>
          </w:rPr>
          <w:t>http://www.ohchr.org/EN/NewsEvents/Pages/DisplayNews.aspx?NewsID=20910&amp;LangID=E</w:t>
        </w:r>
      </w:hyperlink>
      <w:r w:rsidRPr="006B7237">
        <w:rPr>
          <w:rStyle w:val="Hyperlink"/>
          <w:lang w:val="fr-CH"/>
        </w:rPr>
        <w:t>.</w:t>
      </w:r>
    </w:p>
  </w:footnote>
  <w:footnote w:id="18">
    <w:p w14:paraId="3214D7B3" w14:textId="77777777" w:rsidR="00925C2B" w:rsidRPr="00C0701F" w:rsidRDefault="00925C2B" w:rsidP="00E63335">
      <w:pPr>
        <w:pStyle w:val="FootnoteText"/>
        <w:rPr>
          <w:lang w:val="fr-CH"/>
        </w:rPr>
      </w:pPr>
      <w:r>
        <w:rPr>
          <w:lang w:val="fr-CH"/>
        </w:rPr>
        <w:tab/>
      </w:r>
      <w:r>
        <w:rPr>
          <w:rStyle w:val="FootnoteReference"/>
        </w:rPr>
        <w:footnoteRef/>
      </w:r>
      <w:r>
        <w:rPr>
          <w:lang w:val="fr-CH"/>
        </w:rPr>
        <w:tab/>
      </w:r>
      <w:r w:rsidRPr="00C0701F">
        <w:rPr>
          <w:lang w:val="fr-CH"/>
        </w:rPr>
        <w:t>https://www.prc.cm/fr/multimedia/documents/8789-decret-n-2021-110-du-19-02-2021-mempbres-cdh</w:t>
      </w:r>
      <w:r>
        <w:rPr>
          <w:lang w:val="fr-CH"/>
        </w:rPr>
        <w:t>.</w:t>
      </w:r>
    </w:p>
  </w:footnote>
  <w:footnote w:id="19">
    <w:p w14:paraId="64A3ADF0" w14:textId="77777777" w:rsidR="00925C2B" w:rsidRPr="00C031B4" w:rsidRDefault="00925C2B" w:rsidP="00A2532F">
      <w:pPr>
        <w:pStyle w:val="FootnoteText"/>
        <w:rPr>
          <w:lang w:val="fr-CH"/>
        </w:rPr>
      </w:pPr>
      <w:r>
        <w:rPr>
          <w:lang w:val="fr-CH"/>
        </w:rPr>
        <w:tab/>
      </w:r>
      <w:r>
        <w:rPr>
          <w:rStyle w:val="FootnoteReference"/>
        </w:rPr>
        <w:footnoteRef/>
      </w:r>
      <w:r>
        <w:rPr>
          <w:lang w:val="fr-CH"/>
        </w:rPr>
        <w:tab/>
        <w:t>A/HRC/RES/45/19</w:t>
      </w:r>
      <w:r w:rsidRPr="00C031B4">
        <w:rPr>
          <w:lang w:val="fr-CH"/>
        </w:rPr>
        <w:t>, par. 2</w:t>
      </w:r>
      <w:r>
        <w:rPr>
          <w:lang w:val="fr-CH"/>
        </w:rPr>
        <w:t>7</w:t>
      </w:r>
      <w:r w:rsidRPr="00C031B4">
        <w:rPr>
          <w:lang w:val="fr-CH"/>
        </w:rPr>
        <w:t>.</w:t>
      </w:r>
    </w:p>
  </w:footnote>
  <w:footnote w:id="20">
    <w:p w14:paraId="7654CE10" w14:textId="77777777" w:rsidR="00925C2B" w:rsidRPr="006B7237" w:rsidRDefault="00925C2B" w:rsidP="006C6831">
      <w:pPr>
        <w:pStyle w:val="FootnoteText"/>
        <w:spacing w:line="240" w:lineRule="auto"/>
        <w:ind w:right="567"/>
        <w:rPr>
          <w:lang w:val="fr-CH"/>
        </w:rPr>
      </w:pPr>
      <w:r>
        <w:rPr>
          <w:lang w:val="fr-CH"/>
        </w:rPr>
        <w:tab/>
      </w:r>
      <w:r w:rsidRPr="006B7237">
        <w:rPr>
          <w:vertAlign w:val="superscript"/>
        </w:rPr>
        <w:footnoteRef/>
      </w:r>
      <w:r w:rsidRPr="006B7237">
        <w:rPr>
          <w:lang w:val="fr-CH"/>
        </w:rPr>
        <w:tab/>
      </w:r>
      <w:r>
        <w:rPr>
          <w:lang w:val="fr-CH"/>
        </w:rPr>
        <w:t>Voir a</w:t>
      </w:r>
      <w:r w:rsidRPr="006B7237">
        <w:rPr>
          <w:lang w:val="fr-CH"/>
        </w:rPr>
        <w:t>nnexe II.</w:t>
      </w:r>
    </w:p>
  </w:footnote>
  <w:footnote w:id="21">
    <w:p w14:paraId="2E724203"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sidRPr="006154AD">
        <w:rPr>
          <w:lang w:val="fr-CH"/>
        </w:rPr>
        <w:t>https://media.un.org/en/asset/k1p/k1peztu3md.</w:t>
      </w:r>
    </w:p>
  </w:footnote>
  <w:footnote w:id="22">
    <w:p w14:paraId="705B2CDA" w14:textId="77777777" w:rsidR="00925C2B" w:rsidRPr="006154AD" w:rsidRDefault="00925C2B" w:rsidP="00E63335">
      <w:pPr>
        <w:pStyle w:val="FootnoteText"/>
        <w:rPr>
          <w:lang w:val="fr-CH"/>
        </w:rPr>
      </w:pPr>
      <w:r w:rsidRPr="006154AD">
        <w:rPr>
          <w:lang w:val="fr-CH"/>
        </w:rPr>
        <w:tab/>
      </w:r>
      <w:r>
        <w:rPr>
          <w:rStyle w:val="FootnoteReference"/>
        </w:rPr>
        <w:footnoteRef/>
      </w:r>
      <w:r>
        <w:rPr>
          <w:lang w:val="fr-CH"/>
        </w:rPr>
        <w:tab/>
      </w:r>
      <w:r w:rsidRPr="006154AD">
        <w:rPr>
          <w:lang w:val="fr-CH"/>
        </w:rPr>
        <w:t>https://media.un.org/en/asset/k1o/k1o80fxek4.</w:t>
      </w:r>
    </w:p>
  </w:footnote>
  <w:footnote w:id="23">
    <w:p w14:paraId="74D49723"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sidRPr="006154AD">
        <w:rPr>
          <w:lang w:val="fr-CH"/>
        </w:rPr>
        <w:t>https://media.un.org/en/asset/k15/k15tg3hwyo.</w:t>
      </w:r>
    </w:p>
  </w:footnote>
  <w:footnote w:id="24">
    <w:p w14:paraId="1AB701F1" w14:textId="77777777" w:rsidR="00925C2B" w:rsidRPr="00902BA5" w:rsidRDefault="00925C2B" w:rsidP="00CB62E2">
      <w:pPr>
        <w:pStyle w:val="FootnoteText"/>
        <w:rPr>
          <w:lang w:val="fr-CH"/>
        </w:rPr>
      </w:pPr>
      <w:r>
        <w:rPr>
          <w:lang w:val="fr-CH"/>
        </w:rPr>
        <w:tab/>
      </w:r>
      <w:r>
        <w:rPr>
          <w:rStyle w:val="FootnoteReference"/>
        </w:rPr>
        <w:footnoteRef/>
      </w:r>
      <w:r>
        <w:rPr>
          <w:lang w:val="fr-CH"/>
        </w:rPr>
        <w:tab/>
        <w:t>A/HRC/42</w:t>
      </w:r>
      <w:r w:rsidRPr="00C63DAB">
        <w:rPr>
          <w:lang w:val="fr-CH"/>
        </w:rPr>
        <w:t>/</w:t>
      </w:r>
      <w:r>
        <w:rPr>
          <w:lang w:val="fr-CH"/>
        </w:rPr>
        <w:t>26</w:t>
      </w:r>
      <w:r w:rsidRPr="00C63DAB">
        <w:rPr>
          <w:lang w:val="fr-CH"/>
        </w:rPr>
        <w:t xml:space="preserve">, par. </w:t>
      </w:r>
      <w:r>
        <w:rPr>
          <w:lang w:val="fr-CH"/>
        </w:rPr>
        <w:t>24.</w:t>
      </w:r>
    </w:p>
  </w:footnote>
  <w:footnote w:id="25">
    <w:p w14:paraId="79D24780" w14:textId="1264C110" w:rsidR="00925C2B" w:rsidRPr="006B7237" w:rsidRDefault="00925C2B" w:rsidP="00CB62E2">
      <w:pPr>
        <w:pStyle w:val="FootnoteText"/>
        <w:spacing w:line="240" w:lineRule="auto"/>
        <w:ind w:right="567"/>
        <w:rPr>
          <w:szCs w:val="18"/>
          <w:lang w:val="fr-CH"/>
        </w:rPr>
      </w:pPr>
      <w:r>
        <w:rPr>
          <w:lang w:val="fr-CH"/>
        </w:rPr>
        <w:tab/>
      </w:r>
      <w:r w:rsidRPr="006B7237">
        <w:rPr>
          <w:vertAlign w:val="superscript"/>
        </w:rPr>
        <w:footnoteRef/>
      </w:r>
      <w:r w:rsidRPr="006B7237">
        <w:rPr>
          <w:lang w:val="fr-CH"/>
        </w:rPr>
        <w:tab/>
        <w:t>Pour plus de détails, voir A/HRC/36/54, par. 6 à 8 et A/HRC/36/CRP.1, par. 22 à 33</w:t>
      </w:r>
      <w:r>
        <w:rPr>
          <w:lang w:val="fr-CH"/>
        </w:rPr>
        <w:t> ; A/HRC/39/63, par. 6 à 7 ; A/HRC/39/CRP.1, par. 16 à 18</w:t>
      </w:r>
      <w:r w:rsidRPr="006B7237">
        <w:rPr>
          <w:lang w:val="fr-CH"/>
        </w:rPr>
        <w:t>.</w:t>
      </w:r>
    </w:p>
  </w:footnote>
  <w:footnote w:id="26">
    <w:p w14:paraId="130DE83F" w14:textId="77777777" w:rsidR="00925C2B" w:rsidRPr="006B7237" w:rsidRDefault="00925C2B" w:rsidP="00CB62E2">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Pour rappel, ce niveau de preuve est moins élevé que celui retenu par les tribunaux pour conclure à la culpabilité d’une personne ou établir la responsabilité d’un État, </w:t>
      </w:r>
      <w:r>
        <w:rPr>
          <w:lang w:val="fr-CH"/>
        </w:rPr>
        <w:t>à savoir l’</w:t>
      </w:r>
      <w:r w:rsidRPr="006B7237">
        <w:rPr>
          <w:lang w:val="fr-CH"/>
        </w:rPr>
        <w:t>absence « de tout doute raisonnable ». Il s’agit néanmoins du même niveau de preuve permettant par exemple à la Chambre préliminaire de la Cour pénale internationale de délivrer, sur requête du Procureur, un mandat d’arrêt ou une citation à comparaître à l’encontre d’une personne.</w:t>
      </w:r>
    </w:p>
  </w:footnote>
  <w:footnote w:id="27">
    <w:p w14:paraId="17937E59" w14:textId="77777777" w:rsidR="00925C2B" w:rsidRPr="000C63A2" w:rsidRDefault="00925C2B" w:rsidP="00FB06DD">
      <w:pPr>
        <w:pStyle w:val="FootnoteText"/>
        <w:rPr>
          <w:lang w:val="fr-CH"/>
        </w:rPr>
      </w:pPr>
      <w:r>
        <w:rPr>
          <w:lang w:val="fr-CH"/>
        </w:rPr>
        <w:tab/>
      </w:r>
      <w:r>
        <w:rPr>
          <w:rStyle w:val="FootnoteReference"/>
        </w:rPr>
        <w:footnoteRef/>
      </w:r>
      <w:r>
        <w:rPr>
          <w:lang w:val="fr-CH"/>
        </w:rPr>
        <w:tab/>
      </w:r>
      <w:r w:rsidRPr="00C63DAB">
        <w:rPr>
          <w:lang w:val="fr-CH"/>
        </w:rPr>
        <w:t>HCDH, Commissions d’enquête et missions d’établissement des faits sur le droit international des droits</w:t>
      </w:r>
      <w:r>
        <w:rPr>
          <w:lang w:val="fr-CH"/>
        </w:rPr>
        <w:t xml:space="preserve"> de l’homme et le droit humanitaire international, orientations et pratiques, 2015, HR/PUB/14/7. </w:t>
      </w:r>
    </w:p>
  </w:footnote>
  <w:footnote w:id="28">
    <w:p w14:paraId="1062DE6C" w14:textId="3E4F4D5E" w:rsidR="00925C2B" w:rsidRPr="006B7237" w:rsidRDefault="00925C2B" w:rsidP="00FB06DD">
      <w:pPr>
        <w:pStyle w:val="FootnoteText"/>
        <w:spacing w:line="240" w:lineRule="auto"/>
        <w:ind w:right="567"/>
        <w:rPr>
          <w:lang w:val="fr-CH"/>
        </w:rPr>
      </w:pPr>
      <w:r>
        <w:rPr>
          <w:lang w:val="fr-CH"/>
        </w:rPr>
        <w:tab/>
      </w:r>
      <w:r w:rsidRPr="006B7237">
        <w:rPr>
          <w:vertAlign w:val="superscript"/>
        </w:rPr>
        <w:footnoteRef/>
      </w:r>
      <w:r w:rsidRPr="006B7237">
        <w:rPr>
          <w:lang w:val="fr-CH"/>
        </w:rPr>
        <w:tab/>
        <w:t xml:space="preserve">Comme </w:t>
      </w:r>
      <w:r>
        <w:rPr>
          <w:lang w:val="fr-CH"/>
        </w:rPr>
        <w:t>par le</w:t>
      </w:r>
      <w:r w:rsidRPr="006B7237">
        <w:rPr>
          <w:lang w:val="fr-CH"/>
        </w:rPr>
        <w:t xml:space="preserve"> passé, les conclusions contenues dans le présent </w:t>
      </w:r>
      <w:r w:rsidR="00E33368">
        <w:rPr>
          <w:lang w:val="fr-CH"/>
        </w:rPr>
        <w:t>document</w:t>
      </w:r>
      <w:r w:rsidR="00E33368" w:rsidRPr="006B7237">
        <w:rPr>
          <w:lang w:val="fr-CH"/>
        </w:rPr>
        <w:t xml:space="preserve"> </w:t>
      </w:r>
      <w:r w:rsidRPr="006B7237">
        <w:rPr>
          <w:lang w:val="fr-CH"/>
        </w:rPr>
        <w:t>sont étayées par des références en bas de page</w:t>
      </w:r>
      <w:r>
        <w:rPr>
          <w:lang w:val="fr-CH"/>
        </w:rPr>
        <w:t xml:space="preserve"> qui représentent les </w:t>
      </w:r>
      <w:r w:rsidRPr="006B7237">
        <w:rPr>
          <w:lang w:val="fr-CH"/>
        </w:rPr>
        <w:t>code</w:t>
      </w:r>
      <w:r>
        <w:rPr>
          <w:lang w:val="fr-CH"/>
        </w:rPr>
        <w:t xml:space="preserve">s qui ont </w:t>
      </w:r>
      <w:r w:rsidRPr="006B7237">
        <w:rPr>
          <w:lang w:val="fr-CH"/>
        </w:rPr>
        <w:t>été attribué</w:t>
      </w:r>
      <w:r>
        <w:rPr>
          <w:lang w:val="fr-CH"/>
        </w:rPr>
        <w:t xml:space="preserve">s aux </w:t>
      </w:r>
      <w:r w:rsidRPr="006B7237">
        <w:rPr>
          <w:lang w:val="fr-CH"/>
        </w:rPr>
        <w:t>entretien</w:t>
      </w:r>
      <w:r>
        <w:rPr>
          <w:lang w:val="fr-CH"/>
        </w:rPr>
        <w:t>s recueillis</w:t>
      </w:r>
      <w:r w:rsidRPr="006B7237">
        <w:rPr>
          <w:lang w:val="fr-CH"/>
        </w:rPr>
        <w:t xml:space="preserve"> par la Commission </w:t>
      </w:r>
      <w:r>
        <w:rPr>
          <w:lang w:val="fr-CH"/>
        </w:rPr>
        <w:t xml:space="preserve">et qui ont été </w:t>
      </w:r>
      <w:r w:rsidRPr="006B7237">
        <w:rPr>
          <w:lang w:val="fr-CH"/>
        </w:rPr>
        <w:t>considérés fiables et crédibles.</w:t>
      </w:r>
      <w:r>
        <w:rPr>
          <w:lang w:val="fr-CH"/>
        </w:rPr>
        <w:t xml:space="preserve"> </w:t>
      </w:r>
      <w:r w:rsidRPr="006B7237">
        <w:rPr>
          <w:lang w:val="fr-CH"/>
        </w:rPr>
        <w:t>Les témoignage</w:t>
      </w:r>
      <w:r>
        <w:rPr>
          <w:lang w:val="fr-CH"/>
        </w:rPr>
        <w:t xml:space="preserve">s cités </w:t>
      </w:r>
      <w:r w:rsidRPr="006B7237">
        <w:rPr>
          <w:lang w:val="fr-CH"/>
        </w:rPr>
        <w:t xml:space="preserve">ne sont qu’un échantillon représentatif </w:t>
      </w:r>
      <w:r>
        <w:rPr>
          <w:lang w:val="fr-CH"/>
        </w:rPr>
        <w:t xml:space="preserve">et </w:t>
      </w:r>
      <w:r w:rsidRPr="006B7237">
        <w:rPr>
          <w:lang w:val="fr-CH"/>
        </w:rPr>
        <w:t>non-exhaustif</w:t>
      </w:r>
      <w:r>
        <w:rPr>
          <w:lang w:val="fr-CH"/>
        </w:rPr>
        <w:t xml:space="preserve"> des témoignages pertinents</w:t>
      </w:r>
      <w:r w:rsidRPr="006B7237">
        <w:rPr>
          <w:lang w:val="fr-CH"/>
        </w:rPr>
        <w:t>.</w:t>
      </w:r>
    </w:p>
  </w:footnote>
  <w:footnote w:id="29">
    <w:p w14:paraId="3BFB90A7" w14:textId="0357DEBA" w:rsidR="00925C2B" w:rsidRPr="006B7237" w:rsidRDefault="00925C2B" w:rsidP="00FB06DD">
      <w:pPr>
        <w:pStyle w:val="FootnoteText"/>
        <w:spacing w:line="240" w:lineRule="auto"/>
        <w:ind w:right="567"/>
        <w:rPr>
          <w:lang w:val="fr-CH"/>
        </w:rPr>
      </w:pPr>
      <w:r>
        <w:rPr>
          <w:lang w:val="fr-CH"/>
        </w:rPr>
        <w:tab/>
      </w:r>
      <w:r w:rsidRPr="006B7237">
        <w:rPr>
          <w:vertAlign w:val="superscript"/>
        </w:rPr>
        <w:footnoteRef/>
      </w:r>
      <w:r w:rsidRPr="006B7237">
        <w:rPr>
          <w:lang w:val="fr-CH"/>
        </w:rPr>
        <w:tab/>
        <w:t>Pour plus de détails, voir A/HRC/36/54, par. 9 et A/HRC/36/CRP.1, par. 37 à 50.</w:t>
      </w:r>
    </w:p>
  </w:footnote>
  <w:footnote w:id="30">
    <w:p w14:paraId="3CE93215" w14:textId="77777777" w:rsidR="00925C2B" w:rsidRPr="006B7237" w:rsidRDefault="00925C2B" w:rsidP="00FB06DD">
      <w:pPr>
        <w:pStyle w:val="FootnoteText"/>
        <w:spacing w:line="240" w:lineRule="auto"/>
        <w:rPr>
          <w:lang w:val="fr-CH"/>
        </w:rPr>
      </w:pPr>
      <w:r>
        <w:rPr>
          <w:lang w:val="fr-CH"/>
        </w:rPr>
        <w:tab/>
      </w:r>
      <w:r w:rsidRPr="006B7237">
        <w:rPr>
          <w:vertAlign w:val="superscript"/>
        </w:rPr>
        <w:footnoteRef/>
      </w:r>
      <w:r w:rsidRPr="006B7237">
        <w:rPr>
          <w:lang w:val="fr-CH"/>
        </w:rPr>
        <w:tab/>
        <w:t>Voir A/HRC/36/54, p</w:t>
      </w:r>
      <w:r>
        <w:rPr>
          <w:lang w:val="fr-CH"/>
        </w:rPr>
        <w:t>ar. 9 et A/HRC/36/CRP.1, par. 34 à 77</w:t>
      </w:r>
      <w:r w:rsidRPr="006B7237">
        <w:rPr>
          <w:lang w:val="fr-CH"/>
        </w:rPr>
        <w:t>.</w:t>
      </w:r>
    </w:p>
  </w:footnote>
  <w:footnote w:id="31">
    <w:p w14:paraId="59331A2E" w14:textId="77777777" w:rsidR="00925C2B" w:rsidRPr="00805131" w:rsidRDefault="00925C2B" w:rsidP="00FB06DD">
      <w:pPr>
        <w:pStyle w:val="FootnoteText"/>
        <w:rPr>
          <w:lang w:val="fr-CH"/>
        </w:rPr>
      </w:pPr>
      <w:r>
        <w:rPr>
          <w:lang w:val="fr-CH"/>
        </w:rPr>
        <w:tab/>
      </w:r>
      <w:r>
        <w:rPr>
          <w:rStyle w:val="FootnoteReference"/>
        </w:rPr>
        <w:footnoteRef/>
      </w:r>
      <w:r>
        <w:rPr>
          <w:lang w:val="fr-CH"/>
        </w:rPr>
        <w:tab/>
        <w:t>Voir A/HRC/39/CRP.1, par. 21 à 22.</w:t>
      </w:r>
    </w:p>
  </w:footnote>
  <w:footnote w:id="32">
    <w:p w14:paraId="18804CA7" w14:textId="77777777" w:rsidR="00925C2B" w:rsidRPr="006B7237" w:rsidRDefault="00925C2B" w:rsidP="004C25B4">
      <w:pPr>
        <w:pStyle w:val="FootnoteText"/>
        <w:spacing w:line="240" w:lineRule="auto"/>
        <w:ind w:right="567"/>
        <w:rPr>
          <w:lang w:val="fr-CH"/>
        </w:rPr>
      </w:pPr>
      <w:r>
        <w:rPr>
          <w:vertAlign w:val="superscript"/>
          <w:lang w:val="fr-CH"/>
        </w:rPr>
        <w:tab/>
      </w:r>
      <w:r w:rsidRPr="006B7237">
        <w:rPr>
          <w:vertAlign w:val="superscript"/>
        </w:rPr>
        <w:footnoteRef/>
      </w:r>
      <w:r w:rsidRPr="006B7237">
        <w:rPr>
          <w:vertAlign w:val="superscript"/>
          <w:lang w:val="fr-CH"/>
        </w:rPr>
        <w:tab/>
      </w:r>
      <w:r w:rsidRPr="006B7237">
        <w:rPr>
          <w:lang w:val="fr-CH"/>
        </w:rPr>
        <w:t>La demande de retrait de cette convention avait été notifiée au Secrétaire général des Nations Unies le 27 octobre 2016.</w:t>
      </w:r>
    </w:p>
  </w:footnote>
  <w:footnote w:id="33">
    <w:p w14:paraId="0D095267" w14:textId="77777777" w:rsidR="00925C2B" w:rsidRPr="006B7237" w:rsidRDefault="00925C2B" w:rsidP="004C25B4">
      <w:pPr>
        <w:pStyle w:val="FootnoteText"/>
        <w:spacing w:line="240" w:lineRule="auto"/>
        <w:ind w:right="567"/>
        <w:rPr>
          <w:lang w:val="fr-CH"/>
        </w:rPr>
      </w:pPr>
      <w:r>
        <w:rPr>
          <w:vertAlign w:val="superscript"/>
          <w:lang w:val="fr-CH"/>
        </w:rPr>
        <w:tab/>
      </w:r>
      <w:r w:rsidRPr="006B7237">
        <w:rPr>
          <w:vertAlign w:val="superscript"/>
        </w:rPr>
        <w:footnoteRef/>
      </w:r>
      <w:r w:rsidRPr="006B7237">
        <w:rPr>
          <w:vertAlign w:val="superscript"/>
          <w:lang w:val="fr-CH"/>
        </w:rPr>
        <w:tab/>
      </w:r>
      <w:r w:rsidRPr="006B7237">
        <w:rPr>
          <w:lang w:val="fr-CH"/>
        </w:rPr>
        <w:t>Article 127 du Statut de Rome.</w:t>
      </w:r>
    </w:p>
  </w:footnote>
  <w:footnote w:id="34">
    <w:p w14:paraId="39AAE195" w14:textId="77777777" w:rsidR="00925C2B" w:rsidRPr="006B7237" w:rsidRDefault="00925C2B" w:rsidP="004C25B4">
      <w:pPr>
        <w:pStyle w:val="FootnoteText"/>
        <w:spacing w:line="240" w:lineRule="auto"/>
        <w:ind w:right="567"/>
        <w:rPr>
          <w:szCs w:val="18"/>
          <w:lang w:val="fr-CH"/>
        </w:rPr>
      </w:pPr>
      <w:r>
        <w:rPr>
          <w:szCs w:val="18"/>
          <w:lang w:val="fr-CH"/>
        </w:rPr>
        <w:tab/>
      </w:r>
      <w:r w:rsidRPr="006B7237">
        <w:rPr>
          <w:vertAlign w:val="superscript"/>
        </w:rPr>
        <w:footnoteRef/>
      </w:r>
      <w:r>
        <w:rPr>
          <w:szCs w:val="18"/>
          <w:lang w:val="fr-CH"/>
        </w:rPr>
        <w:tab/>
      </w:r>
      <w:r w:rsidRPr="006B7237">
        <w:rPr>
          <w:szCs w:val="18"/>
          <w:lang w:val="fr-CH"/>
        </w:rPr>
        <w:t>Voir le livre deuxième, titre I, chapitre I du Code pénal burundais.</w:t>
      </w:r>
    </w:p>
  </w:footnote>
  <w:footnote w:id="35">
    <w:p w14:paraId="6B9CD264" w14:textId="77777777" w:rsidR="00925C2B" w:rsidRPr="00282BB4" w:rsidRDefault="00925C2B" w:rsidP="004C25B4">
      <w:pPr>
        <w:pStyle w:val="FootnoteText"/>
        <w:rPr>
          <w:lang w:val="fr-CH"/>
        </w:rPr>
      </w:pPr>
      <w:r>
        <w:rPr>
          <w:lang w:val="fr-CH"/>
        </w:rPr>
        <w:tab/>
      </w:r>
      <w:r>
        <w:rPr>
          <w:rStyle w:val="FootnoteReference"/>
        </w:rPr>
        <w:footnoteRef/>
      </w:r>
      <w:r>
        <w:rPr>
          <w:lang w:val="fr-CH"/>
        </w:rPr>
        <w:tab/>
        <w:t>Article 3 du Protocole facultatif.</w:t>
      </w:r>
    </w:p>
  </w:footnote>
  <w:footnote w:id="36">
    <w:p w14:paraId="7A40282E" w14:textId="77777777" w:rsidR="00925C2B" w:rsidRPr="006154AD" w:rsidRDefault="00925C2B" w:rsidP="00E63335">
      <w:pPr>
        <w:pStyle w:val="FootnoteText"/>
        <w:rPr>
          <w:lang w:val="fr-CH"/>
        </w:rPr>
      </w:pPr>
      <w:r>
        <w:rPr>
          <w:lang w:val="fr-CH"/>
        </w:rPr>
        <w:tab/>
      </w:r>
      <w:r w:rsidRPr="00704E75">
        <w:rPr>
          <w:rStyle w:val="FootnoteReference"/>
        </w:rPr>
        <w:footnoteRef/>
      </w:r>
      <w:r>
        <w:rPr>
          <w:lang w:val="fr-CH"/>
        </w:rPr>
        <w:tab/>
      </w:r>
      <w:r w:rsidRPr="00704E75">
        <w:rPr>
          <w:lang w:val="fr-CH"/>
        </w:rPr>
        <w:t>CCPR/C/BDI/Q/3.</w:t>
      </w:r>
    </w:p>
  </w:footnote>
  <w:footnote w:id="37">
    <w:p w14:paraId="0A52759C" w14:textId="77777777" w:rsidR="00925C2B" w:rsidRPr="00CB2FB8" w:rsidRDefault="00925C2B" w:rsidP="00E63335">
      <w:pPr>
        <w:pStyle w:val="FootnoteText"/>
        <w:rPr>
          <w:lang w:val="fr-CH"/>
        </w:rPr>
      </w:pPr>
      <w:r>
        <w:rPr>
          <w:lang w:val="fr-CH"/>
        </w:rPr>
        <w:tab/>
      </w:r>
      <w:r>
        <w:rPr>
          <w:rStyle w:val="FootnoteReference"/>
        </w:rPr>
        <w:footnoteRef/>
      </w:r>
      <w:r>
        <w:rPr>
          <w:lang w:val="fr-CH"/>
        </w:rPr>
        <w:tab/>
        <w:t>CCPR/C/BDI/3.</w:t>
      </w:r>
    </w:p>
  </w:footnote>
  <w:footnote w:id="38">
    <w:p w14:paraId="18768FC1" w14:textId="77777777" w:rsidR="00925C2B" w:rsidRPr="003C120F" w:rsidRDefault="00925C2B" w:rsidP="00684B0A">
      <w:pPr>
        <w:pStyle w:val="FootnoteText"/>
        <w:tabs>
          <w:tab w:val="clear" w:pos="1021"/>
        </w:tabs>
        <w:ind w:hanging="283"/>
        <w:rPr>
          <w:lang w:val="fr-CH"/>
        </w:rPr>
      </w:pPr>
      <w:r w:rsidRPr="00FA45AB">
        <w:rPr>
          <w:rStyle w:val="FootnoteReference"/>
          <w:lang w:val="fr-CH"/>
        </w:rPr>
        <w:t xml:space="preserve">  </w:t>
      </w:r>
      <w:r>
        <w:rPr>
          <w:rStyle w:val="FootnoteReference"/>
        </w:rPr>
        <w:footnoteRef/>
      </w:r>
      <w:r w:rsidRPr="00FA45AB">
        <w:rPr>
          <w:rStyle w:val="FootnoteReference"/>
          <w:lang w:val="fr-CH"/>
        </w:rPr>
        <w:tab/>
      </w:r>
      <w:r w:rsidRPr="003C120F">
        <w:rPr>
          <w:lang w:val="fr-CH"/>
        </w:rPr>
        <w:t>AL BDI/2/2020, disponible à : https://spcommreports.ohchr.org/TMResultsBase/DownLoadPublicCommunicationFile?gId=25577</w:t>
      </w:r>
    </w:p>
  </w:footnote>
  <w:footnote w:id="39">
    <w:p w14:paraId="1775ADCA" w14:textId="77777777" w:rsidR="00925C2B" w:rsidRPr="00A71C6E" w:rsidRDefault="00925C2B" w:rsidP="00684B0A">
      <w:pPr>
        <w:pStyle w:val="FootnoteText"/>
        <w:rPr>
          <w:lang w:val="fr-CH"/>
        </w:rPr>
      </w:pPr>
      <w:r>
        <w:rPr>
          <w:lang w:val="fr-CH"/>
        </w:rPr>
        <w:tab/>
      </w:r>
      <w:r>
        <w:rPr>
          <w:rStyle w:val="FootnoteReference"/>
        </w:rPr>
        <w:footnoteRef/>
      </w:r>
      <w:r>
        <w:rPr>
          <w:lang w:val="fr-CH"/>
        </w:rPr>
        <w:tab/>
      </w:r>
      <w:r w:rsidRPr="00A71C6E">
        <w:rPr>
          <w:lang w:val="fr-CH"/>
        </w:rPr>
        <w:t>JUA BDI/2/207</w:t>
      </w:r>
      <w:r>
        <w:rPr>
          <w:lang w:val="fr-CH"/>
        </w:rPr>
        <w:t xml:space="preserve"> et</w:t>
      </w:r>
      <w:r w:rsidRPr="00A71C6E">
        <w:rPr>
          <w:lang w:val="fr-CH"/>
        </w:rPr>
        <w:t xml:space="preserve"> AL BDI/</w:t>
      </w:r>
      <w:r>
        <w:rPr>
          <w:lang w:val="fr-CH"/>
        </w:rPr>
        <w:t>1/2018.</w:t>
      </w:r>
    </w:p>
  </w:footnote>
  <w:footnote w:id="40">
    <w:p w14:paraId="1898ED96" w14:textId="77777777" w:rsidR="00925C2B" w:rsidRPr="007B03AE" w:rsidRDefault="00925C2B" w:rsidP="00E63335">
      <w:pPr>
        <w:pStyle w:val="FootnoteText"/>
        <w:rPr>
          <w:lang w:val="fr-CH"/>
        </w:rPr>
      </w:pPr>
      <w:r>
        <w:rPr>
          <w:lang w:val="fr-CH"/>
        </w:rPr>
        <w:tab/>
      </w:r>
      <w:r>
        <w:rPr>
          <w:rStyle w:val="FootnoteReference"/>
        </w:rPr>
        <w:footnoteRef/>
      </w:r>
      <w:r>
        <w:rPr>
          <w:lang w:val="fr-CH"/>
        </w:rPr>
        <w:tab/>
      </w:r>
      <w:r w:rsidRPr="00BF2997">
        <w:rPr>
          <w:lang w:val="fr-CH"/>
        </w:rPr>
        <w:t>WGAD/</w:t>
      </w:r>
      <w:r w:rsidRPr="007B03AE">
        <w:rPr>
          <w:lang w:val="fr-CH"/>
        </w:rPr>
        <w:t>2019/37.</w:t>
      </w:r>
    </w:p>
  </w:footnote>
  <w:footnote w:id="41">
    <w:p w14:paraId="3DDF46BE" w14:textId="77777777" w:rsidR="00925C2B" w:rsidRPr="007A5E41" w:rsidRDefault="00925C2B" w:rsidP="00E63335">
      <w:pPr>
        <w:pStyle w:val="FootnoteText"/>
        <w:rPr>
          <w:lang w:val="fr-CH"/>
        </w:rPr>
      </w:pPr>
      <w:r w:rsidRPr="007B03AE">
        <w:rPr>
          <w:lang w:val="fr-CH"/>
        </w:rPr>
        <w:tab/>
      </w:r>
      <w:r w:rsidRPr="007B03AE">
        <w:rPr>
          <w:rStyle w:val="FootnoteReference"/>
        </w:rPr>
        <w:footnoteRef/>
      </w:r>
      <w:r w:rsidRPr="007B03AE">
        <w:rPr>
          <w:lang w:val="fr-CH"/>
        </w:rPr>
        <w:tab/>
      </w:r>
      <w:hyperlink r:id="rId3" w:history="1">
        <w:r w:rsidRPr="007B03AE">
          <w:rPr>
            <w:rStyle w:val="Hyperlink"/>
            <w:u w:val="single"/>
            <w:lang w:val="fr-CH"/>
          </w:rPr>
          <w:t>AL/BDI/1/2021</w:t>
        </w:r>
      </w:hyperlink>
      <w:r w:rsidRPr="007B03AE">
        <w:rPr>
          <w:lang w:val="fr-CH"/>
        </w:rPr>
        <w:t>. Une lettre concernant ces mêmes allégations a été également été envoyée au Gouvernement de Tanzanie (</w:t>
      </w:r>
      <w:hyperlink r:id="rId4" w:history="1">
        <w:r w:rsidRPr="007B03AE">
          <w:rPr>
            <w:rStyle w:val="Hyperlink"/>
            <w:u w:val="single"/>
            <w:lang w:val="fr-CH"/>
          </w:rPr>
          <w:t>AL/TZA/1/2021</w:t>
        </w:r>
      </w:hyperlink>
      <w:r w:rsidRPr="007B03AE">
        <w:rPr>
          <w:lang w:val="fr-CH"/>
        </w:rPr>
        <w:t xml:space="preserve">), à laquelle </w:t>
      </w:r>
      <w:r w:rsidRPr="00CB2FB8">
        <w:rPr>
          <w:lang w:val="fr-CH"/>
        </w:rPr>
        <w:t>aucune réponse n’a été reçue au 1</w:t>
      </w:r>
      <w:r w:rsidRPr="00CB2FB8">
        <w:rPr>
          <w:vertAlign w:val="superscript"/>
          <w:lang w:val="fr-CH"/>
        </w:rPr>
        <w:t>er</w:t>
      </w:r>
      <w:r w:rsidRPr="00CB2FB8">
        <w:rPr>
          <w:lang w:val="fr-CH"/>
        </w:rPr>
        <w:t xml:space="preserve"> août 2021.</w:t>
      </w:r>
    </w:p>
  </w:footnote>
  <w:footnote w:id="42">
    <w:p w14:paraId="39A9CA27" w14:textId="77777777" w:rsidR="00925C2B" w:rsidRPr="00D81EE8" w:rsidRDefault="00925C2B" w:rsidP="00E63335">
      <w:pPr>
        <w:pStyle w:val="FootnoteText"/>
        <w:rPr>
          <w:lang w:val="fr-CH"/>
        </w:rPr>
      </w:pPr>
      <w:r>
        <w:rPr>
          <w:lang w:val="fr-CH"/>
        </w:rPr>
        <w:tab/>
      </w:r>
      <w:r>
        <w:rPr>
          <w:rStyle w:val="FootnoteReference"/>
        </w:rPr>
        <w:footnoteRef/>
      </w:r>
      <w:r>
        <w:rPr>
          <w:lang w:val="fr-CH"/>
        </w:rPr>
        <w:tab/>
      </w:r>
      <w:r w:rsidRPr="005E4F7C">
        <w:rPr>
          <w:lang w:val="fr-CH"/>
        </w:rPr>
        <w:t>Ministère des Affaires étrangères et de la coop</w:t>
      </w:r>
      <w:r>
        <w:rPr>
          <w:lang w:val="fr-CH"/>
        </w:rPr>
        <w:t>é</w:t>
      </w:r>
      <w:r w:rsidRPr="005E4F7C">
        <w:rPr>
          <w:lang w:val="fr-CH"/>
        </w:rPr>
        <w:t>ration</w:t>
      </w:r>
      <w:r>
        <w:rPr>
          <w:lang w:val="fr-CH"/>
        </w:rPr>
        <w:t xml:space="preserve"> au développement, </w:t>
      </w:r>
      <w:hyperlink r:id="rId5" w:history="1">
        <w:r w:rsidRPr="00D81EE8">
          <w:rPr>
            <w:rStyle w:val="Hyperlink"/>
            <w:lang w:val="fr-CH"/>
          </w:rPr>
          <w:t>Note verbale n°204.14/059/MAECD/2021</w:t>
        </w:r>
      </w:hyperlink>
      <w:r w:rsidRPr="00D81EE8">
        <w:rPr>
          <w:lang w:val="fr-CH"/>
        </w:rPr>
        <w:t>.</w:t>
      </w:r>
    </w:p>
  </w:footnote>
  <w:footnote w:id="43">
    <w:p w14:paraId="41BD1FEC" w14:textId="77777777" w:rsidR="00925C2B" w:rsidRPr="003A57FE" w:rsidRDefault="00925C2B" w:rsidP="00E63335">
      <w:pPr>
        <w:pStyle w:val="FootnoteText"/>
        <w:rPr>
          <w:lang w:val="fr-CH"/>
        </w:rPr>
      </w:pPr>
      <w:r>
        <w:rPr>
          <w:lang w:val="fr-CH"/>
        </w:rPr>
        <w:tab/>
      </w:r>
      <w:r>
        <w:rPr>
          <w:rStyle w:val="FootnoteReference"/>
        </w:rPr>
        <w:footnoteRef/>
      </w:r>
      <w:r>
        <w:rPr>
          <w:lang w:val="fr-CH"/>
        </w:rPr>
        <w:tab/>
      </w:r>
      <w:r w:rsidRPr="003A57FE">
        <w:rPr>
          <w:lang w:val="fr-CH"/>
        </w:rPr>
        <w:t xml:space="preserve">La Commission </w:t>
      </w:r>
      <w:r>
        <w:rPr>
          <w:lang w:val="fr-CH"/>
        </w:rPr>
        <w:t>note</w:t>
      </w:r>
      <w:r w:rsidRPr="003A57FE">
        <w:rPr>
          <w:lang w:val="fr-CH"/>
        </w:rPr>
        <w:t xml:space="preserve"> que le M</w:t>
      </w:r>
      <w:r>
        <w:rPr>
          <w:lang w:val="fr-CH"/>
        </w:rPr>
        <w:t>inistère des Affaires étrangères du Burundi semble faire une confusion entre la présente Commission d’enquête et les différents mécanismes des Procédures spéciales, qui sont également des experts indépendants, mais avec des mandats spécifiques qui diffèrent de celui de la Commission.</w:t>
      </w:r>
    </w:p>
  </w:footnote>
  <w:footnote w:id="44">
    <w:p w14:paraId="0F7E6DD7" w14:textId="77777777"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WGAD/2020/40.</w:t>
      </w:r>
    </w:p>
  </w:footnote>
  <w:footnote w:id="45">
    <w:p w14:paraId="00488110" w14:textId="77777777"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WGAD/2020/55.</w:t>
      </w:r>
    </w:p>
  </w:footnote>
  <w:footnote w:id="46">
    <w:p w14:paraId="788BFFE0" w14:textId="77777777" w:rsidR="00925C2B" w:rsidRPr="0079641B" w:rsidRDefault="00925C2B" w:rsidP="00E63335">
      <w:pPr>
        <w:pStyle w:val="FootnoteText"/>
        <w:rPr>
          <w:lang w:val="fr-CH"/>
        </w:rPr>
      </w:pPr>
      <w:r>
        <w:rPr>
          <w:lang w:val="fr-CH"/>
        </w:rPr>
        <w:tab/>
      </w:r>
      <w:r>
        <w:rPr>
          <w:rStyle w:val="FootnoteReference"/>
        </w:rPr>
        <w:footnoteRef/>
      </w:r>
      <w:r>
        <w:rPr>
          <w:lang w:val="fr-CH"/>
        </w:rPr>
        <w:tab/>
      </w:r>
      <w:r w:rsidRPr="0079641B">
        <w:rPr>
          <w:lang w:val="fr-CH"/>
        </w:rPr>
        <w:t xml:space="preserve">Militaires issus de l’ancienne armée </w:t>
      </w:r>
      <w:r>
        <w:rPr>
          <w:lang w:val="fr-CH"/>
        </w:rPr>
        <w:t xml:space="preserve">régulière </w:t>
      </w:r>
      <w:r w:rsidRPr="0079641B">
        <w:rPr>
          <w:lang w:val="fr-CH"/>
        </w:rPr>
        <w:t xml:space="preserve">burundaise </w:t>
      </w:r>
      <w:r>
        <w:rPr>
          <w:lang w:val="fr-CH"/>
        </w:rPr>
        <w:t>(Forces armées du Burundi) à majorité tutsie.</w:t>
      </w:r>
    </w:p>
  </w:footnote>
  <w:footnote w:id="47">
    <w:p w14:paraId="2DE43601" w14:textId="77777777" w:rsidR="00925C2B" w:rsidRDefault="00925C2B" w:rsidP="00E63335">
      <w:pPr>
        <w:pStyle w:val="FootnoteText"/>
      </w:pPr>
      <w:r w:rsidRPr="00FA45AB">
        <w:rPr>
          <w:lang w:val="fr-CH"/>
        </w:rPr>
        <w:tab/>
      </w:r>
      <w:r>
        <w:rPr>
          <w:rStyle w:val="FootnoteReference"/>
        </w:rPr>
        <w:footnoteRef/>
      </w:r>
      <w:r>
        <w:tab/>
        <w:t>WGAD/2020/56.</w:t>
      </w:r>
    </w:p>
  </w:footnote>
  <w:footnote w:id="48">
    <w:p w14:paraId="26F88F5E" w14:textId="77777777" w:rsidR="00925C2B" w:rsidRDefault="00925C2B" w:rsidP="00E63335">
      <w:pPr>
        <w:pStyle w:val="FootnoteText"/>
      </w:pPr>
      <w:r>
        <w:tab/>
      </w:r>
      <w:r>
        <w:rPr>
          <w:rStyle w:val="FootnoteReference"/>
        </w:rPr>
        <w:footnoteRef/>
      </w:r>
      <w:r>
        <w:tab/>
        <w:t>WGAD/2021/9.</w:t>
      </w:r>
    </w:p>
  </w:footnote>
  <w:footnote w:id="49">
    <w:p w14:paraId="28A0DC2C" w14:textId="77777777" w:rsidR="00925C2B" w:rsidRDefault="00925C2B" w:rsidP="00E63335">
      <w:pPr>
        <w:pStyle w:val="FootnoteText"/>
      </w:pPr>
      <w:r>
        <w:tab/>
      </w:r>
      <w:r>
        <w:rPr>
          <w:rStyle w:val="FootnoteReference"/>
        </w:rPr>
        <w:footnoteRef/>
      </w:r>
      <w:r>
        <w:tab/>
        <w:t>A/HRC/WGEID/123/1.</w:t>
      </w:r>
    </w:p>
  </w:footnote>
  <w:footnote w:id="50">
    <w:p w14:paraId="3E2B415A" w14:textId="77777777" w:rsidR="00925C2B" w:rsidRPr="004F47DA" w:rsidRDefault="00925C2B" w:rsidP="00E63335">
      <w:pPr>
        <w:pStyle w:val="FootnoteText"/>
        <w:rPr>
          <w:lang w:val="fr-CH"/>
        </w:rPr>
      </w:pPr>
      <w:r w:rsidRPr="00FA45AB">
        <w:tab/>
      </w:r>
      <w:r>
        <w:rPr>
          <w:rStyle w:val="FootnoteReference"/>
        </w:rPr>
        <w:footnoteRef/>
      </w:r>
      <w:r>
        <w:rPr>
          <w:lang w:val="fr-CH"/>
        </w:rPr>
        <w:tab/>
      </w:r>
      <w:r w:rsidRPr="004F47DA">
        <w:rPr>
          <w:lang w:val="fr-CH"/>
        </w:rPr>
        <w:t xml:space="preserve">Voir A/HRC/42/CRP.2, par. </w:t>
      </w:r>
      <w:r>
        <w:rPr>
          <w:lang w:val="fr-CH"/>
        </w:rPr>
        <w:t xml:space="preserve">25 et </w:t>
      </w:r>
      <w:r w:rsidRPr="004F47DA">
        <w:rPr>
          <w:lang w:val="fr-CH"/>
        </w:rPr>
        <w:t>A/HRC/45/CRP.1, par. 32-3</w:t>
      </w:r>
      <w:r>
        <w:rPr>
          <w:lang w:val="fr-CH"/>
        </w:rPr>
        <w:t>5 pour les détails des 156 autres cas transmis au Gouvernement du Burundi</w:t>
      </w:r>
      <w:r w:rsidRPr="004F47DA">
        <w:rPr>
          <w:lang w:val="fr-CH"/>
        </w:rPr>
        <w:t>.</w:t>
      </w:r>
    </w:p>
  </w:footnote>
  <w:footnote w:id="51">
    <w:p w14:paraId="1C76EA78" w14:textId="77777777" w:rsidR="00925C2B" w:rsidRPr="006154AD" w:rsidRDefault="00925C2B" w:rsidP="00E63335">
      <w:pPr>
        <w:pStyle w:val="FootnoteText"/>
        <w:rPr>
          <w:lang w:val="fr-CH"/>
        </w:rPr>
      </w:pPr>
      <w:r>
        <w:rPr>
          <w:lang w:val="fr-CH"/>
        </w:rPr>
        <w:tab/>
      </w:r>
      <w:r>
        <w:rPr>
          <w:rStyle w:val="FootnoteReference"/>
        </w:rPr>
        <w:footnoteRef/>
      </w:r>
      <w:r>
        <w:rPr>
          <w:lang w:val="fr-CH"/>
        </w:rPr>
        <w:tab/>
        <w:t xml:space="preserve">Voir A/HRC/45/13 et </w:t>
      </w:r>
      <w:r w:rsidRPr="006154AD">
        <w:rPr>
          <w:lang w:val="fr-CH"/>
        </w:rPr>
        <w:t>A/HRC/WGEID/123/1</w:t>
      </w:r>
      <w:r>
        <w:rPr>
          <w:lang w:val="fr-CH"/>
        </w:rPr>
        <w:t>.</w:t>
      </w:r>
    </w:p>
  </w:footnote>
  <w:footnote w:id="52">
    <w:p w14:paraId="190DD018" w14:textId="77777777" w:rsidR="00925C2B" w:rsidRPr="006154AD" w:rsidRDefault="00925C2B" w:rsidP="00E63335">
      <w:pPr>
        <w:pStyle w:val="FootnoteText"/>
        <w:rPr>
          <w:lang w:val="fr-CH"/>
        </w:rPr>
      </w:pPr>
      <w:r>
        <w:rPr>
          <w:lang w:val="fr-CH"/>
        </w:rPr>
        <w:tab/>
      </w:r>
      <w:r>
        <w:rPr>
          <w:rStyle w:val="FootnoteReference"/>
        </w:rPr>
        <w:footnoteRef/>
      </w:r>
      <w:r>
        <w:rPr>
          <w:lang w:val="fr-CH"/>
        </w:rPr>
        <w:tab/>
      </w:r>
      <w:r>
        <w:rPr>
          <w:lang w:val="fr-CH"/>
        </w:rPr>
        <w:tab/>
      </w:r>
      <w:r w:rsidRPr="006154AD">
        <w:rPr>
          <w:lang w:val="fr-CH"/>
        </w:rPr>
        <w:t>https://www.rfi.fr/fr/podcasts/invit%C3%A9-afrique/20210714-evariste-ndayishimiye-il-est-temps-de-revoir-les-sanctions-europ%C3%A9ennes-contre-le-burundi.</w:t>
      </w:r>
    </w:p>
  </w:footnote>
  <w:footnote w:id="53">
    <w:p w14:paraId="41F4DBAC" w14:textId="3B95472B" w:rsidR="00925C2B" w:rsidRPr="006154AD" w:rsidRDefault="00925C2B" w:rsidP="00E63335">
      <w:pPr>
        <w:pStyle w:val="FootnoteText"/>
        <w:rPr>
          <w:lang w:val="fr-CH"/>
        </w:rPr>
      </w:pPr>
      <w:r>
        <w:rPr>
          <w:lang w:val="fr-CH"/>
        </w:rPr>
        <w:tab/>
      </w:r>
      <w:r>
        <w:rPr>
          <w:rStyle w:val="FootnoteReference"/>
        </w:rPr>
        <w:footnoteRef/>
      </w:r>
      <w:r>
        <w:rPr>
          <w:lang w:val="fr-CH"/>
        </w:rPr>
        <w:tab/>
      </w:r>
      <w:r>
        <w:rPr>
          <w:lang w:val="fr-CH"/>
        </w:rPr>
        <w:tab/>
        <w:t xml:space="preserve">Voir </w:t>
      </w:r>
      <w:r w:rsidRPr="006154AD">
        <w:rPr>
          <w:lang w:val="fr-CH"/>
        </w:rPr>
        <w:t>S/PRST/2020/12.</w:t>
      </w:r>
      <w:r w:rsidRPr="000E2F7E">
        <w:rPr>
          <w:lang w:val="fr-CH"/>
        </w:rPr>
        <w:t xml:space="preserve"> </w:t>
      </w:r>
      <w:r>
        <w:rPr>
          <w:lang w:val="fr-CH"/>
        </w:rPr>
        <w:t>Dans la résolution 2302(2016), le Conseil priait « </w:t>
      </w:r>
      <w:r w:rsidRPr="00F87144">
        <w:rPr>
          <w:lang w:val="fr-CH"/>
        </w:rPr>
        <w:t xml:space="preserve">le Secrétaire général de lui faire rapport sur la situation au Burundi tous les trois mois après l’adoption de la présente résolution, y compris sur tout fait public d’incitation à la haine et à la violence, ainsi que sur les mesures prises aux fins du déploiement de la composante de police des Nations Unies </w:t>
      </w:r>
      <w:r>
        <w:rPr>
          <w:lang w:val="fr-CH"/>
        </w:rPr>
        <w:t xml:space="preserve">[…] </w:t>
      </w:r>
      <w:r w:rsidRPr="00F87144">
        <w:rPr>
          <w:lang w:val="fr-CH"/>
        </w:rPr>
        <w:t>et pri</w:t>
      </w:r>
      <w:r>
        <w:rPr>
          <w:lang w:val="fr-CH"/>
        </w:rPr>
        <w:t>ait</w:t>
      </w:r>
      <w:r w:rsidRPr="00F87144">
        <w:rPr>
          <w:lang w:val="fr-CH"/>
        </w:rPr>
        <w:t xml:space="preserve"> également le Secrétaire général de lui rendre compte immédiatement par écrit en cas d’atteintes graves à la sécurité, de violations du droit international humanitaire, de violations des droits de l’homme et d’atteintes à ces droits dont aurait connaissance </w:t>
      </w:r>
      <w:r>
        <w:rPr>
          <w:lang w:val="fr-CH"/>
        </w:rPr>
        <w:t xml:space="preserve">[…] </w:t>
      </w:r>
      <w:r w:rsidRPr="00F87144">
        <w:rPr>
          <w:lang w:val="fr-CH"/>
        </w:rPr>
        <w:t>le Haut-Commissariat de Nations Unies aux droits de l’homme, quels qu’en soient les auteurs</w:t>
      </w:r>
      <w:r>
        <w:rPr>
          <w:lang w:val="fr-CH"/>
        </w:rPr>
        <w:t> » (par. 19)</w:t>
      </w:r>
      <w:r w:rsidRPr="00F87144">
        <w:rPr>
          <w:lang w:val="fr-CH"/>
        </w:rPr>
        <w:t>.</w:t>
      </w:r>
    </w:p>
  </w:footnote>
  <w:footnote w:id="54">
    <w:p w14:paraId="699C1CBD" w14:textId="77777777" w:rsidR="00925C2B" w:rsidRPr="00B874E3" w:rsidRDefault="00925C2B" w:rsidP="00705660">
      <w:pPr>
        <w:pStyle w:val="FootnoteText"/>
        <w:rPr>
          <w:lang w:val="fr-CH"/>
        </w:rPr>
      </w:pPr>
      <w:r>
        <w:rPr>
          <w:lang w:val="fr-CH"/>
        </w:rPr>
        <w:tab/>
      </w:r>
      <w:r>
        <w:rPr>
          <w:rStyle w:val="FootnoteReference"/>
        </w:rPr>
        <w:footnoteRef/>
      </w:r>
      <w:r>
        <w:rPr>
          <w:lang w:val="fr-CH"/>
        </w:rPr>
        <w:tab/>
      </w:r>
      <w:r w:rsidRPr="00B874E3">
        <w:rPr>
          <w:lang w:val="fr-CH"/>
        </w:rPr>
        <w:t xml:space="preserve">Voir A/HRC/45/CRP.1, par. </w:t>
      </w:r>
      <w:r>
        <w:rPr>
          <w:lang w:val="fr-CH"/>
        </w:rPr>
        <w:t>38-39.</w:t>
      </w:r>
    </w:p>
  </w:footnote>
  <w:footnote w:id="55">
    <w:p w14:paraId="250774E6" w14:textId="77777777" w:rsidR="00925C2B" w:rsidRPr="002244B4" w:rsidRDefault="00925C2B" w:rsidP="00E63335">
      <w:pPr>
        <w:pStyle w:val="FootnoteText"/>
      </w:pPr>
      <w:r w:rsidRPr="00FA45AB">
        <w:rPr>
          <w:lang w:val="fr-CH"/>
        </w:rPr>
        <w:tab/>
      </w:r>
      <w:r>
        <w:rPr>
          <w:rStyle w:val="FootnoteReference"/>
        </w:rPr>
        <w:footnoteRef/>
      </w:r>
      <w:r>
        <w:tab/>
      </w:r>
      <w:r w:rsidRPr="002244B4">
        <w:t>S/2020/1078.</w:t>
      </w:r>
    </w:p>
  </w:footnote>
  <w:footnote w:id="56">
    <w:p w14:paraId="2A1C6729" w14:textId="77777777" w:rsidR="00925C2B" w:rsidRPr="002244B4" w:rsidRDefault="00925C2B" w:rsidP="00E63335">
      <w:pPr>
        <w:pStyle w:val="FootnoteText"/>
      </w:pPr>
      <w:r>
        <w:tab/>
      </w:r>
      <w:r>
        <w:rPr>
          <w:rStyle w:val="FootnoteReference"/>
        </w:rPr>
        <w:footnoteRef/>
      </w:r>
      <w:r>
        <w:tab/>
      </w:r>
      <w:r>
        <w:tab/>
      </w:r>
      <w:r w:rsidRPr="002244B4">
        <w:t>S/2020/1078, par. 6.</w:t>
      </w:r>
    </w:p>
  </w:footnote>
  <w:footnote w:id="57">
    <w:p w14:paraId="1EAE4DF0" w14:textId="77777777" w:rsidR="00925C2B" w:rsidRPr="002244B4" w:rsidRDefault="00925C2B" w:rsidP="00934B40">
      <w:pPr>
        <w:pStyle w:val="FootnoteText"/>
      </w:pPr>
      <w:r>
        <w:tab/>
      </w:r>
      <w:r>
        <w:rPr>
          <w:rStyle w:val="FootnoteReference"/>
        </w:rPr>
        <w:footnoteRef/>
      </w:r>
      <w:r>
        <w:tab/>
      </w:r>
      <w:r>
        <w:tab/>
      </w:r>
      <w:hyperlink r:id="rId6" w:history="1">
        <w:r w:rsidRPr="002244B4">
          <w:rPr>
            <w:rStyle w:val="Hyperlink"/>
          </w:rPr>
          <w:t>https://www.rfi.fr/fr/afrique/20201111-burundi-rapport-tr%C3%A8s-mesur%C3%A9-lonu-maintenir-le-dialogue-le-pouvoir</w:t>
        </w:r>
      </w:hyperlink>
      <w:r w:rsidRPr="002244B4">
        <w:t xml:space="preserve">, </w:t>
      </w:r>
    </w:p>
  </w:footnote>
  <w:footnote w:id="58">
    <w:p w14:paraId="1FF0B2F3" w14:textId="77777777" w:rsidR="00925C2B" w:rsidRPr="00FA45AB" w:rsidRDefault="00925C2B" w:rsidP="00934B40">
      <w:pPr>
        <w:pStyle w:val="FootnoteText"/>
        <w:ind w:left="0" w:firstLine="0"/>
        <w:rPr>
          <w:lang w:val="fr-CH"/>
        </w:rPr>
      </w:pPr>
      <w:r>
        <w:tab/>
      </w:r>
      <w:r>
        <w:rPr>
          <w:rStyle w:val="FootnoteReference"/>
        </w:rPr>
        <w:footnoteRef/>
      </w:r>
      <w:r w:rsidRPr="00FA45AB">
        <w:rPr>
          <w:lang w:val="fr-CH"/>
        </w:rPr>
        <w:tab/>
        <w:t>S/2020/1078, par. 7.</w:t>
      </w:r>
    </w:p>
  </w:footnote>
  <w:footnote w:id="59">
    <w:p w14:paraId="700DE80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 xml:space="preserve">Idem par. 8. </w:t>
      </w:r>
    </w:p>
  </w:footnote>
  <w:footnote w:id="60">
    <w:p w14:paraId="608BF10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S/2021/306.</w:t>
      </w:r>
    </w:p>
  </w:footnote>
  <w:footnote w:id="61">
    <w:p w14:paraId="73AB275B"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https://www.un.org/peacebuilding/content/peacebuilding-commission-virtual-meetings.</w:t>
      </w:r>
    </w:p>
  </w:footnote>
  <w:footnote w:id="62">
    <w:p w14:paraId="0811D1A3" w14:textId="77777777" w:rsidR="00925C2B" w:rsidRPr="00FA45AB" w:rsidRDefault="00925C2B" w:rsidP="00E63335">
      <w:pPr>
        <w:pStyle w:val="FootnoteText"/>
        <w:rPr>
          <w:lang w:val="fr-CH"/>
        </w:rPr>
      </w:pPr>
      <w:r w:rsidRPr="00FA45AB">
        <w:rPr>
          <w:lang w:val="fr-CH"/>
        </w:rPr>
        <w:tab/>
      </w:r>
      <w:r>
        <w:rPr>
          <w:rStyle w:val="FootnoteReference"/>
        </w:rPr>
        <w:footnoteRef/>
      </w:r>
      <w:r w:rsidRPr="00FA45AB">
        <w:rPr>
          <w:lang w:val="fr-CH"/>
        </w:rPr>
        <w:tab/>
        <w:t>S/2020/1078.</w:t>
      </w:r>
    </w:p>
  </w:footnote>
  <w:footnote w:id="63">
    <w:p w14:paraId="2EA40C32" w14:textId="77777777" w:rsidR="00925C2B" w:rsidRPr="002779E6" w:rsidRDefault="00925C2B" w:rsidP="00E63335">
      <w:pPr>
        <w:pStyle w:val="FootnoteText"/>
        <w:rPr>
          <w:lang w:val="fr-CH"/>
        </w:rPr>
      </w:pPr>
      <w:r>
        <w:rPr>
          <w:lang w:val="fr-CH"/>
        </w:rPr>
        <w:tab/>
      </w:r>
      <w:r>
        <w:rPr>
          <w:rStyle w:val="FootnoteReference"/>
        </w:rPr>
        <w:footnoteRef/>
      </w:r>
      <w:r>
        <w:rPr>
          <w:lang w:val="fr-CH"/>
        </w:rPr>
        <w:tab/>
        <w:t>Idem, par. 9.</w:t>
      </w:r>
    </w:p>
  </w:footnote>
  <w:footnote w:id="64">
    <w:p w14:paraId="6674938F" w14:textId="7C17ACBE" w:rsidR="00925C2B" w:rsidRPr="00013283" w:rsidRDefault="00925C2B" w:rsidP="00E63335">
      <w:pPr>
        <w:pStyle w:val="FootnoteText"/>
        <w:rPr>
          <w:lang w:val="fr-CH"/>
        </w:rPr>
      </w:pPr>
      <w:r>
        <w:rPr>
          <w:lang w:val="fr-CH"/>
        </w:rPr>
        <w:tab/>
      </w:r>
      <w:r>
        <w:rPr>
          <w:rStyle w:val="FootnoteReference"/>
        </w:rPr>
        <w:footnoteRef/>
      </w:r>
      <w:r>
        <w:rPr>
          <w:lang w:val="fr-CH"/>
        </w:rPr>
        <w:tab/>
        <w:t>Note verbale n°204.01/952/MAECD/2020.</w:t>
      </w:r>
    </w:p>
  </w:footnote>
  <w:footnote w:id="65">
    <w:p w14:paraId="214DB409" w14:textId="77777777" w:rsidR="00925C2B" w:rsidRPr="00B54A4A" w:rsidRDefault="00925C2B" w:rsidP="00E63335">
      <w:pPr>
        <w:pStyle w:val="FootnoteText"/>
        <w:rPr>
          <w:lang w:val="fr-CH"/>
        </w:rPr>
      </w:pPr>
      <w:r>
        <w:rPr>
          <w:lang w:val="fr-CH"/>
        </w:rPr>
        <w:tab/>
      </w:r>
      <w:r>
        <w:rPr>
          <w:rStyle w:val="FootnoteReference"/>
        </w:rPr>
        <w:footnoteRef/>
      </w:r>
      <w:r>
        <w:rPr>
          <w:lang w:val="fr-CH"/>
        </w:rPr>
        <w:tab/>
      </w:r>
      <w:r w:rsidRPr="00B54A4A">
        <w:rPr>
          <w:lang w:val="fr-CH"/>
        </w:rPr>
        <w:t xml:space="preserve">Voir : https://www.presidence.gov.bi/2020/11/24/extradition-des-presumes-putschistes-heberges-par-le-rwanda-et-la-liquidation-du-bureau-de-lenvoye-special-pour-le-burundi-au-menu-des-echanges-entre-le-president-ndayishimiye-et-len/; https://www.theeastafrican.co.ke/tea/news/east-africa/un-burundi-office-to-close-3355148, </w:t>
      </w:r>
      <w:hyperlink r:id="rId7" w:history="1">
        <w:r w:rsidRPr="00C8290C">
          <w:rPr>
            <w:rStyle w:val="Hyperlink"/>
            <w:lang w:val="fr-CH"/>
          </w:rPr>
          <w:t>https://www.rtbf.be/info/monde/detail_burundi-le-bureau-de-l-onu-fermera-finalement-le-31-mai?id=10736937</w:t>
        </w:r>
      </w:hyperlink>
      <w:r>
        <w:rPr>
          <w:lang w:val="fr-CH"/>
        </w:rPr>
        <w:t>.</w:t>
      </w:r>
    </w:p>
  </w:footnote>
  <w:footnote w:id="66">
    <w:p w14:paraId="3D008401" w14:textId="77777777" w:rsidR="00925C2B" w:rsidRPr="00B54A4A" w:rsidRDefault="00925C2B" w:rsidP="004E42C1">
      <w:pPr>
        <w:pStyle w:val="FootnoteText"/>
        <w:rPr>
          <w:lang w:val="fr-CH"/>
        </w:rPr>
      </w:pPr>
      <w:r>
        <w:rPr>
          <w:lang w:val="fr-CH"/>
        </w:rPr>
        <w:tab/>
      </w:r>
      <w:r>
        <w:rPr>
          <w:rStyle w:val="FootnoteReference"/>
        </w:rPr>
        <w:footnoteRef/>
      </w:r>
      <w:r>
        <w:rPr>
          <w:lang w:val="fr-CH"/>
        </w:rPr>
        <w:tab/>
      </w:r>
      <w:hyperlink r:id="rId8" w:history="1">
        <w:r w:rsidRPr="00C8290C">
          <w:rPr>
            <w:rStyle w:val="Hyperlink"/>
            <w:lang w:val="fr-CH"/>
          </w:rPr>
          <w:t>https://www.dw.com/fr/fermeture-bureau-onu-burundi/a-57733436</w:t>
        </w:r>
      </w:hyperlink>
      <w:r>
        <w:rPr>
          <w:lang w:val="fr-CH"/>
        </w:rPr>
        <w:t xml:space="preserve">, </w:t>
      </w:r>
      <w:r w:rsidRPr="00B54A4A">
        <w:rPr>
          <w:lang w:val="fr-CH"/>
        </w:rPr>
        <w:t>https://twitter.com/OSEBurundi/status/1399395077856890881?s=20.</w:t>
      </w:r>
    </w:p>
  </w:footnote>
  <w:footnote w:id="67">
    <w:p w14:paraId="57D4DFD2" w14:textId="77777777" w:rsidR="00925C2B" w:rsidRPr="00C33720" w:rsidRDefault="00925C2B" w:rsidP="00E63335">
      <w:pPr>
        <w:pStyle w:val="FootnoteText"/>
        <w:rPr>
          <w:lang w:val="fr-CH"/>
        </w:rPr>
      </w:pPr>
      <w:r>
        <w:rPr>
          <w:lang w:val="fr-CH"/>
        </w:rPr>
        <w:tab/>
      </w:r>
      <w:r>
        <w:rPr>
          <w:rStyle w:val="FootnoteReference"/>
        </w:rPr>
        <w:footnoteRef/>
      </w:r>
      <w:r>
        <w:rPr>
          <w:lang w:val="fr-CH"/>
        </w:rPr>
        <w:tab/>
      </w:r>
      <w:r w:rsidRPr="00E418D9">
        <w:rPr>
          <w:lang w:val="fr-CH"/>
        </w:rPr>
        <w:t>https://rtnb.bi/fr/art.php?idapi=5/1/130</w:t>
      </w:r>
      <w:r>
        <w:rPr>
          <w:lang w:val="fr-CH"/>
        </w:rPr>
        <w:t>.</w:t>
      </w:r>
    </w:p>
  </w:footnote>
  <w:footnote w:id="68">
    <w:p w14:paraId="1C9B63BE" w14:textId="77777777" w:rsidR="00925C2B" w:rsidRPr="00B54A4A" w:rsidRDefault="00925C2B" w:rsidP="00E63335">
      <w:pPr>
        <w:pStyle w:val="FootnoteText"/>
        <w:rPr>
          <w:lang w:val="fr-CH"/>
        </w:rPr>
      </w:pPr>
      <w:r>
        <w:rPr>
          <w:lang w:val="fr-CH"/>
        </w:rPr>
        <w:tab/>
      </w:r>
      <w:r>
        <w:rPr>
          <w:rStyle w:val="FootnoteReference"/>
        </w:rPr>
        <w:footnoteRef/>
      </w:r>
      <w:r>
        <w:rPr>
          <w:lang w:val="fr-CH"/>
        </w:rPr>
        <w:tab/>
      </w:r>
      <w:hyperlink r:id="rId9" w:history="1">
        <w:r w:rsidRPr="009226FA">
          <w:rPr>
            <w:rStyle w:val="Hyperlink"/>
            <w:lang w:val="fr-CH"/>
          </w:rPr>
          <w:t>https://twitter.com/OSEBurundi/status/1399395077856890881?s=20</w:t>
        </w:r>
      </w:hyperlink>
      <w:r>
        <w:rPr>
          <w:lang w:val="fr-CH"/>
        </w:rPr>
        <w:t xml:space="preserve">, voir également : </w:t>
      </w:r>
      <w:r w:rsidRPr="008B7F5F">
        <w:rPr>
          <w:lang w:val="fr-CH"/>
        </w:rPr>
        <w:t>https://oseb.unmissions.org/fr/historique</w:t>
      </w:r>
      <w:r w:rsidRPr="00B54A4A">
        <w:rPr>
          <w:lang w:val="fr-CH"/>
        </w:rPr>
        <w:t>.</w:t>
      </w:r>
    </w:p>
  </w:footnote>
  <w:footnote w:id="69">
    <w:p w14:paraId="104E2B72" w14:textId="562C042E" w:rsidR="00925C2B" w:rsidRPr="00E418D9" w:rsidRDefault="00925C2B" w:rsidP="00E63335">
      <w:pPr>
        <w:pStyle w:val="FootnoteText"/>
        <w:rPr>
          <w:lang w:val="fr-CH"/>
        </w:rPr>
      </w:pPr>
      <w:r>
        <w:rPr>
          <w:lang w:val="fr-CH"/>
        </w:rPr>
        <w:tab/>
      </w:r>
      <w:r>
        <w:rPr>
          <w:rStyle w:val="FootnoteReference"/>
        </w:rPr>
        <w:footnoteRef/>
      </w:r>
      <w:r>
        <w:rPr>
          <w:lang w:val="fr-CH"/>
        </w:rPr>
        <w:tab/>
      </w:r>
      <w:r>
        <w:rPr>
          <w:lang w:val="fr-CH"/>
        </w:rPr>
        <w:tab/>
      </w:r>
      <w:r w:rsidRPr="00012AED">
        <w:rPr>
          <w:lang w:val="fr-CH"/>
        </w:rPr>
        <w:t>Voir A/HRC/45/CRP.1, par. 38-39.</w:t>
      </w:r>
    </w:p>
  </w:footnote>
  <w:footnote w:id="70">
    <w:p w14:paraId="21E56977" w14:textId="77777777" w:rsidR="00925C2B" w:rsidRPr="00C33720" w:rsidRDefault="00925C2B" w:rsidP="0030171A">
      <w:pPr>
        <w:pStyle w:val="FootnoteText"/>
        <w:rPr>
          <w:lang w:val="fr-CH"/>
        </w:rPr>
      </w:pPr>
      <w:r>
        <w:rPr>
          <w:lang w:val="fr-CH"/>
        </w:rPr>
        <w:tab/>
      </w:r>
      <w:r>
        <w:rPr>
          <w:rStyle w:val="FootnoteReference"/>
        </w:rPr>
        <w:footnoteRef/>
      </w:r>
      <w:r>
        <w:rPr>
          <w:lang w:val="fr-CH"/>
        </w:rPr>
        <w:tab/>
      </w:r>
      <w:r w:rsidRPr="00C33720">
        <w:rPr>
          <w:lang w:val="fr-CH"/>
        </w:rPr>
        <w:t>https://www.peaceau.org/fr/article/communique-de-la-993eme-reunion-du-conseil-de-paix-et-de-securite-de-l-union-africaine-sur-la-mission-des-observateurs-des-droits-de-l-homme-et-des-experts-militaires-de-l-union-africaine-au-burundi-27-avril-2021.</w:t>
      </w:r>
    </w:p>
  </w:footnote>
  <w:footnote w:id="71">
    <w:p w14:paraId="790BC4C8" w14:textId="77777777" w:rsidR="00925C2B" w:rsidRPr="00B61F3E" w:rsidRDefault="00925C2B" w:rsidP="00E63335">
      <w:pPr>
        <w:pStyle w:val="FootnoteText"/>
        <w:rPr>
          <w:lang w:val="fr-CH"/>
        </w:rPr>
      </w:pPr>
      <w:r>
        <w:rPr>
          <w:lang w:val="fr-CH"/>
        </w:rPr>
        <w:tab/>
      </w:r>
      <w:r>
        <w:rPr>
          <w:rStyle w:val="FootnoteReference"/>
        </w:rPr>
        <w:footnoteRef/>
      </w:r>
      <w:r>
        <w:rPr>
          <w:lang w:val="fr-CH"/>
        </w:rPr>
        <w:tab/>
      </w:r>
      <w:r w:rsidRPr="00B61F3E">
        <w:rPr>
          <w:lang w:val="fr-CH"/>
        </w:rPr>
        <w:t>https://www.achpr.org/fr_pressrelease/detail?id=556</w:t>
      </w:r>
      <w:r>
        <w:rPr>
          <w:lang w:val="fr-CH"/>
        </w:rPr>
        <w:t>.</w:t>
      </w:r>
    </w:p>
  </w:footnote>
  <w:footnote w:id="72">
    <w:p w14:paraId="53892298" w14:textId="77777777" w:rsidR="00925C2B" w:rsidRPr="009C705C" w:rsidRDefault="00925C2B" w:rsidP="00E63335">
      <w:pPr>
        <w:pStyle w:val="FootnoteText"/>
        <w:rPr>
          <w:lang w:val="fr-CH"/>
        </w:rPr>
      </w:pPr>
      <w:r>
        <w:rPr>
          <w:lang w:val="fr-CH"/>
        </w:rPr>
        <w:tab/>
      </w:r>
      <w:r>
        <w:rPr>
          <w:rStyle w:val="FootnoteReference"/>
        </w:rPr>
        <w:footnoteRef/>
      </w:r>
      <w:r>
        <w:rPr>
          <w:lang w:val="fr-CH"/>
        </w:rPr>
        <w:tab/>
      </w:r>
      <w:r>
        <w:rPr>
          <w:lang w:val="fr-CH"/>
        </w:rPr>
        <w:tab/>
      </w:r>
      <w:r w:rsidRPr="009C705C">
        <w:rPr>
          <w:lang w:val="fr-CH"/>
        </w:rPr>
        <w:t>https://www.presidence.gov.bi/2020/12/07/le-chef-de-letat-recoit-en-audience-les-ambassadeurs-des-pays-membres-de-lunion-europeenne-au-burundi/</w:t>
      </w:r>
      <w:r>
        <w:rPr>
          <w:lang w:val="fr-CH"/>
        </w:rPr>
        <w:t>.</w:t>
      </w:r>
    </w:p>
  </w:footnote>
  <w:footnote w:id="73">
    <w:p w14:paraId="4F00F776" w14:textId="77777777" w:rsidR="00925C2B" w:rsidRPr="00F30561" w:rsidRDefault="00925C2B" w:rsidP="00F7318D">
      <w:pPr>
        <w:pStyle w:val="FootnoteText"/>
        <w:rPr>
          <w:lang w:val="fr-CH"/>
        </w:rPr>
      </w:pPr>
      <w:r>
        <w:rPr>
          <w:lang w:val="fr-CH"/>
        </w:rPr>
        <w:tab/>
      </w:r>
      <w:r>
        <w:rPr>
          <w:rStyle w:val="FootnoteReference"/>
        </w:rPr>
        <w:footnoteRef/>
      </w:r>
      <w:r>
        <w:rPr>
          <w:lang w:val="fr-CH"/>
        </w:rPr>
        <w:tab/>
      </w:r>
      <w:r>
        <w:rPr>
          <w:lang w:val="fr-CH"/>
        </w:rPr>
        <w:tab/>
      </w:r>
      <w:hyperlink r:id="rId10" w:history="1">
        <w:r w:rsidRPr="007273B0">
          <w:rPr>
            <w:rStyle w:val="Hyperlink"/>
            <w:lang w:val="fr-CH"/>
          </w:rPr>
          <w:t>https://www.mae.gov.bi/2021/02/04/le-gouvernement-du-burundi-entame-un-dialogue-politique-avec-lunion-europeenne/</w:t>
        </w:r>
      </w:hyperlink>
      <w:r>
        <w:rPr>
          <w:lang w:val="fr-CH"/>
        </w:rPr>
        <w:t xml:space="preserve">; </w:t>
      </w:r>
      <w:r w:rsidRPr="00D22FE9">
        <w:rPr>
          <w:lang w:val="fr-CH"/>
        </w:rPr>
        <w:t>https://eeas.europa.eu/delegations/jamaica/92516/reprise-du-dialogue-ue-burundi_mn</w:t>
      </w:r>
      <w:r>
        <w:rPr>
          <w:lang w:val="fr-CH"/>
        </w:rPr>
        <w:t>.</w:t>
      </w:r>
    </w:p>
  </w:footnote>
  <w:footnote w:id="74">
    <w:p w14:paraId="73224653" w14:textId="77777777" w:rsidR="00925C2B" w:rsidRPr="003C2E9B" w:rsidRDefault="00925C2B" w:rsidP="00E63335">
      <w:pPr>
        <w:pStyle w:val="FootnoteText"/>
        <w:rPr>
          <w:lang w:val="fr-CH"/>
        </w:rPr>
      </w:pPr>
      <w:r>
        <w:rPr>
          <w:lang w:val="fr-CH"/>
        </w:rPr>
        <w:tab/>
      </w:r>
      <w:r>
        <w:rPr>
          <w:rStyle w:val="FootnoteReference"/>
        </w:rPr>
        <w:footnoteRef/>
      </w:r>
      <w:r>
        <w:rPr>
          <w:lang w:val="fr-CH"/>
        </w:rPr>
        <w:tab/>
      </w:r>
      <w:r>
        <w:rPr>
          <w:lang w:val="fr-CH"/>
        </w:rPr>
        <w:tab/>
      </w:r>
      <w:r w:rsidRPr="003C2E9B">
        <w:rPr>
          <w:lang w:val="fr-CH"/>
        </w:rPr>
        <w:t>https://mariearena.eu/wp-content/uploads/2020/05/MEPs-Letter-to-High-Representative-Josep-Borrell-on-Burundi.pdf</w:t>
      </w:r>
      <w:r>
        <w:rPr>
          <w:lang w:val="fr-CH"/>
        </w:rPr>
        <w:t>.</w:t>
      </w:r>
    </w:p>
  </w:footnote>
  <w:footnote w:id="75">
    <w:p w14:paraId="04F0E3E7" w14:textId="77777777" w:rsidR="00925C2B" w:rsidRPr="00C10D1D" w:rsidRDefault="00925C2B" w:rsidP="00F7318D">
      <w:pPr>
        <w:pStyle w:val="FootnoteText"/>
        <w:rPr>
          <w:lang w:val="fr-CH"/>
        </w:rPr>
      </w:pPr>
      <w:r>
        <w:rPr>
          <w:lang w:val="fr-CH"/>
        </w:rPr>
        <w:tab/>
      </w:r>
      <w:r>
        <w:rPr>
          <w:rStyle w:val="FootnoteReference"/>
        </w:rPr>
        <w:footnoteRef/>
      </w:r>
      <w:r>
        <w:rPr>
          <w:lang w:val="fr-CH"/>
        </w:rPr>
        <w:tab/>
      </w:r>
      <w:r>
        <w:rPr>
          <w:lang w:val="fr-CH"/>
        </w:rPr>
        <w:tab/>
      </w:r>
      <w:r w:rsidRPr="002B4A25">
        <w:rPr>
          <w:lang w:val="fr-CH"/>
        </w:rPr>
        <w:t xml:space="preserve">https://twitter.com/MAEBurundi/status/1377302769472835589?s=20 </w:t>
      </w:r>
      <w:r>
        <w:rPr>
          <w:lang w:val="fr-CH"/>
        </w:rPr>
        <w:t xml:space="preserve">, </w:t>
      </w:r>
      <w:hyperlink r:id="rId11" w:history="1">
        <w:r w:rsidRPr="00B7013B">
          <w:rPr>
            <w:rStyle w:val="Hyperlink"/>
            <w:lang w:val="fr-CH"/>
          </w:rPr>
          <w:t>https://twitter.com/MAEBurundi/status/1380594708204896257?s=20</w:t>
        </w:r>
      </w:hyperlink>
      <w:r>
        <w:rPr>
          <w:lang w:val="fr-CH"/>
        </w:rPr>
        <w:t xml:space="preserve">; </w:t>
      </w:r>
      <w:r w:rsidRPr="00E04BFB">
        <w:rPr>
          <w:lang w:val="fr-CH"/>
        </w:rPr>
        <w:t>https://twitter.com/MAEBurundi/status/1380523202078781440?s=20</w:t>
      </w:r>
      <w:r>
        <w:rPr>
          <w:lang w:val="fr-CH"/>
        </w:rPr>
        <w:t xml:space="preserve"> ; </w:t>
      </w:r>
      <w:hyperlink r:id="rId12" w:history="1">
        <w:r w:rsidRPr="00B7013B">
          <w:rPr>
            <w:rStyle w:val="Hyperlink"/>
            <w:lang w:val="fr-CH"/>
          </w:rPr>
          <w:t>https://twitter.com/BelgiumInBuja/status/1380560292845862915?s=20</w:t>
        </w:r>
      </w:hyperlink>
      <w:r>
        <w:rPr>
          <w:lang w:val="fr-CH"/>
        </w:rPr>
        <w:t xml:space="preserve">; </w:t>
      </w:r>
    </w:p>
  </w:footnote>
  <w:footnote w:id="76">
    <w:p w14:paraId="2863D13D" w14:textId="77777777" w:rsidR="00925C2B" w:rsidRPr="00436480" w:rsidRDefault="00925C2B" w:rsidP="00F7318D">
      <w:pPr>
        <w:pStyle w:val="FootnoteText"/>
        <w:ind w:left="0" w:firstLine="0"/>
        <w:rPr>
          <w:lang w:val="fr-CH"/>
        </w:rPr>
      </w:pPr>
      <w:r>
        <w:rPr>
          <w:lang w:val="fr-CH"/>
        </w:rPr>
        <w:tab/>
      </w:r>
      <w:r>
        <w:rPr>
          <w:rStyle w:val="FootnoteReference"/>
        </w:rPr>
        <w:footnoteRef/>
      </w:r>
      <w:r>
        <w:rPr>
          <w:lang w:val="fr-CH"/>
        </w:rPr>
        <w:tab/>
      </w:r>
      <w:r w:rsidRPr="00436480">
        <w:rPr>
          <w:lang w:val="fr-CH"/>
        </w:rPr>
        <w:t>https://twitter.com/MAEBurundi/status/1389832988406558721</w:t>
      </w:r>
      <w:r>
        <w:rPr>
          <w:lang w:val="fr-CH"/>
        </w:rPr>
        <w:t>.</w:t>
      </w:r>
    </w:p>
  </w:footnote>
  <w:footnote w:id="77">
    <w:p w14:paraId="185ECD1B" w14:textId="77777777" w:rsidR="00925C2B" w:rsidRPr="004A5AC6" w:rsidRDefault="00925C2B" w:rsidP="00F7318D">
      <w:pPr>
        <w:pStyle w:val="FootnoteText"/>
        <w:rPr>
          <w:lang w:val="fr-CH"/>
        </w:rPr>
      </w:pPr>
      <w:r>
        <w:rPr>
          <w:lang w:val="fr-CH"/>
        </w:rPr>
        <w:tab/>
      </w:r>
      <w:r>
        <w:rPr>
          <w:rStyle w:val="FootnoteReference"/>
        </w:rPr>
        <w:footnoteRef/>
      </w:r>
      <w:r>
        <w:rPr>
          <w:lang w:val="fr-CH"/>
        </w:rPr>
        <w:tab/>
      </w:r>
      <w:hyperlink r:id="rId13" w:history="1">
        <w:r w:rsidRPr="00B3460A">
          <w:rPr>
            <w:rStyle w:val="Hyperlink"/>
            <w:lang w:val="fr-CH"/>
          </w:rPr>
          <w:t>https://twitter.com/UEauBurundi/status/1406951147395502081?s=20</w:t>
        </w:r>
      </w:hyperlink>
      <w:r>
        <w:rPr>
          <w:lang w:val="fr-CH"/>
        </w:rPr>
        <w:t xml:space="preserve">, </w:t>
      </w:r>
      <w:r w:rsidRPr="004A5AC6">
        <w:rPr>
          <w:lang w:val="fr-CH"/>
        </w:rPr>
        <w:t>https://twitter.com/UEauBurundi/status/1406951150151163904?s=20</w:t>
      </w:r>
    </w:p>
  </w:footnote>
  <w:footnote w:id="78">
    <w:p w14:paraId="07EF4447" w14:textId="77777777" w:rsidR="00925C2B" w:rsidRPr="000D727B" w:rsidRDefault="00925C2B" w:rsidP="00E63335">
      <w:pPr>
        <w:pStyle w:val="FootnoteText"/>
        <w:rPr>
          <w:lang w:val="fr-CH"/>
        </w:rPr>
      </w:pPr>
      <w:r>
        <w:rPr>
          <w:lang w:val="fr-CH"/>
        </w:rPr>
        <w:tab/>
      </w:r>
      <w:r>
        <w:rPr>
          <w:rStyle w:val="FootnoteReference"/>
        </w:rPr>
        <w:footnoteRef/>
      </w:r>
      <w:r>
        <w:rPr>
          <w:lang w:val="fr-CH"/>
        </w:rPr>
        <w:tab/>
      </w:r>
      <w:r w:rsidRPr="000D727B">
        <w:rPr>
          <w:lang w:val="fr-CH"/>
        </w:rPr>
        <w:t>https://www.hrw.org/fr/news/2021/06/21/lue-devrait-honorer-ses-engagements-en-faveur-des-droits-humains-au-burundi</w:t>
      </w:r>
      <w:r>
        <w:rPr>
          <w:lang w:val="fr-CH"/>
        </w:rPr>
        <w:t>.</w:t>
      </w:r>
    </w:p>
  </w:footnote>
  <w:footnote w:id="79">
    <w:p w14:paraId="011B0581" w14:textId="77777777" w:rsidR="00925C2B" w:rsidRPr="00ED7985" w:rsidRDefault="00925C2B" w:rsidP="00E63335">
      <w:pPr>
        <w:pStyle w:val="FootnoteText"/>
        <w:rPr>
          <w:lang w:val="fr-CH"/>
        </w:rPr>
      </w:pPr>
      <w:r>
        <w:rPr>
          <w:lang w:val="fr-CH"/>
        </w:rPr>
        <w:tab/>
      </w:r>
      <w:r>
        <w:rPr>
          <w:rStyle w:val="FootnoteReference"/>
        </w:rPr>
        <w:footnoteRef/>
      </w:r>
      <w:r>
        <w:rPr>
          <w:lang w:val="fr-CH"/>
        </w:rPr>
        <w:tab/>
      </w:r>
      <w:r w:rsidRPr="000C4F8C">
        <w:rPr>
          <w:color w:val="000000"/>
          <w:szCs w:val="18"/>
          <w:lang w:val="fr-CH"/>
        </w:rPr>
        <w:t>Décision (PESC) 2020/1585 : https://eur-lex.europa.eu/legal-content/FR/TXT/PDF/?uri=CELEX:32020D1585&amp;from=FR</w:t>
      </w:r>
      <w:r w:rsidRPr="000C4F8C">
        <w:rPr>
          <w:szCs w:val="18"/>
          <w:lang w:val="fr-CH"/>
        </w:rPr>
        <w:t>.</w:t>
      </w:r>
      <w:r w:rsidRPr="00E56ADC">
        <w:rPr>
          <w:szCs w:val="18"/>
          <w:lang w:val="fr-CH"/>
        </w:rPr>
        <w:t xml:space="preserve"> Voir ég</w:t>
      </w:r>
      <w:r>
        <w:rPr>
          <w:szCs w:val="18"/>
          <w:lang w:val="fr-CH"/>
        </w:rPr>
        <w:t>alement A/HRC/36/CRP.1, par.</w:t>
      </w:r>
      <w:r w:rsidRPr="00E56ADC">
        <w:rPr>
          <w:szCs w:val="18"/>
          <w:lang w:val="fr-CH"/>
        </w:rPr>
        <w:t xml:space="preserve"> 1</w:t>
      </w:r>
      <w:r>
        <w:rPr>
          <w:szCs w:val="18"/>
          <w:lang w:val="fr-CH"/>
        </w:rPr>
        <w:t>21, A/HRC/39/CRP.1 par. 60, A/HRC/42/CRP.2 par. 48-49 et A/HRC/45/CRP.1, par. 51.</w:t>
      </w:r>
    </w:p>
  </w:footnote>
  <w:footnote w:id="80">
    <w:p w14:paraId="04AED1B3" w14:textId="77777777" w:rsidR="00925C2B" w:rsidRPr="00ED7985" w:rsidRDefault="00925C2B" w:rsidP="00E63335">
      <w:pPr>
        <w:pStyle w:val="FootnoteText"/>
        <w:rPr>
          <w:lang w:val="fr-CH"/>
        </w:rPr>
      </w:pPr>
      <w:r>
        <w:rPr>
          <w:lang w:val="fr-CH"/>
        </w:rPr>
        <w:tab/>
      </w:r>
      <w:r>
        <w:rPr>
          <w:rStyle w:val="FootnoteReference"/>
        </w:rPr>
        <w:footnoteRef/>
      </w:r>
      <w:r>
        <w:rPr>
          <w:lang w:val="fr-CH"/>
        </w:rPr>
        <w:tab/>
      </w:r>
      <w:r w:rsidRPr="00C51535">
        <w:rPr>
          <w:lang w:val="fr-CH"/>
        </w:rPr>
        <w:t>https://www.seco.admin.ch/seco/fr/home/Aussenwirtschaftspolitik_</w:t>
      </w:r>
      <w:r>
        <w:rPr>
          <w:lang w:val="fr-CH"/>
        </w:rPr>
        <w:br/>
      </w:r>
      <w:r w:rsidRPr="00C51535">
        <w:rPr>
          <w:lang w:val="fr-CH"/>
        </w:rPr>
        <w:t>Wirtschaftliche_Zusammenarbeit/Wirtschaftsbeziehungen/exportkontrollen-und-sanktionen/sanktionen-embargos/sanktionsmassnahmen/massnahmen-gegenueber-burundi.html/</w:t>
      </w:r>
      <w:r>
        <w:rPr>
          <w:lang w:val="fr-CH"/>
        </w:rPr>
        <w:t>.</w:t>
      </w:r>
    </w:p>
  </w:footnote>
  <w:footnote w:id="81">
    <w:p w14:paraId="41AF7D78" w14:textId="48C41778" w:rsidR="00925C2B" w:rsidRPr="0033418B" w:rsidRDefault="00925C2B" w:rsidP="00E63335">
      <w:pPr>
        <w:pStyle w:val="FootnoteText"/>
        <w:rPr>
          <w:lang w:val="fr-CH"/>
        </w:rPr>
      </w:pPr>
      <w:r>
        <w:rPr>
          <w:lang w:val="fr-CH"/>
        </w:rPr>
        <w:tab/>
      </w:r>
      <w:r>
        <w:rPr>
          <w:rStyle w:val="FootnoteReference"/>
        </w:rPr>
        <w:footnoteRef/>
      </w:r>
      <w:r>
        <w:rPr>
          <w:lang w:val="fr-CH"/>
        </w:rPr>
        <w:tab/>
      </w:r>
      <w:r>
        <w:rPr>
          <w:szCs w:val="18"/>
          <w:lang w:val="fr-CH"/>
        </w:rPr>
        <w:t xml:space="preserve">Voir : </w:t>
      </w:r>
      <w:r w:rsidRPr="00861D03">
        <w:rPr>
          <w:szCs w:val="18"/>
          <w:lang w:val="fr-CH"/>
        </w:rPr>
        <w:t>https://sanctionssearch.ofac.treas.gov/</w:t>
      </w:r>
      <w:r>
        <w:rPr>
          <w:szCs w:val="18"/>
          <w:lang w:val="fr-CH"/>
        </w:rPr>
        <w:t>.</w:t>
      </w:r>
    </w:p>
  </w:footnote>
  <w:footnote w:id="82">
    <w:p w14:paraId="046D47D6" w14:textId="77777777" w:rsidR="00925C2B" w:rsidRPr="00CD3E3D" w:rsidRDefault="00925C2B" w:rsidP="00E63335">
      <w:pPr>
        <w:pStyle w:val="FootnoteText"/>
        <w:rPr>
          <w:lang w:val="fr-CH"/>
        </w:rPr>
      </w:pPr>
      <w:r>
        <w:rPr>
          <w:lang w:val="fr-CH"/>
        </w:rPr>
        <w:tab/>
      </w:r>
      <w:r>
        <w:rPr>
          <w:rStyle w:val="FootnoteReference"/>
        </w:rPr>
        <w:footnoteRef/>
      </w:r>
      <w:r>
        <w:rPr>
          <w:lang w:val="fr-CH"/>
        </w:rPr>
        <w:tab/>
      </w:r>
      <w:r w:rsidRPr="00CD3E3D">
        <w:rPr>
          <w:lang w:val="fr-CH"/>
        </w:rPr>
        <w:t>https://www.iwacu-burundi.org/qui-etait-le-general-major-cyrille-ndayirukiye/</w:t>
      </w:r>
      <w:r>
        <w:rPr>
          <w:lang w:val="fr-CH"/>
        </w:rPr>
        <w:t>.</w:t>
      </w:r>
    </w:p>
  </w:footnote>
  <w:footnote w:id="83">
    <w:p w14:paraId="6F698BCB" w14:textId="77777777" w:rsidR="00925C2B" w:rsidRPr="003C27DD" w:rsidRDefault="00925C2B" w:rsidP="00E63335">
      <w:pPr>
        <w:pStyle w:val="FootnoteText"/>
        <w:rPr>
          <w:lang w:val="fr-CH"/>
        </w:rPr>
      </w:pPr>
      <w:r>
        <w:rPr>
          <w:lang w:val="fr-CH"/>
        </w:rPr>
        <w:tab/>
      </w:r>
      <w:r>
        <w:rPr>
          <w:rStyle w:val="FootnoteReference"/>
        </w:rPr>
        <w:footnoteRef/>
      </w:r>
      <w:r>
        <w:rPr>
          <w:lang w:val="fr-CH"/>
        </w:rPr>
        <w:tab/>
      </w:r>
      <w:r w:rsidRPr="003C27DD">
        <w:rPr>
          <w:lang w:val="fr-CH"/>
        </w:rPr>
        <w:t>https://www.francophonie.org/sites/default/files/2020-11/Resol_Burundi_CPF_112_04112020.pdf</w:t>
      </w:r>
    </w:p>
  </w:footnote>
  <w:footnote w:id="84">
    <w:p w14:paraId="3F24EDA5" w14:textId="77777777" w:rsidR="00925C2B" w:rsidRPr="003C27DD" w:rsidRDefault="00925C2B" w:rsidP="00E63335">
      <w:pPr>
        <w:pStyle w:val="FootnoteText"/>
        <w:rPr>
          <w:lang w:val="fr-CH"/>
        </w:rPr>
      </w:pPr>
      <w:r>
        <w:rPr>
          <w:lang w:val="fr-CH"/>
        </w:rPr>
        <w:tab/>
      </w:r>
      <w:r>
        <w:rPr>
          <w:rStyle w:val="FootnoteReference"/>
        </w:rPr>
        <w:footnoteRef/>
      </w:r>
      <w:r>
        <w:rPr>
          <w:lang w:val="fr-CH"/>
        </w:rPr>
        <w:tab/>
      </w:r>
      <w:r w:rsidRPr="003C27DD">
        <w:rPr>
          <w:lang w:val="fr-CH"/>
        </w:rPr>
        <w:t>https://www.francophonie.org/sites/default/files/2020-11/Resol_Burundi_CPF_112_04112020.pdf</w:t>
      </w:r>
    </w:p>
  </w:footnote>
  <w:footnote w:id="85">
    <w:p w14:paraId="06BDB95F" w14:textId="2E5B0EC9" w:rsidR="00925C2B" w:rsidRPr="003C045C" w:rsidRDefault="00925C2B" w:rsidP="00E63335">
      <w:pPr>
        <w:pStyle w:val="FootnoteText"/>
        <w:rPr>
          <w:lang w:val="fr-CH"/>
        </w:rPr>
      </w:pPr>
      <w:r>
        <w:rPr>
          <w:lang w:val="fr-CH"/>
        </w:rPr>
        <w:tab/>
      </w:r>
      <w:r>
        <w:rPr>
          <w:rStyle w:val="FootnoteReference"/>
        </w:rPr>
        <w:footnoteRef/>
      </w:r>
      <w:r>
        <w:rPr>
          <w:lang w:val="fr-CH"/>
        </w:rPr>
        <w:tab/>
      </w:r>
      <w:r w:rsidRPr="003C045C">
        <w:rPr>
          <w:lang w:val="fr-CH"/>
        </w:rPr>
        <w:t>Rapport du SCA de juin 2021, disponible à</w:t>
      </w:r>
      <w:r>
        <w:rPr>
          <w:lang w:val="fr-CH"/>
        </w:rPr>
        <w:t xml:space="preserve"> : </w:t>
      </w:r>
      <w:r w:rsidRPr="00CA557A">
        <w:rPr>
          <w:lang w:val="fr-CH"/>
        </w:rPr>
        <w:t>https://ganhri.org/wp-content/uploads/2021/08/FR-SCA-Report-June-2021.pdf</w:t>
      </w:r>
      <w:r w:rsidRPr="003C045C">
        <w:rPr>
          <w:lang w:val="fr-CH"/>
        </w:rPr>
        <w:t>.</w:t>
      </w:r>
    </w:p>
  </w:footnote>
  <w:footnote w:id="86">
    <w:p w14:paraId="377D309A" w14:textId="77777777" w:rsidR="00925C2B" w:rsidRPr="003C045C" w:rsidRDefault="00925C2B" w:rsidP="00E63335">
      <w:pPr>
        <w:pStyle w:val="FootnoteText"/>
        <w:rPr>
          <w:lang w:val="fr-CH"/>
        </w:rPr>
      </w:pPr>
      <w:r>
        <w:rPr>
          <w:lang w:val="fr-CH"/>
        </w:rPr>
        <w:tab/>
      </w:r>
      <w:r>
        <w:rPr>
          <w:rStyle w:val="FootnoteReference"/>
        </w:rPr>
        <w:footnoteRef/>
      </w:r>
      <w:r>
        <w:rPr>
          <w:lang w:val="fr-CH"/>
        </w:rPr>
        <w:tab/>
        <w:t>Rapport SCA de juin 2021, p. 12-13.</w:t>
      </w:r>
    </w:p>
  </w:footnote>
  <w:footnote w:id="87">
    <w:p w14:paraId="58BE5B89" w14:textId="77777777" w:rsidR="00925C2B" w:rsidRPr="00454EDF" w:rsidRDefault="00925C2B" w:rsidP="00C62AA4">
      <w:pPr>
        <w:pStyle w:val="FootnoteText"/>
        <w:tabs>
          <w:tab w:val="left" w:pos="3119"/>
        </w:tabs>
        <w:rPr>
          <w:lang w:val="fr-CH"/>
        </w:rPr>
      </w:pPr>
      <w:r>
        <w:rPr>
          <w:lang w:val="fr-CH"/>
        </w:rPr>
        <w:tab/>
      </w:r>
      <w:r>
        <w:rPr>
          <w:rStyle w:val="FootnoteReference"/>
        </w:rPr>
        <w:footnoteRef/>
      </w:r>
      <w:r>
        <w:rPr>
          <w:lang w:val="fr-CH"/>
        </w:rPr>
        <w:tab/>
      </w:r>
      <w:r w:rsidRPr="00454EDF">
        <w:rPr>
          <w:lang w:val="fr-CH"/>
        </w:rPr>
        <w:t>Le Procureur est autorisé à étendre son enquête à des crimes perpétrés avant le 26 avril 2015 ou se poursuivant après le 26 octobre 2017, si certaines cond</w:t>
      </w:r>
      <w:r>
        <w:rPr>
          <w:lang w:val="fr-CH"/>
        </w:rPr>
        <w:t xml:space="preserve">itions juridiques sont remplies, voir : </w:t>
      </w:r>
      <w:r w:rsidRPr="00454EDF">
        <w:rPr>
          <w:lang w:val="fr-CH"/>
        </w:rPr>
        <w:t>https://www.icc-cpi.int/Pages/item.aspx?name=pr1342&amp;ln=fr</w:t>
      </w:r>
      <w:r>
        <w:rPr>
          <w:lang w:val="fr-CH"/>
        </w:rPr>
        <w:t>.</w:t>
      </w:r>
    </w:p>
  </w:footnote>
  <w:footnote w:id="88">
    <w:p w14:paraId="19CA7D93" w14:textId="77777777" w:rsidR="00925C2B" w:rsidRPr="00444D54" w:rsidRDefault="00925C2B" w:rsidP="00617673">
      <w:pPr>
        <w:pStyle w:val="FootnoteText"/>
        <w:rPr>
          <w:lang w:val="fr-CH"/>
        </w:rPr>
      </w:pPr>
      <w:r>
        <w:rPr>
          <w:lang w:val="fr-CH"/>
        </w:rPr>
        <w:tab/>
      </w:r>
      <w:r>
        <w:rPr>
          <w:rStyle w:val="FootnoteReference"/>
        </w:rPr>
        <w:footnoteRef/>
      </w:r>
      <w:r>
        <w:rPr>
          <w:lang w:val="fr-CH"/>
        </w:rPr>
        <w:tab/>
      </w:r>
      <w:r w:rsidRPr="00444D54">
        <w:rPr>
          <w:lang w:val="fr-CH"/>
        </w:rPr>
        <w:t>https://freedomhouse.org/country/burundi/freedom-world/2021</w:t>
      </w:r>
      <w:r>
        <w:rPr>
          <w:lang w:val="fr-CH"/>
        </w:rPr>
        <w:t>.</w:t>
      </w:r>
    </w:p>
  </w:footnote>
  <w:footnote w:id="89">
    <w:p w14:paraId="08402BF9" w14:textId="77777777" w:rsidR="00925C2B" w:rsidRPr="00317235" w:rsidRDefault="00925C2B" w:rsidP="00617673">
      <w:pPr>
        <w:pStyle w:val="FootnoteText"/>
        <w:rPr>
          <w:lang w:val="fr-CH"/>
        </w:rPr>
      </w:pPr>
      <w:r>
        <w:rPr>
          <w:lang w:val="fr-CH"/>
        </w:rPr>
        <w:tab/>
      </w:r>
      <w:r>
        <w:rPr>
          <w:rStyle w:val="FootnoteReference"/>
        </w:rPr>
        <w:footnoteRef/>
      </w:r>
      <w:r>
        <w:rPr>
          <w:lang w:val="fr-CH"/>
        </w:rPr>
        <w:tab/>
        <w:t xml:space="preserve">Voir : </w:t>
      </w:r>
      <w:hyperlink r:id="rId14" w:history="1">
        <w:r w:rsidRPr="000F6808">
          <w:rPr>
            <w:rStyle w:val="Hyperlink"/>
            <w:lang w:val="fr-CH"/>
          </w:rPr>
          <w:t>https://freedomhouse.org/reports/publication-archives</w:t>
        </w:r>
      </w:hyperlink>
      <w:r>
        <w:rPr>
          <w:lang w:val="fr-CH"/>
        </w:rPr>
        <w:t>. Les scores de chaque année sont donnés dans le rapport de l’année suivante : i.e. le score de 32 points en 2014 est publié dans le rapport de 2015.</w:t>
      </w:r>
    </w:p>
  </w:footnote>
  <w:footnote w:id="90">
    <w:p w14:paraId="20E3B272" w14:textId="77777777" w:rsidR="00925C2B" w:rsidRPr="00127CF9" w:rsidRDefault="00925C2B" w:rsidP="00617673">
      <w:pPr>
        <w:pStyle w:val="FootnoteText"/>
        <w:rPr>
          <w:lang w:val="fr-CH"/>
        </w:rPr>
      </w:pPr>
      <w:r>
        <w:rPr>
          <w:lang w:val="fr-CH"/>
        </w:rPr>
        <w:tab/>
      </w:r>
      <w:r>
        <w:rPr>
          <w:rStyle w:val="FootnoteReference"/>
        </w:rPr>
        <w:footnoteRef/>
      </w:r>
      <w:r>
        <w:rPr>
          <w:lang w:val="fr-CH"/>
        </w:rPr>
        <w:tab/>
      </w:r>
      <w:r w:rsidRPr="00127CF9">
        <w:rPr>
          <w:lang w:val="fr-CH"/>
        </w:rPr>
        <w:t>https://rsf.org/fr/classement-mondial-de-la-liberte-de-la-presse-2021-le-journalisme-est-un-vaccin-contre-la</w:t>
      </w:r>
      <w:r>
        <w:rPr>
          <w:lang w:val="fr-CH"/>
        </w:rPr>
        <w:t>.</w:t>
      </w:r>
    </w:p>
  </w:footnote>
  <w:footnote w:id="91">
    <w:p w14:paraId="5A4181B9" w14:textId="77777777" w:rsidR="00925C2B" w:rsidRPr="00B56D80" w:rsidRDefault="00925C2B" w:rsidP="00617673">
      <w:pPr>
        <w:pStyle w:val="FootnoteText"/>
        <w:rPr>
          <w:lang w:val="fr-CH"/>
        </w:rPr>
      </w:pPr>
      <w:r>
        <w:rPr>
          <w:lang w:val="fr-CH"/>
        </w:rPr>
        <w:tab/>
      </w:r>
      <w:r>
        <w:rPr>
          <w:rStyle w:val="FootnoteReference"/>
        </w:rPr>
        <w:footnoteRef/>
      </w:r>
      <w:r>
        <w:rPr>
          <w:lang w:val="fr-CH"/>
        </w:rPr>
        <w:tab/>
        <w:t xml:space="preserve">Voir : </w:t>
      </w:r>
      <w:r w:rsidRPr="00B56D80">
        <w:rPr>
          <w:lang w:val="fr-CH"/>
        </w:rPr>
        <w:t>https://www.transparency.org/en/cpi/2020/index/nzl</w:t>
      </w:r>
      <w:r>
        <w:rPr>
          <w:lang w:val="fr-CH"/>
        </w:rPr>
        <w:t>.</w:t>
      </w:r>
    </w:p>
  </w:footnote>
  <w:footnote w:id="92">
    <w:p w14:paraId="1E1A8CE5" w14:textId="77777777" w:rsidR="00925C2B" w:rsidRPr="00756038" w:rsidRDefault="00925C2B" w:rsidP="00617673">
      <w:pPr>
        <w:pStyle w:val="FootnoteText"/>
        <w:rPr>
          <w:lang w:val="fr-CH"/>
        </w:rPr>
      </w:pPr>
      <w:r>
        <w:rPr>
          <w:lang w:val="fr-CH"/>
        </w:rPr>
        <w:tab/>
      </w:r>
      <w:r>
        <w:rPr>
          <w:rStyle w:val="FootnoteReference"/>
        </w:rPr>
        <w:footnoteRef/>
      </w:r>
      <w:r>
        <w:rPr>
          <w:lang w:val="fr-CH"/>
        </w:rPr>
        <w:tab/>
        <w:t xml:space="preserve">Selon cet indice, les « démocraties pleines » ont des scores entre 8 et 10 ; les « démocraties imparfaites » des scores entre 6 et 8 ; les « régimes hybrides » des scores entre 4 et 6 ; et les régimes autoritaires des scores entre 1 et 4. Les rapports annuels « democracy index » sont disponibles sur le site internet de The Economist : </w:t>
      </w:r>
      <w:r w:rsidRPr="00756038">
        <w:rPr>
          <w:lang w:val="fr-CH"/>
        </w:rPr>
        <w:t>https://www.eiu.com/landing/special_reports</w:t>
      </w:r>
      <w:r>
        <w:rPr>
          <w:lang w:val="fr-CH"/>
        </w:rPr>
        <w:t xml:space="preserve">. </w:t>
      </w:r>
    </w:p>
  </w:footnote>
  <w:footnote w:id="93">
    <w:p w14:paraId="7B9BFC3D" w14:textId="77777777" w:rsidR="00925C2B" w:rsidRPr="00EE3411" w:rsidRDefault="00925C2B" w:rsidP="00617673">
      <w:pPr>
        <w:pStyle w:val="FootnoteText"/>
        <w:rPr>
          <w:lang w:val="fr-CH"/>
        </w:rPr>
      </w:pPr>
      <w:r>
        <w:rPr>
          <w:lang w:val="fr-CH"/>
        </w:rPr>
        <w:tab/>
      </w:r>
      <w:r>
        <w:rPr>
          <w:rStyle w:val="FootnoteReference"/>
        </w:rPr>
        <w:footnoteRef/>
      </w:r>
      <w:r>
        <w:rPr>
          <w:lang w:val="fr-CH"/>
        </w:rPr>
        <w:tab/>
        <w:t xml:space="preserve">Voir : </w:t>
      </w:r>
      <w:hyperlink r:id="rId15" w:history="1">
        <w:r w:rsidRPr="000F6808">
          <w:rPr>
            <w:rStyle w:val="Hyperlink"/>
            <w:lang w:val="fr-CH"/>
          </w:rPr>
          <w:t>http://hdr.undp.org/sites/default/files/Country-Profiles/BDI.pdf</w:t>
        </w:r>
      </w:hyperlink>
      <w:r>
        <w:rPr>
          <w:lang w:val="fr-CH"/>
        </w:rPr>
        <w:t xml:space="preserve"> et </w:t>
      </w:r>
      <w:r w:rsidRPr="00DF66DA">
        <w:rPr>
          <w:lang w:val="fr-CH"/>
        </w:rPr>
        <w:t>https://countryeconomy.com/hdi/burundi</w:t>
      </w:r>
      <w:r>
        <w:rPr>
          <w:lang w:val="fr-CH"/>
        </w:rPr>
        <w:t xml:space="preserve">. Les rapports annuels complets du développement humain sont disponibles sur le site internet du PNUD : </w:t>
      </w:r>
      <w:r w:rsidRPr="00E35E95">
        <w:rPr>
          <w:lang w:val="fr-CH"/>
        </w:rPr>
        <w:t>http://hdr.undp.org/en/content/latest-human-development-index-ranking</w:t>
      </w:r>
      <w:r>
        <w:rPr>
          <w:lang w:val="fr-CH"/>
        </w:rPr>
        <w:t>.</w:t>
      </w:r>
    </w:p>
  </w:footnote>
  <w:footnote w:id="94">
    <w:p w14:paraId="2A28A234" w14:textId="77777777" w:rsidR="00925C2B" w:rsidRPr="00D3251C" w:rsidRDefault="00925C2B" w:rsidP="00617673">
      <w:pPr>
        <w:pStyle w:val="FootnoteText"/>
        <w:rPr>
          <w:lang w:val="fr-CH"/>
        </w:rPr>
      </w:pPr>
      <w:r>
        <w:rPr>
          <w:lang w:val="fr-CH"/>
        </w:rPr>
        <w:tab/>
      </w:r>
      <w:r>
        <w:rPr>
          <w:rStyle w:val="FootnoteReference"/>
        </w:rPr>
        <w:footnoteRef/>
      </w:r>
      <w:r>
        <w:rPr>
          <w:lang w:val="fr-CH"/>
        </w:rPr>
        <w:tab/>
      </w:r>
      <w:r w:rsidRPr="00D3251C">
        <w:rPr>
          <w:lang w:val="fr-CH"/>
        </w:rPr>
        <w:t>https://iiag.online/data.html?meas=GOVERNANCE&amp;loc=BI&amp;view=table</w:t>
      </w:r>
      <w:r>
        <w:rPr>
          <w:lang w:val="fr-CH"/>
        </w:rPr>
        <w:t>.</w:t>
      </w:r>
    </w:p>
  </w:footnote>
  <w:footnote w:id="95">
    <w:p w14:paraId="73E36A0C" w14:textId="77777777" w:rsidR="00925C2B" w:rsidRPr="002D2503" w:rsidRDefault="00925C2B" w:rsidP="00617673">
      <w:pPr>
        <w:pStyle w:val="FootnoteText"/>
        <w:rPr>
          <w:lang w:val="fr-CH"/>
        </w:rPr>
      </w:pPr>
      <w:r>
        <w:rPr>
          <w:lang w:val="fr-CH"/>
        </w:rPr>
        <w:tab/>
      </w:r>
      <w:r>
        <w:rPr>
          <w:rStyle w:val="FootnoteReference"/>
        </w:rPr>
        <w:footnoteRef/>
      </w:r>
      <w:r>
        <w:rPr>
          <w:lang w:val="fr-CH"/>
        </w:rPr>
        <w:tab/>
      </w:r>
      <w:r w:rsidRPr="002D2503">
        <w:rPr>
          <w:lang w:val="fr-CH"/>
        </w:rPr>
        <w:t>https://mo.ibrahim.foundation/iiag</w:t>
      </w:r>
      <w:r>
        <w:rPr>
          <w:lang w:val="fr-CH"/>
        </w:rPr>
        <w:t>.</w:t>
      </w:r>
    </w:p>
  </w:footnote>
  <w:footnote w:id="96">
    <w:p w14:paraId="7668414C" w14:textId="5D08354C" w:rsidR="00925C2B" w:rsidRPr="004C79A6" w:rsidRDefault="00925C2B" w:rsidP="00617673">
      <w:pPr>
        <w:pStyle w:val="FootnoteText"/>
        <w:rPr>
          <w:lang w:val="fr-CH"/>
        </w:rPr>
      </w:pPr>
      <w:r>
        <w:rPr>
          <w:lang w:val="fr-CH"/>
        </w:rPr>
        <w:tab/>
      </w:r>
      <w:r w:rsidRPr="00F4501C">
        <w:rPr>
          <w:rStyle w:val="FootnoteReference"/>
        </w:rPr>
        <w:footnoteRef/>
      </w:r>
      <w:r>
        <w:rPr>
          <w:lang w:val="fr-CH"/>
        </w:rPr>
        <w:tab/>
      </w:r>
      <w:r w:rsidRPr="00F4501C">
        <w:rPr>
          <w:lang w:val="fr-CH"/>
        </w:rPr>
        <w:t xml:space="preserve">Voir par. 229-232 du présent </w:t>
      </w:r>
      <w:r w:rsidR="00E33368">
        <w:rPr>
          <w:lang w:val="fr-CH"/>
        </w:rPr>
        <w:t>document</w:t>
      </w:r>
      <w:r w:rsidRPr="00F4501C">
        <w:rPr>
          <w:lang w:val="fr-CH"/>
        </w:rPr>
        <w:t>.</w:t>
      </w:r>
    </w:p>
  </w:footnote>
  <w:footnote w:id="97">
    <w:p w14:paraId="189DF307" w14:textId="77777777" w:rsidR="00925C2B" w:rsidRPr="00AE0B7E" w:rsidRDefault="00925C2B" w:rsidP="00617673">
      <w:pPr>
        <w:pStyle w:val="FootnoteText"/>
        <w:rPr>
          <w:lang w:val="fr-CH"/>
        </w:rPr>
      </w:pPr>
      <w:r>
        <w:rPr>
          <w:lang w:val="fr-CH"/>
        </w:rPr>
        <w:tab/>
      </w:r>
      <w:r>
        <w:rPr>
          <w:rStyle w:val="FootnoteReference"/>
        </w:rPr>
        <w:footnoteRef/>
      </w:r>
      <w:r>
        <w:rPr>
          <w:lang w:val="fr-CH"/>
        </w:rPr>
        <w:tab/>
      </w:r>
      <w:r w:rsidRPr="00AE0B7E">
        <w:rPr>
          <w:lang w:val="fr-CH"/>
        </w:rPr>
        <w:t>Données collectées et répertoriées par the Armed Conflict Location &amp; Event Data Project (ACLED) : https://acleddata.com/dashboard/#/dashboard.</w:t>
      </w:r>
    </w:p>
  </w:footnote>
  <w:footnote w:id="98">
    <w:p w14:paraId="7E81151A" w14:textId="77777777" w:rsidR="00925C2B" w:rsidRPr="00A74CB0" w:rsidRDefault="00925C2B" w:rsidP="00617673">
      <w:pPr>
        <w:pStyle w:val="FootnoteText"/>
        <w:rPr>
          <w:lang w:val="fr-CH"/>
        </w:rPr>
      </w:pPr>
      <w:r>
        <w:rPr>
          <w:lang w:val="fr-CH"/>
        </w:rPr>
        <w:tab/>
      </w:r>
      <w:r>
        <w:rPr>
          <w:rStyle w:val="FootnoteReference"/>
        </w:rPr>
        <w:footnoteRef/>
      </w:r>
      <w:r>
        <w:rPr>
          <w:lang w:val="fr-CH"/>
        </w:rPr>
        <w:tab/>
        <w:t>Idem.</w:t>
      </w:r>
      <w:r w:rsidRPr="00A74CB0">
        <w:rPr>
          <w:lang w:val="fr-CH"/>
        </w:rPr>
        <w:t xml:space="preserve"> </w:t>
      </w:r>
    </w:p>
  </w:footnote>
  <w:footnote w:id="99">
    <w:p w14:paraId="3913842D" w14:textId="77777777" w:rsidR="00925C2B" w:rsidRPr="00A74CB0" w:rsidRDefault="00925C2B" w:rsidP="00617673">
      <w:pPr>
        <w:pStyle w:val="FootnoteText"/>
        <w:rPr>
          <w:lang w:val="fr-CH"/>
        </w:rPr>
      </w:pPr>
      <w:r>
        <w:rPr>
          <w:lang w:val="fr-CH"/>
        </w:rPr>
        <w:tab/>
      </w:r>
      <w:r>
        <w:rPr>
          <w:rStyle w:val="FootnoteReference"/>
        </w:rPr>
        <w:footnoteRef/>
      </w:r>
      <w:r>
        <w:rPr>
          <w:lang w:val="fr-CH"/>
        </w:rPr>
        <w:tab/>
      </w:r>
      <w:r w:rsidRPr="00A74CB0">
        <w:rPr>
          <w:lang w:val="fr-CH"/>
        </w:rPr>
        <w:t>https://rtnb.bi/fr/art.php?idapi=4/2/235.</w:t>
      </w:r>
    </w:p>
  </w:footnote>
  <w:footnote w:id="100">
    <w:p w14:paraId="3CC28465" w14:textId="77777777" w:rsidR="00925C2B" w:rsidRPr="007F4AE2" w:rsidRDefault="00925C2B" w:rsidP="00617673">
      <w:pPr>
        <w:pStyle w:val="FootnoteText"/>
        <w:rPr>
          <w:szCs w:val="18"/>
          <w:lang w:val="fr-CH"/>
        </w:rPr>
      </w:pPr>
      <w:r>
        <w:rPr>
          <w:szCs w:val="18"/>
          <w:lang w:val="fr-CH"/>
        </w:rPr>
        <w:tab/>
      </w:r>
      <w:r w:rsidRPr="007F4AE2">
        <w:rPr>
          <w:rStyle w:val="FootnoteReference"/>
          <w:szCs w:val="18"/>
        </w:rPr>
        <w:footnoteRef/>
      </w:r>
      <w:r>
        <w:rPr>
          <w:szCs w:val="18"/>
          <w:lang w:val="fr-CH"/>
        </w:rPr>
        <w:tab/>
      </w:r>
      <w:r>
        <w:rPr>
          <w:szCs w:val="18"/>
          <w:lang w:val="fr-CH"/>
        </w:rPr>
        <w:tab/>
      </w:r>
      <w:r w:rsidRPr="00AE0B7E">
        <w:rPr>
          <w:lang w:val="fr-CH"/>
        </w:rPr>
        <w:t>Données collectées et répertoriées par the Armed Conflict Location &amp; Event Data Project (ACLED) : https://acle</w:t>
      </w:r>
      <w:r>
        <w:rPr>
          <w:lang w:val="fr-CH"/>
        </w:rPr>
        <w:t>ddata.com/dashboard/#/dashboard</w:t>
      </w:r>
      <w:r w:rsidRPr="007F4AE2">
        <w:rPr>
          <w:szCs w:val="18"/>
          <w:lang w:val="fr-CH"/>
        </w:rPr>
        <w:t>.</w:t>
      </w:r>
    </w:p>
  </w:footnote>
  <w:footnote w:id="101">
    <w:p w14:paraId="0D5DEC90" w14:textId="77777777" w:rsidR="00925C2B" w:rsidRPr="007F4AE2" w:rsidRDefault="00925C2B" w:rsidP="00617673">
      <w:pPr>
        <w:pStyle w:val="FootnoteText"/>
        <w:rPr>
          <w:lang w:val="fr-CH"/>
        </w:rPr>
      </w:pPr>
      <w:r>
        <w:rPr>
          <w:lang w:val="fr-CH"/>
        </w:rPr>
        <w:tab/>
      </w:r>
      <w:r>
        <w:rPr>
          <w:rStyle w:val="FootnoteReference"/>
        </w:rPr>
        <w:footnoteRef/>
      </w:r>
      <w:r>
        <w:rPr>
          <w:lang w:val="fr-CH"/>
        </w:rPr>
        <w:tab/>
      </w:r>
      <w:r>
        <w:rPr>
          <w:lang w:val="fr-CH"/>
        </w:rPr>
        <w:tab/>
      </w:r>
      <w:r w:rsidRPr="007F4AE2">
        <w:rPr>
          <w:lang w:val="fr-CH"/>
        </w:rPr>
        <w:t>https://iwacu.global.ssl.fastly.net/securite-mwaro-un-ecolier-de-15-ans-et-un-domestique-tues-par-des-malfaiteurs/</w:t>
      </w:r>
      <w:r>
        <w:rPr>
          <w:lang w:val="fr-CH"/>
        </w:rPr>
        <w:t>.</w:t>
      </w:r>
    </w:p>
  </w:footnote>
  <w:footnote w:id="102">
    <w:p w14:paraId="674909EE" w14:textId="77777777" w:rsidR="00925C2B" w:rsidRPr="007F4AE2" w:rsidRDefault="00925C2B" w:rsidP="00617673">
      <w:pPr>
        <w:pStyle w:val="FootnoteText"/>
        <w:rPr>
          <w:lang w:val="fr-CH"/>
        </w:rPr>
      </w:pPr>
      <w:r>
        <w:rPr>
          <w:lang w:val="fr-CH"/>
        </w:rPr>
        <w:tab/>
      </w:r>
      <w:r>
        <w:rPr>
          <w:rStyle w:val="FootnoteReference"/>
        </w:rPr>
        <w:footnoteRef/>
      </w:r>
      <w:r>
        <w:rPr>
          <w:lang w:val="fr-CH"/>
        </w:rPr>
        <w:tab/>
      </w:r>
      <w:r>
        <w:rPr>
          <w:lang w:val="fr-CH"/>
        </w:rPr>
        <w:tab/>
      </w:r>
      <w:hyperlink r:id="rId16" w:history="1">
        <w:r w:rsidRPr="00317505">
          <w:rPr>
            <w:rStyle w:val="Hyperlink"/>
            <w:lang w:val="fr-CH"/>
          </w:rPr>
          <w:t>https://www.aa.com.tr/fr/afrique/burundi-sept-personnes-tu%C3%A9es-dans-une-attaque-arm%C3%A9e-%C3%A0-rusaka-centre/2211842</w:t>
        </w:r>
      </w:hyperlink>
      <w:r>
        <w:rPr>
          <w:lang w:val="fr-CH"/>
        </w:rPr>
        <w:t xml:space="preserve">, </w:t>
      </w:r>
      <w:r w:rsidRPr="007F4AE2">
        <w:rPr>
          <w:lang w:val="fr-CH"/>
        </w:rPr>
        <w:t>https://www.iwacu-burundi.org/securite-mwaro-une-attaque-dune-bande-armee-fait-7-morts-et-4-blesses-a-rusaka/</w:t>
      </w:r>
      <w:r>
        <w:rPr>
          <w:lang w:val="fr-CH"/>
        </w:rPr>
        <w:t>.</w:t>
      </w:r>
    </w:p>
  </w:footnote>
  <w:footnote w:id="103">
    <w:p w14:paraId="780EE372" w14:textId="77777777" w:rsidR="00925C2B" w:rsidRPr="00224195" w:rsidRDefault="00925C2B" w:rsidP="00617673">
      <w:pPr>
        <w:pStyle w:val="FootnoteText"/>
        <w:rPr>
          <w:lang w:val="fr-CH"/>
        </w:rPr>
      </w:pPr>
      <w:r>
        <w:rPr>
          <w:szCs w:val="18"/>
          <w:lang w:val="fr-CH"/>
        </w:rPr>
        <w:tab/>
      </w:r>
      <w:r w:rsidRPr="007F4AE2">
        <w:rPr>
          <w:rStyle w:val="FootnoteReference"/>
          <w:szCs w:val="18"/>
        </w:rPr>
        <w:footnoteRef/>
      </w:r>
      <w:r>
        <w:rPr>
          <w:szCs w:val="18"/>
          <w:lang w:val="fr-CH"/>
        </w:rPr>
        <w:tab/>
      </w:r>
      <w:r w:rsidRPr="00522D48">
        <w:rPr>
          <w:lang w:val="fr-CH"/>
        </w:rPr>
        <w:t>https://www.rfi.fr/fr/afrique/20210510-burundi-douze-personnes-tu%C3%A9es-lors-d-une-nouvelle-attaque-dans-le-centre-du-pays</w:t>
      </w:r>
      <w:r>
        <w:rPr>
          <w:lang w:val="fr-CH"/>
        </w:rPr>
        <w:t xml:space="preserve">, </w:t>
      </w:r>
      <w:r w:rsidRPr="00ED5B95">
        <w:rPr>
          <w:lang w:val="fr-CH"/>
        </w:rPr>
        <w:t>https://www.voaafrique.com/a/au-moins-12-morts-dans-une-embuscade-dans-le-centre-du-burundi/5884711.html?nocache=1</w:t>
      </w:r>
      <w:r>
        <w:rPr>
          <w:lang w:val="fr-CH"/>
        </w:rPr>
        <w:t>.</w:t>
      </w:r>
    </w:p>
  </w:footnote>
  <w:footnote w:id="104">
    <w:p w14:paraId="6E389382" w14:textId="77777777" w:rsidR="00925C2B" w:rsidRPr="00025F62" w:rsidRDefault="00925C2B" w:rsidP="00617673">
      <w:pPr>
        <w:pStyle w:val="FootnoteText"/>
        <w:rPr>
          <w:lang w:val="fr-CH"/>
        </w:rPr>
      </w:pPr>
      <w:r>
        <w:rPr>
          <w:lang w:val="fr-CH"/>
        </w:rPr>
        <w:tab/>
      </w:r>
      <w:r>
        <w:rPr>
          <w:rStyle w:val="FootnoteReference"/>
        </w:rPr>
        <w:footnoteRef/>
      </w:r>
      <w:r>
        <w:rPr>
          <w:lang w:val="fr-CH"/>
        </w:rPr>
        <w:tab/>
      </w:r>
      <w:hyperlink r:id="rId17" w:history="1">
        <w:r w:rsidRPr="009C24DC">
          <w:rPr>
            <w:rStyle w:val="Hyperlink"/>
            <w:lang w:val="fr-CH"/>
          </w:rPr>
          <w:t>https://www.rfi.fr/fr/afrique/20210526-burundi-plusieurs-morts-%C3%A0-bujumbura-apr%C3%A8s-des-attaques-%C3%A0-la-grenade</w:t>
        </w:r>
      </w:hyperlink>
      <w:r>
        <w:rPr>
          <w:lang w:val="fr-CH"/>
        </w:rPr>
        <w:t xml:space="preserve">, </w:t>
      </w:r>
      <w:hyperlink r:id="rId18" w:history="1">
        <w:r w:rsidRPr="009C24DC">
          <w:rPr>
            <w:rStyle w:val="Hyperlink"/>
            <w:lang w:val="fr-CH"/>
          </w:rPr>
          <w:t>https://www.dw.com/fr/burundi-au-moins-trois-morts-dans-des-attaques/a-57676640</w:t>
        </w:r>
      </w:hyperlink>
      <w:r>
        <w:rPr>
          <w:lang w:val="fr-CH"/>
        </w:rPr>
        <w:t xml:space="preserve">, </w:t>
      </w:r>
      <w:hyperlink r:id="rId19" w:history="1">
        <w:r w:rsidRPr="009C24DC">
          <w:rPr>
            <w:rStyle w:val="Hyperlink"/>
            <w:lang w:val="fr-CH"/>
          </w:rPr>
          <w:t>https://www.iwacu-burundi.org/attaques-a-la-grenade-dans-quelques-parkings-des-bus-en-mairie-de-bujumbura-plusieurs-victimes/</w:t>
        </w:r>
      </w:hyperlink>
      <w:r>
        <w:rPr>
          <w:lang w:val="fr-CH"/>
        </w:rPr>
        <w:t xml:space="preserve">, </w:t>
      </w:r>
      <w:r w:rsidRPr="00025F62">
        <w:rPr>
          <w:lang w:val="fr-CH"/>
        </w:rPr>
        <w:t>https://www.voaafrique.com/a/des-attaques-quasi-simultan%C3%A9es-font-des-morts-%C3%A0-bujumbura/5904903.html</w:t>
      </w:r>
      <w:r>
        <w:rPr>
          <w:lang w:val="fr-CH"/>
        </w:rPr>
        <w:t>,</w:t>
      </w:r>
      <w:r w:rsidRPr="00522D48">
        <w:rPr>
          <w:lang w:val="fr-CH"/>
        </w:rPr>
        <w:t xml:space="preserve"> </w:t>
      </w:r>
      <w:hyperlink r:id="rId20" w:history="1">
        <w:r w:rsidRPr="009C24DC">
          <w:rPr>
            <w:rStyle w:val="Hyperlink"/>
            <w:lang w:val="fr-CH"/>
          </w:rPr>
          <w:t>https://www.voaafrique.com/a/burundi-trois-bless%C3%A9s-dans-une-nouvelle-attaque-%C3%A0-la-grenade/5907972.html</w:t>
        </w:r>
      </w:hyperlink>
      <w:r>
        <w:rPr>
          <w:lang w:val="fr-CH"/>
        </w:rPr>
        <w:t xml:space="preserve">, </w:t>
      </w:r>
      <w:r w:rsidRPr="00522D48">
        <w:rPr>
          <w:lang w:val="fr-CH"/>
        </w:rPr>
        <w:t>https://www.iwacu-burundi.org/attaque-a-la-grenade-a-muramvya-5-blesses/</w:t>
      </w:r>
      <w:r>
        <w:rPr>
          <w:lang w:val="fr-CH"/>
        </w:rPr>
        <w:t>.</w:t>
      </w:r>
    </w:p>
  </w:footnote>
  <w:footnote w:id="105">
    <w:p w14:paraId="0B7FCF40" w14:textId="77777777" w:rsidR="00925C2B" w:rsidRPr="000D1E27" w:rsidRDefault="00925C2B" w:rsidP="00617673">
      <w:pPr>
        <w:pStyle w:val="FootnoteText"/>
        <w:rPr>
          <w:lang w:val="fr-CH"/>
        </w:rPr>
      </w:pPr>
      <w:r>
        <w:rPr>
          <w:lang w:val="fr-CH"/>
        </w:rPr>
        <w:tab/>
      </w:r>
      <w:r>
        <w:rPr>
          <w:rStyle w:val="FootnoteReference"/>
        </w:rPr>
        <w:footnoteRef/>
      </w:r>
      <w:r>
        <w:rPr>
          <w:lang w:val="fr-CH"/>
        </w:rPr>
        <w:tab/>
      </w:r>
      <w:hyperlink r:id="rId21" w:history="1">
        <w:r w:rsidRPr="0080177B">
          <w:rPr>
            <w:rStyle w:val="Hyperlink"/>
            <w:lang w:val="fr-CH"/>
          </w:rPr>
          <w:t>https://www.rfi.fr/fr/afrique/20210628-burundi-une-vingtaine-de-morts-dans-une-embuscade-prenant-pour-cible-de-v%C3%A9hicules-de-civils?ref=tw</w:t>
        </w:r>
      </w:hyperlink>
      <w:r>
        <w:rPr>
          <w:lang w:val="fr-CH"/>
        </w:rPr>
        <w:t xml:space="preserve">, </w:t>
      </w:r>
      <w:r w:rsidRPr="000D1E27">
        <w:rPr>
          <w:lang w:val="fr-CH"/>
        </w:rPr>
        <w:t>https://www.rtbf.be/info/monde/detail_burundi-au-moins-15-morts-dans-une-nouvelle-embuscade-au-centre-du-pays?id=10793053&amp;utm_source=rtbfinfo&amp;utm_campaign=social_share&amp;utm_medium=twitter_share</w:t>
      </w:r>
    </w:p>
  </w:footnote>
  <w:footnote w:id="106">
    <w:p w14:paraId="413E88D1" w14:textId="77777777" w:rsidR="00925C2B" w:rsidRPr="007F4AE2" w:rsidRDefault="00925C2B" w:rsidP="007A41B2">
      <w:pPr>
        <w:pStyle w:val="FootnoteText"/>
        <w:rPr>
          <w:szCs w:val="18"/>
          <w:lang w:val="fr-CH"/>
        </w:rPr>
      </w:pPr>
      <w:r>
        <w:rPr>
          <w:szCs w:val="18"/>
          <w:lang w:val="fr-CH"/>
        </w:rPr>
        <w:tab/>
      </w:r>
      <w:r w:rsidRPr="007F4AE2">
        <w:rPr>
          <w:rStyle w:val="FootnoteReference"/>
          <w:szCs w:val="18"/>
        </w:rPr>
        <w:footnoteRef/>
      </w:r>
      <w:r>
        <w:rPr>
          <w:szCs w:val="18"/>
          <w:lang w:val="fr-CH"/>
        </w:rPr>
        <w:tab/>
      </w:r>
      <w:r w:rsidRPr="007F4AE2">
        <w:rPr>
          <w:szCs w:val="18"/>
          <w:lang w:val="fr-CH"/>
        </w:rPr>
        <w:t>Données collectées et répertoriées par the Armed Conflict Location &amp; Event Data Project (ACLED) : https://acleddata.com/dashboard/#/dashboard.</w:t>
      </w:r>
    </w:p>
  </w:footnote>
  <w:footnote w:id="107">
    <w:p w14:paraId="1713871B" w14:textId="77777777" w:rsidR="00925C2B" w:rsidRPr="00A20120" w:rsidRDefault="00925C2B" w:rsidP="00617673">
      <w:pPr>
        <w:pStyle w:val="FootnoteText"/>
        <w:rPr>
          <w:lang w:val="fr-CH"/>
        </w:rPr>
      </w:pPr>
      <w:r>
        <w:rPr>
          <w:lang w:val="fr-CH"/>
        </w:rPr>
        <w:tab/>
      </w:r>
      <w:r>
        <w:rPr>
          <w:rStyle w:val="FootnoteReference"/>
        </w:rPr>
        <w:footnoteRef/>
      </w:r>
      <w:r>
        <w:rPr>
          <w:lang w:val="fr-CH"/>
        </w:rPr>
        <w:tab/>
      </w:r>
      <w:hyperlink r:id="rId22" w:history="1">
        <w:r w:rsidRPr="005F315A">
          <w:rPr>
            <w:rStyle w:val="Hyperlink"/>
            <w:lang w:val="fr-CH"/>
          </w:rPr>
          <w:t>https://twitter.com/MininterInfosBi/status/1391474958887489539?s=20</w:t>
        </w:r>
      </w:hyperlink>
      <w:r>
        <w:rPr>
          <w:lang w:val="fr-CH"/>
        </w:rPr>
        <w:t xml:space="preserve">, </w:t>
      </w:r>
      <w:hyperlink r:id="rId23" w:history="1">
        <w:r w:rsidRPr="005F315A">
          <w:rPr>
            <w:rStyle w:val="Hyperlink"/>
            <w:lang w:val="fr-CH"/>
          </w:rPr>
          <w:t>https://twitter.com/MininterInfosBi/status/1392431631361888258?s=20</w:t>
        </w:r>
      </w:hyperlink>
      <w:r>
        <w:rPr>
          <w:lang w:val="fr-CH"/>
        </w:rPr>
        <w:t xml:space="preserve">, </w:t>
      </w:r>
      <w:hyperlink r:id="rId24" w:history="1">
        <w:r w:rsidRPr="005F315A">
          <w:rPr>
            <w:rStyle w:val="Hyperlink"/>
            <w:lang w:val="fr-CH"/>
          </w:rPr>
          <w:t>https://twitter.com/MininterInfosBi/status/1383724312490692610?s=20</w:t>
        </w:r>
      </w:hyperlink>
      <w:r>
        <w:rPr>
          <w:lang w:val="fr-CH"/>
        </w:rPr>
        <w:t xml:space="preserve">, </w:t>
      </w:r>
      <w:r w:rsidRPr="00A74CB0">
        <w:rPr>
          <w:lang w:val="fr-CH"/>
        </w:rPr>
        <w:t>https://rtnb.bi/fr/art.php?idapi=4/2/235.</w:t>
      </w:r>
    </w:p>
  </w:footnote>
  <w:footnote w:id="108">
    <w:p w14:paraId="6332CDBB" w14:textId="77777777" w:rsidR="00925C2B" w:rsidRPr="007E6E7A" w:rsidRDefault="00925C2B" w:rsidP="00617673">
      <w:pPr>
        <w:pStyle w:val="FootnoteText"/>
        <w:rPr>
          <w:lang w:val="fr-CH"/>
        </w:rPr>
      </w:pPr>
      <w:r>
        <w:rPr>
          <w:lang w:val="fr-CH"/>
        </w:rPr>
        <w:tab/>
      </w:r>
      <w:r>
        <w:rPr>
          <w:rStyle w:val="FootnoteReference"/>
        </w:rPr>
        <w:footnoteRef/>
      </w:r>
      <w:r>
        <w:rPr>
          <w:lang w:val="fr-CH"/>
        </w:rPr>
        <w:tab/>
      </w:r>
      <w:hyperlink r:id="rId25" w:history="1">
        <w:r w:rsidRPr="005F315A">
          <w:rPr>
            <w:rStyle w:val="Hyperlink"/>
            <w:lang w:val="fr-CH"/>
          </w:rPr>
          <w:t>https://twitter.com/OmbudsmanBI/status/1397487081706885121?s=20</w:t>
        </w:r>
      </w:hyperlink>
      <w:r>
        <w:rPr>
          <w:lang w:val="fr-CH"/>
        </w:rPr>
        <w:t xml:space="preserve">, </w:t>
      </w:r>
      <w:hyperlink r:id="rId26" w:history="1">
        <w:r w:rsidRPr="005F315A">
          <w:rPr>
            <w:rStyle w:val="Hyperlink"/>
            <w:lang w:val="fr-CH"/>
          </w:rPr>
          <w:t>https://twitter.com/CnddFdd/status/1397292156121980934?s=20</w:t>
        </w:r>
      </w:hyperlink>
      <w:r>
        <w:rPr>
          <w:lang w:val="fr-CH"/>
        </w:rPr>
        <w:t xml:space="preserve">, </w:t>
      </w:r>
      <w:hyperlink r:id="rId27" w:history="1">
        <w:r w:rsidRPr="0080177B">
          <w:rPr>
            <w:rStyle w:val="Hyperlink"/>
            <w:lang w:val="fr-CH"/>
          </w:rPr>
          <w:t>https://twitter.com/MininterInfosBi/status/1397269693124186125?s=20</w:t>
        </w:r>
      </w:hyperlink>
      <w:r>
        <w:rPr>
          <w:lang w:val="fr-CH"/>
        </w:rPr>
        <w:t xml:space="preserve">, </w:t>
      </w:r>
      <w:r w:rsidRPr="000D1E27">
        <w:rPr>
          <w:lang w:val="fr-CH"/>
        </w:rPr>
        <w:t>https://twitter.com/MininterInfosBi/status/1409058257252098063?s=20</w:t>
      </w:r>
      <w:r>
        <w:rPr>
          <w:lang w:val="fr-CH"/>
        </w:rPr>
        <w:t>.</w:t>
      </w:r>
    </w:p>
  </w:footnote>
  <w:footnote w:id="109">
    <w:p w14:paraId="2F0B5E3E" w14:textId="77777777" w:rsidR="00925C2B" w:rsidRPr="003632CD" w:rsidRDefault="00925C2B" w:rsidP="00617673">
      <w:pPr>
        <w:pStyle w:val="FootnoteText"/>
        <w:rPr>
          <w:lang w:val="fr-CH"/>
        </w:rPr>
      </w:pPr>
      <w:r>
        <w:rPr>
          <w:lang w:val="fr-CH"/>
        </w:rPr>
        <w:tab/>
      </w:r>
      <w:r>
        <w:rPr>
          <w:rStyle w:val="FootnoteReference"/>
        </w:rPr>
        <w:footnoteRef/>
      </w:r>
      <w:r>
        <w:rPr>
          <w:lang w:val="fr-CH"/>
        </w:rPr>
        <w:tab/>
      </w:r>
      <w:r w:rsidRPr="00C64870">
        <w:rPr>
          <w:lang w:val="fr-CH"/>
        </w:rPr>
        <w:t>Voir par</w:t>
      </w:r>
      <w:r w:rsidRPr="009F4382">
        <w:rPr>
          <w:lang w:val="fr-CH"/>
        </w:rPr>
        <w:t>. 162-164 et 215-216 pour les</w:t>
      </w:r>
      <w:r w:rsidRPr="00C64870">
        <w:rPr>
          <w:lang w:val="fr-CH"/>
        </w:rPr>
        <w:t xml:space="preserve"> </w:t>
      </w:r>
      <w:r>
        <w:rPr>
          <w:lang w:val="fr-CH"/>
        </w:rPr>
        <w:t xml:space="preserve">autres </w:t>
      </w:r>
      <w:r w:rsidRPr="00C64870">
        <w:rPr>
          <w:lang w:val="fr-CH"/>
        </w:rPr>
        <w:t xml:space="preserve">violations </w:t>
      </w:r>
      <w:r>
        <w:rPr>
          <w:lang w:val="fr-CH"/>
        </w:rPr>
        <w:t>du droit à la vie</w:t>
      </w:r>
      <w:r w:rsidRPr="00C64870">
        <w:rPr>
          <w:lang w:val="fr-CH"/>
        </w:rPr>
        <w:t>.</w:t>
      </w:r>
    </w:p>
  </w:footnote>
  <w:footnote w:id="110">
    <w:p w14:paraId="622B4C29" w14:textId="77777777" w:rsidR="00925C2B" w:rsidRPr="00040D77" w:rsidRDefault="00925C2B" w:rsidP="00617673">
      <w:pPr>
        <w:pStyle w:val="FootnoteText"/>
        <w:rPr>
          <w:lang w:val="fr-CH"/>
        </w:rPr>
      </w:pPr>
      <w:r>
        <w:rPr>
          <w:lang w:val="fr-CH"/>
        </w:rPr>
        <w:tab/>
      </w:r>
      <w:r>
        <w:rPr>
          <w:rStyle w:val="FootnoteReference"/>
        </w:rPr>
        <w:footnoteRef/>
      </w:r>
      <w:r>
        <w:rPr>
          <w:lang w:val="fr-CH"/>
        </w:rPr>
        <w:tab/>
        <w:t xml:space="preserve">Voir par exemple : OHCHR, Droits de l’homme, terrorisme et lutte contre le terrorisme, Fiche d’information n°32, disponible à : </w:t>
      </w:r>
      <w:r w:rsidRPr="00040D77">
        <w:rPr>
          <w:lang w:val="fr-CH"/>
        </w:rPr>
        <w:t xml:space="preserve"> https://www.ohchr.org/Documents/Publications/Factsheet32FR.pdf</w:t>
      </w:r>
    </w:p>
  </w:footnote>
  <w:footnote w:id="111">
    <w:p w14:paraId="3215A05B" w14:textId="5C41265B" w:rsidR="00925C2B" w:rsidRPr="002935E5" w:rsidRDefault="00925C2B" w:rsidP="00617673">
      <w:pPr>
        <w:pStyle w:val="FootnoteText"/>
        <w:ind w:left="0" w:firstLine="0"/>
        <w:rPr>
          <w:lang w:val="it-IT"/>
        </w:rPr>
      </w:pPr>
      <w:r w:rsidRPr="002C02F1">
        <w:rPr>
          <w:lang w:val="fr-BE"/>
        </w:rPr>
        <w:tab/>
      </w:r>
      <w:r>
        <w:rPr>
          <w:rStyle w:val="FootnoteReference"/>
        </w:rPr>
        <w:footnoteRef/>
      </w:r>
      <w:r>
        <w:rPr>
          <w:lang w:val="it-IT"/>
        </w:rPr>
        <w:tab/>
      </w:r>
      <w:r w:rsidR="0053644E">
        <w:rPr>
          <w:lang w:val="it-IT"/>
        </w:rPr>
        <w:t>TI-374</w:t>
      </w:r>
      <w:r w:rsidRPr="002935E5">
        <w:rPr>
          <w:lang w:val="it-IT"/>
        </w:rPr>
        <w:t xml:space="preserve">, </w:t>
      </w:r>
      <w:r w:rsidR="0053644E">
        <w:rPr>
          <w:lang w:val="it-IT"/>
        </w:rPr>
        <w:t>TI-377</w:t>
      </w:r>
      <w:r w:rsidRPr="002935E5">
        <w:rPr>
          <w:lang w:val="it-IT"/>
        </w:rPr>
        <w:t xml:space="preserve">, </w:t>
      </w:r>
      <w:r w:rsidR="0053644E">
        <w:rPr>
          <w:lang w:val="it-IT"/>
        </w:rPr>
        <w:t>TI-380</w:t>
      </w:r>
      <w:r w:rsidRPr="002935E5">
        <w:rPr>
          <w:lang w:val="it-IT"/>
        </w:rPr>
        <w:t xml:space="preserve">, </w:t>
      </w:r>
      <w:r w:rsidR="0053644E">
        <w:rPr>
          <w:lang w:val="it-IT"/>
        </w:rPr>
        <w:t>TI-382</w:t>
      </w:r>
      <w:r w:rsidRPr="002935E5">
        <w:rPr>
          <w:lang w:val="it-IT"/>
        </w:rPr>
        <w:t>, TI-325, JI-182.</w:t>
      </w:r>
    </w:p>
  </w:footnote>
  <w:footnote w:id="112">
    <w:p w14:paraId="02B58646" w14:textId="48817C27"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TI-382</w:t>
      </w:r>
      <w:r w:rsidRPr="002935E5">
        <w:rPr>
          <w:lang w:val="it-IT"/>
        </w:rPr>
        <w:t>.</w:t>
      </w:r>
    </w:p>
  </w:footnote>
  <w:footnote w:id="113">
    <w:p w14:paraId="08ECDC49" w14:textId="0151C9E1"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TI-372</w:t>
      </w:r>
      <w:r w:rsidRPr="002935E5">
        <w:rPr>
          <w:lang w:val="it-IT"/>
        </w:rPr>
        <w:t xml:space="preserve">, </w:t>
      </w:r>
      <w:r w:rsidR="0053644E">
        <w:rPr>
          <w:lang w:val="it-IT"/>
        </w:rPr>
        <w:t>TI-375</w:t>
      </w:r>
      <w:r w:rsidRPr="002935E5">
        <w:rPr>
          <w:lang w:val="it-IT"/>
        </w:rPr>
        <w:t xml:space="preserve">, </w:t>
      </w:r>
      <w:r w:rsidR="0053644E">
        <w:rPr>
          <w:lang w:val="it-IT"/>
        </w:rPr>
        <w:t>TI-376</w:t>
      </w:r>
      <w:r w:rsidRPr="002935E5">
        <w:rPr>
          <w:lang w:val="it-IT"/>
        </w:rPr>
        <w:t xml:space="preserve">, </w:t>
      </w:r>
      <w:r w:rsidR="00C364A0">
        <w:rPr>
          <w:lang w:val="it-IT"/>
        </w:rPr>
        <w:t>TI-362</w:t>
      </w:r>
      <w:r w:rsidRPr="002935E5">
        <w:rPr>
          <w:lang w:val="it-IT"/>
        </w:rPr>
        <w:t xml:space="preserve">, </w:t>
      </w:r>
      <w:r w:rsidR="00C364A0">
        <w:rPr>
          <w:lang w:val="it-IT"/>
        </w:rPr>
        <w:t>TI-369</w:t>
      </w:r>
      <w:r w:rsidRPr="002935E5">
        <w:rPr>
          <w:lang w:val="it-IT"/>
        </w:rPr>
        <w:t xml:space="preserve">, </w:t>
      </w:r>
      <w:r w:rsidR="0053644E">
        <w:rPr>
          <w:lang w:val="it-IT"/>
        </w:rPr>
        <w:t>TI-379</w:t>
      </w:r>
      <w:r w:rsidRPr="002935E5">
        <w:rPr>
          <w:lang w:val="it-IT"/>
        </w:rPr>
        <w:t>, HI-082.</w:t>
      </w:r>
    </w:p>
  </w:footnote>
  <w:footnote w:id="114">
    <w:p w14:paraId="01CBA07C" w14:textId="77777777" w:rsidR="00925C2B" w:rsidRPr="002935E5" w:rsidRDefault="00925C2B" w:rsidP="00617673">
      <w:pPr>
        <w:pStyle w:val="FootnoteText"/>
        <w:rPr>
          <w:lang w:val="it-IT"/>
        </w:rPr>
      </w:pPr>
      <w:r w:rsidRPr="002C02F1">
        <w:rPr>
          <w:lang w:val="it-IT"/>
        </w:rPr>
        <w:tab/>
      </w:r>
      <w:r>
        <w:rPr>
          <w:rStyle w:val="FootnoteReference"/>
        </w:rPr>
        <w:footnoteRef/>
      </w:r>
      <w:r>
        <w:rPr>
          <w:lang w:val="fr-CH"/>
        </w:rPr>
        <w:tab/>
      </w:r>
      <w:r w:rsidRPr="003632CD">
        <w:rPr>
          <w:lang w:val="fr-CH"/>
        </w:rPr>
        <w:t>Dans le cadre de ses précédents rapports, la Commission avait effectivement constaté que la torture à caractère sexuel était une pratique courante dans le cadre des détentions au SNR, qui est connue voire encouragée par les responsables de l’institution</w:t>
      </w:r>
      <w:r>
        <w:rPr>
          <w:lang w:val="fr-CH"/>
        </w:rPr>
        <w:t xml:space="preserve">, voir </w:t>
      </w:r>
      <w:r w:rsidRPr="003632CD">
        <w:rPr>
          <w:lang w:val="fr-CH"/>
        </w:rPr>
        <w:t xml:space="preserve">A/HRC/36/CRP.1, para. </w:t>
      </w:r>
      <w:r w:rsidRPr="002935E5">
        <w:rPr>
          <w:lang w:val="it-IT"/>
        </w:rPr>
        <w:t xml:space="preserve">473 à 476 et A/HRC/45/CRP.1 para. 444 à 507. </w:t>
      </w:r>
    </w:p>
  </w:footnote>
  <w:footnote w:id="115">
    <w:p w14:paraId="7BD875D9" w14:textId="40D36BE6" w:rsidR="00925C2B" w:rsidRPr="002935E5" w:rsidRDefault="00925C2B" w:rsidP="00617673">
      <w:pPr>
        <w:pStyle w:val="FootnoteText"/>
        <w:rPr>
          <w:lang w:val="it-IT"/>
        </w:rPr>
      </w:pPr>
      <w:r>
        <w:rPr>
          <w:lang w:val="it-IT"/>
        </w:rPr>
        <w:tab/>
      </w:r>
      <w:r>
        <w:rPr>
          <w:rStyle w:val="FootnoteReference"/>
        </w:rPr>
        <w:footnoteRef/>
      </w:r>
      <w:r>
        <w:rPr>
          <w:lang w:val="it-IT"/>
        </w:rPr>
        <w:tab/>
      </w:r>
      <w:r w:rsidR="0053644E">
        <w:rPr>
          <w:lang w:val="it-IT"/>
        </w:rPr>
        <w:t>TI-372</w:t>
      </w:r>
      <w:r w:rsidRPr="002935E5">
        <w:rPr>
          <w:lang w:val="it-IT"/>
        </w:rPr>
        <w:t xml:space="preserve">, </w:t>
      </w:r>
      <w:r w:rsidR="0053644E">
        <w:rPr>
          <w:lang w:val="it-IT"/>
        </w:rPr>
        <w:t>TI-374</w:t>
      </w:r>
      <w:r w:rsidRPr="002935E5">
        <w:rPr>
          <w:lang w:val="it-IT"/>
        </w:rPr>
        <w:t xml:space="preserve">, </w:t>
      </w:r>
      <w:r w:rsidR="0053644E">
        <w:rPr>
          <w:lang w:val="it-IT"/>
        </w:rPr>
        <w:t>TI-375</w:t>
      </w:r>
      <w:r w:rsidRPr="002935E5">
        <w:rPr>
          <w:lang w:val="it-IT"/>
        </w:rPr>
        <w:t xml:space="preserve">, </w:t>
      </w:r>
      <w:r w:rsidR="0053644E">
        <w:rPr>
          <w:lang w:val="it-IT"/>
        </w:rPr>
        <w:t>TI-376</w:t>
      </w:r>
      <w:r w:rsidRPr="002935E5">
        <w:rPr>
          <w:lang w:val="it-IT"/>
        </w:rPr>
        <w:t xml:space="preserve">, TI-194, </w:t>
      </w:r>
      <w:r w:rsidR="00C364A0">
        <w:rPr>
          <w:lang w:val="it-IT"/>
        </w:rPr>
        <w:t>TI-369</w:t>
      </w:r>
      <w:r w:rsidRPr="002935E5">
        <w:rPr>
          <w:lang w:val="it-IT"/>
        </w:rPr>
        <w:t xml:space="preserve">, </w:t>
      </w:r>
      <w:r w:rsidR="0053644E">
        <w:rPr>
          <w:lang w:val="it-IT"/>
        </w:rPr>
        <w:t>TI-379</w:t>
      </w:r>
      <w:r w:rsidRPr="002935E5">
        <w:rPr>
          <w:lang w:val="it-IT"/>
        </w:rPr>
        <w:t xml:space="preserve">, </w:t>
      </w:r>
      <w:r w:rsidR="0053644E">
        <w:rPr>
          <w:lang w:val="it-IT"/>
        </w:rPr>
        <w:t>TI-382</w:t>
      </w:r>
      <w:r w:rsidRPr="002935E5">
        <w:rPr>
          <w:lang w:val="it-IT"/>
        </w:rPr>
        <w:t>, TI-325, JI-182.</w:t>
      </w:r>
    </w:p>
  </w:footnote>
  <w:footnote w:id="116">
    <w:p w14:paraId="3A2DFB5A" w14:textId="67D0BEB7" w:rsidR="00925C2B" w:rsidRPr="003632CD" w:rsidRDefault="00925C2B" w:rsidP="00617673">
      <w:pPr>
        <w:pStyle w:val="FootnoteText"/>
        <w:rPr>
          <w:lang w:val="fr-CH"/>
        </w:rPr>
      </w:pPr>
      <w:r w:rsidRPr="002C02F1">
        <w:rPr>
          <w:lang w:val="it-IT"/>
        </w:rPr>
        <w:tab/>
      </w:r>
      <w:r w:rsidRPr="00AE6E06">
        <w:rPr>
          <w:rStyle w:val="FootnoteReference"/>
        </w:rPr>
        <w:footnoteRef/>
      </w:r>
      <w:r>
        <w:rPr>
          <w:lang w:val="fr-CH"/>
        </w:rPr>
        <w:tab/>
      </w:r>
      <w:r w:rsidR="0053644E">
        <w:rPr>
          <w:lang w:val="fr-CH"/>
        </w:rPr>
        <w:t>TI-376</w:t>
      </w:r>
      <w:r w:rsidRPr="003632CD">
        <w:rPr>
          <w:lang w:val="fr-CH"/>
        </w:rPr>
        <w:t xml:space="preserve">, JI-180. </w:t>
      </w:r>
    </w:p>
  </w:footnote>
  <w:footnote w:id="117">
    <w:p w14:paraId="11107667" w14:textId="77777777" w:rsidR="00925C2B" w:rsidRPr="00FB6F57" w:rsidRDefault="00925C2B" w:rsidP="00617673">
      <w:pPr>
        <w:pStyle w:val="FootnoteText"/>
        <w:rPr>
          <w:lang w:val="fr-CH"/>
        </w:rPr>
      </w:pPr>
      <w:r>
        <w:rPr>
          <w:lang w:val="fr-CH"/>
        </w:rPr>
        <w:tab/>
      </w:r>
      <w:r>
        <w:rPr>
          <w:rStyle w:val="FootnoteReference"/>
        </w:rPr>
        <w:footnoteRef/>
      </w:r>
      <w:r>
        <w:rPr>
          <w:lang w:val="fr-CH"/>
        </w:rPr>
        <w:tab/>
      </w:r>
      <w:r>
        <w:rPr>
          <w:lang w:val="fr-CH"/>
        </w:rPr>
        <w:tab/>
        <w:t>JI-182.</w:t>
      </w:r>
    </w:p>
  </w:footnote>
  <w:footnote w:id="118">
    <w:p w14:paraId="3F9B0491" w14:textId="77777777" w:rsidR="00925C2B" w:rsidRPr="00092FAC" w:rsidRDefault="00925C2B" w:rsidP="00706E3E">
      <w:pPr>
        <w:pStyle w:val="FootnoteText"/>
        <w:rPr>
          <w:lang w:val="fr-CH"/>
        </w:rPr>
      </w:pPr>
      <w:r>
        <w:rPr>
          <w:lang w:val="fr-CH"/>
        </w:rPr>
        <w:tab/>
      </w:r>
      <w:r>
        <w:rPr>
          <w:rStyle w:val="FootnoteReference"/>
        </w:rPr>
        <w:footnoteRef/>
      </w:r>
      <w:r>
        <w:rPr>
          <w:lang w:val="fr-CH"/>
        </w:rPr>
        <w:tab/>
        <w:t>Article 2 de la Convention i</w:t>
      </w:r>
      <w:r w:rsidRPr="00406CC1">
        <w:rPr>
          <w:lang w:val="fr-CH"/>
        </w:rPr>
        <w:t>nternationale pour la protection de toutes les personnes contre les disparitions forcées</w:t>
      </w:r>
      <w:r>
        <w:rPr>
          <w:lang w:val="fr-CH"/>
        </w:rPr>
        <w:t> : « O</w:t>
      </w:r>
      <w:r w:rsidRPr="00092FAC">
        <w:rPr>
          <w:lang w:val="fr-CH"/>
        </w:rPr>
        <w:t>n ente</w:t>
      </w:r>
      <w:r>
        <w:rPr>
          <w:lang w:val="fr-CH"/>
        </w:rPr>
        <w:t>nd par "disparition forcée" l’</w:t>
      </w:r>
      <w:r w:rsidRPr="00092FAC">
        <w:rPr>
          <w:lang w:val="fr-CH"/>
        </w:rPr>
        <w:t>arrestation, la détention, l</w:t>
      </w:r>
      <w:r>
        <w:rPr>
          <w:lang w:val="fr-CH"/>
        </w:rPr>
        <w:t>’</w:t>
      </w:r>
      <w:r w:rsidRPr="00092FAC">
        <w:rPr>
          <w:lang w:val="fr-CH"/>
        </w:rPr>
        <w:t>enlèvement ou toute autre forme de privation</w:t>
      </w:r>
      <w:r>
        <w:rPr>
          <w:lang w:val="fr-CH"/>
        </w:rPr>
        <w:t xml:space="preserve"> de liberté par des agents de l’</w:t>
      </w:r>
      <w:r w:rsidRPr="00092FAC">
        <w:rPr>
          <w:lang w:val="fr-CH"/>
        </w:rPr>
        <w:t xml:space="preserve">État ou par des personnes ou des groupes </w:t>
      </w:r>
      <w:r>
        <w:rPr>
          <w:lang w:val="fr-CH"/>
        </w:rPr>
        <w:t>de personnes qui agissent avec l’autorisation, l’appui ou l’</w:t>
      </w:r>
      <w:r w:rsidRPr="00092FAC">
        <w:rPr>
          <w:lang w:val="fr-CH"/>
        </w:rPr>
        <w:t>acquiescement de l</w:t>
      </w:r>
      <w:r>
        <w:rPr>
          <w:lang w:val="fr-CH"/>
        </w:rPr>
        <w:t>’</w:t>
      </w:r>
      <w:r w:rsidRPr="00092FAC">
        <w:rPr>
          <w:lang w:val="fr-CH"/>
        </w:rPr>
        <w:t>État, suivi du déni de la reconnaissance de la privation de liberté ou de la dissimulation du sort réservé à la personne disparue ou du lieu où elle se trouve, la soustrayant à la protection de la loi</w:t>
      </w:r>
      <w:r>
        <w:rPr>
          <w:lang w:val="fr-CH"/>
        </w:rPr>
        <w:t> »</w:t>
      </w:r>
      <w:r w:rsidRPr="00092FAC">
        <w:rPr>
          <w:lang w:val="fr-CH"/>
        </w:rPr>
        <w:t>.</w:t>
      </w:r>
    </w:p>
  </w:footnote>
  <w:footnote w:id="119">
    <w:p w14:paraId="390AFC87" w14:textId="3076D973" w:rsidR="00925C2B" w:rsidRPr="00970174"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TI-371</w:t>
      </w:r>
      <w:r w:rsidRPr="00970174">
        <w:rPr>
          <w:lang w:val="it-IT"/>
        </w:rPr>
        <w:t xml:space="preserve">, </w:t>
      </w:r>
      <w:r w:rsidR="0053644E">
        <w:rPr>
          <w:lang w:val="it-IT"/>
        </w:rPr>
        <w:t>TI-374</w:t>
      </w:r>
      <w:r w:rsidRPr="00970174">
        <w:rPr>
          <w:lang w:val="it-IT"/>
        </w:rPr>
        <w:t xml:space="preserve">, </w:t>
      </w:r>
      <w:r w:rsidR="0053644E">
        <w:rPr>
          <w:lang w:val="it-IT"/>
        </w:rPr>
        <w:t>TI-375</w:t>
      </w:r>
      <w:r w:rsidRPr="00970174">
        <w:rPr>
          <w:lang w:val="it-IT"/>
        </w:rPr>
        <w:t xml:space="preserve">, </w:t>
      </w:r>
      <w:r w:rsidR="00C364A0">
        <w:rPr>
          <w:lang w:val="it-IT"/>
        </w:rPr>
        <w:t>TI-362</w:t>
      </w:r>
      <w:r w:rsidRPr="00970174">
        <w:rPr>
          <w:lang w:val="it-IT"/>
        </w:rPr>
        <w:t xml:space="preserve">, </w:t>
      </w:r>
      <w:r w:rsidR="00C364A0">
        <w:rPr>
          <w:lang w:val="it-IT"/>
        </w:rPr>
        <w:t>TI-369</w:t>
      </w:r>
      <w:r w:rsidRPr="00970174">
        <w:rPr>
          <w:lang w:val="it-IT"/>
        </w:rPr>
        <w:t xml:space="preserve">, </w:t>
      </w:r>
      <w:r w:rsidR="00C364A0">
        <w:rPr>
          <w:lang w:val="it-IT"/>
        </w:rPr>
        <w:t>TI-370</w:t>
      </w:r>
      <w:r w:rsidRPr="00970174">
        <w:rPr>
          <w:lang w:val="it-IT"/>
        </w:rPr>
        <w:t>, TI-325, HI-082, HI-095.</w:t>
      </w:r>
    </w:p>
  </w:footnote>
  <w:footnote w:id="120">
    <w:p w14:paraId="75869650" w14:textId="77777777" w:rsidR="00925C2B" w:rsidRPr="00FC7F37" w:rsidRDefault="00925C2B" w:rsidP="00617673">
      <w:pPr>
        <w:pStyle w:val="FootnoteText"/>
        <w:rPr>
          <w:lang w:val="fr-CH"/>
        </w:rPr>
      </w:pPr>
      <w:r w:rsidRPr="002C02F1">
        <w:rPr>
          <w:lang w:val="it-IT"/>
        </w:rPr>
        <w:tab/>
      </w:r>
      <w:r>
        <w:rPr>
          <w:rStyle w:val="FootnoteReference"/>
        </w:rPr>
        <w:footnoteRef/>
      </w:r>
      <w:r>
        <w:rPr>
          <w:lang w:val="fr-CH"/>
        </w:rPr>
        <w:tab/>
      </w:r>
      <w:r w:rsidRPr="00FC7F37">
        <w:rPr>
          <w:lang w:val="fr-CH"/>
        </w:rPr>
        <w:t>Articles 609-615 et 623–626 du Code p</w:t>
      </w:r>
      <w:r>
        <w:rPr>
          <w:lang w:val="fr-CH"/>
        </w:rPr>
        <w:t>é</w:t>
      </w:r>
      <w:r w:rsidRPr="00FC7F37">
        <w:rPr>
          <w:lang w:val="fr-CH"/>
        </w:rPr>
        <w:t>nal.</w:t>
      </w:r>
    </w:p>
  </w:footnote>
  <w:footnote w:id="121">
    <w:p w14:paraId="47418202" w14:textId="77777777" w:rsidR="00925C2B" w:rsidRPr="00FC7F37" w:rsidRDefault="00925C2B" w:rsidP="00617673">
      <w:pPr>
        <w:pStyle w:val="FootnoteText"/>
        <w:rPr>
          <w:lang w:val="fr-CH"/>
        </w:rPr>
      </w:pPr>
      <w:r>
        <w:rPr>
          <w:lang w:val="fr-CH"/>
        </w:rPr>
        <w:tab/>
      </w:r>
      <w:r>
        <w:rPr>
          <w:rStyle w:val="FootnoteReference"/>
        </w:rPr>
        <w:footnoteRef/>
      </w:r>
      <w:r>
        <w:rPr>
          <w:lang w:val="fr-CH"/>
        </w:rPr>
        <w:tab/>
      </w:r>
      <w:r w:rsidRPr="00FC7F37">
        <w:rPr>
          <w:lang w:val="fr-CH"/>
        </w:rPr>
        <w:t xml:space="preserve">Articles 616-619 du Code pénal. </w:t>
      </w:r>
    </w:p>
  </w:footnote>
  <w:footnote w:id="122">
    <w:p w14:paraId="372565D0" w14:textId="77777777" w:rsidR="00925C2B" w:rsidRPr="00FC7F37" w:rsidRDefault="00925C2B" w:rsidP="00617673">
      <w:pPr>
        <w:pStyle w:val="FootnoteText"/>
        <w:rPr>
          <w:lang w:val="fr-CH"/>
        </w:rPr>
      </w:pPr>
      <w:r>
        <w:rPr>
          <w:lang w:val="fr-CH"/>
        </w:rPr>
        <w:tab/>
      </w:r>
      <w:r>
        <w:rPr>
          <w:rStyle w:val="FootnoteReference"/>
        </w:rPr>
        <w:footnoteRef/>
      </w:r>
      <w:r>
        <w:rPr>
          <w:lang w:val="fr-CH"/>
        </w:rPr>
        <w:tab/>
        <w:t>Article 496 du Code pénal.</w:t>
      </w:r>
    </w:p>
  </w:footnote>
  <w:footnote w:id="123">
    <w:p w14:paraId="30BFA34C" w14:textId="74EB1D6B" w:rsidR="00925C2B" w:rsidRPr="00970174" w:rsidRDefault="00925C2B" w:rsidP="00706E3E">
      <w:pPr>
        <w:pStyle w:val="FootnoteText"/>
        <w:ind w:left="0" w:firstLine="0"/>
        <w:rPr>
          <w:lang w:val="it-IT"/>
        </w:rPr>
      </w:pPr>
      <w:r w:rsidRPr="002C02F1">
        <w:rPr>
          <w:lang w:val="fr-BE"/>
        </w:rPr>
        <w:tab/>
      </w:r>
      <w:r>
        <w:rPr>
          <w:rStyle w:val="FootnoteReference"/>
        </w:rPr>
        <w:footnoteRef/>
      </w:r>
      <w:r>
        <w:rPr>
          <w:lang w:val="it-IT"/>
        </w:rPr>
        <w:tab/>
      </w:r>
      <w:r w:rsidR="0053644E">
        <w:rPr>
          <w:lang w:val="it-IT"/>
        </w:rPr>
        <w:t>TI-372</w:t>
      </w:r>
      <w:r w:rsidRPr="00970174">
        <w:rPr>
          <w:lang w:val="it-IT"/>
        </w:rPr>
        <w:t xml:space="preserve">, </w:t>
      </w:r>
      <w:r w:rsidR="0053644E">
        <w:rPr>
          <w:lang w:val="it-IT"/>
        </w:rPr>
        <w:t>TI-373</w:t>
      </w:r>
      <w:r w:rsidRPr="00970174">
        <w:rPr>
          <w:lang w:val="it-IT"/>
        </w:rPr>
        <w:t xml:space="preserve">, </w:t>
      </w:r>
      <w:r w:rsidR="0053644E">
        <w:rPr>
          <w:lang w:val="it-IT"/>
        </w:rPr>
        <w:t>TI-375</w:t>
      </w:r>
      <w:r w:rsidRPr="00970174">
        <w:rPr>
          <w:lang w:val="it-IT"/>
        </w:rPr>
        <w:t xml:space="preserve">, </w:t>
      </w:r>
      <w:r w:rsidR="00C364A0">
        <w:rPr>
          <w:lang w:val="it-IT"/>
        </w:rPr>
        <w:t>TI-363</w:t>
      </w:r>
      <w:r w:rsidRPr="00970174">
        <w:rPr>
          <w:lang w:val="it-IT"/>
        </w:rPr>
        <w:t xml:space="preserve">, </w:t>
      </w:r>
      <w:r w:rsidR="00C364A0">
        <w:rPr>
          <w:lang w:val="it-IT"/>
        </w:rPr>
        <w:t>TI-365</w:t>
      </w:r>
      <w:r w:rsidRPr="00970174">
        <w:rPr>
          <w:lang w:val="it-IT"/>
        </w:rPr>
        <w:t xml:space="preserve">, </w:t>
      </w:r>
      <w:r w:rsidR="00C364A0">
        <w:rPr>
          <w:lang w:val="it-IT"/>
        </w:rPr>
        <w:t>TI-367</w:t>
      </w:r>
      <w:r w:rsidRPr="00970174">
        <w:rPr>
          <w:lang w:val="it-IT"/>
        </w:rPr>
        <w:t xml:space="preserve">, </w:t>
      </w:r>
      <w:r w:rsidR="0053644E">
        <w:rPr>
          <w:lang w:val="it-IT"/>
        </w:rPr>
        <w:t>TI-379</w:t>
      </w:r>
      <w:r w:rsidRPr="00970174">
        <w:rPr>
          <w:lang w:val="it-IT"/>
        </w:rPr>
        <w:t>, TI-319.</w:t>
      </w:r>
    </w:p>
  </w:footnote>
  <w:footnote w:id="124">
    <w:p w14:paraId="42E86011" w14:textId="63B85B66" w:rsidR="00925C2B" w:rsidRPr="00970174" w:rsidRDefault="00925C2B" w:rsidP="00617673">
      <w:pPr>
        <w:pStyle w:val="FootnoteText"/>
        <w:rPr>
          <w:lang w:val="it-IT"/>
        </w:rPr>
      </w:pPr>
      <w:r>
        <w:rPr>
          <w:lang w:val="it-IT"/>
        </w:rPr>
        <w:tab/>
      </w:r>
      <w:r>
        <w:rPr>
          <w:rStyle w:val="FootnoteReference"/>
        </w:rPr>
        <w:footnoteRef/>
      </w:r>
      <w:r>
        <w:rPr>
          <w:lang w:val="it-IT"/>
        </w:rPr>
        <w:tab/>
      </w:r>
      <w:r w:rsidR="00C364A0">
        <w:rPr>
          <w:lang w:val="it-IT"/>
        </w:rPr>
        <w:t>TI-362</w:t>
      </w:r>
      <w:r w:rsidRPr="00970174">
        <w:rPr>
          <w:lang w:val="it-IT"/>
        </w:rPr>
        <w:t>.</w:t>
      </w:r>
    </w:p>
  </w:footnote>
  <w:footnote w:id="125">
    <w:p w14:paraId="67BA54A0" w14:textId="568E5D56" w:rsidR="00925C2B" w:rsidRPr="00970174" w:rsidRDefault="00925C2B" w:rsidP="00617673">
      <w:pPr>
        <w:pStyle w:val="FootnoteText"/>
        <w:rPr>
          <w:lang w:val="it-IT"/>
        </w:rPr>
      </w:pPr>
      <w:r>
        <w:rPr>
          <w:lang w:val="it-IT"/>
        </w:rPr>
        <w:tab/>
      </w:r>
      <w:r w:rsidRPr="00AE6E06">
        <w:rPr>
          <w:rStyle w:val="FootnoteReference"/>
        </w:rPr>
        <w:footnoteRef/>
      </w:r>
      <w:r>
        <w:rPr>
          <w:lang w:val="it-IT"/>
        </w:rPr>
        <w:tab/>
      </w:r>
      <w:r w:rsidR="00C364A0">
        <w:rPr>
          <w:lang w:val="it-IT"/>
        </w:rPr>
        <w:t>TI-360</w:t>
      </w:r>
      <w:r w:rsidRPr="00970174">
        <w:rPr>
          <w:lang w:val="it-IT"/>
        </w:rPr>
        <w:t xml:space="preserve">, </w:t>
      </w:r>
      <w:r w:rsidR="0053644E">
        <w:rPr>
          <w:lang w:val="it-IT"/>
        </w:rPr>
        <w:t>TI-376</w:t>
      </w:r>
      <w:r w:rsidRPr="00970174">
        <w:rPr>
          <w:lang w:val="it-IT"/>
        </w:rPr>
        <w:t xml:space="preserve">, </w:t>
      </w:r>
      <w:r w:rsidR="00C364A0">
        <w:rPr>
          <w:lang w:val="it-IT"/>
        </w:rPr>
        <w:t>TI-363</w:t>
      </w:r>
      <w:r w:rsidRPr="00970174">
        <w:rPr>
          <w:lang w:val="it-IT"/>
        </w:rPr>
        <w:t xml:space="preserve">, TI-319, TI-358, HI-080, HI-081, HI-082, CI-167, CI-176, CI-177. </w:t>
      </w:r>
    </w:p>
  </w:footnote>
  <w:footnote w:id="126">
    <w:p w14:paraId="724D5FE7" w14:textId="77777777" w:rsidR="00925C2B" w:rsidRPr="00E62A34" w:rsidRDefault="00925C2B" w:rsidP="00617673">
      <w:pPr>
        <w:pStyle w:val="FootnoteText"/>
        <w:rPr>
          <w:lang w:val="fr-CH"/>
        </w:rPr>
      </w:pPr>
      <w:r w:rsidRPr="002C02F1">
        <w:rPr>
          <w:lang w:val="it-IT"/>
        </w:rPr>
        <w:tab/>
      </w:r>
      <w:r w:rsidRPr="00AE6E06">
        <w:rPr>
          <w:rStyle w:val="FootnoteReference"/>
        </w:rPr>
        <w:footnoteRef/>
      </w:r>
      <w:r>
        <w:rPr>
          <w:lang w:val="fr-CH"/>
        </w:rPr>
        <w:tab/>
        <w:t>Voir notamment A/HRC/42/CRP.2, par. 189-191.</w:t>
      </w:r>
    </w:p>
  </w:footnote>
  <w:footnote w:id="127">
    <w:p w14:paraId="1D6522B2" w14:textId="480313ED" w:rsidR="00925C2B" w:rsidRPr="00716DD1"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TI-374</w:t>
      </w:r>
      <w:r w:rsidRPr="00716DD1">
        <w:rPr>
          <w:lang w:val="it-IT"/>
        </w:rPr>
        <w:t xml:space="preserve">, </w:t>
      </w:r>
      <w:r w:rsidR="0053644E">
        <w:rPr>
          <w:lang w:val="it-IT"/>
        </w:rPr>
        <w:t>TI-376</w:t>
      </w:r>
      <w:r w:rsidRPr="00716DD1">
        <w:rPr>
          <w:lang w:val="it-IT"/>
        </w:rPr>
        <w:t xml:space="preserve">, </w:t>
      </w:r>
      <w:r w:rsidR="0053644E">
        <w:rPr>
          <w:lang w:val="it-IT"/>
        </w:rPr>
        <w:t>TI-377</w:t>
      </w:r>
      <w:r w:rsidRPr="00716DD1">
        <w:rPr>
          <w:lang w:val="it-IT"/>
        </w:rPr>
        <w:t xml:space="preserve">, </w:t>
      </w:r>
      <w:r w:rsidR="0053644E">
        <w:rPr>
          <w:lang w:val="it-IT"/>
        </w:rPr>
        <w:t>TI-379</w:t>
      </w:r>
      <w:r w:rsidRPr="00716DD1">
        <w:rPr>
          <w:lang w:val="it-IT"/>
        </w:rPr>
        <w:t>, HI-080, HI-081, HI-082, HI-090.</w:t>
      </w:r>
    </w:p>
  </w:footnote>
  <w:footnote w:id="128">
    <w:p w14:paraId="4BF0D138" w14:textId="563B27F4" w:rsidR="00925C2B" w:rsidRPr="006C7BBD" w:rsidRDefault="00925C2B" w:rsidP="00617673">
      <w:pPr>
        <w:pStyle w:val="FootnoteText"/>
        <w:rPr>
          <w:lang w:val="fr-CH"/>
        </w:rPr>
      </w:pPr>
      <w:r w:rsidRPr="002C02F1">
        <w:rPr>
          <w:lang w:val="it-IT"/>
        </w:rPr>
        <w:tab/>
      </w:r>
      <w:r>
        <w:rPr>
          <w:rStyle w:val="FootnoteReference"/>
        </w:rPr>
        <w:footnoteRef/>
      </w:r>
      <w:r>
        <w:rPr>
          <w:lang w:val="fr-CH"/>
        </w:rPr>
        <w:tab/>
      </w:r>
      <w:r w:rsidR="0053644E">
        <w:rPr>
          <w:lang w:val="fr-CH"/>
        </w:rPr>
        <w:t>TI-374</w:t>
      </w:r>
      <w:r w:rsidRPr="006C7BBD">
        <w:rPr>
          <w:lang w:val="fr-CH"/>
        </w:rPr>
        <w:t>.</w:t>
      </w:r>
    </w:p>
  </w:footnote>
  <w:footnote w:id="129">
    <w:p w14:paraId="709720EA" w14:textId="6460DC4B" w:rsidR="00925C2B" w:rsidRPr="00246F4C" w:rsidRDefault="00925C2B" w:rsidP="00617673">
      <w:pPr>
        <w:pStyle w:val="FootnoteText"/>
        <w:rPr>
          <w:lang w:val="fr-CH"/>
        </w:rPr>
      </w:pPr>
      <w:r>
        <w:rPr>
          <w:lang w:val="fr-CH"/>
        </w:rPr>
        <w:tab/>
      </w:r>
      <w:r>
        <w:rPr>
          <w:rStyle w:val="FootnoteReference"/>
        </w:rPr>
        <w:footnoteRef/>
      </w:r>
      <w:r>
        <w:rPr>
          <w:lang w:val="fr-CH"/>
        </w:rPr>
        <w:tab/>
      </w:r>
      <w:r w:rsidRPr="00246F4C">
        <w:rPr>
          <w:lang w:val="fr-CH"/>
        </w:rPr>
        <w:t>Décret présidentiel n</w:t>
      </w:r>
      <w:r>
        <w:rPr>
          <w:lang w:val="fr-CH"/>
        </w:rPr>
        <w:t xml:space="preserve">° 100/041 du 5 mars 2021 portant mesure de grâce, disponible : </w:t>
      </w:r>
      <w:r w:rsidRPr="00246F4C">
        <w:rPr>
          <w:lang w:val="fr-CH"/>
        </w:rPr>
        <w:t>https://www.presidence.gov.bi/2021/03/08/decret-no-100-041-du-05-mars-2021-portant-mesures-de-grace/</w:t>
      </w:r>
      <w:r>
        <w:rPr>
          <w:lang w:val="fr-CH"/>
        </w:rPr>
        <w:t>.</w:t>
      </w:r>
      <w:r w:rsidRPr="00246F4C">
        <w:rPr>
          <w:lang w:val="fr-CH"/>
        </w:rPr>
        <w:t xml:space="preserve"> </w:t>
      </w:r>
    </w:p>
  </w:footnote>
  <w:footnote w:id="130">
    <w:p w14:paraId="70D6AD76" w14:textId="77777777" w:rsidR="00925C2B" w:rsidRPr="006C7BBD" w:rsidRDefault="00925C2B" w:rsidP="00617673">
      <w:pPr>
        <w:pStyle w:val="FootnoteText"/>
        <w:rPr>
          <w:lang w:val="fr-CH"/>
        </w:rPr>
      </w:pPr>
      <w:r>
        <w:rPr>
          <w:lang w:val="fr-CH"/>
        </w:rPr>
        <w:tab/>
      </w:r>
      <w:r>
        <w:rPr>
          <w:rStyle w:val="FootnoteReference"/>
        </w:rPr>
        <w:footnoteRef/>
      </w:r>
      <w:r>
        <w:rPr>
          <w:lang w:val="fr-CH"/>
        </w:rPr>
        <w:tab/>
      </w:r>
      <w:r w:rsidRPr="006C7BBD">
        <w:rPr>
          <w:lang w:val="fr-CH"/>
        </w:rPr>
        <w:t>https://www.presidence.gov.bi/2021/04/26/trois-mille-detenus-affranchis-suite-a-la-grace-presidentielle/.</w:t>
      </w:r>
    </w:p>
  </w:footnote>
  <w:footnote w:id="131">
    <w:p w14:paraId="76C97CD4" w14:textId="010DFC8B" w:rsidR="00925C2B" w:rsidRPr="00716DD1" w:rsidRDefault="00925C2B" w:rsidP="00617673">
      <w:pPr>
        <w:pStyle w:val="FootnoteText"/>
        <w:rPr>
          <w:lang w:val="it-IT"/>
        </w:rPr>
      </w:pPr>
      <w:r w:rsidRPr="002C02F1">
        <w:rPr>
          <w:lang w:val="fr-CH"/>
        </w:rPr>
        <w:tab/>
      </w:r>
      <w:r>
        <w:rPr>
          <w:rStyle w:val="FootnoteReference"/>
        </w:rPr>
        <w:footnoteRef/>
      </w:r>
      <w:r>
        <w:rPr>
          <w:lang w:val="it-IT"/>
        </w:rPr>
        <w:tab/>
      </w:r>
      <w:r w:rsidR="0053644E">
        <w:rPr>
          <w:lang w:val="it-IT"/>
        </w:rPr>
        <w:t>TI-380</w:t>
      </w:r>
      <w:r w:rsidRPr="00716DD1">
        <w:rPr>
          <w:lang w:val="it-IT"/>
        </w:rPr>
        <w:t>, TI-335, JI-179, HI-081, HI-082, HI-085.</w:t>
      </w:r>
    </w:p>
  </w:footnote>
  <w:footnote w:id="132">
    <w:p w14:paraId="2AC6BFB0" w14:textId="1A7D6EF2" w:rsidR="00925C2B" w:rsidRPr="00716DD1" w:rsidRDefault="00925C2B" w:rsidP="00617673">
      <w:pPr>
        <w:pStyle w:val="FootnoteText"/>
        <w:rPr>
          <w:lang w:val="it-IT"/>
        </w:rPr>
      </w:pPr>
      <w:r>
        <w:rPr>
          <w:lang w:val="it-IT"/>
        </w:rPr>
        <w:tab/>
      </w:r>
      <w:r>
        <w:rPr>
          <w:rStyle w:val="FootnoteReference"/>
        </w:rPr>
        <w:footnoteRef/>
      </w:r>
      <w:r>
        <w:rPr>
          <w:lang w:val="it-IT"/>
        </w:rPr>
        <w:tab/>
      </w:r>
      <w:r w:rsidRPr="00716DD1">
        <w:rPr>
          <w:lang w:val="it-IT"/>
        </w:rPr>
        <w:t xml:space="preserve">HI-081, HI-082, HI-084, HI-090, </w:t>
      </w:r>
      <w:r w:rsidR="00C364A0">
        <w:rPr>
          <w:lang w:val="it-IT"/>
        </w:rPr>
        <w:t>TI-362</w:t>
      </w:r>
      <w:r w:rsidRPr="00716DD1">
        <w:rPr>
          <w:lang w:val="it-IT"/>
        </w:rPr>
        <w:t>.</w:t>
      </w:r>
    </w:p>
  </w:footnote>
  <w:footnote w:id="133">
    <w:p w14:paraId="25B4815B" w14:textId="3A64B796" w:rsidR="00925C2B" w:rsidRDefault="00925C2B" w:rsidP="00617673">
      <w:pPr>
        <w:pStyle w:val="FootnoteText"/>
        <w:rPr>
          <w:lang w:val="fr-CH"/>
        </w:rPr>
      </w:pPr>
      <w:r w:rsidRPr="002C02F1">
        <w:rPr>
          <w:lang w:val="it-IT"/>
        </w:rPr>
        <w:tab/>
      </w:r>
      <w:r>
        <w:rPr>
          <w:rStyle w:val="FootnoteReference"/>
        </w:rPr>
        <w:footnoteRef/>
      </w:r>
      <w:r>
        <w:rPr>
          <w:lang w:val="fr-CH"/>
        </w:rPr>
        <w:tab/>
        <w:t xml:space="preserve">Voir </w:t>
      </w:r>
      <w:r w:rsidRPr="003B0A12">
        <w:rPr>
          <w:lang w:val="fr-CH"/>
        </w:rPr>
        <w:t>par. 110-113</w:t>
      </w:r>
      <w:r>
        <w:rPr>
          <w:lang w:val="fr-CH"/>
        </w:rPr>
        <w:t xml:space="preserve"> du présent </w:t>
      </w:r>
      <w:r w:rsidR="00C2496D">
        <w:rPr>
          <w:lang w:val="fr-CH"/>
        </w:rPr>
        <w:t>document</w:t>
      </w:r>
      <w:r>
        <w:rPr>
          <w:lang w:val="fr-CH"/>
        </w:rPr>
        <w:t>.</w:t>
      </w:r>
    </w:p>
    <w:p w14:paraId="44E3B927" w14:textId="77777777" w:rsidR="0053644E" w:rsidRPr="003F560D" w:rsidRDefault="0053644E" w:rsidP="00617673">
      <w:pPr>
        <w:pStyle w:val="FootnoteText"/>
        <w:rPr>
          <w:lang w:val="fr-CH"/>
        </w:rPr>
      </w:pPr>
    </w:p>
  </w:footnote>
  <w:footnote w:id="134">
    <w:p w14:paraId="18D33F4D" w14:textId="77777777" w:rsidR="00925C2B" w:rsidRPr="00F952D5" w:rsidRDefault="00925C2B" w:rsidP="00617673">
      <w:pPr>
        <w:pStyle w:val="FootnoteText"/>
        <w:rPr>
          <w:lang w:val="fr-CH"/>
        </w:rPr>
      </w:pPr>
      <w:r>
        <w:rPr>
          <w:lang w:val="fr-CH"/>
        </w:rPr>
        <w:tab/>
      </w:r>
      <w:r>
        <w:rPr>
          <w:rStyle w:val="FootnoteReference"/>
        </w:rPr>
        <w:footnoteRef/>
      </w:r>
      <w:r>
        <w:rPr>
          <w:lang w:val="fr-CH"/>
        </w:rPr>
        <w:tab/>
      </w:r>
      <w:r w:rsidRPr="00F952D5">
        <w:rPr>
          <w:lang w:val="fr-CH"/>
        </w:rPr>
        <w:t>Décret présidentiel portant mesure de gr</w:t>
      </w:r>
      <w:r>
        <w:rPr>
          <w:lang w:val="fr-CH"/>
        </w:rPr>
        <w:t xml:space="preserve">âce présidentielle du 23 décembre 2020 : </w:t>
      </w:r>
      <w:r w:rsidRPr="00F952D5">
        <w:rPr>
          <w:lang w:val="fr-CH"/>
        </w:rPr>
        <w:t>https://www.iwacu-burundi.org/wp-content/uploads/2020/12/decret.jpg</w:t>
      </w:r>
      <w:r>
        <w:rPr>
          <w:lang w:val="fr-CH"/>
        </w:rPr>
        <w:t>.</w:t>
      </w:r>
    </w:p>
  </w:footnote>
  <w:footnote w:id="135">
    <w:p w14:paraId="7B302C22" w14:textId="72F02374" w:rsidR="00925C2B" w:rsidRPr="00D77746" w:rsidRDefault="00925C2B" w:rsidP="00617673">
      <w:pPr>
        <w:pStyle w:val="FootnoteText"/>
        <w:rPr>
          <w:lang w:val="fr-CH"/>
        </w:rPr>
      </w:pPr>
      <w:r>
        <w:rPr>
          <w:lang w:val="fr-CH"/>
        </w:rPr>
        <w:tab/>
      </w:r>
      <w:r>
        <w:rPr>
          <w:rStyle w:val="FootnoteReference"/>
        </w:rPr>
        <w:footnoteRef/>
      </w:r>
      <w:r>
        <w:rPr>
          <w:lang w:val="fr-CH"/>
        </w:rPr>
        <w:tab/>
      </w:r>
      <w:r w:rsidRPr="00D77746">
        <w:rPr>
          <w:lang w:val="fr-CH"/>
        </w:rPr>
        <w:t>Pour plus de détails sur ce cas, voir</w:t>
      </w:r>
      <w:r>
        <w:rPr>
          <w:lang w:val="fr-CH"/>
        </w:rPr>
        <w:t> :</w:t>
      </w:r>
      <w:r w:rsidRPr="00D77746">
        <w:rPr>
          <w:lang w:val="fr-CH"/>
        </w:rPr>
        <w:t xml:space="preserve"> A/HRC/45/CRP.1, par. 255-261</w:t>
      </w:r>
      <w:r>
        <w:rPr>
          <w:lang w:val="fr-CH"/>
        </w:rPr>
        <w:t>.</w:t>
      </w:r>
    </w:p>
  </w:footnote>
  <w:footnote w:id="136">
    <w:p w14:paraId="021A1947" w14:textId="77777777" w:rsidR="00925C2B" w:rsidRPr="0099107C" w:rsidRDefault="00925C2B" w:rsidP="00617673">
      <w:pPr>
        <w:pStyle w:val="FootnoteText"/>
        <w:rPr>
          <w:lang w:val="fr-CH"/>
        </w:rPr>
      </w:pPr>
      <w:r>
        <w:rPr>
          <w:lang w:val="fr-CH"/>
        </w:rPr>
        <w:tab/>
      </w:r>
      <w:r>
        <w:rPr>
          <w:rStyle w:val="FootnoteReference"/>
        </w:rPr>
        <w:footnoteRef/>
      </w:r>
      <w:r>
        <w:rPr>
          <w:lang w:val="fr-CH"/>
        </w:rPr>
        <w:tab/>
        <w:t>Décret n°</w:t>
      </w:r>
      <w:r w:rsidRPr="0099107C">
        <w:rPr>
          <w:lang w:val="fr-CH"/>
        </w:rPr>
        <w:t xml:space="preserve"> 120 du 23 Décembre 2020 portant </w:t>
      </w:r>
      <w:r>
        <w:rPr>
          <w:lang w:val="fr-CH"/>
        </w:rPr>
        <w:t>m</w:t>
      </w:r>
      <w:r w:rsidRPr="0099107C">
        <w:rPr>
          <w:lang w:val="fr-CH"/>
        </w:rPr>
        <w:t xml:space="preserve">esure de grâce </w:t>
      </w:r>
      <w:r>
        <w:rPr>
          <w:lang w:val="fr-CH"/>
        </w:rPr>
        <w:t>p</w:t>
      </w:r>
      <w:r w:rsidRPr="0099107C">
        <w:rPr>
          <w:lang w:val="fr-CH"/>
        </w:rPr>
        <w:t>résidentielle</w:t>
      </w:r>
      <w:r>
        <w:rPr>
          <w:lang w:val="fr-CH"/>
        </w:rPr>
        <w:t xml:space="preserve">, Voir : </w:t>
      </w:r>
      <w:r w:rsidRPr="0099107C">
        <w:rPr>
          <w:lang w:val="fr-CH"/>
        </w:rPr>
        <w:t>https://www.presidence.gov.bi/2020/12/24/les-journalistes-diwacu-gracies-par-le-president-de-la-republique/</w:t>
      </w:r>
      <w:r>
        <w:rPr>
          <w:lang w:val="fr-CH"/>
        </w:rPr>
        <w:t>.</w:t>
      </w:r>
    </w:p>
  </w:footnote>
  <w:footnote w:id="137">
    <w:p w14:paraId="3E487543" w14:textId="77777777" w:rsidR="00925C2B" w:rsidRPr="00810F5B" w:rsidRDefault="00925C2B" w:rsidP="00617673">
      <w:pPr>
        <w:pStyle w:val="FootnoteText"/>
        <w:rPr>
          <w:lang w:val="fr-CH"/>
        </w:rPr>
      </w:pPr>
      <w:r>
        <w:rPr>
          <w:rStyle w:val="Hyperlink"/>
          <w:lang w:val="fr-CH"/>
        </w:rPr>
        <w:tab/>
      </w:r>
      <w:r>
        <w:rPr>
          <w:rStyle w:val="FootnoteReference"/>
        </w:rPr>
        <w:footnoteRef/>
      </w:r>
      <w:r>
        <w:rPr>
          <w:rStyle w:val="Hyperlink"/>
          <w:lang w:val="fr-CH"/>
        </w:rPr>
        <w:tab/>
      </w:r>
      <w:r w:rsidRPr="007A1249">
        <w:rPr>
          <w:rStyle w:val="Hyperlink"/>
          <w:lang w:val="fr-CH"/>
        </w:rPr>
        <w:t>https://www.presidence.gov.bi/2021/01/28/jamais-sans-les-medias-s-e-evariste-ndayishimiye-se-prononce-en-faveur-dune-reconsideration-par-le-cnc-de-certaines-mesures-de-restriction/</w:t>
      </w:r>
      <w:r>
        <w:rPr>
          <w:rStyle w:val="Hyperlink"/>
          <w:lang w:val="fr-CH"/>
        </w:rPr>
        <w:t xml:space="preserve">, </w:t>
      </w:r>
      <w:r w:rsidRPr="007A1249">
        <w:rPr>
          <w:rStyle w:val="Hyperlink"/>
          <w:lang w:val="fr-CH"/>
        </w:rPr>
        <w:t>https://www.presidence.gov.bi/2021/01/28/communique-final-de-latelier-dechange-entre-le-chef-de-letat-les-responsables-et-les-professionnels-des-medias/</w:t>
      </w:r>
      <w:r>
        <w:rPr>
          <w:lang w:val="fr-CH"/>
        </w:rPr>
        <w:t xml:space="preserve">. </w:t>
      </w:r>
    </w:p>
  </w:footnote>
  <w:footnote w:id="138">
    <w:p w14:paraId="7CC75538" w14:textId="77777777" w:rsidR="00925C2B" w:rsidRPr="00611413" w:rsidRDefault="00925C2B" w:rsidP="00617673">
      <w:pPr>
        <w:pStyle w:val="FootnoteText"/>
        <w:rPr>
          <w:lang w:val="fr-CH"/>
        </w:rPr>
      </w:pPr>
      <w:r>
        <w:rPr>
          <w:lang w:val="fr-CH"/>
        </w:rPr>
        <w:tab/>
      </w:r>
      <w:r>
        <w:rPr>
          <w:rStyle w:val="FootnoteReference"/>
        </w:rPr>
        <w:footnoteRef/>
      </w:r>
      <w:r>
        <w:rPr>
          <w:lang w:val="fr-CH"/>
        </w:rPr>
        <w:tab/>
      </w:r>
      <w:r w:rsidRPr="007A1249">
        <w:rPr>
          <w:lang w:val="fr-FR"/>
        </w:rPr>
        <w:t>https://twitter.com/CNC_BURUNDI/status/1356158105860648962?s=20</w:t>
      </w:r>
      <w:r>
        <w:rPr>
          <w:lang w:val="fr-FR"/>
        </w:rPr>
        <w:t>,</w:t>
      </w:r>
      <w:r>
        <w:rPr>
          <w:lang w:val="fr-CH"/>
        </w:rPr>
        <w:t xml:space="preserve"> </w:t>
      </w:r>
      <w:r w:rsidRPr="00611413">
        <w:rPr>
          <w:lang w:val="fr-CH"/>
        </w:rPr>
        <w:t>https://www.iwacu-burundi.org/cnc-medias-la-reunion-du-cnc-avec-les-medias-une-simple-prise-de-contact/?utm_source=dlvr.it&amp;utm_medium=twitter</w:t>
      </w:r>
      <w:r>
        <w:rPr>
          <w:lang w:val="fr-CH"/>
        </w:rPr>
        <w:t>.</w:t>
      </w:r>
    </w:p>
  </w:footnote>
  <w:footnote w:id="139">
    <w:p w14:paraId="061D39F0" w14:textId="77777777" w:rsidR="00925C2B" w:rsidRPr="007A1249"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https://twitter.com/CNC_BURUNDI/status/1360139493769109511?s=20</w:t>
      </w:r>
      <w:r>
        <w:rPr>
          <w:lang w:val="fr-CH"/>
        </w:rPr>
        <w:t>.</w:t>
      </w:r>
    </w:p>
  </w:footnote>
  <w:footnote w:id="140">
    <w:p w14:paraId="2A445194" w14:textId="77777777" w:rsidR="00925C2B" w:rsidRPr="00572869" w:rsidRDefault="00925C2B" w:rsidP="00617673">
      <w:pPr>
        <w:pStyle w:val="FootnoteText"/>
        <w:rPr>
          <w:lang w:val="fr-CH"/>
        </w:rPr>
      </w:pPr>
      <w:r>
        <w:rPr>
          <w:lang w:val="fr-CH"/>
        </w:rPr>
        <w:tab/>
      </w:r>
      <w:r>
        <w:rPr>
          <w:rStyle w:val="FootnoteReference"/>
        </w:rPr>
        <w:footnoteRef/>
      </w:r>
      <w:r>
        <w:rPr>
          <w:lang w:val="fr-CH"/>
        </w:rPr>
        <w:tab/>
      </w:r>
      <w:r w:rsidRPr="002B3360">
        <w:rPr>
          <w:lang w:val="fr-CH"/>
        </w:rPr>
        <w:t>https://twitter.com/AntoineKaburahe/status/1430889492219457547</w:t>
      </w:r>
      <w:r>
        <w:rPr>
          <w:lang w:val="fr-CH"/>
        </w:rPr>
        <w:t>,</w:t>
      </w:r>
      <w:r w:rsidRPr="002B3360">
        <w:rPr>
          <w:lang w:val="fr-CH"/>
        </w:rPr>
        <w:t xml:space="preserve"> </w:t>
      </w:r>
      <w:r w:rsidRPr="00572869">
        <w:rPr>
          <w:lang w:val="fr-CH"/>
        </w:rPr>
        <w:t>https://twitter.com/AntoineKaburahe/status/1387670173725904896</w:t>
      </w:r>
      <w:r>
        <w:rPr>
          <w:lang w:val="fr-CH"/>
        </w:rPr>
        <w:t>.</w:t>
      </w:r>
    </w:p>
  </w:footnote>
  <w:footnote w:id="141">
    <w:p w14:paraId="19FA66BF" w14:textId="77777777" w:rsidR="00925C2B" w:rsidRPr="007D2E03" w:rsidRDefault="00925C2B" w:rsidP="00617673">
      <w:pPr>
        <w:pStyle w:val="FootnoteText"/>
        <w:rPr>
          <w:lang w:val="fr-CH"/>
        </w:rPr>
      </w:pPr>
      <w:r>
        <w:rPr>
          <w:lang w:val="fr-CH"/>
        </w:rPr>
        <w:tab/>
      </w:r>
      <w:r>
        <w:rPr>
          <w:rStyle w:val="FootnoteReference"/>
        </w:rPr>
        <w:footnoteRef/>
      </w:r>
      <w:r>
        <w:rPr>
          <w:lang w:val="fr-CH"/>
        </w:rPr>
        <w:tab/>
      </w:r>
      <w:r w:rsidRPr="007D2E03">
        <w:rPr>
          <w:lang w:val="fr-CH"/>
        </w:rPr>
        <w:t>Voir ci-après</w:t>
      </w:r>
      <w:r>
        <w:rPr>
          <w:lang w:val="fr-CH"/>
        </w:rPr>
        <w:t xml:space="preserve"> par. 134-136</w:t>
      </w:r>
      <w:r w:rsidRPr="007D2E03">
        <w:rPr>
          <w:lang w:val="fr-CH"/>
        </w:rPr>
        <w:t>.</w:t>
      </w:r>
    </w:p>
  </w:footnote>
  <w:footnote w:id="142">
    <w:p w14:paraId="364467E8" w14:textId="77777777" w:rsidR="00925C2B" w:rsidRPr="007D2E03"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https://twitter.com/CNC_BURUNDI/status/1363760439742586885?s=20</w:t>
      </w:r>
      <w:r>
        <w:rPr>
          <w:lang w:val="fr-CH"/>
        </w:rPr>
        <w:t>,</w:t>
      </w:r>
      <w:r w:rsidRPr="007A1249">
        <w:rPr>
          <w:lang w:val="fr-CH"/>
        </w:rPr>
        <w:t xml:space="preserve"> </w:t>
      </w:r>
      <w:r w:rsidRPr="007D2E03">
        <w:rPr>
          <w:lang w:val="fr-CH"/>
        </w:rPr>
        <w:t>https://twitter.com/BurundiNet1/status/1363784564972388352</w:t>
      </w:r>
      <w:r>
        <w:rPr>
          <w:lang w:val="fr-CH"/>
        </w:rPr>
        <w:t>.</w:t>
      </w:r>
    </w:p>
  </w:footnote>
  <w:footnote w:id="143">
    <w:p w14:paraId="795303CC" w14:textId="77777777" w:rsidR="00925C2B" w:rsidRPr="008D0527" w:rsidRDefault="00925C2B" w:rsidP="00617673">
      <w:pPr>
        <w:pStyle w:val="FootnoteText"/>
        <w:rPr>
          <w:lang w:val="fr-CH"/>
        </w:rPr>
      </w:pPr>
      <w:r>
        <w:rPr>
          <w:lang w:val="fr-CH"/>
        </w:rPr>
        <w:tab/>
      </w:r>
      <w:r>
        <w:rPr>
          <w:rStyle w:val="FootnoteReference"/>
        </w:rPr>
        <w:footnoteRef/>
      </w:r>
      <w:r>
        <w:rPr>
          <w:lang w:val="fr-CH"/>
        </w:rPr>
        <w:tab/>
      </w:r>
      <w:r w:rsidRPr="008D0527">
        <w:rPr>
          <w:lang w:val="fr-CH"/>
        </w:rPr>
        <w:t>https://rtnb.bi/fr/art.php?idapi=5/1/17.</w:t>
      </w:r>
    </w:p>
  </w:footnote>
  <w:footnote w:id="144">
    <w:p w14:paraId="00C5A51F" w14:textId="5DA3B55A" w:rsidR="00925C2B" w:rsidRPr="008D0527" w:rsidRDefault="00925C2B" w:rsidP="00617673">
      <w:pPr>
        <w:pStyle w:val="FootnoteText"/>
        <w:rPr>
          <w:lang w:val="fr-CH"/>
        </w:rPr>
      </w:pPr>
      <w:r>
        <w:rPr>
          <w:lang w:val="fr-CH"/>
        </w:rPr>
        <w:tab/>
      </w:r>
      <w:r>
        <w:rPr>
          <w:rStyle w:val="FootnoteReference"/>
        </w:rPr>
        <w:footnoteRef/>
      </w:r>
      <w:r>
        <w:rPr>
          <w:lang w:val="fr-CH"/>
        </w:rPr>
        <w:tab/>
      </w:r>
      <w:r w:rsidRPr="007A1249">
        <w:rPr>
          <w:lang w:val="fr-CH"/>
        </w:rPr>
        <w:t>https://twitter.com/CNC_BURUNDI/status/1384809163629400065?s=20</w:t>
      </w:r>
      <w:r>
        <w:rPr>
          <w:lang w:val="fr-CH"/>
        </w:rPr>
        <w:t xml:space="preserve">, </w:t>
      </w:r>
      <w:r w:rsidRPr="00DE046A">
        <w:rPr>
          <w:lang w:val="fr-CH"/>
        </w:rPr>
        <w:t>https://rtnb.bi/fr/art.php?idapi=5/1/17</w:t>
      </w:r>
      <w:r>
        <w:rPr>
          <w:lang w:val="fr-CH"/>
        </w:rPr>
        <w:t>,</w:t>
      </w:r>
      <w:r w:rsidRPr="00DE046A">
        <w:rPr>
          <w:lang w:val="fr-CH"/>
        </w:rPr>
        <w:t xml:space="preserve"> </w:t>
      </w:r>
      <w:r w:rsidRPr="008D0527">
        <w:rPr>
          <w:lang w:val="fr-CH"/>
        </w:rPr>
        <w:t>https://www.iwacu-burundi.org/map-burundi-buhire-requiem-et-espoir-de-resurrection-de-laccord-darusha/</w:t>
      </w:r>
      <w:r>
        <w:rPr>
          <w:lang w:val="fr-CH"/>
        </w:rPr>
        <w:t>.</w:t>
      </w:r>
    </w:p>
  </w:footnote>
  <w:footnote w:id="145">
    <w:p w14:paraId="395C3B0D" w14:textId="77777777" w:rsidR="00925C2B" w:rsidRPr="004E4D81" w:rsidRDefault="00925C2B" w:rsidP="00617673">
      <w:pPr>
        <w:pStyle w:val="FootnoteText"/>
        <w:rPr>
          <w:lang w:val="fr-CH"/>
        </w:rPr>
      </w:pPr>
      <w:r>
        <w:rPr>
          <w:lang w:val="fr-CH"/>
        </w:rPr>
        <w:tab/>
      </w:r>
      <w:r>
        <w:rPr>
          <w:rStyle w:val="FootnoteReference"/>
        </w:rPr>
        <w:footnoteRef/>
      </w:r>
      <w:r>
        <w:rPr>
          <w:lang w:val="fr-CH"/>
        </w:rPr>
        <w:tab/>
      </w:r>
      <w:hyperlink r:id="rId28" w:history="1">
        <w:r w:rsidRPr="000E4A05">
          <w:rPr>
            <w:rStyle w:val="Hyperlink"/>
            <w:lang w:val="fr-CH"/>
          </w:rPr>
          <w:t>https://twitter.com/Philippengen/status/1401189629601140739?s=20</w:t>
        </w:r>
      </w:hyperlink>
      <w:r>
        <w:rPr>
          <w:lang w:val="fr-CH"/>
        </w:rPr>
        <w:t xml:space="preserve">. Voir également : </w:t>
      </w:r>
      <w:r w:rsidRPr="00A11888">
        <w:rPr>
          <w:lang w:val="fr-CH"/>
        </w:rPr>
        <w:t>https://www.iwacu-burundi.org/ikiriho-reprend-du-service-pour-bientot/</w:t>
      </w:r>
      <w:r>
        <w:rPr>
          <w:lang w:val="fr-CH"/>
        </w:rPr>
        <w:t>.</w:t>
      </w:r>
    </w:p>
  </w:footnote>
  <w:footnote w:id="146">
    <w:p w14:paraId="225242AF" w14:textId="77777777" w:rsidR="00925C2B" w:rsidRPr="00A11888" w:rsidRDefault="00925C2B" w:rsidP="00617673">
      <w:pPr>
        <w:pStyle w:val="FootnoteText"/>
        <w:rPr>
          <w:lang w:val="fr-CH"/>
        </w:rPr>
      </w:pPr>
      <w:r>
        <w:rPr>
          <w:lang w:val="fr-CH"/>
        </w:rPr>
        <w:tab/>
      </w:r>
      <w:r>
        <w:rPr>
          <w:rStyle w:val="FootnoteReference"/>
        </w:rPr>
        <w:footnoteRef/>
      </w:r>
      <w:r>
        <w:rPr>
          <w:lang w:val="fr-CH"/>
        </w:rPr>
        <w:tab/>
      </w:r>
      <w:hyperlink r:id="rId29" w:history="1">
        <w:r w:rsidRPr="000E4A05">
          <w:rPr>
            <w:rStyle w:val="Hyperlink"/>
            <w:lang w:val="fr-CH"/>
          </w:rPr>
          <w:t>https://www.voaafrique.com/a/un-site-d-information-proche-du-pouvoir-suspendu-par-la-justice-au-burundi/4612365.html</w:t>
        </w:r>
      </w:hyperlink>
      <w:r>
        <w:rPr>
          <w:lang w:val="fr-CH"/>
        </w:rPr>
        <w:t>.</w:t>
      </w:r>
    </w:p>
  </w:footnote>
  <w:footnote w:id="147">
    <w:p w14:paraId="48D4F42A" w14:textId="6BA9BC8B" w:rsidR="00925C2B" w:rsidRPr="00821C66" w:rsidRDefault="00925C2B" w:rsidP="00617673">
      <w:pPr>
        <w:pStyle w:val="FootnoteText"/>
        <w:rPr>
          <w:lang w:val="fr-CH"/>
        </w:rPr>
      </w:pPr>
      <w:r>
        <w:rPr>
          <w:lang w:val="fr-CH"/>
        </w:rPr>
        <w:tab/>
      </w:r>
      <w:r>
        <w:rPr>
          <w:rStyle w:val="FootnoteReference"/>
        </w:rPr>
        <w:footnoteRef/>
      </w:r>
      <w:r>
        <w:rPr>
          <w:lang w:val="fr-CH"/>
        </w:rPr>
        <w:tab/>
      </w:r>
      <w:hyperlink r:id="rId30" w:history="1">
        <w:r w:rsidRPr="00F47515">
          <w:rPr>
            <w:rStyle w:val="Hyperlink"/>
            <w:lang w:val="fr-CH"/>
          </w:rPr>
          <w:t>https://twitter.com/Ikiriho/status/1405187381385437185?s=20</w:t>
        </w:r>
      </w:hyperlink>
      <w:r>
        <w:rPr>
          <w:lang w:val="fr-CH"/>
        </w:rPr>
        <w:t xml:space="preserve">, </w:t>
      </w:r>
      <w:r w:rsidRPr="00821C66">
        <w:rPr>
          <w:lang w:val="fr-CH"/>
        </w:rPr>
        <w:t>https://twitter.com/Ikiriho/status/1405211256802394116?s=20</w:t>
      </w:r>
      <w:r>
        <w:rPr>
          <w:lang w:val="fr-CH"/>
        </w:rPr>
        <w:t>.</w:t>
      </w:r>
    </w:p>
  </w:footnote>
  <w:footnote w:id="148">
    <w:p w14:paraId="2CA7B8C4" w14:textId="77777777" w:rsidR="00925C2B" w:rsidRPr="00742F17" w:rsidRDefault="00925C2B" w:rsidP="00617673">
      <w:pPr>
        <w:pStyle w:val="FootnoteText"/>
        <w:rPr>
          <w:lang w:val="fr-CH"/>
        </w:rPr>
      </w:pPr>
      <w:r>
        <w:rPr>
          <w:lang w:val="fr-CH"/>
        </w:rPr>
        <w:tab/>
      </w:r>
      <w:r>
        <w:rPr>
          <w:rStyle w:val="FootnoteReference"/>
        </w:rPr>
        <w:footnoteRef/>
      </w:r>
      <w:r>
        <w:rPr>
          <w:lang w:val="fr-CH"/>
        </w:rPr>
        <w:tab/>
        <w:t xml:space="preserve">Communiqué de presse du CNC dont la Commission a obtenu une copie. Voir aussi : </w:t>
      </w:r>
      <w:r w:rsidRPr="00742F17">
        <w:rPr>
          <w:lang w:val="fr-CH"/>
        </w:rPr>
        <w:t>https://www.iwacu-burundi.org/burundi-medias-les-sanctions-contre-la-bbc-et-ikiriho-levees/?utm_source=dlvr.it&amp;utm_medium=twitter</w:t>
      </w:r>
      <w:r>
        <w:rPr>
          <w:lang w:val="fr-CH"/>
        </w:rPr>
        <w:t>.</w:t>
      </w:r>
    </w:p>
  </w:footnote>
  <w:footnote w:id="149">
    <w:p w14:paraId="3967F1F3" w14:textId="17486122" w:rsidR="00925C2B" w:rsidRPr="00C91F3E" w:rsidRDefault="00925C2B" w:rsidP="00617673">
      <w:pPr>
        <w:pStyle w:val="FootnoteText"/>
        <w:rPr>
          <w:lang w:val="fr-CH"/>
        </w:rPr>
      </w:pPr>
      <w:r>
        <w:rPr>
          <w:lang w:val="fr-CH"/>
        </w:rPr>
        <w:tab/>
      </w:r>
      <w:r>
        <w:rPr>
          <w:rStyle w:val="FootnoteReference"/>
        </w:rPr>
        <w:footnoteRef/>
      </w:r>
      <w:r>
        <w:rPr>
          <w:lang w:val="fr-CH"/>
        </w:rPr>
        <w:tab/>
      </w:r>
      <w:r w:rsidRPr="00D63DB1">
        <w:rPr>
          <w:lang w:val="fr-CH"/>
        </w:rPr>
        <w:t>Voir A/HRC/42/CRP.2, par. 222.</w:t>
      </w:r>
    </w:p>
  </w:footnote>
  <w:footnote w:id="150">
    <w:p w14:paraId="63B9BA56" w14:textId="77777777" w:rsidR="00925C2B" w:rsidRPr="00C8621E" w:rsidRDefault="00925C2B" w:rsidP="00617673">
      <w:pPr>
        <w:pStyle w:val="FootnoteText"/>
        <w:rPr>
          <w:lang w:val="fr-CH"/>
        </w:rPr>
      </w:pPr>
      <w:r>
        <w:rPr>
          <w:lang w:val="fr-CH"/>
        </w:rPr>
        <w:tab/>
      </w:r>
      <w:r>
        <w:rPr>
          <w:rStyle w:val="FootnoteReference"/>
        </w:rPr>
        <w:footnoteRef/>
      </w:r>
      <w:r>
        <w:rPr>
          <w:lang w:val="fr-CH"/>
        </w:rPr>
        <w:tab/>
      </w:r>
      <w:r w:rsidRPr="00C8621E">
        <w:rPr>
          <w:lang w:val="fr-CH"/>
        </w:rPr>
        <w:t>https://cpj.org/2021/07/cpj-calls-on-burundi-government-to-let-all-news-outlets-operate-without-conditions/</w:t>
      </w:r>
      <w:r>
        <w:rPr>
          <w:lang w:val="fr-CH"/>
        </w:rPr>
        <w:t>.</w:t>
      </w:r>
    </w:p>
  </w:footnote>
  <w:footnote w:id="151">
    <w:p w14:paraId="672E64E2" w14:textId="4364C4B7" w:rsidR="00925C2B" w:rsidRPr="004579B9" w:rsidRDefault="00925C2B" w:rsidP="00617673">
      <w:pPr>
        <w:pStyle w:val="FootnoteText"/>
        <w:rPr>
          <w:lang w:val="fr-CH"/>
        </w:rPr>
      </w:pPr>
      <w:r>
        <w:rPr>
          <w:lang w:val="fr-CH"/>
        </w:rPr>
        <w:tab/>
      </w:r>
      <w:r>
        <w:rPr>
          <w:rStyle w:val="FootnoteReference"/>
        </w:rPr>
        <w:footnoteRef/>
      </w:r>
      <w:r>
        <w:rPr>
          <w:lang w:val="fr-CH"/>
        </w:rPr>
        <w:tab/>
        <w:t xml:space="preserve">Voir : </w:t>
      </w:r>
      <w:r w:rsidRPr="004579B9">
        <w:rPr>
          <w:lang w:val="fr-CH"/>
        </w:rPr>
        <w:t>https://www.fidh.org/fr/themes/defenseurs-des-droits-humains/burundi-condamnation-in-absentia-a-une-peine-de-prison-a-perpetuite</w:t>
      </w:r>
      <w:r>
        <w:rPr>
          <w:lang w:val="fr-CH"/>
        </w:rPr>
        <w:t>.</w:t>
      </w:r>
    </w:p>
  </w:footnote>
  <w:footnote w:id="152">
    <w:p w14:paraId="79E124AA" w14:textId="7F5DE07B" w:rsidR="00925C2B" w:rsidRPr="00216AB9" w:rsidRDefault="00925C2B" w:rsidP="00617673">
      <w:pPr>
        <w:pStyle w:val="FootnoteText"/>
        <w:rPr>
          <w:lang w:val="fr-CH"/>
        </w:rPr>
      </w:pPr>
      <w:r>
        <w:rPr>
          <w:lang w:val="fr-CH"/>
        </w:rPr>
        <w:tab/>
      </w:r>
      <w:r>
        <w:rPr>
          <w:rStyle w:val="FootnoteReference"/>
        </w:rPr>
        <w:footnoteRef/>
      </w:r>
      <w:r>
        <w:rPr>
          <w:lang w:val="fr-CH"/>
        </w:rPr>
        <w:tab/>
        <w:t>Voir A/HRC/36/CRP.1/, par. 528.</w:t>
      </w:r>
    </w:p>
  </w:footnote>
  <w:footnote w:id="153">
    <w:p w14:paraId="4D48838B" w14:textId="77777777" w:rsidR="00925C2B" w:rsidRPr="001E2B06" w:rsidRDefault="00925C2B" w:rsidP="00617673">
      <w:pPr>
        <w:pStyle w:val="FootnoteText"/>
        <w:rPr>
          <w:lang w:val="fr-CH"/>
        </w:rPr>
      </w:pPr>
      <w:r>
        <w:rPr>
          <w:lang w:val="fr-CH"/>
        </w:rPr>
        <w:tab/>
      </w:r>
      <w:r>
        <w:rPr>
          <w:rStyle w:val="FootnoteReference"/>
        </w:rPr>
        <w:footnoteRef/>
      </w:r>
      <w:r>
        <w:rPr>
          <w:lang w:val="fr-CH"/>
        </w:rPr>
        <w:tab/>
      </w:r>
      <w:r w:rsidRPr="00D070B6">
        <w:rPr>
          <w:lang w:val="fr-CH"/>
        </w:rPr>
        <w:t xml:space="preserve">Pour rappel, </w:t>
      </w:r>
      <w:r>
        <w:rPr>
          <w:lang w:val="fr-CH"/>
        </w:rPr>
        <w:t xml:space="preserve">le 9 mai 2016, </w:t>
      </w:r>
      <w:r w:rsidRPr="00D070B6">
        <w:rPr>
          <w:lang w:val="fr-CH"/>
        </w:rPr>
        <w:t xml:space="preserve">la </w:t>
      </w:r>
      <w:r>
        <w:rPr>
          <w:lang w:val="fr-CH"/>
        </w:rPr>
        <w:t xml:space="preserve">Cour suprême avait condamné en appel </w:t>
      </w:r>
      <w:r w:rsidRPr="00D070B6">
        <w:rPr>
          <w:lang w:val="fr-CH"/>
        </w:rPr>
        <w:t>21 militaires</w:t>
      </w:r>
      <w:r>
        <w:rPr>
          <w:lang w:val="fr-CH"/>
        </w:rPr>
        <w:t xml:space="preserve"> qui avaient été arrêtés après la tentative de coup d’État du 13 mai 2015, </w:t>
      </w:r>
      <w:r w:rsidRPr="00D070B6">
        <w:rPr>
          <w:lang w:val="fr-CH"/>
        </w:rPr>
        <w:t xml:space="preserve">à la prison à perpétuité </w:t>
      </w:r>
      <w:r>
        <w:rPr>
          <w:lang w:val="fr-CH"/>
        </w:rPr>
        <w:t xml:space="preserve">et à payer plus de six milliards de francs burundais en dommages et intérêts. Voir : </w:t>
      </w:r>
      <w:hyperlink r:id="rId31" w:history="1">
        <w:r w:rsidRPr="007273B0">
          <w:rPr>
            <w:rStyle w:val="Hyperlink"/>
            <w:lang w:val="fr-CH"/>
          </w:rPr>
          <w:t>https://www.la-croix.com/Monde/Afrique/Le-gouvernement-Burundi-poursuit-chasse-opposants-2016-05-10-1200759056</w:t>
        </w:r>
      </w:hyperlink>
      <w:r>
        <w:rPr>
          <w:lang w:val="fr-CH"/>
        </w:rPr>
        <w:t xml:space="preserve">, </w:t>
      </w:r>
      <w:r w:rsidRPr="00EF513F">
        <w:rPr>
          <w:lang w:val="fr-CH"/>
        </w:rPr>
        <w:t>https://www.rfi.fr/fr/afrique/20160510-burundi-peines-putschistes-prison-coup-etat-cyrille-ndayirukiye-gitega</w:t>
      </w:r>
      <w:r>
        <w:rPr>
          <w:lang w:val="fr-CH"/>
        </w:rPr>
        <w:t>.</w:t>
      </w:r>
    </w:p>
  </w:footnote>
  <w:footnote w:id="154">
    <w:p w14:paraId="71EB5A03" w14:textId="359A84C3" w:rsidR="00925C2B" w:rsidRPr="00A37F90" w:rsidRDefault="00925C2B" w:rsidP="00617673">
      <w:pPr>
        <w:pStyle w:val="FootnoteText"/>
        <w:rPr>
          <w:lang w:val="fr-CH"/>
        </w:rPr>
      </w:pPr>
      <w:r>
        <w:rPr>
          <w:lang w:val="fr-CH"/>
        </w:rPr>
        <w:tab/>
      </w:r>
      <w:r>
        <w:rPr>
          <w:rStyle w:val="FootnoteReference"/>
        </w:rPr>
        <w:footnoteRef/>
      </w:r>
      <w:r>
        <w:rPr>
          <w:lang w:val="fr-CH"/>
        </w:rPr>
        <w:tab/>
        <w:t xml:space="preserve">Dans tout le présent </w:t>
      </w:r>
      <w:r w:rsidR="00C2496D">
        <w:rPr>
          <w:lang w:val="fr-CH"/>
        </w:rPr>
        <w:t>document</w:t>
      </w:r>
      <w:r>
        <w:rPr>
          <w:lang w:val="fr-CH"/>
        </w:rPr>
        <w:t>, les équivalences des montants en francs burundais sont systématiquement données – à titre d’information – en dollars des États Unis d’Amérique, selon le taux de change officiel.</w:t>
      </w:r>
    </w:p>
  </w:footnote>
  <w:footnote w:id="155">
    <w:p w14:paraId="6CE92238" w14:textId="77777777" w:rsidR="00925C2B" w:rsidRPr="00D070B6" w:rsidRDefault="00925C2B" w:rsidP="00617673">
      <w:pPr>
        <w:pStyle w:val="FootnoteText"/>
        <w:rPr>
          <w:lang w:val="fr-CH"/>
        </w:rPr>
      </w:pPr>
      <w:r>
        <w:rPr>
          <w:lang w:val="fr-CH"/>
        </w:rPr>
        <w:tab/>
      </w:r>
      <w:r>
        <w:rPr>
          <w:rStyle w:val="FootnoteReference"/>
        </w:rPr>
        <w:footnoteRef/>
      </w:r>
      <w:r>
        <w:rPr>
          <w:lang w:val="fr-CH"/>
        </w:rPr>
        <w:tab/>
      </w:r>
      <w:r w:rsidRPr="00D070B6">
        <w:rPr>
          <w:lang w:val="fr-CH"/>
        </w:rPr>
        <w:t>Voir https://www.jeuneafrique.com/775690/politique/burundi-la-justice-ordonne-la-saisie-des-biens-dopposants-en-exil/</w:t>
      </w:r>
      <w:r>
        <w:rPr>
          <w:lang w:val="fr-CH"/>
        </w:rPr>
        <w:t>.</w:t>
      </w:r>
    </w:p>
  </w:footnote>
  <w:footnote w:id="156">
    <w:p w14:paraId="46D2A55F" w14:textId="77777777" w:rsidR="00925C2B" w:rsidRPr="00EF513F" w:rsidRDefault="00925C2B" w:rsidP="00617673">
      <w:pPr>
        <w:pStyle w:val="FootnoteText"/>
        <w:rPr>
          <w:lang w:val="fr-CH"/>
        </w:rPr>
      </w:pPr>
      <w:r>
        <w:rPr>
          <w:lang w:val="fr-CH"/>
        </w:rPr>
        <w:tab/>
      </w:r>
      <w:r>
        <w:rPr>
          <w:rStyle w:val="FootnoteReference"/>
        </w:rPr>
        <w:footnoteRef/>
      </w:r>
      <w:r>
        <w:rPr>
          <w:lang w:val="fr-CH"/>
        </w:rPr>
        <w:tab/>
      </w:r>
      <w:hyperlink r:id="rId32" w:history="1">
        <w:r w:rsidRPr="007273B0">
          <w:rPr>
            <w:rStyle w:val="Hyperlink"/>
            <w:lang w:val="fr-CH"/>
          </w:rPr>
          <w:t>https://www.dw.com/fr/burundi-les-biens-de-certains-opposants-vendus-aux-ench%C3%A8res/a-55557825</w:t>
        </w:r>
      </w:hyperlink>
      <w:r>
        <w:rPr>
          <w:lang w:val="fr-CH"/>
        </w:rPr>
        <w:t xml:space="preserve">, </w:t>
      </w:r>
      <w:r w:rsidRPr="00EF513F">
        <w:rPr>
          <w:lang w:val="fr-CH"/>
        </w:rPr>
        <w:t>https://www.jeuneafrique.com/1073755/societe/chronique-burundi-apres-le-putsch-manque-de-2015-la-justice-aux-encheres/</w:t>
      </w:r>
      <w:r>
        <w:rPr>
          <w:lang w:val="fr-CH"/>
        </w:rPr>
        <w:t>.</w:t>
      </w:r>
    </w:p>
  </w:footnote>
  <w:footnote w:id="157">
    <w:p w14:paraId="1A1EFE10" w14:textId="77777777" w:rsidR="00925C2B" w:rsidRPr="005F7DAB" w:rsidRDefault="00925C2B" w:rsidP="00617673">
      <w:pPr>
        <w:pStyle w:val="FootnoteText"/>
        <w:rPr>
          <w:lang w:val="fr-CH"/>
        </w:rPr>
      </w:pPr>
      <w:r>
        <w:rPr>
          <w:lang w:val="fr-CH"/>
        </w:rPr>
        <w:tab/>
      </w:r>
      <w:r>
        <w:rPr>
          <w:rStyle w:val="FootnoteReference"/>
        </w:rPr>
        <w:footnoteRef/>
      </w:r>
      <w:r>
        <w:rPr>
          <w:lang w:val="fr-CH"/>
        </w:rPr>
        <w:tab/>
        <w:t>Message Facebook daté du 2 mai 2021.</w:t>
      </w:r>
    </w:p>
  </w:footnote>
  <w:footnote w:id="158">
    <w:p w14:paraId="32056968" w14:textId="77777777" w:rsidR="00925C2B" w:rsidRPr="001D40C8" w:rsidRDefault="00925C2B" w:rsidP="00617673">
      <w:pPr>
        <w:pStyle w:val="FootnoteText"/>
        <w:rPr>
          <w:lang w:val="fr-CH"/>
        </w:rPr>
      </w:pPr>
      <w:r>
        <w:rPr>
          <w:lang w:val="fr-CH"/>
        </w:rPr>
        <w:tab/>
      </w:r>
      <w:r>
        <w:rPr>
          <w:rStyle w:val="FootnoteReference"/>
        </w:rPr>
        <w:footnoteRef/>
      </w:r>
      <w:r>
        <w:rPr>
          <w:lang w:val="fr-CH"/>
        </w:rPr>
        <w:tab/>
      </w:r>
      <w:hyperlink r:id="rId33" w:history="1">
        <w:r w:rsidRPr="00C21E8E">
          <w:rPr>
            <w:rStyle w:val="Hyperlink"/>
            <w:lang w:val="fr-CH"/>
          </w:rPr>
          <w:t>https://twitter.com/NtihaboseO/status/1397287186572193793?s=20</w:t>
        </w:r>
      </w:hyperlink>
      <w:r>
        <w:rPr>
          <w:lang w:val="fr-CH"/>
        </w:rPr>
        <w:t xml:space="preserve">, </w:t>
      </w:r>
      <w:hyperlink r:id="rId34" w:history="1">
        <w:r w:rsidRPr="00C21E8E">
          <w:rPr>
            <w:rStyle w:val="Hyperlink"/>
            <w:lang w:val="fr-CH"/>
          </w:rPr>
          <w:t>https://twitter.com/NzomubonaBlaise/status/1397423570935074820?s=20</w:t>
        </w:r>
      </w:hyperlink>
      <w:r>
        <w:rPr>
          <w:lang w:val="fr-CH"/>
        </w:rPr>
        <w:t xml:space="preserve">, </w:t>
      </w:r>
      <w:hyperlink r:id="rId35" w:history="1">
        <w:r w:rsidRPr="00C21E8E">
          <w:rPr>
            <w:rStyle w:val="Hyperlink"/>
            <w:lang w:val="fr-CH"/>
          </w:rPr>
          <w:t>https://twitter.com/NduwimanaClest4/status/1397252961068331021?s=20</w:t>
        </w:r>
      </w:hyperlink>
      <w:r>
        <w:rPr>
          <w:lang w:val="fr-CH"/>
        </w:rPr>
        <w:t xml:space="preserve">, </w:t>
      </w:r>
      <w:hyperlink r:id="rId36" w:history="1">
        <w:r w:rsidRPr="00C21E8E">
          <w:rPr>
            <w:rStyle w:val="Hyperlink"/>
            <w:lang w:val="fr-CH"/>
          </w:rPr>
          <w:t>https://twitter.com/diegirimana/status/1397407571326164992</w:t>
        </w:r>
      </w:hyperlink>
      <w:r>
        <w:rPr>
          <w:lang w:val="fr-CH"/>
        </w:rPr>
        <w:t xml:space="preserve">, </w:t>
      </w:r>
      <w:hyperlink r:id="rId37" w:history="1">
        <w:r w:rsidRPr="00B473EB">
          <w:rPr>
            <w:rStyle w:val="Hyperlink"/>
            <w:lang w:val="fr-CH"/>
          </w:rPr>
          <w:t>https://twitter.com/habona_mariya/status/1397272630793838596</w:t>
        </w:r>
      </w:hyperlink>
      <w:r>
        <w:rPr>
          <w:lang w:val="fr-CH"/>
        </w:rPr>
        <w:t>. Le 22 août 2021, lors de la cérémonie de clôture de la semaine dédiée à la diaspora, le Président Ndayishimiye a vivement critiqué un journaliste burundais en exil qui avait affirmé que la situation du Covid-19 au Burundi était plus grave que ce qui est reconnu par les autorités burundaises. Les propos du Président pouvant même être considérés dans une certaine mesure comme des menaces à l’encontre du journaliste. La Commission dispose d’une copie de l’enregistrement vidéo de cette déclaration.</w:t>
      </w:r>
    </w:p>
  </w:footnote>
  <w:footnote w:id="159">
    <w:p w14:paraId="14A97A19" w14:textId="2400D1FB" w:rsidR="00925C2B" w:rsidRPr="008C6BD8"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TI-371</w:t>
      </w:r>
      <w:r w:rsidRPr="008C6BD8">
        <w:rPr>
          <w:lang w:val="it-IT"/>
        </w:rPr>
        <w:t xml:space="preserve">, </w:t>
      </w:r>
      <w:r w:rsidR="00C364A0">
        <w:rPr>
          <w:lang w:val="it-IT"/>
        </w:rPr>
        <w:t>TI-367</w:t>
      </w:r>
      <w:r w:rsidRPr="008C6BD8">
        <w:rPr>
          <w:lang w:val="it-IT"/>
        </w:rPr>
        <w:t xml:space="preserve">, </w:t>
      </w:r>
      <w:r w:rsidR="0053644E">
        <w:rPr>
          <w:lang w:val="it-IT"/>
        </w:rPr>
        <w:t>TI-378</w:t>
      </w:r>
      <w:r w:rsidRPr="008C6BD8">
        <w:rPr>
          <w:lang w:val="it-IT"/>
        </w:rPr>
        <w:t>, TI-344.</w:t>
      </w:r>
    </w:p>
  </w:footnote>
  <w:footnote w:id="160">
    <w:p w14:paraId="44BDD737" w14:textId="77777777" w:rsidR="00925C2B" w:rsidRPr="008C6BD8" w:rsidRDefault="00925C2B" w:rsidP="00617673">
      <w:pPr>
        <w:pStyle w:val="FootnoteText"/>
        <w:rPr>
          <w:lang w:val="it-IT"/>
        </w:rPr>
      </w:pPr>
      <w:r>
        <w:rPr>
          <w:lang w:val="it-IT"/>
        </w:rPr>
        <w:tab/>
      </w:r>
      <w:r>
        <w:rPr>
          <w:rStyle w:val="FootnoteReference"/>
        </w:rPr>
        <w:footnoteRef/>
      </w:r>
      <w:r>
        <w:rPr>
          <w:lang w:val="it-IT"/>
        </w:rPr>
        <w:tab/>
      </w:r>
      <w:r w:rsidRPr="008C6BD8">
        <w:rPr>
          <w:lang w:val="it-IT"/>
        </w:rPr>
        <w:t>https://www.iwacu-burundi.org/securite-retour-de-rutegama/.</w:t>
      </w:r>
    </w:p>
  </w:footnote>
  <w:footnote w:id="161">
    <w:p w14:paraId="41F6336B" w14:textId="4460757F" w:rsidR="00925C2B" w:rsidRPr="00014C48" w:rsidRDefault="00925C2B" w:rsidP="00617673">
      <w:pPr>
        <w:pStyle w:val="FootnoteText"/>
        <w:rPr>
          <w:lang w:val="fr-CH"/>
        </w:rPr>
      </w:pPr>
      <w:r w:rsidRPr="002C02F1">
        <w:rPr>
          <w:lang w:val="it-IT"/>
        </w:rPr>
        <w:tab/>
      </w:r>
      <w:r>
        <w:rPr>
          <w:rStyle w:val="FootnoteReference"/>
        </w:rPr>
        <w:footnoteRef/>
      </w:r>
      <w:r>
        <w:rPr>
          <w:lang w:val="fr-CH"/>
        </w:rPr>
        <w:tab/>
      </w:r>
      <w:r w:rsidR="0053644E">
        <w:rPr>
          <w:lang w:val="fr-CH"/>
        </w:rPr>
        <w:t>TI-378</w:t>
      </w:r>
      <w:r w:rsidRPr="00014C48">
        <w:rPr>
          <w:lang w:val="fr-CH"/>
        </w:rPr>
        <w:t>.</w:t>
      </w:r>
    </w:p>
  </w:footnote>
  <w:footnote w:id="162">
    <w:p w14:paraId="1D1F72EE" w14:textId="03E40EB3" w:rsidR="00925C2B" w:rsidRPr="00790E59" w:rsidRDefault="00925C2B" w:rsidP="00617673">
      <w:pPr>
        <w:pStyle w:val="FootnoteText"/>
        <w:rPr>
          <w:lang w:val="fr-CH"/>
        </w:rPr>
      </w:pPr>
      <w:r>
        <w:rPr>
          <w:lang w:val="fr-CH"/>
        </w:rPr>
        <w:tab/>
      </w:r>
      <w:r>
        <w:rPr>
          <w:rStyle w:val="FootnoteReference"/>
        </w:rPr>
        <w:footnoteRef/>
      </w:r>
      <w:r>
        <w:rPr>
          <w:lang w:val="fr-CH"/>
        </w:rPr>
        <w:tab/>
      </w:r>
      <w:r w:rsidRPr="00372790">
        <w:rPr>
          <w:lang w:val="fr-CH"/>
        </w:rPr>
        <w:t>Voir par. 215-216 d</w:t>
      </w:r>
      <w:r>
        <w:rPr>
          <w:lang w:val="fr-CH"/>
        </w:rPr>
        <w:t>u</w:t>
      </w:r>
      <w:r w:rsidRPr="00372790">
        <w:rPr>
          <w:lang w:val="fr-CH"/>
        </w:rPr>
        <w:t xml:space="preserve"> présent </w:t>
      </w:r>
      <w:r w:rsidR="00C2496D">
        <w:rPr>
          <w:lang w:val="fr-CH"/>
        </w:rPr>
        <w:t>document</w:t>
      </w:r>
      <w:r w:rsidRPr="00372790">
        <w:rPr>
          <w:lang w:val="fr-CH"/>
        </w:rPr>
        <w:t>.</w:t>
      </w:r>
    </w:p>
  </w:footnote>
  <w:footnote w:id="163">
    <w:p w14:paraId="5A88CCE1" w14:textId="77777777" w:rsidR="00925C2B" w:rsidRPr="000C3AB9" w:rsidRDefault="00925C2B" w:rsidP="00617673">
      <w:pPr>
        <w:pStyle w:val="FootnoteText"/>
        <w:rPr>
          <w:lang w:val="fr-CH"/>
        </w:rPr>
      </w:pPr>
      <w:r>
        <w:rPr>
          <w:lang w:val="fr-CH"/>
        </w:rPr>
        <w:tab/>
      </w:r>
      <w:r>
        <w:rPr>
          <w:rStyle w:val="FootnoteReference"/>
        </w:rPr>
        <w:footnoteRef/>
      </w:r>
      <w:r>
        <w:rPr>
          <w:lang w:val="fr-CH"/>
        </w:rPr>
        <w:tab/>
      </w:r>
      <w:hyperlink r:id="rId38" w:history="1">
        <w:r w:rsidRPr="00060E44">
          <w:rPr>
            <w:rStyle w:val="Hyperlink"/>
            <w:lang w:val="fr-CH"/>
          </w:rPr>
          <w:t>https://rtnb.bi/fr/art.php?idapi=5/1/172</w:t>
        </w:r>
      </w:hyperlink>
      <w:r>
        <w:rPr>
          <w:lang w:val="fr-CH"/>
        </w:rPr>
        <w:t xml:space="preserve">, </w:t>
      </w:r>
      <w:hyperlink r:id="rId39" w:history="1">
        <w:r w:rsidRPr="00060E44">
          <w:rPr>
            <w:rStyle w:val="Hyperlink"/>
            <w:lang w:val="fr-CH"/>
          </w:rPr>
          <w:t>https://rtnb.bi/fr/art.php?idapi=5/1/135</w:t>
        </w:r>
      </w:hyperlink>
      <w:r>
        <w:rPr>
          <w:lang w:val="fr-CH"/>
        </w:rPr>
        <w:t xml:space="preserve">. Voir également la vidéo de propagande réalisée par Willy Nyamitwe, le conseiller en communication du Président Ndayishimie : </w:t>
      </w:r>
      <w:r w:rsidRPr="0051341A">
        <w:rPr>
          <w:lang w:val="fr-CH"/>
        </w:rPr>
        <w:t>https://www.presidence.gov.bi/2021/06/18/evariste-ndayishimiye-un-an-de-dur-labeur-nouvel-elan-dans-la-vision-du-developpement-du-burundi/</w:t>
      </w:r>
      <w:r>
        <w:rPr>
          <w:lang w:val="fr-CH"/>
        </w:rPr>
        <w:t>.</w:t>
      </w:r>
    </w:p>
  </w:footnote>
  <w:footnote w:id="164">
    <w:p w14:paraId="4D28CB53" w14:textId="77777777" w:rsidR="00925C2B" w:rsidRPr="00ED3DBE" w:rsidRDefault="00925C2B" w:rsidP="00617673">
      <w:pPr>
        <w:pStyle w:val="FootnoteText"/>
        <w:rPr>
          <w:lang w:val="fr-CH"/>
        </w:rPr>
      </w:pPr>
      <w:r>
        <w:rPr>
          <w:lang w:val="fr-CH"/>
        </w:rPr>
        <w:tab/>
      </w:r>
      <w:r>
        <w:rPr>
          <w:rStyle w:val="FootnoteReference"/>
        </w:rPr>
        <w:footnoteRef/>
      </w:r>
      <w:r>
        <w:rPr>
          <w:lang w:val="fr-CH"/>
        </w:rPr>
        <w:tab/>
      </w:r>
      <w:r w:rsidRPr="00ED3DBE">
        <w:rPr>
          <w:lang w:val="fr-CH"/>
        </w:rPr>
        <w:t>https://twitter.com/RTNBurundi/status/1409492806557646848?s=20</w:t>
      </w:r>
      <w:r>
        <w:rPr>
          <w:lang w:val="fr-CH"/>
        </w:rPr>
        <w:t>.</w:t>
      </w:r>
    </w:p>
  </w:footnote>
  <w:footnote w:id="165">
    <w:p w14:paraId="310D0519" w14:textId="77777777" w:rsidR="00925C2B" w:rsidRPr="002C272E" w:rsidRDefault="00925C2B" w:rsidP="00617673">
      <w:pPr>
        <w:pStyle w:val="FootnoteText"/>
        <w:rPr>
          <w:lang w:val="fr-CH"/>
        </w:rPr>
      </w:pPr>
      <w:r>
        <w:rPr>
          <w:lang w:val="fr-CH"/>
        </w:rPr>
        <w:tab/>
      </w:r>
      <w:r>
        <w:rPr>
          <w:rStyle w:val="FootnoteReference"/>
        </w:rPr>
        <w:footnoteRef/>
      </w:r>
      <w:r>
        <w:rPr>
          <w:lang w:val="fr-CH"/>
        </w:rPr>
        <w:tab/>
      </w:r>
      <w:hyperlink r:id="rId40" w:history="1">
        <w:r w:rsidRPr="0080177B">
          <w:rPr>
            <w:rStyle w:val="Hyperlink"/>
            <w:lang w:val="fr-CH"/>
          </w:rPr>
          <w:t>https://iwacu.global.ssl.fastly.net/vers-la-revision-de-la-loi-sur-la-presse/</w:t>
        </w:r>
      </w:hyperlink>
      <w:r>
        <w:rPr>
          <w:lang w:val="fr-CH"/>
        </w:rPr>
        <w:t xml:space="preserve">, </w:t>
      </w:r>
      <w:r w:rsidRPr="002C272E">
        <w:rPr>
          <w:lang w:val="fr-CH"/>
        </w:rPr>
        <w:t>https://rtnb.bi/fr/art.php?idapi=5/1/207</w:t>
      </w:r>
      <w:r>
        <w:rPr>
          <w:lang w:val="fr-CH"/>
        </w:rPr>
        <w:t>.</w:t>
      </w:r>
    </w:p>
  </w:footnote>
  <w:footnote w:id="166">
    <w:p w14:paraId="5B8950AB" w14:textId="77777777" w:rsidR="00925C2B" w:rsidRPr="00012213" w:rsidRDefault="00925C2B" w:rsidP="00617673">
      <w:pPr>
        <w:pStyle w:val="FootnoteText"/>
        <w:rPr>
          <w:lang w:val="fr-CH"/>
        </w:rPr>
      </w:pPr>
      <w:r>
        <w:rPr>
          <w:lang w:val="fr-CH"/>
        </w:rPr>
        <w:tab/>
      </w:r>
      <w:r>
        <w:rPr>
          <w:rStyle w:val="FootnoteReference"/>
        </w:rPr>
        <w:footnoteRef/>
      </w:r>
      <w:r>
        <w:rPr>
          <w:lang w:val="fr-CH"/>
        </w:rPr>
        <w:tab/>
        <w:t>Voir A/HRC/45/CRP.1, par. 266-273.</w:t>
      </w:r>
    </w:p>
  </w:footnote>
  <w:footnote w:id="167">
    <w:p w14:paraId="3DE89FFD" w14:textId="77777777" w:rsidR="00925C2B" w:rsidRPr="00983277" w:rsidRDefault="00925C2B" w:rsidP="00617673">
      <w:pPr>
        <w:pStyle w:val="FootnoteText"/>
        <w:rPr>
          <w:lang w:val="fr-CH"/>
        </w:rPr>
      </w:pPr>
      <w:r>
        <w:rPr>
          <w:lang w:val="fr-CH"/>
        </w:rPr>
        <w:tab/>
      </w:r>
      <w:r>
        <w:rPr>
          <w:rStyle w:val="FootnoteReference"/>
        </w:rPr>
        <w:footnoteRef/>
      </w:r>
      <w:r>
        <w:rPr>
          <w:lang w:val="fr-CH"/>
        </w:rPr>
        <w:tab/>
      </w:r>
      <w:r w:rsidRPr="00983277">
        <w:rPr>
          <w:lang w:val="fr-CH"/>
        </w:rPr>
        <w:t>https://www.iwacu-burundi.org/parcem-de-nouveau-operationnelle/</w:t>
      </w:r>
      <w:r>
        <w:rPr>
          <w:lang w:val="fr-CH"/>
        </w:rPr>
        <w:t>.</w:t>
      </w:r>
    </w:p>
  </w:footnote>
  <w:footnote w:id="168">
    <w:p w14:paraId="204E8E05" w14:textId="1CA3AC2C" w:rsidR="00925C2B" w:rsidRPr="00983277" w:rsidRDefault="00925C2B" w:rsidP="00617673">
      <w:pPr>
        <w:pStyle w:val="FootnoteText"/>
        <w:rPr>
          <w:lang w:val="fr-CH"/>
        </w:rPr>
      </w:pPr>
      <w:r>
        <w:rPr>
          <w:lang w:val="fr-CH"/>
        </w:rPr>
        <w:tab/>
      </w:r>
      <w:r>
        <w:rPr>
          <w:rStyle w:val="FootnoteReference"/>
        </w:rPr>
        <w:footnoteRef/>
      </w:r>
      <w:r>
        <w:rPr>
          <w:lang w:val="fr-CH"/>
        </w:rPr>
        <w:tab/>
        <w:t>Voir A/HRC/42/CRP.2, par. 243.</w:t>
      </w:r>
    </w:p>
  </w:footnote>
  <w:footnote w:id="169">
    <w:p w14:paraId="00AB18E2" w14:textId="77777777" w:rsidR="00925C2B" w:rsidRPr="00350758" w:rsidRDefault="00925C2B" w:rsidP="00617673">
      <w:pPr>
        <w:pStyle w:val="FootnoteText"/>
        <w:rPr>
          <w:lang w:val="fr-CH"/>
        </w:rPr>
      </w:pPr>
      <w:r>
        <w:rPr>
          <w:lang w:val="fr-CH"/>
        </w:rPr>
        <w:tab/>
      </w:r>
      <w:r>
        <w:rPr>
          <w:rStyle w:val="FootnoteReference"/>
        </w:rPr>
        <w:footnoteRef/>
      </w:r>
      <w:r>
        <w:rPr>
          <w:lang w:val="fr-CH"/>
        </w:rPr>
        <w:tab/>
      </w:r>
      <w:r w:rsidRPr="00350758">
        <w:rPr>
          <w:lang w:val="fr-CH"/>
        </w:rPr>
        <w:t>https://www.iwacu-burundi.org/parcem-propose-des-prealables-pour-le-redressement-et-la-relance-economique-du-burundi-2/</w:t>
      </w:r>
      <w:r>
        <w:rPr>
          <w:lang w:val="fr-CH"/>
        </w:rPr>
        <w:t>.</w:t>
      </w:r>
    </w:p>
  </w:footnote>
  <w:footnote w:id="170">
    <w:p w14:paraId="3EE63905" w14:textId="77777777" w:rsidR="00925C2B" w:rsidRPr="009116AF" w:rsidRDefault="00925C2B" w:rsidP="00617673">
      <w:pPr>
        <w:pStyle w:val="FootnoteText"/>
        <w:rPr>
          <w:lang w:val="fr-CH"/>
        </w:rPr>
      </w:pPr>
      <w:r>
        <w:rPr>
          <w:lang w:val="fr-CH"/>
        </w:rPr>
        <w:tab/>
      </w:r>
      <w:r>
        <w:rPr>
          <w:rStyle w:val="FootnoteReference"/>
        </w:rPr>
        <w:footnoteRef/>
      </w:r>
      <w:r>
        <w:rPr>
          <w:lang w:val="fr-CH"/>
        </w:rPr>
        <w:tab/>
      </w:r>
      <w:r w:rsidRPr="003148A0">
        <w:rPr>
          <w:lang w:val="fr-CH"/>
        </w:rPr>
        <w:t>https://www.acatfrance.fr/bonne-nouvelle/liberation-du-defenseur-des-droits-humains-nestor-nibitanga-</w:t>
      </w:r>
      <w:r w:rsidRPr="009116AF">
        <w:rPr>
          <w:lang w:val="fr-CH"/>
        </w:rPr>
        <w:t>.</w:t>
      </w:r>
    </w:p>
  </w:footnote>
  <w:footnote w:id="171">
    <w:p w14:paraId="21264106" w14:textId="08F8018A" w:rsidR="00925C2B" w:rsidRPr="00644027" w:rsidRDefault="00925C2B" w:rsidP="00617673">
      <w:pPr>
        <w:pStyle w:val="FootnoteText"/>
        <w:rPr>
          <w:lang w:val="fr-CH"/>
        </w:rPr>
      </w:pPr>
      <w:r>
        <w:rPr>
          <w:lang w:val="fr-CH"/>
        </w:rPr>
        <w:tab/>
      </w:r>
      <w:r>
        <w:rPr>
          <w:rStyle w:val="FootnoteReference"/>
        </w:rPr>
        <w:footnoteRef/>
      </w:r>
      <w:r>
        <w:rPr>
          <w:lang w:val="fr-CH"/>
        </w:rPr>
        <w:tab/>
        <w:t>Voir A/HRC/39/CRP.1, par. 332-333.</w:t>
      </w:r>
    </w:p>
  </w:footnote>
  <w:footnote w:id="172">
    <w:p w14:paraId="539937B4" w14:textId="77777777" w:rsidR="00925C2B" w:rsidRPr="000F50B4" w:rsidRDefault="00925C2B" w:rsidP="00617673">
      <w:pPr>
        <w:pStyle w:val="FootnoteText"/>
        <w:rPr>
          <w:lang w:val="fr-CH"/>
        </w:rPr>
      </w:pPr>
      <w:r>
        <w:rPr>
          <w:lang w:val="fr-CH"/>
        </w:rPr>
        <w:tab/>
      </w:r>
      <w:r>
        <w:rPr>
          <w:rStyle w:val="FootnoteReference"/>
        </w:rPr>
        <w:footnoteRef/>
      </w:r>
      <w:r>
        <w:rPr>
          <w:lang w:val="fr-CH"/>
        </w:rPr>
        <w:tab/>
        <w:t>Voir A/HRC/39/CRP.1, par. 326-328 et A/HRC/42/CRP.2, par. 137-138.</w:t>
      </w:r>
    </w:p>
  </w:footnote>
  <w:footnote w:id="173">
    <w:p w14:paraId="37FADAE5" w14:textId="77777777" w:rsidR="00925C2B" w:rsidRPr="00B91EB0" w:rsidRDefault="00925C2B" w:rsidP="00617673">
      <w:pPr>
        <w:pStyle w:val="FootnoteText"/>
        <w:rPr>
          <w:lang w:val="fr-CH"/>
        </w:rPr>
      </w:pPr>
      <w:r>
        <w:rPr>
          <w:lang w:val="fr-CH"/>
        </w:rPr>
        <w:tab/>
      </w:r>
      <w:r>
        <w:rPr>
          <w:rStyle w:val="FootnoteReference"/>
        </w:rPr>
        <w:footnoteRef/>
      </w:r>
      <w:r>
        <w:rPr>
          <w:lang w:val="fr-CH"/>
        </w:rPr>
        <w:tab/>
      </w:r>
      <w:r w:rsidRPr="00B91EB0">
        <w:rPr>
          <w:lang w:val="fr-CH"/>
        </w:rPr>
        <w:t>https://afrique.lalibre.be/61798/burundi-peine-reduite-de-32-ans-a-un-an-de-prison-pour-un-militant-des-droits-de-lhomme/</w:t>
      </w:r>
      <w:r>
        <w:rPr>
          <w:lang w:val="fr-CH"/>
        </w:rPr>
        <w:t>.</w:t>
      </w:r>
    </w:p>
  </w:footnote>
  <w:footnote w:id="174">
    <w:p w14:paraId="2DAC4940"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hyperlink r:id="rId41" w:history="1">
        <w:r w:rsidRPr="00C703C6">
          <w:rPr>
            <w:rStyle w:val="Hyperlink"/>
            <w:lang w:val="fr-CH"/>
          </w:rPr>
          <w:t>https://twitter.com/BHRI_IDHB/status/1410193885331083268?s=20</w:t>
        </w:r>
      </w:hyperlink>
      <w:r>
        <w:rPr>
          <w:lang w:val="fr-CH"/>
        </w:rPr>
        <w:t xml:space="preserve">, </w:t>
      </w:r>
      <w:hyperlink r:id="rId42" w:history="1">
        <w:r w:rsidRPr="00C703C6">
          <w:rPr>
            <w:rStyle w:val="Hyperlink"/>
            <w:lang w:val="fr-CH"/>
          </w:rPr>
          <w:t>https://twitter.com/BHRI_IDHB/status/1410191721430929408?s=20</w:t>
        </w:r>
      </w:hyperlink>
      <w:r>
        <w:rPr>
          <w:lang w:val="fr-CH"/>
        </w:rPr>
        <w:t xml:space="preserve">, </w:t>
      </w:r>
      <w:hyperlink r:id="rId43" w:history="1">
        <w:r w:rsidRPr="00C703C6">
          <w:rPr>
            <w:rStyle w:val="Hyperlink"/>
            <w:lang w:val="fr-CH"/>
          </w:rPr>
          <w:t>https://twitter.com/LewisMudge/status/1409922952078954498?s=20</w:t>
        </w:r>
      </w:hyperlink>
      <w:r>
        <w:rPr>
          <w:lang w:val="fr-CH"/>
        </w:rPr>
        <w:t xml:space="preserve">, </w:t>
      </w:r>
      <w:hyperlink r:id="rId44" w:history="1">
        <w:r w:rsidRPr="00C703C6">
          <w:rPr>
            <w:rStyle w:val="Hyperlink"/>
            <w:lang w:val="fr-CH"/>
          </w:rPr>
          <w:t>https://twitter.com/LewisMudge/status/1409922957686853633?s=20</w:t>
        </w:r>
      </w:hyperlink>
      <w:r>
        <w:rPr>
          <w:lang w:val="fr-CH"/>
        </w:rPr>
        <w:t xml:space="preserve">, </w:t>
      </w:r>
      <w:hyperlink r:id="rId45" w:history="1">
        <w:r w:rsidRPr="00C703C6">
          <w:rPr>
            <w:rStyle w:val="Hyperlink"/>
            <w:lang w:val="fr-CH"/>
          </w:rPr>
          <w:t>https://twitter.com/MaryLawlorhrds/status/1409887957625053198?s=20</w:t>
        </w:r>
      </w:hyperlink>
      <w:r>
        <w:rPr>
          <w:lang w:val="fr-CH"/>
        </w:rPr>
        <w:t xml:space="preserve">, </w:t>
      </w:r>
      <w:r w:rsidRPr="008A2DAE">
        <w:rPr>
          <w:lang w:val="fr-CH"/>
        </w:rPr>
        <w:t>https://twitter.com/ProtectionInt/status/1410172376491364357?s=20</w:t>
      </w:r>
      <w:r>
        <w:rPr>
          <w:lang w:val="fr-CH"/>
        </w:rPr>
        <w:t>.</w:t>
      </w:r>
    </w:p>
  </w:footnote>
  <w:footnote w:id="175">
    <w:p w14:paraId="4582EFB8"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r w:rsidRPr="003410AC">
        <w:rPr>
          <w:lang w:val="fr-CH"/>
        </w:rPr>
        <w:t>https://twitter.com/CNIDH_Bdi/status/1410142208146214913?s=20</w:t>
      </w:r>
      <w:r>
        <w:rPr>
          <w:lang w:val="fr-CH"/>
        </w:rPr>
        <w:t>.</w:t>
      </w:r>
    </w:p>
  </w:footnote>
  <w:footnote w:id="176">
    <w:p w14:paraId="4B334D05" w14:textId="77777777" w:rsidR="00925C2B" w:rsidRPr="003410AC" w:rsidRDefault="00925C2B" w:rsidP="00617673">
      <w:pPr>
        <w:pStyle w:val="FootnoteText"/>
        <w:rPr>
          <w:lang w:val="fr-CH"/>
        </w:rPr>
      </w:pPr>
      <w:r>
        <w:rPr>
          <w:lang w:val="fr-CH"/>
        </w:rPr>
        <w:tab/>
      </w:r>
      <w:r>
        <w:rPr>
          <w:rStyle w:val="FootnoteReference"/>
        </w:rPr>
        <w:footnoteRef/>
      </w:r>
      <w:r>
        <w:rPr>
          <w:lang w:val="fr-CH"/>
        </w:rPr>
        <w:tab/>
      </w:r>
      <w:r w:rsidRPr="003410AC">
        <w:rPr>
          <w:lang w:val="fr-CH"/>
        </w:rPr>
        <w:t>https://twitter.com/ClaudeBochuEU/status/1410154458307305472?s=20.</w:t>
      </w:r>
    </w:p>
  </w:footnote>
  <w:footnote w:id="177">
    <w:p w14:paraId="0A1E973B" w14:textId="77777777" w:rsidR="00925C2B" w:rsidRPr="00012213" w:rsidRDefault="00925C2B" w:rsidP="00617673">
      <w:pPr>
        <w:pStyle w:val="FootnoteText"/>
        <w:rPr>
          <w:lang w:val="fr-CH"/>
        </w:rPr>
      </w:pPr>
      <w:r>
        <w:rPr>
          <w:lang w:val="fr-CH"/>
        </w:rPr>
        <w:tab/>
      </w:r>
      <w:r>
        <w:rPr>
          <w:rStyle w:val="FootnoteReference"/>
        </w:rPr>
        <w:footnoteRef/>
      </w:r>
      <w:r>
        <w:rPr>
          <w:lang w:val="fr-CH"/>
        </w:rPr>
        <w:tab/>
        <w:t>L</w:t>
      </w:r>
      <w:r w:rsidRPr="00012213">
        <w:rPr>
          <w:lang w:val="fr-CH"/>
        </w:rPr>
        <w:t>e 22 octobre 2020, le Conseil des ministres a adopté un Projet d’ordonnance ministérielle portant harmonisation des rémunérations et les frais de fonctionnement des gestionnaires et personnels des projets financés par les partenaires techniques et financi</w:t>
      </w:r>
      <w:r>
        <w:rPr>
          <w:lang w:val="fr-CH"/>
        </w:rPr>
        <w:t xml:space="preserve">ers (PTFs) </w:t>
      </w:r>
      <w:r w:rsidRPr="00951C49">
        <w:rPr>
          <w:lang w:val="fr-CH"/>
        </w:rPr>
        <w:t>présenté pa</w:t>
      </w:r>
      <w:r>
        <w:rPr>
          <w:lang w:val="fr-CH"/>
        </w:rPr>
        <w:t>r le ministre des Finances, du B</w:t>
      </w:r>
      <w:r w:rsidRPr="00951C49">
        <w:rPr>
          <w:lang w:val="fr-CH"/>
        </w:rPr>
        <w:t xml:space="preserve">udget et de la </w:t>
      </w:r>
      <w:r>
        <w:rPr>
          <w:lang w:val="fr-CH"/>
        </w:rPr>
        <w:t>P</w:t>
      </w:r>
      <w:r w:rsidRPr="00951C49">
        <w:rPr>
          <w:lang w:val="fr-CH"/>
        </w:rPr>
        <w:t>lanification économique</w:t>
      </w:r>
      <w:r>
        <w:rPr>
          <w:lang w:val="fr-CH"/>
        </w:rPr>
        <w:t xml:space="preserve"> : </w:t>
      </w:r>
      <w:r w:rsidRPr="00951C49">
        <w:rPr>
          <w:lang w:val="fr-CH"/>
        </w:rPr>
        <w:t>https://www.presidence.gov.bi/2020/10/25/communique-du-conseil-des-ministres-du-22-octobre-2020/</w:t>
      </w:r>
      <w:r>
        <w:rPr>
          <w:lang w:val="fr-CH"/>
        </w:rPr>
        <w:t>.</w:t>
      </w:r>
    </w:p>
  </w:footnote>
  <w:footnote w:id="178">
    <w:p w14:paraId="529C60D0" w14:textId="77777777" w:rsidR="00925C2B" w:rsidRPr="008706C3" w:rsidRDefault="00925C2B" w:rsidP="00617673">
      <w:pPr>
        <w:pStyle w:val="FootnoteText"/>
        <w:rPr>
          <w:lang w:val="fr-CH"/>
        </w:rPr>
      </w:pPr>
      <w:r>
        <w:rPr>
          <w:lang w:val="fr-CH"/>
        </w:rPr>
        <w:tab/>
      </w:r>
      <w:r>
        <w:rPr>
          <w:rStyle w:val="FootnoteReference"/>
        </w:rPr>
        <w:footnoteRef/>
      </w:r>
      <w:r>
        <w:rPr>
          <w:lang w:val="fr-CH"/>
        </w:rPr>
        <w:tab/>
      </w:r>
      <w:r w:rsidRPr="008706C3">
        <w:rPr>
          <w:lang w:val="fr-CH"/>
        </w:rPr>
        <w:t>https://www.presidence.gov.bi/2020/10/25/communique-du-conseil-des-ministres-du-22-octobre-2020/.</w:t>
      </w:r>
    </w:p>
  </w:footnote>
  <w:footnote w:id="179">
    <w:p w14:paraId="543AF61C" w14:textId="77777777" w:rsidR="00925C2B" w:rsidRPr="008706C3" w:rsidRDefault="00925C2B" w:rsidP="00617673">
      <w:pPr>
        <w:pStyle w:val="FootnoteText"/>
        <w:rPr>
          <w:lang w:val="fr-CH"/>
        </w:rPr>
      </w:pPr>
      <w:r>
        <w:rPr>
          <w:lang w:val="fr-CH"/>
        </w:rPr>
        <w:tab/>
      </w:r>
      <w:r>
        <w:rPr>
          <w:rStyle w:val="FootnoteReference"/>
        </w:rPr>
        <w:footnoteRef/>
      </w:r>
      <w:r>
        <w:rPr>
          <w:lang w:val="fr-CH"/>
        </w:rPr>
        <w:tab/>
      </w:r>
      <w:hyperlink r:id="rId46" w:history="1">
        <w:r w:rsidRPr="008706C3">
          <w:rPr>
            <w:rStyle w:val="Hyperlink"/>
            <w:lang w:val="fr-CH"/>
          </w:rPr>
          <w:t>https://www.presidence.gov.bi/2020/11/26/le-communique-du-conseil-des-ministres-du-25-novembre-2020/</w:t>
        </w:r>
      </w:hyperlink>
      <w:r w:rsidRPr="008706C3">
        <w:rPr>
          <w:rStyle w:val="Hyperlink"/>
          <w:lang w:val="fr-CH"/>
        </w:rPr>
        <w:t>.</w:t>
      </w:r>
    </w:p>
  </w:footnote>
  <w:footnote w:id="180">
    <w:p w14:paraId="7500753F" w14:textId="77777777" w:rsidR="00925C2B" w:rsidRPr="002B1B9A" w:rsidRDefault="00925C2B" w:rsidP="00617673">
      <w:pPr>
        <w:pStyle w:val="FootnoteText"/>
        <w:rPr>
          <w:lang w:val="fr-CH"/>
        </w:rPr>
      </w:pPr>
      <w:r>
        <w:rPr>
          <w:lang w:val="fr-CH"/>
        </w:rPr>
        <w:tab/>
      </w:r>
      <w:r>
        <w:rPr>
          <w:rStyle w:val="FootnoteReference"/>
        </w:rPr>
        <w:footnoteRef/>
      </w:r>
      <w:r>
        <w:rPr>
          <w:lang w:val="fr-CH"/>
        </w:rPr>
        <w:tab/>
        <w:t xml:space="preserve">La COI dispose d’une copie de la lettre. </w:t>
      </w:r>
    </w:p>
  </w:footnote>
  <w:footnote w:id="181">
    <w:p w14:paraId="2D9EF35D" w14:textId="77777777" w:rsidR="00925C2B" w:rsidRPr="00C705B5" w:rsidRDefault="00925C2B" w:rsidP="00617673">
      <w:pPr>
        <w:pStyle w:val="FootnoteText"/>
        <w:rPr>
          <w:lang w:val="fr-CH"/>
        </w:rPr>
      </w:pPr>
      <w:r>
        <w:rPr>
          <w:lang w:val="fr-CH"/>
        </w:rPr>
        <w:tab/>
      </w:r>
      <w:r>
        <w:rPr>
          <w:rStyle w:val="FootnoteReference"/>
        </w:rPr>
        <w:footnoteRef/>
      </w:r>
      <w:r>
        <w:rPr>
          <w:lang w:val="fr-CH"/>
        </w:rPr>
        <w:tab/>
        <w:t>La COI dispose d’une copie de la lettre.</w:t>
      </w:r>
    </w:p>
  </w:footnote>
  <w:footnote w:id="182">
    <w:p w14:paraId="45EB0BD4" w14:textId="77777777" w:rsidR="00925C2B" w:rsidRPr="00A10777" w:rsidRDefault="00925C2B" w:rsidP="00617673">
      <w:pPr>
        <w:pStyle w:val="FootnoteText"/>
        <w:rPr>
          <w:lang w:val="fr-CH"/>
        </w:rPr>
      </w:pPr>
      <w:r>
        <w:rPr>
          <w:lang w:val="fr-CH"/>
        </w:rPr>
        <w:tab/>
      </w:r>
      <w:r>
        <w:rPr>
          <w:rStyle w:val="FootnoteReference"/>
        </w:rPr>
        <w:footnoteRef/>
      </w:r>
      <w:r>
        <w:rPr>
          <w:lang w:val="fr-CH"/>
        </w:rPr>
        <w:tab/>
        <w:t>L’APRODH, qui a été fondée en 2001 par Pierre-Claver Mbonimpa, a été suspendue par le Gouvernement dans le cadre de la répression contre les organisations de défense des droits de l’homme en novembre 2015 et radiée en octobre 2016.</w:t>
      </w:r>
    </w:p>
  </w:footnote>
  <w:footnote w:id="183">
    <w:p w14:paraId="6531A412" w14:textId="77777777" w:rsidR="00925C2B" w:rsidRPr="00A10777" w:rsidRDefault="00925C2B" w:rsidP="00617673">
      <w:pPr>
        <w:pStyle w:val="FootnoteText"/>
        <w:rPr>
          <w:lang w:val="fr-CH"/>
        </w:rPr>
      </w:pPr>
      <w:r>
        <w:rPr>
          <w:lang w:val="fr-CH"/>
        </w:rPr>
        <w:tab/>
      </w:r>
      <w:r>
        <w:rPr>
          <w:rStyle w:val="FootnoteReference"/>
        </w:rPr>
        <w:footnoteRef/>
      </w:r>
      <w:r>
        <w:rPr>
          <w:lang w:val="fr-CH"/>
        </w:rPr>
        <w:tab/>
      </w:r>
      <w:r w:rsidRPr="00A10777">
        <w:rPr>
          <w:lang w:val="fr-CH"/>
        </w:rPr>
        <w:t>https://www.amnesty.org/download/Documents/AFR1645852021FRENCH.pdf</w:t>
      </w:r>
      <w:r>
        <w:rPr>
          <w:lang w:val="fr-CH"/>
        </w:rPr>
        <w:t>.</w:t>
      </w:r>
    </w:p>
  </w:footnote>
  <w:footnote w:id="184">
    <w:p w14:paraId="3C70417F" w14:textId="77777777" w:rsidR="00925C2B" w:rsidRPr="00B40A20" w:rsidRDefault="00925C2B" w:rsidP="00617673">
      <w:pPr>
        <w:pStyle w:val="FootnoteText"/>
        <w:rPr>
          <w:lang w:val="fr-CH"/>
        </w:rPr>
      </w:pPr>
      <w:r>
        <w:rPr>
          <w:lang w:val="fr-CH"/>
        </w:rPr>
        <w:tab/>
      </w:r>
      <w:r>
        <w:rPr>
          <w:rStyle w:val="FootnoteReference"/>
        </w:rPr>
        <w:footnoteRef/>
      </w:r>
      <w:r>
        <w:rPr>
          <w:lang w:val="fr-CH"/>
        </w:rPr>
        <w:tab/>
      </w:r>
      <w:r w:rsidRPr="00B40A20">
        <w:rPr>
          <w:lang w:val="fr-CH"/>
        </w:rPr>
        <w:t>https://twitter.com/nshingamateka/status/1412722117259431938?s=20</w:t>
      </w:r>
      <w:r>
        <w:rPr>
          <w:lang w:val="fr-CH"/>
        </w:rPr>
        <w:t>.</w:t>
      </w:r>
    </w:p>
  </w:footnote>
  <w:footnote w:id="185">
    <w:p w14:paraId="398D81C0" w14:textId="77777777" w:rsidR="00925C2B" w:rsidRPr="00926A39" w:rsidRDefault="00925C2B" w:rsidP="00617673">
      <w:pPr>
        <w:pStyle w:val="FootnoteText"/>
        <w:rPr>
          <w:lang w:val="fr-CH"/>
        </w:rPr>
      </w:pPr>
      <w:r>
        <w:rPr>
          <w:lang w:val="fr-CH"/>
        </w:rPr>
        <w:tab/>
      </w:r>
      <w:r>
        <w:rPr>
          <w:rStyle w:val="FootnoteReference"/>
        </w:rPr>
        <w:footnoteRef/>
      </w:r>
      <w:r>
        <w:rPr>
          <w:lang w:val="fr-CH"/>
        </w:rPr>
        <w:tab/>
      </w:r>
      <w:r>
        <w:rPr>
          <w:lang w:val="fr-CH"/>
        </w:rPr>
        <w:tab/>
      </w:r>
      <w:r w:rsidRPr="00926A39">
        <w:rPr>
          <w:lang w:val="fr-CH"/>
        </w:rPr>
        <w:t>https://twitter.com/NtareHouse/status/1396941363548147712?s=20</w:t>
      </w:r>
      <w:r>
        <w:rPr>
          <w:lang w:val="fr-CH"/>
        </w:rPr>
        <w:t>.</w:t>
      </w:r>
    </w:p>
  </w:footnote>
  <w:footnote w:id="186">
    <w:p w14:paraId="04B769B6" w14:textId="5F14A50B" w:rsidR="00925C2B" w:rsidRPr="003B3749" w:rsidRDefault="00925C2B" w:rsidP="00617673">
      <w:pPr>
        <w:pStyle w:val="FootnoteText"/>
        <w:rPr>
          <w:lang w:val="fr-CH"/>
        </w:rPr>
      </w:pPr>
      <w:r>
        <w:rPr>
          <w:lang w:val="fr-CH"/>
        </w:rPr>
        <w:tab/>
      </w:r>
      <w:r w:rsidRPr="00372790">
        <w:rPr>
          <w:rStyle w:val="FootnoteReference"/>
        </w:rPr>
        <w:footnoteRef/>
      </w:r>
      <w:r>
        <w:rPr>
          <w:lang w:val="fr-CH"/>
        </w:rPr>
        <w:tab/>
      </w:r>
      <w:r w:rsidRPr="00372790">
        <w:rPr>
          <w:lang w:val="fr-CH"/>
        </w:rPr>
        <w:t xml:space="preserve">Voir par. 134-136 du présent </w:t>
      </w:r>
      <w:r w:rsidR="00C2496D">
        <w:rPr>
          <w:lang w:val="fr-CH"/>
        </w:rPr>
        <w:t>document</w:t>
      </w:r>
      <w:r w:rsidRPr="00372790">
        <w:rPr>
          <w:lang w:val="fr-CH"/>
        </w:rPr>
        <w:t>.</w:t>
      </w:r>
    </w:p>
  </w:footnote>
  <w:footnote w:id="187">
    <w:p w14:paraId="0B5F1F1F" w14:textId="1C846235" w:rsidR="00925C2B" w:rsidRPr="004579B9" w:rsidRDefault="00925C2B" w:rsidP="00617673">
      <w:pPr>
        <w:pStyle w:val="FootnoteText"/>
        <w:rPr>
          <w:lang w:val="fr-CH"/>
        </w:rPr>
      </w:pPr>
      <w:r>
        <w:rPr>
          <w:lang w:val="fr-CH"/>
        </w:rPr>
        <w:tab/>
      </w:r>
      <w:r>
        <w:rPr>
          <w:rStyle w:val="FootnoteReference"/>
        </w:rPr>
        <w:footnoteRef/>
      </w:r>
      <w:r>
        <w:rPr>
          <w:lang w:val="fr-CH"/>
        </w:rPr>
        <w:tab/>
        <w:t xml:space="preserve">Voir : </w:t>
      </w:r>
      <w:r w:rsidRPr="004579B9">
        <w:rPr>
          <w:lang w:val="fr-CH"/>
        </w:rPr>
        <w:t>https://www.fidh.org/fr/themes/defenseurs-des-droits-humains/burundi-condamnation-in-absentia-a-une-peine-de-prison-a-perpetuite</w:t>
      </w:r>
      <w:r>
        <w:rPr>
          <w:lang w:val="fr-CH"/>
        </w:rPr>
        <w:t>.</w:t>
      </w:r>
    </w:p>
  </w:footnote>
  <w:footnote w:id="188">
    <w:p w14:paraId="5B399DFC" w14:textId="77777777" w:rsidR="00925C2B" w:rsidRPr="00D070B6" w:rsidRDefault="00925C2B" w:rsidP="00617673">
      <w:pPr>
        <w:pStyle w:val="FootnoteText"/>
        <w:rPr>
          <w:lang w:val="fr-CH"/>
        </w:rPr>
      </w:pPr>
      <w:r>
        <w:rPr>
          <w:lang w:val="fr-CH"/>
        </w:rPr>
        <w:tab/>
      </w:r>
      <w:r>
        <w:rPr>
          <w:rStyle w:val="FootnoteReference"/>
        </w:rPr>
        <w:footnoteRef/>
      </w:r>
      <w:r>
        <w:rPr>
          <w:lang w:val="fr-CH"/>
        </w:rPr>
        <w:tab/>
      </w:r>
      <w:r>
        <w:rPr>
          <w:lang w:val="fr-CH"/>
        </w:rPr>
        <w:tab/>
      </w:r>
      <w:r w:rsidRPr="00D070B6">
        <w:rPr>
          <w:lang w:val="fr-CH"/>
        </w:rPr>
        <w:t>Voir https://www.jeuneafrique.com/775690/politique/burundi-la-justice-ordonne-la-saisie-des-biens-dopposants-en-exil/</w:t>
      </w:r>
      <w:r>
        <w:rPr>
          <w:lang w:val="fr-CH"/>
        </w:rPr>
        <w:t>.</w:t>
      </w:r>
    </w:p>
  </w:footnote>
  <w:footnote w:id="189">
    <w:p w14:paraId="4C6EAF74" w14:textId="77777777" w:rsidR="00925C2B" w:rsidRPr="00EF513F" w:rsidRDefault="00925C2B" w:rsidP="002B4C3F">
      <w:pPr>
        <w:pStyle w:val="FootnoteText"/>
        <w:rPr>
          <w:lang w:val="fr-CH"/>
        </w:rPr>
      </w:pPr>
      <w:r>
        <w:rPr>
          <w:lang w:val="fr-CH"/>
        </w:rPr>
        <w:tab/>
      </w:r>
      <w:r>
        <w:rPr>
          <w:rStyle w:val="FootnoteReference"/>
        </w:rPr>
        <w:footnoteRef/>
      </w:r>
      <w:r>
        <w:rPr>
          <w:lang w:val="fr-CH"/>
        </w:rPr>
        <w:tab/>
      </w:r>
      <w:hyperlink r:id="rId47" w:history="1">
        <w:r w:rsidRPr="007273B0">
          <w:rPr>
            <w:rStyle w:val="Hyperlink"/>
            <w:lang w:val="fr-CH"/>
          </w:rPr>
          <w:t>https://www.dw.com/fr/burundi-les-biens-de-certains-opposants-vendus-aux-ench%C3%A8res/a-55557825</w:t>
        </w:r>
      </w:hyperlink>
      <w:r>
        <w:rPr>
          <w:lang w:val="fr-CH"/>
        </w:rPr>
        <w:t xml:space="preserve">, </w:t>
      </w:r>
      <w:r w:rsidRPr="00EF513F">
        <w:rPr>
          <w:lang w:val="fr-CH"/>
        </w:rPr>
        <w:t>https://www.jeuneafrique.com/1073755/societe/chronique-burundi-apres-le-putsch-manque-de-2015-la-justice-aux-encheres/</w:t>
      </w:r>
      <w:r>
        <w:rPr>
          <w:lang w:val="fr-CH"/>
        </w:rPr>
        <w:t>.</w:t>
      </w:r>
    </w:p>
  </w:footnote>
  <w:footnote w:id="190">
    <w:p w14:paraId="4D4DC5FD" w14:textId="082FFDC2" w:rsidR="00925C2B" w:rsidRPr="002C02F1" w:rsidRDefault="00925C2B" w:rsidP="00617673">
      <w:pPr>
        <w:pStyle w:val="FootnoteText"/>
        <w:rPr>
          <w:lang w:val="fr-BE"/>
        </w:rPr>
      </w:pPr>
      <w:r>
        <w:rPr>
          <w:lang w:val="fr-CH"/>
        </w:rPr>
        <w:tab/>
      </w:r>
      <w:r>
        <w:rPr>
          <w:rStyle w:val="FootnoteReference"/>
        </w:rPr>
        <w:footnoteRef/>
      </w:r>
      <w:r>
        <w:rPr>
          <w:lang w:val="fr-CH"/>
        </w:rPr>
        <w:tab/>
        <w:t xml:space="preserve">Voir A/HRC/45/CRP.1, par. </w:t>
      </w:r>
      <w:r w:rsidRPr="002C02F1">
        <w:rPr>
          <w:lang w:val="fr-BE"/>
        </w:rPr>
        <w:t>163-244.</w:t>
      </w:r>
    </w:p>
  </w:footnote>
  <w:footnote w:id="191">
    <w:p w14:paraId="3BB15460" w14:textId="77777777" w:rsidR="00925C2B" w:rsidRPr="007C66C5" w:rsidRDefault="00925C2B" w:rsidP="00617673">
      <w:pPr>
        <w:pStyle w:val="FootnoteText"/>
        <w:rPr>
          <w:lang w:val="it-IT"/>
        </w:rPr>
      </w:pPr>
      <w:r w:rsidRPr="002C02F1">
        <w:rPr>
          <w:lang w:val="fr-BE"/>
        </w:rPr>
        <w:tab/>
      </w:r>
      <w:r>
        <w:rPr>
          <w:rStyle w:val="FootnoteReference"/>
        </w:rPr>
        <w:footnoteRef/>
      </w:r>
      <w:r>
        <w:rPr>
          <w:lang w:val="it-IT"/>
        </w:rPr>
        <w:tab/>
      </w:r>
      <w:r w:rsidRPr="007C66C5">
        <w:rPr>
          <w:lang w:val="it-IT"/>
        </w:rPr>
        <w:t>A/HRC/45/CRP.1, par. 198-199.</w:t>
      </w:r>
    </w:p>
  </w:footnote>
  <w:footnote w:id="192">
    <w:p w14:paraId="1CFEBC12" w14:textId="77777777" w:rsidR="00925C2B" w:rsidRPr="007C66C5" w:rsidRDefault="00925C2B" w:rsidP="00617673">
      <w:pPr>
        <w:pStyle w:val="FootnoteText"/>
        <w:rPr>
          <w:lang w:val="it-IT"/>
        </w:rPr>
      </w:pPr>
      <w:r>
        <w:rPr>
          <w:lang w:val="it-IT"/>
        </w:rPr>
        <w:tab/>
      </w:r>
      <w:r w:rsidRPr="00AE6E06">
        <w:rPr>
          <w:rStyle w:val="FootnoteReference"/>
        </w:rPr>
        <w:footnoteRef/>
      </w:r>
      <w:r>
        <w:rPr>
          <w:lang w:val="it-IT"/>
        </w:rPr>
        <w:tab/>
      </w:r>
      <w:r w:rsidRPr="007C66C5">
        <w:rPr>
          <w:lang w:val="it-IT"/>
        </w:rPr>
        <w:t>TI-328, CI-168.</w:t>
      </w:r>
    </w:p>
  </w:footnote>
  <w:footnote w:id="193">
    <w:p w14:paraId="7381C62B" w14:textId="77777777" w:rsidR="00925C2B" w:rsidRPr="007C66C5" w:rsidRDefault="00925C2B" w:rsidP="00617673">
      <w:pPr>
        <w:pStyle w:val="FootnoteText"/>
        <w:rPr>
          <w:lang w:val="it-IT"/>
        </w:rPr>
      </w:pPr>
      <w:r>
        <w:rPr>
          <w:lang w:val="it-IT"/>
        </w:rPr>
        <w:tab/>
      </w:r>
      <w:r w:rsidRPr="00AE6E06">
        <w:rPr>
          <w:rStyle w:val="FootnoteReference"/>
        </w:rPr>
        <w:footnoteRef/>
      </w:r>
      <w:r>
        <w:rPr>
          <w:lang w:val="it-IT"/>
        </w:rPr>
        <w:tab/>
      </w:r>
      <w:r w:rsidRPr="007C66C5">
        <w:rPr>
          <w:lang w:val="it-IT"/>
        </w:rPr>
        <w:t>TI-328, CI-168.</w:t>
      </w:r>
    </w:p>
  </w:footnote>
  <w:footnote w:id="194">
    <w:p w14:paraId="549C5256" w14:textId="77777777" w:rsidR="00925C2B" w:rsidRPr="00086743" w:rsidRDefault="00925C2B" w:rsidP="00617673">
      <w:pPr>
        <w:pStyle w:val="FootnoteText"/>
        <w:rPr>
          <w:lang w:val="fr-CH"/>
        </w:rPr>
      </w:pPr>
      <w:r w:rsidRPr="002C02F1">
        <w:rPr>
          <w:lang w:val="it-IT"/>
        </w:rPr>
        <w:tab/>
      </w:r>
      <w:r>
        <w:rPr>
          <w:rStyle w:val="FootnoteReference"/>
        </w:rPr>
        <w:footnoteRef/>
      </w:r>
      <w:r>
        <w:rPr>
          <w:lang w:val="fr-CH"/>
        </w:rPr>
        <w:tab/>
        <w:t>Voir :</w:t>
      </w:r>
      <w:r w:rsidRPr="00086743">
        <w:rPr>
          <w:lang w:val="fr-CH"/>
        </w:rPr>
        <w:t xml:space="preserve"> https://assemblee.bi/spip.php?article2200</w:t>
      </w:r>
      <w:r>
        <w:rPr>
          <w:lang w:val="fr-CH"/>
        </w:rPr>
        <w:t>.</w:t>
      </w:r>
    </w:p>
  </w:footnote>
  <w:footnote w:id="195">
    <w:p w14:paraId="0C0F8AAE"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HI-081, HI-083, JI-173.</w:t>
      </w:r>
    </w:p>
  </w:footnote>
  <w:footnote w:id="196">
    <w:p w14:paraId="4B47FC18" w14:textId="7E8FAF46" w:rsidR="00925C2B" w:rsidRPr="00C364A0" w:rsidRDefault="00925C2B" w:rsidP="00617673">
      <w:pPr>
        <w:pStyle w:val="FootnoteText"/>
        <w:rPr>
          <w:lang w:val="it-IT"/>
        </w:rPr>
      </w:pPr>
      <w:r w:rsidRPr="002C02F1">
        <w:rPr>
          <w:lang w:val="fr-BE"/>
        </w:rPr>
        <w:tab/>
      </w:r>
      <w:r>
        <w:rPr>
          <w:rStyle w:val="FootnoteReference"/>
        </w:rPr>
        <w:footnoteRef/>
      </w:r>
      <w:r w:rsidRPr="00C364A0">
        <w:rPr>
          <w:lang w:val="it-IT"/>
        </w:rPr>
        <w:tab/>
        <w:t xml:space="preserve">HI-082, HI-085, HI-093, HI-094, </w:t>
      </w:r>
      <w:r w:rsidR="00C364A0" w:rsidRPr="00C364A0">
        <w:rPr>
          <w:lang w:val="it-IT"/>
        </w:rPr>
        <w:t>TI-361</w:t>
      </w:r>
      <w:r w:rsidRPr="00C364A0">
        <w:rPr>
          <w:lang w:val="it-IT"/>
        </w:rPr>
        <w:t>, JI-173, JI-176, JI-178.</w:t>
      </w:r>
    </w:p>
  </w:footnote>
  <w:footnote w:id="197">
    <w:p w14:paraId="239EF81E" w14:textId="77777777" w:rsidR="00925C2B" w:rsidRPr="007C66C5" w:rsidRDefault="00925C2B" w:rsidP="00617673">
      <w:pPr>
        <w:pStyle w:val="FootnoteText"/>
        <w:rPr>
          <w:lang w:val="it-IT"/>
        </w:rPr>
      </w:pPr>
      <w:r w:rsidRPr="00C364A0">
        <w:rPr>
          <w:lang w:val="it-IT"/>
        </w:rPr>
        <w:tab/>
      </w:r>
      <w:r>
        <w:rPr>
          <w:rStyle w:val="FootnoteReference"/>
        </w:rPr>
        <w:footnoteRef/>
      </w:r>
      <w:r>
        <w:rPr>
          <w:lang w:val="it-IT"/>
        </w:rPr>
        <w:tab/>
      </w:r>
      <w:r w:rsidRPr="007C66C5">
        <w:rPr>
          <w:lang w:val="it-IT"/>
        </w:rPr>
        <w:t>HI-094.</w:t>
      </w:r>
    </w:p>
  </w:footnote>
  <w:footnote w:id="198">
    <w:p w14:paraId="24A150BF" w14:textId="77777777" w:rsidR="00925C2B" w:rsidRPr="007C66C5" w:rsidRDefault="00925C2B" w:rsidP="00617673">
      <w:pPr>
        <w:pStyle w:val="FootnoteText"/>
        <w:rPr>
          <w:lang w:val="it-IT"/>
        </w:rPr>
      </w:pPr>
      <w:r>
        <w:rPr>
          <w:lang w:val="it-IT"/>
        </w:rPr>
        <w:tab/>
      </w:r>
      <w:r>
        <w:rPr>
          <w:rStyle w:val="FootnoteReference"/>
        </w:rPr>
        <w:footnoteRef/>
      </w:r>
      <w:r>
        <w:rPr>
          <w:lang w:val="it-IT"/>
        </w:rPr>
        <w:tab/>
      </w:r>
      <w:r w:rsidRPr="007C66C5">
        <w:rPr>
          <w:lang w:val="it-IT"/>
        </w:rPr>
        <w:t>HI-093.</w:t>
      </w:r>
    </w:p>
  </w:footnote>
  <w:footnote w:id="199">
    <w:p w14:paraId="5BA36B8E" w14:textId="626B1D62"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 xml:space="preserve">, </w:t>
      </w:r>
      <w:r w:rsidR="0053644E">
        <w:rPr>
          <w:lang w:val="it-IT"/>
        </w:rPr>
        <w:t>TI-377</w:t>
      </w:r>
      <w:r w:rsidRPr="007C66C5">
        <w:rPr>
          <w:lang w:val="it-IT"/>
        </w:rPr>
        <w:t xml:space="preserve">, </w:t>
      </w:r>
      <w:r w:rsidR="00C364A0">
        <w:rPr>
          <w:lang w:val="it-IT"/>
        </w:rPr>
        <w:t>TI-364</w:t>
      </w:r>
      <w:r w:rsidRPr="007C66C5">
        <w:rPr>
          <w:lang w:val="it-IT"/>
        </w:rPr>
        <w:t xml:space="preserve">, </w:t>
      </w:r>
      <w:r w:rsidR="00C364A0">
        <w:rPr>
          <w:lang w:val="it-IT"/>
        </w:rPr>
        <w:t>TI-369</w:t>
      </w:r>
      <w:r w:rsidRPr="007C66C5">
        <w:rPr>
          <w:lang w:val="it-IT"/>
        </w:rPr>
        <w:t xml:space="preserve">, </w:t>
      </w:r>
      <w:r w:rsidR="0053644E">
        <w:rPr>
          <w:lang w:val="it-IT"/>
        </w:rPr>
        <w:t>TI-380</w:t>
      </w:r>
      <w:r w:rsidRPr="007C66C5">
        <w:rPr>
          <w:lang w:val="it-IT"/>
        </w:rPr>
        <w:t xml:space="preserve">, </w:t>
      </w:r>
      <w:r w:rsidR="0053644E">
        <w:rPr>
          <w:lang w:val="it-IT"/>
        </w:rPr>
        <w:t>TI-381</w:t>
      </w:r>
      <w:r w:rsidRPr="007C66C5">
        <w:rPr>
          <w:lang w:val="it-IT"/>
        </w:rPr>
        <w:t>, TI-329, JI-178.</w:t>
      </w:r>
    </w:p>
  </w:footnote>
  <w:footnote w:id="200">
    <w:p w14:paraId="2761FAF5" w14:textId="77777777" w:rsidR="00925C2B" w:rsidRPr="00D04F11" w:rsidRDefault="00925C2B" w:rsidP="00617673">
      <w:pPr>
        <w:pStyle w:val="FootnoteText"/>
        <w:rPr>
          <w:lang w:val="fr-CH"/>
        </w:rPr>
      </w:pPr>
      <w:r w:rsidRPr="002C02F1">
        <w:rPr>
          <w:lang w:val="it-IT"/>
        </w:rPr>
        <w:tab/>
      </w:r>
      <w:r>
        <w:rPr>
          <w:rStyle w:val="FootnoteReference"/>
        </w:rPr>
        <w:footnoteRef/>
      </w:r>
      <w:r>
        <w:rPr>
          <w:lang w:val="fr-CH"/>
        </w:rPr>
        <w:tab/>
        <w:t xml:space="preserve">JI-173, JI-180. </w:t>
      </w:r>
      <w:r w:rsidRPr="00D04F11">
        <w:rPr>
          <w:lang w:val="fr-CH"/>
        </w:rPr>
        <w:t xml:space="preserve">La </w:t>
      </w:r>
      <w:r>
        <w:rPr>
          <w:lang w:val="fr-CH"/>
        </w:rPr>
        <w:t>C</w:t>
      </w:r>
      <w:r w:rsidRPr="00D04F11">
        <w:rPr>
          <w:lang w:val="fr-CH"/>
        </w:rPr>
        <w:t xml:space="preserve">ommission dispose </w:t>
      </w:r>
      <w:r>
        <w:rPr>
          <w:lang w:val="fr-CH"/>
        </w:rPr>
        <w:t xml:space="preserve">également </w:t>
      </w:r>
      <w:r w:rsidRPr="00D04F11">
        <w:rPr>
          <w:lang w:val="fr-CH"/>
        </w:rPr>
        <w:t>d’une vidéo d’un</w:t>
      </w:r>
      <w:r>
        <w:rPr>
          <w:lang w:val="fr-CH"/>
        </w:rPr>
        <w:t>e</w:t>
      </w:r>
      <w:r w:rsidRPr="00D04F11">
        <w:rPr>
          <w:lang w:val="fr-CH"/>
        </w:rPr>
        <w:t xml:space="preserve"> tel</w:t>
      </w:r>
      <w:r>
        <w:rPr>
          <w:lang w:val="fr-CH"/>
        </w:rPr>
        <w:t>le marche organisée au</w:t>
      </w:r>
      <w:r w:rsidRPr="00D04F11">
        <w:rPr>
          <w:lang w:val="fr-CH"/>
        </w:rPr>
        <w:t xml:space="preserve"> mois de juillet 2021.</w:t>
      </w:r>
    </w:p>
  </w:footnote>
  <w:footnote w:id="201">
    <w:p w14:paraId="74E550B5" w14:textId="1FEBF9CC" w:rsidR="00925C2B" w:rsidRPr="007C66C5"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TI-380</w:t>
      </w:r>
      <w:r w:rsidRPr="007C66C5">
        <w:rPr>
          <w:lang w:val="it-IT"/>
        </w:rPr>
        <w:t>.</w:t>
      </w:r>
    </w:p>
  </w:footnote>
  <w:footnote w:id="202">
    <w:p w14:paraId="1C562971" w14:textId="78BB4A0B"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 xml:space="preserve">, </w:t>
      </w:r>
      <w:r w:rsidR="00C364A0">
        <w:rPr>
          <w:lang w:val="it-IT"/>
        </w:rPr>
        <w:t>TI-364</w:t>
      </w:r>
      <w:r w:rsidRPr="007C66C5">
        <w:rPr>
          <w:lang w:val="it-IT"/>
        </w:rPr>
        <w:t xml:space="preserve">, </w:t>
      </w:r>
      <w:r w:rsidR="00C364A0">
        <w:rPr>
          <w:lang w:val="it-IT"/>
        </w:rPr>
        <w:t>TI-369</w:t>
      </w:r>
      <w:r w:rsidRPr="007C66C5">
        <w:rPr>
          <w:lang w:val="it-IT"/>
        </w:rPr>
        <w:t xml:space="preserve">, </w:t>
      </w:r>
      <w:r w:rsidR="0053644E">
        <w:rPr>
          <w:lang w:val="it-IT"/>
        </w:rPr>
        <w:t>TI-380</w:t>
      </w:r>
      <w:r w:rsidRPr="007C66C5">
        <w:rPr>
          <w:lang w:val="it-IT"/>
        </w:rPr>
        <w:t>, HI-093, JI-178.</w:t>
      </w:r>
    </w:p>
  </w:footnote>
  <w:footnote w:id="203">
    <w:p w14:paraId="308086EE" w14:textId="26E96BC6"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7C66C5">
        <w:rPr>
          <w:lang w:val="it-IT"/>
        </w:rPr>
        <w:t>.</w:t>
      </w:r>
    </w:p>
  </w:footnote>
  <w:footnote w:id="204">
    <w:p w14:paraId="4DC518C0" w14:textId="6CA06522"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TI-369</w:t>
      </w:r>
      <w:r w:rsidRPr="007C66C5">
        <w:rPr>
          <w:lang w:val="it-IT"/>
        </w:rPr>
        <w:t>.</w:t>
      </w:r>
    </w:p>
  </w:footnote>
  <w:footnote w:id="205">
    <w:p w14:paraId="1D5351BF" w14:textId="2F2145C8" w:rsidR="00925C2B" w:rsidRPr="007C66C5"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7C66C5">
        <w:rPr>
          <w:lang w:val="it-IT"/>
        </w:rPr>
        <w:t xml:space="preserve">, </w:t>
      </w:r>
      <w:r w:rsidR="00C364A0">
        <w:rPr>
          <w:lang w:val="it-IT"/>
        </w:rPr>
        <w:t>TI-369</w:t>
      </w:r>
      <w:r w:rsidRPr="007C66C5">
        <w:rPr>
          <w:lang w:val="it-IT"/>
        </w:rPr>
        <w:t>, TI-329.</w:t>
      </w:r>
    </w:p>
  </w:footnote>
  <w:footnote w:id="206">
    <w:p w14:paraId="2073D79E" w14:textId="57881A03" w:rsidR="00925C2B" w:rsidRPr="00005193" w:rsidRDefault="00925C2B" w:rsidP="00617673">
      <w:pPr>
        <w:pStyle w:val="FootnoteText"/>
        <w:rPr>
          <w:lang w:val="it-IT"/>
        </w:rPr>
      </w:pPr>
      <w:r>
        <w:rPr>
          <w:lang w:val="it-IT"/>
        </w:rPr>
        <w:tab/>
      </w:r>
      <w:r>
        <w:rPr>
          <w:rStyle w:val="FootnoteReference"/>
        </w:rPr>
        <w:footnoteRef/>
      </w:r>
      <w:r>
        <w:rPr>
          <w:lang w:val="it-IT"/>
        </w:rPr>
        <w:tab/>
      </w:r>
      <w:r w:rsidRPr="00005193">
        <w:rPr>
          <w:lang w:val="it-IT"/>
        </w:rPr>
        <w:t xml:space="preserve">JI-184, </w:t>
      </w:r>
      <w:r w:rsidR="0053644E">
        <w:rPr>
          <w:lang w:val="it-IT"/>
        </w:rPr>
        <w:t>TI-372</w:t>
      </w:r>
      <w:r>
        <w:rPr>
          <w:lang w:val="it-IT"/>
        </w:rPr>
        <w:t xml:space="preserve">, </w:t>
      </w:r>
      <w:r w:rsidR="00C364A0">
        <w:rPr>
          <w:lang w:val="it-IT"/>
        </w:rPr>
        <w:t>TI-366</w:t>
      </w:r>
      <w:r>
        <w:rPr>
          <w:lang w:val="it-IT"/>
        </w:rPr>
        <w:t xml:space="preserve">, </w:t>
      </w:r>
      <w:r w:rsidR="0053644E">
        <w:rPr>
          <w:lang w:val="it-IT"/>
        </w:rPr>
        <w:t>TI-381</w:t>
      </w:r>
      <w:r>
        <w:rPr>
          <w:lang w:val="it-IT"/>
        </w:rPr>
        <w:t xml:space="preserve">, </w:t>
      </w:r>
      <w:r w:rsidR="0053644E">
        <w:rPr>
          <w:lang w:val="it-IT"/>
        </w:rPr>
        <w:t>TI-383</w:t>
      </w:r>
      <w:r>
        <w:rPr>
          <w:lang w:val="it-IT"/>
        </w:rPr>
        <w:t>.</w:t>
      </w:r>
    </w:p>
  </w:footnote>
  <w:footnote w:id="207">
    <w:p w14:paraId="172389F7" w14:textId="60FC523E" w:rsidR="00925C2B" w:rsidRPr="00F25480" w:rsidRDefault="00925C2B" w:rsidP="00617673">
      <w:pPr>
        <w:pStyle w:val="FootnoteText"/>
        <w:rPr>
          <w:lang w:val="fr-CH"/>
        </w:rPr>
      </w:pPr>
      <w:r>
        <w:rPr>
          <w:lang w:val="it-IT"/>
        </w:rPr>
        <w:tab/>
      </w:r>
      <w:r>
        <w:rPr>
          <w:rStyle w:val="FootnoteReference"/>
        </w:rPr>
        <w:footnoteRef/>
      </w:r>
      <w:r>
        <w:rPr>
          <w:lang w:val="it-IT"/>
        </w:rPr>
        <w:tab/>
      </w:r>
      <w:r w:rsidR="00C364A0">
        <w:rPr>
          <w:lang w:val="it-IT"/>
        </w:rPr>
        <w:t>TI-364</w:t>
      </w:r>
      <w:r w:rsidRPr="00005193">
        <w:rPr>
          <w:lang w:val="it-IT"/>
        </w:rPr>
        <w:t xml:space="preserve">, </w:t>
      </w:r>
      <w:r w:rsidR="0053644E">
        <w:rPr>
          <w:lang w:val="it-IT"/>
        </w:rPr>
        <w:t>TI-380</w:t>
      </w:r>
      <w:r w:rsidRPr="00005193">
        <w:rPr>
          <w:lang w:val="it-IT"/>
        </w:rPr>
        <w:t xml:space="preserve">, TI-347, HI-093, CI-184. </w:t>
      </w:r>
      <w:r>
        <w:rPr>
          <w:lang w:val="fr-CH"/>
        </w:rPr>
        <w:t xml:space="preserve">Voir également : </w:t>
      </w:r>
      <w:r w:rsidRPr="00F25480">
        <w:rPr>
          <w:lang w:val="fr-CH"/>
        </w:rPr>
        <w:t>https://www.iwacu-burundi.org/elie-ngomirakiza-reste-introuvable/</w:t>
      </w:r>
      <w:r>
        <w:rPr>
          <w:lang w:val="fr-CH"/>
        </w:rPr>
        <w:t>.</w:t>
      </w:r>
    </w:p>
  </w:footnote>
  <w:footnote w:id="208">
    <w:p w14:paraId="497079BC" w14:textId="77777777" w:rsidR="00925C2B" w:rsidRPr="00D60647" w:rsidRDefault="00925C2B" w:rsidP="00617673">
      <w:pPr>
        <w:pStyle w:val="FootnoteText"/>
        <w:rPr>
          <w:lang w:val="fr-CH"/>
        </w:rPr>
      </w:pPr>
      <w:r>
        <w:rPr>
          <w:lang w:val="fr-CH"/>
        </w:rPr>
        <w:tab/>
      </w:r>
      <w:r>
        <w:rPr>
          <w:rStyle w:val="FootnoteReference"/>
        </w:rPr>
        <w:footnoteRef/>
      </w:r>
      <w:r>
        <w:rPr>
          <w:lang w:val="fr-CH"/>
        </w:rPr>
        <w:tab/>
      </w:r>
      <w:r w:rsidRPr="00D60647">
        <w:rPr>
          <w:lang w:val="fr-CH"/>
        </w:rPr>
        <w:t>https://www.rfi.fr/fr/podcasts/invit%C3%A9-afrique/20210714-evariste-ndayishimiye-il-est-temps-de-revoir-les-sanctions-europ%C3%A9ennes-contre-le-burundi</w:t>
      </w:r>
      <w:r>
        <w:rPr>
          <w:lang w:val="fr-CH"/>
        </w:rPr>
        <w:t>.</w:t>
      </w:r>
    </w:p>
  </w:footnote>
  <w:footnote w:id="209">
    <w:p w14:paraId="7AFAF331" w14:textId="77777777" w:rsidR="00925C2B" w:rsidRPr="00D60647" w:rsidRDefault="00925C2B" w:rsidP="00617673">
      <w:pPr>
        <w:pStyle w:val="FootnoteText"/>
        <w:rPr>
          <w:lang w:val="fr-CH"/>
        </w:rPr>
      </w:pPr>
      <w:r>
        <w:rPr>
          <w:lang w:val="fr-CH"/>
        </w:rPr>
        <w:tab/>
      </w:r>
      <w:r>
        <w:rPr>
          <w:rStyle w:val="FootnoteReference"/>
        </w:rPr>
        <w:footnoteRef/>
      </w:r>
      <w:r>
        <w:rPr>
          <w:lang w:val="fr-CH"/>
        </w:rPr>
        <w:tab/>
        <w:t>Voir la copie de sa déclaration en Annexe V.</w:t>
      </w:r>
    </w:p>
  </w:footnote>
  <w:footnote w:id="210">
    <w:p w14:paraId="08508D19" w14:textId="48DA9FDB" w:rsidR="00925C2B" w:rsidRPr="005F3928" w:rsidRDefault="00925C2B" w:rsidP="00617673">
      <w:pPr>
        <w:pStyle w:val="FootnoteText"/>
        <w:rPr>
          <w:lang w:val="fr-CH"/>
        </w:rPr>
      </w:pPr>
      <w:r>
        <w:rPr>
          <w:lang w:val="fr-CH"/>
        </w:rPr>
        <w:tab/>
      </w:r>
      <w:r>
        <w:rPr>
          <w:rStyle w:val="FootnoteReference"/>
        </w:rPr>
        <w:footnoteRef/>
      </w:r>
      <w:r>
        <w:rPr>
          <w:lang w:val="fr-CH"/>
        </w:rPr>
        <w:tab/>
        <w:t xml:space="preserve">« Il </w:t>
      </w:r>
      <w:r w:rsidRPr="005F3928">
        <w:rPr>
          <w:lang w:val="fr-CH"/>
        </w:rPr>
        <w:t>y a un langage qui</w:t>
      </w:r>
      <w:r>
        <w:rPr>
          <w:lang w:val="fr-CH"/>
        </w:rPr>
        <w:t xml:space="preserve"> </w:t>
      </w:r>
      <w:r w:rsidRPr="005F3928">
        <w:rPr>
          <w:lang w:val="fr-CH"/>
        </w:rPr>
        <w:t>devrait dispara</w:t>
      </w:r>
      <w:r>
        <w:rPr>
          <w:lang w:val="fr-CH"/>
        </w:rPr>
        <w:t>î</w:t>
      </w:r>
      <w:r w:rsidRPr="005F3928">
        <w:rPr>
          <w:lang w:val="fr-CH"/>
        </w:rPr>
        <w:t>tre de la scène politique Burundaise: qu</w:t>
      </w:r>
      <w:r>
        <w:rPr>
          <w:lang w:val="fr-CH"/>
        </w:rPr>
        <w:t>’</w:t>
      </w:r>
      <w:r w:rsidRPr="005F3928">
        <w:rPr>
          <w:lang w:val="fr-CH"/>
        </w:rPr>
        <w:t>est qu</w:t>
      </w:r>
      <w:r>
        <w:rPr>
          <w:lang w:val="fr-CH"/>
        </w:rPr>
        <w:t>’</w:t>
      </w:r>
      <w:r w:rsidRPr="005F3928">
        <w:rPr>
          <w:lang w:val="fr-CH"/>
        </w:rPr>
        <w:t>un</w:t>
      </w:r>
      <w:r>
        <w:rPr>
          <w:lang w:val="fr-CH"/>
        </w:rPr>
        <w:t xml:space="preserve"> </w:t>
      </w:r>
      <w:r w:rsidRPr="005F3928">
        <w:rPr>
          <w:lang w:val="fr-CH"/>
        </w:rPr>
        <w:t>parti politique qui ne parle pas le même langage avec le</w:t>
      </w:r>
      <w:r>
        <w:rPr>
          <w:lang w:val="fr-CH"/>
        </w:rPr>
        <w:t xml:space="preserve"> </w:t>
      </w:r>
      <w:r w:rsidRPr="005F3928">
        <w:rPr>
          <w:lang w:val="fr-CH"/>
        </w:rPr>
        <w:t>Gouvernement? Si on n</w:t>
      </w:r>
      <w:r>
        <w:rPr>
          <w:lang w:val="fr-CH"/>
        </w:rPr>
        <w:t>’</w:t>
      </w:r>
      <w:r w:rsidRPr="005F3928">
        <w:rPr>
          <w:lang w:val="fr-CH"/>
        </w:rPr>
        <w:t>a pas le même langage avec un</w:t>
      </w:r>
      <w:r>
        <w:rPr>
          <w:lang w:val="fr-CH"/>
        </w:rPr>
        <w:t xml:space="preserve"> </w:t>
      </w:r>
      <w:r w:rsidRPr="005F3928">
        <w:rPr>
          <w:lang w:val="fr-CH"/>
        </w:rPr>
        <w:t>Gouvernement élu, de quel autre Gouvernement se revendique-ton?</w:t>
      </w:r>
      <w:r>
        <w:rPr>
          <w:lang w:val="fr-CH"/>
        </w:rPr>
        <w:t xml:space="preserve"> », </w:t>
      </w:r>
      <w:r w:rsidRPr="005F3928">
        <w:rPr>
          <w:lang w:val="fr-CH"/>
        </w:rPr>
        <w:t>https://www.presidence.gov.bi/2020/06/19/discours-de-son-excellence-general-major-evariste-ndayishimiye-a-loccasion-de-son-investiture/</w:t>
      </w:r>
      <w:r>
        <w:rPr>
          <w:lang w:val="fr-CH"/>
        </w:rPr>
        <w:t>.</w:t>
      </w:r>
    </w:p>
  </w:footnote>
  <w:footnote w:id="211">
    <w:p w14:paraId="1541B9F2" w14:textId="77777777" w:rsidR="00925C2B" w:rsidRPr="004F0EA1" w:rsidRDefault="00925C2B" w:rsidP="00617673">
      <w:pPr>
        <w:pStyle w:val="FootnoteText"/>
        <w:rPr>
          <w:lang w:val="fr-CH"/>
        </w:rPr>
      </w:pPr>
      <w:r>
        <w:rPr>
          <w:lang w:val="fr-CH"/>
        </w:rPr>
        <w:tab/>
      </w:r>
      <w:r>
        <w:rPr>
          <w:rStyle w:val="FootnoteReference"/>
        </w:rPr>
        <w:footnoteRef/>
      </w:r>
      <w:r>
        <w:rPr>
          <w:lang w:val="fr-CH"/>
        </w:rPr>
        <w:tab/>
      </w:r>
      <w:r w:rsidRPr="004F0EA1">
        <w:rPr>
          <w:lang w:val="fr-CH"/>
        </w:rPr>
        <w:t>https://www.presidence.gov.bi/2021/06/08/discours-prononce-par-son-excellence-evariste-ndayishimiye-a-loccasion-de-la-levee-de-deuil-definitif-de-feu-pierre-nkurunziza-et-de-la-celebration-de-la-journee-nationale-du-patriotisme/</w:t>
      </w:r>
      <w:r>
        <w:rPr>
          <w:lang w:val="fr-CH"/>
        </w:rPr>
        <w:t>.</w:t>
      </w:r>
    </w:p>
  </w:footnote>
  <w:footnote w:id="212">
    <w:p w14:paraId="158745CB" w14:textId="77777777" w:rsidR="00925C2B" w:rsidRPr="0065524A" w:rsidRDefault="00925C2B" w:rsidP="00617673">
      <w:pPr>
        <w:pStyle w:val="FootnoteText"/>
        <w:rPr>
          <w:lang w:val="fr-CH"/>
        </w:rPr>
      </w:pPr>
      <w:r>
        <w:rPr>
          <w:lang w:val="fr-CH"/>
        </w:rPr>
        <w:tab/>
      </w:r>
      <w:r>
        <w:rPr>
          <w:rStyle w:val="FootnoteReference"/>
        </w:rPr>
        <w:footnoteRef/>
      </w:r>
      <w:r>
        <w:rPr>
          <w:lang w:val="fr-CH"/>
        </w:rPr>
        <w:tab/>
        <w:t>Message original en Kirundi : « […]</w:t>
      </w:r>
      <w:r w:rsidRPr="0065524A">
        <w:rPr>
          <w:lang w:val="fr-CH"/>
        </w:rPr>
        <w:t xml:space="preserve"> Aho hambere amatora yaraba imigambwe na yo igaca iryana; abanywanyi bayo bakaguma binubana, aho twovuze ko imigambwe itavuga rumwe hagati yayo, twavuga ahubwo ko hari imigambwe ivuga rumwe na Reta n</w:t>
      </w:r>
      <w:r>
        <w:rPr>
          <w:lang w:val="fr-CH"/>
        </w:rPr>
        <w:t>’</w:t>
      </w:r>
      <w:r w:rsidRPr="0065524A">
        <w:rPr>
          <w:lang w:val="fr-CH"/>
        </w:rPr>
        <w:t>iyindi ijejwe kugwanya Reta. 3/n</w:t>
      </w:r>
      <w:r>
        <w:rPr>
          <w:lang w:val="fr-CH"/>
        </w:rPr>
        <w:t xml:space="preserve"> … </w:t>
      </w:r>
      <w:r w:rsidRPr="0065524A">
        <w:rPr>
          <w:lang w:val="fr-CH"/>
        </w:rPr>
        <w:t>Aho hose kwari ukwibagira ko kugwanya Reta ari ukugwanya igihugu, ariko ababivuga bobo babona ko ari bwo bugabo. Ikindi twabonye kituraba twese ni uko abenshi twirengagiza ivyo dutegerezwa gukorera igihugu haba mu kwubaha abandi, gukomeza umutekano no guteza imbere igihugu. 4/n</w:t>
      </w:r>
      <w:r>
        <w:rPr>
          <w:lang w:val="fr-CH"/>
        </w:rPr>
        <w:t xml:space="preserve"> », </w:t>
      </w:r>
      <w:r w:rsidRPr="0065524A">
        <w:rPr>
          <w:lang w:val="fr-CH"/>
        </w:rPr>
        <w:t>traduction informelle en français réalisée par la Commission.</w:t>
      </w:r>
      <w:r>
        <w:rPr>
          <w:lang w:val="fr-CH"/>
        </w:rPr>
        <w:t xml:space="preserve"> </w:t>
      </w:r>
      <w:hyperlink r:id="rId48" w:history="1">
        <w:r w:rsidRPr="00060E44">
          <w:rPr>
            <w:rStyle w:val="Hyperlink"/>
            <w:lang w:val="fr-CH"/>
          </w:rPr>
          <w:t>https://twitter.com/GeneralNeva/status/1346861129780359169?s=20</w:t>
        </w:r>
      </w:hyperlink>
      <w:r>
        <w:rPr>
          <w:lang w:val="fr-CH"/>
        </w:rPr>
        <w:t xml:space="preserve"> et </w:t>
      </w:r>
      <w:r w:rsidRPr="0065524A">
        <w:rPr>
          <w:lang w:val="fr-CH"/>
        </w:rPr>
        <w:t>https://twitter.com/GeneralNeva/status/1346861797488402432?s=20</w:t>
      </w:r>
      <w:r>
        <w:rPr>
          <w:lang w:val="fr-CH"/>
        </w:rPr>
        <w:t>.</w:t>
      </w:r>
    </w:p>
  </w:footnote>
  <w:footnote w:id="213">
    <w:p w14:paraId="018D3E2A" w14:textId="77777777" w:rsidR="00925C2B" w:rsidRPr="00BF09E3" w:rsidRDefault="00925C2B" w:rsidP="00617673">
      <w:pPr>
        <w:pStyle w:val="FootnoteText"/>
        <w:rPr>
          <w:lang w:val="fr-CH"/>
        </w:rPr>
      </w:pPr>
      <w:r>
        <w:rPr>
          <w:lang w:val="fr-CH"/>
        </w:rPr>
        <w:tab/>
      </w:r>
      <w:r>
        <w:rPr>
          <w:rStyle w:val="FootnoteReference"/>
        </w:rPr>
        <w:footnoteRef/>
      </w:r>
      <w:r>
        <w:rPr>
          <w:lang w:val="fr-CH"/>
        </w:rPr>
        <w:tab/>
        <w:t>Message original en Kirundi : « </w:t>
      </w:r>
      <w:r w:rsidRPr="00BF09E3">
        <w:rPr>
          <w:lang w:val="fr-CH"/>
        </w:rPr>
        <w:t>Ikindi ntegera ni uko umugambwe udatsinze utaba upfuye kuko aha mwebwe muri abahanuzi kuko muzi vyinshi muri poritike. Igikuru ni uko abari mu ntwaro y</w:t>
      </w:r>
      <w:r>
        <w:rPr>
          <w:lang w:val="fr-CH"/>
        </w:rPr>
        <w:t>’</w:t>
      </w:r>
      <w:r w:rsidRPr="00BF09E3">
        <w:rPr>
          <w:lang w:val="fr-CH"/>
        </w:rPr>
        <w:t>igihugu boza barabumviriza. Ntimwitwe abatavuga rumwe na Reta ahubwo abakebura Reta kugira dukore ivyipfuzo vy</w:t>
      </w:r>
      <w:r>
        <w:rPr>
          <w:lang w:val="fr-CH"/>
        </w:rPr>
        <w:t>’</w:t>
      </w:r>
      <w:r w:rsidRPr="00BF09E3">
        <w:rPr>
          <w:lang w:val="fr-CH"/>
        </w:rPr>
        <w:t>abenegihugu</w:t>
      </w:r>
      <w:r>
        <w:rPr>
          <w:lang w:val="fr-CH"/>
        </w:rPr>
        <w:t xml:space="preserve"> 13/… », traduction informelle en français réalisée par la Commission. </w:t>
      </w:r>
      <w:r w:rsidRPr="00C66502">
        <w:rPr>
          <w:lang w:val="fr-CH"/>
        </w:rPr>
        <w:t>https://twitter.com/GeneralNeva/status/1346864174727536640?s=20</w:t>
      </w:r>
      <w:r>
        <w:rPr>
          <w:lang w:val="fr-CH"/>
        </w:rPr>
        <w:t>.</w:t>
      </w:r>
    </w:p>
  </w:footnote>
  <w:footnote w:id="214">
    <w:p w14:paraId="22967454" w14:textId="77777777" w:rsidR="00925C2B" w:rsidRPr="00763F22" w:rsidRDefault="00925C2B" w:rsidP="00617673">
      <w:pPr>
        <w:pStyle w:val="FootnoteText"/>
        <w:rPr>
          <w:lang w:val="fr-CH"/>
        </w:rPr>
      </w:pPr>
      <w:r>
        <w:rPr>
          <w:lang w:val="fr-CH"/>
        </w:rPr>
        <w:tab/>
      </w:r>
      <w:r>
        <w:rPr>
          <w:rStyle w:val="FootnoteReference"/>
        </w:rPr>
        <w:footnoteRef/>
      </w:r>
      <w:r>
        <w:rPr>
          <w:lang w:val="fr-CH"/>
        </w:rPr>
        <w:tab/>
      </w:r>
      <w:r w:rsidRPr="00763F22">
        <w:rPr>
          <w:lang w:val="fr-CH"/>
        </w:rPr>
        <w:t>https://twitter.com/RTNBurundi/status/1428661484222095362?s=20</w:t>
      </w:r>
      <w:r>
        <w:rPr>
          <w:lang w:val="fr-CH"/>
        </w:rPr>
        <w:t>.</w:t>
      </w:r>
    </w:p>
  </w:footnote>
  <w:footnote w:id="215">
    <w:p w14:paraId="00F96E4C" w14:textId="77777777" w:rsidR="00925C2B" w:rsidRPr="00086743" w:rsidRDefault="00925C2B" w:rsidP="00617673">
      <w:pPr>
        <w:pStyle w:val="FootnoteText"/>
        <w:rPr>
          <w:lang w:val="fr-CH"/>
        </w:rPr>
      </w:pPr>
      <w:r>
        <w:rPr>
          <w:lang w:val="fr-CH"/>
        </w:rPr>
        <w:tab/>
      </w:r>
      <w:r>
        <w:rPr>
          <w:rStyle w:val="FootnoteReference"/>
        </w:rPr>
        <w:footnoteRef/>
      </w:r>
      <w:r>
        <w:rPr>
          <w:lang w:val="fr-CH"/>
        </w:rPr>
        <w:tab/>
      </w:r>
      <w:r w:rsidRPr="00086743">
        <w:rPr>
          <w:lang w:val="fr-CH"/>
        </w:rPr>
        <w:t>https://assemblee.bi/spip.php?article2351</w:t>
      </w:r>
      <w:r>
        <w:rPr>
          <w:lang w:val="fr-CH"/>
        </w:rPr>
        <w:t>.</w:t>
      </w:r>
    </w:p>
  </w:footnote>
  <w:footnote w:id="216">
    <w:p w14:paraId="7C0905ED" w14:textId="77777777" w:rsidR="00925C2B" w:rsidRPr="00E06EFA" w:rsidRDefault="00925C2B" w:rsidP="00617673">
      <w:pPr>
        <w:pStyle w:val="FootnoteText"/>
        <w:rPr>
          <w:lang w:val="fr-CH"/>
        </w:rPr>
      </w:pPr>
      <w:r>
        <w:rPr>
          <w:lang w:val="fr-CH"/>
        </w:rPr>
        <w:tab/>
      </w:r>
      <w:r>
        <w:rPr>
          <w:rStyle w:val="FootnoteReference"/>
        </w:rPr>
        <w:footnoteRef/>
      </w:r>
      <w:r>
        <w:rPr>
          <w:lang w:val="fr-CH"/>
        </w:rPr>
        <w:tab/>
        <w:t xml:space="preserve">La transcription des échanges – vérifiés par la Commission - disponibles sur : </w:t>
      </w:r>
      <w:r w:rsidRPr="00E06EFA">
        <w:rPr>
          <w:lang w:val="fr-CH"/>
        </w:rPr>
        <w:t>https://twitter.com/iburundi/status/1398749696701698049?s=20</w:t>
      </w:r>
      <w:r>
        <w:rPr>
          <w:lang w:val="fr-CH"/>
        </w:rPr>
        <w:t>.</w:t>
      </w:r>
    </w:p>
  </w:footnote>
  <w:footnote w:id="217">
    <w:p w14:paraId="01355305" w14:textId="77777777" w:rsidR="00925C2B" w:rsidRPr="0064693A" w:rsidRDefault="00925C2B" w:rsidP="00617673">
      <w:pPr>
        <w:pStyle w:val="FootnoteText"/>
        <w:rPr>
          <w:lang w:val="fr-CH"/>
        </w:rPr>
      </w:pPr>
      <w:r>
        <w:rPr>
          <w:lang w:val="fr-CH"/>
        </w:rPr>
        <w:tab/>
      </w:r>
      <w:r>
        <w:rPr>
          <w:rStyle w:val="FootnoteReference"/>
        </w:rPr>
        <w:footnoteRef/>
      </w:r>
      <w:r>
        <w:rPr>
          <w:lang w:val="fr-CH"/>
        </w:rPr>
        <w:tab/>
        <w:t>Les prochaines élections locales auront lieu en 2025 et la prochaine élection présidentielle en 2027.</w:t>
      </w:r>
    </w:p>
  </w:footnote>
  <w:footnote w:id="218">
    <w:p w14:paraId="75BE9C16" w14:textId="11F026DC" w:rsidR="00925C2B" w:rsidRPr="00005193" w:rsidRDefault="00925C2B" w:rsidP="00617673">
      <w:pPr>
        <w:pStyle w:val="FootnoteText"/>
        <w:rPr>
          <w:lang w:val="it-IT"/>
        </w:rPr>
      </w:pPr>
      <w:r w:rsidRPr="002C02F1">
        <w:rPr>
          <w:lang w:val="fr-BE"/>
        </w:rPr>
        <w:tab/>
      </w:r>
      <w:r>
        <w:rPr>
          <w:rStyle w:val="FootnoteReference"/>
        </w:rPr>
        <w:footnoteRef/>
      </w:r>
      <w:r>
        <w:rPr>
          <w:lang w:val="it-IT"/>
        </w:rPr>
        <w:tab/>
      </w:r>
      <w:r w:rsidRPr="00005193">
        <w:rPr>
          <w:lang w:val="it-IT"/>
        </w:rPr>
        <w:t xml:space="preserve">JI-184, CI-164, CI-175, </w:t>
      </w:r>
      <w:r w:rsidR="00C364A0">
        <w:rPr>
          <w:lang w:val="it-IT"/>
        </w:rPr>
        <w:t>TI-361</w:t>
      </w:r>
      <w:r w:rsidRPr="00005193">
        <w:rPr>
          <w:lang w:val="it-IT"/>
        </w:rPr>
        <w:t>.</w:t>
      </w:r>
    </w:p>
  </w:footnote>
  <w:footnote w:id="219">
    <w:p w14:paraId="2C76FDD1" w14:textId="77777777" w:rsidR="00925C2B" w:rsidRPr="00005193" w:rsidRDefault="00925C2B" w:rsidP="00617673">
      <w:pPr>
        <w:pStyle w:val="FootnoteText"/>
        <w:rPr>
          <w:lang w:val="it-IT"/>
        </w:rPr>
      </w:pPr>
      <w:r>
        <w:rPr>
          <w:lang w:val="it-IT"/>
        </w:rPr>
        <w:tab/>
      </w:r>
      <w:r>
        <w:rPr>
          <w:rStyle w:val="FootnoteReference"/>
        </w:rPr>
        <w:footnoteRef/>
      </w:r>
      <w:r>
        <w:rPr>
          <w:lang w:val="it-IT"/>
        </w:rPr>
        <w:tab/>
      </w:r>
      <w:r w:rsidRPr="00005193">
        <w:rPr>
          <w:lang w:val="it-IT"/>
        </w:rPr>
        <w:t>HI-090.</w:t>
      </w:r>
    </w:p>
  </w:footnote>
  <w:footnote w:id="220">
    <w:p w14:paraId="6BF409AC" w14:textId="360C83CB" w:rsidR="00925C2B" w:rsidRPr="00E85E7C" w:rsidRDefault="00925C2B" w:rsidP="00617673">
      <w:pPr>
        <w:pStyle w:val="FootnoteText"/>
        <w:rPr>
          <w:lang w:val="fr-CH"/>
        </w:rPr>
      </w:pPr>
      <w:r w:rsidRPr="002C02F1">
        <w:rPr>
          <w:lang w:val="it-IT"/>
        </w:rPr>
        <w:tab/>
      </w:r>
      <w:r>
        <w:rPr>
          <w:rStyle w:val="FootnoteReference"/>
        </w:rPr>
        <w:footnoteRef/>
      </w:r>
      <w:r>
        <w:rPr>
          <w:lang w:val="fr-CH"/>
        </w:rPr>
        <w:tab/>
      </w:r>
      <w:r w:rsidRPr="00372790">
        <w:rPr>
          <w:lang w:val="fr-CH"/>
        </w:rPr>
        <w:t xml:space="preserve">Voir par. 114-121 du présent </w:t>
      </w:r>
      <w:r w:rsidR="00C2496D">
        <w:rPr>
          <w:lang w:val="fr-CH"/>
        </w:rPr>
        <w:t>document</w:t>
      </w:r>
      <w:r w:rsidRPr="00372790">
        <w:rPr>
          <w:lang w:val="fr-CH"/>
        </w:rPr>
        <w:t>.</w:t>
      </w:r>
    </w:p>
  </w:footnote>
  <w:footnote w:id="221">
    <w:p w14:paraId="0C240805" w14:textId="77777777" w:rsidR="00925C2B" w:rsidRPr="00CF5928" w:rsidRDefault="00925C2B" w:rsidP="00617673">
      <w:pPr>
        <w:pStyle w:val="FootnoteText"/>
        <w:rPr>
          <w:lang w:val="fr-CH"/>
        </w:rPr>
      </w:pPr>
      <w:r>
        <w:rPr>
          <w:lang w:val="fr-CH"/>
        </w:rPr>
        <w:tab/>
      </w:r>
      <w:r>
        <w:rPr>
          <w:rStyle w:val="FootnoteReference"/>
        </w:rPr>
        <w:footnoteRef/>
      </w:r>
      <w:r>
        <w:rPr>
          <w:lang w:val="fr-CH"/>
        </w:rPr>
        <w:tab/>
      </w:r>
      <w:r w:rsidRPr="00CF5928">
        <w:rPr>
          <w:lang w:val="fr-CH"/>
        </w:rPr>
        <w:t xml:space="preserve">Voir A/HRC/45/CRP.1, par. </w:t>
      </w:r>
      <w:r>
        <w:rPr>
          <w:lang w:val="fr-CH"/>
        </w:rPr>
        <w:t>441-443.</w:t>
      </w:r>
    </w:p>
  </w:footnote>
  <w:footnote w:id="222">
    <w:p w14:paraId="5D545718" w14:textId="77777777" w:rsidR="00925C2B" w:rsidRDefault="00925C2B" w:rsidP="00617673">
      <w:pPr>
        <w:pStyle w:val="FootnoteText"/>
        <w:ind w:hanging="567"/>
        <w:rPr>
          <w:lang w:val="fr-CH"/>
        </w:rPr>
      </w:pPr>
      <w:r>
        <w:rPr>
          <w:lang w:val="fr-CH"/>
        </w:rPr>
        <w:tab/>
      </w:r>
      <w:r>
        <w:rPr>
          <w:rStyle w:val="FootnoteReference"/>
        </w:rPr>
        <w:footnoteRef/>
      </w:r>
      <w:r>
        <w:rPr>
          <w:lang w:val="fr-CH"/>
        </w:rPr>
        <w:tab/>
        <w:t xml:space="preserve">Voir </w:t>
      </w:r>
      <w:hyperlink r:id="rId49" w:history="1">
        <w:r>
          <w:rPr>
            <w:rStyle w:val="Hyperlink"/>
            <w:lang w:val="fr-CH"/>
          </w:rPr>
          <w:t>https://data2.unhcr.org/en/dataviz/57?sv=13&amp;geo=0</w:t>
        </w:r>
      </w:hyperlink>
      <w:r>
        <w:rPr>
          <w:rStyle w:val="Hyperlink"/>
          <w:lang w:val="fr-CH"/>
        </w:rPr>
        <w:t>.</w:t>
      </w:r>
      <w:r>
        <w:rPr>
          <w:lang w:val="fr-CH"/>
        </w:rPr>
        <w:t xml:space="preserve"> </w:t>
      </w:r>
    </w:p>
  </w:footnote>
  <w:footnote w:id="223">
    <w:p w14:paraId="079E252A" w14:textId="77777777" w:rsidR="00925C2B" w:rsidRDefault="00925C2B" w:rsidP="00617673">
      <w:pPr>
        <w:pStyle w:val="FootnoteText"/>
        <w:rPr>
          <w:lang w:val="fr-CH"/>
        </w:rPr>
      </w:pPr>
      <w:r>
        <w:rPr>
          <w:lang w:val="fr-CH"/>
        </w:rPr>
        <w:tab/>
      </w:r>
      <w:r>
        <w:rPr>
          <w:rStyle w:val="FootnoteReference"/>
        </w:rPr>
        <w:footnoteRef/>
      </w:r>
      <w:r>
        <w:rPr>
          <w:lang w:val="fr-CH"/>
        </w:rPr>
        <w:tab/>
        <w:t>Voir « Voluntary Repatriation of Burundian Refugees », à l’adresse suivante : https://data2.unhcr.org/en/documents/details/87857.</w:t>
      </w:r>
    </w:p>
  </w:footnote>
  <w:footnote w:id="224">
    <w:p w14:paraId="59046FE2" w14:textId="77777777" w:rsidR="00925C2B" w:rsidRDefault="00925C2B" w:rsidP="00617673">
      <w:pPr>
        <w:pStyle w:val="FootnoteText"/>
        <w:ind w:hanging="567"/>
        <w:rPr>
          <w:lang w:val="fr-CH"/>
        </w:rPr>
      </w:pPr>
      <w:r>
        <w:rPr>
          <w:lang w:val="fr-CH"/>
        </w:rPr>
        <w:tab/>
      </w:r>
      <w:r>
        <w:rPr>
          <w:rStyle w:val="FootnoteReference"/>
        </w:rPr>
        <w:footnoteRef/>
      </w:r>
      <w:r>
        <w:rPr>
          <w:lang w:val="fr-CH"/>
        </w:rPr>
        <w:tab/>
        <w:t xml:space="preserve">Voir </w:t>
      </w:r>
      <w:hyperlink r:id="rId50" w:history="1">
        <w:r>
          <w:rPr>
            <w:rStyle w:val="Hyperlink"/>
            <w:lang w:val="fr-CH"/>
          </w:rPr>
          <w:t>https://data2.unhcr.org/en/dataviz/57?sv=13&amp;geo=0</w:t>
        </w:r>
      </w:hyperlink>
      <w:r>
        <w:rPr>
          <w:rStyle w:val="Hyperlink"/>
          <w:lang w:val="fr-CH"/>
        </w:rPr>
        <w:t>.</w:t>
      </w:r>
      <w:r>
        <w:rPr>
          <w:lang w:val="fr-CH"/>
        </w:rPr>
        <w:t xml:space="preserve"> </w:t>
      </w:r>
    </w:p>
  </w:footnote>
  <w:footnote w:id="225">
    <w:p w14:paraId="1A4510B6" w14:textId="77777777" w:rsidR="00925C2B" w:rsidRPr="00AD09CC" w:rsidRDefault="00925C2B" w:rsidP="00617673">
      <w:pPr>
        <w:pStyle w:val="FootnoteText"/>
        <w:rPr>
          <w:lang w:val="fr-CH"/>
        </w:rPr>
      </w:pPr>
      <w:r>
        <w:rPr>
          <w:lang w:val="fr-CH"/>
        </w:rPr>
        <w:tab/>
      </w:r>
      <w:r>
        <w:rPr>
          <w:rStyle w:val="FootnoteReference"/>
        </w:rPr>
        <w:footnoteRef/>
      </w:r>
      <w:r>
        <w:rPr>
          <w:lang w:val="fr-CH"/>
        </w:rPr>
        <w:tab/>
      </w:r>
      <w:r w:rsidRPr="00AD09CC">
        <w:rPr>
          <w:lang w:val="fr-CH"/>
        </w:rPr>
        <w:t>https://www.unhcr.org/fr/news/press/2021/2/602bd01fa/organisations-humanitaires-sollicitent-222-millions-dollars-soutenir-refugies.html</w:t>
      </w:r>
      <w:r>
        <w:rPr>
          <w:lang w:val="fr-CH"/>
        </w:rPr>
        <w:t>.</w:t>
      </w:r>
    </w:p>
  </w:footnote>
  <w:footnote w:id="226">
    <w:p w14:paraId="669EE743" w14:textId="77777777" w:rsidR="00925C2B" w:rsidRPr="00FB73CE" w:rsidRDefault="00925C2B" w:rsidP="00617673">
      <w:pPr>
        <w:pStyle w:val="FootnoteText"/>
        <w:rPr>
          <w:lang w:val="fr-CH"/>
        </w:rPr>
      </w:pPr>
      <w:r>
        <w:rPr>
          <w:lang w:val="fr-CH"/>
        </w:rPr>
        <w:tab/>
      </w:r>
      <w:r>
        <w:rPr>
          <w:rStyle w:val="FootnoteReference"/>
        </w:rPr>
        <w:footnoteRef/>
      </w:r>
      <w:r>
        <w:rPr>
          <w:lang w:val="fr-CH"/>
        </w:rPr>
        <w:tab/>
      </w:r>
      <w:r w:rsidRPr="00FB73CE">
        <w:rPr>
          <w:lang w:val="fr-CH"/>
        </w:rPr>
        <w:t>https://reporting.unhcr.org/sites/default/files/fundingupdates/2021-06-01/Burundi%20Funding%20Update%2001%20June%202021.pdf</w:t>
      </w:r>
      <w:r>
        <w:rPr>
          <w:lang w:val="fr-CH"/>
        </w:rPr>
        <w:t>.</w:t>
      </w:r>
    </w:p>
  </w:footnote>
  <w:footnote w:id="227">
    <w:p w14:paraId="791AEAAD" w14:textId="77777777" w:rsidR="00925C2B" w:rsidRPr="00F90E4B" w:rsidRDefault="00925C2B" w:rsidP="00617673">
      <w:pPr>
        <w:pStyle w:val="FootnoteText"/>
        <w:rPr>
          <w:lang w:val="fr-CH"/>
        </w:rPr>
      </w:pPr>
      <w:r>
        <w:rPr>
          <w:lang w:val="fr-CH"/>
        </w:rPr>
        <w:tab/>
      </w:r>
      <w:r>
        <w:rPr>
          <w:rStyle w:val="FootnoteReference"/>
        </w:rPr>
        <w:footnoteRef/>
      </w:r>
      <w:r>
        <w:rPr>
          <w:lang w:val="fr-CH"/>
        </w:rPr>
        <w:tab/>
        <w:t>Le HCR prévoit de soutenir le retour de 92 </w:t>
      </w:r>
      <w:r w:rsidRPr="00F90E4B">
        <w:rPr>
          <w:lang w:val="fr-CH"/>
        </w:rPr>
        <w:t>950</w:t>
      </w:r>
      <w:r>
        <w:rPr>
          <w:lang w:val="fr-CH"/>
        </w:rPr>
        <w:t xml:space="preserve"> Burundais de</w:t>
      </w:r>
      <w:r w:rsidRPr="00F90E4B">
        <w:rPr>
          <w:lang w:val="fr-CH"/>
        </w:rPr>
        <w:t xml:space="preserve"> la Tanzanie, </w:t>
      </w:r>
      <w:r>
        <w:rPr>
          <w:lang w:val="fr-CH"/>
        </w:rPr>
        <w:t>40 </w:t>
      </w:r>
      <w:r w:rsidRPr="00F90E4B">
        <w:rPr>
          <w:lang w:val="fr-CH"/>
        </w:rPr>
        <w:t>000</w:t>
      </w:r>
      <w:r>
        <w:rPr>
          <w:lang w:val="fr-CH"/>
        </w:rPr>
        <w:t xml:space="preserve"> du</w:t>
      </w:r>
      <w:r w:rsidRPr="00F90E4B">
        <w:rPr>
          <w:lang w:val="fr-CH"/>
        </w:rPr>
        <w:t xml:space="preserve"> Rwanda, </w:t>
      </w:r>
      <w:r>
        <w:rPr>
          <w:lang w:val="fr-CH"/>
        </w:rPr>
        <w:t>6 000 de la RDC</w:t>
      </w:r>
      <w:r w:rsidRPr="00F90E4B">
        <w:rPr>
          <w:lang w:val="fr-CH"/>
        </w:rPr>
        <w:t xml:space="preserve">, </w:t>
      </w:r>
      <w:r>
        <w:rPr>
          <w:lang w:val="fr-CH"/>
        </w:rPr>
        <w:t>2 000 de l’Ouganda</w:t>
      </w:r>
      <w:r w:rsidRPr="00F90E4B">
        <w:rPr>
          <w:lang w:val="fr-CH"/>
        </w:rPr>
        <w:t xml:space="preserve">, </w:t>
      </w:r>
      <w:r>
        <w:rPr>
          <w:lang w:val="fr-CH"/>
        </w:rPr>
        <w:t xml:space="preserve">1 040 du </w:t>
      </w:r>
      <w:r w:rsidRPr="00F90E4B">
        <w:rPr>
          <w:lang w:val="fr-CH"/>
        </w:rPr>
        <w:t xml:space="preserve">Kenya, </w:t>
      </w:r>
      <w:r>
        <w:rPr>
          <w:lang w:val="fr-CH"/>
        </w:rPr>
        <w:t xml:space="preserve">500 de </w:t>
      </w:r>
      <w:r w:rsidRPr="00F90E4B">
        <w:rPr>
          <w:lang w:val="fr-CH"/>
        </w:rPr>
        <w:t>la Namibie,</w:t>
      </w:r>
      <w:r>
        <w:rPr>
          <w:lang w:val="fr-CH"/>
        </w:rPr>
        <w:t xml:space="preserve"> 300 du Malawi</w:t>
      </w:r>
      <w:r w:rsidRPr="00F90E4B">
        <w:rPr>
          <w:lang w:val="fr-CH"/>
        </w:rPr>
        <w:t xml:space="preserve"> et </w:t>
      </w:r>
      <w:r>
        <w:rPr>
          <w:lang w:val="fr-CH"/>
        </w:rPr>
        <w:t xml:space="preserve">100 de la Zambie. Voir : </w:t>
      </w:r>
      <w:r w:rsidRPr="00AD09CC">
        <w:rPr>
          <w:lang w:val="fr-CH"/>
        </w:rPr>
        <w:t>https://data2.unhcr.org/en/documents/details/84929#_ga=2.93908701.1103644651.1614011228-43481261.1613139231.</w:t>
      </w:r>
    </w:p>
  </w:footnote>
  <w:footnote w:id="228">
    <w:p w14:paraId="18A9D9EC" w14:textId="77777777" w:rsidR="00925C2B" w:rsidRPr="00AD09CC" w:rsidRDefault="00925C2B" w:rsidP="00617673">
      <w:pPr>
        <w:pStyle w:val="FootnoteText"/>
        <w:rPr>
          <w:lang w:val="fr-CH"/>
        </w:rPr>
      </w:pPr>
      <w:r>
        <w:rPr>
          <w:lang w:val="fr-CH"/>
        </w:rPr>
        <w:tab/>
      </w:r>
      <w:r>
        <w:rPr>
          <w:rStyle w:val="FootnoteReference"/>
        </w:rPr>
        <w:footnoteRef/>
      </w:r>
      <w:r>
        <w:rPr>
          <w:lang w:val="fr-CH"/>
        </w:rPr>
        <w:tab/>
      </w:r>
      <w:r w:rsidRPr="00AD09CC">
        <w:rPr>
          <w:lang w:val="fr-CH"/>
        </w:rPr>
        <w:t>https://data2.unhcr.org/en/documents/details/84929#_ga=2.93908701.1103644651.1614011228-43481261.1613139231.</w:t>
      </w:r>
    </w:p>
  </w:footnote>
  <w:footnote w:id="229">
    <w:p w14:paraId="4719FBF0" w14:textId="77777777" w:rsidR="00925C2B" w:rsidRPr="00C53BEA" w:rsidRDefault="00925C2B" w:rsidP="00617673">
      <w:pPr>
        <w:pStyle w:val="FootnoteText"/>
        <w:rPr>
          <w:lang w:val="it-IT"/>
        </w:rPr>
      </w:pPr>
      <w:r w:rsidRPr="002C02F1">
        <w:rPr>
          <w:lang w:val="fr-BE"/>
        </w:rPr>
        <w:tab/>
      </w:r>
      <w:r>
        <w:rPr>
          <w:rStyle w:val="FootnoteReference"/>
        </w:rPr>
        <w:footnoteRef/>
      </w:r>
      <w:r>
        <w:rPr>
          <w:lang w:val="it-IT"/>
        </w:rPr>
        <w:tab/>
      </w:r>
      <w:r w:rsidRPr="00C53BEA">
        <w:rPr>
          <w:lang w:val="it-IT"/>
        </w:rPr>
        <w:t>LM-015, CI-175, CI-180, JI-172, JI-174.</w:t>
      </w:r>
    </w:p>
  </w:footnote>
  <w:footnote w:id="230">
    <w:p w14:paraId="4AE311C9" w14:textId="77777777"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t>JI-172.</w:t>
      </w:r>
    </w:p>
  </w:footnote>
  <w:footnote w:id="231">
    <w:p w14:paraId="042E1F92" w14:textId="77777777"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r>
      <w:hyperlink r:id="rId51" w:anchor="_ga=2.93908701.1103644651.1614011228-43481261.1613139231" w:history="1">
        <w:r w:rsidRPr="002C02F1">
          <w:rPr>
            <w:rStyle w:val="Hyperlink"/>
            <w:lang w:val="it-IT"/>
          </w:rPr>
          <w:t>https://data2.unhcr.org/en/documents/details/84929#_ga=2.93908701.1103644651.1614011228-43481261.1613139231</w:t>
        </w:r>
      </w:hyperlink>
      <w:r w:rsidRPr="002C02F1">
        <w:rPr>
          <w:lang w:val="it-IT"/>
        </w:rPr>
        <w:t>, p. 15.</w:t>
      </w:r>
    </w:p>
  </w:footnote>
  <w:footnote w:id="232">
    <w:p w14:paraId="787DC574" w14:textId="77777777" w:rsidR="00925C2B" w:rsidRPr="00800563" w:rsidRDefault="00925C2B" w:rsidP="00617673">
      <w:pPr>
        <w:pStyle w:val="FootnoteText"/>
        <w:rPr>
          <w:lang w:val="fr-CH"/>
        </w:rPr>
      </w:pPr>
      <w:r w:rsidRPr="002C02F1">
        <w:rPr>
          <w:lang w:val="it-IT"/>
        </w:rPr>
        <w:tab/>
      </w:r>
      <w:r>
        <w:rPr>
          <w:rStyle w:val="FootnoteReference"/>
        </w:rPr>
        <w:footnoteRef/>
      </w:r>
      <w:r>
        <w:rPr>
          <w:lang w:val="fr-CH"/>
        </w:rPr>
        <w:tab/>
        <w:t xml:space="preserve">Communiqué de clôture de l’Assemblée plénière de la conférence des Evêques catholiques du Burundi du mois de juin 2021, disponible à : </w:t>
      </w:r>
      <w:r w:rsidRPr="00800563">
        <w:rPr>
          <w:lang w:val="fr-CH"/>
        </w:rPr>
        <w:t>https://www.eglisecatholique.bi/index.php/fr/vie-de-l-eglise1/communiques/communique-de-cloture-de-l-assemblee-pleniere-de-la-conference-des-eveques-catholiques-du-burundi-du-mois-de-juin-2021</w:t>
      </w:r>
      <w:r>
        <w:rPr>
          <w:lang w:val="fr-CH"/>
        </w:rPr>
        <w:t>.</w:t>
      </w:r>
    </w:p>
  </w:footnote>
  <w:footnote w:id="233">
    <w:p w14:paraId="0C0CF3CC" w14:textId="77777777" w:rsidR="00925C2B" w:rsidRPr="00C53BEA" w:rsidRDefault="00925C2B" w:rsidP="00617673">
      <w:pPr>
        <w:pStyle w:val="FootnoteText"/>
        <w:rPr>
          <w:lang w:val="it-IT"/>
        </w:rPr>
      </w:pPr>
      <w:r w:rsidRPr="002C02F1">
        <w:rPr>
          <w:lang w:val="fr-BE"/>
        </w:rPr>
        <w:tab/>
      </w:r>
      <w:r>
        <w:rPr>
          <w:rStyle w:val="FootnoteReference"/>
        </w:rPr>
        <w:footnoteRef/>
      </w:r>
      <w:r>
        <w:rPr>
          <w:lang w:val="it-IT"/>
        </w:rPr>
        <w:tab/>
      </w:r>
      <w:r w:rsidRPr="00FA4436">
        <w:rPr>
          <w:lang w:val="it-IT"/>
        </w:rPr>
        <w:t>JI-</w:t>
      </w:r>
      <w:r w:rsidRPr="00C53BEA">
        <w:rPr>
          <w:lang w:val="it-IT"/>
        </w:rPr>
        <w:t>172, JI-185, TI-337</w:t>
      </w:r>
      <w:r>
        <w:rPr>
          <w:lang w:val="it-IT"/>
        </w:rPr>
        <w:t>.</w:t>
      </w:r>
    </w:p>
  </w:footnote>
  <w:footnote w:id="234">
    <w:p w14:paraId="67F187F0"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JI-185.</w:t>
      </w:r>
    </w:p>
  </w:footnote>
  <w:footnote w:id="235">
    <w:p w14:paraId="37F8F02F" w14:textId="0ECAABF0"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TI-333, TI-356</w:t>
      </w:r>
      <w:r>
        <w:rPr>
          <w:lang w:val="it-IT"/>
        </w:rPr>
        <w:t>.</w:t>
      </w:r>
    </w:p>
  </w:footnote>
  <w:footnote w:id="236">
    <w:p w14:paraId="6423076D"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TI-336, TI-339, TI-340.</w:t>
      </w:r>
    </w:p>
  </w:footnote>
  <w:footnote w:id="237">
    <w:p w14:paraId="2EE0BDF6" w14:textId="77777777" w:rsidR="00925C2B" w:rsidRPr="00C53BEA" w:rsidRDefault="00925C2B" w:rsidP="00617673">
      <w:pPr>
        <w:pStyle w:val="FootnoteText"/>
        <w:rPr>
          <w:lang w:val="it-IT"/>
        </w:rPr>
      </w:pPr>
      <w:r>
        <w:rPr>
          <w:lang w:val="it-IT"/>
        </w:rPr>
        <w:tab/>
      </w:r>
      <w:r>
        <w:rPr>
          <w:rStyle w:val="FootnoteReference"/>
        </w:rPr>
        <w:footnoteRef/>
      </w:r>
      <w:r>
        <w:rPr>
          <w:lang w:val="it-IT"/>
        </w:rPr>
        <w:tab/>
      </w:r>
      <w:r w:rsidRPr="00C53BEA">
        <w:rPr>
          <w:lang w:val="it-IT"/>
        </w:rPr>
        <w:t>TI-356.</w:t>
      </w:r>
    </w:p>
  </w:footnote>
  <w:footnote w:id="238">
    <w:p w14:paraId="7EE44647" w14:textId="77777777" w:rsidR="00925C2B" w:rsidRPr="00C53BEA" w:rsidRDefault="00925C2B" w:rsidP="00617673">
      <w:pPr>
        <w:pStyle w:val="FootnoteText"/>
        <w:rPr>
          <w:lang w:val="it-IT"/>
        </w:rPr>
      </w:pPr>
      <w:r>
        <w:rPr>
          <w:lang w:val="it-IT"/>
        </w:rPr>
        <w:tab/>
      </w:r>
      <w:r>
        <w:rPr>
          <w:rStyle w:val="FootnoteReference"/>
        </w:rPr>
        <w:footnoteRef/>
      </w:r>
      <w:r>
        <w:rPr>
          <w:lang w:val="it-IT"/>
        </w:rPr>
        <w:tab/>
        <w:t>TI-333.</w:t>
      </w:r>
    </w:p>
  </w:footnote>
  <w:footnote w:id="239">
    <w:p w14:paraId="16690FAD" w14:textId="392AB3EA" w:rsidR="00925C2B" w:rsidRPr="002C02F1" w:rsidRDefault="00925C2B" w:rsidP="00617673">
      <w:pPr>
        <w:pStyle w:val="FootnoteText"/>
        <w:rPr>
          <w:lang w:val="fr-BE"/>
        </w:rPr>
      </w:pPr>
      <w:r>
        <w:rPr>
          <w:lang w:val="it-IT"/>
        </w:rPr>
        <w:tab/>
      </w:r>
      <w:r>
        <w:rPr>
          <w:rStyle w:val="FootnoteReference"/>
        </w:rPr>
        <w:footnoteRef/>
      </w:r>
      <w:r w:rsidRPr="002C02F1">
        <w:rPr>
          <w:lang w:val="fr-BE"/>
        </w:rPr>
        <w:tab/>
      </w:r>
      <w:r w:rsidRPr="000C4F8C">
        <w:rPr>
          <w:lang w:val="fr-CH"/>
        </w:rPr>
        <w:t>Bureau de la coordination des affaires humanitaires</w:t>
      </w:r>
      <w:r>
        <w:rPr>
          <w:lang w:val="fr-CH"/>
        </w:rPr>
        <w:t xml:space="preserve"> (OCHA)</w:t>
      </w:r>
      <w:r w:rsidRPr="000C4F8C">
        <w:rPr>
          <w:lang w:val="fr-CH"/>
        </w:rPr>
        <w:t>, « Burundi - Aperçu des besoins humanitaires 2021 </w:t>
      </w:r>
      <w:r>
        <w:rPr>
          <w:lang w:val="fr-CH"/>
        </w:rPr>
        <w:t>», p. 25</w:t>
      </w:r>
      <w:r w:rsidRPr="000C4F8C">
        <w:rPr>
          <w:lang w:val="fr-CH"/>
        </w:rPr>
        <w:t xml:space="preserve">. Disponible à l’adresse suivante : </w:t>
      </w:r>
      <w:hyperlink r:id="rId52" w:history="1">
        <w:r w:rsidRPr="008770B3">
          <w:rPr>
            <w:rStyle w:val="Hyperlink"/>
            <w:lang w:val="fr-CH"/>
          </w:rPr>
          <w:t>https://reliefweb.int/sites/reliefweb.int/files/resources/hno_2021-burundi_v10_.pdf</w:t>
        </w:r>
      </w:hyperlink>
      <w:r>
        <w:rPr>
          <w:lang w:val="fr-CH"/>
        </w:rPr>
        <w:t>, (ci-après : OCHA, Aperçu 2021)</w:t>
      </w:r>
      <w:r w:rsidRPr="002C02F1">
        <w:rPr>
          <w:lang w:val="fr-BE"/>
        </w:rPr>
        <w:t>.</w:t>
      </w:r>
    </w:p>
  </w:footnote>
  <w:footnote w:id="240">
    <w:p w14:paraId="578B1951" w14:textId="77777777" w:rsidR="00925C2B" w:rsidRPr="008C333C" w:rsidRDefault="00925C2B" w:rsidP="00617673">
      <w:pPr>
        <w:pStyle w:val="FootnoteText"/>
        <w:rPr>
          <w:lang w:val="fr-CH"/>
        </w:rPr>
      </w:pPr>
      <w:r>
        <w:rPr>
          <w:lang w:val="fr-CH"/>
        </w:rPr>
        <w:tab/>
      </w:r>
      <w:r>
        <w:rPr>
          <w:rStyle w:val="FootnoteReference"/>
        </w:rPr>
        <w:footnoteRef/>
      </w:r>
      <w:r>
        <w:rPr>
          <w:lang w:val="fr-CH"/>
        </w:rPr>
        <w:tab/>
      </w:r>
      <w:r w:rsidRPr="008C333C">
        <w:rPr>
          <w:lang w:val="fr-CH"/>
        </w:rPr>
        <w:t>OCHA, Aperçu 2021, p. 38.</w:t>
      </w:r>
    </w:p>
  </w:footnote>
  <w:footnote w:id="241">
    <w:p w14:paraId="0E571E7B" w14:textId="77777777" w:rsidR="00925C2B" w:rsidRPr="003107E4" w:rsidRDefault="00925C2B" w:rsidP="00617673">
      <w:pPr>
        <w:pStyle w:val="FootnoteText"/>
        <w:rPr>
          <w:lang w:val="fr-CH"/>
        </w:rPr>
      </w:pPr>
      <w:r>
        <w:rPr>
          <w:lang w:val="fr-CH"/>
        </w:rPr>
        <w:tab/>
      </w:r>
      <w:r>
        <w:rPr>
          <w:rStyle w:val="FootnoteReference"/>
        </w:rPr>
        <w:footnoteRef/>
      </w:r>
      <w:r>
        <w:rPr>
          <w:lang w:val="fr-CH"/>
        </w:rPr>
        <w:tab/>
        <w:t>UNHCR, Monitoring de protection au Burundi, Tendances en matière de réintégration, Mise à jour n°3, Juillet à décembre 2020, p. 3.</w:t>
      </w:r>
    </w:p>
  </w:footnote>
  <w:footnote w:id="242">
    <w:p w14:paraId="3F39174C" w14:textId="77777777" w:rsidR="00925C2B" w:rsidRPr="00DE12F9" w:rsidRDefault="00925C2B" w:rsidP="00617673">
      <w:pPr>
        <w:pStyle w:val="FootnoteText"/>
        <w:rPr>
          <w:lang w:val="fr-CH"/>
        </w:rPr>
      </w:pPr>
      <w:r>
        <w:rPr>
          <w:lang w:val="fr-CH"/>
        </w:rPr>
        <w:tab/>
      </w:r>
      <w:r>
        <w:rPr>
          <w:rStyle w:val="FootnoteReference"/>
        </w:rPr>
        <w:footnoteRef/>
      </w:r>
      <w:r>
        <w:rPr>
          <w:lang w:val="fr-CH"/>
        </w:rPr>
        <w:tab/>
        <w:t>Idem, p. 4 et 7.</w:t>
      </w:r>
    </w:p>
  </w:footnote>
  <w:footnote w:id="243">
    <w:p w14:paraId="0C3F8472" w14:textId="77777777" w:rsidR="00925C2B" w:rsidRPr="00B244C9" w:rsidRDefault="00925C2B" w:rsidP="00617673">
      <w:pPr>
        <w:pStyle w:val="FootnoteText"/>
        <w:rPr>
          <w:lang w:val="fr-CH"/>
        </w:rPr>
      </w:pPr>
      <w:r>
        <w:rPr>
          <w:lang w:val="fr-CH"/>
        </w:rPr>
        <w:tab/>
      </w:r>
      <w:r>
        <w:rPr>
          <w:rStyle w:val="FootnoteReference"/>
        </w:rPr>
        <w:footnoteRef/>
      </w:r>
      <w:r>
        <w:rPr>
          <w:lang w:val="fr-CH"/>
        </w:rPr>
        <w:tab/>
      </w:r>
      <w:r w:rsidRPr="00B244C9">
        <w:rPr>
          <w:lang w:val="fr-CH"/>
        </w:rPr>
        <w:t>Idem p. 12.</w:t>
      </w:r>
    </w:p>
  </w:footnote>
  <w:footnote w:id="244">
    <w:p w14:paraId="7BC8C7FA" w14:textId="77777777" w:rsidR="00925C2B" w:rsidRPr="00012488" w:rsidRDefault="00925C2B" w:rsidP="00617673">
      <w:pPr>
        <w:pStyle w:val="FootnoteText"/>
        <w:rPr>
          <w:lang w:val="fr-CH"/>
        </w:rPr>
      </w:pPr>
      <w:r>
        <w:rPr>
          <w:lang w:val="fr-CH"/>
        </w:rPr>
        <w:tab/>
      </w:r>
      <w:r>
        <w:rPr>
          <w:rStyle w:val="FootnoteReference"/>
        </w:rPr>
        <w:footnoteRef/>
      </w:r>
      <w:r>
        <w:rPr>
          <w:lang w:val="fr-CH"/>
        </w:rPr>
        <w:tab/>
      </w:r>
      <w:hyperlink r:id="rId53" w:anchor="_ga=2.93908701.1103644651.1614011228-43481261.1613139231" w:history="1">
        <w:r w:rsidRPr="00DA1811">
          <w:rPr>
            <w:rStyle w:val="Hyperlink"/>
            <w:lang w:val="fr-CH"/>
          </w:rPr>
          <w:t>https://data2.unhcr.org/en/documents/details/84929#_ga=2.93908701.1103644651.1614011228-43481261.1613139231</w:t>
        </w:r>
      </w:hyperlink>
      <w:r>
        <w:rPr>
          <w:lang w:val="fr-CH"/>
        </w:rPr>
        <w:t>, p. 13.</w:t>
      </w:r>
    </w:p>
  </w:footnote>
  <w:footnote w:id="245">
    <w:p w14:paraId="60ACB55C" w14:textId="77777777" w:rsidR="00925C2B" w:rsidRPr="00012488" w:rsidRDefault="00925C2B" w:rsidP="00617673">
      <w:pPr>
        <w:pStyle w:val="FootnoteText"/>
        <w:rPr>
          <w:lang w:val="fr-CH"/>
        </w:rPr>
      </w:pPr>
      <w:r>
        <w:rPr>
          <w:lang w:val="fr-CH"/>
        </w:rPr>
        <w:tab/>
      </w:r>
      <w:r>
        <w:rPr>
          <w:rStyle w:val="FootnoteReference"/>
        </w:rPr>
        <w:footnoteRef/>
      </w:r>
      <w:r>
        <w:rPr>
          <w:lang w:val="fr-CH"/>
        </w:rPr>
        <w:tab/>
      </w:r>
      <w:hyperlink r:id="rId54" w:anchor="_ga=2.93908701.1103644651.1614011228-43481261.1613139231" w:history="1">
        <w:r w:rsidRPr="00DA1811">
          <w:rPr>
            <w:rStyle w:val="Hyperlink"/>
            <w:lang w:val="fr-CH"/>
          </w:rPr>
          <w:t>https://data2.unhcr.org/en/documents/details/84929#_ga=2.93908701.1103644651.1614011228-43481261.1613139231</w:t>
        </w:r>
      </w:hyperlink>
      <w:r>
        <w:rPr>
          <w:lang w:val="fr-CH"/>
        </w:rPr>
        <w:t>, p. 13.</w:t>
      </w:r>
    </w:p>
  </w:footnote>
  <w:footnote w:id="246">
    <w:p w14:paraId="5CB667DB" w14:textId="77777777" w:rsidR="00925C2B" w:rsidRPr="00BF5901" w:rsidRDefault="00925C2B" w:rsidP="00617673">
      <w:pPr>
        <w:pStyle w:val="FootnoteText"/>
        <w:rPr>
          <w:lang w:val="it-IT"/>
        </w:rPr>
      </w:pPr>
      <w:r w:rsidRPr="002C02F1">
        <w:rPr>
          <w:lang w:val="fr-CH"/>
        </w:rPr>
        <w:tab/>
      </w:r>
      <w:r>
        <w:rPr>
          <w:rStyle w:val="FootnoteReference"/>
        </w:rPr>
        <w:footnoteRef/>
      </w:r>
      <w:r>
        <w:rPr>
          <w:lang w:val="it-IT"/>
        </w:rPr>
        <w:tab/>
      </w:r>
      <w:r w:rsidRPr="00BF5901">
        <w:rPr>
          <w:lang w:val="it-IT"/>
        </w:rPr>
        <w:t>CI-150, CI-151, CI-169, HI-078, TI-326, TI-333, TI-335, TI-337, TI-339, TI-340.</w:t>
      </w:r>
    </w:p>
  </w:footnote>
  <w:footnote w:id="247">
    <w:p w14:paraId="5CBB29CD" w14:textId="77777777" w:rsidR="00925C2B" w:rsidRPr="002C02F1" w:rsidRDefault="00925C2B" w:rsidP="00617673">
      <w:pPr>
        <w:pStyle w:val="FootnoteText"/>
        <w:rPr>
          <w:lang w:val="fr-BE"/>
        </w:rPr>
      </w:pPr>
      <w:r>
        <w:rPr>
          <w:lang w:val="it-IT"/>
        </w:rPr>
        <w:tab/>
      </w:r>
      <w:r>
        <w:rPr>
          <w:rStyle w:val="FootnoteReference"/>
        </w:rPr>
        <w:footnoteRef/>
      </w:r>
      <w:r w:rsidRPr="002C02F1">
        <w:rPr>
          <w:lang w:val="fr-BE"/>
        </w:rPr>
        <w:tab/>
        <w:t>OCHA, Aperçu 2021, p. 74.</w:t>
      </w:r>
    </w:p>
  </w:footnote>
  <w:footnote w:id="248">
    <w:p w14:paraId="133F973C"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76.</w:t>
      </w:r>
    </w:p>
  </w:footnote>
  <w:footnote w:id="249">
    <w:p w14:paraId="099992A5"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93.</w:t>
      </w:r>
    </w:p>
  </w:footnote>
  <w:footnote w:id="250">
    <w:p w14:paraId="639B801B" w14:textId="77777777" w:rsidR="00925C2B" w:rsidRPr="004C1A7B" w:rsidRDefault="00925C2B" w:rsidP="00617673">
      <w:pPr>
        <w:pStyle w:val="FootnoteText"/>
        <w:rPr>
          <w:lang w:val="fr-CH"/>
        </w:rPr>
      </w:pPr>
      <w:r>
        <w:rPr>
          <w:lang w:val="fr-CH"/>
        </w:rPr>
        <w:tab/>
      </w:r>
      <w:r>
        <w:rPr>
          <w:rStyle w:val="FootnoteReference"/>
        </w:rPr>
        <w:footnoteRef/>
      </w:r>
      <w:r>
        <w:rPr>
          <w:lang w:val="fr-CH"/>
        </w:rPr>
        <w:tab/>
      </w:r>
      <w:r w:rsidRPr="004C1A7B">
        <w:rPr>
          <w:lang w:val="fr-CH"/>
        </w:rPr>
        <w:t>Voir</w:t>
      </w:r>
      <w:r>
        <w:rPr>
          <w:lang w:val="fr-CH"/>
        </w:rPr>
        <w:t xml:space="preserve"> par exemple,</w:t>
      </w:r>
      <w:r w:rsidRPr="004C1A7B">
        <w:rPr>
          <w:lang w:val="fr-CH"/>
        </w:rPr>
        <w:t xml:space="preserve"> article 4 de la Déclaration sur l'élimination de la violence à l'égard des femmes, Résolution 48/104 de l'Assemblée générale du 20 décembre 1993.</w:t>
      </w:r>
    </w:p>
  </w:footnote>
  <w:footnote w:id="251">
    <w:p w14:paraId="5F8E868A"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CI-170.</w:t>
      </w:r>
    </w:p>
  </w:footnote>
  <w:footnote w:id="252">
    <w:p w14:paraId="79CC4A33"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 75.</w:t>
      </w:r>
    </w:p>
  </w:footnote>
  <w:footnote w:id="253">
    <w:p w14:paraId="2D478036"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OCHA, Aperçu 2021, pp. 67-68.</w:t>
      </w:r>
    </w:p>
  </w:footnote>
  <w:footnote w:id="254">
    <w:p w14:paraId="2B0E70DC"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Idem p. 12.</w:t>
      </w:r>
    </w:p>
  </w:footnote>
  <w:footnote w:id="255">
    <w:p w14:paraId="640C6835" w14:textId="77777777" w:rsidR="00925C2B" w:rsidRPr="002C02F1" w:rsidRDefault="00925C2B" w:rsidP="00617673">
      <w:pPr>
        <w:pStyle w:val="FootnoteText"/>
        <w:rPr>
          <w:lang w:val="fr-BE"/>
        </w:rPr>
      </w:pPr>
      <w:r w:rsidRPr="002C02F1">
        <w:rPr>
          <w:lang w:val="fr-BE"/>
        </w:rPr>
        <w:tab/>
      </w:r>
      <w:r>
        <w:rPr>
          <w:rStyle w:val="FootnoteReference"/>
        </w:rPr>
        <w:footnoteRef/>
      </w:r>
      <w:r w:rsidRPr="002C02F1">
        <w:rPr>
          <w:lang w:val="fr-BE"/>
        </w:rPr>
        <w:tab/>
        <w:t>http://hdr.undp.org/en/content/latest-human-development-index-ranking?utm_source=EN&amp;utm_medium=GSR&amp;utm_content=US_UNDP_PaidSearch_Brand_English&amp;utm_campaign=CENTRAL&amp;c_src=CENTRAL&amp;c_src2=GSR&amp;gclid=Cj0KCQjw_dWGBhDAARIsAMcYuJzoY0AWTpjKMsxbSMZ_YvSXiaA-t-k-bsVvZtW5xxaxiwEKRx2fGqsaAkn5EALw_wcB.</w:t>
      </w:r>
    </w:p>
  </w:footnote>
  <w:footnote w:id="256">
    <w:p w14:paraId="4B06B39D" w14:textId="77777777" w:rsidR="00925C2B" w:rsidRPr="009C6993" w:rsidRDefault="00925C2B" w:rsidP="00617673">
      <w:pPr>
        <w:pStyle w:val="FootnoteText"/>
        <w:rPr>
          <w:lang w:val="fr-BE"/>
        </w:rPr>
      </w:pPr>
      <w:r w:rsidRPr="002C02F1">
        <w:rPr>
          <w:lang w:val="fr-BE"/>
        </w:rPr>
        <w:tab/>
      </w:r>
      <w:r>
        <w:rPr>
          <w:rStyle w:val="FootnoteReference"/>
        </w:rPr>
        <w:footnoteRef/>
      </w:r>
      <w:r w:rsidRPr="009C6993">
        <w:rPr>
          <w:lang w:val="fr-BE"/>
        </w:rPr>
        <w:tab/>
        <w:t xml:space="preserve">Banque mondiale: Sub-Saharian Africa Macro Poverty Outlook, </w:t>
      </w:r>
      <w:hyperlink r:id="rId55" w:history="1">
        <w:r w:rsidRPr="009C6993">
          <w:rPr>
            <w:rStyle w:val="Hyperlink"/>
            <w:lang w:val="fr-BE"/>
          </w:rPr>
          <w:t>http://pubdocs.worldbank.org/en/720441492455091991/mpo-ssa.pdf</w:t>
        </w:r>
      </w:hyperlink>
      <w:r w:rsidRPr="009C6993">
        <w:rPr>
          <w:lang w:val="fr-BE"/>
        </w:rPr>
        <w:t>., p. 210.</w:t>
      </w:r>
    </w:p>
  </w:footnote>
  <w:footnote w:id="257">
    <w:p w14:paraId="5B255943" w14:textId="254E8C95" w:rsidR="00925C2B" w:rsidRPr="009C6993" w:rsidRDefault="00925C2B" w:rsidP="00617673">
      <w:pPr>
        <w:pStyle w:val="FootnoteText"/>
        <w:rPr>
          <w:lang w:val="fr-BE"/>
        </w:rPr>
      </w:pPr>
      <w:r w:rsidRPr="009C6993">
        <w:rPr>
          <w:lang w:val="fr-BE"/>
        </w:rPr>
        <w:tab/>
      </w:r>
      <w:r>
        <w:rPr>
          <w:rStyle w:val="FootnoteReference"/>
        </w:rPr>
        <w:footnoteRef/>
      </w:r>
      <w:r w:rsidRPr="009C6993">
        <w:rPr>
          <w:lang w:val="fr-BE"/>
        </w:rPr>
        <w:tab/>
        <w:t>OCHA, Aperçu 2021, p. 14.</w:t>
      </w:r>
    </w:p>
  </w:footnote>
  <w:footnote w:id="258">
    <w:p w14:paraId="42DE4744" w14:textId="77777777" w:rsidR="00925C2B" w:rsidRPr="009C6993" w:rsidRDefault="00925C2B" w:rsidP="00617673">
      <w:pPr>
        <w:pStyle w:val="FootnoteText"/>
        <w:rPr>
          <w:lang w:val="fr-BE"/>
        </w:rPr>
      </w:pPr>
      <w:r w:rsidRPr="009C6993">
        <w:rPr>
          <w:lang w:val="fr-BE"/>
        </w:rPr>
        <w:tab/>
      </w:r>
      <w:r>
        <w:rPr>
          <w:rStyle w:val="FootnoteReference"/>
        </w:rPr>
        <w:footnoteRef/>
      </w:r>
      <w:r w:rsidRPr="009C6993">
        <w:rPr>
          <w:lang w:val="fr-BE"/>
        </w:rPr>
        <w:tab/>
        <w:t xml:space="preserve">Banque mondiale: Sub-Saharian Africa Macro Poverty Outlook, </w:t>
      </w:r>
      <w:hyperlink r:id="rId56" w:history="1">
        <w:r w:rsidRPr="009C6993">
          <w:rPr>
            <w:rStyle w:val="Hyperlink"/>
            <w:lang w:val="fr-BE"/>
          </w:rPr>
          <w:t>http://pubdocs.worldbank.org/en/720441492455091991/mpo-ssa.pdf</w:t>
        </w:r>
      </w:hyperlink>
      <w:r w:rsidRPr="009C6993">
        <w:rPr>
          <w:lang w:val="fr-BE"/>
        </w:rPr>
        <w:t>., p. 211.</w:t>
      </w:r>
    </w:p>
  </w:footnote>
  <w:footnote w:id="259">
    <w:p w14:paraId="6460D311" w14:textId="77777777" w:rsidR="00925C2B" w:rsidRPr="002C02F1" w:rsidRDefault="00925C2B" w:rsidP="00617673">
      <w:pPr>
        <w:pStyle w:val="FootnoteText"/>
        <w:rPr>
          <w:lang w:val="fr-BE"/>
        </w:rPr>
      </w:pPr>
      <w:r w:rsidRPr="009C6993">
        <w:rPr>
          <w:lang w:val="fr-BE"/>
        </w:rPr>
        <w:tab/>
      </w:r>
      <w:r>
        <w:rPr>
          <w:rStyle w:val="FootnoteReference"/>
        </w:rPr>
        <w:footnoteRef/>
      </w:r>
      <w:r w:rsidRPr="002C02F1">
        <w:rPr>
          <w:lang w:val="fr-BE"/>
        </w:rPr>
        <w:tab/>
        <w:t>OCHA, Aperçu 2021, p. 28.</w:t>
      </w:r>
    </w:p>
  </w:footnote>
  <w:footnote w:id="260">
    <w:p w14:paraId="718E2B6F" w14:textId="77777777" w:rsidR="00925C2B" w:rsidRPr="00235C87" w:rsidRDefault="00925C2B" w:rsidP="00617673">
      <w:pPr>
        <w:pStyle w:val="FootnoteText"/>
        <w:rPr>
          <w:lang w:val="fr-CH"/>
        </w:rPr>
      </w:pPr>
      <w:r w:rsidRPr="002C02F1">
        <w:rPr>
          <w:lang w:val="fr-BE"/>
        </w:rPr>
        <w:tab/>
      </w:r>
      <w:r>
        <w:rPr>
          <w:rStyle w:val="FootnoteReference"/>
        </w:rPr>
        <w:footnoteRef/>
      </w:r>
      <w:r>
        <w:rPr>
          <w:lang w:val="fr-CH"/>
        </w:rPr>
        <w:tab/>
        <w:t>OCHA, Aperçu 2021, p. 4 et 5.</w:t>
      </w:r>
    </w:p>
  </w:footnote>
  <w:footnote w:id="261">
    <w:p w14:paraId="76252F9E" w14:textId="0C033941" w:rsidR="00925C2B" w:rsidRPr="000947BF" w:rsidRDefault="00925C2B" w:rsidP="00617673">
      <w:pPr>
        <w:pStyle w:val="FootnoteText"/>
        <w:rPr>
          <w:lang w:val="fr-CH"/>
        </w:rPr>
      </w:pPr>
      <w:r>
        <w:rPr>
          <w:lang w:val="fr-CH"/>
        </w:rPr>
        <w:tab/>
      </w:r>
      <w:r>
        <w:rPr>
          <w:rStyle w:val="FootnoteReference"/>
        </w:rPr>
        <w:footnoteRef/>
      </w:r>
      <w:r>
        <w:rPr>
          <w:lang w:val="fr-CH"/>
        </w:rPr>
        <w:tab/>
        <w:t>OCHA, Aperçu 2021, pp. 4-7.</w:t>
      </w:r>
    </w:p>
  </w:footnote>
  <w:footnote w:id="262">
    <w:p w14:paraId="0BA0A8A1" w14:textId="77777777" w:rsidR="00925C2B" w:rsidRPr="00901174" w:rsidRDefault="00925C2B" w:rsidP="00617673">
      <w:pPr>
        <w:pStyle w:val="FootnoteText"/>
        <w:rPr>
          <w:lang w:val="fr-CH"/>
        </w:rPr>
      </w:pPr>
      <w:r>
        <w:rPr>
          <w:lang w:val="fr-CH"/>
        </w:rPr>
        <w:tab/>
      </w:r>
      <w:r>
        <w:rPr>
          <w:rStyle w:val="FootnoteReference"/>
        </w:rPr>
        <w:footnoteRef/>
      </w:r>
      <w:r>
        <w:rPr>
          <w:lang w:val="fr-CH"/>
        </w:rPr>
        <w:tab/>
      </w:r>
      <w:r w:rsidRPr="00901174">
        <w:rPr>
          <w:lang w:val="fr-CH"/>
        </w:rPr>
        <w:t>https://fr.wfp.org/countries/burundi</w:t>
      </w:r>
      <w:r>
        <w:rPr>
          <w:lang w:val="fr-CH"/>
        </w:rPr>
        <w:t>.</w:t>
      </w:r>
    </w:p>
  </w:footnote>
  <w:footnote w:id="263">
    <w:p w14:paraId="2D71CF14" w14:textId="1EA584E8" w:rsidR="00925C2B" w:rsidRPr="00901174" w:rsidRDefault="00925C2B" w:rsidP="00617673">
      <w:pPr>
        <w:pStyle w:val="FootnoteText"/>
      </w:pPr>
      <w:r w:rsidRPr="00FA45AB">
        <w:rPr>
          <w:lang w:val="fr-CH"/>
        </w:rPr>
        <w:tab/>
      </w:r>
      <w:r>
        <w:rPr>
          <w:rStyle w:val="FootnoteReference"/>
        </w:rPr>
        <w:footnoteRef/>
      </w:r>
      <w:r>
        <w:tab/>
        <w:t xml:space="preserve">WFP Burundi, Country Brief, April 2021, disponible à : </w:t>
      </w:r>
      <w:r w:rsidRPr="00901174">
        <w:t>https://docs.wfp.org/api/documents/WFP-0000128077/download/?_ga=2.268371662.1968259279.1624615218-588850913.1621515618</w:t>
      </w:r>
      <w:r>
        <w:t>.</w:t>
      </w:r>
    </w:p>
  </w:footnote>
  <w:footnote w:id="264">
    <w:p w14:paraId="0221FAA7" w14:textId="77777777" w:rsidR="00925C2B" w:rsidRPr="00CD0011" w:rsidRDefault="00925C2B" w:rsidP="00617673">
      <w:pPr>
        <w:pStyle w:val="FootnoteText"/>
      </w:pPr>
      <w:r>
        <w:tab/>
      </w:r>
      <w:r>
        <w:rPr>
          <w:rStyle w:val="FootnoteReference"/>
        </w:rPr>
        <w:footnoteRef/>
      </w:r>
      <w:r>
        <w:tab/>
      </w:r>
      <w:hyperlink r:id="rId57" w:history="1">
        <w:r w:rsidRPr="00CD0011">
          <w:rPr>
            <w:rStyle w:val="Hyperlink"/>
          </w:rPr>
          <w:t>https://data.worldbank.org/indicator/SH.STA.STNT.MA.ZS</w:t>
        </w:r>
      </w:hyperlink>
      <w:r w:rsidRPr="00CD0011">
        <w:t xml:space="preserve"> et </w:t>
      </w:r>
      <w:hyperlink r:id="rId58" w:history="1">
        <w:r>
          <w:rPr>
            <w:rStyle w:val="Hyperlink"/>
          </w:rPr>
          <w:t>Prevalence of stunting, height for age, female (% of children under 5) | Data (worldbank.org)</w:t>
        </w:r>
      </w:hyperlink>
      <w:r>
        <w:t>.</w:t>
      </w:r>
    </w:p>
  </w:footnote>
  <w:footnote w:id="265">
    <w:p w14:paraId="6C99779C" w14:textId="77777777" w:rsidR="00925C2B" w:rsidRPr="003969D6" w:rsidRDefault="00925C2B" w:rsidP="00617673">
      <w:pPr>
        <w:pStyle w:val="FootnoteText"/>
      </w:pPr>
      <w:r>
        <w:tab/>
      </w:r>
      <w:r>
        <w:rPr>
          <w:rStyle w:val="FootnoteReference"/>
        </w:rPr>
        <w:footnoteRef/>
      </w:r>
      <w:r>
        <w:tab/>
      </w:r>
      <w:r w:rsidRPr="00A400E5">
        <w:t>Kathryn G. Dewey, K</w:t>
      </w:r>
      <w:r>
        <w:t xml:space="preserve">hadija Begum, </w:t>
      </w:r>
      <w:r w:rsidRPr="00A400E5">
        <w:rPr>
          <w:i/>
        </w:rPr>
        <w:t>Long-term consequences of stunting in early life</w:t>
      </w:r>
      <w:r>
        <w:t xml:space="preserve">, in Matern. </w:t>
      </w:r>
      <w:r w:rsidRPr="003969D6">
        <w:t>Child. Nutr., Oct. 2011, 7 (suppl</w:t>
      </w:r>
      <w:r>
        <w:t>.</w:t>
      </w:r>
      <w:r w:rsidRPr="003969D6">
        <w:t xml:space="preserve"> 3), pp. 5-18.</w:t>
      </w:r>
    </w:p>
  </w:footnote>
  <w:footnote w:id="266">
    <w:p w14:paraId="568E9C8D" w14:textId="06337838" w:rsidR="00925C2B" w:rsidRPr="00E621DF" w:rsidRDefault="00925C2B" w:rsidP="00617673">
      <w:pPr>
        <w:pStyle w:val="FootnoteText"/>
      </w:pPr>
      <w:r>
        <w:tab/>
      </w:r>
      <w:r>
        <w:rPr>
          <w:rStyle w:val="FootnoteReference"/>
        </w:rPr>
        <w:footnoteRef/>
      </w:r>
      <w:r>
        <w:tab/>
      </w:r>
      <w:hyperlink r:id="rId59" w:history="1">
        <w:r w:rsidRPr="00984D90">
          <w:rPr>
            <w:rStyle w:val="Hyperlink"/>
          </w:rPr>
          <w:t>https://www.iwacu-burundi.org/bujumbura-penurie-de-mazout-les-consommateurs-grognent/</w:t>
        </w:r>
      </w:hyperlink>
      <w:r>
        <w:t xml:space="preserve">, </w:t>
      </w:r>
      <w:hyperlink r:id="rId60" w:history="1">
        <w:r w:rsidRPr="00984D90">
          <w:rPr>
            <w:rStyle w:val="Hyperlink"/>
          </w:rPr>
          <w:t>https://www.iwacu-burundi.org/une-penurie-de-farine-de-ble-qui-suscite-lindignation/</w:t>
        </w:r>
      </w:hyperlink>
      <w:r>
        <w:t xml:space="preserve">, </w:t>
      </w:r>
      <w:hyperlink r:id="rId61" w:history="1">
        <w:r w:rsidRPr="00984D90">
          <w:rPr>
            <w:rStyle w:val="Hyperlink"/>
          </w:rPr>
          <w:t>https://www.iwacu-burundi.org/inquietante-baisse-de-production-de-lhuile-de-palme/</w:t>
        </w:r>
      </w:hyperlink>
      <w:r>
        <w:t xml:space="preserve">, </w:t>
      </w:r>
      <w:hyperlink r:id="rId62" w:history="1">
        <w:r w:rsidRPr="00984D90">
          <w:rPr>
            <w:rStyle w:val="Hyperlink"/>
          </w:rPr>
          <w:t>https://www.iwacu-burundi.org/le-prix-de-la-pomme-de-terre-reste-eleve/</w:t>
        </w:r>
      </w:hyperlink>
      <w:r>
        <w:t xml:space="preserve">, </w:t>
      </w:r>
      <w:hyperlink r:id="rId63" w:history="1">
        <w:r w:rsidRPr="00E621DF">
          <w:rPr>
            <w:rStyle w:val="Hyperlink"/>
          </w:rPr>
          <w:t>https://www.iwacu-burundi.org/marche-de-cotebu-les-prix-de-certaines-denrees-alimentaires-sont-en-hausse/</w:t>
        </w:r>
      </w:hyperlink>
      <w:r>
        <w:t>.</w:t>
      </w:r>
    </w:p>
  </w:footnote>
  <w:footnote w:id="267">
    <w:p w14:paraId="3818A7F6" w14:textId="270AECEE" w:rsidR="00925C2B" w:rsidRPr="00E621DF" w:rsidRDefault="00925C2B" w:rsidP="00617673">
      <w:pPr>
        <w:pStyle w:val="FootnoteText"/>
      </w:pPr>
      <w:r>
        <w:tab/>
      </w:r>
      <w:r>
        <w:rPr>
          <w:rStyle w:val="FootnoteReference"/>
        </w:rPr>
        <w:footnoteRef/>
      </w:r>
      <w:r>
        <w:tab/>
      </w:r>
      <w:r w:rsidRPr="00E621DF">
        <w:t>https://www.iwacu-burundi.org/ou-est-passe-le-sucre/</w:t>
      </w:r>
      <w:r>
        <w:t>.</w:t>
      </w:r>
    </w:p>
  </w:footnote>
  <w:footnote w:id="268">
    <w:p w14:paraId="24F060EF" w14:textId="77777777" w:rsidR="00925C2B" w:rsidRDefault="00925C2B" w:rsidP="00617673">
      <w:pPr>
        <w:pStyle w:val="FootnoteText"/>
      </w:pPr>
      <w:r>
        <w:tab/>
      </w:r>
      <w:r>
        <w:rPr>
          <w:rStyle w:val="FootnoteReference"/>
        </w:rPr>
        <w:footnoteRef/>
      </w:r>
      <w:r>
        <w:tab/>
      </w:r>
      <w:hyperlink r:id="rId64" w:history="1">
        <w:r w:rsidRPr="00984D90">
          <w:rPr>
            <w:rStyle w:val="Hyperlink"/>
          </w:rPr>
          <w:t>https://www.iwacu-burundi.org/mise-en-garde-du-ministere-du-commerce-sur-des-speculations-des-commercants/</w:t>
        </w:r>
      </w:hyperlink>
      <w:r>
        <w:t xml:space="preserve">, </w:t>
      </w:r>
      <w:r w:rsidRPr="005474D0">
        <w:t>https://www.iwacu-burundi.org/prix-officiels-de-produits-agricoles-les-commercants-se-rebellent/</w:t>
      </w:r>
      <w:r>
        <w:t>,</w:t>
      </w:r>
      <w:r w:rsidRPr="00603461">
        <w:t xml:space="preserve"> https://www.iwacu-burundi.org/interdiction-dexportation-de-lhuile-de-palme-les-commercants-se-rejouissent/</w:t>
      </w:r>
      <w:r>
        <w:t>.</w:t>
      </w:r>
    </w:p>
  </w:footnote>
  <w:footnote w:id="269">
    <w:p w14:paraId="34C37F20" w14:textId="77777777" w:rsidR="00925C2B" w:rsidRPr="00E621DF" w:rsidRDefault="00925C2B" w:rsidP="00617673">
      <w:pPr>
        <w:pStyle w:val="FootnoteText"/>
        <w:rPr>
          <w:lang w:val="fr-CH"/>
        </w:rPr>
      </w:pPr>
      <w:r w:rsidRPr="00FA45AB">
        <w:tab/>
      </w:r>
      <w:r>
        <w:rPr>
          <w:rStyle w:val="FootnoteReference"/>
        </w:rPr>
        <w:footnoteRef/>
      </w:r>
      <w:r>
        <w:rPr>
          <w:lang w:val="fr-CH"/>
        </w:rPr>
        <w:tab/>
        <w:t>OCHA, Aperçu 2021</w:t>
      </w:r>
      <w:r w:rsidRPr="00E621DF">
        <w:rPr>
          <w:lang w:val="fr-CH"/>
        </w:rPr>
        <w:t>, p. 10.</w:t>
      </w:r>
    </w:p>
  </w:footnote>
  <w:footnote w:id="270">
    <w:p w14:paraId="4AF0C158" w14:textId="77777777" w:rsidR="00925C2B" w:rsidRPr="000400E1" w:rsidRDefault="00925C2B" w:rsidP="00617673">
      <w:pPr>
        <w:pStyle w:val="FootnoteText"/>
        <w:rPr>
          <w:lang w:val="fr-CH"/>
        </w:rPr>
      </w:pPr>
      <w:r>
        <w:rPr>
          <w:lang w:val="fr-CH"/>
        </w:rPr>
        <w:tab/>
      </w:r>
      <w:r>
        <w:rPr>
          <w:rStyle w:val="FootnoteReference"/>
        </w:rPr>
        <w:footnoteRef/>
      </w:r>
      <w:r>
        <w:rPr>
          <w:lang w:val="fr-CH"/>
        </w:rPr>
        <w:tab/>
      </w:r>
      <w:r w:rsidRPr="00847B60">
        <w:rPr>
          <w:lang w:val="fr-CH"/>
        </w:rPr>
        <w:t>OCHA, Aperçu 2021, p. 17</w:t>
      </w:r>
      <w:r>
        <w:rPr>
          <w:lang w:val="fr-CH"/>
        </w:rPr>
        <w:t xml:space="preserve"> et 21</w:t>
      </w:r>
      <w:r w:rsidRPr="00847B60">
        <w:rPr>
          <w:lang w:val="fr-CH"/>
        </w:rPr>
        <w:t>.</w:t>
      </w:r>
    </w:p>
  </w:footnote>
  <w:footnote w:id="271">
    <w:p w14:paraId="11363B31" w14:textId="77777777" w:rsidR="00925C2B" w:rsidRPr="008F6A49" w:rsidRDefault="00925C2B" w:rsidP="00617673">
      <w:pPr>
        <w:pStyle w:val="FootnoteText"/>
        <w:rPr>
          <w:lang w:val="fr-CH"/>
        </w:rPr>
      </w:pPr>
      <w:r>
        <w:rPr>
          <w:lang w:val="fr-CH"/>
        </w:rPr>
        <w:tab/>
      </w:r>
      <w:r>
        <w:rPr>
          <w:rStyle w:val="FootnoteReference"/>
        </w:rPr>
        <w:footnoteRef/>
      </w:r>
      <w:r>
        <w:rPr>
          <w:lang w:val="fr-CH"/>
        </w:rPr>
        <w:tab/>
      </w:r>
      <w:r w:rsidRPr="008F6A49">
        <w:rPr>
          <w:lang w:val="fr-CH"/>
        </w:rPr>
        <w:t>https://www.unicef.org/burundi/stories/dire-straits.</w:t>
      </w:r>
    </w:p>
  </w:footnote>
  <w:footnote w:id="272">
    <w:p w14:paraId="688981B1" w14:textId="77777777" w:rsidR="00925C2B" w:rsidRPr="0076069E" w:rsidRDefault="00925C2B" w:rsidP="00617673">
      <w:pPr>
        <w:pStyle w:val="FootnoteText"/>
        <w:rPr>
          <w:lang w:val="fr-CH"/>
        </w:rPr>
      </w:pPr>
      <w:r>
        <w:rPr>
          <w:lang w:val="fr-CH"/>
        </w:rPr>
        <w:tab/>
      </w:r>
      <w:r>
        <w:rPr>
          <w:rStyle w:val="FootnoteReference"/>
        </w:rPr>
        <w:footnoteRef/>
      </w:r>
      <w:r>
        <w:rPr>
          <w:lang w:val="fr-CH"/>
        </w:rPr>
        <w:tab/>
        <w:t>OCHA, Aperçu 2021, p. 35.</w:t>
      </w:r>
    </w:p>
  </w:footnote>
  <w:footnote w:id="273">
    <w:p w14:paraId="7E415AA8" w14:textId="77777777" w:rsidR="00925C2B" w:rsidRPr="00847B60" w:rsidRDefault="00925C2B" w:rsidP="00617673">
      <w:pPr>
        <w:pStyle w:val="FootnoteText"/>
        <w:rPr>
          <w:lang w:val="fr-CH"/>
        </w:rPr>
      </w:pPr>
      <w:r>
        <w:rPr>
          <w:lang w:val="fr-CH"/>
        </w:rPr>
        <w:tab/>
      </w:r>
      <w:r>
        <w:rPr>
          <w:rStyle w:val="FootnoteReference"/>
        </w:rPr>
        <w:footnoteRef/>
      </w:r>
      <w:r>
        <w:rPr>
          <w:lang w:val="fr-CH"/>
        </w:rPr>
        <w:tab/>
      </w:r>
      <w:r w:rsidRPr="00847B60">
        <w:rPr>
          <w:lang w:val="fr-CH"/>
        </w:rPr>
        <w:t xml:space="preserve">OCHA, Aperçu 2021, p. </w:t>
      </w:r>
      <w:r>
        <w:rPr>
          <w:lang w:val="fr-CH"/>
        </w:rPr>
        <w:t>17 et 23.</w:t>
      </w:r>
    </w:p>
  </w:footnote>
  <w:footnote w:id="274">
    <w:p w14:paraId="2C3FECCC" w14:textId="77777777" w:rsidR="00925C2B" w:rsidRPr="00D86C83" w:rsidRDefault="00925C2B" w:rsidP="00617673">
      <w:pPr>
        <w:pStyle w:val="FootnoteText"/>
        <w:rPr>
          <w:lang w:val="fr-CH"/>
        </w:rPr>
      </w:pPr>
      <w:r>
        <w:rPr>
          <w:lang w:val="fr-CH"/>
        </w:rPr>
        <w:tab/>
      </w:r>
      <w:r>
        <w:rPr>
          <w:rStyle w:val="FootnoteReference"/>
        </w:rPr>
        <w:footnoteRef/>
      </w:r>
      <w:r>
        <w:rPr>
          <w:lang w:val="fr-CH"/>
        </w:rPr>
        <w:tab/>
        <w:t>OCHA, Aperçu 2021, p. 78.</w:t>
      </w:r>
    </w:p>
  </w:footnote>
  <w:footnote w:id="275">
    <w:p w14:paraId="2B6C1B10" w14:textId="77777777" w:rsidR="00925C2B" w:rsidRPr="00827795" w:rsidRDefault="00925C2B" w:rsidP="00617673">
      <w:pPr>
        <w:pStyle w:val="FootnoteText"/>
        <w:rPr>
          <w:lang w:val="fr-CH"/>
        </w:rPr>
      </w:pPr>
      <w:r>
        <w:rPr>
          <w:lang w:val="fr-CH"/>
        </w:rPr>
        <w:tab/>
      </w:r>
      <w:r>
        <w:rPr>
          <w:rStyle w:val="FootnoteReference"/>
        </w:rPr>
        <w:footnoteRef/>
      </w:r>
      <w:r>
        <w:rPr>
          <w:lang w:val="fr-CH"/>
        </w:rPr>
        <w:tab/>
      </w:r>
      <w:r w:rsidRPr="00827795">
        <w:rPr>
          <w:lang w:val="fr-CH"/>
        </w:rPr>
        <w:t>https://www.presidence.gov.bi/2020/06/19/discours-de-son-excellence-general-major-evariste-ndayishimiye-a-loccasion-de-son-investiture/</w:t>
      </w:r>
      <w:r>
        <w:rPr>
          <w:lang w:val="fr-CH"/>
        </w:rPr>
        <w:t>.</w:t>
      </w:r>
    </w:p>
  </w:footnote>
  <w:footnote w:id="276">
    <w:p w14:paraId="6D56FD31" w14:textId="77777777" w:rsidR="00925C2B" w:rsidRPr="002B07DA" w:rsidRDefault="00925C2B" w:rsidP="00617673">
      <w:pPr>
        <w:pStyle w:val="FootnoteText"/>
        <w:rPr>
          <w:lang w:val="fr-CH"/>
        </w:rPr>
      </w:pPr>
      <w:r>
        <w:rPr>
          <w:lang w:val="fr-CH"/>
        </w:rPr>
        <w:tab/>
      </w:r>
      <w:r>
        <w:rPr>
          <w:rStyle w:val="FootnoteReference"/>
        </w:rPr>
        <w:footnoteRef/>
      </w:r>
      <w:r>
        <w:rPr>
          <w:lang w:val="fr-CH"/>
        </w:rPr>
        <w:tab/>
      </w:r>
      <w:r w:rsidRPr="002B07DA">
        <w:rPr>
          <w:lang w:val="fr-CH"/>
        </w:rPr>
        <w:t>https://www.yaga-burundi.com/2021/hausse-prix-cam/</w:t>
      </w:r>
      <w:r>
        <w:rPr>
          <w:lang w:val="fr-CH"/>
        </w:rPr>
        <w:t>.</w:t>
      </w:r>
    </w:p>
  </w:footnote>
  <w:footnote w:id="277">
    <w:p w14:paraId="3D3C2C79" w14:textId="77777777" w:rsidR="00925C2B" w:rsidRPr="00F31DC1" w:rsidRDefault="00925C2B" w:rsidP="00617673">
      <w:pPr>
        <w:pStyle w:val="FootnoteText"/>
        <w:rPr>
          <w:lang w:val="fr-CH"/>
        </w:rPr>
      </w:pPr>
      <w:r>
        <w:rPr>
          <w:lang w:val="fr-CH"/>
        </w:rPr>
        <w:tab/>
      </w:r>
      <w:r>
        <w:rPr>
          <w:rStyle w:val="FootnoteReference"/>
        </w:rPr>
        <w:footnoteRef/>
      </w:r>
      <w:r>
        <w:rPr>
          <w:lang w:val="fr-CH"/>
        </w:rPr>
        <w:tab/>
        <w:t xml:space="preserve">Article 44 de la loi n° 1/20 du 25 juin 2021 portant fixation du budget général de la République du Burundi pour l’exercice 2021-2022, voir : </w:t>
      </w:r>
      <w:r w:rsidRPr="00F31DC1">
        <w:rPr>
          <w:lang w:val="fr-CH"/>
        </w:rPr>
        <w:t>https://www.assemblee.bi/IMG/pdf/budget%202021_2022.pdf</w:t>
      </w:r>
      <w:r>
        <w:rPr>
          <w:lang w:val="fr-CH"/>
        </w:rPr>
        <w:t>.</w:t>
      </w:r>
    </w:p>
  </w:footnote>
  <w:footnote w:id="278">
    <w:p w14:paraId="4882F88C" w14:textId="6EAA43A7" w:rsidR="00925C2B" w:rsidRPr="00AA5400" w:rsidRDefault="00925C2B" w:rsidP="00617673">
      <w:pPr>
        <w:pStyle w:val="FootnoteText"/>
        <w:rPr>
          <w:lang w:val="fr-CH"/>
        </w:rPr>
      </w:pPr>
      <w:r>
        <w:rPr>
          <w:lang w:val="fr-CH"/>
        </w:rPr>
        <w:tab/>
      </w:r>
      <w:r>
        <w:rPr>
          <w:rStyle w:val="FootnoteReference"/>
        </w:rPr>
        <w:footnoteRef/>
      </w:r>
      <w:r>
        <w:rPr>
          <w:lang w:val="fr-CH"/>
        </w:rPr>
        <w:tab/>
      </w:r>
      <w:r w:rsidRPr="00AA5400">
        <w:rPr>
          <w:lang w:val="fr-CH"/>
        </w:rPr>
        <w:t>https://www.afro.who.int/sites/default/files/2021-06/PLAN%20NATIONAL%20RIPOSTE_VERSION_FINAL_PREFACE.pdf</w:t>
      </w:r>
      <w:r>
        <w:rPr>
          <w:lang w:val="fr-CH"/>
        </w:rPr>
        <w:t>.</w:t>
      </w:r>
    </w:p>
  </w:footnote>
  <w:footnote w:id="279">
    <w:p w14:paraId="6385DD7C" w14:textId="77777777" w:rsidR="00925C2B" w:rsidRPr="002D0622" w:rsidRDefault="00925C2B" w:rsidP="00617673">
      <w:pPr>
        <w:pStyle w:val="FootnoteText"/>
        <w:rPr>
          <w:lang w:val="fr-CH"/>
        </w:rPr>
      </w:pPr>
      <w:r>
        <w:rPr>
          <w:lang w:val="fr-CH"/>
        </w:rPr>
        <w:tab/>
      </w:r>
      <w:r>
        <w:rPr>
          <w:rStyle w:val="FootnoteReference"/>
        </w:rPr>
        <w:footnoteRef/>
      </w:r>
      <w:r>
        <w:rPr>
          <w:lang w:val="fr-CH"/>
        </w:rPr>
        <w:tab/>
      </w:r>
      <w:r w:rsidRPr="002D0622">
        <w:rPr>
          <w:lang w:val="fr-CH"/>
        </w:rPr>
        <w:t>https://twitter.com/mspls_bdi/status/1380185545406566405?s=20</w:t>
      </w:r>
      <w:r>
        <w:rPr>
          <w:lang w:val="fr-CH"/>
        </w:rPr>
        <w:t>.</w:t>
      </w:r>
    </w:p>
  </w:footnote>
  <w:footnote w:id="280">
    <w:p w14:paraId="218EDAF4" w14:textId="77777777" w:rsidR="00925C2B" w:rsidRPr="001461A3" w:rsidRDefault="00925C2B" w:rsidP="00617673">
      <w:pPr>
        <w:pStyle w:val="FootnoteText"/>
        <w:rPr>
          <w:lang w:val="fr-CH"/>
        </w:rPr>
      </w:pPr>
      <w:r>
        <w:rPr>
          <w:lang w:val="fr-CH"/>
        </w:rPr>
        <w:tab/>
      </w:r>
      <w:r>
        <w:rPr>
          <w:rStyle w:val="FootnoteReference"/>
        </w:rPr>
        <w:footnoteRef/>
      </w:r>
      <w:r>
        <w:rPr>
          <w:lang w:val="fr-CH"/>
        </w:rPr>
        <w:tab/>
      </w:r>
      <w:hyperlink r:id="rId65" w:history="1">
        <w:r w:rsidRPr="00B6421D">
          <w:rPr>
            <w:rStyle w:val="Hyperlink"/>
            <w:lang w:val="fr-CH"/>
          </w:rPr>
          <w:t>https://www.who.int/countries/bdi/</w:t>
        </w:r>
      </w:hyperlink>
      <w:r>
        <w:rPr>
          <w:lang w:val="fr-CH"/>
        </w:rPr>
        <w:t xml:space="preserve">. À cette date du 17 août 2021, le dernier bulletin d’information hebdomadaire sur la Covid-19 préparé conjointement par le ministère de la Santé publique du Burundi et l’OMS-Burundi disponible sur leur sites internet respectifs datait du 13 juin 2021, voir </w:t>
      </w:r>
      <w:hyperlink r:id="rId66" w:history="1">
        <w:r w:rsidRPr="00B6421D">
          <w:rPr>
            <w:rStyle w:val="Hyperlink"/>
            <w:lang w:val="fr-CH"/>
          </w:rPr>
          <w:t>http://minisante.bi/?p=972</w:t>
        </w:r>
      </w:hyperlink>
      <w:r>
        <w:rPr>
          <w:lang w:val="fr-CH"/>
        </w:rPr>
        <w:t xml:space="preserve"> et le site internet OMS-Burundi : </w:t>
      </w:r>
      <w:r w:rsidRPr="008D30C7">
        <w:rPr>
          <w:lang w:val="fr-CH"/>
        </w:rPr>
        <w:t>https://www.afro.who.int/fr/publications/bulletins-dinformation-hebdomadaire-sur-la-covid-19</w:t>
      </w:r>
      <w:r>
        <w:rPr>
          <w:lang w:val="fr-CH"/>
        </w:rPr>
        <w:t>.</w:t>
      </w:r>
    </w:p>
  </w:footnote>
  <w:footnote w:id="281">
    <w:p w14:paraId="0072949E" w14:textId="77777777" w:rsidR="00925C2B" w:rsidRPr="006251E9" w:rsidRDefault="00925C2B" w:rsidP="00617673">
      <w:pPr>
        <w:pStyle w:val="FootnoteText"/>
        <w:rPr>
          <w:lang w:val="fr-CH"/>
        </w:rPr>
      </w:pPr>
      <w:r>
        <w:rPr>
          <w:lang w:val="fr-CH"/>
        </w:rPr>
        <w:tab/>
      </w:r>
      <w:r>
        <w:rPr>
          <w:rStyle w:val="FootnoteReference"/>
        </w:rPr>
        <w:footnoteRef/>
      </w:r>
      <w:r>
        <w:rPr>
          <w:lang w:val="fr-CH"/>
        </w:rPr>
        <w:tab/>
      </w:r>
      <w:hyperlink r:id="rId67" w:history="1">
        <w:r w:rsidRPr="00B42559">
          <w:rPr>
            <w:rStyle w:val="Hyperlink"/>
            <w:lang w:val="fr-CH"/>
          </w:rPr>
          <w:t>https://www.jeuneafrique.com/1117782/societe/covid-19-au-burundi-les-autorites-entre-deni-et-cacophonie/</w:t>
        </w:r>
      </w:hyperlink>
      <w:r>
        <w:rPr>
          <w:lang w:val="fr-CH"/>
        </w:rPr>
        <w:t xml:space="preserve">, </w:t>
      </w:r>
      <w:r w:rsidRPr="003D23E4">
        <w:rPr>
          <w:lang w:val="fr-CH"/>
        </w:rPr>
        <w:t>https://www.rfi.fr/fr/afrique/20210331-covid-19-situation-pr%C3%A9occupante-au-burundi</w:t>
      </w:r>
      <w:r>
        <w:rPr>
          <w:lang w:val="fr-CH"/>
        </w:rPr>
        <w:t>.</w:t>
      </w:r>
    </w:p>
  </w:footnote>
  <w:footnote w:id="282">
    <w:p w14:paraId="46BC19EF" w14:textId="77777777" w:rsidR="00925C2B" w:rsidRPr="003D23E4" w:rsidRDefault="00925C2B" w:rsidP="00617673">
      <w:pPr>
        <w:pStyle w:val="FootnoteText"/>
        <w:rPr>
          <w:lang w:val="fr-CH"/>
        </w:rPr>
      </w:pPr>
      <w:r>
        <w:rPr>
          <w:lang w:val="fr-CH"/>
        </w:rPr>
        <w:tab/>
      </w:r>
      <w:r>
        <w:rPr>
          <w:rStyle w:val="FootnoteReference"/>
        </w:rPr>
        <w:footnoteRef/>
      </w:r>
      <w:r>
        <w:rPr>
          <w:lang w:val="fr-CH"/>
        </w:rPr>
        <w:tab/>
      </w:r>
      <w:hyperlink r:id="rId68" w:history="1">
        <w:r w:rsidRPr="00B42559">
          <w:rPr>
            <w:rStyle w:val="Hyperlink"/>
            <w:lang w:val="fr-CH"/>
          </w:rPr>
          <w:t>https://www.jeuneafrique.com/1117782/societe/covid-19-au-burundi-les-autorites-entre-deni-et-cacophonie/</w:t>
        </w:r>
      </w:hyperlink>
      <w:r>
        <w:rPr>
          <w:lang w:val="fr-CH"/>
        </w:rPr>
        <w:t xml:space="preserve">, </w:t>
      </w:r>
      <w:hyperlink r:id="rId69" w:history="1">
        <w:r w:rsidRPr="00B42559">
          <w:rPr>
            <w:rStyle w:val="Hyperlink"/>
            <w:lang w:val="fr-CH"/>
          </w:rPr>
          <w:t>https://www.timeslive.co.za/sunday-times-daily/africa/2021-05-20-africas-covid-19-vaccine-holdouts-are-putting-the-world-at-risk-say-experts/</w:t>
        </w:r>
      </w:hyperlink>
      <w:r>
        <w:rPr>
          <w:lang w:val="fr-CH"/>
        </w:rPr>
        <w:t xml:space="preserve">, </w:t>
      </w:r>
      <w:r w:rsidRPr="003D23E4">
        <w:rPr>
          <w:lang w:val="fr-CH"/>
        </w:rPr>
        <w:t>https://www.rfi.fr/fr/afrique/20210331-covid-19-situation-pr%C3%A9occupante-au-burundi</w:t>
      </w:r>
      <w:r>
        <w:rPr>
          <w:lang w:val="fr-CH"/>
        </w:rPr>
        <w:t>.</w:t>
      </w:r>
    </w:p>
  </w:footnote>
  <w:footnote w:id="283">
    <w:p w14:paraId="393BC9EE" w14:textId="77777777" w:rsidR="00925C2B" w:rsidRPr="00091B7F" w:rsidRDefault="00925C2B" w:rsidP="00617673">
      <w:pPr>
        <w:pStyle w:val="FootnoteText"/>
        <w:rPr>
          <w:lang w:val="fr-CH"/>
        </w:rPr>
      </w:pPr>
      <w:r>
        <w:rPr>
          <w:lang w:val="fr-CH"/>
        </w:rPr>
        <w:tab/>
      </w:r>
      <w:r>
        <w:rPr>
          <w:rStyle w:val="FootnoteReference"/>
        </w:rPr>
        <w:footnoteRef/>
      </w:r>
      <w:r>
        <w:rPr>
          <w:lang w:val="fr-CH"/>
        </w:rPr>
        <w:tab/>
      </w:r>
      <w:r w:rsidRPr="00091B7F">
        <w:rPr>
          <w:lang w:val="fr-CH"/>
        </w:rPr>
        <w:t>https://www.presidence.gov.bi/2021/06/21/washington-envisage-de-lever-les-sanctions-pour-les-burundais-dont-les-visas-avaient-ete-refuses/</w:t>
      </w:r>
      <w:r>
        <w:rPr>
          <w:lang w:val="fr-CH"/>
        </w:rPr>
        <w:t>.</w:t>
      </w:r>
    </w:p>
  </w:footnote>
  <w:footnote w:id="284">
    <w:p w14:paraId="45BE882D" w14:textId="77777777" w:rsidR="00925C2B" w:rsidRPr="006C7BBD" w:rsidRDefault="00925C2B" w:rsidP="00617673">
      <w:pPr>
        <w:pStyle w:val="FootnoteText"/>
        <w:rPr>
          <w:lang w:val="fr-CH"/>
        </w:rPr>
      </w:pPr>
      <w:r>
        <w:rPr>
          <w:lang w:val="fr-CH"/>
        </w:rPr>
        <w:tab/>
      </w:r>
      <w:r>
        <w:rPr>
          <w:rStyle w:val="FootnoteReference"/>
        </w:rPr>
        <w:footnoteRef/>
      </w:r>
      <w:r>
        <w:rPr>
          <w:lang w:val="fr-CH"/>
        </w:rPr>
        <w:tab/>
      </w:r>
      <w:r w:rsidRPr="006C7BBD">
        <w:rPr>
          <w:lang w:val="fr-CH"/>
        </w:rPr>
        <w:t>https://www.rfi.fr/fr/afrique/20210729-covid-19-le-gouvernement-du-burundi-change-de-strat%C3%A9gie-%C3%A0-l-%C3%A9gard-de-la-vaccination</w:t>
      </w:r>
      <w:r>
        <w:rPr>
          <w:lang w:val="fr-CH"/>
        </w:rPr>
        <w:t>.</w:t>
      </w:r>
    </w:p>
  </w:footnote>
  <w:footnote w:id="285">
    <w:p w14:paraId="397B0296" w14:textId="77777777" w:rsidR="00925C2B" w:rsidRPr="005235FF" w:rsidRDefault="00925C2B" w:rsidP="00617673">
      <w:pPr>
        <w:pStyle w:val="FootnoteText"/>
        <w:rPr>
          <w:lang w:val="fr-CH"/>
        </w:rPr>
      </w:pPr>
      <w:r>
        <w:rPr>
          <w:lang w:val="fr-CH"/>
        </w:rPr>
        <w:tab/>
      </w:r>
      <w:r>
        <w:rPr>
          <w:rStyle w:val="FootnoteReference"/>
        </w:rPr>
        <w:footnoteRef/>
      </w:r>
      <w:r>
        <w:rPr>
          <w:lang w:val="fr-CH"/>
        </w:rPr>
        <w:tab/>
      </w:r>
      <w:hyperlink r:id="rId70" w:history="1">
        <w:r w:rsidRPr="00984D90">
          <w:rPr>
            <w:rStyle w:val="Hyperlink"/>
            <w:lang w:val="fr-CH"/>
          </w:rPr>
          <w:t>https://www.rfi.fr/fr/afrique/20210729-covid-19-le-gouvernement-du-burundi-change-de-strat%C3%A9gie-%C3%A0-l-%C3%A9gard-de-la-vaccination</w:t>
        </w:r>
      </w:hyperlink>
      <w:r>
        <w:rPr>
          <w:lang w:val="fr-CH"/>
        </w:rPr>
        <w:t xml:space="preserve">, </w:t>
      </w:r>
      <w:r w:rsidRPr="005235FF">
        <w:rPr>
          <w:lang w:val="fr-CH"/>
        </w:rPr>
        <w:t>https://information.tv5monde.com/afrique/coronavirus-le-burundi-accepte-de-recevoir-des-vaccins-covax-mais-une-condition-418725</w:t>
      </w:r>
      <w:r>
        <w:rPr>
          <w:lang w:val="fr-CH"/>
        </w:rPr>
        <w:t>.</w:t>
      </w:r>
    </w:p>
  </w:footnote>
  <w:footnote w:id="286">
    <w:p w14:paraId="3F1EFEF9" w14:textId="77777777" w:rsidR="00925C2B" w:rsidRPr="005235FF" w:rsidRDefault="00925C2B" w:rsidP="00617673">
      <w:pPr>
        <w:pStyle w:val="FootnoteText"/>
        <w:rPr>
          <w:lang w:val="fr-CH"/>
        </w:rPr>
      </w:pPr>
      <w:r>
        <w:rPr>
          <w:lang w:val="fr-CH"/>
        </w:rPr>
        <w:tab/>
      </w:r>
      <w:r>
        <w:rPr>
          <w:rStyle w:val="FootnoteReference"/>
        </w:rPr>
        <w:footnoteRef/>
      </w:r>
      <w:r>
        <w:rPr>
          <w:lang w:val="fr-CH"/>
        </w:rPr>
        <w:tab/>
      </w:r>
      <w:r w:rsidRPr="00025285">
        <w:rPr>
          <w:lang w:val="fr-CH"/>
        </w:rPr>
        <w:t>http://minisante.bi/.</w:t>
      </w:r>
    </w:p>
  </w:footnote>
  <w:footnote w:id="287">
    <w:p w14:paraId="23285F11" w14:textId="77777777" w:rsidR="00925C2B" w:rsidRPr="007D6CC7" w:rsidRDefault="00925C2B" w:rsidP="00617673">
      <w:pPr>
        <w:pStyle w:val="FootnoteText"/>
        <w:rPr>
          <w:lang w:val="fr-CH"/>
        </w:rPr>
      </w:pPr>
      <w:r>
        <w:rPr>
          <w:lang w:val="fr-CH"/>
        </w:rPr>
        <w:tab/>
      </w:r>
      <w:r>
        <w:rPr>
          <w:rStyle w:val="FootnoteReference"/>
        </w:rPr>
        <w:footnoteRef/>
      </w:r>
      <w:r>
        <w:rPr>
          <w:lang w:val="fr-CH"/>
        </w:rPr>
        <w:tab/>
      </w:r>
      <w:r w:rsidRPr="007D6CC7">
        <w:rPr>
          <w:lang w:val="fr-CH"/>
        </w:rPr>
        <w:t>Plus la valeur est proche de 0 plus la situation est jugée égalitaire, et inversement plus la valeur est proche de 1.</w:t>
      </w:r>
      <w:r>
        <w:rPr>
          <w:lang w:val="fr-CH"/>
        </w:rPr>
        <w:t xml:space="preserve"> </w:t>
      </w:r>
      <w:r w:rsidRPr="007D6CC7">
        <w:rPr>
          <w:lang w:val="fr-CH"/>
        </w:rPr>
        <w:t>Source : http://hdr.undp.org/en/indicators/68606</w:t>
      </w:r>
      <w:r>
        <w:rPr>
          <w:lang w:val="fr-CH"/>
        </w:rPr>
        <w:t>.</w:t>
      </w:r>
    </w:p>
  </w:footnote>
  <w:footnote w:id="288">
    <w:p w14:paraId="5ED3C306" w14:textId="77777777" w:rsidR="00925C2B" w:rsidRPr="008F6A49" w:rsidRDefault="00925C2B" w:rsidP="00617673">
      <w:pPr>
        <w:pStyle w:val="FootnoteText"/>
        <w:rPr>
          <w:lang w:val="fr-CH"/>
        </w:rPr>
      </w:pPr>
      <w:r>
        <w:rPr>
          <w:lang w:val="fr-CH"/>
        </w:rPr>
        <w:tab/>
      </w:r>
      <w:r>
        <w:rPr>
          <w:rStyle w:val="FootnoteReference"/>
        </w:rPr>
        <w:footnoteRef/>
      </w:r>
      <w:r>
        <w:rPr>
          <w:lang w:val="fr-CH"/>
        </w:rPr>
        <w:tab/>
      </w:r>
      <w:r w:rsidRPr="008F6A49">
        <w:rPr>
          <w:lang w:val="fr-CH"/>
        </w:rPr>
        <w:t>OCHA, Aperçu 2021, p. 15.</w:t>
      </w:r>
    </w:p>
  </w:footnote>
  <w:footnote w:id="289">
    <w:p w14:paraId="7CEDB1B1" w14:textId="3B8E2C7D" w:rsidR="00925C2B" w:rsidRPr="003969D6" w:rsidRDefault="00925C2B" w:rsidP="00617673">
      <w:pPr>
        <w:pStyle w:val="FootnoteText"/>
        <w:rPr>
          <w:lang w:val="fr-CH"/>
        </w:rPr>
      </w:pPr>
      <w:r>
        <w:rPr>
          <w:lang w:val="fr-CH"/>
        </w:rPr>
        <w:tab/>
      </w:r>
      <w:r>
        <w:rPr>
          <w:rStyle w:val="FootnoteReference"/>
        </w:rPr>
        <w:footnoteRef/>
      </w:r>
      <w:r>
        <w:rPr>
          <w:lang w:val="fr-CH"/>
        </w:rPr>
        <w:tab/>
      </w:r>
      <w:r w:rsidRPr="008F6A49">
        <w:rPr>
          <w:lang w:val="fr-CH"/>
        </w:rPr>
        <w:t xml:space="preserve">OCHA, Aperçu 2021, p. </w:t>
      </w:r>
      <w:r>
        <w:rPr>
          <w:lang w:val="fr-CH"/>
        </w:rPr>
        <w:t xml:space="preserve">76., </w:t>
      </w:r>
      <w:hyperlink r:id="rId71" w:history="1">
        <w:r w:rsidRPr="004D3AB5">
          <w:rPr>
            <w:rStyle w:val="Hyperlink"/>
            <w:lang w:val="fr-FR"/>
          </w:rPr>
          <w:t>Burundi:</w:t>
        </w:r>
        <w:r>
          <w:rPr>
            <w:rStyle w:val="Hyperlink"/>
            <w:lang w:val="fr-FR"/>
          </w:rPr>
          <w:t xml:space="preserve"> </w:t>
        </w:r>
        <w:r w:rsidRPr="004D3AB5">
          <w:rPr>
            <w:rStyle w:val="Hyperlink"/>
            <w:lang w:val="fr-FR"/>
          </w:rPr>
          <w:t>Une évaluation sur les normes sociales en lien avec les violences faites aux femmes + filles - YouTube</w:t>
        </w:r>
      </w:hyperlink>
      <w:r w:rsidRPr="004D3AB5">
        <w:rPr>
          <w:lang w:val="fr-FR"/>
        </w:rPr>
        <w:t xml:space="preserve"> </w:t>
      </w:r>
      <w:r>
        <w:rPr>
          <w:lang w:val="fr-FR"/>
        </w:rPr>
        <w:t xml:space="preserve">(présentation des conclusions d’une évaluation conduite par le sous-cluster violences basées sur le genre dans le cadre d’un projet conjoint FNUAP-PNUD), 24 juin 2021, </w:t>
      </w:r>
      <w:r w:rsidR="00C364A0">
        <w:rPr>
          <w:lang w:val="fr-FR"/>
        </w:rPr>
        <w:t>TI-362</w:t>
      </w:r>
      <w:r>
        <w:rPr>
          <w:lang w:val="fr-FR"/>
        </w:rPr>
        <w:t>, CI-165.</w:t>
      </w:r>
    </w:p>
  </w:footnote>
  <w:footnote w:id="290">
    <w:p w14:paraId="45C6BE73" w14:textId="60A6637C" w:rsidR="00925C2B" w:rsidRPr="00CC0C86" w:rsidRDefault="00925C2B" w:rsidP="00617673">
      <w:pPr>
        <w:pStyle w:val="FootnoteText"/>
        <w:rPr>
          <w:lang w:val="fr-CH"/>
        </w:rPr>
      </w:pPr>
      <w:r>
        <w:rPr>
          <w:lang w:val="fr-CH"/>
        </w:rPr>
        <w:tab/>
      </w:r>
      <w:r>
        <w:rPr>
          <w:rStyle w:val="FootnoteReference"/>
        </w:rPr>
        <w:footnoteRef/>
      </w:r>
      <w:r>
        <w:rPr>
          <w:lang w:val="fr-CH"/>
        </w:rPr>
        <w:tab/>
      </w:r>
      <w:r w:rsidRPr="00CC0C86">
        <w:rPr>
          <w:lang w:val="fr-CH"/>
        </w:rPr>
        <w:t>Le Département d’</w:t>
      </w:r>
      <w:r>
        <w:rPr>
          <w:lang w:val="fr-CH"/>
        </w:rPr>
        <w:t>É</w:t>
      </w:r>
      <w:r w:rsidRPr="00CC0C86">
        <w:rPr>
          <w:lang w:val="fr-CH"/>
        </w:rPr>
        <w:t xml:space="preserve">tat américain relève d’ailleurs </w:t>
      </w:r>
      <w:r>
        <w:rPr>
          <w:lang w:val="fr-CH"/>
        </w:rPr>
        <w:t xml:space="preserve">le Gouvernement du Burundi </w:t>
      </w:r>
      <w:r w:rsidRPr="006431F5">
        <w:rPr>
          <w:lang w:val="fr-CH"/>
        </w:rPr>
        <w:t>ne satisfait pas pleinem</w:t>
      </w:r>
      <w:r>
        <w:rPr>
          <w:lang w:val="fr-CH"/>
        </w:rPr>
        <w:t>ent aux normes minimales pour l’</w:t>
      </w:r>
      <w:r w:rsidRPr="006431F5">
        <w:rPr>
          <w:lang w:val="fr-CH"/>
        </w:rPr>
        <w:t xml:space="preserve">élimination de la traite, </w:t>
      </w:r>
      <w:r>
        <w:rPr>
          <w:lang w:val="fr-CH"/>
        </w:rPr>
        <w:t>même s’il</w:t>
      </w:r>
      <w:r w:rsidRPr="006431F5">
        <w:rPr>
          <w:lang w:val="fr-CH"/>
        </w:rPr>
        <w:t xml:space="preserve"> fait des efforts importants pour y parvenir</w:t>
      </w:r>
      <w:r>
        <w:rPr>
          <w:lang w:val="fr-CH"/>
        </w:rPr>
        <w:t xml:space="preserve">. Dans le pays, le trafic d’êtres humains reste favorisé par l’environnement sécuritaire difficile, la pauvreté endémique, et le faible niveau d’éducation de la population, qui créent des opportunités pour les trafiquants </w:t>
      </w:r>
      <w:r w:rsidRPr="00CC0C86">
        <w:rPr>
          <w:lang w:val="fr-CH"/>
        </w:rPr>
        <w:t xml:space="preserve">de profiter des Burundais dans des situations </w:t>
      </w:r>
      <w:r>
        <w:rPr>
          <w:lang w:val="fr-CH"/>
        </w:rPr>
        <w:t xml:space="preserve">précaires ou désespérées. Voir : </w:t>
      </w:r>
      <w:r w:rsidRPr="006431F5">
        <w:rPr>
          <w:lang w:val="fr-CH"/>
        </w:rPr>
        <w:t>https://www.state.gov/reports/2021-trafficking-in-persons-report/burundi/</w:t>
      </w:r>
      <w:r>
        <w:rPr>
          <w:lang w:val="fr-CH"/>
        </w:rPr>
        <w:t>.</w:t>
      </w:r>
    </w:p>
  </w:footnote>
  <w:footnote w:id="291">
    <w:p w14:paraId="74851206" w14:textId="5E231489" w:rsidR="00925C2B" w:rsidRPr="00CC0C86" w:rsidRDefault="00925C2B" w:rsidP="00617673">
      <w:pPr>
        <w:pStyle w:val="FootnoteText"/>
      </w:pPr>
      <w:r w:rsidRPr="00FA45AB">
        <w:rPr>
          <w:lang w:val="fr-CH"/>
        </w:rPr>
        <w:tab/>
      </w:r>
      <w:r>
        <w:rPr>
          <w:rStyle w:val="FootnoteReference"/>
        </w:rPr>
        <w:footnoteRef/>
      </w:r>
      <w:r>
        <w:tab/>
      </w:r>
      <w:r w:rsidRPr="00CC0C86">
        <w:t xml:space="preserve">OCHA, Aperçu 2021, p. 76., </w:t>
      </w:r>
      <w:r>
        <w:t xml:space="preserve">US Department of State, </w:t>
      </w:r>
      <w:r w:rsidRPr="004B2789">
        <w:t>2021 Trafficking in Persons Report</w:t>
      </w:r>
      <w:r>
        <w:t>, chapitre sur le Burundi (</w:t>
      </w:r>
      <w:r w:rsidRPr="004B2789">
        <w:t>https://www.state.gov/reports/2021-trafficking-in-persons-report/</w:t>
      </w:r>
      <w:r>
        <w:t>burundi/).</w:t>
      </w:r>
    </w:p>
  </w:footnote>
  <w:footnote w:id="292">
    <w:p w14:paraId="30115EA0" w14:textId="77777777" w:rsidR="00925C2B" w:rsidRPr="00CC0C86" w:rsidRDefault="00925C2B" w:rsidP="00617673">
      <w:pPr>
        <w:pStyle w:val="FootnoteText"/>
        <w:rPr>
          <w:lang w:val="fr-FR"/>
        </w:rPr>
      </w:pPr>
      <w:r w:rsidRPr="00FA45AB">
        <w:tab/>
      </w:r>
      <w:r>
        <w:rPr>
          <w:rStyle w:val="FootnoteReference"/>
        </w:rPr>
        <w:footnoteRef/>
      </w:r>
      <w:r>
        <w:rPr>
          <w:lang w:val="fr-FR"/>
        </w:rPr>
        <w:tab/>
      </w:r>
      <w:r w:rsidRPr="00CC0C86">
        <w:rPr>
          <w:lang w:val="fr-FR"/>
        </w:rPr>
        <w:t xml:space="preserve">CI-165, </w:t>
      </w:r>
      <w:hyperlink r:id="rId72" w:history="1">
        <w:r w:rsidRPr="00CC0C86">
          <w:rPr>
            <w:rStyle w:val="Hyperlink"/>
            <w:lang w:val="fr-FR"/>
          </w:rPr>
          <w:t>Burundi:</w:t>
        </w:r>
        <w:r>
          <w:rPr>
            <w:rStyle w:val="Hyperlink"/>
            <w:lang w:val="fr-FR"/>
          </w:rPr>
          <w:t xml:space="preserve"> </w:t>
        </w:r>
        <w:r w:rsidRPr="00CC0C86">
          <w:rPr>
            <w:rStyle w:val="Hyperlink"/>
            <w:lang w:val="fr-FR"/>
          </w:rPr>
          <w:t>Une évaluation sur les normes sociales en lien avec les violences faites aux femmes + filles - YouTube</w:t>
        </w:r>
      </w:hyperlink>
      <w:r w:rsidRPr="00CC0C86">
        <w:rPr>
          <w:lang w:val="fr-FR"/>
        </w:rPr>
        <w:t xml:space="preserve"> </w:t>
      </w:r>
      <w:r>
        <w:rPr>
          <w:lang w:val="fr-FR"/>
        </w:rPr>
        <w:t>(présentation des conclusions d’une évaluation conduite par le sous-cluster violences basées sur le genre dans le cadre d’un projet conjoint FNUAP-PNUD), 24 juin 2021.</w:t>
      </w:r>
    </w:p>
  </w:footnote>
  <w:footnote w:id="293">
    <w:p w14:paraId="2567F013" w14:textId="77777777" w:rsidR="00925C2B" w:rsidRPr="00670D0C"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4">
    <w:p w14:paraId="1F71DB7A" w14:textId="77777777" w:rsidR="00925C2B" w:rsidRPr="004C6F09"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5">
    <w:p w14:paraId="6DFD913D" w14:textId="77777777" w:rsidR="00925C2B" w:rsidRPr="00670D0C"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6">
    <w:p w14:paraId="33B9BAA9" w14:textId="77777777" w:rsidR="00925C2B" w:rsidRPr="00964057" w:rsidRDefault="00925C2B" w:rsidP="00617673">
      <w:pPr>
        <w:pStyle w:val="FootnoteText"/>
        <w:rPr>
          <w:lang w:val="fr-CH"/>
        </w:rPr>
      </w:pPr>
      <w:r>
        <w:rPr>
          <w:lang w:val="fr-CH"/>
        </w:rPr>
        <w:tab/>
      </w:r>
      <w:r>
        <w:rPr>
          <w:rStyle w:val="FootnoteReference"/>
        </w:rPr>
        <w:footnoteRef/>
      </w:r>
      <w:r>
        <w:rPr>
          <w:lang w:val="fr-CH"/>
        </w:rPr>
        <w:tab/>
        <w:t>OCHA, Aperçu 2021, p. 67-68.</w:t>
      </w:r>
    </w:p>
  </w:footnote>
  <w:footnote w:id="297">
    <w:p w14:paraId="773AB5A4" w14:textId="77777777" w:rsidR="00925C2B" w:rsidRPr="00CC21DB" w:rsidRDefault="00925C2B" w:rsidP="00617673">
      <w:pPr>
        <w:pStyle w:val="FootnoteText"/>
        <w:rPr>
          <w:lang w:val="fr-CH"/>
        </w:rPr>
      </w:pPr>
      <w:r>
        <w:rPr>
          <w:lang w:val="fr-CH"/>
        </w:rPr>
        <w:tab/>
      </w:r>
      <w:r>
        <w:rPr>
          <w:rStyle w:val="FootnoteReference"/>
        </w:rPr>
        <w:footnoteRef/>
      </w:r>
      <w:r>
        <w:rPr>
          <w:lang w:val="fr-CH"/>
        </w:rPr>
        <w:tab/>
        <w:t xml:space="preserve">Voir : </w:t>
      </w:r>
      <w:hyperlink r:id="rId73" w:history="1">
        <w:r w:rsidRPr="00984D90">
          <w:rPr>
            <w:rStyle w:val="Hyperlink"/>
            <w:lang w:val="fr-CH"/>
          </w:rPr>
          <w:t>https://www.iwacu-burundi.org/bujumbura-le-phenomene-des-enfants-en-situation-de-rue-refait-surface/</w:t>
        </w:r>
      </w:hyperlink>
      <w:r>
        <w:rPr>
          <w:lang w:val="fr-CH"/>
        </w:rPr>
        <w:t xml:space="preserve">, </w:t>
      </w:r>
      <w:hyperlink r:id="rId74" w:history="1">
        <w:r w:rsidRPr="00BE7F92">
          <w:rPr>
            <w:rStyle w:val="Hyperlink"/>
            <w:lang w:val="fr-CH"/>
          </w:rPr>
          <w:t>https://www.jimbere.org/nombre-enfants-situation-rue-burundi/</w:t>
        </w:r>
      </w:hyperlink>
      <w:r>
        <w:rPr>
          <w:lang w:val="fr-CH"/>
        </w:rPr>
        <w:t xml:space="preserve">, </w:t>
      </w:r>
      <w:hyperlink r:id="rId75" w:history="1">
        <w:r w:rsidRPr="00BE7F92">
          <w:rPr>
            <w:rStyle w:val="Hyperlink"/>
            <w:lang w:val="fr-CH"/>
          </w:rPr>
          <w:t>https://lejournal.africa/journee-mondiale-de-lenfant-africain-5000-enfants-en-situation-de-rue-au-burundi/</w:t>
        </w:r>
      </w:hyperlink>
      <w:r>
        <w:rPr>
          <w:lang w:val="fr-CH"/>
        </w:rPr>
        <w:t xml:space="preserve">, </w:t>
      </w:r>
      <w:r w:rsidRPr="00111435">
        <w:rPr>
          <w:lang w:val="fr-CH"/>
        </w:rPr>
        <w:t>http://burundi-eco.com/problematique-enfants-de-rue-demeure-irresolue/#.YNsckLvivIU</w:t>
      </w:r>
      <w:r w:rsidRPr="00CC21DB">
        <w:rPr>
          <w:lang w:val="fr-CH"/>
        </w:rPr>
        <w:t>.</w:t>
      </w:r>
    </w:p>
  </w:footnote>
  <w:footnote w:id="298">
    <w:p w14:paraId="22574306" w14:textId="77777777" w:rsidR="00925C2B" w:rsidRPr="000944D4" w:rsidRDefault="00925C2B" w:rsidP="00617673">
      <w:pPr>
        <w:pStyle w:val="FootnoteText"/>
        <w:rPr>
          <w:lang w:val="fr-CH"/>
        </w:rPr>
      </w:pPr>
      <w:r>
        <w:rPr>
          <w:lang w:val="fr-CH"/>
        </w:rPr>
        <w:tab/>
      </w:r>
      <w:r>
        <w:rPr>
          <w:rStyle w:val="FootnoteReference"/>
        </w:rPr>
        <w:footnoteRef/>
      </w:r>
      <w:r>
        <w:rPr>
          <w:lang w:val="fr-CH"/>
        </w:rPr>
        <w:tab/>
      </w:r>
      <w:r w:rsidRPr="000944D4">
        <w:rPr>
          <w:lang w:val="fr-CH"/>
        </w:rPr>
        <w:t>Voir</w:t>
      </w:r>
      <w:r>
        <w:rPr>
          <w:lang w:val="fr-CH"/>
        </w:rPr>
        <w:t xml:space="preserve"> notamment</w:t>
      </w:r>
      <w:r w:rsidRPr="000944D4">
        <w:rPr>
          <w:lang w:val="fr-CH"/>
        </w:rPr>
        <w:t xml:space="preserve"> </w:t>
      </w:r>
      <w:r>
        <w:rPr>
          <w:lang w:val="fr-CH"/>
        </w:rPr>
        <w:t xml:space="preserve">A/HRC/42/CRP.2, par. 317-320, </w:t>
      </w:r>
      <w:r w:rsidRPr="000944D4">
        <w:rPr>
          <w:lang w:val="fr-CH"/>
        </w:rPr>
        <w:t xml:space="preserve">A/HRC/45/CRP.1, par. </w:t>
      </w:r>
      <w:r>
        <w:rPr>
          <w:lang w:val="fr-CH"/>
        </w:rPr>
        <w:t>288-293.</w:t>
      </w:r>
    </w:p>
  </w:footnote>
  <w:footnote w:id="299">
    <w:p w14:paraId="08B30D22" w14:textId="586EB397" w:rsidR="00925C2B" w:rsidRPr="00AF5D4F" w:rsidRDefault="00925C2B" w:rsidP="00617673">
      <w:pPr>
        <w:pStyle w:val="FootnoteText"/>
        <w:rPr>
          <w:lang w:val="it-IT"/>
        </w:rPr>
      </w:pPr>
      <w:r w:rsidRPr="002C02F1">
        <w:rPr>
          <w:lang w:val="fr-BE"/>
        </w:rPr>
        <w:tab/>
      </w:r>
      <w:r>
        <w:rPr>
          <w:rStyle w:val="FootnoteReference"/>
        </w:rPr>
        <w:footnoteRef/>
      </w:r>
      <w:r>
        <w:rPr>
          <w:lang w:val="it-IT"/>
        </w:rPr>
        <w:tab/>
      </w:r>
      <w:r w:rsidR="00C364A0">
        <w:rPr>
          <w:lang w:val="it-IT"/>
        </w:rPr>
        <w:t>TI-361</w:t>
      </w:r>
      <w:r w:rsidRPr="00AF5D4F">
        <w:rPr>
          <w:lang w:val="it-IT"/>
        </w:rPr>
        <w:t xml:space="preserve">, </w:t>
      </w:r>
      <w:r w:rsidR="00C364A0">
        <w:rPr>
          <w:lang w:val="it-IT"/>
        </w:rPr>
        <w:t>TI-364</w:t>
      </w:r>
      <w:r w:rsidRPr="00AF5D4F">
        <w:rPr>
          <w:lang w:val="it-IT"/>
        </w:rPr>
        <w:t xml:space="preserve">, </w:t>
      </w:r>
      <w:r w:rsidR="00C364A0">
        <w:rPr>
          <w:lang w:val="it-IT"/>
        </w:rPr>
        <w:t>TI-365</w:t>
      </w:r>
      <w:r w:rsidRPr="00AF5D4F">
        <w:rPr>
          <w:lang w:val="it-IT"/>
        </w:rPr>
        <w:t>, JI-173, HI-077, HI-081, HI-082, HI-084, HI-092.</w:t>
      </w:r>
    </w:p>
  </w:footnote>
  <w:footnote w:id="300">
    <w:p w14:paraId="580B7D8F" w14:textId="77777777" w:rsidR="00925C2B" w:rsidRPr="00AF5D4F" w:rsidRDefault="00925C2B" w:rsidP="00617673">
      <w:pPr>
        <w:pStyle w:val="FootnoteText"/>
        <w:rPr>
          <w:szCs w:val="18"/>
          <w:lang w:val="it-IT"/>
        </w:rPr>
      </w:pPr>
      <w:r>
        <w:rPr>
          <w:szCs w:val="18"/>
          <w:lang w:val="it-IT"/>
        </w:rPr>
        <w:tab/>
      </w:r>
      <w:r w:rsidRPr="004B1829">
        <w:rPr>
          <w:rStyle w:val="FootnoteReference"/>
          <w:szCs w:val="18"/>
        </w:rPr>
        <w:footnoteRef/>
      </w:r>
      <w:r>
        <w:rPr>
          <w:szCs w:val="18"/>
          <w:lang w:val="it-IT"/>
        </w:rPr>
        <w:tab/>
      </w:r>
      <w:r w:rsidRPr="00AF5D4F">
        <w:rPr>
          <w:szCs w:val="18"/>
          <w:lang w:val="it-IT"/>
        </w:rPr>
        <w:t>Idem.</w:t>
      </w:r>
    </w:p>
  </w:footnote>
  <w:footnote w:id="301">
    <w:p w14:paraId="4BDCB73B" w14:textId="7A10ACBE" w:rsidR="00925C2B" w:rsidRPr="00CF45DD" w:rsidRDefault="00925C2B" w:rsidP="00617673">
      <w:pPr>
        <w:pStyle w:val="FootnoteText"/>
        <w:rPr>
          <w:lang w:val="it-IT"/>
        </w:rPr>
      </w:pPr>
      <w:r>
        <w:rPr>
          <w:lang w:val="it-IT"/>
        </w:rPr>
        <w:tab/>
      </w:r>
      <w:r>
        <w:rPr>
          <w:rStyle w:val="FootnoteReference"/>
        </w:rPr>
        <w:footnoteRef/>
      </w:r>
      <w:r>
        <w:rPr>
          <w:lang w:val="it-IT"/>
        </w:rPr>
        <w:tab/>
      </w:r>
      <w:r w:rsidR="00C364A0">
        <w:rPr>
          <w:lang w:val="it-IT"/>
        </w:rPr>
        <w:t>TI-361</w:t>
      </w:r>
      <w:r w:rsidRPr="00CF45DD">
        <w:rPr>
          <w:lang w:val="it-IT"/>
        </w:rPr>
        <w:t>.</w:t>
      </w:r>
    </w:p>
  </w:footnote>
  <w:footnote w:id="302">
    <w:p w14:paraId="6D6E3BEE" w14:textId="5D0F2368"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 xml:space="preserve">HI-082, HI-092, </w:t>
      </w:r>
      <w:r w:rsidR="00C364A0">
        <w:rPr>
          <w:lang w:val="it-IT"/>
        </w:rPr>
        <w:t>TI-364</w:t>
      </w:r>
      <w:r w:rsidRPr="00CF45DD">
        <w:rPr>
          <w:lang w:val="it-IT"/>
        </w:rPr>
        <w:t xml:space="preserve">, </w:t>
      </w:r>
    </w:p>
  </w:footnote>
  <w:footnote w:id="303">
    <w:p w14:paraId="38FE1013"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TI-315, TI-316.</w:t>
      </w:r>
    </w:p>
  </w:footnote>
  <w:footnote w:id="304">
    <w:p w14:paraId="05BB7110"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 xml:space="preserve">Voir document </w:t>
      </w:r>
      <w:r w:rsidRPr="000C4F8C">
        <w:rPr>
          <w:lang w:val="it-IT"/>
        </w:rPr>
        <w:t>en Annexe V.</w:t>
      </w:r>
    </w:p>
  </w:footnote>
  <w:footnote w:id="305">
    <w:p w14:paraId="02ED2338" w14:textId="0BF3A22A" w:rsidR="00925C2B" w:rsidRPr="00CF45DD" w:rsidRDefault="00925C2B" w:rsidP="00617673">
      <w:pPr>
        <w:pStyle w:val="FootnoteText"/>
        <w:rPr>
          <w:lang w:val="it-IT"/>
        </w:rPr>
      </w:pPr>
      <w:r>
        <w:rPr>
          <w:lang w:val="it-IT"/>
        </w:rPr>
        <w:tab/>
      </w:r>
      <w:r>
        <w:rPr>
          <w:rStyle w:val="FootnoteReference"/>
        </w:rPr>
        <w:footnoteRef/>
      </w:r>
      <w:r>
        <w:rPr>
          <w:lang w:val="it-IT"/>
        </w:rPr>
        <w:tab/>
      </w:r>
      <w:hyperlink r:id="rId76" w:history="1">
        <w:r w:rsidRPr="00CF45DD">
          <w:rPr>
            <w:rStyle w:val="Hyperlink"/>
            <w:lang w:val="it-IT"/>
          </w:rPr>
          <w:t>https://rtnb.bi/fr/art.php?idapi=5/2/58</w:t>
        </w:r>
      </w:hyperlink>
      <w:r w:rsidRPr="00CF45DD">
        <w:rPr>
          <w:lang w:val="it-IT"/>
        </w:rPr>
        <w:t xml:space="preserve">. </w:t>
      </w:r>
      <w:r w:rsidR="00C364A0">
        <w:rPr>
          <w:lang w:val="it-IT"/>
        </w:rPr>
        <w:t>TI-364</w:t>
      </w:r>
      <w:r w:rsidRPr="00CF45DD">
        <w:rPr>
          <w:lang w:val="it-IT"/>
        </w:rPr>
        <w:t>.</w:t>
      </w:r>
    </w:p>
  </w:footnote>
  <w:footnote w:id="306">
    <w:p w14:paraId="5E6CDBDB" w14:textId="77777777" w:rsidR="00925C2B" w:rsidRPr="003E0516" w:rsidRDefault="00925C2B" w:rsidP="00617673">
      <w:pPr>
        <w:pStyle w:val="FootnoteText"/>
        <w:rPr>
          <w:lang w:val="it-IT"/>
        </w:rPr>
      </w:pPr>
      <w:r>
        <w:rPr>
          <w:lang w:val="it-IT"/>
        </w:rPr>
        <w:tab/>
      </w:r>
      <w:r>
        <w:rPr>
          <w:rStyle w:val="FootnoteReference"/>
        </w:rPr>
        <w:footnoteRef/>
      </w:r>
      <w:r>
        <w:rPr>
          <w:lang w:val="it-IT"/>
        </w:rPr>
        <w:tab/>
      </w:r>
      <w:r w:rsidRPr="003E0516">
        <w:rPr>
          <w:lang w:val="it-IT"/>
        </w:rPr>
        <w:t>https://www.iwacu-burundi.org/interview-exclusive-consolateur-nitunga-1650-menages-deplaces-par-le-lac-tanganyika/.</w:t>
      </w:r>
    </w:p>
  </w:footnote>
  <w:footnote w:id="307">
    <w:p w14:paraId="113B4977" w14:textId="4797A035"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https://www.iwacu-burundi.org/interview-avec-le-gouverneur-de-muyinga-jean-claude-barutwanayo-je-vais-faire-de-muyinga-le-dubai-burundais/</w:t>
      </w:r>
      <w:r>
        <w:rPr>
          <w:lang w:val="it-IT"/>
        </w:rPr>
        <w:t>.</w:t>
      </w:r>
    </w:p>
  </w:footnote>
  <w:footnote w:id="308">
    <w:p w14:paraId="2A7E09BD" w14:textId="77777777" w:rsidR="00925C2B" w:rsidRPr="00CF45DD" w:rsidRDefault="00925C2B" w:rsidP="00617673">
      <w:pPr>
        <w:pStyle w:val="FootnoteText"/>
        <w:rPr>
          <w:lang w:val="it-IT"/>
        </w:rPr>
      </w:pPr>
      <w:r>
        <w:rPr>
          <w:lang w:val="it-IT"/>
        </w:rPr>
        <w:tab/>
      </w:r>
      <w:r>
        <w:rPr>
          <w:rStyle w:val="FootnoteReference"/>
        </w:rPr>
        <w:footnoteRef/>
      </w:r>
      <w:r>
        <w:rPr>
          <w:lang w:val="it-IT"/>
        </w:rPr>
        <w:tab/>
      </w:r>
      <w:r w:rsidRPr="00CF45DD">
        <w:rPr>
          <w:lang w:val="it-IT"/>
        </w:rPr>
        <w:t>https://twitter.com/RTNBurundi/status/1429062937545687043?s=20.</w:t>
      </w:r>
    </w:p>
  </w:footnote>
  <w:footnote w:id="309">
    <w:p w14:paraId="40485148"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JI-184, CI-164, CI-175.</w:t>
      </w:r>
    </w:p>
  </w:footnote>
  <w:footnote w:id="310">
    <w:p w14:paraId="316304C8" w14:textId="5FDCFE6D"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Pr>
          <w:lang w:val="it-IT"/>
        </w:rPr>
        <w:t xml:space="preserve">, </w:t>
      </w:r>
      <w:r w:rsidR="0053644E">
        <w:rPr>
          <w:lang w:val="it-IT"/>
        </w:rPr>
        <w:t>TI-378</w:t>
      </w:r>
      <w:r>
        <w:rPr>
          <w:lang w:val="it-IT"/>
        </w:rPr>
        <w:t>, HI-090.</w:t>
      </w:r>
    </w:p>
  </w:footnote>
  <w:footnote w:id="311">
    <w:p w14:paraId="3EBB4D64" w14:textId="77777777" w:rsidR="00925C2B" w:rsidRPr="00600BFB" w:rsidRDefault="00925C2B" w:rsidP="00617673">
      <w:pPr>
        <w:pStyle w:val="FootnoteText"/>
        <w:rPr>
          <w:lang w:val="fr-CH"/>
        </w:rPr>
      </w:pPr>
      <w:r w:rsidRPr="002C02F1">
        <w:rPr>
          <w:lang w:val="it-IT"/>
        </w:rPr>
        <w:tab/>
      </w:r>
      <w:r>
        <w:rPr>
          <w:rStyle w:val="FootnoteReference"/>
        </w:rPr>
        <w:footnoteRef/>
      </w:r>
      <w:r>
        <w:rPr>
          <w:lang w:val="fr-CH"/>
        </w:rPr>
        <w:tab/>
      </w:r>
      <w:r w:rsidRPr="000C4F8C">
        <w:rPr>
          <w:lang w:val="fr-CH"/>
        </w:rPr>
        <w:t>Voir document en annexe V.</w:t>
      </w:r>
    </w:p>
  </w:footnote>
  <w:footnote w:id="312">
    <w:p w14:paraId="3294BBE9" w14:textId="38D4CEB0" w:rsidR="00925C2B" w:rsidRPr="00A87A2D" w:rsidRDefault="00925C2B" w:rsidP="00617673">
      <w:pPr>
        <w:pStyle w:val="FootnoteText"/>
        <w:rPr>
          <w:lang w:val="it-IT"/>
        </w:rPr>
      </w:pPr>
      <w:r w:rsidRPr="002C02F1">
        <w:rPr>
          <w:lang w:val="fr-BE"/>
        </w:rPr>
        <w:tab/>
      </w:r>
      <w:r>
        <w:rPr>
          <w:rStyle w:val="FootnoteReference"/>
        </w:rPr>
        <w:footnoteRef/>
      </w:r>
      <w:r>
        <w:rPr>
          <w:lang w:val="it-IT"/>
        </w:rPr>
        <w:tab/>
      </w:r>
      <w:r w:rsidR="0053644E">
        <w:rPr>
          <w:lang w:val="it-IT"/>
        </w:rPr>
        <w:t>TI-378</w:t>
      </w:r>
      <w:r w:rsidRPr="00A87A2D">
        <w:rPr>
          <w:lang w:val="it-IT"/>
        </w:rPr>
        <w:t xml:space="preserve">, </w:t>
      </w:r>
      <w:r w:rsidR="00C364A0">
        <w:rPr>
          <w:lang w:val="it-IT"/>
        </w:rPr>
        <w:t>TI-364</w:t>
      </w:r>
      <w:r w:rsidRPr="00A87A2D">
        <w:rPr>
          <w:lang w:val="it-IT"/>
        </w:rPr>
        <w:t>.</w:t>
      </w:r>
    </w:p>
  </w:footnote>
  <w:footnote w:id="313">
    <w:p w14:paraId="0EF9B788" w14:textId="6913E644"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TI-316,TI-328, TI-338</w:t>
      </w:r>
      <w:r>
        <w:rPr>
          <w:lang w:val="it-IT"/>
        </w:rPr>
        <w:t>.</w:t>
      </w:r>
    </w:p>
  </w:footnote>
  <w:footnote w:id="314">
    <w:p w14:paraId="1D02A6BD" w14:textId="7AA4FF5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JI-184</w:t>
      </w:r>
      <w:r>
        <w:rPr>
          <w:lang w:val="it-IT"/>
        </w:rPr>
        <w:t xml:space="preserve">, LM-018, HI-082. </w:t>
      </w:r>
    </w:p>
  </w:footnote>
  <w:footnote w:id="315">
    <w:p w14:paraId="09C35B55" w14:textId="4D98C527"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A87A2D">
        <w:rPr>
          <w:lang w:val="it-IT"/>
        </w:rPr>
        <w:t>.</w:t>
      </w:r>
    </w:p>
  </w:footnote>
  <w:footnote w:id="316">
    <w:p w14:paraId="269387F9" w14:textId="34F2BAA9" w:rsidR="00925C2B" w:rsidRPr="00A87A2D" w:rsidRDefault="00925C2B" w:rsidP="00617673">
      <w:pPr>
        <w:pStyle w:val="FootnoteText"/>
        <w:rPr>
          <w:lang w:val="it-IT"/>
        </w:rPr>
      </w:pPr>
      <w:r>
        <w:rPr>
          <w:lang w:val="it-IT"/>
        </w:rPr>
        <w:tab/>
      </w:r>
      <w:r>
        <w:rPr>
          <w:rStyle w:val="FootnoteReference"/>
        </w:rPr>
        <w:footnoteRef/>
      </w:r>
      <w:r>
        <w:rPr>
          <w:lang w:val="it-IT"/>
        </w:rPr>
        <w:tab/>
      </w:r>
      <w:r w:rsidR="00C364A0">
        <w:rPr>
          <w:lang w:val="it-IT"/>
        </w:rPr>
        <w:t>TI-364</w:t>
      </w:r>
      <w:r w:rsidRPr="00A87A2D">
        <w:rPr>
          <w:lang w:val="it-IT"/>
        </w:rPr>
        <w:t xml:space="preserve">, </w:t>
      </w:r>
      <w:r w:rsidR="0053644E">
        <w:rPr>
          <w:lang w:val="it-IT"/>
        </w:rPr>
        <w:t>TI-378</w:t>
      </w:r>
      <w:r w:rsidRPr="00A87A2D">
        <w:rPr>
          <w:lang w:val="it-IT"/>
        </w:rPr>
        <w:t xml:space="preserve">, TI-352, JI-175. </w:t>
      </w:r>
    </w:p>
  </w:footnote>
  <w:footnote w:id="317">
    <w:p w14:paraId="04D428DD"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https://ligue-iteka.bi/wp-content/uploads/2021/06/Lettre_au_President_Evariste_Ndayishimiye_du_18_juin_2021.pdf.</w:t>
      </w:r>
    </w:p>
  </w:footnote>
  <w:footnote w:id="318">
    <w:p w14:paraId="5A304BBF" w14:textId="77777777" w:rsidR="00925C2B" w:rsidRPr="002C02F1" w:rsidRDefault="00925C2B" w:rsidP="00617673">
      <w:pPr>
        <w:pStyle w:val="FootnoteText"/>
        <w:rPr>
          <w:lang w:val="fr-BE"/>
        </w:rPr>
      </w:pPr>
      <w:r w:rsidRPr="00FA45AB">
        <w:rPr>
          <w:lang w:val="it-IT"/>
        </w:rPr>
        <w:tab/>
      </w:r>
      <w:r>
        <w:rPr>
          <w:rStyle w:val="FootnoteReference"/>
        </w:rPr>
        <w:footnoteRef/>
      </w:r>
      <w:r>
        <w:rPr>
          <w:lang w:val="fr-CH"/>
        </w:rPr>
        <w:tab/>
      </w:r>
      <w:r w:rsidRPr="00965B5B">
        <w:rPr>
          <w:lang w:val="fr-CH"/>
        </w:rPr>
        <w:t xml:space="preserve">Voir </w:t>
      </w:r>
      <w:r>
        <w:rPr>
          <w:lang w:val="fr-CH"/>
        </w:rPr>
        <w:t xml:space="preserve">notamment l’étude détaillée de la Commission consacrée au dysfonctionnement du système judiciaire : A/HRC/39.CRP.1, par. </w:t>
      </w:r>
      <w:r w:rsidRPr="002C02F1">
        <w:rPr>
          <w:lang w:val="fr-BE"/>
        </w:rPr>
        <w:t>462-579.</w:t>
      </w:r>
    </w:p>
  </w:footnote>
  <w:footnote w:id="319">
    <w:p w14:paraId="09D6D7B3" w14:textId="03B77E00" w:rsidR="00925C2B" w:rsidRPr="00A87A2D" w:rsidRDefault="00925C2B" w:rsidP="00617673">
      <w:pPr>
        <w:pStyle w:val="FootnoteText"/>
        <w:rPr>
          <w:lang w:val="it-IT"/>
        </w:rPr>
      </w:pPr>
      <w:r w:rsidRPr="002C02F1">
        <w:rPr>
          <w:lang w:val="fr-BE"/>
        </w:rPr>
        <w:tab/>
      </w:r>
      <w:r>
        <w:rPr>
          <w:rStyle w:val="FootnoteReference"/>
        </w:rPr>
        <w:footnoteRef/>
      </w:r>
      <w:r>
        <w:rPr>
          <w:lang w:val="it-IT"/>
        </w:rPr>
        <w:tab/>
      </w:r>
      <w:r w:rsidRPr="00A87A2D">
        <w:rPr>
          <w:lang w:val="it-IT"/>
        </w:rPr>
        <w:t xml:space="preserve">JI-178, JI-180, CI-147, CI-149, CI-151, CI-152, CI-181, </w:t>
      </w:r>
      <w:r w:rsidR="00C364A0">
        <w:rPr>
          <w:lang w:val="it-IT"/>
        </w:rPr>
        <w:t>TI-361</w:t>
      </w:r>
      <w:r w:rsidRPr="00A87A2D">
        <w:rPr>
          <w:lang w:val="it-IT"/>
        </w:rPr>
        <w:t xml:space="preserve">, </w:t>
      </w:r>
      <w:r w:rsidR="00C364A0">
        <w:rPr>
          <w:lang w:val="it-IT"/>
        </w:rPr>
        <w:t>TI-364</w:t>
      </w:r>
      <w:r w:rsidRPr="00A87A2D">
        <w:rPr>
          <w:lang w:val="it-IT"/>
        </w:rPr>
        <w:t xml:space="preserve">, </w:t>
      </w:r>
      <w:r w:rsidR="00C364A0">
        <w:rPr>
          <w:lang w:val="it-IT"/>
        </w:rPr>
        <w:t>TI-368</w:t>
      </w:r>
      <w:r w:rsidRPr="00A87A2D">
        <w:rPr>
          <w:lang w:val="it-IT"/>
        </w:rPr>
        <w:t xml:space="preserve">, </w:t>
      </w:r>
      <w:r w:rsidR="0053644E">
        <w:rPr>
          <w:lang w:val="it-IT"/>
        </w:rPr>
        <w:t>TI-380</w:t>
      </w:r>
      <w:r w:rsidRPr="00A87A2D">
        <w:rPr>
          <w:lang w:val="it-IT"/>
        </w:rPr>
        <w:t xml:space="preserve">, </w:t>
      </w:r>
      <w:r w:rsidR="0053644E">
        <w:rPr>
          <w:lang w:val="it-IT"/>
        </w:rPr>
        <w:t>TI-381</w:t>
      </w:r>
      <w:r w:rsidRPr="00A87A2D">
        <w:rPr>
          <w:lang w:val="it-IT"/>
        </w:rPr>
        <w:t xml:space="preserve">, </w:t>
      </w:r>
      <w:r w:rsidR="0053644E">
        <w:rPr>
          <w:lang w:val="it-IT"/>
        </w:rPr>
        <w:t>TI-383</w:t>
      </w:r>
      <w:r w:rsidRPr="00A87A2D">
        <w:rPr>
          <w:lang w:val="it-IT"/>
        </w:rPr>
        <w:t>, HI-090.</w:t>
      </w:r>
    </w:p>
  </w:footnote>
  <w:footnote w:id="320">
    <w:p w14:paraId="121DA46E"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https://www.presidence.gov.bi/2020/10/02/le-president-ndayishimiye-ouvre-lannee-judiciaire-2020-2021/.</w:t>
      </w:r>
    </w:p>
  </w:footnote>
  <w:footnote w:id="321">
    <w:p w14:paraId="1639BE7F" w14:textId="77777777" w:rsidR="00925C2B" w:rsidRPr="00A87A2D" w:rsidRDefault="00925C2B" w:rsidP="00617673">
      <w:pPr>
        <w:pStyle w:val="FootnoteText"/>
        <w:rPr>
          <w:lang w:val="it-IT"/>
        </w:rPr>
      </w:pPr>
      <w:r>
        <w:rPr>
          <w:lang w:val="it-IT"/>
        </w:rPr>
        <w:tab/>
      </w:r>
      <w:r>
        <w:rPr>
          <w:rStyle w:val="FootnoteReference"/>
        </w:rPr>
        <w:footnoteRef/>
      </w:r>
      <w:r>
        <w:rPr>
          <w:lang w:val="it-IT"/>
        </w:rPr>
        <w:tab/>
      </w:r>
      <w:r w:rsidRPr="00A87A2D">
        <w:rPr>
          <w:lang w:val="it-IT"/>
        </w:rPr>
        <w:t>https://rtnb.bi/fr/art.php?idapi=5/2/33.</w:t>
      </w:r>
    </w:p>
  </w:footnote>
  <w:footnote w:id="322">
    <w:p w14:paraId="404DB9E5" w14:textId="77777777" w:rsidR="00925C2B" w:rsidRPr="000E5403" w:rsidRDefault="00925C2B" w:rsidP="00617673">
      <w:pPr>
        <w:pStyle w:val="FootnoteText"/>
        <w:rPr>
          <w:lang w:val="it-IT"/>
        </w:rPr>
      </w:pPr>
      <w:r>
        <w:rPr>
          <w:lang w:val="it-IT"/>
        </w:rPr>
        <w:tab/>
      </w:r>
      <w:r>
        <w:rPr>
          <w:rStyle w:val="FootnoteReference"/>
        </w:rPr>
        <w:footnoteRef/>
      </w:r>
      <w:r>
        <w:rPr>
          <w:lang w:val="it-IT"/>
        </w:rPr>
        <w:tab/>
      </w:r>
      <w:r w:rsidRPr="000E5403">
        <w:rPr>
          <w:lang w:val="it-IT"/>
        </w:rPr>
        <w:t>https://www.presidence.gov.bi/2021/08/24/le-chef-de-letat-anime-une-seance-de-moralisation-a-lendroit-du-corps-de-la-justice/.</w:t>
      </w:r>
    </w:p>
  </w:footnote>
  <w:footnote w:id="323">
    <w:p w14:paraId="00E16308" w14:textId="20C3D677" w:rsidR="00925C2B" w:rsidRPr="00287DC0" w:rsidRDefault="00925C2B" w:rsidP="00617673">
      <w:pPr>
        <w:pStyle w:val="FootnoteText"/>
        <w:rPr>
          <w:lang w:val="fr-CH"/>
        </w:rPr>
      </w:pPr>
      <w:r>
        <w:rPr>
          <w:lang w:val="it-IT"/>
        </w:rPr>
        <w:tab/>
      </w:r>
      <w:r>
        <w:rPr>
          <w:rStyle w:val="FootnoteReference"/>
        </w:rPr>
        <w:footnoteRef/>
      </w:r>
      <w:r w:rsidRPr="002C02F1">
        <w:rPr>
          <w:lang w:val="fr-BE"/>
        </w:rPr>
        <w:tab/>
      </w:r>
      <w:hyperlink r:id="rId77" w:history="1">
        <w:r w:rsidRPr="002C02F1">
          <w:rPr>
            <w:rStyle w:val="Hyperlink"/>
            <w:lang w:val="fr-BE"/>
          </w:rPr>
          <w:t>https://www.rfi.fr/fr/afrique/20210825-burundi-le-pr%C3%A9sident-evariste-ndayishimiye-s-en-prend-aux-juges-de-son-pays</w:t>
        </w:r>
      </w:hyperlink>
      <w:r w:rsidRPr="002C02F1">
        <w:rPr>
          <w:lang w:val="fr-BE"/>
        </w:rPr>
        <w:t>; qui contient un extrait de l’enregistrement de l’allocution du Président. Voir également</w:t>
      </w:r>
      <w:r>
        <w:rPr>
          <w:lang w:val="fr-BE"/>
        </w:rPr>
        <w:t xml:space="preserve"> </w:t>
      </w:r>
      <w:r w:rsidRPr="002C02F1">
        <w:rPr>
          <w:lang w:val="fr-BE"/>
        </w:rPr>
        <w:t>: https://www.presidence.gov.bi/2021/08/30/le-chef-de-letat-appelle-la-population-a-denoncer-les-proces-inequitables/.</w:t>
      </w:r>
    </w:p>
  </w:footnote>
  <w:footnote w:id="324">
    <w:p w14:paraId="61A0DF67" w14:textId="77777777" w:rsidR="00925C2B" w:rsidRPr="00965B5B" w:rsidRDefault="00925C2B" w:rsidP="00617673">
      <w:pPr>
        <w:pStyle w:val="FootnoteText"/>
        <w:rPr>
          <w:lang w:val="fr-CH"/>
        </w:rPr>
      </w:pPr>
      <w:r>
        <w:rPr>
          <w:lang w:val="fr-CH"/>
        </w:rPr>
        <w:tab/>
      </w:r>
      <w:r>
        <w:rPr>
          <w:rStyle w:val="FootnoteReference"/>
        </w:rPr>
        <w:footnoteRef/>
      </w:r>
      <w:r>
        <w:rPr>
          <w:lang w:val="fr-CH"/>
        </w:rPr>
        <w:tab/>
        <w:t>Voir Annexe III.</w:t>
      </w:r>
    </w:p>
  </w:footnote>
  <w:footnote w:id="325">
    <w:p w14:paraId="73A766C8" w14:textId="77777777" w:rsidR="00925C2B" w:rsidRPr="006315BA" w:rsidRDefault="00925C2B" w:rsidP="00617673">
      <w:pPr>
        <w:pStyle w:val="FootnoteText"/>
        <w:rPr>
          <w:lang w:val="fr-CH"/>
        </w:rPr>
      </w:pPr>
      <w:r>
        <w:rPr>
          <w:lang w:val="fr-CH"/>
        </w:rPr>
        <w:tab/>
      </w:r>
      <w:r>
        <w:rPr>
          <w:rStyle w:val="FootnoteReference"/>
        </w:rPr>
        <w:footnoteRef/>
      </w:r>
      <w:r>
        <w:rPr>
          <w:lang w:val="fr-CH"/>
        </w:rPr>
        <w:tab/>
      </w:r>
      <w:r w:rsidRPr="006315BA">
        <w:rPr>
          <w:lang w:val="fr-CH"/>
        </w:rPr>
        <w:t>https://rtnb.bi/fr/art.php?idapi=5/1/237</w:t>
      </w:r>
      <w:r>
        <w:rPr>
          <w:lang w:val="fr-CH"/>
        </w:rPr>
        <w:t>.</w:t>
      </w:r>
    </w:p>
  </w:footnote>
  <w:footnote w:id="326">
    <w:p w14:paraId="781EEF54" w14:textId="77777777" w:rsidR="00925C2B" w:rsidRPr="00B7410D" w:rsidRDefault="00925C2B" w:rsidP="00617673">
      <w:pPr>
        <w:pStyle w:val="FootnoteText"/>
        <w:rPr>
          <w:lang w:val="fr-CH"/>
        </w:rPr>
      </w:pPr>
      <w:r>
        <w:rPr>
          <w:lang w:val="fr-CH"/>
        </w:rPr>
        <w:tab/>
      </w:r>
      <w:r>
        <w:rPr>
          <w:rStyle w:val="FootnoteReference"/>
        </w:rPr>
        <w:footnoteRef/>
      </w:r>
      <w:r>
        <w:rPr>
          <w:lang w:val="fr-CH"/>
        </w:rPr>
        <w:tab/>
      </w:r>
      <w:hyperlink r:id="rId78" w:history="1">
        <w:r w:rsidRPr="00B55BF1">
          <w:rPr>
            <w:rStyle w:val="Hyperlink"/>
            <w:lang w:val="fr-CH"/>
          </w:rPr>
          <w:t>http://provincegitega.gov.bi/index.php/81-actualites/941-la-ministre-de-la-justice-manifeste-sa-delicatesse-aux-prisonnieres-victimes-de-l-incendie-survenu-dans-la-prison-centrale-de-gitega</w:t>
        </w:r>
      </w:hyperlink>
      <w:r>
        <w:rPr>
          <w:lang w:val="fr-CH"/>
        </w:rPr>
        <w:t xml:space="preserve">, voir également : </w:t>
      </w:r>
      <w:r w:rsidRPr="000B0A00">
        <w:rPr>
          <w:lang w:val="fr-CH"/>
        </w:rPr>
        <w:t>https://www.iwacu-burundi.org/incendie-a-la-prison-de-gitega-le-ministre-de-la-justice-au-secours-des-sinistres/</w:t>
      </w:r>
      <w:r>
        <w:rPr>
          <w:lang w:val="fr-CH"/>
        </w:rPr>
        <w:t>.</w:t>
      </w:r>
    </w:p>
  </w:footnote>
  <w:footnote w:id="327">
    <w:p w14:paraId="55D06047" w14:textId="1928D2B3" w:rsidR="00925C2B" w:rsidRPr="00965B5B" w:rsidRDefault="00925C2B" w:rsidP="00617673">
      <w:pPr>
        <w:pStyle w:val="FootnoteText"/>
        <w:rPr>
          <w:lang w:val="fr-CH"/>
        </w:rPr>
      </w:pPr>
      <w:r>
        <w:rPr>
          <w:lang w:val="fr-CH"/>
        </w:rPr>
        <w:tab/>
      </w:r>
      <w:r>
        <w:rPr>
          <w:rStyle w:val="FootnoteReference"/>
        </w:rPr>
        <w:footnoteRef/>
      </w:r>
      <w:r>
        <w:rPr>
          <w:lang w:val="fr-CH"/>
        </w:rPr>
        <w:tab/>
        <w:t xml:space="preserve">Voir par. 267-277 du présent </w:t>
      </w:r>
      <w:r w:rsidR="000321EF">
        <w:rPr>
          <w:lang w:val="fr-CH"/>
        </w:rPr>
        <w:t>document</w:t>
      </w:r>
      <w:r>
        <w:rPr>
          <w:lang w:val="fr-CH"/>
        </w:rPr>
        <w:t>.</w:t>
      </w:r>
    </w:p>
  </w:footnote>
  <w:footnote w:id="328">
    <w:p w14:paraId="360A59E3" w14:textId="39773C43" w:rsidR="00925C2B" w:rsidRPr="00012213" w:rsidRDefault="00925C2B" w:rsidP="00617673">
      <w:pPr>
        <w:pStyle w:val="FootnoteText"/>
        <w:rPr>
          <w:lang w:val="fr-CH"/>
        </w:rPr>
      </w:pPr>
      <w:r>
        <w:rPr>
          <w:lang w:val="fr-CH"/>
        </w:rPr>
        <w:tab/>
      </w:r>
      <w:r>
        <w:rPr>
          <w:rStyle w:val="FootnoteReference"/>
        </w:rPr>
        <w:footnoteRef/>
      </w:r>
      <w:r>
        <w:rPr>
          <w:lang w:val="fr-CH"/>
        </w:rPr>
        <w:tab/>
        <w:t>Loi n°</w:t>
      </w:r>
      <w:r w:rsidRPr="00012213">
        <w:rPr>
          <w:lang w:val="fr-CH"/>
        </w:rPr>
        <w:t xml:space="preserve"> 1/03 du 23 janvier 2021 portant </w:t>
      </w:r>
      <w:r>
        <w:rPr>
          <w:lang w:val="fr-CH"/>
        </w:rPr>
        <w:t>c</w:t>
      </w:r>
      <w:r w:rsidRPr="00012213">
        <w:rPr>
          <w:lang w:val="fr-CH"/>
        </w:rPr>
        <w:t xml:space="preserve">omplément des </w:t>
      </w:r>
      <w:r>
        <w:rPr>
          <w:lang w:val="fr-CH"/>
        </w:rPr>
        <w:t>d</w:t>
      </w:r>
      <w:r w:rsidRPr="00012213">
        <w:rPr>
          <w:lang w:val="fr-CH"/>
        </w:rPr>
        <w:t xml:space="preserve">ispositions du Code de </w:t>
      </w:r>
      <w:r>
        <w:rPr>
          <w:lang w:val="fr-CH"/>
        </w:rPr>
        <w:t>p</w:t>
      </w:r>
      <w:r w:rsidRPr="00012213">
        <w:rPr>
          <w:lang w:val="fr-CH"/>
        </w:rPr>
        <w:t xml:space="preserve">rocédure </w:t>
      </w:r>
      <w:r>
        <w:rPr>
          <w:lang w:val="fr-CH"/>
        </w:rPr>
        <w:t>c</w:t>
      </w:r>
      <w:r w:rsidRPr="00012213">
        <w:rPr>
          <w:lang w:val="fr-CH"/>
        </w:rPr>
        <w:t xml:space="preserve">ivile </w:t>
      </w:r>
      <w:r>
        <w:rPr>
          <w:lang w:val="fr-CH"/>
        </w:rPr>
        <w:t>r</w:t>
      </w:r>
      <w:r w:rsidRPr="00012213">
        <w:rPr>
          <w:lang w:val="fr-CH"/>
        </w:rPr>
        <w:t xml:space="preserve">elative à la </w:t>
      </w:r>
      <w:r>
        <w:rPr>
          <w:lang w:val="fr-CH"/>
        </w:rPr>
        <w:t>ré-</w:t>
      </w:r>
      <w:r w:rsidRPr="00012213">
        <w:rPr>
          <w:lang w:val="fr-CH"/>
        </w:rPr>
        <w:t xml:space="preserve">institution du </w:t>
      </w:r>
      <w:r>
        <w:rPr>
          <w:lang w:val="fr-CH"/>
        </w:rPr>
        <w:t>conseil des notables de la c</w:t>
      </w:r>
      <w:r w:rsidRPr="00012213">
        <w:rPr>
          <w:lang w:val="fr-CH"/>
        </w:rPr>
        <w:t>olline</w:t>
      </w:r>
      <w:r>
        <w:rPr>
          <w:lang w:val="fr-CH"/>
        </w:rPr>
        <w:t xml:space="preserve">, voir : </w:t>
      </w:r>
      <w:r w:rsidRPr="00012213">
        <w:rPr>
          <w:lang w:val="fr-CH"/>
        </w:rPr>
        <w:t>https://www.presidence.gov.bi/2021/02/02/loi-no-1-03-du-23-janvier-2021-portant-complement-des-dispositions-du-code-de-procedure-civile-relative-a-la-reinstitution-du-conseil-des-notables-de-la-colline/</w:t>
      </w:r>
      <w:r>
        <w:rPr>
          <w:lang w:val="fr-CH"/>
        </w:rPr>
        <w:t>.</w:t>
      </w:r>
    </w:p>
  </w:footnote>
  <w:footnote w:id="329">
    <w:p w14:paraId="462727FD" w14:textId="77777777" w:rsidR="00925C2B" w:rsidRPr="00D8366F" w:rsidRDefault="00925C2B" w:rsidP="00617673">
      <w:pPr>
        <w:pStyle w:val="FootnoteText"/>
        <w:rPr>
          <w:lang w:val="fr-CH"/>
        </w:rPr>
      </w:pPr>
      <w:r>
        <w:rPr>
          <w:lang w:val="fr-CH"/>
        </w:rPr>
        <w:tab/>
      </w:r>
      <w:r>
        <w:rPr>
          <w:rStyle w:val="FootnoteReference"/>
        </w:rPr>
        <w:footnoteRef/>
      </w:r>
      <w:r>
        <w:rPr>
          <w:lang w:val="fr-CH"/>
        </w:rPr>
        <w:tab/>
        <w:t>Article 5 de la loi n°1/03 du 23 janvier 2021.</w:t>
      </w:r>
    </w:p>
  </w:footnote>
  <w:footnote w:id="330">
    <w:p w14:paraId="6735FC89" w14:textId="77777777" w:rsidR="00925C2B" w:rsidRPr="00D8366F" w:rsidRDefault="00925C2B" w:rsidP="00617673">
      <w:pPr>
        <w:pStyle w:val="FootnoteText"/>
        <w:rPr>
          <w:lang w:val="fr-CH"/>
        </w:rPr>
      </w:pPr>
      <w:r>
        <w:rPr>
          <w:lang w:val="fr-CH"/>
        </w:rPr>
        <w:tab/>
      </w:r>
      <w:r>
        <w:rPr>
          <w:rStyle w:val="FootnoteReference"/>
        </w:rPr>
        <w:footnoteRef/>
      </w:r>
      <w:r>
        <w:rPr>
          <w:lang w:val="fr-CH"/>
        </w:rPr>
        <w:tab/>
        <w:t>Article 6 de la loi n°1/03 du 23 janvier 2021.</w:t>
      </w:r>
    </w:p>
  </w:footnote>
  <w:footnote w:id="331">
    <w:p w14:paraId="1D25F5A1" w14:textId="77777777" w:rsidR="00925C2B" w:rsidRPr="00866000" w:rsidRDefault="00925C2B" w:rsidP="00617673">
      <w:pPr>
        <w:pStyle w:val="FootnoteText"/>
        <w:rPr>
          <w:lang w:val="fr-CH"/>
        </w:rPr>
      </w:pPr>
      <w:r>
        <w:rPr>
          <w:lang w:val="fr-CH"/>
        </w:rPr>
        <w:tab/>
      </w:r>
      <w:r>
        <w:rPr>
          <w:rStyle w:val="FootnoteReference"/>
        </w:rPr>
        <w:footnoteRef/>
      </w:r>
      <w:r>
        <w:rPr>
          <w:lang w:val="fr-CH"/>
        </w:rPr>
        <w:tab/>
        <w:t>Article 13 de la loi n°1/03 du 23 janvier 2021.</w:t>
      </w:r>
    </w:p>
  </w:footnote>
  <w:footnote w:id="332">
    <w:p w14:paraId="544CDD81" w14:textId="77777777" w:rsidR="00925C2B" w:rsidRPr="00866000" w:rsidRDefault="00925C2B" w:rsidP="00617673">
      <w:pPr>
        <w:pStyle w:val="FootnoteText"/>
        <w:rPr>
          <w:lang w:val="fr-CH"/>
        </w:rPr>
      </w:pPr>
      <w:r>
        <w:rPr>
          <w:lang w:val="fr-CH"/>
        </w:rPr>
        <w:tab/>
      </w:r>
      <w:r>
        <w:rPr>
          <w:rStyle w:val="FootnoteReference"/>
        </w:rPr>
        <w:footnoteRef/>
      </w:r>
      <w:r>
        <w:rPr>
          <w:lang w:val="fr-CH"/>
        </w:rPr>
        <w:tab/>
        <w:t>Articles 14, 25 et 16 de la loi n°1/03 du 23 janvier 2021.</w:t>
      </w:r>
    </w:p>
  </w:footnote>
  <w:footnote w:id="333">
    <w:p w14:paraId="23DA8AA9" w14:textId="77777777" w:rsidR="00925C2B" w:rsidRPr="00A20D1A" w:rsidRDefault="00925C2B" w:rsidP="00617673">
      <w:pPr>
        <w:pStyle w:val="FootnoteText"/>
        <w:rPr>
          <w:lang w:val="fr-CH"/>
        </w:rPr>
      </w:pPr>
      <w:r>
        <w:rPr>
          <w:lang w:val="fr-CH"/>
        </w:rPr>
        <w:tab/>
      </w:r>
      <w:r>
        <w:rPr>
          <w:rStyle w:val="FootnoteReference"/>
        </w:rPr>
        <w:footnoteRef/>
      </w:r>
      <w:r>
        <w:rPr>
          <w:lang w:val="fr-CH"/>
        </w:rPr>
        <w:tab/>
        <w:t xml:space="preserve">Aucune disposition de la loi n’empêche les titulaires d’autres charges électives ou professionnelles de se présenter et d’être élus comme membre des conseils de notables collinaires. </w:t>
      </w:r>
    </w:p>
  </w:footnote>
  <w:footnote w:id="334">
    <w:p w14:paraId="12064559" w14:textId="77777777" w:rsidR="00925C2B" w:rsidRPr="007F032A" w:rsidRDefault="00925C2B" w:rsidP="00617673">
      <w:pPr>
        <w:pStyle w:val="FootnoteText"/>
        <w:rPr>
          <w:lang w:val="fr-CH"/>
        </w:rPr>
      </w:pPr>
      <w:r>
        <w:rPr>
          <w:lang w:val="fr-CH"/>
        </w:rPr>
        <w:tab/>
      </w:r>
      <w:r>
        <w:rPr>
          <w:rStyle w:val="FootnoteReference"/>
        </w:rPr>
        <w:footnoteRef/>
      </w:r>
      <w:r>
        <w:rPr>
          <w:lang w:val="fr-CH"/>
        </w:rPr>
        <w:tab/>
        <w:t>Voir A/HRC/39/CRP.1, par. 508-510.</w:t>
      </w:r>
    </w:p>
  </w:footnote>
  <w:footnote w:id="335">
    <w:p w14:paraId="159F138B" w14:textId="77777777" w:rsidR="00925C2B" w:rsidRPr="00B46BF5" w:rsidRDefault="00925C2B" w:rsidP="00617673">
      <w:pPr>
        <w:pStyle w:val="FootnoteText"/>
        <w:rPr>
          <w:lang w:val="fr-CH"/>
        </w:rPr>
      </w:pPr>
      <w:r>
        <w:rPr>
          <w:lang w:val="fr-CH"/>
        </w:rPr>
        <w:tab/>
      </w:r>
      <w:r>
        <w:rPr>
          <w:rStyle w:val="FootnoteReference"/>
        </w:rPr>
        <w:footnoteRef/>
      </w:r>
      <w:r>
        <w:rPr>
          <w:lang w:val="fr-CH"/>
        </w:rPr>
        <w:tab/>
        <w:t xml:space="preserve">Loi n° 1/02 du 23 janvier 2021 portant modification de la loi organique n°1/13 du 12 juin 2019 </w:t>
      </w:r>
      <w:r w:rsidRPr="00B46BF5">
        <w:rPr>
          <w:lang w:val="fr-CH"/>
        </w:rPr>
        <w:t>portant organisation et fonctionnement du Conseil supérieur de la magistrature</w:t>
      </w:r>
      <w:r>
        <w:rPr>
          <w:lang w:val="fr-CH"/>
        </w:rPr>
        <w:t xml:space="preserve">, voir </w:t>
      </w:r>
      <w:r w:rsidRPr="00620EA2">
        <w:rPr>
          <w:lang w:val="fr-CH"/>
        </w:rPr>
        <w:t>https://www.assemblee.bi/IMG/pdf/N%C2%B02_du_23_janvier_2021.pdf</w:t>
      </w:r>
    </w:p>
  </w:footnote>
  <w:footnote w:id="336">
    <w:p w14:paraId="12BD756B" w14:textId="77777777" w:rsidR="00925C2B" w:rsidRPr="00620EA2" w:rsidRDefault="00925C2B" w:rsidP="00617673">
      <w:pPr>
        <w:pStyle w:val="FootnoteText"/>
        <w:rPr>
          <w:lang w:val="fr-CH"/>
        </w:rPr>
      </w:pPr>
      <w:r>
        <w:rPr>
          <w:lang w:val="fr-CH"/>
        </w:rPr>
        <w:tab/>
      </w:r>
      <w:r>
        <w:rPr>
          <w:rStyle w:val="FootnoteReference"/>
        </w:rPr>
        <w:footnoteRef/>
      </w:r>
      <w:r>
        <w:rPr>
          <w:lang w:val="fr-CH"/>
        </w:rPr>
        <w:tab/>
        <w:t>Article 3 (7) et (8) de la loi n°1/02 du 23 janvier 2021.</w:t>
      </w:r>
    </w:p>
  </w:footnote>
  <w:footnote w:id="337">
    <w:p w14:paraId="094E4D03" w14:textId="77777777" w:rsidR="00925C2B" w:rsidRPr="00DD16D8" w:rsidRDefault="00925C2B" w:rsidP="00617673">
      <w:pPr>
        <w:pStyle w:val="FootnoteText"/>
        <w:rPr>
          <w:lang w:val="fr-CH"/>
        </w:rPr>
      </w:pPr>
      <w:r>
        <w:rPr>
          <w:lang w:val="fr-CH"/>
        </w:rPr>
        <w:tab/>
      </w:r>
      <w:r>
        <w:rPr>
          <w:rStyle w:val="FootnoteReference"/>
        </w:rPr>
        <w:footnoteRef/>
      </w:r>
      <w:r>
        <w:rPr>
          <w:lang w:val="fr-CH"/>
        </w:rPr>
        <w:tab/>
      </w:r>
      <w:r w:rsidRPr="00DD16D8">
        <w:rPr>
          <w:lang w:val="fr-CH"/>
        </w:rPr>
        <w:t>https://www.assemblee.bi/spip.php?article2247</w:t>
      </w:r>
      <w:r>
        <w:rPr>
          <w:lang w:val="fr-CH"/>
        </w:rPr>
        <w:t>.</w:t>
      </w:r>
    </w:p>
  </w:footnote>
  <w:footnote w:id="338">
    <w:p w14:paraId="1BED15FA" w14:textId="77777777" w:rsidR="00925C2B" w:rsidRPr="00DC3D76" w:rsidRDefault="00925C2B" w:rsidP="00617673">
      <w:pPr>
        <w:pStyle w:val="FootnoteText"/>
        <w:rPr>
          <w:lang w:val="fr-CH"/>
        </w:rPr>
      </w:pPr>
      <w:r>
        <w:rPr>
          <w:lang w:val="fr-CH"/>
        </w:rPr>
        <w:tab/>
      </w:r>
      <w:r>
        <w:rPr>
          <w:rStyle w:val="FootnoteReference"/>
        </w:rPr>
        <w:footnoteRef/>
      </w:r>
      <w:r>
        <w:rPr>
          <w:lang w:val="fr-CH"/>
        </w:rPr>
        <w:tab/>
      </w:r>
      <w:r>
        <w:rPr>
          <w:lang w:val="fr-CH"/>
        </w:rPr>
        <w:tab/>
        <w:t>Voir document en annexe V.</w:t>
      </w:r>
    </w:p>
  </w:footnote>
  <w:footnote w:id="339">
    <w:p w14:paraId="7170DFE6" w14:textId="36A47F1D" w:rsidR="00925C2B" w:rsidRPr="00DC3D76" w:rsidRDefault="00925C2B" w:rsidP="00D622AD">
      <w:pPr>
        <w:pStyle w:val="FootnoteText"/>
        <w:rPr>
          <w:lang w:val="fr-CH"/>
        </w:rPr>
      </w:pPr>
      <w:r>
        <w:rPr>
          <w:lang w:val="fr-CH"/>
        </w:rPr>
        <w:tab/>
      </w:r>
      <w:r>
        <w:rPr>
          <w:rStyle w:val="FootnoteReference"/>
        </w:rPr>
        <w:footnoteRef/>
      </w:r>
      <w:r>
        <w:rPr>
          <w:lang w:val="fr-CH"/>
        </w:rPr>
        <w:tab/>
      </w:r>
      <w:hyperlink r:id="rId79" w:history="1">
        <w:r w:rsidRPr="009E262E">
          <w:rPr>
            <w:rStyle w:val="Hyperlink"/>
            <w:lang w:val="fr-CH"/>
          </w:rPr>
          <w:t>https://rtnb.bi/fr/art.php?idapi=5/1/244</w:t>
        </w:r>
      </w:hyperlink>
      <w:r>
        <w:rPr>
          <w:lang w:val="fr-CH"/>
        </w:rPr>
        <w:t xml:space="preserve">, </w:t>
      </w:r>
      <w:hyperlink r:id="rId80" w:history="1">
        <w:r w:rsidRPr="009E262E">
          <w:rPr>
            <w:rStyle w:val="Hyperlink"/>
            <w:lang w:val="fr-CH"/>
          </w:rPr>
          <w:t>https://rtnb.bi/fr/art.php?idapi=5/1/238</w:t>
        </w:r>
      </w:hyperlink>
      <w:r>
        <w:rPr>
          <w:lang w:val="fr-CH"/>
        </w:rPr>
        <w:t xml:space="preserve">, </w:t>
      </w:r>
      <w:hyperlink r:id="rId81" w:history="1">
        <w:r w:rsidRPr="009E262E">
          <w:rPr>
            <w:rStyle w:val="Hyperlink"/>
            <w:lang w:val="fr-CH"/>
          </w:rPr>
          <w:t>https://rtnb.bi/fr/art.php?idapi=5/1/237</w:t>
        </w:r>
      </w:hyperlink>
      <w:r>
        <w:rPr>
          <w:lang w:val="fr-CH"/>
        </w:rPr>
        <w:t xml:space="preserve">. </w:t>
      </w:r>
    </w:p>
  </w:footnote>
  <w:footnote w:id="340">
    <w:p w14:paraId="124A70B8" w14:textId="77777777" w:rsidR="00925C2B" w:rsidRPr="00F81C6E" w:rsidRDefault="00925C2B" w:rsidP="00D622AD">
      <w:pPr>
        <w:pStyle w:val="FootnoteText"/>
        <w:rPr>
          <w:lang w:val="fr-CH"/>
        </w:rPr>
      </w:pPr>
      <w:r>
        <w:rPr>
          <w:lang w:val="fr-CH"/>
        </w:rPr>
        <w:tab/>
      </w:r>
      <w:r>
        <w:rPr>
          <w:rStyle w:val="FootnoteReference"/>
        </w:rPr>
        <w:footnoteRef/>
      </w:r>
      <w:r>
        <w:rPr>
          <w:lang w:val="fr-CH"/>
        </w:rPr>
        <w:tab/>
      </w:r>
      <w:r w:rsidRPr="00F81C6E">
        <w:rPr>
          <w:lang w:val="fr-CH"/>
        </w:rPr>
        <w:t>https://rtnb.bi/fr/art.php?idapi=5/1/244</w:t>
      </w:r>
      <w:r>
        <w:rPr>
          <w:lang w:val="fr-CH"/>
        </w:rPr>
        <w:t>.</w:t>
      </w:r>
    </w:p>
  </w:footnote>
  <w:footnote w:id="341">
    <w:p w14:paraId="4CD3078D" w14:textId="77777777" w:rsidR="00925C2B" w:rsidRPr="004820ED" w:rsidRDefault="00925C2B" w:rsidP="000D23DD">
      <w:pPr>
        <w:pStyle w:val="FootnoteText"/>
        <w:tabs>
          <w:tab w:val="clear" w:pos="1021"/>
          <w:tab w:val="right" w:pos="0"/>
          <w:tab w:val="left" w:pos="709"/>
          <w:tab w:val="left" w:pos="851"/>
          <w:tab w:val="left" w:pos="1134"/>
          <w:tab w:val="left" w:pos="1418"/>
        </w:tabs>
        <w:ind w:left="0" w:firstLine="0"/>
        <w:rPr>
          <w:lang w:val="fr-CH"/>
        </w:rPr>
      </w:pPr>
      <w:r>
        <w:rPr>
          <w:lang w:val="fr-CH"/>
        </w:rPr>
        <w:tab/>
      </w:r>
      <w:r>
        <w:rPr>
          <w:lang w:val="fr-CH"/>
        </w:rPr>
        <w:tab/>
      </w:r>
      <w:r>
        <w:rPr>
          <w:rStyle w:val="FootnoteReference"/>
        </w:rPr>
        <w:footnoteRef/>
      </w:r>
      <w:r>
        <w:rPr>
          <w:lang w:val="fr-CH"/>
        </w:rPr>
        <w:tab/>
      </w:r>
      <w:r w:rsidRPr="004820ED">
        <w:rPr>
          <w:lang w:val="fr-CH"/>
        </w:rPr>
        <w:t>https://www.iwacu-burundi.org/le-judiciaire-ecrase-sous-le-poids-de-lexecutif/</w:t>
      </w:r>
      <w:r>
        <w:rPr>
          <w:lang w:val="fr-CH"/>
        </w:rPr>
        <w:t>.</w:t>
      </w:r>
    </w:p>
  </w:footnote>
  <w:footnote w:id="342">
    <w:p w14:paraId="56D59BB7" w14:textId="77777777" w:rsidR="00925C2B" w:rsidRPr="004820ED" w:rsidRDefault="00925C2B" w:rsidP="00617673">
      <w:pPr>
        <w:pStyle w:val="FootnoteText"/>
        <w:rPr>
          <w:lang w:val="fr-CH"/>
        </w:rPr>
      </w:pPr>
      <w:r>
        <w:rPr>
          <w:lang w:val="fr-CH"/>
        </w:rPr>
        <w:tab/>
      </w:r>
      <w:r>
        <w:rPr>
          <w:rStyle w:val="FootnoteReference"/>
        </w:rPr>
        <w:footnoteRef/>
      </w:r>
      <w:r>
        <w:rPr>
          <w:lang w:val="fr-CH"/>
        </w:rPr>
        <w:tab/>
      </w:r>
      <w:r w:rsidRPr="004820ED">
        <w:rPr>
          <w:lang w:val="fr-CH"/>
        </w:rPr>
        <w:t>https://www.iwacu-burundi.org/le-judiciaire-ecrase-sous-le-poids-de-lexecutif/</w:t>
      </w:r>
      <w:r>
        <w:rPr>
          <w:lang w:val="fr-CH"/>
        </w:rPr>
        <w:t>.</w:t>
      </w:r>
    </w:p>
  </w:footnote>
  <w:footnote w:id="343">
    <w:p w14:paraId="5BC3A01C" w14:textId="77777777" w:rsidR="00925C2B" w:rsidRPr="00855819" w:rsidRDefault="00925C2B" w:rsidP="00617673">
      <w:pPr>
        <w:pStyle w:val="FootnoteText"/>
        <w:rPr>
          <w:lang w:val="fr-CH"/>
        </w:rPr>
      </w:pPr>
      <w:r>
        <w:rPr>
          <w:lang w:val="fr-CH"/>
        </w:rPr>
        <w:tab/>
      </w:r>
      <w:r>
        <w:rPr>
          <w:rStyle w:val="FootnoteReference"/>
        </w:rPr>
        <w:footnoteRef/>
      </w:r>
      <w:r>
        <w:rPr>
          <w:lang w:val="fr-CH"/>
        </w:rPr>
        <w:tab/>
      </w:r>
      <w:r w:rsidRPr="00855819">
        <w:rPr>
          <w:lang w:val="fr-CH"/>
        </w:rPr>
        <w:t>https://www.assemblee.bi/spip.php?article2334</w:t>
      </w:r>
      <w:r>
        <w:rPr>
          <w:lang w:val="fr-CH"/>
        </w:rPr>
        <w:t>.</w:t>
      </w:r>
    </w:p>
  </w:footnote>
  <w:footnote w:id="344">
    <w:p w14:paraId="7AE229D6" w14:textId="77777777" w:rsidR="00925C2B" w:rsidRPr="00DC0D88" w:rsidRDefault="00925C2B" w:rsidP="00617673">
      <w:pPr>
        <w:pStyle w:val="FootnoteText"/>
        <w:rPr>
          <w:lang w:val="fr-CH"/>
        </w:rPr>
      </w:pPr>
      <w:r>
        <w:rPr>
          <w:lang w:val="fr-CH"/>
        </w:rPr>
        <w:tab/>
      </w:r>
      <w:r>
        <w:rPr>
          <w:rStyle w:val="FootnoteReference"/>
        </w:rPr>
        <w:footnoteRef/>
      </w:r>
      <w:r>
        <w:rPr>
          <w:lang w:val="fr-CH"/>
        </w:rPr>
        <w:tab/>
      </w:r>
      <w:hyperlink r:id="rId82" w:history="1">
        <w:r w:rsidRPr="006075CC">
          <w:rPr>
            <w:rStyle w:val="Hyperlink"/>
            <w:lang w:val="fr-CH"/>
          </w:rPr>
          <w:t>https://www.presidence.gov.bi/2020/12/11/le-compte-rendu-du-conseil-des-ministres-du-09-decembre-2020/</w:t>
        </w:r>
      </w:hyperlink>
      <w:r>
        <w:rPr>
          <w:lang w:val="fr-CH"/>
        </w:rPr>
        <w:t xml:space="preserve">, </w:t>
      </w:r>
      <w:r w:rsidRPr="005C00F3">
        <w:rPr>
          <w:lang w:val="fr-CH"/>
        </w:rPr>
        <w:t>https://www.assemblee.bi/spip.php?article2334</w:t>
      </w:r>
      <w:r>
        <w:rPr>
          <w:lang w:val="fr-CH"/>
        </w:rPr>
        <w:t>.</w:t>
      </w:r>
    </w:p>
  </w:footnote>
  <w:footnote w:id="345">
    <w:p w14:paraId="516BE483" w14:textId="77777777" w:rsidR="00925C2B" w:rsidRPr="0015721F" w:rsidRDefault="00925C2B" w:rsidP="00617673">
      <w:pPr>
        <w:pStyle w:val="FootnoteText"/>
        <w:rPr>
          <w:lang w:val="fr-CH"/>
        </w:rPr>
      </w:pPr>
      <w:r>
        <w:rPr>
          <w:lang w:val="fr-CH"/>
        </w:rPr>
        <w:tab/>
      </w:r>
      <w:r>
        <w:rPr>
          <w:rStyle w:val="FootnoteReference"/>
        </w:rPr>
        <w:footnoteRef/>
      </w:r>
      <w:r>
        <w:rPr>
          <w:lang w:val="fr-CH"/>
        </w:rPr>
        <w:tab/>
      </w:r>
      <w:hyperlink r:id="rId83" w:history="1">
        <w:r w:rsidRPr="00A445EE">
          <w:rPr>
            <w:rStyle w:val="Hyperlink"/>
            <w:lang w:val="fr-CH"/>
          </w:rPr>
          <w:t>http://olucome.bi/IMG/pdf/-181.pdf</w:t>
        </w:r>
      </w:hyperlink>
      <w:r>
        <w:rPr>
          <w:lang w:val="fr-CH"/>
        </w:rPr>
        <w:t xml:space="preserve">, et </w:t>
      </w:r>
      <w:r w:rsidRPr="00D22811">
        <w:rPr>
          <w:lang w:val="fr-CH"/>
        </w:rPr>
        <w:t>https://twitter.com/olucome_burundi/status/1387457814327664644?s=20</w:t>
      </w:r>
      <w:r>
        <w:rPr>
          <w:lang w:val="fr-CH"/>
        </w:rPr>
        <w:t>.</w:t>
      </w:r>
    </w:p>
  </w:footnote>
  <w:footnote w:id="346">
    <w:p w14:paraId="332A537A" w14:textId="6873EF97" w:rsidR="00925C2B" w:rsidRPr="00D22811" w:rsidRDefault="00925C2B" w:rsidP="00617673">
      <w:pPr>
        <w:pStyle w:val="FootnoteText"/>
        <w:rPr>
          <w:lang w:val="fr-CH"/>
        </w:rPr>
      </w:pPr>
      <w:r>
        <w:rPr>
          <w:lang w:val="fr-CH"/>
        </w:rPr>
        <w:tab/>
      </w:r>
      <w:r>
        <w:rPr>
          <w:rStyle w:val="FootnoteReference"/>
        </w:rPr>
        <w:footnoteRef/>
      </w:r>
      <w:r>
        <w:rPr>
          <w:lang w:val="fr-CH"/>
        </w:rPr>
        <w:tab/>
      </w:r>
      <w:hyperlink r:id="rId84" w:history="1">
        <w:r w:rsidRPr="006A09C9">
          <w:rPr>
            <w:rStyle w:val="Hyperlink"/>
            <w:lang w:val="fr-CH"/>
          </w:rPr>
          <w:t>https://twitter.com/olucome_burundi/status/1388130340301049861?s=20</w:t>
        </w:r>
      </w:hyperlink>
      <w:r>
        <w:rPr>
          <w:lang w:val="fr-CH"/>
        </w:rPr>
        <w:t xml:space="preserve">. </w:t>
      </w:r>
    </w:p>
  </w:footnote>
  <w:footnote w:id="347">
    <w:p w14:paraId="79D139A5" w14:textId="77777777" w:rsidR="00925C2B" w:rsidRPr="002B1F94" w:rsidRDefault="00925C2B" w:rsidP="00617673">
      <w:pPr>
        <w:pStyle w:val="FootnoteText"/>
        <w:rPr>
          <w:lang w:val="fr-FR"/>
        </w:rPr>
      </w:pPr>
      <w:r>
        <w:rPr>
          <w:lang w:val="fr-FR"/>
        </w:rPr>
        <w:tab/>
      </w:r>
      <w:r>
        <w:rPr>
          <w:rStyle w:val="FootnoteReference"/>
        </w:rPr>
        <w:footnoteRef/>
      </w:r>
      <w:r>
        <w:rPr>
          <w:lang w:val="fr-FR"/>
        </w:rPr>
        <w:tab/>
        <w:t>Voir A/HRC/45/CRP.1, par. 268.</w:t>
      </w:r>
    </w:p>
  </w:footnote>
  <w:footnote w:id="348">
    <w:p w14:paraId="6A9D7656" w14:textId="4E27C93C" w:rsidR="00925C2B" w:rsidRPr="003606C8" w:rsidRDefault="00925C2B" w:rsidP="00617673">
      <w:pPr>
        <w:pStyle w:val="FootnoteText"/>
        <w:rPr>
          <w:lang w:val="fr-CH"/>
        </w:rPr>
      </w:pPr>
      <w:r>
        <w:rPr>
          <w:lang w:val="fr-CH"/>
        </w:rPr>
        <w:tab/>
      </w:r>
      <w:r>
        <w:rPr>
          <w:rStyle w:val="FootnoteReference"/>
        </w:rPr>
        <w:footnoteRef/>
      </w:r>
      <w:r>
        <w:rPr>
          <w:lang w:val="fr-CH"/>
        </w:rPr>
        <w:tab/>
      </w:r>
      <w:hyperlink r:id="rId85" w:history="1">
        <w:r w:rsidRPr="00A27DC8">
          <w:rPr>
            <w:rStyle w:val="Hyperlink"/>
            <w:lang w:val="fr-CH"/>
          </w:rPr>
          <w:t>https://www.presidence.gov.bi/2021/06/21/le-representant-de-lunion-europeenne-annonce-la-revocation-de-larticle-suspendant-la-cooperation-financiere-au-burundi/</w:t>
        </w:r>
      </w:hyperlink>
      <w:r>
        <w:rPr>
          <w:lang w:val="fr-CH"/>
        </w:rPr>
        <w:t xml:space="preserve">, </w:t>
      </w:r>
      <w:hyperlink r:id="rId86" w:history="1">
        <w:r w:rsidRPr="00A27DC8">
          <w:rPr>
            <w:rStyle w:val="Hyperlink"/>
            <w:lang w:val="fr-CH"/>
          </w:rPr>
          <w:t>https://www.rfi.fr/fr/afrique/20210624-burundi-le-dialogue-continue-entre-gitega-et-bruxelles-en-vue-d-une-lev%C3%A9e-des-sanctions</w:t>
        </w:r>
      </w:hyperlink>
      <w:r>
        <w:rPr>
          <w:lang w:val="fr-CH"/>
        </w:rPr>
        <w:t xml:space="preserve">; </w:t>
      </w:r>
      <w:hyperlink r:id="rId87" w:history="1">
        <w:r w:rsidRPr="00A27DC8">
          <w:rPr>
            <w:rStyle w:val="Hyperlink"/>
            <w:lang w:val="fr-CH"/>
          </w:rPr>
          <w:t>https://www.iwacu-burundi.org/affaire-germain-rukuki-qui-bloque-sa-liberation/</w:t>
        </w:r>
      </w:hyperlink>
      <w:r>
        <w:rPr>
          <w:lang w:val="fr-CH"/>
        </w:rPr>
        <w:t xml:space="preserve">. </w:t>
      </w:r>
      <w:r w:rsidRPr="00E36A41">
        <w:rPr>
          <w:lang w:val="fr-CH"/>
        </w:rPr>
        <w:t>Voir également par. 146 du présent</w:t>
      </w:r>
      <w:r>
        <w:rPr>
          <w:lang w:val="fr-CH"/>
        </w:rPr>
        <w:t xml:space="preserve"> </w:t>
      </w:r>
      <w:r w:rsidR="000321EF">
        <w:rPr>
          <w:lang w:val="fr-CH"/>
        </w:rPr>
        <w:t>document</w:t>
      </w:r>
      <w:r>
        <w:rPr>
          <w:lang w:val="fr-CH"/>
        </w:rPr>
        <w:t>.</w:t>
      </w:r>
    </w:p>
  </w:footnote>
  <w:footnote w:id="349">
    <w:p w14:paraId="35D1A3C6" w14:textId="77777777" w:rsidR="00925C2B" w:rsidRPr="003B4DB2" w:rsidRDefault="00925C2B" w:rsidP="00617673">
      <w:pPr>
        <w:pStyle w:val="FootnoteText"/>
        <w:rPr>
          <w:lang w:val="fr-CH"/>
        </w:rPr>
      </w:pPr>
      <w:r>
        <w:rPr>
          <w:lang w:val="fr-CH"/>
        </w:rPr>
        <w:tab/>
      </w:r>
      <w:r>
        <w:rPr>
          <w:rStyle w:val="FootnoteReference"/>
        </w:rPr>
        <w:footnoteRef/>
      </w:r>
      <w:r>
        <w:rPr>
          <w:lang w:val="fr-CH"/>
        </w:rPr>
        <w:tab/>
      </w:r>
      <w:r w:rsidRPr="003B4DB2">
        <w:rPr>
          <w:lang w:val="fr-CH"/>
        </w:rPr>
        <w:t>A/HRC/39/CRP.1, par. 462-579</w:t>
      </w:r>
      <w:r>
        <w:rPr>
          <w:lang w:val="fr-CH"/>
        </w:rPr>
        <w:t>,</w:t>
      </w:r>
      <w:r w:rsidRPr="003B4DB2">
        <w:rPr>
          <w:lang w:val="fr-CH"/>
        </w:rPr>
        <w:t xml:space="preserve"> A</w:t>
      </w:r>
      <w:r>
        <w:rPr>
          <w:lang w:val="fr-CH"/>
        </w:rPr>
        <w:t xml:space="preserve">/HRC/42/CRP.2, par. </w:t>
      </w:r>
      <w:r w:rsidRPr="00E36A41">
        <w:rPr>
          <w:lang w:val="fr-CH"/>
        </w:rPr>
        <w:t>296-314, A/HRC/45/CRP.1, par. 569-573.</w:t>
      </w:r>
    </w:p>
  </w:footnote>
  <w:footnote w:id="350">
    <w:p w14:paraId="4684B74D" w14:textId="77777777" w:rsidR="00925C2B" w:rsidRPr="004F1DD4" w:rsidRDefault="00925C2B" w:rsidP="00617673">
      <w:pPr>
        <w:pStyle w:val="FootnoteText"/>
        <w:rPr>
          <w:lang w:val="fr-CH"/>
        </w:rPr>
      </w:pPr>
      <w:r>
        <w:rPr>
          <w:lang w:val="fr-CH"/>
        </w:rPr>
        <w:tab/>
      </w:r>
      <w:r>
        <w:rPr>
          <w:rStyle w:val="FootnoteReference"/>
        </w:rPr>
        <w:footnoteRef/>
      </w:r>
      <w:r>
        <w:rPr>
          <w:lang w:val="fr-CH"/>
        </w:rPr>
        <w:tab/>
      </w:r>
      <w:hyperlink r:id="rId88" w:history="1">
        <w:r w:rsidRPr="009E262E">
          <w:rPr>
            <w:rStyle w:val="Hyperlink"/>
            <w:lang w:val="fr-CH"/>
          </w:rPr>
          <w:t>https://www.sosmediasburundi.org/2021/05/18/cibitoke-un-policier-condamne-a-perpetuite/</w:t>
        </w:r>
      </w:hyperlink>
      <w:r>
        <w:rPr>
          <w:lang w:val="fr-CH"/>
        </w:rPr>
        <w:t xml:space="preserve">, </w:t>
      </w:r>
      <w:hyperlink r:id="rId89" w:history="1">
        <w:r w:rsidRPr="009E262E">
          <w:rPr>
            <w:rStyle w:val="Hyperlink"/>
            <w:lang w:val="fr-CH"/>
          </w:rPr>
          <w:t>https://www.yaga-burundi.com/2021/militaire-bistrot-vilain-couple/</w:t>
        </w:r>
      </w:hyperlink>
      <w:r>
        <w:rPr>
          <w:lang w:val="fr-CH"/>
        </w:rPr>
        <w:t xml:space="preserve">, </w:t>
      </w:r>
      <w:hyperlink r:id="rId90" w:history="1">
        <w:r w:rsidRPr="009E262E">
          <w:rPr>
            <w:rStyle w:val="Hyperlink"/>
            <w:lang w:val="fr-CH"/>
          </w:rPr>
          <w:t>https://www.sosmediasburundi.org/2021/04/14/bubanza-un-cabaretier-tue-a-bout-portant-par-un-militaire/</w:t>
        </w:r>
      </w:hyperlink>
      <w:r>
        <w:rPr>
          <w:lang w:val="fr-CH"/>
        </w:rPr>
        <w:t xml:space="preserve">, </w:t>
      </w:r>
      <w:hyperlink r:id="rId91" w:history="1">
        <w:r w:rsidRPr="009E262E">
          <w:rPr>
            <w:rStyle w:val="Hyperlink"/>
            <w:lang w:val="fr-CH"/>
          </w:rPr>
          <w:t>https://www.sosmediasburundi.org/2021/04/08/muyinga-prison-a-vie-pour-un-militaire-qui-a-tue-un-chef-de-quartier/</w:t>
        </w:r>
      </w:hyperlink>
      <w:r>
        <w:rPr>
          <w:lang w:val="fr-CH"/>
        </w:rPr>
        <w:t xml:space="preserve">, </w:t>
      </w:r>
      <w:hyperlink r:id="rId92" w:history="1">
        <w:r w:rsidRPr="004F1DD4">
          <w:rPr>
            <w:rStyle w:val="Hyperlink"/>
            <w:lang w:val="fr-CH"/>
          </w:rPr>
          <w:t>Bujumbura : prison à vie pour un colonel qui a tué un caissier d</w:t>
        </w:r>
        <w:r>
          <w:rPr>
            <w:rStyle w:val="Hyperlink"/>
            <w:lang w:val="fr-CH"/>
          </w:rPr>
          <w:t>’</w:t>
        </w:r>
        <w:r w:rsidRPr="004F1DD4">
          <w:rPr>
            <w:rStyle w:val="Hyperlink"/>
            <w:lang w:val="fr-CH"/>
          </w:rPr>
          <w:t>un bar - SOS Médias Burundi (sosmediasburundi.org)</w:t>
        </w:r>
      </w:hyperlink>
      <w:r w:rsidRPr="004F1DD4">
        <w:rPr>
          <w:lang w:val="fr-CH"/>
        </w:rPr>
        <w:t>.</w:t>
      </w:r>
    </w:p>
  </w:footnote>
  <w:footnote w:id="351">
    <w:p w14:paraId="6C78CCAD" w14:textId="621D438F" w:rsidR="00925C2B" w:rsidRPr="00A87A2D" w:rsidRDefault="00925C2B" w:rsidP="00617673">
      <w:pPr>
        <w:pStyle w:val="FootnoteText"/>
        <w:rPr>
          <w:lang w:val="it-IT"/>
        </w:rPr>
      </w:pPr>
      <w:r w:rsidRPr="002C02F1">
        <w:rPr>
          <w:lang w:val="fr-BE"/>
        </w:rPr>
        <w:tab/>
      </w:r>
      <w:r>
        <w:rPr>
          <w:rStyle w:val="FootnoteReference"/>
        </w:rPr>
        <w:footnoteRef/>
      </w:r>
      <w:r>
        <w:rPr>
          <w:lang w:val="it-IT"/>
        </w:rPr>
        <w:tab/>
        <w:t xml:space="preserve">JI-173, </w:t>
      </w:r>
      <w:r w:rsidRPr="00A87A2D">
        <w:rPr>
          <w:lang w:val="it-IT"/>
        </w:rPr>
        <w:t xml:space="preserve">JI-184, </w:t>
      </w:r>
      <w:r w:rsidR="00C364A0">
        <w:rPr>
          <w:lang w:val="it-IT"/>
        </w:rPr>
        <w:t>TI-364</w:t>
      </w:r>
      <w:r>
        <w:rPr>
          <w:lang w:val="it-IT"/>
        </w:rPr>
        <w:t>.</w:t>
      </w:r>
      <w:r w:rsidRPr="00A87A2D">
        <w:rPr>
          <w:lang w:val="it-IT"/>
        </w:rPr>
        <w:t xml:space="preserve"> </w:t>
      </w:r>
    </w:p>
  </w:footnote>
  <w:footnote w:id="352">
    <w:p w14:paraId="71510287" w14:textId="466FF448" w:rsidR="00925C2B" w:rsidRPr="00A87A2D" w:rsidRDefault="00925C2B" w:rsidP="00617673">
      <w:pPr>
        <w:pStyle w:val="FootnoteText"/>
        <w:rPr>
          <w:lang w:val="it-IT"/>
        </w:rPr>
      </w:pPr>
      <w:r>
        <w:rPr>
          <w:lang w:val="it-IT"/>
        </w:rPr>
        <w:tab/>
      </w:r>
      <w:r>
        <w:rPr>
          <w:rStyle w:val="FootnoteReference"/>
        </w:rPr>
        <w:footnoteRef/>
      </w:r>
      <w:r>
        <w:rPr>
          <w:lang w:val="it-IT"/>
        </w:rPr>
        <w:tab/>
      </w:r>
      <w:r w:rsidR="0053644E">
        <w:rPr>
          <w:lang w:val="it-IT"/>
        </w:rPr>
        <w:t>TI-371</w:t>
      </w:r>
      <w:r w:rsidRPr="00A87A2D">
        <w:rPr>
          <w:lang w:val="it-IT"/>
        </w:rPr>
        <w:t xml:space="preserve">, </w:t>
      </w:r>
      <w:r w:rsidR="0053644E">
        <w:rPr>
          <w:lang w:val="it-IT"/>
        </w:rPr>
        <w:t>TI-372</w:t>
      </w:r>
      <w:r w:rsidRPr="00A87A2D">
        <w:rPr>
          <w:lang w:val="it-IT"/>
        </w:rPr>
        <w:t xml:space="preserve">, </w:t>
      </w:r>
      <w:r w:rsidR="00C364A0">
        <w:rPr>
          <w:lang w:val="it-IT"/>
        </w:rPr>
        <w:t>TI-364</w:t>
      </w:r>
      <w:r w:rsidRPr="00A87A2D">
        <w:rPr>
          <w:lang w:val="it-IT"/>
        </w:rPr>
        <w:t>, CI-184.</w:t>
      </w:r>
    </w:p>
  </w:footnote>
  <w:footnote w:id="353">
    <w:p w14:paraId="4BDAF4A5" w14:textId="675FE314" w:rsidR="00925C2B" w:rsidRPr="00542D90" w:rsidRDefault="00925C2B" w:rsidP="00617673">
      <w:pPr>
        <w:pStyle w:val="FootnoteText"/>
        <w:rPr>
          <w:szCs w:val="18"/>
          <w:lang w:val="fr-CH"/>
        </w:rPr>
      </w:pPr>
      <w:r w:rsidRPr="002C02F1">
        <w:rPr>
          <w:szCs w:val="18"/>
          <w:lang w:val="it-IT"/>
        </w:rPr>
        <w:tab/>
      </w:r>
      <w:r w:rsidRPr="00542D90">
        <w:rPr>
          <w:rStyle w:val="FootnoteReference"/>
          <w:szCs w:val="18"/>
        </w:rPr>
        <w:footnoteRef/>
      </w:r>
      <w:r>
        <w:rPr>
          <w:szCs w:val="18"/>
          <w:lang w:val="fr-CH"/>
        </w:rPr>
        <w:tab/>
      </w:r>
      <w:r w:rsidRPr="00542D90">
        <w:rPr>
          <w:szCs w:val="18"/>
          <w:lang w:val="fr-CH"/>
        </w:rPr>
        <w:t>Cette partie est à lire en complément des informations et conclusions détaillées dans A/HRC/45/CRP.1</w:t>
      </w:r>
      <w:r w:rsidRPr="0025407F">
        <w:rPr>
          <w:szCs w:val="18"/>
          <w:lang w:val="fr-CH"/>
        </w:rPr>
        <w:t>, par. 596-732</w:t>
      </w:r>
      <w:r w:rsidRPr="00542D90">
        <w:rPr>
          <w:szCs w:val="18"/>
          <w:lang w:val="fr-CH"/>
        </w:rPr>
        <w:t>.</w:t>
      </w:r>
    </w:p>
  </w:footnote>
  <w:footnote w:id="354">
    <w:p w14:paraId="29E844AB" w14:textId="64975FC3" w:rsidR="00925C2B" w:rsidRPr="00542D90" w:rsidRDefault="00925C2B" w:rsidP="00617673">
      <w:pPr>
        <w:pStyle w:val="FootnoteText"/>
        <w:rPr>
          <w:szCs w:val="18"/>
          <w:lang w:val="fr-CH"/>
        </w:rPr>
      </w:pPr>
      <w:r>
        <w:rPr>
          <w:szCs w:val="18"/>
          <w:lang w:val="fr-CH"/>
        </w:rPr>
        <w:tab/>
      </w:r>
      <w:r w:rsidRPr="00542D90">
        <w:rPr>
          <w:rStyle w:val="FootnoteReference"/>
          <w:szCs w:val="18"/>
        </w:rPr>
        <w:footnoteRef/>
      </w:r>
      <w:r>
        <w:rPr>
          <w:szCs w:val="18"/>
          <w:lang w:val="fr-CH"/>
        </w:rPr>
        <w:tab/>
      </w:r>
      <w:r w:rsidRPr="005810DA">
        <w:rPr>
          <w:szCs w:val="18"/>
          <w:lang w:val="fr-CH"/>
        </w:rPr>
        <w:t>Voir par. 186-194 du présent</w:t>
      </w:r>
      <w:r w:rsidRPr="00542D90">
        <w:rPr>
          <w:szCs w:val="18"/>
          <w:lang w:val="fr-CH"/>
        </w:rPr>
        <w:t xml:space="preserve"> </w:t>
      </w:r>
      <w:r w:rsidR="000321EF">
        <w:rPr>
          <w:szCs w:val="18"/>
          <w:lang w:val="fr-CH"/>
        </w:rPr>
        <w:t>document</w:t>
      </w:r>
      <w:r w:rsidRPr="00542D90">
        <w:rPr>
          <w:szCs w:val="18"/>
          <w:lang w:val="fr-CH"/>
        </w:rPr>
        <w:t>.</w:t>
      </w:r>
    </w:p>
  </w:footnote>
  <w:footnote w:id="355">
    <w:p w14:paraId="4E9F2F15" w14:textId="77777777" w:rsidR="00925C2B" w:rsidRDefault="00925C2B" w:rsidP="00617673">
      <w:pPr>
        <w:pStyle w:val="FootnoteText"/>
      </w:pPr>
      <w:r w:rsidRPr="00FA45AB">
        <w:rPr>
          <w:lang w:val="fr-CH"/>
        </w:rPr>
        <w:tab/>
      </w:r>
      <w:r>
        <w:rPr>
          <w:rStyle w:val="FootnoteReference"/>
        </w:rPr>
        <w:footnoteRef/>
      </w:r>
      <w:r>
        <w:tab/>
        <w:t xml:space="preserve">Voir </w:t>
      </w:r>
      <w:r w:rsidRPr="002B2466">
        <w:t>A/HRC/45/CRP.1</w:t>
      </w:r>
      <w:r>
        <w:t>.</w:t>
      </w:r>
    </w:p>
  </w:footnote>
  <w:footnote w:id="356">
    <w:p w14:paraId="4BDE2619" w14:textId="14B8BF35" w:rsidR="00925C2B" w:rsidRPr="001972F7" w:rsidRDefault="00925C2B" w:rsidP="00617673">
      <w:pPr>
        <w:pStyle w:val="FootnoteText"/>
        <w:rPr>
          <w:szCs w:val="18"/>
        </w:rPr>
      </w:pPr>
      <w:r>
        <w:rPr>
          <w:szCs w:val="18"/>
          <w:lang w:val="en-US"/>
        </w:rPr>
        <w:tab/>
      </w:r>
      <w:r w:rsidRPr="005810DA">
        <w:rPr>
          <w:rStyle w:val="FootnoteReference"/>
          <w:szCs w:val="18"/>
        </w:rPr>
        <w:footnoteRef/>
      </w:r>
      <w:r>
        <w:rPr>
          <w:szCs w:val="18"/>
          <w:lang w:val="en-US"/>
        </w:rPr>
        <w:tab/>
      </w:r>
      <w:r w:rsidRPr="005810DA">
        <w:rPr>
          <w:szCs w:val="18"/>
          <w:lang w:val="en-US"/>
        </w:rPr>
        <w:t>Sub-Saharan Africa, Macro Poverty Outlook</w:t>
      </w:r>
      <w:r>
        <w:rPr>
          <w:szCs w:val="18"/>
          <w:lang w:val="en-US"/>
        </w:rPr>
        <w:t>,</w:t>
      </w:r>
      <w:r w:rsidRPr="005810DA">
        <w:rPr>
          <w:szCs w:val="18"/>
          <w:lang w:val="en-US"/>
        </w:rPr>
        <w:t>Country-by-country Analysis and Projections for the Developing World. 2021 International Bank for Reconstruction and Development / The World Bank.</w:t>
      </w:r>
      <w:r>
        <w:rPr>
          <w:szCs w:val="18"/>
          <w:lang w:val="en-US"/>
        </w:rPr>
        <w:t xml:space="preserve"> </w:t>
      </w:r>
      <w:r w:rsidRPr="001536AA">
        <w:rPr>
          <w:szCs w:val="18"/>
        </w:rPr>
        <w:t>Burundi, disponible à : https://pubdocs.worldbank.org/en/312551567719790821/mpo.pdf.</w:t>
      </w:r>
      <w:r w:rsidRPr="001972F7">
        <w:rPr>
          <w:szCs w:val="18"/>
        </w:rPr>
        <w:t xml:space="preserve"> </w:t>
      </w:r>
    </w:p>
  </w:footnote>
  <w:footnote w:id="357">
    <w:p w14:paraId="24687562" w14:textId="77777777" w:rsidR="00925C2B" w:rsidRPr="005810DA" w:rsidRDefault="00925C2B" w:rsidP="00617673">
      <w:pPr>
        <w:pStyle w:val="FootnoteText"/>
        <w:rPr>
          <w:szCs w:val="18"/>
          <w:lang w:val="en-US"/>
        </w:rPr>
      </w:pPr>
      <w:r w:rsidRPr="00055087">
        <w:rPr>
          <w:szCs w:val="18"/>
        </w:rPr>
        <w:tab/>
      </w:r>
      <w:r w:rsidRPr="005810DA">
        <w:rPr>
          <w:rStyle w:val="FootnoteReference"/>
          <w:szCs w:val="18"/>
        </w:rPr>
        <w:footnoteRef/>
      </w:r>
      <w:r>
        <w:rPr>
          <w:szCs w:val="18"/>
          <w:lang w:val="en-US"/>
        </w:rPr>
        <w:tab/>
      </w:r>
      <w:r w:rsidRPr="005810DA">
        <w:rPr>
          <w:szCs w:val="18"/>
          <w:lang w:val="en-US"/>
        </w:rPr>
        <w:t>https://donnees.banquemondiale.org/indicateur/NY.GDP.MKTP.CD?locations=BI.</w:t>
      </w:r>
    </w:p>
  </w:footnote>
  <w:footnote w:id="358">
    <w:p w14:paraId="566C0472" w14:textId="77777777" w:rsidR="00925C2B" w:rsidRPr="00A87A2D" w:rsidRDefault="00925C2B" w:rsidP="00617673">
      <w:pPr>
        <w:pStyle w:val="FootnoteText"/>
        <w:rPr>
          <w:lang w:val="en-US"/>
        </w:rPr>
      </w:pPr>
      <w:r>
        <w:rPr>
          <w:lang w:val="en-US"/>
        </w:rPr>
        <w:tab/>
      </w:r>
      <w:r>
        <w:rPr>
          <w:rStyle w:val="FootnoteReference"/>
        </w:rPr>
        <w:footnoteRef/>
      </w:r>
      <w:r>
        <w:rPr>
          <w:lang w:val="en-US"/>
        </w:rPr>
        <w:tab/>
      </w:r>
      <w:r w:rsidRPr="005810DA">
        <w:rPr>
          <w:szCs w:val="18"/>
          <w:lang w:val="en-US"/>
        </w:rPr>
        <w:t>https://donnees.banquemondiale.org/indicateur/NY.GDP.MKTP.CD?locations=BI</w:t>
      </w:r>
      <w:r>
        <w:rPr>
          <w:szCs w:val="18"/>
          <w:lang w:val="en-US"/>
        </w:rPr>
        <w:t>.</w:t>
      </w:r>
    </w:p>
  </w:footnote>
  <w:footnote w:id="359">
    <w:p w14:paraId="08F36D13" w14:textId="4F9421E5" w:rsidR="00925C2B" w:rsidRPr="005810DA" w:rsidRDefault="00925C2B" w:rsidP="00617673">
      <w:pPr>
        <w:pStyle w:val="FootnoteText"/>
        <w:rPr>
          <w:szCs w:val="18"/>
          <w:lang w:val="fr-FR"/>
        </w:rPr>
      </w:pPr>
      <w:r w:rsidRPr="00FA45AB">
        <w:rPr>
          <w:szCs w:val="18"/>
          <w:lang w:val="en-US"/>
        </w:rPr>
        <w:tab/>
      </w:r>
      <w:r w:rsidRPr="005810DA">
        <w:rPr>
          <w:rStyle w:val="FootnoteReference"/>
          <w:szCs w:val="18"/>
        </w:rPr>
        <w:footnoteRef/>
      </w:r>
      <w:r>
        <w:rPr>
          <w:szCs w:val="18"/>
          <w:lang w:val="fr-FR"/>
        </w:rPr>
        <w:tab/>
      </w:r>
      <w:r w:rsidRPr="005810DA">
        <w:rPr>
          <w:szCs w:val="18"/>
          <w:lang w:val="fr-FR"/>
        </w:rPr>
        <w:t>Groupe de la Banque Africaine de Développement</w:t>
      </w:r>
      <w:r>
        <w:rPr>
          <w:szCs w:val="18"/>
          <w:lang w:val="fr-FR"/>
        </w:rPr>
        <w:t>,</w:t>
      </w:r>
      <w:r w:rsidRPr="005810DA">
        <w:rPr>
          <w:szCs w:val="18"/>
          <w:lang w:val="fr-FR"/>
        </w:rPr>
        <w:t xml:space="preserve"> Perspectives économiques au Burundi</w:t>
      </w:r>
      <w:r>
        <w:rPr>
          <w:szCs w:val="18"/>
          <w:lang w:val="fr-FR"/>
        </w:rPr>
        <w:t>,</w:t>
      </w:r>
    </w:p>
    <w:p w14:paraId="7DAC1557" w14:textId="7DA883BB" w:rsidR="00925C2B" w:rsidRPr="005810DA" w:rsidRDefault="00925C2B" w:rsidP="00617673">
      <w:pPr>
        <w:pStyle w:val="FootnoteText"/>
        <w:rPr>
          <w:szCs w:val="18"/>
          <w:lang w:val="fr-FR"/>
        </w:rPr>
      </w:pPr>
      <w:r>
        <w:rPr>
          <w:szCs w:val="18"/>
          <w:lang w:val="fr-FR"/>
        </w:rPr>
        <w:tab/>
      </w:r>
      <w:r>
        <w:rPr>
          <w:szCs w:val="18"/>
          <w:lang w:val="fr-FR"/>
        </w:rPr>
        <w:tab/>
      </w:r>
      <w:r w:rsidRPr="005810DA">
        <w:rPr>
          <w:szCs w:val="18"/>
          <w:lang w:val="fr-FR"/>
        </w:rPr>
        <w:t>Évolutions macroéconomiques et financières récentes</w:t>
      </w:r>
      <w:r>
        <w:rPr>
          <w:szCs w:val="18"/>
          <w:lang w:val="fr-FR"/>
        </w:rPr>
        <w:t>, disponible à :</w:t>
      </w:r>
      <w:r w:rsidRPr="005810DA">
        <w:rPr>
          <w:szCs w:val="18"/>
          <w:lang w:val="fr-FR"/>
        </w:rPr>
        <w:t xml:space="preserve"> https://www.afdb.org/fr/countries/east-africa/burundi/burundi-economic-outlook</w:t>
      </w:r>
      <w:r>
        <w:rPr>
          <w:szCs w:val="18"/>
          <w:lang w:val="fr-FR"/>
        </w:rPr>
        <w:t>.</w:t>
      </w:r>
    </w:p>
  </w:footnote>
  <w:footnote w:id="360">
    <w:p w14:paraId="4DBBA796" w14:textId="77777777" w:rsidR="00925C2B" w:rsidRPr="005810DA" w:rsidRDefault="00925C2B" w:rsidP="00617673">
      <w:pPr>
        <w:pStyle w:val="FootnoteText"/>
        <w:rPr>
          <w:szCs w:val="18"/>
          <w:lang w:val="fr-FR"/>
        </w:rPr>
      </w:pPr>
      <w:r>
        <w:rPr>
          <w:szCs w:val="18"/>
          <w:lang w:val="fr-CH"/>
        </w:rPr>
        <w:tab/>
      </w:r>
      <w:r w:rsidRPr="005810DA">
        <w:rPr>
          <w:rStyle w:val="FootnoteReference"/>
          <w:szCs w:val="18"/>
        </w:rPr>
        <w:footnoteRef/>
      </w:r>
      <w:r>
        <w:rPr>
          <w:szCs w:val="18"/>
          <w:lang w:val="fr-CH"/>
        </w:rPr>
        <w:tab/>
      </w:r>
      <w:r w:rsidRPr="005810DA">
        <w:rPr>
          <w:szCs w:val="18"/>
          <w:lang w:val="fr-CH"/>
        </w:rPr>
        <w:t xml:space="preserve">Analyse budgétaire nationale Loi de finances 2020 - 2021. </w:t>
      </w:r>
      <w:r w:rsidRPr="005810DA">
        <w:rPr>
          <w:szCs w:val="18"/>
          <w:lang w:val="fr-FR"/>
        </w:rPr>
        <w:t>Cette analyse budgétaire est le résultat d’une collaboration entre le Centre universitaire de recherche pour le développement économique et social (CURDES), le Ministère des Finances, du Budget et de la Planification Économique et les ministères sectoriels.</w:t>
      </w:r>
    </w:p>
  </w:footnote>
  <w:footnote w:id="361">
    <w:p w14:paraId="3318FE6F" w14:textId="3A31FE25" w:rsidR="00925C2B" w:rsidRPr="002C02F1" w:rsidRDefault="00925C2B" w:rsidP="00617673">
      <w:pPr>
        <w:pStyle w:val="FootnoteText"/>
        <w:rPr>
          <w:szCs w:val="18"/>
        </w:rPr>
      </w:pPr>
      <w:r w:rsidRPr="00FA45AB">
        <w:rPr>
          <w:szCs w:val="18"/>
          <w:lang w:val="fr-CH"/>
        </w:rPr>
        <w:tab/>
      </w:r>
      <w:r w:rsidRPr="00EE0BE4">
        <w:rPr>
          <w:rStyle w:val="FootnoteReference"/>
          <w:szCs w:val="18"/>
        </w:rPr>
        <w:footnoteRef/>
      </w:r>
      <w:r>
        <w:rPr>
          <w:szCs w:val="18"/>
        </w:rPr>
        <w:tab/>
      </w:r>
      <w:r w:rsidRPr="00EE0BE4">
        <w:rPr>
          <w:szCs w:val="18"/>
          <w:lang w:val="en-US"/>
        </w:rPr>
        <w:t>Vito Tanzi.May, Corruption around the world: Causes, consequences, scope and cures</w:t>
      </w:r>
      <w:r>
        <w:rPr>
          <w:szCs w:val="18"/>
          <w:lang w:val="en-US"/>
        </w:rPr>
        <w:t>,</w:t>
      </w:r>
      <w:r w:rsidRPr="00EE0BE4">
        <w:rPr>
          <w:szCs w:val="18"/>
          <w:lang w:val="en-US"/>
        </w:rPr>
        <w:t xml:space="preserve"> </w:t>
      </w:r>
      <w:r w:rsidRPr="002C02F1">
        <w:rPr>
          <w:szCs w:val="18"/>
        </w:rPr>
        <w:t>1998, IMF Working paper, p. 8.</w:t>
      </w:r>
    </w:p>
  </w:footnote>
  <w:footnote w:id="362">
    <w:p w14:paraId="60E5B31A" w14:textId="71DF13D5" w:rsidR="00925C2B" w:rsidRPr="00670784" w:rsidRDefault="00925C2B" w:rsidP="00617673">
      <w:pPr>
        <w:pStyle w:val="FootnoteText"/>
        <w:rPr>
          <w:lang w:val="it-IT"/>
        </w:rPr>
      </w:pPr>
      <w:r w:rsidRPr="002C02F1">
        <w:tab/>
      </w:r>
      <w:r>
        <w:rPr>
          <w:rStyle w:val="FootnoteReference"/>
        </w:rPr>
        <w:footnoteRef/>
      </w:r>
      <w:r>
        <w:rPr>
          <w:lang w:val="it-IT"/>
        </w:rPr>
        <w:tab/>
      </w:r>
      <w:r w:rsidRPr="00670784">
        <w:rPr>
          <w:lang w:val="it-IT"/>
        </w:rPr>
        <w:t xml:space="preserve">CI-159, CI-188, CI-189, JI-185, TI-197, </w:t>
      </w:r>
      <w:r w:rsidR="00C364A0">
        <w:rPr>
          <w:lang w:val="it-IT"/>
        </w:rPr>
        <w:t>TI-365</w:t>
      </w:r>
      <w:r w:rsidRPr="00670784">
        <w:rPr>
          <w:lang w:val="it-IT"/>
        </w:rPr>
        <w:t>.</w:t>
      </w:r>
    </w:p>
  </w:footnote>
  <w:footnote w:id="363">
    <w:p w14:paraId="6714D0EC" w14:textId="77777777" w:rsidR="00925C2B" w:rsidRPr="000B3EEC" w:rsidRDefault="00925C2B" w:rsidP="00617673">
      <w:pPr>
        <w:pStyle w:val="FootnoteText"/>
        <w:rPr>
          <w:szCs w:val="18"/>
          <w:lang w:val="fr-CH"/>
        </w:rPr>
      </w:pPr>
      <w:r w:rsidRPr="002C02F1">
        <w:rPr>
          <w:szCs w:val="18"/>
          <w:lang w:val="it-IT"/>
        </w:rPr>
        <w:tab/>
      </w:r>
      <w:r w:rsidRPr="000B3EEC">
        <w:rPr>
          <w:rStyle w:val="FootnoteReference"/>
          <w:szCs w:val="18"/>
        </w:rPr>
        <w:footnoteRef/>
      </w:r>
      <w:r>
        <w:rPr>
          <w:szCs w:val="18"/>
          <w:lang w:val="fr-CH"/>
        </w:rPr>
        <w:tab/>
      </w:r>
      <w:r w:rsidRPr="000B3EEC">
        <w:rPr>
          <w:szCs w:val="18"/>
          <w:lang w:val="fr-CH"/>
        </w:rPr>
        <w:t>JI- 185.</w:t>
      </w:r>
    </w:p>
  </w:footnote>
  <w:footnote w:id="364">
    <w:p w14:paraId="249FDDD4" w14:textId="77777777" w:rsidR="00925C2B" w:rsidRPr="00EE0BE4" w:rsidRDefault="00925C2B" w:rsidP="00617673">
      <w:pPr>
        <w:pStyle w:val="FootnoteText"/>
        <w:rPr>
          <w:lang w:val="fr-CH"/>
        </w:rPr>
      </w:pPr>
      <w:r>
        <w:rPr>
          <w:szCs w:val="18"/>
          <w:lang w:val="fr-CH"/>
        </w:rPr>
        <w:tab/>
      </w:r>
      <w:r w:rsidRPr="00EE0BE4">
        <w:rPr>
          <w:rStyle w:val="FootnoteReference"/>
          <w:szCs w:val="18"/>
        </w:rPr>
        <w:footnoteRef/>
      </w:r>
      <w:r>
        <w:rPr>
          <w:szCs w:val="18"/>
          <w:lang w:val="fr-CH"/>
        </w:rPr>
        <w:tab/>
      </w:r>
      <w:r w:rsidRPr="00EE0BE4">
        <w:rPr>
          <w:szCs w:val="18"/>
          <w:lang w:val="fr-CH"/>
        </w:rPr>
        <w:t xml:space="preserve">Voir par exemple le discours du Président Ndayishimiye pour le nouvel an 2021, disponible : </w:t>
      </w:r>
      <w:hyperlink r:id="rId93" w:history="1">
        <w:r w:rsidRPr="00EE0BE4">
          <w:rPr>
            <w:rStyle w:val="Hyperlink"/>
            <w:szCs w:val="18"/>
            <w:lang w:val="fr-CH"/>
          </w:rPr>
          <w:t>https://www.presidence.gov.bi/2021/01/01/discours-de-se-evariste-ndayishimiye-a-loccasion-du-nouvel-an-2021/</w:t>
        </w:r>
      </w:hyperlink>
      <w:r w:rsidRPr="00EE0BE4">
        <w:rPr>
          <w:szCs w:val="18"/>
          <w:lang w:val="fr-CH"/>
        </w:rPr>
        <w:t xml:space="preserve">; et aussi </w:t>
      </w:r>
      <w:hyperlink r:id="rId94" w:history="1">
        <w:r w:rsidRPr="00EE0BE4">
          <w:rPr>
            <w:rStyle w:val="Hyperlink"/>
            <w:szCs w:val="18"/>
            <w:lang w:val="fr-CH"/>
          </w:rPr>
          <w:t>https://rtnb.bi/fr/art.php?idapi=5/1/172</w:t>
        </w:r>
      </w:hyperlink>
      <w:r w:rsidRPr="00EE0BE4">
        <w:rPr>
          <w:szCs w:val="18"/>
          <w:lang w:val="fr-CH"/>
        </w:rPr>
        <w:t xml:space="preserve">, </w:t>
      </w:r>
      <w:hyperlink r:id="rId95" w:history="1">
        <w:r w:rsidRPr="00EE0BE4">
          <w:rPr>
            <w:rStyle w:val="Hyperlink"/>
            <w:szCs w:val="18"/>
            <w:lang w:val="fr-CH"/>
          </w:rPr>
          <w:t>https://www.iwacu-burundi.org/ngozi-la-corruption-et-linjustice-dans-le-viseur-du-president-ndayishimiye/</w:t>
        </w:r>
      </w:hyperlink>
      <w:r w:rsidRPr="00EE0BE4">
        <w:rPr>
          <w:szCs w:val="18"/>
          <w:lang w:val="fr-CH"/>
        </w:rPr>
        <w:t>.</w:t>
      </w:r>
    </w:p>
  </w:footnote>
  <w:footnote w:id="365">
    <w:p w14:paraId="240DDDAB" w14:textId="77777777" w:rsidR="00925C2B" w:rsidRPr="00EE0BE4" w:rsidRDefault="00925C2B" w:rsidP="00617673">
      <w:pPr>
        <w:pStyle w:val="FootnoteText"/>
        <w:rPr>
          <w:szCs w:val="18"/>
          <w:lang w:val="fr-CH"/>
        </w:rPr>
      </w:pPr>
      <w:r>
        <w:rPr>
          <w:szCs w:val="18"/>
          <w:lang w:val="fr-CH"/>
        </w:rPr>
        <w:tab/>
      </w:r>
      <w:r w:rsidRPr="00EE0BE4">
        <w:rPr>
          <w:rStyle w:val="FootnoteReference"/>
          <w:szCs w:val="18"/>
        </w:rPr>
        <w:footnoteRef/>
      </w:r>
      <w:r>
        <w:rPr>
          <w:szCs w:val="18"/>
          <w:lang w:val="fr-CH"/>
        </w:rPr>
        <w:tab/>
      </w:r>
      <w:hyperlink r:id="rId96" w:history="1">
        <w:r w:rsidRPr="00CE13BE">
          <w:rPr>
            <w:rStyle w:val="Hyperlink"/>
            <w:szCs w:val="18"/>
            <w:lang w:val="fr-CH"/>
          </w:rPr>
          <w:t>https://twitter.com/MininterInfosBi/status/1389952035269795842?s=20</w:t>
        </w:r>
      </w:hyperlink>
      <w:r w:rsidRPr="00CE13BE">
        <w:rPr>
          <w:szCs w:val="18"/>
          <w:lang w:val="fr-CH"/>
        </w:rPr>
        <w:t xml:space="preserve">; </w:t>
      </w:r>
      <w:r w:rsidRPr="00EE0BE4">
        <w:rPr>
          <w:szCs w:val="18"/>
          <w:lang w:val="fr-CH"/>
        </w:rPr>
        <w:t>Voir sa lettre datée du 6 juillet 2021 adressée au gouverneur de la province Bujumbura et au maire de Bujumbura, avec copie au Président de la République, en copie dans l’Annexe V.</w:t>
      </w:r>
    </w:p>
  </w:footnote>
  <w:footnote w:id="366">
    <w:p w14:paraId="42FD9FD2" w14:textId="77777777" w:rsidR="00925C2B" w:rsidRPr="00FD581E" w:rsidRDefault="00925C2B" w:rsidP="00617673">
      <w:pPr>
        <w:pStyle w:val="FootnoteText"/>
        <w:rPr>
          <w:szCs w:val="18"/>
          <w:lang w:val="fr-CH"/>
        </w:rPr>
      </w:pPr>
      <w:r>
        <w:rPr>
          <w:szCs w:val="18"/>
          <w:lang w:val="fr-CH"/>
        </w:rPr>
        <w:tab/>
      </w:r>
      <w:r w:rsidRPr="00FD581E">
        <w:rPr>
          <w:rStyle w:val="FootnoteReference"/>
          <w:szCs w:val="18"/>
        </w:rPr>
        <w:footnoteRef/>
      </w:r>
      <w:r>
        <w:rPr>
          <w:szCs w:val="18"/>
          <w:lang w:val="fr-CH"/>
        </w:rPr>
        <w:tab/>
      </w:r>
      <w:r w:rsidRPr="00FD581E">
        <w:rPr>
          <w:szCs w:val="18"/>
          <w:lang w:val="fr-CH"/>
        </w:rPr>
        <w:t>Idem.</w:t>
      </w:r>
    </w:p>
  </w:footnote>
  <w:footnote w:id="367">
    <w:p w14:paraId="16E905B2" w14:textId="1E41B274" w:rsidR="00925C2B" w:rsidRPr="00A14550" w:rsidRDefault="00925C2B" w:rsidP="00617673">
      <w:pPr>
        <w:pStyle w:val="FootnoteText"/>
        <w:rPr>
          <w:szCs w:val="18"/>
          <w:lang w:val="fr-CH"/>
        </w:rPr>
      </w:pPr>
      <w:r>
        <w:rPr>
          <w:szCs w:val="18"/>
          <w:lang w:val="fr-CH"/>
        </w:rPr>
        <w:tab/>
      </w:r>
      <w:r w:rsidRPr="00FD581E">
        <w:rPr>
          <w:rStyle w:val="FootnoteReference"/>
          <w:szCs w:val="18"/>
        </w:rPr>
        <w:footnoteRef/>
      </w:r>
      <w:r>
        <w:rPr>
          <w:szCs w:val="18"/>
          <w:lang w:val="fr-CH"/>
        </w:rPr>
        <w:tab/>
      </w:r>
      <w:r w:rsidRPr="00FD581E">
        <w:rPr>
          <w:lang w:val="fr-CH"/>
        </w:rPr>
        <w:t>Voir notamment A/HRC/42/CRP.2, par. 317-320, A/HRC/45/CRP.1, par. 288-293</w:t>
      </w:r>
      <w:r>
        <w:rPr>
          <w:lang w:val="fr-CH"/>
        </w:rPr>
        <w:t xml:space="preserve">, </w:t>
      </w:r>
      <w:r w:rsidRPr="00FD581E">
        <w:rPr>
          <w:szCs w:val="18"/>
          <w:lang w:val="fr-CH"/>
        </w:rPr>
        <w:t xml:space="preserve">ainsi que par. </w:t>
      </w:r>
      <w:r w:rsidRPr="00FD581E">
        <w:rPr>
          <w:lang w:val="fr-CH"/>
        </w:rPr>
        <w:t xml:space="preserve">207-211 </w:t>
      </w:r>
      <w:r w:rsidRPr="00FD581E">
        <w:rPr>
          <w:szCs w:val="18"/>
          <w:lang w:val="fr-CH"/>
        </w:rPr>
        <w:t xml:space="preserve">du présent </w:t>
      </w:r>
      <w:r w:rsidR="000321EF">
        <w:rPr>
          <w:szCs w:val="18"/>
          <w:lang w:val="fr-CH"/>
        </w:rPr>
        <w:t>document</w:t>
      </w:r>
      <w:r w:rsidRPr="00FD581E">
        <w:rPr>
          <w:szCs w:val="18"/>
          <w:lang w:val="fr-CH"/>
        </w:rPr>
        <w:t>.</w:t>
      </w:r>
    </w:p>
  </w:footnote>
  <w:footnote w:id="368">
    <w:p w14:paraId="048C3F4E" w14:textId="5967D438" w:rsidR="00925C2B" w:rsidRPr="00B465D4" w:rsidRDefault="00925C2B" w:rsidP="00617673">
      <w:pPr>
        <w:pStyle w:val="FootnoteText"/>
        <w:rPr>
          <w:lang w:val="fr-CH"/>
        </w:rPr>
      </w:pPr>
      <w:r>
        <w:rPr>
          <w:lang w:val="fr-CH"/>
        </w:rPr>
        <w:tab/>
      </w:r>
      <w:r>
        <w:rPr>
          <w:rStyle w:val="FootnoteReference"/>
        </w:rPr>
        <w:footnoteRef/>
      </w:r>
      <w:r>
        <w:rPr>
          <w:lang w:val="fr-CH"/>
        </w:rPr>
        <w:tab/>
        <w:t xml:space="preserve">Voir par. 229-232 du présent </w:t>
      </w:r>
      <w:r w:rsidR="000321EF">
        <w:rPr>
          <w:lang w:val="fr-CH"/>
        </w:rPr>
        <w:t>document</w:t>
      </w:r>
      <w:r>
        <w:rPr>
          <w:lang w:val="fr-CH"/>
        </w:rPr>
        <w:t>.</w:t>
      </w:r>
    </w:p>
  </w:footnote>
  <w:footnote w:id="369">
    <w:p w14:paraId="13654B4F" w14:textId="77777777" w:rsidR="00925C2B" w:rsidRPr="00F0255B" w:rsidRDefault="00925C2B" w:rsidP="00BA4871">
      <w:pPr>
        <w:pStyle w:val="CommentText"/>
        <w:ind w:left="1134" w:hanging="283"/>
        <w:rPr>
          <w:sz w:val="18"/>
          <w:szCs w:val="18"/>
          <w:lang w:val="fr-CH"/>
        </w:rPr>
      </w:pPr>
      <w:r w:rsidRPr="00EE0BE4">
        <w:rPr>
          <w:rStyle w:val="FootnoteReference"/>
          <w:szCs w:val="18"/>
        </w:rPr>
        <w:footnoteRef/>
      </w:r>
      <w:r>
        <w:rPr>
          <w:sz w:val="18"/>
          <w:szCs w:val="18"/>
          <w:lang w:val="fr-CH"/>
        </w:rPr>
        <w:tab/>
      </w:r>
      <w:r w:rsidRPr="00EE0BE4">
        <w:rPr>
          <w:sz w:val="18"/>
          <w:szCs w:val="18"/>
          <w:lang w:val="fr-CH"/>
        </w:rPr>
        <w:t>Décret n° 100/140 du 1</w:t>
      </w:r>
      <w:r w:rsidRPr="00EE0BE4">
        <w:rPr>
          <w:sz w:val="18"/>
          <w:szCs w:val="18"/>
          <w:vertAlign w:val="superscript"/>
          <w:lang w:val="fr-CH"/>
        </w:rPr>
        <w:t>er</w:t>
      </w:r>
      <w:r w:rsidRPr="00EE0BE4">
        <w:rPr>
          <w:sz w:val="18"/>
          <w:szCs w:val="18"/>
          <w:lang w:val="fr-CH"/>
        </w:rPr>
        <w:t xml:space="preserve"> mai 2021, disponible : https://www.presidence.gov.bi/2021/05/01/</w:t>
      </w:r>
      <w:r>
        <w:rPr>
          <w:sz w:val="18"/>
          <w:szCs w:val="18"/>
          <w:lang w:val="fr-CH"/>
        </w:rPr>
        <w:br/>
      </w:r>
      <w:r w:rsidRPr="00EE0BE4">
        <w:rPr>
          <w:sz w:val="18"/>
          <w:szCs w:val="18"/>
          <w:lang w:val="fr-CH"/>
        </w:rPr>
        <w:t>decret-no-100-140-du-01-</w:t>
      </w:r>
      <w:r w:rsidRPr="00F0255B">
        <w:rPr>
          <w:sz w:val="18"/>
          <w:szCs w:val="18"/>
          <w:lang w:val="fr-CH"/>
        </w:rPr>
        <w:t>mai-2021-portant-destitution-du-ministre-du-commerce-du-transport-</w:t>
      </w:r>
      <w:r>
        <w:rPr>
          <w:sz w:val="18"/>
          <w:szCs w:val="18"/>
          <w:lang w:val="fr-CH"/>
        </w:rPr>
        <w:br/>
      </w:r>
      <w:r w:rsidRPr="00F0255B">
        <w:rPr>
          <w:sz w:val="18"/>
          <w:szCs w:val="18"/>
          <w:lang w:val="fr-CH"/>
        </w:rPr>
        <w:t>de-l</w:t>
      </w:r>
      <w:r>
        <w:rPr>
          <w:sz w:val="18"/>
          <w:szCs w:val="18"/>
          <w:lang w:val="fr-CH"/>
        </w:rPr>
        <w:t>’</w:t>
      </w:r>
      <w:r w:rsidRPr="00F0255B">
        <w:rPr>
          <w:sz w:val="18"/>
          <w:szCs w:val="18"/>
          <w:lang w:val="fr-CH"/>
        </w:rPr>
        <w:t>industrie-et-du-tourisme/.</w:t>
      </w:r>
    </w:p>
  </w:footnote>
  <w:footnote w:id="370">
    <w:p w14:paraId="3006E37A" w14:textId="3D647845" w:rsidR="00925C2B" w:rsidRPr="00F0255B" w:rsidRDefault="00925C2B" w:rsidP="00E666BD">
      <w:pPr>
        <w:pStyle w:val="FootnoteText"/>
        <w:rPr>
          <w:szCs w:val="18"/>
          <w:lang w:val="fr-CH"/>
        </w:rPr>
      </w:pPr>
      <w:r>
        <w:rPr>
          <w:szCs w:val="18"/>
          <w:lang w:val="fr-CH"/>
        </w:rPr>
        <w:tab/>
      </w:r>
      <w:r w:rsidRPr="00F0255B">
        <w:rPr>
          <w:rStyle w:val="FootnoteReference"/>
          <w:szCs w:val="18"/>
        </w:rPr>
        <w:footnoteRef/>
      </w:r>
      <w:r>
        <w:rPr>
          <w:szCs w:val="18"/>
          <w:lang w:val="fr-CH"/>
        </w:rPr>
        <w:tab/>
      </w:r>
      <w:hyperlink r:id="rId97" w:history="1">
        <w:r w:rsidRPr="00F0255B">
          <w:rPr>
            <w:rStyle w:val="Hyperlink"/>
            <w:szCs w:val="18"/>
            <w:lang w:val="fr-CH"/>
          </w:rPr>
          <w:t>https://www.rfi.fr/fr/afrique/20210502-burundi-la-ministre-du-commerce-et-du-transport-limog%C3%A9e-par-evariste-ndayishimiye</w:t>
        </w:r>
      </w:hyperlink>
      <w:r w:rsidRPr="00F0255B">
        <w:rPr>
          <w:szCs w:val="18"/>
          <w:lang w:val="fr-CH"/>
        </w:rPr>
        <w:t xml:space="preserve">; </w:t>
      </w:r>
      <w:hyperlink r:id="rId98" w:history="1">
        <w:r w:rsidRPr="00F0255B">
          <w:rPr>
            <w:rStyle w:val="Hyperlink"/>
            <w:szCs w:val="18"/>
            <w:lang w:val="fr-CH"/>
          </w:rPr>
          <w:t>https://africa24tv.com/burundi-limogeage-du-ministre-du-commerce-immaculee-ndabaneze/</w:t>
        </w:r>
      </w:hyperlink>
      <w:r w:rsidRPr="00F0255B">
        <w:rPr>
          <w:szCs w:val="18"/>
          <w:lang w:val="fr-CH"/>
        </w:rPr>
        <w:t xml:space="preserve">; </w:t>
      </w:r>
      <w:hyperlink r:id="rId99" w:history="1">
        <w:r w:rsidRPr="00F0255B">
          <w:rPr>
            <w:rStyle w:val="Hyperlink"/>
            <w:szCs w:val="18"/>
            <w:lang w:val="fr-CH"/>
          </w:rPr>
          <w:t>https://twitter.com/olucome_burundi/status/1388571197240188931?s=20</w:t>
        </w:r>
      </w:hyperlink>
      <w:r>
        <w:rPr>
          <w:szCs w:val="18"/>
          <w:lang w:val="fr-CH"/>
        </w:rPr>
        <w:t>.</w:t>
      </w:r>
      <w:r w:rsidRPr="00F0255B">
        <w:rPr>
          <w:szCs w:val="18"/>
          <w:lang w:val="fr-CH"/>
        </w:rPr>
        <w:t xml:space="preserve"> </w:t>
      </w:r>
    </w:p>
  </w:footnote>
  <w:footnote w:id="371">
    <w:p w14:paraId="135187A1"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https://twitter.com/olucome_burundi/status/1406518430799482882?s=20.</w:t>
      </w:r>
    </w:p>
  </w:footnote>
  <w:footnote w:id="372">
    <w:p w14:paraId="39CCE9D4"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hyperlink r:id="rId100" w:history="1">
        <w:r w:rsidRPr="00F0255B">
          <w:rPr>
            <w:rStyle w:val="Hyperlink"/>
            <w:szCs w:val="18"/>
            <w:lang w:val="fr-CH"/>
          </w:rPr>
          <w:t>https://twitter.com/MininterInfosBi/status/1380539706421706752?s=20</w:t>
        </w:r>
      </w:hyperlink>
      <w:r w:rsidRPr="00F0255B">
        <w:rPr>
          <w:szCs w:val="18"/>
          <w:lang w:val="fr-CH"/>
        </w:rPr>
        <w:t xml:space="preserve">. </w:t>
      </w:r>
    </w:p>
  </w:footnote>
  <w:footnote w:id="373">
    <w:p w14:paraId="053348A7" w14:textId="77777777" w:rsidR="00925C2B" w:rsidRPr="00EE0BE4" w:rsidRDefault="00925C2B" w:rsidP="00617673">
      <w:pPr>
        <w:pStyle w:val="FootnoteText"/>
        <w:rPr>
          <w:szCs w:val="18"/>
          <w:lang w:val="fr-CH"/>
        </w:rPr>
      </w:pPr>
      <w:r>
        <w:rPr>
          <w:szCs w:val="18"/>
          <w:lang w:val="fr-CH"/>
        </w:rPr>
        <w:tab/>
      </w:r>
      <w:r w:rsidRPr="00EE0BE4">
        <w:rPr>
          <w:rStyle w:val="FootnoteReference"/>
          <w:szCs w:val="18"/>
        </w:rPr>
        <w:footnoteRef/>
      </w:r>
      <w:r>
        <w:rPr>
          <w:szCs w:val="18"/>
          <w:lang w:val="fr-CH"/>
        </w:rPr>
        <w:tab/>
      </w:r>
      <w:r w:rsidRPr="00EE0BE4">
        <w:rPr>
          <w:szCs w:val="18"/>
          <w:lang w:val="fr-CH"/>
        </w:rPr>
        <w:t>https://twitter.com/MininterInfosBi/</w:t>
      </w:r>
      <w:r>
        <w:rPr>
          <w:szCs w:val="18"/>
          <w:lang w:val="fr-CH"/>
        </w:rPr>
        <w:t>status/1372988832082186244?s=20.</w:t>
      </w:r>
    </w:p>
  </w:footnote>
  <w:footnote w:id="374">
    <w:p w14:paraId="1B76F1F5" w14:textId="77777777" w:rsidR="00925C2B" w:rsidRPr="004615F4" w:rsidRDefault="00925C2B" w:rsidP="00617673">
      <w:pPr>
        <w:pStyle w:val="FootnoteText"/>
        <w:rPr>
          <w:szCs w:val="18"/>
          <w:lang w:val="fr-CH"/>
        </w:rPr>
      </w:pPr>
      <w:r>
        <w:rPr>
          <w:szCs w:val="18"/>
          <w:lang w:val="fr-CH"/>
        </w:rPr>
        <w:tab/>
      </w:r>
      <w:r w:rsidRPr="004615F4">
        <w:rPr>
          <w:rStyle w:val="FootnoteReference"/>
          <w:szCs w:val="18"/>
        </w:rPr>
        <w:footnoteRef/>
      </w:r>
      <w:r>
        <w:rPr>
          <w:szCs w:val="18"/>
          <w:lang w:val="fr-CH"/>
        </w:rPr>
        <w:tab/>
      </w:r>
      <w:r w:rsidRPr="004615F4">
        <w:rPr>
          <w:szCs w:val="18"/>
          <w:lang w:val="fr-CH"/>
        </w:rPr>
        <w:t>https://www.iwacu-burundi.org/bonne-gouvernance-lassociation-parcem-salue-les-mesures-prises-contre-la-corruption/.</w:t>
      </w:r>
    </w:p>
  </w:footnote>
  <w:footnote w:id="375">
    <w:p w14:paraId="3D2CFBD3" w14:textId="7F455E81" w:rsidR="00925C2B" w:rsidRPr="00763941" w:rsidRDefault="00925C2B" w:rsidP="00617673">
      <w:pPr>
        <w:pStyle w:val="FootnoteText"/>
        <w:rPr>
          <w:lang w:val="fr-CH"/>
        </w:rPr>
      </w:pPr>
      <w:r>
        <w:rPr>
          <w:lang w:val="fr-CH"/>
        </w:rPr>
        <w:tab/>
      </w:r>
      <w:r>
        <w:rPr>
          <w:rStyle w:val="FootnoteReference"/>
        </w:rPr>
        <w:footnoteRef/>
      </w:r>
      <w:r>
        <w:rPr>
          <w:lang w:val="fr-CH"/>
        </w:rPr>
        <w:tab/>
        <w:t xml:space="preserve">Voir </w:t>
      </w:r>
      <w:r w:rsidRPr="00FD581E">
        <w:rPr>
          <w:lang w:val="fr-CH"/>
        </w:rPr>
        <w:t xml:space="preserve">par. 269 du présent </w:t>
      </w:r>
      <w:r w:rsidR="000321EF">
        <w:rPr>
          <w:lang w:val="fr-CH"/>
        </w:rPr>
        <w:t>document</w:t>
      </w:r>
      <w:r w:rsidRPr="00FD581E">
        <w:rPr>
          <w:lang w:val="fr-CH"/>
        </w:rPr>
        <w:t>.</w:t>
      </w:r>
    </w:p>
  </w:footnote>
  <w:footnote w:id="376">
    <w:p w14:paraId="01C5B3DC" w14:textId="77777777" w:rsidR="00925C2B" w:rsidRPr="00EE0BE4" w:rsidRDefault="00925C2B" w:rsidP="00617673">
      <w:pPr>
        <w:pStyle w:val="FootnoteText"/>
        <w:rPr>
          <w:szCs w:val="18"/>
          <w:lang w:val="fr-CH"/>
        </w:rPr>
      </w:pPr>
      <w:r>
        <w:rPr>
          <w:szCs w:val="18"/>
          <w:lang w:val="fr-CH"/>
        </w:rPr>
        <w:tab/>
      </w:r>
      <w:r w:rsidRPr="004615F4">
        <w:rPr>
          <w:rStyle w:val="FootnoteReference"/>
          <w:szCs w:val="18"/>
        </w:rPr>
        <w:footnoteRef/>
      </w:r>
      <w:r>
        <w:rPr>
          <w:szCs w:val="18"/>
          <w:lang w:val="fr-CH"/>
        </w:rPr>
        <w:tab/>
      </w:r>
      <w:hyperlink r:id="rId101" w:history="1">
        <w:r w:rsidRPr="004615F4">
          <w:rPr>
            <w:rStyle w:val="Hyperlink"/>
            <w:szCs w:val="18"/>
            <w:lang w:val="fr-CH"/>
          </w:rPr>
          <w:t>https://www.rfi.fr/fr/afrique/20210323-burundi-pol%C3%A9mique-autour-des-d%C3%A9clarations-du-pr%C3%A9sident-ndayishimiye-sur-la-lutte-anti-corruption?ref=tw_i</w:t>
        </w:r>
      </w:hyperlink>
      <w:r>
        <w:rPr>
          <w:szCs w:val="18"/>
          <w:lang w:val="fr-CH"/>
        </w:rPr>
        <w:t>.</w:t>
      </w:r>
      <w:r w:rsidRPr="00EE0BE4">
        <w:rPr>
          <w:szCs w:val="18"/>
          <w:lang w:val="fr-CH"/>
        </w:rPr>
        <w:t xml:space="preserve"> </w:t>
      </w:r>
    </w:p>
  </w:footnote>
  <w:footnote w:id="377">
    <w:p w14:paraId="1891A91C" w14:textId="77777777" w:rsidR="00925C2B" w:rsidRPr="00670784"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670784">
        <w:rPr>
          <w:szCs w:val="18"/>
          <w:lang w:val="fr-CH"/>
        </w:rPr>
        <w:t>https://www.rfi.fr/fr/afrique/20210323-burundi-pol%C3%A9mique-autour-des-d%C3%A9clarations-du-pr%C3%A9sident-ndayishimiye-sur-la-lutte-anti-corruption.</w:t>
      </w:r>
    </w:p>
  </w:footnote>
  <w:footnote w:id="378">
    <w:p w14:paraId="5EEDB985" w14:textId="5AD764C5" w:rsidR="00925C2B" w:rsidRPr="00C07A71" w:rsidRDefault="00925C2B" w:rsidP="00617673">
      <w:pPr>
        <w:pStyle w:val="FootnoteText"/>
        <w:rPr>
          <w:lang w:val="fr-CH"/>
        </w:rPr>
      </w:pPr>
      <w:r>
        <w:rPr>
          <w:lang w:val="fr-CH"/>
        </w:rPr>
        <w:tab/>
      </w:r>
      <w:r>
        <w:rPr>
          <w:rStyle w:val="FootnoteReference"/>
        </w:rPr>
        <w:footnoteRef/>
      </w:r>
      <w:r>
        <w:rPr>
          <w:lang w:val="fr-CH"/>
        </w:rPr>
        <w:tab/>
      </w:r>
      <w:r w:rsidRPr="00F0255B">
        <w:rPr>
          <w:szCs w:val="18"/>
          <w:lang w:val="fr-CH"/>
        </w:rPr>
        <w:t>Audio obtenu par la Commission</w:t>
      </w:r>
      <w:r>
        <w:rPr>
          <w:szCs w:val="18"/>
          <w:lang w:val="fr-CH"/>
        </w:rPr>
        <w:t>, traduction effectuée par la Commission</w:t>
      </w:r>
      <w:r w:rsidRPr="00F0255B">
        <w:rPr>
          <w:szCs w:val="18"/>
          <w:lang w:val="fr-CH"/>
        </w:rPr>
        <w:t>.</w:t>
      </w:r>
    </w:p>
  </w:footnote>
  <w:footnote w:id="379">
    <w:p w14:paraId="60F306BF"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HI-081.</w:t>
      </w:r>
    </w:p>
  </w:footnote>
  <w:footnote w:id="380">
    <w:p w14:paraId="6656A8A6" w14:textId="77777777" w:rsidR="00925C2B" w:rsidRPr="00F0255B" w:rsidRDefault="00925C2B" w:rsidP="00617673">
      <w:pPr>
        <w:pStyle w:val="FootnoteText"/>
        <w:rPr>
          <w:szCs w:val="18"/>
          <w:lang w:val="fr-CH"/>
        </w:rPr>
      </w:pPr>
      <w:r>
        <w:rPr>
          <w:szCs w:val="18"/>
          <w:lang w:val="fr-CH"/>
        </w:rPr>
        <w:tab/>
      </w:r>
      <w:r w:rsidRPr="00F0255B">
        <w:rPr>
          <w:rStyle w:val="FootnoteReference"/>
          <w:szCs w:val="18"/>
        </w:rPr>
        <w:footnoteRef/>
      </w:r>
      <w:r>
        <w:rPr>
          <w:szCs w:val="18"/>
          <w:lang w:val="fr-CH"/>
        </w:rPr>
        <w:tab/>
      </w:r>
      <w:r w:rsidRPr="00F0255B">
        <w:rPr>
          <w:szCs w:val="18"/>
          <w:lang w:val="fr-CH"/>
        </w:rPr>
        <w:t>Voir A/HRC/45/CRP.1, par. 615-621.</w:t>
      </w:r>
    </w:p>
  </w:footnote>
  <w:footnote w:id="381">
    <w:p w14:paraId="2590CB49" w14:textId="77777777" w:rsidR="00925C2B" w:rsidRPr="005D4921" w:rsidRDefault="00925C2B" w:rsidP="00617673">
      <w:pPr>
        <w:pStyle w:val="FootnoteText"/>
        <w:rPr>
          <w:szCs w:val="18"/>
          <w:lang w:val="fr-FR"/>
        </w:rPr>
      </w:pPr>
      <w:r>
        <w:rPr>
          <w:szCs w:val="18"/>
          <w:lang w:val="fr-FR"/>
        </w:rPr>
        <w:tab/>
      </w:r>
      <w:r w:rsidRPr="00F0255B">
        <w:rPr>
          <w:rStyle w:val="FootnoteReference"/>
          <w:szCs w:val="18"/>
        </w:rPr>
        <w:footnoteRef/>
      </w:r>
      <w:r>
        <w:rPr>
          <w:szCs w:val="18"/>
          <w:lang w:val="fr-FR"/>
        </w:rPr>
        <w:tab/>
      </w:r>
      <w:r w:rsidRPr="00F0255B">
        <w:rPr>
          <w:szCs w:val="18"/>
          <w:lang w:val="fr-FR"/>
        </w:rPr>
        <w:t>Ndikumana Jean Berchmans, Mbonicuye Damien, Étude sur</w:t>
      </w:r>
      <w:r w:rsidRPr="005D4921">
        <w:rPr>
          <w:szCs w:val="18"/>
          <w:lang w:val="fr-FR"/>
        </w:rPr>
        <w:t xml:space="preserve"> la mobilisation des ressources internes et la gouvernance des ressources naturelles au Burundi. Juillet 2019, p. 7</w:t>
      </w:r>
      <w:r>
        <w:rPr>
          <w:szCs w:val="18"/>
          <w:lang w:val="fr-FR"/>
        </w:rPr>
        <w:t>.</w:t>
      </w:r>
    </w:p>
  </w:footnote>
  <w:footnote w:id="382">
    <w:p w14:paraId="3ED38756" w14:textId="77777777" w:rsidR="00925C2B" w:rsidRPr="005D4921" w:rsidRDefault="00925C2B" w:rsidP="00617673">
      <w:pPr>
        <w:pStyle w:val="FootnoteText"/>
        <w:rPr>
          <w:szCs w:val="18"/>
          <w:lang w:val="fr-CH"/>
        </w:rPr>
      </w:pPr>
      <w:r>
        <w:rPr>
          <w:szCs w:val="18"/>
          <w:lang w:val="fr-CH"/>
        </w:rPr>
        <w:tab/>
      </w:r>
      <w:r w:rsidRPr="005D4921">
        <w:rPr>
          <w:rStyle w:val="FootnoteReference"/>
          <w:szCs w:val="18"/>
        </w:rPr>
        <w:footnoteRef/>
      </w:r>
      <w:r>
        <w:rPr>
          <w:szCs w:val="18"/>
          <w:lang w:val="fr-CH"/>
        </w:rPr>
        <w:tab/>
      </w:r>
      <w:r w:rsidRPr="005D4921">
        <w:rPr>
          <w:szCs w:val="18"/>
          <w:lang w:val="fr-CH"/>
        </w:rPr>
        <w:t>Thierry Vircoulon, Mutation du secteur minier au Burundi, IFRI, avril 2019.</w:t>
      </w:r>
    </w:p>
  </w:footnote>
  <w:footnote w:id="383">
    <w:p w14:paraId="53FBC396" w14:textId="77777777" w:rsidR="00925C2B" w:rsidRPr="00EE0BE4" w:rsidRDefault="00925C2B" w:rsidP="00617673">
      <w:pPr>
        <w:pStyle w:val="FootnoteText"/>
        <w:rPr>
          <w:szCs w:val="18"/>
          <w:lang w:val="fr-CH"/>
        </w:rPr>
      </w:pPr>
      <w:r>
        <w:rPr>
          <w:szCs w:val="18"/>
          <w:lang w:val="fr-CH"/>
        </w:rPr>
        <w:tab/>
      </w:r>
      <w:r w:rsidRPr="005D4921">
        <w:rPr>
          <w:rStyle w:val="FootnoteReference"/>
          <w:szCs w:val="18"/>
        </w:rPr>
        <w:footnoteRef/>
      </w:r>
      <w:r>
        <w:rPr>
          <w:szCs w:val="18"/>
          <w:lang w:val="fr-CH"/>
        </w:rPr>
        <w:tab/>
      </w:r>
      <w:r w:rsidRPr="005D4921">
        <w:rPr>
          <w:szCs w:val="18"/>
          <w:lang w:val="fr-CH"/>
        </w:rPr>
        <w:t>Voir A/HRC/45/CRP.1, par. 658-662.</w:t>
      </w:r>
    </w:p>
  </w:footnote>
  <w:footnote w:id="384">
    <w:p w14:paraId="7C8B270F" w14:textId="77777777" w:rsidR="00925C2B" w:rsidRPr="00542D90" w:rsidRDefault="00925C2B" w:rsidP="00617673">
      <w:pPr>
        <w:pStyle w:val="FootnoteText"/>
        <w:rPr>
          <w:szCs w:val="18"/>
          <w:lang w:val="fr-CH"/>
        </w:rPr>
      </w:pPr>
      <w:r>
        <w:rPr>
          <w:szCs w:val="18"/>
          <w:lang w:val="fr-CH"/>
        </w:rPr>
        <w:tab/>
      </w:r>
      <w:r w:rsidRPr="00542D90">
        <w:rPr>
          <w:rStyle w:val="FootnoteReference"/>
          <w:szCs w:val="18"/>
        </w:rPr>
        <w:footnoteRef/>
      </w:r>
      <w:r>
        <w:rPr>
          <w:szCs w:val="18"/>
          <w:lang w:val="fr-CH"/>
        </w:rPr>
        <w:tab/>
      </w:r>
      <w:r w:rsidRPr="00542D90">
        <w:rPr>
          <w:szCs w:val="18"/>
          <w:lang w:val="fr-CH"/>
        </w:rPr>
        <w:t>Voir A/HRC/45/CRP.1, par. 683-690.</w:t>
      </w:r>
    </w:p>
  </w:footnote>
  <w:footnote w:id="385">
    <w:p w14:paraId="016654ED"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95361D">
        <w:rPr>
          <w:szCs w:val="18"/>
          <w:lang w:val="fr-CH"/>
        </w:rPr>
        <w:t>Voir A/HRC/45/CRP.1, par. 687.</w:t>
      </w:r>
    </w:p>
  </w:footnote>
  <w:footnote w:id="386">
    <w:p w14:paraId="4DD4BFEB" w14:textId="77777777" w:rsidR="00925C2B" w:rsidRPr="00EE0BE4" w:rsidRDefault="00925C2B" w:rsidP="00617673">
      <w:pPr>
        <w:pStyle w:val="FootnoteText"/>
        <w:rPr>
          <w:szCs w:val="18"/>
          <w:lang w:val="fr-CH"/>
        </w:rPr>
      </w:pPr>
      <w:r>
        <w:rPr>
          <w:szCs w:val="18"/>
          <w:lang w:val="fr-CH"/>
        </w:rPr>
        <w:tab/>
      </w:r>
      <w:r w:rsidRPr="005D1D81">
        <w:rPr>
          <w:rStyle w:val="FootnoteReference"/>
          <w:szCs w:val="18"/>
        </w:rPr>
        <w:footnoteRef/>
      </w:r>
      <w:r>
        <w:rPr>
          <w:szCs w:val="18"/>
          <w:lang w:val="fr-CH"/>
        </w:rPr>
        <w:tab/>
      </w:r>
      <w:r w:rsidRPr="005D1D81">
        <w:rPr>
          <w:szCs w:val="18"/>
          <w:lang w:val="fr-CH"/>
        </w:rPr>
        <w:t>https://www.africaintelligence.fr/industrie-miniere_exploration-production/2021/08/19/terres-rares--adonis-pouroulis-freine-par-un-expert-dans-sa-course-avec-pekin,109685703-gra.</w:t>
      </w:r>
    </w:p>
  </w:footnote>
  <w:footnote w:id="387">
    <w:p w14:paraId="75D38092"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https://www.assemblee.bi/spip.php?article2326.</w:t>
      </w:r>
    </w:p>
  </w:footnote>
  <w:footnote w:id="388">
    <w:p w14:paraId="4DF8636A"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hyperlink r:id="rId102" w:history="1">
        <w:r w:rsidRPr="00025285">
          <w:rPr>
            <w:rStyle w:val="Hyperlink"/>
            <w:szCs w:val="18"/>
            <w:lang w:val="fr-FR"/>
          </w:rPr>
          <w:t>https://rtnb.bi/fr/art.php?idapi=5/2/25</w:t>
        </w:r>
      </w:hyperlink>
      <w:r w:rsidRPr="00EE0BE4">
        <w:rPr>
          <w:szCs w:val="18"/>
          <w:lang w:val="fr-FR"/>
        </w:rPr>
        <w:t>.</w:t>
      </w:r>
    </w:p>
  </w:footnote>
  <w:footnote w:id="389">
    <w:p w14:paraId="4D0AB572" w14:textId="77777777" w:rsidR="00925C2B" w:rsidRPr="00EE0BE4" w:rsidRDefault="00925C2B" w:rsidP="00617673">
      <w:pPr>
        <w:pStyle w:val="FootnoteText"/>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https://www.londonstockexchange.com/news-article/RBW/market-update/15087383.</w:t>
      </w:r>
    </w:p>
  </w:footnote>
  <w:footnote w:id="390">
    <w:p w14:paraId="2EDFAB62" w14:textId="77777777" w:rsidR="00925C2B" w:rsidRPr="00EE0BE4" w:rsidRDefault="00925C2B" w:rsidP="00617673">
      <w:pPr>
        <w:pStyle w:val="FootnoteText"/>
        <w:rPr>
          <w:szCs w:val="18"/>
          <w:lang w:val="fr-CH"/>
        </w:rPr>
      </w:pPr>
      <w:r>
        <w:rPr>
          <w:szCs w:val="18"/>
          <w:lang w:val="fr-CH"/>
        </w:rPr>
        <w:tab/>
      </w:r>
      <w:r w:rsidRPr="0022546D">
        <w:rPr>
          <w:rStyle w:val="FootnoteReference"/>
          <w:szCs w:val="18"/>
        </w:rPr>
        <w:footnoteRef/>
      </w:r>
      <w:r>
        <w:rPr>
          <w:szCs w:val="18"/>
          <w:lang w:val="fr-CH"/>
        </w:rPr>
        <w:tab/>
        <w:t>« </w:t>
      </w:r>
      <w:r w:rsidRPr="0022546D">
        <w:rPr>
          <w:szCs w:val="18"/>
          <w:lang w:val="fr-CH"/>
        </w:rPr>
        <w:t>La diligence raisonnable est un processus continu, proactif et réactif par lequel les entreprises peuvent s’assurer qu’elles respectent les droits de l’homme et ne contribuent pas aux conflits.2 La diligence raisonnable peut également aider les entreprises à s’assurer qu’elles respectent le droit international et se conforment aux lois nationales, y compris celles qui régissent le commerce illicite des minéraux et les sanctions des Nations unies. La diligence raisonnable fondée sur les risques fait référence aux mesures que les entreprises doivent prendre pour identifier et traiter les risques réels ou potentiels afin de prévenir ou d’atténuer les impacts négatifs associés à leurs activités ou à leur</w:t>
      </w:r>
      <w:r w:rsidRPr="0025407F">
        <w:rPr>
          <w:szCs w:val="18"/>
          <w:lang w:val="fr-CH"/>
        </w:rPr>
        <w:t>s décisions d’approvisionnement</w:t>
      </w:r>
      <w:r>
        <w:rPr>
          <w:szCs w:val="18"/>
          <w:lang w:val="fr-CH"/>
        </w:rPr>
        <w:t xml:space="preserve"> « , </w:t>
      </w:r>
      <w:r w:rsidRPr="0022546D">
        <w:rPr>
          <w:szCs w:val="18"/>
          <w:lang w:val="fr-CH"/>
        </w:rPr>
        <w:t>OCDE), Lignes directrices de l’OCDE en matière de diligence raisonnable pour des chaînes d’approvisionnement responsables en minéraux provenant de zones touchées par des conflits et à haut risque</w:t>
      </w:r>
      <w:r>
        <w:rPr>
          <w:szCs w:val="18"/>
          <w:lang w:val="fr-CH"/>
        </w:rPr>
        <w:t xml:space="preserve">, </w:t>
      </w:r>
      <w:r w:rsidRPr="000C5A94">
        <w:rPr>
          <w:szCs w:val="18"/>
          <w:lang w:val="fr-CH"/>
        </w:rPr>
        <w:t>2016</w:t>
      </w:r>
      <w:r>
        <w:rPr>
          <w:szCs w:val="18"/>
          <w:lang w:val="fr-CH"/>
        </w:rPr>
        <w:t xml:space="preserve">, </w:t>
      </w:r>
      <w:r w:rsidRPr="0022546D">
        <w:rPr>
          <w:szCs w:val="18"/>
          <w:lang w:val="fr-CH"/>
        </w:rPr>
        <w:t xml:space="preserve">Troisième édition, Éditions OCDE, Paris. </w:t>
      </w:r>
      <w:hyperlink r:id="rId103" w:history="1">
        <w:r w:rsidRPr="0022546D">
          <w:rPr>
            <w:rStyle w:val="Hyperlink"/>
            <w:szCs w:val="18"/>
            <w:lang w:val="fr-CH"/>
          </w:rPr>
          <w:t>http://dx.doi.org/10.1787/</w:t>
        </w:r>
        <w:r w:rsidRPr="0025407F">
          <w:rPr>
            <w:rStyle w:val="Hyperlink"/>
            <w:szCs w:val="18"/>
            <w:lang w:val="fr-CH"/>
          </w:rPr>
          <w:t>9789264252479-en</w:t>
        </w:r>
      </w:hyperlink>
      <w:r w:rsidRPr="0025407F">
        <w:rPr>
          <w:szCs w:val="18"/>
          <w:lang w:val="fr-CH"/>
        </w:rPr>
        <w:t xml:space="preserve">, </w:t>
      </w:r>
      <w:r>
        <w:rPr>
          <w:szCs w:val="18"/>
          <w:lang w:val="fr-CH"/>
        </w:rPr>
        <w:t>p</w:t>
      </w:r>
      <w:r w:rsidRPr="0022546D">
        <w:rPr>
          <w:szCs w:val="18"/>
          <w:lang w:val="fr-CH"/>
        </w:rPr>
        <w:t>. 13</w:t>
      </w:r>
      <w:r>
        <w:rPr>
          <w:szCs w:val="18"/>
          <w:lang w:val="fr-CH"/>
        </w:rPr>
        <w:t>.</w:t>
      </w:r>
    </w:p>
  </w:footnote>
  <w:footnote w:id="391">
    <w:p w14:paraId="55BEA7B1" w14:textId="77777777" w:rsidR="00925C2B" w:rsidRPr="00647CD0" w:rsidRDefault="00925C2B" w:rsidP="00617673">
      <w:pPr>
        <w:pStyle w:val="FootnoteText"/>
        <w:jc w:val="both"/>
        <w:rPr>
          <w:szCs w:val="18"/>
          <w:lang w:val="fr-FR"/>
        </w:rPr>
      </w:pPr>
      <w:r>
        <w:rPr>
          <w:szCs w:val="18"/>
          <w:lang w:val="fr-FR"/>
        </w:rPr>
        <w:tab/>
      </w:r>
      <w:r w:rsidRPr="00EE0BE4">
        <w:rPr>
          <w:rStyle w:val="FootnoteReference"/>
          <w:szCs w:val="18"/>
        </w:rPr>
        <w:footnoteRef/>
      </w:r>
      <w:r>
        <w:rPr>
          <w:szCs w:val="18"/>
          <w:lang w:val="fr-FR"/>
        </w:rPr>
        <w:tab/>
      </w:r>
      <w:r w:rsidRPr="00EE0BE4">
        <w:rPr>
          <w:szCs w:val="18"/>
          <w:lang w:val="fr-FR"/>
        </w:rPr>
        <w:t xml:space="preserve">L´ITIE se concentre sur la collecte et le rassemblement de données sur l’ampleur, la portée et la fiscalité du secteur extractif, tandis que l’ITSCI est un système de diligence raisonnable et de traçabilité des minéraux qui permet au Burundi de démontrer que sa production de 3T n’est pas liée au conflit dans la région des Grands Lacs et d’avoir ainsi accès aux marchés internationaux des minéraux. L’ITSCI implique un processus de marquage des minéraux et de collecte de données en plusieurs étapes qui, dans cette étude, sert de base au calcul des revenus </w:t>
      </w:r>
      <w:r w:rsidRPr="0022546D">
        <w:rPr>
          <w:szCs w:val="18"/>
          <w:lang w:val="fr-FR"/>
        </w:rPr>
        <w:t>générés par le secteur. Source</w:t>
      </w:r>
      <w:r>
        <w:rPr>
          <w:szCs w:val="18"/>
          <w:lang w:val="fr-FR"/>
        </w:rPr>
        <w:t xml:space="preserve"> : </w:t>
      </w:r>
      <w:r w:rsidRPr="00713CD1">
        <w:rPr>
          <w:szCs w:val="18"/>
          <w:lang w:val="fr-FR"/>
        </w:rPr>
        <w:t>Banque internationale pour la reconstruction et le développement / Banque mondiale</w:t>
      </w:r>
      <w:r>
        <w:rPr>
          <w:szCs w:val="18"/>
          <w:lang w:val="fr-FR"/>
        </w:rPr>
        <w:t>,</w:t>
      </w:r>
      <w:r w:rsidRPr="0022546D">
        <w:rPr>
          <w:szCs w:val="18"/>
          <w:lang w:val="fr-FR"/>
        </w:rPr>
        <w:t xml:space="preserve"> La République du Burundi</w:t>
      </w:r>
      <w:r>
        <w:rPr>
          <w:szCs w:val="18"/>
          <w:lang w:val="fr-FR"/>
        </w:rPr>
        <w:t>,</w:t>
      </w:r>
      <w:r w:rsidRPr="0022546D">
        <w:rPr>
          <w:szCs w:val="18"/>
          <w:lang w:val="fr-FR"/>
        </w:rPr>
        <w:t xml:space="preserve"> Rapport final Transparence dans les revenus de l’exploitation artisanale et à petite échelle de l’étain, du tantale, du tungstène et de l’or au Burundi</w:t>
      </w:r>
      <w:r w:rsidRPr="0025407F">
        <w:rPr>
          <w:szCs w:val="18"/>
          <w:lang w:val="fr-FR"/>
        </w:rPr>
        <w:t>,</w:t>
      </w:r>
      <w:r w:rsidRPr="00647CD0">
        <w:rPr>
          <w:szCs w:val="18"/>
          <w:lang w:val="fr-FR"/>
        </w:rPr>
        <w:t xml:space="preserve"> 2016.</w:t>
      </w:r>
    </w:p>
  </w:footnote>
  <w:footnote w:id="392">
    <w:p w14:paraId="0E340A05" w14:textId="77777777"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22546D">
        <w:rPr>
          <w:szCs w:val="18"/>
          <w:lang w:val="fr-FR"/>
        </w:rPr>
        <w:t>https://www.oecd.org/corporate/mne/mining.htm</w:t>
      </w:r>
      <w:r>
        <w:rPr>
          <w:szCs w:val="18"/>
          <w:lang w:val="fr-FR"/>
        </w:rPr>
        <w:t>.</w:t>
      </w:r>
    </w:p>
  </w:footnote>
  <w:footnote w:id="393">
    <w:p w14:paraId="7D7117B0" w14:textId="77777777" w:rsidR="00925C2B" w:rsidRPr="00647CD0" w:rsidRDefault="00925C2B" w:rsidP="00617673">
      <w:pPr>
        <w:pStyle w:val="FootnoteText"/>
        <w:rPr>
          <w:szCs w:val="18"/>
          <w:lang w:val="fr-CH"/>
        </w:rPr>
      </w:pPr>
      <w:r>
        <w:rPr>
          <w:szCs w:val="18"/>
          <w:lang w:val="fr-CH"/>
        </w:rPr>
        <w:tab/>
      </w:r>
      <w:r w:rsidRPr="00647CD0">
        <w:rPr>
          <w:rStyle w:val="FootnoteReference"/>
          <w:szCs w:val="18"/>
        </w:rPr>
        <w:footnoteRef/>
      </w:r>
      <w:r>
        <w:rPr>
          <w:szCs w:val="18"/>
          <w:lang w:val="fr-CH"/>
        </w:rPr>
        <w:tab/>
      </w:r>
      <w:r w:rsidRPr="00647CD0">
        <w:rPr>
          <w:szCs w:val="18"/>
          <w:lang w:val="fr-CH"/>
        </w:rPr>
        <w:t>Le certificat de la CIRGL pour les minéraux désignés fonctionne à peu près de la même manière que les certificats du processus de Kimberley pour les exportations de diamants. Seules les expéditions de minéraux pouvant démontrer une origine,</w:t>
      </w:r>
      <w:r w:rsidRPr="0025407F">
        <w:rPr>
          <w:szCs w:val="18"/>
          <w:lang w:val="fr-CH"/>
        </w:rPr>
        <w:t xml:space="preserve"> un transport et un traitement </w:t>
      </w:r>
      <w:r>
        <w:rPr>
          <w:szCs w:val="18"/>
          <w:lang w:val="fr-CH"/>
        </w:rPr>
        <w:t>« </w:t>
      </w:r>
      <w:r w:rsidRPr="0025407F">
        <w:rPr>
          <w:szCs w:val="18"/>
          <w:lang w:val="fr-CH"/>
        </w:rPr>
        <w:t>sans conflit</w:t>
      </w:r>
      <w:r>
        <w:rPr>
          <w:szCs w:val="18"/>
          <w:lang w:val="fr-CH"/>
        </w:rPr>
        <w:t> »</w:t>
      </w:r>
      <w:r w:rsidRPr="00647CD0">
        <w:rPr>
          <w:szCs w:val="18"/>
          <w:lang w:val="fr-CH"/>
        </w:rPr>
        <w:t xml:space="preserve"> se </w:t>
      </w:r>
      <w:r>
        <w:rPr>
          <w:szCs w:val="18"/>
          <w:lang w:val="fr-CH"/>
        </w:rPr>
        <w:t>voient</w:t>
      </w:r>
      <w:r w:rsidRPr="00647CD0">
        <w:rPr>
          <w:szCs w:val="18"/>
          <w:lang w:val="fr-CH"/>
        </w:rPr>
        <w:t xml:space="preserve"> attribuer un certificat</w:t>
      </w:r>
      <w:r w:rsidRPr="0025407F">
        <w:rPr>
          <w:szCs w:val="18"/>
          <w:lang w:val="fr-CH"/>
        </w:rPr>
        <w:t xml:space="preserve"> qui est devenu </w:t>
      </w:r>
      <w:r w:rsidRPr="00647CD0">
        <w:rPr>
          <w:szCs w:val="18"/>
          <w:lang w:val="fr-CH"/>
        </w:rPr>
        <w:t xml:space="preserve">obligatoire pour toutes les exportations de minéraux désignés </w:t>
      </w:r>
      <w:r>
        <w:rPr>
          <w:szCs w:val="18"/>
          <w:lang w:val="fr-CH"/>
        </w:rPr>
        <w:t>depuis</w:t>
      </w:r>
      <w:r w:rsidRPr="00647CD0">
        <w:rPr>
          <w:szCs w:val="18"/>
          <w:lang w:val="fr-CH"/>
        </w:rPr>
        <w:t xml:space="preserve"> le 15 décembre 2012.</w:t>
      </w:r>
      <w:r>
        <w:rPr>
          <w:szCs w:val="18"/>
          <w:lang w:val="fr-CH"/>
        </w:rPr>
        <w:t xml:space="preserve"> Voir :</w:t>
      </w:r>
      <w:r w:rsidRPr="00647CD0">
        <w:rPr>
          <w:szCs w:val="18"/>
          <w:lang w:val="fr-CH"/>
        </w:rPr>
        <w:t xml:space="preserve"> Mécanisme régional de certification (MRC) de la CIRGL</w:t>
      </w:r>
      <w:r>
        <w:rPr>
          <w:szCs w:val="18"/>
          <w:lang w:val="fr-CH"/>
        </w:rPr>
        <w:t xml:space="preserve">, </w:t>
      </w:r>
      <w:r w:rsidRPr="00647CD0">
        <w:rPr>
          <w:szCs w:val="18"/>
          <w:lang w:val="fr-CH"/>
        </w:rPr>
        <w:t>Manuel de certification</w:t>
      </w:r>
      <w:r>
        <w:rPr>
          <w:szCs w:val="18"/>
          <w:lang w:val="fr-CH"/>
        </w:rPr>
        <w:t>, p</w:t>
      </w:r>
      <w:r w:rsidRPr="00647CD0">
        <w:rPr>
          <w:szCs w:val="18"/>
          <w:lang w:val="fr-CH"/>
        </w:rPr>
        <w:t>. 11.</w:t>
      </w:r>
    </w:p>
  </w:footnote>
  <w:footnote w:id="394">
    <w:p w14:paraId="76A6ABC7" w14:textId="77777777"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647CD0">
        <w:rPr>
          <w:szCs w:val="18"/>
          <w:lang w:val="fr-FR"/>
        </w:rPr>
        <w:t>Mécanisme de certification des minéraux de la Conférence Internationale sur la Région des Grands Lacs (CIRGL) 1 CIRGL Mécanisme de certification régional (MCR)</w:t>
      </w:r>
      <w:r>
        <w:rPr>
          <w:szCs w:val="18"/>
          <w:lang w:val="fr-FR"/>
        </w:rPr>
        <w:t xml:space="preserve">, </w:t>
      </w:r>
      <w:r w:rsidRPr="00647CD0">
        <w:rPr>
          <w:szCs w:val="18"/>
          <w:lang w:val="fr-FR"/>
        </w:rPr>
        <w:t>Manuel de certification</w:t>
      </w:r>
      <w:r>
        <w:rPr>
          <w:szCs w:val="18"/>
          <w:lang w:val="fr-FR"/>
        </w:rPr>
        <w:t>.</w:t>
      </w:r>
    </w:p>
  </w:footnote>
  <w:footnote w:id="395">
    <w:p w14:paraId="7318E069" w14:textId="2744B32C" w:rsidR="00925C2B" w:rsidRPr="00647CD0" w:rsidRDefault="00925C2B" w:rsidP="00617673">
      <w:pPr>
        <w:pStyle w:val="FootnoteText"/>
        <w:rPr>
          <w:szCs w:val="18"/>
          <w:lang w:val="fr-FR"/>
        </w:rPr>
      </w:pPr>
      <w:r>
        <w:rPr>
          <w:szCs w:val="18"/>
          <w:lang w:val="fr-FR"/>
        </w:rPr>
        <w:tab/>
      </w:r>
      <w:r w:rsidRPr="00647CD0">
        <w:rPr>
          <w:rStyle w:val="FootnoteReference"/>
          <w:szCs w:val="18"/>
        </w:rPr>
        <w:footnoteRef/>
      </w:r>
      <w:r>
        <w:rPr>
          <w:szCs w:val="18"/>
          <w:lang w:val="fr-FR"/>
        </w:rPr>
        <w:tab/>
      </w:r>
      <w:r w:rsidRPr="00647CD0">
        <w:rPr>
          <w:szCs w:val="18"/>
          <w:lang w:val="fr-FR"/>
        </w:rPr>
        <w:t>ITIE</w:t>
      </w:r>
      <w:r>
        <w:rPr>
          <w:szCs w:val="18"/>
          <w:lang w:val="fr-FR"/>
        </w:rPr>
        <w:t>, F</w:t>
      </w:r>
      <w:r w:rsidRPr="0025407F">
        <w:rPr>
          <w:szCs w:val="18"/>
          <w:lang w:val="fr-FR"/>
        </w:rPr>
        <w:t>iche d’information</w:t>
      </w:r>
      <w:r>
        <w:rPr>
          <w:szCs w:val="18"/>
          <w:lang w:val="fr-FR"/>
        </w:rPr>
        <w:t xml:space="preserve">, </w:t>
      </w:r>
      <w:r w:rsidRPr="0025407F">
        <w:rPr>
          <w:szCs w:val="18"/>
          <w:lang w:val="fr-FR"/>
        </w:rPr>
        <w:t xml:space="preserve">octobre </w:t>
      </w:r>
      <w:r w:rsidRPr="00647CD0">
        <w:rPr>
          <w:szCs w:val="18"/>
          <w:lang w:val="fr-FR"/>
        </w:rPr>
        <w:t>2020</w:t>
      </w:r>
      <w:r>
        <w:rPr>
          <w:szCs w:val="18"/>
          <w:lang w:val="fr-FR"/>
        </w:rPr>
        <w:t>.</w:t>
      </w:r>
    </w:p>
  </w:footnote>
  <w:footnote w:id="396">
    <w:p w14:paraId="1C66045F" w14:textId="77777777" w:rsidR="00925C2B" w:rsidRPr="00647CD0" w:rsidRDefault="00925C2B" w:rsidP="00617673">
      <w:pPr>
        <w:pStyle w:val="FootnoteText"/>
        <w:rPr>
          <w:szCs w:val="18"/>
          <w:lang w:val="fr-CH"/>
        </w:rPr>
      </w:pPr>
      <w:r>
        <w:rPr>
          <w:szCs w:val="18"/>
          <w:lang w:val="fr-CH"/>
        </w:rPr>
        <w:tab/>
      </w:r>
      <w:r w:rsidRPr="00647CD0">
        <w:rPr>
          <w:rStyle w:val="FootnoteReference"/>
          <w:szCs w:val="18"/>
        </w:rPr>
        <w:footnoteRef/>
      </w:r>
      <w:r>
        <w:rPr>
          <w:szCs w:val="18"/>
          <w:lang w:val="fr-CH"/>
        </w:rPr>
        <w:tab/>
      </w:r>
      <w:r w:rsidRPr="00647CD0">
        <w:rPr>
          <w:szCs w:val="18"/>
          <w:lang w:val="fr-CH"/>
        </w:rPr>
        <w:t>D</w:t>
      </w:r>
      <w:r w:rsidRPr="00647CD0">
        <w:rPr>
          <w:szCs w:val="18"/>
          <w:lang w:val="fr-FR"/>
        </w:rPr>
        <w:t>éclaration publique du ministre de l’</w:t>
      </w:r>
      <w:r w:rsidRPr="0025407F">
        <w:rPr>
          <w:szCs w:val="18"/>
          <w:lang w:val="fr-FR"/>
        </w:rPr>
        <w:t>Énergie e</w:t>
      </w:r>
      <w:r w:rsidRPr="00647CD0">
        <w:rPr>
          <w:szCs w:val="18"/>
          <w:lang w:val="fr-FR"/>
        </w:rPr>
        <w:t>t des Mines du 20 janvier 2015.</w:t>
      </w:r>
    </w:p>
  </w:footnote>
  <w:footnote w:id="397">
    <w:p w14:paraId="10C27D77" w14:textId="1AC730F6" w:rsidR="00925C2B" w:rsidRPr="008E091A" w:rsidRDefault="00925C2B" w:rsidP="00617673">
      <w:pPr>
        <w:pStyle w:val="FootnoteText"/>
        <w:rPr>
          <w:sz w:val="16"/>
          <w:szCs w:val="16"/>
          <w:lang w:val="en-US"/>
        </w:rPr>
      </w:pPr>
      <w:r w:rsidRPr="00FA45AB">
        <w:rPr>
          <w:szCs w:val="18"/>
          <w:lang w:val="fr-CH"/>
        </w:rPr>
        <w:tab/>
      </w:r>
      <w:r w:rsidRPr="00647CD0">
        <w:rPr>
          <w:rStyle w:val="FootnoteReference"/>
          <w:szCs w:val="18"/>
        </w:rPr>
        <w:footnoteRef/>
      </w:r>
      <w:r>
        <w:rPr>
          <w:szCs w:val="18"/>
        </w:rPr>
        <w:tab/>
      </w:r>
      <w:r w:rsidRPr="0025407F">
        <w:rPr>
          <w:szCs w:val="18"/>
        </w:rPr>
        <w:t>EITI</w:t>
      </w:r>
      <w:r>
        <w:rPr>
          <w:szCs w:val="18"/>
        </w:rPr>
        <w:t>,</w:t>
      </w:r>
      <w:r w:rsidRPr="00647CD0">
        <w:rPr>
          <w:szCs w:val="18"/>
        </w:rPr>
        <w:t xml:space="preserve"> </w:t>
      </w:r>
      <w:r w:rsidRPr="00647CD0">
        <w:rPr>
          <w:szCs w:val="18"/>
          <w:lang w:val="en-US"/>
        </w:rPr>
        <w:t>Burundi commits to implement the EITI</w:t>
      </w:r>
      <w:r>
        <w:rPr>
          <w:szCs w:val="18"/>
          <w:lang w:val="en-US"/>
        </w:rPr>
        <w:t xml:space="preserve">, 3 février </w:t>
      </w:r>
      <w:r w:rsidRPr="00647CD0">
        <w:rPr>
          <w:szCs w:val="18"/>
          <w:lang w:val="en-US"/>
        </w:rPr>
        <w:t>2015</w:t>
      </w:r>
      <w:r>
        <w:rPr>
          <w:szCs w:val="18"/>
          <w:lang w:val="en-US"/>
        </w:rPr>
        <w:t>:</w:t>
      </w:r>
      <w:r w:rsidRPr="00647CD0">
        <w:rPr>
          <w:szCs w:val="18"/>
          <w:lang w:val="en-US"/>
        </w:rPr>
        <w:t xml:space="preserve"> https://eiti.org/news/burundi-commits-to-implement-</w:t>
      </w:r>
      <w:r w:rsidRPr="008E091A">
        <w:rPr>
          <w:sz w:val="16"/>
          <w:szCs w:val="16"/>
          <w:lang w:val="en-US"/>
        </w:rPr>
        <w:t>eiti</w:t>
      </w:r>
      <w:r>
        <w:rPr>
          <w:sz w:val="16"/>
          <w:szCs w:val="16"/>
          <w:lang w:val="en-US"/>
        </w:rPr>
        <w:t>.</w:t>
      </w:r>
    </w:p>
  </w:footnote>
  <w:footnote w:id="398">
    <w:p w14:paraId="1054069D" w14:textId="77777777" w:rsidR="00925C2B" w:rsidRPr="0031756B" w:rsidRDefault="00925C2B" w:rsidP="00617673">
      <w:pPr>
        <w:pStyle w:val="FootnoteText"/>
        <w:rPr>
          <w:lang w:val="en-US"/>
        </w:rPr>
      </w:pPr>
      <w:r>
        <w:rPr>
          <w:lang w:val="en-US"/>
        </w:rPr>
        <w:tab/>
      </w:r>
      <w:r>
        <w:rPr>
          <w:rStyle w:val="FootnoteReference"/>
        </w:rPr>
        <w:footnoteRef/>
      </w:r>
      <w:r>
        <w:rPr>
          <w:lang w:val="en-US"/>
        </w:rPr>
        <w:tab/>
      </w:r>
      <w:r w:rsidRPr="0031756B">
        <w:rPr>
          <w:lang w:val="en-US"/>
        </w:rPr>
        <w:t>https://www.itsci.org/fr/purpose/.</w:t>
      </w:r>
    </w:p>
  </w:footnote>
  <w:footnote w:id="399">
    <w:p w14:paraId="028E7A59" w14:textId="77777777" w:rsidR="00925C2B" w:rsidRPr="00670784" w:rsidRDefault="00925C2B" w:rsidP="00617673">
      <w:pPr>
        <w:pStyle w:val="FootnoteText"/>
        <w:rPr>
          <w:lang w:val="en-US"/>
        </w:rPr>
      </w:pPr>
      <w:r>
        <w:rPr>
          <w:lang w:val="en-US"/>
        </w:rPr>
        <w:tab/>
      </w:r>
      <w:r>
        <w:rPr>
          <w:rStyle w:val="FootnoteReference"/>
        </w:rPr>
        <w:footnoteRef/>
      </w:r>
      <w:r>
        <w:rPr>
          <w:lang w:val="en-US"/>
        </w:rPr>
        <w:tab/>
      </w:r>
      <w:r w:rsidRPr="000A01AF">
        <w:rPr>
          <w:lang w:val="en-US"/>
        </w:rPr>
        <w:t>https://www.itsci.org/fr/burundi-new-opportunities-crisis/</w:t>
      </w:r>
      <w:r>
        <w:rPr>
          <w:lang w:val="en-US"/>
        </w:rPr>
        <w:t>.</w:t>
      </w:r>
    </w:p>
  </w:footnote>
  <w:footnote w:id="400">
    <w:p w14:paraId="2EF85C7C" w14:textId="77777777" w:rsidR="00925C2B" w:rsidRPr="00025285" w:rsidRDefault="00925C2B" w:rsidP="00617673">
      <w:pPr>
        <w:pStyle w:val="FootnoteText"/>
        <w:rPr>
          <w:lang w:val="en-US"/>
        </w:rPr>
      </w:pPr>
      <w:r>
        <w:rPr>
          <w:lang w:val="en-US"/>
        </w:rPr>
        <w:tab/>
      </w:r>
      <w:r>
        <w:rPr>
          <w:rStyle w:val="FootnoteReference"/>
        </w:rPr>
        <w:footnoteRef/>
      </w:r>
      <w:r>
        <w:rPr>
          <w:lang w:val="en-US"/>
        </w:rPr>
        <w:tab/>
      </w:r>
      <w:r w:rsidRPr="00025285">
        <w:rPr>
          <w:lang w:val="en-US"/>
        </w:rPr>
        <w:t>https://worldjusticeproject.org/about-us/overview/what-rule-law.</w:t>
      </w:r>
    </w:p>
  </w:footnote>
  <w:footnote w:id="401">
    <w:p w14:paraId="0900C4B7" w14:textId="77777777" w:rsidR="00925C2B" w:rsidRPr="004D4F29" w:rsidRDefault="00925C2B" w:rsidP="00617673">
      <w:pPr>
        <w:pStyle w:val="FootnoteText"/>
        <w:rPr>
          <w:lang w:val="en-US"/>
        </w:rPr>
      </w:pPr>
      <w:r>
        <w:rPr>
          <w:lang w:val="en-US"/>
        </w:rPr>
        <w:tab/>
      </w:r>
      <w:r>
        <w:rPr>
          <w:rStyle w:val="FootnoteReference"/>
        </w:rPr>
        <w:footnoteRef/>
      </w:r>
      <w:r>
        <w:rPr>
          <w:lang w:val="en-US"/>
        </w:rPr>
        <w:tab/>
      </w:r>
      <w:r w:rsidRPr="004D4F29">
        <w:rPr>
          <w:lang w:val="en-US"/>
        </w:rPr>
        <w:t>https://worldjusticeproject.org/about-us/overview/what-rule-law.</w:t>
      </w:r>
    </w:p>
  </w:footnote>
  <w:footnote w:id="402">
    <w:p w14:paraId="7D87456B" w14:textId="77777777" w:rsidR="00925C2B" w:rsidRPr="00025285" w:rsidRDefault="00925C2B" w:rsidP="00617673">
      <w:pPr>
        <w:pStyle w:val="FootnoteText"/>
        <w:rPr>
          <w:lang w:val="fr-CH"/>
        </w:rPr>
      </w:pPr>
      <w:r w:rsidRPr="00FA45AB">
        <w:rPr>
          <w:lang w:val="en-US"/>
        </w:rPr>
        <w:tab/>
      </w:r>
      <w:r>
        <w:rPr>
          <w:rStyle w:val="FootnoteReference"/>
        </w:rPr>
        <w:footnoteRef/>
      </w:r>
      <w:r>
        <w:rPr>
          <w:lang w:val="fr-CH"/>
        </w:rPr>
        <w:tab/>
      </w:r>
      <w:r w:rsidRPr="005328C1">
        <w:rPr>
          <w:lang w:val="fr-CH"/>
        </w:rPr>
        <w:t>J. CHEVALLIER cité par E. DAVID, « Conclusions générales », L</w:t>
      </w:r>
      <w:r>
        <w:rPr>
          <w:lang w:val="fr-CH"/>
        </w:rPr>
        <w:t>’État</w:t>
      </w:r>
      <w:r w:rsidRPr="005328C1">
        <w:rPr>
          <w:lang w:val="fr-CH"/>
        </w:rPr>
        <w:t xml:space="preserve"> de droit en droit international, Colloque SFDI de Bruxelles, 2009, éd. </w:t>
      </w:r>
      <w:r w:rsidRPr="00025285">
        <w:rPr>
          <w:lang w:val="fr-CH"/>
        </w:rPr>
        <w:t>Pedone, p. 436.</w:t>
      </w:r>
    </w:p>
  </w:footnote>
  <w:footnote w:id="403">
    <w:p w14:paraId="497F08C4" w14:textId="234765DD" w:rsidR="00925C2B" w:rsidRPr="00D474F0" w:rsidRDefault="00925C2B" w:rsidP="00AF622D">
      <w:pPr>
        <w:pStyle w:val="FootnoteText"/>
        <w:rPr>
          <w:lang w:val="fr-CH"/>
        </w:rPr>
      </w:pPr>
      <w:r>
        <w:rPr>
          <w:lang w:val="fr-CH"/>
        </w:rPr>
        <w:tab/>
      </w:r>
      <w:r>
        <w:rPr>
          <w:rStyle w:val="FootnoteReference"/>
        </w:rPr>
        <w:footnoteRef/>
      </w:r>
      <w:r>
        <w:rPr>
          <w:lang w:val="fr-CH"/>
        </w:rPr>
        <w:tab/>
      </w:r>
      <w:r w:rsidRPr="00D474F0">
        <w:rPr>
          <w:lang w:val="fr-CH"/>
        </w:rPr>
        <w:t xml:space="preserve">Voir l’indice </w:t>
      </w:r>
      <w:r>
        <w:rPr>
          <w:lang w:val="fr-CH"/>
        </w:rPr>
        <w:t xml:space="preserve">portant sur l’État de droit et la sécurité préparé par la Fondation Mo </w:t>
      </w:r>
      <w:r w:rsidRPr="00C84A8E">
        <w:rPr>
          <w:lang w:val="fr-CH"/>
        </w:rPr>
        <w:t xml:space="preserve">Ibrahim, par. 100-101 du présent </w:t>
      </w:r>
      <w:r w:rsidR="000321EF">
        <w:rPr>
          <w:lang w:val="fr-CH"/>
        </w:rPr>
        <w:t>document</w:t>
      </w:r>
      <w:r w:rsidRPr="00C84A8E">
        <w:rPr>
          <w:lang w:val="fr-CH"/>
        </w:rPr>
        <w:t>.</w:t>
      </w:r>
    </w:p>
  </w:footnote>
  <w:footnote w:id="404">
    <w:p w14:paraId="29801A73" w14:textId="77777777" w:rsidR="00925C2B" w:rsidRPr="00384F13" w:rsidRDefault="00925C2B" w:rsidP="00617673">
      <w:pPr>
        <w:pStyle w:val="FootnoteText"/>
        <w:rPr>
          <w:lang w:val="fr-CH"/>
        </w:rPr>
      </w:pPr>
      <w:r>
        <w:rPr>
          <w:lang w:val="fr-CH"/>
        </w:rPr>
        <w:tab/>
      </w:r>
      <w:r>
        <w:rPr>
          <w:rStyle w:val="FootnoteReference"/>
        </w:rPr>
        <w:footnoteRef/>
      </w:r>
      <w:r>
        <w:rPr>
          <w:lang w:val="fr-CH"/>
        </w:rPr>
        <w:tab/>
        <w:t xml:space="preserve">Les </w:t>
      </w:r>
      <w:r w:rsidRPr="00384F13">
        <w:rPr>
          <w:lang w:val="fr-CH"/>
        </w:rPr>
        <w:t>activité</w:t>
      </w:r>
      <w:r>
        <w:rPr>
          <w:lang w:val="fr-CH"/>
        </w:rPr>
        <w:t>s</w:t>
      </w:r>
      <w:r w:rsidRPr="00384F13">
        <w:rPr>
          <w:lang w:val="fr-CH"/>
        </w:rPr>
        <w:t xml:space="preserve"> de l</w:t>
      </w:r>
      <w:r>
        <w:rPr>
          <w:lang w:val="fr-CH"/>
        </w:rPr>
        <w:t>’</w:t>
      </w:r>
      <w:r w:rsidRPr="00384F13">
        <w:rPr>
          <w:lang w:val="fr-CH"/>
        </w:rPr>
        <w:t>État doi</w:t>
      </w:r>
      <w:r>
        <w:rPr>
          <w:lang w:val="fr-CH"/>
        </w:rPr>
        <w:t>ven</w:t>
      </w:r>
      <w:r w:rsidRPr="00384F13">
        <w:rPr>
          <w:lang w:val="fr-CH"/>
        </w:rPr>
        <w:t>t se baser sur le droit</w:t>
      </w:r>
      <w:r>
        <w:rPr>
          <w:lang w:val="fr-CH"/>
        </w:rPr>
        <w:t xml:space="preserve"> ce qui signifie que le gouvernement et l’administration agissent en conformité avec la loi. Au niveau du droit pénal, la loi doit </w:t>
      </w:r>
      <w:r w:rsidRPr="00384F13">
        <w:rPr>
          <w:lang w:val="fr-CH"/>
        </w:rPr>
        <w:t>pr</w:t>
      </w:r>
      <w:r>
        <w:rPr>
          <w:lang w:val="fr-CH"/>
        </w:rPr>
        <w:t>éalablement et clairement interdire</w:t>
      </w:r>
      <w:r w:rsidRPr="00384F13">
        <w:rPr>
          <w:lang w:val="fr-CH"/>
        </w:rPr>
        <w:t xml:space="preserve"> un comportement </w:t>
      </w:r>
      <w:r>
        <w:rPr>
          <w:lang w:val="fr-CH"/>
        </w:rPr>
        <w:t>pour que celui-ci puisse être réprimé ou sanctionné</w:t>
      </w:r>
      <w:r w:rsidRPr="00384F13">
        <w:rPr>
          <w:lang w:val="fr-CH"/>
        </w:rPr>
        <w:t>.</w:t>
      </w:r>
    </w:p>
  </w:footnote>
  <w:footnote w:id="405">
    <w:p w14:paraId="3283800D" w14:textId="77777777" w:rsidR="00925C2B" w:rsidRPr="00384F13" w:rsidRDefault="00925C2B" w:rsidP="00617673">
      <w:pPr>
        <w:pStyle w:val="FootnoteText"/>
        <w:rPr>
          <w:lang w:val="fr-CH"/>
        </w:rPr>
      </w:pPr>
      <w:r>
        <w:rPr>
          <w:lang w:val="fr-CH"/>
        </w:rPr>
        <w:tab/>
      </w:r>
      <w:r>
        <w:rPr>
          <w:rStyle w:val="FootnoteReference"/>
        </w:rPr>
        <w:footnoteRef/>
      </w:r>
      <w:r>
        <w:rPr>
          <w:lang w:val="fr-CH"/>
        </w:rPr>
        <w:tab/>
        <w:t>Les responsabilités des différentes autorités sont définies par des règles contraignantes et les détenteurs du pouvoir doivent rendre des comptes pour tout comportement irresponsable.</w:t>
      </w:r>
    </w:p>
  </w:footnote>
  <w:footnote w:id="406">
    <w:p w14:paraId="79D43721" w14:textId="77777777" w:rsidR="00925C2B" w:rsidRPr="00384F13" w:rsidRDefault="00925C2B" w:rsidP="00617673">
      <w:pPr>
        <w:pStyle w:val="FootnoteText"/>
        <w:rPr>
          <w:lang w:val="fr-CH"/>
        </w:rPr>
      </w:pPr>
      <w:r>
        <w:rPr>
          <w:lang w:val="fr-CH"/>
        </w:rPr>
        <w:tab/>
      </w:r>
      <w:r>
        <w:rPr>
          <w:rStyle w:val="FootnoteReference"/>
        </w:rPr>
        <w:footnoteRef/>
      </w:r>
      <w:r>
        <w:rPr>
          <w:lang w:val="fr-CH"/>
        </w:rPr>
        <w:tab/>
        <w:t xml:space="preserve">Selon lequel le pouvoir d’édicter les lois relève du pouvoir législatif et celui de déterminer si les lois sont respectées ou non et de déterminer les sanctions en cas de violation des lois revient au seul système judiciaire. </w:t>
      </w:r>
    </w:p>
  </w:footnote>
  <w:footnote w:id="407">
    <w:p w14:paraId="5D53E6F8" w14:textId="77777777" w:rsidR="00925C2B" w:rsidRPr="00C0475F" w:rsidRDefault="00925C2B" w:rsidP="00617673">
      <w:pPr>
        <w:pStyle w:val="FootnoteText"/>
        <w:rPr>
          <w:lang w:val="fr-CH"/>
        </w:rPr>
      </w:pPr>
      <w:r>
        <w:rPr>
          <w:lang w:val="fr-CH"/>
        </w:rPr>
        <w:tab/>
      </w:r>
      <w:r>
        <w:rPr>
          <w:rStyle w:val="FootnoteReference"/>
        </w:rPr>
        <w:footnoteRef/>
      </w:r>
      <w:r>
        <w:rPr>
          <w:lang w:val="fr-CH"/>
        </w:rPr>
        <w:tab/>
      </w:r>
      <w:r w:rsidRPr="00C0475F">
        <w:rPr>
          <w:lang w:val="fr-CH"/>
        </w:rPr>
        <w:t>https://www.presidence.gov.bi/2020/08/24/les-membres-du-gouvernement-appeles-a-declarer-leurs-richesses/</w:t>
      </w:r>
      <w:r>
        <w:rPr>
          <w:lang w:val="fr-CH"/>
        </w:rPr>
        <w:t>.</w:t>
      </w:r>
    </w:p>
  </w:footnote>
  <w:footnote w:id="408">
    <w:p w14:paraId="76D0AD34"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https://www.iwacu-burundi.org/emission-publique-du-chef-de-letat-la-population-est-restee-sur-sa-soif/.</w:t>
      </w:r>
    </w:p>
  </w:footnote>
  <w:footnote w:id="409">
    <w:p w14:paraId="3E91A06C"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Pr>
          <w:lang w:val="fr-CH"/>
        </w:rPr>
        <w:tab/>
      </w:r>
      <w:r w:rsidRPr="00670784">
        <w:rPr>
          <w:lang w:val="fr-CH"/>
        </w:rPr>
        <w:t>http://olucome.bi/IMG/pdf/-179.pdf.</w:t>
      </w:r>
    </w:p>
  </w:footnote>
  <w:footnote w:id="410">
    <w:p w14:paraId="73C424E0" w14:textId="4B3FD05D" w:rsidR="00925C2B" w:rsidRPr="00670784" w:rsidRDefault="00925C2B" w:rsidP="00AF622D">
      <w:pPr>
        <w:pStyle w:val="FootnoteText"/>
        <w:ind w:hanging="567"/>
        <w:rPr>
          <w:lang w:val="fr-CH"/>
        </w:rPr>
      </w:pPr>
      <w:r>
        <w:rPr>
          <w:lang w:val="fr-CH"/>
        </w:rPr>
        <w:tab/>
      </w:r>
      <w:r>
        <w:rPr>
          <w:rStyle w:val="FootnoteReference"/>
        </w:rPr>
        <w:footnoteRef/>
      </w:r>
      <w:r>
        <w:rPr>
          <w:lang w:val="fr-CH"/>
        </w:rPr>
        <w:tab/>
      </w:r>
      <w:r w:rsidRPr="00670784">
        <w:rPr>
          <w:lang w:val="fr-CH"/>
        </w:rPr>
        <w:t>https://www.presidence.gov.bi/2021/06/10/le-communique-du-conseil-des-ministres-du-09-juin-2021/</w:t>
      </w:r>
      <w:r>
        <w:rPr>
          <w:lang w:val="fr-CH"/>
        </w:rPr>
        <w:t>.</w:t>
      </w:r>
    </w:p>
  </w:footnote>
  <w:footnote w:id="411">
    <w:p w14:paraId="46C796D1" w14:textId="57362D58"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4" w:history="1">
        <w:r w:rsidRPr="00670784">
          <w:rPr>
            <w:rStyle w:val="Hyperlink"/>
            <w:lang w:val="fr-CH"/>
          </w:rPr>
          <w:t>https://www.presidence.gov.bi/2021/07/01/message-de-se-le-president-ndayishimiye-a-loccasion-de-la-celebration-du-59eme-anniversaire-de-lindependance-du-burundi/</w:t>
        </w:r>
      </w:hyperlink>
      <w:r>
        <w:rPr>
          <w:lang w:val="fr-CH"/>
        </w:rPr>
        <w:t>.</w:t>
      </w:r>
    </w:p>
  </w:footnote>
  <w:footnote w:id="412">
    <w:p w14:paraId="71F1AA10" w14:textId="77777777" w:rsidR="00925C2B" w:rsidRPr="00670784" w:rsidRDefault="00925C2B" w:rsidP="00617673">
      <w:pPr>
        <w:pStyle w:val="FootnoteText"/>
        <w:rPr>
          <w:lang w:val="fr-BE"/>
        </w:rPr>
      </w:pPr>
      <w:r>
        <w:rPr>
          <w:lang w:val="fr-BE"/>
        </w:rPr>
        <w:tab/>
      </w:r>
      <w:r>
        <w:rPr>
          <w:rStyle w:val="FootnoteReference"/>
        </w:rPr>
        <w:footnoteRef/>
      </w:r>
      <w:r>
        <w:rPr>
          <w:lang w:val="fr-BE"/>
        </w:rPr>
        <w:tab/>
        <w:t>V</w:t>
      </w:r>
      <w:r w:rsidRPr="00670784">
        <w:rPr>
          <w:lang w:val="fr-BE"/>
        </w:rPr>
        <w:t>oir A/HRC/42/CRP.2, par. 244-249.</w:t>
      </w:r>
    </w:p>
  </w:footnote>
  <w:footnote w:id="413">
    <w:p w14:paraId="5F16155B" w14:textId="77777777" w:rsidR="00925C2B" w:rsidRPr="00AB1723" w:rsidRDefault="00925C2B" w:rsidP="00617673">
      <w:pPr>
        <w:pStyle w:val="FootnoteText"/>
        <w:rPr>
          <w:lang w:val="fr-CH"/>
        </w:rPr>
      </w:pPr>
      <w:r>
        <w:rPr>
          <w:lang w:val="fr-CH"/>
        </w:rPr>
        <w:tab/>
      </w:r>
      <w:r>
        <w:rPr>
          <w:rStyle w:val="FootnoteReference"/>
        </w:rPr>
        <w:footnoteRef/>
      </w:r>
      <w:r>
        <w:rPr>
          <w:lang w:val="fr-CH"/>
        </w:rPr>
        <w:tab/>
        <w:t xml:space="preserve">Des estimations chiffrées indiquent qu’il y’aurait une moyenne globale de près de 77%de Hutus au sein des instances dirigeantes toutes confondues (y compris le monde économique et social). Pour ce qui est des services de la présidence, de la vice-présidence et de la primature, 75% des conseillers, chefs de cabinet et du protocole seraient Hutus- La proportion serait de 60% de Hutus au sein de Gouvernement, 71% parmi les assistants et secrétaires permanents dans les ministères, 78% parmi les Ambassadeurs, 75% des membres du Bureau et présidents de commissions à l’Assemblée nationale et 62,5% au Sénat ; 69% des plus hauts cadres de l’Armée, 70% des plus hauts cadres de la police ; 85% des plus hauts cadres du Service national de renseignement ; 88% des gouverneurs de province et presque 95% des Procureurs de la République. Voir Ligue Iteka, </w:t>
      </w:r>
      <w:r w:rsidRPr="001E62E2">
        <w:rPr>
          <w:lang w:val="fr-CH"/>
        </w:rPr>
        <w:t xml:space="preserve">Situation politico-ethnique dans les postes de responsabilité au sein de la présidence de la République, des ministères et des entreprises </w:t>
      </w:r>
      <w:bookmarkStart w:id="3" w:name="_GoBack"/>
      <w:r w:rsidRPr="001E62E2">
        <w:rPr>
          <w:lang w:val="fr-CH"/>
        </w:rPr>
        <w:t>para-étatiques</w:t>
      </w:r>
      <w:bookmarkEnd w:id="3"/>
      <w:r w:rsidRPr="001E62E2">
        <w:rPr>
          <w:lang w:val="fr-CH"/>
        </w:rPr>
        <w:t xml:space="preserve"> au Burundi, année 202</w:t>
      </w:r>
      <w:r>
        <w:rPr>
          <w:lang w:val="fr-CH"/>
        </w:rPr>
        <w:t xml:space="preserve">1, 26 mars 2021, disponible à : </w:t>
      </w:r>
      <w:r w:rsidRPr="001E62E2">
        <w:rPr>
          <w:lang w:val="fr-CH"/>
        </w:rPr>
        <w:t>https://ligue-iteka.bi/wp-content/uploads/2021/03/Situation-po-ethnique-26-mars-2021.pdf</w:t>
      </w:r>
      <w:r>
        <w:rPr>
          <w:lang w:val="fr-CH"/>
        </w:rPr>
        <w:t>.</w:t>
      </w:r>
    </w:p>
  </w:footnote>
  <w:footnote w:id="414">
    <w:p w14:paraId="6D3E3379"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5" w:history="1">
        <w:r w:rsidRPr="00B55BF1">
          <w:rPr>
            <w:rStyle w:val="Hyperlink"/>
            <w:lang w:val="fr-CH"/>
          </w:rPr>
          <w:t>https://twitter.com/MininterInfosBi/status/1380539706421706752?s=20</w:t>
        </w:r>
      </w:hyperlink>
      <w:r>
        <w:rPr>
          <w:lang w:val="fr-CH"/>
        </w:rPr>
        <w:t xml:space="preserve">, voir aussi </w:t>
      </w:r>
      <w:r w:rsidRPr="00670784">
        <w:rPr>
          <w:lang w:val="fr-CH"/>
        </w:rPr>
        <w:t>https://www.iwacu-burundi.org/destitution-des-comptables-communaux-une-mesure-decriee/.</w:t>
      </w:r>
    </w:p>
  </w:footnote>
  <w:footnote w:id="415">
    <w:p w14:paraId="0649ACFC"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3D0112">
        <w:rPr>
          <w:lang w:val="fr-CH"/>
        </w:rPr>
        <w:t>https://twitter.com/MininterInfosBi/status/1361267306886791170?s=20</w:t>
      </w:r>
      <w:r>
        <w:rPr>
          <w:lang w:val="fr-CH"/>
        </w:rPr>
        <w:t>,</w:t>
      </w:r>
      <w:r w:rsidRPr="003D0112">
        <w:rPr>
          <w:lang w:val="fr-CH"/>
        </w:rPr>
        <w:t xml:space="preserve"> </w:t>
      </w:r>
      <w:r>
        <w:rPr>
          <w:lang w:val="fr-CH"/>
        </w:rPr>
        <w:t xml:space="preserve">voir aussi </w:t>
      </w:r>
      <w:r w:rsidRPr="00670784">
        <w:rPr>
          <w:lang w:val="fr-CH"/>
        </w:rPr>
        <w:t>https://www.iwacu-burundi.org/percepteurs-de-taxes-et-impots-les-anciens-remercies-pour-corruption/.</w:t>
      </w:r>
    </w:p>
  </w:footnote>
  <w:footnote w:id="416">
    <w:p w14:paraId="537DF51F" w14:textId="77777777" w:rsidR="00925C2B" w:rsidRPr="00736749" w:rsidRDefault="00925C2B" w:rsidP="00617673">
      <w:pPr>
        <w:pStyle w:val="FootnoteText"/>
        <w:rPr>
          <w:lang w:val="fr-CH"/>
        </w:rPr>
      </w:pPr>
      <w:r>
        <w:rPr>
          <w:lang w:val="fr-CH"/>
        </w:rPr>
        <w:tab/>
      </w:r>
      <w:r>
        <w:rPr>
          <w:rStyle w:val="FootnoteReference"/>
        </w:rPr>
        <w:footnoteRef/>
      </w:r>
      <w:r>
        <w:rPr>
          <w:lang w:val="fr-CH"/>
        </w:rPr>
        <w:tab/>
      </w:r>
      <w:r w:rsidRPr="00736749">
        <w:rPr>
          <w:lang w:val="fr-CH"/>
        </w:rPr>
        <w:t>L</w:t>
      </w:r>
      <w:r>
        <w:rPr>
          <w:lang w:val="fr-CH"/>
        </w:rPr>
        <w:t>’</w:t>
      </w:r>
      <w:r w:rsidRPr="00736749">
        <w:rPr>
          <w:lang w:val="fr-CH"/>
        </w:rPr>
        <w:t xml:space="preserve">article 8 de la loi </w:t>
      </w:r>
      <w:r>
        <w:rPr>
          <w:lang w:val="fr-CH"/>
        </w:rPr>
        <w:t>sur l’Administration des communes dispose</w:t>
      </w:r>
      <w:r w:rsidRPr="00736749">
        <w:rPr>
          <w:lang w:val="fr-CH"/>
        </w:rPr>
        <w:t xml:space="preserve"> que « c</w:t>
      </w:r>
      <w:r>
        <w:rPr>
          <w:lang w:val="fr-CH"/>
        </w:rPr>
        <w:t>’</w:t>
      </w:r>
      <w:r w:rsidRPr="00736749">
        <w:rPr>
          <w:lang w:val="fr-CH"/>
        </w:rPr>
        <w:t>est la commune qui est chargée de la gestion administrative des travailleurs salariés. La commune a une personnalité juridique, morale et elle a une autonomie administrative ».</w:t>
      </w:r>
    </w:p>
  </w:footnote>
  <w:footnote w:id="417">
    <w:p w14:paraId="22317B3C" w14:textId="77777777" w:rsidR="00925C2B" w:rsidRPr="001B6EF4" w:rsidRDefault="00925C2B" w:rsidP="00617673">
      <w:pPr>
        <w:pStyle w:val="FootnoteText"/>
        <w:rPr>
          <w:lang w:val="fr-CH"/>
        </w:rPr>
      </w:pPr>
      <w:r>
        <w:rPr>
          <w:lang w:val="fr-CH"/>
        </w:rPr>
        <w:tab/>
      </w:r>
      <w:r>
        <w:rPr>
          <w:rStyle w:val="FootnoteReference"/>
        </w:rPr>
        <w:footnoteRef/>
      </w:r>
      <w:r>
        <w:rPr>
          <w:lang w:val="fr-CH"/>
        </w:rPr>
        <w:tab/>
        <w:t xml:space="preserve">Voir </w:t>
      </w:r>
      <w:r w:rsidRPr="001B6EF4">
        <w:rPr>
          <w:lang w:val="fr-CH"/>
        </w:rPr>
        <w:t>https://www.iwacu-burundi.org/percepteurs-de-taxes-et-impots-les-anciens-remercies-pour-corruption/</w:t>
      </w:r>
      <w:r>
        <w:rPr>
          <w:lang w:val="fr-CH"/>
        </w:rPr>
        <w:t>.</w:t>
      </w:r>
    </w:p>
  </w:footnote>
  <w:footnote w:id="418">
    <w:p w14:paraId="5F515F86"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https://twitter.com/MininterInfosBi/status/1362394511696138242?s=20.</w:t>
      </w:r>
    </w:p>
  </w:footnote>
  <w:footnote w:id="419">
    <w:p w14:paraId="4FCA7065" w14:textId="3660A5C2"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https://twitter.com/MininterInfosBi/s</w:t>
      </w:r>
      <w:r>
        <w:rPr>
          <w:lang w:val="fr-CH"/>
        </w:rPr>
        <w:t>tatus/1371884069068414979?s=20.</w:t>
      </w:r>
    </w:p>
  </w:footnote>
  <w:footnote w:id="420">
    <w:p w14:paraId="2446AEEE"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https://www.iwacu-burundi.org/olucome-les-commercants-exercant-autour-des-marches-persecutes/?utm_source=dlvr.it&amp;utm_medium=twitter.</w:t>
      </w:r>
    </w:p>
  </w:footnote>
  <w:footnote w:id="421">
    <w:p w14:paraId="46B1AAF1"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https://twitter.com/olucome_burundi/status/1362132420150104064?s=20.</w:t>
      </w:r>
    </w:p>
  </w:footnote>
  <w:footnote w:id="422">
    <w:p w14:paraId="28F7A828" w14:textId="051B9173" w:rsidR="00925C2B" w:rsidRPr="0066457C" w:rsidRDefault="00925C2B" w:rsidP="00617673">
      <w:pPr>
        <w:pStyle w:val="FootnoteText"/>
        <w:rPr>
          <w:lang w:val="fr-CH"/>
        </w:rPr>
      </w:pPr>
      <w:r>
        <w:rPr>
          <w:lang w:val="fr-CH"/>
        </w:rPr>
        <w:tab/>
      </w:r>
      <w:r>
        <w:rPr>
          <w:rStyle w:val="FootnoteReference"/>
        </w:rPr>
        <w:footnoteRef/>
      </w:r>
      <w:r>
        <w:rPr>
          <w:lang w:val="fr-CH"/>
        </w:rPr>
        <w:tab/>
        <w:t xml:space="preserve">Voir </w:t>
      </w:r>
      <w:r w:rsidRPr="009919DE">
        <w:rPr>
          <w:lang w:val="fr-CH"/>
        </w:rPr>
        <w:t>par. 207-211 du</w:t>
      </w:r>
      <w:r>
        <w:rPr>
          <w:lang w:val="fr-CH"/>
        </w:rPr>
        <w:t xml:space="preserve"> présent </w:t>
      </w:r>
      <w:r w:rsidR="000321EF">
        <w:rPr>
          <w:lang w:val="fr-CH"/>
        </w:rPr>
        <w:t>document</w:t>
      </w:r>
      <w:r>
        <w:rPr>
          <w:lang w:val="fr-CH"/>
        </w:rPr>
        <w:t>.</w:t>
      </w:r>
    </w:p>
  </w:footnote>
  <w:footnote w:id="423">
    <w:p w14:paraId="3FFAE0BF"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hyperlink r:id="rId106" w:history="1">
        <w:r w:rsidRPr="00670784">
          <w:rPr>
            <w:rStyle w:val="Hyperlink"/>
            <w:lang w:val="fr-CH"/>
          </w:rPr>
          <w:t>https://twitter.com/RTNBurundi/status/1373538801830801409?s=20</w:t>
        </w:r>
      </w:hyperlink>
      <w:r w:rsidRPr="00670784">
        <w:rPr>
          <w:lang w:val="fr-CH"/>
        </w:rPr>
        <w:t xml:space="preserve">, </w:t>
      </w:r>
      <w:hyperlink r:id="rId107" w:history="1">
        <w:r w:rsidRPr="00670784">
          <w:rPr>
            <w:rStyle w:val="Hyperlink"/>
            <w:lang w:val="fr-CH"/>
          </w:rPr>
          <w:t>https://twitter.com/RTNBurundi/status/1372891838936461315?s=20</w:t>
        </w:r>
      </w:hyperlink>
      <w:r w:rsidRPr="00670784">
        <w:rPr>
          <w:lang w:val="fr-CH"/>
        </w:rPr>
        <w:t>, https://twitter.com/RTNBurundi/status/1370483987379027978?s=20.</w:t>
      </w:r>
    </w:p>
  </w:footnote>
  <w:footnote w:id="424">
    <w:p w14:paraId="168CCD8A"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https://www.sosmediasburundi.org/2021/03/21/bubanza-le-president-de-lassemblee-nationale-encourage-les-responsables-administratifs-a-recourir-a-la-chicote/.</w:t>
      </w:r>
    </w:p>
  </w:footnote>
  <w:footnote w:id="425">
    <w:p w14:paraId="32B5EBEB"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https://www.iwacu-burundi.org/bujumbura-se-prepare-pour-feter-le-59eme-anniversaire-de-lindependance-mais/.</w:t>
      </w:r>
    </w:p>
  </w:footnote>
  <w:footnote w:id="426">
    <w:p w14:paraId="08286679" w14:textId="77777777" w:rsidR="00925C2B" w:rsidRPr="00670784" w:rsidRDefault="00925C2B" w:rsidP="00617673">
      <w:pPr>
        <w:pStyle w:val="FootnoteText"/>
        <w:rPr>
          <w:lang w:val="fr-CH"/>
        </w:rPr>
      </w:pPr>
      <w:r>
        <w:rPr>
          <w:lang w:val="fr-CH"/>
        </w:rPr>
        <w:tab/>
      </w:r>
      <w:r>
        <w:rPr>
          <w:rStyle w:val="FootnoteReference"/>
        </w:rPr>
        <w:footnoteRef/>
      </w:r>
      <w:r>
        <w:rPr>
          <w:lang w:val="fr-CH"/>
        </w:rPr>
        <w:tab/>
      </w:r>
      <w:r w:rsidRPr="00670784">
        <w:rPr>
          <w:lang w:val="fr-CH"/>
        </w:rPr>
        <w:t>https://www.iwacu-burundi.org/interview-exclusive-consolateur-nitunga-1650-menages-deplaces-par-le-lac-tanganyika/.</w:t>
      </w:r>
    </w:p>
  </w:footnote>
  <w:footnote w:id="427">
    <w:p w14:paraId="10EFEA1B" w14:textId="2822FDB9" w:rsidR="00925C2B" w:rsidRPr="00670784" w:rsidRDefault="00925C2B" w:rsidP="00617673">
      <w:pPr>
        <w:pStyle w:val="FootnoteText"/>
        <w:rPr>
          <w:lang w:val="it-IT"/>
        </w:rPr>
      </w:pPr>
      <w:r w:rsidRPr="002C02F1">
        <w:rPr>
          <w:lang w:val="fr-CH"/>
        </w:rPr>
        <w:tab/>
      </w:r>
      <w:r>
        <w:rPr>
          <w:rStyle w:val="FootnoteReference"/>
        </w:rPr>
        <w:footnoteRef/>
      </w:r>
      <w:r>
        <w:rPr>
          <w:lang w:val="it-IT"/>
        </w:rPr>
        <w:tab/>
      </w:r>
      <w:r w:rsidR="0053644E">
        <w:rPr>
          <w:lang w:val="it-IT"/>
        </w:rPr>
        <w:t>TI-380</w:t>
      </w:r>
      <w:r w:rsidRPr="00670784">
        <w:rPr>
          <w:lang w:val="it-IT"/>
        </w:rPr>
        <w:t>, TI-335, JI-179, HI-081, HI-082, HI-085.</w:t>
      </w:r>
    </w:p>
  </w:footnote>
  <w:footnote w:id="428">
    <w:p w14:paraId="5EF4BF7C" w14:textId="77777777" w:rsidR="00925C2B" w:rsidRPr="00670784" w:rsidRDefault="00925C2B" w:rsidP="00617673">
      <w:pPr>
        <w:pStyle w:val="FootnoteText"/>
        <w:rPr>
          <w:lang w:val="it-IT"/>
        </w:rPr>
      </w:pPr>
      <w:r>
        <w:rPr>
          <w:lang w:val="it-IT"/>
        </w:rPr>
        <w:tab/>
      </w:r>
      <w:r>
        <w:rPr>
          <w:rStyle w:val="FootnoteReference"/>
        </w:rPr>
        <w:footnoteRef/>
      </w:r>
      <w:r>
        <w:rPr>
          <w:lang w:val="it-IT"/>
        </w:rPr>
        <w:tab/>
      </w:r>
      <w:r w:rsidRPr="00670784">
        <w:rPr>
          <w:lang w:val="it-IT"/>
        </w:rPr>
        <w:t>https://www.iwacu-burundi.org/grace-presidentielle-quel-bilan/.</w:t>
      </w:r>
    </w:p>
  </w:footnote>
  <w:footnote w:id="429">
    <w:p w14:paraId="6E62E24B" w14:textId="09665D4B" w:rsidR="00925C2B" w:rsidRPr="00670784" w:rsidRDefault="00925C2B" w:rsidP="00617673">
      <w:pPr>
        <w:pStyle w:val="FootnoteText"/>
        <w:rPr>
          <w:lang w:val="it-IT"/>
        </w:rPr>
      </w:pPr>
      <w:r>
        <w:rPr>
          <w:lang w:val="it-IT"/>
        </w:rPr>
        <w:tab/>
      </w:r>
      <w:r>
        <w:rPr>
          <w:rStyle w:val="FootnoteReference"/>
        </w:rPr>
        <w:footnoteRef/>
      </w:r>
      <w:r>
        <w:rPr>
          <w:lang w:val="it-IT"/>
        </w:rPr>
        <w:tab/>
      </w:r>
      <w:r w:rsidRPr="00670784">
        <w:rPr>
          <w:lang w:val="it-IT"/>
        </w:rPr>
        <w:t xml:space="preserve">CI-147, CI-149, CI-151, CI-152, JI-179, </w:t>
      </w:r>
      <w:r w:rsidR="0053644E">
        <w:rPr>
          <w:lang w:val="it-IT"/>
        </w:rPr>
        <w:t>TI-382</w:t>
      </w:r>
      <w:r w:rsidRPr="00670784">
        <w:rPr>
          <w:lang w:val="it-IT"/>
        </w:rPr>
        <w:t>.</w:t>
      </w:r>
    </w:p>
  </w:footnote>
  <w:footnote w:id="430">
    <w:p w14:paraId="629046D0" w14:textId="504BC324" w:rsidR="00925C2B" w:rsidRPr="002C02F1" w:rsidRDefault="00925C2B" w:rsidP="00617673">
      <w:pPr>
        <w:pStyle w:val="FootnoteText"/>
        <w:rPr>
          <w:lang w:val="it-IT"/>
        </w:rPr>
      </w:pPr>
      <w:r w:rsidRPr="002C02F1">
        <w:rPr>
          <w:lang w:val="it-IT"/>
        </w:rPr>
        <w:tab/>
      </w:r>
      <w:r>
        <w:rPr>
          <w:rStyle w:val="FootnoteReference"/>
        </w:rPr>
        <w:footnoteRef/>
      </w:r>
      <w:r w:rsidRPr="002C02F1">
        <w:rPr>
          <w:lang w:val="it-IT"/>
        </w:rPr>
        <w:tab/>
        <w:t xml:space="preserve">https://twitter.com/MininterInfosBi/status/1371884069068414979?s=20 , https://twitter.com/MininterInfosBi/status/1413433708758044672?s=20, https://twitter.com/MininterInfosBi/status/1416021151940288517?s=20, https://twitter.com/MininterInfosBi/status/1420702924154544131?s=20 , </w:t>
      </w:r>
      <w:hyperlink r:id="rId108" w:history="1">
        <w:r w:rsidRPr="002C02F1">
          <w:rPr>
            <w:rStyle w:val="Hyperlink"/>
            <w:lang w:val="it-IT"/>
          </w:rPr>
          <w:t>https://twitter.com/MininterInfosBi/status/1428048002141278208?s=20</w:t>
        </w:r>
      </w:hyperlink>
      <w:r w:rsidRPr="002C02F1">
        <w:rPr>
          <w:lang w:val="it-IT"/>
        </w:rPr>
        <w:t>.</w:t>
      </w:r>
    </w:p>
  </w:footnote>
  <w:footnote w:id="431">
    <w:p w14:paraId="53F9853C" w14:textId="77777777" w:rsidR="00925C2B" w:rsidRPr="00C64870" w:rsidRDefault="00925C2B" w:rsidP="00617673">
      <w:pPr>
        <w:pStyle w:val="FootnoteText"/>
        <w:rPr>
          <w:lang w:val="fr-CH"/>
        </w:rPr>
      </w:pPr>
      <w:r w:rsidRPr="002C02F1">
        <w:rPr>
          <w:lang w:val="it-IT"/>
        </w:rPr>
        <w:tab/>
      </w:r>
      <w:r>
        <w:rPr>
          <w:rStyle w:val="FootnoteReference"/>
        </w:rPr>
        <w:footnoteRef/>
      </w:r>
      <w:r>
        <w:rPr>
          <w:lang w:val="fr-CH"/>
        </w:rPr>
        <w:tab/>
      </w:r>
      <w:r w:rsidRPr="00CE3C95">
        <w:rPr>
          <w:lang w:val="fr-CH"/>
        </w:rPr>
        <w:t xml:space="preserve">Voir A/HRC/39/CRP.1, par. </w:t>
      </w:r>
      <w:r>
        <w:rPr>
          <w:lang w:val="fr-CH"/>
        </w:rPr>
        <w:t>229-237.</w:t>
      </w:r>
    </w:p>
  </w:footnote>
  <w:footnote w:id="432">
    <w:p w14:paraId="26792950" w14:textId="77777777" w:rsidR="00925C2B" w:rsidRPr="00BC65C8" w:rsidRDefault="00925C2B" w:rsidP="002A5A0E">
      <w:pPr>
        <w:pStyle w:val="FootnoteText"/>
        <w:ind w:left="0" w:firstLine="0"/>
        <w:rPr>
          <w:lang w:val="fr-CH"/>
        </w:rPr>
      </w:pPr>
      <w:r>
        <w:rPr>
          <w:lang w:val="fr-CH"/>
        </w:rPr>
        <w:tab/>
      </w:r>
      <w:r>
        <w:rPr>
          <w:rStyle w:val="FootnoteReference"/>
        </w:rPr>
        <w:footnoteRef/>
      </w:r>
      <w:r>
        <w:rPr>
          <w:lang w:val="fr-CH"/>
        </w:rPr>
        <w:tab/>
        <w:t>A</w:t>
      </w:r>
      <w:r w:rsidRPr="00ED6647">
        <w:rPr>
          <w:rFonts w:eastAsiaTheme="minorEastAsia"/>
          <w:lang w:val="fr-CH" w:eastAsia="zh-CN"/>
        </w:rPr>
        <w:t xml:space="preserve">rticle 7 </w:t>
      </w:r>
      <w:r w:rsidRPr="00ED6647">
        <w:rPr>
          <w:szCs w:val="18"/>
          <w:lang w:val="fr-CH"/>
        </w:rPr>
        <w:t>du Statut de Rome</w:t>
      </w:r>
      <w:r>
        <w:rPr>
          <w:szCs w:val="18"/>
          <w:lang w:val="fr-CH"/>
        </w:rPr>
        <w:t>.</w:t>
      </w:r>
    </w:p>
  </w:footnote>
  <w:footnote w:id="433">
    <w:p w14:paraId="1132A5BA" w14:textId="77777777" w:rsidR="00925C2B" w:rsidRPr="00B3444A" w:rsidRDefault="00925C2B" w:rsidP="00EA0F0E">
      <w:pPr>
        <w:pStyle w:val="FootnoteText"/>
        <w:rPr>
          <w:lang w:val="fr-CH"/>
        </w:rPr>
      </w:pPr>
      <w:r>
        <w:rPr>
          <w:lang w:val="fr-CH"/>
        </w:rPr>
        <w:tab/>
      </w:r>
      <w:r>
        <w:rPr>
          <w:rStyle w:val="FootnoteReference"/>
        </w:rPr>
        <w:footnoteRef/>
      </w:r>
      <w:r>
        <w:rPr>
          <w:lang w:val="fr-CH"/>
        </w:rPr>
        <w:tab/>
      </w:r>
      <w:r w:rsidRPr="00B3444A">
        <w:rPr>
          <w:lang w:val="fr-CH"/>
        </w:rPr>
        <w:t xml:space="preserve">Voir </w:t>
      </w:r>
      <w:r w:rsidRPr="00A438A4">
        <w:rPr>
          <w:lang w:val="fr-CH"/>
        </w:rPr>
        <w:t>A/HRC/36/CRP.1, par. 682-691</w:t>
      </w:r>
      <w:r>
        <w:rPr>
          <w:lang w:val="fr-CH"/>
        </w:rPr>
        <w:t>, A/HRC/39/CRP.1, par. 722-734, et A/HRC/42/CRP.2, par. 364-378 et A/HRC/45/CRP.1, par. 733-742.</w:t>
      </w:r>
    </w:p>
  </w:footnote>
  <w:footnote w:id="434">
    <w:p w14:paraId="5F0C84DE" w14:textId="77777777" w:rsidR="00925C2B" w:rsidRPr="009968E8" w:rsidRDefault="00925C2B" w:rsidP="00EA0F0E">
      <w:pPr>
        <w:pStyle w:val="FootnoteText"/>
        <w:rPr>
          <w:lang w:val="fr-CH"/>
        </w:rPr>
      </w:pPr>
      <w:r>
        <w:rPr>
          <w:lang w:val="fr-CH"/>
        </w:rPr>
        <w:tab/>
      </w:r>
      <w:r>
        <w:rPr>
          <w:rStyle w:val="FootnoteReference"/>
        </w:rPr>
        <w:footnoteRef/>
      </w:r>
      <w:r>
        <w:rPr>
          <w:lang w:val="fr-CH"/>
        </w:rPr>
        <w:tab/>
        <w:t>Article 7(1).</w:t>
      </w:r>
    </w:p>
  </w:footnote>
  <w:footnote w:id="435">
    <w:p w14:paraId="7E52309B" w14:textId="77777777" w:rsidR="00925C2B" w:rsidRPr="00ED6647" w:rsidRDefault="00925C2B" w:rsidP="002A5A0E">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2 a) du Statut de Rome.</w:t>
      </w:r>
    </w:p>
  </w:footnote>
  <w:footnote w:id="436">
    <w:p w14:paraId="321FA318" w14:textId="77777777" w:rsidR="00925C2B" w:rsidRPr="00ED6647" w:rsidRDefault="00925C2B" w:rsidP="002A5A0E">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1) du Statut de Rome.</w:t>
      </w:r>
    </w:p>
  </w:footnote>
  <w:footnote w:id="437">
    <w:p w14:paraId="02C0A212"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Tribunal pénal international pour le Rwanda, </w:t>
      </w:r>
      <w:r w:rsidRPr="00ED6647">
        <w:rPr>
          <w:i/>
          <w:szCs w:val="18"/>
          <w:lang w:val="fr-CH"/>
        </w:rPr>
        <w:t>Kayishema et Ruzindana</w:t>
      </w:r>
      <w:r w:rsidRPr="00ED6647">
        <w:rPr>
          <w:szCs w:val="18"/>
          <w:lang w:val="fr-CH"/>
        </w:rPr>
        <w:t>, jugement, 21 mai 1999.</w:t>
      </w:r>
    </w:p>
  </w:footnote>
  <w:footnote w:id="438">
    <w:p w14:paraId="3316318E"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Cour pénale internationale, </w:t>
      </w:r>
      <w:r w:rsidRPr="00ED6647">
        <w:rPr>
          <w:i/>
          <w:szCs w:val="18"/>
          <w:lang w:val="fr-CH"/>
        </w:rPr>
        <w:t>Le Procureur c. Germain Katanga et Mathieu Ngudjolo Chui</w:t>
      </w:r>
      <w:r w:rsidRPr="00ED6647">
        <w:rPr>
          <w:szCs w:val="18"/>
          <w:lang w:val="fr-CH"/>
        </w:rPr>
        <w:t xml:space="preserve">, décision </w:t>
      </w:r>
      <w:r w:rsidRPr="00ED6647">
        <w:rPr>
          <w:szCs w:val="18"/>
          <w:lang w:val="fr-CH"/>
        </w:rPr>
        <w:tab/>
        <w:t>du 30 septembre 2008.</w:t>
      </w:r>
    </w:p>
  </w:footnote>
  <w:footnote w:id="439">
    <w:p w14:paraId="7577E416"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F02CB0">
        <w:rPr>
          <w:i/>
          <w:szCs w:val="18"/>
          <w:lang w:val="fr-CH"/>
        </w:rPr>
        <w:t>Ibid</w:t>
      </w:r>
      <w:r w:rsidRPr="00ED6647">
        <w:rPr>
          <w:szCs w:val="18"/>
          <w:lang w:val="fr-CH"/>
        </w:rPr>
        <w:t>.</w:t>
      </w:r>
    </w:p>
  </w:footnote>
  <w:footnote w:id="440">
    <w:p w14:paraId="1376061F" w14:textId="77777777" w:rsidR="00925C2B" w:rsidRPr="00ED6647" w:rsidRDefault="00925C2B" w:rsidP="0008548D">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Article 7 (par. 2 a) du Statut de Rome.</w:t>
      </w:r>
    </w:p>
  </w:footnote>
  <w:footnote w:id="441">
    <w:p w14:paraId="31D59CEB" w14:textId="77777777" w:rsidR="00925C2B" w:rsidRPr="007B1E21" w:rsidRDefault="00925C2B" w:rsidP="00EA0F0E">
      <w:pPr>
        <w:pStyle w:val="FootnoteText"/>
        <w:rPr>
          <w:lang w:val="fr-CH"/>
        </w:rPr>
      </w:pPr>
      <w:r>
        <w:rPr>
          <w:lang w:val="fr-CH"/>
        </w:rPr>
        <w:tab/>
      </w:r>
      <w:r>
        <w:rPr>
          <w:rStyle w:val="FootnoteReference"/>
        </w:rPr>
        <w:footnoteRef/>
      </w:r>
      <w:r>
        <w:rPr>
          <w:lang w:val="fr-CH"/>
        </w:rPr>
        <w:tab/>
        <w:t>Pour rappel les divers scrutins se sont étalés du 20 mai 2020 au 27 août 2020, mais le processus électoral a démarré dès le 25 février 2020 avec le dépôt des candidatures et s’est seulement achevé le 17 septembre 2020 avec la mise en place des conseils de collines et de quartiers. Voir A/HRC/45/CRP.1, par. 55-109.</w:t>
      </w:r>
    </w:p>
  </w:footnote>
  <w:footnote w:id="442">
    <w:p w14:paraId="6AF1AC0D" w14:textId="0DA7AB2B" w:rsidR="00925C2B" w:rsidRPr="00EE7A5F" w:rsidRDefault="00925C2B" w:rsidP="00EA0F0E">
      <w:pPr>
        <w:pStyle w:val="FootnoteText"/>
        <w:rPr>
          <w:lang w:val="fr-CH"/>
        </w:rPr>
      </w:pPr>
      <w:r>
        <w:rPr>
          <w:lang w:val="fr-CH"/>
        </w:rPr>
        <w:tab/>
      </w:r>
      <w:r>
        <w:rPr>
          <w:rStyle w:val="FootnoteReference"/>
        </w:rPr>
        <w:footnoteRef/>
      </w:r>
      <w:r>
        <w:rPr>
          <w:lang w:val="fr-CH"/>
        </w:rPr>
        <w:tab/>
      </w:r>
      <w:r w:rsidRPr="000913F4">
        <w:rPr>
          <w:lang w:val="fr-CH"/>
        </w:rPr>
        <w:t>Voir par. 166-170</w:t>
      </w:r>
      <w:r>
        <w:rPr>
          <w:lang w:val="fr-CH"/>
        </w:rPr>
        <w:t xml:space="preserve"> du présent </w:t>
      </w:r>
      <w:r w:rsidR="000321EF">
        <w:rPr>
          <w:lang w:val="fr-CH"/>
        </w:rPr>
        <w:t>document</w:t>
      </w:r>
      <w:r>
        <w:rPr>
          <w:lang w:val="fr-CH"/>
        </w:rPr>
        <w:t xml:space="preserve">. </w:t>
      </w:r>
    </w:p>
  </w:footnote>
  <w:footnote w:id="443">
    <w:p w14:paraId="54624FE7" w14:textId="77777777" w:rsidR="00925C2B" w:rsidRPr="000D4387" w:rsidRDefault="00925C2B" w:rsidP="00EA0F0E">
      <w:pPr>
        <w:pStyle w:val="FootnoteText"/>
        <w:rPr>
          <w:lang w:val="fr-CH"/>
        </w:rPr>
      </w:pPr>
      <w:r>
        <w:rPr>
          <w:lang w:val="fr-CH"/>
        </w:rPr>
        <w:tab/>
      </w:r>
      <w:r>
        <w:rPr>
          <w:rStyle w:val="FootnoteReference"/>
        </w:rPr>
        <w:footnoteRef/>
      </w:r>
      <w:r>
        <w:rPr>
          <w:lang w:val="fr-CH"/>
        </w:rPr>
        <w:tab/>
      </w:r>
      <w:r w:rsidRPr="000D4387">
        <w:rPr>
          <w:lang w:val="fr-CH"/>
        </w:rPr>
        <w:t>La Commission relève que le 18 février 2021, le président de la Commission électorale nationale indépendante</w:t>
      </w:r>
      <w:r>
        <w:rPr>
          <w:lang w:val="fr-CH"/>
        </w:rPr>
        <w:t xml:space="preserve"> (CENI)</w:t>
      </w:r>
      <w:r w:rsidRPr="000D4387">
        <w:rPr>
          <w:lang w:val="fr-CH"/>
        </w:rPr>
        <w:t>, Pierre-Claver Kazihise, a présenté le rapport de la CENI sur le processus électoral de 2020 et a déclaré qu’à partir du lendemain, le Burundi entrerait dans la période pré-électorale de 2025 et 2027</w:t>
      </w:r>
      <w:r>
        <w:rPr>
          <w:lang w:val="fr-CH"/>
        </w:rPr>
        <w:t xml:space="preserve">. </w:t>
      </w:r>
      <w:r w:rsidRPr="000D4387">
        <w:rPr>
          <w:lang w:val="fr-CH"/>
        </w:rPr>
        <w:t xml:space="preserve">Le tweet original </w:t>
      </w:r>
      <w:r>
        <w:rPr>
          <w:lang w:val="fr-CH"/>
        </w:rPr>
        <w:t>de la RTNB conservé</w:t>
      </w:r>
      <w:r w:rsidRPr="000D4387">
        <w:rPr>
          <w:lang w:val="fr-CH"/>
        </w:rPr>
        <w:t xml:space="preserve"> par la </w:t>
      </w:r>
      <w:r>
        <w:rPr>
          <w:lang w:val="fr-CH"/>
        </w:rPr>
        <w:t xml:space="preserve">Commission a depuis été supprimé : </w:t>
      </w:r>
      <w:r w:rsidRPr="000D4387">
        <w:rPr>
          <w:lang w:val="fr-CH"/>
        </w:rPr>
        <w:t>https://twitter.com/RTNBurundi/status/1362393038014865413</w:t>
      </w:r>
      <w:r>
        <w:rPr>
          <w:lang w:val="fr-CH"/>
        </w:rPr>
        <w:t>.</w:t>
      </w:r>
    </w:p>
  </w:footnote>
  <w:footnote w:id="444">
    <w:p w14:paraId="5AA04162" w14:textId="745E418C" w:rsidR="00925C2B" w:rsidRPr="00CF1D0C" w:rsidRDefault="00925C2B" w:rsidP="00EA0F0E">
      <w:pPr>
        <w:pStyle w:val="FootnoteText"/>
        <w:rPr>
          <w:lang w:val="fr-CH"/>
        </w:rPr>
      </w:pPr>
      <w:r>
        <w:rPr>
          <w:lang w:val="fr-CH"/>
        </w:rPr>
        <w:tab/>
      </w:r>
      <w:r>
        <w:rPr>
          <w:rStyle w:val="FootnoteReference"/>
        </w:rPr>
        <w:footnoteRef/>
      </w:r>
      <w:r>
        <w:rPr>
          <w:lang w:val="fr-CH"/>
        </w:rPr>
        <w:tab/>
      </w:r>
      <w:r w:rsidRPr="000913F4">
        <w:rPr>
          <w:lang w:val="fr-CH"/>
        </w:rPr>
        <w:t xml:space="preserve">Voir par. 212 du présent </w:t>
      </w:r>
      <w:r w:rsidR="000321EF">
        <w:rPr>
          <w:lang w:val="fr-CH"/>
        </w:rPr>
        <w:t>document</w:t>
      </w:r>
      <w:r>
        <w:rPr>
          <w:lang w:val="fr-CH"/>
        </w:rPr>
        <w:t>.</w:t>
      </w:r>
    </w:p>
  </w:footnote>
  <w:footnote w:id="445">
    <w:p w14:paraId="50F93F17" w14:textId="5F058926" w:rsidR="00925C2B" w:rsidRPr="00ED6647" w:rsidRDefault="00925C2B" w:rsidP="00B9542A">
      <w:pPr>
        <w:pStyle w:val="FootnoteText"/>
        <w:tabs>
          <w:tab w:val="clear" w:pos="1021"/>
          <w:tab w:val="right" w:pos="993"/>
        </w:tabs>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A/HRC/36/CRP.1, par. 703 à 711. Comme mentionné plus haut dans ce </w:t>
      </w:r>
      <w:r w:rsidR="000321EF">
        <w:rPr>
          <w:lang w:val="fr-CH"/>
        </w:rPr>
        <w:t>document</w:t>
      </w:r>
      <w:r w:rsidRPr="00ED6647">
        <w:rPr>
          <w:szCs w:val="18"/>
          <w:lang w:val="fr-CH"/>
        </w:rPr>
        <w:t>, seuls les crimes relevant du droit pénal international entraînent une responsabilité individuelle. Les violations des droits de l’homme engagent pour leur part la responsabilité de l’État, dès lors qu’il est démontré qu’un agent de cet État, ou une personne ou une entité agissant sous son contrôle, a commis l’un ou plusieurs des actes incriminés.</w:t>
      </w:r>
    </w:p>
  </w:footnote>
  <w:footnote w:id="446">
    <w:p w14:paraId="04F6442E" w14:textId="77777777" w:rsidR="00925C2B" w:rsidRPr="00ED6647" w:rsidRDefault="00925C2B" w:rsidP="00B9542A">
      <w:pPr>
        <w:pStyle w:val="FootnoteText"/>
        <w:spacing w:line="240" w:lineRule="auto"/>
        <w:ind w:right="567"/>
        <w:rPr>
          <w:szCs w:val="18"/>
          <w:lang w:val="fr-CH"/>
        </w:rPr>
      </w:pPr>
      <w:r>
        <w:rPr>
          <w:szCs w:val="18"/>
          <w:lang w:val="fr-CH"/>
        </w:rPr>
        <w:tab/>
      </w:r>
      <w:r w:rsidRPr="006B7237">
        <w:rPr>
          <w:rStyle w:val="FootnoteReference"/>
          <w:szCs w:val="18"/>
        </w:rPr>
        <w:footnoteRef/>
      </w:r>
      <w:r>
        <w:rPr>
          <w:szCs w:val="18"/>
          <w:lang w:val="fr-CH"/>
        </w:rPr>
        <w:tab/>
      </w:r>
      <w:r w:rsidRPr="00ED6647">
        <w:rPr>
          <w:szCs w:val="18"/>
          <w:lang w:val="fr-CH"/>
        </w:rPr>
        <w:t xml:space="preserve">Article 28 (par. 1 et 2) du Statut de Rome. </w:t>
      </w:r>
    </w:p>
  </w:footnote>
  <w:footnote w:id="447">
    <w:p w14:paraId="76A23E9F" w14:textId="77777777" w:rsidR="00925C2B" w:rsidRPr="00ED6647" w:rsidRDefault="00925C2B" w:rsidP="00B9542A">
      <w:pPr>
        <w:pStyle w:val="FootnoteText"/>
        <w:rPr>
          <w:lang w:val="fr-CH"/>
        </w:rPr>
      </w:pPr>
      <w:r>
        <w:rPr>
          <w:lang w:val="fr-CH"/>
        </w:rPr>
        <w:tab/>
      </w:r>
      <w:r>
        <w:rPr>
          <w:rStyle w:val="FootnoteReference"/>
        </w:rPr>
        <w:footnoteRef/>
      </w:r>
      <w:r>
        <w:rPr>
          <w:lang w:val="fr-CH"/>
        </w:rPr>
        <w:tab/>
      </w:r>
      <w:r w:rsidRPr="00ED6647">
        <w:rPr>
          <w:lang w:val="fr-CH"/>
        </w:rPr>
        <w:t>Article 33 du statut de Rome.</w:t>
      </w:r>
    </w:p>
  </w:footnote>
  <w:footnote w:id="448">
    <w:p w14:paraId="49495684" w14:textId="77777777" w:rsidR="00925C2B" w:rsidRPr="00ED6647" w:rsidRDefault="00925C2B" w:rsidP="00B9542A">
      <w:pPr>
        <w:pStyle w:val="FootnoteText"/>
        <w:rPr>
          <w:lang w:val="fr-CH"/>
        </w:rPr>
      </w:pPr>
      <w:r>
        <w:rPr>
          <w:lang w:val="fr-CH"/>
        </w:rPr>
        <w:tab/>
      </w:r>
      <w:r>
        <w:rPr>
          <w:rStyle w:val="FootnoteReference"/>
        </w:rPr>
        <w:footnoteRef/>
      </w:r>
      <w:r>
        <w:rPr>
          <w:lang w:val="fr-CH"/>
        </w:rPr>
        <w:tab/>
      </w:r>
      <w:r w:rsidRPr="00ED6647">
        <w:rPr>
          <w:lang w:val="fr-CH"/>
        </w:rPr>
        <w:t>Article 28 du statut de Rome.</w:t>
      </w:r>
    </w:p>
  </w:footnote>
  <w:footnote w:id="449">
    <w:p w14:paraId="1D88F06E" w14:textId="77777777" w:rsidR="00925C2B" w:rsidRPr="00A22E55" w:rsidRDefault="00925C2B" w:rsidP="00445D7B">
      <w:pPr>
        <w:pStyle w:val="FootnoteText"/>
        <w:rPr>
          <w:lang w:val="fr-CH"/>
        </w:rPr>
      </w:pPr>
      <w:r>
        <w:rPr>
          <w:lang w:val="fr-CH"/>
        </w:rPr>
        <w:tab/>
      </w:r>
      <w:r>
        <w:rPr>
          <w:rStyle w:val="FootnoteReference"/>
        </w:rPr>
        <w:footnoteRef/>
      </w:r>
      <w:r>
        <w:rPr>
          <w:lang w:val="fr-CH"/>
        </w:rPr>
        <w:tab/>
      </w:r>
      <w:r w:rsidRPr="00A22E55">
        <w:rPr>
          <w:lang w:val="fr-CH"/>
        </w:rPr>
        <w:t xml:space="preserve">Nations Unies, Cadre d’analyse des atrocités criminelles, A/70/741-S/2016/71.  </w:t>
      </w:r>
    </w:p>
  </w:footnote>
  <w:footnote w:id="450">
    <w:p w14:paraId="297C63B6" w14:textId="42CAF1D0" w:rsidR="00925C2B" w:rsidRPr="00A22E55"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1</w:t>
      </w:r>
      <w:r w:rsidRPr="00A22E55">
        <w:rPr>
          <w:lang w:val="fr-CH"/>
        </w:rPr>
        <w:t xml:space="preserve">.  </w:t>
      </w:r>
    </w:p>
  </w:footnote>
  <w:footnote w:id="451">
    <w:p w14:paraId="2409F5FD" w14:textId="77777777" w:rsidR="00925C2B" w:rsidRPr="008E2016" w:rsidRDefault="00925C2B" w:rsidP="00445D7B">
      <w:pPr>
        <w:pStyle w:val="FootnoteText"/>
        <w:rPr>
          <w:lang w:val="fr-CH"/>
        </w:rPr>
      </w:pPr>
      <w:r>
        <w:rPr>
          <w:lang w:val="fr-CH"/>
        </w:rPr>
        <w:tab/>
      </w:r>
      <w:r>
        <w:rPr>
          <w:rStyle w:val="FootnoteReference"/>
        </w:rPr>
        <w:footnoteRef/>
      </w:r>
      <w:r>
        <w:rPr>
          <w:lang w:val="fr-CH"/>
        </w:rPr>
        <w:tab/>
        <w:t>A/HRC/42/CRP.2, par. 562.</w:t>
      </w:r>
    </w:p>
  </w:footnote>
  <w:footnote w:id="452">
    <w:p w14:paraId="2D2EBF95" w14:textId="49B7BADE" w:rsidR="00925C2B" w:rsidRPr="0071556D" w:rsidRDefault="00925C2B" w:rsidP="002B28EE">
      <w:pPr>
        <w:pStyle w:val="FootnoteText"/>
        <w:tabs>
          <w:tab w:val="clear" w:pos="1021"/>
          <w:tab w:val="right" w:pos="993"/>
        </w:tabs>
        <w:ind w:left="0" w:firstLine="0"/>
        <w:rPr>
          <w:lang w:val="fr-CH"/>
        </w:rPr>
      </w:pPr>
      <w:r>
        <w:rPr>
          <w:lang w:val="fr-FR"/>
        </w:rPr>
        <w:tab/>
      </w:r>
      <w:r>
        <w:rPr>
          <w:rStyle w:val="FootnoteReference"/>
        </w:rPr>
        <w:footnoteRef/>
      </w:r>
      <w:r>
        <w:rPr>
          <w:lang w:val="fr-FR"/>
        </w:rPr>
        <w:tab/>
      </w:r>
      <w:hyperlink r:id="rId109" w:history="1">
        <w:r w:rsidRPr="00060E44">
          <w:rPr>
            <w:rStyle w:val="Hyperlink"/>
            <w:lang w:val="fr-FR"/>
          </w:rPr>
          <w:t>https://www.ohchr.org/FR/HRBodies/HRC/Pages/NewsDetail.aspx?NewsID=25694&amp;LangID=F</w:t>
        </w:r>
      </w:hyperlink>
      <w:r>
        <w:rPr>
          <w:rStyle w:val="Hyperlink"/>
          <w:lang w:val="fr-FR"/>
        </w:rPr>
        <w:t>.</w:t>
      </w:r>
      <w:r w:rsidRPr="0071556D">
        <w:rPr>
          <w:lang w:val="fr-CH"/>
        </w:rPr>
        <w:t xml:space="preserve"> </w:t>
      </w:r>
    </w:p>
  </w:footnote>
  <w:footnote w:id="453">
    <w:p w14:paraId="75787458" w14:textId="726B6938" w:rsidR="00925C2B" w:rsidRPr="00A57BB3" w:rsidRDefault="00925C2B" w:rsidP="00445D7B">
      <w:pPr>
        <w:pStyle w:val="FootnoteText"/>
        <w:rPr>
          <w:lang w:val="fr-CH"/>
        </w:rPr>
      </w:pPr>
      <w:r>
        <w:rPr>
          <w:lang w:val="fr-CH"/>
        </w:rPr>
        <w:tab/>
      </w:r>
      <w:r>
        <w:rPr>
          <w:rStyle w:val="FootnoteReference"/>
        </w:rPr>
        <w:footnoteRef/>
      </w:r>
      <w:r>
        <w:rPr>
          <w:lang w:val="fr-CH"/>
        </w:rPr>
        <w:tab/>
        <w:t xml:space="preserve">Voir par. 92-104 du présent </w:t>
      </w:r>
      <w:r w:rsidR="000321EF">
        <w:rPr>
          <w:lang w:val="fr-CH"/>
        </w:rPr>
        <w:t>document</w:t>
      </w:r>
      <w:r>
        <w:rPr>
          <w:lang w:val="fr-CH"/>
        </w:rPr>
        <w:t>.</w:t>
      </w:r>
    </w:p>
  </w:footnote>
  <w:footnote w:id="454">
    <w:p w14:paraId="29143D2B" w14:textId="77777777" w:rsidR="00925C2B" w:rsidRPr="00FF2BFA" w:rsidRDefault="00925C2B" w:rsidP="00445D7B">
      <w:pPr>
        <w:pStyle w:val="FootnoteText"/>
        <w:rPr>
          <w:lang w:val="fr-CH"/>
        </w:rPr>
      </w:pPr>
      <w:r>
        <w:rPr>
          <w:lang w:val="fr-CH"/>
        </w:rPr>
        <w:tab/>
      </w:r>
      <w:r>
        <w:rPr>
          <w:rStyle w:val="FootnoteReference"/>
        </w:rPr>
        <w:footnoteRef/>
      </w:r>
      <w:r>
        <w:rPr>
          <w:lang w:val="fr-CH"/>
        </w:rPr>
        <w:tab/>
      </w:r>
      <w:r w:rsidRPr="00FF2BFA">
        <w:rPr>
          <w:lang w:val="fr-CH"/>
        </w:rPr>
        <w:t>https://www.presidence.gov.bi/2021/06/08/discours-prononce-par-son-excellence-evariste-ndayishimiye-a-loccasion-de-la-levee-de-deuil-definitif-de-feu-pierre-nkurunziza-et-de-la-celebration-de-la-journee-nationale-du-patriotisme/</w:t>
      </w:r>
      <w:r>
        <w:rPr>
          <w:lang w:val="fr-CH"/>
        </w:rPr>
        <w:t>.</w:t>
      </w:r>
    </w:p>
  </w:footnote>
  <w:footnote w:id="455">
    <w:p w14:paraId="087B755D" w14:textId="77777777" w:rsidR="00925C2B" w:rsidRPr="009E1A4D" w:rsidRDefault="00925C2B" w:rsidP="00445D7B">
      <w:pPr>
        <w:pStyle w:val="FootnoteText"/>
        <w:rPr>
          <w:lang w:val="fr-CH"/>
        </w:rPr>
      </w:pPr>
      <w:r>
        <w:rPr>
          <w:lang w:val="fr-CH"/>
        </w:rPr>
        <w:tab/>
      </w:r>
      <w:r>
        <w:rPr>
          <w:rStyle w:val="FootnoteReference"/>
        </w:rPr>
        <w:footnoteRef/>
      </w:r>
      <w:r>
        <w:rPr>
          <w:lang w:val="fr-CH"/>
        </w:rPr>
        <w:tab/>
      </w:r>
      <w:r w:rsidRPr="009E1A4D">
        <w:rPr>
          <w:lang w:val="fr-CH"/>
        </w:rPr>
        <w:t>https://twitter.com/NtareHouse/status/1355265319540035586?s=20</w:t>
      </w:r>
      <w:r>
        <w:rPr>
          <w:lang w:val="fr-CH"/>
        </w:rPr>
        <w:t>.</w:t>
      </w:r>
    </w:p>
  </w:footnote>
  <w:footnote w:id="456">
    <w:p w14:paraId="035222FE" w14:textId="14F35BB7" w:rsidR="00925C2B" w:rsidRPr="00187BFD" w:rsidRDefault="00925C2B" w:rsidP="00445D7B">
      <w:pPr>
        <w:pStyle w:val="FootnoteText"/>
        <w:rPr>
          <w:lang w:val="fr-CH"/>
        </w:rPr>
      </w:pPr>
      <w:r>
        <w:rPr>
          <w:lang w:val="fr-CH"/>
        </w:rPr>
        <w:tab/>
      </w:r>
      <w:r w:rsidRPr="003567EA">
        <w:rPr>
          <w:rStyle w:val="FootnoteReference"/>
        </w:rPr>
        <w:footnoteRef/>
      </w:r>
      <w:r>
        <w:rPr>
          <w:lang w:val="fr-CH"/>
        </w:rPr>
        <w:tab/>
      </w:r>
      <w:hyperlink r:id="rId110" w:history="1">
        <w:r w:rsidRPr="003567EA">
          <w:rPr>
            <w:rStyle w:val="Hyperlink"/>
            <w:lang w:val="fr-CH"/>
          </w:rPr>
          <w:t>Voir</w:t>
        </w:r>
      </w:hyperlink>
      <w:r w:rsidRPr="003567EA">
        <w:rPr>
          <w:rStyle w:val="Hyperlink"/>
          <w:lang w:val="fr-CH"/>
        </w:rPr>
        <w:t xml:space="preserve"> </w:t>
      </w:r>
      <w:r>
        <w:rPr>
          <w:rStyle w:val="Hyperlink"/>
          <w:lang w:val="fr-CH"/>
        </w:rPr>
        <w:t xml:space="preserve">par </w:t>
      </w:r>
      <w:r>
        <w:rPr>
          <w:lang w:val="fr-CH"/>
        </w:rPr>
        <w:t>exemple la réponse du Gouvernement burundais envoyée le 7 avril 2021 à une communication de différents titulaires de mandat au titre des procédures spéciales faisant état d’i</w:t>
      </w:r>
      <w:r w:rsidRPr="00987DD9">
        <w:rPr>
          <w:lang w:val="fr-CH"/>
        </w:rPr>
        <w:t xml:space="preserve">nformations concernant </w:t>
      </w:r>
      <w:r>
        <w:rPr>
          <w:lang w:val="fr-CH"/>
        </w:rPr>
        <w:t xml:space="preserve">les violations subies par </w:t>
      </w:r>
      <w:r w:rsidRPr="00987DD9">
        <w:rPr>
          <w:lang w:val="fr-CH"/>
        </w:rPr>
        <w:t>de</w:t>
      </w:r>
      <w:r>
        <w:rPr>
          <w:lang w:val="fr-CH"/>
        </w:rPr>
        <w:t>s</w:t>
      </w:r>
      <w:r w:rsidRPr="00987DD9">
        <w:rPr>
          <w:lang w:val="fr-CH"/>
        </w:rPr>
        <w:t xml:space="preserve"> réfugiés burundais en Tanzanie</w:t>
      </w:r>
      <w:r>
        <w:rPr>
          <w:lang w:val="fr-CH"/>
        </w:rPr>
        <w:t xml:space="preserve"> et certains </w:t>
      </w:r>
      <w:r w:rsidRPr="00987DD9">
        <w:rPr>
          <w:lang w:val="fr-CH"/>
        </w:rPr>
        <w:t>rapatriés de force au Burundi</w:t>
      </w:r>
      <w:r>
        <w:rPr>
          <w:lang w:val="fr-CH"/>
        </w:rPr>
        <w:t xml:space="preserve">, le Gouvernement du Burundi, </w:t>
      </w:r>
      <w:r w:rsidRPr="00EF622B">
        <w:rPr>
          <w:lang w:val="fr-CH"/>
        </w:rPr>
        <w:t>détaillée au</w:t>
      </w:r>
      <w:r>
        <w:rPr>
          <w:lang w:val="fr-CH"/>
        </w:rPr>
        <w:t xml:space="preserve">x </w:t>
      </w:r>
      <w:r w:rsidRPr="00EF622B">
        <w:rPr>
          <w:rStyle w:val="Hyperlink"/>
          <w:lang w:val="fr-CH"/>
        </w:rPr>
        <w:t xml:space="preserve">par. </w:t>
      </w:r>
      <w:r>
        <w:rPr>
          <w:rStyle w:val="Hyperlink"/>
          <w:lang w:val="fr-CH"/>
        </w:rPr>
        <w:t>34-37</w:t>
      </w:r>
      <w:r w:rsidRPr="00EF622B">
        <w:rPr>
          <w:rStyle w:val="Hyperlink"/>
          <w:lang w:val="fr-CH"/>
        </w:rPr>
        <w:t xml:space="preserve"> du présent</w:t>
      </w:r>
      <w:r>
        <w:rPr>
          <w:rStyle w:val="Hyperlink"/>
          <w:lang w:val="fr-CH"/>
        </w:rPr>
        <w:t xml:space="preserve"> </w:t>
      </w:r>
      <w:r w:rsidR="000321EF">
        <w:rPr>
          <w:lang w:val="fr-CH"/>
        </w:rPr>
        <w:t xml:space="preserve">document </w:t>
      </w:r>
      <w:r>
        <w:rPr>
          <w:lang w:val="fr-CH"/>
        </w:rPr>
        <w:t xml:space="preserve">; ou les propos des Ambassadeurs du Burundi tenus lors des dialogues interactifs devant le Conseil des droits de l’homme et la troisième commission de l’Assemblée générale des Nations Unies, </w:t>
      </w:r>
      <w:r w:rsidRPr="00EF622B">
        <w:rPr>
          <w:lang w:val="fr-CH"/>
        </w:rPr>
        <w:t>détaillés aux par. 14-16 du présent</w:t>
      </w:r>
      <w:r>
        <w:rPr>
          <w:lang w:val="fr-CH"/>
        </w:rPr>
        <w:t xml:space="preserve"> </w:t>
      </w:r>
      <w:r w:rsidR="000321EF">
        <w:rPr>
          <w:lang w:val="fr-CH"/>
        </w:rPr>
        <w:t>document</w:t>
      </w:r>
      <w:r>
        <w:rPr>
          <w:lang w:val="fr-CH"/>
        </w:rPr>
        <w:t>.</w:t>
      </w:r>
    </w:p>
  </w:footnote>
  <w:footnote w:id="457">
    <w:p w14:paraId="01151237" w14:textId="5564E15C" w:rsidR="00925C2B" w:rsidRPr="00003ADB" w:rsidRDefault="00925C2B" w:rsidP="00445D7B">
      <w:pPr>
        <w:pStyle w:val="FootnoteText"/>
        <w:rPr>
          <w:lang w:val="fr-CH"/>
        </w:rPr>
      </w:pPr>
      <w:r>
        <w:rPr>
          <w:lang w:val="fr-CH"/>
        </w:rPr>
        <w:tab/>
      </w:r>
      <w:r>
        <w:rPr>
          <w:rStyle w:val="FootnoteReference"/>
        </w:rPr>
        <w:footnoteRef/>
      </w:r>
      <w:r>
        <w:rPr>
          <w:lang w:val="fr-CH"/>
        </w:rPr>
        <w:tab/>
        <w:t xml:space="preserve">Voir </w:t>
      </w:r>
      <w:hyperlink r:id="rId111" w:history="1">
        <w:r w:rsidRPr="00855FB2">
          <w:rPr>
            <w:rStyle w:val="Hyperlink"/>
            <w:lang w:val="fr-CH"/>
          </w:rPr>
          <w:t>https://www.rfi.fr/fr/podcasts/invit%C3%A9-afrique/20210714-evariste-ndayishimiye-il-est-temps-de-revoir-les-sanctions-europ%C3%A9ennes-contre-le-burundi</w:t>
        </w:r>
      </w:hyperlink>
      <w:r>
        <w:rPr>
          <w:rStyle w:val="Hyperlink"/>
          <w:lang w:val="fr-CH"/>
        </w:rPr>
        <w:t xml:space="preserve"> </w:t>
      </w:r>
      <w:r>
        <w:rPr>
          <w:lang w:val="fr-CH"/>
        </w:rPr>
        <w:t xml:space="preserve">; voir le point de presse du 28 juillet 2021 du Procureur général de la République </w:t>
      </w:r>
      <w:r w:rsidRPr="00CA0D0D">
        <w:rPr>
          <w:lang w:val="fr-CH"/>
        </w:rPr>
        <w:t>reproduit dans l’Annexe V.</w:t>
      </w:r>
    </w:p>
  </w:footnote>
  <w:footnote w:id="458">
    <w:p w14:paraId="20687458" w14:textId="77777777" w:rsidR="00925C2B" w:rsidRPr="00DB4494" w:rsidRDefault="00925C2B" w:rsidP="00445D7B">
      <w:pPr>
        <w:pStyle w:val="FootnoteText"/>
        <w:rPr>
          <w:lang w:val="fr-CH"/>
        </w:rPr>
      </w:pPr>
      <w:r>
        <w:rPr>
          <w:lang w:val="fr-CH"/>
        </w:rPr>
        <w:tab/>
      </w:r>
      <w:r>
        <w:rPr>
          <w:rStyle w:val="FootnoteReference"/>
        </w:rPr>
        <w:footnoteRef/>
      </w:r>
      <w:r>
        <w:rPr>
          <w:lang w:val="fr-CH"/>
        </w:rPr>
        <w:tab/>
        <w:t xml:space="preserve">Voir par exemple : </w:t>
      </w:r>
      <w:hyperlink r:id="rId112" w:history="1">
        <w:r w:rsidRPr="001773D2">
          <w:rPr>
            <w:rStyle w:val="Hyperlink"/>
            <w:lang w:val="fr-CH"/>
          </w:rPr>
          <w:t>https://www.presidence.gov.bi/2021/07/25/le-president-ndayishimiye-prone-le-respect-du-temple-de-dieu/</w:t>
        </w:r>
      </w:hyperlink>
      <w:r>
        <w:rPr>
          <w:lang w:val="fr-CH"/>
        </w:rPr>
        <w:t xml:space="preserve">, </w:t>
      </w:r>
      <w:hyperlink r:id="rId113" w:history="1">
        <w:r w:rsidRPr="001773D2">
          <w:rPr>
            <w:rStyle w:val="Hyperlink"/>
            <w:lang w:val="fr-CH"/>
          </w:rPr>
          <w:t>https://www.presidence.gov.bi/2021/07/25/le-chef-de-letat-appelle-a-la-promotion-de-lamour-du-travail-pour-un-developpement-durable/</w:t>
        </w:r>
      </w:hyperlink>
      <w:r>
        <w:rPr>
          <w:lang w:val="fr-CH"/>
        </w:rPr>
        <w:t xml:space="preserve">, </w:t>
      </w:r>
      <w:hyperlink r:id="rId114" w:history="1">
        <w:r w:rsidRPr="00DB4494">
          <w:rPr>
            <w:rStyle w:val="Hyperlink"/>
            <w:lang w:val="fr-CH"/>
          </w:rPr>
          <w:t>Le Chef de l’Etat anime une séance de moralisation sur l’éveil de l’esprit patriotique et la bonne gouvernance à Mwaro (gov.bi)</w:t>
        </w:r>
      </w:hyperlink>
      <w:r>
        <w:rPr>
          <w:lang w:val="fr-CH"/>
        </w:rPr>
        <w:t xml:space="preserve">, </w:t>
      </w:r>
      <w:hyperlink r:id="rId115" w:history="1">
        <w:r w:rsidRPr="001773D2">
          <w:rPr>
            <w:rStyle w:val="Hyperlink"/>
            <w:lang w:val="fr-CH"/>
          </w:rPr>
          <w:t>https://www.presidence.gov.bi/2021/06/19/les-leaders-appeles-a-servir-dexemples-dans-le-processus-de-reconciliation-nationale/</w:t>
        </w:r>
      </w:hyperlink>
      <w:r>
        <w:rPr>
          <w:lang w:val="fr-CH"/>
        </w:rPr>
        <w:t xml:space="preserve">, </w:t>
      </w:r>
      <w:r w:rsidRPr="00DB4BE0">
        <w:rPr>
          <w:lang w:val="fr-CH"/>
        </w:rPr>
        <w:t>https://www.presidence.gov.bi/2021/06/17/le-chef-de-letat-appelle-les-burundais-a-croire-en-dieu-au-pardon-et-a-la-reconciliation/</w:t>
      </w:r>
      <w:r w:rsidRPr="00DB4494">
        <w:rPr>
          <w:lang w:val="fr-CH"/>
        </w:rPr>
        <w:t xml:space="preserve">, </w:t>
      </w:r>
      <w:hyperlink r:id="rId116" w:history="1">
        <w:r w:rsidRPr="001773D2">
          <w:rPr>
            <w:rStyle w:val="Hyperlink"/>
            <w:lang w:val="fr-CH"/>
          </w:rPr>
          <w:t>https://www.presidence.gov.bi/2021/02/21/le-chef-de-letat-exhorte-les-burundais-a-se-repentir-et-a-restaurer-leurs-relations-avec-dieu-dans-cette-periode-du-careme/</w:t>
        </w:r>
      </w:hyperlink>
      <w:r>
        <w:rPr>
          <w:lang w:val="fr-CH"/>
        </w:rPr>
        <w:t xml:space="preserve">, </w:t>
      </w:r>
      <w:r w:rsidRPr="00DB4BE0">
        <w:rPr>
          <w:lang w:val="fr-CH"/>
        </w:rPr>
        <w:t>https://www.presidence.gov.bi/2020/12/31/s-e-evariste-ndayishimiye-la-priere-daction-de-grace-de-fin-2020-a-ete-une-occasion-de-manifester-lunite-de-ceux-qui-croient-en-dieu/</w:t>
      </w:r>
      <w:r>
        <w:rPr>
          <w:lang w:val="fr-CH"/>
        </w:rPr>
        <w:t>.</w:t>
      </w:r>
    </w:p>
  </w:footnote>
  <w:footnote w:id="459">
    <w:p w14:paraId="62440C75" w14:textId="77777777" w:rsidR="00925C2B" w:rsidRPr="00200788" w:rsidRDefault="00925C2B" w:rsidP="00445D7B">
      <w:pPr>
        <w:pStyle w:val="FootnoteText"/>
        <w:rPr>
          <w:lang w:val="fr-CH"/>
        </w:rPr>
      </w:pPr>
      <w:r>
        <w:rPr>
          <w:lang w:val="fr-CH"/>
        </w:rPr>
        <w:tab/>
      </w:r>
      <w:r>
        <w:rPr>
          <w:rStyle w:val="FootnoteReference"/>
        </w:rPr>
        <w:footnoteRef/>
      </w:r>
      <w:r>
        <w:rPr>
          <w:lang w:val="fr-CH"/>
        </w:rPr>
        <w:tab/>
      </w:r>
      <w:hyperlink r:id="rId117" w:history="1">
        <w:r w:rsidRPr="003A303E">
          <w:rPr>
            <w:rStyle w:val="Hyperlink"/>
            <w:lang w:val="fr-CH"/>
          </w:rPr>
          <w:t>https://rtnb.bi/fr/art.php?idapi=5/2/24</w:t>
        </w:r>
      </w:hyperlink>
      <w:r>
        <w:rPr>
          <w:lang w:val="fr-CH"/>
        </w:rPr>
        <w:t xml:space="preserve">, </w:t>
      </w:r>
      <w:hyperlink r:id="rId118" w:history="1">
        <w:r w:rsidRPr="003A303E">
          <w:rPr>
            <w:rStyle w:val="Hyperlink"/>
            <w:lang w:val="fr-CH"/>
          </w:rPr>
          <w:t>https://rtnb.bi/fr/art.php?idapi=5/2/27</w:t>
        </w:r>
      </w:hyperlink>
      <w:r>
        <w:rPr>
          <w:lang w:val="fr-CH"/>
        </w:rPr>
        <w:t xml:space="preserve">, </w:t>
      </w:r>
      <w:r w:rsidRPr="00E21180">
        <w:rPr>
          <w:lang w:val="fr-CH"/>
        </w:rPr>
        <w:t>https://rtnb.bi/fr/art.php?idapi=5/2/30</w:t>
      </w:r>
      <w:r>
        <w:rPr>
          <w:lang w:val="fr-CH"/>
        </w:rPr>
        <w:t>.</w:t>
      </w:r>
    </w:p>
  </w:footnote>
  <w:footnote w:id="460">
    <w:p w14:paraId="679ECFE9" w14:textId="77777777" w:rsidR="00925C2B" w:rsidRPr="00E64C70" w:rsidRDefault="00925C2B" w:rsidP="00445D7B">
      <w:pPr>
        <w:pStyle w:val="FootnoteText"/>
        <w:rPr>
          <w:lang w:val="fr-CH"/>
        </w:rPr>
      </w:pPr>
      <w:r>
        <w:rPr>
          <w:lang w:val="fr-CH"/>
        </w:rPr>
        <w:tab/>
      </w:r>
      <w:r>
        <w:rPr>
          <w:rStyle w:val="FootnoteReference"/>
        </w:rPr>
        <w:footnoteRef/>
      </w:r>
      <w:r>
        <w:rPr>
          <w:lang w:val="fr-CH"/>
        </w:rPr>
        <w:tab/>
      </w:r>
      <w:hyperlink r:id="rId119" w:history="1">
        <w:r w:rsidRPr="001773D2">
          <w:rPr>
            <w:rStyle w:val="Hyperlink"/>
            <w:lang w:val="fr-CH"/>
          </w:rPr>
          <w:t>https://www.presidence.gov.bi/2021/07/16/visite-detat-de-la-presidente-samia-suluhu-au-burundi-huit-accords-de-cooperations-signes/</w:t>
        </w:r>
      </w:hyperlink>
      <w:r>
        <w:rPr>
          <w:lang w:val="fr-CH"/>
        </w:rPr>
        <w:t xml:space="preserve">, </w:t>
      </w:r>
      <w:hyperlink r:id="rId120" w:history="1">
        <w:r w:rsidRPr="001773D2">
          <w:rPr>
            <w:rStyle w:val="Hyperlink"/>
            <w:lang w:val="fr-CH"/>
          </w:rPr>
          <w:t>https://www.presidence.gov.bi/2021/07/14/fin-de-la-visite-detat-a-kinshasa-le-burundi-et-la-rdc-engages-a-renforcer-lamitie-et-a-combattre-ensemble-les-forces-qui-sevissent-a-lest-de-la-rdc/</w:t>
        </w:r>
      </w:hyperlink>
      <w:r>
        <w:rPr>
          <w:lang w:val="fr-CH"/>
        </w:rPr>
        <w:t xml:space="preserve">, </w:t>
      </w:r>
      <w:hyperlink r:id="rId121" w:history="1">
        <w:r w:rsidRPr="00DB4494">
          <w:rPr>
            <w:rStyle w:val="Hyperlink"/>
            <w:lang w:val="fr-CH"/>
          </w:rPr>
          <w:t xml:space="preserve">Visite d’Etat du Président Ndayishimiye au Kenya: le renouveau diplomatique. </w:t>
        </w:r>
        <w:r w:rsidRPr="00C86CEF">
          <w:rPr>
            <w:rStyle w:val="Hyperlink"/>
            <w:lang w:val="it-IT"/>
          </w:rPr>
          <w:t>(gov.bi)</w:t>
        </w:r>
      </w:hyperlink>
      <w:r w:rsidRPr="00C86CEF">
        <w:rPr>
          <w:lang w:val="it-IT"/>
        </w:rPr>
        <w:t xml:space="preserve">, </w:t>
      </w:r>
      <w:hyperlink r:id="rId122" w:history="1">
        <w:r w:rsidRPr="00C86CEF">
          <w:rPr>
            <w:rStyle w:val="Hyperlink"/>
            <w:lang w:val="it-IT"/>
          </w:rPr>
          <w:t>https://www.presidence.gov.bi/2021/05/13/joint-communique-on-the-occasion-of-the-state-visit-to-uganda-by-his-excellency-evariste-ndayishimiye-president-of-the-republic-of-burundi/</w:t>
        </w:r>
      </w:hyperlink>
      <w:r w:rsidRPr="00C86CEF">
        <w:rPr>
          <w:lang w:val="it-IT"/>
        </w:rPr>
        <w:t xml:space="preserve">, https://www.presidence.gov.bi/2021/04/15/communique-de-presse-sur-la-visite-officielle-du-chef-de-letat-en-republique-du-congo/, </w:t>
      </w:r>
      <w:hyperlink r:id="rId123" w:history="1">
        <w:r w:rsidRPr="00C364A0">
          <w:rPr>
            <w:rStyle w:val="Hyperlink"/>
            <w:lang w:val="fr-BE"/>
          </w:rPr>
          <w:t>https://www.presidence.gov.bi/2021/03/29/communique-de-presse-sur-la-visite-du-chef-de-letat-en-republique-centrafricaine/</w:t>
        </w:r>
      </w:hyperlink>
      <w:r w:rsidRPr="00C364A0">
        <w:rPr>
          <w:lang w:val="fr-BE"/>
        </w:rPr>
        <w:t xml:space="preserve">, </w:t>
      </w:r>
      <w:hyperlink r:id="rId124" w:history="1">
        <w:r w:rsidRPr="00C364A0">
          <w:rPr>
            <w:rStyle w:val="Hyperlink"/>
            <w:lang w:val="fr-BE"/>
          </w:rPr>
          <w:t>https://www.presidence.gov.bi/2021/03/26/le-chef-de-letat-rentre-dune-visite-officielle-de-3-jours-en-republique-arabe-degypte/</w:t>
        </w:r>
      </w:hyperlink>
      <w:r w:rsidRPr="00C364A0">
        <w:rPr>
          <w:lang w:val="fr-BE"/>
        </w:rPr>
        <w:t xml:space="preserve">, </w:t>
      </w:r>
      <w:hyperlink r:id="rId125" w:history="1">
        <w:r w:rsidRPr="00C364A0">
          <w:rPr>
            <w:rStyle w:val="Hyperlink"/>
            <w:lang w:val="fr-BE"/>
          </w:rPr>
          <w:t>https://www.presidence.gov.bi/2021/02/27/communique-of-the-21st-ordinary-summit-of-the-east-african-community-heads-of-state/</w:t>
        </w:r>
      </w:hyperlink>
      <w:r w:rsidRPr="00C364A0">
        <w:rPr>
          <w:lang w:val="fr-BE"/>
        </w:rPr>
        <w:t xml:space="preserve">, </w:t>
      </w:r>
      <w:hyperlink r:id="rId126" w:history="1">
        <w:r w:rsidRPr="00C364A0">
          <w:rPr>
            <w:rStyle w:val="Hyperlink"/>
            <w:lang w:val="fr-BE"/>
          </w:rPr>
          <w:t>https://www.presidence.gov.bi/2021/02/10/joint-communique-on-the-official-visit-of-the-president-of-the-federal-democratic-republic-of-ethiopia-to-burundi-from-09-to-10-february-2021/</w:t>
        </w:r>
      </w:hyperlink>
      <w:r w:rsidRPr="00C364A0">
        <w:rPr>
          <w:lang w:val="fr-BE"/>
        </w:rPr>
        <w:t xml:space="preserve">, </w:t>
      </w:r>
      <w:hyperlink r:id="rId127" w:history="1">
        <w:r w:rsidRPr="00C364A0">
          <w:rPr>
            <w:rStyle w:val="Hyperlink"/>
            <w:lang w:val="fr-BE"/>
          </w:rPr>
          <w:t>https://www.presidence.gov.bi/2020/11/26/participation-de-son-excellence-evariste-ndayishimiye-au-18eme-sommet-des-chefs-detat-et-de-gouvernement-de-la-communaut</w:t>
        </w:r>
        <w:r w:rsidRPr="0068160D">
          <w:rPr>
            <w:rStyle w:val="Hyperlink"/>
            <w:lang w:val="fr-CH"/>
          </w:rPr>
          <w:t>e</w:t>
        </w:r>
        <w:r w:rsidRPr="00E64C70">
          <w:rPr>
            <w:rStyle w:val="Hyperlink"/>
            <w:lang w:val="fr-CH"/>
          </w:rPr>
          <w:t>-economique-des-etats-de-lafrique-centrale-organise-au-gabon/</w:t>
        </w:r>
      </w:hyperlink>
      <w:r w:rsidRPr="00E64C70">
        <w:rPr>
          <w:lang w:val="fr-CH"/>
        </w:rPr>
        <w:t xml:space="preserve">, </w:t>
      </w:r>
      <w:hyperlink r:id="rId128" w:history="1">
        <w:r w:rsidRPr="00E64C70">
          <w:rPr>
            <w:rStyle w:val="Hyperlink"/>
            <w:lang w:val="fr-CH"/>
          </w:rPr>
          <w:t>https://www.presidence.gov.bi/2020/11/07/communique-conjoint-visite-detat-de-se-evariste-ndayishimiye-en-guinee-equatoriale-du-2-au-7-novembre-2020/</w:t>
        </w:r>
      </w:hyperlink>
      <w:r w:rsidRPr="00E64C70">
        <w:rPr>
          <w:lang w:val="fr-CH"/>
        </w:rPr>
        <w:t xml:space="preserve">, </w:t>
      </w:r>
      <w:hyperlink r:id="rId129" w:history="1">
        <w:r w:rsidRPr="00E64C70">
          <w:rPr>
            <w:rStyle w:val="Hyperlink"/>
            <w:lang w:val="fr-CH"/>
          </w:rPr>
          <w:t>Le Chef de l’Etat effectue une visite en République Unie de Tanzanie (gov.bi)</w:t>
        </w:r>
      </w:hyperlink>
      <w:r w:rsidRPr="00E64C70">
        <w:rPr>
          <w:lang w:val="fr-CH"/>
        </w:rPr>
        <w:t>.</w:t>
      </w:r>
    </w:p>
  </w:footnote>
  <w:footnote w:id="461">
    <w:p w14:paraId="529B1947" w14:textId="77777777"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0" w:history="1">
        <w:r w:rsidRPr="00C86CEF">
          <w:rPr>
            <w:rStyle w:val="Hyperlink"/>
            <w:lang w:val="fr-CH"/>
          </w:rPr>
          <w:t>https://www.mae.gov.bi/2021/05/07/le-ministre-des-affaires-etrangeres-et-de-la-cooperation-au-developpement-effectue-une-tournee-de-travail-en-europe/</w:t>
        </w:r>
      </w:hyperlink>
      <w:r w:rsidRPr="00C86CEF">
        <w:rPr>
          <w:lang w:val="fr-CH"/>
        </w:rPr>
        <w:t>, https://www.iwacu-burundi.org/dialogue-ue-gitega-le-chef-de-la-diplomatie-burundaise-invite-a-une-tournee-en-europe/.</w:t>
      </w:r>
    </w:p>
  </w:footnote>
  <w:footnote w:id="462">
    <w:p w14:paraId="23258765" w14:textId="6B3CE022"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1" w:history="1">
        <w:r w:rsidRPr="00C86CEF">
          <w:rPr>
            <w:rStyle w:val="Hyperlink"/>
            <w:lang w:val="fr-CH"/>
          </w:rPr>
          <w:t>https://www.rfi.fr/fr/afrique/20201020-burundi-rwanda-rencontre-fronti%C3%A8re-chefs-diplomatie</w:t>
        </w:r>
      </w:hyperlink>
      <w:r w:rsidRPr="00C86CEF">
        <w:rPr>
          <w:lang w:val="fr-CH"/>
        </w:rPr>
        <w:t xml:space="preserve">, </w:t>
      </w:r>
      <w:hyperlink r:id="rId132" w:history="1">
        <w:r w:rsidRPr="00C86CEF">
          <w:rPr>
            <w:rStyle w:val="Hyperlink"/>
            <w:lang w:val="fr-CH"/>
          </w:rPr>
          <w:t>https://www.jeuneafrique.com/1061153/politique/rwanda-burundi-lespoir-de-normalisation-de-retour/</w:t>
        </w:r>
      </w:hyperlink>
      <w:r>
        <w:rPr>
          <w:lang w:val="fr-CH"/>
        </w:rPr>
        <w:t>.</w:t>
      </w:r>
    </w:p>
  </w:footnote>
  <w:footnote w:id="463">
    <w:p w14:paraId="71C7F5EB" w14:textId="77777777" w:rsidR="00925C2B" w:rsidRPr="00C86CEF" w:rsidRDefault="00925C2B" w:rsidP="00445D7B">
      <w:pPr>
        <w:pStyle w:val="FootnoteText"/>
        <w:rPr>
          <w:lang w:val="fr-CH"/>
        </w:rPr>
      </w:pPr>
      <w:r>
        <w:rPr>
          <w:lang w:val="fr-CH"/>
        </w:rPr>
        <w:tab/>
      </w:r>
      <w:r>
        <w:rPr>
          <w:rStyle w:val="FootnoteReference"/>
        </w:rPr>
        <w:footnoteRef/>
      </w:r>
      <w:r>
        <w:rPr>
          <w:lang w:val="fr-CH"/>
        </w:rPr>
        <w:tab/>
      </w:r>
      <w:r w:rsidRPr="00C86CEF">
        <w:rPr>
          <w:lang w:val="fr-CH"/>
        </w:rPr>
        <w:t>https://afrique.lalibre.be/53658/le-rwanda-et-le-burundi-veulent-retablir-la-securite-a-leur-frontiere-commune/.</w:t>
      </w:r>
    </w:p>
  </w:footnote>
  <w:footnote w:id="464">
    <w:p w14:paraId="1F323C79" w14:textId="4E6C00CB" w:rsidR="00925C2B" w:rsidRPr="00C86CEF" w:rsidRDefault="00925C2B" w:rsidP="00445D7B">
      <w:pPr>
        <w:pStyle w:val="FootnoteText"/>
        <w:rPr>
          <w:lang w:val="fr-CH"/>
        </w:rPr>
      </w:pPr>
      <w:r>
        <w:rPr>
          <w:lang w:val="fr-CH"/>
        </w:rPr>
        <w:tab/>
      </w:r>
      <w:r>
        <w:rPr>
          <w:rStyle w:val="FootnoteReference"/>
        </w:rPr>
        <w:footnoteRef/>
      </w:r>
      <w:r>
        <w:rPr>
          <w:lang w:val="fr-CH"/>
        </w:rPr>
        <w:tab/>
      </w:r>
      <w:hyperlink r:id="rId133" w:history="1">
        <w:r w:rsidRPr="00C86CEF">
          <w:rPr>
            <w:rStyle w:val="Hyperlink"/>
            <w:lang w:val="fr-CH"/>
          </w:rPr>
          <w:t>https://www.mod.gov.rw/news-detail/rwanda-hands-over-burundian-combatants-through-the-expanded-joint-verification-mechanism</w:t>
        </w:r>
      </w:hyperlink>
      <w:r w:rsidRPr="00C86CEF">
        <w:rPr>
          <w:lang w:val="fr-CH"/>
        </w:rPr>
        <w:t xml:space="preserve"> ; https://www.aa.com.tr/fr/afrique/le-rwanda-remet-au-burundi-19-rebelles-burundais-captur%C3%A9s-sur-son-sol/2319485</w:t>
      </w:r>
      <w:r>
        <w:rPr>
          <w:lang w:val="fr-CH"/>
        </w:rPr>
        <w:t>.</w:t>
      </w:r>
    </w:p>
  </w:footnote>
  <w:footnote w:id="465">
    <w:p w14:paraId="6546AA6C" w14:textId="77777777" w:rsidR="00925C2B" w:rsidRPr="009A041D" w:rsidRDefault="00925C2B" w:rsidP="00445D7B">
      <w:pPr>
        <w:pStyle w:val="FootnoteText"/>
        <w:rPr>
          <w:lang w:val="fr-CH"/>
        </w:rPr>
      </w:pPr>
      <w:r>
        <w:rPr>
          <w:lang w:val="fr-CH"/>
        </w:rPr>
        <w:tab/>
      </w:r>
      <w:r>
        <w:rPr>
          <w:rStyle w:val="FootnoteReference"/>
        </w:rPr>
        <w:footnoteRef/>
      </w:r>
      <w:r>
        <w:rPr>
          <w:lang w:val="fr-CH"/>
        </w:rPr>
        <w:tab/>
      </w:r>
      <w:r w:rsidRPr="00C86CEF">
        <w:rPr>
          <w:lang w:val="fr-CH"/>
        </w:rPr>
        <w:t>https://www.jeuneafrique.com/1132144/politique/rwanda-burundi-retour-</w:t>
      </w:r>
      <w:r w:rsidRPr="009A041D">
        <w:rPr>
          <w:lang w:val="fr-CH"/>
        </w:rPr>
        <w:t>sur-les-affrontements-entre-militaires-a-la-frontiere/</w:t>
      </w:r>
      <w:r>
        <w:rPr>
          <w:lang w:val="fr-CH"/>
        </w:rPr>
        <w:t>.</w:t>
      </w:r>
    </w:p>
  </w:footnote>
  <w:footnote w:id="466">
    <w:p w14:paraId="6304E17A" w14:textId="57123912" w:rsidR="00925C2B" w:rsidRPr="00E21180" w:rsidRDefault="00925C2B" w:rsidP="00445D7B">
      <w:pPr>
        <w:pStyle w:val="FootnoteText"/>
        <w:rPr>
          <w:lang w:val="fr-CH"/>
        </w:rPr>
      </w:pPr>
      <w:r>
        <w:rPr>
          <w:lang w:val="fr-CH"/>
        </w:rPr>
        <w:tab/>
      </w:r>
      <w:r>
        <w:rPr>
          <w:rStyle w:val="FootnoteReference"/>
        </w:rPr>
        <w:footnoteRef/>
      </w:r>
      <w:r>
        <w:rPr>
          <w:lang w:val="fr-CH"/>
        </w:rPr>
        <w:tab/>
        <w:t xml:space="preserve">Voir </w:t>
      </w:r>
      <w:r w:rsidRPr="00EF7EA0">
        <w:rPr>
          <w:lang w:val="fr-CH"/>
        </w:rPr>
        <w:t>par. 63-68 du présent</w:t>
      </w:r>
      <w:r>
        <w:rPr>
          <w:lang w:val="fr-CH"/>
        </w:rPr>
        <w:t xml:space="preserve"> </w:t>
      </w:r>
      <w:r w:rsidR="000321EF">
        <w:rPr>
          <w:lang w:val="fr-CH"/>
        </w:rPr>
        <w:t>document</w:t>
      </w:r>
      <w:r>
        <w:rPr>
          <w:lang w:val="fr-CH"/>
        </w:rPr>
        <w:t>.</w:t>
      </w:r>
    </w:p>
  </w:footnote>
  <w:footnote w:id="467">
    <w:p w14:paraId="4D4AE2E8" w14:textId="77777777" w:rsidR="00925C2B" w:rsidRPr="00E811A9" w:rsidRDefault="00925C2B" w:rsidP="00445D7B">
      <w:pPr>
        <w:pStyle w:val="FootnoteText"/>
        <w:rPr>
          <w:lang w:val="fr-CH"/>
        </w:rPr>
      </w:pPr>
      <w:r>
        <w:rPr>
          <w:lang w:val="fr-CH"/>
        </w:rPr>
        <w:tab/>
      </w:r>
      <w:r>
        <w:rPr>
          <w:rStyle w:val="FootnoteReference"/>
        </w:rPr>
        <w:footnoteRef/>
      </w:r>
      <w:r>
        <w:rPr>
          <w:lang w:val="fr-CH"/>
        </w:rPr>
        <w:tab/>
        <w:t>La démocratie consociative (ou consocitionalisme) est « un</w:t>
      </w:r>
      <w:r w:rsidRPr="00E811A9">
        <w:rPr>
          <w:lang w:val="fr-CH"/>
        </w:rPr>
        <w:t>e forme d’organisation politique mise en</w:t>
      </w:r>
      <w:r>
        <w:rPr>
          <w:lang w:val="fr-CH"/>
        </w:rPr>
        <w:t xml:space="preserve"> </w:t>
      </w:r>
      <w:r w:rsidRPr="00E811A9">
        <w:rPr>
          <w:lang w:val="fr-CH"/>
        </w:rPr>
        <w:t>œuvre dans ce que certains qualifient de «</w:t>
      </w:r>
      <w:r>
        <w:rPr>
          <w:lang w:val="fr-CH"/>
        </w:rPr>
        <w:t> </w:t>
      </w:r>
      <w:r w:rsidRPr="00E811A9">
        <w:rPr>
          <w:lang w:val="fr-CH"/>
        </w:rPr>
        <w:t>sociétés plurielles</w:t>
      </w:r>
      <w:r>
        <w:rPr>
          <w:lang w:val="fr-CH"/>
        </w:rPr>
        <w:t> </w:t>
      </w:r>
      <w:r w:rsidRPr="00E811A9">
        <w:rPr>
          <w:lang w:val="fr-CH"/>
        </w:rPr>
        <w:t>». Ces dernières</w:t>
      </w:r>
      <w:r>
        <w:rPr>
          <w:lang w:val="fr-CH"/>
        </w:rPr>
        <w:t xml:space="preserve"> </w:t>
      </w:r>
      <w:r w:rsidRPr="00E811A9">
        <w:rPr>
          <w:lang w:val="fr-CH"/>
        </w:rPr>
        <w:t>désignent, en tout et pour tout, des groupes humains non-homogènes dans</w:t>
      </w:r>
      <w:r>
        <w:rPr>
          <w:lang w:val="fr-CH"/>
        </w:rPr>
        <w:t xml:space="preserve"> </w:t>
      </w:r>
      <w:r w:rsidRPr="00E811A9">
        <w:rPr>
          <w:lang w:val="fr-CH"/>
        </w:rPr>
        <w:t>lesquels cohabitent des particularismes reconnus. Ces États, traversés par des</w:t>
      </w:r>
      <w:r>
        <w:rPr>
          <w:lang w:val="fr-CH"/>
        </w:rPr>
        <w:t xml:space="preserve"> </w:t>
      </w:r>
      <w:r w:rsidRPr="00E811A9">
        <w:rPr>
          <w:lang w:val="fr-CH"/>
        </w:rPr>
        <w:t>clivages aussi divers que variés segmen</w:t>
      </w:r>
      <w:r>
        <w:rPr>
          <w:lang w:val="fr-CH"/>
        </w:rPr>
        <w:t>tant la société en forces quasi-é</w:t>
      </w:r>
      <w:r w:rsidRPr="00E811A9">
        <w:rPr>
          <w:lang w:val="fr-CH"/>
        </w:rPr>
        <w:t>gales,</w:t>
      </w:r>
      <w:r>
        <w:rPr>
          <w:lang w:val="fr-CH"/>
        </w:rPr>
        <w:t xml:space="preserve"> </w:t>
      </w:r>
      <w:r w:rsidRPr="00E811A9">
        <w:rPr>
          <w:lang w:val="fr-CH"/>
        </w:rPr>
        <w:t>craignent à tout instant un embrasement voire un éclatement. En effet, derrière</w:t>
      </w:r>
      <w:r>
        <w:rPr>
          <w:lang w:val="fr-CH"/>
        </w:rPr>
        <w:t xml:space="preserve"> </w:t>
      </w:r>
      <w:r w:rsidRPr="00E811A9">
        <w:rPr>
          <w:lang w:val="fr-CH"/>
        </w:rPr>
        <w:t>ces divisions de façade se cachent, bien souvent, une volonté de reconnaissance</w:t>
      </w:r>
      <w:r>
        <w:rPr>
          <w:lang w:val="fr-CH"/>
        </w:rPr>
        <w:t xml:space="preserve"> </w:t>
      </w:r>
      <w:r w:rsidRPr="00E811A9">
        <w:rPr>
          <w:lang w:val="fr-CH"/>
        </w:rPr>
        <w:t>des identités minoritaires et parfois même un projet de sécession</w:t>
      </w:r>
      <w:r>
        <w:rPr>
          <w:lang w:val="fr-CH"/>
        </w:rPr>
        <w:t xml:space="preserve"> […] </w:t>
      </w:r>
      <w:r w:rsidRPr="00E811A9">
        <w:rPr>
          <w:lang w:val="fr-CH"/>
        </w:rPr>
        <w:t>Parce qu’il se veut particulièrement exigeant, le consociationalisme nécessite</w:t>
      </w:r>
      <w:r>
        <w:rPr>
          <w:lang w:val="fr-CH"/>
        </w:rPr>
        <w:t xml:space="preserve"> </w:t>
      </w:r>
      <w:r w:rsidRPr="00E811A9">
        <w:rPr>
          <w:lang w:val="fr-CH"/>
        </w:rPr>
        <w:t>une organisation particulière de la société qui mélange, à la fois, discipline et</w:t>
      </w:r>
      <w:r>
        <w:rPr>
          <w:lang w:val="fr-CH"/>
        </w:rPr>
        <w:t xml:space="preserve"> </w:t>
      </w:r>
      <w:r w:rsidRPr="00E811A9">
        <w:rPr>
          <w:lang w:val="fr-CH"/>
        </w:rPr>
        <w:t>ouverture d’esprit. De ce fait, les institutions ainsi que les procédures</w:t>
      </w:r>
      <w:r>
        <w:rPr>
          <w:lang w:val="fr-CH"/>
        </w:rPr>
        <w:t xml:space="preserve"> </w:t>
      </w:r>
      <w:r w:rsidRPr="00E811A9">
        <w:rPr>
          <w:lang w:val="fr-CH"/>
        </w:rPr>
        <w:t>décisionnelles y sont adaptées afin que puisse naître plus aisément un</w:t>
      </w:r>
      <w:r>
        <w:rPr>
          <w:lang w:val="fr-CH"/>
        </w:rPr>
        <w:t xml:space="preserve"> </w:t>
      </w:r>
      <w:r w:rsidRPr="00E811A9">
        <w:rPr>
          <w:lang w:val="fr-CH"/>
        </w:rPr>
        <w:t>compromis gage de survie de ces États</w:t>
      </w:r>
      <w:r>
        <w:rPr>
          <w:lang w:val="fr-CH"/>
        </w:rPr>
        <w:t> », Julien Lacabanne, La démocratie consociative, Editions Percée, 2016, p. 18.</w:t>
      </w:r>
    </w:p>
  </w:footnote>
  <w:footnote w:id="468">
    <w:p w14:paraId="4CEFB31A" w14:textId="77777777" w:rsidR="00925C2B" w:rsidRPr="004E47ED" w:rsidRDefault="00925C2B" w:rsidP="00445D7B">
      <w:pPr>
        <w:pStyle w:val="FootnoteText"/>
        <w:rPr>
          <w:lang w:val="fr-CH"/>
        </w:rPr>
      </w:pPr>
      <w:r>
        <w:rPr>
          <w:lang w:val="fr-CH"/>
        </w:rPr>
        <w:tab/>
      </w:r>
      <w:r>
        <w:rPr>
          <w:rStyle w:val="FootnoteReference"/>
        </w:rPr>
        <w:footnoteRef/>
      </w:r>
      <w:r>
        <w:rPr>
          <w:lang w:val="fr-CH"/>
        </w:rPr>
        <w:tab/>
      </w:r>
      <w:r w:rsidRPr="004E47ED">
        <w:rPr>
          <w:lang w:val="fr-CH"/>
        </w:rPr>
        <w:t>https://www.presidence.gov.bi/le-president/les-vice-presidents/m-prosper-bazombanza/</w:t>
      </w:r>
      <w:r>
        <w:rPr>
          <w:lang w:val="fr-CH"/>
        </w:rPr>
        <w:t>.</w:t>
      </w:r>
    </w:p>
  </w:footnote>
  <w:footnote w:id="469">
    <w:p w14:paraId="22B6B79A" w14:textId="77777777" w:rsidR="00925C2B" w:rsidRPr="000E5C17" w:rsidRDefault="00925C2B" w:rsidP="00445D7B">
      <w:pPr>
        <w:pStyle w:val="FootnoteText"/>
        <w:rPr>
          <w:lang w:val="fr-CH"/>
        </w:rPr>
      </w:pPr>
      <w:r>
        <w:rPr>
          <w:lang w:val="fr-CH"/>
        </w:rPr>
        <w:tab/>
      </w:r>
      <w:r>
        <w:rPr>
          <w:rStyle w:val="FootnoteReference"/>
        </w:rPr>
        <w:footnoteRef/>
      </w:r>
      <w:r>
        <w:rPr>
          <w:lang w:val="fr-CH"/>
        </w:rPr>
        <w:tab/>
        <w:t>Pour rappel, l’Assemblée nationale compte 86 députés CNDD-FDD, 32 du CNL et 2 du parti UPRONA, voir A/HRC/45/CRP.1, par. 85-90.</w:t>
      </w:r>
    </w:p>
  </w:footnote>
  <w:footnote w:id="470">
    <w:p w14:paraId="56AE498A" w14:textId="77777777" w:rsidR="00925C2B" w:rsidRPr="004E47ED" w:rsidRDefault="00925C2B" w:rsidP="00445D7B">
      <w:pPr>
        <w:pStyle w:val="FootnoteText"/>
        <w:rPr>
          <w:lang w:val="fr-CH"/>
        </w:rPr>
      </w:pPr>
      <w:r>
        <w:rPr>
          <w:lang w:val="fr-CH"/>
        </w:rPr>
        <w:tab/>
      </w:r>
      <w:r>
        <w:rPr>
          <w:rStyle w:val="FootnoteReference"/>
        </w:rPr>
        <w:footnoteRef/>
      </w:r>
      <w:r>
        <w:rPr>
          <w:lang w:val="fr-CH"/>
        </w:rPr>
        <w:tab/>
        <w:t xml:space="preserve">Voir : </w:t>
      </w:r>
      <w:hyperlink r:id="rId134" w:history="1">
        <w:r w:rsidRPr="001773D2">
          <w:rPr>
            <w:rStyle w:val="Hyperlink"/>
            <w:lang w:val="fr-CH"/>
          </w:rPr>
          <w:t>https://www.rtnb.bi/fr/art.php?idapi=4/2/96</w:t>
        </w:r>
      </w:hyperlink>
      <w:r>
        <w:rPr>
          <w:lang w:val="fr-CH"/>
        </w:rPr>
        <w:t xml:space="preserve">. </w:t>
      </w:r>
    </w:p>
  </w:footnote>
  <w:footnote w:id="471">
    <w:p w14:paraId="77480E9E" w14:textId="77777777" w:rsidR="00925C2B" w:rsidRPr="001526B9" w:rsidRDefault="00925C2B" w:rsidP="007936F4">
      <w:pPr>
        <w:pStyle w:val="FootnoteText"/>
        <w:tabs>
          <w:tab w:val="clear" w:pos="1021"/>
          <w:tab w:val="right" w:pos="567"/>
          <w:tab w:val="left" w:pos="851"/>
        </w:tabs>
        <w:rPr>
          <w:lang w:val="fr-CH"/>
        </w:rPr>
      </w:pPr>
      <w:r>
        <w:rPr>
          <w:lang w:val="fr-CH"/>
        </w:rPr>
        <w:tab/>
      </w:r>
      <w:r>
        <w:rPr>
          <w:lang w:val="fr-CH"/>
        </w:rPr>
        <w:tab/>
      </w:r>
      <w:r>
        <w:rPr>
          <w:rStyle w:val="FootnoteReference"/>
        </w:rPr>
        <w:footnoteRef/>
      </w:r>
      <w:r>
        <w:rPr>
          <w:lang w:val="fr-CH"/>
        </w:rPr>
        <w:tab/>
      </w:r>
      <w:r>
        <w:rPr>
          <w:lang w:val="fr-CH"/>
        </w:rPr>
        <w:tab/>
      </w:r>
      <w:hyperlink r:id="rId135" w:anchor=":~:text=Le%20Bureau%20repr%C3%A9sente" w:history="1">
        <w:r w:rsidRPr="006075CC">
          <w:rPr>
            <w:rStyle w:val="Hyperlink"/>
            <w:lang w:val="fr-CH"/>
          </w:rPr>
          <w:t>http://fr.senat.bi/?page_id=613#:~:text=Le%20Bureau%20repr%C3%A9sente</w:t>
        </w:r>
      </w:hyperlink>
      <w:r>
        <w:rPr>
          <w:lang w:val="fr-CH"/>
        </w:rPr>
        <w:br/>
      </w:r>
      <w:r w:rsidRPr="001526B9">
        <w:rPr>
          <w:lang w:val="fr-CH"/>
        </w:rPr>
        <w:t>%20le%20S%C3%A9nat,fonctionnement%20des%20services%20du%20S%C3%A9nat.</w:t>
      </w:r>
    </w:p>
  </w:footnote>
  <w:footnote w:id="472">
    <w:p w14:paraId="2265BB49" w14:textId="4512DCD8" w:rsidR="00925C2B" w:rsidRPr="00730ACC" w:rsidRDefault="00925C2B" w:rsidP="00445D7B">
      <w:pPr>
        <w:pStyle w:val="FootnoteText"/>
        <w:rPr>
          <w:lang w:val="fr-CH"/>
        </w:rPr>
      </w:pPr>
      <w:r>
        <w:rPr>
          <w:lang w:val="fr-CH"/>
        </w:rPr>
        <w:tab/>
      </w:r>
      <w:r>
        <w:rPr>
          <w:rStyle w:val="FootnoteReference"/>
        </w:rPr>
        <w:footnoteRef/>
      </w:r>
      <w:r>
        <w:rPr>
          <w:lang w:val="fr-CH"/>
        </w:rPr>
        <w:tab/>
        <w:t>Henri-Paul Magloire et Thierry Vircoulon, L’après-Nkurunziza : la suprématie totale du CNDD-FDD, Notes de l’IFRI, mars 2021.</w:t>
      </w:r>
    </w:p>
  </w:footnote>
  <w:footnote w:id="473">
    <w:p w14:paraId="33CEAAF9" w14:textId="77777777" w:rsidR="00925C2B" w:rsidRPr="00AE18E5" w:rsidRDefault="00925C2B" w:rsidP="00445D7B">
      <w:pPr>
        <w:pStyle w:val="FootnoteText"/>
        <w:rPr>
          <w:lang w:val="fr-CH"/>
        </w:rPr>
      </w:pPr>
      <w:r>
        <w:rPr>
          <w:lang w:val="fr-CH"/>
        </w:rPr>
        <w:tab/>
      </w:r>
      <w:r>
        <w:rPr>
          <w:rStyle w:val="FootnoteReference"/>
        </w:rPr>
        <w:footnoteRef/>
      </w:r>
      <w:r>
        <w:rPr>
          <w:lang w:val="fr-CH"/>
        </w:rPr>
        <w:tab/>
        <w:t>Voir Victor Magani et Thierry Vircoulon, Vers un retour des régimes autoritaires en Afrique ?, Politique étrangère, 2 :2019, pp. 11-23.</w:t>
      </w:r>
    </w:p>
  </w:footnote>
  <w:footnote w:id="474">
    <w:p w14:paraId="1A81E8ED" w14:textId="22068D63" w:rsidR="00925C2B" w:rsidRPr="002813E7"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23.</w:t>
      </w:r>
    </w:p>
  </w:footnote>
  <w:footnote w:id="475">
    <w:p w14:paraId="04D1971B" w14:textId="03D9616D" w:rsidR="00925C2B" w:rsidRPr="006A617B" w:rsidRDefault="00925C2B" w:rsidP="00445D7B">
      <w:pPr>
        <w:pStyle w:val="FootnoteText"/>
        <w:rPr>
          <w:lang w:val="fr-CH"/>
        </w:rPr>
      </w:pPr>
      <w:r>
        <w:rPr>
          <w:lang w:val="fr-CH"/>
        </w:rPr>
        <w:tab/>
      </w:r>
      <w:r>
        <w:rPr>
          <w:rStyle w:val="FootnoteReference"/>
        </w:rPr>
        <w:footnoteRef/>
      </w:r>
      <w:r>
        <w:rPr>
          <w:lang w:val="fr-CH"/>
        </w:rPr>
        <w:tab/>
      </w:r>
      <w:r w:rsidRPr="00F02CB0">
        <w:rPr>
          <w:i/>
          <w:lang w:val="fr-CH"/>
        </w:rPr>
        <w:t>Ibid</w:t>
      </w:r>
      <w:r>
        <w:rPr>
          <w:lang w:val="fr-CH"/>
        </w:rPr>
        <w:t>, p. 12.</w:t>
      </w:r>
    </w:p>
  </w:footnote>
  <w:footnote w:id="476">
    <w:p w14:paraId="779E9376" w14:textId="2D73347B" w:rsidR="00925C2B" w:rsidRPr="00A337A6" w:rsidRDefault="00925C2B" w:rsidP="00445D7B">
      <w:pPr>
        <w:pStyle w:val="FootnoteText"/>
        <w:rPr>
          <w:lang w:val="fr-CH"/>
        </w:rPr>
      </w:pPr>
      <w:r>
        <w:rPr>
          <w:lang w:val="fr-CH"/>
        </w:rPr>
        <w:tab/>
      </w:r>
      <w:r>
        <w:rPr>
          <w:rStyle w:val="FootnoteReference"/>
        </w:rPr>
        <w:footnoteRef/>
      </w:r>
      <w:r>
        <w:rPr>
          <w:lang w:val="fr-CH"/>
        </w:rPr>
        <w:tab/>
      </w:r>
      <w:r w:rsidRPr="00A337A6">
        <w:rPr>
          <w:lang w:val="fr-CH"/>
        </w:rPr>
        <w:t>Révérien Ndikuriyo</w:t>
      </w:r>
      <w:r>
        <w:rPr>
          <w:lang w:val="fr-CH"/>
        </w:rPr>
        <w:t xml:space="preserve"> est</w:t>
      </w:r>
      <w:r w:rsidRPr="00A337A6">
        <w:rPr>
          <w:lang w:val="fr-CH"/>
        </w:rPr>
        <w:t xml:space="preserve"> l’ancien Président du Sénat</w:t>
      </w:r>
      <w:r>
        <w:rPr>
          <w:lang w:val="fr-CH"/>
        </w:rPr>
        <w:t xml:space="preserve"> (2015-2020) qui, e</w:t>
      </w:r>
      <w:r w:rsidRPr="00A337A6">
        <w:rPr>
          <w:lang w:val="fr-CH"/>
        </w:rPr>
        <w:t>n septembre 2019, avait mis à prix la tête d’une personne qu’il accusait d’être un rebelle</w:t>
      </w:r>
      <w:r>
        <w:rPr>
          <w:lang w:val="fr-CH"/>
        </w:rPr>
        <w:t>. C</w:t>
      </w:r>
      <w:r w:rsidRPr="00A337A6">
        <w:rPr>
          <w:lang w:val="fr-CH"/>
        </w:rPr>
        <w:t>ette personne a été effectivement exécutée sommairement à son domicile le 15 avril 2020</w:t>
      </w:r>
      <w:r>
        <w:rPr>
          <w:lang w:val="fr-CH"/>
        </w:rPr>
        <w:t xml:space="preserve">. Voir </w:t>
      </w:r>
      <w:r w:rsidRPr="00B16AEF">
        <w:rPr>
          <w:lang w:val="fr-CH"/>
        </w:rPr>
        <w:t xml:space="preserve">A/HRC/45/CRP.1, par. </w:t>
      </w:r>
      <w:r>
        <w:rPr>
          <w:lang w:val="fr-CH"/>
        </w:rPr>
        <w:t>388-391.</w:t>
      </w:r>
    </w:p>
  </w:footnote>
  <w:footnote w:id="477">
    <w:p w14:paraId="198C1FF6" w14:textId="71244D37" w:rsidR="00925C2B" w:rsidRPr="004D7BF9" w:rsidRDefault="00925C2B" w:rsidP="00445D7B">
      <w:pPr>
        <w:pStyle w:val="FootnoteText"/>
        <w:rPr>
          <w:lang w:val="fr-CH"/>
        </w:rPr>
      </w:pPr>
      <w:r>
        <w:rPr>
          <w:lang w:val="fr-CH"/>
        </w:rPr>
        <w:tab/>
      </w:r>
      <w:r>
        <w:rPr>
          <w:rStyle w:val="FootnoteReference"/>
        </w:rPr>
        <w:footnoteRef/>
      </w:r>
      <w:r>
        <w:rPr>
          <w:lang w:val="fr-CH"/>
        </w:rPr>
        <w:tab/>
      </w:r>
      <w:r w:rsidRPr="007F0E6B">
        <w:rPr>
          <w:lang w:val="fr-CH"/>
        </w:rPr>
        <w:t>Voir par. 217-238 du présent</w:t>
      </w:r>
      <w:r>
        <w:rPr>
          <w:lang w:val="fr-CH"/>
        </w:rPr>
        <w:t xml:space="preserve"> </w:t>
      </w:r>
      <w:r w:rsidR="000321EF">
        <w:rPr>
          <w:lang w:val="fr-CH"/>
        </w:rPr>
        <w:t>document</w:t>
      </w:r>
      <w:r>
        <w:rPr>
          <w:lang w:val="fr-CH"/>
        </w:rPr>
        <w:t>sur le système judiciaire.</w:t>
      </w:r>
    </w:p>
  </w:footnote>
  <w:footnote w:id="478">
    <w:p w14:paraId="2FB2F137" w14:textId="77777777" w:rsidR="00925C2B" w:rsidRPr="00C22394" w:rsidRDefault="00925C2B" w:rsidP="00445D7B">
      <w:pPr>
        <w:pStyle w:val="FootnoteText"/>
        <w:rPr>
          <w:lang w:val="fr-CH"/>
        </w:rPr>
      </w:pPr>
      <w:r>
        <w:rPr>
          <w:lang w:val="fr-CH"/>
        </w:rPr>
        <w:tab/>
      </w:r>
      <w:r>
        <w:rPr>
          <w:rStyle w:val="FootnoteReference"/>
        </w:rPr>
        <w:footnoteRef/>
      </w:r>
      <w:r>
        <w:rPr>
          <w:lang w:val="fr-CH"/>
        </w:rPr>
        <w:tab/>
        <w:t>Décret présidentiel n°100/063 du 22 septembre 2020 portant révision du décret n° 100/141 du 25 août 2008 portant réorganisation des services de la Présidence de la République du Burundi.</w:t>
      </w:r>
    </w:p>
  </w:footnote>
  <w:footnote w:id="479">
    <w:p w14:paraId="7EDCA471" w14:textId="77777777" w:rsidR="00925C2B" w:rsidRPr="00753BFD" w:rsidRDefault="00925C2B" w:rsidP="00445D7B">
      <w:pPr>
        <w:pStyle w:val="FootnoteText"/>
        <w:rPr>
          <w:lang w:val="fr-CH"/>
        </w:rPr>
      </w:pPr>
      <w:r>
        <w:rPr>
          <w:lang w:val="fr-CH"/>
        </w:rPr>
        <w:tab/>
      </w:r>
      <w:r>
        <w:rPr>
          <w:rStyle w:val="FootnoteReference"/>
        </w:rPr>
        <w:footnoteRef/>
      </w:r>
      <w:r>
        <w:rPr>
          <w:lang w:val="fr-CH"/>
        </w:rPr>
        <w:tab/>
        <w:t xml:space="preserve">Voir : </w:t>
      </w:r>
      <w:r w:rsidRPr="00753BFD">
        <w:rPr>
          <w:lang w:val="fr-CH"/>
        </w:rPr>
        <w:t>https://rtnb.bi/fr/index.php</w:t>
      </w:r>
      <w:r>
        <w:rPr>
          <w:lang w:val="fr-CH"/>
        </w:rPr>
        <w:t>.</w:t>
      </w:r>
    </w:p>
  </w:footnote>
  <w:footnote w:id="480">
    <w:p w14:paraId="719D7E9B" w14:textId="726628C3" w:rsidR="00925C2B" w:rsidRPr="00112994" w:rsidRDefault="00925C2B" w:rsidP="00445D7B">
      <w:pPr>
        <w:pStyle w:val="FootnoteText"/>
        <w:rPr>
          <w:lang w:val="fr-CH"/>
        </w:rPr>
      </w:pPr>
      <w:r>
        <w:rPr>
          <w:lang w:val="fr-CH"/>
        </w:rPr>
        <w:tab/>
      </w:r>
      <w:r>
        <w:rPr>
          <w:rStyle w:val="FootnoteReference"/>
        </w:rPr>
        <w:footnoteRef/>
      </w:r>
      <w:r>
        <w:rPr>
          <w:lang w:val="fr-CH"/>
        </w:rPr>
        <w:tab/>
        <w:t xml:space="preserve">Voir par exemple RTNB : </w:t>
      </w:r>
      <w:r w:rsidRPr="00112994">
        <w:rPr>
          <w:lang w:val="fr-CH"/>
        </w:rPr>
        <w:t>Prière d'action de grâce : Le Président de la République salue la contribution de ses collaborateurs</w:t>
      </w:r>
      <w:r>
        <w:rPr>
          <w:lang w:val="fr-CH"/>
        </w:rPr>
        <w:t xml:space="preserve">, 18 juin 2021, </w:t>
      </w:r>
      <w:hyperlink r:id="rId136" w:history="1">
        <w:r w:rsidRPr="00060E44">
          <w:rPr>
            <w:rStyle w:val="Hyperlink"/>
            <w:lang w:val="fr-CH"/>
          </w:rPr>
          <w:t>https://rtnb.bi/fr/art.php?idapi=5/1/180</w:t>
        </w:r>
      </w:hyperlink>
      <w:r>
        <w:rPr>
          <w:lang w:val="fr-CH"/>
        </w:rPr>
        <w:t xml:space="preserve">; </w:t>
      </w:r>
      <w:r w:rsidRPr="000F7791">
        <w:rPr>
          <w:lang w:val="fr-CH"/>
        </w:rPr>
        <w:t>Prière d'action de grâce : les leaders appelés à renoncer au détournement des deniers publics</w:t>
      </w:r>
      <w:r>
        <w:rPr>
          <w:lang w:val="fr-CH"/>
        </w:rPr>
        <w:t xml:space="preserve">, 18 juin 2021, </w:t>
      </w:r>
      <w:hyperlink r:id="rId137" w:history="1">
        <w:r w:rsidRPr="00060E44">
          <w:rPr>
            <w:rStyle w:val="Hyperlink"/>
            <w:lang w:val="fr-CH"/>
          </w:rPr>
          <w:t>https://rtnb.bi/fr/art.php?idapi=5/1/179</w:t>
        </w:r>
      </w:hyperlink>
      <w:r>
        <w:rPr>
          <w:lang w:val="fr-CH"/>
        </w:rPr>
        <w:t xml:space="preserve">; </w:t>
      </w:r>
      <w:r w:rsidRPr="000F7791">
        <w:rPr>
          <w:lang w:val="fr-CH"/>
        </w:rPr>
        <w:t>Prière d'action de grâce : les burundais appelés à se réconcilier</w:t>
      </w:r>
      <w:r>
        <w:rPr>
          <w:lang w:val="fr-CH"/>
        </w:rPr>
        <w:t xml:space="preserve">, 17 juin 2021, </w:t>
      </w:r>
      <w:hyperlink r:id="rId138" w:history="1">
        <w:r w:rsidRPr="00060E44">
          <w:rPr>
            <w:rStyle w:val="Hyperlink"/>
            <w:lang w:val="fr-CH"/>
          </w:rPr>
          <w:t>https://rtnb.bi/fr/art.php?idapi=5/1/177</w:t>
        </w:r>
      </w:hyperlink>
      <w:r>
        <w:rPr>
          <w:lang w:val="fr-CH"/>
        </w:rPr>
        <w:t xml:space="preserve">. </w:t>
      </w:r>
    </w:p>
  </w:footnote>
  <w:footnote w:id="481">
    <w:p w14:paraId="420EEE61" w14:textId="339BBDAF" w:rsidR="00925C2B" w:rsidRPr="0065485F" w:rsidRDefault="00925C2B" w:rsidP="00445D7B">
      <w:pPr>
        <w:pStyle w:val="FootnoteText"/>
        <w:rPr>
          <w:lang w:val="fr-CH"/>
        </w:rPr>
      </w:pPr>
      <w:r>
        <w:rPr>
          <w:lang w:val="fr-CH"/>
        </w:rPr>
        <w:tab/>
      </w:r>
      <w:r>
        <w:rPr>
          <w:rStyle w:val="FootnoteReference"/>
        </w:rPr>
        <w:footnoteRef/>
      </w:r>
      <w:r>
        <w:rPr>
          <w:lang w:val="fr-CH"/>
        </w:rPr>
        <w:tab/>
      </w:r>
      <w:r w:rsidRPr="00216292">
        <w:rPr>
          <w:lang w:val="fr-CH"/>
        </w:rPr>
        <w:t>La Commission a seulement pu trouver 13 articles de la RTNB consacrés au Premier ministre pour la période allant de septembre 2020 à juillet 2021</w:t>
      </w:r>
      <w:r>
        <w:rPr>
          <w:lang w:val="fr-CH"/>
        </w:rPr>
        <w:t xml:space="preserve">. </w:t>
      </w:r>
      <w:r w:rsidRPr="0065485F">
        <w:rPr>
          <w:lang w:val="fr-CH"/>
        </w:rPr>
        <w:t xml:space="preserve">RTNB: </w:t>
      </w:r>
      <w:r w:rsidRPr="004F78BF">
        <w:rPr>
          <w:lang w:val="fr-CH"/>
        </w:rPr>
        <w:t>Validation du plan d'actions national pour l'emploi des jeunes</w:t>
      </w:r>
      <w:r>
        <w:rPr>
          <w:lang w:val="fr-CH"/>
        </w:rPr>
        <w:t xml:space="preserve">, 22 juin 2021, </w:t>
      </w:r>
      <w:hyperlink r:id="rId139" w:history="1">
        <w:r w:rsidRPr="00060E44">
          <w:rPr>
            <w:rStyle w:val="Hyperlink"/>
            <w:lang w:val="fr-CH"/>
          </w:rPr>
          <w:t>https://rtnb.bi/fr/art.php?idapi=5/1/187</w:t>
        </w:r>
      </w:hyperlink>
      <w:r>
        <w:rPr>
          <w:lang w:val="fr-CH"/>
        </w:rPr>
        <w:t xml:space="preserve"> ; </w:t>
      </w:r>
      <w:r w:rsidRPr="004F78BF">
        <w:rPr>
          <w:lang w:val="fr-CH"/>
        </w:rPr>
        <w:t>Visite du Premier ministre sur les chantiers des barrages hydroélectriques de Jiji et Murembwe</w:t>
      </w:r>
      <w:r>
        <w:rPr>
          <w:lang w:val="fr-CH"/>
        </w:rPr>
        <w:t xml:space="preserve">, 16 juin 2021, </w:t>
      </w:r>
      <w:hyperlink r:id="rId140" w:history="1">
        <w:r w:rsidRPr="00060E44">
          <w:rPr>
            <w:rStyle w:val="Hyperlink"/>
            <w:lang w:val="fr-CH"/>
          </w:rPr>
          <w:t>https://rtnb.bi/fr/art.php?idapi=5/1/170</w:t>
        </w:r>
      </w:hyperlink>
      <w:r>
        <w:rPr>
          <w:lang w:val="fr-CH"/>
        </w:rPr>
        <w:t xml:space="preserve"> ;</w:t>
      </w:r>
      <w:r w:rsidRPr="001A2AE1">
        <w:rPr>
          <w:lang w:val="fr-CH"/>
        </w:rPr>
        <w:t xml:space="preserve"> </w:t>
      </w:r>
      <w:r w:rsidRPr="00921A99">
        <w:rPr>
          <w:lang w:val="fr-CH"/>
        </w:rPr>
        <w:t>AN: présentation du rapport de mise en application du programme du Gouvernement</w:t>
      </w:r>
      <w:r>
        <w:rPr>
          <w:lang w:val="fr-CH"/>
        </w:rPr>
        <w:t xml:space="preserve">, 15 avril 2021, </w:t>
      </w:r>
      <w:hyperlink r:id="rId141" w:history="1">
        <w:r w:rsidRPr="00060E44">
          <w:rPr>
            <w:rStyle w:val="Hyperlink"/>
            <w:lang w:val="fr-CH"/>
          </w:rPr>
          <w:t>https://rtnb.bi/fr/art.php?idapi=5/0/247</w:t>
        </w:r>
      </w:hyperlink>
      <w:r>
        <w:rPr>
          <w:lang w:val="fr-CH"/>
        </w:rPr>
        <w:t xml:space="preserve">; </w:t>
      </w:r>
      <w:r w:rsidRPr="00E629A5">
        <w:rPr>
          <w:lang w:val="fr-CH"/>
        </w:rPr>
        <w:t>Le Premier Ministre visite la RN16 en construction</w:t>
      </w:r>
      <w:r>
        <w:rPr>
          <w:lang w:val="fr-CH"/>
        </w:rPr>
        <w:t xml:space="preserve">, 30 mars 2021 ; </w:t>
      </w:r>
      <w:hyperlink r:id="rId142" w:history="1">
        <w:r w:rsidRPr="00060E44">
          <w:rPr>
            <w:rStyle w:val="Hyperlink"/>
            <w:lang w:val="fr-CH"/>
          </w:rPr>
          <w:t>https://rtnb.bi/fr/art.php?idapi=5/0/205</w:t>
        </w:r>
      </w:hyperlink>
      <w:r>
        <w:rPr>
          <w:lang w:val="fr-CH"/>
        </w:rPr>
        <w:t xml:space="preserve"> ; </w:t>
      </w:r>
      <w:r w:rsidRPr="00C7118C">
        <w:rPr>
          <w:lang w:val="fr-CH"/>
        </w:rPr>
        <w:t>Le barrage hydroélectrique de Kabu16 doit être mise en service dans les 15 mois</w:t>
      </w:r>
      <w:r>
        <w:rPr>
          <w:lang w:val="fr-CH"/>
        </w:rPr>
        <w:t xml:space="preserve">, 2 mars 2021, </w:t>
      </w:r>
      <w:hyperlink r:id="rId143" w:history="1">
        <w:r w:rsidRPr="00060E44">
          <w:rPr>
            <w:rStyle w:val="Hyperlink"/>
            <w:lang w:val="fr-CH"/>
          </w:rPr>
          <w:t>https://rtnb.bi/fr/art.php?idapi=5/0/132</w:t>
        </w:r>
      </w:hyperlink>
      <w:r>
        <w:rPr>
          <w:lang w:val="fr-CH"/>
        </w:rPr>
        <w:t xml:space="preserve"> ; </w:t>
      </w:r>
      <w:r w:rsidRPr="00827EF9">
        <w:rPr>
          <w:lang w:val="fr-CH"/>
        </w:rPr>
        <w:t>Le Premier ministre appelle les responsables des services publics et parapublics d'instaurer des cadres de dialogue dans leurs milieux de travail</w:t>
      </w:r>
      <w:r>
        <w:rPr>
          <w:lang w:val="fr-CH"/>
        </w:rPr>
        <w:t xml:space="preserve">, 25 février 2021, </w:t>
      </w:r>
      <w:hyperlink r:id="rId144" w:history="1">
        <w:r w:rsidRPr="00060E44">
          <w:rPr>
            <w:rStyle w:val="Hyperlink"/>
            <w:lang w:val="fr-CH"/>
          </w:rPr>
          <w:t>https://rtnb.bi/fr/art.php?idapi=5/0/122</w:t>
        </w:r>
      </w:hyperlink>
      <w:r>
        <w:rPr>
          <w:lang w:val="fr-CH"/>
        </w:rPr>
        <w:t xml:space="preserve"> ; </w:t>
      </w:r>
      <w:r w:rsidRPr="00C7118C">
        <w:rPr>
          <w:lang w:val="fr-CH"/>
        </w:rPr>
        <w:t>Le 1er Ministre recommande le renforcement du comité pour le suivi des travaux de la ZES</w:t>
      </w:r>
      <w:r>
        <w:rPr>
          <w:lang w:val="fr-CH"/>
        </w:rPr>
        <w:t xml:space="preserve">, 22 février 2021, </w:t>
      </w:r>
      <w:hyperlink r:id="rId145" w:history="1">
        <w:r w:rsidRPr="00060E44">
          <w:rPr>
            <w:rStyle w:val="Hyperlink"/>
            <w:lang w:val="fr-CH"/>
          </w:rPr>
          <w:t>https://rtnb.bi/fr/art.php?idapi=5/0/108</w:t>
        </w:r>
      </w:hyperlink>
      <w:r>
        <w:rPr>
          <w:lang w:val="fr-CH"/>
        </w:rPr>
        <w:t xml:space="preserve"> ; </w:t>
      </w:r>
      <w:r w:rsidRPr="006167D9">
        <w:rPr>
          <w:lang w:val="fr-CH"/>
        </w:rPr>
        <w:t>Bujumbura: le Premier ministre s'associe aux fidèles de l'église Méthodiste libre de Gishingano</w:t>
      </w:r>
      <w:r>
        <w:rPr>
          <w:lang w:val="fr-CH"/>
        </w:rPr>
        <w:t>, 14 février 2021,</w:t>
      </w:r>
      <w:r w:rsidRPr="006167D9">
        <w:rPr>
          <w:lang w:val="fr-CH"/>
        </w:rPr>
        <w:t xml:space="preserve"> https://rtnb.bi/fr/art.php?idapi=5/0/88</w:t>
      </w:r>
      <w:r>
        <w:rPr>
          <w:lang w:val="fr-CH"/>
        </w:rPr>
        <w:t xml:space="preserve"> ; </w:t>
      </w:r>
      <w:r w:rsidRPr="0065485F">
        <w:rPr>
          <w:lang w:val="fr-CH"/>
        </w:rPr>
        <w:t>Le Premier ministre reçoit en audience les membres de l’OPEGCH</w:t>
      </w:r>
      <w:r>
        <w:rPr>
          <w:lang w:val="fr-CH"/>
        </w:rPr>
        <w:t>, 27 janvier 2021,</w:t>
      </w:r>
      <w:r w:rsidRPr="00465F4A">
        <w:rPr>
          <w:lang w:val="fr-CH"/>
        </w:rPr>
        <w:t xml:space="preserve"> https://rtnb.bi/fr/art.php?idapi=5/0/49</w:t>
      </w:r>
      <w:r>
        <w:rPr>
          <w:lang w:val="fr-CH"/>
        </w:rPr>
        <w:t xml:space="preserve"> ;  </w:t>
      </w:r>
      <w:r w:rsidRPr="00C7118C">
        <w:rPr>
          <w:lang w:val="fr-CH"/>
        </w:rPr>
        <w:t>Les autorités devraient prêcher par l'exemple en montant des projets de développement (A.G Bunyoni)</w:t>
      </w:r>
      <w:r>
        <w:rPr>
          <w:lang w:val="fr-CH"/>
        </w:rPr>
        <w:t xml:space="preserve">, 23 novembre 2020, </w:t>
      </w:r>
      <w:hyperlink r:id="rId146" w:history="1">
        <w:r w:rsidRPr="00060E44">
          <w:rPr>
            <w:rStyle w:val="Hyperlink"/>
            <w:lang w:val="fr-CH"/>
          </w:rPr>
          <w:t>https://rtnb.bi/fr/art.php?idapi=4/3/140</w:t>
        </w:r>
      </w:hyperlink>
      <w:r>
        <w:rPr>
          <w:lang w:val="fr-CH"/>
        </w:rPr>
        <w:t xml:space="preserve"> ; </w:t>
      </w:r>
      <w:r w:rsidRPr="00C7118C">
        <w:rPr>
          <w:lang w:val="fr-CH"/>
        </w:rPr>
        <w:t>Le Premier ministre partage la prière dominicale avec les chrétiens de l'église Rongero</w:t>
      </w:r>
      <w:r>
        <w:rPr>
          <w:lang w:val="fr-CH"/>
        </w:rPr>
        <w:t xml:space="preserve">, 22 novembre 2020, </w:t>
      </w:r>
      <w:hyperlink r:id="rId147" w:history="1">
        <w:r w:rsidRPr="00060E44">
          <w:rPr>
            <w:rStyle w:val="Hyperlink"/>
            <w:lang w:val="fr-CH"/>
          </w:rPr>
          <w:t>https://rtnb.bi/fr/art.php?idapi=4/3/139</w:t>
        </w:r>
      </w:hyperlink>
      <w:r>
        <w:rPr>
          <w:lang w:val="fr-CH"/>
        </w:rPr>
        <w:t xml:space="preserve"> ; </w:t>
      </w:r>
      <w:r w:rsidRPr="0065485F">
        <w:rPr>
          <w:lang w:val="fr-CH"/>
        </w:rPr>
        <w:t>Le Premier Ministre présente le plan d'actions annuel du gouvernement</w:t>
      </w:r>
      <w:r>
        <w:rPr>
          <w:lang w:val="fr-CH"/>
        </w:rPr>
        <w:t xml:space="preserve">, 30 octobre 2020, </w:t>
      </w:r>
      <w:r w:rsidRPr="0065485F">
        <w:rPr>
          <w:lang w:val="fr-CH"/>
        </w:rPr>
        <w:t xml:space="preserve"> </w:t>
      </w:r>
      <w:hyperlink r:id="rId148" w:history="1">
        <w:r w:rsidRPr="00060E44">
          <w:rPr>
            <w:rStyle w:val="Hyperlink"/>
            <w:lang w:val="fr-CH"/>
          </w:rPr>
          <w:t>https://rtnb.bi/fr/art.php?idapi=4/3/80</w:t>
        </w:r>
      </w:hyperlink>
      <w:r>
        <w:rPr>
          <w:lang w:val="fr-CH"/>
        </w:rPr>
        <w:t xml:space="preserve"> ; </w:t>
      </w:r>
      <w:r w:rsidRPr="00771883">
        <w:rPr>
          <w:lang w:val="fr-CH"/>
        </w:rPr>
        <w:t>Le gouvernement engagé à suivre de près le secteur éducatif (CPG Alain Guillaume Bunyoni)</w:t>
      </w:r>
      <w:r>
        <w:rPr>
          <w:lang w:val="fr-CH"/>
        </w:rPr>
        <w:t xml:space="preserve">, 3 octobre 2020, </w:t>
      </w:r>
      <w:hyperlink r:id="rId149" w:history="1">
        <w:r w:rsidRPr="00060E44">
          <w:rPr>
            <w:rStyle w:val="Hyperlink"/>
            <w:lang w:val="fr-CH"/>
          </w:rPr>
          <w:t>https://rtnb.bi/fr/art.php?idapi=4/3/3</w:t>
        </w:r>
      </w:hyperlink>
      <w:r>
        <w:rPr>
          <w:lang w:val="fr-CH"/>
        </w:rPr>
        <w:t>.</w:t>
      </w:r>
    </w:p>
  </w:footnote>
  <w:footnote w:id="482">
    <w:p w14:paraId="51DBD2A2" w14:textId="77777777" w:rsidR="00925C2B" w:rsidRPr="00D26DD7" w:rsidRDefault="00925C2B" w:rsidP="00445D7B">
      <w:pPr>
        <w:pStyle w:val="FootnoteText"/>
        <w:rPr>
          <w:lang w:val="fr-CH"/>
        </w:rPr>
      </w:pPr>
      <w:r>
        <w:rPr>
          <w:lang w:val="fr-CH"/>
        </w:rPr>
        <w:tab/>
      </w:r>
      <w:r>
        <w:rPr>
          <w:rStyle w:val="FootnoteReference"/>
        </w:rPr>
        <w:footnoteRef/>
      </w:r>
      <w:r>
        <w:rPr>
          <w:lang w:val="fr-CH"/>
        </w:rPr>
        <w:tab/>
        <w:t xml:space="preserve">Voir par exemple : </w:t>
      </w:r>
      <w:hyperlink r:id="rId150" w:history="1">
        <w:r w:rsidRPr="00B42559">
          <w:rPr>
            <w:rStyle w:val="Hyperlink"/>
            <w:lang w:val="fr-CH"/>
          </w:rPr>
          <w:t>http://www.cvr.bi/wp-content/uploads/2021/04/pdf-com.pdf</w:t>
        </w:r>
      </w:hyperlink>
      <w:r>
        <w:rPr>
          <w:lang w:val="fr-CH"/>
        </w:rPr>
        <w:t xml:space="preserve">, </w:t>
      </w:r>
      <w:r w:rsidRPr="00D26DD7">
        <w:rPr>
          <w:lang w:val="fr-CH"/>
        </w:rPr>
        <w:t>https://www.cvr.bi/2021/04/26/bururi-2-790-personnes-exhumees-et-dautres-jetees-dans-les-rivieres-et-les-forets/</w:t>
      </w:r>
      <w:hyperlink r:id="rId151" w:history="1"/>
      <w:r>
        <w:rPr>
          <w:lang w:val="fr-CH"/>
        </w:rPr>
        <w:t xml:space="preserve">, </w:t>
      </w:r>
      <w:hyperlink r:id="rId152" w:history="1">
        <w:r w:rsidRPr="00B42559">
          <w:rPr>
            <w:rStyle w:val="Hyperlink"/>
            <w:lang w:val="fr-CH"/>
          </w:rPr>
          <w:t>https://www.cvr.bi/2021/05/18/kirundo-mai-1973-carnage-au-nord-du-burundi-des-refugies-burundais-tombent-sous-les-balles-de-larmee-du-president-micombero-a-busoni/</w:t>
        </w:r>
      </w:hyperlink>
      <w:r>
        <w:rPr>
          <w:lang w:val="fr-CH"/>
        </w:rPr>
        <w:t xml:space="preserve">, </w:t>
      </w:r>
      <w:hyperlink r:id="rId153" w:history="1">
        <w:r w:rsidRPr="00B42559">
          <w:rPr>
            <w:rStyle w:val="Hyperlink"/>
            <w:lang w:val="fr-CH"/>
          </w:rPr>
          <w:t>https://www.cvr.bi/2021/05/19/kirundo-des-temoins-se-confient-a-la-cvr-dans-la-commune-gitobe/</w:t>
        </w:r>
      </w:hyperlink>
      <w:r>
        <w:rPr>
          <w:lang w:val="fr-CH"/>
        </w:rPr>
        <w:t xml:space="preserve">, </w:t>
      </w:r>
      <w:hyperlink r:id="rId154" w:history="1">
        <w:r w:rsidRPr="00B42559">
          <w:rPr>
            <w:rStyle w:val="Hyperlink"/>
            <w:lang w:val="fr-CH"/>
          </w:rPr>
          <w:t>https://www.cvr.bi/2021/05/19/muyinga-des-intellectuels-hutu-massacres-dans-la-commune-buhinyuza/</w:t>
        </w:r>
      </w:hyperlink>
      <w:r>
        <w:rPr>
          <w:lang w:val="fr-CH"/>
        </w:rPr>
        <w:t xml:space="preserve">, </w:t>
      </w:r>
      <w:r w:rsidRPr="00D26DD7">
        <w:rPr>
          <w:lang w:val="fr-CH"/>
        </w:rPr>
        <w:t>https://www.cvr.bi/2021/06/07/muyinga-en-1972-les-militaires-obligeaient-les-eleves-a-applaudir-lors-de-lenlevement-de-leurs-educateurs/</w:t>
      </w:r>
      <w:r>
        <w:rPr>
          <w:lang w:val="fr-CH"/>
        </w:rPr>
        <w:t>.</w:t>
      </w:r>
    </w:p>
  </w:footnote>
  <w:footnote w:id="483">
    <w:p w14:paraId="792C710E" w14:textId="77777777" w:rsidR="00925C2B" w:rsidRPr="00046F9D" w:rsidRDefault="00925C2B" w:rsidP="00445D7B">
      <w:pPr>
        <w:pStyle w:val="FootnoteText"/>
        <w:rPr>
          <w:lang w:val="fr-CH"/>
        </w:rPr>
      </w:pPr>
      <w:r>
        <w:rPr>
          <w:lang w:val="fr-CH"/>
        </w:rPr>
        <w:tab/>
      </w:r>
      <w:r>
        <w:rPr>
          <w:rStyle w:val="FootnoteReference"/>
        </w:rPr>
        <w:footnoteRef/>
      </w:r>
      <w:r>
        <w:rPr>
          <w:lang w:val="fr-CH"/>
        </w:rPr>
        <w:tab/>
      </w:r>
      <w:r w:rsidRPr="00046F9D">
        <w:rPr>
          <w:lang w:val="fr-CH"/>
        </w:rPr>
        <w:t>https://www.assemblee.bi/spip.php?article2256</w:t>
      </w:r>
      <w:r>
        <w:rPr>
          <w:lang w:val="fr-CH"/>
        </w:rPr>
        <w:t>.</w:t>
      </w:r>
    </w:p>
  </w:footnote>
  <w:footnote w:id="484">
    <w:p w14:paraId="38FA2EFB" w14:textId="77777777" w:rsidR="00925C2B" w:rsidRPr="00494B1B" w:rsidRDefault="00925C2B" w:rsidP="00445D7B">
      <w:pPr>
        <w:pStyle w:val="FootnoteText"/>
        <w:rPr>
          <w:lang w:val="fr-CH"/>
        </w:rPr>
      </w:pPr>
      <w:r>
        <w:rPr>
          <w:lang w:val="fr-CH"/>
        </w:rPr>
        <w:tab/>
      </w:r>
      <w:r>
        <w:rPr>
          <w:rStyle w:val="FootnoteReference"/>
        </w:rPr>
        <w:footnoteRef/>
      </w:r>
      <w:r>
        <w:rPr>
          <w:lang w:val="fr-CH"/>
        </w:rPr>
        <w:tab/>
      </w:r>
      <w:r w:rsidRPr="00494B1B">
        <w:rPr>
          <w:lang w:val="fr-CH"/>
        </w:rPr>
        <w:t>Voir</w:t>
      </w:r>
      <w:r>
        <w:rPr>
          <w:lang w:val="fr-CH"/>
        </w:rPr>
        <w:t xml:space="preserve"> par exemple</w:t>
      </w:r>
      <w:r w:rsidRPr="00494B1B">
        <w:rPr>
          <w:lang w:val="fr-CH"/>
        </w:rPr>
        <w:t xml:space="preserve"> </w:t>
      </w:r>
      <w:hyperlink r:id="rId155" w:history="1">
        <w:r w:rsidRPr="00437E0E">
          <w:rPr>
            <w:rStyle w:val="Hyperlink"/>
            <w:lang w:val="fr-CH"/>
          </w:rPr>
          <w:t>https://www.iwacu-burundi.org/la-cvr-en-proces-2/</w:t>
        </w:r>
      </w:hyperlink>
      <w:r>
        <w:rPr>
          <w:lang w:val="fr-CH"/>
        </w:rPr>
        <w:t xml:space="preserve"> et </w:t>
      </w:r>
      <w:r w:rsidRPr="00746FB0">
        <w:rPr>
          <w:lang w:val="fr-CH"/>
        </w:rPr>
        <w:t>http://www.cvr.bi/2021/07/23/bujumbura-des-citadins-assoiffes-de-verite/</w:t>
      </w:r>
      <w:r w:rsidRPr="00494B1B">
        <w:rPr>
          <w:lang w:val="fr-CH"/>
        </w:rPr>
        <w:t xml:space="preserve">. </w:t>
      </w:r>
    </w:p>
  </w:footnote>
  <w:footnote w:id="485">
    <w:p w14:paraId="70E927A0" w14:textId="77777777" w:rsidR="00925C2B" w:rsidRPr="00131424" w:rsidRDefault="00925C2B" w:rsidP="00445D7B">
      <w:pPr>
        <w:pStyle w:val="FootnoteText"/>
        <w:rPr>
          <w:lang w:val="fr-CH"/>
        </w:rPr>
      </w:pPr>
      <w:r>
        <w:rPr>
          <w:lang w:val="fr-CH"/>
        </w:rPr>
        <w:tab/>
      </w:r>
      <w:r>
        <w:rPr>
          <w:rStyle w:val="FootnoteReference"/>
        </w:rPr>
        <w:footnoteRef/>
      </w:r>
      <w:r>
        <w:rPr>
          <w:lang w:val="fr-CH"/>
        </w:rPr>
        <w:tab/>
      </w:r>
      <w:r w:rsidRPr="00131424">
        <w:rPr>
          <w:lang w:val="fr-CH"/>
        </w:rPr>
        <w:t>https://www.cvr.bi/2021/04/01/bujumbura-que-chacun-assume-sa-responsabilite/</w:t>
      </w:r>
      <w:r>
        <w:rPr>
          <w:lang w:val="fr-CH"/>
        </w:rPr>
        <w:t>.</w:t>
      </w:r>
    </w:p>
  </w:footnote>
  <w:footnote w:id="486">
    <w:p w14:paraId="3BA21A2A" w14:textId="77777777" w:rsidR="00925C2B" w:rsidRPr="00F03977" w:rsidRDefault="00925C2B" w:rsidP="00445D7B">
      <w:pPr>
        <w:pStyle w:val="FootnoteText"/>
        <w:rPr>
          <w:lang w:val="fr-CH"/>
        </w:rPr>
      </w:pPr>
      <w:r>
        <w:rPr>
          <w:lang w:val="fr-CH"/>
        </w:rPr>
        <w:tab/>
      </w:r>
      <w:r>
        <w:rPr>
          <w:rStyle w:val="FootnoteReference"/>
        </w:rPr>
        <w:footnoteRef/>
      </w:r>
      <w:r>
        <w:rPr>
          <w:lang w:val="fr-CH"/>
        </w:rPr>
        <w:tab/>
        <w:t>Voir le Rapport annuel 2020 de la CVR, p. 2.</w:t>
      </w:r>
    </w:p>
  </w:footnote>
  <w:footnote w:id="487">
    <w:p w14:paraId="54D28C9B" w14:textId="77777777" w:rsidR="00925C2B" w:rsidRPr="00746FB0" w:rsidRDefault="00925C2B" w:rsidP="00445D7B">
      <w:pPr>
        <w:pStyle w:val="FootnoteText"/>
        <w:rPr>
          <w:lang w:val="fr-CH"/>
        </w:rPr>
      </w:pPr>
      <w:r>
        <w:rPr>
          <w:lang w:val="fr-CH"/>
        </w:rPr>
        <w:tab/>
      </w:r>
      <w:r>
        <w:rPr>
          <w:rStyle w:val="FootnoteReference"/>
        </w:rPr>
        <w:footnoteRef/>
      </w:r>
      <w:r>
        <w:rPr>
          <w:lang w:val="fr-CH"/>
        </w:rPr>
        <w:tab/>
      </w:r>
      <w:r w:rsidRPr="00746FB0">
        <w:rPr>
          <w:lang w:val="fr-CH"/>
        </w:rPr>
        <w:t>http://www.cvr.bi/2021/07/23/bujumbura-des-citadins-assoiffes-de-verite/</w:t>
      </w:r>
      <w:r>
        <w:rPr>
          <w:lang w:val="fr-CH"/>
        </w:rPr>
        <w:t>.</w:t>
      </w:r>
    </w:p>
  </w:footnote>
  <w:footnote w:id="488">
    <w:p w14:paraId="2C68FDDC" w14:textId="77777777" w:rsidR="00925C2B" w:rsidRPr="00C1733B" w:rsidRDefault="00925C2B" w:rsidP="00445D7B">
      <w:pPr>
        <w:pStyle w:val="FootnoteText"/>
        <w:rPr>
          <w:lang w:val="fr-CH"/>
        </w:rPr>
      </w:pPr>
      <w:r>
        <w:rPr>
          <w:lang w:val="fr-CH"/>
        </w:rPr>
        <w:tab/>
      </w:r>
      <w:r>
        <w:rPr>
          <w:rStyle w:val="FootnoteReference"/>
        </w:rPr>
        <w:footnoteRef/>
      </w:r>
      <w:r>
        <w:rPr>
          <w:lang w:val="fr-CH"/>
        </w:rPr>
        <w:tab/>
        <w:t xml:space="preserve">Rapport de la </w:t>
      </w:r>
      <w:r w:rsidRPr="00C1733B">
        <w:rPr>
          <w:lang w:val="fr-CH"/>
        </w:rPr>
        <w:t xml:space="preserve">Rapporteuse spéciale sur les droits culturels </w:t>
      </w:r>
      <w:r>
        <w:rPr>
          <w:lang w:val="fr-CH"/>
        </w:rPr>
        <w:t>consacré aux processus mémoriels (</w:t>
      </w:r>
      <w:r w:rsidRPr="00C1733B">
        <w:rPr>
          <w:lang w:val="fr-CH"/>
        </w:rPr>
        <w:t>A/HRC/25/49</w:t>
      </w:r>
      <w:r>
        <w:rPr>
          <w:lang w:val="fr-CH"/>
        </w:rPr>
        <w:t>)</w:t>
      </w:r>
      <w:r w:rsidRPr="00C1733B">
        <w:rPr>
          <w:lang w:val="fr-CH"/>
        </w:rPr>
        <w:t>, par. 1</w:t>
      </w:r>
      <w:r>
        <w:rPr>
          <w:lang w:val="fr-CH"/>
        </w:rPr>
        <w:t>6</w:t>
      </w:r>
      <w:r w:rsidRPr="00C1733B">
        <w:rPr>
          <w:lang w:val="fr-CH"/>
        </w:rPr>
        <w:t xml:space="preserve"> et 1</w:t>
      </w:r>
      <w:r>
        <w:rPr>
          <w:lang w:val="fr-CH"/>
        </w:rPr>
        <w:t>7</w:t>
      </w:r>
      <w:r w:rsidRPr="00C1733B">
        <w:rPr>
          <w:lang w:val="fr-CH"/>
        </w:rPr>
        <w:t>.</w:t>
      </w:r>
    </w:p>
  </w:footnote>
  <w:footnote w:id="489">
    <w:p w14:paraId="52DFBBCF" w14:textId="77777777" w:rsidR="00925C2B" w:rsidRPr="00367D5C" w:rsidRDefault="00925C2B" w:rsidP="00445D7B">
      <w:pPr>
        <w:pStyle w:val="FootnoteText"/>
        <w:rPr>
          <w:lang w:val="fr-CH"/>
        </w:rPr>
      </w:pPr>
      <w:r>
        <w:rPr>
          <w:lang w:val="fr-CH"/>
        </w:rPr>
        <w:tab/>
      </w:r>
      <w:r>
        <w:rPr>
          <w:rStyle w:val="FootnoteReference"/>
        </w:rPr>
        <w:footnoteRef/>
      </w:r>
      <w:r>
        <w:rPr>
          <w:lang w:val="fr-CH"/>
        </w:rPr>
        <w:tab/>
        <w:t>Voir le rapport du Rapporteur spécial sur la promotion de la vérité, de la justice, de la réparation et des garanties de non répétition, A/HRC/21/46.</w:t>
      </w:r>
    </w:p>
  </w:footnote>
  <w:footnote w:id="490">
    <w:p w14:paraId="6C34DAB3" w14:textId="77777777" w:rsidR="00925C2B" w:rsidRPr="00131424" w:rsidRDefault="00925C2B" w:rsidP="00445D7B">
      <w:pPr>
        <w:pStyle w:val="FootnoteText"/>
        <w:rPr>
          <w:lang w:val="fr-CH"/>
        </w:rPr>
      </w:pPr>
      <w:r>
        <w:rPr>
          <w:lang w:val="fr-CH"/>
        </w:rPr>
        <w:tab/>
      </w:r>
      <w:r>
        <w:rPr>
          <w:rStyle w:val="FootnoteReference"/>
        </w:rPr>
        <w:footnoteRef/>
      </w:r>
      <w:r>
        <w:rPr>
          <w:lang w:val="fr-CH"/>
        </w:rPr>
        <w:tab/>
      </w:r>
      <w:r w:rsidRPr="00131424">
        <w:rPr>
          <w:lang w:val="fr-CH"/>
        </w:rPr>
        <w:t>https://www.cvr.bi/2021/07/19/gitega-vers-la-qualification-des-violations-des-droits-humains-commises-en-1972/</w:t>
      </w:r>
      <w:r>
        <w:rPr>
          <w:lang w:val="fr-CH"/>
        </w:rPr>
        <w:t>.</w:t>
      </w:r>
    </w:p>
  </w:footnote>
  <w:footnote w:id="491">
    <w:p w14:paraId="42B6F173" w14:textId="77777777" w:rsidR="00925C2B" w:rsidRPr="007B77EE" w:rsidRDefault="00925C2B" w:rsidP="00445D7B">
      <w:pPr>
        <w:pStyle w:val="FootnoteText"/>
        <w:rPr>
          <w:lang w:val="fr-CH"/>
        </w:rPr>
      </w:pPr>
      <w:r>
        <w:rPr>
          <w:lang w:val="fr-CH"/>
        </w:rPr>
        <w:tab/>
      </w:r>
      <w:r>
        <w:rPr>
          <w:rStyle w:val="FootnoteReference"/>
        </w:rPr>
        <w:footnoteRef/>
      </w:r>
      <w:r>
        <w:rPr>
          <w:lang w:val="fr-CH"/>
        </w:rPr>
        <w:tab/>
      </w:r>
      <w:r w:rsidRPr="007B77EE">
        <w:rPr>
          <w:lang w:val="fr-CH"/>
        </w:rPr>
        <w:t>https://www.cvr.bi/2021/08/06/bujumbura-mairie-les-archives-parlent-plus-que-les-fosses-communes/</w:t>
      </w:r>
      <w:r>
        <w:rPr>
          <w:lang w:val="fr-CH"/>
        </w:rPr>
        <w:t>.</w:t>
      </w:r>
    </w:p>
  </w:footnote>
  <w:footnote w:id="492">
    <w:p w14:paraId="7F599C52" w14:textId="77777777" w:rsidR="00925C2B" w:rsidRPr="00A00676" w:rsidRDefault="00925C2B" w:rsidP="00445D7B">
      <w:pPr>
        <w:pStyle w:val="FootnoteText"/>
        <w:rPr>
          <w:lang w:val="fr-CH"/>
        </w:rPr>
      </w:pPr>
      <w:r>
        <w:rPr>
          <w:lang w:val="fr-CH"/>
        </w:rPr>
        <w:tab/>
      </w:r>
      <w:r>
        <w:rPr>
          <w:rStyle w:val="FootnoteReference"/>
        </w:rPr>
        <w:footnoteRef/>
      </w:r>
      <w:r>
        <w:rPr>
          <w:lang w:val="fr-CH"/>
        </w:rPr>
        <w:tab/>
      </w:r>
      <w:hyperlink r:id="rId156" w:history="1">
        <w:r w:rsidRPr="00060E44">
          <w:rPr>
            <w:rStyle w:val="Hyperlink"/>
            <w:lang w:val="fr-CH"/>
          </w:rPr>
          <w:t>https://rtnb.bi/fr/art.php?idapi=5/1/123</w:t>
        </w:r>
      </w:hyperlink>
      <w:r>
        <w:rPr>
          <w:lang w:val="fr-CH"/>
        </w:rPr>
        <w:t xml:space="preserve">. La cinquième et dernière conférence a eu lieu le 25 juin 2021 : </w:t>
      </w:r>
      <w:r w:rsidRPr="004C2746">
        <w:rPr>
          <w:lang w:val="fr-CH"/>
        </w:rPr>
        <w:t>https://twitter.com/RTNBurundi/status/1408352780935389184</w:t>
      </w:r>
      <w:r>
        <w:rPr>
          <w:lang w:val="fr-CH"/>
        </w:rPr>
        <w:t>.</w:t>
      </w:r>
    </w:p>
  </w:footnote>
  <w:footnote w:id="493">
    <w:p w14:paraId="2BCEE3EF" w14:textId="77777777" w:rsidR="00925C2B" w:rsidRPr="00502E59" w:rsidRDefault="00925C2B" w:rsidP="00445D7B">
      <w:pPr>
        <w:pStyle w:val="FootnoteText"/>
        <w:rPr>
          <w:lang w:val="fr-CH"/>
        </w:rPr>
      </w:pPr>
      <w:r>
        <w:rPr>
          <w:lang w:val="fr-CH"/>
        </w:rPr>
        <w:tab/>
      </w:r>
      <w:r>
        <w:rPr>
          <w:rStyle w:val="FootnoteReference"/>
        </w:rPr>
        <w:footnoteRef/>
      </w:r>
      <w:r>
        <w:rPr>
          <w:lang w:val="fr-CH"/>
        </w:rPr>
        <w:tab/>
      </w:r>
      <w:r w:rsidRPr="00502E59">
        <w:rPr>
          <w:lang w:val="fr-CH"/>
        </w:rPr>
        <w:t>https://rtnb.bi/fr/art.php?idapi=5/1/148</w:t>
      </w:r>
      <w:r>
        <w:rPr>
          <w:lang w:val="fr-CH"/>
        </w:rPr>
        <w:t>.</w:t>
      </w:r>
    </w:p>
  </w:footnote>
  <w:footnote w:id="494">
    <w:p w14:paraId="3B0B2243" w14:textId="77777777" w:rsidR="00925C2B" w:rsidRPr="00A00676" w:rsidRDefault="00925C2B" w:rsidP="00445D7B">
      <w:pPr>
        <w:pStyle w:val="FootnoteText"/>
        <w:rPr>
          <w:lang w:val="fr-CH"/>
        </w:rPr>
      </w:pPr>
      <w:r>
        <w:rPr>
          <w:lang w:val="fr-CH"/>
        </w:rPr>
        <w:tab/>
      </w:r>
      <w:r>
        <w:rPr>
          <w:rStyle w:val="FootnoteReference"/>
        </w:rPr>
        <w:footnoteRef/>
      </w:r>
      <w:r>
        <w:rPr>
          <w:lang w:val="fr-CH"/>
        </w:rPr>
        <w:tab/>
        <w:t xml:space="preserve">Article 192 (6) de la Constitution de 2018. </w:t>
      </w:r>
    </w:p>
  </w:footnote>
  <w:footnote w:id="495">
    <w:p w14:paraId="352E4765" w14:textId="77777777" w:rsidR="00925C2B" w:rsidRPr="004A2D52" w:rsidRDefault="00925C2B" w:rsidP="00445D7B">
      <w:pPr>
        <w:pStyle w:val="FootnoteText"/>
        <w:spacing w:line="240" w:lineRule="auto"/>
        <w:ind w:right="0"/>
        <w:rPr>
          <w:lang w:val="fr-CH"/>
        </w:rPr>
      </w:pPr>
      <w:r>
        <w:rPr>
          <w:lang w:val="fr-CH"/>
        </w:rPr>
        <w:tab/>
      </w:r>
      <w:r>
        <w:rPr>
          <w:rStyle w:val="FootnoteReference"/>
        </w:rPr>
        <w:footnoteRef/>
      </w:r>
      <w:r>
        <w:rPr>
          <w:lang w:val="fr-CH"/>
        </w:rPr>
        <w:tab/>
      </w:r>
      <w:hyperlink r:id="rId157" w:history="1">
        <w:r w:rsidRPr="001D103E">
          <w:rPr>
            <w:rStyle w:val="Hyperlink"/>
            <w:lang w:val="fr-CH"/>
          </w:rPr>
          <w:t>https://rtnb.bi/fr/art.php?idapi=5/1/110</w:t>
        </w:r>
      </w:hyperlink>
      <w:r>
        <w:rPr>
          <w:lang w:val="fr-CH"/>
        </w:rPr>
        <w:t xml:space="preserve">, </w:t>
      </w:r>
      <w:hyperlink r:id="rId158" w:history="1">
        <w:r w:rsidRPr="00B42559">
          <w:rPr>
            <w:rStyle w:val="Hyperlink"/>
            <w:lang w:val="fr-CH"/>
          </w:rPr>
          <w:t>https://twitter.com/burundi_senat/status/1404016339174539269?s=20</w:t>
        </w:r>
      </w:hyperlink>
      <w:r>
        <w:rPr>
          <w:lang w:val="fr-CH"/>
        </w:rPr>
        <w:t>. L’article 289 de la Constitution de 2018 dispose : « </w:t>
      </w:r>
      <w:r w:rsidRPr="004A2D52">
        <w:rPr>
          <w:lang w:val="fr-CH"/>
        </w:rPr>
        <w:t>Un délai de cinq ans est accordé au Sénat pour évaluer</w:t>
      </w:r>
      <w:r>
        <w:rPr>
          <w:lang w:val="fr-CH"/>
        </w:rPr>
        <w:t xml:space="preserve"> </w:t>
      </w:r>
      <w:r w:rsidRPr="004A2D52">
        <w:rPr>
          <w:lang w:val="fr-CH"/>
        </w:rPr>
        <w:t>afin de mettre fin ou proroger le système de quota</w:t>
      </w:r>
      <w:r>
        <w:rPr>
          <w:lang w:val="fr-CH"/>
        </w:rPr>
        <w:t xml:space="preserve"> </w:t>
      </w:r>
      <w:r w:rsidRPr="004A2D52">
        <w:rPr>
          <w:lang w:val="fr-CH"/>
        </w:rPr>
        <w:t>ethniques dans l’Exécutif, le Législatif et le Judiciaire</w:t>
      </w:r>
      <w:r>
        <w:rPr>
          <w:lang w:val="fr-CH"/>
        </w:rPr>
        <w:t xml:space="preserve"> </w:t>
      </w:r>
      <w:r w:rsidRPr="004A2D52">
        <w:rPr>
          <w:lang w:val="fr-CH"/>
        </w:rPr>
        <w:t>après la mise en place des institutions issues de la présente</w:t>
      </w:r>
      <w:r>
        <w:rPr>
          <w:lang w:val="fr-CH"/>
        </w:rPr>
        <w:t xml:space="preserve"> </w:t>
      </w:r>
      <w:r w:rsidRPr="004A2D52">
        <w:rPr>
          <w:lang w:val="fr-CH"/>
        </w:rPr>
        <w:t>Constitution</w:t>
      </w:r>
      <w:r>
        <w:rPr>
          <w:lang w:val="fr-CH"/>
        </w:rPr>
        <w:t> »</w:t>
      </w:r>
      <w:r w:rsidRPr="004A2D52">
        <w:rPr>
          <w:lang w:val="fr-CH"/>
        </w:rPr>
        <w:t>.</w:t>
      </w:r>
    </w:p>
  </w:footnote>
  <w:footnote w:id="496">
    <w:p w14:paraId="4B75CC7A" w14:textId="77777777" w:rsidR="00925C2B" w:rsidRPr="00C405B1" w:rsidRDefault="00925C2B" w:rsidP="00445D7B">
      <w:pPr>
        <w:pStyle w:val="FootnoteText"/>
        <w:rPr>
          <w:lang w:val="fr-CH"/>
        </w:rPr>
      </w:pPr>
      <w:r>
        <w:rPr>
          <w:lang w:val="fr-CH"/>
        </w:rPr>
        <w:tab/>
      </w:r>
      <w:r>
        <w:rPr>
          <w:rStyle w:val="FootnoteReference"/>
        </w:rPr>
        <w:footnoteRef/>
      </w:r>
      <w:r>
        <w:rPr>
          <w:lang w:val="fr-CH"/>
        </w:rPr>
        <w:tab/>
      </w:r>
      <w:r w:rsidRPr="00C405B1">
        <w:rPr>
          <w:lang w:val="fr-CH"/>
        </w:rPr>
        <w:t>https://rtnb.bi/fr/art.php?idapi=5/1/158</w:t>
      </w:r>
      <w:r>
        <w:rPr>
          <w:lang w:val="fr-CH"/>
        </w:rPr>
        <w:t>.</w:t>
      </w:r>
    </w:p>
  </w:footnote>
  <w:footnote w:id="497">
    <w:p w14:paraId="0132358C" w14:textId="77777777" w:rsidR="00925C2B" w:rsidRPr="00C405B1" w:rsidRDefault="00925C2B" w:rsidP="00445D7B">
      <w:pPr>
        <w:pStyle w:val="FootnoteText"/>
        <w:rPr>
          <w:lang w:val="fr-CH"/>
        </w:rPr>
      </w:pPr>
      <w:r>
        <w:rPr>
          <w:lang w:val="fr-CH"/>
        </w:rPr>
        <w:tab/>
      </w:r>
      <w:r>
        <w:rPr>
          <w:rStyle w:val="FootnoteReference"/>
        </w:rPr>
        <w:footnoteRef/>
      </w:r>
      <w:r>
        <w:rPr>
          <w:lang w:val="fr-CH"/>
        </w:rPr>
        <w:tab/>
      </w:r>
      <w:r w:rsidRPr="00C405B1">
        <w:rPr>
          <w:lang w:val="fr-CH"/>
        </w:rPr>
        <w:t>https://rtnb.bi/fr/art.php?idapi=5/1/123</w:t>
      </w:r>
      <w:r>
        <w:rPr>
          <w:lang w:val="fr-CH"/>
        </w:rPr>
        <w:t>.</w:t>
      </w:r>
    </w:p>
  </w:footnote>
  <w:footnote w:id="498">
    <w:p w14:paraId="7E3CEB6F" w14:textId="77777777" w:rsidR="00925C2B" w:rsidRPr="00CE1FC3" w:rsidRDefault="00925C2B" w:rsidP="00445D7B">
      <w:pPr>
        <w:pStyle w:val="FootnoteText"/>
        <w:rPr>
          <w:lang w:val="fr-CH"/>
        </w:rPr>
      </w:pPr>
      <w:r>
        <w:rPr>
          <w:lang w:val="fr-CH"/>
        </w:rPr>
        <w:tab/>
      </w:r>
      <w:r>
        <w:rPr>
          <w:rStyle w:val="FootnoteReference"/>
        </w:rPr>
        <w:footnoteRef/>
      </w:r>
      <w:r>
        <w:rPr>
          <w:lang w:val="fr-CH"/>
        </w:rPr>
        <w:tab/>
        <w:t>CVR, Rapport exécutif 2020, p. 39.</w:t>
      </w:r>
    </w:p>
  </w:footnote>
  <w:footnote w:id="499">
    <w:p w14:paraId="02210EA5" w14:textId="0D23CA78" w:rsidR="00925C2B" w:rsidRPr="00713E52" w:rsidRDefault="00925C2B" w:rsidP="00445D7B">
      <w:pPr>
        <w:pStyle w:val="FootnoteText"/>
        <w:rPr>
          <w:lang w:val="fr-CH"/>
        </w:rPr>
      </w:pPr>
      <w:r>
        <w:rPr>
          <w:lang w:val="fr-CH"/>
        </w:rPr>
        <w:tab/>
      </w:r>
      <w:r>
        <w:rPr>
          <w:rStyle w:val="FootnoteReference"/>
        </w:rPr>
        <w:footnoteRef/>
      </w:r>
      <w:r>
        <w:rPr>
          <w:lang w:val="fr-CH"/>
        </w:rPr>
        <w:tab/>
      </w:r>
      <w:hyperlink r:id="rId159" w:history="1">
        <w:r w:rsidRPr="00B42559">
          <w:rPr>
            <w:rStyle w:val="Hyperlink"/>
            <w:lang w:val="fr-CH"/>
          </w:rPr>
          <w:t>http://fr.senat.bi/?p=9176</w:t>
        </w:r>
      </w:hyperlink>
      <w:r>
        <w:rPr>
          <w:lang w:val="fr-CH"/>
        </w:rPr>
        <w:t xml:space="preserve">, </w:t>
      </w:r>
      <w:hyperlink r:id="rId160" w:history="1">
        <w:r w:rsidRPr="00B42559">
          <w:rPr>
            <w:rStyle w:val="Hyperlink"/>
            <w:lang w:val="fr-CH"/>
          </w:rPr>
          <w:t>http://fr.senat.bi/?p=9093</w:t>
        </w:r>
      </w:hyperlink>
      <w:r>
        <w:rPr>
          <w:lang w:val="fr-CH"/>
        </w:rPr>
        <w:t xml:space="preserve">, </w:t>
      </w:r>
      <w:hyperlink r:id="rId161" w:history="1">
        <w:r w:rsidRPr="00B42559">
          <w:rPr>
            <w:rStyle w:val="Hyperlink"/>
            <w:lang w:val="fr-CH"/>
          </w:rPr>
          <w:t>http://fr.senat.bi/?p=8956</w:t>
        </w:r>
      </w:hyperlink>
      <w:r>
        <w:rPr>
          <w:lang w:val="fr-CH"/>
        </w:rPr>
        <w:t xml:space="preserve">. </w:t>
      </w:r>
    </w:p>
  </w:footnote>
  <w:footnote w:id="500">
    <w:p w14:paraId="493B7E9F" w14:textId="77777777" w:rsidR="00925C2B" w:rsidRPr="002941E7" w:rsidRDefault="00925C2B" w:rsidP="00445D7B">
      <w:pPr>
        <w:pStyle w:val="FootnoteText"/>
        <w:rPr>
          <w:lang w:val="fr-CH"/>
        </w:rPr>
      </w:pPr>
      <w:r>
        <w:rPr>
          <w:lang w:val="fr-CH"/>
        </w:rPr>
        <w:tab/>
      </w:r>
      <w:r>
        <w:rPr>
          <w:rStyle w:val="FootnoteReference"/>
        </w:rPr>
        <w:footnoteRef/>
      </w:r>
      <w:r>
        <w:rPr>
          <w:lang w:val="fr-CH"/>
        </w:rPr>
        <w:tab/>
      </w:r>
      <w:r w:rsidRPr="002941E7">
        <w:rPr>
          <w:lang w:val="fr-CH"/>
        </w:rPr>
        <w:t>https://rtnb.bi/fr/art.php?idapi=5/1/158</w:t>
      </w:r>
      <w:r>
        <w:rPr>
          <w:lang w:val="fr-CH"/>
        </w:rPr>
        <w:t>.</w:t>
      </w:r>
    </w:p>
  </w:footnote>
  <w:footnote w:id="501">
    <w:p w14:paraId="0A7579D3" w14:textId="77777777" w:rsidR="00925C2B" w:rsidRPr="006F097F" w:rsidRDefault="00925C2B" w:rsidP="00445D7B">
      <w:pPr>
        <w:pStyle w:val="FootnoteText"/>
        <w:rPr>
          <w:lang w:val="fr-CH"/>
        </w:rPr>
      </w:pPr>
      <w:r>
        <w:rPr>
          <w:lang w:val="fr-CH"/>
        </w:rPr>
        <w:tab/>
      </w:r>
      <w:r>
        <w:rPr>
          <w:rStyle w:val="FootnoteReference"/>
        </w:rPr>
        <w:footnoteRef/>
      </w:r>
      <w:r>
        <w:rPr>
          <w:lang w:val="fr-CH"/>
        </w:rPr>
        <w:tab/>
        <w:t>N</w:t>
      </w:r>
      <w:r w:rsidRPr="006F097F">
        <w:rPr>
          <w:lang w:val="fr-CH"/>
        </w:rPr>
        <w:t>ote sur le rapport d’étape du recensement digitalisé des fonctionnaires, cadres et agents des ministères et institutions de l’</w:t>
      </w:r>
      <w:r>
        <w:rPr>
          <w:lang w:val="fr-CH"/>
        </w:rPr>
        <w:t>É</w:t>
      </w:r>
      <w:r w:rsidRPr="006F097F">
        <w:rPr>
          <w:lang w:val="fr-CH"/>
        </w:rPr>
        <w:t>tat, présentée par le ministre de la Fonction publique, du travail et de l’emploi</w:t>
      </w:r>
      <w:r>
        <w:rPr>
          <w:lang w:val="fr-CH"/>
        </w:rPr>
        <w:t xml:space="preserve">. Voir : </w:t>
      </w:r>
      <w:r w:rsidRPr="00494B1B">
        <w:rPr>
          <w:lang w:val="fr-CH"/>
        </w:rPr>
        <w:t>https://www.presidence.gov.bi/2020/11/16/le-communique-du-conseil-des-ministres-du-13-novembre-2020/</w:t>
      </w:r>
      <w:r>
        <w:rPr>
          <w:lang w:val="fr-CH"/>
        </w:rPr>
        <w:t>.</w:t>
      </w:r>
    </w:p>
  </w:footnote>
  <w:footnote w:id="502">
    <w:p w14:paraId="57CF58E3" w14:textId="77777777" w:rsidR="00925C2B" w:rsidRPr="00494B1B" w:rsidRDefault="00925C2B" w:rsidP="00445D7B">
      <w:pPr>
        <w:pStyle w:val="FootnoteText"/>
        <w:rPr>
          <w:lang w:val="fr-CH"/>
        </w:rPr>
      </w:pPr>
      <w:r>
        <w:rPr>
          <w:lang w:val="fr-CH"/>
        </w:rPr>
        <w:tab/>
      </w:r>
      <w:r>
        <w:rPr>
          <w:rStyle w:val="FootnoteReference"/>
        </w:rPr>
        <w:footnoteRef/>
      </w:r>
      <w:r>
        <w:rPr>
          <w:lang w:val="fr-CH"/>
        </w:rPr>
        <w:tab/>
      </w:r>
      <w:r w:rsidRPr="00494B1B">
        <w:rPr>
          <w:lang w:val="fr-CH"/>
        </w:rPr>
        <w:t>https://www.presidence.gov.bi/2020/11/16/le-communique-du-conseil-des-ministres-du-13-novembre-2020/</w:t>
      </w:r>
      <w:r>
        <w:rPr>
          <w:lang w:val="fr-CH"/>
        </w:rPr>
        <w:t>.</w:t>
      </w:r>
    </w:p>
  </w:footnote>
  <w:footnote w:id="503">
    <w:p w14:paraId="4891D002" w14:textId="77777777" w:rsidR="00925C2B" w:rsidRPr="00915C18" w:rsidRDefault="00925C2B" w:rsidP="00D72ADB">
      <w:pPr>
        <w:pStyle w:val="FootnoteText"/>
        <w:rPr>
          <w:lang w:val="fr-CH"/>
        </w:rPr>
      </w:pPr>
      <w:r>
        <w:rPr>
          <w:lang w:val="fr-CH"/>
        </w:rPr>
        <w:tab/>
      </w:r>
      <w:r>
        <w:rPr>
          <w:rStyle w:val="FootnoteReference"/>
        </w:rPr>
        <w:footnoteRef/>
      </w:r>
      <w:r>
        <w:rPr>
          <w:lang w:val="fr-CH"/>
        </w:rPr>
        <w:tab/>
        <w:t>Tous les pays de la Communauté doivent entreprendre un tel recensement à</w:t>
      </w:r>
      <w:r w:rsidRPr="00915C18">
        <w:rPr>
          <w:lang w:val="fr-CH"/>
        </w:rPr>
        <w:t xml:space="preserve"> l’exception du Kenya qui </w:t>
      </w:r>
      <w:r>
        <w:rPr>
          <w:lang w:val="fr-CH"/>
        </w:rPr>
        <w:t xml:space="preserve">en </w:t>
      </w:r>
      <w:r w:rsidRPr="00915C18">
        <w:rPr>
          <w:lang w:val="fr-CH"/>
        </w:rPr>
        <w:t xml:space="preserve">a </w:t>
      </w:r>
      <w:r>
        <w:rPr>
          <w:lang w:val="fr-CH"/>
        </w:rPr>
        <w:t>effectué</w:t>
      </w:r>
      <w:r w:rsidRPr="00915C18">
        <w:rPr>
          <w:lang w:val="fr-CH"/>
        </w:rPr>
        <w:t xml:space="preserve"> </w:t>
      </w:r>
      <w:r>
        <w:rPr>
          <w:lang w:val="fr-CH"/>
        </w:rPr>
        <w:t>un</w:t>
      </w:r>
      <w:r w:rsidRPr="00915C18">
        <w:rPr>
          <w:lang w:val="fr-CH"/>
        </w:rPr>
        <w:t xml:space="preserve"> récemment</w:t>
      </w:r>
      <w:r>
        <w:rPr>
          <w:lang w:val="fr-CH"/>
        </w:rPr>
        <w:t>.</w:t>
      </w:r>
    </w:p>
  </w:footnote>
  <w:footnote w:id="504">
    <w:p w14:paraId="1CE5CAE0" w14:textId="77777777" w:rsidR="00925C2B" w:rsidRPr="006F097F" w:rsidRDefault="00925C2B" w:rsidP="00445D7B">
      <w:pPr>
        <w:pStyle w:val="FootnoteText"/>
        <w:rPr>
          <w:lang w:val="fr-CH"/>
        </w:rPr>
      </w:pPr>
      <w:r>
        <w:rPr>
          <w:lang w:val="fr-CH"/>
        </w:rPr>
        <w:tab/>
      </w:r>
      <w:r>
        <w:rPr>
          <w:rStyle w:val="FootnoteReference"/>
        </w:rPr>
        <w:footnoteRef/>
      </w:r>
      <w:r>
        <w:rPr>
          <w:lang w:val="fr-CH"/>
        </w:rPr>
        <w:tab/>
      </w:r>
      <w:r w:rsidRPr="00494B1B">
        <w:rPr>
          <w:lang w:val="fr-CH"/>
        </w:rPr>
        <w:t>https://www.presidence</w:t>
      </w:r>
      <w:r w:rsidRPr="006F097F">
        <w:rPr>
          <w:lang w:val="fr-CH"/>
        </w:rPr>
        <w:t>.gov.bi/2020/09/24/communique-du-conseil-des-ministres-du-23-septembre-2020/</w:t>
      </w:r>
      <w:r>
        <w:rPr>
          <w:lang w:val="fr-CH"/>
        </w:rPr>
        <w:t>.</w:t>
      </w:r>
    </w:p>
  </w:footnote>
  <w:footnote w:id="505">
    <w:p w14:paraId="36A4A74D" w14:textId="77777777" w:rsidR="00925C2B" w:rsidRPr="00CE5D19" w:rsidRDefault="00925C2B" w:rsidP="00445D7B">
      <w:pPr>
        <w:pStyle w:val="FootnoteText"/>
        <w:rPr>
          <w:lang w:val="fr-CH"/>
        </w:rPr>
      </w:pPr>
      <w:r>
        <w:rPr>
          <w:lang w:val="fr-CH"/>
        </w:rPr>
        <w:tab/>
      </w:r>
      <w:r>
        <w:rPr>
          <w:rStyle w:val="FootnoteReference"/>
        </w:rPr>
        <w:footnoteRef/>
      </w:r>
      <w:r>
        <w:rPr>
          <w:lang w:val="fr-CH"/>
        </w:rPr>
        <w:tab/>
      </w:r>
      <w:r w:rsidRPr="00CE5D19">
        <w:rPr>
          <w:lang w:val="fr-CH"/>
        </w:rPr>
        <w:t>https://lerenouveau.digital/isteebu-rgphae-2022-consultations-sur-le-questionnaire-pour-repondre-aux-normes-de-preparation-dun-recensement-de-bonne-qualite/</w:t>
      </w:r>
      <w:r>
        <w:rPr>
          <w:lang w:val="fr-CH"/>
        </w:rPr>
        <w:t>.</w:t>
      </w:r>
    </w:p>
  </w:footnote>
  <w:footnote w:id="506">
    <w:p w14:paraId="65B30A17" w14:textId="18B3237B" w:rsidR="00925C2B" w:rsidRPr="007F0E6B" w:rsidRDefault="00925C2B" w:rsidP="00445D7B">
      <w:pPr>
        <w:pStyle w:val="FootnoteText"/>
        <w:rPr>
          <w:lang w:val="fr-CH"/>
        </w:rPr>
      </w:pPr>
      <w:r>
        <w:rPr>
          <w:lang w:val="fr-CH"/>
        </w:rPr>
        <w:tab/>
      </w:r>
      <w:r>
        <w:rPr>
          <w:rStyle w:val="FootnoteReference"/>
        </w:rPr>
        <w:footnoteRef/>
      </w:r>
      <w:r>
        <w:rPr>
          <w:lang w:val="fr-CH"/>
        </w:rPr>
        <w:tab/>
      </w:r>
      <w:r w:rsidRPr="007F0E6B">
        <w:rPr>
          <w:lang w:val="fr-CH"/>
        </w:rPr>
        <w:t xml:space="preserve">Voir notamment l’indice des libertés publiques </w:t>
      </w:r>
      <w:r>
        <w:rPr>
          <w:lang w:val="fr-CH"/>
        </w:rPr>
        <w:t>de</w:t>
      </w:r>
      <w:r w:rsidRPr="007F0E6B">
        <w:rPr>
          <w:lang w:val="fr-CH"/>
        </w:rPr>
        <w:t xml:space="preserve"> </w:t>
      </w:r>
      <w:r>
        <w:rPr>
          <w:lang w:val="fr-CH"/>
        </w:rPr>
        <w:t>Freedom House, qui démontre clairement le</w:t>
      </w:r>
      <w:r w:rsidRPr="007F0E6B">
        <w:rPr>
          <w:lang w:val="fr-CH"/>
        </w:rPr>
        <w:t xml:space="preserve"> déclin </w:t>
      </w:r>
      <w:r>
        <w:rPr>
          <w:lang w:val="fr-CH"/>
        </w:rPr>
        <w:t xml:space="preserve">progressif </w:t>
      </w:r>
      <w:r w:rsidRPr="007F0E6B">
        <w:rPr>
          <w:lang w:val="fr-CH"/>
        </w:rPr>
        <w:t>du respect des droits politiques et des libertés publiques au Burundi depuis 2015</w:t>
      </w:r>
      <w:r>
        <w:rPr>
          <w:lang w:val="fr-CH"/>
        </w:rPr>
        <w:t xml:space="preserve">, par. 93 du présent </w:t>
      </w:r>
      <w:r w:rsidR="00281ED1">
        <w:rPr>
          <w:lang w:val="fr-CH"/>
        </w:rPr>
        <w:t>document</w:t>
      </w:r>
      <w:r>
        <w:rPr>
          <w:lang w:val="fr-CH"/>
        </w:rPr>
        <w:t>.</w:t>
      </w:r>
    </w:p>
  </w:footnote>
  <w:footnote w:id="507">
    <w:p w14:paraId="2096FB62" w14:textId="2B64D9C3" w:rsidR="00925C2B" w:rsidRDefault="00925C2B" w:rsidP="00A32F3C">
      <w:pPr>
        <w:pStyle w:val="FootnoteText"/>
        <w:widowControl w:val="0"/>
        <w:rPr>
          <w:lang w:val="fr-CH"/>
        </w:rPr>
      </w:pPr>
      <w:r w:rsidRPr="00EA50C9">
        <w:rPr>
          <w:lang w:val="fr-CH"/>
        </w:rPr>
        <w:tab/>
      </w:r>
      <w:r>
        <w:rPr>
          <w:rStyle w:val="FootnoteReference"/>
        </w:rPr>
        <w:footnoteRef/>
      </w:r>
      <w:r>
        <w:rPr>
          <w:lang w:val="fr-CH"/>
        </w:rPr>
        <w:tab/>
        <w:t xml:space="preserve">Voir l’annexe III du présent </w:t>
      </w:r>
      <w:r w:rsidR="00281ED1">
        <w:rPr>
          <w:lang w:val="fr-CH"/>
        </w:rPr>
        <w:t>document</w:t>
      </w:r>
      <w:r>
        <w:rPr>
          <w:lang w:val="fr-CH"/>
        </w:rPr>
        <w:t>.</w:t>
      </w:r>
    </w:p>
  </w:footnote>
  <w:footnote w:id="508">
    <w:p w14:paraId="5B36AF13" w14:textId="77777777" w:rsidR="00925C2B" w:rsidRPr="00203CF5" w:rsidRDefault="00925C2B" w:rsidP="00A32F3C">
      <w:pPr>
        <w:pStyle w:val="FootnoteText"/>
        <w:rPr>
          <w:lang w:val="fr-CH"/>
        </w:rPr>
      </w:pPr>
      <w:r>
        <w:rPr>
          <w:lang w:val="fr-CH"/>
        </w:rPr>
        <w:tab/>
      </w:r>
      <w:r>
        <w:rPr>
          <w:rStyle w:val="FootnoteReference"/>
        </w:rPr>
        <w:footnoteRef/>
      </w:r>
      <w:r>
        <w:rPr>
          <w:lang w:val="fr-CH"/>
        </w:rPr>
        <w:tab/>
      </w:r>
      <w:r w:rsidRPr="009F76FB">
        <w:rPr>
          <w:lang w:val="fr-CH"/>
        </w:rPr>
        <w:t>CAC/COSP/IRG/2019/CRP.17.</w:t>
      </w:r>
    </w:p>
  </w:footnote>
  <w:footnote w:id="509">
    <w:p w14:paraId="5BE748E3" w14:textId="77777777" w:rsidR="00925C2B" w:rsidRPr="00F95252" w:rsidRDefault="00925C2B" w:rsidP="00A32F3C">
      <w:pPr>
        <w:pStyle w:val="FootnoteText"/>
        <w:rPr>
          <w:lang w:val="fr-CH"/>
        </w:rPr>
      </w:pPr>
      <w:r w:rsidRPr="00203CF5">
        <w:rPr>
          <w:lang w:val="fr-CH"/>
        </w:rPr>
        <w:tab/>
      </w:r>
      <w:r w:rsidRPr="009F76FB">
        <w:rPr>
          <w:rStyle w:val="FootnoteReference"/>
        </w:rPr>
        <w:footnoteRef/>
      </w:r>
      <w:r w:rsidRPr="009F76FB">
        <w:rPr>
          <w:lang w:val="fr-CH"/>
        </w:rPr>
        <w:tab/>
        <w:t xml:space="preserve">Comité des droits de l’homme, </w:t>
      </w:r>
      <w:r w:rsidRPr="00203CF5">
        <w:rPr>
          <w:lang w:val="fr-CH"/>
        </w:rPr>
        <w:t>observation générale no 36 (2018)</w:t>
      </w:r>
      <w:r w:rsidRPr="009F76FB">
        <w:rPr>
          <w:lang w:val="fr-CH"/>
        </w:rPr>
        <w:t>, par. 26.</w:t>
      </w:r>
    </w:p>
  </w:footnote>
  <w:footnote w:id="510">
    <w:p w14:paraId="52E41643" w14:textId="77777777" w:rsidR="00925C2B" w:rsidRPr="00FA45AB" w:rsidRDefault="00925C2B" w:rsidP="006354E7">
      <w:pPr>
        <w:pStyle w:val="FootnoteText"/>
        <w:rPr>
          <w:lang w:val="fr-CH"/>
        </w:rPr>
      </w:pPr>
      <w:r w:rsidRPr="00FA45AB">
        <w:rPr>
          <w:lang w:val="fr-CH"/>
        </w:rPr>
        <w:tab/>
      </w:r>
      <w:r w:rsidRPr="00CE281A">
        <w:rPr>
          <w:rStyle w:val="FootnoteReference"/>
        </w:rPr>
        <w:footnoteRef/>
      </w:r>
      <w:r w:rsidRPr="00FA45AB">
        <w:rPr>
          <w:lang w:val="fr-CH"/>
        </w:rPr>
        <w:tab/>
        <w:t>Voir ci-après.</w:t>
      </w:r>
    </w:p>
  </w:footnote>
  <w:footnote w:id="511">
    <w:p w14:paraId="1336F477" w14:textId="77777777" w:rsidR="00925C2B" w:rsidRPr="00FA45AB" w:rsidRDefault="00925C2B" w:rsidP="006354E7">
      <w:pPr>
        <w:pStyle w:val="FootnoteText"/>
        <w:rPr>
          <w:lang w:val="fr-CH"/>
        </w:rPr>
      </w:pPr>
      <w:r w:rsidRPr="00FA45AB">
        <w:rPr>
          <w:lang w:val="fr-CH"/>
        </w:rPr>
        <w:tab/>
      </w:r>
      <w:r w:rsidRPr="00CE281A">
        <w:rPr>
          <w:rStyle w:val="FootnoteReference"/>
        </w:rPr>
        <w:footnoteRef/>
      </w:r>
      <w:r w:rsidRPr="00FA45AB">
        <w:rPr>
          <w:lang w:val="fr-CH"/>
        </w:rPr>
        <w:tab/>
        <w:t>See hereinbelow.</w:t>
      </w:r>
    </w:p>
  </w:footnote>
  <w:footnote w:id="512">
    <w:p w14:paraId="3E4D30D4" w14:textId="77777777" w:rsidR="00925C2B" w:rsidRPr="00FA45AB" w:rsidRDefault="00925C2B" w:rsidP="006354E7">
      <w:pPr>
        <w:pStyle w:val="FootnoteText"/>
        <w:widowControl w:val="0"/>
        <w:tabs>
          <w:tab w:val="clear" w:pos="1021"/>
          <w:tab w:val="right" w:pos="1020"/>
        </w:tabs>
        <w:rPr>
          <w:lang w:val="fr-CH"/>
        </w:rPr>
      </w:pPr>
      <w:r w:rsidRPr="00FA45AB">
        <w:rPr>
          <w:lang w:val="fr-CH"/>
        </w:rPr>
        <w:tab/>
      </w:r>
      <w:r w:rsidRPr="00CE281A">
        <w:rPr>
          <w:rStyle w:val="FootnoteReference"/>
        </w:rPr>
        <w:footnoteRef/>
      </w:r>
      <w:r w:rsidRPr="00FA45AB">
        <w:rPr>
          <w:lang w:val="fr-CH"/>
        </w:rPr>
        <w:tab/>
        <w:t>Voir annexe III (A/HRC/36/54 et Corr.1, par. 85 à 94 ; et A/HRC/39/63, par. 85 et 86).</w:t>
      </w:r>
    </w:p>
  </w:footnote>
  <w:footnote w:id="513">
    <w:p w14:paraId="32570650" w14:textId="77777777" w:rsidR="00925C2B" w:rsidRPr="00C63467" w:rsidRDefault="00925C2B" w:rsidP="006354E7">
      <w:pPr>
        <w:pStyle w:val="FootnoteText"/>
      </w:pPr>
      <w:r w:rsidRPr="00FA45AB">
        <w:rPr>
          <w:lang w:val="fr-CH"/>
        </w:rPr>
        <w:tab/>
      </w:r>
      <w:r w:rsidRPr="00CE281A">
        <w:rPr>
          <w:rStyle w:val="FootnoteReference"/>
        </w:rPr>
        <w:footnoteRef/>
      </w:r>
      <w:r w:rsidRPr="0084034F">
        <w:tab/>
        <w:t xml:space="preserve">See annex III (A/HRC/36/54 and Corr.1, paras. </w:t>
      </w:r>
      <w:r>
        <w:t>85–94, and A/HRC/39/63, paras. 85–86).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E7C74" w14:textId="77777777" w:rsidR="00925C2B" w:rsidRPr="006732F3" w:rsidRDefault="00111CA4">
    <w:pPr>
      <w:pStyle w:val="Header"/>
    </w:pPr>
    <w:fldSimple w:instr=" TITLE  \* MERGEFORMAT ">
      <w:r w:rsidR="00925C2B">
        <w:t>A/HRC/48/CRP.1</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9D546" w14:textId="77777777" w:rsidR="00925C2B" w:rsidRPr="006732F3" w:rsidRDefault="00111CA4" w:rsidP="006732F3">
    <w:pPr>
      <w:pStyle w:val="Header"/>
      <w:jc w:val="right"/>
    </w:pPr>
    <w:fldSimple w:instr=" TITLE  \* MERGEFORMAT ">
      <w:r w:rsidR="00925C2B">
        <w:t>A/HRC/48/CRP.1</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7690"/>
    <w:multiLevelType w:val="hybridMultilevel"/>
    <w:tmpl w:val="E4648A78"/>
    <w:lvl w:ilvl="0" w:tplc="08090015">
      <w:start w:val="7"/>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22F37590"/>
    <w:multiLevelType w:val="hybridMultilevel"/>
    <w:tmpl w:val="8E5CF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7B40EA"/>
    <w:multiLevelType w:val="hybridMultilevel"/>
    <w:tmpl w:val="C55AB1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DA1739"/>
    <w:multiLevelType w:val="hybridMultilevel"/>
    <w:tmpl w:val="F2E4C34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807261C"/>
    <w:multiLevelType w:val="hybridMultilevel"/>
    <w:tmpl w:val="BD76F37C"/>
    <w:lvl w:ilvl="0" w:tplc="20000017">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1BD0F29"/>
    <w:multiLevelType w:val="hybridMultilevel"/>
    <w:tmpl w:val="107A915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C8625E"/>
    <w:multiLevelType w:val="hybridMultilevel"/>
    <w:tmpl w:val="F76A4B14"/>
    <w:lvl w:ilvl="0" w:tplc="08090019">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9"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F34C41"/>
    <w:multiLevelType w:val="hybridMultilevel"/>
    <w:tmpl w:val="2A9040EA"/>
    <w:lvl w:ilvl="0" w:tplc="08090015">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3B02EB"/>
    <w:multiLevelType w:val="hybridMultilevel"/>
    <w:tmpl w:val="3E52419E"/>
    <w:lvl w:ilvl="0" w:tplc="08306064">
      <w:start w:val="493"/>
      <w:numFmt w:val="decimal"/>
      <w:pStyle w:val="SingleTxtG-Withnumbering"/>
      <w:lvlText w:val="%1."/>
      <w:lvlJc w:val="left"/>
      <w:pPr>
        <w:ind w:left="1920" w:hanging="360"/>
      </w:pPr>
      <w:rPr>
        <w:rFonts w:hint="default"/>
        <w:b w:val="0"/>
        <w:i w:val="0"/>
        <w:sz w:val="20"/>
        <w:szCs w:val="20"/>
        <w:vertAlign w:val="baseline"/>
      </w:rPr>
    </w:lvl>
    <w:lvl w:ilvl="1" w:tplc="F4CCD84C">
      <w:start w:val="1"/>
      <w:numFmt w:val="lowerLetter"/>
      <w:lvlText w:val="(%2)"/>
      <w:lvlJc w:val="left"/>
      <w:pPr>
        <w:ind w:left="3149" w:hanging="510"/>
      </w:pPr>
      <w:rPr>
        <w:rFonts w:hint="default"/>
      </w:rPr>
    </w:lvl>
    <w:lvl w:ilvl="2" w:tplc="0809001B" w:tentative="1">
      <w:start w:val="1"/>
      <w:numFmt w:val="lowerRoman"/>
      <w:lvlText w:val="%3."/>
      <w:lvlJc w:val="right"/>
      <w:pPr>
        <w:ind w:left="3719" w:hanging="180"/>
      </w:pPr>
    </w:lvl>
    <w:lvl w:ilvl="3" w:tplc="0809000F" w:tentative="1">
      <w:start w:val="1"/>
      <w:numFmt w:val="decimal"/>
      <w:lvlText w:val="%4."/>
      <w:lvlJc w:val="left"/>
      <w:pPr>
        <w:ind w:left="4439" w:hanging="360"/>
      </w:pPr>
    </w:lvl>
    <w:lvl w:ilvl="4" w:tplc="08090019" w:tentative="1">
      <w:start w:val="1"/>
      <w:numFmt w:val="lowerLetter"/>
      <w:lvlText w:val="%5."/>
      <w:lvlJc w:val="left"/>
      <w:pPr>
        <w:ind w:left="5159" w:hanging="360"/>
      </w:pPr>
    </w:lvl>
    <w:lvl w:ilvl="5" w:tplc="0809001B" w:tentative="1">
      <w:start w:val="1"/>
      <w:numFmt w:val="lowerRoman"/>
      <w:lvlText w:val="%6."/>
      <w:lvlJc w:val="right"/>
      <w:pPr>
        <w:ind w:left="5879" w:hanging="180"/>
      </w:pPr>
    </w:lvl>
    <w:lvl w:ilvl="6" w:tplc="0809000F" w:tentative="1">
      <w:start w:val="1"/>
      <w:numFmt w:val="decimal"/>
      <w:lvlText w:val="%7."/>
      <w:lvlJc w:val="left"/>
      <w:pPr>
        <w:ind w:left="6599" w:hanging="360"/>
      </w:pPr>
    </w:lvl>
    <w:lvl w:ilvl="7" w:tplc="08090019" w:tentative="1">
      <w:start w:val="1"/>
      <w:numFmt w:val="lowerLetter"/>
      <w:lvlText w:val="%8."/>
      <w:lvlJc w:val="left"/>
      <w:pPr>
        <w:ind w:left="7319" w:hanging="360"/>
      </w:pPr>
    </w:lvl>
    <w:lvl w:ilvl="8" w:tplc="0809001B" w:tentative="1">
      <w:start w:val="1"/>
      <w:numFmt w:val="lowerRoman"/>
      <w:lvlText w:val="%9."/>
      <w:lvlJc w:val="right"/>
      <w:pPr>
        <w:ind w:left="8039" w:hanging="180"/>
      </w:pPr>
    </w:lvl>
  </w:abstractNum>
  <w:num w:numId="1">
    <w:abstractNumId w:val="1"/>
  </w:num>
  <w:num w:numId="2">
    <w:abstractNumId w:val="9"/>
  </w:num>
  <w:num w:numId="3">
    <w:abstractNumId w:val="2"/>
  </w:num>
  <w:num w:numId="4">
    <w:abstractNumId w:val="11"/>
  </w:num>
  <w:num w:numId="5">
    <w:abstractNumId w:val="3"/>
  </w:num>
  <w:num w:numId="6">
    <w:abstractNumId w:val="10"/>
  </w:num>
  <w:num w:numId="7">
    <w:abstractNumId w:val="0"/>
  </w:num>
  <w:num w:numId="8">
    <w:abstractNumId w:val="4"/>
  </w:num>
  <w:num w:numId="9">
    <w:abstractNumId w:val="7"/>
  </w:num>
  <w:num w:numId="10">
    <w:abstractNumId w:val="5"/>
  </w:num>
  <w:num w:numId="11">
    <w:abstractNumId w:val="8"/>
  </w:num>
  <w:num w:numId="12">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5" w:nlCheck="1" w:checkStyle="1"/>
  <w:activeWritingStyle w:appName="MSWord" w:lang="fr-CH" w:vendorID="64" w:dllVersion="6" w:nlCheck="1" w:checkStyle="0"/>
  <w:activeWritingStyle w:appName="MSWord" w:lang="en-GB" w:vendorID="64" w:dllVersion="6" w:nlCheck="1" w:checkStyle="0"/>
  <w:activeWritingStyle w:appName="MSWord" w:lang="fr-FR" w:vendorID="64" w:dllVersion="6" w:nlCheck="1" w:checkStyle="0"/>
  <w:activeWritingStyle w:appName="MSWord" w:lang="en-US" w:vendorID="64" w:dllVersion="6" w:nlCheck="1" w:checkStyle="0"/>
  <w:activeWritingStyle w:appName="MSWord" w:lang="fr-BE" w:vendorID="64" w:dllVersion="6" w:nlCheck="1" w:checkStyle="0"/>
  <w:activeWritingStyle w:appName="MSWord" w:lang="en-CA" w:vendorID="64" w:dllVersion="6" w:nlCheck="1" w:checkStyle="1"/>
  <w:activeWritingStyle w:appName="MSWord" w:lang="fr-CH"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fr-BE"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131078" w:nlCheck="1" w:checkStyle="0"/>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activeWritingStyle w:appName="MSWord" w:lang="en-CA"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2F3"/>
    <w:rsid w:val="0000137E"/>
    <w:rsid w:val="00012AED"/>
    <w:rsid w:val="00013A78"/>
    <w:rsid w:val="00016AC5"/>
    <w:rsid w:val="00020C56"/>
    <w:rsid w:val="00023753"/>
    <w:rsid w:val="00025771"/>
    <w:rsid w:val="000257C1"/>
    <w:rsid w:val="0003055E"/>
    <w:rsid w:val="000321EF"/>
    <w:rsid w:val="0003265D"/>
    <w:rsid w:val="00034A93"/>
    <w:rsid w:val="000400C4"/>
    <w:rsid w:val="000409A6"/>
    <w:rsid w:val="00040EED"/>
    <w:rsid w:val="000435FC"/>
    <w:rsid w:val="00055087"/>
    <w:rsid w:val="00057BC0"/>
    <w:rsid w:val="000601D4"/>
    <w:rsid w:val="000614F5"/>
    <w:rsid w:val="00062F0A"/>
    <w:rsid w:val="000647AB"/>
    <w:rsid w:val="00072791"/>
    <w:rsid w:val="0007457B"/>
    <w:rsid w:val="0008047D"/>
    <w:rsid w:val="0008167F"/>
    <w:rsid w:val="0008548D"/>
    <w:rsid w:val="00094831"/>
    <w:rsid w:val="000A60D1"/>
    <w:rsid w:val="000A69E7"/>
    <w:rsid w:val="000C4F8C"/>
    <w:rsid w:val="000C6611"/>
    <w:rsid w:val="000D1E76"/>
    <w:rsid w:val="000D23DD"/>
    <w:rsid w:val="000D45ED"/>
    <w:rsid w:val="000E03D2"/>
    <w:rsid w:val="000E79FE"/>
    <w:rsid w:val="000F2502"/>
    <w:rsid w:val="000F2DD3"/>
    <w:rsid w:val="000F3295"/>
    <w:rsid w:val="000F370C"/>
    <w:rsid w:val="000F41F2"/>
    <w:rsid w:val="000F5994"/>
    <w:rsid w:val="00103D3F"/>
    <w:rsid w:val="00111CA4"/>
    <w:rsid w:val="0011219D"/>
    <w:rsid w:val="00115164"/>
    <w:rsid w:val="00120D2D"/>
    <w:rsid w:val="00133B7A"/>
    <w:rsid w:val="0013487F"/>
    <w:rsid w:val="001370FA"/>
    <w:rsid w:val="00144D4A"/>
    <w:rsid w:val="0014600D"/>
    <w:rsid w:val="00151A70"/>
    <w:rsid w:val="001536AA"/>
    <w:rsid w:val="00153B2E"/>
    <w:rsid w:val="00156D83"/>
    <w:rsid w:val="00157FCB"/>
    <w:rsid w:val="00160540"/>
    <w:rsid w:val="00160D94"/>
    <w:rsid w:val="00165559"/>
    <w:rsid w:val="00170B05"/>
    <w:rsid w:val="00170BBF"/>
    <w:rsid w:val="00172B99"/>
    <w:rsid w:val="00181F87"/>
    <w:rsid w:val="001860D2"/>
    <w:rsid w:val="00186254"/>
    <w:rsid w:val="00192EEB"/>
    <w:rsid w:val="00193449"/>
    <w:rsid w:val="001972F7"/>
    <w:rsid w:val="001A20FB"/>
    <w:rsid w:val="001A5779"/>
    <w:rsid w:val="001A74F0"/>
    <w:rsid w:val="001B0105"/>
    <w:rsid w:val="001B0A17"/>
    <w:rsid w:val="001B1A75"/>
    <w:rsid w:val="001B3FAC"/>
    <w:rsid w:val="001B4390"/>
    <w:rsid w:val="001B7797"/>
    <w:rsid w:val="001C03C0"/>
    <w:rsid w:val="001C4B8B"/>
    <w:rsid w:val="001C6647"/>
    <w:rsid w:val="001C73A3"/>
    <w:rsid w:val="001E1AFF"/>
    <w:rsid w:val="001E3FEB"/>
    <w:rsid w:val="001E4A02"/>
    <w:rsid w:val="001F1A9A"/>
    <w:rsid w:val="001F1AFA"/>
    <w:rsid w:val="001F319B"/>
    <w:rsid w:val="002029BD"/>
    <w:rsid w:val="00203B81"/>
    <w:rsid w:val="00205087"/>
    <w:rsid w:val="002071FB"/>
    <w:rsid w:val="002152E3"/>
    <w:rsid w:val="002156BB"/>
    <w:rsid w:val="00216884"/>
    <w:rsid w:val="00224CEE"/>
    <w:rsid w:val="00245829"/>
    <w:rsid w:val="002508B4"/>
    <w:rsid w:val="00251C07"/>
    <w:rsid w:val="00253CDC"/>
    <w:rsid w:val="002560B3"/>
    <w:rsid w:val="00260107"/>
    <w:rsid w:val="00263433"/>
    <w:rsid w:val="002659F1"/>
    <w:rsid w:val="002747D4"/>
    <w:rsid w:val="00281ED1"/>
    <w:rsid w:val="00287165"/>
    <w:rsid w:val="00287E79"/>
    <w:rsid w:val="002928F9"/>
    <w:rsid w:val="00294E7A"/>
    <w:rsid w:val="002A03F1"/>
    <w:rsid w:val="002A212D"/>
    <w:rsid w:val="002A4135"/>
    <w:rsid w:val="002A4D7A"/>
    <w:rsid w:val="002A5A0E"/>
    <w:rsid w:val="002A5D07"/>
    <w:rsid w:val="002A6CD9"/>
    <w:rsid w:val="002A7986"/>
    <w:rsid w:val="002B032A"/>
    <w:rsid w:val="002B04A1"/>
    <w:rsid w:val="002B28EE"/>
    <w:rsid w:val="002B4C3F"/>
    <w:rsid w:val="002B50E2"/>
    <w:rsid w:val="002C02F1"/>
    <w:rsid w:val="002C2D92"/>
    <w:rsid w:val="002C5CB4"/>
    <w:rsid w:val="002C7DD5"/>
    <w:rsid w:val="002E39C6"/>
    <w:rsid w:val="002E3B4D"/>
    <w:rsid w:val="003016B7"/>
    <w:rsid w:val="0030171A"/>
    <w:rsid w:val="003027B1"/>
    <w:rsid w:val="00305360"/>
    <w:rsid w:val="00306187"/>
    <w:rsid w:val="00320ED6"/>
    <w:rsid w:val="0032673C"/>
    <w:rsid w:val="00332C6D"/>
    <w:rsid w:val="00333E91"/>
    <w:rsid w:val="00342A71"/>
    <w:rsid w:val="00345A5C"/>
    <w:rsid w:val="003515AA"/>
    <w:rsid w:val="003724B4"/>
    <w:rsid w:val="00374106"/>
    <w:rsid w:val="00377611"/>
    <w:rsid w:val="0037787B"/>
    <w:rsid w:val="003800E1"/>
    <w:rsid w:val="0038365E"/>
    <w:rsid w:val="00384271"/>
    <w:rsid w:val="00392B50"/>
    <w:rsid w:val="00394A72"/>
    <w:rsid w:val="003976D5"/>
    <w:rsid w:val="003B626F"/>
    <w:rsid w:val="003C0DC2"/>
    <w:rsid w:val="003C20B7"/>
    <w:rsid w:val="003C2ED3"/>
    <w:rsid w:val="003C413D"/>
    <w:rsid w:val="003D193B"/>
    <w:rsid w:val="003D33EF"/>
    <w:rsid w:val="003D52B4"/>
    <w:rsid w:val="003D5D72"/>
    <w:rsid w:val="003D6C68"/>
    <w:rsid w:val="003E294C"/>
    <w:rsid w:val="003E6ACD"/>
    <w:rsid w:val="003F77FB"/>
    <w:rsid w:val="00401606"/>
    <w:rsid w:val="004054D3"/>
    <w:rsid w:val="00407928"/>
    <w:rsid w:val="004159D0"/>
    <w:rsid w:val="00423A49"/>
    <w:rsid w:val="0043051E"/>
    <w:rsid w:val="00434623"/>
    <w:rsid w:val="0043628B"/>
    <w:rsid w:val="00440CCE"/>
    <w:rsid w:val="00445D7B"/>
    <w:rsid w:val="0044646E"/>
    <w:rsid w:val="00453816"/>
    <w:rsid w:val="00456A33"/>
    <w:rsid w:val="00481744"/>
    <w:rsid w:val="00481A4A"/>
    <w:rsid w:val="00482630"/>
    <w:rsid w:val="00485573"/>
    <w:rsid w:val="004A02E5"/>
    <w:rsid w:val="004A78EE"/>
    <w:rsid w:val="004B13CE"/>
    <w:rsid w:val="004B2F4D"/>
    <w:rsid w:val="004C0A4D"/>
    <w:rsid w:val="004C25B4"/>
    <w:rsid w:val="004E0ED4"/>
    <w:rsid w:val="004E1BA2"/>
    <w:rsid w:val="004E42C1"/>
    <w:rsid w:val="00501964"/>
    <w:rsid w:val="00502A6B"/>
    <w:rsid w:val="00503A75"/>
    <w:rsid w:val="00506000"/>
    <w:rsid w:val="00506892"/>
    <w:rsid w:val="00515E4C"/>
    <w:rsid w:val="00534028"/>
    <w:rsid w:val="0053644E"/>
    <w:rsid w:val="005445BC"/>
    <w:rsid w:val="005616F5"/>
    <w:rsid w:val="0056340F"/>
    <w:rsid w:val="00563B9D"/>
    <w:rsid w:val="00563FC1"/>
    <w:rsid w:val="005677A1"/>
    <w:rsid w:val="00571F41"/>
    <w:rsid w:val="00576DA8"/>
    <w:rsid w:val="00587052"/>
    <w:rsid w:val="0059006E"/>
    <w:rsid w:val="00590112"/>
    <w:rsid w:val="00590991"/>
    <w:rsid w:val="005914E2"/>
    <w:rsid w:val="00594033"/>
    <w:rsid w:val="005A0C50"/>
    <w:rsid w:val="005A2676"/>
    <w:rsid w:val="005B30AA"/>
    <w:rsid w:val="005B536C"/>
    <w:rsid w:val="005C481C"/>
    <w:rsid w:val="005D46FF"/>
    <w:rsid w:val="005E4B6F"/>
    <w:rsid w:val="005E5D1F"/>
    <w:rsid w:val="005F114B"/>
    <w:rsid w:val="005F240E"/>
    <w:rsid w:val="005F37D9"/>
    <w:rsid w:val="005F3C2D"/>
    <w:rsid w:val="005F4FC3"/>
    <w:rsid w:val="00603A7D"/>
    <w:rsid w:val="00612D48"/>
    <w:rsid w:val="00616B45"/>
    <w:rsid w:val="00617673"/>
    <w:rsid w:val="006354E7"/>
    <w:rsid w:val="00635A8F"/>
    <w:rsid w:val="00635AFA"/>
    <w:rsid w:val="00637AA0"/>
    <w:rsid w:val="006402CD"/>
    <w:rsid w:val="00642C8E"/>
    <w:rsid w:val="006439EC"/>
    <w:rsid w:val="006468DB"/>
    <w:rsid w:val="0066166E"/>
    <w:rsid w:val="006717FE"/>
    <w:rsid w:val="00672CDC"/>
    <w:rsid w:val="006732F3"/>
    <w:rsid w:val="006739B9"/>
    <w:rsid w:val="00675BA1"/>
    <w:rsid w:val="0068434B"/>
    <w:rsid w:val="00684B0A"/>
    <w:rsid w:val="00691F34"/>
    <w:rsid w:val="006A2D92"/>
    <w:rsid w:val="006A4BB1"/>
    <w:rsid w:val="006B4590"/>
    <w:rsid w:val="006C340C"/>
    <w:rsid w:val="006C57E9"/>
    <w:rsid w:val="006C6831"/>
    <w:rsid w:val="006C772D"/>
    <w:rsid w:val="006D65A8"/>
    <w:rsid w:val="006D683C"/>
    <w:rsid w:val="006E2D45"/>
    <w:rsid w:val="006F279A"/>
    <w:rsid w:val="0070347C"/>
    <w:rsid w:val="00705660"/>
    <w:rsid w:val="0070578F"/>
    <w:rsid w:val="00706E3E"/>
    <w:rsid w:val="00710531"/>
    <w:rsid w:val="00711E2A"/>
    <w:rsid w:val="007213D8"/>
    <w:rsid w:val="007245EE"/>
    <w:rsid w:val="00724A09"/>
    <w:rsid w:val="007273A4"/>
    <w:rsid w:val="007338B1"/>
    <w:rsid w:val="00734408"/>
    <w:rsid w:val="0074599A"/>
    <w:rsid w:val="00753E88"/>
    <w:rsid w:val="00757464"/>
    <w:rsid w:val="00757B26"/>
    <w:rsid w:val="007602DF"/>
    <w:rsid w:val="00771643"/>
    <w:rsid w:val="00775AAE"/>
    <w:rsid w:val="00782284"/>
    <w:rsid w:val="007936F4"/>
    <w:rsid w:val="00794671"/>
    <w:rsid w:val="007A1E59"/>
    <w:rsid w:val="007A41B2"/>
    <w:rsid w:val="007A54C2"/>
    <w:rsid w:val="007B03AE"/>
    <w:rsid w:val="007B0ABE"/>
    <w:rsid w:val="007B3C5A"/>
    <w:rsid w:val="007B4AD1"/>
    <w:rsid w:val="007C28A9"/>
    <w:rsid w:val="007C395C"/>
    <w:rsid w:val="007C4DE9"/>
    <w:rsid w:val="007D0302"/>
    <w:rsid w:val="007D30F7"/>
    <w:rsid w:val="007D4BB7"/>
    <w:rsid w:val="007D5EE0"/>
    <w:rsid w:val="007D6571"/>
    <w:rsid w:val="007D68A6"/>
    <w:rsid w:val="007E5390"/>
    <w:rsid w:val="007E6054"/>
    <w:rsid w:val="007F3C8F"/>
    <w:rsid w:val="008014A1"/>
    <w:rsid w:val="00803EAD"/>
    <w:rsid w:val="00810734"/>
    <w:rsid w:val="0081197C"/>
    <w:rsid w:val="00816486"/>
    <w:rsid w:val="008164EA"/>
    <w:rsid w:val="00820177"/>
    <w:rsid w:val="00821019"/>
    <w:rsid w:val="00825BE3"/>
    <w:rsid w:val="008268E0"/>
    <w:rsid w:val="00830825"/>
    <w:rsid w:val="00835C3A"/>
    <w:rsid w:val="00843CDF"/>
    <w:rsid w:val="00844750"/>
    <w:rsid w:val="00845710"/>
    <w:rsid w:val="00846823"/>
    <w:rsid w:val="00850992"/>
    <w:rsid w:val="00850FE2"/>
    <w:rsid w:val="008520C6"/>
    <w:rsid w:val="00852F23"/>
    <w:rsid w:val="0085554F"/>
    <w:rsid w:val="00871DD3"/>
    <w:rsid w:val="00876D5C"/>
    <w:rsid w:val="00877C1B"/>
    <w:rsid w:val="008810C8"/>
    <w:rsid w:val="0088312E"/>
    <w:rsid w:val="008863B1"/>
    <w:rsid w:val="008921DD"/>
    <w:rsid w:val="0089221D"/>
    <w:rsid w:val="00893C9E"/>
    <w:rsid w:val="0089595B"/>
    <w:rsid w:val="00895C12"/>
    <w:rsid w:val="008960DC"/>
    <w:rsid w:val="008A01AE"/>
    <w:rsid w:val="008A737B"/>
    <w:rsid w:val="008B09FE"/>
    <w:rsid w:val="008B4356"/>
    <w:rsid w:val="008B5639"/>
    <w:rsid w:val="008C14BB"/>
    <w:rsid w:val="008C22D8"/>
    <w:rsid w:val="008D14DA"/>
    <w:rsid w:val="008D1F72"/>
    <w:rsid w:val="008E37C1"/>
    <w:rsid w:val="008E7623"/>
    <w:rsid w:val="008E7FAE"/>
    <w:rsid w:val="008F057C"/>
    <w:rsid w:val="008F4811"/>
    <w:rsid w:val="008F5488"/>
    <w:rsid w:val="009112CA"/>
    <w:rsid w:val="00911BF7"/>
    <w:rsid w:val="00923D20"/>
    <w:rsid w:val="00925C2B"/>
    <w:rsid w:val="00926EA2"/>
    <w:rsid w:val="009310B9"/>
    <w:rsid w:val="00932FAB"/>
    <w:rsid w:val="00934B40"/>
    <w:rsid w:val="00944033"/>
    <w:rsid w:val="00950F51"/>
    <w:rsid w:val="009551A0"/>
    <w:rsid w:val="00963827"/>
    <w:rsid w:val="0096714A"/>
    <w:rsid w:val="0096732B"/>
    <w:rsid w:val="00974626"/>
    <w:rsid w:val="00977EC8"/>
    <w:rsid w:val="00981E71"/>
    <w:rsid w:val="009822D4"/>
    <w:rsid w:val="0099195A"/>
    <w:rsid w:val="009932C0"/>
    <w:rsid w:val="009966C0"/>
    <w:rsid w:val="009A0596"/>
    <w:rsid w:val="009A5DF2"/>
    <w:rsid w:val="009A6BFD"/>
    <w:rsid w:val="009B74D2"/>
    <w:rsid w:val="009C1E6C"/>
    <w:rsid w:val="009C5966"/>
    <w:rsid w:val="009C6993"/>
    <w:rsid w:val="009D3A8C"/>
    <w:rsid w:val="009E7956"/>
    <w:rsid w:val="009F6945"/>
    <w:rsid w:val="00A00A34"/>
    <w:rsid w:val="00A06BBB"/>
    <w:rsid w:val="00A12AF8"/>
    <w:rsid w:val="00A14728"/>
    <w:rsid w:val="00A14856"/>
    <w:rsid w:val="00A14C20"/>
    <w:rsid w:val="00A17677"/>
    <w:rsid w:val="00A2492E"/>
    <w:rsid w:val="00A2532F"/>
    <w:rsid w:val="00A314F3"/>
    <w:rsid w:val="00A32F3C"/>
    <w:rsid w:val="00A3520A"/>
    <w:rsid w:val="00A41FCA"/>
    <w:rsid w:val="00A4481C"/>
    <w:rsid w:val="00A53004"/>
    <w:rsid w:val="00A551DA"/>
    <w:rsid w:val="00A62E37"/>
    <w:rsid w:val="00A6387A"/>
    <w:rsid w:val="00A63BBD"/>
    <w:rsid w:val="00A6655C"/>
    <w:rsid w:val="00A7093C"/>
    <w:rsid w:val="00A8374C"/>
    <w:rsid w:val="00A84C4B"/>
    <w:rsid w:val="00A86AC9"/>
    <w:rsid w:val="00A8729C"/>
    <w:rsid w:val="00A954DF"/>
    <w:rsid w:val="00A970CF"/>
    <w:rsid w:val="00AA50A1"/>
    <w:rsid w:val="00AB22BC"/>
    <w:rsid w:val="00AB23EB"/>
    <w:rsid w:val="00AB6C6B"/>
    <w:rsid w:val="00AC08FB"/>
    <w:rsid w:val="00AC47AD"/>
    <w:rsid w:val="00AC5898"/>
    <w:rsid w:val="00AC7977"/>
    <w:rsid w:val="00AD4BD8"/>
    <w:rsid w:val="00AE24EF"/>
    <w:rsid w:val="00AE352C"/>
    <w:rsid w:val="00AE3B62"/>
    <w:rsid w:val="00AE55C5"/>
    <w:rsid w:val="00AE5C9A"/>
    <w:rsid w:val="00AF3D9B"/>
    <w:rsid w:val="00AF591A"/>
    <w:rsid w:val="00AF5FAA"/>
    <w:rsid w:val="00AF622D"/>
    <w:rsid w:val="00AF729B"/>
    <w:rsid w:val="00B13A56"/>
    <w:rsid w:val="00B32AA5"/>
    <w:rsid w:val="00B32E2D"/>
    <w:rsid w:val="00B34160"/>
    <w:rsid w:val="00B34CF1"/>
    <w:rsid w:val="00B350F2"/>
    <w:rsid w:val="00B463C3"/>
    <w:rsid w:val="00B50462"/>
    <w:rsid w:val="00B506EC"/>
    <w:rsid w:val="00B61990"/>
    <w:rsid w:val="00B63BD5"/>
    <w:rsid w:val="00B721B6"/>
    <w:rsid w:val="00B76B6F"/>
    <w:rsid w:val="00B7758D"/>
    <w:rsid w:val="00B851C3"/>
    <w:rsid w:val="00B85477"/>
    <w:rsid w:val="00B85DAA"/>
    <w:rsid w:val="00B93C84"/>
    <w:rsid w:val="00B93E74"/>
    <w:rsid w:val="00B9542A"/>
    <w:rsid w:val="00B9642C"/>
    <w:rsid w:val="00BA4871"/>
    <w:rsid w:val="00BB64C3"/>
    <w:rsid w:val="00BC08F9"/>
    <w:rsid w:val="00BD2637"/>
    <w:rsid w:val="00BE082C"/>
    <w:rsid w:val="00BE28D3"/>
    <w:rsid w:val="00BE2A8E"/>
    <w:rsid w:val="00BF0556"/>
    <w:rsid w:val="00BF2C07"/>
    <w:rsid w:val="00C01F22"/>
    <w:rsid w:val="00C06B8D"/>
    <w:rsid w:val="00C13828"/>
    <w:rsid w:val="00C14538"/>
    <w:rsid w:val="00C15378"/>
    <w:rsid w:val="00C24391"/>
    <w:rsid w:val="00C2496D"/>
    <w:rsid w:val="00C261F8"/>
    <w:rsid w:val="00C262BA"/>
    <w:rsid w:val="00C323D5"/>
    <w:rsid w:val="00C34191"/>
    <w:rsid w:val="00C364A0"/>
    <w:rsid w:val="00C401E5"/>
    <w:rsid w:val="00C44FA8"/>
    <w:rsid w:val="00C52168"/>
    <w:rsid w:val="00C54937"/>
    <w:rsid w:val="00C5582A"/>
    <w:rsid w:val="00C57F95"/>
    <w:rsid w:val="00C60FCA"/>
    <w:rsid w:val="00C62AA4"/>
    <w:rsid w:val="00C717E0"/>
    <w:rsid w:val="00C821D1"/>
    <w:rsid w:val="00C9184D"/>
    <w:rsid w:val="00C94C1B"/>
    <w:rsid w:val="00C9569F"/>
    <w:rsid w:val="00CA0D0D"/>
    <w:rsid w:val="00CA557A"/>
    <w:rsid w:val="00CB187A"/>
    <w:rsid w:val="00CB3D5A"/>
    <w:rsid w:val="00CB62E2"/>
    <w:rsid w:val="00CC1E4C"/>
    <w:rsid w:val="00CC4CC3"/>
    <w:rsid w:val="00CD022E"/>
    <w:rsid w:val="00CD0F67"/>
    <w:rsid w:val="00CD1A71"/>
    <w:rsid w:val="00CD1FBB"/>
    <w:rsid w:val="00CD7679"/>
    <w:rsid w:val="00CE2A9C"/>
    <w:rsid w:val="00CE5AFE"/>
    <w:rsid w:val="00CE61B8"/>
    <w:rsid w:val="00CE7B8F"/>
    <w:rsid w:val="00CF6E64"/>
    <w:rsid w:val="00D016B5"/>
    <w:rsid w:val="00D034F1"/>
    <w:rsid w:val="00D0395B"/>
    <w:rsid w:val="00D121C0"/>
    <w:rsid w:val="00D12639"/>
    <w:rsid w:val="00D17296"/>
    <w:rsid w:val="00D24B39"/>
    <w:rsid w:val="00D27151"/>
    <w:rsid w:val="00D27D5E"/>
    <w:rsid w:val="00D37C73"/>
    <w:rsid w:val="00D42D6E"/>
    <w:rsid w:val="00D42E42"/>
    <w:rsid w:val="00D4414B"/>
    <w:rsid w:val="00D45DC5"/>
    <w:rsid w:val="00D46CFB"/>
    <w:rsid w:val="00D50BE9"/>
    <w:rsid w:val="00D542EE"/>
    <w:rsid w:val="00D56558"/>
    <w:rsid w:val="00D57021"/>
    <w:rsid w:val="00D5736D"/>
    <w:rsid w:val="00D57A07"/>
    <w:rsid w:val="00D622AD"/>
    <w:rsid w:val="00D64E39"/>
    <w:rsid w:val="00D650AB"/>
    <w:rsid w:val="00D710AC"/>
    <w:rsid w:val="00D72ADB"/>
    <w:rsid w:val="00D72E7E"/>
    <w:rsid w:val="00D73D58"/>
    <w:rsid w:val="00D75973"/>
    <w:rsid w:val="00D76BAD"/>
    <w:rsid w:val="00D81EE8"/>
    <w:rsid w:val="00D829DE"/>
    <w:rsid w:val="00D87F7B"/>
    <w:rsid w:val="00D9201F"/>
    <w:rsid w:val="00D96434"/>
    <w:rsid w:val="00DA1302"/>
    <w:rsid w:val="00DA2C8D"/>
    <w:rsid w:val="00DA3718"/>
    <w:rsid w:val="00DB05AA"/>
    <w:rsid w:val="00DC3CB9"/>
    <w:rsid w:val="00DC7672"/>
    <w:rsid w:val="00DD70EF"/>
    <w:rsid w:val="00DE2AF1"/>
    <w:rsid w:val="00DE6D90"/>
    <w:rsid w:val="00DF002F"/>
    <w:rsid w:val="00DF1D63"/>
    <w:rsid w:val="00E0244D"/>
    <w:rsid w:val="00E02B24"/>
    <w:rsid w:val="00E102B6"/>
    <w:rsid w:val="00E12226"/>
    <w:rsid w:val="00E13464"/>
    <w:rsid w:val="00E17D62"/>
    <w:rsid w:val="00E26D6F"/>
    <w:rsid w:val="00E32AF5"/>
    <w:rsid w:val="00E33368"/>
    <w:rsid w:val="00E4386A"/>
    <w:rsid w:val="00E44FBF"/>
    <w:rsid w:val="00E53A1D"/>
    <w:rsid w:val="00E63335"/>
    <w:rsid w:val="00E666BD"/>
    <w:rsid w:val="00E773B1"/>
    <w:rsid w:val="00E81E94"/>
    <w:rsid w:val="00E82607"/>
    <w:rsid w:val="00E82F13"/>
    <w:rsid w:val="00E85335"/>
    <w:rsid w:val="00EA04A9"/>
    <w:rsid w:val="00EA0F0E"/>
    <w:rsid w:val="00EA2EDE"/>
    <w:rsid w:val="00EA3D8A"/>
    <w:rsid w:val="00EA627C"/>
    <w:rsid w:val="00EB2996"/>
    <w:rsid w:val="00EB3945"/>
    <w:rsid w:val="00EB411D"/>
    <w:rsid w:val="00EB7262"/>
    <w:rsid w:val="00EC460E"/>
    <w:rsid w:val="00EC53E2"/>
    <w:rsid w:val="00ED1BF6"/>
    <w:rsid w:val="00EE4C91"/>
    <w:rsid w:val="00EE6C2E"/>
    <w:rsid w:val="00EF4931"/>
    <w:rsid w:val="00F02CB0"/>
    <w:rsid w:val="00F22103"/>
    <w:rsid w:val="00F41948"/>
    <w:rsid w:val="00F42631"/>
    <w:rsid w:val="00F445FA"/>
    <w:rsid w:val="00F46DC1"/>
    <w:rsid w:val="00F55128"/>
    <w:rsid w:val="00F576D2"/>
    <w:rsid w:val="00F57F41"/>
    <w:rsid w:val="00F622D8"/>
    <w:rsid w:val="00F65511"/>
    <w:rsid w:val="00F70344"/>
    <w:rsid w:val="00F72951"/>
    <w:rsid w:val="00F72C41"/>
    <w:rsid w:val="00F7318D"/>
    <w:rsid w:val="00F77084"/>
    <w:rsid w:val="00F77707"/>
    <w:rsid w:val="00F77D6B"/>
    <w:rsid w:val="00F81571"/>
    <w:rsid w:val="00F824A3"/>
    <w:rsid w:val="00F83946"/>
    <w:rsid w:val="00F90055"/>
    <w:rsid w:val="00F933B4"/>
    <w:rsid w:val="00FA45AB"/>
    <w:rsid w:val="00FA4922"/>
    <w:rsid w:val="00FA5A79"/>
    <w:rsid w:val="00FB06DD"/>
    <w:rsid w:val="00FB09E3"/>
    <w:rsid w:val="00FB0BFE"/>
    <w:rsid w:val="00FB4C51"/>
    <w:rsid w:val="00FC3112"/>
    <w:rsid w:val="00FC7026"/>
    <w:rsid w:val="00FC7988"/>
    <w:rsid w:val="00FE05EB"/>
    <w:rsid w:val="00FE2054"/>
    <w:rsid w:val="00FF07B1"/>
    <w:rsid w:val="00FF1DBD"/>
    <w:rsid w:val="00FF7160"/>
    <w:rsid w:val="00FF78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0D5C6F6C"/>
  <w15:docId w15:val="{9FD1496F-D1C9-4215-A527-E3AA91619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671"/>
    <w:rPr>
      <w:lang w:val="fr-CH" w:eastAsia="en-US"/>
    </w:rPr>
  </w:style>
  <w:style w:type="paragraph" w:styleId="Heading1">
    <w:name w:val="heading 1"/>
    <w:aliases w:val="Table_G"/>
    <w:basedOn w:val="SingleTxtG"/>
    <w:next w:val="SingleTxtG"/>
    <w:link w:val="Heading1Char"/>
    <w:qFormat/>
    <w:rsid w:val="0008167F"/>
    <w:pPr>
      <w:spacing w:after="0"/>
      <w:ind w:right="0"/>
      <w:jc w:val="left"/>
      <w:outlineLvl w:val="0"/>
    </w:pPr>
  </w:style>
  <w:style w:type="paragraph" w:styleId="Heading2">
    <w:name w:val="heading 2"/>
    <w:basedOn w:val="Normal"/>
    <w:next w:val="Normal"/>
    <w:link w:val="Heading2Char"/>
    <w:qFormat/>
    <w:rsid w:val="0008167F"/>
    <w:pPr>
      <w:outlineLvl w:val="1"/>
    </w:pPr>
    <w:rPr>
      <w:lang w:val="en-GB"/>
    </w:rPr>
  </w:style>
  <w:style w:type="paragraph" w:styleId="Heading3">
    <w:name w:val="heading 3"/>
    <w:basedOn w:val="Normal"/>
    <w:next w:val="Normal"/>
    <w:link w:val="Heading3Char"/>
    <w:qFormat/>
    <w:rsid w:val="0008167F"/>
    <w:pPr>
      <w:outlineLvl w:val="2"/>
    </w:pPr>
    <w:rPr>
      <w:lang w:val="en-GB"/>
    </w:rPr>
  </w:style>
  <w:style w:type="paragraph" w:styleId="Heading4">
    <w:name w:val="heading 4"/>
    <w:basedOn w:val="Normal"/>
    <w:next w:val="Normal"/>
    <w:link w:val="Heading4Char"/>
    <w:semiHidden/>
    <w:qFormat/>
    <w:rsid w:val="0008167F"/>
    <w:pPr>
      <w:outlineLvl w:val="3"/>
    </w:pPr>
    <w:rPr>
      <w:lang w:val="en-GB"/>
    </w:rPr>
  </w:style>
  <w:style w:type="paragraph" w:styleId="Heading5">
    <w:name w:val="heading 5"/>
    <w:basedOn w:val="Normal"/>
    <w:next w:val="Normal"/>
    <w:link w:val="Heading5Char"/>
    <w:semiHidden/>
    <w:qFormat/>
    <w:rsid w:val="0008167F"/>
    <w:pPr>
      <w:outlineLvl w:val="4"/>
    </w:pPr>
    <w:rPr>
      <w:lang w:val="en-GB"/>
    </w:rPr>
  </w:style>
  <w:style w:type="paragraph" w:styleId="Heading6">
    <w:name w:val="heading 6"/>
    <w:basedOn w:val="Normal"/>
    <w:next w:val="Normal"/>
    <w:link w:val="Heading6Char"/>
    <w:semiHidden/>
    <w:qFormat/>
    <w:rsid w:val="0008167F"/>
    <w:pPr>
      <w:outlineLvl w:val="5"/>
    </w:pPr>
    <w:rPr>
      <w:lang w:val="en-GB"/>
    </w:rPr>
  </w:style>
  <w:style w:type="paragraph" w:styleId="Heading7">
    <w:name w:val="heading 7"/>
    <w:basedOn w:val="Normal"/>
    <w:next w:val="Normal"/>
    <w:link w:val="Heading7Char"/>
    <w:semiHidden/>
    <w:qFormat/>
    <w:rsid w:val="0008167F"/>
    <w:pPr>
      <w:outlineLvl w:val="6"/>
    </w:pPr>
    <w:rPr>
      <w:lang w:val="en-GB"/>
    </w:rPr>
  </w:style>
  <w:style w:type="paragraph" w:styleId="Heading8">
    <w:name w:val="heading 8"/>
    <w:basedOn w:val="Normal"/>
    <w:next w:val="Normal"/>
    <w:link w:val="Heading8Char"/>
    <w:semiHidden/>
    <w:qFormat/>
    <w:rsid w:val="0008167F"/>
    <w:pPr>
      <w:outlineLvl w:val="7"/>
    </w:pPr>
    <w:rPr>
      <w:lang w:val="en-GB"/>
    </w:rPr>
  </w:style>
  <w:style w:type="paragraph" w:styleId="Heading9">
    <w:name w:val="heading 9"/>
    <w:basedOn w:val="Normal"/>
    <w:next w:val="Normal"/>
    <w:link w:val="Heading9Char"/>
    <w:semiHidden/>
    <w:qFormat/>
    <w:rsid w:val="0008167F"/>
    <w:pPr>
      <w:outlineLvl w:val="8"/>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qFormat/>
    <w:rsid w:val="00794671"/>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794671"/>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08167F"/>
    <w:pPr>
      <w:keepNext/>
      <w:keepLines/>
      <w:tabs>
        <w:tab w:val="right" w:pos="851"/>
      </w:tabs>
      <w:spacing w:before="360" w:after="240" w:line="270" w:lineRule="exact"/>
      <w:ind w:left="1134" w:right="1134" w:hanging="1134"/>
    </w:pPr>
    <w:rPr>
      <w:b/>
      <w:sz w:val="24"/>
      <w:lang w:val="en-GB"/>
    </w:rPr>
  </w:style>
  <w:style w:type="paragraph" w:customStyle="1" w:styleId="H23G">
    <w:name w:val="_ H_2/3_G"/>
    <w:basedOn w:val="Normal"/>
    <w:next w:val="Normal"/>
    <w:qFormat/>
    <w:rsid w:val="00794671"/>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94671"/>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94671"/>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794671"/>
    <w:pPr>
      <w:spacing w:after="120"/>
      <w:ind w:left="1134" w:right="1134"/>
      <w:jc w:val="both"/>
    </w:pPr>
  </w:style>
  <w:style w:type="paragraph" w:customStyle="1" w:styleId="SLG">
    <w:name w:val="__S_L_G"/>
    <w:basedOn w:val="Normal"/>
    <w:next w:val="Normal"/>
    <w:rsid w:val="00794671"/>
    <w:pPr>
      <w:keepNext/>
      <w:keepLines/>
      <w:spacing w:before="240" w:after="240" w:line="580" w:lineRule="exact"/>
      <w:ind w:left="1134" w:right="1134"/>
    </w:pPr>
    <w:rPr>
      <w:b/>
      <w:sz w:val="56"/>
    </w:rPr>
  </w:style>
  <w:style w:type="paragraph" w:customStyle="1" w:styleId="SMG">
    <w:name w:val="__S_M_G"/>
    <w:basedOn w:val="Normal"/>
    <w:next w:val="Normal"/>
    <w:rsid w:val="00794671"/>
    <w:pPr>
      <w:keepNext/>
      <w:keepLines/>
      <w:spacing w:before="240" w:after="240" w:line="420" w:lineRule="exact"/>
      <w:ind w:left="1134" w:right="1134"/>
    </w:pPr>
    <w:rPr>
      <w:b/>
      <w:sz w:val="40"/>
    </w:rPr>
  </w:style>
  <w:style w:type="paragraph" w:customStyle="1" w:styleId="SSG">
    <w:name w:val="__S_S_G"/>
    <w:basedOn w:val="Normal"/>
    <w:next w:val="Normal"/>
    <w:rsid w:val="00794671"/>
    <w:pPr>
      <w:keepNext/>
      <w:keepLines/>
      <w:spacing w:before="240" w:after="240" w:line="300" w:lineRule="exact"/>
      <w:ind w:left="1134" w:right="1134"/>
    </w:pPr>
    <w:rPr>
      <w:b/>
      <w:sz w:val="28"/>
    </w:rPr>
  </w:style>
  <w:style w:type="paragraph" w:customStyle="1" w:styleId="XLargeG">
    <w:name w:val="__XLarge_G"/>
    <w:basedOn w:val="Normal"/>
    <w:next w:val="Normal"/>
    <w:rsid w:val="00794671"/>
    <w:pPr>
      <w:keepNext/>
      <w:keepLines/>
      <w:spacing w:before="240" w:after="240" w:line="420" w:lineRule="exact"/>
      <w:ind w:left="1134" w:right="1134"/>
    </w:pPr>
    <w:rPr>
      <w:b/>
      <w:sz w:val="40"/>
    </w:rPr>
  </w:style>
  <w:style w:type="paragraph" w:customStyle="1" w:styleId="Bullet1G">
    <w:name w:val="_Bullet 1_G"/>
    <w:basedOn w:val="Normal"/>
    <w:qFormat/>
    <w:rsid w:val="00794671"/>
    <w:pPr>
      <w:numPr>
        <w:numId w:val="1"/>
      </w:numPr>
      <w:spacing w:after="120"/>
      <w:ind w:right="1134"/>
      <w:jc w:val="both"/>
    </w:pPr>
  </w:style>
  <w:style w:type="paragraph" w:customStyle="1" w:styleId="Bullet2G">
    <w:name w:val="_Bullet 2_G"/>
    <w:basedOn w:val="Normal"/>
    <w:qFormat/>
    <w:rsid w:val="00794671"/>
    <w:pPr>
      <w:numPr>
        <w:numId w:val="2"/>
      </w:numPr>
      <w:spacing w:after="120"/>
      <w:ind w:right="1134"/>
      <w:jc w:val="both"/>
    </w:pPr>
  </w:style>
  <w:style w:type="character" w:styleId="FootnoteReference">
    <w:name w:val="footnote reference"/>
    <w:aliases w:val="4_G,4_G Char Char,ftref,Знак сноски 1,16 Point,Superscript 6 Point,Car Car Char Car Char Car Car Char Car Char Char,Car Car Car Car Car Car Car Car Char Car Car Char Car Car Car Char Car Char Char Char,BVI fnr,Ref,de nota al pie"/>
    <w:basedOn w:val="DefaultParagraphFont"/>
    <w:qFormat/>
    <w:rsid w:val="0008167F"/>
    <w:rPr>
      <w:rFonts w:ascii="Times New Roman" w:hAnsi="Times New Roman"/>
      <w:sz w:val="18"/>
      <w:vertAlign w:val="superscript"/>
    </w:rPr>
  </w:style>
  <w:style w:type="character" w:styleId="EndnoteReference">
    <w:name w:val="endnote reference"/>
    <w:aliases w:val="1_G"/>
    <w:basedOn w:val="FootnoteReference"/>
    <w:qFormat/>
    <w:rsid w:val="00794671"/>
    <w:rPr>
      <w:rFonts w:ascii="Times New Roman" w:hAnsi="Times New Roman"/>
      <w:sz w:val="18"/>
      <w:vertAlign w:val="superscript"/>
      <w:lang w:val="fr-CH"/>
    </w:rPr>
  </w:style>
  <w:style w:type="paragraph" w:styleId="Header">
    <w:name w:val="header"/>
    <w:aliases w:val="6_G"/>
    <w:basedOn w:val="Normal"/>
    <w:link w:val="HeaderChar"/>
    <w:rsid w:val="0008167F"/>
    <w:pPr>
      <w:pBdr>
        <w:bottom w:val="single" w:sz="4" w:space="4" w:color="auto"/>
      </w:pBdr>
    </w:pPr>
    <w:rPr>
      <w:b/>
      <w:sz w:val="18"/>
      <w:lang w:val="en-GB"/>
    </w:rPr>
  </w:style>
  <w:style w:type="paragraph" w:styleId="FootnoteText">
    <w:name w:val="footnote text"/>
    <w:aliases w:val="5_G,fn,ALTS FOOTNOTE,single space,Footnote Text Quote,FOOTNOTES,Note de bas de page2,Note de bas de page Car Car Car,Note de bas de page Car Car,Note de bas de page Car Car Car2,Char,ft,AD,12pt,Footnote Text Char2 Cha"/>
    <w:basedOn w:val="Normal"/>
    <w:link w:val="FootnoteTextChar"/>
    <w:qFormat/>
    <w:rsid w:val="0008167F"/>
    <w:pPr>
      <w:tabs>
        <w:tab w:val="right" w:pos="1021"/>
      </w:tabs>
      <w:spacing w:line="220" w:lineRule="exact"/>
      <w:ind w:left="1134" w:right="1134" w:hanging="1134"/>
    </w:pPr>
    <w:rPr>
      <w:sz w:val="18"/>
      <w:lang w:val="en-GB"/>
    </w:rPr>
  </w:style>
  <w:style w:type="paragraph" w:styleId="EndnoteText">
    <w:name w:val="endnote text"/>
    <w:aliases w:val="2_G"/>
    <w:basedOn w:val="FootnoteText"/>
    <w:link w:val="EndnoteTextChar"/>
    <w:qFormat/>
    <w:rsid w:val="0008167F"/>
  </w:style>
  <w:style w:type="character" w:styleId="PageNumber">
    <w:name w:val="page number"/>
    <w:aliases w:val="7_G"/>
    <w:basedOn w:val="DefaultParagraphFont"/>
    <w:qFormat/>
    <w:rsid w:val="0008167F"/>
    <w:rPr>
      <w:rFonts w:ascii="Times New Roman" w:hAnsi="Times New Roman"/>
      <w:b/>
      <w:sz w:val="18"/>
    </w:rPr>
  </w:style>
  <w:style w:type="paragraph" w:styleId="Footer">
    <w:name w:val="footer"/>
    <w:aliases w:val="3_G"/>
    <w:basedOn w:val="Normal"/>
    <w:link w:val="FooterChar"/>
    <w:uiPriority w:val="99"/>
    <w:qFormat/>
    <w:rsid w:val="0008167F"/>
    <w:rPr>
      <w:sz w:val="16"/>
      <w:lang w:val="en-GB"/>
    </w:rPr>
  </w:style>
  <w:style w:type="character" w:styleId="Hyperlink">
    <w:name w:val="Hyperlink"/>
    <w:basedOn w:val="DefaultParagraphFont"/>
    <w:rsid w:val="0008167F"/>
    <w:rPr>
      <w:color w:val="auto"/>
      <w:u w:val="none"/>
    </w:rPr>
  </w:style>
  <w:style w:type="character" w:styleId="FollowedHyperlink">
    <w:name w:val="FollowedHyperlink"/>
    <w:basedOn w:val="DefaultParagraphFont"/>
    <w:semiHidden/>
    <w:rsid w:val="0008167F"/>
    <w:rPr>
      <w:color w:val="auto"/>
      <w:u w:val="none"/>
    </w:rPr>
  </w:style>
  <w:style w:type="table" w:styleId="TableGrid">
    <w:name w:val="Table Grid"/>
    <w:basedOn w:val="TableNormal"/>
    <w:rsid w:val="0008167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semiHidden/>
    <w:rsid w:val="006717FE"/>
    <w:rPr>
      <w:rFonts w:ascii="Tahoma" w:hAnsi="Tahoma" w:cs="Tahoma"/>
      <w:sz w:val="16"/>
      <w:szCs w:val="16"/>
    </w:rPr>
  </w:style>
  <w:style w:type="character" w:customStyle="1" w:styleId="BalloonTextChar">
    <w:name w:val="Balloon Text Char"/>
    <w:basedOn w:val="DefaultParagraphFont"/>
    <w:link w:val="BalloonText"/>
    <w:semiHidden/>
    <w:rsid w:val="006717FE"/>
    <w:rPr>
      <w:rFonts w:ascii="Tahoma" w:hAnsi="Tahoma" w:cs="Tahoma"/>
      <w:sz w:val="16"/>
      <w:szCs w:val="16"/>
      <w:lang w:val="fr-CH" w:eastAsia="en-US"/>
    </w:rPr>
  </w:style>
  <w:style w:type="paragraph" w:customStyle="1" w:styleId="ParNoG">
    <w:name w:val="_ParNo_G"/>
    <w:basedOn w:val="SingleTxtG"/>
    <w:qFormat/>
    <w:rsid w:val="007245EE"/>
    <w:pPr>
      <w:numPr>
        <w:numId w:val="3"/>
      </w:numPr>
      <w:kinsoku w:val="0"/>
      <w:overflowPunct w:val="0"/>
      <w:autoSpaceDE w:val="0"/>
      <w:autoSpaceDN w:val="0"/>
      <w:adjustRightInd w:val="0"/>
      <w:snapToGrid w:val="0"/>
    </w:pPr>
  </w:style>
  <w:style w:type="paragraph" w:styleId="ListParagraph">
    <w:name w:val="List Paragraph"/>
    <w:basedOn w:val="Normal"/>
    <w:uiPriority w:val="34"/>
    <w:qFormat/>
    <w:rsid w:val="00E63335"/>
    <w:pPr>
      <w:ind w:left="720"/>
      <w:contextualSpacing/>
    </w:pPr>
    <w:rPr>
      <w:lang w:val="fr-FR"/>
    </w:rPr>
  </w:style>
  <w:style w:type="character" w:customStyle="1" w:styleId="SingleTxtGChar">
    <w:name w:val="_ Single Txt_G Char"/>
    <w:link w:val="SingleTxtG"/>
    <w:locked/>
    <w:rsid w:val="00E63335"/>
    <w:rPr>
      <w:lang w:val="fr-CH" w:eastAsia="en-US"/>
    </w:rPr>
  </w:style>
  <w:style w:type="character" w:customStyle="1" w:styleId="FootnoteTextChar">
    <w:name w:val="Footnote Text Char"/>
    <w:aliases w:val="5_G Char,fn Char,ALTS FOOTNOTE Char,single space Char,Footnote Text Quote Char,FOOTNOTES Char,Note de bas de page2 Char,Note de bas de page Car Car Car Char,Note de bas de page Car Car Char,Note de bas de page Car Car Car2 Char"/>
    <w:basedOn w:val="DefaultParagraphFont"/>
    <w:link w:val="FootnoteText"/>
    <w:rsid w:val="00E63335"/>
    <w:rPr>
      <w:sz w:val="18"/>
      <w:lang w:val="en-GB" w:eastAsia="en-US"/>
    </w:rPr>
  </w:style>
  <w:style w:type="paragraph" w:styleId="NormalWeb">
    <w:name w:val="Normal (Web)"/>
    <w:basedOn w:val="Normal"/>
    <w:uiPriority w:val="99"/>
    <w:unhideWhenUsed/>
    <w:rsid w:val="00E63335"/>
    <w:rPr>
      <w:sz w:val="24"/>
      <w:szCs w:val="24"/>
      <w:lang w:val="fr-FR"/>
    </w:rPr>
  </w:style>
  <w:style w:type="character" w:customStyle="1" w:styleId="A7">
    <w:name w:val="A7"/>
    <w:uiPriority w:val="99"/>
    <w:rsid w:val="00E63335"/>
    <w:rPr>
      <w:color w:val="000000"/>
      <w:sz w:val="16"/>
      <w:szCs w:val="16"/>
    </w:rPr>
  </w:style>
  <w:style w:type="character" w:customStyle="1" w:styleId="HeaderChar">
    <w:name w:val="Header Char"/>
    <w:aliases w:val="6_G Char"/>
    <w:basedOn w:val="DefaultParagraphFont"/>
    <w:link w:val="Header"/>
    <w:rsid w:val="00E63335"/>
    <w:rPr>
      <w:b/>
      <w:sz w:val="18"/>
      <w:lang w:val="en-GB" w:eastAsia="en-US"/>
    </w:rPr>
  </w:style>
  <w:style w:type="character" w:customStyle="1" w:styleId="FooterChar">
    <w:name w:val="Footer Char"/>
    <w:aliases w:val="3_G Char"/>
    <w:basedOn w:val="DefaultParagraphFont"/>
    <w:link w:val="Footer"/>
    <w:uiPriority w:val="99"/>
    <w:rsid w:val="00E63335"/>
    <w:rPr>
      <w:sz w:val="16"/>
      <w:lang w:val="en-GB" w:eastAsia="en-US"/>
    </w:rPr>
  </w:style>
  <w:style w:type="character" w:styleId="CommentReference">
    <w:name w:val="annotation reference"/>
    <w:basedOn w:val="DefaultParagraphFont"/>
    <w:unhideWhenUsed/>
    <w:rsid w:val="00E63335"/>
    <w:rPr>
      <w:sz w:val="16"/>
      <w:szCs w:val="16"/>
    </w:rPr>
  </w:style>
  <w:style w:type="paragraph" w:styleId="CommentText">
    <w:name w:val="annotation text"/>
    <w:basedOn w:val="Normal"/>
    <w:link w:val="CommentTextChar"/>
    <w:unhideWhenUsed/>
    <w:rsid w:val="00E63335"/>
    <w:rPr>
      <w:lang w:val="fr-FR"/>
    </w:rPr>
  </w:style>
  <w:style w:type="character" w:customStyle="1" w:styleId="CommentTextChar">
    <w:name w:val="Comment Text Char"/>
    <w:basedOn w:val="DefaultParagraphFont"/>
    <w:link w:val="CommentText"/>
    <w:rsid w:val="00E63335"/>
    <w:rPr>
      <w:lang w:eastAsia="en-US"/>
    </w:rPr>
  </w:style>
  <w:style w:type="paragraph" w:styleId="CommentSubject">
    <w:name w:val="annotation subject"/>
    <w:basedOn w:val="CommentText"/>
    <w:next w:val="CommentText"/>
    <w:link w:val="CommentSubjectChar"/>
    <w:semiHidden/>
    <w:unhideWhenUsed/>
    <w:rsid w:val="00E63335"/>
    <w:rPr>
      <w:b/>
      <w:bCs/>
    </w:rPr>
  </w:style>
  <w:style w:type="character" w:customStyle="1" w:styleId="CommentSubjectChar">
    <w:name w:val="Comment Subject Char"/>
    <w:basedOn w:val="CommentTextChar"/>
    <w:link w:val="CommentSubject"/>
    <w:semiHidden/>
    <w:rsid w:val="00E63335"/>
    <w:rPr>
      <w:b/>
      <w:bCs/>
      <w:lang w:eastAsia="en-US"/>
    </w:rPr>
  </w:style>
  <w:style w:type="character" w:styleId="Emphasis">
    <w:name w:val="Emphasis"/>
    <w:basedOn w:val="DefaultParagraphFont"/>
    <w:uiPriority w:val="20"/>
    <w:qFormat/>
    <w:rsid w:val="00E63335"/>
    <w:rPr>
      <w:b/>
      <w:bCs/>
      <w:i w:val="0"/>
      <w:iCs w:val="0"/>
    </w:rPr>
  </w:style>
  <w:style w:type="character" w:styleId="Strong">
    <w:name w:val="Strong"/>
    <w:basedOn w:val="DefaultParagraphFont"/>
    <w:uiPriority w:val="22"/>
    <w:qFormat/>
    <w:rsid w:val="00E63335"/>
    <w:rPr>
      <w:b/>
      <w:bCs/>
    </w:rPr>
  </w:style>
  <w:style w:type="character" w:customStyle="1" w:styleId="Heading1Char">
    <w:name w:val="Heading 1 Char"/>
    <w:aliases w:val="Table_G Char"/>
    <w:basedOn w:val="DefaultParagraphFont"/>
    <w:link w:val="Heading1"/>
    <w:rsid w:val="00E63335"/>
    <w:rPr>
      <w:lang w:val="fr-CH" w:eastAsia="en-US"/>
    </w:rPr>
  </w:style>
  <w:style w:type="character" w:customStyle="1" w:styleId="Heading2Char">
    <w:name w:val="Heading 2 Char"/>
    <w:basedOn w:val="DefaultParagraphFont"/>
    <w:link w:val="Heading2"/>
    <w:rsid w:val="00E63335"/>
    <w:rPr>
      <w:lang w:val="en-GB" w:eastAsia="en-US"/>
    </w:rPr>
  </w:style>
  <w:style w:type="character" w:customStyle="1" w:styleId="Heading3Char">
    <w:name w:val="Heading 3 Char"/>
    <w:basedOn w:val="DefaultParagraphFont"/>
    <w:link w:val="Heading3"/>
    <w:rsid w:val="00E63335"/>
    <w:rPr>
      <w:lang w:val="en-GB" w:eastAsia="en-US"/>
    </w:rPr>
  </w:style>
  <w:style w:type="character" w:customStyle="1" w:styleId="Heading4Char">
    <w:name w:val="Heading 4 Char"/>
    <w:basedOn w:val="DefaultParagraphFont"/>
    <w:link w:val="Heading4"/>
    <w:semiHidden/>
    <w:rsid w:val="00E63335"/>
    <w:rPr>
      <w:lang w:val="en-GB" w:eastAsia="en-US"/>
    </w:rPr>
  </w:style>
  <w:style w:type="character" w:customStyle="1" w:styleId="Heading5Char">
    <w:name w:val="Heading 5 Char"/>
    <w:basedOn w:val="DefaultParagraphFont"/>
    <w:link w:val="Heading5"/>
    <w:semiHidden/>
    <w:rsid w:val="00E63335"/>
    <w:rPr>
      <w:lang w:val="en-GB" w:eastAsia="en-US"/>
    </w:rPr>
  </w:style>
  <w:style w:type="character" w:customStyle="1" w:styleId="Heading6Char">
    <w:name w:val="Heading 6 Char"/>
    <w:basedOn w:val="DefaultParagraphFont"/>
    <w:link w:val="Heading6"/>
    <w:semiHidden/>
    <w:rsid w:val="00E63335"/>
    <w:rPr>
      <w:lang w:val="en-GB" w:eastAsia="en-US"/>
    </w:rPr>
  </w:style>
  <w:style w:type="character" w:customStyle="1" w:styleId="Heading7Char">
    <w:name w:val="Heading 7 Char"/>
    <w:basedOn w:val="DefaultParagraphFont"/>
    <w:link w:val="Heading7"/>
    <w:semiHidden/>
    <w:rsid w:val="00E63335"/>
    <w:rPr>
      <w:lang w:val="en-GB" w:eastAsia="en-US"/>
    </w:rPr>
  </w:style>
  <w:style w:type="character" w:customStyle="1" w:styleId="Heading8Char">
    <w:name w:val="Heading 8 Char"/>
    <w:basedOn w:val="DefaultParagraphFont"/>
    <w:link w:val="Heading8"/>
    <w:semiHidden/>
    <w:rsid w:val="00E63335"/>
    <w:rPr>
      <w:lang w:val="en-GB" w:eastAsia="en-US"/>
    </w:rPr>
  </w:style>
  <w:style w:type="character" w:customStyle="1" w:styleId="Heading9Char">
    <w:name w:val="Heading 9 Char"/>
    <w:basedOn w:val="DefaultParagraphFont"/>
    <w:link w:val="Heading9"/>
    <w:semiHidden/>
    <w:rsid w:val="00E63335"/>
    <w:rPr>
      <w:lang w:val="en-GB" w:eastAsia="en-US"/>
    </w:rPr>
  </w:style>
  <w:style w:type="character" w:customStyle="1" w:styleId="EndnoteTextChar">
    <w:name w:val="Endnote Text Char"/>
    <w:aliases w:val="2_G Char"/>
    <w:basedOn w:val="DefaultParagraphFont"/>
    <w:link w:val="EndnoteText"/>
    <w:rsid w:val="00E63335"/>
    <w:rPr>
      <w:sz w:val="18"/>
      <w:lang w:val="en-GB" w:eastAsia="en-US"/>
    </w:rPr>
  </w:style>
  <w:style w:type="numbering" w:customStyle="1" w:styleId="NoList1">
    <w:name w:val="No List1"/>
    <w:next w:val="NoList"/>
    <w:uiPriority w:val="99"/>
    <w:semiHidden/>
    <w:unhideWhenUsed/>
    <w:rsid w:val="00E63335"/>
  </w:style>
  <w:style w:type="table" w:customStyle="1" w:styleId="TableGrid1">
    <w:name w:val="Table Grid1"/>
    <w:basedOn w:val="TableNormal"/>
    <w:next w:val="TableGrid"/>
    <w:uiPriority w:val="39"/>
    <w:rsid w:val="00E6333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E6333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1">
    <w:name w:val="No List11"/>
    <w:next w:val="NoList"/>
    <w:uiPriority w:val="99"/>
    <w:semiHidden/>
    <w:unhideWhenUsed/>
    <w:rsid w:val="00E63335"/>
  </w:style>
  <w:style w:type="table" w:customStyle="1" w:styleId="TableGrid2">
    <w:name w:val="Table Grid2"/>
    <w:basedOn w:val="TableNormal"/>
    <w:next w:val="TableGrid"/>
    <w:rsid w:val="00E63335"/>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Revision">
    <w:name w:val="Revision"/>
    <w:hidden/>
    <w:uiPriority w:val="99"/>
    <w:semiHidden/>
    <w:rsid w:val="00E63335"/>
    <w:rPr>
      <w:rFonts w:eastAsiaTheme="minorHAnsi"/>
      <w:lang w:val="fr-CH" w:eastAsia="en-US"/>
    </w:rPr>
  </w:style>
  <w:style w:type="paragraph" w:styleId="HTMLPreformatted">
    <w:name w:val="HTML Preformatted"/>
    <w:basedOn w:val="Normal"/>
    <w:link w:val="HTMLPreformattedChar"/>
    <w:uiPriority w:val="99"/>
    <w:unhideWhenUsed/>
    <w:rsid w:val="00E633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GB" w:eastAsia="en-GB"/>
    </w:rPr>
  </w:style>
  <w:style w:type="character" w:customStyle="1" w:styleId="HTMLPreformattedChar">
    <w:name w:val="HTML Preformatted Char"/>
    <w:basedOn w:val="DefaultParagraphFont"/>
    <w:link w:val="HTMLPreformatted"/>
    <w:uiPriority w:val="99"/>
    <w:rsid w:val="00E63335"/>
    <w:rPr>
      <w:rFonts w:ascii="Courier New" w:hAnsi="Courier New" w:cs="Courier New"/>
      <w:lang w:val="en-GB" w:eastAsia="en-GB"/>
    </w:rPr>
  </w:style>
  <w:style w:type="paragraph" w:styleId="TOCHeading">
    <w:name w:val="TOC Heading"/>
    <w:basedOn w:val="Heading1"/>
    <w:next w:val="Normal"/>
    <w:uiPriority w:val="39"/>
    <w:unhideWhenUsed/>
    <w:qFormat/>
    <w:rsid w:val="00E63335"/>
    <w:pPr>
      <w:keepNext/>
      <w:keepLines/>
      <w:spacing w:before="240"/>
      <w:ind w:left="0"/>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E63335"/>
    <w:pPr>
      <w:spacing w:after="100"/>
    </w:pPr>
    <w:rPr>
      <w:rFonts w:asciiTheme="minorHAnsi" w:eastAsiaTheme="minorHAnsi" w:hAnsiTheme="minorHAnsi" w:cstheme="minorBidi"/>
      <w:sz w:val="22"/>
      <w:szCs w:val="22"/>
      <w:lang w:val="en-GB"/>
    </w:rPr>
  </w:style>
  <w:style w:type="paragraph" w:styleId="TOC2">
    <w:name w:val="toc 2"/>
    <w:basedOn w:val="Normal"/>
    <w:next w:val="Normal"/>
    <w:autoRedefine/>
    <w:uiPriority w:val="39"/>
    <w:unhideWhenUsed/>
    <w:rsid w:val="00E63335"/>
    <w:pPr>
      <w:spacing w:after="100"/>
      <w:ind w:left="220"/>
    </w:pPr>
    <w:rPr>
      <w:rFonts w:asciiTheme="minorHAnsi" w:eastAsiaTheme="minorHAnsi" w:hAnsiTheme="minorHAnsi" w:cstheme="minorBidi"/>
      <w:sz w:val="22"/>
      <w:szCs w:val="22"/>
      <w:lang w:val="en-GB"/>
    </w:rPr>
  </w:style>
  <w:style w:type="paragraph" w:styleId="TOC3">
    <w:name w:val="toc 3"/>
    <w:basedOn w:val="Normal"/>
    <w:next w:val="Normal"/>
    <w:autoRedefine/>
    <w:uiPriority w:val="39"/>
    <w:unhideWhenUsed/>
    <w:rsid w:val="00E63335"/>
    <w:pPr>
      <w:spacing w:after="100"/>
      <w:ind w:left="440"/>
    </w:pPr>
    <w:rPr>
      <w:rFonts w:asciiTheme="minorHAnsi" w:eastAsiaTheme="minorHAnsi" w:hAnsiTheme="minorHAnsi" w:cstheme="minorBidi"/>
      <w:sz w:val="22"/>
      <w:szCs w:val="22"/>
      <w:lang w:val="en-GB"/>
    </w:rPr>
  </w:style>
  <w:style w:type="character" w:customStyle="1" w:styleId="st1">
    <w:name w:val="st1"/>
    <w:basedOn w:val="DefaultParagraphFont"/>
    <w:rsid w:val="00E63335"/>
  </w:style>
  <w:style w:type="paragraph" w:customStyle="1" w:styleId="Default">
    <w:name w:val="Default"/>
    <w:rsid w:val="00E63335"/>
    <w:pPr>
      <w:autoSpaceDE w:val="0"/>
      <w:autoSpaceDN w:val="0"/>
      <w:adjustRightInd w:val="0"/>
    </w:pPr>
    <w:rPr>
      <w:rFonts w:ascii="Arial" w:eastAsiaTheme="minorHAnsi" w:hAnsi="Arial" w:cs="Arial"/>
      <w:color w:val="000000"/>
      <w:sz w:val="24"/>
      <w:szCs w:val="24"/>
      <w:lang w:val="en-GB" w:eastAsia="en-US"/>
    </w:rPr>
  </w:style>
  <w:style w:type="paragraph" w:styleId="Caption">
    <w:name w:val="caption"/>
    <w:basedOn w:val="Normal"/>
    <w:next w:val="Normal"/>
    <w:uiPriority w:val="35"/>
    <w:unhideWhenUsed/>
    <w:qFormat/>
    <w:rsid w:val="00E63335"/>
    <w:pPr>
      <w:spacing w:after="200"/>
    </w:pPr>
    <w:rPr>
      <w:rFonts w:asciiTheme="minorHAnsi" w:eastAsiaTheme="minorHAnsi" w:hAnsiTheme="minorHAnsi" w:cstheme="minorBidi"/>
      <w:i/>
      <w:iCs/>
      <w:color w:val="1F497D" w:themeColor="text2"/>
      <w:sz w:val="18"/>
      <w:szCs w:val="18"/>
      <w:lang w:val="en-GB"/>
    </w:rPr>
  </w:style>
  <w:style w:type="character" w:styleId="PlaceholderText">
    <w:name w:val="Placeholder Text"/>
    <w:basedOn w:val="DefaultParagraphFont"/>
    <w:uiPriority w:val="99"/>
    <w:semiHidden/>
    <w:rsid w:val="00E63335"/>
    <w:rPr>
      <w:color w:val="808080"/>
    </w:rPr>
  </w:style>
  <w:style w:type="character" w:customStyle="1" w:styleId="shorttext">
    <w:name w:val="short_text"/>
    <w:basedOn w:val="DefaultParagraphFont"/>
    <w:rsid w:val="00E63335"/>
  </w:style>
  <w:style w:type="character" w:customStyle="1" w:styleId="st">
    <w:name w:val="st"/>
    <w:basedOn w:val="DefaultParagraphFont"/>
    <w:rsid w:val="00E63335"/>
  </w:style>
  <w:style w:type="numbering" w:customStyle="1" w:styleId="NoList111">
    <w:name w:val="No List111"/>
    <w:next w:val="NoList"/>
    <w:uiPriority w:val="99"/>
    <w:semiHidden/>
    <w:unhideWhenUsed/>
    <w:rsid w:val="00E63335"/>
  </w:style>
  <w:style w:type="character" w:customStyle="1" w:styleId="apple-converted-space">
    <w:name w:val="apple-converted-space"/>
    <w:basedOn w:val="DefaultParagraphFont"/>
    <w:rsid w:val="00E63335"/>
  </w:style>
  <w:style w:type="numbering" w:customStyle="1" w:styleId="NoList2">
    <w:name w:val="No List2"/>
    <w:next w:val="NoList"/>
    <w:uiPriority w:val="99"/>
    <w:semiHidden/>
    <w:unhideWhenUsed/>
    <w:rsid w:val="00E63335"/>
  </w:style>
  <w:style w:type="table" w:customStyle="1" w:styleId="TableGrid3">
    <w:name w:val="Table Grid3"/>
    <w:basedOn w:val="TableNormal"/>
    <w:next w:val="TableGrid"/>
    <w:rsid w:val="00E63335"/>
    <w:pPr>
      <w:suppressAutoHyphens/>
      <w:spacing w:line="240" w:lineRule="atLeast"/>
    </w:pPr>
    <w:rPr>
      <w:rFonts w:eastAsia="MS Mincho"/>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3">
    <w:name w:val="No List3"/>
    <w:next w:val="NoList"/>
    <w:uiPriority w:val="99"/>
    <w:semiHidden/>
    <w:unhideWhenUsed/>
    <w:rsid w:val="00E63335"/>
  </w:style>
  <w:style w:type="table" w:customStyle="1" w:styleId="TableGrid4">
    <w:name w:val="Table Grid4"/>
    <w:basedOn w:val="TableNormal"/>
    <w:next w:val="TableGrid"/>
    <w:rsid w:val="00E63335"/>
    <w:pPr>
      <w:suppressAutoHyphens/>
      <w:spacing w:line="240" w:lineRule="atLeast"/>
    </w:pPr>
    <w:rPr>
      <w:rFonts w:eastAsiaTheme="minorHAnsi"/>
      <w:sz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G-Withnumbering">
    <w:name w:val="_ Single Txt_G - With numbering"/>
    <w:basedOn w:val="Normal"/>
    <w:qFormat/>
    <w:rsid w:val="00E63335"/>
    <w:pPr>
      <w:numPr>
        <w:numId w:val="4"/>
      </w:numPr>
      <w:tabs>
        <w:tab w:val="left" w:pos="1701"/>
      </w:tabs>
      <w:spacing w:after="120"/>
      <w:ind w:right="1134"/>
      <w:jc w:val="both"/>
    </w:pPr>
    <w:rPr>
      <w:lang w:val="x-none"/>
    </w:rPr>
  </w:style>
  <w:style w:type="paragraph" w:customStyle="1" w:styleId="BVIfnrCharChar1Char">
    <w:name w:val="BVI fnr Char Char1 Char"/>
    <w:aliases w:val="BVI fnr Char Char Char,BVI fnr Car Car Char Char Char,BVI fnr Car Char Char Char,BVI fnr Car Car Car Car Char Char Char,BVI fnr Car Car Car Car Char Char Char1 Char,BVI fnr Char Char Char Char,BVI fnr Char Char1"/>
    <w:basedOn w:val="Normal"/>
    <w:rsid w:val="00E63335"/>
    <w:pPr>
      <w:spacing w:line="240" w:lineRule="exact"/>
    </w:pPr>
    <w:rPr>
      <w:rFonts w:eastAsiaTheme="minorHAnsi"/>
      <w:sz w:val="24"/>
      <w:vertAlign w:val="superscript"/>
    </w:rPr>
  </w:style>
  <w:style w:type="paragraph" w:styleId="ListBullet">
    <w:name w:val="List Bullet"/>
    <w:basedOn w:val="Normal"/>
    <w:uiPriority w:val="99"/>
    <w:unhideWhenUsed/>
    <w:rsid w:val="00E63335"/>
    <w:pPr>
      <w:tabs>
        <w:tab w:val="num" w:pos="360"/>
      </w:tabs>
      <w:ind w:left="360" w:hanging="360"/>
      <w:contextualSpacing/>
    </w:pPr>
    <w:rPr>
      <w:rFonts w:eastAsiaTheme="minorHAnsi"/>
      <w:sz w:val="24"/>
    </w:rPr>
  </w:style>
  <w:style w:type="numbering" w:customStyle="1" w:styleId="NoList4">
    <w:name w:val="No List4"/>
    <w:next w:val="NoList"/>
    <w:uiPriority w:val="99"/>
    <w:semiHidden/>
    <w:unhideWhenUsed/>
    <w:rsid w:val="00E63335"/>
  </w:style>
  <w:style w:type="table" w:customStyle="1" w:styleId="TableGrid5">
    <w:name w:val="Table Grid5"/>
    <w:basedOn w:val="TableNormal"/>
    <w:next w:val="TableGrid"/>
    <w:rsid w:val="00E63335"/>
    <w:pPr>
      <w:suppressAutoHyphens/>
      <w:spacing w:line="240" w:lineRule="atLeast"/>
      <w:jc w:val="both"/>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5">
    <w:name w:val="No List5"/>
    <w:next w:val="NoList"/>
    <w:uiPriority w:val="99"/>
    <w:semiHidden/>
    <w:unhideWhenUsed/>
    <w:rsid w:val="00E63335"/>
  </w:style>
  <w:style w:type="table" w:customStyle="1" w:styleId="TableGrid6">
    <w:name w:val="Table Grid6"/>
    <w:basedOn w:val="TableNormal"/>
    <w:next w:val="TableGrid"/>
    <w:uiPriority w:val="39"/>
    <w:rsid w:val="00E63335"/>
    <w:pPr>
      <w:suppressAutoHyphens/>
      <w:spacing w:line="240" w:lineRule="atLeast"/>
    </w:pPr>
    <w:rPr>
      <w:rFonts w:eastAsiaTheme="minorHAnsi"/>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2">
    <w:name w:val="Table Grid12"/>
    <w:basedOn w:val="TableNormal"/>
    <w:next w:val="TableGrid"/>
    <w:uiPriority w:val="39"/>
    <w:rsid w:val="00E63335"/>
    <w:pPr>
      <w:suppressAutoHyphens/>
      <w:spacing w:line="240" w:lineRule="atLeast"/>
    </w:pPr>
    <w:rPr>
      <w:rFonts w:eastAsia="MS Mincho"/>
      <w:sz w:val="24"/>
      <w:szCs w:val="24"/>
      <w:lang w:val="fr-CH"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2">
    <w:name w:val="No List12"/>
    <w:next w:val="NoList"/>
    <w:uiPriority w:val="99"/>
    <w:semiHidden/>
    <w:unhideWhenUsed/>
    <w:rsid w:val="00E63335"/>
  </w:style>
  <w:style w:type="numbering" w:customStyle="1" w:styleId="NoList112">
    <w:name w:val="No List112"/>
    <w:next w:val="NoList"/>
    <w:uiPriority w:val="99"/>
    <w:semiHidden/>
    <w:unhideWhenUsed/>
    <w:rsid w:val="00E63335"/>
  </w:style>
  <w:style w:type="numbering" w:customStyle="1" w:styleId="NoList21">
    <w:name w:val="No List21"/>
    <w:next w:val="NoList"/>
    <w:uiPriority w:val="99"/>
    <w:semiHidden/>
    <w:unhideWhenUsed/>
    <w:rsid w:val="00E63335"/>
  </w:style>
  <w:style w:type="numbering" w:customStyle="1" w:styleId="NoList31">
    <w:name w:val="No List31"/>
    <w:next w:val="NoList"/>
    <w:uiPriority w:val="99"/>
    <w:semiHidden/>
    <w:unhideWhenUsed/>
    <w:rsid w:val="00E63335"/>
  </w:style>
  <w:style w:type="numbering" w:customStyle="1" w:styleId="NoList41">
    <w:name w:val="No List41"/>
    <w:next w:val="NoList"/>
    <w:uiPriority w:val="99"/>
    <w:semiHidden/>
    <w:unhideWhenUsed/>
    <w:rsid w:val="00E63335"/>
  </w:style>
  <w:style w:type="table" w:customStyle="1" w:styleId="TableGrid7">
    <w:name w:val="Table Grid7"/>
    <w:basedOn w:val="TableNormal"/>
    <w:next w:val="TableGrid"/>
    <w:uiPriority w:val="39"/>
    <w:rsid w:val="00617673"/>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617673"/>
    <w:rPr>
      <w:color w:val="605E5C"/>
      <w:shd w:val="clear" w:color="auto" w:fill="E1DFDD"/>
    </w:rPr>
  </w:style>
  <w:style w:type="character" w:customStyle="1" w:styleId="star">
    <w:name w:val="star"/>
    <w:basedOn w:val="DefaultParagraphFont"/>
    <w:rsid w:val="00617673"/>
  </w:style>
  <w:style w:type="character" w:customStyle="1" w:styleId="size">
    <w:name w:val="size"/>
    <w:basedOn w:val="DefaultParagraphFont"/>
    <w:rsid w:val="00617673"/>
  </w:style>
  <w:style w:type="character" w:customStyle="1" w:styleId="Hyperlink1">
    <w:name w:val="Hyperlink1"/>
    <w:basedOn w:val="DefaultParagraphFont"/>
    <w:uiPriority w:val="99"/>
    <w:unhideWhenUsed/>
    <w:rsid w:val="006354E7"/>
    <w:rPr>
      <w:color w:val="0563C1"/>
      <w:u w:val="single"/>
    </w:rPr>
  </w:style>
  <w:style w:type="table" w:customStyle="1" w:styleId="TableGrid71">
    <w:name w:val="Table Grid71"/>
    <w:basedOn w:val="TableNormal"/>
    <w:next w:val="TableGrid"/>
    <w:uiPriority w:val="39"/>
    <w:rsid w:val="006354E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6354E7"/>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354E7"/>
    <w:rPr>
      <w:color w:val="605E5C"/>
      <w:shd w:val="clear" w:color="auto" w:fill="E1DFDD"/>
    </w:rPr>
  </w:style>
  <w:style w:type="character" w:customStyle="1" w:styleId="UnresolvedMention2">
    <w:name w:val="Unresolved Mention2"/>
    <w:basedOn w:val="DefaultParagraphFont"/>
    <w:uiPriority w:val="99"/>
    <w:semiHidden/>
    <w:unhideWhenUsed/>
    <w:rsid w:val="006354E7"/>
    <w:rPr>
      <w:color w:val="605E5C"/>
      <w:shd w:val="clear" w:color="auto" w:fill="E1DFDD"/>
    </w:rPr>
  </w:style>
  <w:style w:type="character" w:customStyle="1" w:styleId="UnresolvedMention3">
    <w:name w:val="Unresolved Mention3"/>
    <w:basedOn w:val="DefaultParagraphFont"/>
    <w:uiPriority w:val="99"/>
    <w:semiHidden/>
    <w:unhideWhenUsed/>
    <w:rsid w:val="002029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6" Type="http://schemas.openxmlformats.org/officeDocument/2006/relationships/hyperlink" Target="https://twitter.com/CnddFdd/status/1397292156121980934?s=20" TargetMode="External"/><Relationship Id="rId117" Type="http://schemas.openxmlformats.org/officeDocument/2006/relationships/hyperlink" Target="https://rtnb.bi/fr/art.php?idapi=5/2/24" TargetMode="External"/><Relationship Id="rId21" Type="http://schemas.openxmlformats.org/officeDocument/2006/relationships/hyperlink" Target="https://www.rfi.fr/fr/afrique/20210628-burundi-une-vingtaine-de-morts-dans-une-embuscade-prenant-pour-cible-de-v%C3%A9hicules-de-civils?ref=tw" TargetMode="External"/><Relationship Id="rId42" Type="http://schemas.openxmlformats.org/officeDocument/2006/relationships/hyperlink" Target="https://twitter.com/BHRI_IDHB/status/1410191721430929408?s=20" TargetMode="External"/><Relationship Id="rId47" Type="http://schemas.openxmlformats.org/officeDocument/2006/relationships/hyperlink" Target="https://www.dw.com/fr/burundi-les-biens-de-certains-opposants-vendus-aux-ench%C3%A8res/a-55557825" TargetMode="External"/><Relationship Id="rId63" Type="http://schemas.openxmlformats.org/officeDocument/2006/relationships/hyperlink" Target="https://www.iwacu-burundi.org/marche-de-cotebu-les-prix-de-certaines-denrees-alimentaires-sont-en-hausse/" TargetMode="External"/><Relationship Id="rId68" Type="http://schemas.openxmlformats.org/officeDocument/2006/relationships/hyperlink" Target="https://www.jeuneafrique.com/1117782/societe/covid-19-au-burundi-les-autorites-entre-deni-et-cacophonie/" TargetMode="External"/><Relationship Id="rId84" Type="http://schemas.openxmlformats.org/officeDocument/2006/relationships/hyperlink" Target="https://twitter.com/olucome_burundi/status/1388130340301049861?s=20" TargetMode="External"/><Relationship Id="rId89" Type="http://schemas.openxmlformats.org/officeDocument/2006/relationships/hyperlink" Target="https://www.yaga-burundi.com/2021/militaire-bistrot-vilain-couple/" TargetMode="External"/><Relationship Id="rId112" Type="http://schemas.openxmlformats.org/officeDocument/2006/relationships/hyperlink" Target="https://www.presidence.gov.bi/2021/07/25/le-president-ndayishimiye-prone-le-respect-du-temple-de-dieu/" TargetMode="External"/><Relationship Id="rId133" Type="http://schemas.openxmlformats.org/officeDocument/2006/relationships/hyperlink" Target="https://www.mod.gov.rw/news-detail/rwanda-hands-over-burundian-combatants-through-the-expanded-joint-verification-mechanism" TargetMode="External"/><Relationship Id="rId138" Type="http://schemas.openxmlformats.org/officeDocument/2006/relationships/hyperlink" Target="https://rtnb.bi/fr/art.php?idapi=5/1/177" TargetMode="External"/><Relationship Id="rId154" Type="http://schemas.openxmlformats.org/officeDocument/2006/relationships/hyperlink" Target="https://www.cvr.bi/2021/05/19/muyinga-des-intellectuels-hutu-massacres-dans-la-commune-buhinyuza/" TargetMode="External"/><Relationship Id="rId159" Type="http://schemas.openxmlformats.org/officeDocument/2006/relationships/hyperlink" Target="http://fr.senat.bi/?p=9176" TargetMode="External"/><Relationship Id="rId16" Type="http://schemas.openxmlformats.org/officeDocument/2006/relationships/hyperlink" Target="https://www.aa.com.tr/fr/afrique/burundi-sept-personnes-tu%C3%A9es-dans-une-attaque-arm%C3%A9e-%C3%A0-rusaka-centre/2211842" TargetMode="External"/><Relationship Id="rId107" Type="http://schemas.openxmlformats.org/officeDocument/2006/relationships/hyperlink" Target="https://twitter.com/RTNBurundi/status/1372891838936461315?s=20" TargetMode="External"/><Relationship Id="rId11" Type="http://schemas.openxmlformats.org/officeDocument/2006/relationships/hyperlink" Target="https://twitter.com/MAEBurundi/status/1380594708204896257?s=20" TargetMode="External"/><Relationship Id="rId32" Type="http://schemas.openxmlformats.org/officeDocument/2006/relationships/hyperlink" Target="https://www.dw.com/fr/burundi-les-biens-de-certains-opposants-vendus-aux-ench%C3%A8res/a-55557825" TargetMode="External"/><Relationship Id="rId37" Type="http://schemas.openxmlformats.org/officeDocument/2006/relationships/hyperlink" Target="https://twitter.com/habona_mariya/status/1397272630793838596" TargetMode="External"/><Relationship Id="rId53" Type="http://schemas.openxmlformats.org/officeDocument/2006/relationships/hyperlink" Target="https://data2.unhcr.org/en/documents/details/84929" TargetMode="External"/><Relationship Id="rId58" Type="http://schemas.openxmlformats.org/officeDocument/2006/relationships/hyperlink" Target="https://data.worldbank.org/indicator/SH.STA.STNT.FE.ZS" TargetMode="External"/><Relationship Id="rId74" Type="http://schemas.openxmlformats.org/officeDocument/2006/relationships/hyperlink" Target="https://www.jimbere.org/nombre-enfants-situation-rue-burundi/" TargetMode="External"/><Relationship Id="rId79" Type="http://schemas.openxmlformats.org/officeDocument/2006/relationships/hyperlink" Target="https://rtnb.bi/fr/art.php?idapi=5/1/244" TargetMode="External"/><Relationship Id="rId102" Type="http://schemas.openxmlformats.org/officeDocument/2006/relationships/hyperlink" Target="https://rtnb.bi/fr/art.php?idapi=5/2/25" TargetMode="External"/><Relationship Id="rId123" Type="http://schemas.openxmlformats.org/officeDocument/2006/relationships/hyperlink" Target="https://www.presidence.gov.bi/2021/03/29/communique-de-presse-sur-la-visite-du-chef-de-letat-en-republique-centrafricaine/" TargetMode="External"/><Relationship Id="rId128" Type="http://schemas.openxmlformats.org/officeDocument/2006/relationships/hyperlink" Target="https://www.presidence.gov.bi/2020/11/07/communique-conjoint-visite-detat-de-se-evariste-ndayishimiye-en-guinee-equatoriale-du-2-au-7-novembre-2020/" TargetMode="External"/><Relationship Id="rId144" Type="http://schemas.openxmlformats.org/officeDocument/2006/relationships/hyperlink" Target="https://rtnb.bi/fr/art.php?idapi=5/0/122" TargetMode="External"/><Relationship Id="rId149" Type="http://schemas.openxmlformats.org/officeDocument/2006/relationships/hyperlink" Target="https://rtnb.bi/fr/art.php?idapi=4/3/3" TargetMode="External"/><Relationship Id="rId5" Type="http://schemas.openxmlformats.org/officeDocument/2006/relationships/hyperlink" Target="https://spcommreports.ohchr.org/TMResultsBase/DownLoadFile?gId=36124" TargetMode="External"/><Relationship Id="rId90" Type="http://schemas.openxmlformats.org/officeDocument/2006/relationships/hyperlink" Target="https://www.sosmediasburundi.org/2021/04/14/bubanza-un-cabaretier-tue-a-bout-portant-par-un-militaire/" TargetMode="External"/><Relationship Id="rId95" Type="http://schemas.openxmlformats.org/officeDocument/2006/relationships/hyperlink" Target="https://www.iwacu-burundi.org/ngozi-la-corruption-et-linjustice-dans-le-viseur-du-president-ndayishimiye/" TargetMode="External"/><Relationship Id="rId160" Type="http://schemas.openxmlformats.org/officeDocument/2006/relationships/hyperlink" Target="http://fr.senat.bi/?p=9093" TargetMode="External"/><Relationship Id="rId22" Type="http://schemas.openxmlformats.org/officeDocument/2006/relationships/hyperlink" Target="https://twitter.com/MininterInfosBi/status/1391474958887489539?s=20" TargetMode="External"/><Relationship Id="rId27" Type="http://schemas.openxmlformats.org/officeDocument/2006/relationships/hyperlink" Target="https://twitter.com/MininterInfosBi/status/1397269693124186125?s=20" TargetMode="External"/><Relationship Id="rId43" Type="http://schemas.openxmlformats.org/officeDocument/2006/relationships/hyperlink" Target="https://twitter.com/LewisMudge/status/1409922952078954498?s=20" TargetMode="External"/><Relationship Id="rId48" Type="http://schemas.openxmlformats.org/officeDocument/2006/relationships/hyperlink" Target="https://twitter.com/GeneralNeva/status/1346861129780359169?s=20" TargetMode="External"/><Relationship Id="rId64" Type="http://schemas.openxmlformats.org/officeDocument/2006/relationships/hyperlink" Target="https://www.iwacu-burundi.org/mise-en-garde-du-ministere-du-commerce-sur-des-speculations-des-commercants/" TargetMode="External"/><Relationship Id="rId69" Type="http://schemas.openxmlformats.org/officeDocument/2006/relationships/hyperlink" Target="https://www.timeslive.co.za/sunday-times-daily/africa/2021-05-20-africas-covid-19-vaccine-holdouts-are-putting-the-world-at-risk-say-experts/" TargetMode="External"/><Relationship Id="rId113" Type="http://schemas.openxmlformats.org/officeDocument/2006/relationships/hyperlink" Target="https://www.presidence.gov.bi/2021/07/25/le-chef-de-letat-appelle-a-la-promotion-de-lamour-du-travail-pour-un-developpement-durable/" TargetMode="External"/><Relationship Id="rId118" Type="http://schemas.openxmlformats.org/officeDocument/2006/relationships/hyperlink" Target="https://rtnb.bi/fr/art.php?idapi=5/2/27" TargetMode="External"/><Relationship Id="rId134" Type="http://schemas.openxmlformats.org/officeDocument/2006/relationships/hyperlink" Target="https://www.rtnb.bi/fr/art.php?idapi=4/2/96" TargetMode="External"/><Relationship Id="rId139" Type="http://schemas.openxmlformats.org/officeDocument/2006/relationships/hyperlink" Target="https://rtnb.bi/fr/art.php?idapi=5/1/187" TargetMode="External"/><Relationship Id="rId80" Type="http://schemas.openxmlformats.org/officeDocument/2006/relationships/hyperlink" Target="https://rtnb.bi/fr/art.php?idapi=5/1/238" TargetMode="External"/><Relationship Id="rId85" Type="http://schemas.openxmlformats.org/officeDocument/2006/relationships/hyperlink" Target="https://www.presidence.gov.bi/2021/06/21/le-representant-de-lunion-europeenne-annonce-la-revocation-de-larticle-suspendant-la-cooperation-financiere-au-burundi/" TargetMode="External"/><Relationship Id="rId150" Type="http://schemas.openxmlformats.org/officeDocument/2006/relationships/hyperlink" Target="http://www.cvr.bi/wp-content/uploads/2021/04/pdf-com.pdf" TargetMode="External"/><Relationship Id="rId155" Type="http://schemas.openxmlformats.org/officeDocument/2006/relationships/hyperlink" Target="https://www.iwacu-burundi.org/la-cvr-en-proces-2/" TargetMode="External"/><Relationship Id="rId12" Type="http://schemas.openxmlformats.org/officeDocument/2006/relationships/hyperlink" Target="https://twitter.com/BelgiumInBuja/status/1380560292845862915?s=20" TargetMode="External"/><Relationship Id="rId17" Type="http://schemas.openxmlformats.org/officeDocument/2006/relationships/hyperlink" Target="https://www.rfi.fr/fr/afrique/20210526-burundi-plusieurs-morts-%C3%A0-bujumbura-apr%C3%A8s-des-attaques-%C3%A0-la-grenade" TargetMode="External"/><Relationship Id="rId33" Type="http://schemas.openxmlformats.org/officeDocument/2006/relationships/hyperlink" Target="https://twitter.com/NtihaboseO/status/1397287186572193793?s=20" TargetMode="External"/><Relationship Id="rId38" Type="http://schemas.openxmlformats.org/officeDocument/2006/relationships/hyperlink" Target="https://rtnb.bi/fr/art.php?idapi=5/1/172" TargetMode="External"/><Relationship Id="rId59" Type="http://schemas.openxmlformats.org/officeDocument/2006/relationships/hyperlink" Target="https://www.iwacu-burundi.org/bujumbura-penurie-de-mazout-les-consommateurs-grognent/" TargetMode="External"/><Relationship Id="rId103" Type="http://schemas.openxmlformats.org/officeDocument/2006/relationships/hyperlink" Target="http://dx.doi.org/10.1787/9789264252479-en" TargetMode="External"/><Relationship Id="rId108" Type="http://schemas.openxmlformats.org/officeDocument/2006/relationships/hyperlink" Target="https://twitter.com/MininterInfosBi/status/1428048002141278208?s=20" TargetMode="External"/><Relationship Id="rId124" Type="http://schemas.openxmlformats.org/officeDocument/2006/relationships/hyperlink" Target="https://www.presidence.gov.bi/2021/03/26/le-chef-de-letat-rentre-dune-visite-officielle-de-3-jours-en-republique-arabe-degypte/" TargetMode="External"/><Relationship Id="rId129" Type="http://schemas.openxmlformats.org/officeDocument/2006/relationships/hyperlink" Target="https://www.presidence.gov.bi/2020/09/19/le-chef-de-letat-effectue-une-visite-en-republique-unie-de-tanzanie/" TargetMode="External"/><Relationship Id="rId20" Type="http://schemas.openxmlformats.org/officeDocument/2006/relationships/hyperlink" Target="https://www.voaafrique.com/a/burundi-trois-bless%C3%A9s-dans-une-nouvelle-attaque-%C3%A0-la-grenade/5907972.html" TargetMode="External"/><Relationship Id="rId41" Type="http://schemas.openxmlformats.org/officeDocument/2006/relationships/hyperlink" Target="https://twitter.com/BHRI_IDHB/status/1410193885331083268?s=20" TargetMode="External"/><Relationship Id="rId54" Type="http://schemas.openxmlformats.org/officeDocument/2006/relationships/hyperlink" Target="https://data2.unhcr.org/en/documents/details/84929" TargetMode="External"/><Relationship Id="rId62" Type="http://schemas.openxmlformats.org/officeDocument/2006/relationships/hyperlink" Target="https://www.iwacu-burundi.org/le-prix-de-la-pomme-de-terre-reste-eleve/" TargetMode="External"/><Relationship Id="rId70" Type="http://schemas.openxmlformats.org/officeDocument/2006/relationships/hyperlink" Target="https://www.rfi.fr/fr/afrique/20210729-covid-19-le-gouvernement-du-burundi-change-de-strat%C3%A9gie-%C3%A0-l-%C3%A9gard-de-la-vaccination" TargetMode="External"/><Relationship Id="rId75" Type="http://schemas.openxmlformats.org/officeDocument/2006/relationships/hyperlink" Target="https://lejournal.africa/journee-mondiale-de-lenfant-africain-5000-enfants-en-situation-de-rue-au-burundi/" TargetMode="External"/><Relationship Id="rId83" Type="http://schemas.openxmlformats.org/officeDocument/2006/relationships/hyperlink" Target="http://olucome.bi/IMG/pdf/-181.pdf" TargetMode="External"/><Relationship Id="rId88" Type="http://schemas.openxmlformats.org/officeDocument/2006/relationships/hyperlink" Target="https://www.sosmediasburundi.org/2021/05/18/cibitoke-un-policier-condamne-a-perpetuite/" TargetMode="External"/><Relationship Id="rId91" Type="http://schemas.openxmlformats.org/officeDocument/2006/relationships/hyperlink" Target="https://www.sosmediasburundi.org/2021/04/08/muyinga-prison-a-vie-pour-un-militaire-qui-a-tue-un-chef-de-quartier/" TargetMode="External"/><Relationship Id="rId96" Type="http://schemas.openxmlformats.org/officeDocument/2006/relationships/hyperlink" Target="https://twitter.com/MininterInfosBi/status/1389952035269795842?s=20" TargetMode="External"/><Relationship Id="rId111" Type="http://schemas.openxmlformats.org/officeDocument/2006/relationships/hyperlink" Target="https://www.rfi.fr/fr/podcasts/invit%C3%A9-afrique/20210714-evariste-ndayishimiye-il-est-temps-de-revoir-les-sanctions-europ%C3%A9ennes-contre-le-burundi" TargetMode="External"/><Relationship Id="rId132" Type="http://schemas.openxmlformats.org/officeDocument/2006/relationships/hyperlink" Target="https://www.jeuneafrique.com/1061153/politique/rwanda-burundi-lespoir-de-normalisation-de-retour/" TargetMode="External"/><Relationship Id="rId140" Type="http://schemas.openxmlformats.org/officeDocument/2006/relationships/hyperlink" Target="https://rtnb.bi/fr/art.php?idapi=5/1/170" TargetMode="External"/><Relationship Id="rId145" Type="http://schemas.openxmlformats.org/officeDocument/2006/relationships/hyperlink" Target="https://rtnb.bi/fr/art.php?idapi=5/0/108" TargetMode="External"/><Relationship Id="rId153" Type="http://schemas.openxmlformats.org/officeDocument/2006/relationships/hyperlink" Target="https://www.cvr.bi/2021/05/19/kirundo-des-temoins-se-confient-a-la-cvr-dans-la-commune-gitobe/" TargetMode="External"/><Relationship Id="rId161" Type="http://schemas.openxmlformats.org/officeDocument/2006/relationships/hyperlink" Target="http://fr.senat.bi/?p=8956" TargetMode="External"/><Relationship Id="rId1" Type="http://schemas.openxmlformats.org/officeDocument/2006/relationships/hyperlink" Target="http://www.ohchr.org/EN/NewsEvents/Pages/DisplayNews.aspx?NewsID=22621&amp;LangID=E" TargetMode="External"/><Relationship Id="rId6" Type="http://schemas.openxmlformats.org/officeDocument/2006/relationships/hyperlink" Target="https://www.rfi.fr/fr/afrique/20201111-burundi-rapport-tr%C3%A8s-mesur%C3%A9-lonu-maintenir-le-dialogue-le-pouvoir" TargetMode="External"/><Relationship Id="rId15" Type="http://schemas.openxmlformats.org/officeDocument/2006/relationships/hyperlink" Target="http://hdr.undp.org/sites/default/files/Country-Profiles/BDI.pdf" TargetMode="External"/><Relationship Id="rId23" Type="http://schemas.openxmlformats.org/officeDocument/2006/relationships/hyperlink" Target="https://twitter.com/MininterInfosBi/status/1392431631361888258?s=20" TargetMode="External"/><Relationship Id="rId28" Type="http://schemas.openxmlformats.org/officeDocument/2006/relationships/hyperlink" Target="https://twitter.com/Philippengen/status/1401189629601140739?s=20" TargetMode="External"/><Relationship Id="rId36" Type="http://schemas.openxmlformats.org/officeDocument/2006/relationships/hyperlink" Target="https://twitter.com/diegirimana/status/1397407571326164992" TargetMode="External"/><Relationship Id="rId49" Type="http://schemas.openxmlformats.org/officeDocument/2006/relationships/hyperlink" Target="https://data2.unhcr.org/en/dataviz/57?sv=13&amp;geo=0" TargetMode="External"/><Relationship Id="rId57" Type="http://schemas.openxmlformats.org/officeDocument/2006/relationships/hyperlink" Target="https://data.worldbank.org/indicator/SH.STA.STNT.MA.ZS" TargetMode="External"/><Relationship Id="rId106" Type="http://schemas.openxmlformats.org/officeDocument/2006/relationships/hyperlink" Target="https://twitter.com/RTNBurundi/status/1373538801830801409?s=20" TargetMode="External"/><Relationship Id="rId114" Type="http://schemas.openxmlformats.org/officeDocument/2006/relationships/hyperlink" Target="https://www.presidence.gov.bi/2021/07/06/le-chef-de-letat-anime-une-seance-de-moralisation-sur-leveil-de-lesprit-patriotique-et-la-bonne-gouvernance-a-mwaro/" TargetMode="External"/><Relationship Id="rId119" Type="http://schemas.openxmlformats.org/officeDocument/2006/relationships/hyperlink" Target="https://www.presidence.gov.bi/2021/07/16/visite-detat-de-la-presidente-samia-suluhu-au-burundi-huit-accords-de-cooperations-signes/" TargetMode="External"/><Relationship Id="rId127" Type="http://schemas.openxmlformats.org/officeDocument/2006/relationships/hyperlink" Target="https://www.presidence.gov.bi/2020/11/26/participation-de-son-excellence-evariste-ndayishimiye-au-18eme-sommet-des-chefs-detat-et-de-gouvernement-de-la-communaute-economique-des-etats-de-lafrique-centrale-organise-au-gabon/" TargetMode="External"/><Relationship Id="rId10" Type="http://schemas.openxmlformats.org/officeDocument/2006/relationships/hyperlink" Target="https://www.mae.gov.bi/2021/02/04/le-gouvernement-du-burundi-entame-un-dialogue-politique-avec-lunion-europeenne/" TargetMode="External"/><Relationship Id="rId31" Type="http://schemas.openxmlformats.org/officeDocument/2006/relationships/hyperlink" Target="https://www.la-croix.com/Monde/Afrique/Le-gouvernement-Burundi-poursuit-chasse-opposants-2016-05-10-1200759056" TargetMode="External"/><Relationship Id="rId44" Type="http://schemas.openxmlformats.org/officeDocument/2006/relationships/hyperlink" Target="https://twitter.com/LewisMudge/status/1409922957686853633?s=20" TargetMode="External"/><Relationship Id="rId52" Type="http://schemas.openxmlformats.org/officeDocument/2006/relationships/hyperlink" Target="https://reliefweb.int/sites/reliefweb.int/files/resources/hno_2021-burundi_v10_.pdf" TargetMode="External"/><Relationship Id="rId60" Type="http://schemas.openxmlformats.org/officeDocument/2006/relationships/hyperlink" Target="https://www.iwacu-burundi.org/une-penurie-de-farine-de-ble-qui-suscite-lindignation/" TargetMode="External"/><Relationship Id="rId65" Type="http://schemas.openxmlformats.org/officeDocument/2006/relationships/hyperlink" Target="https://www.who.int/countries/bdi/" TargetMode="External"/><Relationship Id="rId73" Type="http://schemas.openxmlformats.org/officeDocument/2006/relationships/hyperlink" Target="https://www.iwacu-burundi.org/bujumbura-le-phenomene-des-enfants-en-situation-de-rue-refait-surface/" TargetMode="External"/><Relationship Id="rId78" Type="http://schemas.openxmlformats.org/officeDocument/2006/relationships/hyperlink" Target="http://provincegitega.gov.bi/index.php/81-actualites/941-la-ministre-de-la-justice-manifeste-sa-delicatesse-aux-prisonnieres-victimes-de-l-incendie-survenu-dans-la-prison-centrale-de-gitega" TargetMode="External"/><Relationship Id="rId81" Type="http://schemas.openxmlformats.org/officeDocument/2006/relationships/hyperlink" Target="https://rtnb.bi/fr/art.php?idapi=5/1/237" TargetMode="External"/><Relationship Id="rId86" Type="http://schemas.openxmlformats.org/officeDocument/2006/relationships/hyperlink" Target="https://www.rfi.fr/fr/afrique/20210624-burundi-le-dialogue-continue-entre-gitega-et-bruxelles-en-vue-d-une-lev%C3%A9e-des-sanctions" TargetMode="External"/><Relationship Id="rId94" Type="http://schemas.openxmlformats.org/officeDocument/2006/relationships/hyperlink" Target="https://rtnb.bi/fr/art.php?idapi=5/1/172" TargetMode="External"/><Relationship Id="rId99" Type="http://schemas.openxmlformats.org/officeDocument/2006/relationships/hyperlink" Target="https://twitter.com/olucome_burundi/status/1388571197240188931?s=20" TargetMode="External"/><Relationship Id="rId101" Type="http://schemas.openxmlformats.org/officeDocument/2006/relationships/hyperlink" Target="https://www.rfi.fr/fr/afrique/20210323-burundi-pol%C3%A9mique-autour-des-d%C3%A9clarations-du-pr%C3%A9sident-ndayishimiye-sur-la-lutte-anti-corruption?ref=tw_i" TargetMode="External"/><Relationship Id="rId122" Type="http://schemas.openxmlformats.org/officeDocument/2006/relationships/hyperlink" Target="https://www.presidence.gov.bi/2021/05/13/joint-communique-on-the-occasion-of-the-state-visit-to-uganda-by-his-excellency-evariste-ndayishimiye-president-of-the-republic-of-burundi/" TargetMode="External"/><Relationship Id="rId130" Type="http://schemas.openxmlformats.org/officeDocument/2006/relationships/hyperlink" Target="https://www.mae.gov.bi/2021/05/07/le-ministre-des-affaires-etrangeres-et-de-la-cooperation-au-developpement-effectue-une-tournee-de-travail-en-europe/" TargetMode="External"/><Relationship Id="rId135" Type="http://schemas.openxmlformats.org/officeDocument/2006/relationships/hyperlink" Target="http://fr.senat.bi/?page_id=613" TargetMode="External"/><Relationship Id="rId143" Type="http://schemas.openxmlformats.org/officeDocument/2006/relationships/hyperlink" Target="https://rtnb.bi/fr/art.php?idapi=5/0/132" TargetMode="External"/><Relationship Id="rId148" Type="http://schemas.openxmlformats.org/officeDocument/2006/relationships/hyperlink" Target="https://rtnb.bi/fr/art.php?idapi=4/3/80" TargetMode="External"/><Relationship Id="rId151" Type="http://schemas.openxmlformats.org/officeDocument/2006/relationships/hyperlink" Target="https://www.cvr.bi/wp-content/uploads/2021/03/POINT-DE-PRESSE_CVR_BURURI-VENDREDI-20-03-2021.pdf" TargetMode="External"/><Relationship Id="rId156" Type="http://schemas.openxmlformats.org/officeDocument/2006/relationships/hyperlink" Target="https://rtnb.bi/fr/art.php?idapi=5/1/123" TargetMode="External"/><Relationship Id="rId4" Type="http://schemas.openxmlformats.org/officeDocument/2006/relationships/hyperlink" Target="https://spcommreports.ohchr.org/TMResultsBase/DownLoadPublicCommunicationFile?gId=25860" TargetMode="External"/><Relationship Id="rId9" Type="http://schemas.openxmlformats.org/officeDocument/2006/relationships/hyperlink" Target="https://twitter.com/OSEBurundi/status/1399395077856890881?s=20" TargetMode="External"/><Relationship Id="rId13" Type="http://schemas.openxmlformats.org/officeDocument/2006/relationships/hyperlink" Target="https://twitter.com/UEauBurundi/status/1406951147395502081?s=20" TargetMode="External"/><Relationship Id="rId18" Type="http://schemas.openxmlformats.org/officeDocument/2006/relationships/hyperlink" Target="https://www.dw.com/fr/burundi-au-moins-trois-morts-dans-des-attaques/a-57676640" TargetMode="External"/><Relationship Id="rId39" Type="http://schemas.openxmlformats.org/officeDocument/2006/relationships/hyperlink" Target="https://rtnb.bi/fr/art.php?idapi=5/1/135" TargetMode="External"/><Relationship Id="rId109" Type="http://schemas.openxmlformats.org/officeDocument/2006/relationships/hyperlink" Target="https://www.ohchr.org/FR/HRBodies/HRC/Pages/NewsDetail.aspx?NewsID=25694&amp;LangID=F" TargetMode="External"/><Relationship Id="rId34" Type="http://schemas.openxmlformats.org/officeDocument/2006/relationships/hyperlink" Target="https://twitter.com/NzomubonaBlaise/status/1397423570935074820?s=20" TargetMode="External"/><Relationship Id="rId50" Type="http://schemas.openxmlformats.org/officeDocument/2006/relationships/hyperlink" Target="https://data2.unhcr.org/en/dataviz/57?sv=13&amp;geo=0" TargetMode="External"/><Relationship Id="rId55" Type="http://schemas.openxmlformats.org/officeDocument/2006/relationships/hyperlink" Target="http://pubdocs.worldbank.org/en/720441492455091991/mpo-ssa.pdf" TargetMode="External"/><Relationship Id="rId76" Type="http://schemas.openxmlformats.org/officeDocument/2006/relationships/hyperlink" Target="https://rtnb.bi/fr/art.php?idapi=5/2/58" TargetMode="External"/><Relationship Id="rId97" Type="http://schemas.openxmlformats.org/officeDocument/2006/relationships/hyperlink" Target="https://www.rfi.fr/fr/afrique/20210502-burundi-la-ministre-du-commerce-et-du-transport-limog%C3%A9e-par-evariste-ndayishimiye" TargetMode="External"/><Relationship Id="rId104" Type="http://schemas.openxmlformats.org/officeDocument/2006/relationships/hyperlink" Target="https://www.presidence.gov.bi/2021/07/01/message-de-se-le-president-ndayishimiye-a-loccasion-de-la-celebration-du-59eme-anniversaire-de-lindependance-du-burundi/" TargetMode="External"/><Relationship Id="rId120" Type="http://schemas.openxmlformats.org/officeDocument/2006/relationships/hyperlink" Target="https://www.presidence.gov.bi/2021/07/14/fin-de-la-visite-detat-a-kinshasa-le-burundi-et-la-rdc-engages-a-renforcer-lamitie-et-a-combattre-ensemble-les-forces-qui-sevissent-a-lest-de-la-rdc/" TargetMode="External"/><Relationship Id="rId125" Type="http://schemas.openxmlformats.org/officeDocument/2006/relationships/hyperlink" Target="https://www.presidence.gov.bi/2021/02/27/communique-of-the-21st-ordinary-summit-of-the-east-african-community-heads-of-state/" TargetMode="External"/><Relationship Id="rId141" Type="http://schemas.openxmlformats.org/officeDocument/2006/relationships/hyperlink" Target="https://rtnb.bi/fr/art.php?idapi=5/0/247" TargetMode="External"/><Relationship Id="rId146" Type="http://schemas.openxmlformats.org/officeDocument/2006/relationships/hyperlink" Target="https://rtnb.bi/fr/art.php?idapi=4/3/140" TargetMode="External"/><Relationship Id="rId7" Type="http://schemas.openxmlformats.org/officeDocument/2006/relationships/hyperlink" Target="https://www.rtbf.be/info/monde/detail_burundi-le-bureau-de-l-onu-fermera-finalement-le-31-mai?id=10736937" TargetMode="External"/><Relationship Id="rId71" Type="http://schemas.openxmlformats.org/officeDocument/2006/relationships/hyperlink" Target="https://www.youtube.com/watch?v=Qop1tfSW8VM" TargetMode="External"/><Relationship Id="rId92" Type="http://schemas.openxmlformats.org/officeDocument/2006/relationships/hyperlink" Target="https://www.sosmediasburundi.org/2021/04/05/bujumbura-prison-a-vie-pour-un-colonel-qui-a-tue-un-caissier-dun-bar/" TargetMode="External"/><Relationship Id="rId2" Type="http://schemas.openxmlformats.org/officeDocument/2006/relationships/hyperlink" Target="http://www.ohchr.org/EN/NewsEvents/Pages/DisplayNews.aspx?NewsID=20910&amp;LangID=E" TargetMode="External"/><Relationship Id="rId29" Type="http://schemas.openxmlformats.org/officeDocument/2006/relationships/hyperlink" Target="https://www.voaafrique.com/a/un-site-d-information-proche-du-pouvoir-suspendu-par-la-justice-au-burundi/4612365.html" TargetMode="External"/><Relationship Id="rId24" Type="http://schemas.openxmlformats.org/officeDocument/2006/relationships/hyperlink" Target="https://twitter.com/MininterInfosBi/status/1383724312490692610?s=20" TargetMode="External"/><Relationship Id="rId40" Type="http://schemas.openxmlformats.org/officeDocument/2006/relationships/hyperlink" Target="https://iwacu.global.ssl.fastly.net/vers-la-revision-de-la-loi-sur-la-presse/" TargetMode="External"/><Relationship Id="rId45" Type="http://schemas.openxmlformats.org/officeDocument/2006/relationships/hyperlink" Target="https://twitter.com/MaryLawlorhrds/status/1409887957625053198?s=20" TargetMode="External"/><Relationship Id="rId66" Type="http://schemas.openxmlformats.org/officeDocument/2006/relationships/hyperlink" Target="http://minisante.bi/?p=972" TargetMode="External"/><Relationship Id="rId87" Type="http://schemas.openxmlformats.org/officeDocument/2006/relationships/hyperlink" Target="https://www.iwacu-burundi.org/affaire-germain-rukuki-qui-bloque-sa-liberation/" TargetMode="External"/><Relationship Id="rId110" Type="http://schemas.openxmlformats.org/officeDocument/2006/relationships/hyperlink" Target="https://spcommreports.ohchr.org/TMResultsBase/DownLoadFile?gId=36124" TargetMode="External"/><Relationship Id="rId115" Type="http://schemas.openxmlformats.org/officeDocument/2006/relationships/hyperlink" Target="https://www.presidence.gov.bi/2021/06/19/les-leaders-appeles-a-servir-dexemples-dans-le-processus-de-reconciliation-nationale/" TargetMode="External"/><Relationship Id="rId131" Type="http://schemas.openxmlformats.org/officeDocument/2006/relationships/hyperlink" Target="https://www.rfi.fr/fr/afrique/20201020-burundi-rwanda-rencontre-fronti%C3%A8re-chefs-diplomatie" TargetMode="External"/><Relationship Id="rId136" Type="http://schemas.openxmlformats.org/officeDocument/2006/relationships/hyperlink" Target="https://rtnb.bi/fr/art.php?idapi=5/1/180" TargetMode="External"/><Relationship Id="rId157" Type="http://schemas.openxmlformats.org/officeDocument/2006/relationships/hyperlink" Target="https://rtnb.bi/fr/art.php?idapi=5/1/110" TargetMode="External"/><Relationship Id="rId61" Type="http://schemas.openxmlformats.org/officeDocument/2006/relationships/hyperlink" Target="https://www.iwacu-burundi.org/inquietante-baisse-de-production-de-lhuile-de-palme/" TargetMode="External"/><Relationship Id="rId82" Type="http://schemas.openxmlformats.org/officeDocument/2006/relationships/hyperlink" Target="https://www.presidence.gov.bi/2020/12/11/le-compte-rendu-du-conseil-des-ministres-du-09-decembre-2020/" TargetMode="External"/><Relationship Id="rId152" Type="http://schemas.openxmlformats.org/officeDocument/2006/relationships/hyperlink" Target="https://www.cvr.bi/2021/05/18/kirundo-mai-1973-carnage-au-nord-du-burundi-des-refugies-burundais-tombent-sous-les-balles-de-larmee-du-president-micombero-a-busoni/" TargetMode="External"/><Relationship Id="rId19" Type="http://schemas.openxmlformats.org/officeDocument/2006/relationships/hyperlink" Target="https://www.iwacu-burundi.org/attaques-a-la-grenade-dans-quelques-parkings-des-bus-en-mairie-de-bujumbura-plusieurs-victimes/" TargetMode="External"/><Relationship Id="rId14" Type="http://schemas.openxmlformats.org/officeDocument/2006/relationships/hyperlink" Target="https://freedomhouse.org/reports/publication-archives" TargetMode="External"/><Relationship Id="rId30" Type="http://schemas.openxmlformats.org/officeDocument/2006/relationships/hyperlink" Target="https://twitter.com/Ikiriho/status/1405187381385437185?s=20" TargetMode="External"/><Relationship Id="rId35" Type="http://schemas.openxmlformats.org/officeDocument/2006/relationships/hyperlink" Target="https://twitter.com/NduwimanaClest4/status/1397252961068331021?s=20" TargetMode="External"/><Relationship Id="rId56" Type="http://schemas.openxmlformats.org/officeDocument/2006/relationships/hyperlink" Target="http://pubdocs.worldbank.org/en/720441492455091991/mpo-ssa.pdf" TargetMode="External"/><Relationship Id="rId77" Type="http://schemas.openxmlformats.org/officeDocument/2006/relationships/hyperlink" Target="https://www.rfi.fr/fr/afrique/20210825-burundi-le-pr%C3%A9sident-evariste-ndayishimiye-s-en-prend-aux-juges-de-son-pays" TargetMode="External"/><Relationship Id="rId100" Type="http://schemas.openxmlformats.org/officeDocument/2006/relationships/hyperlink" Target="https://twitter.com/MininterInfosBi/status/1380539706421706752?s=20" TargetMode="External"/><Relationship Id="rId105" Type="http://schemas.openxmlformats.org/officeDocument/2006/relationships/hyperlink" Target="https://twitter.com/MininterInfosBi/status/1380539706421706752?s=20" TargetMode="External"/><Relationship Id="rId126" Type="http://schemas.openxmlformats.org/officeDocument/2006/relationships/hyperlink" Target="https://www.presidence.gov.bi/2021/02/10/joint-communique-on-the-official-visit-of-the-president-of-the-federal-democratic-republic-of-ethiopia-to-burundi-from-09-to-10-february-2021/" TargetMode="External"/><Relationship Id="rId147" Type="http://schemas.openxmlformats.org/officeDocument/2006/relationships/hyperlink" Target="https://rtnb.bi/fr/art.php?idapi=4/3/139" TargetMode="External"/><Relationship Id="rId8" Type="http://schemas.openxmlformats.org/officeDocument/2006/relationships/hyperlink" Target="https://www.dw.com/fr/fermeture-bureau-onu-burundi/a-57733436" TargetMode="External"/><Relationship Id="rId51" Type="http://schemas.openxmlformats.org/officeDocument/2006/relationships/hyperlink" Target="https://data2.unhcr.org/en/documents/details/84929" TargetMode="External"/><Relationship Id="rId72" Type="http://schemas.openxmlformats.org/officeDocument/2006/relationships/hyperlink" Target="https://www.youtube.com/watch?v=Qop1tfSW8VM" TargetMode="External"/><Relationship Id="rId93" Type="http://schemas.openxmlformats.org/officeDocument/2006/relationships/hyperlink" Target="https://www.presidence.gov.bi/2021/01/01/discours-de-se-evariste-ndayishimiye-a-loccasion-du-nouvel-an-2021/" TargetMode="External"/><Relationship Id="rId98" Type="http://schemas.openxmlformats.org/officeDocument/2006/relationships/hyperlink" Target="https://africa24tv.com/burundi-limogeage-du-ministre-du-commerce-immaculee-ndabaneze/" TargetMode="External"/><Relationship Id="rId121" Type="http://schemas.openxmlformats.org/officeDocument/2006/relationships/hyperlink" Target="https://www.presidence.gov.bi/2021/06/01/visite-detat-du-president-ndayishimiye-au-kenya-le-renouveau-diplomatique/" TargetMode="External"/><Relationship Id="rId142" Type="http://schemas.openxmlformats.org/officeDocument/2006/relationships/hyperlink" Target="https://rtnb.bi/fr/art.php?idapi=5/0/205" TargetMode="External"/><Relationship Id="rId3" Type="http://schemas.openxmlformats.org/officeDocument/2006/relationships/hyperlink" Target="https://spcommreports.ohchr.org/TMResultsBase/DownLoadPublicCommunicationFile?gId=26021" TargetMode="External"/><Relationship Id="rId25" Type="http://schemas.openxmlformats.org/officeDocument/2006/relationships/hyperlink" Target="https://twitter.com/OmbudsmanBI/status/1397487081706885121?s=20" TargetMode="External"/><Relationship Id="rId46" Type="http://schemas.openxmlformats.org/officeDocument/2006/relationships/hyperlink" Target="https://www.presidence.gov.bi/2020/11/26/le-communique-du-conseil-des-ministres-du-25-novembre-2020/" TargetMode="External"/><Relationship Id="rId67" Type="http://schemas.openxmlformats.org/officeDocument/2006/relationships/hyperlink" Target="https://www.jeuneafrique.com/1117782/societe/covid-19-au-burundi-les-autorites-entre-deni-et-cacophonie/" TargetMode="External"/><Relationship Id="rId116" Type="http://schemas.openxmlformats.org/officeDocument/2006/relationships/hyperlink" Target="https://www.presidence.gov.bi/2021/02/21/le-chef-de-letat-exhorte-les-burundais-a-se-repentir-et-a-restaurer-leurs-relations-avec-dieu-dans-cette-periode-du-careme/" TargetMode="External"/><Relationship Id="rId137" Type="http://schemas.openxmlformats.org/officeDocument/2006/relationships/hyperlink" Target="https://rtnb.bi/fr/art.php?idapi=5/1/179" TargetMode="External"/><Relationship Id="rId158" Type="http://schemas.openxmlformats.org/officeDocument/2006/relationships/hyperlink" Target="https://twitter.com/burundi_senat/status/1404016339174539269?s=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N-Docs2017\Templates\A\A_F.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7EF077F9CD0B34F97AC46763D8FB4BB" ma:contentTypeVersion="1" ma:contentTypeDescription="Create a new document." ma:contentTypeScope="" ma:versionID="3a6fdf85bb2ad3a961473b016d7d519f">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D71405-F0CB-4F70-8C13-C880C70E943C}">
  <ds:schemaRefs>
    <ds:schemaRef ds:uri="http://schemas.microsoft.com/sharepoint/v3/contenttype/forms"/>
  </ds:schemaRefs>
</ds:datastoreItem>
</file>

<file path=customXml/itemProps2.xml><?xml version="1.0" encoding="utf-8"?>
<ds:datastoreItem xmlns:ds="http://schemas.openxmlformats.org/officeDocument/2006/customXml" ds:itemID="{83312CD9-D63F-4699-B802-860B2165DB1C}">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428416fd-f5ff-4c2c-9217-9a0681051042"/>
    <ds:schemaRef ds:uri="http://www.w3.org/XML/1998/namespace"/>
  </ds:schemaRefs>
</ds:datastoreItem>
</file>

<file path=customXml/itemProps3.xml><?xml version="1.0" encoding="utf-8"?>
<ds:datastoreItem xmlns:ds="http://schemas.openxmlformats.org/officeDocument/2006/customXml" ds:itemID="{1EDE8E71-D8F5-4B93-8CCA-C574F4667FB3}"/>
</file>

<file path=customXml/itemProps4.xml><?xml version="1.0" encoding="utf-8"?>
<ds:datastoreItem xmlns:ds="http://schemas.openxmlformats.org/officeDocument/2006/customXml" ds:itemID="{18205CF9-EBD3-4BE4-B942-710BF18D1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A_F.dotm</Template>
  <TotalTime>27</TotalTime>
  <Pages>120</Pages>
  <Words>55025</Words>
  <Characters>313648</Characters>
  <Application>Microsoft Office Word</Application>
  <DocSecurity>0</DocSecurity>
  <Lines>2613</Lines>
  <Paragraphs>735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A/HRC/48/CRP.1</vt:lpstr>
      <vt:lpstr>Nations Unies</vt:lpstr>
    </vt:vector>
  </TitlesOfParts>
  <Company>CSD</Company>
  <LinksUpToDate>false</LinksUpToDate>
  <CharactersWithSpaces>367938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Conclusions détaillées de la Commission d’enquête sur le Burundi</dc:title>
  <dc:creator>KENFACK Françoise</dc:creator>
  <cp:lastModifiedBy>DE HEMPTINNE Sarah Emmanuelle</cp:lastModifiedBy>
  <cp:revision>13</cp:revision>
  <cp:lastPrinted>2021-09-08T15:45:00Z</cp:lastPrinted>
  <dcterms:created xsi:type="dcterms:W3CDTF">2021-09-16T06:44:00Z</dcterms:created>
  <dcterms:modified xsi:type="dcterms:W3CDTF">2021-09-16T07:10:00Z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0x010100F7EF077F9CD0B34F97AC46763D8FB4BB</vt:lpwstr>
  </property>
</Properties>
</file>