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4D6B" w14:textId="77777777" w:rsidR="00484DE7" w:rsidRPr="00BD7CE5" w:rsidRDefault="00484DE7" w:rsidP="00367CFB">
      <w:pPr>
        <w:jc w:val="both"/>
      </w:pPr>
    </w:p>
    <w:p w14:paraId="1C54E99E" w14:textId="3ADE3C44" w:rsidR="001F31D3" w:rsidRPr="00BD7CE5" w:rsidRDefault="00D2462A" w:rsidP="00367CFB">
      <w:pPr>
        <w:jc w:val="both"/>
      </w:pPr>
      <w:r w:rsidRPr="00BD7CE5">
        <w:t>The UN Independent Expert on SOGI</w:t>
      </w:r>
    </w:p>
    <w:p w14:paraId="70BC5F10" w14:textId="1D79B0B0" w:rsidR="003F4343" w:rsidRPr="00BD7CE5" w:rsidRDefault="00D2462A" w:rsidP="00D2462A">
      <w:pPr>
        <w:jc w:val="both"/>
        <w:rPr>
          <w:b/>
          <w:bCs/>
        </w:rPr>
      </w:pPr>
      <w:r w:rsidRPr="00BD7CE5">
        <w:t>Mr Víctor Madrigal-</w:t>
      </w:r>
      <w:proofErr w:type="spellStart"/>
      <w:r w:rsidRPr="00BD7CE5">
        <w:t>Borloz</w:t>
      </w:r>
      <w:proofErr w:type="spellEnd"/>
      <w:r w:rsidRPr="00BD7CE5">
        <w:t xml:space="preserve"> </w:t>
      </w:r>
    </w:p>
    <w:p w14:paraId="0663D120" w14:textId="7AA087A2" w:rsidR="009968A1" w:rsidRPr="00BD7CE5" w:rsidRDefault="009968A1" w:rsidP="009968A1">
      <w:pPr>
        <w:jc w:val="right"/>
      </w:pPr>
      <w:r w:rsidRPr="00BD7CE5">
        <w:t>24 May 2023</w:t>
      </w:r>
    </w:p>
    <w:p w14:paraId="2398C809" w14:textId="66A5EC36" w:rsidR="00D2462A" w:rsidRPr="00BD7CE5" w:rsidRDefault="00D2462A" w:rsidP="00D2462A">
      <w:pPr>
        <w:jc w:val="both"/>
        <w:rPr>
          <w:b/>
          <w:bCs/>
        </w:rPr>
      </w:pPr>
      <w:r w:rsidRPr="00BD7CE5">
        <w:rPr>
          <w:b/>
          <w:bCs/>
        </w:rPr>
        <w:t>Dear Independent Expert on SOGI,</w:t>
      </w:r>
    </w:p>
    <w:p w14:paraId="36352AD5" w14:textId="77777777" w:rsidR="00D2462A" w:rsidRPr="00BD7CE5" w:rsidRDefault="00D2462A" w:rsidP="00D2462A">
      <w:pPr>
        <w:jc w:val="both"/>
        <w:rPr>
          <w:b/>
          <w:bCs/>
        </w:rPr>
      </w:pPr>
    </w:p>
    <w:p w14:paraId="21284848" w14:textId="3B9772A0" w:rsidR="000A455F" w:rsidRPr="00BD7CE5" w:rsidRDefault="000A455F" w:rsidP="00367CFB">
      <w:pPr>
        <w:numPr>
          <w:ilvl w:val="0"/>
          <w:numId w:val="12"/>
        </w:numPr>
        <w:jc w:val="both"/>
      </w:pPr>
      <w:r w:rsidRPr="00BD7CE5">
        <w:t xml:space="preserve">This is an input </w:t>
      </w:r>
      <w:r w:rsidR="002E60F8" w:rsidRPr="00BD7CE5">
        <w:t>(the “</w:t>
      </w:r>
      <w:r w:rsidR="002E60F8" w:rsidRPr="00BD7CE5">
        <w:rPr>
          <w:b/>
          <w:bCs/>
        </w:rPr>
        <w:t>Submission</w:t>
      </w:r>
      <w:r w:rsidR="002E60F8" w:rsidRPr="00BD7CE5">
        <w:t xml:space="preserve">”) </w:t>
      </w:r>
      <w:r w:rsidR="00F40BE0" w:rsidRPr="00BD7CE5">
        <w:t>made</w:t>
      </w:r>
      <w:r w:rsidR="00FE6443" w:rsidRPr="00BD7CE5">
        <w:t xml:space="preserve"> on behalf of Colours Caribbean (“</w:t>
      </w:r>
      <w:r w:rsidR="00FE6443" w:rsidRPr="00BD7CE5">
        <w:rPr>
          <w:b/>
        </w:rPr>
        <w:t>CC</w:t>
      </w:r>
      <w:r w:rsidR="00FE6443" w:rsidRPr="00BD7CE5">
        <w:t xml:space="preserve">”) </w:t>
      </w:r>
      <w:r w:rsidRPr="00BD7CE5">
        <w:t>in the call by the UN Independent Expert on SOGI</w:t>
      </w:r>
      <w:r w:rsidR="002E60F8" w:rsidRPr="00BD7CE5">
        <w:t xml:space="preserve"> for inputs regarding the report on colonialism and SOGI (the “</w:t>
      </w:r>
      <w:r w:rsidR="002E60F8" w:rsidRPr="00BD7CE5">
        <w:rPr>
          <w:b/>
          <w:bCs/>
        </w:rPr>
        <w:t>Call</w:t>
      </w:r>
      <w:r w:rsidR="002E60F8" w:rsidRPr="00BD7CE5">
        <w:t>”)</w:t>
      </w:r>
      <w:r w:rsidR="00FE6443" w:rsidRPr="00BD7CE5">
        <w:t>.</w:t>
      </w:r>
    </w:p>
    <w:p w14:paraId="1668A12C" w14:textId="2201BF73" w:rsidR="000A455F" w:rsidRPr="00BD7CE5" w:rsidRDefault="00FE6443" w:rsidP="00367CFB">
      <w:pPr>
        <w:numPr>
          <w:ilvl w:val="0"/>
          <w:numId w:val="12"/>
        </w:numPr>
        <w:jc w:val="both"/>
      </w:pPr>
      <w:r w:rsidRPr="00BD7CE5">
        <w:t>CC</w:t>
      </w:r>
      <w:r w:rsidR="000A455F" w:rsidRPr="00BD7CE5">
        <w:t xml:space="preserve"> is an organisation incorporated as a non-profit limited liability company under the laws of the Cayman Islands.  </w:t>
      </w:r>
      <w:r w:rsidRPr="00BD7CE5">
        <w:t>CC</w:t>
      </w:r>
      <w:r w:rsidR="000A455F" w:rsidRPr="00BD7CE5">
        <w:t xml:space="preserve">’s aim is to foster a safe and comfortable social and professional environment for the lesbian, gay, bisexual, transgender, </w:t>
      </w:r>
      <w:proofErr w:type="gramStart"/>
      <w:r w:rsidR="000A455F" w:rsidRPr="00BD7CE5">
        <w:t>queer</w:t>
      </w:r>
      <w:proofErr w:type="gramEnd"/>
      <w:r w:rsidR="000A455F" w:rsidRPr="00BD7CE5">
        <w:t xml:space="preserve"> and intersex (LGBTQI) community of the British Overseas Territories of the Caribbean region</w:t>
      </w:r>
      <w:r w:rsidR="000A455F" w:rsidRPr="00BD7CE5">
        <w:rPr>
          <w:vertAlign w:val="superscript"/>
        </w:rPr>
        <w:footnoteReference w:id="1"/>
      </w:r>
      <w:r w:rsidR="000A455F" w:rsidRPr="00BD7CE5">
        <w:t xml:space="preserve"> and the British Overseas Territory of Bermuda </w:t>
      </w:r>
      <w:r w:rsidRPr="00BD7CE5">
        <w:t>(together referred to as the “</w:t>
      </w:r>
      <w:r w:rsidRPr="00BD7CE5">
        <w:rPr>
          <w:b/>
          <w:bCs/>
        </w:rPr>
        <w:t>Caribbean Territories</w:t>
      </w:r>
      <w:r w:rsidRPr="00BD7CE5">
        <w:t xml:space="preserve">”) </w:t>
      </w:r>
      <w:r w:rsidR="000A455F" w:rsidRPr="00BD7CE5">
        <w:t xml:space="preserve">by advocating for LGBTQI rights as human rights and promoting the inclusion and equality of LGBTQI persons in the region. </w:t>
      </w:r>
    </w:p>
    <w:p w14:paraId="118D6A30" w14:textId="24AF9E56" w:rsidR="00FE6443" w:rsidRPr="00BD7CE5" w:rsidRDefault="00FE6443" w:rsidP="00367CFB">
      <w:pPr>
        <w:numPr>
          <w:ilvl w:val="0"/>
          <w:numId w:val="12"/>
        </w:numPr>
        <w:jc w:val="both"/>
      </w:pPr>
      <w:r w:rsidRPr="00BD7CE5">
        <w:t xml:space="preserve">CC </w:t>
      </w:r>
      <w:r w:rsidR="000A455F" w:rsidRPr="00BD7CE5">
        <w:t xml:space="preserve">has instructed </w:t>
      </w:r>
      <w:r w:rsidRPr="00BD7CE5">
        <w:t>Dr Leonardo J Raznovich</w:t>
      </w:r>
      <w:r w:rsidRPr="00BD7CE5">
        <w:rPr>
          <w:rStyle w:val="FootnoteReference"/>
        </w:rPr>
        <w:footnoteReference w:id="2"/>
      </w:r>
      <w:r w:rsidRPr="00BD7CE5">
        <w:t xml:space="preserve"> </w:t>
      </w:r>
      <w:r w:rsidR="00330DD4" w:rsidRPr="00BD7CE5">
        <w:t xml:space="preserve">and </w:t>
      </w:r>
      <w:r w:rsidR="00330DD4" w:rsidRPr="00BD7CE5">
        <w:t xml:space="preserve">Professor Raúl </w:t>
      </w:r>
      <w:proofErr w:type="spellStart"/>
      <w:r w:rsidR="00330DD4" w:rsidRPr="00BD7CE5">
        <w:t>Zaffaroni</w:t>
      </w:r>
      <w:proofErr w:type="spellEnd"/>
      <w:r w:rsidR="00330DD4" w:rsidRPr="00BD7CE5">
        <w:rPr>
          <w:rStyle w:val="FootnoteReference"/>
        </w:rPr>
        <w:footnoteReference w:id="3"/>
      </w:r>
      <w:r w:rsidR="00330DD4" w:rsidRPr="00BD7CE5">
        <w:t xml:space="preserve"> </w:t>
      </w:r>
      <w:r w:rsidRPr="00BD7CE5">
        <w:t>(the “</w:t>
      </w:r>
      <w:r w:rsidRPr="00BD7CE5">
        <w:rPr>
          <w:b/>
          <w:bCs/>
        </w:rPr>
        <w:t>Reporters</w:t>
      </w:r>
      <w:r w:rsidRPr="00BD7CE5">
        <w:t>”)</w:t>
      </w:r>
      <w:r w:rsidR="000A455F" w:rsidRPr="00BD7CE5">
        <w:t xml:space="preserve"> to prepare </w:t>
      </w:r>
      <w:r w:rsidR="00AF4D89" w:rsidRPr="00BD7CE5">
        <w:t>the</w:t>
      </w:r>
      <w:r w:rsidR="000A455F" w:rsidRPr="00BD7CE5">
        <w:t xml:space="preserve"> </w:t>
      </w:r>
      <w:r w:rsidR="002E60F8" w:rsidRPr="00BD7CE5">
        <w:t>Submission</w:t>
      </w:r>
      <w:r w:rsidRPr="00BD7CE5">
        <w:t xml:space="preserve"> regarding the Caribbean and Latin America</w:t>
      </w:r>
      <w:r w:rsidR="00367CFB" w:rsidRPr="00BD7CE5">
        <w:t xml:space="preserve"> with a focus on the former region</w:t>
      </w:r>
      <w:r w:rsidR="000A455F" w:rsidRPr="00BD7CE5">
        <w:t>.</w:t>
      </w:r>
      <w:bookmarkStart w:id="0" w:name="_Ref90742560"/>
      <w:r w:rsidR="000A455F" w:rsidRPr="00BD7CE5">
        <w:rPr>
          <w:vertAlign w:val="superscript"/>
        </w:rPr>
        <w:footnoteReference w:id="4"/>
      </w:r>
      <w:bookmarkEnd w:id="0"/>
      <w:r w:rsidR="000A455F" w:rsidRPr="00BD7CE5">
        <w:t xml:space="preserve"> </w:t>
      </w:r>
      <w:r w:rsidRPr="00BD7CE5">
        <w:t xml:space="preserve"> </w:t>
      </w:r>
    </w:p>
    <w:p w14:paraId="561A2122" w14:textId="1279FFFC" w:rsidR="00FE6443" w:rsidRPr="00BD7CE5" w:rsidRDefault="000A455F" w:rsidP="00367CFB">
      <w:pPr>
        <w:numPr>
          <w:ilvl w:val="0"/>
          <w:numId w:val="12"/>
        </w:numPr>
        <w:jc w:val="both"/>
      </w:pPr>
      <w:r w:rsidRPr="00BD7CE5">
        <w:t>The</w:t>
      </w:r>
      <w:r w:rsidR="00FE6443" w:rsidRPr="00BD7CE5">
        <w:t xml:space="preserve"> </w:t>
      </w:r>
      <w:r w:rsidR="002E60F8" w:rsidRPr="00BD7CE5">
        <w:t>S</w:t>
      </w:r>
      <w:r w:rsidR="00FE6443" w:rsidRPr="00BD7CE5">
        <w:t>ubmission</w:t>
      </w:r>
      <w:r w:rsidR="00D2462A" w:rsidRPr="00BD7CE5">
        <w:t>,</w:t>
      </w:r>
      <w:r w:rsidR="00FE6443" w:rsidRPr="00BD7CE5">
        <w:t xml:space="preserve"> </w:t>
      </w:r>
      <w:r w:rsidR="00162748" w:rsidRPr="00BD7CE5">
        <w:t>attached as Annex 1</w:t>
      </w:r>
      <w:r w:rsidR="00D2462A" w:rsidRPr="00BD7CE5">
        <w:t>,</w:t>
      </w:r>
      <w:r w:rsidR="00162748" w:rsidRPr="00BD7CE5">
        <w:t xml:space="preserve"> </w:t>
      </w:r>
      <w:r w:rsidR="00FE6443" w:rsidRPr="00BD7CE5">
        <w:t>draws from the published findings of IIHR Report</w:t>
      </w:r>
      <w:r w:rsidR="00AF4D89" w:rsidRPr="00BD7CE5">
        <w:t>,</w:t>
      </w:r>
      <w:r w:rsidR="00FE6443" w:rsidRPr="00BD7CE5">
        <w:t xml:space="preserve"> some of the background material used to assist with the analysis of the data collected during their research project</w:t>
      </w:r>
      <w:r w:rsidR="00AF4D89" w:rsidRPr="00BD7CE5">
        <w:t xml:space="preserve"> and new developments since the publication of the IIHR Report.</w:t>
      </w:r>
      <w:r w:rsidR="00FE6443" w:rsidRPr="00BD7CE5">
        <w:t xml:space="preserve"> </w:t>
      </w:r>
      <w:r w:rsidRPr="00BD7CE5">
        <w:t xml:space="preserve"> </w:t>
      </w:r>
    </w:p>
    <w:p w14:paraId="7F729AAA" w14:textId="7033F483" w:rsidR="00F15EA1" w:rsidRPr="00BD7CE5" w:rsidRDefault="00FE6443" w:rsidP="00367CFB">
      <w:pPr>
        <w:numPr>
          <w:ilvl w:val="0"/>
          <w:numId w:val="12"/>
        </w:numPr>
        <w:jc w:val="both"/>
      </w:pPr>
      <w:r w:rsidRPr="00BD7CE5">
        <w:t xml:space="preserve">In summary, the </w:t>
      </w:r>
      <w:r w:rsidR="000A455F" w:rsidRPr="00BD7CE5">
        <w:t>IIHR Report’s findings show that various forms of discrimination, mistreatment, torture, and other denial of rights to the LGBT</w:t>
      </w:r>
      <w:r w:rsidR="002E60F8" w:rsidRPr="00BD7CE5">
        <w:t>Q</w:t>
      </w:r>
      <w:r w:rsidR="000A455F" w:rsidRPr="00BD7CE5">
        <w:t>I community are deeply intertwined with the administrative and legal inheritances of colonialism</w:t>
      </w:r>
      <w:r w:rsidRPr="00BD7CE5">
        <w:t>.</w:t>
      </w:r>
      <w:r w:rsidR="000A455F" w:rsidRPr="00BD7CE5">
        <w:rPr>
          <w:vertAlign w:val="superscript"/>
        </w:rPr>
        <w:footnoteReference w:id="5"/>
      </w:r>
      <w:r w:rsidR="000A455F" w:rsidRPr="00BD7CE5">
        <w:t xml:space="preserve"> </w:t>
      </w:r>
    </w:p>
    <w:p w14:paraId="2169A8B5" w14:textId="03866B9A" w:rsidR="000A455F" w:rsidRPr="00BD7CE5" w:rsidRDefault="000A455F" w:rsidP="00367CFB">
      <w:pPr>
        <w:numPr>
          <w:ilvl w:val="0"/>
          <w:numId w:val="12"/>
        </w:numPr>
        <w:jc w:val="both"/>
      </w:pPr>
      <w:r w:rsidRPr="00BD7CE5">
        <w:t>The Reporter</w:t>
      </w:r>
      <w:r w:rsidR="00FE6443" w:rsidRPr="00BD7CE5">
        <w:t>s</w:t>
      </w:r>
      <w:r w:rsidRPr="00BD7CE5">
        <w:t xml:space="preserve"> follow the questions as suggested in the </w:t>
      </w:r>
      <w:r w:rsidR="00AF4D89" w:rsidRPr="00BD7CE5">
        <w:t>C</w:t>
      </w:r>
      <w:r w:rsidRPr="00BD7CE5">
        <w:t xml:space="preserve">all to guide the formulation of </w:t>
      </w:r>
      <w:r w:rsidR="00AF4D89" w:rsidRPr="00BD7CE5">
        <w:t>the</w:t>
      </w:r>
      <w:r w:rsidR="00FE6443" w:rsidRPr="00BD7CE5">
        <w:t xml:space="preserve"> </w:t>
      </w:r>
      <w:r w:rsidR="00AF4D89" w:rsidRPr="00BD7CE5">
        <w:t>S</w:t>
      </w:r>
      <w:r w:rsidR="00FE6443" w:rsidRPr="00BD7CE5">
        <w:t>ubmission.  However, given the evidence available to the Reporters, it is purported to address only questions 1, 2, 3</w:t>
      </w:r>
      <w:r w:rsidR="00367CFB" w:rsidRPr="00BD7CE5">
        <w:t xml:space="preserve">, </w:t>
      </w:r>
      <w:r w:rsidR="003305FE" w:rsidRPr="00BD7CE5">
        <w:t xml:space="preserve">4, </w:t>
      </w:r>
      <w:r w:rsidR="00367CFB" w:rsidRPr="00BD7CE5">
        <w:t>5</w:t>
      </w:r>
      <w:r w:rsidR="003305FE" w:rsidRPr="00BD7CE5">
        <w:t>, 7</w:t>
      </w:r>
      <w:r w:rsidR="00367CFB" w:rsidRPr="00BD7CE5">
        <w:t xml:space="preserve"> and </w:t>
      </w:r>
      <w:r w:rsidR="003305FE" w:rsidRPr="00BD7CE5">
        <w:t>10</w:t>
      </w:r>
      <w:r w:rsidR="00FE6443" w:rsidRPr="00BD7CE5">
        <w:t xml:space="preserve"> of the Call</w:t>
      </w:r>
      <w:r w:rsidR="006643A0" w:rsidRPr="00BD7CE5">
        <w:t>.</w:t>
      </w:r>
      <w:r w:rsidR="00FE6443" w:rsidRPr="00BD7CE5">
        <w:t xml:space="preserve">  </w:t>
      </w:r>
    </w:p>
    <w:p w14:paraId="6D79EFB8" w14:textId="5DEBBF55" w:rsidR="000A455F" w:rsidRPr="00BD7CE5" w:rsidRDefault="000A455F" w:rsidP="00367CFB">
      <w:pPr>
        <w:numPr>
          <w:ilvl w:val="0"/>
          <w:numId w:val="12"/>
        </w:numPr>
        <w:jc w:val="both"/>
      </w:pPr>
      <w:r w:rsidRPr="00BD7CE5">
        <w:t xml:space="preserve">The material relied upon in </w:t>
      </w:r>
      <w:r w:rsidR="00AF4D89" w:rsidRPr="00BD7CE5">
        <w:t xml:space="preserve">the Submission </w:t>
      </w:r>
      <w:r w:rsidRPr="00BD7CE5">
        <w:t xml:space="preserve">is </w:t>
      </w:r>
      <w:r w:rsidR="00FE6443" w:rsidRPr="00BD7CE5">
        <w:t>the IIHR Report for which a</w:t>
      </w:r>
      <w:r w:rsidRPr="00BD7CE5">
        <w:t xml:space="preserve"> hyperlink</w:t>
      </w:r>
      <w:r w:rsidR="00FE6443" w:rsidRPr="00BD7CE5">
        <w:t xml:space="preserve"> is</w:t>
      </w:r>
      <w:r w:rsidRPr="00BD7CE5">
        <w:t xml:space="preserve"> </w:t>
      </w:r>
      <w:r w:rsidR="00F15EA1" w:rsidRPr="00BD7CE5">
        <w:t>provided</w:t>
      </w:r>
      <w:r w:rsidR="00AF4D89" w:rsidRPr="00BD7CE5">
        <w:t xml:space="preserve"> </w:t>
      </w:r>
      <w:r w:rsidR="000F0037" w:rsidRPr="00BD7CE5">
        <w:t xml:space="preserve">in footnote 4 </w:t>
      </w:r>
      <w:r w:rsidR="00AF4D89" w:rsidRPr="00BD7CE5">
        <w:t>and PDF cop</w:t>
      </w:r>
      <w:r w:rsidR="000D14A1">
        <w:t>ies</w:t>
      </w:r>
      <w:r w:rsidR="00AF4D89" w:rsidRPr="00BD7CE5">
        <w:t xml:space="preserve"> of the Spanish and English version</w:t>
      </w:r>
      <w:r w:rsidR="000D14A1">
        <w:t>s are</w:t>
      </w:r>
      <w:r w:rsidR="00AF4D89" w:rsidRPr="00BD7CE5">
        <w:t xml:space="preserve"> </w:t>
      </w:r>
      <w:r w:rsidR="000F0037" w:rsidRPr="00BD7CE5">
        <w:t>attached</w:t>
      </w:r>
      <w:r w:rsidR="00FE6443" w:rsidRPr="00BD7CE5">
        <w:t>.</w:t>
      </w:r>
      <w:r w:rsidR="00AF4D89" w:rsidRPr="00BD7CE5">
        <w:rPr>
          <w:rStyle w:val="FootnoteReference"/>
        </w:rPr>
        <w:footnoteReference w:id="6"/>
      </w:r>
      <w:r w:rsidR="00FE6443" w:rsidRPr="00BD7CE5">
        <w:t xml:space="preserve">  Other material referred to in </w:t>
      </w:r>
      <w:r w:rsidR="00D2462A" w:rsidRPr="00BD7CE5">
        <w:t>the</w:t>
      </w:r>
      <w:r w:rsidR="00FE6443" w:rsidRPr="00BD7CE5">
        <w:t xml:space="preserve"> </w:t>
      </w:r>
      <w:r w:rsidR="00D2462A" w:rsidRPr="00BD7CE5">
        <w:t>S</w:t>
      </w:r>
      <w:r w:rsidR="00FE6443" w:rsidRPr="00BD7CE5">
        <w:t xml:space="preserve">ubmission is listed in </w:t>
      </w:r>
      <w:r w:rsidRPr="00BD7CE5">
        <w:t xml:space="preserve">Appendix </w:t>
      </w:r>
      <w:r w:rsidR="00D2462A" w:rsidRPr="00BD7CE5">
        <w:t>2</w:t>
      </w:r>
      <w:r w:rsidRPr="00BD7CE5">
        <w:t>.</w:t>
      </w:r>
      <w:r w:rsidR="007E1F49" w:rsidRPr="00BD7CE5">
        <w:rPr>
          <w:rStyle w:val="FootnoteReference"/>
        </w:rPr>
        <w:footnoteReference w:id="7"/>
      </w:r>
    </w:p>
    <w:p w14:paraId="232A6D3C" w14:textId="3F31EBF2" w:rsidR="00D2462A" w:rsidRPr="00BD7CE5" w:rsidRDefault="00D2462A" w:rsidP="00367CFB">
      <w:pPr>
        <w:numPr>
          <w:ilvl w:val="0"/>
          <w:numId w:val="12"/>
        </w:numPr>
        <w:jc w:val="both"/>
      </w:pPr>
      <w:r w:rsidRPr="00BD7CE5">
        <w:t xml:space="preserve">For any clarification or question please reach out directly to the Reporters by email to </w:t>
      </w:r>
      <w:hyperlink r:id="rId8" w:history="1">
        <w:r w:rsidRPr="00BD7CE5">
          <w:rPr>
            <w:rStyle w:val="Hyperlink"/>
          </w:rPr>
          <w:t>Leonardo.raznovich@gmail.com</w:t>
        </w:r>
      </w:hyperlink>
      <w:r w:rsidR="00330DD4" w:rsidRPr="00BD7CE5">
        <w:t xml:space="preserve"> and </w:t>
      </w:r>
      <w:hyperlink r:id="rId9" w:history="1">
        <w:r w:rsidR="00330DD4" w:rsidRPr="00BD7CE5">
          <w:rPr>
            <w:rStyle w:val="Hyperlink"/>
          </w:rPr>
          <w:t>eraulzaffaroni@gmail.com</w:t>
        </w:r>
      </w:hyperlink>
      <w:r w:rsidR="00330DD4" w:rsidRPr="00BD7CE5">
        <w:t>.</w:t>
      </w:r>
    </w:p>
    <w:p w14:paraId="29937F49" w14:textId="77777777" w:rsidR="00F00484" w:rsidRPr="00BD7CE5" w:rsidRDefault="00F00484" w:rsidP="00330DD4"/>
    <w:p w14:paraId="7272F802" w14:textId="3FA149A8" w:rsidR="00F00484" w:rsidRPr="00BD7CE5" w:rsidRDefault="00F00484" w:rsidP="00F00484">
      <w:pPr>
        <w:jc w:val="right"/>
      </w:pPr>
      <w:r w:rsidRPr="00BD7CE5">
        <w:t xml:space="preserve">Dr Leonardo J Raznovich, Barrister </w:t>
      </w:r>
    </w:p>
    <w:p w14:paraId="5CA8A05D" w14:textId="21ACDE96" w:rsidR="00F00484" w:rsidRPr="00BD7CE5" w:rsidRDefault="00F00484" w:rsidP="00F00484">
      <w:pPr>
        <w:jc w:val="right"/>
      </w:pPr>
      <w:r w:rsidRPr="00BD7CE5">
        <w:t>Bedlington Chambers – UK.</w:t>
      </w:r>
    </w:p>
    <w:p w14:paraId="62B7BDB8" w14:textId="77777777" w:rsidR="00330DD4" w:rsidRPr="00BD7CE5" w:rsidRDefault="00330DD4" w:rsidP="00330DD4">
      <w:pPr>
        <w:jc w:val="right"/>
      </w:pPr>
      <w:r w:rsidRPr="00BD7CE5">
        <w:t xml:space="preserve">E Raúl </w:t>
      </w:r>
      <w:proofErr w:type="spellStart"/>
      <w:r w:rsidRPr="00BD7CE5">
        <w:t>Zaffaroni</w:t>
      </w:r>
      <w:proofErr w:type="spellEnd"/>
      <w:r w:rsidRPr="00BD7CE5">
        <w:t>, Professor Emeritus</w:t>
      </w:r>
    </w:p>
    <w:p w14:paraId="3DF63467" w14:textId="77777777" w:rsidR="00330DD4" w:rsidRPr="00BD7CE5" w:rsidRDefault="00330DD4" w:rsidP="00330DD4">
      <w:pPr>
        <w:jc w:val="right"/>
      </w:pPr>
      <w:r w:rsidRPr="00BD7CE5">
        <w:t>Universidad of Buenos Aires</w:t>
      </w:r>
    </w:p>
    <w:p w14:paraId="7FE3D6E3" w14:textId="77777777" w:rsidR="00330DD4" w:rsidRPr="00BD7CE5" w:rsidRDefault="00330DD4" w:rsidP="00F00484">
      <w:pPr>
        <w:jc w:val="right"/>
      </w:pPr>
    </w:p>
    <w:p w14:paraId="339A435E" w14:textId="17F6274F" w:rsidR="000A455F" w:rsidRPr="00BD7CE5" w:rsidRDefault="00F00484" w:rsidP="00F00484">
      <w:pPr>
        <w:jc w:val="center"/>
      </w:pPr>
      <w:r w:rsidRPr="00BD7CE5">
        <w:br w:type="page"/>
      </w:r>
      <w:r w:rsidR="00D2462A" w:rsidRPr="00BD7CE5">
        <w:rPr>
          <w:b/>
          <w:bCs/>
        </w:rPr>
        <w:lastRenderedPageBreak/>
        <w:t>Annex 1: The Submission</w:t>
      </w:r>
    </w:p>
    <w:p w14:paraId="57AAE9C6" w14:textId="77777777" w:rsidR="000A455F" w:rsidRPr="00BD7CE5" w:rsidRDefault="000A455F" w:rsidP="00367CFB">
      <w:pPr>
        <w:numPr>
          <w:ilvl w:val="0"/>
          <w:numId w:val="14"/>
        </w:numPr>
        <w:spacing w:before="100" w:beforeAutospacing="1" w:after="100" w:afterAutospacing="1"/>
        <w:jc w:val="both"/>
        <w:rPr>
          <w:b/>
          <w:bCs/>
        </w:rPr>
      </w:pPr>
      <w:r w:rsidRPr="00BD7CE5">
        <w:rPr>
          <w:b/>
          <w:bCs/>
        </w:rPr>
        <w:t>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w:t>
      </w:r>
    </w:p>
    <w:p w14:paraId="55FA5B6E" w14:textId="1C636760" w:rsidR="000A455F" w:rsidRPr="00BD7CE5" w:rsidRDefault="000A455F" w:rsidP="00367CFB">
      <w:pPr>
        <w:ind w:firstLine="360"/>
        <w:jc w:val="both"/>
        <w:rPr>
          <w:b/>
          <w:bCs/>
        </w:rPr>
      </w:pPr>
      <w:r w:rsidRPr="00BD7CE5">
        <w:rPr>
          <w:b/>
          <w:bCs/>
        </w:rPr>
        <w:t>Answer</w:t>
      </w:r>
    </w:p>
    <w:p w14:paraId="1A1D81E7" w14:textId="3CE4D675" w:rsidR="000A455F" w:rsidRPr="00BD7CE5" w:rsidRDefault="000A455F" w:rsidP="00367CFB">
      <w:pPr>
        <w:ind w:firstLine="360"/>
        <w:jc w:val="both"/>
      </w:pPr>
      <w:r w:rsidRPr="00BD7CE5">
        <w:t xml:space="preserve">The IIHR Report explored how </w:t>
      </w:r>
      <w:r w:rsidRPr="00BD7CE5">
        <w:rPr>
          <w:iCs/>
        </w:rPr>
        <w:t>pre-colonial</w:t>
      </w:r>
      <w:r w:rsidRPr="00BD7CE5">
        <w:t xml:space="preserve"> historical studies indicate that people in the Caribbean region, today identifying as LGTBQI+, were neither repressed nor stigmatised by some pre-colonial cultures, but positively valued by them.</w:t>
      </w:r>
      <w:r w:rsidR="00C93129" w:rsidRPr="00BD7CE5">
        <w:rPr>
          <w:rStyle w:val="FootnoteReference"/>
        </w:rPr>
        <w:footnoteReference w:id="8"/>
      </w:r>
      <w:r w:rsidRPr="00BD7CE5">
        <w:t xml:space="preserve"> The pre-colonial historical studies cited in that Report include the 1556 work, by Bartolomé de las Casas, entitled</w:t>
      </w:r>
      <w:r w:rsidRPr="00BD7CE5">
        <w:rPr>
          <w:i/>
          <w:iCs/>
          <w:lang w:val="en-CA"/>
        </w:rPr>
        <w:t xml:space="preserve"> Apologetic Summary History of the People of These Indies</w:t>
      </w:r>
      <w:r w:rsidRPr="00BD7CE5">
        <w:rPr>
          <w:lang w:val="en-CA"/>
        </w:rPr>
        <w:t>, (since republished, Nigel Griffin tr, Penguin, 1992)).</w:t>
      </w:r>
      <w:r w:rsidRPr="00BD7CE5">
        <w:t xml:space="preserve"> </w:t>
      </w:r>
    </w:p>
    <w:p w14:paraId="50433619" w14:textId="77777777" w:rsidR="000A455F" w:rsidRPr="00BD7CE5" w:rsidRDefault="000A455F" w:rsidP="00367CFB">
      <w:pPr>
        <w:jc w:val="both"/>
      </w:pPr>
    </w:p>
    <w:p w14:paraId="790D27A6" w14:textId="3F5114B5" w:rsidR="000A455F" w:rsidRPr="00BD7CE5" w:rsidRDefault="000A455F" w:rsidP="00367CFB">
      <w:pPr>
        <w:ind w:firstLine="360"/>
        <w:jc w:val="both"/>
        <w:rPr>
          <w:rFonts w:eastAsiaTheme="minorHAnsi"/>
        </w:rPr>
      </w:pPr>
      <w:r w:rsidRPr="00BD7CE5">
        <w:t>This accepting attitude collided head-on with the culture and legislation of the European colonising countries which, throughout European history, had been brutal and sadistic towards LGBTQI</w:t>
      </w:r>
      <w:r w:rsidR="006643A0" w:rsidRPr="00BD7CE5">
        <w:t>+</w:t>
      </w:r>
      <w:r w:rsidRPr="00BD7CE5">
        <w:t xml:space="preserve"> people.</w:t>
      </w:r>
      <w:r w:rsidR="00FE6443" w:rsidRPr="00BD7CE5">
        <w:rPr>
          <w:rStyle w:val="FootnoteReference"/>
        </w:rPr>
        <w:footnoteReference w:id="9"/>
      </w:r>
      <w:r w:rsidRPr="00BD7CE5">
        <w:t xml:space="preserve">  The phenomena of segregation and criminalisation of LGBTQI</w:t>
      </w:r>
      <w:r w:rsidR="007E5E22" w:rsidRPr="00BD7CE5">
        <w:t>+</w:t>
      </w:r>
      <w:r w:rsidRPr="00BD7CE5">
        <w:t xml:space="preserve"> people in the Anglophone Caribbean are a consequence of colonial laws exported to the region by the British Empire: see the IIHR Report at 48.</w:t>
      </w:r>
      <w:r w:rsidR="00C93129" w:rsidRPr="00BD7CE5">
        <w:rPr>
          <w:rStyle w:val="FootnoteReference"/>
        </w:rPr>
        <w:footnoteReference w:id="10"/>
      </w:r>
      <w:r w:rsidRPr="00BD7CE5">
        <w:t xml:space="preserve">  Those colonial laws are precisely the ones </w:t>
      </w:r>
      <w:r w:rsidR="006643A0" w:rsidRPr="00BD7CE5">
        <w:t xml:space="preserve">that </w:t>
      </w:r>
      <w:r w:rsidRPr="00BD7CE5">
        <w:t>former British</w:t>
      </w:r>
      <w:r w:rsidRPr="00BD7CE5">
        <w:rPr>
          <w:rFonts w:eastAsiaTheme="minorHAnsi"/>
        </w:rPr>
        <w:t xml:space="preserve"> Prime Minister Theresa May </w:t>
      </w:r>
      <w:r w:rsidR="006643A0" w:rsidRPr="00BD7CE5">
        <w:rPr>
          <w:rFonts w:eastAsiaTheme="minorHAnsi"/>
        </w:rPr>
        <w:t xml:space="preserve">acknowledged and apologised for </w:t>
      </w:r>
      <w:r w:rsidRPr="00BD7CE5">
        <w:rPr>
          <w:rFonts w:eastAsiaTheme="minorHAnsi"/>
        </w:rPr>
        <w:t xml:space="preserve">in 2018 (as reported in </w:t>
      </w:r>
      <w:r w:rsidRPr="00BD7CE5">
        <w:rPr>
          <w:rFonts w:eastAsiaTheme="minorHAnsi"/>
          <w:i/>
          <w:iCs/>
        </w:rPr>
        <w:t>The</w:t>
      </w:r>
      <w:r w:rsidRPr="00BD7CE5">
        <w:rPr>
          <w:rFonts w:eastAsiaTheme="minorHAnsi"/>
        </w:rPr>
        <w:t xml:space="preserve"> </w:t>
      </w:r>
      <w:r w:rsidRPr="00BD7CE5">
        <w:rPr>
          <w:rFonts w:eastAsiaTheme="minorHAnsi"/>
          <w:i/>
          <w:iCs/>
        </w:rPr>
        <w:t xml:space="preserve">Guardian </w:t>
      </w:r>
      <w:r w:rsidRPr="00BD7CE5">
        <w:rPr>
          <w:rFonts w:eastAsiaTheme="minorHAnsi"/>
        </w:rPr>
        <w:t>for 17 April 2018)</w:t>
      </w:r>
      <w:r w:rsidR="00F00484" w:rsidRPr="00BD7CE5">
        <w:rPr>
          <w:rFonts w:eastAsiaTheme="minorHAnsi"/>
        </w:rPr>
        <w:t xml:space="preserve"> stating</w:t>
      </w:r>
      <w:r w:rsidRPr="00BD7CE5">
        <w:rPr>
          <w:rFonts w:eastAsiaTheme="minorHAnsi"/>
        </w:rPr>
        <w:t>:</w:t>
      </w:r>
    </w:p>
    <w:p w14:paraId="48657CFC" w14:textId="77777777" w:rsidR="000A455F" w:rsidRPr="00BD7CE5" w:rsidRDefault="000A455F" w:rsidP="00367CFB">
      <w:pPr>
        <w:jc w:val="both"/>
        <w:rPr>
          <w:i/>
          <w:iCs/>
        </w:rPr>
      </w:pPr>
    </w:p>
    <w:p w14:paraId="5498B149" w14:textId="4A83097D" w:rsidR="000A455F" w:rsidRPr="00BD7CE5" w:rsidRDefault="000A455F" w:rsidP="00367CFB">
      <w:pPr>
        <w:ind w:left="360" w:right="237" w:firstLine="360"/>
        <w:jc w:val="both"/>
        <w:rPr>
          <w:i/>
          <w:iCs/>
        </w:rPr>
      </w:pPr>
      <w:r w:rsidRPr="00BD7CE5">
        <w:rPr>
          <w:rFonts w:eastAsiaTheme="minorHAnsi"/>
          <w:i/>
          <w:iCs/>
        </w:rPr>
        <w:t>[T]</w:t>
      </w:r>
      <w:proofErr w:type="spellStart"/>
      <w:r w:rsidRPr="00BD7CE5">
        <w:rPr>
          <w:rFonts w:eastAsiaTheme="minorHAnsi"/>
          <w:i/>
          <w:iCs/>
        </w:rPr>
        <w:t>hese</w:t>
      </w:r>
      <w:proofErr w:type="spellEnd"/>
      <w:r w:rsidRPr="00BD7CE5">
        <w:rPr>
          <w:rFonts w:eastAsiaTheme="minorHAnsi"/>
          <w:i/>
          <w:iCs/>
        </w:rPr>
        <w:t xml:space="preserve"> laws were often put in place by my own country. They were wrong then, and they are wrong now. As the UK’s Prime Minister, I deeply regret both the fact that such laws were introduced, and the legacy of discrimination, violence and even death that persists today.</w:t>
      </w:r>
    </w:p>
    <w:p w14:paraId="6BE71274" w14:textId="2A12A5D6" w:rsidR="000A455F" w:rsidRPr="00BD7CE5" w:rsidRDefault="000A455F" w:rsidP="00367CFB">
      <w:pPr>
        <w:numPr>
          <w:ilvl w:val="0"/>
          <w:numId w:val="14"/>
        </w:numPr>
        <w:spacing w:before="100" w:beforeAutospacing="1" w:after="100" w:afterAutospacing="1"/>
        <w:jc w:val="both"/>
        <w:rPr>
          <w:b/>
          <w:bCs/>
        </w:rPr>
      </w:pPr>
      <w:r w:rsidRPr="00BD7CE5">
        <w:rPr>
          <w:b/>
          <w:bCs/>
        </w:rPr>
        <w:t xml:space="preserve">What laws, policies, and practices regulated or influenced the shaping of or the socio-normative perception of sexual orientation and gender identity in colonial times? How were they introduced, promoted, </w:t>
      </w:r>
      <w:proofErr w:type="gramStart"/>
      <w:r w:rsidRPr="00BD7CE5">
        <w:rPr>
          <w:b/>
          <w:bCs/>
        </w:rPr>
        <w:t>administered</w:t>
      </w:r>
      <w:proofErr w:type="gramEnd"/>
      <w:r w:rsidRPr="00BD7CE5">
        <w:rPr>
          <w:b/>
          <w:bCs/>
        </w:rPr>
        <w:t xml:space="preserve"> or enforced? Examples could include prohibition of certain sexual acts, but also regulation of sexual or gender identities and expressions (such as bans on cross-dressing).</w:t>
      </w:r>
    </w:p>
    <w:p w14:paraId="0B77E111" w14:textId="4A04D09C" w:rsidR="000A455F" w:rsidRPr="00BD7CE5" w:rsidRDefault="000A455F" w:rsidP="00367CFB">
      <w:pPr>
        <w:ind w:firstLine="360"/>
        <w:jc w:val="both"/>
        <w:rPr>
          <w:b/>
          <w:bCs/>
        </w:rPr>
      </w:pPr>
      <w:r w:rsidRPr="00BD7CE5">
        <w:rPr>
          <w:b/>
          <w:bCs/>
        </w:rPr>
        <w:t>Answer</w:t>
      </w:r>
    </w:p>
    <w:p w14:paraId="51FE5D14" w14:textId="51FB26B6" w:rsidR="00FC7079" w:rsidRPr="00BD7CE5" w:rsidRDefault="00F15EA1" w:rsidP="00367CFB">
      <w:pPr>
        <w:ind w:firstLine="360"/>
        <w:jc w:val="both"/>
        <w:rPr>
          <w:bCs/>
          <w:lang w:val="en-US"/>
        </w:rPr>
      </w:pPr>
      <w:r w:rsidRPr="00BD7CE5">
        <w:rPr>
          <w:bCs/>
          <w:lang w:val="en-US"/>
        </w:rPr>
        <w:tab/>
      </w:r>
      <w:r w:rsidR="00FE6443" w:rsidRPr="00BD7CE5">
        <w:rPr>
          <w:bCs/>
          <w:lang w:val="en-US"/>
        </w:rPr>
        <w:t>Scholars boasted of the influence of English criminal law throughout the world</w:t>
      </w:r>
      <w:r w:rsidR="00A64979" w:rsidRPr="00BD7CE5">
        <w:rPr>
          <w:bCs/>
          <w:lang w:val="en-US"/>
        </w:rPr>
        <w:t>,</w:t>
      </w:r>
      <w:r w:rsidR="00FE6443" w:rsidRPr="00BD7CE5">
        <w:rPr>
          <w:bCs/>
          <w:vertAlign w:val="superscript"/>
          <w:lang w:val="en-US"/>
        </w:rPr>
        <w:footnoteReference w:id="11"/>
      </w:r>
      <w:r w:rsidR="00FE6443" w:rsidRPr="00BD7CE5">
        <w:rPr>
          <w:bCs/>
          <w:lang w:val="en-US"/>
        </w:rPr>
        <w:t xml:space="preserve"> which included anti-sodomy laws.  </w:t>
      </w:r>
      <w:r w:rsidR="00FC7079" w:rsidRPr="00BD7CE5">
        <w:rPr>
          <w:bCs/>
          <w:lang w:val="en-US"/>
        </w:rPr>
        <w:t>Since the first English legislation that established the sodomy offence in 1533,</w:t>
      </w:r>
      <w:r w:rsidR="00FC7079" w:rsidRPr="00BD7CE5">
        <w:rPr>
          <w:bCs/>
          <w:vertAlign w:val="superscript"/>
          <w:lang w:val="en-US"/>
        </w:rPr>
        <w:footnoteReference w:id="12"/>
      </w:r>
      <w:r w:rsidR="00FC7079" w:rsidRPr="00BD7CE5">
        <w:rPr>
          <w:bCs/>
          <w:lang w:val="en-US"/>
        </w:rPr>
        <w:t xml:space="preserve"> the actus reus has been left abstract</w:t>
      </w:r>
      <w:r w:rsidR="000E293C" w:rsidRPr="00BD7CE5">
        <w:rPr>
          <w:bCs/>
          <w:lang w:val="en-US"/>
        </w:rPr>
        <w:t>;</w:t>
      </w:r>
      <w:r w:rsidR="0002668C" w:rsidRPr="00BD7CE5">
        <w:rPr>
          <w:bCs/>
          <w:lang w:val="en-US"/>
        </w:rPr>
        <w:t xml:space="preserve"> t</w:t>
      </w:r>
      <w:r w:rsidR="00FC7079" w:rsidRPr="00BD7CE5">
        <w:rPr>
          <w:bCs/>
          <w:lang w:val="en-US"/>
        </w:rPr>
        <w:t xml:space="preserve">he prohibited conduct described as </w:t>
      </w:r>
      <w:r w:rsidR="00FC7079" w:rsidRPr="00BD7CE5">
        <w:rPr>
          <w:bCs/>
          <w:i/>
          <w:lang w:val="en-US"/>
        </w:rPr>
        <w:t>“the detestable and abominable vice of buggery committed with mankind or beast”</w:t>
      </w:r>
      <w:r w:rsidR="00FC7079" w:rsidRPr="00BD7CE5">
        <w:rPr>
          <w:bCs/>
          <w:vertAlign w:val="superscript"/>
          <w:lang w:val="en-US"/>
        </w:rPr>
        <w:footnoteReference w:id="13"/>
      </w:r>
      <w:r w:rsidR="00FC7079" w:rsidRPr="00BD7CE5">
        <w:rPr>
          <w:bCs/>
          <w:lang w:val="en-US"/>
        </w:rPr>
        <w:t xml:space="preserve"> and survived hardly unaltered until its repeal in 1967.</w:t>
      </w:r>
      <w:r w:rsidR="00FC7079" w:rsidRPr="00BD7CE5">
        <w:rPr>
          <w:bCs/>
          <w:vertAlign w:val="superscript"/>
          <w:lang w:val="en-US"/>
        </w:rPr>
        <w:footnoteReference w:id="14"/>
      </w:r>
      <w:r w:rsidR="00FC7079" w:rsidRPr="00BD7CE5">
        <w:rPr>
          <w:bCs/>
          <w:lang w:val="en-US"/>
        </w:rPr>
        <w:t xml:space="preserve">  English courts construed the offence to include only </w:t>
      </w:r>
      <w:r w:rsidR="00FC7079" w:rsidRPr="00BD7CE5">
        <w:rPr>
          <w:bCs/>
          <w:lang w:val="en-US"/>
        </w:rPr>
        <w:lastRenderedPageBreak/>
        <w:t>anal penetration.</w:t>
      </w:r>
      <w:r w:rsidR="00FC7079" w:rsidRPr="00BD7CE5">
        <w:rPr>
          <w:bCs/>
          <w:vertAlign w:val="superscript"/>
          <w:lang w:val="en-US"/>
        </w:rPr>
        <w:footnoteReference w:id="15"/>
      </w:r>
      <w:r w:rsidR="00FC7079" w:rsidRPr="00BD7CE5">
        <w:rPr>
          <w:bCs/>
          <w:lang w:val="en-US"/>
        </w:rPr>
        <w:t xml:space="preserve"> In 1885, the British Parliament expanded the control of male sexuality by creating the offence of “gross indecency”, according to which any act or expression in public or private (other than anal penetration) whose purpose was to express the sexual desire of a man for another man (and thus contrary to the dominant binary gender norm) was a crime punishable with up to two years in prison and forced labor.</w:t>
      </w:r>
      <w:r w:rsidR="00FC7079" w:rsidRPr="00BD7CE5">
        <w:rPr>
          <w:bCs/>
          <w:vertAlign w:val="superscript"/>
          <w:lang w:val="en-US"/>
        </w:rPr>
        <w:footnoteReference w:id="16"/>
      </w:r>
    </w:p>
    <w:p w14:paraId="58EA11A9" w14:textId="77777777" w:rsidR="00FC7079" w:rsidRPr="00BD7CE5" w:rsidRDefault="00FC7079" w:rsidP="00367CFB">
      <w:pPr>
        <w:ind w:firstLine="360"/>
        <w:jc w:val="both"/>
        <w:rPr>
          <w:bCs/>
          <w:lang w:val="en-US"/>
        </w:rPr>
      </w:pPr>
    </w:p>
    <w:p w14:paraId="3243DFC7" w14:textId="1DEFB245" w:rsidR="00FE6443" w:rsidRPr="00BD7CE5" w:rsidRDefault="00F15EA1" w:rsidP="00FC7079">
      <w:pPr>
        <w:ind w:firstLine="360"/>
        <w:jc w:val="both"/>
        <w:rPr>
          <w:bCs/>
          <w:lang w:val="en-US"/>
        </w:rPr>
      </w:pPr>
      <w:r w:rsidRPr="00BD7CE5">
        <w:rPr>
          <w:bCs/>
          <w:lang w:val="en-US"/>
        </w:rPr>
        <w:t xml:space="preserve">This regulation of human sexuality, in particular </w:t>
      </w:r>
      <w:r w:rsidR="00A64979" w:rsidRPr="00BD7CE5">
        <w:rPr>
          <w:bCs/>
          <w:lang w:val="en-US"/>
        </w:rPr>
        <w:t>male</w:t>
      </w:r>
      <w:r w:rsidR="006643A0" w:rsidRPr="00BD7CE5">
        <w:rPr>
          <w:bCs/>
          <w:lang w:val="en-US"/>
        </w:rPr>
        <w:t xml:space="preserve"> sexuality</w:t>
      </w:r>
      <w:r w:rsidRPr="00BD7CE5">
        <w:rPr>
          <w:bCs/>
          <w:lang w:val="en-US"/>
        </w:rPr>
        <w:t>,</w:t>
      </w:r>
      <w:r w:rsidRPr="00BD7CE5">
        <w:rPr>
          <w:bCs/>
          <w:vertAlign w:val="superscript"/>
          <w:lang w:val="en-US"/>
        </w:rPr>
        <w:footnoteReference w:id="17"/>
      </w:r>
      <w:r w:rsidRPr="00BD7CE5">
        <w:rPr>
          <w:bCs/>
          <w:lang w:val="en-US"/>
        </w:rPr>
        <w:t xml:space="preserve"> was exported and imposed </w:t>
      </w:r>
      <w:r w:rsidR="00FE6443" w:rsidRPr="00BD7CE5">
        <w:rPr>
          <w:bCs/>
          <w:lang w:val="en-US"/>
        </w:rPr>
        <w:t>upon</w:t>
      </w:r>
      <w:r w:rsidRPr="00BD7CE5">
        <w:rPr>
          <w:bCs/>
          <w:lang w:val="en-US"/>
        </w:rPr>
        <w:t xml:space="preserve"> the native</w:t>
      </w:r>
      <w:r w:rsidR="00FE6443" w:rsidRPr="00BD7CE5">
        <w:rPr>
          <w:bCs/>
          <w:lang w:val="en-US"/>
        </w:rPr>
        <w:t>s</w:t>
      </w:r>
      <w:r w:rsidRPr="00BD7CE5">
        <w:rPr>
          <w:bCs/>
          <w:lang w:val="en-US"/>
        </w:rPr>
        <w:t xml:space="preserve"> of the colonies of the British Empire under the argument </w:t>
      </w:r>
      <w:r w:rsidR="00FE6443" w:rsidRPr="00BD7CE5">
        <w:rPr>
          <w:bCs/>
          <w:lang w:val="en-US"/>
        </w:rPr>
        <w:t xml:space="preserve">that </w:t>
      </w:r>
      <w:r w:rsidRPr="00BD7CE5">
        <w:rPr>
          <w:bCs/>
          <w:lang w:val="en-US"/>
        </w:rPr>
        <w:t xml:space="preserve">the </w:t>
      </w:r>
      <w:r w:rsidR="00FE6443" w:rsidRPr="00BD7CE5">
        <w:rPr>
          <w:bCs/>
          <w:lang w:val="en-US"/>
        </w:rPr>
        <w:t xml:space="preserve">native </w:t>
      </w:r>
      <w:r w:rsidRPr="00BD7CE5">
        <w:rPr>
          <w:bCs/>
          <w:lang w:val="en-US"/>
        </w:rPr>
        <w:t>inhabitants of the colonies had to be ‘</w:t>
      </w:r>
      <w:proofErr w:type="spellStart"/>
      <w:r w:rsidRPr="00BD7CE5">
        <w:rPr>
          <w:bCs/>
          <w:lang w:val="en-US"/>
        </w:rPr>
        <w:t>Christianised</w:t>
      </w:r>
      <w:proofErr w:type="spellEnd"/>
      <w:r w:rsidRPr="00BD7CE5">
        <w:rPr>
          <w:bCs/>
          <w:lang w:val="en-US"/>
        </w:rPr>
        <w:t>’</w:t>
      </w:r>
      <w:r w:rsidR="00FE6443" w:rsidRPr="00BD7CE5">
        <w:rPr>
          <w:bCs/>
          <w:lang w:val="en-US"/>
        </w:rPr>
        <w:t xml:space="preserve"> to protect the British from their customs.</w:t>
      </w:r>
      <w:r w:rsidRPr="00BD7CE5">
        <w:rPr>
          <w:bCs/>
          <w:vertAlign w:val="superscript"/>
          <w:lang w:val="en-US"/>
        </w:rPr>
        <w:footnoteReference w:id="18"/>
      </w:r>
      <w:r w:rsidRPr="00BD7CE5">
        <w:rPr>
          <w:bCs/>
          <w:lang w:val="en-US"/>
        </w:rPr>
        <w:t xml:space="preserve"> </w:t>
      </w:r>
      <w:r w:rsidR="00FE6443" w:rsidRPr="00BD7CE5">
        <w:rPr>
          <w:bCs/>
          <w:lang w:val="en-US"/>
        </w:rPr>
        <w:t xml:space="preserve"> </w:t>
      </w:r>
      <w:r w:rsidRPr="00BD7CE5">
        <w:rPr>
          <w:bCs/>
          <w:lang w:val="en-US"/>
        </w:rPr>
        <w:t xml:space="preserve">Some colonies adopted the </w:t>
      </w:r>
      <w:r w:rsidR="00D62829" w:rsidRPr="00BD7CE5">
        <w:rPr>
          <w:bCs/>
          <w:lang w:val="en-US"/>
        </w:rPr>
        <w:t xml:space="preserve">English </w:t>
      </w:r>
      <w:r w:rsidRPr="00BD7CE5">
        <w:rPr>
          <w:bCs/>
          <w:lang w:val="en-US"/>
        </w:rPr>
        <w:t xml:space="preserve">laws </w:t>
      </w:r>
      <w:r w:rsidR="00FE6443" w:rsidRPr="00BD7CE5">
        <w:rPr>
          <w:bCs/>
          <w:lang w:val="en-US"/>
        </w:rPr>
        <w:t>of</w:t>
      </w:r>
      <w:r w:rsidRPr="00BD7CE5">
        <w:rPr>
          <w:bCs/>
          <w:lang w:val="en-US"/>
        </w:rPr>
        <w:t xml:space="preserve"> th</w:t>
      </w:r>
      <w:r w:rsidR="00FE6443" w:rsidRPr="00BD7CE5">
        <w:rPr>
          <w:bCs/>
          <w:lang w:val="en-US"/>
        </w:rPr>
        <w:t>e</w:t>
      </w:r>
      <w:r w:rsidRPr="00BD7CE5">
        <w:rPr>
          <w:bCs/>
          <w:lang w:val="en-US"/>
        </w:rPr>
        <w:t xml:space="preserve"> time</w:t>
      </w:r>
      <w:r w:rsidR="00FE6443" w:rsidRPr="00BD7CE5">
        <w:rPr>
          <w:bCs/>
          <w:lang w:val="en-US"/>
        </w:rPr>
        <w:t xml:space="preserve"> </w:t>
      </w:r>
      <w:r w:rsidRPr="00BD7CE5">
        <w:rPr>
          <w:bCs/>
          <w:lang w:val="en-US"/>
        </w:rPr>
        <w:t xml:space="preserve">– </w:t>
      </w:r>
      <w:r w:rsidR="00330DD4" w:rsidRPr="00BD7CE5">
        <w:rPr>
          <w:bCs/>
          <w:lang w:val="en-US"/>
        </w:rPr>
        <w:t>e.g.,</w:t>
      </w:r>
      <w:r w:rsidRPr="00BD7CE5">
        <w:rPr>
          <w:bCs/>
          <w:lang w:val="en-US"/>
        </w:rPr>
        <w:t xml:space="preserve"> Jamaica adopted the Offences against the Person Act</w:t>
      </w:r>
      <w:r w:rsidR="00FE6443" w:rsidRPr="00BD7CE5">
        <w:rPr>
          <w:bCs/>
          <w:lang w:val="en-US"/>
        </w:rPr>
        <w:t xml:space="preserve"> 1861</w:t>
      </w:r>
      <w:r w:rsidR="00D62829" w:rsidRPr="00BD7CE5">
        <w:rPr>
          <w:bCs/>
          <w:lang w:val="en-US"/>
        </w:rPr>
        <w:t xml:space="preserve">, </w:t>
      </w:r>
      <w:r w:rsidR="00FC7079" w:rsidRPr="00BD7CE5">
        <w:rPr>
          <w:bCs/>
          <w:lang w:val="en-US"/>
        </w:rPr>
        <w:t>24-</w:t>
      </w:r>
      <w:r w:rsidR="00FC7079" w:rsidRPr="00BD7CE5">
        <w:rPr>
          <w:bCs/>
          <w:lang w:val="en-US"/>
        </w:rPr>
        <w:t xml:space="preserve">5 </w:t>
      </w:r>
      <w:proofErr w:type="spellStart"/>
      <w:r w:rsidR="00FC7079" w:rsidRPr="00BD7CE5">
        <w:rPr>
          <w:bCs/>
          <w:lang w:val="en-US"/>
        </w:rPr>
        <w:t>Vict</w:t>
      </w:r>
      <w:proofErr w:type="spellEnd"/>
      <w:r w:rsidR="00FC7079" w:rsidRPr="00BD7CE5">
        <w:rPr>
          <w:bCs/>
          <w:lang w:val="en-US"/>
        </w:rPr>
        <w:t xml:space="preserve">. c. </w:t>
      </w:r>
      <w:r w:rsidR="00FC7079" w:rsidRPr="00BD7CE5">
        <w:rPr>
          <w:bCs/>
          <w:lang w:val="en-US"/>
        </w:rPr>
        <w:t>100</w:t>
      </w:r>
      <w:r w:rsidRPr="00BD7CE5">
        <w:rPr>
          <w:bCs/>
          <w:lang w:val="en-US"/>
        </w:rPr>
        <w:t xml:space="preserve">, which included the sodomy offence.  Other colonies were </w:t>
      </w:r>
      <w:r w:rsidR="00FE6443" w:rsidRPr="00BD7CE5">
        <w:rPr>
          <w:bCs/>
          <w:lang w:val="en-US"/>
        </w:rPr>
        <w:t>imposed</w:t>
      </w:r>
      <w:r w:rsidRPr="00BD7CE5">
        <w:rPr>
          <w:bCs/>
          <w:lang w:val="en-US"/>
        </w:rPr>
        <w:t xml:space="preserve"> the model code written by Thomas Macaulay</w:t>
      </w:r>
      <w:r w:rsidR="00FE6443" w:rsidRPr="00BD7CE5">
        <w:rPr>
          <w:bCs/>
          <w:lang w:val="en-US"/>
        </w:rPr>
        <w:t xml:space="preserve">, </w:t>
      </w:r>
      <w:r w:rsidR="00330DD4" w:rsidRPr="00BD7CE5">
        <w:rPr>
          <w:bCs/>
          <w:lang w:val="en-US"/>
        </w:rPr>
        <w:t>e.g.,</w:t>
      </w:r>
      <w:r w:rsidR="00FE6443" w:rsidRPr="00BD7CE5">
        <w:rPr>
          <w:bCs/>
          <w:lang w:val="en-US"/>
        </w:rPr>
        <w:t xml:space="preserve"> </w:t>
      </w:r>
      <w:r w:rsidRPr="00BD7CE5">
        <w:rPr>
          <w:bCs/>
          <w:lang w:val="en-US"/>
        </w:rPr>
        <w:t>India in 1860</w:t>
      </w:r>
      <w:r w:rsidR="00FE6443" w:rsidRPr="00BD7CE5">
        <w:rPr>
          <w:bCs/>
          <w:lang w:val="en-US"/>
        </w:rPr>
        <w:t>,</w:t>
      </w:r>
      <w:r w:rsidRPr="00BD7CE5">
        <w:rPr>
          <w:bCs/>
          <w:lang w:val="en-US"/>
        </w:rPr>
        <w:t xml:space="preserve"> </w:t>
      </w:r>
      <w:r w:rsidR="00FE6443" w:rsidRPr="00BD7CE5">
        <w:rPr>
          <w:bCs/>
          <w:lang w:val="en-US"/>
        </w:rPr>
        <w:t>or by</w:t>
      </w:r>
      <w:r w:rsidRPr="00BD7CE5">
        <w:rPr>
          <w:bCs/>
          <w:lang w:val="en-US"/>
        </w:rPr>
        <w:t xml:space="preserve"> R S Wright</w:t>
      </w:r>
      <w:r w:rsidR="00FE6443" w:rsidRPr="00BD7CE5">
        <w:rPr>
          <w:bCs/>
          <w:lang w:val="en-US"/>
        </w:rPr>
        <w:t>, originally written</w:t>
      </w:r>
      <w:r w:rsidRPr="00BD7CE5">
        <w:rPr>
          <w:bCs/>
          <w:lang w:val="en-US"/>
        </w:rPr>
        <w:t xml:space="preserve"> for Jamaica</w:t>
      </w:r>
      <w:r w:rsidR="00FE6443" w:rsidRPr="00BD7CE5">
        <w:rPr>
          <w:bCs/>
          <w:lang w:val="en-US"/>
        </w:rPr>
        <w:t xml:space="preserve">, never </w:t>
      </w:r>
      <w:r w:rsidRPr="00BD7CE5">
        <w:rPr>
          <w:bCs/>
          <w:lang w:val="en-US"/>
        </w:rPr>
        <w:t>implemented therein</w:t>
      </w:r>
      <w:r w:rsidR="00FE6443" w:rsidRPr="00BD7CE5">
        <w:rPr>
          <w:bCs/>
          <w:lang w:val="en-US"/>
        </w:rPr>
        <w:t>,</w:t>
      </w:r>
      <w:r w:rsidRPr="00BD7CE5">
        <w:rPr>
          <w:bCs/>
          <w:lang w:val="en-US"/>
        </w:rPr>
        <w:t xml:space="preserve"> </w:t>
      </w:r>
      <w:r w:rsidR="00FE6443" w:rsidRPr="00BD7CE5">
        <w:rPr>
          <w:bCs/>
          <w:lang w:val="en-US"/>
        </w:rPr>
        <w:t xml:space="preserve">but </w:t>
      </w:r>
      <w:r w:rsidR="00653F67" w:rsidRPr="00BD7CE5">
        <w:rPr>
          <w:bCs/>
          <w:lang w:val="en-US"/>
        </w:rPr>
        <w:t>imposed</w:t>
      </w:r>
      <w:r w:rsidR="00FE6443" w:rsidRPr="00BD7CE5">
        <w:rPr>
          <w:bCs/>
          <w:lang w:val="en-US"/>
        </w:rPr>
        <w:t xml:space="preserve"> in</w:t>
      </w:r>
      <w:r w:rsidRPr="00BD7CE5">
        <w:rPr>
          <w:bCs/>
          <w:lang w:val="en-US"/>
        </w:rPr>
        <w:t xml:space="preserve"> British Honduras (today Belize), Tobago, and St. Lucia.</w:t>
      </w:r>
      <w:r w:rsidR="00E72B90" w:rsidRPr="00BD7CE5">
        <w:rPr>
          <w:bCs/>
          <w:vertAlign w:val="superscript"/>
          <w:lang w:val="en-US"/>
        </w:rPr>
        <w:t xml:space="preserve"> </w:t>
      </w:r>
      <w:r w:rsidR="00E72B90" w:rsidRPr="00BD7CE5">
        <w:rPr>
          <w:bCs/>
          <w:vertAlign w:val="superscript"/>
          <w:lang w:val="en-US"/>
        </w:rPr>
        <w:footnoteReference w:id="19"/>
      </w:r>
      <w:r w:rsidRPr="00BD7CE5">
        <w:rPr>
          <w:bCs/>
          <w:lang w:val="en-US"/>
        </w:rPr>
        <w:t xml:space="preserve">  </w:t>
      </w:r>
      <w:proofErr w:type="spellStart"/>
      <w:r w:rsidRPr="00BD7CE5">
        <w:rPr>
          <w:bCs/>
          <w:lang w:val="en-US"/>
        </w:rPr>
        <w:t>T</w:t>
      </w:r>
      <w:r w:rsidR="000A455F" w:rsidRPr="00BD7CE5">
        <w:rPr>
          <w:bCs/>
          <w:lang w:val="en"/>
        </w:rPr>
        <w:t>he</w:t>
      </w:r>
      <w:proofErr w:type="spellEnd"/>
      <w:r w:rsidR="000A455F" w:rsidRPr="00BD7CE5">
        <w:rPr>
          <w:bCs/>
          <w:lang w:val="en"/>
        </w:rPr>
        <w:t xml:space="preserve"> history on how the offence of sodomy </w:t>
      </w:r>
      <w:r w:rsidR="00DD1819" w:rsidRPr="00BD7CE5">
        <w:rPr>
          <w:bCs/>
          <w:lang w:val="en"/>
        </w:rPr>
        <w:t xml:space="preserve">was </w:t>
      </w:r>
      <w:r w:rsidR="000A455F" w:rsidRPr="00BD7CE5">
        <w:rPr>
          <w:bCs/>
          <w:lang w:val="en"/>
        </w:rPr>
        <w:t xml:space="preserve">introduced in the Caribbean by the British colonial power is revealing.  </w:t>
      </w:r>
      <w:r w:rsidR="00653F67" w:rsidRPr="00BD7CE5">
        <w:rPr>
          <w:bCs/>
          <w:lang w:val="en"/>
        </w:rPr>
        <w:t xml:space="preserve">RS </w:t>
      </w:r>
      <w:r w:rsidR="000A455F" w:rsidRPr="00BD7CE5">
        <w:rPr>
          <w:bCs/>
          <w:lang w:val="en"/>
        </w:rPr>
        <w:t>Wright’s model penal code</w:t>
      </w:r>
      <w:r w:rsidR="000F6782" w:rsidRPr="00BD7CE5">
        <w:rPr>
          <w:bCs/>
          <w:lang w:val="en"/>
        </w:rPr>
        <w:t>,</w:t>
      </w:r>
      <w:r w:rsidR="000A455F" w:rsidRPr="00BD7CE5">
        <w:rPr>
          <w:bCs/>
          <w:lang w:val="en"/>
        </w:rPr>
        <w:t xml:space="preserve"> influenced by </w:t>
      </w:r>
      <w:r w:rsidR="00D62829" w:rsidRPr="00BD7CE5">
        <w:rPr>
          <w:bCs/>
          <w:lang w:val="en"/>
        </w:rPr>
        <w:t xml:space="preserve">the </w:t>
      </w:r>
      <w:r w:rsidR="000A455F" w:rsidRPr="00BD7CE5">
        <w:rPr>
          <w:bCs/>
          <w:lang w:val="en"/>
        </w:rPr>
        <w:t>German penal code</w:t>
      </w:r>
      <w:r w:rsidR="000F6782" w:rsidRPr="00BD7CE5">
        <w:rPr>
          <w:bCs/>
          <w:lang w:val="en"/>
        </w:rPr>
        <w:t>,</w:t>
      </w:r>
      <w:r w:rsidRPr="00BD7CE5">
        <w:rPr>
          <w:rStyle w:val="FootnoteReference"/>
          <w:bCs/>
          <w:lang w:val="en"/>
        </w:rPr>
        <w:footnoteReference w:id="20"/>
      </w:r>
      <w:r w:rsidR="00D62829" w:rsidRPr="00BD7CE5">
        <w:rPr>
          <w:bCs/>
          <w:lang w:val="en"/>
        </w:rPr>
        <w:t xml:space="preserve"> </w:t>
      </w:r>
      <w:r w:rsidR="000A455F" w:rsidRPr="00BD7CE5">
        <w:rPr>
          <w:bCs/>
          <w:lang w:val="en"/>
        </w:rPr>
        <w:t>codif</w:t>
      </w:r>
      <w:r w:rsidR="00FE6443" w:rsidRPr="00BD7CE5">
        <w:rPr>
          <w:bCs/>
          <w:lang w:val="en"/>
        </w:rPr>
        <w:t>ied</w:t>
      </w:r>
      <w:r w:rsidR="000A455F" w:rsidRPr="00BD7CE5">
        <w:rPr>
          <w:bCs/>
          <w:lang w:val="en"/>
        </w:rPr>
        <w:t xml:space="preserve"> the </w:t>
      </w:r>
      <w:r w:rsidR="00FE6443" w:rsidRPr="00BD7CE5">
        <w:rPr>
          <w:bCs/>
          <w:lang w:val="en"/>
        </w:rPr>
        <w:t xml:space="preserve">sodomy </w:t>
      </w:r>
      <w:r w:rsidR="000A455F" w:rsidRPr="00BD7CE5">
        <w:rPr>
          <w:bCs/>
          <w:lang w:val="en"/>
        </w:rPr>
        <w:t>offence as a crime against public order</w:t>
      </w:r>
      <w:r w:rsidR="00FE6443" w:rsidRPr="00BD7CE5">
        <w:rPr>
          <w:bCs/>
          <w:lang w:val="en"/>
        </w:rPr>
        <w:t xml:space="preserve"> </w:t>
      </w:r>
      <w:r w:rsidR="00DD1819" w:rsidRPr="00BD7CE5">
        <w:rPr>
          <w:bCs/>
          <w:lang w:val="en"/>
        </w:rPr>
        <w:t xml:space="preserve">punishable </w:t>
      </w:r>
      <w:r w:rsidR="00FE6443" w:rsidRPr="00BD7CE5">
        <w:rPr>
          <w:bCs/>
          <w:lang w:val="en"/>
        </w:rPr>
        <w:t>by</w:t>
      </w:r>
      <w:r w:rsidR="000A455F" w:rsidRPr="00BD7CE5">
        <w:rPr>
          <w:bCs/>
          <w:lang w:val="en"/>
        </w:rPr>
        <w:t xml:space="preserve"> two years in prison</w:t>
      </w:r>
      <w:r w:rsidRPr="00BD7CE5">
        <w:rPr>
          <w:bCs/>
          <w:lang w:val="en"/>
        </w:rPr>
        <w:t>.</w:t>
      </w:r>
      <w:r w:rsidRPr="00BD7CE5">
        <w:rPr>
          <w:rStyle w:val="FootnoteReference"/>
          <w:bCs/>
          <w:lang w:val="en"/>
        </w:rPr>
        <w:footnoteReference w:id="21"/>
      </w:r>
      <w:r w:rsidR="000A455F" w:rsidRPr="00BD7CE5">
        <w:rPr>
          <w:bCs/>
          <w:lang w:val="en"/>
        </w:rPr>
        <w:t xml:space="preserve">  </w:t>
      </w:r>
      <w:r w:rsidR="000F6782" w:rsidRPr="00BD7CE5">
        <w:rPr>
          <w:bCs/>
          <w:lang w:val="en"/>
        </w:rPr>
        <w:t>This</w:t>
      </w:r>
      <w:r w:rsidR="000A455F" w:rsidRPr="00BD7CE5">
        <w:rPr>
          <w:bCs/>
          <w:lang w:val="en"/>
        </w:rPr>
        <w:t xml:space="preserve"> proposal differed from </w:t>
      </w:r>
      <w:r w:rsidR="000A455F" w:rsidRPr="00BD7CE5">
        <w:rPr>
          <w:bCs/>
        </w:rPr>
        <w:t>Macaulay</w:t>
      </w:r>
      <w:r w:rsidR="00FE6443" w:rsidRPr="00BD7CE5">
        <w:rPr>
          <w:bCs/>
        </w:rPr>
        <w:t>’s proposal</w:t>
      </w:r>
      <w:r w:rsidR="000A455F" w:rsidRPr="00BD7CE5">
        <w:rPr>
          <w:bCs/>
          <w:lang w:val="en"/>
        </w:rPr>
        <w:t>, which the British Colonial Office adopt</w:t>
      </w:r>
      <w:r w:rsidR="00FE6443" w:rsidRPr="00BD7CE5">
        <w:rPr>
          <w:bCs/>
          <w:lang w:val="en"/>
        </w:rPr>
        <w:t>ed</w:t>
      </w:r>
      <w:r w:rsidR="00DD1819" w:rsidRPr="00BD7CE5">
        <w:rPr>
          <w:bCs/>
          <w:lang w:val="en"/>
        </w:rPr>
        <w:t xml:space="preserve">; it </w:t>
      </w:r>
      <w:r w:rsidR="000A455F" w:rsidRPr="00BD7CE5">
        <w:rPr>
          <w:bCs/>
          <w:lang w:val="en"/>
        </w:rPr>
        <w:t>suggested codify</w:t>
      </w:r>
      <w:r w:rsidR="00DD1819" w:rsidRPr="00BD7CE5">
        <w:rPr>
          <w:bCs/>
          <w:lang w:val="en"/>
        </w:rPr>
        <w:t>ing</w:t>
      </w:r>
      <w:r w:rsidR="000A455F" w:rsidRPr="00BD7CE5">
        <w:rPr>
          <w:bCs/>
          <w:lang w:val="en"/>
        </w:rPr>
        <w:t xml:space="preserve"> the offence as a crime against the person, thus attracting a more severe punishment.  </w:t>
      </w:r>
      <w:r w:rsidR="00653F67" w:rsidRPr="00BD7CE5">
        <w:rPr>
          <w:bCs/>
          <w:lang w:val="en"/>
        </w:rPr>
        <w:t xml:space="preserve">RS </w:t>
      </w:r>
      <w:r w:rsidR="000A455F" w:rsidRPr="00BD7CE5">
        <w:rPr>
          <w:bCs/>
          <w:lang w:val="en"/>
        </w:rPr>
        <w:t xml:space="preserve">Wright's </w:t>
      </w:r>
      <w:r w:rsidR="000F6782" w:rsidRPr="00BD7CE5">
        <w:rPr>
          <w:bCs/>
          <w:lang w:val="en"/>
        </w:rPr>
        <w:t>approach to reference to public rather than private acts</w:t>
      </w:r>
      <w:r w:rsidR="000A455F" w:rsidRPr="00BD7CE5">
        <w:rPr>
          <w:bCs/>
          <w:lang w:val="en"/>
        </w:rPr>
        <w:t xml:space="preserve"> is likely to have been </w:t>
      </w:r>
      <w:r w:rsidR="00FE6443" w:rsidRPr="00BD7CE5">
        <w:rPr>
          <w:bCs/>
          <w:lang w:val="en"/>
        </w:rPr>
        <w:t>influenced</w:t>
      </w:r>
      <w:r w:rsidR="000A455F" w:rsidRPr="00BD7CE5">
        <w:rPr>
          <w:bCs/>
          <w:lang w:val="en"/>
        </w:rPr>
        <w:t xml:space="preserve"> by the work of John Stuart Mill, who in turn had been a pupil of Jeremy Bentham</w:t>
      </w:r>
      <w:r w:rsidR="00FE6443" w:rsidRPr="00BD7CE5">
        <w:rPr>
          <w:bCs/>
          <w:lang w:val="en"/>
        </w:rPr>
        <w:t>,</w:t>
      </w:r>
      <w:r w:rsidR="00FE6443" w:rsidRPr="00BD7CE5">
        <w:rPr>
          <w:rStyle w:val="FootnoteReference"/>
          <w:bCs/>
          <w:lang w:val="en"/>
        </w:rPr>
        <w:footnoteReference w:id="22"/>
      </w:r>
      <w:r w:rsidR="00FE6443" w:rsidRPr="00BD7CE5">
        <w:rPr>
          <w:bCs/>
          <w:lang w:val="en"/>
        </w:rPr>
        <w:t xml:space="preserve"> the latter a secret advocate against </w:t>
      </w:r>
      <w:proofErr w:type="spellStart"/>
      <w:r w:rsidR="00FE6443" w:rsidRPr="00BD7CE5">
        <w:rPr>
          <w:bCs/>
          <w:lang w:val="en"/>
        </w:rPr>
        <w:t>criminalisation</w:t>
      </w:r>
      <w:proofErr w:type="spellEnd"/>
      <w:r w:rsidR="00FE6443" w:rsidRPr="00BD7CE5">
        <w:rPr>
          <w:bCs/>
          <w:lang w:val="en"/>
        </w:rPr>
        <w:t>.</w:t>
      </w:r>
      <w:r w:rsidRPr="00BD7CE5">
        <w:rPr>
          <w:rStyle w:val="FootnoteReference"/>
          <w:bCs/>
        </w:rPr>
        <w:footnoteReference w:id="23"/>
      </w:r>
      <w:r w:rsidR="000A455F" w:rsidRPr="00BD7CE5">
        <w:rPr>
          <w:bCs/>
          <w:lang w:val="en"/>
        </w:rPr>
        <w:t xml:space="preserve">  The rejection of the British government of </w:t>
      </w:r>
      <w:r w:rsidR="00653F67" w:rsidRPr="00BD7CE5">
        <w:rPr>
          <w:bCs/>
          <w:lang w:val="en"/>
        </w:rPr>
        <w:t xml:space="preserve">RS </w:t>
      </w:r>
      <w:r w:rsidR="000A455F" w:rsidRPr="00BD7CE5">
        <w:rPr>
          <w:bCs/>
          <w:lang w:val="en"/>
        </w:rPr>
        <w:t xml:space="preserve">Wright’s proposal confirms a certain intentionality of the British imperial power to impose a </w:t>
      </w:r>
      <w:r w:rsidR="00FE6443" w:rsidRPr="00BD7CE5">
        <w:rPr>
          <w:bCs/>
          <w:lang w:val="en"/>
        </w:rPr>
        <w:t xml:space="preserve">binary </w:t>
      </w:r>
      <w:r w:rsidR="000A455F" w:rsidRPr="00BD7CE5">
        <w:rPr>
          <w:bCs/>
          <w:lang w:val="en"/>
        </w:rPr>
        <w:t xml:space="preserve">patriarchal vision of the sexuality of the human body on its </w:t>
      </w:r>
      <w:r w:rsidR="00653F67" w:rsidRPr="00BD7CE5">
        <w:rPr>
          <w:bCs/>
          <w:lang w:val="en"/>
        </w:rPr>
        <w:t xml:space="preserve">Caribbean </w:t>
      </w:r>
      <w:r w:rsidR="000A455F" w:rsidRPr="00BD7CE5">
        <w:rPr>
          <w:bCs/>
          <w:lang w:val="en"/>
        </w:rPr>
        <w:t>colonies.</w:t>
      </w:r>
      <w:r w:rsidR="00653F67" w:rsidRPr="00BD7CE5">
        <w:rPr>
          <w:bCs/>
          <w:lang w:val="en"/>
        </w:rPr>
        <w:t xml:space="preserve"> This is particularly contrasting with the attitudes of most Latin American independent nations whose young parliaments</w:t>
      </w:r>
      <w:r w:rsidR="0022049F" w:rsidRPr="00BD7CE5">
        <w:rPr>
          <w:bCs/>
          <w:lang w:val="en"/>
        </w:rPr>
        <w:t>, save</w:t>
      </w:r>
      <w:r w:rsidR="0022049F" w:rsidRPr="00BD7CE5">
        <w:rPr>
          <w:bCs/>
        </w:rPr>
        <w:t xml:space="preserve"> for few</w:t>
      </w:r>
      <w:r w:rsidR="00653F67" w:rsidRPr="00BD7CE5">
        <w:rPr>
          <w:bCs/>
        </w:rPr>
        <w:t xml:space="preserve"> exceptions, adopted </w:t>
      </w:r>
      <w:r w:rsidR="0022049F" w:rsidRPr="00BD7CE5">
        <w:rPr>
          <w:bCs/>
        </w:rPr>
        <w:t>contemporaneously penal codes following the French model, which had inaugurated the decriminalisation of sodomy in continental Europe with the French revolutionary Penal Code of 1791</w:t>
      </w:r>
      <w:r w:rsidR="00653F67" w:rsidRPr="00BD7CE5">
        <w:rPr>
          <w:bCs/>
        </w:rPr>
        <w:t>.</w:t>
      </w:r>
      <w:r w:rsidR="0022049F" w:rsidRPr="00BD7CE5">
        <w:rPr>
          <w:rStyle w:val="FootnoteReference"/>
          <w:bCs/>
        </w:rPr>
        <w:footnoteReference w:id="24"/>
      </w:r>
    </w:p>
    <w:p w14:paraId="47FF305C" w14:textId="77777777" w:rsidR="00FE6443" w:rsidRPr="00BD7CE5" w:rsidRDefault="000A455F" w:rsidP="00367CFB">
      <w:pPr>
        <w:jc w:val="both"/>
        <w:rPr>
          <w:bCs/>
          <w:lang w:val="en-US"/>
        </w:rPr>
      </w:pPr>
      <w:r w:rsidRPr="00BD7CE5">
        <w:rPr>
          <w:bCs/>
          <w:lang w:val="en-US"/>
        </w:rPr>
        <w:tab/>
      </w:r>
    </w:p>
    <w:p w14:paraId="1257FA96" w14:textId="0F901615" w:rsidR="000A455F" w:rsidRPr="00BD7CE5" w:rsidRDefault="000A455F" w:rsidP="00367CFB">
      <w:pPr>
        <w:ind w:firstLine="360"/>
        <w:jc w:val="both"/>
        <w:rPr>
          <w:bCs/>
          <w:lang w:val="en-US"/>
        </w:rPr>
      </w:pPr>
      <w:r w:rsidRPr="00BD7CE5">
        <w:rPr>
          <w:bCs/>
          <w:lang w:val="en-US"/>
        </w:rPr>
        <w:t xml:space="preserve">The significance and success of this colonial legal transfer make the colonial British Empire </w:t>
      </w:r>
      <w:r w:rsidR="00FE6443" w:rsidRPr="00BD7CE5">
        <w:rPr>
          <w:bCs/>
          <w:lang w:val="en-US"/>
        </w:rPr>
        <w:t>in part</w:t>
      </w:r>
      <w:r w:rsidRPr="00BD7CE5">
        <w:rPr>
          <w:bCs/>
          <w:lang w:val="en-US"/>
        </w:rPr>
        <w:t xml:space="preserve"> </w:t>
      </w:r>
      <w:r w:rsidR="00FE6443" w:rsidRPr="00BD7CE5">
        <w:rPr>
          <w:bCs/>
          <w:lang w:val="en-US"/>
        </w:rPr>
        <w:t>co-</w:t>
      </w:r>
      <w:r w:rsidRPr="00BD7CE5">
        <w:rPr>
          <w:bCs/>
          <w:lang w:val="en-US"/>
        </w:rPr>
        <w:t xml:space="preserve">responsible for the </w:t>
      </w:r>
      <w:r w:rsidR="00FE6443" w:rsidRPr="00BD7CE5">
        <w:rPr>
          <w:bCs/>
          <w:lang w:val="en-US"/>
        </w:rPr>
        <w:t xml:space="preserve">origin of </w:t>
      </w:r>
      <w:r w:rsidRPr="00BD7CE5">
        <w:rPr>
          <w:bCs/>
          <w:lang w:val="en-US"/>
        </w:rPr>
        <w:t>criminal persecution of the LGBT</w:t>
      </w:r>
      <w:r w:rsidR="002E60F8" w:rsidRPr="00BD7CE5">
        <w:rPr>
          <w:bCs/>
          <w:lang w:val="en-US"/>
        </w:rPr>
        <w:t>Q</w:t>
      </w:r>
      <w:r w:rsidRPr="00BD7CE5">
        <w:rPr>
          <w:bCs/>
          <w:lang w:val="en-US"/>
        </w:rPr>
        <w:t>I</w:t>
      </w:r>
      <w:r w:rsidR="00DD1819" w:rsidRPr="00BD7CE5">
        <w:rPr>
          <w:bCs/>
          <w:lang w:val="en-US"/>
        </w:rPr>
        <w:t>+</w:t>
      </w:r>
      <w:r w:rsidRPr="00BD7CE5">
        <w:rPr>
          <w:bCs/>
          <w:lang w:val="en-US"/>
        </w:rPr>
        <w:t xml:space="preserve"> community in most of the </w:t>
      </w:r>
      <w:r w:rsidR="00FE6443" w:rsidRPr="00BD7CE5">
        <w:rPr>
          <w:bCs/>
          <w:lang w:val="en-US"/>
        </w:rPr>
        <w:t>continent</w:t>
      </w:r>
      <w:r w:rsidRPr="00BD7CE5">
        <w:rPr>
          <w:bCs/>
          <w:lang w:val="en-US"/>
        </w:rPr>
        <w:t xml:space="preserve"> where this offence </w:t>
      </w:r>
      <w:r w:rsidR="00FE6443" w:rsidRPr="00BD7CE5">
        <w:rPr>
          <w:bCs/>
          <w:lang w:val="en-US"/>
        </w:rPr>
        <w:t>had</w:t>
      </w:r>
      <w:r w:rsidRPr="00BD7CE5">
        <w:rPr>
          <w:bCs/>
          <w:lang w:val="en-US"/>
        </w:rPr>
        <w:t xml:space="preserve"> exist</w:t>
      </w:r>
      <w:r w:rsidR="00FE6443" w:rsidRPr="00BD7CE5">
        <w:rPr>
          <w:bCs/>
          <w:lang w:val="en-US"/>
        </w:rPr>
        <w:t>ed</w:t>
      </w:r>
      <w:r w:rsidRPr="00BD7CE5">
        <w:rPr>
          <w:bCs/>
          <w:lang w:val="en-US"/>
        </w:rPr>
        <w:t>.</w:t>
      </w:r>
      <w:r w:rsidRPr="00BD7CE5">
        <w:rPr>
          <w:bCs/>
          <w:vertAlign w:val="superscript"/>
          <w:lang w:val="en-US"/>
        </w:rPr>
        <w:footnoteReference w:id="25"/>
      </w:r>
      <w:r w:rsidRPr="00BD7CE5">
        <w:rPr>
          <w:bCs/>
          <w:lang w:val="en-US"/>
        </w:rPr>
        <w:t xml:space="preserve"> </w:t>
      </w:r>
    </w:p>
    <w:p w14:paraId="78AB68C6" w14:textId="77777777" w:rsidR="00F15EA1" w:rsidRPr="00BD7CE5" w:rsidRDefault="00F15EA1" w:rsidP="00367CFB">
      <w:pPr>
        <w:numPr>
          <w:ilvl w:val="0"/>
          <w:numId w:val="14"/>
        </w:numPr>
        <w:spacing w:before="100" w:beforeAutospacing="1" w:after="100" w:afterAutospacing="1"/>
        <w:jc w:val="both"/>
        <w:rPr>
          <w:b/>
          <w:bCs/>
        </w:rPr>
      </w:pPr>
      <w:r w:rsidRPr="00BD7CE5">
        <w:rPr>
          <w:b/>
          <w:bCs/>
        </w:rPr>
        <w:lastRenderedPageBreak/>
        <w:t>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w:t>
      </w:r>
    </w:p>
    <w:p w14:paraId="77D354E4" w14:textId="4CEAFEA1" w:rsidR="007057B6" w:rsidRPr="00BD7CE5" w:rsidRDefault="00F15EA1" w:rsidP="00367CFB">
      <w:pPr>
        <w:jc w:val="both"/>
        <w:rPr>
          <w:b/>
          <w:bCs/>
        </w:rPr>
      </w:pPr>
      <w:r w:rsidRPr="00BD7CE5">
        <w:rPr>
          <w:b/>
          <w:bCs/>
        </w:rPr>
        <w:t>Answer</w:t>
      </w:r>
    </w:p>
    <w:p w14:paraId="0D8EFF23" w14:textId="2EAB525A" w:rsidR="00FE6443" w:rsidRPr="00BD7CE5" w:rsidRDefault="00FE6443" w:rsidP="00367CFB">
      <w:pPr>
        <w:ind w:firstLine="360"/>
        <w:jc w:val="both"/>
      </w:pPr>
      <w:r w:rsidRPr="00BD7CE5">
        <w:t xml:space="preserve">There are 35 </w:t>
      </w:r>
      <w:r w:rsidR="001224DD" w:rsidRPr="00BD7CE5">
        <w:t>state</w:t>
      </w:r>
      <w:r w:rsidR="001C0123" w:rsidRPr="00BD7CE5">
        <w:t xml:space="preserve"> </w:t>
      </w:r>
      <w:r w:rsidRPr="00BD7CE5">
        <w:t>member</w:t>
      </w:r>
      <w:r w:rsidR="001C0123" w:rsidRPr="00BD7CE5">
        <w:t>s</w:t>
      </w:r>
      <w:r w:rsidRPr="00BD7CE5">
        <w:t xml:space="preserve"> of the </w:t>
      </w:r>
      <w:r w:rsidR="001224DD" w:rsidRPr="00BD7CE5">
        <w:t>OAS</w:t>
      </w:r>
      <w:r w:rsidRPr="00BD7CE5">
        <w:t>, of which 21 are bound by the Inter-American Convention on Human Rights (“Convention”) by having accepted jurisdiction of the Inter-American Court of Human Rights (“</w:t>
      </w:r>
      <w:proofErr w:type="spellStart"/>
      <w:r w:rsidRPr="00BD7CE5">
        <w:t>IACtHR</w:t>
      </w:r>
      <w:proofErr w:type="spellEnd"/>
      <w:r w:rsidRPr="00BD7CE5">
        <w:t xml:space="preserve">”).  None of </w:t>
      </w:r>
      <w:r w:rsidR="001224DD" w:rsidRPr="00BD7CE5">
        <w:t>them</w:t>
      </w:r>
      <w:r w:rsidRPr="00BD7CE5">
        <w:t xml:space="preserve"> criminalises se</w:t>
      </w:r>
      <w:r w:rsidR="001224DD" w:rsidRPr="00BD7CE5">
        <w:t>x</w:t>
      </w:r>
      <w:r w:rsidRPr="00BD7CE5">
        <w:t xml:space="preserve"> between consenting adults of the same sex.</w:t>
      </w:r>
      <w:r w:rsidRPr="00BD7CE5">
        <w:rPr>
          <w:rStyle w:val="FootnoteReference"/>
        </w:rPr>
        <w:footnoteReference w:id="26"/>
      </w:r>
      <w:r w:rsidRPr="00BD7CE5">
        <w:t xml:space="preserve">  Canada, </w:t>
      </w:r>
      <w:r w:rsidR="00DD1819" w:rsidRPr="00BD7CE5">
        <w:t xml:space="preserve">the </w:t>
      </w:r>
      <w:r w:rsidRPr="00BD7CE5">
        <w:t>USA and Cuba are not party to the Convention, but none of them criminalises and</w:t>
      </w:r>
      <w:r w:rsidR="00DD1819" w:rsidRPr="00BD7CE5">
        <w:t>, in fact,</w:t>
      </w:r>
      <w:r w:rsidRPr="00BD7CE5">
        <w:t xml:space="preserve"> all three have legislated for same-sex marriage.</w:t>
      </w:r>
      <w:r w:rsidRPr="00BD7CE5">
        <w:rPr>
          <w:rStyle w:val="FootnoteReference"/>
        </w:rPr>
        <w:footnoteReference w:id="27"/>
      </w:r>
    </w:p>
    <w:p w14:paraId="41DE8827" w14:textId="77777777" w:rsidR="00FE6443" w:rsidRPr="00BD7CE5" w:rsidRDefault="00FE6443" w:rsidP="00367CFB">
      <w:pPr>
        <w:ind w:firstLine="360"/>
        <w:jc w:val="both"/>
      </w:pPr>
    </w:p>
    <w:p w14:paraId="1EC32A07" w14:textId="461D7DEE" w:rsidR="00FE6443" w:rsidRPr="00BD7CE5" w:rsidRDefault="00FE6443" w:rsidP="00367CFB">
      <w:pPr>
        <w:ind w:firstLine="360"/>
        <w:jc w:val="both"/>
        <w:rPr>
          <w:lang w:val="en-SG"/>
        </w:rPr>
      </w:pPr>
      <w:r w:rsidRPr="00BD7CE5">
        <w:t>This leaves 11 anglophone countries in the Caribbean, which</w:t>
      </w:r>
      <w:r w:rsidRPr="00BD7CE5">
        <w:rPr>
          <w:lang w:val="en-SG"/>
        </w:rPr>
        <w:t xml:space="preserve"> gained independence by consent of the British Parliament from the 1960s onwards.  As of 2016 (save for the Bahamas</w:t>
      </w:r>
      <w:r w:rsidRPr="00BD7CE5">
        <w:rPr>
          <w:rStyle w:val="FootnoteReference"/>
          <w:lang w:val="en-SG"/>
        </w:rPr>
        <w:footnoteReference w:id="28"/>
      </w:r>
      <w:r w:rsidRPr="00BD7CE5">
        <w:rPr>
          <w:lang w:val="en-SG"/>
        </w:rPr>
        <w:t xml:space="preserve">) all of them still </w:t>
      </w:r>
      <w:r w:rsidR="00DD1819" w:rsidRPr="00BD7CE5">
        <w:rPr>
          <w:lang w:val="en-SG"/>
        </w:rPr>
        <w:t xml:space="preserve">had </w:t>
      </w:r>
      <w:r w:rsidRPr="00BD7CE5">
        <w:rPr>
          <w:lang w:val="en-SG"/>
        </w:rPr>
        <w:t xml:space="preserve">anti-sodomy laws.  Belize started </w:t>
      </w:r>
      <w:r w:rsidR="00F12583" w:rsidRPr="00BD7CE5">
        <w:rPr>
          <w:lang w:val="en-SG"/>
        </w:rPr>
        <w:t xml:space="preserve">with decriminalisation </w:t>
      </w:r>
      <w:r w:rsidRPr="00BD7CE5">
        <w:rPr>
          <w:lang w:val="en-SG"/>
        </w:rPr>
        <w:t xml:space="preserve">in 2016 when its Supreme Court </w:t>
      </w:r>
      <w:r w:rsidR="00F12583" w:rsidRPr="00BD7CE5">
        <w:rPr>
          <w:lang w:val="en-SG"/>
        </w:rPr>
        <w:t>stroke down the</w:t>
      </w:r>
      <w:r w:rsidRPr="00BD7CE5">
        <w:rPr>
          <w:lang w:val="en-SG"/>
        </w:rPr>
        <w:t xml:space="preserve"> anti-sodomy laws</w:t>
      </w:r>
      <w:r w:rsidR="00F12583" w:rsidRPr="00BD7CE5">
        <w:rPr>
          <w:lang w:val="en-SG"/>
        </w:rPr>
        <w:t xml:space="preserve"> for</w:t>
      </w:r>
      <w:r w:rsidRPr="00BD7CE5">
        <w:rPr>
          <w:lang w:val="en-SG"/>
        </w:rPr>
        <w:t xml:space="preserve"> unconstitutional on grounds that they breach liberty, privacy and non-discrimination.</w:t>
      </w:r>
      <w:r w:rsidRPr="00BD7CE5">
        <w:rPr>
          <w:rStyle w:val="FootnoteReference"/>
          <w:lang w:val="en-SG"/>
        </w:rPr>
        <w:footnoteReference w:id="29"/>
      </w:r>
      <w:r w:rsidRPr="00BD7CE5">
        <w:rPr>
          <w:lang w:val="en-SG"/>
        </w:rPr>
        <w:t xml:space="preserve">  </w:t>
      </w:r>
      <w:r w:rsidR="001C0123" w:rsidRPr="00BD7CE5">
        <w:rPr>
          <w:lang w:val="en-SG"/>
        </w:rPr>
        <w:t>In</w:t>
      </w:r>
      <w:r w:rsidRPr="00BD7CE5">
        <w:rPr>
          <w:lang w:val="en-SG"/>
        </w:rPr>
        <w:t xml:space="preserve"> 2018, the High Court of Trinidad and Tobago arrived at the same conclusion.</w:t>
      </w:r>
      <w:r w:rsidRPr="00BD7CE5">
        <w:rPr>
          <w:rStyle w:val="FootnoteReference"/>
          <w:lang w:val="en-SG"/>
        </w:rPr>
        <w:footnoteReference w:id="30"/>
      </w:r>
      <w:r w:rsidRPr="00BD7CE5">
        <w:rPr>
          <w:lang w:val="en-SG"/>
        </w:rPr>
        <w:t xml:space="preserve">  More recently, </w:t>
      </w:r>
      <w:r w:rsidRPr="00BD7CE5">
        <w:t>the High Courts of Antigua and Barbuda,</w:t>
      </w:r>
      <w:r w:rsidRPr="00BD7CE5">
        <w:rPr>
          <w:rStyle w:val="FootnoteReference"/>
        </w:rPr>
        <w:footnoteReference w:id="31"/>
      </w:r>
      <w:r w:rsidRPr="00BD7CE5">
        <w:t xml:space="preserve"> of Saint Kitts and Nevis</w:t>
      </w:r>
      <w:r w:rsidRPr="00BD7CE5">
        <w:rPr>
          <w:rStyle w:val="FootnoteReference"/>
        </w:rPr>
        <w:footnoteReference w:id="32"/>
      </w:r>
      <w:r w:rsidRPr="00BD7CE5">
        <w:t xml:space="preserve"> and of Barbados</w:t>
      </w:r>
      <w:r w:rsidRPr="00BD7CE5">
        <w:rPr>
          <w:rStyle w:val="FootnoteReference"/>
        </w:rPr>
        <w:footnoteReference w:id="33"/>
      </w:r>
      <w:r w:rsidRPr="00BD7CE5">
        <w:t xml:space="preserve"> f</w:t>
      </w:r>
      <w:r w:rsidR="00F12583" w:rsidRPr="00BD7CE5">
        <w:t xml:space="preserve">ollowed </w:t>
      </w:r>
      <w:r w:rsidRPr="00BD7CE5">
        <w:t>for similar reasons.</w:t>
      </w:r>
    </w:p>
    <w:p w14:paraId="10456367" w14:textId="77777777" w:rsidR="00FE6443" w:rsidRPr="00BD7CE5" w:rsidRDefault="00FE6443" w:rsidP="00367CFB">
      <w:pPr>
        <w:ind w:firstLine="360"/>
        <w:jc w:val="both"/>
        <w:rPr>
          <w:lang w:val="en-SG"/>
        </w:rPr>
      </w:pPr>
    </w:p>
    <w:p w14:paraId="21B6C06F" w14:textId="2D8441CF" w:rsidR="00FE6443" w:rsidRPr="00BD7CE5" w:rsidRDefault="00FE6443" w:rsidP="00367CFB">
      <w:pPr>
        <w:ind w:firstLine="360"/>
        <w:jc w:val="both"/>
        <w:rPr>
          <w:lang w:val="en-SG"/>
        </w:rPr>
      </w:pPr>
      <w:r w:rsidRPr="00BD7CE5">
        <w:t>There are two distinctive groups amongst the</w:t>
      </w:r>
      <w:r w:rsidR="001224DD" w:rsidRPr="00BD7CE5">
        <w:t>se</w:t>
      </w:r>
      <w:r w:rsidRPr="00BD7CE5">
        <w:t xml:space="preserve"> anglophone countries according to their apex court (12 in total when Barbados is included): 7 countries retained the British Judicial Committee of the Privy Council (“</w:t>
      </w:r>
      <w:r w:rsidRPr="00BD7CE5">
        <w:rPr>
          <w:b/>
          <w:bCs/>
        </w:rPr>
        <w:t>JCPC</w:t>
      </w:r>
      <w:r w:rsidRPr="00BD7CE5">
        <w:t>”) as their final court of appeal (Antigua and Barbuda, Bahamas, Grenada, Jamaica, St Kitts and Nevis, St Vincent and Grenadines, and Trinidad and Tobago</w:t>
      </w:r>
      <w:r w:rsidR="003F6656" w:rsidRPr="00BD7CE5">
        <w:t>)</w:t>
      </w:r>
      <w:r w:rsidRPr="00BD7CE5">
        <w:rPr>
          <w:rStyle w:val="FootnoteReference"/>
        </w:rPr>
        <w:footnoteReference w:id="34"/>
      </w:r>
      <w:r w:rsidRPr="00BD7CE5">
        <w:t xml:space="preserve"> and 5 countries (Barbados, Belize, Guyana, Dominica, St Lucia) renounced the JCPC and adopted the Caribbean Court of Justice (“</w:t>
      </w:r>
      <w:r w:rsidRPr="00BD7CE5">
        <w:rPr>
          <w:b/>
          <w:bCs/>
        </w:rPr>
        <w:t>CCJ</w:t>
      </w:r>
      <w:r w:rsidRPr="00BD7CE5">
        <w:t xml:space="preserve">”) as their apex court.  </w:t>
      </w:r>
    </w:p>
    <w:p w14:paraId="6A983E65" w14:textId="77777777" w:rsidR="001224DD" w:rsidRPr="00BD7CE5" w:rsidRDefault="001224DD" w:rsidP="00367CFB">
      <w:pPr>
        <w:jc w:val="both"/>
      </w:pPr>
    </w:p>
    <w:p w14:paraId="4AADBCE8" w14:textId="7A24A343" w:rsidR="00FE6443" w:rsidRPr="00BD7CE5" w:rsidRDefault="00FE6443" w:rsidP="00367CFB">
      <w:pPr>
        <w:jc w:val="both"/>
        <w:rPr>
          <w:iCs/>
        </w:rPr>
      </w:pPr>
      <w:r w:rsidRPr="00BD7CE5">
        <w:t>The caselaw reviewed allows us to confirm that the JCPC has never delivered a decision to further LGBT</w:t>
      </w:r>
      <w:r w:rsidR="002E60F8" w:rsidRPr="00BD7CE5">
        <w:t>Q</w:t>
      </w:r>
      <w:r w:rsidRPr="00BD7CE5">
        <w:t>I rights in the Caribbean. This comes not out of a hesitancy to intervene, but rather because it acted to intervene and stop progress on LGBT</w:t>
      </w:r>
      <w:r w:rsidR="002E60F8" w:rsidRPr="00BD7CE5">
        <w:t>Q</w:t>
      </w:r>
      <w:r w:rsidRPr="00BD7CE5">
        <w:t>I rights. The JCPC did so by using unorthodox tools of construction, thwarting judicial progress regarding LGBT</w:t>
      </w:r>
      <w:r w:rsidR="002E60F8" w:rsidRPr="00BD7CE5">
        <w:t>Q</w:t>
      </w:r>
      <w:r w:rsidRPr="00BD7CE5">
        <w:t xml:space="preserve">I rights delivered by Caribbean home-grown judges over the last 20 years. </w:t>
      </w:r>
      <w:bookmarkStart w:id="1" w:name="OLE_LINK1"/>
      <w:bookmarkStart w:id="2" w:name="OLE_LINK2"/>
      <w:r w:rsidRPr="00BD7CE5">
        <w:rPr>
          <w:iCs/>
        </w:rPr>
        <w:t xml:space="preserve"> For instance: </w:t>
      </w:r>
    </w:p>
    <w:p w14:paraId="4BDFD6E9" w14:textId="77777777" w:rsidR="00FE6443" w:rsidRPr="00BD7CE5" w:rsidRDefault="00FE6443" w:rsidP="00367CFB">
      <w:pPr>
        <w:jc w:val="both"/>
        <w:rPr>
          <w:b/>
          <w:bCs/>
        </w:rPr>
      </w:pPr>
    </w:p>
    <w:p w14:paraId="00913B2B" w14:textId="23ACF9FC" w:rsidR="00FE6443" w:rsidRPr="00BD7CE5" w:rsidRDefault="00FE6443" w:rsidP="00367CFB">
      <w:pPr>
        <w:pStyle w:val="ListParagraph"/>
        <w:numPr>
          <w:ilvl w:val="0"/>
          <w:numId w:val="18"/>
        </w:numPr>
        <w:jc w:val="both"/>
      </w:pPr>
      <w:r w:rsidRPr="00BD7CE5">
        <w:rPr>
          <w:b/>
          <w:bCs/>
        </w:rPr>
        <w:t>Discrimination and segregation on grounds of sexual orientation</w:t>
      </w:r>
      <w:r w:rsidR="00DD1819" w:rsidRPr="00BD7CE5">
        <w:t xml:space="preserve">: in 2022, </w:t>
      </w:r>
      <w:r w:rsidRPr="00BD7CE5">
        <w:rPr>
          <w:iCs/>
        </w:rPr>
        <w:t xml:space="preserve">the JCPC enabled </w:t>
      </w:r>
      <w:r w:rsidR="001C0123" w:rsidRPr="00BD7CE5">
        <w:rPr>
          <w:iCs/>
        </w:rPr>
        <w:t>it</w:t>
      </w:r>
      <w:r w:rsidRPr="00BD7CE5">
        <w:t xml:space="preserve"> in Trinidad and Tobago,</w:t>
      </w:r>
      <w:r w:rsidRPr="00BD7CE5">
        <w:rPr>
          <w:rStyle w:val="FootnoteReference"/>
        </w:rPr>
        <w:footnoteReference w:id="35"/>
      </w:r>
      <w:r w:rsidRPr="00BD7CE5">
        <w:t xml:space="preserve"> Bermuda</w:t>
      </w:r>
      <w:r w:rsidRPr="00BD7CE5">
        <w:rPr>
          <w:rStyle w:val="FootnoteReference"/>
        </w:rPr>
        <w:footnoteReference w:id="36"/>
      </w:r>
      <w:r w:rsidRPr="00BD7CE5">
        <w:t xml:space="preserve"> and the Cayman Islands</w:t>
      </w:r>
      <w:r w:rsidRPr="00BD7CE5">
        <w:rPr>
          <w:rStyle w:val="FootnoteReference"/>
        </w:rPr>
        <w:footnoteReference w:id="37"/>
      </w:r>
      <w:r w:rsidRPr="00BD7CE5">
        <w:t xml:space="preserve"> holding that </w:t>
      </w:r>
      <w:r w:rsidRPr="00BD7CE5">
        <w:lastRenderedPageBreak/>
        <w:t>LGBT</w:t>
      </w:r>
      <w:r w:rsidR="002E60F8" w:rsidRPr="00BD7CE5">
        <w:t>Q</w:t>
      </w:r>
      <w:r w:rsidRPr="00BD7CE5">
        <w:t>I people are not constitutionally entitled to equality of treatment</w:t>
      </w:r>
      <w:r w:rsidR="006939A5" w:rsidRPr="00BD7CE5">
        <w:t xml:space="preserve"> (overruling the court of appeal of the first two jurisdictions and rejecting the reasoning of </w:t>
      </w:r>
      <w:r w:rsidR="00DD1819" w:rsidRPr="00BD7CE5">
        <w:t xml:space="preserve">the </w:t>
      </w:r>
      <w:r w:rsidR="006939A5" w:rsidRPr="00BD7CE5">
        <w:t>Chief Justice of the last jurisdiction)</w:t>
      </w:r>
    </w:p>
    <w:p w14:paraId="78BD2D61" w14:textId="77777777" w:rsidR="00FE6443" w:rsidRPr="00BD7CE5" w:rsidRDefault="00FE6443" w:rsidP="00367CFB">
      <w:pPr>
        <w:jc w:val="both"/>
      </w:pPr>
    </w:p>
    <w:p w14:paraId="5B942697" w14:textId="2B7F0275" w:rsidR="00FE6443" w:rsidRPr="00BD7CE5" w:rsidRDefault="00B82A99" w:rsidP="00367CFB">
      <w:pPr>
        <w:pStyle w:val="ListParagraph"/>
        <w:numPr>
          <w:ilvl w:val="0"/>
          <w:numId w:val="18"/>
        </w:numPr>
        <w:jc w:val="both"/>
        <w:rPr>
          <w:color w:val="000000"/>
        </w:rPr>
      </w:pPr>
      <w:r w:rsidRPr="00BD7CE5">
        <w:rPr>
          <w:b/>
          <w:bCs/>
        </w:rPr>
        <w:t xml:space="preserve">Facilitating </w:t>
      </w:r>
      <w:r w:rsidR="00FE6443" w:rsidRPr="00BD7CE5">
        <w:rPr>
          <w:b/>
          <w:bCs/>
        </w:rPr>
        <w:t>criminalisation of LGBT</w:t>
      </w:r>
      <w:r w:rsidR="002E60F8" w:rsidRPr="00BD7CE5">
        <w:rPr>
          <w:b/>
          <w:bCs/>
        </w:rPr>
        <w:t>Q</w:t>
      </w:r>
      <w:r w:rsidR="00FE6443" w:rsidRPr="00BD7CE5">
        <w:rPr>
          <w:b/>
          <w:bCs/>
        </w:rPr>
        <w:t>I people</w:t>
      </w:r>
      <w:r w:rsidR="00DD1819" w:rsidRPr="00BD7CE5">
        <w:t xml:space="preserve">: </w:t>
      </w:r>
      <w:r w:rsidR="00FE6443" w:rsidRPr="00BD7CE5">
        <w:t xml:space="preserve">the lasting permanency of anti-sodomy </w:t>
      </w:r>
      <w:r w:rsidR="009F25D1" w:rsidRPr="00BD7CE5">
        <w:t xml:space="preserve">and discriminatory </w:t>
      </w:r>
      <w:r w:rsidR="00FE6443" w:rsidRPr="00BD7CE5">
        <w:t xml:space="preserve">laws </w:t>
      </w:r>
      <w:r w:rsidR="006939A5" w:rsidRPr="00BD7CE5">
        <w:t>in</w:t>
      </w:r>
      <w:r w:rsidR="00FE6443" w:rsidRPr="00BD7CE5">
        <w:t xml:space="preserve"> countries such as Jamaica and Trinidad and Tobago may be </w:t>
      </w:r>
      <w:r w:rsidR="009F25D1" w:rsidRPr="00BD7CE5">
        <w:t>linked</w:t>
      </w:r>
      <w:r w:rsidR="00FE6443" w:rsidRPr="00BD7CE5">
        <w:t xml:space="preserve"> to a recent decision of the JCPC,</w:t>
      </w:r>
      <w:r w:rsidR="00FE6443" w:rsidRPr="00BD7CE5">
        <w:rPr>
          <w:rStyle w:val="FootnoteReference"/>
        </w:rPr>
        <w:footnoteReference w:id="38"/>
      </w:r>
      <w:r w:rsidR="00FE6443" w:rsidRPr="00BD7CE5">
        <w:t xml:space="preserve"> in which it confirmed its constitutional construction of the so called “</w:t>
      </w:r>
      <w:r w:rsidR="00FE6443" w:rsidRPr="00BD7CE5">
        <w:rPr>
          <w:i/>
          <w:iCs/>
        </w:rPr>
        <w:t>general savings clause.</w:t>
      </w:r>
      <w:r w:rsidR="00FE6443" w:rsidRPr="00BD7CE5">
        <w:t>”</w:t>
      </w:r>
      <w:r w:rsidR="00FE6443" w:rsidRPr="00BD7CE5">
        <w:rPr>
          <w:rStyle w:val="FootnoteReference"/>
        </w:rPr>
        <w:footnoteReference w:id="39"/>
      </w:r>
      <w:r w:rsidR="00FE6443" w:rsidRPr="00BD7CE5">
        <w:t xml:space="preserve">  </w:t>
      </w:r>
      <w:r w:rsidR="00FE6443" w:rsidRPr="00BD7CE5">
        <w:rPr>
          <w:color w:val="000000"/>
        </w:rPr>
        <w:t>This clause, found in the first constitutions of Bahamas, Barbados, Guyana, Jamaica, and Trinidad and Tobago, was held</w:t>
      </w:r>
      <w:r w:rsidR="00401B00" w:rsidRPr="00BD7CE5">
        <w:rPr>
          <w:color w:val="000000"/>
        </w:rPr>
        <w:t xml:space="preserve"> in 2004</w:t>
      </w:r>
      <w:r w:rsidR="00DB77EE" w:rsidRPr="00BD7CE5">
        <w:rPr>
          <w:color w:val="000000"/>
        </w:rPr>
        <w:t xml:space="preserve"> by the JCPC</w:t>
      </w:r>
      <w:r w:rsidR="00FE6443" w:rsidRPr="00BD7CE5">
        <w:rPr>
          <w:color w:val="000000"/>
        </w:rPr>
        <w:t xml:space="preserve"> to provide absolute immunity to colonial laws in force, at the time of independence, from any constitutional challenge for breach of fundamental rights and freedoms provisions of the</w:t>
      </w:r>
      <w:r w:rsidR="006939A5" w:rsidRPr="00BD7CE5">
        <w:rPr>
          <w:color w:val="000000"/>
        </w:rPr>
        <w:t xml:space="preserve"> </w:t>
      </w:r>
      <w:r w:rsidR="00FE6443" w:rsidRPr="00BD7CE5">
        <w:rPr>
          <w:color w:val="000000"/>
        </w:rPr>
        <w:t>constitutions regardless of how “</w:t>
      </w:r>
      <w:r w:rsidR="00FE6443" w:rsidRPr="00BD7CE5">
        <w:rPr>
          <w:i/>
          <w:iCs/>
          <w:color w:val="000000"/>
        </w:rPr>
        <w:t>inhuman or degrading</w:t>
      </w:r>
      <w:r w:rsidR="00FE6443" w:rsidRPr="00BD7CE5">
        <w:rPr>
          <w:color w:val="000000"/>
        </w:rPr>
        <w:t xml:space="preserve">” </w:t>
      </w:r>
      <w:r w:rsidRPr="00BD7CE5">
        <w:rPr>
          <w:color w:val="000000"/>
        </w:rPr>
        <w:t xml:space="preserve">those </w:t>
      </w:r>
      <w:r w:rsidR="00FE6443" w:rsidRPr="00BD7CE5">
        <w:rPr>
          <w:color w:val="000000"/>
        </w:rPr>
        <w:t>colonial laws are.</w:t>
      </w:r>
      <w:r w:rsidR="00FE6443" w:rsidRPr="00BD7CE5">
        <w:rPr>
          <w:rStyle w:val="FootnoteReference"/>
          <w:color w:val="000000"/>
        </w:rPr>
        <w:footnoteReference w:id="40"/>
      </w:r>
      <w:r w:rsidR="00FE6443" w:rsidRPr="00BD7CE5">
        <w:rPr>
          <w:color w:val="000000"/>
        </w:rPr>
        <w:t xml:space="preserve">  This interpretation, which </w:t>
      </w:r>
      <w:r w:rsidRPr="00BD7CE5">
        <w:rPr>
          <w:color w:val="000000"/>
        </w:rPr>
        <w:t xml:space="preserve">in stark contrast </w:t>
      </w:r>
      <w:r w:rsidR="00FE6443" w:rsidRPr="00BD7CE5">
        <w:rPr>
          <w:color w:val="000000"/>
        </w:rPr>
        <w:t xml:space="preserve">the </w:t>
      </w:r>
      <w:proofErr w:type="spellStart"/>
      <w:r w:rsidR="00FE6443" w:rsidRPr="00BD7CE5">
        <w:rPr>
          <w:color w:val="000000"/>
        </w:rPr>
        <w:t>IACtHR</w:t>
      </w:r>
      <w:proofErr w:type="spellEnd"/>
      <w:r w:rsidR="00FE6443" w:rsidRPr="00BD7CE5">
        <w:rPr>
          <w:color w:val="000000"/>
        </w:rPr>
        <w:t xml:space="preserve"> </w:t>
      </w:r>
      <w:r w:rsidR="00DB77EE" w:rsidRPr="00BD7CE5">
        <w:rPr>
          <w:color w:val="000000"/>
        </w:rPr>
        <w:t xml:space="preserve">found </w:t>
      </w:r>
      <w:r w:rsidR="00FE6443" w:rsidRPr="00BD7CE5">
        <w:rPr>
          <w:color w:val="000000"/>
        </w:rPr>
        <w:t>to be in breach of the Convention,</w:t>
      </w:r>
      <w:r w:rsidR="00FE6443" w:rsidRPr="00BD7CE5">
        <w:rPr>
          <w:rStyle w:val="FootnoteReference"/>
          <w:color w:val="000000"/>
        </w:rPr>
        <w:footnoteReference w:id="41"/>
      </w:r>
      <w:r w:rsidR="00FE6443" w:rsidRPr="00BD7CE5">
        <w:rPr>
          <w:color w:val="000000"/>
        </w:rPr>
        <w:t xml:space="preserve"> has the effect of hindering progress of human rights in the Caribbean Region, in particular those of disfranchised minorities such as LGBT</w:t>
      </w:r>
      <w:r w:rsidR="002E60F8" w:rsidRPr="00BD7CE5">
        <w:rPr>
          <w:color w:val="000000"/>
        </w:rPr>
        <w:t>Q</w:t>
      </w:r>
      <w:r w:rsidR="00FE6443" w:rsidRPr="00BD7CE5">
        <w:rPr>
          <w:color w:val="000000"/>
        </w:rPr>
        <w:t>I people</w:t>
      </w:r>
      <w:r w:rsidR="006939A5" w:rsidRPr="00BD7CE5">
        <w:rPr>
          <w:color w:val="000000"/>
        </w:rPr>
        <w:t>,</w:t>
      </w:r>
      <w:r w:rsidR="00FE6443" w:rsidRPr="00BD7CE5">
        <w:rPr>
          <w:color w:val="000000"/>
        </w:rPr>
        <w:t xml:space="preserve"> in that many laws, from criminalisation to discrimination, are pre-existing colonial laws.</w:t>
      </w:r>
      <w:r w:rsidR="00FE6443" w:rsidRPr="00BD7CE5">
        <w:rPr>
          <w:rStyle w:val="FootnoteReference"/>
          <w:color w:val="000000"/>
        </w:rPr>
        <w:footnoteReference w:id="42"/>
      </w:r>
      <w:r w:rsidR="00FE6443" w:rsidRPr="00BD7CE5">
        <w:rPr>
          <w:color w:val="000000"/>
        </w:rPr>
        <w:t xml:space="preserve"> </w:t>
      </w:r>
    </w:p>
    <w:p w14:paraId="30CDCE9E" w14:textId="77777777" w:rsidR="00FE6443" w:rsidRPr="00BD7CE5" w:rsidRDefault="00FE6443" w:rsidP="00367CFB">
      <w:pPr>
        <w:jc w:val="both"/>
        <w:rPr>
          <w:color w:val="000000"/>
        </w:rPr>
      </w:pPr>
    </w:p>
    <w:p w14:paraId="73ACE793" w14:textId="43EA0E49" w:rsidR="00FE6443" w:rsidRPr="00BD7CE5" w:rsidRDefault="00FE6443" w:rsidP="00367CFB">
      <w:pPr>
        <w:ind w:firstLine="360"/>
        <w:jc w:val="both"/>
      </w:pPr>
      <w:r w:rsidRPr="00BD7CE5">
        <w:rPr>
          <w:color w:val="000000"/>
        </w:rPr>
        <w:t>The CCJ reversed this interpretation of the “</w:t>
      </w:r>
      <w:r w:rsidRPr="00BD7CE5">
        <w:rPr>
          <w:i/>
          <w:iCs/>
          <w:color w:val="000000"/>
        </w:rPr>
        <w:t>general savings clause</w:t>
      </w:r>
      <w:r w:rsidRPr="00BD7CE5">
        <w:rPr>
          <w:color w:val="000000"/>
        </w:rPr>
        <w:t xml:space="preserve">” for Barbados and Guyana in 2018 holding that it is </w:t>
      </w:r>
      <w:r w:rsidRPr="00BD7CE5">
        <w:rPr>
          <w:i/>
          <w:iCs/>
          <w:color w:val="000000"/>
        </w:rPr>
        <w:t>incongruous, frustrates in perpetuity the constitutional supremacy and the independence of the judiciary, and is an unacceptable diminution of freedoms</w:t>
      </w:r>
      <w:r w:rsidRPr="00BD7CE5">
        <w:rPr>
          <w:color w:val="000000"/>
        </w:rPr>
        <w:t>.</w:t>
      </w:r>
      <w:r w:rsidRPr="00BD7CE5">
        <w:rPr>
          <w:rStyle w:val="FootnoteReference"/>
          <w:color w:val="000000"/>
        </w:rPr>
        <w:t xml:space="preserve"> </w:t>
      </w:r>
      <w:r w:rsidRPr="00BD7CE5">
        <w:rPr>
          <w:rStyle w:val="FootnoteReference"/>
          <w:color w:val="000000"/>
        </w:rPr>
        <w:footnoteReference w:id="43"/>
      </w:r>
      <w:r w:rsidRPr="00BD7CE5">
        <w:rPr>
          <w:color w:val="000000"/>
        </w:rPr>
        <w:t xml:space="preserve">  This allowed the CCJ to strike down</w:t>
      </w:r>
      <w:r w:rsidR="00B82A99" w:rsidRPr="00BD7CE5">
        <w:rPr>
          <w:color w:val="000000"/>
        </w:rPr>
        <w:t>,</w:t>
      </w:r>
      <w:r w:rsidRPr="00BD7CE5">
        <w:rPr>
          <w:color w:val="000000"/>
        </w:rPr>
        <w:t xml:space="preserve"> for unconstitutionality</w:t>
      </w:r>
      <w:r w:rsidR="00B82A99" w:rsidRPr="00BD7CE5">
        <w:rPr>
          <w:color w:val="000000"/>
        </w:rPr>
        <w:t>,</w:t>
      </w:r>
      <w:r w:rsidRPr="00BD7CE5">
        <w:rPr>
          <w:color w:val="000000"/>
        </w:rPr>
        <w:t xml:space="preserve"> a colonial law that criminalised transgender people</w:t>
      </w:r>
      <w:r w:rsidR="00DB77EE" w:rsidRPr="00BD7CE5">
        <w:rPr>
          <w:color w:val="000000"/>
        </w:rPr>
        <w:t xml:space="preserve"> in Guyana</w:t>
      </w:r>
      <w:r w:rsidRPr="00BD7CE5">
        <w:rPr>
          <w:color w:val="000000"/>
        </w:rPr>
        <w:t>;</w:t>
      </w:r>
      <w:r w:rsidRPr="00BD7CE5">
        <w:rPr>
          <w:rStyle w:val="FootnoteReference"/>
          <w:color w:val="000000"/>
        </w:rPr>
        <w:footnoteReference w:id="44"/>
      </w:r>
      <w:r w:rsidRPr="00BD7CE5">
        <w:rPr>
          <w:color w:val="000000"/>
        </w:rPr>
        <w:t xml:space="preserve"> similar colonial legislation would remain still protected from judicial scrutiny </w:t>
      </w:r>
      <w:r w:rsidR="00F66873" w:rsidRPr="00BD7CE5">
        <w:rPr>
          <w:color w:val="000000"/>
        </w:rPr>
        <w:t>due to</w:t>
      </w:r>
      <w:r w:rsidRPr="00BD7CE5">
        <w:rPr>
          <w:color w:val="000000"/>
        </w:rPr>
        <w:t xml:space="preserve"> </w:t>
      </w:r>
      <w:r w:rsidR="00807EF4" w:rsidRPr="00BD7CE5">
        <w:rPr>
          <w:color w:val="000000"/>
        </w:rPr>
        <w:t>the</w:t>
      </w:r>
      <w:r w:rsidRPr="00BD7CE5">
        <w:rPr>
          <w:color w:val="000000"/>
        </w:rPr>
        <w:t xml:space="preserve"> JCPC’s </w:t>
      </w:r>
      <w:r w:rsidR="00807EF4" w:rsidRPr="00BD7CE5">
        <w:rPr>
          <w:color w:val="000000"/>
        </w:rPr>
        <w:t xml:space="preserve">recent </w:t>
      </w:r>
      <w:r w:rsidR="00DB77EE" w:rsidRPr="00BD7CE5">
        <w:rPr>
          <w:color w:val="000000"/>
        </w:rPr>
        <w:t>decision in</w:t>
      </w:r>
      <w:r w:rsidRPr="00BD7CE5">
        <w:rPr>
          <w:color w:val="000000"/>
        </w:rPr>
        <w:t xml:space="preserve"> </w:t>
      </w:r>
      <w:r w:rsidR="00DB77EE" w:rsidRPr="00BD7CE5">
        <w:rPr>
          <w:color w:val="000000"/>
        </w:rPr>
        <w:t>Trinidad and Tobago</w:t>
      </w:r>
      <w:r w:rsidRPr="00BD7CE5">
        <w:rPr>
          <w:color w:val="000000"/>
        </w:rPr>
        <w:t>.</w:t>
      </w:r>
      <w:r w:rsidR="00DB77EE" w:rsidRPr="00BD7CE5">
        <w:rPr>
          <w:rStyle w:val="FootnoteReference"/>
          <w:color w:val="000000"/>
        </w:rPr>
        <w:footnoteReference w:id="45"/>
      </w:r>
    </w:p>
    <w:p w14:paraId="7987D4D5" w14:textId="77777777" w:rsidR="00FE6443" w:rsidRPr="00BD7CE5" w:rsidRDefault="00FE6443" w:rsidP="00367CFB">
      <w:pPr>
        <w:ind w:firstLine="360"/>
        <w:jc w:val="both"/>
      </w:pPr>
    </w:p>
    <w:p w14:paraId="1087D7EA" w14:textId="1EC7C263" w:rsidR="00367CFB" w:rsidRPr="00BD7CE5" w:rsidRDefault="00FE6443" w:rsidP="00367CFB">
      <w:pPr>
        <w:ind w:firstLine="360"/>
        <w:jc w:val="both"/>
      </w:pPr>
      <w:r w:rsidRPr="00BD7CE5">
        <w:t xml:space="preserve">The JCPC, comprising judges of the UK Supreme Court, is the last remnant of British colonialism holding effective imperial power. </w:t>
      </w:r>
      <w:r w:rsidRPr="00BD7CE5">
        <w:rPr>
          <w:rFonts w:eastAsiaTheme="minorHAnsi"/>
          <w:iCs/>
        </w:rPr>
        <w:t>No apex court in the Americas has so consistently denied LGBT</w:t>
      </w:r>
      <w:r w:rsidR="002E60F8" w:rsidRPr="00BD7CE5">
        <w:rPr>
          <w:rFonts w:eastAsiaTheme="minorHAnsi"/>
          <w:iCs/>
        </w:rPr>
        <w:t>Q</w:t>
      </w:r>
      <w:r w:rsidRPr="00BD7CE5">
        <w:rPr>
          <w:rFonts w:eastAsiaTheme="minorHAnsi"/>
          <w:iCs/>
        </w:rPr>
        <w:t xml:space="preserve">I people the ability to assert and advance their rights under their constitutions in modern times.  The JCPC </w:t>
      </w:r>
      <w:r w:rsidRPr="00BD7CE5">
        <w:t xml:space="preserve">has shown an inability to understand the very basic aspect of the </w:t>
      </w:r>
      <w:r w:rsidR="00B82A99" w:rsidRPr="00BD7CE5">
        <w:t xml:space="preserve">written </w:t>
      </w:r>
      <w:r w:rsidRPr="00BD7CE5">
        <w:t>constitutional system that the British Empire bequeathed to its Caribbean colonies</w:t>
      </w:r>
      <w:r w:rsidR="006939A5" w:rsidRPr="00BD7CE5">
        <w:t>, i</w:t>
      </w:r>
      <w:r w:rsidR="00DB77EE" w:rsidRPr="00BD7CE5">
        <w:t xml:space="preserve">n particular, </w:t>
      </w:r>
      <w:r w:rsidRPr="00BD7CE5">
        <w:t>a lack of comprehension, as Lord Bingham explained back in 2006</w:t>
      </w:r>
      <w:r w:rsidR="00DB77EE" w:rsidRPr="00BD7CE5">
        <w:t>, of the</w:t>
      </w:r>
      <w:r w:rsidRPr="00BD7CE5">
        <w:t xml:space="preserve"> legal implication of incorporating a declaration of rights and freedoms into a written constitution.</w:t>
      </w:r>
      <w:r w:rsidRPr="00BD7CE5">
        <w:rPr>
          <w:rStyle w:val="FootnoteReference"/>
        </w:rPr>
        <w:footnoteReference w:id="46"/>
      </w:r>
      <w:r w:rsidRPr="00BD7CE5">
        <w:t xml:space="preserve"> </w:t>
      </w:r>
      <w:r w:rsidR="00DB77EE" w:rsidRPr="00BD7CE5">
        <w:t xml:space="preserve"> </w:t>
      </w:r>
      <w:r w:rsidRPr="00BD7CE5">
        <w:t>Furthermore, Lord Bingham in a dissenting judgement in 2007,  cried out loud that the JCPC’s reliance on what could or could not be done in the UK is of "</w:t>
      </w:r>
      <w:r w:rsidRPr="00BD7CE5">
        <w:rPr>
          <w:b/>
          <w:bCs/>
        </w:rPr>
        <w:t>no assistance</w:t>
      </w:r>
      <w:r w:rsidRPr="00BD7CE5">
        <w:t>" (emphasis added) when adjudicating primary legislation under a written constitution.</w:t>
      </w:r>
      <w:r w:rsidRPr="00BD7CE5">
        <w:rPr>
          <w:rStyle w:val="FootnoteReference"/>
        </w:rPr>
        <w:footnoteReference w:id="47"/>
      </w:r>
      <w:r w:rsidRPr="00BD7CE5">
        <w:t xml:space="preserve">  </w:t>
      </w:r>
      <w:r w:rsidRPr="00BD7CE5">
        <w:rPr>
          <w:lang w:val="en"/>
        </w:rPr>
        <w:t xml:space="preserve">It is difficult to ascertain whether it is simply a lack of understanding or perhaps even worse </w:t>
      </w:r>
      <w:r w:rsidRPr="00BD7CE5">
        <w:rPr>
          <w:lang w:val="en"/>
        </w:rPr>
        <w:lastRenderedPageBreak/>
        <w:t>dastardly justice, (Lord Bingham described it as “resistance” in some courts),</w:t>
      </w:r>
      <w:r w:rsidRPr="00BD7CE5">
        <w:rPr>
          <w:rStyle w:val="FootnoteReference"/>
          <w:lang w:val="en"/>
        </w:rPr>
        <w:footnoteReference w:id="48"/>
      </w:r>
      <w:r w:rsidRPr="00BD7CE5">
        <w:rPr>
          <w:lang w:val="en"/>
        </w:rPr>
        <w:t xml:space="preserve">  that might explain why some British judges (</w:t>
      </w:r>
      <w:r w:rsidR="00244957" w:rsidRPr="00BD7CE5">
        <w:rPr>
          <w:lang w:val="en"/>
        </w:rPr>
        <w:t>although</w:t>
      </w:r>
      <w:r w:rsidRPr="00BD7CE5">
        <w:rPr>
          <w:lang w:val="en"/>
        </w:rPr>
        <w:t xml:space="preserve"> there were </w:t>
      </w:r>
      <w:r w:rsidR="00584F7B" w:rsidRPr="00BD7CE5">
        <w:rPr>
          <w:lang w:val="en"/>
        </w:rPr>
        <w:t xml:space="preserve">also </w:t>
      </w:r>
      <w:r w:rsidRPr="00BD7CE5">
        <w:rPr>
          <w:lang w:val="en"/>
        </w:rPr>
        <w:t xml:space="preserve">very vocal and </w:t>
      </w:r>
      <w:r w:rsidR="006939A5" w:rsidRPr="00BD7CE5">
        <w:rPr>
          <w:lang w:val="en"/>
        </w:rPr>
        <w:t>poignant</w:t>
      </w:r>
      <w:r w:rsidRPr="00BD7CE5">
        <w:rPr>
          <w:lang w:val="en"/>
        </w:rPr>
        <w:t xml:space="preserve"> dissenting judgments in most of the cases studied)</w:t>
      </w:r>
      <w:r w:rsidRPr="00BD7CE5">
        <w:rPr>
          <w:rStyle w:val="FootnoteReference"/>
          <w:lang w:val="en"/>
        </w:rPr>
        <w:footnoteReference w:id="49"/>
      </w:r>
      <w:r w:rsidRPr="00BD7CE5">
        <w:rPr>
          <w:lang w:val="en"/>
        </w:rPr>
        <w:t xml:space="preserve"> have become, in practice, the last defenders of the worst of European colonialism.</w:t>
      </w:r>
      <w:r w:rsidR="00244957" w:rsidRPr="00BD7CE5">
        <w:rPr>
          <w:rStyle w:val="FootnoteReference"/>
          <w:lang w:val="en"/>
        </w:rPr>
        <w:footnoteReference w:id="50"/>
      </w:r>
    </w:p>
    <w:p w14:paraId="5130A8FE" w14:textId="77777777" w:rsidR="00367CFB" w:rsidRPr="00BD7CE5" w:rsidRDefault="00367CFB" w:rsidP="00367CFB">
      <w:pPr>
        <w:pStyle w:val="ListParagraph"/>
        <w:numPr>
          <w:ilvl w:val="0"/>
          <w:numId w:val="14"/>
        </w:numPr>
        <w:spacing w:before="100" w:beforeAutospacing="1" w:after="100" w:afterAutospacing="1"/>
        <w:jc w:val="both"/>
        <w:rPr>
          <w:b/>
          <w:bCs/>
        </w:rPr>
      </w:pPr>
      <w:r w:rsidRPr="00BD7CE5">
        <w:rPr>
          <w:b/>
          <w:bCs/>
        </w:rPr>
        <w:t>How, if at all, has the protection against violence and discrimination based on sexual orientation and gender identity been transformed and positively or negatively impacted by processes of decolonization?</w:t>
      </w:r>
    </w:p>
    <w:p w14:paraId="46CF4924" w14:textId="3D321436" w:rsidR="00367CFB" w:rsidRPr="00BD7CE5" w:rsidRDefault="00367CFB" w:rsidP="00367CFB">
      <w:pPr>
        <w:ind w:firstLine="360"/>
        <w:jc w:val="both"/>
      </w:pPr>
      <w:r w:rsidRPr="00BD7CE5">
        <w:rPr>
          <w:b/>
          <w:bCs/>
        </w:rPr>
        <w:t>Answer</w:t>
      </w:r>
    </w:p>
    <w:p w14:paraId="0741CBD8" w14:textId="77777777" w:rsidR="00367CFB" w:rsidRPr="00BD7CE5" w:rsidRDefault="00367CFB" w:rsidP="00367CFB">
      <w:pPr>
        <w:ind w:firstLine="360"/>
        <w:jc w:val="both"/>
      </w:pPr>
      <w:r w:rsidRPr="00BD7CE5">
        <w:t xml:space="preserve">This is addressed with the answer to question 3.  </w:t>
      </w:r>
    </w:p>
    <w:p w14:paraId="63C07B0D" w14:textId="77777777" w:rsidR="00367CFB" w:rsidRPr="00BD7CE5" w:rsidRDefault="00367CFB" w:rsidP="00367CFB">
      <w:pPr>
        <w:ind w:firstLine="360"/>
        <w:jc w:val="both"/>
      </w:pPr>
    </w:p>
    <w:p w14:paraId="78465F5B" w14:textId="6AC84918" w:rsidR="00367CFB" w:rsidRPr="00BD7CE5" w:rsidRDefault="00367CFB" w:rsidP="00367CFB">
      <w:pPr>
        <w:ind w:firstLine="360"/>
        <w:jc w:val="both"/>
        <w:rPr>
          <w:lang w:val="en-SG"/>
        </w:rPr>
      </w:pPr>
      <w:r w:rsidRPr="00BD7CE5">
        <w:t>In</w:t>
      </w:r>
      <w:r w:rsidR="00584F7B" w:rsidRPr="00BD7CE5">
        <w:t xml:space="preserve"> </w:t>
      </w:r>
      <w:r w:rsidR="00CA1697" w:rsidRPr="00BD7CE5">
        <w:t>summary</w:t>
      </w:r>
      <w:r w:rsidRPr="00BD7CE5">
        <w:t>, decolon</w:t>
      </w:r>
      <w:r w:rsidR="00B82A99" w:rsidRPr="00BD7CE5">
        <w:t>ial</w:t>
      </w:r>
      <w:r w:rsidRPr="00BD7CE5">
        <w:t>isation, on the one hand, incorporated a declaration of human rights into all the independence constitutions of the new states.  This declaration</w:t>
      </w:r>
      <w:r w:rsidR="006939A5" w:rsidRPr="00BD7CE5">
        <w:t xml:space="preserve">, mainly taken from the </w:t>
      </w:r>
      <w:r w:rsidR="00584F7B" w:rsidRPr="00BD7CE5">
        <w:t>ECHR</w:t>
      </w:r>
      <w:r w:rsidR="000B10A6" w:rsidRPr="00BD7CE5">
        <w:t>,</w:t>
      </w:r>
      <w:r w:rsidR="000B10A6" w:rsidRPr="00BD7CE5">
        <w:rPr>
          <w:rStyle w:val="FootnoteReference"/>
        </w:rPr>
        <w:footnoteReference w:id="51"/>
      </w:r>
      <w:r w:rsidR="006939A5" w:rsidRPr="00BD7CE5">
        <w:t xml:space="preserve"> </w:t>
      </w:r>
      <w:r w:rsidR="000B10A6" w:rsidRPr="00BD7CE5">
        <w:t>which had been extended to the colonial territories prior to their independence, has</w:t>
      </w:r>
      <w:r w:rsidRPr="00BD7CE5">
        <w:t xml:space="preserve"> assisted the courts to decriminalise </w:t>
      </w:r>
      <w:r w:rsidRPr="00BD7CE5">
        <w:rPr>
          <w:lang w:val="en-SG"/>
        </w:rPr>
        <w:t>on grounds that the anti-sodomy laws breach the rights to liberty, privacy and non-discrimination of those constitutions (</w:t>
      </w:r>
      <w:proofErr w:type="gramStart"/>
      <w:r w:rsidRPr="00BD7CE5">
        <w:rPr>
          <w:lang w:val="en-SG"/>
        </w:rPr>
        <w:t>e.g.</w:t>
      </w:r>
      <w:proofErr w:type="gramEnd"/>
      <w:r w:rsidRPr="00BD7CE5">
        <w:rPr>
          <w:lang w:val="en-SG"/>
        </w:rPr>
        <w:t xml:space="preserve"> Belize, Trinidad and Tobago, </w:t>
      </w:r>
      <w:r w:rsidRPr="00BD7CE5">
        <w:t>Antigua and Barbuda, Saint Kitts and Nevis and Barbados).  However, in countries under the jurisdiction of the JCPC (Bahamas, Jamaica and Trinidad and Tobago) where their constitution features a “</w:t>
      </w:r>
      <w:r w:rsidRPr="00BD7CE5">
        <w:rPr>
          <w:i/>
          <w:iCs/>
        </w:rPr>
        <w:t>general savings clause</w:t>
      </w:r>
      <w:r w:rsidRPr="00BD7CE5">
        <w:t>” or “</w:t>
      </w:r>
      <w:r w:rsidRPr="00BD7CE5">
        <w:rPr>
          <w:i/>
          <w:iCs/>
        </w:rPr>
        <w:t>special savings clause</w:t>
      </w:r>
      <w:r w:rsidRPr="00BD7CE5">
        <w:t>”, the process of decolon</w:t>
      </w:r>
      <w:r w:rsidR="00B82A99" w:rsidRPr="00BD7CE5">
        <w:t>ial</w:t>
      </w:r>
      <w:r w:rsidRPr="00BD7CE5">
        <w:t>isation has frustrated the protection of LGBT</w:t>
      </w:r>
      <w:r w:rsidR="002E60F8" w:rsidRPr="00BD7CE5">
        <w:t>Q</w:t>
      </w:r>
      <w:r w:rsidRPr="00BD7CE5">
        <w:t>I people by the combined effect of these clauses and the</w:t>
      </w:r>
      <w:r w:rsidR="00847FA6" w:rsidRPr="00BD7CE5">
        <w:t xml:space="preserve"> obtuse persistence of </w:t>
      </w:r>
      <w:r w:rsidRPr="00BD7CE5">
        <w:t>the British judiciary</w:t>
      </w:r>
      <w:r w:rsidR="00847FA6" w:rsidRPr="00BD7CE5">
        <w:t xml:space="preserve"> in construing them</w:t>
      </w:r>
      <w:r w:rsidR="000B10A6" w:rsidRPr="00BD7CE5">
        <w:t xml:space="preserve"> </w:t>
      </w:r>
      <w:r w:rsidRPr="00BD7CE5">
        <w:t xml:space="preserve">against international law and </w:t>
      </w:r>
      <w:r w:rsidR="00847FA6" w:rsidRPr="00BD7CE5">
        <w:t xml:space="preserve">in </w:t>
      </w:r>
      <w:r w:rsidR="000B10A6" w:rsidRPr="00BD7CE5">
        <w:t>defi</w:t>
      </w:r>
      <w:r w:rsidR="00847FA6" w:rsidRPr="00BD7CE5">
        <w:t>ance of</w:t>
      </w:r>
      <w:r w:rsidRPr="00BD7CE5">
        <w:t xml:space="preserve"> </w:t>
      </w:r>
      <w:r w:rsidR="00584F7B" w:rsidRPr="00BD7CE5">
        <w:t xml:space="preserve">the </w:t>
      </w:r>
      <w:r w:rsidRPr="00BD7CE5">
        <w:t>alternative interpretation</w:t>
      </w:r>
      <w:r w:rsidR="00847FA6" w:rsidRPr="00BD7CE5">
        <w:t>s</w:t>
      </w:r>
      <w:r w:rsidRPr="00BD7CE5">
        <w:t xml:space="preserve"> </w:t>
      </w:r>
      <w:r w:rsidR="00584F7B" w:rsidRPr="00BD7CE5">
        <w:t>of the same clause</w:t>
      </w:r>
      <w:r w:rsidR="00584F7B" w:rsidRPr="00BD7CE5">
        <w:t xml:space="preserve"> </w:t>
      </w:r>
      <w:r w:rsidR="00847FA6" w:rsidRPr="00BD7CE5">
        <w:t xml:space="preserve">adopted by </w:t>
      </w:r>
      <w:r w:rsidRPr="00BD7CE5">
        <w:t xml:space="preserve">the regional apex court </w:t>
      </w:r>
      <w:r w:rsidR="00847FA6" w:rsidRPr="00BD7CE5">
        <w:t>of</w:t>
      </w:r>
      <w:r w:rsidRPr="00BD7CE5">
        <w:t xml:space="preserve"> the Caribbean (i.e. CCJ).</w:t>
      </w:r>
      <w:r w:rsidR="009F0156" w:rsidRPr="00BD7CE5">
        <w:rPr>
          <w:rStyle w:val="FootnoteReference"/>
        </w:rPr>
        <w:footnoteReference w:id="52"/>
      </w:r>
      <w:r w:rsidRPr="00BD7CE5">
        <w:t xml:space="preserve">  </w:t>
      </w:r>
    </w:p>
    <w:p w14:paraId="6634C581" w14:textId="52CFF6E8" w:rsidR="00367CFB" w:rsidRPr="00BD7CE5" w:rsidRDefault="00367CFB" w:rsidP="00367CFB">
      <w:pPr>
        <w:pStyle w:val="ListParagraph"/>
        <w:numPr>
          <w:ilvl w:val="0"/>
          <w:numId w:val="14"/>
        </w:numPr>
        <w:spacing w:before="100" w:beforeAutospacing="1" w:after="100" w:afterAutospacing="1"/>
        <w:jc w:val="both"/>
      </w:pPr>
      <w:r w:rsidRPr="00BD7CE5">
        <w:rPr>
          <w:b/>
          <w:bCs/>
        </w:rPr>
        <w:t>If no longer in place, when were colonial laws regulating sexual orientation and gender identity repealed? In what pretext were they abolished and what was the rational/explanation for their abolishment?</w:t>
      </w:r>
    </w:p>
    <w:p w14:paraId="171CBB46" w14:textId="3F68B1E6" w:rsidR="00367CFB" w:rsidRPr="00BD7CE5" w:rsidRDefault="00367CFB" w:rsidP="00367CFB">
      <w:pPr>
        <w:ind w:firstLine="360"/>
        <w:jc w:val="both"/>
      </w:pPr>
      <w:r w:rsidRPr="00BD7CE5">
        <w:rPr>
          <w:b/>
          <w:bCs/>
        </w:rPr>
        <w:t>Answer</w:t>
      </w:r>
      <w:r w:rsidRPr="00BD7CE5">
        <w:t xml:space="preserve"> </w:t>
      </w:r>
    </w:p>
    <w:p w14:paraId="53CC424E" w14:textId="19B849E0" w:rsidR="00367CFB" w:rsidRPr="00BD7CE5" w:rsidRDefault="00367CFB" w:rsidP="00367CFB">
      <w:pPr>
        <w:ind w:firstLine="360"/>
        <w:jc w:val="both"/>
      </w:pPr>
      <w:r w:rsidRPr="00BD7CE5">
        <w:t>This is addressed with the answer to question 3.</w:t>
      </w:r>
    </w:p>
    <w:bookmarkEnd w:id="1"/>
    <w:bookmarkEnd w:id="2"/>
    <w:p w14:paraId="4521A19C" w14:textId="1FB7F5FB" w:rsidR="00FE6443" w:rsidRPr="00BD7CE5" w:rsidRDefault="00367CFB" w:rsidP="00367CFB">
      <w:pPr>
        <w:spacing w:before="100" w:beforeAutospacing="1" w:after="100" w:afterAutospacing="1"/>
        <w:ind w:left="720" w:hanging="294"/>
        <w:jc w:val="both"/>
        <w:rPr>
          <w:b/>
          <w:bCs/>
        </w:rPr>
      </w:pPr>
      <w:r w:rsidRPr="00BD7CE5">
        <w:rPr>
          <w:b/>
          <w:bCs/>
        </w:rPr>
        <w:t xml:space="preserve">7. </w:t>
      </w:r>
      <w:r w:rsidR="00FE6443" w:rsidRPr="00BD7CE5">
        <w:rPr>
          <w:b/>
          <w:bCs/>
        </w:rPr>
        <w:t>What is the ongoing impact of gender- and sex-regulating colonial laws on the enjoyment of human rights by LGBT persons? How did the imposition of colonial laws on sex and gender shape social and moral ideas about sexual orientation and gender diversity?</w:t>
      </w:r>
    </w:p>
    <w:p w14:paraId="21D3D5A7" w14:textId="705E9FB4" w:rsidR="00367CFB" w:rsidRPr="00BD7CE5" w:rsidRDefault="00367CFB" w:rsidP="00367CFB">
      <w:pPr>
        <w:ind w:firstLine="360"/>
        <w:jc w:val="both"/>
        <w:rPr>
          <w:b/>
          <w:bCs/>
        </w:rPr>
      </w:pPr>
      <w:r w:rsidRPr="00BD7CE5">
        <w:rPr>
          <w:b/>
          <w:bCs/>
        </w:rPr>
        <w:t>Answer</w:t>
      </w:r>
      <w:r w:rsidR="00B6706D" w:rsidRPr="00BD7CE5">
        <w:rPr>
          <w:b/>
          <w:bCs/>
        </w:rPr>
        <w:t xml:space="preserve"> </w:t>
      </w:r>
    </w:p>
    <w:p w14:paraId="7874D2FC" w14:textId="11A38973" w:rsidR="00FE6443" w:rsidRPr="00BD7CE5" w:rsidRDefault="00FE6443" w:rsidP="00367CFB">
      <w:pPr>
        <w:ind w:firstLine="360"/>
        <w:jc w:val="both"/>
      </w:pPr>
      <w:r w:rsidRPr="00BD7CE5">
        <w:t xml:space="preserve">The evidence collected and analysed </w:t>
      </w:r>
      <w:r w:rsidR="00847FA6" w:rsidRPr="00BD7CE5">
        <w:t xml:space="preserve">for the IIHR Report </w:t>
      </w:r>
      <w:r w:rsidRPr="00BD7CE5">
        <w:t>shows that discrimination suffered by LGBT</w:t>
      </w:r>
      <w:r w:rsidR="002E60F8" w:rsidRPr="00BD7CE5">
        <w:t>Q</w:t>
      </w:r>
      <w:r w:rsidRPr="00BD7CE5">
        <w:t>I persons, due to the existence of anti-sodomy laws, is highly damaging to the physical and mental integrity of these people and society at large.  Each of these aspects is briefly developed in turn below.</w:t>
      </w:r>
    </w:p>
    <w:p w14:paraId="34CF00A3" w14:textId="77777777" w:rsidR="00FE6443" w:rsidRPr="00BD7CE5" w:rsidRDefault="00FE6443" w:rsidP="00367CFB">
      <w:pPr>
        <w:jc w:val="both"/>
      </w:pPr>
    </w:p>
    <w:p w14:paraId="0458470F" w14:textId="77777777" w:rsidR="00FE6443" w:rsidRPr="00BD7CE5" w:rsidRDefault="00FE6443" w:rsidP="00367CFB">
      <w:pPr>
        <w:pStyle w:val="ListParagraph"/>
        <w:numPr>
          <w:ilvl w:val="0"/>
          <w:numId w:val="24"/>
        </w:numPr>
        <w:jc w:val="both"/>
        <w:rPr>
          <w:b/>
        </w:rPr>
      </w:pPr>
      <w:r w:rsidRPr="00BD7CE5">
        <w:rPr>
          <w:b/>
        </w:rPr>
        <w:t xml:space="preserve">Physical integrity </w:t>
      </w:r>
    </w:p>
    <w:p w14:paraId="3E8502A9" w14:textId="7C1737C9" w:rsidR="00367CFB" w:rsidRPr="00BD7CE5" w:rsidRDefault="00FE6443" w:rsidP="00367CFB">
      <w:pPr>
        <w:ind w:firstLine="360"/>
        <w:jc w:val="both"/>
      </w:pPr>
      <w:r w:rsidRPr="00BD7CE5">
        <w:t>The research has unveiled information that evidences governments using anti-sodomy laws to justify lack of implementation of more effective policies to reduce HIV (the Caribbean is the second most severely affected region in the world with regards to the prevalence of HIV after Africa).</w:t>
      </w:r>
      <w:r w:rsidRPr="00BD7CE5">
        <w:rPr>
          <w:rStyle w:val="FootnoteReference"/>
        </w:rPr>
        <w:footnoteReference w:id="53"/>
      </w:r>
      <w:r w:rsidRPr="00BD7CE5">
        <w:t xml:space="preserve">  There is also evidence that governments use these laws to justify the lack of implementation of policies to tackle social violence against LGBT</w:t>
      </w:r>
      <w:r w:rsidR="002E60F8" w:rsidRPr="00BD7CE5">
        <w:t>Q</w:t>
      </w:r>
      <w:r w:rsidRPr="00BD7CE5">
        <w:t>I individuals on grounds that LGBT</w:t>
      </w:r>
      <w:r w:rsidR="002E60F8" w:rsidRPr="00BD7CE5">
        <w:t>Q</w:t>
      </w:r>
      <w:r w:rsidRPr="00BD7CE5">
        <w:t>I individuals are defined as criminals (and in some cases are even considered mentally ill, e.g., Dominica).  Moreover, the stigma attached to these labels is used to justify not only segregation and discrimination of LGBT</w:t>
      </w:r>
      <w:r w:rsidR="002E60F8" w:rsidRPr="00BD7CE5">
        <w:t>Q</w:t>
      </w:r>
      <w:r w:rsidRPr="00BD7CE5">
        <w:t>I people, but, in some cases, different degrees of violence, from harassment to murder, e.g., Jamaica.</w:t>
      </w:r>
      <w:r w:rsidRPr="00BD7CE5">
        <w:rPr>
          <w:rStyle w:val="FootnoteReference"/>
        </w:rPr>
        <w:footnoteReference w:id="54"/>
      </w:r>
    </w:p>
    <w:p w14:paraId="6A2033BE" w14:textId="77777777" w:rsidR="00367CFB" w:rsidRPr="00BD7CE5" w:rsidRDefault="00367CFB" w:rsidP="00367CFB">
      <w:pPr>
        <w:ind w:firstLine="360"/>
        <w:jc w:val="both"/>
      </w:pPr>
    </w:p>
    <w:p w14:paraId="1BF38EE0" w14:textId="428E03EB" w:rsidR="00FE6443" w:rsidRPr="00BD7CE5" w:rsidRDefault="00FE6443" w:rsidP="00367CFB">
      <w:pPr>
        <w:ind w:firstLine="360"/>
        <w:jc w:val="both"/>
      </w:pPr>
      <w:r w:rsidRPr="00BD7CE5">
        <w:t xml:space="preserve">The research has also evidenced support and exacerbation of social violence via institutional mechanisms through blessing of approval, not just by senior clergy in the church, but also by the criminal justice system itself.  For instance, </w:t>
      </w:r>
      <w:r w:rsidR="00847FA6" w:rsidRPr="00BD7CE5">
        <w:t xml:space="preserve">local </w:t>
      </w:r>
      <w:r w:rsidRPr="00BD7CE5">
        <w:t>church violence is not uncommon in that Christian churches of all denominations try to link homosexuality to the root causes of sexual abuse of minors in the clergy.</w:t>
      </w:r>
      <w:r w:rsidRPr="00BD7CE5">
        <w:rPr>
          <w:rStyle w:val="FootnoteReference"/>
        </w:rPr>
        <w:footnoteReference w:id="55"/>
      </w:r>
      <w:r w:rsidRPr="00BD7CE5">
        <w:t xml:space="preserve">  There is in addition evidence of hate speech coming from senior </w:t>
      </w:r>
      <w:r w:rsidR="00847FA6" w:rsidRPr="00BD7CE5">
        <w:t xml:space="preserve">local </w:t>
      </w:r>
      <w:r w:rsidRPr="00BD7CE5">
        <w:t>clergies, which provide violence with a</w:t>
      </w:r>
      <w:r w:rsidR="00B82A99" w:rsidRPr="00BD7CE5">
        <w:t>n</w:t>
      </w:r>
      <w:r w:rsidR="00847FA6" w:rsidRPr="00BD7CE5">
        <w:t xml:space="preserve"> alleged</w:t>
      </w:r>
      <w:r w:rsidRPr="00BD7CE5">
        <w:t xml:space="preserve"> moral justification</w:t>
      </w:r>
      <w:r w:rsidR="00847FA6" w:rsidRPr="00BD7CE5">
        <w:t xml:space="preserve">, e.g. </w:t>
      </w:r>
      <w:r w:rsidRPr="00BD7CE5">
        <w:t>the local Roman Catholic Church supported in court anti-sodomy laws in Belize and openly opposed the repeal of these laws in Barbados, Jamaica and St Lucia.  This fuels social hatred in addition to the social violence triggered by criminal laws, as evidenced in Jamaica.  In addition to social violence, institutional violence is also promoted, for instance in Jamaica, where the criminal law permits in murder cases the use of the so called “</w:t>
      </w:r>
      <w:r w:rsidRPr="00BD7CE5">
        <w:rPr>
          <w:i/>
          <w:iCs/>
        </w:rPr>
        <w:t>gay panic</w:t>
      </w:r>
      <w:r w:rsidRPr="00BD7CE5">
        <w:t>” defence, as a variation of self-defence, which means that murdering a LGBT</w:t>
      </w:r>
      <w:r w:rsidR="002E60F8" w:rsidRPr="00BD7CE5">
        <w:t>Q</w:t>
      </w:r>
      <w:r w:rsidRPr="00BD7CE5">
        <w:t xml:space="preserve">I individual finds justification in law based on the </w:t>
      </w:r>
      <w:r w:rsidR="00B82A99" w:rsidRPr="00BD7CE5">
        <w:t xml:space="preserve">perceived </w:t>
      </w:r>
      <w:r w:rsidRPr="00BD7CE5">
        <w:t>sexual orientation or gender identity of the victim.</w:t>
      </w:r>
      <w:r w:rsidRPr="00BD7CE5">
        <w:rPr>
          <w:rStyle w:val="FootnoteReference"/>
        </w:rPr>
        <w:footnoteReference w:id="56"/>
      </w:r>
      <w:r w:rsidRPr="00BD7CE5">
        <w:t xml:space="preserve"> </w:t>
      </w:r>
    </w:p>
    <w:p w14:paraId="69BCF320" w14:textId="77777777" w:rsidR="00FE6443" w:rsidRPr="00BD7CE5" w:rsidRDefault="00FE6443" w:rsidP="00367CFB">
      <w:pPr>
        <w:jc w:val="both"/>
      </w:pPr>
    </w:p>
    <w:p w14:paraId="10C804F8" w14:textId="77777777" w:rsidR="00FE6443" w:rsidRPr="00BD7CE5" w:rsidRDefault="00FE6443" w:rsidP="00367CFB">
      <w:pPr>
        <w:pStyle w:val="ListParagraph"/>
        <w:numPr>
          <w:ilvl w:val="0"/>
          <w:numId w:val="24"/>
        </w:numPr>
        <w:jc w:val="both"/>
        <w:rPr>
          <w:b/>
        </w:rPr>
      </w:pPr>
      <w:r w:rsidRPr="00BD7CE5">
        <w:rPr>
          <w:b/>
        </w:rPr>
        <w:t>Mental health</w:t>
      </w:r>
    </w:p>
    <w:p w14:paraId="429A437A" w14:textId="5D27F478" w:rsidR="00367CFB" w:rsidRPr="00BD7CE5" w:rsidRDefault="00FE6443" w:rsidP="00367CFB">
      <w:pPr>
        <w:ind w:firstLine="360"/>
        <w:jc w:val="both"/>
      </w:pPr>
      <w:r w:rsidRPr="00BD7CE5">
        <w:t xml:space="preserve">The lack of proper statistics makes it rather difficult to quantify properly the impact </w:t>
      </w:r>
      <w:r w:rsidR="00D64C4F" w:rsidRPr="00BD7CE5">
        <w:t xml:space="preserve">of these laws </w:t>
      </w:r>
      <w:r w:rsidRPr="00BD7CE5">
        <w:t>on the mental health of individuals and the society at large.  The lack of statistics</w:t>
      </w:r>
      <w:r w:rsidR="00D64C4F" w:rsidRPr="00BD7CE5">
        <w:t xml:space="preserve"> however helps</w:t>
      </w:r>
      <w:r w:rsidRPr="00BD7CE5">
        <w:t xml:space="preserve"> </w:t>
      </w:r>
      <w:r w:rsidR="00D64C4F" w:rsidRPr="00BD7CE5">
        <w:t xml:space="preserve">with </w:t>
      </w:r>
      <w:r w:rsidRPr="00BD7CE5">
        <w:t xml:space="preserve">the invisibility of LGB persons: they may live all their life in the closet unlike a transgender, coloured person, or someone of a particular ethnic background, who are unable to hide from social, </w:t>
      </w:r>
      <w:proofErr w:type="gramStart"/>
      <w:r w:rsidRPr="00BD7CE5">
        <w:t>church</w:t>
      </w:r>
      <w:proofErr w:type="gramEnd"/>
      <w:r w:rsidRPr="00BD7CE5">
        <w:t xml:space="preserve"> or institutional violence.  </w:t>
      </w:r>
      <w:r w:rsidR="00D64C4F" w:rsidRPr="00BD7CE5">
        <w:t>But</w:t>
      </w:r>
      <w:r w:rsidRPr="00BD7CE5">
        <w:t xml:space="preserve"> this invisibility leads </w:t>
      </w:r>
      <w:r w:rsidR="00D64C4F" w:rsidRPr="00BD7CE5">
        <w:t>critically</w:t>
      </w:r>
      <w:r w:rsidRPr="00BD7CE5">
        <w:t xml:space="preserve"> to unaccountability: LGB violence and death remain unaccounted, e.g., Guyana presents one of the highest rates of suicide in the world (4</w:t>
      </w:r>
      <w:r w:rsidRPr="00BD7CE5">
        <w:rPr>
          <w:vertAlign w:val="superscript"/>
        </w:rPr>
        <w:t>th</w:t>
      </w:r>
      <w:r w:rsidRPr="00BD7CE5">
        <w:t xml:space="preserve"> in the world and 1</w:t>
      </w:r>
      <w:r w:rsidRPr="00BD7CE5">
        <w:rPr>
          <w:vertAlign w:val="superscript"/>
        </w:rPr>
        <w:t>st</w:t>
      </w:r>
      <w:r w:rsidRPr="00BD7CE5">
        <w:t xml:space="preserve"> in America) with 29/100,000.  LGBT</w:t>
      </w:r>
      <w:r w:rsidR="002E60F8" w:rsidRPr="00BD7CE5">
        <w:t>QI</w:t>
      </w:r>
      <w:r w:rsidRPr="00BD7CE5">
        <w:t xml:space="preserve"> grass roots groups link this to sexual orientation and gender identity; yet the invisibility of the group makes it impossible to conduct a proper quantification.</w:t>
      </w:r>
      <w:r w:rsidRPr="00BD7CE5">
        <w:rPr>
          <w:rStyle w:val="FootnoteReference"/>
        </w:rPr>
        <w:footnoteReference w:id="57"/>
      </w:r>
    </w:p>
    <w:p w14:paraId="3E324085" w14:textId="77777777" w:rsidR="00367CFB" w:rsidRPr="00BD7CE5" w:rsidRDefault="00367CFB" w:rsidP="00367CFB">
      <w:pPr>
        <w:ind w:firstLine="360"/>
        <w:jc w:val="both"/>
      </w:pPr>
    </w:p>
    <w:p w14:paraId="47596E65" w14:textId="65CB47FA" w:rsidR="00367CFB" w:rsidRPr="00BD7CE5" w:rsidRDefault="00FE6443" w:rsidP="00367CFB">
      <w:pPr>
        <w:ind w:firstLine="360"/>
        <w:jc w:val="both"/>
      </w:pPr>
      <w:r w:rsidRPr="00BD7CE5">
        <w:t xml:space="preserve">Professor </w:t>
      </w:r>
      <w:proofErr w:type="spellStart"/>
      <w:r w:rsidRPr="00BD7CE5">
        <w:t>Zaffaroni</w:t>
      </w:r>
      <w:proofErr w:type="spellEnd"/>
      <w:r w:rsidRPr="00BD7CE5">
        <w:t xml:space="preserve"> agrees with the analysis of LGBT</w:t>
      </w:r>
      <w:r w:rsidR="002E60F8" w:rsidRPr="00BD7CE5">
        <w:t>QI</w:t>
      </w:r>
      <w:r w:rsidRPr="00BD7CE5">
        <w:t xml:space="preserve"> grass roots groups and suggests that this self-harming attitude may be a natural consequence of the deterioration of the psychiatric integrity of such a suffering individual because of discrimination based on sexual orientation and gender identity.</w:t>
      </w:r>
      <w:r w:rsidRPr="00BD7CE5">
        <w:rPr>
          <w:rStyle w:val="FootnoteReference"/>
        </w:rPr>
        <w:footnoteReference w:id="58"/>
      </w:r>
      <w:r w:rsidRPr="00BD7CE5">
        <w:t xml:space="preserve">  </w:t>
      </w:r>
      <w:proofErr w:type="spellStart"/>
      <w:r w:rsidRPr="00BD7CE5">
        <w:t>Zaffaroni</w:t>
      </w:r>
      <w:proofErr w:type="spellEnd"/>
      <w:r w:rsidRPr="00BD7CE5">
        <w:t xml:space="preserve"> highlights that sexuality is fully revealed to the person in puberty at a point when the homosexual/transgender individual has internalised the societal prejudice even within the family circle.</w:t>
      </w:r>
      <w:r w:rsidRPr="00BD7CE5">
        <w:rPr>
          <w:rStyle w:val="FootnoteReference"/>
        </w:rPr>
        <w:footnoteReference w:id="59"/>
      </w:r>
      <w:r w:rsidRPr="00BD7CE5">
        <w:t xml:space="preserve">  This does not occur in other forms of discrimination, for which the person knows the discriminating motive - colour, ethnic origins, </w:t>
      </w:r>
      <w:r w:rsidRPr="00BD7CE5">
        <w:lastRenderedPageBreak/>
        <w:t xml:space="preserve">etc. from childhood and is supported and protected by the family circle.  The tension between the natural sexual evolution and a lonely unsupported environment and self-inflicted prejudice </w:t>
      </w:r>
      <w:r w:rsidR="00D64C4F" w:rsidRPr="00BD7CE5">
        <w:t>ought to be</w:t>
      </w:r>
      <w:r w:rsidRPr="00BD7CE5">
        <w:t xml:space="preserve"> particularly damaging to the integrity of the psyche.  This tension may not only explain self-harmful behaviours</w:t>
      </w:r>
      <w:r w:rsidR="00D64C4F" w:rsidRPr="00BD7CE5">
        <w:t>, but the cause of many suicides also as evidenced</w:t>
      </w:r>
      <w:r w:rsidRPr="00BD7CE5">
        <w:t xml:space="preserve"> in Guyana.  </w:t>
      </w:r>
      <w:proofErr w:type="spellStart"/>
      <w:r w:rsidRPr="00BD7CE5">
        <w:t>Zaffaroni</w:t>
      </w:r>
      <w:proofErr w:type="spellEnd"/>
      <w:r w:rsidRPr="00BD7CE5">
        <w:t xml:space="preserve"> highlights that those who suffer also interact in the society.  This interaction, </w:t>
      </w:r>
      <w:proofErr w:type="spellStart"/>
      <w:r w:rsidRPr="00BD7CE5">
        <w:t>Zaffaroni</w:t>
      </w:r>
      <w:proofErr w:type="spellEnd"/>
      <w:r w:rsidRPr="00BD7CE5">
        <w:t xml:space="preserve"> concludes, would </w:t>
      </w:r>
      <w:r w:rsidR="00420054">
        <w:t xml:space="preserve">also </w:t>
      </w:r>
      <w:r w:rsidRPr="00BD7CE5">
        <w:t xml:space="preserve">contribute to </w:t>
      </w:r>
      <w:r w:rsidR="00342342" w:rsidRPr="00BD7CE5">
        <w:t xml:space="preserve">impact negatively </w:t>
      </w:r>
      <w:r w:rsidRPr="00BD7CE5">
        <w:t>the people with whom they interact and, in this way, tend to neurotise (to unbalance) social relationships in general.</w:t>
      </w:r>
      <w:r w:rsidRPr="00BD7CE5">
        <w:rPr>
          <w:rStyle w:val="FootnoteReference"/>
        </w:rPr>
        <w:footnoteReference w:id="60"/>
      </w:r>
    </w:p>
    <w:p w14:paraId="37217419" w14:textId="77777777" w:rsidR="00367CFB" w:rsidRPr="00BD7CE5" w:rsidRDefault="00367CFB" w:rsidP="00367CFB">
      <w:pPr>
        <w:ind w:firstLine="360"/>
        <w:jc w:val="both"/>
      </w:pPr>
    </w:p>
    <w:p w14:paraId="6F507429" w14:textId="58CC762A" w:rsidR="00367CFB" w:rsidRPr="00BD7CE5" w:rsidRDefault="00367CFB" w:rsidP="00367CFB">
      <w:pPr>
        <w:pStyle w:val="ListParagraph"/>
        <w:numPr>
          <w:ilvl w:val="0"/>
          <w:numId w:val="24"/>
        </w:numPr>
        <w:jc w:val="both"/>
        <w:rPr>
          <w:b/>
          <w:bCs/>
        </w:rPr>
      </w:pPr>
      <w:r w:rsidRPr="00BD7CE5">
        <w:rPr>
          <w:b/>
          <w:bCs/>
        </w:rPr>
        <w:t>Collective economic harm</w:t>
      </w:r>
    </w:p>
    <w:p w14:paraId="40B94492" w14:textId="3E2E349E" w:rsidR="00FE6443" w:rsidRPr="00BD7CE5" w:rsidRDefault="00FE6443" w:rsidP="00367CFB">
      <w:pPr>
        <w:ind w:firstLine="360"/>
        <w:jc w:val="both"/>
      </w:pPr>
      <w:r w:rsidRPr="00BD7CE5">
        <w:t xml:space="preserve">The </w:t>
      </w:r>
      <w:r w:rsidR="00342342" w:rsidRPr="00BD7CE5">
        <w:t xml:space="preserve">damage </w:t>
      </w:r>
      <w:r w:rsidR="00B6706D" w:rsidRPr="00BD7CE5">
        <w:t xml:space="preserve">described </w:t>
      </w:r>
      <w:r w:rsidRPr="00BD7CE5">
        <w:t>to the physical and mental integrity of LGBT</w:t>
      </w:r>
      <w:r w:rsidR="002E60F8" w:rsidRPr="00BD7CE5">
        <w:t>Q</w:t>
      </w:r>
      <w:r w:rsidRPr="00BD7CE5">
        <w:t>I individual</w:t>
      </w:r>
      <w:r w:rsidR="00342342" w:rsidRPr="00BD7CE5">
        <w:t>s</w:t>
      </w:r>
      <w:r w:rsidRPr="00BD7CE5">
        <w:t xml:space="preserve"> and society at large is not intangible, but quantifiable</w:t>
      </w:r>
      <w:r w:rsidR="00342342" w:rsidRPr="00BD7CE5">
        <w:t xml:space="preserve"> in terms of economic ramifications</w:t>
      </w:r>
      <w:r w:rsidRPr="00BD7CE5">
        <w:t>.  The collective economic harm to LGBT</w:t>
      </w:r>
      <w:r w:rsidR="002E60F8" w:rsidRPr="00BD7CE5">
        <w:t>Q</w:t>
      </w:r>
      <w:r w:rsidRPr="00BD7CE5">
        <w:t>I individuals has been quantified to fall between US$1.5 and US$4.2 billion per year, equating to 2.1% to 5.7% of Caribbean states’ collective GDP.</w:t>
      </w:r>
      <w:r w:rsidRPr="00BD7CE5">
        <w:rPr>
          <w:rStyle w:val="FootnoteReference"/>
        </w:rPr>
        <w:footnoteReference w:id="61"/>
      </w:r>
    </w:p>
    <w:p w14:paraId="594D58DA" w14:textId="3D252405" w:rsidR="00367CFB" w:rsidRPr="00BD7CE5" w:rsidRDefault="00367CFB" w:rsidP="00367CFB">
      <w:pPr>
        <w:tabs>
          <w:tab w:val="num" w:pos="720"/>
        </w:tabs>
        <w:spacing w:before="100" w:beforeAutospacing="1" w:after="100" w:afterAutospacing="1"/>
        <w:ind w:left="720" w:hanging="294"/>
        <w:jc w:val="both"/>
        <w:rPr>
          <w:b/>
          <w:bCs/>
        </w:rPr>
      </w:pPr>
      <w:r w:rsidRPr="00BD7CE5">
        <w:rPr>
          <w:b/>
          <w:bCs/>
        </w:rPr>
        <w:t>10. How, if at all, should reparatory justice for the lasting consequences of colonialism include measures to address discrimination and violence based on gender, gender identity and sexual orientation?</w:t>
      </w:r>
    </w:p>
    <w:p w14:paraId="4B589D5A" w14:textId="6CBA463B" w:rsidR="00367CFB" w:rsidRPr="00BD7CE5" w:rsidRDefault="00367CFB" w:rsidP="00367CFB">
      <w:pPr>
        <w:jc w:val="both"/>
        <w:rPr>
          <w:b/>
          <w:bCs/>
        </w:rPr>
      </w:pPr>
      <w:r w:rsidRPr="00BD7CE5">
        <w:rPr>
          <w:b/>
          <w:bCs/>
        </w:rPr>
        <w:t>Answer</w:t>
      </w:r>
      <w:r w:rsidR="005C38D8" w:rsidRPr="00BD7CE5">
        <w:rPr>
          <w:b/>
          <w:bCs/>
        </w:rPr>
        <w:t xml:space="preserve"> </w:t>
      </w:r>
    </w:p>
    <w:p w14:paraId="4580A258" w14:textId="3F2B34F4" w:rsidR="00367CFB" w:rsidRPr="00BD7CE5" w:rsidRDefault="00367CFB" w:rsidP="003305FE">
      <w:pPr>
        <w:ind w:firstLine="360"/>
        <w:jc w:val="both"/>
      </w:pPr>
      <w:r w:rsidRPr="00BD7CE5">
        <w:t>This is addressed with the answer to question 3 and 7.</w:t>
      </w:r>
    </w:p>
    <w:p w14:paraId="779B3CCB" w14:textId="197834E1" w:rsidR="00367CFB" w:rsidRPr="00BD7CE5" w:rsidRDefault="00367CFB" w:rsidP="00367CFB">
      <w:pPr>
        <w:jc w:val="both"/>
      </w:pPr>
    </w:p>
    <w:p w14:paraId="33915C67" w14:textId="6082C4E4" w:rsidR="00367CFB" w:rsidRDefault="00367CFB" w:rsidP="003305FE">
      <w:pPr>
        <w:ind w:firstLine="360"/>
        <w:jc w:val="both"/>
      </w:pPr>
      <w:r w:rsidRPr="00BD7CE5">
        <w:t xml:space="preserve">In summary, the IIHR Report concluded that it would be advisable to carry out an in-depth study of the international responsibility resulting from these laws and current constitutional frameworks that </w:t>
      </w:r>
      <w:r w:rsidR="00420054">
        <w:t xml:space="preserve">prevent </w:t>
      </w:r>
      <w:r w:rsidRPr="00BD7CE5">
        <w:t>judicial scrutiny.</w:t>
      </w:r>
      <w:r w:rsidRPr="00BD7CE5">
        <w:rPr>
          <w:rStyle w:val="FootnoteReference"/>
        </w:rPr>
        <w:footnoteReference w:id="62"/>
      </w:r>
      <w:r w:rsidRPr="00BD7CE5">
        <w:t xml:space="preserve">  </w:t>
      </w:r>
      <w:r w:rsidR="00B6706D" w:rsidRPr="00BD7CE5">
        <w:t xml:space="preserve">A proper </w:t>
      </w:r>
      <w:r w:rsidRPr="00BD7CE5">
        <w:t>study should not just focus on the decolon</w:t>
      </w:r>
      <w:r w:rsidR="00342342" w:rsidRPr="00BD7CE5">
        <w:t>ial</w:t>
      </w:r>
      <w:r w:rsidRPr="00BD7CE5">
        <w:t xml:space="preserve">ised </w:t>
      </w:r>
      <w:r w:rsidR="00B6706D" w:rsidRPr="00BD7CE5">
        <w:t>countries,</w:t>
      </w:r>
      <w:r w:rsidRPr="00BD7CE5">
        <w:t xml:space="preserve"> but it should </w:t>
      </w:r>
      <w:r w:rsidR="00E42732" w:rsidRPr="00BD7CE5">
        <w:t xml:space="preserve">also </w:t>
      </w:r>
      <w:r w:rsidRPr="00BD7CE5">
        <w:t>extend t</w:t>
      </w:r>
      <w:r w:rsidR="00E42732" w:rsidRPr="00BD7CE5">
        <w:t>he</w:t>
      </w:r>
      <w:r w:rsidRPr="00BD7CE5">
        <w:t xml:space="preserve"> </w:t>
      </w:r>
      <w:r w:rsidR="003C5B7C" w:rsidRPr="00BD7CE5">
        <w:t>study</w:t>
      </w:r>
      <w:r w:rsidR="00E42732" w:rsidRPr="00BD7CE5">
        <w:t xml:space="preserve"> to </w:t>
      </w:r>
      <w:r w:rsidR="005C38D8" w:rsidRPr="00BD7CE5">
        <w:t xml:space="preserve">unveil </w:t>
      </w:r>
      <w:r w:rsidRPr="00BD7CE5">
        <w:t>the responsibility in international law under article 73 of the UN Charter of the decolon</w:t>
      </w:r>
      <w:r w:rsidR="00342342" w:rsidRPr="00BD7CE5">
        <w:t>ial</w:t>
      </w:r>
      <w:r w:rsidRPr="00BD7CE5">
        <w:t>ising state as well.  It is a fact</w:t>
      </w:r>
      <w:r w:rsidR="00F26C92" w:rsidRPr="00BD7CE5">
        <w:t xml:space="preserve">, publicly acknowledged by </w:t>
      </w:r>
      <w:r w:rsidR="00E42732" w:rsidRPr="00BD7CE5">
        <w:t xml:space="preserve">British </w:t>
      </w:r>
      <w:r w:rsidR="00F26C92" w:rsidRPr="00BD7CE5">
        <w:t>PM Theresa May,</w:t>
      </w:r>
      <w:r w:rsidRPr="00BD7CE5">
        <w:t xml:space="preserve"> that the British Crown </w:t>
      </w:r>
      <w:r w:rsidR="00342342" w:rsidRPr="00BD7CE5">
        <w:t xml:space="preserve">was </w:t>
      </w:r>
      <w:r w:rsidRPr="00BD7CE5">
        <w:t>the legislator of many of these colonial laws</w:t>
      </w:r>
      <w:r w:rsidR="00F26C92" w:rsidRPr="00BD7CE5">
        <w:t>.</w:t>
      </w:r>
      <w:r w:rsidRPr="00BD7CE5">
        <w:t xml:space="preserve"> </w:t>
      </w:r>
      <w:r w:rsidR="00F26C92" w:rsidRPr="00BD7CE5">
        <w:t xml:space="preserve"> </w:t>
      </w:r>
      <w:r w:rsidR="00E42732" w:rsidRPr="00BD7CE5">
        <w:t>It is undisputed that</w:t>
      </w:r>
      <w:r w:rsidR="00F55CC6" w:rsidRPr="00BD7CE5">
        <w:t xml:space="preserve"> these nations obtain</w:t>
      </w:r>
      <w:r w:rsidR="00E42732" w:rsidRPr="00BD7CE5">
        <w:t>ed</w:t>
      </w:r>
      <w:r w:rsidR="00F55CC6" w:rsidRPr="00BD7CE5">
        <w:t xml:space="preserve"> independence by concession of the UK Parliament, </w:t>
      </w:r>
      <w:r w:rsidR="00E42732" w:rsidRPr="00BD7CE5">
        <w:t xml:space="preserve">thus </w:t>
      </w:r>
      <w:r w:rsidR="00F55CC6" w:rsidRPr="00BD7CE5">
        <w:t>as</w:t>
      </w:r>
      <w:r w:rsidRPr="00BD7CE5">
        <w:t xml:space="preserve"> a matter of law</w:t>
      </w:r>
      <w:r w:rsidR="00E42732" w:rsidRPr="00BD7CE5">
        <w:t>,</w:t>
      </w:r>
      <w:r w:rsidRPr="00BD7CE5">
        <w:t xml:space="preserve"> the British Crown </w:t>
      </w:r>
      <w:r w:rsidR="00342342" w:rsidRPr="00BD7CE5">
        <w:t xml:space="preserve">was </w:t>
      </w:r>
      <w:r w:rsidRPr="00BD7CE5">
        <w:t xml:space="preserve">the constitutional maker of the </w:t>
      </w:r>
      <w:r w:rsidR="00F55CC6" w:rsidRPr="00BD7CE5">
        <w:t xml:space="preserve">first independence </w:t>
      </w:r>
      <w:r w:rsidRPr="00BD7CE5">
        <w:t>constitutions</w:t>
      </w:r>
      <w:r w:rsidR="00F55CC6" w:rsidRPr="00BD7CE5">
        <w:t xml:space="preserve"> </w:t>
      </w:r>
      <w:r w:rsidR="00E42732" w:rsidRPr="00BD7CE5">
        <w:t>and, therefore, in law responsible for their content</w:t>
      </w:r>
      <w:r w:rsidR="00F55CC6" w:rsidRPr="00BD7CE5">
        <w:t xml:space="preserve">.  </w:t>
      </w:r>
      <w:r w:rsidR="00E42732" w:rsidRPr="00BD7CE5">
        <w:t xml:space="preserve"> </w:t>
      </w:r>
      <w:r w:rsidR="00F55CC6" w:rsidRPr="00BD7CE5">
        <w:t>It is a fact that</w:t>
      </w:r>
      <w:r w:rsidRPr="00BD7CE5">
        <w:t xml:space="preserve"> these colonial laws appear currently to be inexpungable by effect of the “</w:t>
      </w:r>
      <w:r w:rsidRPr="00BD7CE5">
        <w:rPr>
          <w:i/>
          <w:iCs/>
        </w:rPr>
        <w:t>general savings clause</w:t>
      </w:r>
      <w:r w:rsidRPr="00BD7CE5">
        <w:t>” and “</w:t>
      </w:r>
      <w:r w:rsidRPr="00BD7CE5">
        <w:rPr>
          <w:i/>
          <w:iCs/>
        </w:rPr>
        <w:t>special savings clause</w:t>
      </w:r>
      <w:r w:rsidRPr="00BD7CE5">
        <w:t>”</w:t>
      </w:r>
      <w:r w:rsidR="00F55CC6" w:rsidRPr="00BD7CE5">
        <w:t xml:space="preserve"> included in those first constitutions</w:t>
      </w:r>
      <w:r w:rsidR="00E42732" w:rsidRPr="00BD7CE5">
        <w:t xml:space="preserve">, but only in countries such as Jamaica, Trinidad and Tobago and Bahamas </w:t>
      </w:r>
      <w:r w:rsidR="005C38D8" w:rsidRPr="00BD7CE5">
        <w:t>by effect of the JCPC’s construction of those closes.</w:t>
      </w:r>
      <w:r w:rsidR="00F55CC6" w:rsidRPr="00BD7CE5">
        <w:t xml:space="preserve"> </w:t>
      </w:r>
      <w:r w:rsidR="005C38D8" w:rsidRPr="00BD7CE5">
        <w:t xml:space="preserve"> </w:t>
      </w:r>
      <w:r w:rsidR="00F55CC6" w:rsidRPr="00BD7CE5">
        <w:t xml:space="preserve">Incidentally, </w:t>
      </w:r>
      <w:r w:rsidRPr="00BD7CE5">
        <w:t xml:space="preserve">it </w:t>
      </w:r>
      <w:r w:rsidR="005C38D8" w:rsidRPr="00BD7CE5">
        <w:t xml:space="preserve">must not be overlooked that the </w:t>
      </w:r>
      <w:r w:rsidRPr="00BD7CE5">
        <w:t>British monarch remains</w:t>
      </w:r>
      <w:r w:rsidR="00342342" w:rsidRPr="00BD7CE5">
        <w:t>,</w:t>
      </w:r>
      <w:r w:rsidRPr="00BD7CE5">
        <w:t xml:space="preserve"> in law</w:t>
      </w:r>
      <w:r w:rsidR="00342342" w:rsidRPr="00BD7CE5">
        <w:t>,</w:t>
      </w:r>
      <w:r w:rsidRPr="00BD7CE5">
        <w:t xml:space="preserve"> the final judge of all appeals </w:t>
      </w:r>
      <w:r w:rsidR="003C5B7C" w:rsidRPr="00BD7CE5">
        <w:t xml:space="preserve">in accordance with the advice of the JCPC </w:t>
      </w:r>
      <w:r w:rsidRPr="00BD7CE5">
        <w:t>by effecting</w:t>
      </w:r>
      <w:r w:rsidR="003C5B7C" w:rsidRPr="00BD7CE5">
        <w:t xml:space="preserve"> an</w:t>
      </w:r>
      <w:r w:rsidRPr="00BD7CE5">
        <w:t xml:space="preserve"> </w:t>
      </w:r>
      <w:r w:rsidRPr="00BD7CE5">
        <w:rPr>
          <w:i/>
          <w:iCs/>
        </w:rPr>
        <w:t>Order in Council</w:t>
      </w:r>
      <w:r w:rsidRPr="00BD7CE5">
        <w:t xml:space="preserve"> </w:t>
      </w:r>
      <w:r w:rsidR="00B6706D" w:rsidRPr="00BD7CE5">
        <w:t>pursuant to English legislation</w:t>
      </w:r>
      <w:r w:rsidR="003C5B7C" w:rsidRPr="00BD7CE5">
        <w:t>.</w:t>
      </w:r>
      <w:r w:rsidR="003C5B7C" w:rsidRPr="00BD7CE5">
        <w:rPr>
          <w:rStyle w:val="FootnoteReference"/>
        </w:rPr>
        <w:footnoteReference w:id="63"/>
      </w:r>
    </w:p>
    <w:p w14:paraId="13C8421C" w14:textId="77777777" w:rsidR="007939A9" w:rsidRPr="00BD7CE5" w:rsidRDefault="007939A9" w:rsidP="003305FE">
      <w:pPr>
        <w:ind w:firstLine="360"/>
        <w:jc w:val="both"/>
        <w:rPr>
          <w:b/>
          <w:bCs/>
        </w:rPr>
      </w:pPr>
    </w:p>
    <w:sectPr w:rsidR="007939A9" w:rsidRPr="00BD7CE5" w:rsidSect="007E5E22">
      <w:headerReference w:type="default"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F37A" w14:textId="77777777" w:rsidR="003E2B6D" w:rsidRDefault="003E2B6D" w:rsidP="007057B6">
      <w:r>
        <w:separator/>
      </w:r>
    </w:p>
  </w:endnote>
  <w:endnote w:type="continuationSeparator" w:id="0">
    <w:p w14:paraId="0907356F" w14:textId="77777777" w:rsidR="003E2B6D" w:rsidRDefault="003E2B6D" w:rsidP="0070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401877"/>
      <w:docPartObj>
        <w:docPartGallery w:val="Page Numbers (Bottom of Page)"/>
        <w:docPartUnique/>
      </w:docPartObj>
    </w:sdtPr>
    <w:sdtContent>
      <w:p w14:paraId="3A9E937D" w14:textId="68351D45" w:rsidR="00D66E8C" w:rsidRDefault="00D66E8C" w:rsidP="007E5E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E617B" w14:textId="77777777" w:rsidR="00D66E8C" w:rsidRDefault="00D66E8C" w:rsidP="00D66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73746"/>
      <w:docPartObj>
        <w:docPartGallery w:val="Page Numbers (Bottom of Page)"/>
        <w:docPartUnique/>
      </w:docPartObj>
    </w:sdtPr>
    <w:sdtContent>
      <w:p w14:paraId="361E4067" w14:textId="011599E9" w:rsidR="007E5E22" w:rsidRDefault="007E5E22" w:rsidP="001E5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1FA8D68" w14:textId="24AD80D7" w:rsidR="00162748" w:rsidRPr="00162748" w:rsidRDefault="00162748" w:rsidP="007E5E22">
    <w:pPr>
      <w:tabs>
        <w:tab w:val="left" w:pos="8945"/>
        <w:tab w:val="right" w:pos="9026"/>
      </w:tabs>
      <w:ind w:right="360"/>
      <w:rPr>
        <w:sz w:val="16"/>
        <w:szCs w:val="16"/>
      </w:rPr>
    </w:pPr>
    <w:r w:rsidRPr="00162748">
      <w:rPr>
        <w:sz w:val="16"/>
        <w:szCs w:val="16"/>
      </w:rPr>
      <w:t>2</w:t>
    </w:r>
    <w:r w:rsidR="000F0037">
      <w:rPr>
        <w:sz w:val="16"/>
        <w:szCs w:val="16"/>
      </w:rPr>
      <w:t>4</w:t>
    </w:r>
    <w:r w:rsidRPr="00162748">
      <w:rPr>
        <w:sz w:val="16"/>
        <w:szCs w:val="16"/>
      </w:rPr>
      <w:t xml:space="preserve"> May 2023</w:t>
    </w:r>
    <w:r w:rsidRPr="00162748">
      <w:rPr>
        <w:sz w:val="16"/>
        <w:szCs w:val="16"/>
      </w:rPr>
      <w:ptab w:relativeTo="margin" w:alignment="center" w:leader="none"/>
    </w:r>
    <w:r w:rsidRPr="00162748">
      <w:rPr>
        <w:sz w:val="16"/>
        <w:szCs w:val="16"/>
      </w:rPr>
      <w:t xml:space="preserve"> Prepared by Dr Leonardo J Raznovich</w:t>
    </w:r>
    <w:r w:rsidR="007E5E22">
      <w:rPr>
        <w:sz w:val="16"/>
        <w:szCs w:val="16"/>
      </w:rPr>
      <w:t xml:space="preserve"> and </w:t>
    </w:r>
    <w:r w:rsidR="007E5E22" w:rsidRPr="00162748">
      <w:rPr>
        <w:sz w:val="16"/>
        <w:szCs w:val="16"/>
      </w:rPr>
      <w:t xml:space="preserve">Professor Raúl </w:t>
    </w:r>
    <w:proofErr w:type="spellStart"/>
    <w:r w:rsidR="007E5E22" w:rsidRPr="00162748">
      <w:rPr>
        <w:sz w:val="16"/>
        <w:szCs w:val="16"/>
      </w:rPr>
      <w:t>Zaffaroni</w:t>
    </w:r>
    <w:proofErr w:type="spellEnd"/>
    <w:r w:rsidR="000F0037">
      <w:rPr>
        <w:sz w:val="16"/>
        <w:szCs w:val="16"/>
      </w:rPr>
      <w:tab/>
    </w:r>
    <w:r w:rsidR="007E5E22">
      <w:rPr>
        <w:sz w:val="16"/>
        <w:szCs w:val="16"/>
      </w:rPr>
      <w:tab/>
    </w:r>
  </w:p>
  <w:p w14:paraId="540F7AB0" w14:textId="77777777" w:rsidR="00162748" w:rsidRPr="00162748" w:rsidRDefault="00162748" w:rsidP="00162748">
    <w:pPr>
      <w:ind w:left="2880" w:firstLine="720"/>
      <w:rPr>
        <w:sz w:val="16"/>
        <w:szCs w:val="16"/>
      </w:rPr>
    </w:pPr>
    <w:r w:rsidRPr="00162748">
      <w:rPr>
        <w:sz w:val="16"/>
        <w:szCs w:val="16"/>
      </w:rPr>
      <w:t>on behalf of Colours Caribbean</w:t>
    </w:r>
  </w:p>
  <w:p w14:paraId="32DA047D" w14:textId="1D1E5631" w:rsidR="00D66E8C" w:rsidRDefault="00162748" w:rsidP="00D66E8C">
    <w:pPr>
      <w:pStyle w:val="Footer"/>
      <w:ind w:right="360"/>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E4E5" w14:textId="77777777" w:rsidR="003E2B6D" w:rsidRDefault="003E2B6D" w:rsidP="007057B6">
      <w:r>
        <w:separator/>
      </w:r>
    </w:p>
  </w:footnote>
  <w:footnote w:type="continuationSeparator" w:id="0">
    <w:p w14:paraId="5E017E14" w14:textId="77777777" w:rsidR="003E2B6D" w:rsidRDefault="003E2B6D" w:rsidP="007057B6">
      <w:r>
        <w:continuationSeparator/>
      </w:r>
    </w:p>
  </w:footnote>
  <w:footnote w:id="1">
    <w:p w14:paraId="79EE64BB" w14:textId="378BEA11" w:rsidR="000A455F" w:rsidRPr="00BD7CE5" w:rsidRDefault="000A455F"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Th</w:t>
      </w:r>
      <w:r w:rsidR="003D3670" w:rsidRPr="00BD7CE5">
        <w:rPr>
          <w:color w:val="000000" w:themeColor="text1"/>
          <w:sz w:val="16"/>
          <w:szCs w:val="16"/>
        </w:rPr>
        <w:t>is</w:t>
      </w:r>
      <w:r w:rsidRPr="00BD7CE5">
        <w:rPr>
          <w:color w:val="000000" w:themeColor="text1"/>
          <w:sz w:val="16"/>
          <w:szCs w:val="16"/>
        </w:rPr>
        <w:t xml:space="preserve"> include</w:t>
      </w:r>
      <w:r w:rsidR="003D3670" w:rsidRPr="00BD7CE5">
        <w:rPr>
          <w:color w:val="000000" w:themeColor="text1"/>
          <w:sz w:val="16"/>
          <w:szCs w:val="16"/>
        </w:rPr>
        <w:t>s</w:t>
      </w:r>
      <w:r w:rsidRPr="00BD7CE5">
        <w:rPr>
          <w:color w:val="000000" w:themeColor="text1"/>
          <w:sz w:val="16"/>
          <w:szCs w:val="16"/>
        </w:rPr>
        <w:t xml:space="preserve"> the Cayman Islands, British Virgin Islands, Turks and Caicos, </w:t>
      </w:r>
      <w:proofErr w:type="gramStart"/>
      <w:r w:rsidRPr="00BD7CE5">
        <w:rPr>
          <w:color w:val="000000" w:themeColor="text1"/>
          <w:sz w:val="16"/>
          <w:szCs w:val="16"/>
        </w:rPr>
        <w:t>Monserrat</w:t>
      </w:r>
      <w:proofErr w:type="gramEnd"/>
      <w:r w:rsidRPr="00BD7CE5">
        <w:rPr>
          <w:color w:val="000000" w:themeColor="text1"/>
          <w:sz w:val="16"/>
          <w:szCs w:val="16"/>
        </w:rPr>
        <w:t xml:space="preserve"> and Anguilla. </w:t>
      </w:r>
    </w:p>
  </w:footnote>
  <w:footnote w:id="2">
    <w:p w14:paraId="5281555F" w14:textId="77777777"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Leonardo Raznovich is barrister at Bedlington Chambers, Visiting Senior Research Fellow at the Intersectional Centre for Inclusion and Social Justice and Officer of the Diversity and Inclusion Council and the Rule of Law Forum of the International Bar Association.</w:t>
      </w:r>
    </w:p>
  </w:footnote>
  <w:footnote w:id="3">
    <w:p w14:paraId="67462C66" w14:textId="77777777" w:rsidR="00330DD4" w:rsidRPr="00BD7CE5" w:rsidRDefault="00330DD4" w:rsidP="00330DD4">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Raúl </w:t>
      </w:r>
      <w:proofErr w:type="spellStart"/>
      <w:r w:rsidRPr="00BD7CE5">
        <w:rPr>
          <w:color w:val="000000" w:themeColor="text1"/>
          <w:sz w:val="16"/>
          <w:szCs w:val="16"/>
        </w:rPr>
        <w:t>Zaffaroni</w:t>
      </w:r>
      <w:proofErr w:type="spellEnd"/>
      <w:r w:rsidRPr="00BD7CE5">
        <w:rPr>
          <w:color w:val="000000" w:themeColor="text1"/>
          <w:sz w:val="16"/>
          <w:szCs w:val="16"/>
        </w:rPr>
        <w:t xml:space="preserve"> is Professor Emeritus of the University of Buenos Aires, former judge of the Inter-American Court of Human Rights (2015-2021) and of the Supreme Court of Argentina (2003-2015).</w:t>
      </w:r>
    </w:p>
  </w:footnote>
  <w:footnote w:id="4">
    <w:p w14:paraId="417C1765" w14:textId="18460A9F" w:rsidR="000A455F" w:rsidRPr="00BD7CE5" w:rsidRDefault="000A455F" w:rsidP="00AF4D89">
      <w:pPr>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FE6443" w:rsidRPr="00BD7CE5">
        <w:rPr>
          <w:color w:val="000000" w:themeColor="text1"/>
          <w:sz w:val="16"/>
          <w:szCs w:val="16"/>
        </w:rPr>
        <w:t xml:space="preserve">The Reporters have recently coordinated a research project that studied the different sources of discrimination and violence towards LGBTI persons, or individuals perceived as such, in these regions and published in March 2021 the finding of their research entitled </w:t>
      </w:r>
      <w:r w:rsidRPr="00BD7CE5">
        <w:rPr>
          <w:color w:val="000000" w:themeColor="text1"/>
          <w:sz w:val="16"/>
          <w:szCs w:val="16"/>
        </w:rPr>
        <w:t>“</w:t>
      </w:r>
      <w:r w:rsidRPr="00BD7CE5">
        <w:rPr>
          <w:i/>
          <w:color w:val="000000" w:themeColor="text1"/>
          <w:sz w:val="16"/>
          <w:szCs w:val="16"/>
        </w:rPr>
        <w:t>The human right to respect sexual orientation and gender identity in the Caribbean and Latin America - Current situation and perspectives</w:t>
      </w:r>
      <w:r w:rsidRPr="00BD7CE5">
        <w:rPr>
          <w:color w:val="000000" w:themeColor="text1"/>
          <w:sz w:val="16"/>
          <w:szCs w:val="16"/>
        </w:rPr>
        <w:t>" (San Jose: IIHR, 2021)</w:t>
      </w:r>
      <w:r w:rsidR="00FE6443" w:rsidRPr="00BD7CE5">
        <w:rPr>
          <w:color w:val="000000" w:themeColor="text1"/>
          <w:sz w:val="16"/>
          <w:szCs w:val="16"/>
        </w:rPr>
        <w:t xml:space="preserve"> (the “</w:t>
      </w:r>
      <w:r w:rsidR="00FE6443" w:rsidRPr="00BD7CE5">
        <w:rPr>
          <w:b/>
          <w:bCs/>
          <w:color w:val="000000" w:themeColor="text1"/>
          <w:sz w:val="16"/>
          <w:szCs w:val="16"/>
        </w:rPr>
        <w:t>IIHR Report</w:t>
      </w:r>
      <w:r w:rsidR="00FE6443" w:rsidRPr="00BD7CE5">
        <w:rPr>
          <w:color w:val="000000" w:themeColor="text1"/>
          <w:sz w:val="16"/>
          <w:szCs w:val="16"/>
        </w:rPr>
        <w:t xml:space="preserve">”). </w:t>
      </w:r>
      <w:r w:rsidRPr="00BD7CE5">
        <w:rPr>
          <w:color w:val="000000" w:themeColor="text1"/>
          <w:sz w:val="16"/>
          <w:szCs w:val="16"/>
        </w:rPr>
        <w:t>A copy is available at: &lt; </w:t>
      </w:r>
      <w:hyperlink r:id="rId1" w:history="1">
        <w:r w:rsidRPr="00BD7CE5">
          <w:rPr>
            <w:rStyle w:val="Hyperlink"/>
            <w:color w:val="000000" w:themeColor="text1"/>
            <w:sz w:val="16"/>
            <w:szCs w:val="16"/>
          </w:rPr>
          <w:t>http://</w:t>
        </w:r>
        <w:r w:rsidRPr="00BD7CE5">
          <w:rPr>
            <w:rStyle w:val="Hyperlink"/>
            <w:color w:val="000000" w:themeColor="text1"/>
            <w:sz w:val="16"/>
            <w:szCs w:val="16"/>
          </w:rPr>
          <w:t>w</w:t>
        </w:r>
        <w:r w:rsidRPr="00BD7CE5">
          <w:rPr>
            <w:rStyle w:val="Hyperlink"/>
            <w:color w:val="000000" w:themeColor="text1"/>
            <w:sz w:val="16"/>
            <w:szCs w:val="16"/>
          </w:rPr>
          <w:t>ww.ilanud.or.cr/lanzamiento-del-libro-el-derecho-humano-al-respeto-a-la-os-y-la-ig-en-el-caribe-y-en-america-latina/</w:t>
        </w:r>
      </w:hyperlink>
      <w:r w:rsidRPr="00BD7CE5">
        <w:rPr>
          <w:color w:val="000000" w:themeColor="text1"/>
          <w:sz w:val="16"/>
          <w:szCs w:val="16"/>
        </w:rPr>
        <w:t xml:space="preserve">&gt; [accessed </w:t>
      </w:r>
      <w:r w:rsidR="00FE6443" w:rsidRPr="00BD7CE5">
        <w:rPr>
          <w:color w:val="000000" w:themeColor="text1"/>
          <w:sz w:val="16"/>
          <w:szCs w:val="16"/>
        </w:rPr>
        <w:t>2</w:t>
      </w:r>
      <w:r w:rsidR="009A6FB0" w:rsidRPr="00BD7CE5">
        <w:rPr>
          <w:color w:val="000000" w:themeColor="text1"/>
          <w:sz w:val="16"/>
          <w:szCs w:val="16"/>
        </w:rPr>
        <w:t>4</w:t>
      </w:r>
      <w:r w:rsidRPr="00BD7CE5">
        <w:rPr>
          <w:color w:val="000000" w:themeColor="text1"/>
          <w:sz w:val="16"/>
          <w:szCs w:val="16"/>
        </w:rPr>
        <w:t xml:space="preserve"> </w:t>
      </w:r>
      <w:r w:rsidR="00FE6443" w:rsidRPr="00BD7CE5">
        <w:rPr>
          <w:color w:val="000000" w:themeColor="text1"/>
          <w:sz w:val="16"/>
          <w:szCs w:val="16"/>
        </w:rPr>
        <w:t>May 2023</w:t>
      </w:r>
      <w:r w:rsidRPr="00BD7CE5">
        <w:rPr>
          <w:color w:val="000000" w:themeColor="text1"/>
          <w:sz w:val="16"/>
          <w:szCs w:val="16"/>
        </w:rPr>
        <w:t>].</w:t>
      </w:r>
    </w:p>
  </w:footnote>
  <w:footnote w:id="5">
    <w:p w14:paraId="4C8FC8E8" w14:textId="04848B49" w:rsidR="000A455F" w:rsidRPr="00BD7CE5" w:rsidRDefault="000A455F"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FE6443" w:rsidRPr="00BD7CE5">
        <w:rPr>
          <w:color w:val="000000" w:themeColor="text1"/>
          <w:sz w:val="16"/>
          <w:szCs w:val="16"/>
        </w:rPr>
        <w:t xml:space="preserve">IIHR Report </w:t>
      </w:r>
      <w:r w:rsidRPr="00BD7CE5">
        <w:rPr>
          <w:color w:val="000000" w:themeColor="text1"/>
          <w:sz w:val="16"/>
          <w:szCs w:val="16"/>
        </w:rPr>
        <w:t>(fn.</w:t>
      </w:r>
      <w:r w:rsidR="00FE6443" w:rsidRPr="00BD7CE5">
        <w:rPr>
          <w:color w:val="000000" w:themeColor="text1"/>
          <w:sz w:val="16"/>
          <w:szCs w:val="16"/>
        </w:rPr>
        <w:t>4</w:t>
      </w:r>
      <w:r w:rsidRPr="00BD7CE5">
        <w:rPr>
          <w:color w:val="000000" w:themeColor="text1"/>
          <w:sz w:val="16"/>
          <w:szCs w:val="16"/>
        </w:rPr>
        <w:t xml:space="preserve"> above) at p.27.</w:t>
      </w:r>
    </w:p>
  </w:footnote>
  <w:footnote w:id="6">
    <w:p w14:paraId="2A993DA7" w14:textId="00A23AEF" w:rsidR="00AF4D89" w:rsidRPr="00BD7CE5" w:rsidRDefault="00AF4D89"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Note of the Reporters: the IIHR Report was drafted in Spanish, the English version being a translation.  Therefore, in case of divergences, the Spanish text is the authoritative version</w:t>
      </w:r>
      <w:r w:rsidR="00D2462A" w:rsidRPr="00BD7CE5">
        <w:rPr>
          <w:color w:val="000000" w:themeColor="text1"/>
          <w:sz w:val="16"/>
          <w:szCs w:val="16"/>
        </w:rPr>
        <w:t xml:space="preserve"> and prevails</w:t>
      </w:r>
      <w:r w:rsidRPr="00BD7CE5">
        <w:rPr>
          <w:color w:val="000000" w:themeColor="text1"/>
          <w:sz w:val="16"/>
          <w:szCs w:val="16"/>
        </w:rPr>
        <w:t>.</w:t>
      </w:r>
    </w:p>
  </w:footnote>
  <w:footnote w:id="7">
    <w:p w14:paraId="4B7F13D3" w14:textId="3244CB01" w:rsidR="007E1F49" w:rsidRPr="00BD7CE5" w:rsidRDefault="007E1F49">
      <w:pPr>
        <w:pStyle w:val="FootnoteText"/>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Note </w:t>
      </w:r>
      <w:r w:rsidR="004213ED" w:rsidRPr="00BD7CE5">
        <w:rPr>
          <w:color w:val="000000" w:themeColor="text1"/>
          <w:sz w:val="16"/>
          <w:szCs w:val="16"/>
        </w:rPr>
        <w:t xml:space="preserve">bis </w:t>
      </w:r>
      <w:r w:rsidRPr="00BD7CE5">
        <w:rPr>
          <w:color w:val="000000" w:themeColor="text1"/>
          <w:sz w:val="16"/>
          <w:szCs w:val="16"/>
        </w:rPr>
        <w:t>of the Reporters: it is certified that t</w:t>
      </w:r>
      <w:r w:rsidR="004213ED" w:rsidRPr="00BD7CE5">
        <w:rPr>
          <w:color w:val="000000" w:themeColor="text1"/>
          <w:sz w:val="16"/>
          <w:szCs w:val="16"/>
        </w:rPr>
        <w:t>he</w:t>
      </w:r>
      <w:r w:rsidRPr="00BD7CE5">
        <w:rPr>
          <w:color w:val="000000" w:themeColor="text1"/>
          <w:sz w:val="16"/>
          <w:szCs w:val="16"/>
        </w:rPr>
        <w:t xml:space="preserve"> </w:t>
      </w:r>
      <w:r w:rsidR="004213ED" w:rsidRPr="00BD7CE5">
        <w:rPr>
          <w:color w:val="000000" w:themeColor="text1"/>
          <w:sz w:val="16"/>
          <w:szCs w:val="16"/>
        </w:rPr>
        <w:t>S</w:t>
      </w:r>
      <w:r w:rsidRPr="00BD7CE5">
        <w:rPr>
          <w:color w:val="000000" w:themeColor="text1"/>
          <w:sz w:val="16"/>
          <w:szCs w:val="16"/>
        </w:rPr>
        <w:t>ubmission</w:t>
      </w:r>
      <w:r w:rsidR="004213ED" w:rsidRPr="00BD7CE5">
        <w:rPr>
          <w:color w:val="000000" w:themeColor="text1"/>
          <w:sz w:val="16"/>
          <w:szCs w:val="16"/>
        </w:rPr>
        <w:t xml:space="preserve"> contains 26</w:t>
      </w:r>
      <w:r w:rsidR="00EE3B2B">
        <w:rPr>
          <w:color w:val="000000" w:themeColor="text1"/>
          <w:sz w:val="16"/>
          <w:szCs w:val="16"/>
        </w:rPr>
        <w:t>66</w:t>
      </w:r>
      <w:r w:rsidR="004213ED" w:rsidRPr="00BD7CE5">
        <w:rPr>
          <w:color w:val="000000" w:themeColor="text1"/>
          <w:sz w:val="16"/>
          <w:szCs w:val="16"/>
        </w:rPr>
        <w:t xml:space="preserve"> words (excluding this </w:t>
      </w:r>
      <w:r w:rsidR="00D2462A" w:rsidRPr="00BD7CE5">
        <w:rPr>
          <w:color w:val="000000" w:themeColor="text1"/>
          <w:sz w:val="16"/>
          <w:szCs w:val="16"/>
        </w:rPr>
        <w:t>covering</w:t>
      </w:r>
      <w:r w:rsidR="004213ED" w:rsidRPr="00BD7CE5">
        <w:rPr>
          <w:color w:val="000000" w:themeColor="text1"/>
          <w:sz w:val="16"/>
          <w:szCs w:val="16"/>
        </w:rPr>
        <w:t xml:space="preserve"> letter, documents attached, list of other material in Annex </w:t>
      </w:r>
      <w:r w:rsidR="00D2462A" w:rsidRPr="00BD7CE5">
        <w:rPr>
          <w:color w:val="000000" w:themeColor="text1"/>
          <w:sz w:val="16"/>
          <w:szCs w:val="16"/>
        </w:rPr>
        <w:t xml:space="preserve">2, </w:t>
      </w:r>
      <w:r w:rsidR="004213ED" w:rsidRPr="00BD7CE5">
        <w:rPr>
          <w:color w:val="000000" w:themeColor="text1"/>
          <w:sz w:val="16"/>
          <w:szCs w:val="16"/>
        </w:rPr>
        <w:t>footnotes</w:t>
      </w:r>
      <w:r w:rsidR="00D2462A" w:rsidRPr="00BD7CE5">
        <w:rPr>
          <w:color w:val="000000" w:themeColor="text1"/>
          <w:sz w:val="16"/>
          <w:szCs w:val="16"/>
        </w:rPr>
        <w:t xml:space="preserve"> and guiding questions repeated for convenience)</w:t>
      </w:r>
      <w:r w:rsidR="004213ED" w:rsidRPr="00BD7CE5">
        <w:rPr>
          <w:color w:val="000000" w:themeColor="text1"/>
          <w:sz w:val="16"/>
          <w:szCs w:val="16"/>
        </w:rPr>
        <w:t>.</w:t>
      </w:r>
    </w:p>
  </w:footnote>
  <w:footnote w:id="8">
    <w:p w14:paraId="32042B95" w14:textId="72A9BA70" w:rsidR="00C93129" w:rsidRPr="00BD7CE5" w:rsidRDefault="00C93129">
      <w:pPr>
        <w:pStyle w:val="FootnoteText"/>
        <w:rPr>
          <w:sz w:val="16"/>
          <w:szCs w:val="16"/>
        </w:rPr>
      </w:pPr>
      <w:r w:rsidRPr="00BD7CE5">
        <w:rPr>
          <w:rStyle w:val="FootnoteReference"/>
          <w:sz w:val="16"/>
          <w:szCs w:val="16"/>
        </w:rPr>
        <w:footnoteRef/>
      </w:r>
      <w:r w:rsidRPr="00BD7CE5">
        <w:rPr>
          <w:sz w:val="16"/>
          <w:szCs w:val="16"/>
        </w:rPr>
        <w:t xml:space="preserve"> </w:t>
      </w:r>
      <w:r w:rsidRPr="00BD7CE5">
        <w:rPr>
          <w:color w:val="000000" w:themeColor="text1"/>
          <w:sz w:val="16"/>
          <w:szCs w:val="16"/>
        </w:rPr>
        <w:t>IIHR Report (fn.4 above) at p.45.</w:t>
      </w:r>
    </w:p>
  </w:footnote>
  <w:footnote w:id="9">
    <w:p w14:paraId="16AAAEB0" w14:textId="7B923827"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FC7079" w:rsidRPr="00BD7CE5">
        <w:rPr>
          <w:i/>
          <w:iCs/>
          <w:color w:val="000000" w:themeColor="text1"/>
          <w:sz w:val="16"/>
          <w:szCs w:val="16"/>
        </w:rPr>
        <w:t>ibid</w:t>
      </w:r>
      <w:r w:rsidR="0022049F" w:rsidRPr="00BD7CE5">
        <w:rPr>
          <w:color w:val="000000" w:themeColor="text1"/>
          <w:sz w:val="16"/>
          <w:szCs w:val="16"/>
        </w:rPr>
        <w:t>.</w:t>
      </w:r>
    </w:p>
  </w:footnote>
  <w:footnote w:id="10">
    <w:p w14:paraId="24943BF2" w14:textId="50324ACF" w:rsidR="00C93129" w:rsidRPr="00BD7CE5" w:rsidRDefault="00C93129">
      <w:pPr>
        <w:pStyle w:val="FootnoteText"/>
        <w:rPr>
          <w:sz w:val="16"/>
          <w:szCs w:val="16"/>
        </w:rPr>
      </w:pPr>
      <w:r w:rsidRPr="00BD7CE5">
        <w:rPr>
          <w:rStyle w:val="FootnoteReference"/>
          <w:sz w:val="16"/>
          <w:szCs w:val="16"/>
        </w:rPr>
        <w:footnoteRef/>
      </w:r>
      <w:r w:rsidRPr="00BD7CE5">
        <w:rPr>
          <w:sz w:val="16"/>
          <w:szCs w:val="16"/>
        </w:rPr>
        <w:t xml:space="preserve"> </w:t>
      </w:r>
      <w:r w:rsidR="00FC7079" w:rsidRPr="00BD7CE5">
        <w:rPr>
          <w:i/>
          <w:iCs/>
          <w:color w:val="000000" w:themeColor="text1"/>
          <w:sz w:val="16"/>
          <w:szCs w:val="16"/>
        </w:rPr>
        <w:t>id</w:t>
      </w:r>
      <w:r w:rsidR="00FC7079" w:rsidRPr="00BD7CE5">
        <w:rPr>
          <w:color w:val="000000" w:themeColor="text1"/>
          <w:sz w:val="16"/>
          <w:szCs w:val="16"/>
        </w:rPr>
        <w:t xml:space="preserve"> at p.4</w:t>
      </w:r>
      <w:r w:rsidR="00FC7079" w:rsidRPr="00BD7CE5">
        <w:rPr>
          <w:color w:val="000000" w:themeColor="text1"/>
          <w:sz w:val="16"/>
          <w:szCs w:val="16"/>
        </w:rPr>
        <w:t>8</w:t>
      </w:r>
      <w:r w:rsidR="00FC7079" w:rsidRPr="00BD7CE5">
        <w:rPr>
          <w:color w:val="000000" w:themeColor="text1"/>
          <w:sz w:val="16"/>
          <w:szCs w:val="16"/>
        </w:rPr>
        <w:t>.</w:t>
      </w:r>
    </w:p>
  </w:footnote>
  <w:footnote w:id="11">
    <w:p w14:paraId="11530842" w14:textId="0EE0F804" w:rsidR="00FE6443" w:rsidRPr="00BD7CE5" w:rsidRDefault="00FE6443" w:rsidP="00AF4D8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JF Stephen 3 </w:t>
      </w:r>
      <w:r w:rsidRPr="00BD7CE5">
        <w:rPr>
          <w:i/>
          <w:color w:val="000000" w:themeColor="text1"/>
          <w:sz w:val="16"/>
          <w:szCs w:val="16"/>
          <w:lang w:val="en-US"/>
        </w:rPr>
        <w:t>A History of the Criminal Law of England</w:t>
      </w:r>
      <w:r w:rsidRPr="00BD7CE5">
        <w:rPr>
          <w:color w:val="000000" w:themeColor="text1"/>
          <w:sz w:val="16"/>
          <w:szCs w:val="16"/>
          <w:lang w:val="en-US"/>
        </w:rPr>
        <w:t xml:space="preserve"> (Macmillan London 1883) 283 </w:t>
      </w:r>
      <w:r w:rsidR="00F00484" w:rsidRPr="00BD7CE5">
        <w:rPr>
          <w:color w:val="000000" w:themeColor="text1"/>
          <w:sz w:val="16"/>
          <w:szCs w:val="16"/>
          <w:lang w:val="en-US"/>
        </w:rPr>
        <w:t>(</w:t>
      </w:r>
      <w:r w:rsidRPr="00BD7CE5">
        <w:rPr>
          <w:bCs/>
          <w:color w:val="000000" w:themeColor="text1"/>
          <w:sz w:val="16"/>
          <w:szCs w:val="16"/>
          <w:lang w:val="en-US"/>
        </w:rPr>
        <w:t>stating that English criminal law was reproduced almost in every state of the United States and almost in all the 45 colonies of the British Empire</w:t>
      </w:r>
      <w:r w:rsidR="00F00484" w:rsidRPr="00BD7CE5">
        <w:rPr>
          <w:bCs/>
          <w:color w:val="000000" w:themeColor="text1"/>
          <w:sz w:val="16"/>
          <w:szCs w:val="16"/>
          <w:lang w:val="en-US"/>
        </w:rPr>
        <w:t>)</w:t>
      </w:r>
      <w:r w:rsidRPr="00BD7CE5">
        <w:rPr>
          <w:bCs/>
          <w:color w:val="000000" w:themeColor="text1"/>
          <w:sz w:val="16"/>
          <w:szCs w:val="16"/>
          <w:lang w:val="en-US"/>
        </w:rPr>
        <w:t>.</w:t>
      </w:r>
    </w:p>
  </w:footnote>
  <w:footnote w:id="12">
    <w:p w14:paraId="25FE6F3E" w14:textId="77777777" w:rsidR="00FC7079" w:rsidRPr="00BD7CE5" w:rsidRDefault="00FC7079" w:rsidP="00FC707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An Act for the Punishment of the Vice of </w:t>
      </w:r>
      <w:proofErr w:type="spellStart"/>
      <w:r w:rsidRPr="00BD7CE5">
        <w:rPr>
          <w:color w:val="000000" w:themeColor="text1"/>
          <w:sz w:val="16"/>
          <w:szCs w:val="16"/>
          <w:lang w:val="en-US"/>
        </w:rPr>
        <w:t>Buggerie</w:t>
      </w:r>
      <w:proofErr w:type="spellEnd"/>
      <w:r w:rsidRPr="00BD7CE5">
        <w:rPr>
          <w:color w:val="000000" w:themeColor="text1"/>
          <w:sz w:val="16"/>
          <w:szCs w:val="16"/>
          <w:lang w:val="en-US"/>
        </w:rPr>
        <w:t>, 25 Hen. 8 c. 6.</w:t>
      </w:r>
    </w:p>
  </w:footnote>
  <w:footnote w:id="13">
    <w:p w14:paraId="2CFE70EC" w14:textId="77777777" w:rsidR="00FC7079" w:rsidRPr="00BD7CE5" w:rsidRDefault="00FC7079" w:rsidP="00FC707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25 Hen. 8 c. 6</w:t>
      </w:r>
    </w:p>
  </w:footnote>
  <w:footnote w:id="14">
    <w:p w14:paraId="383EC794" w14:textId="33A75C5C" w:rsidR="00FC7079" w:rsidRPr="00BD7CE5" w:rsidRDefault="00FC7079" w:rsidP="00FC707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Even by 1956 the actus reus remains as abstract as it was in 1533.  </w:t>
      </w:r>
      <w:r w:rsidRPr="00BD7CE5">
        <w:rPr>
          <w:i/>
          <w:iCs/>
          <w:color w:val="000000" w:themeColor="text1"/>
          <w:sz w:val="16"/>
          <w:szCs w:val="16"/>
          <w:lang w:val="en-US"/>
        </w:rPr>
        <w:t>See</w:t>
      </w:r>
      <w:r w:rsidRPr="00BD7CE5">
        <w:rPr>
          <w:color w:val="000000" w:themeColor="text1"/>
          <w:sz w:val="16"/>
          <w:szCs w:val="16"/>
          <w:lang w:val="en-US"/>
        </w:rPr>
        <w:t xml:space="preserve"> Sexual Offences Act 1956</w:t>
      </w:r>
      <w:r w:rsidR="0002668C" w:rsidRPr="00BD7CE5">
        <w:rPr>
          <w:color w:val="000000" w:themeColor="text1"/>
          <w:sz w:val="16"/>
          <w:szCs w:val="16"/>
          <w:lang w:val="en-US"/>
        </w:rPr>
        <w:t xml:space="preserve">, </w:t>
      </w:r>
      <w:r w:rsidR="0002668C" w:rsidRPr="00BD7CE5">
        <w:rPr>
          <w:color w:val="000000" w:themeColor="text1"/>
          <w:sz w:val="16"/>
          <w:szCs w:val="16"/>
        </w:rPr>
        <w:t xml:space="preserve">4 </w:t>
      </w:r>
      <w:r w:rsidR="0002668C" w:rsidRPr="00BD7CE5">
        <w:rPr>
          <w:color w:val="000000" w:themeColor="text1"/>
          <w:sz w:val="16"/>
          <w:szCs w:val="16"/>
        </w:rPr>
        <w:t>-</w:t>
      </w:r>
      <w:r w:rsidR="0002668C" w:rsidRPr="00BD7CE5">
        <w:rPr>
          <w:color w:val="000000" w:themeColor="text1"/>
          <w:sz w:val="16"/>
          <w:szCs w:val="16"/>
        </w:rPr>
        <w:t>5 Eliz. 2 c. 69</w:t>
      </w:r>
      <w:r w:rsidRPr="00BD7CE5">
        <w:rPr>
          <w:color w:val="000000" w:themeColor="text1"/>
          <w:sz w:val="16"/>
          <w:szCs w:val="16"/>
          <w:lang w:val="en-US"/>
        </w:rPr>
        <w:t xml:space="preserve"> s</w:t>
      </w:r>
      <w:r w:rsidR="0002668C" w:rsidRPr="00BD7CE5">
        <w:rPr>
          <w:color w:val="000000" w:themeColor="text1"/>
          <w:sz w:val="16"/>
          <w:szCs w:val="16"/>
          <w:lang w:val="en-US"/>
        </w:rPr>
        <w:t>.</w:t>
      </w:r>
      <w:r w:rsidRPr="00BD7CE5">
        <w:rPr>
          <w:color w:val="000000" w:themeColor="text1"/>
          <w:sz w:val="16"/>
          <w:szCs w:val="16"/>
          <w:lang w:val="en-US"/>
        </w:rPr>
        <w:t xml:space="preserve">12(1): </w:t>
      </w:r>
      <w:r w:rsidRPr="00BD7CE5">
        <w:rPr>
          <w:i/>
          <w:color w:val="000000" w:themeColor="text1"/>
          <w:sz w:val="16"/>
          <w:szCs w:val="16"/>
          <w:lang w:val="en-US"/>
        </w:rPr>
        <w:t>“It is considered a crime when a person commits sodomy with another person or animal.”</w:t>
      </w:r>
      <w:r w:rsidRPr="00BD7CE5">
        <w:rPr>
          <w:color w:val="000000" w:themeColor="text1"/>
          <w:sz w:val="16"/>
          <w:szCs w:val="16"/>
          <w:lang w:val="en-US"/>
        </w:rPr>
        <w:t xml:space="preserve"> </w:t>
      </w:r>
    </w:p>
  </w:footnote>
  <w:footnote w:id="15">
    <w:p w14:paraId="5B7B5B4C" w14:textId="0190D778" w:rsidR="00FC7079" w:rsidRPr="00BD7CE5" w:rsidRDefault="00FC7079" w:rsidP="00FC7079">
      <w:pPr>
        <w:pStyle w:val="FootnoteText"/>
        <w:keepLines/>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In 1817, </w:t>
      </w:r>
      <w:r w:rsidR="000E293C" w:rsidRPr="00BD7CE5">
        <w:rPr>
          <w:color w:val="000000" w:themeColor="text1"/>
          <w:sz w:val="16"/>
          <w:szCs w:val="16"/>
          <w:lang w:val="en-US"/>
        </w:rPr>
        <w:t>the</w:t>
      </w:r>
      <w:r w:rsidRPr="00BD7CE5">
        <w:rPr>
          <w:color w:val="000000" w:themeColor="text1"/>
          <w:sz w:val="16"/>
          <w:szCs w:val="16"/>
          <w:lang w:val="en-US"/>
        </w:rPr>
        <w:t xml:space="preserve"> defendant was charged with sodomy and found guilty on first instance</w:t>
      </w:r>
      <w:r w:rsidR="000E293C" w:rsidRPr="00BD7CE5">
        <w:rPr>
          <w:color w:val="000000" w:themeColor="text1"/>
          <w:sz w:val="16"/>
          <w:szCs w:val="16"/>
          <w:lang w:val="en-US"/>
        </w:rPr>
        <w:t xml:space="preserve"> </w:t>
      </w:r>
      <w:r w:rsidR="000E293C" w:rsidRPr="00BD7CE5">
        <w:rPr>
          <w:color w:val="000000" w:themeColor="text1"/>
          <w:sz w:val="16"/>
          <w:szCs w:val="16"/>
          <w:lang w:val="en-US"/>
        </w:rPr>
        <w:t xml:space="preserve">on proof that he had forced </w:t>
      </w:r>
      <w:r w:rsidR="000E293C" w:rsidRPr="00BD7CE5">
        <w:rPr>
          <w:color w:val="000000" w:themeColor="text1"/>
          <w:sz w:val="16"/>
          <w:szCs w:val="16"/>
          <w:lang w:val="en-US"/>
        </w:rPr>
        <w:t xml:space="preserve">his member into a male’s mouth and ejaculated. </w:t>
      </w:r>
      <w:r w:rsidRPr="00BD7CE5">
        <w:rPr>
          <w:color w:val="000000" w:themeColor="text1"/>
          <w:sz w:val="16"/>
          <w:szCs w:val="16"/>
          <w:lang w:val="en-US"/>
        </w:rPr>
        <w:t>On appeal, the court found t</w:t>
      </w:r>
      <w:r w:rsidR="000E293C" w:rsidRPr="00BD7CE5">
        <w:rPr>
          <w:color w:val="000000" w:themeColor="text1"/>
          <w:sz w:val="16"/>
          <w:szCs w:val="16"/>
          <w:lang w:val="en-US"/>
        </w:rPr>
        <w:t xml:space="preserve">he defendant </w:t>
      </w:r>
      <w:r w:rsidRPr="00BD7CE5">
        <w:rPr>
          <w:color w:val="000000" w:themeColor="text1"/>
          <w:sz w:val="16"/>
          <w:szCs w:val="16"/>
          <w:lang w:val="en-US"/>
        </w:rPr>
        <w:t xml:space="preserve">wrongly accused of sodomy because the proven facts did not constitute the offence of sodomy.  </w:t>
      </w:r>
      <w:r w:rsidRPr="00BD7CE5">
        <w:rPr>
          <w:i/>
          <w:color w:val="000000" w:themeColor="text1"/>
          <w:sz w:val="16"/>
          <w:szCs w:val="16"/>
          <w:lang w:val="en-US"/>
        </w:rPr>
        <w:t xml:space="preserve">Rex v Jacobs </w:t>
      </w:r>
      <w:r w:rsidRPr="00BD7CE5">
        <w:rPr>
          <w:color w:val="000000" w:themeColor="text1"/>
          <w:sz w:val="16"/>
          <w:szCs w:val="16"/>
          <w:lang w:val="en-US"/>
        </w:rPr>
        <w:t xml:space="preserve">Russ. &amp; Ry. 331, 168 </w:t>
      </w:r>
      <w:proofErr w:type="spellStart"/>
      <w:r w:rsidRPr="00BD7CE5">
        <w:rPr>
          <w:color w:val="000000" w:themeColor="text1"/>
          <w:sz w:val="16"/>
          <w:szCs w:val="16"/>
          <w:lang w:val="en-US"/>
        </w:rPr>
        <w:t>Eng</w:t>
      </w:r>
      <w:proofErr w:type="spellEnd"/>
      <w:r w:rsidRPr="00BD7CE5">
        <w:rPr>
          <w:color w:val="000000" w:themeColor="text1"/>
          <w:sz w:val="16"/>
          <w:szCs w:val="16"/>
          <w:lang w:val="en-US"/>
        </w:rPr>
        <w:t xml:space="preserve"> Rep 830 (KB 1830)</w:t>
      </w:r>
      <w:r w:rsidR="000E293C" w:rsidRPr="00BD7CE5">
        <w:rPr>
          <w:color w:val="000000" w:themeColor="text1"/>
          <w:sz w:val="16"/>
          <w:szCs w:val="16"/>
          <w:lang w:val="en-US"/>
        </w:rPr>
        <w:t>.</w:t>
      </w:r>
    </w:p>
  </w:footnote>
  <w:footnote w:id="16">
    <w:p w14:paraId="266A46FB" w14:textId="77329749" w:rsidR="00FC7079" w:rsidRPr="00BD7CE5" w:rsidRDefault="00FC7079" w:rsidP="00FC707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The Criminal Law Amendment Act 1885</w:t>
      </w:r>
      <w:r w:rsidR="0002668C" w:rsidRPr="00BD7CE5">
        <w:rPr>
          <w:color w:val="000000" w:themeColor="text1"/>
          <w:sz w:val="16"/>
          <w:szCs w:val="16"/>
          <w:lang w:val="en-US"/>
        </w:rPr>
        <w:t xml:space="preserve">, </w:t>
      </w:r>
      <w:r w:rsidRPr="00BD7CE5">
        <w:rPr>
          <w:color w:val="000000" w:themeColor="text1"/>
          <w:sz w:val="16"/>
          <w:szCs w:val="16"/>
          <w:lang w:val="en-US"/>
        </w:rPr>
        <w:t>48</w:t>
      </w:r>
      <w:r w:rsidR="0002668C" w:rsidRPr="00BD7CE5">
        <w:rPr>
          <w:color w:val="000000" w:themeColor="text1"/>
          <w:sz w:val="16"/>
          <w:szCs w:val="16"/>
          <w:lang w:val="en-US"/>
        </w:rPr>
        <w:t>-</w:t>
      </w:r>
      <w:r w:rsidRPr="00BD7CE5">
        <w:rPr>
          <w:color w:val="000000" w:themeColor="text1"/>
          <w:sz w:val="16"/>
          <w:szCs w:val="16"/>
          <w:lang w:val="en-US"/>
        </w:rPr>
        <w:t xml:space="preserve">9 </w:t>
      </w:r>
      <w:proofErr w:type="spellStart"/>
      <w:r w:rsidRPr="00BD7CE5">
        <w:rPr>
          <w:color w:val="000000" w:themeColor="text1"/>
          <w:sz w:val="16"/>
          <w:szCs w:val="16"/>
          <w:lang w:val="en-US"/>
        </w:rPr>
        <w:t>Vict</w:t>
      </w:r>
      <w:proofErr w:type="spellEnd"/>
      <w:r w:rsidRPr="00BD7CE5">
        <w:rPr>
          <w:color w:val="000000" w:themeColor="text1"/>
          <w:sz w:val="16"/>
          <w:szCs w:val="16"/>
          <w:lang w:val="en-US"/>
        </w:rPr>
        <w:t>. c.69, s</w:t>
      </w:r>
      <w:r w:rsidR="0002668C" w:rsidRPr="00BD7CE5">
        <w:rPr>
          <w:color w:val="000000" w:themeColor="text1"/>
          <w:sz w:val="16"/>
          <w:szCs w:val="16"/>
          <w:lang w:val="en-US"/>
        </w:rPr>
        <w:t>.</w:t>
      </w:r>
      <w:r w:rsidRPr="00BD7CE5">
        <w:rPr>
          <w:color w:val="000000" w:themeColor="text1"/>
          <w:sz w:val="16"/>
          <w:szCs w:val="16"/>
          <w:lang w:val="en-US"/>
        </w:rPr>
        <w:t xml:space="preserve">11 </w:t>
      </w:r>
      <w:r w:rsidRPr="00BD7CE5">
        <w:rPr>
          <w:i/>
          <w:color w:val="000000" w:themeColor="text1"/>
          <w:sz w:val="16"/>
          <w:szCs w:val="16"/>
          <w:lang w:val="en-US"/>
        </w:rPr>
        <w:t>“Any male person, who in public or private, commits or is party to the commission of, or procures or attempts to procure the commission by any male person of, any act of gross indecency with another male person, shall be guilty of …”.</w:t>
      </w:r>
      <w:r w:rsidRPr="00BD7CE5">
        <w:rPr>
          <w:color w:val="000000" w:themeColor="text1"/>
          <w:sz w:val="16"/>
          <w:szCs w:val="16"/>
          <w:lang w:val="en-US"/>
        </w:rPr>
        <w:t xml:space="preserve">  </w:t>
      </w:r>
      <w:r w:rsidRPr="00BD7CE5">
        <w:rPr>
          <w:bCs/>
          <w:color w:val="000000" w:themeColor="text1"/>
          <w:sz w:val="16"/>
          <w:szCs w:val="16"/>
          <w:lang w:val="en-US"/>
        </w:rPr>
        <w:t xml:space="preserve">Oscar Wilde was charged and found guilty of gross indecency in 1895 for writing a love sonnet to his lover.  </w:t>
      </w:r>
      <w:r w:rsidRPr="00BD7CE5">
        <w:rPr>
          <w:bCs/>
          <w:i/>
          <w:iCs/>
          <w:color w:val="000000" w:themeColor="text1"/>
          <w:sz w:val="16"/>
          <w:szCs w:val="16"/>
          <w:lang w:val="en-US"/>
        </w:rPr>
        <w:t>See</w:t>
      </w:r>
      <w:r w:rsidRPr="00BD7CE5">
        <w:rPr>
          <w:bCs/>
          <w:color w:val="000000" w:themeColor="text1"/>
          <w:sz w:val="16"/>
          <w:szCs w:val="16"/>
          <w:lang w:val="en-US"/>
        </w:rPr>
        <w:t xml:space="preserve"> </w:t>
      </w:r>
      <w:r w:rsidRPr="00BD7CE5">
        <w:rPr>
          <w:color w:val="000000" w:themeColor="text1"/>
          <w:sz w:val="16"/>
          <w:szCs w:val="16"/>
          <w:lang w:val="en-US"/>
        </w:rPr>
        <w:t xml:space="preserve">H. Montgomery Hyde </w:t>
      </w:r>
      <w:proofErr w:type="gramStart"/>
      <w:r w:rsidRPr="00BD7CE5">
        <w:rPr>
          <w:i/>
          <w:color w:val="000000" w:themeColor="text1"/>
          <w:sz w:val="16"/>
          <w:szCs w:val="16"/>
          <w:lang w:val="en-US"/>
        </w:rPr>
        <w:t>The</w:t>
      </w:r>
      <w:proofErr w:type="gramEnd"/>
      <w:r w:rsidRPr="00BD7CE5">
        <w:rPr>
          <w:i/>
          <w:color w:val="000000" w:themeColor="text1"/>
          <w:sz w:val="16"/>
          <w:szCs w:val="16"/>
          <w:lang w:val="en-US"/>
        </w:rPr>
        <w:t xml:space="preserve"> Trials of Oscar Wilde</w:t>
      </w:r>
      <w:r w:rsidRPr="00BD7CE5">
        <w:rPr>
          <w:color w:val="000000" w:themeColor="text1"/>
          <w:sz w:val="16"/>
          <w:szCs w:val="16"/>
          <w:lang w:val="en-US"/>
        </w:rPr>
        <w:t xml:space="preserve"> (Dover New York 1962).</w:t>
      </w:r>
    </w:p>
  </w:footnote>
  <w:footnote w:id="17">
    <w:p w14:paraId="2E4BFEEF" w14:textId="0CF2C982" w:rsidR="00F15EA1" w:rsidRPr="00BD7CE5" w:rsidRDefault="00F15EA1" w:rsidP="00AF4D8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Sexual acts between women were not deemed a crime in English law. </w:t>
      </w:r>
      <w:r w:rsidR="00F00484" w:rsidRPr="00BD7CE5">
        <w:rPr>
          <w:color w:val="000000" w:themeColor="text1"/>
          <w:sz w:val="16"/>
          <w:szCs w:val="16"/>
          <w:lang w:val="en-US"/>
        </w:rPr>
        <w:t>An</w:t>
      </w:r>
      <w:r w:rsidRPr="00BD7CE5">
        <w:rPr>
          <w:color w:val="000000" w:themeColor="text1"/>
          <w:sz w:val="16"/>
          <w:szCs w:val="16"/>
          <w:lang w:val="en-US"/>
        </w:rPr>
        <w:t xml:space="preserve"> attempt to </w:t>
      </w:r>
      <w:proofErr w:type="spellStart"/>
      <w:r w:rsidRPr="00BD7CE5">
        <w:rPr>
          <w:color w:val="000000" w:themeColor="text1"/>
          <w:sz w:val="16"/>
          <w:szCs w:val="16"/>
          <w:lang w:val="en-US"/>
        </w:rPr>
        <w:t>criminalise</w:t>
      </w:r>
      <w:proofErr w:type="spellEnd"/>
      <w:r w:rsidRPr="00BD7CE5">
        <w:rPr>
          <w:color w:val="000000" w:themeColor="text1"/>
          <w:sz w:val="16"/>
          <w:szCs w:val="16"/>
          <w:lang w:val="en-US"/>
        </w:rPr>
        <w:t xml:space="preserve"> them was</w:t>
      </w:r>
      <w:r w:rsidR="00F00484" w:rsidRPr="00BD7CE5">
        <w:rPr>
          <w:color w:val="000000" w:themeColor="text1"/>
          <w:sz w:val="16"/>
          <w:szCs w:val="16"/>
          <w:lang w:val="en-US"/>
        </w:rPr>
        <w:t xml:space="preserve"> rejected by the House of Lords</w:t>
      </w:r>
      <w:r w:rsidRPr="00BD7CE5">
        <w:rPr>
          <w:color w:val="000000" w:themeColor="text1"/>
          <w:sz w:val="16"/>
          <w:szCs w:val="16"/>
          <w:lang w:val="en-US"/>
        </w:rPr>
        <w:t xml:space="preserve"> </w:t>
      </w:r>
      <w:r w:rsidR="009A6FB0" w:rsidRPr="00BD7CE5">
        <w:rPr>
          <w:color w:val="000000" w:themeColor="text1"/>
          <w:sz w:val="16"/>
          <w:szCs w:val="16"/>
          <w:lang w:val="en-US"/>
        </w:rPr>
        <w:t>in</w:t>
      </w:r>
      <w:r w:rsidRPr="00BD7CE5">
        <w:rPr>
          <w:color w:val="000000" w:themeColor="text1"/>
          <w:sz w:val="16"/>
          <w:szCs w:val="16"/>
          <w:lang w:val="en-US"/>
        </w:rPr>
        <w:t xml:space="preserve"> 1921.  House of Lords, Hansard</w:t>
      </w:r>
      <w:r w:rsidR="00330DD4" w:rsidRPr="00BD7CE5">
        <w:rPr>
          <w:color w:val="000000" w:themeColor="text1"/>
          <w:sz w:val="16"/>
          <w:szCs w:val="16"/>
          <w:lang w:val="en-US"/>
        </w:rPr>
        <w:t xml:space="preserve"> </w:t>
      </w:r>
      <w:r w:rsidRPr="00BD7CE5">
        <w:rPr>
          <w:color w:val="000000" w:themeColor="text1"/>
          <w:sz w:val="16"/>
          <w:szCs w:val="16"/>
          <w:lang w:val="en-US"/>
        </w:rPr>
        <w:t xml:space="preserve">- 15 August 1921, Vol. 43 cc567-77. &lt;http://hansard.millbanksystems.com/lords/1921/aug/15/commons-amendment-2&gt;  </w:t>
      </w:r>
    </w:p>
  </w:footnote>
  <w:footnote w:id="18">
    <w:p w14:paraId="347FD3D1" w14:textId="1C97EE66" w:rsidR="00F15EA1" w:rsidRPr="00BD7CE5" w:rsidRDefault="00F15EA1" w:rsidP="00AF4D8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w:t>
      </w:r>
      <w:r w:rsidR="00FC7079" w:rsidRPr="00BD7CE5">
        <w:rPr>
          <w:i/>
          <w:iCs/>
          <w:color w:val="000000" w:themeColor="text1"/>
          <w:sz w:val="16"/>
          <w:szCs w:val="16"/>
          <w:lang w:val="en-US"/>
        </w:rPr>
        <w:t>See</w:t>
      </w:r>
      <w:r w:rsidR="00FC7079" w:rsidRPr="00BD7CE5">
        <w:rPr>
          <w:color w:val="000000" w:themeColor="text1"/>
          <w:sz w:val="16"/>
          <w:szCs w:val="16"/>
          <w:lang w:val="en-US"/>
        </w:rPr>
        <w:t xml:space="preserve"> </w:t>
      </w:r>
      <w:r w:rsidR="00240218">
        <w:rPr>
          <w:color w:val="000000" w:themeColor="text1"/>
          <w:sz w:val="16"/>
          <w:szCs w:val="16"/>
          <w:lang w:val="en-US"/>
        </w:rPr>
        <w:t>R</w:t>
      </w:r>
      <w:r w:rsidRPr="00BD7CE5">
        <w:rPr>
          <w:color w:val="000000" w:themeColor="text1"/>
          <w:sz w:val="16"/>
          <w:szCs w:val="16"/>
          <w:lang w:val="en-US"/>
        </w:rPr>
        <w:t xml:space="preserve"> </w:t>
      </w:r>
      <w:proofErr w:type="spellStart"/>
      <w:r w:rsidRPr="00BD7CE5">
        <w:rPr>
          <w:color w:val="000000" w:themeColor="text1"/>
          <w:sz w:val="16"/>
          <w:szCs w:val="16"/>
          <w:lang w:val="en-US"/>
        </w:rPr>
        <w:t>Hyam</w:t>
      </w:r>
      <w:proofErr w:type="spellEnd"/>
      <w:r w:rsidRPr="00BD7CE5">
        <w:rPr>
          <w:color w:val="000000" w:themeColor="text1"/>
          <w:sz w:val="16"/>
          <w:szCs w:val="16"/>
          <w:lang w:val="en-US"/>
        </w:rPr>
        <w:t xml:space="preserve"> </w:t>
      </w:r>
      <w:r w:rsidRPr="00BD7CE5">
        <w:rPr>
          <w:i/>
          <w:color w:val="000000" w:themeColor="text1"/>
          <w:sz w:val="16"/>
          <w:szCs w:val="16"/>
          <w:lang w:val="en-US"/>
        </w:rPr>
        <w:t>Empire and Sexuality: The British Experience</w:t>
      </w:r>
      <w:r w:rsidRPr="00BD7CE5">
        <w:rPr>
          <w:color w:val="000000" w:themeColor="text1"/>
          <w:sz w:val="16"/>
          <w:szCs w:val="16"/>
          <w:lang w:val="en-US"/>
        </w:rPr>
        <w:t xml:space="preserve"> (Manchester University press London 1990)</w:t>
      </w:r>
      <w:r w:rsidR="000E293C" w:rsidRPr="00BD7CE5">
        <w:rPr>
          <w:color w:val="000000" w:themeColor="text1"/>
          <w:sz w:val="16"/>
          <w:szCs w:val="16"/>
          <w:lang w:val="en-US"/>
        </w:rPr>
        <w:t>.</w:t>
      </w:r>
    </w:p>
  </w:footnote>
  <w:footnote w:id="19">
    <w:p w14:paraId="4331A23B" w14:textId="7C3F2808" w:rsidR="00E72B90" w:rsidRPr="00BD7CE5" w:rsidRDefault="00E72B90" w:rsidP="00E72B90">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The drafting and imposition of a criminal code was an unprecedented socio-legal experiment that allowed politicians in London to try codification with the inhabitants of the colonies something for which there was no social support in England.  Stephen (fn.11 above) at p.304.</w:t>
      </w:r>
      <w:r w:rsidRPr="00BD7CE5">
        <w:rPr>
          <w:color w:val="000000" w:themeColor="text1"/>
          <w:sz w:val="16"/>
          <w:szCs w:val="16"/>
          <w:lang w:val="en-US"/>
        </w:rPr>
        <w:t xml:space="preserve">  </w:t>
      </w:r>
      <w:r w:rsidRPr="00BD7CE5">
        <w:rPr>
          <w:i/>
          <w:iCs/>
          <w:color w:val="000000" w:themeColor="text1"/>
          <w:sz w:val="16"/>
          <w:szCs w:val="16"/>
          <w:lang w:val="en-US"/>
        </w:rPr>
        <w:t>See also</w:t>
      </w:r>
      <w:r w:rsidRPr="00BD7CE5">
        <w:rPr>
          <w:color w:val="000000" w:themeColor="text1"/>
          <w:sz w:val="16"/>
          <w:szCs w:val="16"/>
          <w:lang w:val="en-US"/>
        </w:rPr>
        <w:t xml:space="preserve"> </w:t>
      </w:r>
      <w:r w:rsidRPr="00BD7CE5">
        <w:rPr>
          <w:color w:val="000000" w:themeColor="text1"/>
          <w:sz w:val="16"/>
          <w:szCs w:val="16"/>
          <w:lang w:val="en-US"/>
        </w:rPr>
        <w:t>ML Friedland ‘R. S. Wright's Model Criminal Code: A Forgotten Chapter in the History of the Criminal Law’ (1981) 1 Oxford J. Legal Stud. 307, 311</w:t>
      </w:r>
      <w:r w:rsidRPr="00BD7CE5">
        <w:rPr>
          <w:color w:val="000000" w:themeColor="text1"/>
          <w:sz w:val="16"/>
          <w:szCs w:val="16"/>
          <w:lang w:val="en-US"/>
        </w:rPr>
        <w:t xml:space="preserve"> (publishing a letter by </w:t>
      </w:r>
      <w:r w:rsidRPr="00BD7CE5">
        <w:rPr>
          <w:color w:val="000000" w:themeColor="text1"/>
          <w:sz w:val="16"/>
          <w:szCs w:val="16"/>
          <w:lang w:val="en-US"/>
        </w:rPr>
        <w:t>RS Wright to the government when offering his services to draft a criminal code for Jamaica</w:t>
      </w:r>
      <w:r w:rsidRPr="00BD7CE5">
        <w:rPr>
          <w:color w:val="000000" w:themeColor="text1"/>
          <w:sz w:val="16"/>
          <w:szCs w:val="16"/>
          <w:lang w:val="en-US"/>
        </w:rPr>
        <w:t>:</w:t>
      </w:r>
      <w:r w:rsidRPr="00BD7CE5">
        <w:rPr>
          <w:color w:val="000000" w:themeColor="text1"/>
          <w:sz w:val="16"/>
          <w:szCs w:val="16"/>
          <w:lang w:val="en-US"/>
        </w:rPr>
        <w:t xml:space="preserve"> “</w:t>
      </w:r>
      <w:r w:rsidRPr="00BD7CE5">
        <w:rPr>
          <w:i/>
          <w:iCs/>
          <w:color w:val="000000" w:themeColor="text1"/>
          <w:sz w:val="16"/>
          <w:szCs w:val="16"/>
          <w:lang w:val="en-US"/>
        </w:rPr>
        <w:t>I have some ideas regarding how a criminal code must be structured, and I would love to prove them through a field experiment</w:t>
      </w:r>
      <w:r w:rsidRPr="00BD7CE5">
        <w:rPr>
          <w:color w:val="000000" w:themeColor="text1"/>
          <w:sz w:val="16"/>
          <w:szCs w:val="16"/>
          <w:lang w:val="en-US"/>
        </w:rPr>
        <w:t>”</w:t>
      </w:r>
      <w:r w:rsidRPr="00BD7CE5">
        <w:rPr>
          <w:color w:val="000000" w:themeColor="text1"/>
          <w:sz w:val="16"/>
          <w:szCs w:val="16"/>
          <w:lang w:val="en-US"/>
        </w:rPr>
        <w:t>).</w:t>
      </w:r>
    </w:p>
  </w:footnote>
  <w:footnote w:id="20">
    <w:p w14:paraId="344EC7E2" w14:textId="25A432A2" w:rsidR="00F15EA1" w:rsidRPr="00BD7CE5" w:rsidRDefault="00F15EA1"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900FB4" w:rsidRPr="00BD7CE5">
        <w:rPr>
          <w:color w:val="000000" w:themeColor="text1"/>
          <w:sz w:val="16"/>
          <w:szCs w:val="16"/>
        </w:rPr>
        <w:t xml:space="preserve">RS </w:t>
      </w:r>
      <w:r w:rsidR="00FE6443" w:rsidRPr="00BD7CE5">
        <w:rPr>
          <w:bCs/>
          <w:color w:val="000000" w:themeColor="text1"/>
          <w:sz w:val="16"/>
          <w:szCs w:val="16"/>
          <w:lang w:val="en"/>
        </w:rPr>
        <w:t xml:space="preserve">Wright </w:t>
      </w:r>
      <w:r w:rsidR="00653F67" w:rsidRPr="00BD7CE5">
        <w:rPr>
          <w:bCs/>
          <w:color w:val="000000" w:themeColor="text1"/>
          <w:sz w:val="16"/>
          <w:szCs w:val="16"/>
          <w:lang w:val="en"/>
        </w:rPr>
        <w:t xml:space="preserve">had </w:t>
      </w:r>
      <w:r w:rsidR="00FE6443" w:rsidRPr="00BD7CE5">
        <w:rPr>
          <w:bCs/>
          <w:color w:val="000000" w:themeColor="text1"/>
          <w:sz w:val="16"/>
          <w:szCs w:val="16"/>
          <w:lang w:val="en"/>
        </w:rPr>
        <w:t xml:space="preserve">translated into English the Prussian Penal Code.  </w:t>
      </w:r>
      <w:proofErr w:type="spellStart"/>
      <w:r w:rsidRPr="00BD7CE5">
        <w:rPr>
          <w:bCs/>
          <w:color w:val="000000" w:themeColor="text1"/>
          <w:sz w:val="16"/>
          <w:szCs w:val="16"/>
        </w:rPr>
        <w:t>Friendland</w:t>
      </w:r>
      <w:proofErr w:type="spellEnd"/>
      <w:r w:rsidRPr="00BD7CE5">
        <w:rPr>
          <w:bCs/>
          <w:color w:val="000000" w:themeColor="text1"/>
          <w:sz w:val="16"/>
          <w:szCs w:val="16"/>
        </w:rPr>
        <w:t xml:space="preserve"> </w:t>
      </w:r>
      <w:r w:rsidRPr="00BD7CE5">
        <w:rPr>
          <w:color w:val="000000" w:themeColor="text1"/>
          <w:sz w:val="16"/>
          <w:szCs w:val="16"/>
        </w:rPr>
        <w:t>(fn.1</w:t>
      </w:r>
      <w:r w:rsidR="00E72B90" w:rsidRPr="00BD7CE5">
        <w:rPr>
          <w:color w:val="000000" w:themeColor="text1"/>
          <w:sz w:val="16"/>
          <w:szCs w:val="16"/>
        </w:rPr>
        <w:t>9</w:t>
      </w:r>
      <w:r w:rsidRPr="00BD7CE5">
        <w:rPr>
          <w:color w:val="000000" w:themeColor="text1"/>
          <w:sz w:val="16"/>
          <w:szCs w:val="16"/>
        </w:rPr>
        <w:t xml:space="preserve"> above) at p.313.</w:t>
      </w:r>
    </w:p>
  </w:footnote>
  <w:footnote w:id="21">
    <w:p w14:paraId="04B7F490" w14:textId="00F37CD6" w:rsidR="00F15EA1" w:rsidRPr="00BD7CE5" w:rsidRDefault="00F15EA1"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 xml:space="preserve">id </w:t>
      </w:r>
      <w:r w:rsidRPr="00BD7CE5">
        <w:rPr>
          <w:color w:val="000000" w:themeColor="text1"/>
          <w:sz w:val="16"/>
          <w:szCs w:val="16"/>
        </w:rPr>
        <w:t>at</w:t>
      </w:r>
      <w:r w:rsidRPr="00BD7CE5">
        <w:rPr>
          <w:i/>
          <w:iCs/>
          <w:color w:val="000000" w:themeColor="text1"/>
          <w:sz w:val="16"/>
          <w:szCs w:val="16"/>
        </w:rPr>
        <w:t xml:space="preserve"> </w:t>
      </w:r>
      <w:r w:rsidRPr="00BD7CE5">
        <w:rPr>
          <w:color w:val="000000" w:themeColor="text1"/>
          <w:sz w:val="16"/>
          <w:szCs w:val="16"/>
        </w:rPr>
        <w:t>p 328.</w:t>
      </w:r>
    </w:p>
  </w:footnote>
  <w:footnote w:id="22">
    <w:p w14:paraId="22493426" w14:textId="77777777"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 xml:space="preserve">id </w:t>
      </w:r>
      <w:r w:rsidRPr="00BD7CE5">
        <w:rPr>
          <w:color w:val="000000" w:themeColor="text1"/>
          <w:sz w:val="16"/>
          <w:szCs w:val="16"/>
        </w:rPr>
        <w:t>at</w:t>
      </w:r>
      <w:r w:rsidRPr="00BD7CE5">
        <w:rPr>
          <w:i/>
          <w:iCs/>
          <w:color w:val="000000" w:themeColor="text1"/>
          <w:sz w:val="16"/>
          <w:szCs w:val="16"/>
        </w:rPr>
        <w:t xml:space="preserve"> </w:t>
      </w:r>
      <w:r w:rsidRPr="00BD7CE5">
        <w:rPr>
          <w:color w:val="000000" w:themeColor="text1"/>
          <w:sz w:val="16"/>
          <w:szCs w:val="16"/>
        </w:rPr>
        <w:t>p 327.</w:t>
      </w:r>
    </w:p>
  </w:footnote>
  <w:footnote w:id="23">
    <w:p w14:paraId="532C84C8" w14:textId="70F33CCB" w:rsidR="00F15EA1" w:rsidRPr="00BD7CE5" w:rsidRDefault="00F15EA1"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FE6443" w:rsidRPr="00BD7CE5">
        <w:rPr>
          <w:bCs/>
          <w:color w:val="000000" w:themeColor="text1"/>
          <w:sz w:val="16"/>
          <w:szCs w:val="16"/>
        </w:rPr>
        <w:t xml:space="preserve">Bentham’s written work on this topic has hardly been studied in England and thus seldomly published. </w:t>
      </w:r>
      <w:r w:rsidRPr="00BD7CE5">
        <w:rPr>
          <w:color w:val="000000" w:themeColor="text1"/>
          <w:sz w:val="16"/>
          <w:szCs w:val="16"/>
        </w:rPr>
        <w:t xml:space="preserve">L Campos </w:t>
      </w:r>
      <w:proofErr w:type="spellStart"/>
      <w:r w:rsidRPr="00BD7CE5">
        <w:rPr>
          <w:color w:val="000000" w:themeColor="text1"/>
          <w:sz w:val="16"/>
          <w:szCs w:val="16"/>
        </w:rPr>
        <w:t>Boralevi</w:t>
      </w:r>
      <w:proofErr w:type="spellEnd"/>
      <w:r w:rsidRPr="00BD7CE5">
        <w:rPr>
          <w:color w:val="000000" w:themeColor="text1"/>
          <w:sz w:val="16"/>
          <w:szCs w:val="16"/>
        </w:rPr>
        <w:t xml:space="preserve"> “Jeremy Bentham’s Writings on Sexual Non-Conformity: Utilitarianism, neo-Malthusianism, and Sexual Liberty” (1983) 2 TOPOI 123, </w:t>
      </w:r>
      <w:r w:rsidRPr="00BD7CE5">
        <w:rPr>
          <w:bCs/>
          <w:color w:val="000000" w:themeColor="text1"/>
          <w:sz w:val="16"/>
          <w:szCs w:val="16"/>
        </w:rPr>
        <w:t>124</w:t>
      </w:r>
    </w:p>
  </w:footnote>
  <w:footnote w:id="24">
    <w:p w14:paraId="17B8200B" w14:textId="142A5B24" w:rsidR="0022049F" w:rsidRPr="00BD7CE5" w:rsidRDefault="0022049F" w:rsidP="0022049F">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p.46-7.</w:t>
      </w:r>
    </w:p>
  </w:footnote>
  <w:footnote w:id="25">
    <w:p w14:paraId="21CD303C" w14:textId="74D055CD" w:rsidR="000A455F" w:rsidRPr="00BD7CE5" w:rsidRDefault="000A455F" w:rsidP="00AF4D89">
      <w:pPr>
        <w:pStyle w:val="FootnoteText"/>
        <w:jc w:val="both"/>
        <w:rPr>
          <w:color w:val="000000" w:themeColor="text1"/>
          <w:sz w:val="16"/>
          <w:szCs w:val="16"/>
          <w:lang w:val="en-US"/>
        </w:rPr>
      </w:pPr>
      <w:r w:rsidRPr="00BD7CE5">
        <w:rPr>
          <w:rStyle w:val="FootnoteReference"/>
          <w:color w:val="000000" w:themeColor="text1"/>
          <w:sz w:val="16"/>
          <w:szCs w:val="16"/>
          <w:lang w:val="en-US"/>
        </w:rPr>
        <w:footnoteRef/>
      </w:r>
      <w:r w:rsidRPr="00BD7CE5">
        <w:rPr>
          <w:color w:val="000000" w:themeColor="text1"/>
          <w:sz w:val="16"/>
          <w:szCs w:val="16"/>
          <w:lang w:val="en-US"/>
        </w:rPr>
        <w:t xml:space="preserve"> </w:t>
      </w:r>
      <w:r w:rsidR="00FE6443" w:rsidRPr="00BD7CE5">
        <w:rPr>
          <w:bCs/>
          <w:i/>
          <w:iCs/>
          <w:color w:val="000000" w:themeColor="text1"/>
          <w:sz w:val="16"/>
          <w:szCs w:val="16"/>
          <w:lang w:val="en-US"/>
        </w:rPr>
        <w:t>See</w:t>
      </w:r>
      <w:r w:rsidR="00FE6443" w:rsidRPr="00BD7CE5">
        <w:rPr>
          <w:bCs/>
          <w:color w:val="000000" w:themeColor="text1"/>
          <w:sz w:val="16"/>
          <w:szCs w:val="16"/>
          <w:lang w:val="en-US"/>
        </w:rPr>
        <w:t xml:space="preserve"> </w:t>
      </w:r>
      <w:r w:rsidRPr="00BD7CE5">
        <w:rPr>
          <w:color w:val="000000" w:themeColor="text1"/>
          <w:sz w:val="16"/>
          <w:szCs w:val="16"/>
          <w:lang w:val="en-US"/>
        </w:rPr>
        <w:t xml:space="preserve">E Han and J O'Mahoney ‘British Colonialism and the </w:t>
      </w:r>
      <w:proofErr w:type="spellStart"/>
      <w:r w:rsidRPr="00BD7CE5">
        <w:rPr>
          <w:color w:val="000000" w:themeColor="text1"/>
          <w:sz w:val="16"/>
          <w:szCs w:val="16"/>
          <w:lang w:val="en-US"/>
        </w:rPr>
        <w:t>Criminalisation</w:t>
      </w:r>
      <w:proofErr w:type="spellEnd"/>
      <w:r w:rsidRPr="00BD7CE5">
        <w:rPr>
          <w:color w:val="000000" w:themeColor="text1"/>
          <w:sz w:val="16"/>
          <w:szCs w:val="16"/>
          <w:lang w:val="en-US"/>
        </w:rPr>
        <w:t xml:space="preserve"> of Homosexuality" (2014) 27 (2) Cambridge Review of International Affairs 268</w:t>
      </w:r>
      <w:r w:rsidR="00EF663F" w:rsidRPr="00BD7CE5">
        <w:rPr>
          <w:color w:val="000000" w:themeColor="text1"/>
          <w:sz w:val="16"/>
          <w:szCs w:val="16"/>
          <w:lang w:val="en-US"/>
        </w:rPr>
        <w:t xml:space="preserve"> (showing that </w:t>
      </w:r>
      <w:r w:rsidR="00EF663F" w:rsidRPr="00BD7CE5">
        <w:rPr>
          <w:bCs/>
          <w:color w:val="000000" w:themeColor="text1"/>
          <w:sz w:val="16"/>
          <w:szCs w:val="16"/>
          <w:lang w:val="en-US"/>
        </w:rPr>
        <w:t>data from 185 countries support</w:t>
      </w:r>
      <w:r w:rsidR="00E72B90" w:rsidRPr="00BD7CE5">
        <w:rPr>
          <w:bCs/>
          <w:color w:val="000000" w:themeColor="text1"/>
          <w:sz w:val="16"/>
          <w:szCs w:val="16"/>
          <w:lang w:val="en-US"/>
        </w:rPr>
        <w:t>ing</w:t>
      </w:r>
      <w:r w:rsidR="00EF663F" w:rsidRPr="00BD7CE5">
        <w:rPr>
          <w:bCs/>
          <w:color w:val="000000" w:themeColor="text1"/>
          <w:sz w:val="16"/>
          <w:szCs w:val="16"/>
          <w:lang w:val="en-US"/>
        </w:rPr>
        <w:t xml:space="preserve"> the conclusion that former British colonies are more likely to include offences that </w:t>
      </w:r>
      <w:proofErr w:type="spellStart"/>
      <w:r w:rsidR="00EF663F" w:rsidRPr="00BD7CE5">
        <w:rPr>
          <w:bCs/>
          <w:color w:val="000000" w:themeColor="text1"/>
          <w:sz w:val="16"/>
          <w:szCs w:val="16"/>
          <w:lang w:val="en-US"/>
        </w:rPr>
        <w:t>criminalise</w:t>
      </w:r>
      <w:proofErr w:type="spellEnd"/>
      <w:r w:rsidR="00EF663F" w:rsidRPr="00BD7CE5">
        <w:rPr>
          <w:bCs/>
          <w:color w:val="000000" w:themeColor="text1"/>
          <w:sz w:val="16"/>
          <w:szCs w:val="16"/>
          <w:lang w:val="en-US"/>
        </w:rPr>
        <w:t xml:space="preserve"> </w:t>
      </w:r>
      <w:r w:rsidR="00E72B90" w:rsidRPr="00BD7CE5">
        <w:rPr>
          <w:bCs/>
          <w:color w:val="000000" w:themeColor="text1"/>
          <w:sz w:val="16"/>
          <w:szCs w:val="16"/>
          <w:lang w:val="en-US"/>
        </w:rPr>
        <w:t>sex</w:t>
      </w:r>
      <w:r w:rsidR="00EF663F" w:rsidRPr="00BD7CE5">
        <w:rPr>
          <w:bCs/>
          <w:color w:val="000000" w:themeColor="text1"/>
          <w:sz w:val="16"/>
          <w:szCs w:val="16"/>
          <w:lang w:val="en-US"/>
        </w:rPr>
        <w:t xml:space="preserve"> between two consenting adults of the same sex, than former colonies of</w:t>
      </w:r>
      <w:r w:rsidR="00E72B90" w:rsidRPr="00BD7CE5">
        <w:rPr>
          <w:bCs/>
          <w:color w:val="000000" w:themeColor="text1"/>
          <w:sz w:val="16"/>
          <w:szCs w:val="16"/>
          <w:lang w:val="en-US"/>
        </w:rPr>
        <w:t xml:space="preserve"> </w:t>
      </w:r>
      <w:r w:rsidR="00EF663F" w:rsidRPr="00BD7CE5">
        <w:rPr>
          <w:bCs/>
          <w:color w:val="000000" w:themeColor="text1"/>
          <w:sz w:val="16"/>
          <w:szCs w:val="16"/>
          <w:lang w:val="en-US"/>
        </w:rPr>
        <w:t>other power).</w:t>
      </w:r>
    </w:p>
  </w:footnote>
  <w:footnote w:id="26">
    <w:p w14:paraId="57A0B2C9" w14:textId="48CAE8B3"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The </w:t>
      </w:r>
      <w:proofErr w:type="spellStart"/>
      <w:r w:rsidRPr="00BD7CE5">
        <w:rPr>
          <w:color w:val="000000" w:themeColor="text1"/>
          <w:sz w:val="16"/>
          <w:szCs w:val="16"/>
        </w:rPr>
        <w:t>IACtHR</w:t>
      </w:r>
      <w:proofErr w:type="spellEnd"/>
      <w:r w:rsidRPr="00BD7CE5">
        <w:rPr>
          <w:color w:val="000000" w:themeColor="text1"/>
          <w:sz w:val="16"/>
          <w:szCs w:val="16"/>
        </w:rPr>
        <w:t xml:space="preserve"> has not been asked to address the conventionality of anti-sodomy laws but has determined that the Convention requires same-sex marriage. </w:t>
      </w:r>
      <w:r w:rsidRPr="00BD7CE5">
        <w:rPr>
          <w:i/>
          <w:iCs/>
          <w:color w:val="000000" w:themeColor="text1"/>
          <w:sz w:val="16"/>
          <w:szCs w:val="16"/>
        </w:rPr>
        <w:t>See</w:t>
      </w:r>
      <w:r w:rsidRPr="00BD7CE5">
        <w:rPr>
          <w:color w:val="000000" w:themeColor="text1"/>
          <w:sz w:val="16"/>
          <w:szCs w:val="16"/>
        </w:rPr>
        <w:t xml:space="preserve"> Advisory Opinion OC-24/17, Inter-Am. Ct. H.R. (ser. A) No. 24 (24 November 2017).</w:t>
      </w:r>
    </w:p>
  </w:footnote>
  <w:footnote w:id="27">
    <w:p w14:paraId="5B452AB4" w14:textId="75EE2278"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In Canada, the Civil Marriage Act – 20 July 2005 and in Cuba the Civil Code reform – </w:t>
      </w:r>
      <w:r w:rsidRPr="00BD7CE5">
        <w:rPr>
          <w:i/>
          <w:iCs/>
          <w:color w:val="000000" w:themeColor="text1"/>
          <w:sz w:val="16"/>
          <w:szCs w:val="16"/>
        </w:rPr>
        <w:t>see</w:t>
      </w:r>
      <w:r w:rsidRPr="00BD7CE5">
        <w:rPr>
          <w:color w:val="000000" w:themeColor="text1"/>
          <w:sz w:val="16"/>
          <w:szCs w:val="16"/>
        </w:rPr>
        <w:t xml:space="preserve"> </w:t>
      </w:r>
      <w:proofErr w:type="spellStart"/>
      <w:r w:rsidRPr="00BD7CE5">
        <w:rPr>
          <w:i/>
          <w:iCs/>
          <w:color w:val="000000" w:themeColor="text1"/>
          <w:sz w:val="16"/>
          <w:szCs w:val="16"/>
        </w:rPr>
        <w:t>Gaceta</w:t>
      </w:r>
      <w:proofErr w:type="spellEnd"/>
      <w:r w:rsidRPr="00BD7CE5">
        <w:rPr>
          <w:i/>
          <w:iCs/>
          <w:color w:val="000000" w:themeColor="text1"/>
          <w:sz w:val="16"/>
          <w:szCs w:val="16"/>
        </w:rPr>
        <w:t xml:space="preserve"> </w:t>
      </w:r>
      <w:proofErr w:type="spellStart"/>
      <w:r w:rsidRPr="00BD7CE5">
        <w:rPr>
          <w:i/>
          <w:iCs/>
          <w:color w:val="000000" w:themeColor="text1"/>
          <w:sz w:val="16"/>
          <w:szCs w:val="16"/>
        </w:rPr>
        <w:t>Oficial</w:t>
      </w:r>
      <w:proofErr w:type="spellEnd"/>
      <w:r w:rsidRPr="00BD7CE5">
        <w:rPr>
          <w:i/>
          <w:iCs/>
          <w:color w:val="000000" w:themeColor="text1"/>
          <w:sz w:val="16"/>
          <w:szCs w:val="16"/>
        </w:rPr>
        <w:t xml:space="preserve"> de la República de Cuba</w:t>
      </w:r>
      <w:r w:rsidRPr="00BD7CE5">
        <w:rPr>
          <w:color w:val="000000" w:themeColor="text1"/>
          <w:sz w:val="16"/>
          <w:szCs w:val="16"/>
        </w:rPr>
        <w:t xml:space="preserve">, </w:t>
      </w:r>
      <w:proofErr w:type="spellStart"/>
      <w:r w:rsidRPr="00BD7CE5">
        <w:rPr>
          <w:color w:val="000000" w:themeColor="text1"/>
          <w:sz w:val="16"/>
          <w:szCs w:val="16"/>
        </w:rPr>
        <w:t>Minsiterio</w:t>
      </w:r>
      <w:proofErr w:type="spellEnd"/>
      <w:r w:rsidRPr="00BD7CE5">
        <w:rPr>
          <w:color w:val="000000" w:themeColor="text1"/>
          <w:sz w:val="16"/>
          <w:szCs w:val="16"/>
        </w:rPr>
        <w:t xml:space="preserve"> de Justicia, </w:t>
      </w:r>
      <w:proofErr w:type="gramStart"/>
      <w:r w:rsidRPr="00BD7CE5">
        <w:rPr>
          <w:color w:val="000000" w:themeColor="text1"/>
          <w:sz w:val="16"/>
          <w:szCs w:val="16"/>
        </w:rPr>
        <w:t>No</w:t>
      </w:r>
      <w:proofErr w:type="gramEnd"/>
      <w:r w:rsidRPr="00BD7CE5">
        <w:rPr>
          <w:color w:val="000000" w:themeColor="text1"/>
          <w:sz w:val="16"/>
          <w:szCs w:val="16"/>
        </w:rPr>
        <w:t xml:space="preserve"> 4 (</w:t>
      </w:r>
      <w:proofErr w:type="spellStart"/>
      <w:r w:rsidRPr="00BD7CE5">
        <w:rPr>
          <w:color w:val="000000" w:themeColor="text1"/>
          <w:sz w:val="16"/>
          <w:szCs w:val="16"/>
        </w:rPr>
        <w:t>Extraordinaria</w:t>
      </w:r>
      <w:proofErr w:type="spellEnd"/>
      <w:r w:rsidRPr="00BD7CE5">
        <w:rPr>
          <w:color w:val="000000" w:themeColor="text1"/>
          <w:sz w:val="16"/>
          <w:szCs w:val="16"/>
        </w:rPr>
        <w:t>) 12 January 2022) –</w:t>
      </w:r>
      <w:r w:rsidR="001224DD" w:rsidRPr="00BD7CE5">
        <w:rPr>
          <w:color w:val="000000" w:themeColor="text1"/>
          <w:sz w:val="16"/>
          <w:szCs w:val="16"/>
        </w:rPr>
        <w:t xml:space="preserve"> </w:t>
      </w:r>
      <w:r w:rsidRPr="00BD7CE5">
        <w:rPr>
          <w:color w:val="000000" w:themeColor="text1"/>
          <w:sz w:val="16"/>
          <w:szCs w:val="16"/>
        </w:rPr>
        <w:t xml:space="preserve">approved by referendum came into effect in September 2022.  The Supreme Court in the USA held that the constitution requires marriage to be open to same-sex couples in </w:t>
      </w:r>
      <w:r w:rsidRPr="00BD7CE5">
        <w:rPr>
          <w:i/>
          <w:iCs/>
          <w:color w:val="000000" w:themeColor="text1"/>
          <w:sz w:val="16"/>
          <w:szCs w:val="16"/>
        </w:rPr>
        <w:t>Obergefell et al v Hodges</w:t>
      </w:r>
      <w:r w:rsidRPr="00BD7CE5">
        <w:rPr>
          <w:color w:val="000000" w:themeColor="text1"/>
          <w:sz w:val="16"/>
          <w:szCs w:val="16"/>
        </w:rPr>
        <w:t xml:space="preserve"> 576 US 644 (2015). </w:t>
      </w:r>
    </w:p>
  </w:footnote>
  <w:footnote w:id="28">
    <w:p w14:paraId="0FF069EC" w14:textId="3D7906D2"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Bahamas is the only anglophone country in the Caribbean that decriminalised </w:t>
      </w:r>
      <w:r w:rsidR="001224DD" w:rsidRPr="00BD7CE5">
        <w:rPr>
          <w:color w:val="000000" w:themeColor="text1"/>
          <w:sz w:val="16"/>
          <w:szCs w:val="16"/>
        </w:rPr>
        <w:t xml:space="preserve">through legislation. </w:t>
      </w:r>
      <w:r w:rsidR="001224DD" w:rsidRPr="00BD7CE5">
        <w:rPr>
          <w:i/>
          <w:iCs/>
          <w:color w:val="000000" w:themeColor="text1"/>
          <w:sz w:val="16"/>
          <w:szCs w:val="16"/>
        </w:rPr>
        <w:t>See</w:t>
      </w:r>
      <w:r w:rsidR="001224DD" w:rsidRPr="00BD7CE5">
        <w:rPr>
          <w:color w:val="000000" w:themeColor="text1"/>
          <w:sz w:val="16"/>
          <w:szCs w:val="16"/>
        </w:rPr>
        <w:t xml:space="preserve"> </w:t>
      </w:r>
      <w:r w:rsidRPr="00BD7CE5">
        <w:rPr>
          <w:color w:val="000000" w:themeColor="text1"/>
          <w:sz w:val="16"/>
          <w:szCs w:val="16"/>
        </w:rPr>
        <w:t xml:space="preserve">Sexual Offences Act 1991 (Bahamas). </w:t>
      </w:r>
    </w:p>
  </w:footnote>
  <w:footnote w:id="29">
    <w:p w14:paraId="0351E296" w14:textId="50F1481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color w:val="000000" w:themeColor="text1"/>
          <w:sz w:val="16"/>
          <w:szCs w:val="16"/>
          <w:lang w:val="en-SG"/>
        </w:rPr>
        <w:t xml:space="preserve">See </w:t>
      </w:r>
      <w:r w:rsidRPr="00BD7CE5">
        <w:rPr>
          <w:i/>
          <w:iCs/>
          <w:color w:val="000000" w:themeColor="text1"/>
          <w:sz w:val="16"/>
          <w:szCs w:val="16"/>
          <w:lang w:val="en-SG"/>
        </w:rPr>
        <w:t xml:space="preserve">Caleb Orozco v AG of Belize – </w:t>
      </w:r>
      <w:r w:rsidRPr="00BD7CE5">
        <w:rPr>
          <w:color w:val="000000" w:themeColor="text1"/>
          <w:sz w:val="16"/>
          <w:szCs w:val="16"/>
          <w:lang w:val="en-SG"/>
        </w:rPr>
        <w:t xml:space="preserve">Claim No.668 of 2010 of 10 August 2016, upheld by its court of appeal in a unanimous decision on 30 December 2019 - </w:t>
      </w:r>
      <w:r w:rsidRPr="00BD7CE5">
        <w:rPr>
          <w:i/>
          <w:iCs/>
          <w:color w:val="000000" w:themeColor="text1"/>
          <w:sz w:val="16"/>
          <w:szCs w:val="16"/>
          <w:lang w:val="en-SG"/>
        </w:rPr>
        <w:t xml:space="preserve">AG of Belize v Caleb Orozco – </w:t>
      </w:r>
      <w:r w:rsidRPr="00BD7CE5">
        <w:rPr>
          <w:color w:val="000000" w:themeColor="text1"/>
          <w:sz w:val="16"/>
          <w:szCs w:val="16"/>
          <w:lang w:val="en-SG"/>
        </w:rPr>
        <w:t>Civil Appeal No 32 of 2016).</w:t>
      </w:r>
    </w:p>
  </w:footnote>
  <w:footnote w:id="30">
    <w:p w14:paraId="00B0C93B" w14:textId="1E97D3DF"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See</w:t>
      </w:r>
      <w:r w:rsidRPr="00BD7CE5">
        <w:rPr>
          <w:color w:val="000000" w:themeColor="text1"/>
          <w:sz w:val="16"/>
          <w:szCs w:val="16"/>
          <w:lang w:val="en-SG"/>
        </w:rPr>
        <w:t xml:space="preserve"> </w:t>
      </w:r>
      <w:r w:rsidRPr="00BD7CE5">
        <w:rPr>
          <w:i/>
          <w:iCs/>
          <w:color w:val="000000" w:themeColor="text1"/>
          <w:sz w:val="16"/>
          <w:szCs w:val="16"/>
          <w:lang w:val="en-SG"/>
        </w:rPr>
        <w:t>Jason Jones v AG of Trinidad and Tobago</w:t>
      </w:r>
      <w:r w:rsidRPr="00BD7CE5">
        <w:rPr>
          <w:color w:val="000000" w:themeColor="text1"/>
          <w:sz w:val="16"/>
          <w:szCs w:val="16"/>
          <w:lang w:val="en-SG"/>
        </w:rPr>
        <w:t>—Claim No.CV2017-00720), but an appeal filed by the government is still pending.</w:t>
      </w:r>
    </w:p>
  </w:footnote>
  <w:footnote w:id="31">
    <w:p w14:paraId="4DF0E604" w14:textId="4E169019"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See</w:t>
      </w:r>
      <w:r w:rsidRPr="00BD7CE5">
        <w:rPr>
          <w:color w:val="000000" w:themeColor="text1"/>
          <w:sz w:val="16"/>
          <w:szCs w:val="16"/>
        </w:rPr>
        <w:t xml:space="preserve"> </w:t>
      </w:r>
      <w:r w:rsidRPr="00BD7CE5">
        <w:rPr>
          <w:i/>
          <w:iCs/>
          <w:color w:val="000000" w:themeColor="text1"/>
          <w:sz w:val="16"/>
          <w:szCs w:val="16"/>
        </w:rPr>
        <w:t>Orden David v AG</w:t>
      </w:r>
      <w:r w:rsidRPr="00BD7CE5">
        <w:rPr>
          <w:color w:val="000000" w:themeColor="text1"/>
          <w:sz w:val="16"/>
          <w:szCs w:val="16"/>
        </w:rPr>
        <w:t xml:space="preserve"> – Claim</w:t>
      </w:r>
      <w:r w:rsidRPr="00BD7CE5">
        <w:rPr>
          <w:color w:val="000000" w:themeColor="text1"/>
          <w:sz w:val="16"/>
          <w:szCs w:val="16"/>
          <w:lang w:val="en-SG"/>
        </w:rPr>
        <w:t xml:space="preserve"> </w:t>
      </w:r>
      <w:proofErr w:type="gramStart"/>
      <w:r w:rsidRPr="00BD7CE5">
        <w:rPr>
          <w:color w:val="000000" w:themeColor="text1"/>
          <w:sz w:val="16"/>
          <w:szCs w:val="16"/>
        </w:rPr>
        <w:t>No.ANUHCV</w:t>
      </w:r>
      <w:proofErr w:type="gramEnd"/>
      <w:r w:rsidRPr="00BD7CE5">
        <w:rPr>
          <w:color w:val="000000" w:themeColor="text1"/>
          <w:sz w:val="16"/>
          <w:szCs w:val="16"/>
        </w:rPr>
        <w:t>2021/0042 (5 July 2022) (unreported)</w:t>
      </w:r>
    </w:p>
  </w:footnote>
  <w:footnote w:id="32">
    <w:p w14:paraId="4931F1EC" w14:textId="7095D105"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See</w:t>
      </w:r>
      <w:r w:rsidRPr="00BD7CE5">
        <w:rPr>
          <w:color w:val="000000" w:themeColor="text1"/>
          <w:sz w:val="16"/>
          <w:szCs w:val="16"/>
        </w:rPr>
        <w:t xml:space="preserve"> </w:t>
      </w:r>
      <w:r w:rsidRPr="00BD7CE5">
        <w:rPr>
          <w:i/>
          <w:iCs/>
          <w:color w:val="000000" w:themeColor="text1"/>
          <w:sz w:val="16"/>
          <w:szCs w:val="16"/>
        </w:rPr>
        <w:t>Jamal Jeffers</w:t>
      </w:r>
      <w:r w:rsidRPr="00BD7CE5">
        <w:rPr>
          <w:i/>
          <w:iCs/>
          <w:color w:val="000000" w:themeColor="text1"/>
          <w:sz w:val="16"/>
          <w:szCs w:val="16"/>
          <w:lang w:val="en-SG"/>
        </w:rPr>
        <w:t xml:space="preserve"> </w:t>
      </w:r>
      <w:r w:rsidRPr="00BD7CE5">
        <w:rPr>
          <w:i/>
          <w:iCs/>
          <w:color w:val="000000" w:themeColor="text1"/>
          <w:sz w:val="16"/>
          <w:szCs w:val="16"/>
        </w:rPr>
        <w:t>et al v The Attorney General Of St. Christopher And Nevis</w:t>
      </w:r>
      <w:r w:rsidRPr="00BD7CE5">
        <w:rPr>
          <w:color w:val="000000" w:themeColor="text1"/>
          <w:sz w:val="16"/>
          <w:szCs w:val="16"/>
        </w:rPr>
        <w:t xml:space="preserve"> – Claim </w:t>
      </w:r>
      <w:proofErr w:type="gramStart"/>
      <w:r w:rsidRPr="00BD7CE5">
        <w:rPr>
          <w:color w:val="000000" w:themeColor="text1"/>
          <w:sz w:val="16"/>
          <w:szCs w:val="16"/>
        </w:rPr>
        <w:t>No.SKBHCV</w:t>
      </w:r>
      <w:proofErr w:type="gramEnd"/>
      <w:r w:rsidRPr="00BD7CE5">
        <w:rPr>
          <w:color w:val="000000" w:themeColor="text1"/>
          <w:sz w:val="16"/>
          <w:szCs w:val="16"/>
        </w:rPr>
        <w:t>2021/0013, (29 August 2022) (unreported)</w:t>
      </w:r>
    </w:p>
  </w:footnote>
  <w:footnote w:id="33">
    <w:p w14:paraId="0E0F8967" w14:textId="027DAE52"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The High Court of Barbados delivered oral judgment on 13 December 2022 – written decision pending</w:t>
      </w:r>
      <w:r w:rsidR="00FE14C0" w:rsidRPr="00BD7CE5">
        <w:rPr>
          <w:color w:val="000000" w:themeColor="text1"/>
          <w:sz w:val="16"/>
          <w:szCs w:val="16"/>
        </w:rPr>
        <w:t xml:space="preserve"> still unreported</w:t>
      </w:r>
      <w:r w:rsidRPr="00BD7CE5">
        <w:rPr>
          <w:color w:val="000000" w:themeColor="text1"/>
          <w:sz w:val="16"/>
          <w:szCs w:val="16"/>
        </w:rPr>
        <w:t>.</w:t>
      </w:r>
    </w:p>
  </w:footnote>
  <w:footnote w:id="34">
    <w:p w14:paraId="62DBC686" w14:textId="69187E5F"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3F6656" w:rsidRPr="00BD7CE5">
        <w:rPr>
          <w:sz w:val="16"/>
          <w:szCs w:val="16"/>
        </w:rPr>
        <w:t>N</w:t>
      </w:r>
      <w:r w:rsidR="003F6656" w:rsidRPr="00BD7CE5">
        <w:rPr>
          <w:sz w:val="16"/>
          <w:szCs w:val="16"/>
        </w:rPr>
        <w:t xml:space="preserve">one of </w:t>
      </w:r>
      <w:r w:rsidR="003F6656" w:rsidRPr="00BD7CE5">
        <w:rPr>
          <w:sz w:val="16"/>
          <w:szCs w:val="16"/>
        </w:rPr>
        <w:t>these nations</w:t>
      </w:r>
      <w:r w:rsidR="003F6656" w:rsidRPr="00BD7CE5">
        <w:rPr>
          <w:sz w:val="16"/>
          <w:szCs w:val="16"/>
        </w:rPr>
        <w:t xml:space="preserve"> </w:t>
      </w:r>
      <w:r w:rsidR="008168F9">
        <w:rPr>
          <w:sz w:val="16"/>
          <w:szCs w:val="16"/>
        </w:rPr>
        <w:t xml:space="preserve">currently </w:t>
      </w:r>
      <w:r w:rsidR="003F6656" w:rsidRPr="00BD7CE5">
        <w:rPr>
          <w:sz w:val="16"/>
          <w:szCs w:val="16"/>
        </w:rPr>
        <w:t xml:space="preserve">accept the jurisdiction of the </w:t>
      </w:r>
      <w:proofErr w:type="spellStart"/>
      <w:r w:rsidR="003F6656" w:rsidRPr="00BD7CE5">
        <w:rPr>
          <w:sz w:val="16"/>
          <w:szCs w:val="16"/>
        </w:rPr>
        <w:t>IACtHR</w:t>
      </w:r>
      <w:proofErr w:type="spellEnd"/>
      <w:r w:rsidR="003F6656" w:rsidRPr="00BD7CE5">
        <w:rPr>
          <w:sz w:val="16"/>
          <w:szCs w:val="16"/>
        </w:rPr>
        <w:t>, th</w:t>
      </w:r>
      <w:r w:rsidR="003D3670" w:rsidRPr="00BD7CE5">
        <w:rPr>
          <w:sz w:val="16"/>
          <w:szCs w:val="16"/>
        </w:rPr>
        <w:t xml:space="preserve">us </w:t>
      </w:r>
      <w:r w:rsidR="003F6656" w:rsidRPr="00BD7CE5">
        <w:rPr>
          <w:sz w:val="16"/>
          <w:szCs w:val="16"/>
        </w:rPr>
        <w:t>JCPC</w:t>
      </w:r>
      <w:r w:rsidR="003D3670" w:rsidRPr="00BD7CE5">
        <w:rPr>
          <w:sz w:val="16"/>
          <w:szCs w:val="16"/>
        </w:rPr>
        <w:t>’s decisions for them</w:t>
      </w:r>
      <w:r w:rsidR="003F6656" w:rsidRPr="00BD7CE5">
        <w:rPr>
          <w:sz w:val="16"/>
          <w:szCs w:val="16"/>
        </w:rPr>
        <w:t xml:space="preserve"> are final</w:t>
      </w:r>
      <w:r w:rsidR="003D3670" w:rsidRPr="00BD7CE5">
        <w:rPr>
          <w:sz w:val="16"/>
          <w:szCs w:val="16"/>
        </w:rPr>
        <w:t>.</w:t>
      </w:r>
      <w:r w:rsidR="003F6656" w:rsidRPr="00BD7CE5">
        <w:rPr>
          <w:color w:val="000000" w:themeColor="text1"/>
          <w:sz w:val="16"/>
          <w:szCs w:val="16"/>
        </w:rPr>
        <w:t xml:space="preserve"> </w:t>
      </w:r>
      <w:r w:rsidRPr="00BD7CE5">
        <w:rPr>
          <w:color w:val="000000" w:themeColor="text1"/>
          <w:sz w:val="16"/>
          <w:szCs w:val="16"/>
        </w:rPr>
        <w:t xml:space="preserve">The JCPC remains the apex court for the UK </w:t>
      </w:r>
      <w:r w:rsidR="003D3670" w:rsidRPr="00BD7CE5">
        <w:rPr>
          <w:color w:val="000000" w:themeColor="text1"/>
          <w:sz w:val="16"/>
          <w:szCs w:val="16"/>
        </w:rPr>
        <w:t>Caribbean Territories (see fn.1 above) to which the UK has extended the European Convention on Human Rights</w:t>
      </w:r>
      <w:r w:rsidR="00584F7B" w:rsidRPr="00BD7CE5">
        <w:rPr>
          <w:color w:val="000000" w:themeColor="text1"/>
          <w:sz w:val="16"/>
          <w:szCs w:val="16"/>
        </w:rPr>
        <w:t xml:space="preserve"> (“</w:t>
      </w:r>
      <w:r w:rsidR="00584F7B" w:rsidRPr="00BD7CE5">
        <w:rPr>
          <w:b/>
          <w:bCs/>
          <w:color w:val="000000" w:themeColor="text1"/>
          <w:sz w:val="16"/>
          <w:szCs w:val="16"/>
        </w:rPr>
        <w:t>ECHR</w:t>
      </w:r>
      <w:r w:rsidR="00584F7B" w:rsidRPr="00BD7CE5">
        <w:rPr>
          <w:color w:val="000000" w:themeColor="text1"/>
          <w:sz w:val="16"/>
          <w:szCs w:val="16"/>
        </w:rPr>
        <w:t>”)</w:t>
      </w:r>
      <w:r w:rsidR="003D3670" w:rsidRPr="00BD7CE5">
        <w:rPr>
          <w:color w:val="000000" w:themeColor="text1"/>
          <w:sz w:val="16"/>
          <w:szCs w:val="16"/>
        </w:rPr>
        <w:t>, hence there is a final recourse to the European Court of Human Rights from the JCPC’s decisions for them.</w:t>
      </w:r>
    </w:p>
  </w:footnote>
  <w:footnote w:id="35">
    <w:p w14:paraId="070091E7" w14:textId="2F17B21D"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bCs/>
          <w:i/>
          <w:iCs/>
          <w:color w:val="000000" w:themeColor="text1"/>
          <w:sz w:val="16"/>
          <w:szCs w:val="16"/>
        </w:rPr>
        <w:t xml:space="preserve">Surratt v Trinidad and Tobago </w:t>
      </w:r>
      <w:r w:rsidRPr="00BD7CE5">
        <w:rPr>
          <w:bCs/>
          <w:color w:val="000000" w:themeColor="text1"/>
          <w:sz w:val="16"/>
          <w:szCs w:val="16"/>
        </w:rPr>
        <w:t>[2007] UKPC 55.</w:t>
      </w:r>
    </w:p>
  </w:footnote>
  <w:footnote w:id="36">
    <w:p w14:paraId="48167F8B" w14:textId="4679918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AG of Bermuda v Roderick Ferguson</w:t>
      </w:r>
      <w:r w:rsidRPr="00BD7CE5">
        <w:rPr>
          <w:color w:val="000000" w:themeColor="text1"/>
          <w:sz w:val="16"/>
          <w:szCs w:val="16"/>
        </w:rPr>
        <w:t xml:space="preserve"> [2022] UKPC 5</w:t>
      </w:r>
      <w:r w:rsidR="009F25D1" w:rsidRPr="00BD7CE5">
        <w:rPr>
          <w:color w:val="000000" w:themeColor="text1"/>
          <w:sz w:val="16"/>
          <w:szCs w:val="16"/>
        </w:rPr>
        <w:t>.</w:t>
      </w:r>
    </w:p>
  </w:footnote>
  <w:footnote w:id="37">
    <w:p w14:paraId="1AFFE774" w14:textId="40D138CB"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color w:val="000000" w:themeColor="text1"/>
          <w:sz w:val="16"/>
          <w:szCs w:val="16"/>
        </w:rPr>
        <w:t>Chantelle Day at al v The Governor of the Cayman Islands et al</w:t>
      </w:r>
      <w:r w:rsidRPr="00BD7CE5">
        <w:rPr>
          <w:iCs/>
          <w:color w:val="000000" w:themeColor="text1"/>
          <w:sz w:val="16"/>
          <w:szCs w:val="16"/>
        </w:rPr>
        <w:t xml:space="preserve"> </w:t>
      </w:r>
      <w:r w:rsidRPr="00BD7CE5">
        <w:rPr>
          <w:color w:val="000000" w:themeColor="text1"/>
          <w:sz w:val="16"/>
          <w:szCs w:val="16"/>
        </w:rPr>
        <w:t>[2022] UKPC 6</w:t>
      </w:r>
      <w:r w:rsidR="009F25D1" w:rsidRPr="00BD7CE5">
        <w:rPr>
          <w:color w:val="000000" w:themeColor="text1"/>
          <w:sz w:val="16"/>
          <w:szCs w:val="16"/>
        </w:rPr>
        <w:t>.</w:t>
      </w:r>
    </w:p>
  </w:footnote>
  <w:footnote w:id="38">
    <w:p w14:paraId="643A3BAE" w14:textId="357C9F89"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color w:val="000000" w:themeColor="text1"/>
          <w:sz w:val="16"/>
          <w:szCs w:val="16"/>
        </w:rPr>
        <w:t>Chandler v The State No 2 (Trinidad and Tobago)</w:t>
      </w:r>
      <w:r w:rsidRPr="00BD7CE5">
        <w:rPr>
          <w:color w:val="000000" w:themeColor="text1"/>
          <w:sz w:val="16"/>
          <w:szCs w:val="16"/>
        </w:rPr>
        <w:t xml:space="preserve"> [2022] UKPC 19</w:t>
      </w:r>
      <w:r w:rsidR="009F25D1" w:rsidRPr="00BD7CE5">
        <w:rPr>
          <w:color w:val="000000" w:themeColor="text1"/>
          <w:sz w:val="16"/>
          <w:szCs w:val="16"/>
        </w:rPr>
        <w:t>.</w:t>
      </w:r>
    </w:p>
  </w:footnote>
  <w:footnote w:id="39">
    <w:p w14:paraId="16D7B2EC" w14:textId="77777777"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p.50-1.</w:t>
      </w:r>
    </w:p>
  </w:footnote>
  <w:footnote w:id="40">
    <w:p w14:paraId="57F781EE" w14:textId="723E9D83"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rFonts w:eastAsiaTheme="minorHAnsi"/>
          <w:i/>
          <w:color w:val="000000" w:themeColor="text1"/>
          <w:sz w:val="16"/>
          <w:szCs w:val="16"/>
        </w:rPr>
        <w:t>Boyce v the Queen</w:t>
      </w:r>
      <w:r w:rsidRPr="00BD7CE5">
        <w:rPr>
          <w:rFonts w:eastAsiaTheme="minorHAnsi"/>
          <w:iCs/>
          <w:color w:val="000000" w:themeColor="text1"/>
          <w:sz w:val="16"/>
          <w:szCs w:val="16"/>
        </w:rPr>
        <w:t xml:space="preserve"> </w:t>
      </w:r>
      <w:r w:rsidRPr="00BD7CE5">
        <w:rPr>
          <w:rFonts w:eastAsiaTheme="minorHAnsi"/>
          <w:color w:val="000000" w:themeColor="text1"/>
          <w:sz w:val="16"/>
          <w:szCs w:val="16"/>
        </w:rPr>
        <w:t>[2004] UKPC 32</w:t>
      </w:r>
      <w:r w:rsidR="00B14543" w:rsidRPr="00BD7CE5">
        <w:rPr>
          <w:rFonts w:eastAsiaTheme="minorHAnsi"/>
          <w:color w:val="000000" w:themeColor="text1"/>
          <w:sz w:val="16"/>
          <w:szCs w:val="16"/>
        </w:rPr>
        <w:t xml:space="preserve">, at [1]. </w:t>
      </w:r>
      <w:r w:rsidR="00B14543" w:rsidRPr="00BD7CE5">
        <w:rPr>
          <w:rFonts w:eastAsiaTheme="minorHAnsi"/>
          <w:i/>
          <w:iCs/>
          <w:color w:val="000000" w:themeColor="text1"/>
          <w:sz w:val="16"/>
          <w:szCs w:val="16"/>
        </w:rPr>
        <w:t>See also</w:t>
      </w:r>
      <w:r w:rsidRPr="00BD7CE5">
        <w:rPr>
          <w:rFonts w:eastAsiaTheme="minorHAnsi"/>
          <w:color w:val="000000" w:themeColor="text1"/>
          <w:sz w:val="16"/>
          <w:szCs w:val="16"/>
        </w:rPr>
        <w:t xml:space="preserve"> </w:t>
      </w:r>
      <w:r w:rsidRPr="00BD7CE5">
        <w:rPr>
          <w:rFonts w:eastAsiaTheme="minorHAnsi"/>
          <w:i/>
          <w:color w:val="000000" w:themeColor="text1"/>
          <w:sz w:val="16"/>
          <w:szCs w:val="16"/>
        </w:rPr>
        <w:t>Matthew v State of Trinidad and Tobago</w:t>
      </w:r>
      <w:r w:rsidRPr="00BD7CE5">
        <w:rPr>
          <w:rFonts w:eastAsiaTheme="minorHAnsi"/>
          <w:color w:val="000000" w:themeColor="text1"/>
          <w:sz w:val="16"/>
          <w:szCs w:val="16"/>
        </w:rPr>
        <w:t xml:space="preserve"> [2004] UKPC 33</w:t>
      </w:r>
      <w:r w:rsidRPr="00BD7CE5">
        <w:rPr>
          <w:color w:val="000000" w:themeColor="text1"/>
          <w:sz w:val="16"/>
          <w:szCs w:val="16"/>
        </w:rPr>
        <w:t>,</w:t>
      </w:r>
      <w:r w:rsidRPr="00BD7CE5">
        <w:rPr>
          <w:rFonts w:eastAsiaTheme="minorHAnsi"/>
          <w:color w:val="000000" w:themeColor="text1"/>
          <w:sz w:val="16"/>
          <w:szCs w:val="16"/>
        </w:rPr>
        <w:t xml:space="preserve"> and </w:t>
      </w:r>
      <w:r w:rsidRPr="00BD7CE5">
        <w:rPr>
          <w:rFonts w:eastAsiaTheme="minorHAnsi"/>
          <w:i/>
          <w:color w:val="000000" w:themeColor="text1"/>
          <w:sz w:val="16"/>
          <w:szCs w:val="16"/>
        </w:rPr>
        <w:t>Watson v the Queen</w:t>
      </w:r>
      <w:r w:rsidRPr="00BD7CE5">
        <w:rPr>
          <w:rFonts w:eastAsiaTheme="minorHAnsi"/>
          <w:iCs/>
          <w:color w:val="000000" w:themeColor="text1"/>
          <w:sz w:val="16"/>
          <w:szCs w:val="16"/>
        </w:rPr>
        <w:t xml:space="preserve"> </w:t>
      </w:r>
      <w:r w:rsidRPr="00BD7CE5">
        <w:rPr>
          <w:rFonts w:eastAsiaTheme="minorHAnsi"/>
          <w:color w:val="000000" w:themeColor="text1"/>
          <w:sz w:val="16"/>
          <w:szCs w:val="16"/>
        </w:rPr>
        <w:t>[2004] UKPC 34</w:t>
      </w:r>
      <w:r w:rsidRPr="00BD7CE5">
        <w:rPr>
          <w:color w:val="000000" w:themeColor="text1"/>
          <w:sz w:val="16"/>
          <w:szCs w:val="16"/>
        </w:rPr>
        <w:t xml:space="preserve">.  </w:t>
      </w:r>
      <w:r w:rsidRPr="00BD7CE5">
        <w:rPr>
          <w:i/>
          <w:iCs/>
          <w:color w:val="000000" w:themeColor="text1"/>
          <w:sz w:val="16"/>
          <w:szCs w:val="16"/>
        </w:rPr>
        <w:t>See also</w:t>
      </w:r>
      <w:r w:rsidRPr="00BD7CE5">
        <w:rPr>
          <w:color w:val="000000" w:themeColor="text1"/>
          <w:sz w:val="16"/>
          <w:szCs w:val="16"/>
        </w:rPr>
        <w:t xml:space="preserve"> </w:t>
      </w:r>
      <w:r w:rsidR="00B14543" w:rsidRPr="00BD7CE5">
        <w:rPr>
          <w:color w:val="000000" w:themeColor="text1"/>
          <w:sz w:val="16"/>
          <w:szCs w:val="16"/>
        </w:rPr>
        <w:t>“</w:t>
      </w:r>
      <w:r w:rsidRPr="00BD7CE5">
        <w:rPr>
          <w:i/>
          <w:iCs/>
          <w:color w:val="000000" w:themeColor="text1"/>
          <w:sz w:val="16"/>
          <w:szCs w:val="16"/>
        </w:rPr>
        <w:t>special savings clause</w:t>
      </w:r>
      <w:r w:rsidR="00B14543" w:rsidRPr="00BD7CE5">
        <w:rPr>
          <w:i/>
          <w:iCs/>
          <w:color w:val="000000" w:themeColor="text1"/>
          <w:sz w:val="16"/>
          <w:szCs w:val="16"/>
        </w:rPr>
        <w:t>”</w:t>
      </w:r>
      <w:r w:rsidRPr="00BD7CE5">
        <w:rPr>
          <w:color w:val="000000" w:themeColor="text1"/>
          <w:sz w:val="16"/>
          <w:szCs w:val="16"/>
        </w:rPr>
        <w:t xml:space="preserve"> in relation to punishments, </w:t>
      </w:r>
      <w:r w:rsidRPr="00BD7CE5">
        <w:rPr>
          <w:i/>
          <w:color w:val="000000" w:themeColor="text1"/>
          <w:sz w:val="16"/>
          <w:szCs w:val="16"/>
        </w:rPr>
        <w:t>Pinder v R</w:t>
      </w:r>
      <w:r w:rsidRPr="00BD7CE5">
        <w:rPr>
          <w:color w:val="000000" w:themeColor="text1"/>
          <w:sz w:val="16"/>
          <w:szCs w:val="16"/>
        </w:rPr>
        <w:t xml:space="preserve"> [2002] </w:t>
      </w:r>
      <w:r w:rsidR="008168F9">
        <w:rPr>
          <w:color w:val="000000" w:themeColor="text1"/>
          <w:sz w:val="16"/>
          <w:szCs w:val="16"/>
        </w:rPr>
        <w:t>UKPC 46</w:t>
      </w:r>
      <w:r w:rsidRPr="00BD7CE5">
        <w:rPr>
          <w:color w:val="000000" w:themeColor="text1"/>
          <w:sz w:val="16"/>
          <w:szCs w:val="16"/>
        </w:rPr>
        <w:t xml:space="preserve"> (holding</w:t>
      </w:r>
      <w:r w:rsidRPr="00BD7CE5">
        <w:rPr>
          <w:bCs/>
          <w:color w:val="000000" w:themeColor="text1"/>
          <w:sz w:val="16"/>
          <w:szCs w:val="16"/>
        </w:rPr>
        <w:t xml:space="preserve"> that colonial laws never die in that they may be repealed but reinstated at any time by the parliaments of these nations.  More disturbingly, upon being reinstated, the reinstated law regains colonial status, thus becoming again immune from judicial scrutiny)</w:t>
      </w:r>
      <w:r w:rsidRPr="00BD7CE5">
        <w:rPr>
          <w:color w:val="000000" w:themeColor="text1"/>
          <w:sz w:val="16"/>
          <w:szCs w:val="16"/>
        </w:rPr>
        <w:t>.</w:t>
      </w:r>
    </w:p>
  </w:footnote>
  <w:footnote w:id="41">
    <w:p w14:paraId="32EAA3FF" w14:textId="2C27B65C"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color w:val="000000" w:themeColor="text1"/>
          <w:sz w:val="16"/>
          <w:szCs w:val="16"/>
        </w:rPr>
        <w:t>Boyce v Barbados</w:t>
      </w:r>
      <w:r w:rsidRPr="00BD7CE5">
        <w:rPr>
          <w:iCs/>
          <w:color w:val="000000" w:themeColor="text1"/>
          <w:sz w:val="16"/>
          <w:szCs w:val="16"/>
        </w:rPr>
        <w:t>,</w:t>
      </w:r>
      <w:r w:rsidRPr="00BD7CE5">
        <w:rPr>
          <w:color w:val="000000" w:themeColor="text1"/>
          <w:sz w:val="16"/>
          <w:szCs w:val="16"/>
        </w:rPr>
        <w:t xml:space="preserve"> ACHR Series C no 169</w:t>
      </w:r>
      <w:r w:rsidRPr="00BD7CE5">
        <w:rPr>
          <w:color w:val="000000" w:themeColor="text1"/>
          <w:sz w:val="16"/>
          <w:szCs w:val="16"/>
          <w:lang w:val="en-US"/>
        </w:rPr>
        <w:t xml:space="preserve"> </w:t>
      </w:r>
      <w:r w:rsidRPr="00BD7CE5">
        <w:rPr>
          <w:color w:val="000000" w:themeColor="text1"/>
          <w:sz w:val="16"/>
          <w:szCs w:val="16"/>
        </w:rPr>
        <w:t>of 20 Nov 2007</w:t>
      </w:r>
      <w:r w:rsidR="006939A5" w:rsidRPr="00BD7CE5">
        <w:rPr>
          <w:color w:val="000000" w:themeColor="text1"/>
          <w:sz w:val="16"/>
          <w:szCs w:val="16"/>
        </w:rPr>
        <w:t>.</w:t>
      </w:r>
    </w:p>
  </w:footnote>
  <w:footnote w:id="42">
    <w:p w14:paraId="43A8E5A3" w14:textId="4BC5475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iCs/>
          <w:color w:val="000000" w:themeColor="text1"/>
          <w:sz w:val="16"/>
          <w:szCs w:val="16"/>
        </w:rPr>
        <w:t>See</w:t>
      </w:r>
      <w:r w:rsidRPr="00BD7CE5">
        <w:rPr>
          <w:color w:val="000000" w:themeColor="text1"/>
          <w:sz w:val="16"/>
          <w:szCs w:val="16"/>
        </w:rPr>
        <w:t xml:space="preserve"> “</w:t>
      </w:r>
      <w:r w:rsidRPr="00BD7CE5">
        <w:rPr>
          <w:i/>
          <w:color w:val="000000" w:themeColor="text1"/>
          <w:sz w:val="16"/>
          <w:szCs w:val="16"/>
        </w:rPr>
        <w:t xml:space="preserve">Attorney General </w:t>
      </w:r>
      <w:r w:rsidRPr="00BD7CE5">
        <w:rPr>
          <w:iCs/>
          <w:color w:val="000000" w:themeColor="text1"/>
          <w:sz w:val="16"/>
          <w:szCs w:val="16"/>
        </w:rPr>
        <w:t>[Trinidad and Tobago - Mr Faris Al-</w:t>
      </w:r>
      <w:proofErr w:type="spellStart"/>
      <w:r w:rsidRPr="00BD7CE5">
        <w:rPr>
          <w:iCs/>
          <w:color w:val="000000" w:themeColor="text1"/>
          <w:sz w:val="16"/>
          <w:szCs w:val="16"/>
        </w:rPr>
        <w:t>Rawi</w:t>
      </w:r>
      <w:proofErr w:type="spellEnd"/>
      <w:r w:rsidRPr="00BD7CE5">
        <w:rPr>
          <w:iCs/>
          <w:color w:val="000000" w:themeColor="text1"/>
          <w:sz w:val="16"/>
          <w:szCs w:val="16"/>
        </w:rPr>
        <w:t>]</w:t>
      </w:r>
      <w:r w:rsidRPr="00BD7CE5">
        <w:rPr>
          <w:i/>
          <w:color w:val="000000" w:themeColor="text1"/>
          <w:sz w:val="16"/>
          <w:szCs w:val="16"/>
        </w:rPr>
        <w:t xml:space="preserve"> Talks – Episode 3 – What does the Attorney General do?”</w:t>
      </w:r>
      <w:r w:rsidRPr="00BD7CE5">
        <w:rPr>
          <w:color w:val="000000" w:themeColor="text1"/>
          <w:sz w:val="16"/>
          <w:szCs w:val="16"/>
        </w:rPr>
        <w:t xml:space="preserve"> (11 July 2021) available at&lt;</w:t>
      </w:r>
      <w:hyperlink r:id="rId2" w:history="1">
        <w:r w:rsidRPr="00BD7CE5">
          <w:rPr>
            <w:rStyle w:val="Hyperlink"/>
            <w:color w:val="000000" w:themeColor="text1"/>
            <w:sz w:val="16"/>
            <w:szCs w:val="16"/>
          </w:rPr>
          <w:t>https://www.youtube.com/watch?v=AB</w:t>
        </w:r>
        <w:r w:rsidRPr="00BD7CE5">
          <w:rPr>
            <w:rStyle w:val="Hyperlink"/>
            <w:color w:val="000000" w:themeColor="text1"/>
            <w:sz w:val="16"/>
            <w:szCs w:val="16"/>
          </w:rPr>
          <w:t>B</w:t>
        </w:r>
        <w:r w:rsidRPr="00BD7CE5">
          <w:rPr>
            <w:rStyle w:val="Hyperlink"/>
            <w:color w:val="000000" w:themeColor="text1"/>
            <w:sz w:val="16"/>
            <w:szCs w:val="16"/>
          </w:rPr>
          <w:t>zVPmRRDI</w:t>
        </w:r>
      </w:hyperlink>
      <w:r w:rsidRPr="00BD7CE5">
        <w:rPr>
          <w:color w:val="000000" w:themeColor="text1"/>
          <w:sz w:val="16"/>
          <w:szCs w:val="16"/>
        </w:rPr>
        <w:t xml:space="preserve">&gt; (between 16:10 and 19:35) [accessed </w:t>
      </w:r>
      <w:r w:rsidR="001224DD" w:rsidRPr="00BD7CE5">
        <w:rPr>
          <w:color w:val="000000" w:themeColor="text1"/>
          <w:sz w:val="16"/>
          <w:szCs w:val="16"/>
        </w:rPr>
        <w:t>24</w:t>
      </w:r>
      <w:r w:rsidRPr="00BD7CE5">
        <w:rPr>
          <w:color w:val="000000" w:themeColor="text1"/>
          <w:sz w:val="16"/>
          <w:szCs w:val="16"/>
        </w:rPr>
        <w:t xml:space="preserve"> </w:t>
      </w:r>
      <w:r w:rsidR="001224DD" w:rsidRPr="00BD7CE5">
        <w:rPr>
          <w:color w:val="000000" w:themeColor="text1"/>
          <w:sz w:val="16"/>
          <w:szCs w:val="16"/>
        </w:rPr>
        <w:t>May 2023</w:t>
      </w:r>
      <w:r w:rsidRPr="00BD7CE5">
        <w:rPr>
          <w:color w:val="000000" w:themeColor="text1"/>
          <w:sz w:val="16"/>
          <w:szCs w:val="16"/>
        </w:rPr>
        <w:t xml:space="preserve">] (stating that there are 27 colonial laws in the country that discriminate against LGBTI people shielded from challenge by the </w:t>
      </w:r>
      <w:r w:rsidRPr="00BD7CE5">
        <w:rPr>
          <w:i/>
          <w:color w:val="000000" w:themeColor="text1"/>
          <w:sz w:val="16"/>
          <w:szCs w:val="16"/>
        </w:rPr>
        <w:t>general savings clause</w:t>
      </w:r>
      <w:r w:rsidRPr="00BD7CE5">
        <w:rPr>
          <w:iCs/>
          <w:color w:val="000000" w:themeColor="text1"/>
          <w:sz w:val="16"/>
          <w:szCs w:val="16"/>
        </w:rPr>
        <w:t>)</w:t>
      </w:r>
      <w:r w:rsidRPr="00BD7CE5">
        <w:rPr>
          <w:color w:val="000000" w:themeColor="text1"/>
          <w:sz w:val="16"/>
          <w:szCs w:val="16"/>
        </w:rPr>
        <w:t>.</w:t>
      </w:r>
    </w:p>
  </w:footnote>
  <w:footnote w:id="43">
    <w:p w14:paraId="37331170" w14:textId="638F47E5"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See </w:t>
      </w:r>
      <w:proofErr w:type="spellStart"/>
      <w:r w:rsidRPr="00BD7CE5">
        <w:rPr>
          <w:i/>
          <w:iCs/>
          <w:color w:val="000000" w:themeColor="text1"/>
          <w:sz w:val="16"/>
          <w:szCs w:val="16"/>
        </w:rPr>
        <w:t>Nervais</w:t>
      </w:r>
      <w:proofErr w:type="spellEnd"/>
      <w:r w:rsidRPr="00BD7CE5">
        <w:rPr>
          <w:i/>
          <w:iCs/>
          <w:color w:val="000000" w:themeColor="text1"/>
          <w:sz w:val="16"/>
          <w:szCs w:val="16"/>
        </w:rPr>
        <w:t xml:space="preserve"> v Regina</w:t>
      </w:r>
      <w:r w:rsidRPr="00BD7CE5">
        <w:rPr>
          <w:color w:val="000000" w:themeColor="text1"/>
          <w:sz w:val="16"/>
          <w:szCs w:val="16"/>
        </w:rPr>
        <w:t xml:space="preserve"> [2018] CCJ 19 (AJ), </w:t>
      </w:r>
      <w:r w:rsidRPr="00BD7CE5">
        <w:rPr>
          <w:i/>
          <w:iCs/>
          <w:color w:val="000000" w:themeColor="text1"/>
          <w:sz w:val="16"/>
          <w:szCs w:val="16"/>
        </w:rPr>
        <w:t>McEwan v Guyana</w:t>
      </w:r>
      <w:r w:rsidRPr="00BD7CE5">
        <w:rPr>
          <w:color w:val="000000" w:themeColor="text1"/>
          <w:sz w:val="16"/>
          <w:szCs w:val="16"/>
        </w:rPr>
        <w:t xml:space="preserve"> [2018] CCJ 30 (AJ), confirmed in </w:t>
      </w:r>
      <w:proofErr w:type="spellStart"/>
      <w:r w:rsidRPr="00BD7CE5">
        <w:rPr>
          <w:i/>
          <w:iCs/>
          <w:color w:val="000000" w:themeColor="text1"/>
          <w:sz w:val="16"/>
          <w:szCs w:val="16"/>
        </w:rPr>
        <w:t>Bisram</w:t>
      </w:r>
      <w:proofErr w:type="spellEnd"/>
      <w:r w:rsidRPr="00BD7CE5">
        <w:rPr>
          <w:i/>
          <w:iCs/>
          <w:color w:val="000000" w:themeColor="text1"/>
          <w:sz w:val="16"/>
          <w:szCs w:val="16"/>
        </w:rPr>
        <w:t xml:space="preserve"> v DPP</w:t>
      </w:r>
      <w:r w:rsidRPr="00BD7CE5">
        <w:rPr>
          <w:color w:val="000000" w:themeColor="text1"/>
          <w:sz w:val="16"/>
          <w:szCs w:val="16"/>
        </w:rPr>
        <w:t xml:space="preserve"> (Guyana) [2022] CCJ 7 AJ (GY) (President Saunders citing with approval at [62] an article </w:t>
      </w:r>
      <w:r w:rsidR="00DB77EE" w:rsidRPr="00BD7CE5">
        <w:rPr>
          <w:color w:val="000000" w:themeColor="text1"/>
          <w:sz w:val="16"/>
          <w:szCs w:val="16"/>
        </w:rPr>
        <w:t xml:space="preserve">L Raznovich </w:t>
      </w:r>
      <w:r w:rsidRPr="00BD7CE5">
        <w:rPr>
          <w:color w:val="000000" w:themeColor="text1"/>
          <w:sz w:val="16"/>
          <w:szCs w:val="16"/>
        </w:rPr>
        <w:t xml:space="preserve">‘Privy Council’s Errors of Law Hinder Progress of LGBTI Rights in the Caribbean’ (2022) (1) 33 European Human Rights Law Review 65 in which ambiguity in the relevant constitutional text and a serious error of law in </w:t>
      </w:r>
      <w:r w:rsidRPr="00BD7CE5">
        <w:rPr>
          <w:rFonts w:eastAsiaTheme="minorHAnsi"/>
          <w:i/>
          <w:color w:val="000000" w:themeColor="text1"/>
          <w:sz w:val="16"/>
          <w:szCs w:val="16"/>
        </w:rPr>
        <w:t>Matthew v State of Trinidad and Tobago</w:t>
      </w:r>
      <w:r w:rsidRPr="00BD7CE5">
        <w:rPr>
          <w:rFonts w:eastAsiaTheme="minorHAnsi"/>
          <w:color w:val="000000" w:themeColor="text1"/>
          <w:sz w:val="16"/>
          <w:szCs w:val="16"/>
        </w:rPr>
        <w:t xml:space="preserve"> [2004] UKPC 33</w:t>
      </w:r>
      <w:r w:rsidRPr="00BD7CE5">
        <w:rPr>
          <w:color w:val="000000" w:themeColor="text1"/>
          <w:sz w:val="16"/>
          <w:szCs w:val="16"/>
        </w:rPr>
        <w:t xml:space="preserve"> are identified, which would constitute in common law legal reasons to reverse the 2004’s decision)</w:t>
      </w:r>
    </w:p>
  </w:footnote>
  <w:footnote w:id="44">
    <w:p w14:paraId="71371284" w14:textId="6FC6990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Summary Jurisdiction (Offences) Act 1893 (Guyana), </w:t>
      </w:r>
      <w:r w:rsidR="00DB77EE" w:rsidRPr="00BD7CE5">
        <w:rPr>
          <w:color w:val="000000" w:themeColor="text1"/>
          <w:sz w:val="16"/>
          <w:szCs w:val="16"/>
        </w:rPr>
        <w:t>s.</w:t>
      </w:r>
      <w:r w:rsidRPr="00BD7CE5">
        <w:rPr>
          <w:color w:val="000000" w:themeColor="text1"/>
          <w:sz w:val="16"/>
          <w:szCs w:val="16"/>
        </w:rPr>
        <w:t>153 (1) (xlvii) ma</w:t>
      </w:r>
      <w:r w:rsidR="00DB77EE" w:rsidRPr="00BD7CE5">
        <w:rPr>
          <w:color w:val="000000" w:themeColor="text1"/>
          <w:sz w:val="16"/>
          <w:szCs w:val="16"/>
        </w:rPr>
        <w:t>de</w:t>
      </w:r>
      <w:r w:rsidRPr="00BD7CE5">
        <w:rPr>
          <w:color w:val="000000" w:themeColor="text1"/>
          <w:sz w:val="16"/>
          <w:szCs w:val="16"/>
        </w:rPr>
        <w:t xml:space="preserve"> a criminal offence for a person being a “man’, and in ‘any public way or public place’ and for ‘any improper purpose’, appearing in ‘female attire’.</w:t>
      </w:r>
    </w:p>
  </w:footnote>
  <w:footnote w:id="45">
    <w:p w14:paraId="0133D7D8" w14:textId="034AE7C0" w:rsidR="00DB77EE" w:rsidRPr="00BD7CE5" w:rsidRDefault="00DB77EE">
      <w:pPr>
        <w:pStyle w:val="FootnoteText"/>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
          <w:color w:val="000000" w:themeColor="text1"/>
          <w:sz w:val="16"/>
          <w:szCs w:val="16"/>
        </w:rPr>
        <w:t>Chandler v The State No 2 (Trinidad and Tobago)</w:t>
      </w:r>
      <w:r w:rsidRPr="00BD7CE5">
        <w:rPr>
          <w:color w:val="000000" w:themeColor="text1"/>
          <w:sz w:val="16"/>
          <w:szCs w:val="16"/>
        </w:rPr>
        <w:t xml:space="preserve"> [2022] UKPC 19</w:t>
      </w:r>
      <w:r w:rsidR="00807EF4" w:rsidRPr="00BD7CE5">
        <w:rPr>
          <w:color w:val="000000" w:themeColor="text1"/>
          <w:sz w:val="16"/>
          <w:szCs w:val="16"/>
        </w:rPr>
        <w:t xml:space="preserve"> at [97].</w:t>
      </w:r>
    </w:p>
  </w:footnote>
  <w:footnote w:id="46">
    <w:p w14:paraId="742EECA9" w14:textId="6F09B2E1"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See </w:t>
      </w:r>
      <w:r w:rsidRPr="00BD7CE5">
        <w:rPr>
          <w:rFonts w:eastAsiaTheme="minorEastAsia"/>
          <w:i/>
          <w:iCs/>
          <w:color w:val="000000" w:themeColor="text1"/>
          <w:sz w:val="16"/>
          <w:szCs w:val="16"/>
          <w:lang w:eastAsia="en-US"/>
        </w:rPr>
        <w:t>Bowe v R</w:t>
      </w:r>
      <w:r w:rsidRPr="00BD7CE5">
        <w:rPr>
          <w:rFonts w:eastAsiaTheme="minorEastAsia"/>
          <w:color w:val="000000" w:themeColor="text1"/>
          <w:sz w:val="16"/>
          <w:szCs w:val="16"/>
          <w:lang w:eastAsia="en-US"/>
        </w:rPr>
        <w:t xml:space="preserve"> [2006] UKPC 10 at [42].</w:t>
      </w:r>
    </w:p>
  </w:footnote>
  <w:footnote w:id="47">
    <w:p w14:paraId="6343E9DA" w14:textId="2FC649BD"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bCs/>
          <w:i/>
          <w:iCs/>
          <w:color w:val="000000" w:themeColor="text1"/>
          <w:sz w:val="16"/>
          <w:szCs w:val="16"/>
        </w:rPr>
        <w:t xml:space="preserve">Surratt v Trinidad and Tobago </w:t>
      </w:r>
      <w:r w:rsidRPr="00BD7CE5">
        <w:rPr>
          <w:bCs/>
          <w:color w:val="000000" w:themeColor="text1"/>
          <w:sz w:val="16"/>
          <w:szCs w:val="16"/>
        </w:rPr>
        <w:t>[2007] UKPC 55</w:t>
      </w:r>
      <w:r w:rsidRPr="00BD7CE5">
        <w:rPr>
          <w:color w:val="000000" w:themeColor="text1"/>
          <w:sz w:val="16"/>
          <w:szCs w:val="16"/>
        </w:rPr>
        <w:t xml:space="preserve"> at [29].</w:t>
      </w:r>
    </w:p>
  </w:footnote>
  <w:footnote w:id="48">
    <w:p w14:paraId="28C5249C" w14:textId="74A2E8F5"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See </w:t>
      </w:r>
      <w:r w:rsidRPr="00BD7CE5">
        <w:rPr>
          <w:rFonts w:eastAsiaTheme="minorEastAsia"/>
          <w:color w:val="000000" w:themeColor="text1"/>
          <w:sz w:val="16"/>
          <w:szCs w:val="16"/>
          <w:lang w:eastAsia="en-US"/>
        </w:rPr>
        <w:t>Bowe v R [2006] UKPC 10 at [42].</w:t>
      </w:r>
    </w:p>
  </w:footnote>
  <w:footnote w:id="49">
    <w:p w14:paraId="702F98FF" w14:textId="513CBA59" w:rsidR="00FE6443" w:rsidRPr="00BD7CE5" w:rsidRDefault="00FE6443" w:rsidP="006939A5">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001224DD" w:rsidRPr="00BD7CE5">
        <w:rPr>
          <w:color w:val="000000" w:themeColor="text1"/>
          <w:sz w:val="16"/>
          <w:szCs w:val="16"/>
        </w:rPr>
        <w:t xml:space="preserve">e.g., </w:t>
      </w:r>
      <w:r w:rsidR="001224DD" w:rsidRPr="00BD7CE5">
        <w:rPr>
          <w:i/>
          <w:iCs/>
          <w:color w:val="000000" w:themeColor="text1"/>
          <w:sz w:val="16"/>
          <w:szCs w:val="16"/>
        </w:rPr>
        <w:t>s</w:t>
      </w:r>
      <w:r w:rsidRPr="00BD7CE5">
        <w:rPr>
          <w:i/>
          <w:iCs/>
          <w:color w:val="000000" w:themeColor="text1"/>
          <w:sz w:val="16"/>
          <w:szCs w:val="16"/>
        </w:rPr>
        <w:t>ee</w:t>
      </w:r>
      <w:r w:rsidRPr="00BD7CE5">
        <w:rPr>
          <w:color w:val="000000" w:themeColor="text1"/>
          <w:sz w:val="16"/>
          <w:szCs w:val="16"/>
        </w:rPr>
        <w:t xml:space="preserve"> the strong d</w:t>
      </w:r>
      <w:r w:rsidRPr="00BD7CE5">
        <w:rPr>
          <w:rFonts w:eastAsiaTheme="minorEastAsia"/>
          <w:color w:val="000000" w:themeColor="text1"/>
          <w:sz w:val="16"/>
          <w:szCs w:val="16"/>
          <w:lang w:eastAsia="en-US"/>
        </w:rPr>
        <w:t>issenting judgment</w:t>
      </w:r>
      <w:r w:rsidRPr="00BD7CE5">
        <w:rPr>
          <w:color w:val="000000" w:themeColor="text1"/>
          <w:sz w:val="16"/>
          <w:szCs w:val="16"/>
        </w:rPr>
        <w:t>s</w:t>
      </w:r>
      <w:r w:rsidRPr="00BD7CE5">
        <w:rPr>
          <w:rFonts w:eastAsiaTheme="minorEastAsia"/>
          <w:color w:val="000000" w:themeColor="text1"/>
          <w:sz w:val="16"/>
          <w:szCs w:val="16"/>
          <w:lang w:eastAsia="en-US"/>
        </w:rPr>
        <w:t xml:space="preserve"> by </w:t>
      </w:r>
      <w:r w:rsidR="00FE14C0" w:rsidRPr="00BD7CE5">
        <w:rPr>
          <w:rFonts w:eastAsiaTheme="minorEastAsia"/>
          <w:i/>
          <w:iCs/>
          <w:color w:val="000000" w:themeColor="text1"/>
          <w:sz w:val="16"/>
          <w:szCs w:val="16"/>
          <w:lang w:eastAsia="en-US"/>
        </w:rPr>
        <w:t xml:space="preserve">Lord Nicholls of Birkenhead and Lord Hope of </w:t>
      </w:r>
      <w:proofErr w:type="spellStart"/>
      <w:r w:rsidR="00FE14C0" w:rsidRPr="00BD7CE5">
        <w:rPr>
          <w:rFonts w:eastAsiaTheme="minorEastAsia"/>
          <w:i/>
          <w:iCs/>
          <w:color w:val="000000" w:themeColor="text1"/>
          <w:sz w:val="16"/>
          <w:szCs w:val="16"/>
          <w:lang w:eastAsia="en-US"/>
        </w:rPr>
        <w:t>Craighead</w:t>
      </w:r>
      <w:proofErr w:type="spellEnd"/>
      <w:r w:rsidR="006939A5" w:rsidRPr="00BD7CE5">
        <w:rPr>
          <w:rFonts w:eastAsiaTheme="minorHAnsi"/>
          <w:color w:val="000000" w:themeColor="text1"/>
          <w:sz w:val="16"/>
          <w:szCs w:val="16"/>
        </w:rPr>
        <w:t xml:space="preserve"> in </w:t>
      </w:r>
      <w:r w:rsidR="006939A5" w:rsidRPr="00BD7CE5">
        <w:rPr>
          <w:i/>
          <w:color w:val="000000" w:themeColor="text1"/>
          <w:sz w:val="16"/>
          <w:szCs w:val="16"/>
        </w:rPr>
        <w:t>Pinder v R</w:t>
      </w:r>
      <w:r w:rsidR="006939A5" w:rsidRPr="00BD7CE5">
        <w:rPr>
          <w:color w:val="000000" w:themeColor="text1"/>
          <w:sz w:val="16"/>
          <w:szCs w:val="16"/>
        </w:rPr>
        <w:t xml:space="preserve"> [200</w:t>
      </w:r>
      <w:r w:rsidR="00FE14C0" w:rsidRPr="00BD7CE5">
        <w:rPr>
          <w:color w:val="000000" w:themeColor="text1"/>
          <w:sz w:val="16"/>
          <w:szCs w:val="16"/>
        </w:rPr>
        <w:t>2</w:t>
      </w:r>
      <w:r w:rsidR="006939A5" w:rsidRPr="00BD7CE5">
        <w:rPr>
          <w:color w:val="000000" w:themeColor="text1"/>
          <w:sz w:val="16"/>
          <w:szCs w:val="16"/>
        </w:rPr>
        <w:t xml:space="preserve">] </w:t>
      </w:r>
      <w:r w:rsidR="00FE14C0" w:rsidRPr="00BD7CE5">
        <w:rPr>
          <w:color w:val="000000" w:themeColor="text1"/>
          <w:sz w:val="16"/>
          <w:szCs w:val="16"/>
        </w:rPr>
        <w:t>UKPC 46</w:t>
      </w:r>
      <w:r w:rsidR="006939A5" w:rsidRPr="00BD7CE5">
        <w:rPr>
          <w:color w:val="000000" w:themeColor="text1"/>
          <w:sz w:val="16"/>
          <w:szCs w:val="16"/>
        </w:rPr>
        <w:t xml:space="preserve">, by </w:t>
      </w:r>
      <w:r w:rsidRPr="00BD7CE5">
        <w:rPr>
          <w:rFonts w:eastAsiaTheme="minorEastAsia"/>
          <w:color w:val="000000" w:themeColor="text1"/>
          <w:sz w:val="16"/>
          <w:szCs w:val="16"/>
          <w:lang w:eastAsia="en-US"/>
        </w:rPr>
        <w:t>Lord Bingham of Cornhill,</w:t>
      </w:r>
      <w:r w:rsidRPr="00BD7CE5">
        <w:rPr>
          <w:color w:val="000000" w:themeColor="text1"/>
          <w:sz w:val="16"/>
          <w:szCs w:val="16"/>
        </w:rPr>
        <w:t xml:space="preserve"> </w:t>
      </w:r>
      <w:r w:rsidRPr="00BD7CE5">
        <w:rPr>
          <w:rFonts w:eastAsiaTheme="minorEastAsia"/>
          <w:color w:val="000000" w:themeColor="text1"/>
          <w:sz w:val="16"/>
          <w:szCs w:val="16"/>
          <w:lang w:eastAsia="en-US"/>
        </w:rPr>
        <w:t xml:space="preserve">Lord Nicholls of Birkenhead, Lord </w:t>
      </w:r>
      <w:proofErr w:type="gramStart"/>
      <w:r w:rsidRPr="00BD7CE5">
        <w:rPr>
          <w:rFonts w:eastAsiaTheme="minorEastAsia"/>
          <w:color w:val="000000" w:themeColor="text1"/>
          <w:sz w:val="16"/>
          <w:szCs w:val="16"/>
          <w:lang w:eastAsia="en-US"/>
        </w:rPr>
        <w:t>Steyn</w:t>
      </w:r>
      <w:proofErr w:type="gramEnd"/>
      <w:r w:rsidRPr="00BD7CE5">
        <w:rPr>
          <w:rFonts w:eastAsiaTheme="minorEastAsia"/>
          <w:color w:val="000000" w:themeColor="text1"/>
          <w:sz w:val="16"/>
          <w:szCs w:val="16"/>
          <w:lang w:eastAsia="en-US"/>
        </w:rPr>
        <w:t xml:space="preserve"> and</w:t>
      </w:r>
      <w:r w:rsidRPr="00BD7CE5">
        <w:rPr>
          <w:color w:val="000000" w:themeColor="text1"/>
          <w:sz w:val="16"/>
          <w:szCs w:val="16"/>
        </w:rPr>
        <w:t xml:space="preserve"> </w:t>
      </w:r>
      <w:r w:rsidRPr="00BD7CE5">
        <w:rPr>
          <w:rFonts w:eastAsiaTheme="minorEastAsia"/>
          <w:color w:val="000000" w:themeColor="text1"/>
          <w:sz w:val="16"/>
          <w:szCs w:val="16"/>
          <w:lang w:eastAsia="en-US"/>
        </w:rPr>
        <w:t xml:space="preserve">Lord Walker of </w:t>
      </w:r>
      <w:proofErr w:type="spellStart"/>
      <w:r w:rsidRPr="00BD7CE5">
        <w:rPr>
          <w:rFonts w:eastAsiaTheme="minorEastAsia"/>
          <w:color w:val="000000" w:themeColor="text1"/>
          <w:sz w:val="16"/>
          <w:szCs w:val="16"/>
          <w:lang w:eastAsia="en-US"/>
        </w:rPr>
        <w:t>Gestingthorpe</w:t>
      </w:r>
      <w:proofErr w:type="spellEnd"/>
      <w:r w:rsidRPr="00BD7CE5">
        <w:rPr>
          <w:color w:val="000000" w:themeColor="text1"/>
          <w:sz w:val="16"/>
          <w:szCs w:val="16"/>
        </w:rPr>
        <w:t xml:space="preserve"> in </w:t>
      </w:r>
      <w:r w:rsidRPr="00BD7CE5">
        <w:rPr>
          <w:rFonts w:eastAsiaTheme="minorHAnsi"/>
          <w:i/>
          <w:color w:val="000000" w:themeColor="text1"/>
          <w:sz w:val="16"/>
          <w:szCs w:val="16"/>
        </w:rPr>
        <w:t>Boyce v the Queen</w:t>
      </w:r>
      <w:r w:rsidRPr="00BD7CE5">
        <w:rPr>
          <w:rFonts w:eastAsiaTheme="minorHAnsi"/>
          <w:iCs/>
          <w:color w:val="000000" w:themeColor="text1"/>
          <w:sz w:val="16"/>
          <w:szCs w:val="16"/>
        </w:rPr>
        <w:t xml:space="preserve"> </w:t>
      </w:r>
      <w:r w:rsidRPr="00BD7CE5">
        <w:rPr>
          <w:rFonts w:eastAsiaTheme="minorHAnsi"/>
          <w:color w:val="000000" w:themeColor="text1"/>
          <w:sz w:val="16"/>
          <w:szCs w:val="16"/>
        </w:rPr>
        <w:t xml:space="preserve">[2004] UKPC </w:t>
      </w:r>
      <w:r w:rsidR="00584F7B" w:rsidRPr="00BD7CE5">
        <w:rPr>
          <w:rFonts w:eastAsiaTheme="minorHAnsi"/>
          <w:color w:val="000000" w:themeColor="text1"/>
          <w:sz w:val="16"/>
          <w:szCs w:val="16"/>
        </w:rPr>
        <w:t>32</w:t>
      </w:r>
      <w:r w:rsidR="00584F7B" w:rsidRPr="00BD7CE5">
        <w:rPr>
          <w:color w:val="000000" w:themeColor="text1"/>
          <w:sz w:val="16"/>
          <w:szCs w:val="16"/>
        </w:rPr>
        <w:t xml:space="preserve"> and</w:t>
      </w:r>
      <w:r w:rsidRPr="00BD7CE5">
        <w:rPr>
          <w:color w:val="000000" w:themeColor="text1"/>
          <w:sz w:val="16"/>
          <w:szCs w:val="16"/>
        </w:rPr>
        <w:t xml:space="preserve"> by Lord Sales in </w:t>
      </w:r>
      <w:r w:rsidRPr="00BD7CE5">
        <w:rPr>
          <w:i/>
          <w:iCs/>
          <w:color w:val="000000" w:themeColor="text1"/>
          <w:sz w:val="16"/>
          <w:szCs w:val="16"/>
        </w:rPr>
        <w:t>AG of Bermuda v Roderick Ferguson</w:t>
      </w:r>
      <w:r w:rsidRPr="00BD7CE5">
        <w:rPr>
          <w:color w:val="000000" w:themeColor="text1"/>
          <w:sz w:val="16"/>
          <w:szCs w:val="16"/>
        </w:rPr>
        <w:t xml:space="preserve"> [2022] UKPC 5.</w:t>
      </w:r>
    </w:p>
  </w:footnote>
  <w:footnote w:id="50">
    <w:p w14:paraId="2B0F539E" w14:textId="3854AFCE" w:rsidR="00244957" w:rsidRPr="00BD7CE5" w:rsidRDefault="00244957">
      <w:pPr>
        <w:pStyle w:val="FootnoteText"/>
        <w:rPr>
          <w:sz w:val="16"/>
          <w:szCs w:val="16"/>
        </w:rPr>
      </w:pPr>
      <w:r w:rsidRPr="00BD7CE5">
        <w:rPr>
          <w:rStyle w:val="FootnoteReference"/>
          <w:sz w:val="16"/>
          <w:szCs w:val="16"/>
        </w:rPr>
        <w:footnoteRef/>
      </w:r>
      <w:r w:rsidRPr="00BD7CE5">
        <w:rPr>
          <w:sz w:val="16"/>
          <w:szCs w:val="16"/>
        </w:rPr>
        <w:t xml:space="preserve"> </w:t>
      </w:r>
      <w:r w:rsidR="008A7C1D" w:rsidRPr="00BD7CE5">
        <w:rPr>
          <w:color w:val="000000" w:themeColor="text1"/>
          <w:sz w:val="16"/>
          <w:szCs w:val="16"/>
        </w:rPr>
        <w:t>It is not just substantive but procedural due process affected in</w:t>
      </w:r>
      <w:r w:rsidRPr="00BD7CE5">
        <w:rPr>
          <w:color w:val="000000" w:themeColor="text1"/>
          <w:sz w:val="16"/>
          <w:szCs w:val="16"/>
        </w:rPr>
        <w:t xml:space="preserve"> </w:t>
      </w:r>
      <w:r w:rsidR="008A7C1D" w:rsidRPr="00BD7CE5">
        <w:rPr>
          <w:rFonts w:eastAsiaTheme="minorHAnsi"/>
          <w:i/>
          <w:color w:val="000000" w:themeColor="text1"/>
          <w:sz w:val="16"/>
          <w:szCs w:val="16"/>
        </w:rPr>
        <w:t>Boyce v the Queen</w:t>
      </w:r>
      <w:r w:rsidR="008A7C1D" w:rsidRPr="00BD7CE5">
        <w:rPr>
          <w:rFonts w:eastAsiaTheme="minorHAnsi"/>
          <w:iCs/>
          <w:color w:val="000000" w:themeColor="text1"/>
          <w:sz w:val="16"/>
          <w:szCs w:val="16"/>
        </w:rPr>
        <w:t xml:space="preserve"> </w:t>
      </w:r>
      <w:r w:rsidR="008A7C1D" w:rsidRPr="00BD7CE5">
        <w:rPr>
          <w:rFonts w:eastAsiaTheme="minorHAnsi"/>
          <w:color w:val="000000" w:themeColor="text1"/>
          <w:sz w:val="16"/>
          <w:szCs w:val="16"/>
        </w:rPr>
        <w:t xml:space="preserve">[2004] UKPC 32, </w:t>
      </w:r>
      <w:r w:rsidR="008A7C1D" w:rsidRPr="00BD7CE5">
        <w:rPr>
          <w:rFonts w:eastAsiaTheme="minorHAnsi"/>
          <w:i/>
          <w:color w:val="000000" w:themeColor="text1"/>
          <w:sz w:val="16"/>
          <w:szCs w:val="16"/>
        </w:rPr>
        <w:t>Matthew v State of Trinidad and Tobago</w:t>
      </w:r>
      <w:r w:rsidR="008A7C1D" w:rsidRPr="00BD7CE5">
        <w:rPr>
          <w:rFonts w:eastAsiaTheme="minorHAnsi"/>
          <w:color w:val="000000" w:themeColor="text1"/>
          <w:sz w:val="16"/>
          <w:szCs w:val="16"/>
        </w:rPr>
        <w:t xml:space="preserve"> [2004] UKPC 33</w:t>
      </w:r>
      <w:r w:rsidR="008A7C1D" w:rsidRPr="00BD7CE5">
        <w:rPr>
          <w:color w:val="000000" w:themeColor="text1"/>
          <w:sz w:val="16"/>
          <w:szCs w:val="16"/>
        </w:rPr>
        <w:t>,</w:t>
      </w:r>
      <w:r w:rsidR="008A7C1D" w:rsidRPr="00BD7CE5">
        <w:rPr>
          <w:rFonts w:eastAsiaTheme="minorHAnsi"/>
          <w:color w:val="000000" w:themeColor="text1"/>
          <w:sz w:val="16"/>
          <w:szCs w:val="16"/>
        </w:rPr>
        <w:t xml:space="preserve"> and </w:t>
      </w:r>
      <w:r w:rsidR="008A7C1D" w:rsidRPr="00BD7CE5">
        <w:rPr>
          <w:rFonts w:eastAsiaTheme="minorHAnsi"/>
          <w:i/>
          <w:color w:val="000000" w:themeColor="text1"/>
          <w:sz w:val="16"/>
          <w:szCs w:val="16"/>
        </w:rPr>
        <w:t>Watson v the Queen</w:t>
      </w:r>
      <w:r w:rsidR="008A7C1D" w:rsidRPr="00BD7CE5">
        <w:rPr>
          <w:rFonts w:eastAsiaTheme="minorHAnsi"/>
          <w:iCs/>
          <w:color w:val="000000" w:themeColor="text1"/>
          <w:sz w:val="16"/>
          <w:szCs w:val="16"/>
        </w:rPr>
        <w:t xml:space="preserve"> </w:t>
      </w:r>
      <w:r w:rsidR="008A7C1D" w:rsidRPr="00BD7CE5">
        <w:rPr>
          <w:rFonts w:eastAsiaTheme="minorHAnsi"/>
          <w:color w:val="000000" w:themeColor="text1"/>
          <w:sz w:val="16"/>
          <w:szCs w:val="16"/>
        </w:rPr>
        <w:t>[2004] UKPC 34</w:t>
      </w:r>
      <w:r w:rsidR="008A7C1D" w:rsidRPr="00BD7CE5">
        <w:rPr>
          <w:rFonts w:eastAsiaTheme="minorHAnsi"/>
          <w:color w:val="000000" w:themeColor="text1"/>
          <w:sz w:val="16"/>
          <w:szCs w:val="16"/>
        </w:rPr>
        <w:t xml:space="preserve"> in that it has been revealed that their fate had been</w:t>
      </w:r>
      <w:r w:rsidRPr="00BD7CE5">
        <w:rPr>
          <w:color w:val="000000" w:themeColor="text1"/>
          <w:sz w:val="16"/>
          <w:szCs w:val="16"/>
        </w:rPr>
        <w:t xml:space="preserve"> sealed </w:t>
      </w:r>
      <w:r w:rsidRPr="00BD7CE5">
        <w:rPr>
          <w:iCs/>
          <w:color w:val="000000" w:themeColor="text1"/>
          <w:sz w:val="16"/>
          <w:szCs w:val="16"/>
        </w:rPr>
        <w:t>before</w:t>
      </w:r>
      <w:r w:rsidRPr="00BD7CE5">
        <w:rPr>
          <w:color w:val="000000" w:themeColor="text1"/>
          <w:sz w:val="16"/>
          <w:szCs w:val="16"/>
        </w:rPr>
        <w:t xml:space="preserve"> the hearing had even started by a manipulation of the composition of the panel with the purpose of securing that colonial laws are immune from constitutional challenge.  This made a mockery of the right to a fair and public hearing by an independent and impartial tribunal.</w:t>
      </w:r>
      <w:r w:rsidR="008A7C1D" w:rsidRPr="00BD7CE5">
        <w:rPr>
          <w:color w:val="000000" w:themeColor="text1"/>
          <w:sz w:val="16"/>
          <w:szCs w:val="16"/>
        </w:rPr>
        <w:t xml:space="preserve">  </w:t>
      </w:r>
      <w:r w:rsidR="008A7C1D" w:rsidRPr="00BD7CE5">
        <w:rPr>
          <w:i/>
          <w:iCs/>
          <w:color w:val="000000" w:themeColor="text1"/>
          <w:sz w:val="16"/>
          <w:szCs w:val="16"/>
        </w:rPr>
        <w:t>See</w:t>
      </w:r>
      <w:r w:rsidR="008A7C1D" w:rsidRPr="00BD7CE5">
        <w:rPr>
          <w:color w:val="000000" w:themeColor="text1"/>
          <w:sz w:val="16"/>
          <w:szCs w:val="16"/>
        </w:rPr>
        <w:t xml:space="preserve"> Lord Millet </w:t>
      </w:r>
      <w:proofErr w:type="gramStart"/>
      <w:r w:rsidR="008A7C1D" w:rsidRPr="00BD7CE5">
        <w:rPr>
          <w:i/>
          <w:color w:val="000000" w:themeColor="text1"/>
          <w:sz w:val="16"/>
          <w:szCs w:val="16"/>
        </w:rPr>
        <w:t>As</w:t>
      </w:r>
      <w:proofErr w:type="gramEnd"/>
      <w:r w:rsidR="008A7C1D" w:rsidRPr="00BD7CE5">
        <w:rPr>
          <w:i/>
          <w:color w:val="000000" w:themeColor="text1"/>
          <w:sz w:val="16"/>
          <w:szCs w:val="16"/>
        </w:rPr>
        <w:t xml:space="preserve"> in Memory Long</w:t>
      </w:r>
      <w:r w:rsidR="008A7C1D" w:rsidRPr="00BD7CE5">
        <w:rPr>
          <w:iCs/>
          <w:color w:val="000000" w:themeColor="text1"/>
          <w:sz w:val="16"/>
          <w:szCs w:val="16"/>
        </w:rPr>
        <w:t xml:space="preserve"> </w:t>
      </w:r>
      <w:r w:rsidR="008A7C1D" w:rsidRPr="00BD7CE5">
        <w:rPr>
          <w:iCs/>
          <w:color w:val="000000" w:themeColor="text1"/>
          <w:sz w:val="16"/>
          <w:szCs w:val="16"/>
        </w:rPr>
        <w:t>(</w:t>
      </w:r>
      <w:proofErr w:type="spellStart"/>
      <w:r w:rsidR="008A7C1D" w:rsidRPr="00BD7CE5">
        <w:rPr>
          <w:color w:val="000000" w:themeColor="text1"/>
          <w:sz w:val="16"/>
          <w:szCs w:val="16"/>
        </w:rPr>
        <w:t>Wildy</w:t>
      </w:r>
      <w:proofErr w:type="spellEnd"/>
      <w:r w:rsidR="008A7C1D" w:rsidRPr="00BD7CE5">
        <w:rPr>
          <w:color w:val="000000" w:themeColor="text1"/>
          <w:sz w:val="16"/>
          <w:szCs w:val="16"/>
        </w:rPr>
        <w:t xml:space="preserve"> London</w:t>
      </w:r>
      <w:r w:rsidR="008A7C1D" w:rsidRPr="00BD7CE5">
        <w:rPr>
          <w:color w:val="000000" w:themeColor="text1"/>
          <w:sz w:val="16"/>
          <w:szCs w:val="16"/>
        </w:rPr>
        <w:t xml:space="preserve"> 2015)</w:t>
      </w:r>
      <w:r w:rsidR="008A7C1D" w:rsidRPr="00BD7CE5">
        <w:rPr>
          <w:color w:val="000000" w:themeColor="text1"/>
          <w:sz w:val="16"/>
          <w:szCs w:val="16"/>
        </w:rPr>
        <w:t xml:space="preserve"> at p.189.  </w:t>
      </w:r>
    </w:p>
  </w:footnote>
  <w:footnote w:id="51">
    <w:p w14:paraId="78FA4253" w14:textId="584BAD95" w:rsidR="000B10A6" w:rsidRPr="00BD7CE5" w:rsidRDefault="000B10A6">
      <w:pPr>
        <w:pStyle w:val="FootnoteText"/>
        <w:rPr>
          <w:sz w:val="16"/>
          <w:szCs w:val="16"/>
        </w:rPr>
      </w:pPr>
      <w:r w:rsidRPr="00BD7CE5">
        <w:rPr>
          <w:rStyle w:val="FootnoteReference"/>
          <w:sz w:val="16"/>
          <w:szCs w:val="16"/>
        </w:rPr>
        <w:footnoteRef/>
      </w:r>
      <w:r w:rsidRPr="00BD7CE5">
        <w:rPr>
          <w:sz w:val="16"/>
          <w:szCs w:val="16"/>
        </w:rPr>
        <w:t xml:space="preserve"> Trinidad and Tobago </w:t>
      </w:r>
      <w:r w:rsidR="00847FA6" w:rsidRPr="00BD7CE5">
        <w:rPr>
          <w:sz w:val="16"/>
          <w:szCs w:val="16"/>
        </w:rPr>
        <w:t>adopted</w:t>
      </w:r>
      <w:r w:rsidRPr="00BD7CE5">
        <w:rPr>
          <w:sz w:val="16"/>
          <w:szCs w:val="16"/>
        </w:rPr>
        <w:t xml:space="preserve"> </w:t>
      </w:r>
      <w:r w:rsidR="00847FA6" w:rsidRPr="00BD7CE5">
        <w:rPr>
          <w:sz w:val="16"/>
          <w:szCs w:val="16"/>
        </w:rPr>
        <w:t>the</w:t>
      </w:r>
      <w:r w:rsidRPr="00BD7CE5">
        <w:rPr>
          <w:sz w:val="16"/>
          <w:szCs w:val="16"/>
        </w:rPr>
        <w:t xml:space="preserve"> declaration of rights from the Canadian Charter rather than the </w:t>
      </w:r>
      <w:r w:rsidR="00584F7B" w:rsidRPr="00BD7CE5">
        <w:rPr>
          <w:sz w:val="16"/>
          <w:szCs w:val="16"/>
        </w:rPr>
        <w:t>ECHR</w:t>
      </w:r>
      <w:r w:rsidRPr="00BD7CE5">
        <w:rPr>
          <w:sz w:val="16"/>
          <w:szCs w:val="16"/>
        </w:rPr>
        <w:t>.</w:t>
      </w:r>
    </w:p>
  </w:footnote>
  <w:footnote w:id="52">
    <w:p w14:paraId="12613BE5" w14:textId="47308984" w:rsidR="009F0156" w:rsidRPr="00BD7CE5" w:rsidRDefault="009F0156">
      <w:pPr>
        <w:pStyle w:val="FootnoteText"/>
        <w:rPr>
          <w:sz w:val="16"/>
          <w:szCs w:val="16"/>
        </w:rPr>
      </w:pPr>
      <w:r w:rsidRPr="00BD7CE5">
        <w:rPr>
          <w:rStyle w:val="FootnoteReference"/>
          <w:sz w:val="16"/>
          <w:szCs w:val="16"/>
        </w:rPr>
        <w:footnoteRef/>
      </w:r>
      <w:r w:rsidRPr="00BD7CE5">
        <w:rPr>
          <w:sz w:val="16"/>
          <w:szCs w:val="16"/>
        </w:rPr>
        <w:t xml:space="preserve"> </w:t>
      </w:r>
      <w:r w:rsidRPr="00BD7CE5">
        <w:rPr>
          <w:color w:val="000000" w:themeColor="text1"/>
          <w:sz w:val="16"/>
          <w:szCs w:val="16"/>
        </w:rPr>
        <w:t>IIHR Report (fn.4 above) at p.</w:t>
      </w:r>
      <w:r w:rsidRPr="00BD7CE5">
        <w:rPr>
          <w:color w:val="000000" w:themeColor="text1"/>
          <w:sz w:val="16"/>
          <w:szCs w:val="16"/>
        </w:rPr>
        <w:t>49-52</w:t>
      </w:r>
      <w:r w:rsidRPr="00BD7CE5">
        <w:rPr>
          <w:color w:val="000000" w:themeColor="text1"/>
          <w:sz w:val="16"/>
          <w:szCs w:val="16"/>
        </w:rPr>
        <w:t>.</w:t>
      </w:r>
    </w:p>
  </w:footnote>
  <w:footnote w:id="53">
    <w:p w14:paraId="7835C1A4" w14:textId="042AE496"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p.82.</w:t>
      </w:r>
    </w:p>
  </w:footnote>
  <w:footnote w:id="54">
    <w:p w14:paraId="1B9E87D9" w14:textId="79F9DF8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p.56.</w:t>
      </w:r>
    </w:p>
  </w:footnote>
  <w:footnote w:id="55">
    <w:p w14:paraId="602F0CF3" w14:textId="55887DC3"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p.84-7.</w:t>
      </w:r>
    </w:p>
  </w:footnote>
  <w:footnote w:id="56">
    <w:p w14:paraId="44B76D33" w14:textId="55E7C344"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p.70.</w:t>
      </w:r>
    </w:p>
  </w:footnote>
  <w:footnote w:id="57">
    <w:p w14:paraId="51BCDE05" w14:textId="41634B59"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p.126.</w:t>
      </w:r>
    </w:p>
  </w:footnote>
  <w:footnote w:id="58">
    <w:p w14:paraId="57B93DEB" w14:textId="3B9AB582"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R </w:t>
      </w:r>
      <w:proofErr w:type="spellStart"/>
      <w:r w:rsidRPr="00BD7CE5">
        <w:rPr>
          <w:color w:val="000000" w:themeColor="text1"/>
          <w:sz w:val="16"/>
          <w:szCs w:val="16"/>
        </w:rPr>
        <w:t>Zaffaroni</w:t>
      </w:r>
      <w:proofErr w:type="spellEnd"/>
      <w:r w:rsidRPr="00BD7CE5">
        <w:rPr>
          <w:color w:val="000000" w:themeColor="text1"/>
          <w:sz w:val="16"/>
          <w:szCs w:val="16"/>
        </w:rPr>
        <w:t xml:space="preserve"> “La </w:t>
      </w:r>
      <w:proofErr w:type="spellStart"/>
      <w:r w:rsidRPr="00BD7CE5">
        <w:rPr>
          <w:color w:val="000000" w:themeColor="text1"/>
          <w:sz w:val="16"/>
          <w:szCs w:val="16"/>
        </w:rPr>
        <w:t>Penalización</w:t>
      </w:r>
      <w:proofErr w:type="spellEnd"/>
      <w:r w:rsidRPr="00BD7CE5">
        <w:rPr>
          <w:color w:val="000000" w:themeColor="text1"/>
          <w:sz w:val="16"/>
          <w:szCs w:val="16"/>
        </w:rPr>
        <w:t xml:space="preserve"> de las </w:t>
      </w:r>
      <w:proofErr w:type="spellStart"/>
      <w:r w:rsidRPr="00BD7CE5">
        <w:rPr>
          <w:color w:val="000000" w:themeColor="text1"/>
          <w:sz w:val="16"/>
          <w:szCs w:val="16"/>
        </w:rPr>
        <w:t>Relaciones</w:t>
      </w:r>
      <w:proofErr w:type="spellEnd"/>
      <w:r w:rsidRPr="00BD7CE5">
        <w:rPr>
          <w:color w:val="000000" w:themeColor="text1"/>
          <w:sz w:val="16"/>
          <w:szCs w:val="16"/>
        </w:rPr>
        <w:t xml:space="preserve"> </w:t>
      </w:r>
      <w:proofErr w:type="spellStart"/>
      <w:r w:rsidRPr="00BD7CE5">
        <w:rPr>
          <w:color w:val="000000" w:themeColor="text1"/>
          <w:sz w:val="16"/>
          <w:szCs w:val="16"/>
        </w:rPr>
        <w:t>Homosexuales</w:t>
      </w:r>
      <w:proofErr w:type="spellEnd"/>
      <w:r w:rsidRPr="00BD7CE5">
        <w:rPr>
          <w:color w:val="000000" w:themeColor="text1"/>
          <w:sz w:val="16"/>
          <w:szCs w:val="16"/>
        </w:rPr>
        <w:t xml:space="preserve"> y </w:t>
      </w:r>
      <w:proofErr w:type="spellStart"/>
      <w:r w:rsidRPr="00BD7CE5">
        <w:rPr>
          <w:color w:val="000000" w:themeColor="text1"/>
          <w:sz w:val="16"/>
          <w:szCs w:val="16"/>
        </w:rPr>
        <w:t>Su</w:t>
      </w:r>
      <w:proofErr w:type="spellEnd"/>
      <w:r w:rsidRPr="00BD7CE5">
        <w:rPr>
          <w:color w:val="000000" w:themeColor="text1"/>
          <w:sz w:val="16"/>
          <w:szCs w:val="16"/>
        </w:rPr>
        <w:t xml:space="preserve"> </w:t>
      </w:r>
      <w:proofErr w:type="spellStart"/>
      <w:r w:rsidRPr="00BD7CE5">
        <w:rPr>
          <w:color w:val="000000" w:themeColor="text1"/>
          <w:sz w:val="16"/>
          <w:szCs w:val="16"/>
        </w:rPr>
        <w:t>Efecto</w:t>
      </w:r>
      <w:proofErr w:type="spellEnd"/>
      <w:r w:rsidRPr="00BD7CE5">
        <w:rPr>
          <w:color w:val="000000" w:themeColor="text1"/>
          <w:sz w:val="16"/>
          <w:szCs w:val="16"/>
        </w:rPr>
        <w:t xml:space="preserve"> </w:t>
      </w:r>
      <w:proofErr w:type="spellStart"/>
      <w:r w:rsidRPr="00BD7CE5">
        <w:rPr>
          <w:color w:val="000000" w:themeColor="text1"/>
          <w:sz w:val="16"/>
          <w:szCs w:val="16"/>
        </w:rPr>
        <w:t>sobre</w:t>
      </w:r>
      <w:proofErr w:type="spellEnd"/>
      <w:r w:rsidRPr="00BD7CE5">
        <w:rPr>
          <w:color w:val="000000" w:themeColor="text1"/>
          <w:sz w:val="16"/>
          <w:szCs w:val="16"/>
        </w:rPr>
        <w:t xml:space="preserve"> la </w:t>
      </w:r>
      <w:proofErr w:type="spellStart"/>
      <w:r w:rsidRPr="00BD7CE5">
        <w:rPr>
          <w:color w:val="000000" w:themeColor="text1"/>
          <w:sz w:val="16"/>
          <w:szCs w:val="16"/>
        </w:rPr>
        <w:t>Salud</w:t>
      </w:r>
      <w:proofErr w:type="spellEnd"/>
      <w:r w:rsidRPr="00BD7CE5">
        <w:rPr>
          <w:color w:val="000000" w:themeColor="text1"/>
          <w:sz w:val="16"/>
          <w:szCs w:val="16"/>
        </w:rPr>
        <w:t xml:space="preserve"> Mental de la Sociedad” in B Scherer (ed) </w:t>
      </w:r>
      <w:r w:rsidRPr="00BD7CE5">
        <w:rPr>
          <w:i/>
          <w:iCs/>
          <w:color w:val="000000" w:themeColor="text1"/>
          <w:sz w:val="16"/>
          <w:szCs w:val="16"/>
        </w:rPr>
        <w:t>Queering Paradigms VII – Contested Bodies and Spaces</w:t>
      </w:r>
      <w:r w:rsidRPr="00BD7CE5">
        <w:rPr>
          <w:color w:val="000000" w:themeColor="text1"/>
          <w:sz w:val="16"/>
          <w:szCs w:val="16"/>
        </w:rPr>
        <w:t xml:space="preserve"> (Peter Lang Oxford 2018) </w:t>
      </w:r>
      <w:proofErr w:type="spellStart"/>
      <w:r w:rsidRPr="00BD7CE5">
        <w:rPr>
          <w:color w:val="000000" w:themeColor="text1"/>
          <w:sz w:val="16"/>
          <w:szCs w:val="16"/>
        </w:rPr>
        <w:t>epílogo</w:t>
      </w:r>
      <w:proofErr w:type="spellEnd"/>
      <w:r w:rsidRPr="00BD7CE5">
        <w:rPr>
          <w:color w:val="000000" w:themeColor="text1"/>
          <w:sz w:val="16"/>
          <w:szCs w:val="16"/>
        </w:rPr>
        <w:t>.</w:t>
      </w:r>
    </w:p>
  </w:footnote>
  <w:footnote w:id="59">
    <w:p w14:paraId="4DC6F721" w14:textId="55486DFA"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p.74-7. </w:t>
      </w:r>
    </w:p>
  </w:footnote>
  <w:footnote w:id="60">
    <w:p w14:paraId="589C4343" w14:textId="695E6D81"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p.77-8.</w:t>
      </w:r>
    </w:p>
  </w:footnote>
  <w:footnote w:id="61">
    <w:p w14:paraId="5E074A6E" w14:textId="54FCF34C" w:rsidR="00FE6443" w:rsidRPr="00BD7CE5" w:rsidRDefault="00FE6443"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w:t>
      </w:r>
      <w:r w:rsidRPr="00BD7CE5">
        <w:rPr>
          <w:iCs/>
          <w:color w:val="000000" w:themeColor="text1"/>
          <w:sz w:val="16"/>
          <w:szCs w:val="16"/>
        </w:rPr>
        <w:t xml:space="preserve">See </w:t>
      </w:r>
      <w:r w:rsidR="00BC5B90">
        <w:rPr>
          <w:iCs/>
          <w:color w:val="000000" w:themeColor="text1"/>
          <w:sz w:val="16"/>
          <w:szCs w:val="16"/>
        </w:rPr>
        <w:t xml:space="preserve">P </w:t>
      </w:r>
      <w:proofErr w:type="spellStart"/>
      <w:r w:rsidR="00BC5B90">
        <w:rPr>
          <w:iCs/>
          <w:color w:val="000000" w:themeColor="text1"/>
          <w:sz w:val="16"/>
          <w:szCs w:val="16"/>
        </w:rPr>
        <w:t>Crehan</w:t>
      </w:r>
      <w:proofErr w:type="spellEnd"/>
      <w:r w:rsidR="00BC5B90">
        <w:rPr>
          <w:iCs/>
          <w:color w:val="000000" w:themeColor="text1"/>
          <w:sz w:val="16"/>
          <w:szCs w:val="16"/>
        </w:rPr>
        <w:t xml:space="preserve"> </w:t>
      </w:r>
      <w:proofErr w:type="gramStart"/>
      <w:r w:rsidRPr="00BD7CE5">
        <w:rPr>
          <w:i/>
          <w:color w:val="000000" w:themeColor="text1"/>
          <w:sz w:val="16"/>
          <w:szCs w:val="16"/>
        </w:rPr>
        <w:t>The</w:t>
      </w:r>
      <w:proofErr w:type="gramEnd"/>
      <w:r w:rsidRPr="00BD7CE5">
        <w:rPr>
          <w:i/>
          <w:color w:val="000000" w:themeColor="text1"/>
          <w:sz w:val="16"/>
          <w:szCs w:val="16"/>
        </w:rPr>
        <w:t xml:space="preserve"> Economic Case for LGBT+ Inclusion in the Caribbean </w:t>
      </w:r>
      <w:r w:rsidRPr="00BD7CE5">
        <w:rPr>
          <w:color w:val="000000" w:themeColor="text1"/>
          <w:sz w:val="16"/>
          <w:szCs w:val="16"/>
        </w:rPr>
        <w:t>(Open for Business 2021)</w:t>
      </w:r>
      <w:r w:rsidR="00BC5B90">
        <w:rPr>
          <w:color w:val="000000" w:themeColor="text1"/>
          <w:sz w:val="16"/>
          <w:szCs w:val="16"/>
        </w:rPr>
        <w:t xml:space="preserve"> </w:t>
      </w:r>
      <w:r w:rsidR="00BC5B90" w:rsidRPr="00BC5B90">
        <w:rPr>
          <w:color w:val="000000" w:themeColor="text1"/>
          <w:sz w:val="16"/>
          <w:szCs w:val="16"/>
        </w:rPr>
        <w:t>A copy is available at: &lt;</w:t>
      </w:r>
      <w:hyperlink r:id="rId3" w:history="1">
        <w:r w:rsidR="00BC5B90" w:rsidRPr="00BC5B90">
          <w:rPr>
            <w:rStyle w:val="Hyperlink"/>
            <w:sz w:val="16"/>
            <w:szCs w:val="16"/>
          </w:rPr>
          <w:t>https://open-for-business.org/reports</w:t>
        </w:r>
      </w:hyperlink>
      <w:r w:rsidR="00BC5B90" w:rsidRPr="00BC5B90">
        <w:rPr>
          <w:color w:val="000000" w:themeColor="text1"/>
          <w:sz w:val="16"/>
          <w:szCs w:val="16"/>
        </w:rPr>
        <w:t>&gt; [accessed 24 May 2023].</w:t>
      </w:r>
    </w:p>
  </w:footnote>
  <w:footnote w:id="62">
    <w:p w14:paraId="17D926D1" w14:textId="77777777" w:rsidR="00367CFB" w:rsidRPr="00BD7CE5" w:rsidRDefault="00367CFB" w:rsidP="00AF4D89">
      <w:pPr>
        <w:pStyle w:val="FootnoteText"/>
        <w:jc w:val="both"/>
        <w:rPr>
          <w:color w:val="000000" w:themeColor="text1"/>
          <w:sz w:val="16"/>
          <w:szCs w:val="16"/>
        </w:rPr>
      </w:pPr>
      <w:r w:rsidRPr="00BD7CE5">
        <w:rPr>
          <w:rStyle w:val="FootnoteReference"/>
          <w:color w:val="000000" w:themeColor="text1"/>
          <w:sz w:val="16"/>
          <w:szCs w:val="16"/>
        </w:rPr>
        <w:footnoteRef/>
      </w:r>
      <w:r w:rsidRPr="00BD7CE5">
        <w:rPr>
          <w:color w:val="000000" w:themeColor="text1"/>
          <w:sz w:val="16"/>
          <w:szCs w:val="16"/>
        </w:rPr>
        <w:t xml:space="preserve"> IIHR Report (fn.4 above) at p.129. </w:t>
      </w:r>
    </w:p>
  </w:footnote>
  <w:footnote w:id="63">
    <w:p w14:paraId="22D695BC" w14:textId="3808275A" w:rsidR="003C5B7C" w:rsidRPr="00BD7CE5" w:rsidRDefault="003C5B7C">
      <w:pPr>
        <w:pStyle w:val="FootnoteText"/>
        <w:rPr>
          <w:sz w:val="16"/>
          <w:szCs w:val="16"/>
        </w:rPr>
      </w:pPr>
      <w:r w:rsidRPr="00BD7CE5">
        <w:rPr>
          <w:rStyle w:val="FootnoteReference"/>
          <w:sz w:val="16"/>
          <w:szCs w:val="16"/>
        </w:rPr>
        <w:footnoteRef/>
      </w:r>
      <w:r w:rsidRPr="00BD7CE5">
        <w:rPr>
          <w:sz w:val="16"/>
          <w:szCs w:val="16"/>
        </w:rPr>
        <w:t xml:space="preserve"> Judicial Committee Act</w:t>
      </w:r>
      <w:r w:rsidR="00F26C92" w:rsidRPr="00BD7CE5">
        <w:rPr>
          <w:sz w:val="16"/>
          <w:szCs w:val="16"/>
        </w:rPr>
        <w:t xml:space="preserve"> </w:t>
      </w:r>
      <w:r w:rsidR="00F26C92" w:rsidRPr="00BD7CE5">
        <w:rPr>
          <w:color w:val="000000" w:themeColor="text1"/>
          <w:sz w:val="16"/>
          <w:szCs w:val="16"/>
          <w:lang w:val="en-US"/>
        </w:rPr>
        <w:t>3-4 Will. 4 c. 41</w:t>
      </w:r>
      <w:r w:rsidR="00EE3B2B">
        <w:rPr>
          <w:color w:val="000000" w:themeColor="text1"/>
          <w:sz w:val="16"/>
          <w:szCs w:val="16"/>
          <w:lang w:val="en-US"/>
        </w:rPr>
        <w:t xml:space="preserve">. </w:t>
      </w:r>
      <w:r w:rsidR="00EE3B2B" w:rsidRPr="00EE3B2B">
        <w:rPr>
          <w:i/>
          <w:iCs/>
          <w:color w:val="000000" w:themeColor="text1"/>
          <w:sz w:val="16"/>
          <w:szCs w:val="16"/>
          <w:lang w:val="en-US"/>
        </w:rPr>
        <w:t>Contrast</w:t>
      </w:r>
      <w:r w:rsidR="00EE3B2B">
        <w:rPr>
          <w:color w:val="000000" w:themeColor="text1"/>
          <w:sz w:val="16"/>
          <w:szCs w:val="16"/>
          <w:lang w:val="en-US"/>
        </w:rPr>
        <w:t xml:space="preserve"> </w:t>
      </w:r>
      <w:r w:rsidR="00EE3B2B" w:rsidRPr="00BD7CE5">
        <w:rPr>
          <w:rFonts w:eastAsiaTheme="minorEastAsia"/>
          <w:color w:val="000000" w:themeColor="text1"/>
          <w:sz w:val="16"/>
          <w:szCs w:val="16"/>
          <w:lang w:eastAsia="en-US"/>
        </w:rPr>
        <w:t>Trinidad and Tobago</w:t>
      </w:r>
      <w:r w:rsidR="00EE3B2B" w:rsidRPr="00BD7CE5">
        <w:rPr>
          <w:color w:val="000000" w:themeColor="text1"/>
          <w:sz w:val="16"/>
          <w:szCs w:val="16"/>
        </w:rPr>
        <w:t xml:space="preserve"> </w:t>
      </w:r>
      <w:r w:rsidR="00EE3B2B" w:rsidRPr="00BD7CE5">
        <w:rPr>
          <w:rFonts w:eastAsiaTheme="minorEastAsia"/>
          <w:color w:val="000000" w:themeColor="text1"/>
          <w:sz w:val="16"/>
          <w:szCs w:val="16"/>
          <w:lang w:eastAsia="en-US"/>
        </w:rPr>
        <w:t xml:space="preserve">became a republic in </w:t>
      </w:r>
      <w:r w:rsidR="00EE3B2B" w:rsidRPr="00BD7CE5">
        <w:rPr>
          <w:color w:val="000000" w:themeColor="text1"/>
          <w:sz w:val="16"/>
          <w:szCs w:val="16"/>
        </w:rPr>
        <w:t xml:space="preserve">1976 but </w:t>
      </w:r>
      <w:r w:rsidR="00EE3B2B" w:rsidRPr="00BD7CE5">
        <w:rPr>
          <w:rFonts w:eastAsiaTheme="minorEastAsia"/>
          <w:color w:val="000000" w:themeColor="text1"/>
          <w:sz w:val="16"/>
          <w:szCs w:val="16"/>
          <w:lang w:eastAsia="en-US"/>
        </w:rPr>
        <w:t>retained the JCPC as the final Court of Appeal. In matters appealed to the JCPC, the board no longer</w:t>
      </w:r>
      <w:r w:rsidR="00EE3B2B" w:rsidRPr="00BD7CE5">
        <w:rPr>
          <w:color w:val="000000" w:themeColor="text1"/>
          <w:sz w:val="16"/>
          <w:szCs w:val="16"/>
        </w:rPr>
        <w:t xml:space="preserve"> </w:t>
      </w:r>
      <w:r w:rsidR="00EE3B2B" w:rsidRPr="00BD7CE5">
        <w:rPr>
          <w:rFonts w:eastAsiaTheme="minorEastAsia"/>
          <w:color w:val="000000" w:themeColor="text1"/>
          <w:sz w:val="16"/>
          <w:szCs w:val="16"/>
          <w:lang w:eastAsia="en-US"/>
        </w:rPr>
        <w:t>advises to the monarch, as this is no longer the head of state, and therefore the board makes decisions</w:t>
      </w:r>
      <w:r w:rsidR="00EE3B2B" w:rsidRPr="00BD7CE5">
        <w:rPr>
          <w:color w:val="000000" w:themeColor="text1"/>
          <w:sz w:val="16"/>
          <w:szCs w:val="16"/>
        </w:rPr>
        <w:t xml:space="preserve"> </w:t>
      </w:r>
      <w:r w:rsidR="00EE3B2B" w:rsidRPr="00BD7CE5">
        <w:rPr>
          <w:rFonts w:eastAsiaTheme="minorEastAsia"/>
          <w:color w:val="000000" w:themeColor="text1"/>
          <w:sz w:val="16"/>
          <w:szCs w:val="16"/>
          <w:lang w:eastAsia="en-US"/>
        </w:rPr>
        <w:t xml:space="preserve">directly </w:t>
      </w:r>
      <w:r w:rsidR="00EE3B2B" w:rsidRPr="00BD7CE5">
        <w:rPr>
          <w:color w:val="000000" w:themeColor="text1"/>
          <w:sz w:val="16"/>
          <w:szCs w:val="16"/>
        </w:rPr>
        <w:t>without the need of an</w:t>
      </w:r>
      <w:r w:rsidR="00EE3B2B" w:rsidRPr="00BD7CE5">
        <w:rPr>
          <w:rFonts w:eastAsiaTheme="minorEastAsia"/>
          <w:color w:val="000000" w:themeColor="text1"/>
          <w:sz w:val="16"/>
          <w:szCs w:val="16"/>
          <w:lang w:eastAsia="en-US"/>
        </w:rPr>
        <w:t xml:space="preserve"> Order in Council. See Lord </w:t>
      </w:r>
      <w:proofErr w:type="spellStart"/>
      <w:r w:rsidR="00EE3B2B" w:rsidRPr="00BD7CE5">
        <w:rPr>
          <w:rFonts w:eastAsiaTheme="minorEastAsia"/>
          <w:color w:val="000000" w:themeColor="text1"/>
          <w:sz w:val="16"/>
          <w:szCs w:val="16"/>
          <w:lang w:eastAsia="en-US"/>
        </w:rPr>
        <w:t>Mance</w:t>
      </w:r>
      <w:proofErr w:type="spellEnd"/>
      <w:r w:rsidR="00EE3B2B" w:rsidRPr="00BD7CE5">
        <w:rPr>
          <w:rFonts w:eastAsiaTheme="minorEastAsia"/>
          <w:color w:val="000000" w:themeColor="text1"/>
          <w:sz w:val="16"/>
          <w:szCs w:val="16"/>
          <w:lang w:eastAsia="en-US"/>
        </w:rPr>
        <w:t xml:space="preserve"> and J. Turner, </w:t>
      </w:r>
      <w:r w:rsidR="00EE3B2B" w:rsidRPr="00EE3B2B">
        <w:rPr>
          <w:rFonts w:eastAsiaTheme="minorEastAsia"/>
          <w:i/>
          <w:iCs/>
          <w:color w:val="000000" w:themeColor="text1"/>
          <w:sz w:val="16"/>
          <w:szCs w:val="16"/>
          <w:lang w:eastAsia="en-US"/>
        </w:rPr>
        <w:t>Privy Council Practice</w:t>
      </w:r>
      <w:r w:rsidR="00EE3B2B" w:rsidRPr="00BD7CE5">
        <w:rPr>
          <w:color w:val="000000" w:themeColor="text1"/>
          <w:sz w:val="16"/>
          <w:szCs w:val="16"/>
        </w:rPr>
        <w:t xml:space="preserve"> </w:t>
      </w:r>
      <w:r w:rsidR="00EE3B2B" w:rsidRPr="00BD7CE5">
        <w:rPr>
          <w:rFonts w:eastAsiaTheme="minorEastAsia"/>
          <w:color w:val="000000" w:themeColor="text1"/>
          <w:sz w:val="16"/>
          <w:szCs w:val="16"/>
        </w:rPr>
        <w:t>(Oxford: OUP, 2017) at [2.40]</w:t>
      </w:r>
      <w:proofErr w:type="gramStart"/>
      <w:r w:rsidR="00EE3B2B" w:rsidRPr="00BD7CE5">
        <w:rPr>
          <w:rFonts w:eastAsiaTheme="minorEastAsia"/>
          <w:color w:val="000000" w:themeColor="text1"/>
          <w:sz w:val="16"/>
          <w:szCs w:val="16"/>
        </w:rPr>
        <w:t>–[</w:t>
      </w:r>
      <w:proofErr w:type="gramEnd"/>
      <w:r w:rsidR="00EE3B2B" w:rsidRPr="00BD7CE5">
        <w:rPr>
          <w:rFonts w:eastAsiaTheme="minorEastAsia"/>
          <w:color w:val="000000" w:themeColor="text1"/>
          <w:sz w:val="16"/>
          <w:szCs w:val="16"/>
        </w:rPr>
        <w:t>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210F" w14:textId="77777777" w:rsidR="00162748" w:rsidRPr="00367CFB" w:rsidRDefault="00162748" w:rsidP="00162748">
    <w:pPr>
      <w:jc w:val="center"/>
      <w:rPr>
        <w:b/>
        <w:bCs/>
      </w:rPr>
    </w:pPr>
    <w:r w:rsidRPr="000A455F">
      <w:rPr>
        <w:b/>
        <w:bCs/>
      </w:rPr>
      <w:t xml:space="preserve">Call </w:t>
    </w:r>
    <w:r w:rsidRPr="00367CFB">
      <w:rPr>
        <w:b/>
        <w:bCs/>
      </w:rPr>
      <w:t xml:space="preserve">by the UN Independent Expert on SOGI </w:t>
    </w:r>
    <w:r w:rsidRPr="000A455F">
      <w:rPr>
        <w:b/>
        <w:bCs/>
      </w:rPr>
      <w:t>for inputs:</w:t>
    </w:r>
  </w:p>
  <w:p w14:paraId="65E54AA9" w14:textId="155E3AE0" w:rsidR="00162748" w:rsidRPr="00162748" w:rsidRDefault="00162748" w:rsidP="00162748">
    <w:pPr>
      <w:ind w:firstLine="360"/>
      <w:jc w:val="center"/>
      <w:rPr>
        <w:b/>
        <w:bCs/>
      </w:rPr>
    </w:pPr>
    <w:r w:rsidRPr="000A455F">
      <w:rPr>
        <w:b/>
        <w:bCs/>
      </w:rPr>
      <w:t>Report on colonialism and sexual orientation and gender identit</w:t>
    </w:r>
    <w:r>
      <w:rPr>
        <w:b/>
        <w:bCs/>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0A4"/>
    <w:multiLevelType w:val="multilevel"/>
    <w:tmpl w:val="E74A9C6E"/>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575DC"/>
    <w:multiLevelType w:val="multilevel"/>
    <w:tmpl w:val="3C9A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66AAE"/>
    <w:multiLevelType w:val="hybridMultilevel"/>
    <w:tmpl w:val="D382B468"/>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61A82"/>
    <w:multiLevelType w:val="hybridMultilevel"/>
    <w:tmpl w:val="FAA095C4"/>
    <w:lvl w:ilvl="0" w:tplc="04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2094764A"/>
    <w:multiLevelType w:val="hybridMultilevel"/>
    <w:tmpl w:val="08B08D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B2E3C"/>
    <w:multiLevelType w:val="multilevel"/>
    <w:tmpl w:val="C35C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B3FB2"/>
    <w:multiLevelType w:val="multilevel"/>
    <w:tmpl w:val="820A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D1431"/>
    <w:multiLevelType w:val="hybridMultilevel"/>
    <w:tmpl w:val="62C21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4669FC"/>
    <w:multiLevelType w:val="hybridMultilevel"/>
    <w:tmpl w:val="0AD25628"/>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BC0238E"/>
    <w:multiLevelType w:val="multilevel"/>
    <w:tmpl w:val="3C9A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0A4C70"/>
    <w:multiLevelType w:val="hybridMultilevel"/>
    <w:tmpl w:val="AABC6274"/>
    <w:lvl w:ilvl="0" w:tplc="6EC86B58">
      <w:start w:val="1"/>
      <w:numFmt w:val="decimal"/>
      <w:lvlText w:val="%1."/>
      <w:lvlJc w:val="left"/>
      <w:pPr>
        <w:ind w:left="360" w:hanging="360"/>
      </w:pPr>
      <w:rPr>
        <w:b/>
        <w:bCs/>
      </w:r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3DD7306E"/>
    <w:multiLevelType w:val="multilevel"/>
    <w:tmpl w:val="3070893E"/>
    <w:styleLink w:val="CurrentList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093D87"/>
    <w:multiLevelType w:val="hybridMultilevel"/>
    <w:tmpl w:val="62C214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E05ECC"/>
    <w:multiLevelType w:val="hybridMultilevel"/>
    <w:tmpl w:val="F2C4E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456DF"/>
    <w:multiLevelType w:val="hybridMultilevel"/>
    <w:tmpl w:val="0AD25628"/>
    <w:lvl w:ilvl="0" w:tplc="08090019">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EB6AF7"/>
    <w:multiLevelType w:val="multilevel"/>
    <w:tmpl w:val="E2928262"/>
    <w:styleLink w:val="CurrentList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6173FA"/>
    <w:multiLevelType w:val="multilevel"/>
    <w:tmpl w:val="0809001F"/>
    <w:numStyleLink w:val="111111"/>
  </w:abstractNum>
  <w:abstractNum w:abstractNumId="17" w15:restartNumberingAfterBreak="0">
    <w:nsid w:val="686C522F"/>
    <w:multiLevelType w:val="multilevel"/>
    <w:tmpl w:val="3C9A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25A1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A29C8"/>
    <w:multiLevelType w:val="hybridMultilevel"/>
    <w:tmpl w:val="22A6B672"/>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10"/>
    <w:multiLevelType w:val="hybridMultilevel"/>
    <w:tmpl w:val="08B08D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50688C"/>
    <w:multiLevelType w:val="multilevel"/>
    <w:tmpl w:val="2D14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C1B0F"/>
    <w:multiLevelType w:val="hybridMultilevel"/>
    <w:tmpl w:val="3070893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D87C17"/>
    <w:multiLevelType w:val="multilevel"/>
    <w:tmpl w:val="7EAE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8340B"/>
    <w:multiLevelType w:val="multilevel"/>
    <w:tmpl w:val="A814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9977487">
    <w:abstractNumId w:val="4"/>
  </w:num>
  <w:num w:numId="2" w16cid:durableId="513687150">
    <w:abstractNumId w:val="20"/>
  </w:num>
  <w:num w:numId="3" w16cid:durableId="1528828624">
    <w:abstractNumId w:val="19"/>
  </w:num>
  <w:num w:numId="4" w16cid:durableId="1335036234">
    <w:abstractNumId w:val="2"/>
  </w:num>
  <w:num w:numId="5" w16cid:durableId="1803034669">
    <w:abstractNumId w:val="3"/>
  </w:num>
  <w:num w:numId="6" w16cid:durableId="430125017">
    <w:abstractNumId w:val="12"/>
  </w:num>
  <w:num w:numId="7" w16cid:durableId="136799978">
    <w:abstractNumId w:val="18"/>
  </w:num>
  <w:num w:numId="8" w16cid:durableId="923681350">
    <w:abstractNumId w:val="16"/>
    <w:lvlOverride w:ilvl="0">
      <w:lvl w:ilvl="0">
        <w:start w:val="1"/>
        <w:numFmt w:val="decimal"/>
        <w:lvlText w:val="%1."/>
        <w:lvlJc w:val="left"/>
        <w:pPr>
          <w:ind w:left="1069" w:hanging="360"/>
        </w:pPr>
        <w:rPr>
          <w:b/>
          <w:bCs/>
          <w:i w:val="0"/>
          <w:iCs w:val="0"/>
        </w:rPr>
      </w:lvl>
    </w:lvlOverride>
    <w:lvlOverride w:ilvl="1">
      <w:lvl w:ilvl="1">
        <w:start w:val="1"/>
        <w:numFmt w:val="decimal"/>
        <w:lvlText w:val="%1.%2."/>
        <w:lvlJc w:val="left"/>
        <w:pPr>
          <w:ind w:left="4402" w:hanging="432"/>
        </w:pPr>
      </w:lvl>
    </w:lvlOverride>
    <w:lvlOverride w:ilvl="2">
      <w:lvl w:ilvl="2">
        <w:start w:val="1"/>
        <w:numFmt w:val="decimal"/>
        <w:lvlText w:val="%1.%2.%3."/>
        <w:lvlJc w:val="left"/>
        <w:pPr>
          <w:ind w:left="1933" w:hanging="504"/>
        </w:pPr>
      </w:lvl>
    </w:lvlOverride>
    <w:lvlOverride w:ilvl="3">
      <w:lvl w:ilvl="3">
        <w:start w:val="1"/>
        <w:numFmt w:val="decimal"/>
        <w:lvlText w:val="%1.%2.%3.%4."/>
        <w:lvlJc w:val="left"/>
        <w:pPr>
          <w:ind w:left="2437" w:hanging="648"/>
        </w:pPr>
      </w:lvl>
    </w:lvlOverride>
    <w:lvlOverride w:ilvl="4">
      <w:lvl w:ilvl="4">
        <w:start w:val="1"/>
        <w:numFmt w:val="decimal"/>
        <w:lvlText w:val="%1.%2.%3.%4.%5."/>
        <w:lvlJc w:val="left"/>
        <w:pPr>
          <w:ind w:left="2941" w:hanging="792"/>
        </w:pPr>
      </w:lvl>
    </w:lvlOverride>
    <w:lvlOverride w:ilvl="5">
      <w:lvl w:ilvl="5">
        <w:start w:val="1"/>
        <w:numFmt w:val="decimal"/>
        <w:lvlText w:val="%1.%2.%3.%4.%5.%6."/>
        <w:lvlJc w:val="left"/>
        <w:pPr>
          <w:ind w:left="3445" w:hanging="936"/>
        </w:pPr>
      </w:lvl>
    </w:lvlOverride>
    <w:lvlOverride w:ilvl="6">
      <w:lvl w:ilvl="6">
        <w:start w:val="1"/>
        <w:numFmt w:val="decimal"/>
        <w:lvlText w:val="%1.%2.%3.%4.%5.%6.%7."/>
        <w:lvlJc w:val="left"/>
        <w:pPr>
          <w:ind w:left="3949" w:hanging="1080"/>
        </w:pPr>
      </w:lvl>
    </w:lvlOverride>
    <w:lvlOverride w:ilvl="7">
      <w:lvl w:ilvl="7">
        <w:start w:val="1"/>
        <w:numFmt w:val="decimal"/>
        <w:lvlText w:val="%1.%2.%3.%4.%5.%6.%7.%8."/>
        <w:lvlJc w:val="left"/>
        <w:pPr>
          <w:ind w:left="4453" w:hanging="1224"/>
        </w:pPr>
      </w:lvl>
    </w:lvlOverride>
    <w:lvlOverride w:ilvl="8">
      <w:lvl w:ilvl="8">
        <w:start w:val="1"/>
        <w:numFmt w:val="decimal"/>
        <w:lvlText w:val="%1.%2.%3.%4.%5.%6.%7.%8.%9."/>
        <w:lvlJc w:val="left"/>
        <w:pPr>
          <w:ind w:left="5029" w:hanging="1440"/>
        </w:pPr>
      </w:lvl>
    </w:lvlOverride>
  </w:num>
  <w:num w:numId="9" w16cid:durableId="1379740051">
    <w:abstractNumId w:val="7"/>
  </w:num>
  <w:num w:numId="10" w16cid:durableId="2057315731">
    <w:abstractNumId w:val="10"/>
  </w:num>
  <w:num w:numId="11" w16cid:durableId="1980380852">
    <w:abstractNumId w:val="22"/>
  </w:num>
  <w:num w:numId="12" w16cid:durableId="434638899">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16cid:durableId="134877254">
    <w:abstractNumId w:val="5"/>
  </w:num>
  <w:num w:numId="14" w16cid:durableId="1345743183">
    <w:abstractNumId w:val="24"/>
  </w:num>
  <w:num w:numId="15" w16cid:durableId="1943029297">
    <w:abstractNumId w:val="13"/>
  </w:num>
  <w:num w:numId="16" w16cid:durableId="1262184412">
    <w:abstractNumId w:val="21"/>
  </w:num>
  <w:num w:numId="17" w16cid:durableId="113258932">
    <w:abstractNumId w:val="25"/>
  </w:num>
  <w:num w:numId="18" w16cid:durableId="46802109">
    <w:abstractNumId w:val="14"/>
  </w:num>
  <w:num w:numId="19" w16cid:durableId="1315376506">
    <w:abstractNumId w:val="6"/>
  </w:num>
  <w:num w:numId="20" w16cid:durableId="558706306">
    <w:abstractNumId w:val="0"/>
  </w:num>
  <w:num w:numId="21" w16cid:durableId="1209145239">
    <w:abstractNumId w:val="23"/>
  </w:num>
  <w:num w:numId="22" w16cid:durableId="650136519">
    <w:abstractNumId w:val="11"/>
  </w:num>
  <w:num w:numId="23" w16cid:durableId="1246302853">
    <w:abstractNumId w:val="15"/>
  </w:num>
  <w:num w:numId="24" w16cid:durableId="925917274">
    <w:abstractNumId w:val="8"/>
  </w:num>
  <w:num w:numId="25" w16cid:durableId="1357460342">
    <w:abstractNumId w:val="1"/>
  </w:num>
  <w:num w:numId="26" w16cid:durableId="1154220411">
    <w:abstractNumId w:val="17"/>
  </w:num>
  <w:num w:numId="27" w16cid:durableId="1419905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7"/>
    <w:rsid w:val="0002668C"/>
    <w:rsid w:val="000A455F"/>
    <w:rsid w:val="000B10A6"/>
    <w:rsid w:val="000D14A1"/>
    <w:rsid w:val="000E293C"/>
    <w:rsid w:val="000F0037"/>
    <w:rsid w:val="000F6782"/>
    <w:rsid w:val="001224DD"/>
    <w:rsid w:val="00162748"/>
    <w:rsid w:val="001C0123"/>
    <w:rsid w:val="001F1B4C"/>
    <w:rsid w:val="001F31D3"/>
    <w:rsid w:val="0022049F"/>
    <w:rsid w:val="00237CD7"/>
    <w:rsid w:val="00240218"/>
    <w:rsid w:val="00244957"/>
    <w:rsid w:val="002E60F8"/>
    <w:rsid w:val="002F007D"/>
    <w:rsid w:val="003305FE"/>
    <w:rsid w:val="00330DD4"/>
    <w:rsid w:val="003332DD"/>
    <w:rsid w:val="00342342"/>
    <w:rsid w:val="00367CFB"/>
    <w:rsid w:val="003C5B7C"/>
    <w:rsid w:val="003D3670"/>
    <w:rsid w:val="003E2B6D"/>
    <w:rsid w:val="003F4343"/>
    <w:rsid w:val="003F6656"/>
    <w:rsid w:val="00401B00"/>
    <w:rsid w:val="004123EA"/>
    <w:rsid w:val="00420054"/>
    <w:rsid w:val="004213ED"/>
    <w:rsid w:val="00484DE7"/>
    <w:rsid w:val="005100E8"/>
    <w:rsid w:val="00511B05"/>
    <w:rsid w:val="00584F7B"/>
    <w:rsid w:val="00587853"/>
    <w:rsid w:val="005C38D8"/>
    <w:rsid w:val="00650013"/>
    <w:rsid w:val="00653F67"/>
    <w:rsid w:val="006643A0"/>
    <w:rsid w:val="006939A5"/>
    <w:rsid w:val="006C7303"/>
    <w:rsid w:val="007057B6"/>
    <w:rsid w:val="007939A9"/>
    <w:rsid w:val="007E1F49"/>
    <w:rsid w:val="007E240E"/>
    <w:rsid w:val="007E5E22"/>
    <w:rsid w:val="008059A6"/>
    <w:rsid w:val="00807EF4"/>
    <w:rsid w:val="008168F9"/>
    <w:rsid w:val="00843B49"/>
    <w:rsid w:val="00847FA6"/>
    <w:rsid w:val="008A4198"/>
    <w:rsid w:val="008A7C1D"/>
    <w:rsid w:val="00900FB4"/>
    <w:rsid w:val="009968A1"/>
    <w:rsid w:val="009A6FB0"/>
    <w:rsid w:val="009B2F73"/>
    <w:rsid w:val="009F0156"/>
    <w:rsid w:val="009F25D1"/>
    <w:rsid w:val="00A079E3"/>
    <w:rsid w:val="00A64979"/>
    <w:rsid w:val="00AF4D89"/>
    <w:rsid w:val="00B14543"/>
    <w:rsid w:val="00B6706D"/>
    <w:rsid w:val="00B82A99"/>
    <w:rsid w:val="00BC5B90"/>
    <w:rsid w:val="00BD7CE5"/>
    <w:rsid w:val="00BF4DB0"/>
    <w:rsid w:val="00C93129"/>
    <w:rsid w:val="00C975C9"/>
    <w:rsid w:val="00CA1697"/>
    <w:rsid w:val="00D2462A"/>
    <w:rsid w:val="00D62829"/>
    <w:rsid w:val="00D64C4F"/>
    <w:rsid w:val="00D66E8C"/>
    <w:rsid w:val="00D91742"/>
    <w:rsid w:val="00DB77EE"/>
    <w:rsid w:val="00DB7E0D"/>
    <w:rsid w:val="00DD1819"/>
    <w:rsid w:val="00E42732"/>
    <w:rsid w:val="00E72B90"/>
    <w:rsid w:val="00EE3B2B"/>
    <w:rsid w:val="00EF663F"/>
    <w:rsid w:val="00F00484"/>
    <w:rsid w:val="00F12583"/>
    <w:rsid w:val="00F15EA1"/>
    <w:rsid w:val="00F26C92"/>
    <w:rsid w:val="00F40BE0"/>
    <w:rsid w:val="00F55CC6"/>
    <w:rsid w:val="00F66873"/>
    <w:rsid w:val="00FC7079"/>
    <w:rsid w:val="00FE14C0"/>
    <w:rsid w:val="00FE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5858C"/>
  <w15:chartTrackingRefBased/>
  <w15:docId w15:val="{30E3BCDE-139A-A441-9B38-6529EBA5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FB"/>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E240E"/>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7E240E"/>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7E240E"/>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7E240E"/>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7E240E"/>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7E240E"/>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7E240E"/>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7E240E"/>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7E240E"/>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0E"/>
    <w:pPr>
      <w:ind w:left="720"/>
      <w:contextualSpacing/>
    </w:pPr>
  </w:style>
  <w:style w:type="paragraph" w:styleId="FootnoteText">
    <w:name w:val="footnote text"/>
    <w:basedOn w:val="Normal"/>
    <w:link w:val="FootnoteTextChar"/>
    <w:uiPriority w:val="99"/>
    <w:unhideWhenUsed/>
    <w:rsid w:val="007057B6"/>
    <w:rPr>
      <w:sz w:val="20"/>
      <w:szCs w:val="20"/>
    </w:rPr>
  </w:style>
  <w:style w:type="character" w:customStyle="1" w:styleId="FootnoteTextChar">
    <w:name w:val="Footnote Text Char"/>
    <w:basedOn w:val="DefaultParagraphFont"/>
    <w:link w:val="FootnoteText"/>
    <w:uiPriority w:val="99"/>
    <w:rsid w:val="007057B6"/>
    <w:rPr>
      <w:sz w:val="20"/>
      <w:szCs w:val="20"/>
    </w:rPr>
  </w:style>
  <w:style w:type="character" w:styleId="FootnoteReference">
    <w:name w:val="footnote reference"/>
    <w:basedOn w:val="DefaultParagraphFont"/>
    <w:uiPriority w:val="99"/>
    <w:unhideWhenUsed/>
    <w:rsid w:val="007057B6"/>
    <w:rPr>
      <w:vertAlign w:val="superscript"/>
    </w:rPr>
  </w:style>
  <w:style w:type="numbering" w:styleId="111111">
    <w:name w:val="Outline List 2"/>
    <w:basedOn w:val="NoList"/>
    <w:uiPriority w:val="99"/>
    <w:semiHidden/>
    <w:unhideWhenUsed/>
    <w:rsid w:val="007057B6"/>
    <w:pPr>
      <w:numPr>
        <w:numId w:val="7"/>
      </w:numPr>
    </w:pPr>
  </w:style>
  <w:style w:type="paragraph" w:styleId="Revision">
    <w:name w:val="Revision"/>
    <w:hidden/>
    <w:uiPriority w:val="99"/>
    <w:semiHidden/>
    <w:rsid w:val="00D91742"/>
  </w:style>
  <w:style w:type="paragraph" w:styleId="Header">
    <w:name w:val="header"/>
    <w:basedOn w:val="Normal"/>
    <w:link w:val="HeaderChar"/>
    <w:uiPriority w:val="99"/>
    <w:unhideWhenUsed/>
    <w:rsid w:val="007E240E"/>
    <w:pPr>
      <w:tabs>
        <w:tab w:val="center" w:pos="4680"/>
        <w:tab w:val="right" w:pos="9360"/>
      </w:tabs>
    </w:pPr>
  </w:style>
  <w:style w:type="character" w:customStyle="1" w:styleId="HeaderChar">
    <w:name w:val="Header Char"/>
    <w:basedOn w:val="DefaultParagraphFont"/>
    <w:link w:val="Header"/>
    <w:uiPriority w:val="99"/>
    <w:rsid w:val="007E240E"/>
  </w:style>
  <w:style w:type="paragraph" w:styleId="Footer">
    <w:name w:val="footer"/>
    <w:basedOn w:val="Normal"/>
    <w:link w:val="FooterChar"/>
    <w:uiPriority w:val="99"/>
    <w:unhideWhenUsed/>
    <w:rsid w:val="007E240E"/>
    <w:pPr>
      <w:tabs>
        <w:tab w:val="center" w:pos="4680"/>
        <w:tab w:val="right" w:pos="9360"/>
      </w:tabs>
    </w:pPr>
  </w:style>
  <w:style w:type="character" w:customStyle="1" w:styleId="FooterChar">
    <w:name w:val="Footer Char"/>
    <w:basedOn w:val="DefaultParagraphFont"/>
    <w:link w:val="Footer"/>
    <w:uiPriority w:val="99"/>
    <w:rsid w:val="007E240E"/>
  </w:style>
  <w:style w:type="character" w:customStyle="1" w:styleId="Heading1Char">
    <w:name w:val="Heading 1 Char"/>
    <w:basedOn w:val="DefaultParagraphFont"/>
    <w:link w:val="Heading1"/>
    <w:uiPriority w:val="9"/>
    <w:rsid w:val="007E240E"/>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7E240E"/>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7E240E"/>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7E240E"/>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7E240E"/>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7E240E"/>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7E240E"/>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7E240E"/>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7E240E"/>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7E240E"/>
    <w:rPr>
      <w:b/>
      <w:bCs/>
      <w:sz w:val="18"/>
      <w:szCs w:val="18"/>
    </w:rPr>
  </w:style>
  <w:style w:type="paragraph" w:styleId="Title">
    <w:name w:val="Title"/>
    <w:basedOn w:val="Normal"/>
    <w:next w:val="Normal"/>
    <w:link w:val="TitleChar"/>
    <w:uiPriority w:val="10"/>
    <w:qFormat/>
    <w:rsid w:val="007E240E"/>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7E240E"/>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7E240E"/>
    <w:pPr>
      <w:spacing w:before="200" w:after="900"/>
      <w:jc w:val="right"/>
    </w:pPr>
    <w:rPr>
      <w:i/>
      <w:iCs/>
    </w:rPr>
  </w:style>
  <w:style w:type="character" w:customStyle="1" w:styleId="SubtitleChar">
    <w:name w:val="Subtitle Char"/>
    <w:basedOn w:val="DefaultParagraphFont"/>
    <w:link w:val="Subtitle"/>
    <w:uiPriority w:val="11"/>
    <w:rsid w:val="007E240E"/>
    <w:rPr>
      <w:i/>
      <w:iCs/>
      <w:sz w:val="24"/>
      <w:szCs w:val="24"/>
    </w:rPr>
  </w:style>
  <w:style w:type="character" w:styleId="Strong">
    <w:name w:val="Strong"/>
    <w:basedOn w:val="DefaultParagraphFont"/>
    <w:uiPriority w:val="22"/>
    <w:qFormat/>
    <w:rsid w:val="007E240E"/>
    <w:rPr>
      <w:b/>
      <w:bCs/>
      <w:spacing w:val="0"/>
    </w:rPr>
  </w:style>
  <w:style w:type="character" w:styleId="Emphasis">
    <w:name w:val="Emphasis"/>
    <w:uiPriority w:val="20"/>
    <w:qFormat/>
    <w:rsid w:val="007E240E"/>
    <w:rPr>
      <w:b/>
      <w:bCs/>
      <w:i/>
      <w:iCs/>
      <w:color w:val="5A5A5A" w:themeColor="text1" w:themeTint="A5"/>
    </w:rPr>
  </w:style>
  <w:style w:type="paragraph" w:styleId="NoSpacing">
    <w:name w:val="No Spacing"/>
    <w:basedOn w:val="Normal"/>
    <w:link w:val="NoSpacingChar"/>
    <w:uiPriority w:val="1"/>
    <w:qFormat/>
    <w:rsid w:val="007E240E"/>
  </w:style>
  <w:style w:type="character" w:customStyle="1" w:styleId="NoSpacingChar">
    <w:name w:val="No Spacing Char"/>
    <w:basedOn w:val="DefaultParagraphFont"/>
    <w:link w:val="NoSpacing"/>
    <w:uiPriority w:val="1"/>
    <w:rsid w:val="007E240E"/>
  </w:style>
  <w:style w:type="paragraph" w:styleId="Quote">
    <w:name w:val="Quote"/>
    <w:basedOn w:val="Normal"/>
    <w:next w:val="Normal"/>
    <w:link w:val="QuoteChar"/>
    <w:uiPriority w:val="29"/>
    <w:qFormat/>
    <w:rsid w:val="007E240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E240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E240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7E240E"/>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7E240E"/>
    <w:rPr>
      <w:i/>
      <w:iCs/>
      <w:color w:val="5A5A5A" w:themeColor="text1" w:themeTint="A5"/>
    </w:rPr>
  </w:style>
  <w:style w:type="character" w:styleId="IntenseEmphasis">
    <w:name w:val="Intense Emphasis"/>
    <w:uiPriority w:val="21"/>
    <w:qFormat/>
    <w:rsid w:val="007E240E"/>
    <w:rPr>
      <w:b/>
      <w:bCs/>
      <w:i/>
      <w:iCs/>
      <w:color w:val="4472C4" w:themeColor="accent1"/>
      <w:sz w:val="22"/>
      <w:szCs w:val="22"/>
    </w:rPr>
  </w:style>
  <w:style w:type="character" w:styleId="SubtleReference">
    <w:name w:val="Subtle Reference"/>
    <w:uiPriority w:val="31"/>
    <w:qFormat/>
    <w:rsid w:val="007E240E"/>
    <w:rPr>
      <w:color w:val="auto"/>
      <w:u w:val="single" w:color="A5A5A5" w:themeColor="accent3"/>
    </w:rPr>
  </w:style>
  <w:style w:type="character" w:styleId="IntenseReference">
    <w:name w:val="Intense Reference"/>
    <w:basedOn w:val="DefaultParagraphFont"/>
    <w:uiPriority w:val="32"/>
    <w:qFormat/>
    <w:rsid w:val="007E240E"/>
    <w:rPr>
      <w:b/>
      <w:bCs/>
      <w:color w:val="7B7B7B" w:themeColor="accent3" w:themeShade="BF"/>
      <w:u w:val="single" w:color="A5A5A5" w:themeColor="accent3"/>
    </w:rPr>
  </w:style>
  <w:style w:type="character" w:styleId="BookTitle">
    <w:name w:val="Book Title"/>
    <w:basedOn w:val="DefaultParagraphFont"/>
    <w:uiPriority w:val="33"/>
    <w:qFormat/>
    <w:rsid w:val="007E240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E240E"/>
    <w:pPr>
      <w:outlineLvl w:val="9"/>
    </w:pPr>
  </w:style>
  <w:style w:type="paragraph" w:customStyle="1" w:styleId="PersonalName">
    <w:name w:val="Personal Name"/>
    <w:basedOn w:val="Title"/>
    <w:rsid w:val="007E240E"/>
    <w:rPr>
      <w:b/>
      <w:caps/>
      <w:color w:val="000000"/>
      <w:sz w:val="28"/>
      <w:szCs w:val="28"/>
    </w:rPr>
  </w:style>
  <w:style w:type="character" w:styleId="PageNumber">
    <w:name w:val="page number"/>
    <w:basedOn w:val="DefaultParagraphFont"/>
    <w:uiPriority w:val="99"/>
    <w:semiHidden/>
    <w:unhideWhenUsed/>
    <w:rsid w:val="00D66E8C"/>
  </w:style>
  <w:style w:type="character" w:styleId="Hyperlink">
    <w:name w:val="Hyperlink"/>
    <w:basedOn w:val="DefaultParagraphFont"/>
    <w:uiPriority w:val="99"/>
    <w:unhideWhenUsed/>
    <w:rsid w:val="000A455F"/>
    <w:rPr>
      <w:color w:val="0000FF"/>
      <w:u w:val="single"/>
    </w:rPr>
  </w:style>
  <w:style w:type="paragraph" w:styleId="EndnoteText">
    <w:name w:val="endnote text"/>
    <w:basedOn w:val="Normal"/>
    <w:link w:val="EndnoteTextChar"/>
    <w:uiPriority w:val="99"/>
    <w:semiHidden/>
    <w:unhideWhenUsed/>
    <w:rsid w:val="00FE6443"/>
    <w:rPr>
      <w:sz w:val="20"/>
      <w:szCs w:val="20"/>
    </w:rPr>
  </w:style>
  <w:style w:type="character" w:customStyle="1" w:styleId="EndnoteTextChar">
    <w:name w:val="Endnote Text Char"/>
    <w:basedOn w:val="DefaultParagraphFont"/>
    <w:link w:val="EndnoteText"/>
    <w:uiPriority w:val="99"/>
    <w:semiHidden/>
    <w:rsid w:val="00FE6443"/>
    <w:rPr>
      <w:rFonts w:ascii="Times New Roman" w:eastAsia="Times New Roman" w:hAnsi="Times New Roman" w:cs="Times New Roman"/>
      <w:sz w:val="20"/>
      <w:szCs w:val="20"/>
      <w:lang w:eastAsia="en-GB"/>
    </w:rPr>
  </w:style>
  <w:style w:type="numbering" w:customStyle="1" w:styleId="CurrentList1">
    <w:name w:val="Current List1"/>
    <w:uiPriority w:val="99"/>
    <w:rsid w:val="00367CFB"/>
    <w:pPr>
      <w:numPr>
        <w:numId w:val="20"/>
      </w:numPr>
    </w:pPr>
  </w:style>
  <w:style w:type="numbering" w:customStyle="1" w:styleId="CurrentList2">
    <w:name w:val="Current List2"/>
    <w:uiPriority w:val="99"/>
    <w:rsid w:val="00367CFB"/>
    <w:pPr>
      <w:numPr>
        <w:numId w:val="22"/>
      </w:numPr>
    </w:pPr>
  </w:style>
  <w:style w:type="numbering" w:customStyle="1" w:styleId="CurrentList3">
    <w:name w:val="Current List3"/>
    <w:uiPriority w:val="99"/>
    <w:rsid w:val="00367CFB"/>
    <w:pPr>
      <w:numPr>
        <w:numId w:val="23"/>
      </w:numPr>
    </w:pPr>
  </w:style>
  <w:style w:type="character" w:styleId="UnresolvedMention">
    <w:name w:val="Unresolved Mention"/>
    <w:basedOn w:val="DefaultParagraphFont"/>
    <w:uiPriority w:val="99"/>
    <w:semiHidden/>
    <w:unhideWhenUsed/>
    <w:rsid w:val="00D2462A"/>
    <w:rPr>
      <w:color w:val="605E5C"/>
      <w:shd w:val="clear" w:color="auto" w:fill="E1DFDD"/>
    </w:rPr>
  </w:style>
  <w:style w:type="character" w:styleId="FollowedHyperlink">
    <w:name w:val="FollowedHyperlink"/>
    <w:basedOn w:val="DefaultParagraphFont"/>
    <w:uiPriority w:val="99"/>
    <w:semiHidden/>
    <w:unhideWhenUsed/>
    <w:rsid w:val="00693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1164">
      <w:bodyDiv w:val="1"/>
      <w:marLeft w:val="0"/>
      <w:marRight w:val="0"/>
      <w:marTop w:val="0"/>
      <w:marBottom w:val="0"/>
      <w:divBdr>
        <w:top w:val="none" w:sz="0" w:space="0" w:color="auto"/>
        <w:left w:val="none" w:sz="0" w:space="0" w:color="auto"/>
        <w:bottom w:val="none" w:sz="0" w:space="0" w:color="auto"/>
        <w:right w:val="none" w:sz="0" w:space="0" w:color="auto"/>
      </w:divBdr>
    </w:div>
    <w:div w:id="618924292">
      <w:bodyDiv w:val="1"/>
      <w:marLeft w:val="0"/>
      <w:marRight w:val="0"/>
      <w:marTop w:val="0"/>
      <w:marBottom w:val="0"/>
      <w:divBdr>
        <w:top w:val="none" w:sz="0" w:space="0" w:color="auto"/>
        <w:left w:val="none" w:sz="0" w:space="0" w:color="auto"/>
        <w:bottom w:val="none" w:sz="0" w:space="0" w:color="auto"/>
        <w:right w:val="none" w:sz="0" w:space="0" w:color="auto"/>
      </w:divBdr>
    </w:div>
    <w:div w:id="745036202">
      <w:bodyDiv w:val="1"/>
      <w:marLeft w:val="0"/>
      <w:marRight w:val="0"/>
      <w:marTop w:val="0"/>
      <w:marBottom w:val="0"/>
      <w:divBdr>
        <w:top w:val="none" w:sz="0" w:space="0" w:color="auto"/>
        <w:left w:val="none" w:sz="0" w:space="0" w:color="auto"/>
        <w:bottom w:val="none" w:sz="0" w:space="0" w:color="auto"/>
        <w:right w:val="none" w:sz="0" w:space="0" w:color="auto"/>
      </w:divBdr>
      <w:divsChild>
        <w:div w:id="65183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1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972951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488462">
      <w:bodyDiv w:val="1"/>
      <w:marLeft w:val="0"/>
      <w:marRight w:val="0"/>
      <w:marTop w:val="0"/>
      <w:marBottom w:val="0"/>
      <w:divBdr>
        <w:top w:val="none" w:sz="0" w:space="0" w:color="auto"/>
        <w:left w:val="none" w:sz="0" w:space="0" w:color="auto"/>
        <w:bottom w:val="none" w:sz="0" w:space="0" w:color="auto"/>
        <w:right w:val="none" w:sz="0" w:space="0" w:color="auto"/>
      </w:divBdr>
    </w:div>
    <w:div w:id="1026296813">
      <w:bodyDiv w:val="1"/>
      <w:marLeft w:val="0"/>
      <w:marRight w:val="0"/>
      <w:marTop w:val="0"/>
      <w:marBottom w:val="0"/>
      <w:divBdr>
        <w:top w:val="none" w:sz="0" w:space="0" w:color="auto"/>
        <w:left w:val="none" w:sz="0" w:space="0" w:color="auto"/>
        <w:bottom w:val="none" w:sz="0" w:space="0" w:color="auto"/>
        <w:right w:val="none" w:sz="0" w:space="0" w:color="auto"/>
      </w:divBdr>
    </w:div>
    <w:div w:id="1029794344">
      <w:bodyDiv w:val="1"/>
      <w:marLeft w:val="0"/>
      <w:marRight w:val="0"/>
      <w:marTop w:val="0"/>
      <w:marBottom w:val="0"/>
      <w:divBdr>
        <w:top w:val="none" w:sz="0" w:space="0" w:color="auto"/>
        <w:left w:val="none" w:sz="0" w:space="0" w:color="auto"/>
        <w:bottom w:val="none" w:sz="0" w:space="0" w:color="auto"/>
        <w:right w:val="none" w:sz="0" w:space="0" w:color="auto"/>
      </w:divBdr>
    </w:div>
    <w:div w:id="1076903945">
      <w:bodyDiv w:val="1"/>
      <w:marLeft w:val="0"/>
      <w:marRight w:val="0"/>
      <w:marTop w:val="0"/>
      <w:marBottom w:val="0"/>
      <w:divBdr>
        <w:top w:val="none" w:sz="0" w:space="0" w:color="auto"/>
        <w:left w:val="none" w:sz="0" w:space="0" w:color="auto"/>
        <w:bottom w:val="none" w:sz="0" w:space="0" w:color="auto"/>
        <w:right w:val="none" w:sz="0" w:space="0" w:color="auto"/>
      </w:divBdr>
    </w:div>
    <w:div w:id="1201674229">
      <w:bodyDiv w:val="1"/>
      <w:marLeft w:val="0"/>
      <w:marRight w:val="0"/>
      <w:marTop w:val="0"/>
      <w:marBottom w:val="0"/>
      <w:divBdr>
        <w:top w:val="none" w:sz="0" w:space="0" w:color="auto"/>
        <w:left w:val="none" w:sz="0" w:space="0" w:color="auto"/>
        <w:bottom w:val="none" w:sz="0" w:space="0" w:color="auto"/>
        <w:right w:val="none" w:sz="0" w:space="0" w:color="auto"/>
      </w:divBdr>
    </w:div>
    <w:div w:id="1554657935">
      <w:bodyDiv w:val="1"/>
      <w:marLeft w:val="0"/>
      <w:marRight w:val="0"/>
      <w:marTop w:val="0"/>
      <w:marBottom w:val="0"/>
      <w:divBdr>
        <w:top w:val="none" w:sz="0" w:space="0" w:color="auto"/>
        <w:left w:val="none" w:sz="0" w:space="0" w:color="auto"/>
        <w:bottom w:val="none" w:sz="0" w:space="0" w:color="auto"/>
        <w:right w:val="none" w:sz="0" w:space="0" w:color="auto"/>
      </w:divBdr>
    </w:div>
    <w:div w:id="1980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raznovic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ulzaffaroni@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for-business.org/reports" TargetMode="External"/><Relationship Id="rId2" Type="http://schemas.openxmlformats.org/officeDocument/2006/relationships/hyperlink" Target="https://www.youtube.com/watch?v=ABBzVPmRRDI" TargetMode="External"/><Relationship Id="rId1" Type="http://schemas.openxmlformats.org/officeDocument/2006/relationships/hyperlink" Target="http://www.ilanud.or.cr/lanzamiento-del-libro-el-derecho-humano-al-respeto-a-la-os-y-la-ig-en-el-caribe-y-en-america-lat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annex-3</Doctype>
    <Contributor xmlns="d42e65b2-cf21-49c1-b27d-d23f90380c0e">Colours Caribbean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65F2C69-5121-284B-8CCD-5B0FFD5093AA}">
  <ds:schemaRefs>
    <ds:schemaRef ds:uri="http://schemas.openxmlformats.org/officeDocument/2006/bibliography"/>
  </ds:schemaRefs>
</ds:datastoreItem>
</file>

<file path=customXml/itemProps2.xml><?xml version="1.0" encoding="utf-8"?>
<ds:datastoreItem xmlns:ds="http://schemas.openxmlformats.org/officeDocument/2006/customXml" ds:itemID="{4A0EF24A-C324-4808-AC24-25F1AC298D46}"/>
</file>

<file path=customXml/itemProps3.xml><?xml version="1.0" encoding="utf-8"?>
<ds:datastoreItem xmlns:ds="http://schemas.openxmlformats.org/officeDocument/2006/customXml" ds:itemID="{17E7966E-11A6-4B97-ADBC-F0675CAA9598}"/>
</file>

<file path=customXml/itemProps4.xml><?xml version="1.0" encoding="utf-8"?>
<ds:datastoreItem xmlns:ds="http://schemas.openxmlformats.org/officeDocument/2006/customXml" ds:itemID="{DA410B8B-4E9C-4BCB-A2AB-24B96A635A49}"/>
</file>

<file path=docProps/app.xml><?xml version="1.0" encoding="utf-8"?>
<Properties xmlns="http://schemas.openxmlformats.org/officeDocument/2006/extended-properties" xmlns:vt="http://schemas.openxmlformats.org/officeDocument/2006/docPropsVTypes">
  <Template>Normal.dotm</Template>
  <TotalTime>32</TotalTime>
  <Pages>8</Pages>
  <Words>3411</Words>
  <Characters>18289</Characters>
  <Application>Microsoft Office Word</Application>
  <DocSecurity>0</DocSecurity>
  <Lines>290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Reeve</dc:creator>
  <cp:keywords/>
  <dc:description/>
  <cp:lastModifiedBy>James Reeve</cp:lastModifiedBy>
  <cp:revision>8</cp:revision>
  <dcterms:created xsi:type="dcterms:W3CDTF">2023-05-24T12:34:00Z</dcterms:created>
  <dcterms:modified xsi:type="dcterms:W3CDTF">2023-05-24T14:46:00Z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