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Joint Input of Human Rights Platform and Queer Cyprus Association</w:t>
      </w:r>
    </w:p>
    <w:p w:rsidR="00000000" w:rsidDel="00000000" w:rsidP="00000000" w:rsidRDefault="00000000" w:rsidRPr="00000000" w14:paraId="00000002">
      <w:pPr>
        <w:spacing w:after="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Queer Cyprus</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is a civil society movement that started off as the “Initiative Against Homophobia” in 2008 in order to change discriminatory law in north Cyprus and to mold public opinion in regard to LGBTI+ rights and freedom. The movement, which was renamed Queer Cyprus in 2012, fights for a world in which individuals do not face discrimination based on their language, religious belief, colour, nationality, sexual orientation, gender identity, sexual expression, age or ethnicity. Therefore, the Queer Cyprus movement embraces diversity, opposes all mechanisms of pressure, and has a feminist, antimilitarist, ecologist and veganist nature. </w:t>
      </w:r>
    </w:p>
    <w:p w:rsidR="00000000" w:rsidDel="00000000" w:rsidP="00000000" w:rsidRDefault="00000000" w:rsidRPr="00000000" w14:paraId="0000000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The Human Rights Platform</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 is a platform established in 2021 as a result of the joint efforts of Queer Cyprus Association, Refugee Rights Association, Civil Society Initiative, Turkish Cypriot Human Rights Foundation, and Universal Patient Rights Association. Today, it continues its activities with the power of seven organizations with the participation of the Human Rights Platform, the Third Community Forum, and the Think Positive Initiative. The Human Rights Platform struggles for an egalitarian, just, democratic, and inclusive world where universal human rights and freedoms are accessible, safeguarded and constantly improved through effective mechanisms. Human Rights Platform sets an objective to ‘contribute to developing a more just, equitable, democratic, and inclusive society where human rights are not only respected but cherished.</w:t>
      </w:r>
      <w:r w:rsidDel="00000000" w:rsidR="00000000" w:rsidRPr="00000000">
        <w:rPr>
          <w:rtl w:val="0"/>
        </w:rPr>
      </w:r>
    </w:p>
    <w:p w:rsidR="00000000" w:rsidDel="00000000" w:rsidP="00000000" w:rsidRDefault="00000000" w:rsidRPr="00000000" w14:paraId="00000004">
      <w:pPr>
        <w:numPr>
          <w:ilvl w:val="0"/>
          <w:numId w:val="1"/>
        </w:numPr>
        <w:spacing w:before="280" w:lineRule="auto"/>
        <w:ind w:left="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Did the imposition and/or enforcement of colonial laws or policies on sex, gender and sexuality change pre-colonial treatment of sexual orientation and gender identity? What historical or anecdotal evidence is there available about the treatment of gender and sexual diversity before past or present experiences of colonization?</w:t>
      </w:r>
    </w:p>
    <w:p w:rsidR="00000000" w:rsidDel="00000000" w:rsidP="00000000" w:rsidRDefault="00000000" w:rsidRPr="00000000" w14:paraId="00000005">
      <w:pPr>
        <w:spacing w:after="28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While there is limited available evidence specifically about the pre-colonial treatment of sexual orientation and gender identity in Cyprus, historical accounts suggest that various forms of gender and sexual diversity were present within Cypriot society. However, it is important to note that the available information is fragmented and often subject to interpretation. According to study done by Han &amp; O'Mahoney</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 British colonialism played a significant role in the global criminalization of homosexuality. To evaluate this assertion, they a make use of dataset that contains information on 185 nations, including Cyprus and discover that compared to other colonies or other governments generally, British colonies are substantially more likely to have laws criminalising homosexual activity. After considering additional factors that would be anticipated to affect the likelihood of restrictive LGBT rights legislation, this result remains valid. They also discover that there is limited evidence backing the assertion that British imperialism "poisoned" societies against homosexuality.</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Cyprus was formerly a part of the Ottoman Empire, and although the British began to rule the island in 1878, Ottoman laws continued to be in effect for many years. A new Ottoman Penal Code was approved in Cyprus in 1858 as part of the Tanzimat reforms, and homosexuality was no longer a crime across the entire Ottoman Empire.</w:t>
      </w:r>
      <w:r w:rsidDel="00000000" w:rsidR="00000000" w:rsidRPr="00000000">
        <w:rPr>
          <w:rFonts w:ascii="Times New Roman" w:cs="Times New Roman" w:eastAsia="Times New Roman" w:hAnsi="Times New Roman"/>
          <w:vertAlign w:val="superscript"/>
          <w:rtl w:val="0"/>
        </w:rPr>
        <w:t xml:space="preserve"> </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Times New Roman" w:cs="Times New Roman" w:eastAsia="Times New Roman" w:hAnsi="Times New Roman"/>
          <w:rtl w:val="0"/>
        </w:rPr>
        <w:t xml:space="preserve"> The Ottoman Empire's tolerance of homosexuality on the island came to an end in 1929 when Cyprus law incorporated the British Criminal Law Amendment Act 1885. For the first time since 1858, male homosexuality was once more made a crime. This law made no mention of female homosexuality.</w:t>
      </w:r>
      <w:r w:rsidDel="00000000" w:rsidR="00000000" w:rsidRPr="00000000">
        <w:rPr>
          <w:rtl w:val="0"/>
        </w:rPr>
      </w:r>
    </w:p>
    <w:p w:rsidR="00000000" w:rsidDel="00000000" w:rsidP="00000000" w:rsidRDefault="00000000" w:rsidRPr="00000000" w14:paraId="00000006">
      <w:pPr>
        <w:numPr>
          <w:ilvl w:val="0"/>
          <w:numId w:val="1"/>
        </w:numPr>
        <w:spacing w:before="280" w:lineRule="auto"/>
        <w:ind w:left="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What laws, policies, and practices regulated or influenced the shaping of or the socio-normative perception of sexual orientation and gender identity in colonial times? How were they introduced, promoted, administered or enforced? Examples could include prohibition of certain sexual acts, but also regulation of sexual or gender identities and expressions (such as bans on cross-dressing).</w:t>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During colonial times, colonial laws and policies were introduced and enforced in Cyprus, which had an impact on the socio-normative perception of sexual orientation and gender identity. These laws were often derived from the legal systems of the colonial powers. They explicitly banned certain sexual acts and imposed gender norms that restricted the freedom of expression for individuals with diverse sexual orientations and gender identities. Examples include the criminalization of same-sex sexual activity and the imposition of strict gender roles and dress codes. These laws were administered and enforced by colonial authorities through legal mechanisms and law enforcement agencies.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During colonial administration (1878–1960), the British Empire transferred the set of laws known as the Penal Code to Cyprus. Included in this was Section 377, which made all sexual acts considered to be "against the order of nature" illegal. Section 377 was used to criminalise homosexual behaviour even though it did not include the word "homosexual" expressly. The Cypriot Criminal Code's Chapter 154, which incorporates British anti-sodomy legislation, punished homosexual behaviour with a maximum sentence of five years in jail. Since the island's division in 1974, each half has had its own governing and legislative organisations. In 1998, the Southern Part formally updated its Criminal Code. It happened after Greek Cypriot homosexual rights activist Alexandros Modinos brought the Republic of Cyprus before the European Court of Human Rights. In Modinos v. Cyprus, he obtained a significant victory in 1993. On the other hand, the improvements in the northern part came with opposition and took significantly longer to implement.</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On 27 January 2014, an amendment was introduced to decriminalise homosexuality and the northern part of Cyprus became the last territory in Europe to decriminalise sexual relations between consenting adult men.</w:t>
      </w:r>
      <w:r w:rsidDel="00000000" w:rsidR="00000000" w:rsidRPr="00000000">
        <w:rPr>
          <w:rFonts w:ascii="Times New Roman" w:cs="Times New Roman" w:eastAsia="Times New Roman" w:hAnsi="Times New Roman"/>
          <w:vertAlign w:val="superscript"/>
          <w:rtl w:val="0"/>
        </w:rPr>
        <w:t xml:space="preserve"> </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tl w:val="0"/>
        </w:rPr>
      </w:r>
    </w:p>
    <w:p w:rsidR="00000000" w:rsidDel="00000000" w:rsidP="00000000" w:rsidRDefault="00000000" w:rsidRPr="00000000" w14:paraId="00000008">
      <w:pPr>
        <w:numPr>
          <w:ilvl w:val="0"/>
          <w:numId w:val="1"/>
        </w:numPr>
        <w:spacing w:before="280" w:lineRule="auto"/>
        <w:ind w:left="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What colonial laws regulating sexual orientation and gender identity are still in place today? How are they enforced? How are they being interpreted by national jurisprudence and customary law? What legal, moral, or socio-cultural explanations have been provided, if any, for their continued existence?</w:t>
      </w:r>
    </w:p>
    <w:p w:rsidR="00000000" w:rsidDel="00000000" w:rsidP="00000000" w:rsidRDefault="00000000" w:rsidRPr="00000000" w14:paraId="00000009">
      <w:pPr>
        <w:spacing w:after="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legal framework in Cyprus is complex due to the political division of the island. The legal system is based on the Anglo-Saxon legal system (common law). </w:t>
      </w:r>
      <w:r w:rsidDel="00000000" w:rsidR="00000000" w:rsidRPr="00000000">
        <w:rPr>
          <w:rFonts w:ascii="Times New Roman" w:cs="Times New Roman" w:eastAsia="Times New Roman" w:hAnsi="Times New Roman"/>
          <w:rtl w:val="0"/>
        </w:rPr>
        <w:t xml:space="preserve">Nevertheless, the ‘constitutional’ and ‘administrative law’ incorporated components from the Turkish legal system and according to </w:t>
      </w:r>
      <w:r w:rsidDel="00000000" w:rsidR="00000000" w:rsidRPr="00000000">
        <w:rPr>
          <w:rFonts w:ascii="Times New Roman" w:cs="Times New Roman" w:eastAsia="Times New Roman" w:hAnsi="Times New Roman"/>
          <w:i w:val="1"/>
          <w:rtl w:val="0"/>
        </w:rPr>
        <w:t xml:space="preserve">Loizodou v. Turkey </w:t>
      </w:r>
      <w:r w:rsidDel="00000000" w:rsidR="00000000" w:rsidRPr="00000000">
        <w:rPr>
          <w:rFonts w:ascii="Times New Roman" w:cs="Times New Roman" w:eastAsia="Times New Roman" w:hAnsi="Times New Roman"/>
          <w:rtl w:val="0"/>
        </w:rPr>
        <w:t xml:space="preserve">decision of ECHR Turkey is responsible for human rights violations in the northern part of Cyprus. As f</w:t>
      </w:r>
      <w:r w:rsidDel="00000000" w:rsidR="00000000" w:rsidRPr="00000000">
        <w:rPr>
          <w:rFonts w:ascii="Times New Roman" w:cs="Times New Roman" w:eastAsia="Times New Roman" w:hAnsi="Times New Roman"/>
          <w:rtl w:val="0"/>
        </w:rPr>
        <w:t xml:space="preserve">or the southern part Cyprus, Republic of Cyprus have effective control and b</w:t>
      </w:r>
      <w:r w:rsidDel="00000000" w:rsidR="00000000" w:rsidRPr="00000000">
        <w:rPr>
          <w:rFonts w:ascii="Times New Roman" w:cs="Times New Roman" w:eastAsia="Times New Roman" w:hAnsi="Times New Roman"/>
          <w:rtl w:val="0"/>
        </w:rPr>
        <w:t xml:space="preserve">oth sides of the divide amended their relevant Criminal Code articles which criminalised same-sex acts.</w:t>
      </w:r>
    </w:p>
    <w:p w:rsidR="00000000" w:rsidDel="00000000" w:rsidP="00000000" w:rsidRDefault="00000000" w:rsidRPr="00000000" w14:paraId="0000000A">
      <w:pPr>
        <w:numPr>
          <w:ilvl w:val="0"/>
          <w:numId w:val="1"/>
        </w:numPr>
        <w:ind w:left="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How, if at all, has the protection against violence and discrimination based on sexual orientation and gender identity been transformed and positively or negatively impacted by processes of decolonization?</w:t>
      </w:r>
    </w:p>
    <w:p w:rsidR="00000000" w:rsidDel="00000000" w:rsidP="00000000" w:rsidRDefault="00000000" w:rsidRPr="00000000" w14:paraId="0000000B">
      <w:pPr>
        <w:spacing w:after="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Theresa May, the British prime minister, stated in 2018 that she "deeply regrets" Britain's role in criminalising homosexuality in its former colonies.</w:t>
      </w:r>
      <w:r w:rsidDel="00000000" w:rsidR="00000000" w:rsidRPr="00000000">
        <w:rPr>
          <w:rFonts w:ascii="Times New Roman" w:cs="Times New Roman" w:eastAsia="Times New Roman" w:hAnsi="Times New Roman"/>
          <w:vertAlign w:val="superscript"/>
          <w:rtl w:val="0"/>
        </w:rPr>
        <w:t xml:space="preserve"> </w:t>
      </w:r>
      <w:r w:rsidDel="00000000" w:rsidR="00000000" w:rsidRPr="00000000">
        <w:rPr>
          <w:rFonts w:ascii="Times New Roman" w:cs="Times New Roman" w:eastAsia="Times New Roman" w:hAnsi="Times New Roman"/>
          <w:vertAlign w:val="superscript"/>
        </w:rPr>
        <w:footnoteReference w:customMarkFollows="0" w:id="5"/>
      </w:r>
      <w:r w:rsidDel="00000000" w:rsidR="00000000" w:rsidRPr="00000000">
        <w:rPr>
          <w:rFonts w:ascii="Times New Roman" w:cs="Times New Roman" w:eastAsia="Times New Roman" w:hAnsi="Times New Roman"/>
          <w:rtl w:val="0"/>
        </w:rPr>
        <w:t xml:space="preserve"> An MoU on the "Protection and Promotion of the Rights of LGBTI+ People in Europe and the Commonwealth" was signed by the governments of the RoC and the UK. The two governments vowed to "promote and build an inclusive society where LGBTI+s have the same opportunities and enjoy equal rights, without any form of discrimination" in a joint statement. In the MoU, RoC and the UK jointly co-chair the CoE's European Governmental LGBTI+ Focal Points Network and commit to working more closely together. Together with the Equal Rights Coalition, these two countries hope to raise awareness of workplace diversity, LGBTI+ rights, and other issues in the Commonwealth.</w:t>
      </w:r>
    </w:p>
    <w:p w:rsidR="00000000" w:rsidDel="00000000" w:rsidP="00000000" w:rsidRDefault="00000000" w:rsidRPr="00000000" w14:paraId="0000000C">
      <w:pPr>
        <w:numPr>
          <w:ilvl w:val="0"/>
          <w:numId w:val="1"/>
        </w:numPr>
        <w:spacing w:before="280" w:lineRule="auto"/>
        <w:ind w:left="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If no longer in place, when were colonial laws regulating sexual orientation and gender identity repealed? In what pretext were they abolished and what was the rational/explanation for their abolishment?</w:t>
      </w:r>
    </w:p>
    <w:p w:rsidR="00000000" w:rsidDel="00000000" w:rsidP="00000000" w:rsidRDefault="00000000" w:rsidRPr="00000000" w14:paraId="0000000D">
      <w:pPr>
        <w:spacing w:after="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Criminal Code was amended to decriminalise homosexuality in 1993 for the southern part and in 2014 for the northern part of Cyprus. The reason for both sides of the divide was the success of the LGBTI+ rights movement and activists.</w:t>
      </w:r>
    </w:p>
    <w:p w:rsidR="00000000" w:rsidDel="00000000" w:rsidP="00000000" w:rsidRDefault="00000000" w:rsidRPr="00000000" w14:paraId="0000000E">
      <w:pPr>
        <w:numPr>
          <w:ilvl w:val="0"/>
          <w:numId w:val="1"/>
        </w:numPr>
        <w:ind w:left="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How has the legal and social regulation of gender, sexual orientation and gender identity been relevant for imposing and maintaining colonial power?</w:t>
      </w:r>
    </w:p>
    <w:p w:rsidR="00000000" w:rsidDel="00000000" w:rsidP="00000000" w:rsidRDefault="00000000" w:rsidRPr="00000000" w14:paraId="0000000F">
      <w:pPr>
        <w:spacing w:after="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legal and social regulation of gender, sexual orientation, and gender identity played a significant role in the imposition and maintenance of colonial power. Colonial powers often imposed their own legal systems, including laws related to gender and sexuality, to exert control over the colonized territories. These laws reinforced colonial hierarchies and power structures, suppressed local cultural practices and expressions, and facilitated the dominance of colonial norms.</w:t>
      </w:r>
      <w:r w:rsidDel="00000000" w:rsidR="00000000" w:rsidRPr="00000000">
        <w:rPr>
          <w:rFonts w:ascii="Times New Roman" w:cs="Times New Roman" w:eastAsia="Times New Roman" w:hAnsi="Times New Roman"/>
          <w:vertAlign w:val="superscript"/>
          <w:rtl w:val="0"/>
        </w:rPr>
        <w:t xml:space="preserve"> </w:t>
      </w:r>
      <w:r w:rsidDel="00000000" w:rsidR="00000000" w:rsidRPr="00000000">
        <w:rPr>
          <w:rFonts w:ascii="Times New Roman" w:cs="Times New Roman" w:eastAsia="Times New Roman" w:hAnsi="Times New Roman"/>
          <w:vertAlign w:val="superscript"/>
        </w:rPr>
        <w:footnoteReference w:customMarkFollows="0" w:id="6"/>
      </w:r>
      <w:r w:rsidDel="00000000" w:rsidR="00000000" w:rsidRPr="00000000">
        <w:rPr>
          <w:rFonts w:ascii="Times New Roman" w:cs="Times New Roman" w:eastAsia="Times New Roman" w:hAnsi="Times New Roman"/>
          <w:rtl w:val="0"/>
        </w:rPr>
        <w:t xml:space="preserve"> By regulating gender, sexual orientation, and gender identity, colonial powers aimed to enforce their cultural, social, and moral values, which were often at odds with the existing cultural and social fabric of the colonized societies.</w:t>
      </w:r>
    </w:p>
    <w:p w:rsidR="00000000" w:rsidDel="00000000" w:rsidP="00000000" w:rsidRDefault="00000000" w:rsidRPr="00000000" w14:paraId="00000010">
      <w:pPr>
        <w:numPr>
          <w:ilvl w:val="0"/>
          <w:numId w:val="1"/>
        </w:numPr>
        <w:ind w:left="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What is the ongoing impact of gender- and sex-regulating colonial laws on the enjoyment of human rights by LGBT persons? How did the imposition of colonial laws on sex and gender shape social and moral ideas about sexual orientation and gender diversity?</w:t>
      </w:r>
    </w:p>
    <w:p w:rsidR="00000000" w:rsidDel="00000000" w:rsidP="00000000" w:rsidRDefault="00000000" w:rsidRPr="00000000" w14:paraId="00000011">
      <w:pPr>
        <w:spacing w:after="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ongoing impact of gender- and sex-regulating colonial laws on the enjoyment of human rights by LGBTI+ persons in Cyprus is multifaceted and influenced by various factors, including the political division of the island. The absence of explicit legal protections against discrimination and violence based on sexual orientation and gender identity in the north side may contribute to challenges faced by LGBTI+ individuals.</w:t>
      </w:r>
      <w:r w:rsidDel="00000000" w:rsidR="00000000" w:rsidRPr="00000000">
        <w:rPr>
          <w:rFonts w:ascii="Times New Roman" w:cs="Times New Roman" w:eastAsia="Times New Roman" w:hAnsi="Times New Roman"/>
          <w:vertAlign w:val="superscript"/>
          <w:rtl w:val="0"/>
        </w:rPr>
        <w:t xml:space="preserve"> </w:t>
      </w:r>
      <w:r w:rsidDel="00000000" w:rsidR="00000000" w:rsidRPr="00000000">
        <w:rPr>
          <w:rFonts w:ascii="Times New Roman" w:cs="Times New Roman" w:eastAsia="Times New Roman" w:hAnsi="Times New Roman"/>
          <w:vertAlign w:val="superscript"/>
        </w:rPr>
        <w:footnoteReference w:customMarkFollows="0" w:id="7"/>
      </w:r>
      <w:r w:rsidDel="00000000" w:rsidR="00000000" w:rsidRPr="00000000">
        <w:rPr>
          <w:rFonts w:ascii="Times New Roman" w:cs="Times New Roman" w:eastAsia="Times New Roman" w:hAnsi="Times New Roman"/>
          <w:rtl w:val="0"/>
        </w:rPr>
        <w:t xml:space="preserve"> Societal attitudes, cultural norms, and traditional values also play a significant role in shaping the experiences of LGBTI+ persons.</w:t>
      </w:r>
      <w:r w:rsidDel="00000000" w:rsidR="00000000" w:rsidRPr="00000000">
        <w:rPr>
          <w:rFonts w:ascii="Times New Roman" w:cs="Times New Roman" w:eastAsia="Times New Roman" w:hAnsi="Times New Roman"/>
          <w:vertAlign w:val="superscript"/>
          <w:rtl w:val="0"/>
        </w:rPr>
        <w:t xml:space="preserve"> </w:t>
      </w:r>
      <w:r w:rsidDel="00000000" w:rsidR="00000000" w:rsidRPr="00000000">
        <w:rPr>
          <w:rFonts w:ascii="Times New Roman" w:cs="Times New Roman" w:eastAsia="Times New Roman" w:hAnsi="Times New Roman"/>
          <w:vertAlign w:val="superscript"/>
        </w:rPr>
        <w:footnoteReference w:customMarkFollows="0" w:id="8"/>
      </w:r>
      <w:r w:rsidDel="00000000" w:rsidR="00000000" w:rsidRPr="00000000">
        <w:rPr>
          <w:rFonts w:ascii="Times New Roman" w:cs="Times New Roman" w:eastAsia="Times New Roman" w:hAnsi="Times New Roman"/>
          <w:rtl w:val="0"/>
        </w:rPr>
        <w:t xml:space="preserve"> While progress has been made in recognizing the rights of LGBTI+ individuals in the South side, there are still issues related to discrimination and violence. The ongoing impact of gender- and sex-regulating colonial laws in the south side can be seen in societal attitudes and stereotypes that persist, affecting the social acceptance and full enjoyment of human rights by LGBTI+ individuals.</w:t>
      </w:r>
      <w:r w:rsidDel="00000000" w:rsidR="00000000" w:rsidRPr="00000000">
        <w:rPr>
          <w:rFonts w:ascii="Times New Roman" w:cs="Times New Roman" w:eastAsia="Times New Roman" w:hAnsi="Times New Roman"/>
          <w:vertAlign w:val="superscript"/>
          <w:rtl w:val="0"/>
        </w:rPr>
        <w:t xml:space="preserve"> </w:t>
      </w:r>
      <w:r w:rsidDel="00000000" w:rsidR="00000000" w:rsidRPr="00000000">
        <w:rPr>
          <w:rFonts w:ascii="Times New Roman" w:cs="Times New Roman" w:eastAsia="Times New Roman" w:hAnsi="Times New Roman"/>
          <w:vertAlign w:val="superscript"/>
        </w:rPr>
        <w:footnoteReference w:customMarkFollows="0" w:id="9"/>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2">
      <w:pPr>
        <w:numPr>
          <w:ilvl w:val="0"/>
          <w:numId w:val="1"/>
        </w:numPr>
        <w:spacing w:before="280" w:lineRule="auto"/>
        <w:ind w:left="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Was there a relationship between colonial laws and policies that created unequal treatment and power relations affecting LGBT persons, paving the way to intersecting forms of discrimination, exclusion, racism, xenophobia and related intolerance, patriarchy, and other forms of discrimination and oppression? How did these laws and policies impact persons with multiple and intersecting identities such as LGBT persons with disabilities, older LGBT persons, LGBT children, LGBT persons of African descent, among others.</w:t>
      </w:r>
    </w:p>
    <w:p w:rsidR="00000000" w:rsidDel="00000000" w:rsidP="00000000" w:rsidRDefault="00000000" w:rsidRPr="00000000" w14:paraId="00000013">
      <w:pPr>
        <w:spacing w:after="280" w:before="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Colonial laws and policies often created unequal treatment and power relations affecting LGBTI+s, leading to intersecting forms of discrimination, exclusion, racism, xenophobia, intolerance, patriarchy, and other forms of discrimination and oppression. The especially well-known colonial strategy of ‘Divide and Rule’ affected Cyprus as well. War trauma and colonisation led to division mostly given as an excuse for not prioritising human rights issues and equality. </w:t>
      </w:r>
    </w:p>
    <w:p w:rsidR="00000000" w:rsidDel="00000000" w:rsidP="00000000" w:rsidRDefault="00000000" w:rsidRPr="00000000" w14:paraId="00000014">
      <w:pPr>
        <w:numPr>
          <w:ilvl w:val="0"/>
          <w:numId w:val="1"/>
        </w:numPr>
        <w:spacing w:before="280" w:lineRule="auto"/>
        <w:ind w:left="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Have any laws, policies, or psycho-social support or legal remedies been put in place to recognize and provide reparations and redress for the legacy of colonialism in relation to the enjoyment of human rights? Do these take into account violence and discrimination based on sexual orientation and gender identity?</w:t>
      </w:r>
    </w:p>
    <w:p w:rsidR="00000000" w:rsidDel="00000000" w:rsidP="00000000" w:rsidRDefault="00000000" w:rsidRPr="00000000" w14:paraId="00000015">
      <w:pPr>
        <w:spacing w:after="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Both sides of the divide implemented laws and policies aimed at combating discrimination and promoting human rights, including initiatives that address violence and discrimination based on sexual orientation and gender identity. However, the effectiveness and comprehensiveness of these measures may still be subject to ongoing evaluation and improvement.</w:t>
      </w:r>
    </w:p>
    <w:p w:rsidR="00000000" w:rsidDel="00000000" w:rsidP="00000000" w:rsidRDefault="00000000" w:rsidRPr="00000000" w14:paraId="00000016">
      <w:pPr>
        <w:numPr>
          <w:ilvl w:val="0"/>
          <w:numId w:val="1"/>
        </w:numPr>
        <w:spacing w:before="280" w:lineRule="auto"/>
        <w:ind w:left="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How, if at all, should reparatory justice for the lasting consequences of colonialism include measures to address discrimination and violence based on gender, gender identity and sexual orientation?</w:t>
      </w:r>
    </w:p>
    <w:p w:rsidR="00000000" w:rsidDel="00000000" w:rsidP="00000000" w:rsidRDefault="00000000" w:rsidRPr="00000000" w14:paraId="00000017">
      <w:pPr>
        <w:spacing w:after="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Comprehensive steps to address discrimination and violence based on gender, gender identity, and sexual orientation should be a part of any reparatory justice for the long-lasting effects of colonialism. These actions could consist of:</w:t>
      </w:r>
    </w:p>
    <w:p w:rsidR="00000000" w:rsidDel="00000000" w:rsidP="00000000" w:rsidRDefault="00000000" w:rsidRPr="00000000" w14:paraId="00000018">
      <w:pPr>
        <w:numPr>
          <w:ilvl w:val="0"/>
          <w:numId w:val="2"/>
        </w:numPr>
        <w:spacing w:after="0" w:before="28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Legal reforms:</w:t>
      </w:r>
      <w:r w:rsidDel="00000000" w:rsidR="00000000" w:rsidRPr="00000000">
        <w:rPr>
          <w:rFonts w:ascii="Times New Roman" w:cs="Times New Roman" w:eastAsia="Times New Roman" w:hAnsi="Times New Roman"/>
          <w:rtl w:val="0"/>
        </w:rPr>
        <w:t xml:space="preserve"> Enacting laws and policies that explicitly prohibit discrimination and violence towards LGBTI+s and ensuring their effective enforcement.</w:t>
      </w:r>
    </w:p>
    <w:p w:rsidR="00000000" w:rsidDel="00000000" w:rsidP="00000000" w:rsidRDefault="00000000" w:rsidRPr="00000000" w14:paraId="00000019">
      <w:pPr>
        <w:numPr>
          <w:ilvl w:val="0"/>
          <w:numId w:val="2"/>
        </w:numPr>
        <w:spacing w:after="0" w:before="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Education and awareness:</w:t>
      </w:r>
      <w:r w:rsidDel="00000000" w:rsidR="00000000" w:rsidRPr="00000000">
        <w:rPr>
          <w:rFonts w:ascii="Times New Roman" w:cs="Times New Roman" w:eastAsia="Times New Roman" w:hAnsi="Times New Roman"/>
          <w:rtl w:val="0"/>
        </w:rPr>
        <w:t xml:space="preserve"> Implementing educational programs on decolonial feminism and justice and awareness campaigns to promote LGBTI+ rights as human rights.</w:t>
      </w:r>
    </w:p>
    <w:p w:rsidR="00000000" w:rsidDel="00000000" w:rsidP="00000000" w:rsidRDefault="00000000" w:rsidRPr="00000000" w14:paraId="0000001A">
      <w:pPr>
        <w:numPr>
          <w:ilvl w:val="0"/>
          <w:numId w:val="2"/>
        </w:numPr>
        <w:spacing w:after="0" w:before="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Support and resources:</w:t>
      </w:r>
      <w:r w:rsidDel="00000000" w:rsidR="00000000" w:rsidRPr="00000000">
        <w:rPr>
          <w:rFonts w:ascii="Times New Roman" w:cs="Times New Roman" w:eastAsia="Times New Roman" w:hAnsi="Times New Roman"/>
          <w:rtl w:val="0"/>
        </w:rPr>
        <w:t xml:space="preserve"> Establishing support systems, including psycho-social support and counselling services, to assist LGBTI+s who have experienced discrimination or violence. Also funding opportunities for LGBTI+ organisations should be increased.</w:t>
      </w:r>
    </w:p>
    <w:p w:rsidR="00000000" w:rsidDel="00000000" w:rsidP="00000000" w:rsidRDefault="00000000" w:rsidRPr="00000000" w14:paraId="0000001B">
      <w:pPr>
        <w:numPr>
          <w:ilvl w:val="0"/>
          <w:numId w:val="2"/>
        </w:numPr>
        <w:spacing w:after="0" w:before="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Capacity building:</w:t>
      </w:r>
      <w:r w:rsidDel="00000000" w:rsidR="00000000" w:rsidRPr="00000000">
        <w:rPr>
          <w:rFonts w:ascii="Times New Roman" w:cs="Times New Roman" w:eastAsia="Times New Roman" w:hAnsi="Times New Roman"/>
          <w:rtl w:val="0"/>
        </w:rPr>
        <w:t xml:space="preserve"> Providing training and capacity-building programs for law enforcement, judicial authorities, and other relevant stakeholders to enhance their understanding of LGBTI+ rights and issues.</w:t>
      </w:r>
    </w:p>
    <w:p w:rsidR="00000000" w:rsidDel="00000000" w:rsidP="00000000" w:rsidRDefault="00000000" w:rsidRPr="00000000" w14:paraId="0000001C">
      <w:pPr>
        <w:numPr>
          <w:ilvl w:val="0"/>
          <w:numId w:val="2"/>
        </w:numPr>
        <w:spacing w:after="0" w:before="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Inclusive policies:</w:t>
      </w:r>
      <w:r w:rsidDel="00000000" w:rsidR="00000000" w:rsidRPr="00000000">
        <w:rPr>
          <w:rFonts w:ascii="Times New Roman" w:cs="Times New Roman" w:eastAsia="Times New Roman" w:hAnsi="Times New Roman"/>
          <w:rtl w:val="0"/>
        </w:rPr>
        <w:t xml:space="preserve"> Introducing inclusive policies that recognize and address the specific needs and challenges faced by LGBTI+s with multiple and intersecting identities.</w:t>
      </w:r>
    </w:p>
    <w:p w:rsidR="00000000" w:rsidDel="00000000" w:rsidP="00000000" w:rsidRDefault="00000000" w:rsidRPr="00000000" w14:paraId="0000001D">
      <w:pPr>
        <w:numPr>
          <w:ilvl w:val="0"/>
          <w:numId w:val="2"/>
        </w:numPr>
        <w:spacing w:after="0" w:before="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Representation and participation:</w:t>
      </w:r>
      <w:r w:rsidDel="00000000" w:rsidR="00000000" w:rsidRPr="00000000">
        <w:rPr>
          <w:rFonts w:ascii="Times New Roman" w:cs="Times New Roman" w:eastAsia="Times New Roman" w:hAnsi="Times New Roman"/>
          <w:rtl w:val="0"/>
        </w:rPr>
        <w:t xml:space="preserve"> Ensuring meaningful participation of LGBTI+s and organizations in decision-making processes and policy development to address their concerns and experiences.</w:t>
      </w:r>
    </w:p>
    <w:p w:rsidR="00000000" w:rsidDel="00000000" w:rsidP="00000000" w:rsidRDefault="00000000" w:rsidRPr="00000000" w14:paraId="0000001E">
      <w:pPr>
        <w:numPr>
          <w:ilvl w:val="0"/>
          <w:numId w:val="2"/>
        </w:numPr>
        <w:spacing w:after="280" w:before="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International cooperation:</w:t>
      </w:r>
      <w:r w:rsidDel="00000000" w:rsidR="00000000" w:rsidRPr="00000000">
        <w:rPr>
          <w:rFonts w:ascii="Times New Roman" w:cs="Times New Roman" w:eastAsia="Times New Roman" w:hAnsi="Times New Roman"/>
          <w:rtl w:val="0"/>
        </w:rPr>
        <w:t xml:space="preserve"> Engaging in international cooperation and partnerships to exchange best practices, expertise, and resources in addressing discrimination and violence towards LGBTI+s.</w:t>
      </w:r>
    </w:p>
    <w:p w:rsidR="00000000" w:rsidDel="00000000" w:rsidP="00000000" w:rsidRDefault="00000000" w:rsidRPr="00000000" w14:paraId="0000001F">
      <w:pPr>
        <w:spacing w:before="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critical to remember that specific strategies and actions for reparatory justice should be designed through inclusive and participatory procedures, considering the particular context, requirements, and desires of the communities impacted by colonialism. It would take a great deal of study, stakeholder consultation, and context-specific demands consideration to develop a comprehensive reparatory justice approach.</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https://www.queercyprus.org/en/about-queer-cyprus/</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2">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https://insanhaklariplatformu.eu/about</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2">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3">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https://www.tandfonline.com/doi/abs/10.1080/09557571.2013.867298</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3">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4">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https://www.t-vine.com/lgbt-history-month-the-legacy-of-british-anti-sodomy-laws-in-cyprus/</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4">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5">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https://www.t-vine.com/lgbt-history-month-the-legacy-of-british-anti-sodomy-laws-in-cyprus/</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5">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Ibid.</w:t>
      </w:r>
    </w:p>
  </w:footnote>
  <w:footnote w:id="6">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6">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https://cyprusreview.org/index.php/cr/article/view/212</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7">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7">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https://www.queercyprus.org/2021/11/09/yasal-bosluk-analizi/</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8">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8">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https://www.queercyprus.org/en/2019/01/21/study-on-homophobia-and-transphobia_stage-2/</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9">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9">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https://cyprus-mail.com/2023/02/23/widespread-condemnation-of-lgbti-attack/</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b w:val="1"/>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link w:val="Heading3Char"/>
    <w:uiPriority w:val="9"/>
    <w:qFormat w:val="1"/>
    <w:rsid w:val="00AB1CA0"/>
    <w:pPr>
      <w:spacing w:after="100" w:afterAutospacing="1" w:before="100" w:beforeAutospacing="1"/>
      <w:outlineLvl w:val="2"/>
    </w:pPr>
    <w:rPr>
      <w:rFonts w:ascii="Times New Roman" w:cs="Times New Roman" w:eastAsia="Times New Roman" w:hAnsi="Times New Roman"/>
      <w:b w:val="1"/>
      <w:bCs w:val="1"/>
      <w:kern w:val="0"/>
      <w:sz w:val="27"/>
      <w:szCs w:val="27"/>
      <w:lang w:eastAsia="en-GB"/>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AB1CA0"/>
    <w:rPr>
      <w:rFonts w:ascii="Times New Roman" w:cs="Times New Roman" w:eastAsia="Times New Roman" w:hAnsi="Times New Roman"/>
      <w:b w:val="1"/>
      <w:bCs w:val="1"/>
      <w:kern w:val="0"/>
      <w:sz w:val="27"/>
      <w:szCs w:val="27"/>
      <w:lang w:eastAsia="en-GB"/>
    </w:rPr>
  </w:style>
  <w:style w:type="paragraph" w:styleId="NormalWeb">
    <w:name w:val="Normal (Web)"/>
    <w:basedOn w:val="Normal"/>
    <w:uiPriority w:val="99"/>
    <w:semiHidden w:val="1"/>
    <w:unhideWhenUsed w:val="1"/>
    <w:rsid w:val="00AB1CA0"/>
    <w:pPr>
      <w:spacing w:after="100" w:afterAutospacing="1" w:before="100" w:beforeAutospacing="1"/>
    </w:pPr>
    <w:rPr>
      <w:rFonts w:ascii="Times New Roman" w:cs="Times New Roman" w:eastAsia="Times New Roman" w:hAnsi="Times New Roman"/>
      <w:kern w:val="0"/>
      <w:lang w:eastAsia="en-GB"/>
    </w:rPr>
  </w:style>
  <w:style w:type="character" w:styleId="Strong">
    <w:name w:val="Strong"/>
    <w:basedOn w:val="DefaultParagraphFont"/>
    <w:uiPriority w:val="22"/>
    <w:qFormat w:val="1"/>
    <w:rsid w:val="00AB1CA0"/>
    <w:rPr>
      <w:b w:val="1"/>
      <w:bCs w:val="1"/>
    </w:rPr>
  </w:style>
  <w:style w:type="paragraph" w:styleId="ListParagraph">
    <w:name w:val="List Paragraph"/>
    <w:basedOn w:val="Normal"/>
    <w:uiPriority w:val="34"/>
    <w:qFormat w:val="1"/>
    <w:rsid w:val="00AD4CF5"/>
    <w:pPr>
      <w:ind w:left="720"/>
      <w:contextualSpacing w:val="1"/>
    </w:pPr>
  </w:style>
  <w:style w:type="paragraph" w:styleId="FootnoteText">
    <w:name w:val="footnote text"/>
    <w:basedOn w:val="Normal"/>
    <w:link w:val="FootnoteTextChar"/>
    <w:uiPriority w:val="99"/>
    <w:semiHidden w:val="1"/>
    <w:unhideWhenUsed w:val="1"/>
    <w:rsid w:val="00DA543E"/>
    <w:rPr>
      <w:sz w:val="20"/>
      <w:szCs w:val="20"/>
    </w:rPr>
  </w:style>
  <w:style w:type="character" w:styleId="FootnoteTextChar" w:customStyle="1">
    <w:name w:val="Footnote Text Char"/>
    <w:basedOn w:val="DefaultParagraphFont"/>
    <w:link w:val="FootnoteText"/>
    <w:uiPriority w:val="99"/>
    <w:semiHidden w:val="1"/>
    <w:rsid w:val="00DA543E"/>
    <w:rPr>
      <w:sz w:val="20"/>
      <w:szCs w:val="20"/>
    </w:rPr>
  </w:style>
  <w:style w:type="character" w:styleId="FootnoteReference">
    <w:name w:val="footnote reference"/>
    <w:basedOn w:val="DefaultParagraphFont"/>
    <w:uiPriority w:val="99"/>
    <w:semiHidden w:val="1"/>
    <w:unhideWhenUsed w:val="1"/>
    <w:rsid w:val="00DA543E"/>
    <w:rPr>
      <w:vertAlign w:val="superscript"/>
    </w:rPr>
  </w:style>
  <w:style w:type="character" w:styleId="Hyperlink">
    <w:name w:val="Hyperlink"/>
    <w:basedOn w:val="DefaultParagraphFont"/>
    <w:uiPriority w:val="99"/>
    <w:unhideWhenUsed w:val="1"/>
    <w:rsid w:val="00DA543E"/>
    <w:rPr>
      <w:color w:val="0563c1" w:themeColor="hyperlink"/>
      <w:u w:val="single"/>
    </w:rPr>
  </w:style>
  <w:style w:type="character" w:styleId="UnresolvedMention">
    <w:name w:val="Unresolved Mention"/>
    <w:basedOn w:val="DefaultParagraphFont"/>
    <w:uiPriority w:val="99"/>
    <w:semiHidden w:val="1"/>
    <w:unhideWhenUsed w:val="1"/>
    <w:rsid w:val="00DA543E"/>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customXml" Target="../customXML/item4.xml"/><Relationship Id="rId4" Type="http://schemas.openxmlformats.org/officeDocument/2006/relationships/footnotes" Target="footnotes.xml"/><Relationship Id="rId9"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queercyprus.org/en/about-queer-cyprus/" TargetMode="External"/><Relationship Id="rId2" Type="http://schemas.openxmlformats.org/officeDocument/2006/relationships/hyperlink" Target="https://insanhaklariplatformu.eu/about" TargetMode="External"/><Relationship Id="rId3" Type="http://schemas.openxmlformats.org/officeDocument/2006/relationships/hyperlink" Target="https://www.tandfonline.com/doi/abs/10.1080/09557571.2013.867298" TargetMode="External"/><Relationship Id="rId4" Type="http://schemas.openxmlformats.org/officeDocument/2006/relationships/hyperlink" Target="https://www.t-vine.com/lgbt-history-month-the-legacy-of-british-anti-sodomy-laws-in-cyprus/" TargetMode="External"/><Relationship Id="rId9" Type="http://schemas.openxmlformats.org/officeDocument/2006/relationships/hyperlink" Target="https://cyprus-mail.com/2023/02/23/widespread-condemnation-of-lgbti-attack/" TargetMode="External"/><Relationship Id="rId5" Type="http://schemas.openxmlformats.org/officeDocument/2006/relationships/hyperlink" Target="https://www.t-vine.com/lgbt-history-month-the-legacy-of-british-anti-sodomy-laws-in-cyprus/" TargetMode="External"/><Relationship Id="rId6" Type="http://schemas.openxmlformats.org/officeDocument/2006/relationships/hyperlink" Target="https://cyprusreview.org/index.php/cr/article/view/212" TargetMode="External"/><Relationship Id="rId7" Type="http://schemas.openxmlformats.org/officeDocument/2006/relationships/hyperlink" Target="https://www.queercyprus.org/2021/11/09/yasal-bosluk-analizi/" TargetMode="External"/><Relationship Id="rId8" Type="http://schemas.openxmlformats.org/officeDocument/2006/relationships/hyperlink" Target="https://www.queercyprus.org/en/2019/01/21/study-on-homophobia-and-transphobia_stag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9qzk8RWD+eejKRapaSGyv+CRfw==">CgMxLjA4AGomChRzdWdnZXN0LmxzOTFsaGQ5NXk3bBIOWWHEn211ciDEsHpjYW5qJgoUc3VnZ2VzdC5xYnRpajBod2htbWMSDllhxJ9tdXIgxLB6Y2FuciExTk1obUpoQ1NaXzFKdnQ0X1V4ODB1bzhDdVE4T1dxQ3E=</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Human Rights Platform and Queer Cyprus Association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2A74978-0058-499C-812F-AC66219D8CF5}"/>
</file>

<file path=customXML/itemProps3.xml><?xml version="1.0" encoding="utf-8"?>
<ds:datastoreItem xmlns:ds="http://schemas.openxmlformats.org/officeDocument/2006/customXml" ds:itemID="{00497267-4F6E-4E6A-A8DA-985C1AC967A5}"/>
</file>

<file path=customXML/itemProps4.xml><?xml version="1.0" encoding="utf-8"?>
<ds:datastoreItem xmlns:ds="http://schemas.openxmlformats.org/officeDocument/2006/customXml" ds:itemID="{16872F12-D290-4923-8D88-2503D6CB58AC}"/>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Erman Dolmaci</dc:creator>
  <dcterms:created xsi:type="dcterms:W3CDTF">2023-05-24T17:48:00Z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