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7D98" w14:textId="779407C8" w:rsidR="003E077D" w:rsidRDefault="00252B91" w:rsidP="5C7B450E">
      <w:pPr>
        <w:jc w:val="center"/>
      </w:pPr>
      <w:r>
        <w:t xml:space="preserve"> </w:t>
      </w:r>
    </w:p>
    <w:p w14:paraId="145CD8D1" w14:textId="2E17B5B4" w:rsidR="007774A6" w:rsidRPr="00EE2563" w:rsidRDefault="00E817EA" w:rsidP="007774A6">
      <w:pPr>
        <w:jc w:val="center"/>
        <w:rPr>
          <w:rFonts w:ascii="Lato" w:hAnsi="Lato"/>
          <w:b/>
          <w:bCs/>
          <w:color w:val="000000" w:themeColor="text1"/>
          <w:sz w:val="32"/>
          <w:szCs w:val="32"/>
        </w:rPr>
      </w:pPr>
      <w:r w:rsidRPr="00EE2563">
        <w:rPr>
          <w:rFonts w:ascii="Lato" w:hAnsi="Lato"/>
          <w:b/>
          <w:bCs/>
          <w:color w:val="000000" w:themeColor="text1"/>
          <w:sz w:val="32"/>
          <w:szCs w:val="32"/>
        </w:rPr>
        <w:t>The impact of colonial legacies in the lives of LGBTI+ and other ancestral sexual and gender diverse persons</w:t>
      </w:r>
    </w:p>
    <w:p w14:paraId="1FA84A4A" w14:textId="77777777" w:rsidR="007774A6" w:rsidRPr="00305903" w:rsidRDefault="007774A6" w:rsidP="007774A6">
      <w:pPr>
        <w:jc w:val="center"/>
        <w:rPr>
          <w:rFonts w:ascii="Lato" w:hAnsi="Lato"/>
          <w:b/>
          <w:bCs/>
        </w:rPr>
      </w:pPr>
    </w:p>
    <w:p w14:paraId="4D2B3850" w14:textId="548D8158" w:rsidR="007774A6" w:rsidRPr="00EE2563" w:rsidRDefault="007774A6" w:rsidP="007774A6">
      <w:pPr>
        <w:jc w:val="center"/>
        <w:rPr>
          <w:rFonts w:ascii="Lato" w:hAnsi="Lato"/>
          <w:i/>
          <w:iCs/>
        </w:rPr>
      </w:pPr>
      <w:r w:rsidRPr="00EE2563">
        <w:rPr>
          <w:rFonts w:ascii="Lato" w:hAnsi="Lato"/>
          <w:i/>
          <w:iCs/>
        </w:rPr>
        <w:t>Submission to the Independent Expert on protection against violence and discrimination based on sexual orientation and gender identity</w:t>
      </w:r>
    </w:p>
    <w:p w14:paraId="5A7AD13D" w14:textId="77777777" w:rsidR="007774A6" w:rsidRPr="00EE2563" w:rsidRDefault="007774A6" w:rsidP="007774A6">
      <w:pPr>
        <w:jc w:val="center"/>
        <w:rPr>
          <w:rFonts w:ascii="Lato" w:hAnsi="Lato"/>
          <w:i/>
          <w:iCs/>
        </w:rPr>
      </w:pPr>
    </w:p>
    <w:p w14:paraId="5AE0D786" w14:textId="0CCFA2D0" w:rsidR="007774A6" w:rsidRPr="00EE2563" w:rsidRDefault="007774A6" w:rsidP="007774A6">
      <w:pPr>
        <w:jc w:val="center"/>
        <w:rPr>
          <w:rFonts w:ascii="Lato" w:hAnsi="Lato"/>
        </w:rPr>
      </w:pPr>
      <w:r w:rsidRPr="00EE2563">
        <w:rPr>
          <w:rFonts w:ascii="Lato" w:hAnsi="Lato"/>
        </w:rPr>
        <w:t>26 May 202</w:t>
      </w:r>
      <w:r w:rsidR="00FB1867" w:rsidRPr="00EE2563">
        <w:rPr>
          <w:rFonts w:ascii="Lato" w:hAnsi="Lato"/>
        </w:rPr>
        <w:t>3</w:t>
      </w:r>
    </w:p>
    <w:p w14:paraId="0D1CFB16" w14:textId="77777777" w:rsidR="007774A6" w:rsidRPr="00EE2563" w:rsidRDefault="007774A6" w:rsidP="007774A6">
      <w:pPr>
        <w:jc w:val="center"/>
        <w:rPr>
          <w:rFonts w:ascii="Lato" w:hAnsi="Lato"/>
          <w:i/>
          <w:iCs/>
        </w:rPr>
      </w:pPr>
    </w:p>
    <w:p w14:paraId="2A5CDBB1" w14:textId="77777777" w:rsidR="007774A6" w:rsidRPr="00EE2563" w:rsidRDefault="007774A6" w:rsidP="007774A6">
      <w:pPr>
        <w:jc w:val="center"/>
        <w:rPr>
          <w:rFonts w:ascii="Lato" w:hAnsi="Lato"/>
          <w:b/>
          <w:bCs/>
        </w:rPr>
      </w:pPr>
      <w:r w:rsidRPr="00EE2563">
        <w:rPr>
          <w:rFonts w:ascii="Lato" w:hAnsi="Lato"/>
          <w:b/>
          <w:bCs/>
        </w:rPr>
        <w:t>Report submitted by:</w:t>
      </w:r>
    </w:p>
    <w:p w14:paraId="4764D8E3" w14:textId="77777777" w:rsidR="007774A6" w:rsidRPr="00EE2563" w:rsidRDefault="007774A6" w:rsidP="007774A6">
      <w:pPr>
        <w:jc w:val="center"/>
        <w:rPr>
          <w:rFonts w:ascii="Lato" w:hAnsi="Lato"/>
        </w:rPr>
      </w:pPr>
      <w:r w:rsidRPr="00EE2563">
        <w:rPr>
          <w:rFonts w:ascii="Lato" w:hAnsi="Lato"/>
        </w:rPr>
        <w:t>International Lesbian, Gay, Bisexual, Trans and Intersex Association (ILGA World)</w:t>
      </w:r>
    </w:p>
    <w:p w14:paraId="48B2A26B" w14:textId="77777777" w:rsidR="007774A6" w:rsidRPr="00EE2563" w:rsidRDefault="007774A6" w:rsidP="007774A6">
      <w:pPr>
        <w:jc w:val="center"/>
        <w:rPr>
          <w:rFonts w:ascii="Lato" w:hAnsi="Lato"/>
          <w:b/>
          <w:bCs/>
        </w:rPr>
      </w:pPr>
    </w:p>
    <w:p w14:paraId="541AEF9E" w14:textId="02E1502A" w:rsidR="007774A6" w:rsidRPr="00EE2563" w:rsidRDefault="007774A6" w:rsidP="007774A6">
      <w:pPr>
        <w:jc w:val="center"/>
        <w:rPr>
          <w:rFonts w:ascii="Lato" w:hAnsi="Lato"/>
          <w:b/>
          <w:bCs/>
        </w:rPr>
      </w:pPr>
      <w:r w:rsidRPr="00EE2563">
        <w:rPr>
          <w:rFonts w:ascii="Lato" w:hAnsi="Lato"/>
          <w:b/>
          <w:bCs/>
        </w:rPr>
        <w:t>With the support of:</w:t>
      </w:r>
    </w:p>
    <w:p w14:paraId="1DA230A3" w14:textId="68A234A9" w:rsidR="3CABF90C" w:rsidRPr="00EE2563" w:rsidRDefault="3CABF90C" w:rsidP="5C7B450E">
      <w:pPr>
        <w:jc w:val="center"/>
        <w:rPr>
          <w:rFonts w:ascii="Lato" w:hAnsi="Lato"/>
        </w:rPr>
      </w:pPr>
      <w:r w:rsidRPr="00EE2563">
        <w:rPr>
          <w:rFonts w:ascii="Lato" w:hAnsi="Lato"/>
        </w:rPr>
        <w:t>ILGA ASIA</w:t>
      </w:r>
    </w:p>
    <w:p w14:paraId="62C4AE18" w14:textId="0DD51185" w:rsidR="007774A6" w:rsidRPr="00EE2563" w:rsidRDefault="007774A6" w:rsidP="007774A6">
      <w:pPr>
        <w:jc w:val="center"/>
        <w:rPr>
          <w:rFonts w:ascii="Lato" w:hAnsi="Lato"/>
        </w:rPr>
      </w:pPr>
      <w:r w:rsidRPr="00EE2563">
        <w:rPr>
          <w:rFonts w:ascii="Lato" w:hAnsi="Lato"/>
        </w:rPr>
        <w:t xml:space="preserve">WEKA Organization, </w:t>
      </w:r>
      <w:r w:rsidR="00BF1157" w:rsidRPr="00EE2563">
        <w:rPr>
          <w:rFonts w:ascii="Lato" w:hAnsi="Lato"/>
        </w:rPr>
        <w:t>Democratic Republic of the Congo</w:t>
      </w:r>
    </w:p>
    <w:p w14:paraId="6797264D" w14:textId="05FD5DC7" w:rsidR="00E817EA" w:rsidRPr="00EE2563" w:rsidRDefault="00E817EA" w:rsidP="00E817EA">
      <w:pPr>
        <w:jc w:val="center"/>
        <w:rPr>
          <w:rFonts w:ascii="Lato" w:hAnsi="Lato"/>
        </w:rPr>
      </w:pPr>
      <w:r w:rsidRPr="00EE2563">
        <w:rPr>
          <w:rFonts w:ascii="Lato" w:hAnsi="Lato"/>
        </w:rPr>
        <w:t>OASIS</w:t>
      </w:r>
      <w:r w:rsidR="0058490E">
        <w:rPr>
          <w:rFonts w:ascii="Lato" w:hAnsi="Lato"/>
        </w:rPr>
        <w:t xml:space="preserve"> RD Congo</w:t>
      </w:r>
      <w:r w:rsidRPr="00EE2563">
        <w:rPr>
          <w:rFonts w:ascii="Lato" w:hAnsi="Lato"/>
        </w:rPr>
        <w:t>, Democratic Republic of the Congo</w:t>
      </w:r>
    </w:p>
    <w:p w14:paraId="394AF2AD" w14:textId="20DCF3F7" w:rsidR="00E817EA" w:rsidRPr="00EE2563" w:rsidRDefault="00E817EA" w:rsidP="00E817EA">
      <w:pPr>
        <w:jc w:val="center"/>
        <w:rPr>
          <w:rFonts w:ascii="Lato" w:hAnsi="Lato"/>
        </w:rPr>
      </w:pPr>
      <w:r w:rsidRPr="00EE2563">
        <w:rPr>
          <w:rFonts w:ascii="Lato" w:hAnsi="Lato"/>
        </w:rPr>
        <w:t>Association des personnes vulnerables du Congo</w:t>
      </w:r>
    </w:p>
    <w:p w14:paraId="1FD47D38" w14:textId="64594187" w:rsidR="00E817EA" w:rsidRPr="00EE2563" w:rsidRDefault="00E817EA" w:rsidP="00E817EA">
      <w:pPr>
        <w:jc w:val="center"/>
        <w:rPr>
          <w:rFonts w:ascii="Lato" w:hAnsi="Lato"/>
        </w:rPr>
      </w:pPr>
      <w:r w:rsidRPr="00EE2563">
        <w:rPr>
          <w:rFonts w:ascii="Lato" w:hAnsi="Lato"/>
        </w:rPr>
        <w:t>Gender Dynamix, South Africa</w:t>
      </w:r>
    </w:p>
    <w:p w14:paraId="67C4585A" w14:textId="4577ED77" w:rsidR="007774A6" w:rsidRPr="00EE2563" w:rsidRDefault="007774A6" w:rsidP="5C7B450E">
      <w:pPr>
        <w:jc w:val="center"/>
        <w:rPr>
          <w:rFonts w:ascii="Lato" w:hAnsi="Lato"/>
          <w:lang w:val="es-ES"/>
        </w:rPr>
      </w:pPr>
      <w:r w:rsidRPr="00EE2563">
        <w:rPr>
          <w:rFonts w:ascii="Lato" w:hAnsi="Lato"/>
          <w:lang w:val="es-ES"/>
        </w:rPr>
        <w:t>Mano Diversa, Bolivia</w:t>
      </w:r>
    </w:p>
    <w:p w14:paraId="51485E6C" w14:textId="7203F4CF" w:rsidR="007774A6" w:rsidRPr="00EE2563" w:rsidRDefault="005331A2" w:rsidP="007774A6">
      <w:pPr>
        <w:jc w:val="center"/>
        <w:rPr>
          <w:rFonts w:ascii="Lato" w:hAnsi="Lato"/>
          <w:lang w:val="es-ES"/>
        </w:rPr>
      </w:pPr>
      <w:r w:rsidRPr="00EE2563">
        <w:rPr>
          <w:rFonts w:ascii="Lato" w:hAnsi="Lato"/>
          <w:lang w:val="es-ES"/>
        </w:rPr>
        <w:t>Asociación Comunicando y Capacitando a Mujeres Trans con VIH (COMCAVIS TRANS)</w:t>
      </w:r>
      <w:r w:rsidR="007774A6" w:rsidRPr="00EE2563">
        <w:rPr>
          <w:rFonts w:ascii="Lato" w:hAnsi="Lato"/>
          <w:lang w:val="es-ES"/>
        </w:rPr>
        <w:t>, El Salvador</w:t>
      </w:r>
    </w:p>
    <w:p w14:paraId="581C69FB" w14:textId="0C0EC327" w:rsidR="009A05C2" w:rsidRPr="00EE2563" w:rsidRDefault="00252B91" w:rsidP="00EE2563">
      <w:pPr>
        <w:jc w:val="center"/>
        <w:rPr>
          <w:rFonts w:ascii="Lato" w:hAnsi="Lato"/>
        </w:rPr>
      </w:pPr>
      <w:r w:rsidRPr="00EE2563">
        <w:rPr>
          <w:rFonts w:ascii="Lato" w:hAnsi="Lato"/>
        </w:rPr>
        <w:t>And individual LGBTI activists and researchers</w:t>
      </w:r>
    </w:p>
    <w:sdt>
      <w:sdtPr>
        <w:rPr>
          <w:rFonts w:ascii="Lato" w:eastAsiaTheme="minorHAnsi" w:hAnsi="Lato" w:cstheme="minorBidi"/>
          <w:b w:val="0"/>
          <w:bCs w:val="0"/>
          <w:color w:val="auto"/>
          <w:kern w:val="2"/>
          <w:sz w:val="24"/>
          <w:szCs w:val="24"/>
          <w14:ligatures w14:val="standardContextual"/>
        </w:rPr>
        <w:id w:val="193047460"/>
        <w:docPartObj>
          <w:docPartGallery w:val="Table of Contents"/>
          <w:docPartUnique/>
        </w:docPartObj>
      </w:sdtPr>
      <w:sdtEndPr>
        <w:rPr>
          <w:noProof/>
        </w:rPr>
      </w:sdtEndPr>
      <w:sdtContent>
        <w:p w14:paraId="0D1303D7" w14:textId="1F93D78D" w:rsidR="00076776" w:rsidRPr="00D94354" w:rsidRDefault="00076776" w:rsidP="00612A7D">
          <w:pPr>
            <w:pStyle w:val="TOCHeading"/>
            <w:rPr>
              <w:rFonts w:ascii="Lato" w:hAnsi="Lato"/>
              <w:color w:val="000000" w:themeColor="text1"/>
              <w:sz w:val="24"/>
              <w:szCs w:val="24"/>
            </w:rPr>
          </w:pPr>
          <w:r w:rsidRPr="00D94354">
            <w:rPr>
              <w:rFonts w:ascii="Lato" w:hAnsi="Lato"/>
              <w:color w:val="000000" w:themeColor="text1"/>
              <w:sz w:val="24"/>
              <w:szCs w:val="24"/>
            </w:rPr>
            <w:t>Table of Contents</w:t>
          </w:r>
        </w:p>
        <w:p w14:paraId="406D93EC" w14:textId="77777777" w:rsidR="00076776" w:rsidRPr="00D94354" w:rsidRDefault="00076776" w:rsidP="00612A7D">
          <w:pPr>
            <w:spacing w:line="276" w:lineRule="auto"/>
            <w:rPr>
              <w:rFonts w:ascii="Lato" w:hAnsi="Lato"/>
              <w:color w:val="000000" w:themeColor="text1"/>
            </w:rPr>
          </w:pPr>
        </w:p>
        <w:p w14:paraId="08F119DD" w14:textId="091A69B1" w:rsidR="00D94354" w:rsidRPr="00D94354" w:rsidRDefault="00076776">
          <w:pPr>
            <w:pStyle w:val="TOC1"/>
            <w:tabs>
              <w:tab w:val="right" w:leader="dot" w:pos="9350"/>
            </w:tabs>
            <w:rPr>
              <w:rFonts w:ascii="Lato" w:eastAsiaTheme="minorEastAsia" w:hAnsi="Lato" w:cstheme="minorBidi"/>
              <w:b w:val="0"/>
              <w:bCs w:val="0"/>
              <w:caps w:val="0"/>
              <w:noProof/>
              <w:sz w:val="24"/>
              <w:szCs w:val="24"/>
              <w:lang w:val="en-CO"/>
            </w:rPr>
          </w:pPr>
          <w:r w:rsidRPr="00D94354">
            <w:rPr>
              <w:rFonts w:ascii="Lato" w:hAnsi="Lato"/>
              <w:b w:val="0"/>
              <w:bCs w:val="0"/>
              <w:color w:val="000000" w:themeColor="text1"/>
              <w:sz w:val="24"/>
              <w:szCs w:val="24"/>
            </w:rPr>
            <w:fldChar w:fldCharType="begin"/>
          </w:r>
          <w:r w:rsidRPr="00D94354">
            <w:rPr>
              <w:rFonts w:ascii="Lato" w:hAnsi="Lato"/>
              <w:b w:val="0"/>
              <w:bCs w:val="0"/>
              <w:color w:val="000000" w:themeColor="text1"/>
              <w:sz w:val="24"/>
              <w:szCs w:val="24"/>
            </w:rPr>
            <w:instrText xml:space="preserve"> TOC \o "1-3" \h \z \u </w:instrText>
          </w:r>
          <w:r w:rsidRPr="00D94354">
            <w:rPr>
              <w:rFonts w:ascii="Lato" w:hAnsi="Lato"/>
              <w:b w:val="0"/>
              <w:bCs w:val="0"/>
              <w:color w:val="000000" w:themeColor="text1"/>
              <w:sz w:val="24"/>
              <w:szCs w:val="24"/>
            </w:rPr>
            <w:fldChar w:fldCharType="separate"/>
          </w:r>
          <w:hyperlink w:anchor="_Toc136003037" w:history="1">
            <w:r w:rsidR="00D94354" w:rsidRPr="00D94354">
              <w:rPr>
                <w:rStyle w:val="Hyperlink"/>
                <w:rFonts w:ascii="Lato" w:hAnsi="Lato"/>
                <w:noProof/>
                <w:sz w:val="24"/>
                <w:szCs w:val="24"/>
              </w:rPr>
              <w:t>Introduction</w:t>
            </w:r>
            <w:r w:rsidR="00D94354" w:rsidRPr="00D94354">
              <w:rPr>
                <w:rFonts w:ascii="Lato" w:hAnsi="Lato"/>
                <w:noProof/>
                <w:webHidden/>
                <w:sz w:val="24"/>
                <w:szCs w:val="24"/>
              </w:rPr>
              <w:tab/>
            </w:r>
            <w:r w:rsidR="00D94354" w:rsidRPr="00D94354">
              <w:rPr>
                <w:rFonts w:ascii="Lato" w:hAnsi="Lato"/>
                <w:noProof/>
                <w:webHidden/>
                <w:sz w:val="24"/>
                <w:szCs w:val="24"/>
              </w:rPr>
              <w:fldChar w:fldCharType="begin"/>
            </w:r>
            <w:r w:rsidR="00D94354" w:rsidRPr="00D94354">
              <w:rPr>
                <w:rFonts w:ascii="Lato" w:hAnsi="Lato"/>
                <w:noProof/>
                <w:webHidden/>
                <w:sz w:val="24"/>
                <w:szCs w:val="24"/>
              </w:rPr>
              <w:instrText xml:space="preserve"> PAGEREF _Toc136003037 \h </w:instrText>
            </w:r>
            <w:r w:rsidR="00D94354" w:rsidRPr="00D94354">
              <w:rPr>
                <w:rFonts w:ascii="Lato" w:hAnsi="Lato"/>
                <w:noProof/>
                <w:webHidden/>
                <w:sz w:val="24"/>
                <w:szCs w:val="24"/>
              </w:rPr>
            </w:r>
            <w:r w:rsidR="00D94354" w:rsidRPr="00D94354">
              <w:rPr>
                <w:rFonts w:ascii="Lato" w:hAnsi="Lato"/>
                <w:noProof/>
                <w:webHidden/>
                <w:sz w:val="24"/>
                <w:szCs w:val="24"/>
              </w:rPr>
              <w:fldChar w:fldCharType="separate"/>
            </w:r>
            <w:r w:rsidR="00D94354" w:rsidRPr="00D94354">
              <w:rPr>
                <w:rFonts w:ascii="Lato" w:hAnsi="Lato"/>
                <w:noProof/>
                <w:webHidden/>
                <w:sz w:val="24"/>
                <w:szCs w:val="24"/>
              </w:rPr>
              <w:t>3</w:t>
            </w:r>
            <w:r w:rsidR="00D94354" w:rsidRPr="00D94354">
              <w:rPr>
                <w:rFonts w:ascii="Lato" w:hAnsi="Lato"/>
                <w:noProof/>
                <w:webHidden/>
                <w:sz w:val="24"/>
                <w:szCs w:val="24"/>
              </w:rPr>
              <w:fldChar w:fldCharType="end"/>
            </w:r>
          </w:hyperlink>
        </w:p>
        <w:p w14:paraId="2479D5FB" w14:textId="5A956343" w:rsidR="00D94354" w:rsidRPr="00D94354" w:rsidRDefault="00000000">
          <w:pPr>
            <w:pStyle w:val="TOC1"/>
            <w:tabs>
              <w:tab w:val="right" w:leader="dot" w:pos="9350"/>
            </w:tabs>
            <w:rPr>
              <w:rFonts w:ascii="Lato" w:eastAsiaTheme="minorEastAsia" w:hAnsi="Lato" w:cstheme="minorBidi"/>
              <w:b w:val="0"/>
              <w:bCs w:val="0"/>
              <w:caps w:val="0"/>
              <w:noProof/>
              <w:sz w:val="24"/>
              <w:szCs w:val="24"/>
              <w:lang w:val="en-CO"/>
            </w:rPr>
          </w:pPr>
          <w:hyperlink w:anchor="_Toc136003038" w:history="1">
            <w:r w:rsidR="00D94354" w:rsidRPr="00D94354">
              <w:rPr>
                <w:rStyle w:val="Hyperlink"/>
                <w:rFonts w:ascii="Lato" w:hAnsi="Lato"/>
                <w:noProof/>
                <w:sz w:val="24"/>
                <w:szCs w:val="24"/>
              </w:rPr>
              <w:t>Gender and sexual diversity prior colonization: evidence from Latin America and Africa</w:t>
            </w:r>
            <w:r w:rsidR="00D94354" w:rsidRPr="00D94354">
              <w:rPr>
                <w:rFonts w:ascii="Lato" w:hAnsi="Lato"/>
                <w:noProof/>
                <w:webHidden/>
                <w:sz w:val="24"/>
                <w:szCs w:val="24"/>
              </w:rPr>
              <w:tab/>
            </w:r>
            <w:r w:rsidR="00D94354" w:rsidRPr="00D94354">
              <w:rPr>
                <w:rFonts w:ascii="Lato" w:hAnsi="Lato"/>
                <w:noProof/>
                <w:webHidden/>
                <w:sz w:val="24"/>
                <w:szCs w:val="24"/>
              </w:rPr>
              <w:fldChar w:fldCharType="begin"/>
            </w:r>
            <w:r w:rsidR="00D94354" w:rsidRPr="00D94354">
              <w:rPr>
                <w:rFonts w:ascii="Lato" w:hAnsi="Lato"/>
                <w:noProof/>
                <w:webHidden/>
                <w:sz w:val="24"/>
                <w:szCs w:val="24"/>
              </w:rPr>
              <w:instrText xml:space="preserve"> PAGEREF _Toc136003038 \h </w:instrText>
            </w:r>
            <w:r w:rsidR="00D94354" w:rsidRPr="00D94354">
              <w:rPr>
                <w:rFonts w:ascii="Lato" w:hAnsi="Lato"/>
                <w:noProof/>
                <w:webHidden/>
                <w:sz w:val="24"/>
                <w:szCs w:val="24"/>
              </w:rPr>
            </w:r>
            <w:r w:rsidR="00D94354" w:rsidRPr="00D94354">
              <w:rPr>
                <w:rFonts w:ascii="Lato" w:hAnsi="Lato"/>
                <w:noProof/>
                <w:webHidden/>
                <w:sz w:val="24"/>
                <w:szCs w:val="24"/>
              </w:rPr>
              <w:fldChar w:fldCharType="separate"/>
            </w:r>
            <w:r w:rsidR="00D94354" w:rsidRPr="00D94354">
              <w:rPr>
                <w:rFonts w:ascii="Lato" w:hAnsi="Lato"/>
                <w:noProof/>
                <w:webHidden/>
                <w:sz w:val="24"/>
                <w:szCs w:val="24"/>
              </w:rPr>
              <w:t>5</w:t>
            </w:r>
            <w:r w:rsidR="00D94354" w:rsidRPr="00D94354">
              <w:rPr>
                <w:rFonts w:ascii="Lato" w:hAnsi="Lato"/>
                <w:noProof/>
                <w:webHidden/>
                <w:sz w:val="24"/>
                <w:szCs w:val="24"/>
              </w:rPr>
              <w:fldChar w:fldCharType="end"/>
            </w:r>
          </w:hyperlink>
        </w:p>
        <w:p w14:paraId="7112B57A" w14:textId="699C02A8" w:rsidR="00D94354" w:rsidRPr="00D94354" w:rsidRDefault="00000000" w:rsidP="00D94354">
          <w:pPr>
            <w:pStyle w:val="TOC2"/>
            <w:rPr>
              <w:rFonts w:eastAsiaTheme="minorEastAsia" w:cstheme="minorBidi"/>
              <w:lang w:val="en-CO"/>
            </w:rPr>
          </w:pPr>
          <w:hyperlink w:anchor="_Toc136003039" w:history="1">
            <w:r w:rsidR="00D94354" w:rsidRPr="00D94354">
              <w:rPr>
                <w:rStyle w:val="Hyperlink"/>
              </w:rPr>
              <w:t>Latin America</w:t>
            </w:r>
            <w:r w:rsidR="00D94354" w:rsidRPr="00D94354">
              <w:rPr>
                <w:webHidden/>
              </w:rPr>
              <w:tab/>
            </w:r>
            <w:r w:rsidR="00D94354" w:rsidRPr="00D94354">
              <w:rPr>
                <w:webHidden/>
              </w:rPr>
              <w:fldChar w:fldCharType="begin"/>
            </w:r>
            <w:r w:rsidR="00D94354" w:rsidRPr="00D94354">
              <w:rPr>
                <w:webHidden/>
              </w:rPr>
              <w:instrText xml:space="preserve"> PAGEREF _Toc136003039 \h </w:instrText>
            </w:r>
            <w:r w:rsidR="00D94354" w:rsidRPr="00D94354">
              <w:rPr>
                <w:webHidden/>
              </w:rPr>
            </w:r>
            <w:r w:rsidR="00D94354" w:rsidRPr="00D94354">
              <w:rPr>
                <w:webHidden/>
              </w:rPr>
              <w:fldChar w:fldCharType="separate"/>
            </w:r>
            <w:r w:rsidR="00D94354" w:rsidRPr="00D94354">
              <w:rPr>
                <w:webHidden/>
              </w:rPr>
              <w:t>5</w:t>
            </w:r>
            <w:r w:rsidR="00D94354" w:rsidRPr="00D94354">
              <w:rPr>
                <w:webHidden/>
              </w:rPr>
              <w:fldChar w:fldCharType="end"/>
            </w:r>
          </w:hyperlink>
        </w:p>
        <w:p w14:paraId="75C90B78" w14:textId="6246FD33" w:rsidR="00D94354" w:rsidRPr="00D94354" w:rsidRDefault="00000000" w:rsidP="00D94354">
          <w:pPr>
            <w:pStyle w:val="TOC2"/>
            <w:rPr>
              <w:rFonts w:eastAsiaTheme="minorEastAsia" w:cstheme="minorBidi"/>
              <w:lang w:val="en-CO"/>
            </w:rPr>
          </w:pPr>
          <w:hyperlink w:anchor="_Toc136003040" w:history="1">
            <w:r w:rsidR="00D94354" w:rsidRPr="00D94354">
              <w:rPr>
                <w:rStyle w:val="Hyperlink"/>
              </w:rPr>
              <w:t>Africa</w:t>
            </w:r>
            <w:r w:rsidR="00D94354" w:rsidRPr="00D94354">
              <w:rPr>
                <w:webHidden/>
              </w:rPr>
              <w:tab/>
            </w:r>
            <w:r w:rsidR="00D94354" w:rsidRPr="00D94354">
              <w:rPr>
                <w:webHidden/>
              </w:rPr>
              <w:fldChar w:fldCharType="begin"/>
            </w:r>
            <w:r w:rsidR="00D94354" w:rsidRPr="00D94354">
              <w:rPr>
                <w:webHidden/>
              </w:rPr>
              <w:instrText xml:space="preserve"> PAGEREF _Toc136003040 \h </w:instrText>
            </w:r>
            <w:r w:rsidR="00D94354" w:rsidRPr="00D94354">
              <w:rPr>
                <w:webHidden/>
              </w:rPr>
            </w:r>
            <w:r w:rsidR="00D94354" w:rsidRPr="00D94354">
              <w:rPr>
                <w:webHidden/>
              </w:rPr>
              <w:fldChar w:fldCharType="separate"/>
            </w:r>
            <w:r w:rsidR="00D94354" w:rsidRPr="00D94354">
              <w:rPr>
                <w:webHidden/>
              </w:rPr>
              <w:t>6</w:t>
            </w:r>
            <w:r w:rsidR="00D94354" w:rsidRPr="00D94354">
              <w:rPr>
                <w:webHidden/>
              </w:rPr>
              <w:fldChar w:fldCharType="end"/>
            </w:r>
          </w:hyperlink>
        </w:p>
        <w:p w14:paraId="3CC9E811" w14:textId="6766D5CF" w:rsidR="00D94354" w:rsidRPr="00D94354" w:rsidRDefault="00000000">
          <w:pPr>
            <w:pStyle w:val="TOC1"/>
            <w:tabs>
              <w:tab w:val="right" w:leader="dot" w:pos="9350"/>
            </w:tabs>
            <w:rPr>
              <w:rFonts w:ascii="Lato" w:eastAsiaTheme="minorEastAsia" w:hAnsi="Lato" w:cstheme="minorBidi"/>
              <w:b w:val="0"/>
              <w:bCs w:val="0"/>
              <w:caps w:val="0"/>
              <w:noProof/>
              <w:sz w:val="24"/>
              <w:szCs w:val="24"/>
              <w:lang w:val="en-CO"/>
            </w:rPr>
          </w:pPr>
          <w:hyperlink w:anchor="_Toc136003041" w:history="1">
            <w:r w:rsidR="00D94354" w:rsidRPr="00D94354">
              <w:rPr>
                <w:rStyle w:val="Hyperlink"/>
                <w:rFonts w:ascii="Lato" w:hAnsi="Lato"/>
                <w:noProof/>
                <w:sz w:val="24"/>
                <w:szCs w:val="24"/>
              </w:rPr>
              <w:t>Gender and sexual diversity colonial laws present today</w:t>
            </w:r>
            <w:r w:rsidR="00D94354" w:rsidRPr="00D94354">
              <w:rPr>
                <w:rFonts w:ascii="Lato" w:hAnsi="Lato"/>
                <w:noProof/>
                <w:webHidden/>
                <w:sz w:val="24"/>
                <w:szCs w:val="24"/>
              </w:rPr>
              <w:tab/>
            </w:r>
            <w:r w:rsidR="00D94354" w:rsidRPr="00D94354">
              <w:rPr>
                <w:rFonts w:ascii="Lato" w:hAnsi="Lato"/>
                <w:noProof/>
                <w:webHidden/>
                <w:sz w:val="24"/>
                <w:szCs w:val="24"/>
              </w:rPr>
              <w:fldChar w:fldCharType="begin"/>
            </w:r>
            <w:r w:rsidR="00D94354" w:rsidRPr="00D94354">
              <w:rPr>
                <w:rFonts w:ascii="Lato" w:hAnsi="Lato"/>
                <w:noProof/>
                <w:webHidden/>
                <w:sz w:val="24"/>
                <w:szCs w:val="24"/>
              </w:rPr>
              <w:instrText xml:space="preserve"> PAGEREF _Toc136003041 \h </w:instrText>
            </w:r>
            <w:r w:rsidR="00D94354" w:rsidRPr="00D94354">
              <w:rPr>
                <w:rFonts w:ascii="Lato" w:hAnsi="Lato"/>
                <w:noProof/>
                <w:webHidden/>
                <w:sz w:val="24"/>
                <w:szCs w:val="24"/>
              </w:rPr>
            </w:r>
            <w:r w:rsidR="00D94354" w:rsidRPr="00D94354">
              <w:rPr>
                <w:rFonts w:ascii="Lato" w:hAnsi="Lato"/>
                <w:noProof/>
                <w:webHidden/>
                <w:sz w:val="24"/>
                <w:szCs w:val="24"/>
              </w:rPr>
              <w:fldChar w:fldCharType="separate"/>
            </w:r>
            <w:r w:rsidR="00D94354" w:rsidRPr="00D94354">
              <w:rPr>
                <w:rFonts w:ascii="Lato" w:hAnsi="Lato"/>
                <w:noProof/>
                <w:webHidden/>
                <w:sz w:val="24"/>
                <w:szCs w:val="24"/>
              </w:rPr>
              <w:t>6</w:t>
            </w:r>
            <w:r w:rsidR="00D94354" w:rsidRPr="00D94354">
              <w:rPr>
                <w:rFonts w:ascii="Lato" w:hAnsi="Lato"/>
                <w:noProof/>
                <w:webHidden/>
                <w:sz w:val="24"/>
                <w:szCs w:val="24"/>
              </w:rPr>
              <w:fldChar w:fldCharType="end"/>
            </w:r>
          </w:hyperlink>
        </w:p>
        <w:p w14:paraId="28D89630" w14:textId="0568F465" w:rsidR="00D94354" w:rsidRPr="00D94354" w:rsidRDefault="00000000" w:rsidP="00D94354">
          <w:pPr>
            <w:pStyle w:val="TOC2"/>
            <w:rPr>
              <w:rFonts w:eastAsiaTheme="minorEastAsia" w:cstheme="minorBidi"/>
              <w:lang w:val="en-CO"/>
            </w:rPr>
          </w:pPr>
          <w:hyperlink w:anchor="_Toc136003042" w:history="1">
            <w:r w:rsidR="00D94354" w:rsidRPr="00D94354">
              <w:rPr>
                <w:rStyle w:val="Hyperlink"/>
                <w:rFonts w:eastAsia="Helvetica Neue"/>
              </w:rPr>
              <w:t>Legacies from former British colonies</w:t>
            </w:r>
            <w:r w:rsidR="00D94354" w:rsidRPr="00D94354">
              <w:rPr>
                <w:webHidden/>
              </w:rPr>
              <w:tab/>
            </w:r>
            <w:r w:rsidR="00D94354" w:rsidRPr="00D94354">
              <w:rPr>
                <w:webHidden/>
              </w:rPr>
              <w:fldChar w:fldCharType="begin"/>
            </w:r>
            <w:r w:rsidR="00D94354" w:rsidRPr="00D94354">
              <w:rPr>
                <w:webHidden/>
              </w:rPr>
              <w:instrText xml:space="preserve"> PAGEREF _Toc136003042 \h </w:instrText>
            </w:r>
            <w:r w:rsidR="00D94354" w:rsidRPr="00D94354">
              <w:rPr>
                <w:webHidden/>
              </w:rPr>
            </w:r>
            <w:r w:rsidR="00D94354" w:rsidRPr="00D94354">
              <w:rPr>
                <w:webHidden/>
              </w:rPr>
              <w:fldChar w:fldCharType="separate"/>
            </w:r>
            <w:r w:rsidR="00D94354" w:rsidRPr="00D94354">
              <w:rPr>
                <w:webHidden/>
              </w:rPr>
              <w:t>7</w:t>
            </w:r>
            <w:r w:rsidR="00D94354" w:rsidRPr="00D94354">
              <w:rPr>
                <w:webHidden/>
              </w:rPr>
              <w:fldChar w:fldCharType="end"/>
            </w:r>
          </w:hyperlink>
        </w:p>
        <w:p w14:paraId="18068A41" w14:textId="5EFCEE4F" w:rsidR="00D94354" w:rsidRPr="00D94354" w:rsidRDefault="00000000" w:rsidP="00D94354">
          <w:pPr>
            <w:pStyle w:val="TOC2"/>
            <w:rPr>
              <w:rFonts w:eastAsiaTheme="minorEastAsia" w:cstheme="minorBidi"/>
              <w:lang w:val="en-CO"/>
            </w:rPr>
          </w:pPr>
          <w:hyperlink w:anchor="_Toc136003043" w:history="1">
            <w:r w:rsidR="00D94354" w:rsidRPr="00D94354">
              <w:rPr>
                <w:rStyle w:val="Hyperlink"/>
              </w:rPr>
              <w:t>Legacies from former French colonies</w:t>
            </w:r>
            <w:r w:rsidR="00D94354" w:rsidRPr="00D94354">
              <w:rPr>
                <w:webHidden/>
              </w:rPr>
              <w:tab/>
            </w:r>
            <w:r w:rsidR="00D94354" w:rsidRPr="00D94354">
              <w:rPr>
                <w:webHidden/>
              </w:rPr>
              <w:fldChar w:fldCharType="begin"/>
            </w:r>
            <w:r w:rsidR="00D94354" w:rsidRPr="00D94354">
              <w:rPr>
                <w:webHidden/>
              </w:rPr>
              <w:instrText xml:space="preserve"> PAGEREF _Toc136003043 \h </w:instrText>
            </w:r>
            <w:r w:rsidR="00D94354" w:rsidRPr="00D94354">
              <w:rPr>
                <w:webHidden/>
              </w:rPr>
            </w:r>
            <w:r w:rsidR="00D94354" w:rsidRPr="00D94354">
              <w:rPr>
                <w:webHidden/>
              </w:rPr>
              <w:fldChar w:fldCharType="separate"/>
            </w:r>
            <w:r w:rsidR="00D94354" w:rsidRPr="00D94354">
              <w:rPr>
                <w:webHidden/>
              </w:rPr>
              <w:t>10</w:t>
            </w:r>
            <w:r w:rsidR="00D94354" w:rsidRPr="00D94354">
              <w:rPr>
                <w:webHidden/>
              </w:rPr>
              <w:fldChar w:fldCharType="end"/>
            </w:r>
          </w:hyperlink>
        </w:p>
        <w:p w14:paraId="4DF298C8" w14:textId="67E6258B" w:rsidR="00D94354" w:rsidRPr="00D94354" w:rsidRDefault="00000000" w:rsidP="00D94354">
          <w:pPr>
            <w:pStyle w:val="TOC2"/>
            <w:rPr>
              <w:rFonts w:eastAsiaTheme="minorEastAsia" w:cstheme="minorBidi"/>
              <w:lang w:val="en-CO"/>
            </w:rPr>
          </w:pPr>
          <w:hyperlink w:anchor="_Toc136003044" w:history="1">
            <w:r w:rsidR="00D94354" w:rsidRPr="00D94354">
              <w:rPr>
                <w:rStyle w:val="Hyperlink"/>
                <w:rFonts w:eastAsia="Times New Roman"/>
              </w:rPr>
              <w:t>Legacies from former Spanish colonies</w:t>
            </w:r>
            <w:r w:rsidR="00D94354" w:rsidRPr="00D94354">
              <w:rPr>
                <w:webHidden/>
              </w:rPr>
              <w:tab/>
            </w:r>
            <w:r w:rsidR="00D94354" w:rsidRPr="00D94354">
              <w:rPr>
                <w:webHidden/>
              </w:rPr>
              <w:fldChar w:fldCharType="begin"/>
            </w:r>
            <w:r w:rsidR="00D94354" w:rsidRPr="00D94354">
              <w:rPr>
                <w:webHidden/>
              </w:rPr>
              <w:instrText xml:space="preserve"> PAGEREF _Toc136003044 \h </w:instrText>
            </w:r>
            <w:r w:rsidR="00D94354" w:rsidRPr="00D94354">
              <w:rPr>
                <w:webHidden/>
              </w:rPr>
            </w:r>
            <w:r w:rsidR="00D94354" w:rsidRPr="00D94354">
              <w:rPr>
                <w:webHidden/>
              </w:rPr>
              <w:fldChar w:fldCharType="separate"/>
            </w:r>
            <w:r w:rsidR="00D94354" w:rsidRPr="00D94354">
              <w:rPr>
                <w:webHidden/>
              </w:rPr>
              <w:t>10</w:t>
            </w:r>
            <w:r w:rsidR="00D94354" w:rsidRPr="00D94354">
              <w:rPr>
                <w:webHidden/>
              </w:rPr>
              <w:fldChar w:fldCharType="end"/>
            </w:r>
          </w:hyperlink>
        </w:p>
        <w:p w14:paraId="6EDC2132" w14:textId="745AD222" w:rsidR="00D94354" w:rsidRPr="00D94354" w:rsidRDefault="00000000">
          <w:pPr>
            <w:pStyle w:val="TOC1"/>
            <w:tabs>
              <w:tab w:val="right" w:leader="dot" w:pos="9350"/>
            </w:tabs>
            <w:rPr>
              <w:rFonts w:ascii="Lato" w:eastAsiaTheme="minorEastAsia" w:hAnsi="Lato" w:cstheme="minorBidi"/>
              <w:b w:val="0"/>
              <w:bCs w:val="0"/>
              <w:caps w:val="0"/>
              <w:noProof/>
              <w:sz w:val="24"/>
              <w:szCs w:val="24"/>
              <w:lang w:val="en-CO"/>
            </w:rPr>
          </w:pPr>
          <w:hyperlink w:anchor="_Toc136003045" w:history="1">
            <w:r w:rsidR="00D94354" w:rsidRPr="00D94354">
              <w:rPr>
                <w:rStyle w:val="Hyperlink"/>
                <w:rFonts w:ascii="Lato" w:eastAsia="Times New Roman" w:hAnsi="Lato"/>
                <w:noProof/>
                <w:sz w:val="24"/>
                <w:szCs w:val="24"/>
              </w:rPr>
              <w:t>Repealed colonial laws regulating sexual orientation and gender identity</w:t>
            </w:r>
            <w:r w:rsidR="00D94354" w:rsidRPr="00D94354">
              <w:rPr>
                <w:rFonts w:ascii="Lato" w:hAnsi="Lato"/>
                <w:noProof/>
                <w:webHidden/>
                <w:sz w:val="24"/>
                <w:szCs w:val="24"/>
              </w:rPr>
              <w:tab/>
            </w:r>
            <w:r w:rsidR="00D94354" w:rsidRPr="00D94354">
              <w:rPr>
                <w:rFonts w:ascii="Lato" w:hAnsi="Lato"/>
                <w:noProof/>
                <w:webHidden/>
                <w:sz w:val="24"/>
                <w:szCs w:val="24"/>
              </w:rPr>
              <w:fldChar w:fldCharType="begin"/>
            </w:r>
            <w:r w:rsidR="00D94354" w:rsidRPr="00D94354">
              <w:rPr>
                <w:rFonts w:ascii="Lato" w:hAnsi="Lato"/>
                <w:noProof/>
                <w:webHidden/>
                <w:sz w:val="24"/>
                <w:szCs w:val="24"/>
              </w:rPr>
              <w:instrText xml:space="preserve"> PAGEREF _Toc136003045 \h </w:instrText>
            </w:r>
            <w:r w:rsidR="00D94354" w:rsidRPr="00D94354">
              <w:rPr>
                <w:rFonts w:ascii="Lato" w:hAnsi="Lato"/>
                <w:noProof/>
                <w:webHidden/>
                <w:sz w:val="24"/>
                <w:szCs w:val="24"/>
              </w:rPr>
            </w:r>
            <w:r w:rsidR="00D94354" w:rsidRPr="00D94354">
              <w:rPr>
                <w:rFonts w:ascii="Lato" w:hAnsi="Lato"/>
                <w:noProof/>
                <w:webHidden/>
                <w:sz w:val="24"/>
                <w:szCs w:val="24"/>
              </w:rPr>
              <w:fldChar w:fldCharType="separate"/>
            </w:r>
            <w:r w:rsidR="00D94354" w:rsidRPr="00D94354">
              <w:rPr>
                <w:rFonts w:ascii="Lato" w:hAnsi="Lato"/>
                <w:noProof/>
                <w:webHidden/>
                <w:sz w:val="24"/>
                <w:szCs w:val="24"/>
              </w:rPr>
              <w:t>11</w:t>
            </w:r>
            <w:r w:rsidR="00D94354" w:rsidRPr="00D94354">
              <w:rPr>
                <w:rFonts w:ascii="Lato" w:hAnsi="Lato"/>
                <w:noProof/>
                <w:webHidden/>
                <w:sz w:val="24"/>
                <w:szCs w:val="24"/>
              </w:rPr>
              <w:fldChar w:fldCharType="end"/>
            </w:r>
          </w:hyperlink>
        </w:p>
        <w:p w14:paraId="0DF274A0" w14:textId="02369896" w:rsidR="00D94354" w:rsidRPr="00D94354" w:rsidRDefault="00000000">
          <w:pPr>
            <w:pStyle w:val="TOC1"/>
            <w:tabs>
              <w:tab w:val="right" w:leader="dot" w:pos="9350"/>
            </w:tabs>
            <w:rPr>
              <w:rFonts w:ascii="Lato" w:eastAsiaTheme="minorEastAsia" w:hAnsi="Lato" w:cstheme="minorBidi"/>
              <w:b w:val="0"/>
              <w:bCs w:val="0"/>
              <w:caps w:val="0"/>
              <w:noProof/>
              <w:sz w:val="24"/>
              <w:szCs w:val="24"/>
              <w:lang w:val="en-CO"/>
            </w:rPr>
          </w:pPr>
          <w:hyperlink w:anchor="_Toc136003046" w:history="1">
            <w:r w:rsidR="00D94354" w:rsidRPr="00D94354">
              <w:rPr>
                <w:rStyle w:val="Hyperlink"/>
                <w:rFonts w:ascii="Lato" w:hAnsi="Lato"/>
                <w:noProof/>
                <w:sz w:val="24"/>
                <w:szCs w:val="24"/>
              </w:rPr>
              <w:t>Reparations and redress for the legacy of colonialism on gender and sexual diversity</w:t>
            </w:r>
            <w:r w:rsidR="00D94354" w:rsidRPr="00D94354">
              <w:rPr>
                <w:rFonts w:ascii="Lato" w:hAnsi="Lato"/>
                <w:noProof/>
                <w:webHidden/>
                <w:sz w:val="24"/>
                <w:szCs w:val="24"/>
              </w:rPr>
              <w:tab/>
            </w:r>
            <w:r w:rsidR="00D94354" w:rsidRPr="00D94354">
              <w:rPr>
                <w:rFonts w:ascii="Lato" w:hAnsi="Lato"/>
                <w:noProof/>
                <w:webHidden/>
                <w:sz w:val="24"/>
                <w:szCs w:val="24"/>
              </w:rPr>
              <w:fldChar w:fldCharType="begin"/>
            </w:r>
            <w:r w:rsidR="00D94354" w:rsidRPr="00D94354">
              <w:rPr>
                <w:rFonts w:ascii="Lato" w:hAnsi="Lato"/>
                <w:noProof/>
                <w:webHidden/>
                <w:sz w:val="24"/>
                <w:szCs w:val="24"/>
              </w:rPr>
              <w:instrText xml:space="preserve"> PAGEREF _Toc136003046 \h </w:instrText>
            </w:r>
            <w:r w:rsidR="00D94354" w:rsidRPr="00D94354">
              <w:rPr>
                <w:rFonts w:ascii="Lato" w:hAnsi="Lato"/>
                <w:noProof/>
                <w:webHidden/>
                <w:sz w:val="24"/>
                <w:szCs w:val="24"/>
              </w:rPr>
            </w:r>
            <w:r w:rsidR="00D94354" w:rsidRPr="00D94354">
              <w:rPr>
                <w:rFonts w:ascii="Lato" w:hAnsi="Lato"/>
                <w:noProof/>
                <w:webHidden/>
                <w:sz w:val="24"/>
                <w:szCs w:val="24"/>
              </w:rPr>
              <w:fldChar w:fldCharType="separate"/>
            </w:r>
            <w:r w:rsidR="00D94354" w:rsidRPr="00D94354">
              <w:rPr>
                <w:rFonts w:ascii="Lato" w:hAnsi="Lato"/>
                <w:noProof/>
                <w:webHidden/>
                <w:sz w:val="24"/>
                <w:szCs w:val="24"/>
              </w:rPr>
              <w:t>13</w:t>
            </w:r>
            <w:r w:rsidR="00D94354" w:rsidRPr="00D94354">
              <w:rPr>
                <w:rFonts w:ascii="Lato" w:hAnsi="Lato"/>
                <w:noProof/>
                <w:webHidden/>
                <w:sz w:val="24"/>
                <w:szCs w:val="24"/>
              </w:rPr>
              <w:fldChar w:fldCharType="end"/>
            </w:r>
          </w:hyperlink>
        </w:p>
        <w:p w14:paraId="2970E289" w14:textId="09BEB448" w:rsidR="00D94354" w:rsidRPr="00D94354" w:rsidRDefault="00000000" w:rsidP="00D94354">
          <w:pPr>
            <w:pStyle w:val="TOC2"/>
            <w:rPr>
              <w:rFonts w:eastAsiaTheme="minorEastAsia" w:cstheme="minorBidi"/>
              <w:lang w:val="en-CO"/>
            </w:rPr>
          </w:pPr>
          <w:hyperlink w:anchor="_Toc136003047" w:history="1">
            <w:r w:rsidR="00D94354" w:rsidRPr="00D94354">
              <w:rPr>
                <w:rStyle w:val="Hyperlink"/>
              </w:rPr>
              <w:t>Measures to effective reparative justice</w:t>
            </w:r>
            <w:r w:rsidR="00D94354" w:rsidRPr="00D94354">
              <w:rPr>
                <w:webHidden/>
              </w:rPr>
              <w:tab/>
            </w:r>
            <w:r w:rsidR="00D94354" w:rsidRPr="00D94354">
              <w:rPr>
                <w:webHidden/>
              </w:rPr>
              <w:fldChar w:fldCharType="begin"/>
            </w:r>
            <w:r w:rsidR="00D94354" w:rsidRPr="00D94354">
              <w:rPr>
                <w:webHidden/>
              </w:rPr>
              <w:instrText xml:space="preserve"> PAGEREF _Toc136003047 \h </w:instrText>
            </w:r>
            <w:r w:rsidR="00D94354" w:rsidRPr="00D94354">
              <w:rPr>
                <w:webHidden/>
              </w:rPr>
            </w:r>
            <w:r w:rsidR="00D94354" w:rsidRPr="00D94354">
              <w:rPr>
                <w:webHidden/>
              </w:rPr>
              <w:fldChar w:fldCharType="separate"/>
            </w:r>
            <w:r w:rsidR="00D94354" w:rsidRPr="00D94354">
              <w:rPr>
                <w:webHidden/>
              </w:rPr>
              <w:t>14</w:t>
            </w:r>
            <w:r w:rsidR="00D94354" w:rsidRPr="00D94354">
              <w:rPr>
                <w:webHidden/>
              </w:rPr>
              <w:fldChar w:fldCharType="end"/>
            </w:r>
          </w:hyperlink>
        </w:p>
        <w:p w14:paraId="2D86F9F7" w14:textId="6AAF7563" w:rsidR="00076776" w:rsidRPr="00D94354" w:rsidRDefault="00076776" w:rsidP="00612A7D">
          <w:pPr>
            <w:spacing w:line="276" w:lineRule="auto"/>
            <w:rPr>
              <w:rFonts w:ascii="Lato" w:hAnsi="Lato"/>
            </w:rPr>
          </w:pPr>
          <w:r w:rsidRPr="00D94354">
            <w:rPr>
              <w:rFonts w:ascii="Lato" w:hAnsi="Lato"/>
              <w:noProof/>
              <w:color w:val="000000" w:themeColor="text1"/>
            </w:rPr>
            <w:fldChar w:fldCharType="end"/>
          </w:r>
        </w:p>
      </w:sdtContent>
    </w:sdt>
    <w:p w14:paraId="03DBB534" w14:textId="77777777" w:rsidR="00076776" w:rsidRDefault="00076776" w:rsidP="00612A7D">
      <w:pPr>
        <w:spacing w:line="276" w:lineRule="auto"/>
        <w:rPr>
          <w:rFonts w:ascii="Lato" w:hAnsi="Lato"/>
          <w:b/>
          <w:bCs/>
        </w:rPr>
      </w:pPr>
    </w:p>
    <w:p w14:paraId="59A65FB2" w14:textId="77777777" w:rsidR="00076776" w:rsidRDefault="00076776" w:rsidP="00612A7D">
      <w:pPr>
        <w:pStyle w:val="Heading1"/>
        <w:spacing w:line="276" w:lineRule="auto"/>
        <w:rPr>
          <w:rFonts w:ascii="Lato" w:hAnsi="Lato" w:cstheme="minorHAnsi"/>
          <w:b/>
          <w:bCs/>
          <w:color w:val="000000" w:themeColor="text1"/>
          <w:sz w:val="28"/>
          <w:szCs w:val="28"/>
        </w:rPr>
      </w:pPr>
    </w:p>
    <w:p w14:paraId="20D7E97B" w14:textId="77777777" w:rsidR="00076776" w:rsidRDefault="00076776" w:rsidP="00612A7D">
      <w:pPr>
        <w:pStyle w:val="Heading1"/>
        <w:spacing w:line="276" w:lineRule="auto"/>
        <w:rPr>
          <w:rFonts w:ascii="Lato" w:hAnsi="Lato" w:cstheme="minorHAnsi"/>
          <w:b/>
          <w:bCs/>
          <w:color w:val="000000" w:themeColor="text1"/>
          <w:sz w:val="28"/>
          <w:szCs w:val="28"/>
        </w:rPr>
      </w:pPr>
    </w:p>
    <w:p w14:paraId="2DB5CBA1" w14:textId="77777777" w:rsidR="00076776" w:rsidRDefault="00076776" w:rsidP="00612A7D">
      <w:pPr>
        <w:pStyle w:val="Heading1"/>
        <w:spacing w:line="276" w:lineRule="auto"/>
        <w:rPr>
          <w:rFonts w:ascii="Lato" w:hAnsi="Lato" w:cstheme="minorHAnsi"/>
          <w:b/>
          <w:bCs/>
          <w:color w:val="000000" w:themeColor="text1"/>
          <w:sz w:val="28"/>
          <w:szCs w:val="28"/>
        </w:rPr>
      </w:pPr>
    </w:p>
    <w:p w14:paraId="543D5D37" w14:textId="77777777" w:rsidR="00076776" w:rsidRDefault="00076776" w:rsidP="00612A7D">
      <w:pPr>
        <w:pStyle w:val="Heading1"/>
        <w:spacing w:line="276" w:lineRule="auto"/>
        <w:rPr>
          <w:rFonts w:ascii="Lato" w:hAnsi="Lato" w:cstheme="minorHAnsi"/>
          <w:b/>
          <w:bCs/>
          <w:color w:val="000000" w:themeColor="text1"/>
          <w:sz w:val="28"/>
          <w:szCs w:val="28"/>
        </w:rPr>
      </w:pPr>
    </w:p>
    <w:p w14:paraId="66985B29" w14:textId="77777777" w:rsidR="00076776" w:rsidRDefault="00076776" w:rsidP="00612A7D">
      <w:pPr>
        <w:pStyle w:val="Heading1"/>
        <w:spacing w:line="276" w:lineRule="auto"/>
        <w:rPr>
          <w:rFonts w:ascii="Lato" w:hAnsi="Lato" w:cstheme="minorHAnsi"/>
          <w:b/>
          <w:bCs/>
          <w:color w:val="000000" w:themeColor="text1"/>
          <w:sz w:val="28"/>
          <w:szCs w:val="28"/>
        </w:rPr>
      </w:pPr>
    </w:p>
    <w:p w14:paraId="25A2851F" w14:textId="21BAA648" w:rsidR="009F5B08" w:rsidRDefault="00D94354" w:rsidP="00D94354">
      <w:pPr>
        <w:pStyle w:val="Heading1"/>
        <w:tabs>
          <w:tab w:val="left" w:pos="2961"/>
        </w:tabs>
        <w:spacing w:line="276" w:lineRule="auto"/>
        <w:rPr>
          <w:rFonts w:ascii="Lato" w:hAnsi="Lato" w:cstheme="minorHAnsi"/>
          <w:b/>
          <w:bCs/>
          <w:color w:val="000000" w:themeColor="text1"/>
          <w:sz w:val="28"/>
          <w:szCs w:val="28"/>
        </w:rPr>
      </w:pPr>
      <w:r>
        <w:rPr>
          <w:rFonts w:ascii="Lato" w:hAnsi="Lato" w:cstheme="minorHAnsi"/>
          <w:b/>
          <w:bCs/>
          <w:color w:val="000000" w:themeColor="text1"/>
          <w:sz w:val="28"/>
          <w:szCs w:val="28"/>
        </w:rPr>
        <w:tab/>
      </w:r>
    </w:p>
    <w:p w14:paraId="4AAD02AA" w14:textId="77777777" w:rsidR="009F5B08" w:rsidRDefault="009F5B08" w:rsidP="00612A7D">
      <w:pPr>
        <w:spacing w:line="276" w:lineRule="auto"/>
      </w:pPr>
    </w:p>
    <w:p w14:paraId="01F1E0EC" w14:textId="77777777" w:rsidR="009F5B08" w:rsidRDefault="009F5B08" w:rsidP="00612A7D">
      <w:pPr>
        <w:spacing w:line="276" w:lineRule="auto"/>
      </w:pPr>
    </w:p>
    <w:p w14:paraId="586B0A01" w14:textId="77777777" w:rsidR="009F5B08" w:rsidRPr="009F5B08" w:rsidRDefault="009F5B08" w:rsidP="00612A7D">
      <w:pPr>
        <w:spacing w:line="276" w:lineRule="auto"/>
      </w:pPr>
    </w:p>
    <w:p w14:paraId="53118696" w14:textId="77777777" w:rsidR="00586E98" w:rsidRDefault="00586E98" w:rsidP="00612A7D">
      <w:pPr>
        <w:pStyle w:val="Heading1"/>
        <w:spacing w:line="276" w:lineRule="auto"/>
        <w:rPr>
          <w:rFonts w:ascii="Lato" w:hAnsi="Lato" w:cstheme="minorHAnsi"/>
          <w:b/>
          <w:bCs/>
          <w:color w:val="000000" w:themeColor="text1"/>
          <w:sz w:val="28"/>
          <w:szCs w:val="28"/>
        </w:rPr>
      </w:pPr>
    </w:p>
    <w:p w14:paraId="3BB1553F" w14:textId="77777777" w:rsidR="00AE1441" w:rsidRPr="00AE1441" w:rsidRDefault="00AE1441" w:rsidP="00612A7D">
      <w:pPr>
        <w:spacing w:line="276" w:lineRule="auto"/>
      </w:pPr>
    </w:p>
    <w:p w14:paraId="3350A1FD" w14:textId="77777777" w:rsidR="002D661F" w:rsidRPr="002D661F" w:rsidRDefault="002D661F" w:rsidP="002D661F"/>
    <w:p w14:paraId="7BC32E13" w14:textId="30E70393" w:rsidR="009A05C2" w:rsidRDefault="009A05C2" w:rsidP="0003776D">
      <w:pPr>
        <w:pStyle w:val="Heading1"/>
        <w:rPr>
          <w:rFonts w:ascii="Lato" w:hAnsi="Lato" w:cstheme="minorHAnsi"/>
          <w:b/>
          <w:bCs/>
          <w:color w:val="000000" w:themeColor="text1"/>
          <w:sz w:val="28"/>
          <w:szCs w:val="28"/>
        </w:rPr>
      </w:pPr>
      <w:bookmarkStart w:id="0" w:name="_Toc136003037"/>
      <w:r w:rsidRPr="00B022D4">
        <w:rPr>
          <w:rFonts w:ascii="Lato" w:hAnsi="Lato" w:cstheme="minorHAnsi"/>
          <w:b/>
          <w:bCs/>
          <w:color w:val="000000" w:themeColor="text1"/>
          <w:sz w:val="28"/>
          <w:szCs w:val="28"/>
        </w:rPr>
        <w:lastRenderedPageBreak/>
        <w:t>Introduction</w:t>
      </w:r>
      <w:bookmarkEnd w:id="0"/>
    </w:p>
    <w:p w14:paraId="0568F9F3" w14:textId="77777777" w:rsidR="00DD2A0B" w:rsidRDefault="00DD2A0B" w:rsidP="0003776D"/>
    <w:p w14:paraId="2301BD7C" w14:textId="649C79BB" w:rsidR="00F3598A" w:rsidRDefault="00F3598A" w:rsidP="0003776D">
      <w:pPr>
        <w:jc w:val="both"/>
        <w:rPr>
          <w:rFonts w:ascii="Lato" w:hAnsi="Lato"/>
          <w:color w:val="1C1C1C"/>
        </w:rPr>
      </w:pPr>
      <w:r w:rsidRPr="00605F7D">
        <w:rPr>
          <w:rFonts w:ascii="Lato" w:hAnsi="Lato"/>
          <w:color w:val="1C1C1C"/>
        </w:rPr>
        <w:t>In this report</w:t>
      </w:r>
      <w:r w:rsidR="4B76BE38" w:rsidRPr="00605F7D">
        <w:rPr>
          <w:rFonts w:ascii="Lato" w:hAnsi="Lato"/>
          <w:color w:val="1C1C1C"/>
        </w:rPr>
        <w:t>,</w:t>
      </w:r>
      <w:r w:rsidRPr="00605F7D">
        <w:rPr>
          <w:rFonts w:ascii="Lato" w:hAnsi="Lato"/>
          <w:color w:val="1C1C1C"/>
        </w:rPr>
        <w:t xml:space="preserve"> we use evidence from different latitudes and cultural contexts, ranging from Latin America, Africa, and Asia, to highlight the multiple conceptions of gender and sexual orientation that the human experience has constructed throughout history. </w:t>
      </w:r>
      <w:r w:rsidR="1BB95283" w:rsidRPr="00605F7D">
        <w:rPr>
          <w:rFonts w:ascii="Lato" w:hAnsi="Lato"/>
          <w:color w:val="1C1C1C"/>
        </w:rPr>
        <w:t>W</w:t>
      </w:r>
      <w:r w:rsidRPr="00605F7D">
        <w:rPr>
          <w:rFonts w:ascii="Lato" w:hAnsi="Lato"/>
          <w:color w:val="1C1C1C"/>
        </w:rPr>
        <w:t xml:space="preserve">e seek to expand on what the Independent Expert on Sexual Orientation and Gender Identity </w:t>
      </w:r>
      <w:r w:rsidR="00DD5A72">
        <w:rPr>
          <w:rFonts w:ascii="Lato" w:hAnsi="Lato"/>
          <w:color w:val="1C1C1C"/>
        </w:rPr>
        <w:t xml:space="preserve">(SOGI) </w:t>
      </w:r>
      <w:r w:rsidRPr="00605F7D">
        <w:rPr>
          <w:rFonts w:ascii="Lato" w:hAnsi="Lato"/>
          <w:color w:val="1C1C1C"/>
        </w:rPr>
        <w:t>has expressed in previous reports</w:t>
      </w:r>
      <w:r>
        <w:rPr>
          <w:rStyle w:val="FootnoteReference"/>
          <w:rFonts w:ascii="Lato" w:hAnsi="Lato"/>
          <w:color w:val="1C1C1C"/>
        </w:rPr>
        <w:footnoteReference w:id="1"/>
      </w:r>
      <w:r w:rsidRPr="00605F7D">
        <w:rPr>
          <w:rFonts w:ascii="Lato" w:hAnsi="Lato"/>
          <w:color w:val="1C1C1C"/>
        </w:rPr>
        <w:t>,</w:t>
      </w:r>
      <w:r w:rsidR="483C5679" w:rsidRPr="00605F7D">
        <w:rPr>
          <w:rFonts w:ascii="Lato" w:hAnsi="Lato"/>
          <w:color w:val="1C1C1C"/>
        </w:rPr>
        <w:t xml:space="preserve"> on how </w:t>
      </w:r>
      <w:r w:rsidRPr="00605F7D">
        <w:rPr>
          <w:rFonts w:ascii="Lato" w:hAnsi="Lato"/>
          <w:color w:val="1C1C1C"/>
        </w:rPr>
        <w:t>“the rigid understandings of the male/female binary as a main ordering social principle are the result of colonialism”</w:t>
      </w:r>
      <w:r>
        <w:rPr>
          <w:rStyle w:val="FootnoteReference"/>
          <w:rFonts w:ascii="Lato" w:hAnsi="Lato"/>
          <w:color w:val="1C1C1C"/>
        </w:rPr>
        <w:footnoteReference w:id="2"/>
      </w:r>
      <w:r w:rsidRPr="00605F7D">
        <w:rPr>
          <w:rFonts w:ascii="Lato" w:hAnsi="Lato"/>
          <w:color w:val="1C1C1C"/>
        </w:rPr>
        <w:t xml:space="preserve">. </w:t>
      </w:r>
      <w:r w:rsidR="732C1E8C" w:rsidRPr="00605F7D">
        <w:rPr>
          <w:rFonts w:ascii="Lato" w:hAnsi="Lato"/>
          <w:color w:val="1C1C1C"/>
        </w:rPr>
        <w:t>In addition, we provide grassroots information</w:t>
      </w:r>
      <w:r w:rsidR="1AB63B60" w:rsidRPr="00605F7D">
        <w:rPr>
          <w:rFonts w:ascii="Lato" w:hAnsi="Lato"/>
          <w:color w:val="1C1C1C"/>
        </w:rPr>
        <w:t xml:space="preserve"> about</w:t>
      </w:r>
      <w:r w:rsidR="732C1E8C" w:rsidRPr="00605F7D">
        <w:rPr>
          <w:rFonts w:ascii="Lato" w:hAnsi="Lato"/>
          <w:color w:val="1C1C1C"/>
        </w:rPr>
        <w:t xml:space="preserve"> </w:t>
      </w:r>
      <w:r w:rsidR="56B3240E" w:rsidRPr="00605F7D">
        <w:rPr>
          <w:rFonts w:ascii="Lato" w:hAnsi="Lato"/>
          <w:color w:val="1C1C1C"/>
        </w:rPr>
        <w:t>specific</w:t>
      </w:r>
      <w:r w:rsidR="732C1E8C" w:rsidRPr="00605F7D">
        <w:rPr>
          <w:rFonts w:ascii="Lato" w:hAnsi="Lato"/>
          <w:color w:val="1C1C1C"/>
        </w:rPr>
        <w:t xml:space="preserve"> laws, policies</w:t>
      </w:r>
      <w:r w:rsidR="0EF172DC" w:rsidRPr="00605F7D">
        <w:rPr>
          <w:rFonts w:ascii="Lato" w:hAnsi="Lato"/>
          <w:color w:val="1C1C1C"/>
        </w:rPr>
        <w:t xml:space="preserve">, </w:t>
      </w:r>
      <w:r w:rsidR="732C1E8C" w:rsidRPr="00605F7D">
        <w:rPr>
          <w:rFonts w:ascii="Lato" w:hAnsi="Lato"/>
          <w:color w:val="1C1C1C"/>
        </w:rPr>
        <w:t xml:space="preserve">and social contexts in which </w:t>
      </w:r>
      <w:r w:rsidR="22E00C95" w:rsidRPr="00605F7D">
        <w:rPr>
          <w:rFonts w:ascii="Lato" w:hAnsi="Lato"/>
          <w:color w:val="1C1C1C"/>
        </w:rPr>
        <w:t xml:space="preserve">sexual orientation and/or gender identity </w:t>
      </w:r>
      <w:r w:rsidR="7915B32C" w:rsidRPr="00605F7D">
        <w:rPr>
          <w:rFonts w:ascii="Lato" w:hAnsi="Lato"/>
          <w:color w:val="1C1C1C"/>
        </w:rPr>
        <w:t>are still</w:t>
      </w:r>
      <w:r w:rsidR="22E00C95" w:rsidRPr="00605F7D">
        <w:rPr>
          <w:rFonts w:ascii="Lato" w:hAnsi="Lato"/>
          <w:color w:val="1C1C1C"/>
        </w:rPr>
        <w:t xml:space="preserve"> criminalized </w:t>
      </w:r>
      <w:r w:rsidR="562EF1EC" w:rsidRPr="00605F7D">
        <w:rPr>
          <w:rFonts w:ascii="Lato" w:hAnsi="Lato"/>
          <w:color w:val="1C1C1C"/>
        </w:rPr>
        <w:t>or regulated due to colonial legacies.</w:t>
      </w:r>
    </w:p>
    <w:p w14:paraId="14CF0FB9" w14:textId="77777777" w:rsidR="00F3598A" w:rsidRDefault="00F3598A" w:rsidP="0003776D">
      <w:pPr>
        <w:jc w:val="both"/>
        <w:rPr>
          <w:rFonts w:ascii="Lato" w:hAnsi="Lato"/>
          <w:color w:val="1C1C1C"/>
        </w:rPr>
      </w:pPr>
    </w:p>
    <w:p w14:paraId="669ADF3B" w14:textId="44C1693A" w:rsidR="00F3598A" w:rsidRPr="00605F7D" w:rsidRDefault="00F3598A" w:rsidP="0003776D">
      <w:pPr>
        <w:jc w:val="both"/>
        <w:rPr>
          <w:rFonts w:ascii="Lato" w:hAnsi="Lato"/>
          <w:color w:val="1C1C1C"/>
        </w:rPr>
      </w:pPr>
      <w:r w:rsidRPr="22F87D31">
        <w:rPr>
          <w:rFonts w:ascii="Lato" w:hAnsi="Lato"/>
          <w:color w:val="1C1C1C"/>
        </w:rPr>
        <w:t xml:space="preserve">By analyzing </w:t>
      </w:r>
      <w:r w:rsidR="00E14062" w:rsidRPr="003D7EDB">
        <w:rPr>
          <w:rFonts w:ascii="Lato" w:hAnsi="Lato"/>
          <w:b/>
          <w:bCs/>
          <w:color w:val="1C1C1C"/>
        </w:rPr>
        <w:t>post</w:t>
      </w:r>
      <w:r w:rsidRPr="22F87D31">
        <w:rPr>
          <w:rFonts w:ascii="Lato" w:hAnsi="Lato"/>
          <w:b/>
          <w:bCs/>
          <w:color w:val="1C1C1C"/>
        </w:rPr>
        <w:t>colonial laws</w:t>
      </w:r>
      <w:r w:rsidRPr="22F87D31">
        <w:rPr>
          <w:rFonts w:ascii="Lato" w:hAnsi="Lato"/>
          <w:color w:val="1C1C1C"/>
        </w:rPr>
        <w:t xml:space="preserve"> that are still in place today or repealed, it is possible to affirm that some precolonial cultures had a broader conception of </w:t>
      </w:r>
      <w:r w:rsidR="4ECA2774" w:rsidRPr="460D18E2">
        <w:rPr>
          <w:rFonts w:ascii="Lato" w:hAnsi="Lato"/>
          <w:color w:val="1C1C1C"/>
        </w:rPr>
        <w:t>gender and SOGI</w:t>
      </w:r>
      <w:r w:rsidR="00AE1633">
        <w:rPr>
          <w:rFonts w:ascii="Lato" w:hAnsi="Lato"/>
          <w:color w:val="1C1C1C"/>
        </w:rPr>
        <w:t xml:space="preserve"> </w:t>
      </w:r>
      <w:r w:rsidRPr="22F87D31">
        <w:rPr>
          <w:rFonts w:ascii="Lato" w:hAnsi="Lato"/>
          <w:color w:val="1C1C1C"/>
        </w:rPr>
        <w:t xml:space="preserve">than </w:t>
      </w:r>
      <w:r w:rsidR="4504EE8C" w:rsidRPr="460D18E2">
        <w:rPr>
          <w:rFonts w:ascii="Lato" w:hAnsi="Lato"/>
          <w:color w:val="1C1C1C"/>
        </w:rPr>
        <w:t>many</w:t>
      </w:r>
      <w:r w:rsidR="00AE1633">
        <w:rPr>
          <w:rFonts w:ascii="Lato" w:hAnsi="Lato"/>
          <w:color w:val="1C1C1C"/>
        </w:rPr>
        <w:t xml:space="preserve"> </w:t>
      </w:r>
      <w:r w:rsidRPr="22F87D31">
        <w:rPr>
          <w:rFonts w:ascii="Lato" w:hAnsi="Lato"/>
          <w:color w:val="1C1C1C"/>
        </w:rPr>
        <w:t>colonial and postcolonial legal system</w:t>
      </w:r>
      <w:r w:rsidR="41AAF171" w:rsidRPr="460D18E2">
        <w:rPr>
          <w:rFonts w:ascii="Lato" w:hAnsi="Lato"/>
          <w:color w:val="1C1C1C"/>
        </w:rPr>
        <w:t>s</w:t>
      </w:r>
      <w:r w:rsidR="67FB9DAE" w:rsidRPr="460D18E2">
        <w:rPr>
          <w:rFonts w:ascii="Lato" w:hAnsi="Lato"/>
          <w:color w:val="1C1C1C"/>
        </w:rPr>
        <w:t>,</w:t>
      </w:r>
      <w:r w:rsidR="0AC71023" w:rsidRPr="460D18E2">
        <w:rPr>
          <w:rFonts w:ascii="Lato" w:hAnsi="Lato"/>
          <w:color w:val="1C1C1C"/>
        </w:rPr>
        <w:t xml:space="preserve"> contrary to</w:t>
      </w:r>
      <w:r w:rsidRPr="22F87D31">
        <w:rPr>
          <w:rFonts w:ascii="Lato" w:hAnsi="Lato"/>
          <w:color w:val="1C1C1C"/>
        </w:rPr>
        <w:t xml:space="preserve"> the </w:t>
      </w:r>
      <w:r w:rsidR="6B344A0D" w:rsidRPr="22F87D31">
        <w:rPr>
          <w:rFonts w:ascii="Lato" w:hAnsi="Lato"/>
          <w:color w:val="1C1C1C"/>
        </w:rPr>
        <w:t>rhetoric</w:t>
      </w:r>
      <w:r w:rsidR="34833071" w:rsidRPr="460D18E2">
        <w:rPr>
          <w:rFonts w:ascii="Lato" w:hAnsi="Lato"/>
          <w:color w:val="1C1C1C"/>
        </w:rPr>
        <w:t xml:space="preserve"> </w:t>
      </w:r>
      <w:r w:rsidR="2B3C6E26" w:rsidRPr="460D18E2">
        <w:rPr>
          <w:rFonts w:ascii="Lato" w:hAnsi="Lato"/>
          <w:color w:val="1C1C1C"/>
        </w:rPr>
        <w:t>pushed by anti-LGBTI actors</w:t>
      </w:r>
      <w:r w:rsidRPr="22F87D31">
        <w:rPr>
          <w:rFonts w:ascii="Lato" w:hAnsi="Lato"/>
          <w:color w:val="1C1C1C"/>
        </w:rPr>
        <w:t xml:space="preserve"> that gender identity and sexual orientation are</w:t>
      </w:r>
      <w:r w:rsidR="496BF554" w:rsidRPr="460D18E2">
        <w:rPr>
          <w:rFonts w:ascii="Lato" w:hAnsi="Lato"/>
          <w:color w:val="1C1C1C"/>
        </w:rPr>
        <w:t xml:space="preserve"> a Western import</w:t>
      </w:r>
      <w:r w:rsidRPr="22F87D31">
        <w:rPr>
          <w:rFonts w:ascii="Lato" w:hAnsi="Lato"/>
          <w:color w:val="1C1C1C"/>
        </w:rPr>
        <w:t xml:space="preserve"> </w:t>
      </w:r>
      <w:r w:rsidR="138617BA" w:rsidRPr="460D18E2">
        <w:rPr>
          <w:rFonts w:ascii="Lato" w:hAnsi="Lato"/>
          <w:color w:val="1C1C1C"/>
        </w:rPr>
        <w:t xml:space="preserve">and another </w:t>
      </w:r>
      <w:r w:rsidRPr="22F87D31">
        <w:rPr>
          <w:rFonts w:ascii="Lato" w:hAnsi="Lato"/>
          <w:color w:val="1C1C1C"/>
        </w:rPr>
        <w:t>form</w:t>
      </w:r>
      <w:r w:rsidR="00AE1633">
        <w:rPr>
          <w:rFonts w:ascii="Lato" w:hAnsi="Lato"/>
          <w:color w:val="1C1C1C"/>
        </w:rPr>
        <w:t xml:space="preserve"> of</w:t>
      </w:r>
      <w:r w:rsidRPr="22F87D31">
        <w:rPr>
          <w:rFonts w:ascii="Lato" w:hAnsi="Lato"/>
          <w:color w:val="1C1C1C"/>
        </w:rPr>
        <w:t xml:space="preserve"> colonization by the West</w:t>
      </w:r>
      <w:r w:rsidRPr="22F87D31">
        <w:rPr>
          <w:rStyle w:val="FootnoteReference"/>
          <w:rFonts w:ascii="Lato" w:hAnsi="Lato"/>
          <w:color w:val="1C1C1C"/>
        </w:rPr>
        <w:footnoteReference w:id="3"/>
      </w:r>
      <w:r w:rsidR="14A39965" w:rsidRPr="22F87D31">
        <w:rPr>
          <w:rFonts w:ascii="Lato" w:hAnsi="Lato"/>
          <w:color w:val="1C1C1C"/>
        </w:rPr>
        <w:t>.</w:t>
      </w:r>
    </w:p>
    <w:p w14:paraId="5E72CF05" w14:textId="77777777" w:rsidR="00F3598A" w:rsidRPr="00605F7D" w:rsidRDefault="00F3598A" w:rsidP="0003776D">
      <w:pPr>
        <w:jc w:val="both"/>
        <w:rPr>
          <w:rFonts w:ascii="Lato" w:hAnsi="Lato"/>
          <w:color w:val="1C1C1C"/>
          <w:sz w:val="20"/>
          <w:szCs w:val="20"/>
        </w:rPr>
      </w:pPr>
    </w:p>
    <w:p w14:paraId="757CE4EE" w14:textId="1DEA7D8B" w:rsidR="00F3598A" w:rsidRDefault="00E14062" w:rsidP="0003776D">
      <w:pPr>
        <w:jc w:val="both"/>
        <w:rPr>
          <w:rFonts w:ascii="Lato" w:eastAsia="Helvetica Neue" w:hAnsi="Lato" w:cs="Helvetica Neue"/>
        </w:rPr>
      </w:pPr>
      <w:r>
        <w:rPr>
          <w:rFonts w:ascii="Lato" w:hAnsi="Lato"/>
          <w:color w:val="1C1C1C"/>
        </w:rPr>
        <w:t>Postc</w:t>
      </w:r>
      <w:r w:rsidR="00F3598A" w:rsidRPr="002D18B5">
        <w:rPr>
          <w:rFonts w:ascii="Lato" w:hAnsi="Lato"/>
          <w:color w:val="1C1C1C"/>
        </w:rPr>
        <w:t>olonial laws regulating gender and sex have had a significant impact on the enjoyment of human rights by</w:t>
      </w:r>
      <w:r w:rsidR="00F3598A">
        <w:rPr>
          <w:rFonts w:ascii="Lato" w:hAnsi="Lato"/>
          <w:color w:val="1C1C1C"/>
        </w:rPr>
        <w:t xml:space="preserve"> </w:t>
      </w:r>
      <w:r w:rsidR="00F3598A" w:rsidRPr="002D18B5">
        <w:rPr>
          <w:rFonts w:ascii="Lato" w:hAnsi="Lato"/>
          <w:color w:val="1C1C1C"/>
        </w:rPr>
        <w:t xml:space="preserve">LGBTQI+ and other ancestral sexual and gender diverse identities. These laws have often been used to criminalize </w:t>
      </w:r>
      <w:r w:rsidR="00C56E1A">
        <w:rPr>
          <w:rFonts w:ascii="Lato" w:hAnsi="Lato"/>
          <w:color w:val="1C1C1C"/>
        </w:rPr>
        <w:t>same-sex sexual acts</w:t>
      </w:r>
      <w:r w:rsidR="00F3598A" w:rsidRPr="002D18B5">
        <w:rPr>
          <w:rFonts w:ascii="Lato" w:hAnsi="Lato"/>
          <w:color w:val="1C1C1C"/>
        </w:rPr>
        <w:t xml:space="preserve"> and to justify discrimination and violence against LGBTQI+ and other ancestral sexual and gender diverse identities</w:t>
      </w:r>
      <w:r w:rsidR="00F3598A">
        <w:rPr>
          <w:rFonts w:ascii="Lato" w:hAnsi="Lato"/>
          <w:color w:val="1C1C1C"/>
        </w:rPr>
        <w:t xml:space="preserve">. For instance, it is unfortunate how the legacies from former British, French, and Spanish colonies </w:t>
      </w:r>
      <w:r w:rsidR="00F3598A" w:rsidRPr="00D66B6E">
        <w:rPr>
          <w:rFonts w:ascii="Lato" w:eastAsia="Helvetica Neue" w:hAnsi="Lato" w:cs="Helvetica Neue"/>
        </w:rPr>
        <w:t>still retain “anti-sodomy”</w:t>
      </w:r>
      <w:r w:rsidR="00F3598A">
        <w:rPr>
          <w:rFonts w:ascii="Lato" w:eastAsia="Helvetica Neue" w:hAnsi="Lato" w:cs="Helvetica Neue"/>
        </w:rPr>
        <w:t xml:space="preserve"> laws in India, Pakistan, Sri Lanka, Nigeria, Democratic Republic of Congo, and the Philippines. Furthermore, as stated by the Special Rapporteur on </w:t>
      </w:r>
      <w:r w:rsidR="00F3598A" w:rsidRPr="00A52F47">
        <w:rPr>
          <w:rFonts w:ascii="Lato" w:eastAsia="Helvetica Neue" w:hAnsi="Lato" w:cs="Helvetica Neue"/>
        </w:rPr>
        <w:t>the right to health</w:t>
      </w:r>
      <w:r w:rsidR="00F3598A">
        <w:rPr>
          <w:rFonts w:ascii="Lato" w:eastAsia="Helvetica Neue" w:hAnsi="Lato" w:cs="Helvetica Neue"/>
        </w:rPr>
        <w:t>,</w:t>
      </w:r>
      <w:r w:rsidR="00F3598A" w:rsidRPr="00A52F47">
        <w:rPr>
          <w:rFonts w:ascii="Lato" w:eastAsia="Helvetica Neue" w:hAnsi="Lato" w:cs="Helvetica Neue"/>
        </w:rPr>
        <w:t xml:space="preserve"> </w:t>
      </w:r>
      <w:r w:rsidR="00F3598A">
        <w:rPr>
          <w:rFonts w:ascii="Lato" w:eastAsia="Helvetica Neue" w:hAnsi="Lato" w:cs="Helvetica Neue"/>
        </w:rPr>
        <w:t>some “</w:t>
      </w:r>
      <w:r w:rsidR="00F3598A" w:rsidRPr="00A52F47">
        <w:rPr>
          <w:rFonts w:ascii="Lato" w:eastAsia="Helvetica Neue" w:hAnsi="Lato" w:cs="Helvetica Neue"/>
        </w:rPr>
        <w:t>European colonial regimes set in place specific laws, including restrictions on abortion and consensual same-sex acts, which remain on the books today in formerly colonized countries</w:t>
      </w:r>
      <w:r w:rsidR="00F3598A">
        <w:rPr>
          <w:rFonts w:ascii="Lato" w:eastAsia="Helvetica Neue" w:hAnsi="Lato" w:cs="Helvetica Neue"/>
        </w:rPr>
        <w:t>”</w:t>
      </w:r>
      <w:r w:rsidR="00F3598A">
        <w:rPr>
          <w:rStyle w:val="FootnoteReference"/>
          <w:rFonts w:ascii="Lato" w:eastAsia="Helvetica Neue" w:hAnsi="Lato" w:cs="Helvetica Neue"/>
        </w:rPr>
        <w:footnoteReference w:id="4"/>
      </w:r>
      <w:r w:rsidR="00F3598A" w:rsidRPr="00A52F47">
        <w:rPr>
          <w:rFonts w:ascii="Lato" w:eastAsia="Helvetica Neue" w:hAnsi="Lato" w:cs="Helvetica Neue"/>
        </w:rPr>
        <w:t>.</w:t>
      </w:r>
    </w:p>
    <w:p w14:paraId="563F94B9" w14:textId="77777777" w:rsidR="00F3598A" w:rsidRDefault="00F3598A" w:rsidP="0003776D"/>
    <w:p w14:paraId="33CE0CE3" w14:textId="575A8CAF" w:rsidR="00DD2A0B" w:rsidRDefault="00163264" w:rsidP="0003776D">
      <w:pPr>
        <w:jc w:val="both"/>
        <w:rPr>
          <w:rFonts w:ascii="Lato" w:hAnsi="Lato"/>
          <w:lang w:val="en"/>
        </w:rPr>
      </w:pPr>
      <w:r w:rsidRPr="5C7B450E">
        <w:rPr>
          <w:rFonts w:ascii="Lato" w:hAnsi="Lato"/>
        </w:rPr>
        <w:t xml:space="preserve">Additionally, </w:t>
      </w:r>
      <w:r w:rsidR="00C56E1A">
        <w:rPr>
          <w:rFonts w:ascii="Lato" w:hAnsi="Lato"/>
        </w:rPr>
        <w:t>some post</w:t>
      </w:r>
      <w:r w:rsidRPr="5C7B450E">
        <w:rPr>
          <w:rFonts w:ascii="Lato" w:hAnsi="Lato"/>
        </w:rPr>
        <w:t>colonial</w:t>
      </w:r>
      <w:r w:rsidR="00DD2A0B" w:rsidRPr="5C7B450E">
        <w:rPr>
          <w:rFonts w:ascii="Lato" w:hAnsi="Lato"/>
        </w:rPr>
        <w:t xml:space="preserve"> laws have often been used to impose heteronormative and binary norms of gender and sexuality, and to repress LGBTQ+</w:t>
      </w:r>
      <w:r w:rsidR="00F3598A" w:rsidRPr="5C7B450E">
        <w:rPr>
          <w:rFonts w:ascii="Lato" w:hAnsi="Lato"/>
        </w:rPr>
        <w:t xml:space="preserve"> </w:t>
      </w:r>
      <w:r w:rsidR="00F3598A">
        <w:rPr>
          <w:rStyle w:val="CommentReference"/>
          <w:rFonts w:ascii="Lato" w:hAnsi="Lato"/>
          <w:sz w:val="24"/>
          <w:szCs w:val="24"/>
        </w:rPr>
        <w:t>a</w:t>
      </w:r>
      <w:r w:rsidR="00F3598A" w:rsidRPr="002D18B5">
        <w:rPr>
          <w:rFonts w:ascii="Lato" w:hAnsi="Lato"/>
          <w:color w:val="1C1C1C"/>
        </w:rPr>
        <w:t xml:space="preserve">nd other ancestral sexual and gender diverse </w:t>
      </w:r>
      <w:r w:rsidR="00DD2A0B" w:rsidRPr="5C7B450E">
        <w:rPr>
          <w:rFonts w:ascii="Lato" w:hAnsi="Lato"/>
        </w:rPr>
        <w:t>practices and identities that do not fit within these norms.</w:t>
      </w:r>
      <w:r w:rsidR="00CA3998" w:rsidRPr="5C7B450E">
        <w:rPr>
          <w:rFonts w:ascii="Lato" w:hAnsi="Lato"/>
        </w:rPr>
        <w:t xml:space="preserve"> </w:t>
      </w:r>
      <w:r w:rsidR="00CA3998" w:rsidRPr="00F3598A">
        <w:rPr>
          <w:rFonts w:ascii="Lato" w:hAnsi="Lato"/>
        </w:rPr>
        <w:t>The women/men binary enshrined in many societies reflects an understanding of gender shaped by colonial legacies. This approach ignores, however, more nuanced and diverse gender categories of several ancestral groups an</w:t>
      </w:r>
      <w:r w:rsidR="00B4708C">
        <w:rPr>
          <w:rFonts w:ascii="Lato" w:hAnsi="Lato"/>
        </w:rPr>
        <w:t>d</w:t>
      </w:r>
      <w:r w:rsidR="00CA3998" w:rsidRPr="00F3598A">
        <w:rPr>
          <w:rFonts w:ascii="Lato" w:hAnsi="Lato"/>
        </w:rPr>
        <w:t xml:space="preserve"> cultures in all regions of the world. </w:t>
      </w:r>
      <w:r w:rsidR="00CA3998" w:rsidRPr="00F3598A">
        <w:rPr>
          <w:rFonts w:ascii="Lato" w:hAnsi="Lato"/>
          <w:lang w:val="en"/>
        </w:rPr>
        <w:t xml:space="preserve">Historically, certain indigenous communities have incorporated gender roles moving </w:t>
      </w:r>
      <w:r w:rsidR="00CA3998" w:rsidRPr="00F3598A">
        <w:rPr>
          <w:rFonts w:ascii="Lato" w:hAnsi="Lato"/>
          <w:lang w:val="en"/>
        </w:rPr>
        <w:lastRenderedPageBreak/>
        <w:t>beyond the male-female or homosexual-heterosexual binaries</w:t>
      </w:r>
      <w:r w:rsidR="00E3117E">
        <w:rPr>
          <w:rStyle w:val="FootnoteReference"/>
          <w:rFonts w:ascii="Lato" w:hAnsi="Lato"/>
          <w:lang w:val="en"/>
        </w:rPr>
        <w:footnoteReference w:id="5"/>
      </w:r>
      <w:r w:rsidR="00CA3998" w:rsidRPr="00F3598A">
        <w:rPr>
          <w:rFonts w:ascii="Lato" w:hAnsi="Lato"/>
          <w:lang w:val="en"/>
        </w:rPr>
        <w:t>.</w:t>
      </w:r>
      <w:r w:rsidR="00E3117E">
        <w:rPr>
          <w:rFonts w:ascii="Lato" w:hAnsi="Lato"/>
          <w:lang w:val="en"/>
        </w:rPr>
        <w:t xml:space="preserve"> </w:t>
      </w:r>
      <w:r w:rsidR="00CA3998" w:rsidRPr="00F3598A">
        <w:rPr>
          <w:rFonts w:ascii="Lato" w:hAnsi="Lato"/>
          <w:lang w:val="en"/>
        </w:rPr>
        <w:t>With some exceptions, individuals who embody cultural gender-variant roles and sexual identities are integrated into their communities and occupy respected social and ceremonial roles</w:t>
      </w:r>
      <w:r w:rsidR="00E3117E">
        <w:rPr>
          <w:rStyle w:val="FootnoteReference"/>
          <w:rFonts w:ascii="Lato" w:hAnsi="Lato"/>
          <w:lang w:val="en"/>
        </w:rPr>
        <w:footnoteReference w:id="6"/>
      </w:r>
      <w:r w:rsidR="00CA3998" w:rsidRPr="00F3598A">
        <w:rPr>
          <w:rFonts w:ascii="Lato" w:hAnsi="Lato"/>
          <w:lang w:val="en"/>
        </w:rPr>
        <w:t>. Examples are the Two-Spirits</w:t>
      </w:r>
      <w:r w:rsidR="00E3117E">
        <w:rPr>
          <w:rStyle w:val="FootnoteReference"/>
          <w:rFonts w:ascii="Lato" w:hAnsi="Lato"/>
          <w:lang w:val="en"/>
        </w:rPr>
        <w:footnoteReference w:id="7"/>
      </w:r>
      <w:r w:rsidR="00CA3998" w:rsidRPr="00F3598A">
        <w:rPr>
          <w:rFonts w:ascii="Lato" w:hAnsi="Lato"/>
          <w:lang w:val="en"/>
        </w:rPr>
        <w:t xml:space="preserve"> in North America, the </w:t>
      </w:r>
      <w:proofErr w:type="spellStart"/>
      <w:r w:rsidR="00CA3998" w:rsidRPr="00F3598A">
        <w:rPr>
          <w:rFonts w:ascii="Lato" w:hAnsi="Lato"/>
          <w:lang w:val="en"/>
        </w:rPr>
        <w:t>Bonjus</w:t>
      </w:r>
      <w:proofErr w:type="spellEnd"/>
      <w:r w:rsidR="00AA3A06">
        <w:rPr>
          <w:rStyle w:val="FootnoteReference"/>
          <w:rFonts w:ascii="Lato" w:hAnsi="Lato"/>
          <w:lang w:val="en"/>
        </w:rPr>
        <w:footnoteReference w:id="8"/>
      </w:r>
      <w:r w:rsidR="00CA3998" w:rsidRPr="00F3598A">
        <w:rPr>
          <w:rFonts w:ascii="Lato" w:hAnsi="Lato"/>
          <w:lang w:val="en"/>
        </w:rPr>
        <w:t xml:space="preserve"> in Europe, the </w:t>
      </w:r>
      <w:proofErr w:type="spellStart"/>
      <w:r w:rsidR="00CA3998" w:rsidRPr="00F3598A">
        <w:rPr>
          <w:rFonts w:ascii="Lato" w:hAnsi="Lato"/>
          <w:lang w:val="en"/>
        </w:rPr>
        <w:t>Muxes</w:t>
      </w:r>
      <w:proofErr w:type="spellEnd"/>
      <w:r w:rsidR="00AA3A06">
        <w:rPr>
          <w:rStyle w:val="FootnoteReference"/>
          <w:rFonts w:ascii="Lato" w:hAnsi="Lato"/>
          <w:lang w:val="en"/>
        </w:rPr>
        <w:footnoteReference w:id="9"/>
      </w:r>
      <w:r w:rsidR="00CA3998" w:rsidRPr="00F3598A">
        <w:rPr>
          <w:rFonts w:ascii="Lato" w:hAnsi="Lato"/>
          <w:lang w:val="en"/>
        </w:rPr>
        <w:t xml:space="preserve"> in Mexico, the Hijras</w:t>
      </w:r>
      <w:r w:rsidR="00AA3A06">
        <w:rPr>
          <w:rStyle w:val="FootnoteReference"/>
          <w:rFonts w:ascii="Lato" w:hAnsi="Lato"/>
          <w:lang w:val="en"/>
        </w:rPr>
        <w:footnoteReference w:id="10"/>
      </w:r>
      <w:r w:rsidR="00CA3998" w:rsidRPr="00F3598A">
        <w:rPr>
          <w:rFonts w:ascii="Lato" w:hAnsi="Lato"/>
          <w:lang w:val="en"/>
        </w:rPr>
        <w:t xml:space="preserve"> in South Asia, the </w:t>
      </w:r>
      <w:proofErr w:type="spellStart"/>
      <w:r w:rsidR="00CA3998" w:rsidRPr="00F3598A">
        <w:rPr>
          <w:rFonts w:ascii="Lato" w:hAnsi="Lato"/>
          <w:lang w:val="en"/>
        </w:rPr>
        <w:t>Takatāpuis</w:t>
      </w:r>
      <w:proofErr w:type="spellEnd"/>
      <w:r w:rsidR="00AA3A06">
        <w:rPr>
          <w:rStyle w:val="FootnoteReference"/>
          <w:rFonts w:ascii="Lato" w:hAnsi="Lato"/>
          <w:lang w:val="en"/>
        </w:rPr>
        <w:footnoteReference w:id="11"/>
      </w:r>
      <w:r w:rsidR="00CA3998" w:rsidRPr="00F3598A">
        <w:rPr>
          <w:rFonts w:ascii="Lato" w:hAnsi="Lato"/>
          <w:lang w:val="en"/>
        </w:rPr>
        <w:t xml:space="preserve"> in Aotearoa/New Zealand and the Sistergirls</w:t>
      </w:r>
      <w:r w:rsidR="00AA3A06">
        <w:rPr>
          <w:rStyle w:val="FootnoteReference"/>
          <w:rFonts w:ascii="Lato" w:hAnsi="Lato"/>
          <w:lang w:val="en"/>
        </w:rPr>
        <w:footnoteReference w:id="12"/>
      </w:r>
      <w:r w:rsidR="00AA3A06">
        <w:rPr>
          <w:rFonts w:ascii="Lato" w:hAnsi="Lato"/>
          <w:vertAlign w:val="superscript"/>
          <w:lang w:val="en"/>
        </w:rPr>
        <w:t xml:space="preserve"> </w:t>
      </w:r>
      <w:r w:rsidR="00CA3998" w:rsidRPr="00F3598A">
        <w:rPr>
          <w:rFonts w:ascii="Lato" w:hAnsi="Lato"/>
          <w:lang w:val="en"/>
        </w:rPr>
        <w:t>from the First Nation Cultures in Australia.</w:t>
      </w:r>
    </w:p>
    <w:p w14:paraId="64FB7984" w14:textId="77777777" w:rsidR="00163264" w:rsidRDefault="00163264" w:rsidP="0003776D">
      <w:pPr>
        <w:jc w:val="both"/>
        <w:rPr>
          <w:rFonts w:ascii="Lato" w:hAnsi="Lato"/>
          <w:lang w:val="en"/>
        </w:rPr>
      </w:pPr>
    </w:p>
    <w:p w14:paraId="4FC4C88E" w14:textId="75CA1BFF" w:rsidR="001C6DDF" w:rsidRDefault="00163264" w:rsidP="0003776D">
      <w:pPr>
        <w:jc w:val="both"/>
        <w:rPr>
          <w:rFonts w:ascii="Lato" w:hAnsi="Lato"/>
          <w:color w:val="1C1C1C"/>
        </w:rPr>
      </w:pPr>
      <w:r w:rsidRPr="22F87D31">
        <w:rPr>
          <w:rFonts w:ascii="Lato" w:hAnsi="Lato"/>
        </w:rPr>
        <w:t>The imposition of</w:t>
      </w:r>
      <w:r w:rsidR="003B025E">
        <w:rPr>
          <w:rFonts w:ascii="Lato" w:hAnsi="Lato"/>
        </w:rPr>
        <w:t xml:space="preserve"> </w:t>
      </w:r>
      <w:r w:rsidRPr="22F87D31">
        <w:rPr>
          <w:rFonts w:ascii="Lato" w:hAnsi="Lato"/>
        </w:rPr>
        <w:t xml:space="preserve">colonial laws regulating sex and gender also shaped social and moral ideas about </w:t>
      </w:r>
      <w:r w:rsidR="00DD5A72">
        <w:rPr>
          <w:rFonts w:ascii="Lato" w:hAnsi="Lato"/>
        </w:rPr>
        <w:t>SOGI</w:t>
      </w:r>
      <w:r w:rsidRPr="22F87D31">
        <w:rPr>
          <w:rFonts w:ascii="Lato" w:hAnsi="Lato"/>
        </w:rPr>
        <w:t xml:space="preserve"> in </w:t>
      </w:r>
      <w:r w:rsidR="2AF17402" w:rsidRPr="22F87D31">
        <w:rPr>
          <w:rFonts w:ascii="Lato" w:hAnsi="Lato"/>
        </w:rPr>
        <w:t xml:space="preserve">former </w:t>
      </w:r>
      <w:r w:rsidRPr="22F87D31">
        <w:rPr>
          <w:rFonts w:ascii="Lato" w:hAnsi="Lato"/>
        </w:rPr>
        <w:t>colonized societies</w:t>
      </w:r>
      <w:r w:rsidR="00B4708C" w:rsidRPr="22F87D31">
        <w:rPr>
          <w:rFonts w:ascii="Lato" w:hAnsi="Lato"/>
        </w:rPr>
        <w:t>, which produce</w:t>
      </w:r>
      <w:r w:rsidR="39F0A445" w:rsidRPr="22F87D31">
        <w:rPr>
          <w:rFonts w:ascii="Lato" w:hAnsi="Lato"/>
        </w:rPr>
        <w:t>d</w:t>
      </w:r>
      <w:r w:rsidR="00B4708C" w:rsidRPr="22F87D31">
        <w:rPr>
          <w:rFonts w:ascii="Lato" w:hAnsi="Lato"/>
        </w:rPr>
        <w:t xml:space="preserve"> discrimination and violence against LGBTQ+ </w:t>
      </w:r>
      <w:r w:rsidR="00B4708C">
        <w:rPr>
          <w:rStyle w:val="CommentReference"/>
          <w:rFonts w:ascii="Lato" w:hAnsi="Lato"/>
          <w:sz w:val="24"/>
          <w:szCs w:val="24"/>
        </w:rPr>
        <w:t>a</w:t>
      </w:r>
      <w:r w:rsidR="00B4708C" w:rsidRPr="002D18B5">
        <w:rPr>
          <w:rFonts w:ascii="Lato" w:hAnsi="Lato"/>
          <w:color w:val="1C1C1C"/>
        </w:rPr>
        <w:t>nd other ancestral sexual and gender diverse</w:t>
      </w:r>
      <w:r w:rsidR="00B4708C">
        <w:rPr>
          <w:rFonts w:ascii="Lato" w:hAnsi="Lato"/>
          <w:color w:val="1C1C1C"/>
        </w:rPr>
        <w:t xml:space="preserve"> people. </w:t>
      </w:r>
      <w:r w:rsidR="0029389E">
        <w:rPr>
          <w:rFonts w:ascii="Lato" w:hAnsi="Lato"/>
          <w:color w:val="1C1C1C"/>
        </w:rPr>
        <w:t>In this regard</w:t>
      </w:r>
      <w:r w:rsidR="00B4708C">
        <w:rPr>
          <w:rFonts w:ascii="Lato" w:hAnsi="Lato"/>
          <w:color w:val="1C1C1C"/>
        </w:rPr>
        <w:t xml:space="preserve">, </w:t>
      </w:r>
      <w:r w:rsidR="51D58F96">
        <w:rPr>
          <w:rFonts w:ascii="Lato" w:hAnsi="Lato"/>
          <w:color w:val="1C1C1C"/>
        </w:rPr>
        <w:t xml:space="preserve">it </w:t>
      </w:r>
      <w:r w:rsidR="00B4708C">
        <w:rPr>
          <w:rFonts w:ascii="Lato" w:hAnsi="Lato"/>
          <w:color w:val="1C1C1C"/>
        </w:rPr>
        <w:t xml:space="preserve">is pivotal to explore the link between </w:t>
      </w:r>
      <w:r w:rsidR="0029389E">
        <w:rPr>
          <w:rFonts w:ascii="Lato" w:hAnsi="Lato"/>
          <w:color w:val="1C1C1C"/>
        </w:rPr>
        <w:t xml:space="preserve">the development of </w:t>
      </w:r>
      <w:r w:rsidR="1E003417">
        <w:rPr>
          <w:rFonts w:ascii="Lato" w:hAnsi="Lato"/>
          <w:color w:val="1C1C1C"/>
        </w:rPr>
        <w:t>certain</w:t>
      </w:r>
      <w:r w:rsidR="23E29859">
        <w:rPr>
          <w:rFonts w:ascii="Lato" w:hAnsi="Lato"/>
          <w:color w:val="1C1C1C"/>
        </w:rPr>
        <w:t xml:space="preserve"> religious moralities</w:t>
      </w:r>
      <w:r w:rsidR="0029389E">
        <w:rPr>
          <w:rFonts w:ascii="Lato" w:hAnsi="Lato"/>
          <w:color w:val="1C1C1C"/>
        </w:rPr>
        <w:t xml:space="preserve"> during colonial and postcolonial times and its relationship with discriminatory conceptions of </w:t>
      </w:r>
      <w:r w:rsidR="00DD5A72">
        <w:rPr>
          <w:rFonts w:ascii="Lato" w:hAnsi="Lato"/>
        </w:rPr>
        <w:t>SOGI</w:t>
      </w:r>
      <w:r w:rsidR="0029389E" w:rsidRPr="22F87D31">
        <w:rPr>
          <w:rFonts w:ascii="Lato" w:hAnsi="Lato"/>
        </w:rPr>
        <w:t>.</w:t>
      </w:r>
      <w:r w:rsidR="00DD6BDC" w:rsidRPr="22F87D31">
        <w:rPr>
          <w:rFonts w:ascii="Lato" w:hAnsi="Lato"/>
        </w:rPr>
        <w:t xml:space="preserve"> For example, in El Salvador and Boliv</w:t>
      </w:r>
      <w:r w:rsidR="6A135AF7" w:rsidRPr="22F87D31">
        <w:rPr>
          <w:rFonts w:ascii="Lato" w:hAnsi="Lato"/>
        </w:rPr>
        <w:t>ia</w:t>
      </w:r>
      <w:r w:rsidR="00DD6BDC" w:rsidRPr="22F87D31">
        <w:rPr>
          <w:rFonts w:ascii="Lato" w:hAnsi="Lato"/>
        </w:rPr>
        <w:t xml:space="preserve"> there is still rejection of sexual and gender diversities </w:t>
      </w:r>
      <w:r w:rsidR="001C6DDF" w:rsidRPr="22F87D31">
        <w:rPr>
          <w:rFonts w:ascii="Lato" w:hAnsi="Lato"/>
        </w:rPr>
        <w:t>since</w:t>
      </w:r>
      <w:r w:rsidR="00DD6BDC" w:rsidRPr="22F87D31">
        <w:rPr>
          <w:rFonts w:ascii="Lato" w:hAnsi="Lato"/>
        </w:rPr>
        <w:t xml:space="preserve"> both were Spanish colonies, so the Catholic faith was inherited</w:t>
      </w:r>
      <w:r w:rsidR="001F4D62" w:rsidRPr="22F87D31">
        <w:rPr>
          <w:rFonts w:ascii="Lato" w:hAnsi="Lato"/>
        </w:rPr>
        <w:t xml:space="preserve"> and still practiced extensively, even though they are both secular States</w:t>
      </w:r>
      <w:r w:rsidR="001C6DDF" w:rsidRPr="22F87D31">
        <w:rPr>
          <w:rStyle w:val="FootnoteReference"/>
          <w:rFonts w:ascii="Lato" w:hAnsi="Lato"/>
        </w:rPr>
        <w:footnoteReference w:id="13"/>
      </w:r>
      <w:r w:rsidR="001F4D62" w:rsidRPr="22F87D31">
        <w:rPr>
          <w:rFonts w:ascii="Lato" w:hAnsi="Lato"/>
        </w:rPr>
        <w:t xml:space="preserve">. Unfortunately, </w:t>
      </w:r>
      <w:r w:rsidR="00C56E1A">
        <w:rPr>
          <w:rFonts w:ascii="Lato" w:hAnsi="Lato"/>
        </w:rPr>
        <w:t xml:space="preserve">previous and current </w:t>
      </w:r>
      <w:r w:rsidR="001F4D62" w:rsidRPr="22F87D31">
        <w:rPr>
          <w:rFonts w:ascii="Lato" w:hAnsi="Lato"/>
        </w:rPr>
        <w:t xml:space="preserve">strong alliance between the political and religious power has </w:t>
      </w:r>
      <w:r w:rsidR="198D84EE" w:rsidRPr="22F87D31">
        <w:rPr>
          <w:rFonts w:ascii="Lato" w:hAnsi="Lato"/>
        </w:rPr>
        <w:t xml:space="preserve">directly </w:t>
      </w:r>
      <w:r w:rsidR="198D84EE" w:rsidRPr="22F87D31">
        <w:rPr>
          <w:rFonts w:ascii="Lato" w:hAnsi="Lato"/>
        </w:rPr>
        <w:lastRenderedPageBreak/>
        <w:t>impacted</w:t>
      </w:r>
      <w:r w:rsidR="001F4D62" w:rsidRPr="22F87D31">
        <w:rPr>
          <w:rFonts w:ascii="Lato" w:hAnsi="Lato"/>
        </w:rPr>
        <w:t xml:space="preserve"> the enjoyment of the rights of LGBTQ+ </w:t>
      </w:r>
      <w:r w:rsidR="001F4D62">
        <w:rPr>
          <w:rStyle w:val="CommentReference"/>
          <w:rFonts w:ascii="Lato" w:hAnsi="Lato"/>
          <w:sz w:val="24"/>
          <w:szCs w:val="24"/>
        </w:rPr>
        <w:t>a</w:t>
      </w:r>
      <w:r w:rsidR="001F4D62" w:rsidRPr="002D18B5">
        <w:rPr>
          <w:rFonts w:ascii="Lato" w:hAnsi="Lato"/>
          <w:color w:val="1C1C1C"/>
        </w:rPr>
        <w:t>nd other ancestral sexual and gender diverse</w:t>
      </w:r>
      <w:r w:rsidR="001F4D62">
        <w:rPr>
          <w:rFonts w:ascii="Lato" w:hAnsi="Lato"/>
          <w:color w:val="1C1C1C"/>
        </w:rPr>
        <w:t xml:space="preserve"> people,</w:t>
      </w:r>
      <w:r w:rsidR="00600ED6">
        <w:rPr>
          <w:rFonts w:ascii="Lato" w:hAnsi="Lato"/>
          <w:color w:val="1C1C1C"/>
        </w:rPr>
        <w:t xml:space="preserve"> </w:t>
      </w:r>
      <w:r w:rsidR="001F4D62">
        <w:rPr>
          <w:rFonts w:ascii="Lato" w:hAnsi="Lato"/>
          <w:color w:val="1C1C1C"/>
        </w:rPr>
        <w:t xml:space="preserve">as well as in their advocacy efforts to change those realities. </w:t>
      </w:r>
    </w:p>
    <w:p w14:paraId="3668F738" w14:textId="3AE1C640" w:rsidR="001C6DDF" w:rsidRDefault="001C6DDF" w:rsidP="0003776D">
      <w:pPr>
        <w:jc w:val="both"/>
        <w:rPr>
          <w:rFonts w:ascii="Lato" w:hAnsi="Lato"/>
          <w:color w:val="1C1C1C"/>
        </w:rPr>
      </w:pPr>
    </w:p>
    <w:p w14:paraId="71EF5E74" w14:textId="25415408" w:rsidR="001C6DDF" w:rsidRDefault="406C93CB" w:rsidP="0003776D">
      <w:pPr>
        <w:jc w:val="both"/>
        <w:rPr>
          <w:rFonts w:ascii="Lato" w:hAnsi="Lato"/>
          <w:color w:val="1C1C1C"/>
        </w:rPr>
      </w:pPr>
      <w:r w:rsidRPr="22F87D31">
        <w:rPr>
          <w:rFonts w:ascii="Lato" w:hAnsi="Lato"/>
          <w:color w:val="1C1C1C"/>
        </w:rPr>
        <w:t>On the other hand, colonization and the spread of fundamentalist Christian attitudes by the British meant that</w:t>
      </w:r>
      <w:r w:rsidR="4488C6ED" w:rsidRPr="460D18E2">
        <w:rPr>
          <w:rFonts w:ascii="Lato" w:hAnsi="Lato"/>
          <w:color w:val="1C1C1C"/>
        </w:rPr>
        <w:t xml:space="preserve"> many countries in Africa were compelled to </w:t>
      </w:r>
      <w:r w:rsidR="64B95290" w:rsidRPr="460D18E2">
        <w:rPr>
          <w:rFonts w:ascii="Lato" w:hAnsi="Lato"/>
          <w:color w:val="1C1C1C"/>
        </w:rPr>
        <w:t xml:space="preserve">reject their cultural </w:t>
      </w:r>
      <w:r w:rsidR="00600ED6" w:rsidRPr="460D18E2">
        <w:rPr>
          <w:rFonts w:ascii="Lato" w:hAnsi="Lato"/>
          <w:color w:val="1C1C1C"/>
        </w:rPr>
        <w:t>attitudes and</w:t>
      </w:r>
      <w:r w:rsidR="5ED6EE4E" w:rsidRPr="460D18E2">
        <w:rPr>
          <w:rFonts w:ascii="Lato" w:hAnsi="Lato"/>
          <w:color w:val="1C1C1C"/>
        </w:rPr>
        <w:t xml:space="preserve"> </w:t>
      </w:r>
      <w:r w:rsidRPr="22F87D31">
        <w:rPr>
          <w:rFonts w:ascii="Lato" w:hAnsi="Lato"/>
          <w:color w:val="1C1C1C"/>
        </w:rPr>
        <w:t xml:space="preserve">adopt "new </w:t>
      </w:r>
      <w:r w:rsidR="67F3BA4F" w:rsidRPr="460D18E2">
        <w:rPr>
          <w:rFonts w:ascii="Lato" w:hAnsi="Lato"/>
          <w:color w:val="1C1C1C"/>
        </w:rPr>
        <w:t xml:space="preserve">British </w:t>
      </w:r>
      <w:r w:rsidRPr="22F87D31">
        <w:rPr>
          <w:rFonts w:ascii="Lato" w:hAnsi="Lato"/>
          <w:color w:val="1C1C1C"/>
        </w:rPr>
        <w:t>values</w:t>
      </w:r>
      <w:r w:rsidR="2032091D" w:rsidRPr="460D18E2">
        <w:rPr>
          <w:rFonts w:ascii="Lato" w:hAnsi="Lato"/>
          <w:color w:val="1C1C1C"/>
        </w:rPr>
        <w:t>”</w:t>
      </w:r>
      <w:r w:rsidRPr="22F87D31">
        <w:rPr>
          <w:rFonts w:ascii="Lato" w:hAnsi="Lato"/>
          <w:color w:val="1C1C1C"/>
        </w:rPr>
        <w:t xml:space="preserve"> in the 19th and 20th centuries. Homophobia was legally enforced by colonial administrators and Christian missionaries. In 1910, Christians accounted for approximately 9 percent of the population in sub-Saharan Africa; by 2010, this figure had skyrocketed to 63 percent. Anti-LGBT laws were not only incorporated into constitutions but also ingrained in the minds of many African people, and after several generations, this has become dogma</w:t>
      </w:r>
      <w:r w:rsidR="001C6DDF" w:rsidRPr="22F87D31">
        <w:rPr>
          <w:rStyle w:val="FootnoteReference"/>
          <w:rFonts w:ascii="Lato" w:hAnsi="Lato"/>
          <w:color w:val="1C1C1C"/>
        </w:rPr>
        <w:footnoteReference w:id="14"/>
      </w:r>
      <w:r w:rsidR="30664A4E" w:rsidRPr="22F87D31">
        <w:rPr>
          <w:rFonts w:ascii="Lato" w:hAnsi="Lato"/>
          <w:color w:val="1C1C1C"/>
        </w:rPr>
        <w:t xml:space="preserve">. </w:t>
      </w:r>
      <w:r w:rsidR="4376C422" w:rsidRPr="22F87D31">
        <w:rPr>
          <w:rFonts w:ascii="Lato" w:hAnsi="Lato"/>
          <w:color w:val="1C1C1C"/>
        </w:rPr>
        <w:t>Generations later, many Africans now believe that an anti-</w:t>
      </w:r>
      <w:r w:rsidR="56E6439D" w:rsidRPr="460D18E2">
        <w:rPr>
          <w:rFonts w:ascii="Lato" w:hAnsi="Lato"/>
          <w:color w:val="1C1C1C"/>
        </w:rPr>
        <w:t>LGBTI</w:t>
      </w:r>
      <w:r w:rsidR="4376C422" w:rsidRPr="22F87D31">
        <w:rPr>
          <w:rFonts w:ascii="Lato" w:hAnsi="Lato"/>
          <w:color w:val="1C1C1C"/>
        </w:rPr>
        <w:t xml:space="preserve"> attitude</w:t>
      </w:r>
      <w:r w:rsidR="00600ED6">
        <w:rPr>
          <w:rFonts w:ascii="Lato" w:hAnsi="Lato"/>
          <w:color w:val="1C1C1C"/>
        </w:rPr>
        <w:t xml:space="preserve"> </w:t>
      </w:r>
      <w:r w:rsidR="4376C422" w:rsidRPr="22F87D31">
        <w:rPr>
          <w:rFonts w:ascii="Lato" w:hAnsi="Lato"/>
          <w:color w:val="1C1C1C"/>
        </w:rPr>
        <w:t>is a part of their culture</w:t>
      </w:r>
      <w:r w:rsidR="00600ED6">
        <w:rPr>
          <w:rStyle w:val="FootnoteReference"/>
          <w:rFonts w:ascii="Lato" w:hAnsi="Lato"/>
          <w:color w:val="1C1C1C"/>
        </w:rPr>
        <w:footnoteReference w:id="15"/>
      </w:r>
      <w:r w:rsidR="4376C422" w:rsidRPr="22F87D31">
        <w:rPr>
          <w:rFonts w:ascii="Lato" w:hAnsi="Lato"/>
          <w:color w:val="1C1C1C"/>
        </w:rPr>
        <w:t>.</w:t>
      </w:r>
      <w:r w:rsidR="00600ED6">
        <w:rPr>
          <w:rFonts w:ascii="Lato" w:hAnsi="Lato"/>
          <w:color w:val="1C1C1C"/>
        </w:rPr>
        <w:t xml:space="preserve"> </w:t>
      </w:r>
      <w:r w:rsidR="00600ED6" w:rsidRPr="00600ED6">
        <w:rPr>
          <w:rFonts w:ascii="Lato" w:hAnsi="Lato"/>
          <w:color w:val="1C1C1C"/>
        </w:rPr>
        <w:t>For that matter, the effect of conservative morality in controlling sexuality and gender constitutes a heritage from colonial conquest</w:t>
      </w:r>
      <w:r w:rsidR="00600ED6">
        <w:rPr>
          <w:rStyle w:val="FootnoteReference"/>
          <w:rFonts w:ascii="Lato" w:hAnsi="Lato"/>
          <w:color w:val="1C1C1C"/>
        </w:rPr>
        <w:footnoteReference w:id="16"/>
      </w:r>
      <w:r w:rsidR="00600ED6" w:rsidRPr="00600ED6">
        <w:rPr>
          <w:rFonts w:ascii="Lato" w:hAnsi="Lato"/>
          <w:color w:val="1C1C1C"/>
        </w:rPr>
        <w:t>.</w:t>
      </w:r>
    </w:p>
    <w:p w14:paraId="19CE03B0" w14:textId="368F89C1" w:rsidR="009A05C2" w:rsidRDefault="009A05C2" w:rsidP="0003776D">
      <w:pPr>
        <w:pStyle w:val="Heading1"/>
        <w:rPr>
          <w:rFonts w:ascii="Lato" w:hAnsi="Lato" w:cstheme="minorBidi"/>
          <w:b/>
          <w:bCs/>
          <w:color w:val="000000" w:themeColor="text1"/>
          <w:sz w:val="28"/>
          <w:szCs w:val="28"/>
        </w:rPr>
      </w:pPr>
      <w:bookmarkStart w:id="1" w:name="_Toc136003038"/>
      <w:r w:rsidRPr="5C7B450E">
        <w:rPr>
          <w:rFonts w:ascii="Lato" w:hAnsi="Lato" w:cstheme="minorBidi"/>
          <w:b/>
          <w:bCs/>
          <w:color w:val="000000" w:themeColor="text1"/>
          <w:sz w:val="28"/>
          <w:szCs w:val="28"/>
        </w:rPr>
        <w:t xml:space="preserve">Gender and sexual diversity prior colonization: </w:t>
      </w:r>
      <w:r w:rsidR="0019515A" w:rsidRPr="5C7B450E">
        <w:rPr>
          <w:rFonts w:ascii="Lato" w:hAnsi="Lato" w:cstheme="minorBidi"/>
          <w:b/>
          <w:bCs/>
          <w:color w:val="000000" w:themeColor="text1"/>
          <w:sz w:val="28"/>
          <w:szCs w:val="28"/>
        </w:rPr>
        <w:t>evidence from</w:t>
      </w:r>
      <w:r w:rsidRPr="5C7B450E">
        <w:rPr>
          <w:rFonts w:ascii="Lato" w:hAnsi="Lato" w:cstheme="minorBidi"/>
          <w:b/>
          <w:bCs/>
          <w:color w:val="000000" w:themeColor="text1"/>
          <w:sz w:val="28"/>
          <w:szCs w:val="28"/>
        </w:rPr>
        <w:t xml:space="preserve"> Latin America and Africa</w:t>
      </w:r>
      <w:bookmarkEnd w:id="1"/>
    </w:p>
    <w:p w14:paraId="56BF9CE2" w14:textId="77777777" w:rsidR="00BC0993" w:rsidRPr="00586E98" w:rsidRDefault="00BC0993" w:rsidP="0003776D"/>
    <w:p w14:paraId="31ACE22F" w14:textId="56F97599" w:rsidR="009A05C2" w:rsidRPr="0000566D" w:rsidRDefault="009A05C2" w:rsidP="0003776D">
      <w:pPr>
        <w:pStyle w:val="Heading2"/>
        <w:rPr>
          <w:rFonts w:ascii="Lato" w:hAnsi="Lato" w:cstheme="minorBidi"/>
          <w:b/>
          <w:bCs/>
          <w:color w:val="000000" w:themeColor="text1"/>
          <w:sz w:val="24"/>
          <w:szCs w:val="24"/>
        </w:rPr>
      </w:pPr>
      <w:bookmarkStart w:id="2" w:name="_Toc136003039"/>
      <w:r w:rsidRPr="22F87D31">
        <w:rPr>
          <w:rFonts w:ascii="Lato" w:hAnsi="Lato" w:cstheme="minorBidi"/>
          <w:b/>
          <w:bCs/>
          <w:color w:val="000000" w:themeColor="text1"/>
          <w:sz w:val="24"/>
          <w:szCs w:val="24"/>
        </w:rPr>
        <w:t>Latin America</w:t>
      </w:r>
      <w:r w:rsidR="00600ED6" w:rsidRPr="00600ED6">
        <w:rPr>
          <w:rStyle w:val="FootnoteReference"/>
          <w:rFonts w:ascii="Lato" w:hAnsi="Lato" w:cstheme="minorBidi"/>
          <w:color w:val="000000" w:themeColor="text1"/>
          <w:sz w:val="24"/>
          <w:szCs w:val="24"/>
        </w:rPr>
        <w:footnoteReference w:id="17"/>
      </w:r>
      <w:bookmarkEnd w:id="2"/>
    </w:p>
    <w:p w14:paraId="036D7A9A" w14:textId="77777777" w:rsidR="0019515A" w:rsidRDefault="0019515A" w:rsidP="0003776D"/>
    <w:p w14:paraId="7AA6EB17" w14:textId="17E0275C" w:rsidR="00CA63DC" w:rsidRPr="005E5BF7" w:rsidRDefault="004F4512" w:rsidP="0003776D">
      <w:pPr>
        <w:jc w:val="both"/>
        <w:rPr>
          <w:rFonts w:ascii="Lato" w:hAnsi="Lato"/>
        </w:rPr>
      </w:pPr>
      <w:r w:rsidRPr="005E5BF7">
        <w:rPr>
          <w:rFonts w:ascii="Lato" w:hAnsi="Lato"/>
        </w:rPr>
        <w:t xml:space="preserve">From archaeological discoveries, which include numerous ceramics, paintings, sculptures, and jewels that survived the European </w:t>
      </w:r>
      <w:r w:rsidR="00E134CC" w:rsidRPr="005E5BF7">
        <w:rPr>
          <w:rFonts w:ascii="Lato" w:hAnsi="Lato"/>
        </w:rPr>
        <w:t>conquest</w:t>
      </w:r>
      <w:r w:rsidRPr="005E5BF7">
        <w:rPr>
          <w:rFonts w:ascii="Lato" w:hAnsi="Lato"/>
        </w:rPr>
        <w:t>, it becomes evident that</w:t>
      </w:r>
      <w:r w:rsidR="00E134CC" w:rsidRPr="005E5BF7">
        <w:rPr>
          <w:rFonts w:ascii="Lato" w:hAnsi="Lato"/>
        </w:rPr>
        <w:t xml:space="preserve"> upon the arrival of Europeans to the American continent, </w:t>
      </w:r>
      <w:r w:rsidR="008E7005">
        <w:rPr>
          <w:rFonts w:ascii="Lato" w:hAnsi="Lato"/>
        </w:rPr>
        <w:t>native</w:t>
      </w:r>
      <w:r w:rsidRPr="005E5BF7">
        <w:rPr>
          <w:rFonts w:ascii="Lato" w:hAnsi="Lato"/>
        </w:rPr>
        <w:t xml:space="preserve"> people</w:t>
      </w:r>
      <w:r w:rsidR="008E7005">
        <w:rPr>
          <w:rFonts w:ascii="Lato" w:hAnsi="Lato"/>
        </w:rPr>
        <w:t>s</w:t>
      </w:r>
      <w:r w:rsidRPr="005E5BF7">
        <w:rPr>
          <w:rFonts w:ascii="Lato" w:hAnsi="Lato"/>
        </w:rPr>
        <w:t xml:space="preserve"> and their civilizations in the America</w:t>
      </w:r>
      <w:r w:rsidR="008E7005">
        <w:rPr>
          <w:rFonts w:ascii="Lato" w:hAnsi="Lato"/>
        </w:rPr>
        <w:t>s</w:t>
      </w:r>
      <w:r w:rsidRPr="005E5BF7">
        <w:rPr>
          <w:rFonts w:ascii="Lato" w:hAnsi="Lato"/>
        </w:rPr>
        <w:t xml:space="preserve"> had a markedly different perspective on </w:t>
      </w:r>
      <w:r w:rsidR="00DD5A72">
        <w:rPr>
          <w:rFonts w:ascii="Lato" w:hAnsi="Lato"/>
        </w:rPr>
        <w:t>SOGI</w:t>
      </w:r>
      <w:r w:rsidR="00E134CC" w:rsidRPr="005E5BF7">
        <w:rPr>
          <w:rFonts w:ascii="Lato" w:hAnsi="Lato"/>
        </w:rPr>
        <w:t xml:space="preserve">. </w:t>
      </w:r>
      <w:r w:rsidRPr="005E5BF7">
        <w:rPr>
          <w:rFonts w:ascii="Lato" w:hAnsi="Lato"/>
        </w:rPr>
        <w:t xml:space="preserve">Their cultural practices embraced a rich diversity of sexual and affective expressions, which held significant importance in their rituals. </w:t>
      </w:r>
    </w:p>
    <w:p w14:paraId="3CF45F86" w14:textId="77777777" w:rsidR="00CA63DC" w:rsidRPr="005E5BF7" w:rsidRDefault="00CA63DC" w:rsidP="0003776D">
      <w:pPr>
        <w:jc w:val="both"/>
        <w:rPr>
          <w:rFonts w:ascii="Lato" w:hAnsi="Lato"/>
        </w:rPr>
      </w:pPr>
    </w:p>
    <w:p w14:paraId="77F5E8F8" w14:textId="4CBF59C7" w:rsidR="00BC0993" w:rsidRPr="005E5BF7" w:rsidRDefault="004F4512" w:rsidP="0003776D">
      <w:pPr>
        <w:jc w:val="both"/>
        <w:rPr>
          <w:rFonts w:ascii="Lato" w:hAnsi="Lato"/>
        </w:rPr>
      </w:pPr>
      <w:r w:rsidRPr="005E5BF7">
        <w:rPr>
          <w:rFonts w:ascii="Lato" w:hAnsi="Lato"/>
        </w:rPr>
        <w:t>Pre-Columbian societies depicted a wide range of erotic scenes, encompassing both heterosexual and homosexual encounters</w:t>
      </w:r>
      <w:r w:rsidR="005C4255">
        <w:rPr>
          <w:rFonts w:ascii="Lato" w:hAnsi="Lato"/>
        </w:rPr>
        <w:t>.</w:t>
      </w:r>
      <w:r w:rsidRPr="005E5BF7">
        <w:rPr>
          <w:rFonts w:ascii="Lato" w:hAnsi="Lato"/>
        </w:rPr>
        <w:t xml:space="preserve"> </w:t>
      </w:r>
      <w:r w:rsidR="00297231" w:rsidRPr="005E5BF7">
        <w:rPr>
          <w:rFonts w:ascii="Lato" w:hAnsi="Lato"/>
        </w:rPr>
        <w:t>For instance, t</w:t>
      </w:r>
      <w:r w:rsidR="00E134CC" w:rsidRPr="005E5BF7">
        <w:rPr>
          <w:rFonts w:ascii="Lato" w:hAnsi="Lato"/>
        </w:rPr>
        <w:t xml:space="preserve">he </w:t>
      </w:r>
      <w:r w:rsidR="00E134CC" w:rsidRPr="22F87D31">
        <w:rPr>
          <w:rFonts w:ascii="Lato" w:hAnsi="Lato"/>
          <w:i/>
          <w:iCs/>
        </w:rPr>
        <w:t>Mochica</w:t>
      </w:r>
      <w:r w:rsidR="00E134CC" w:rsidRPr="005E5BF7">
        <w:rPr>
          <w:rFonts w:ascii="Lato" w:hAnsi="Lato"/>
        </w:rPr>
        <w:t xml:space="preserve"> and </w:t>
      </w:r>
      <w:r w:rsidR="00E134CC" w:rsidRPr="22F87D31">
        <w:rPr>
          <w:rFonts w:ascii="Lato" w:hAnsi="Lato"/>
          <w:i/>
          <w:iCs/>
        </w:rPr>
        <w:t>Chimú</w:t>
      </w:r>
      <w:r w:rsidR="00E134CC" w:rsidRPr="005E5BF7">
        <w:rPr>
          <w:rFonts w:ascii="Lato" w:hAnsi="Lato"/>
        </w:rPr>
        <w:t xml:space="preserve"> cultures from the Inca Empire are well known for their </w:t>
      </w:r>
      <w:r w:rsidR="00297231" w:rsidRPr="005E5BF7">
        <w:rPr>
          <w:rFonts w:ascii="Lato" w:hAnsi="Lato"/>
        </w:rPr>
        <w:t>homosexual ceramics</w:t>
      </w:r>
      <w:r w:rsidR="00297231" w:rsidRPr="005E5BF7">
        <w:rPr>
          <w:rStyle w:val="FootnoteReference"/>
          <w:rFonts w:ascii="Lato" w:hAnsi="Lato"/>
        </w:rPr>
        <w:footnoteReference w:id="18"/>
      </w:r>
      <w:r w:rsidR="00297231" w:rsidRPr="005E5BF7">
        <w:rPr>
          <w:rFonts w:ascii="Lato" w:hAnsi="Lato"/>
        </w:rPr>
        <w:t>. Additionally, among</w:t>
      </w:r>
      <w:r w:rsidR="00BC0993" w:rsidRPr="005E5BF7">
        <w:rPr>
          <w:rFonts w:ascii="Lato" w:hAnsi="Lato"/>
        </w:rPr>
        <w:t xml:space="preserve"> the Incas, Female homosexuality was also much better known than in late 1400s and early 1500s in Europe, since </w:t>
      </w:r>
      <w:r w:rsidR="0013764B" w:rsidRPr="005E5BF7">
        <w:rPr>
          <w:rFonts w:ascii="Lato" w:hAnsi="Lato"/>
        </w:rPr>
        <w:t xml:space="preserve">Incas </w:t>
      </w:r>
      <w:r w:rsidR="00BC0993" w:rsidRPr="005E5BF7">
        <w:rPr>
          <w:rFonts w:ascii="Lato" w:hAnsi="Lato"/>
        </w:rPr>
        <w:t xml:space="preserve">women </w:t>
      </w:r>
      <w:r w:rsidR="0013764B" w:rsidRPr="005E5BF7">
        <w:rPr>
          <w:rFonts w:ascii="Lato" w:hAnsi="Lato"/>
        </w:rPr>
        <w:t>could have multiple sexual partners and participate in community decisions</w:t>
      </w:r>
      <w:r w:rsidR="003B025E">
        <w:rPr>
          <w:rStyle w:val="FootnoteReference"/>
          <w:rFonts w:ascii="Lato" w:hAnsi="Lato"/>
        </w:rPr>
        <w:footnoteReference w:id="19"/>
      </w:r>
      <w:r w:rsidR="005C4255">
        <w:rPr>
          <w:rFonts w:ascii="Lato" w:hAnsi="Lato"/>
        </w:rPr>
        <w:t>.</w:t>
      </w:r>
    </w:p>
    <w:p w14:paraId="3DF34ACE" w14:textId="77116326" w:rsidR="008A3ECE" w:rsidRDefault="008A3ECE" w:rsidP="0003776D">
      <w:pPr>
        <w:jc w:val="both"/>
        <w:rPr>
          <w:rFonts w:ascii="Lato" w:hAnsi="Lato"/>
        </w:rPr>
      </w:pPr>
      <w:r w:rsidRPr="005E5BF7">
        <w:rPr>
          <w:rFonts w:ascii="Lato" w:hAnsi="Lato"/>
        </w:rPr>
        <w:lastRenderedPageBreak/>
        <w:t>These artistic and cultural expressions were interpreted through the patriarchal and Catholic lens dominant in 15th-century Europe, where the Inquisition condemned and eradicated any expression that deviated from heteronormative</w:t>
      </w:r>
      <w:r w:rsidR="00FF7D53">
        <w:rPr>
          <w:rFonts w:ascii="Lato" w:hAnsi="Lato"/>
        </w:rPr>
        <w:t xml:space="preserve"> views</w:t>
      </w:r>
      <w:r w:rsidRPr="005E5BF7">
        <w:rPr>
          <w:rFonts w:ascii="Lato" w:hAnsi="Lato"/>
        </w:rPr>
        <w:t>.</w:t>
      </w:r>
      <w:r w:rsidR="00E65D97">
        <w:rPr>
          <w:rFonts w:ascii="Lato" w:hAnsi="Lato"/>
        </w:rPr>
        <w:t xml:space="preserve"> </w:t>
      </w:r>
      <w:r w:rsidRPr="005E5BF7">
        <w:rPr>
          <w:rFonts w:ascii="Lato" w:hAnsi="Lato"/>
        </w:rPr>
        <w:t xml:space="preserve">In this context, this cultural collision elevated </w:t>
      </w:r>
      <w:r w:rsidR="068097A2" w:rsidRPr="460D18E2">
        <w:rPr>
          <w:rFonts w:ascii="Lato" w:hAnsi="Lato"/>
        </w:rPr>
        <w:t>same-sex sexual acts</w:t>
      </w:r>
      <w:r w:rsidRPr="005E5BF7">
        <w:rPr>
          <w:rFonts w:ascii="Lato" w:hAnsi="Lato"/>
        </w:rPr>
        <w:t>, exclusively conceptualized as "sodomy," to the status of "abominable sins"</w:t>
      </w:r>
      <w:r w:rsidR="005E5BF7" w:rsidRPr="005E5BF7">
        <w:rPr>
          <w:rFonts w:ascii="Lato" w:hAnsi="Lato"/>
        </w:rPr>
        <w:t>,</w:t>
      </w:r>
      <w:r w:rsidRPr="005E5BF7">
        <w:rPr>
          <w:rFonts w:ascii="Lato" w:hAnsi="Lato"/>
        </w:rPr>
        <w:t xml:space="preserve"> </w:t>
      </w:r>
      <w:r w:rsidR="005E5BF7" w:rsidRPr="005E5BF7">
        <w:rPr>
          <w:rFonts w:ascii="Lato" w:hAnsi="Lato"/>
        </w:rPr>
        <w:t xml:space="preserve">"unmentionable", "unpronounceable crime", turning homosexual relations into taboo and </w:t>
      </w:r>
      <w:r w:rsidRPr="005E5BF7">
        <w:rPr>
          <w:rFonts w:ascii="Lato" w:hAnsi="Lato"/>
        </w:rPr>
        <w:t>subject to legal and social criminalization</w:t>
      </w:r>
      <w:r w:rsidR="00EE15E4">
        <w:rPr>
          <w:rStyle w:val="FootnoteReference"/>
          <w:rFonts w:ascii="Lato" w:hAnsi="Lato"/>
        </w:rPr>
        <w:footnoteReference w:id="20"/>
      </w:r>
      <w:r w:rsidR="00EE15E4" w:rsidRPr="00EE15E4">
        <w:rPr>
          <w:rFonts w:ascii="Lato" w:hAnsi="Lato"/>
        </w:rPr>
        <w:t>.</w:t>
      </w:r>
    </w:p>
    <w:p w14:paraId="6F82C55D" w14:textId="77777777" w:rsidR="008C33CE" w:rsidRPr="008C33CE" w:rsidRDefault="008C33CE" w:rsidP="0003776D">
      <w:pPr>
        <w:jc w:val="both"/>
        <w:rPr>
          <w:rFonts w:ascii="Lato" w:hAnsi="Lato"/>
        </w:rPr>
      </w:pPr>
    </w:p>
    <w:p w14:paraId="052E8856" w14:textId="491EDAD6" w:rsidR="00FB1867" w:rsidRPr="00A47EFD" w:rsidRDefault="009A05C2" w:rsidP="0003776D">
      <w:pPr>
        <w:pStyle w:val="Heading2"/>
        <w:rPr>
          <w:rFonts w:ascii="Lato" w:hAnsi="Lato" w:cstheme="minorBidi"/>
          <w:b/>
          <w:bCs/>
          <w:color w:val="auto"/>
          <w:sz w:val="24"/>
          <w:szCs w:val="24"/>
        </w:rPr>
      </w:pPr>
      <w:bookmarkStart w:id="3" w:name="_Toc136003040"/>
      <w:r w:rsidRPr="22F87D31">
        <w:rPr>
          <w:rFonts w:ascii="Lato" w:hAnsi="Lato" w:cstheme="minorBidi"/>
          <w:b/>
          <w:bCs/>
          <w:color w:val="auto"/>
          <w:sz w:val="24"/>
          <w:szCs w:val="24"/>
        </w:rPr>
        <w:t>Africa</w:t>
      </w:r>
      <w:r w:rsidRPr="00C0628B">
        <w:rPr>
          <w:rStyle w:val="FootnoteReference"/>
          <w:rFonts w:ascii="Lato" w:hAnsi="Lato" w:cstheme="minorBidi"/>
          <w:color w:val="auto"/>
          <w:sz w:val="24"/>
          <w:szCs w:val="24"/>
        </w:rPr>
        <w:footnoteReference w:id="21"/>
      </w:r>
      <w:bookmarkEnd w:id="3"/>
    </w:p>
    <w:p w14:paraId="13636D6E" w14:textId="663EC109" w:rsidR="22F87D31" w:rsidRDefault="22F87D31" w:rsidP="0003776D"/>
    <w:p w14:paraId="58FFE919" w14:textId="7115A0D6" w:rsidR="6F68FADA" w:rsidRDefault="6F68FADA" w:rsidP="0003776D">
      <w:pPr>
        <w:jc w:val="both"/>
        <w:rPr>
          <w:rFonts w:ascii="Lato" w:eastAsia="Lato" w:hAnsi="Lato" w:cs="Lato"/>
        </w:rPr>
      </w:pPr>
      <w:r w:rsidRPr="460D18E2">
        <w:rPr>
          <w:rFonts w:ascii="Lato" w:eastAsia="Lato" w:hAnsi="Lato" w:cs="Lato"/>
        </w:rPr>
        <w:t>As far back as 2400 BC, tombs have been excavated in ancient Egypt</w:t>
      </w:r>
      <w:r w:rsidR="6A20A573" w:rsidRPr="460D18E2">
        <w:rPr>
          <w:rFonts w:ascii="Lato" w:eastAsia="Lato" w:hAnsi="Lato" w:cs="Lato"/>
        </w:rPr>
        <w:t xml:space="preserve">, </w:t>
      </w:r>
      <w:r w:rsidRPr="460D18E2">
        <w:rPr>
          <w:rFonts w:ascii="Lato" w:eastAsia="Lato" w:hAnsi="Lato" w:cs="Lato"/>
        </w:rPr>
        <w:t xml:space="preserve">revealing the presence of two men, </w:t>
      </w:r>
      <w:proofErr w:type="spellStart"/>
      <w:r w:rsidRPr="460D18E2">
        <w:rPr>
          <w:rFonts w:ascii="Lato" w:eastAsia="Lato" w:hAnsi="Lato" w:cs="Lato"/>
        </w:rPr>
        <w:t>Niankhkhnum</w:t>
      </w:r>
      <w:proofErr w:type="spellEnd"/>
      <w:r w:rsidRPr="460D18E2">
        <w:rPr>
          <w:rFonts w:ascii="Lato" w:eastAsia="Lato" w:hAnsi="Lato" w:cs="Lato"/>
        </w:rPr>
        <w:t xml:space="preserve"> and </w:t>
      </w:r>
      <w:proofErr w:type="spellStart"/>
      <w:r w:rsidRPr="460D18E2">
        <w:rPr>
          <w:rFonts w:ascii="Lato" w:eastAsia="Lato" w:hAnsi="Lato" w:cs="Lato"/>
        </w:rPr>
        <w:t>Khnumhotep</w:t>
      </w:r>
      <w:proofErr w:type="spellEnd"/>
      <w:r w:rsidR="008C33CE">
        <w:rPr>
          <w:rStyle w:val="FootnoteReference"/>
          <w:rFonts w:ascii="Lato" w:eastAsia="Lato" w:hAnsi="Lato" w:cs="Lato"/>
        </w:rPr>
        <w:footnoteReference w:id="22"/>
      </w:r>
      <w:r w:rsidRPr="460D18E2">
        <w:rPr>
          <w:rFonts w:ascii="Lato" w:eastAsia="Lato" w:hAnsi="Lato" w:cs="Lato"/>
        </w:rPr>
        <w:t xml:space="preserve">, embracing each other as lovers. In addition to their acceptance of same-sex relationships, ancient Egyptians, like other civilizations of that time, not only acknowledged a third gender but also venerated it. Many deities were depicted as androgynous, and goddesses such as Mut (the goddess of </w:t>
      </w:r>
      <w:proofErr w:type="spellStart"/>
      <w:r w:rsidRPr="460D18E2">
        <w:rPr>
          <w:rFonts w:ascii="Lato" w:eastAsia="Lato" w:hAnsi="Lato" w:cs="Lato"/>
        </w:rPr>
        <w:t>Motherhoodand</w:t>
      </w:r>
      <w:proofErr w:type="spellEnd"/>
      <w:r w:rsidRPr="460D18E2">
        <w:rPr>
          <w:rFonts w:ascii="Lato" w:eastAsia="Lato" w:hAnsi="Lato" w:cs="Lato"/>
        </w:rPr>
        <w:t xml:space="preserve"> </w:t>
      </w:r>
      <w:proofErr w:type="spellStart"/>
      <w:r w:rsidRPr="460D18E2">
        <w:rPr>
          <w:rFonts w:ascii="Lato" w:eastAsia="Lato" w:hAnsi="Lato" w:cs="Lato"/>
        </w:rPr>
        <w:t>Sekmeht</w:t>
      </w:r>
      <w:proofErr w:type="spellEnd"/>
      <w:r w:rsidRPr="460D18E2">
        <w:rPr>
          <w:rFonts w:ascii="Lato" w:eastAsia="Lato" w:hAnsi="Lato" w:cs="Lato"/>
        </w:rPr>
        <w:t xml:space="preserve"> (the goddess of war) are often portrayed as women with erect penises.</w:t>
      </w:r>
    </w:p>
    <w:p w14:paraId="40561211" w14:textId="532D5F60" w:rsidR="525E7CEB" w:rsidRDefault="525E7CEB" w:rsidP="0003776D">
      <w:pPr>
        <w:jc w:val="both"/>
        <w:rPr>
          <w:rFonts w:ascii="Lato" w:eastAsia="Lato" w:hAnsi="Lato" w:cs="Lato"/>
          <w:color w:val="000000" w:themeColor="text1"/>
        </w:rPr>
      </w:pPr>
      <w:r w:rsidRPr="22F87D31">
        <w:rPr>
          <w:rFonts w:ascii="Lato" w:eastAsia="Lato" w:hAnsi="Lato" w:cs="Lato"/>
          <w:color w:val="000000" w:themeColor="text1"/>
        </w:rPr>
        <w:t xml:space="preserve"> </w:t>
      </w:r>
    </w:p>
    <w:p w14:paraId="43A7D72B" w14:textId="2AD2D973" w:rsidR="00E93D3F" w:rsidRDefault="5B046819" w:rsidP="006337CF">
      <w:pPr>
        <w:jc w:val="both"/>
        <w:rPr>
          <w:rFonts w:ascii="Lato" w:eastAsia="Lato" w:hAnsi="Lato" w:cs="Lato"/>
          <w:color w:val="000000" w:themeColor="text1"/>
        </w:rPr>
      </w:pPr>
      <w:r w:rsidRPr="5C7B450E">
        <w:rPr>
          <w:rFonts w:ascii="Lato" w:eastAsia="Lato" w:hAnsi="Lato" w:cs="Lato"/>
          <w:color w:val="000000" w:themeColor="text1"/>
        </w:rPr>
        <w:t xml:space="preserve">This was not unique to Egypt or that era. In the 16th century, the </w:t>
      </w:r>
      <w:proofErr w:type="spellStart"/>
      <w:r w:rsidRPr="5C7B450E">
        <w:rPr>
          <w:rFonts w:ascii="Lato" w:eastAsia="Lato" w:hAnsi="Lato" w:cs="Lato"/>
          <w:color w:val="000000" w:themeColor="text1"/>
        </w:rPr>
        <w:t>Imbangala</w:t>
      </w:r>
      <w:proofErr w:type="spellEnd"/>
      <w:r w:rsidRPr="5C7B450E">
        <w:rPr>
          <w:rFonts w:ascii="Lato" w:eastAsia="Lato" w:hAnsi="Lato" w:cs="Lato"/>
          <w:color w:val="000000" w:themeColor="text1"/>
        </w:rPr>
        <w:t xml:space="preserve"> people of Angola had "men in women's apparel, with whom they kept amongst their wives"</w:t>
      </w:r>
      <w:r w:rsidR="632CFB6C" w:rsidRPr="5C7B450E">
        <w:rPr>
          <w:rFonts w:ascii="Lato" w:eastAsia="Lato" w:hAnsi="Lato" w:cs="Lato"/>
          <w:color w:val="000000" w:themeColor="text1"/>
        </w:rPr>
        <w:t>.</w:t>
      </w:r>
      <w:r w:rsidRPr="5C7B450E">
        <w:rPr>
          <w:rFonts w:ascii="Lato" w:eastAsia="Lato" w:hAnsi="Lato" w:cs="Lato"/>
          <w:color w:val="000000" w:themeColor="text1"/>
        </w:rPr>
        <w:t xml:space="preserve">  The Igbo and Yoruba tribes, primarily found in present-day Nigeria, did not adhere to a binary gender system and typically did not assign gender to babies at birth; instead, they waited until later in life. Similarly, the </w:t>
      </w:r>
      <w:proofErr w:type="spellStart"/>
      <w:r w:rsidRPr="5C7B450E">
        <w:rPr>
          <w:rFonts w:ascii="Lato" w:eastAsia="Lato" w:hAnsi="Lato" w:cs="Lato"/>
          <w:color w:val="000000" w:themeColor="text1"/>
        </w:rPr>
        <w:t>Dagaaba</w:t>
      </w:r>
      <w:proofErr w:type="spellEnd"/>
      <w:r w:rsidRPr="5C7B450E">
        <w:rPr>
          <w:rFonts w:ascii="Lato" w:eastAsia="Lato" w:hAnsi="Lato" w:cs="Lato"/>
          <w:color w:val="000000" w:themeColor="text1"/>
        </w:rPr>
        <w:t xml:space="preserve"> people (present-day Ghana) assigned gender not based on one's anatomy but rather on the energy </w:t>
      </w:r>
      <w:r w:rsidR="12A03204" w:rsidRPr="5C7B450E">
        <w:rPr>
          <w:rFonts w:ascii="Lato" w:eastAsia="Lato" w:hAnsi="Lato" w:cs="Lato"/>
          <w:color w:val="000000" w:themeColor="text1"/>
        </w:rPr>
        <w:t>of the person</w:t>
      </w:r>
      <w:r w:rsidRPr="5C7B450E">
        <w:rPr>
          <w:rFonts w:ascii="Lato" w:eastAsia="Lato" w:hAnsi="Lato" w:cs="Lato"/>
          <w:color w:val="000000" w:themeColor="text1"/>
        </w:rPr>
        <w:t xml:space="preserve">. For centuries, across the African continent, there existed a completely different attitude towards sexual and gender identities. </w:t>
      </w:r>
    </w:p>
    <w:p w14:paraId="26015F50" w14:textId="77777777" w:rsidR="0058490E" w:rsidRPr="006337CF" w:rsidRDefault="0058490E" w:rsidP="006337CF">
      <w:pPr>
        <w:jc w:val="both"/>
        <w:rPr>
          <w:rFonts w:ascii="Lato" w:eastAsia="Lato" w:hAnsi="Lato" w:cs="Lato"/>
          <w:color w:val="000000" w:themeColor="text1"/>
        </w:rPr>
      </w:pPr>
    </w:p>
    <w:p w14:paraId="1D69020E" w14:textId="57E129FD" w:rsidR="009A05C2" w:rsidRDefault="00F2063F" w:rsidP="0003776D">
      <w:pPr>
        <w:pStyle w:val="Heading1"/>
        <w:rPr>
          <w:rFonts w:ascii="Lato" w:hAnsi="Lato" w:cstheme="minorHAnsi"/>
          <w:b/>
          <w:bCs/>
          <w:color w:val="000000" w:themeColor="text1"/>
          <w:sz w:val="28"/>
          <w:szCs w:val="28"/>
        </w:rPr>
      </w:pPr>
      <w:bookmarkStart w:id="4" w:name="_Toc136003041"/>
      <w:r w:rsidRPr="00076776">
        <w:rPr>
          <w:rFonts w:ascii="Lato" w:hAnsi="Lato" w:cstheme="minorHAnsi"/>
          <w:b/>
          <w:bCs/>
          <w:color w:val="000000" w:themeColor="text1"/>
          <w:sz w:val="28"/>
          <w:szCs w:val="28"/>
        </w:rPr>
        <w:t>Gender and sexual diversity colonial laws present today</w:t>
      </w:r>
      <w:bookmarkEnd w:id="4"/>
    </w:p>
    <w:p w14:paraId="22CE9288" w14:textId="77777777" w:rsidR="00A47EFD" w:rsidRDefault="00A47EFD" w:rsidP="0003776D"/>
    <w:p w14:paraId="26EB6A52" w14:textId="2C61BF0C" w:rsidR="00A47EFD" w:rsidRDefault="00B32C26" w:rsidP="0003776D">
      <w:pPr>
        <w:jc w:val="both"/>
        <w:rPr>
          <w:rFonts w:ascii="Lato" w:hAnsi="Lato"/>
          <w:color w:val="FF0000"/>
        </w:rPr>
      </w:pPr>
      <w:r w:rsidRPr="5C7B450E">
        <w:rPr>
          <w:rFonts w:ascii="Lato" w:hAnsi="Lato"/>
        </w:rPr>
        <w:t xml:space="preserve">This section will </w:t>
      </w:r>
      <w:r w:rsidR="00A47EFD" w:rsidRPr="5C7B450E">
        <w:rPr>
          <w:rFonts w:ascii="Lato" w:hAnsi="Lato"/>
        </w:rPr>
        <w:t xml:space="preserve">highlight </w:t>
      </w:r>
      <w:r w:rsidR="00351C79" w:rsidRPr="5C7B450E">
        <w:rPr>
          <w:rFonts w:ascii="Lato" w:hAnsi="Lato"/>
        </w:rPr>
        <w:t xml:space="preserve">examples of </w:t>
      </w:r>
      <w:r w:rsidR="00A47EFD" w:rsidRPr="5C7B450E">
        <w:rPr>
          <w:rFonts w:ascii="Lato" w:hAnsi="Lato"/>
        </w:rPr>
        <w:t xml:space="preserve">legal provisions dating from the colonial era that are unfavorable to </w:t>
      </w:r>
      <w:r w:rsidR="00AE1633" w:rsidRPr="002D18B5">
        <w:rPr>
          <w:rFonts w:ascii="Lato" w:hAnsi="Lato"/>
          <w:color w:val="1C1C1C"/>
        </w:rPr>
        <w:t>LGBTQI+ and other ancestral sexual and gender diverse</w:t>
      </w:r>
      <w:r w:rsidR="00A47EFD" w:rsidRPr="5C7B450E">
        <w:rPr>
          <w:rFonts w:ascii="Lato" w:hAnsi="Lato"/>
        </w:rPr>
        <w:t xml:space="preserve"> communities </w:t>
      </w:r>
      <w:r w:rsidR="00642F16" w:rsidRPr="5C7B450E">
        <w:rPr>
          <w:rFonts w:ascii="Lato" w:hAnsi="Lato"/>
        </w:rPr>
        <w:t>today and</w:t>
      </w:r>
      <w:r w:rsidR="00A47EFD" w:rsidRPr="5C7B450E">
        <w:rPr>
          <w:rFonts w:ascii="Lato" w:hAnsi="Lato"/>
        </w:rPr>
        <w:t xml:space="preserve"> </w:t>
      </w:r>
      <w:r w:rsidR="00642F16" w:rsidRPr="5C7B450E">
        <w:rPr>
          <w:rFonts w:ascii="Lato" w:hAnsi="Lato"/>
        </w:rPr>
        <w:t>directly affect</w:t>
      </w:r>
      <w:r w:rsidR="00A47EFD" w:rsidRPr="5C7B450E">
        <w:rPr>
          <w:rFonts w:ascii="Lato" w:hAnsi="Lato"/>
        </w:rPr>
        <w:t xml:space="preserve"> the enjoyment of</w:t>
      </w:r>
      <w:r w:rsidR="00642F16" w:rsidRPr="5C7B450E">
        <w:rPr>
          <w:rFonts w:ascii="Lato" w:hAnsi="Lato"/>
        </w:rPr>
        <w:t xml:space="preserve"> their</w:t>
      </w:r>
      <w:r w:rsidR="00A47EFD" w:rsidRPr="5C7B450E">
        <w:rPr>
          <w:rFonts w:ascii="Lato" w:hAnsi="Lato"/>
        </w:rPr>
        <w:t xml:space="preserve"> human rights.</w:t>
      </w:r>
    </w:p>
    <w:p w14:paraId="21CC564D" w14:textId="77777777" w:rsidR="00D409E4" w:rsidRDefault="00D409E4" w:rsidP="0003776D">
      <w:pPr>
        <w:jc w:val="both"/>
        <w:rPr>
          <w:rFonts w:ascii="Lato" w:hAnsi="Lato"/>
          <w:color w:val="FF0000"/>
        </w:rPr>
      </w:pPr>
    </w:p>
    <w:p w14:paraId="49F08110" w14:textId="77777777" w:rsidR="009721C8" w:rsidRDefault="009721C8" w:rsidP="0003776D">
      <w:pPr>
        <w:pStyle w:val="Heading2"/>
        <w:rPr>
          <w:rFonts w:ascii="Lato" w:eastAsia="Helvetica Neue" w:hAnsi="Lato"/>
          <w:b/>
          <w:bCs/>
          <w:color w:val="000000" w:themeColor="text1"/>
          <w:sz w:val="24"/>
          <w:szCs w:val="24"/>
        </w:rPr>
      </w:pPr>
    </w:p>
    <w:p w14:paraId="11ED83E2" w14:textId="77777777" w:rsidR="009721C8" w:rsidRPr="009721C8" w:rsidRDefault="009721C8" w:rsidP="009721C8"/>
    <w:p w14:paraId="5B4034EE" w14:textId="4E4F0E9D" w:rsidR="00D409E4" w:rsidRPr="00D409E4" w:rsidRDefault="00351C79" w:rsidP="0003776D">
      <w:pPr>
        <w:pStyle w:val="Heading2"/>
        <w:rPr>
          <w:rFonts w:ascii="Lato" w:hAnsi="Lato"/>
          <w:b/>
          <w:bCs/>
          <w:color w:val="000000" w:themeColor="text1"/>
          <w:sz w:val="24"/>
          <w:szCs w:val="24"/>
        </w:rPr>
      </w:pPr>
      <w:bookmarkStart w:id="5" w:name="_Toc136003042"/>
      <w:r>
        <w:rPr>
          <w:rFonts w:ascii="Lato" w:eastAsia="Helvetica Neue" w:hAnsi="Lato"/>
          <w:b/>
          <w:bCs/>
          <w:color w:val="000000" w:themeColor="text1"/>
          <w:sz w:val="24"/>
          <w:szCs w:val="24"/>
        </w:rPr>
        <w:lastRenderedPageBreak/>
        <w:t xml:space="preserve">Legacies from former </w:t>
      </w:r>
      <w:r w:rsidRPr="00D409E4">
        <w:rPr>
          <w:rFonts w:ascii="Lato" w:eastAsia="Helvetica Neue" w:hAnsi="Lato"/>
          <w:b/>
          <w:bCs/>
          <w:color w:val="000000" w:themeColor="text1"/>
          <w:sz w:val="24"/>
          <w:szCs w:val="24"/>
        </w:rPr>
        <w:t>British</w:t>
      </w:r>
      <w:r w:rsidR="00D409E4" w:rsidRPr="00D409E4">
        <w:rPr>
          <w:rFonts w:ascii="Lato" w:eastAsia="Helvetica Neue" w:hAnsi="Lato"/>
          <w:b/>
          <w:bCs/>
          <w:color w:val="000000" w:themeColor="text1"/>
          <w:sz w:val="24"/>
          <w:szCs w:val="24"/>
        </w:rPr>
        <w:t xml:space="preserve"> colonies</w:t>
      </w:r>
      <w:bookmarkEnd w:id="5"/>
    </w:p>
    <w:p w14:paraId="26E264CD" w14:textId="77777777" w:rsidR="0000566D" w:rsidRDefault="0000566D" w:rsidP="0003776D"/>
    <w:p w14:paraId="4FE55C34" w14:textId="77777777" w:rsidR="00B022D4" w:rsidRDefault="0000566D" w:rsidP="0003776D">
      <w:pPr>
        <w:jc w:val="both"/>
        <w:rPr>
          <w:rFonts w:ascii="Lato" w:eastAsia="Helvetica Neue" w:hAnsi="Lato" w:cs="Helvetica Neue"/>
        </w:rPr>
      </w:pPr>
      <w:r w:rsidRPr="00D66B6E">
        <w:rPr>
          <w:rFonts w:ascii="Lato" w:eastAsia="Helvetica Neue" w:hAnsi="Lato" w:cs="Helvetica Neue"/>
        </w:rPr>
        <w:t xml:space="preserve">Many former British colonies still retain “anti-sodomy” laws that date back to their colonial past. </w:t>
      </w:r>
      <w:r w:rsidR="00D409E4" w:rsidRPr="00D409E4">
        <w:rPr>
          <w:rFonts w:ascii="Lato" w:eastAsia="Helvetica Neue" w:hAnsi="Lato" w:cs="Helvetica Neue"/>
        </w:rPr>
        <w:t>In 1886, the lndian Penal Code (1860) was brought into British Burma by British colonizers, along with the Code of Penal Procedure (Act No. 24) (1861) and the Evidence Act (Act No. l) (1872).</w:t>
      </w:r>
      <w:r w:rsidR="00D409E4">
        <w:rPr>
          <w:rFonts w:ascii="Lato" w:eastAsia="Helvetica Neue" w:hAnsi="Lato" w:cs="Helvetica Neue"/>
        </w:rPr>
        <w:t xml:space="preserve"> </w:t>
      </w:r>
    </w:p>
    <w:p w14:paraId="38CA8789" w14:textId="77777777" w:rsidR="00B022D4" w:rsidRDefault="00B022D4" w:rsidP="0003776D">
      <w:pPr>
        <w:jc w:val="both"/>
        <w:rPr>
          <w:rFonts w:ascii="Lato" w:eastAsia="Helvetica Neue" w:hAnsi="Lato" w:cs="Helvetica Neue"/>
        </w:rPr>
      </w:pPr>
    </w:p>
    <w:p w14:paraId="56854D32" w14:textId="1C7FB2B9" w:rsidR="00D409E4" w:rsidRDefault="00D409E4" w:rsidP="0003776D">
      <w:pPr>
        <w:jc w:val="both"/>
        <w:rPr>
          <w:rFonts w:ascii="Lato" w:eastAsia="Helvetica Neue" w:hAnsi="Lato" w:cs="Helvetica Neue"/>
        </w:rPr>
      </w:pPr>
      <w:r w:rsidRPr="00D409E4">
        <w:rPr>
          <w:rFonts w:ascii="Lato" w:eastAsia="Helvetica Neue" w:hAnsi="Lato" w:cs="Helvetica Neue"/>
        </w:rPr>
        <w:t>Under Section 377 of this Code, whoever voluntarily had “carnal intercourse against the order of nature” with any man, woman</w:t>
      </w:r>
      <w:r w:rsidR="5DABD598" w:rsidRPr="00D409E4">
        <w:rPr>
          <w:rFonts w:ascii="Lato" w:eastAsia="Helvetica Neue" w:hAnsi="Lato" w:cs="Helvetica Neue"/>
        </w:rPr>
        <w:t>,</w:t>
      </w:r>
      <w:r w:rsidRPr="00D409E4">
        <w:rPr>
          <w:rFonts w:ascii="Lato" w:eastAsia="Helvetica Neue" w:hAnsi="Lato" w:cs="Helvetica Neue"/>
        </w:rPr>
        <w:t xml:space="preserve"> or animal was punished with transportation for life or with imprisonment of either description (i.e., simple or rigorous imprisonment) for a term which could extend to ten years, and/or a fine.</w:t>
      </w:r>
      <w:r w:rsidR="00B022D4">
        <w:rPr>
          <w:rFonts w:ascii="Lato" w:eastAsia="Helvetica Neue" w:hAnsi="Lato" w:cs="Helvetica Neue"/>
        </w:rPr>
        <w:t xml:space="preserve"> </w:t>
      </w:r>
      <w:r w:rsidRPr="00D409E4">
        <w:rPr>
          <w:rFonts w:ascii="Lato" w:eastAsia="Helvetica Neue" w:hAnsi="Lato" w:cs="Helvetica Neue"/>
        </w:rPr>
        <w:t>The penalty of "transportation for life" consisted in sending a convict into banishment or exile and was a legally prescribed penalty for serious crimes. Prisoners would be sent to penal colonies established throughout the British Colonial Empire, including South West Sumatra and the Andaman Islands, where ironically, as documented in academic work, "unnatural offen</w:t>
      </w:r>
      <w:r w:rsidR="0AA25DA6" w:rsidRPr="00D409E4">
        <w:rPr>
          <w:rFonts w:ascii="Lato" w:eastAsia="Helvetica Neue" w:hAnsi="Lato" w:cs="Helvetica Neue"/>
        </w:rPr>
        <w:t>s</w:t>
      </w:r>
      <w:r w:rsidRPr="00D409E4">
        <w:rPr>
          <w:rFonts w:ascii="Lato" w:eastAsia="Helvetica Neue" w:hAnsi="Lato" w:cs="Helvetica Neue"/>
        </w:rPr>
        <w:t>es" among male inmates proliferated. While in most countries</w:t>
      </w:r>
      <w:r w:rsidR="17263E1E" w:rsidRPr="00D409E4">
        <w:rPr>
          <w:rFonts w:ascii="Lato" w:eastAsia="Helvetica Neue" w:hAnsi="Lato" w:cs="Helvetica Neue"/>
        </w:rPr>
        <w:t>,</w:t>
      </w:r>
      <w:r w:rsidRPr="00D409E4">
        <w:rPr>
          <w:rFonts w:ascii="Lato" w:eastAsia="Helvetica Neue" w:hAnsi="Lato" w:cs="Helvetica Neue"/>
        </w:rPr>
        <w:t xml:space="preserve"> the penalty of transportation was later replaced by other types of penalties (such as in India, where it became “imprisonment for life” as per Act 26 of 1955), Article 377 has remained unchanged in the Penal Code (1860) of </w:t>
      </w:r>
      <w:r w:rsidRPr="004616FF">
        <w:rPr>
          <w:rFonts w:ascii="Lato" w:eastAsia="Helvetica Neue" w:hAnsi="Lato" w:cs="Helvetica Neue"/>
          <w:b/>
          <w:bCs/>
        </w:rPr>
        <w:t>Myanmar</w:t>
      </w:r>
      <w:r w:rsidR="004616FF">
        <w:rPr>
          <w:rStyle w:val="FootnoteReference"/>
          <w:rFonts w:ascii="Lato" w:eastAsia="Helvetica Neue" w:hAnsi="Lato" w:cs="Helvetica Neue"/>
        </w:rPr>
        <w:footnoteReference w:id="23"/>
      </w:r>
      <w:r w:rsidRPr="00D409E4">
        <w:rPr>
          <w:rFonts w:ascii="Lato" w:eastAsia="Helvetica Neue" w:hAnsi="Lato" w:cs="Helvetica Neue"/>
        </w:rPr>
        <w:t>.</w:t>
      </w:r>
    </w:p>
    <w:p w14:paraId="524820C3" w14:textId="77777777" w:rsidR="0058490E" w:rsidRDefault="0058490E" w:rsidP="0003776D">
      <w:pPr>
        <w:jc w:val="both"/>
        <w:rPr>
          <w:rFonts w:ascii="Lato" w:eastAsia="Helvetica Neue" w:hAnsi="Lato" w:cs="Helvetica Neue"/>
        </w:rPr>
      </w:pPr>
    </w:p>
    <w:p w14:paraId="54FD4ECA" w14:textId="5A133E81" w:rsidR="00AB7937" w:rsidRPr="00D66B6E" w:rsidRDefault="0000566D" w:rsidP="0003776D">
      <w:pPr>
        <w:jc w:val="both"/>
        <w:rPr>
          <w:rFonts w:ascii="Lato" w:eastAsia="Helvetica Neue" w:hAnsi="Lato" w:cs="Helvetica Neue"/>
        </w:rPr>
      </w:pPr>
      <w:r w:rsidRPr="00D66B6E">
        <w:rPr>
          <w:rFonts w:ascii="Lato" w:eastAsia="Helvetica Neue" w:hAnsi="Lato" w:cs="Helvetica Neue"/>
        </w:rPr>
        <w:t xml:space="preserve">In </w:t>
      </w:r>
      <w:r w:rsidRPr="22F87D31">
        <w:rPr>
          <w:rFonts w:ascii="Lato" w:eastAsia="Helvetica Neue" w:hAnsi="Lato" w:cs="Helvetica Neue"/>
          <w:b/>
          <w:bCs/>
        </w:rPr>
        <w:t>India</w:t>
      </w:r>
      <w:r w:rsidRPr="00D66B6E">
        <w:rPr>
          <w:rFonts w:ascii="Lato" w:eastAsia="Helvetica Neue" w:hAnsi="Lato" w:cs="Helvetica Neue"/>
        </w:rPr>
        <w:t xml:space="preserve">, Article 377 of the </w:t>
      </w:r>
      <w:r w:rsidR="004616FF" w:rsidRPr="004616FF">
        <w:rPr>
          <w:rFonts w:ascii="Lato" w:eastAsia="Helvetica Neue" w:hAnsi="Lato"/>
          <w:color w:val="000000" w:themeColor="text1"/>
        </w:rPr>
        <w:t>Indian Penal Code</w:t>
      </w:r>
      <w:r w:rsidRPr="00D66B6E">
        <w:rPr>
          <w:rFonts w:ascii="Lato" w:eastAsia="Helvetica Neue" w:hAnsi="Lato" w:cs="Helvetica Neue"/>
        </w:rPr>
        <w:t xml:space="preserve"> </w:t>
      </w:r>
      <w:r w:rsidR="004616FF">
        <w:rPr>
          <w:rFonts w:ascii="Lato" w:eastAsia="Helvetica Neue" w:hAnsi="Lato" w:cs="Helvetica Neue"/>
        </w:rPr>
        <w:t xml:space="preserve">also </w:t>
      </w:r>
      <w:r w:rsidRPr="00D66B6E">
        <w:rPr>
          <w:rFonts w:ascii="Lato" w:eastAsia="Helvetica Neue" w:hAnsi="Lato" w:cs="Helvetica Neue"/>
        </w:rPr>
        <w:t>remains in effect. In 2018, the Supreme Court ruled that the manner of its interpretation with respect to homosexuality violated fundamental rights to privacy</w:t>
      </w:r>
      <w:r w:rsidR="001E6365">
        <w:rPr>
          <w:rStyle w:val="FootnoteReference"/>
          <w:rFonts w:ascii="Lato" w:eastAsia="Helvetica Neue" w:hAnsi="Lato" w:cs="Helvetica Neue"/>
        </w:rPr>
        <w:footnoteReference w:id="24"/>
      </w:r>
      <w:r w:rsidRPr="00D66B6E">
        <w:rPr>
          <w:rFonts w:ascii="Lato" w:eastAsia="Helvetica Neue" w:hAnsi="Lato" w:cs="Helvetica Neue"/>
        </w:rPr>
        <w:t>. The law’s scope was subsequently limited to exclude consensual private sexual acts between consenting adults</w:t>
      </w:r>
      <w:r w:rsidRPr="00D66B6E">
        <w:rPr>
          <w:rFonts w:ascii="Lato" w:eastAsia="Helvetica Neue" w:hAnsi="Lato" w:cs="Helvetica Neue"/>
          <w:vertAlign w:val="superscript"/>
        </w:rPr>
        <w:footnoteReference w:id="25"/>
      </w:r>
      <w:r w:rsidR="00642F16" w:rsidRPr="00D66B6E">
        <w:rPr>
          <w:rFonts w:ascii="Lato" w:eastAsia="Helvetica Neue" w:hAnsi="Lato" w:cs="Helvetica Neue"/>
        </w:rPr>
        <w:t>.</w:t>
      </w:r>
      <w:r w:rsidRPr="00D66B6E">
        <w:rPr>
          <w:rFonts w:ascii="Lato" w:eastAsia="Helvetica Neue" w:hAnsi="Lato" w:cs="Helvetica Neue"/>
        </w:rPr>
        <w:t xml:space="preserve"> Before then, a total of 4,690 cases of violations of Article 377 were prosecuted between 2014 and 2016</w:t>
      </w:r>
      <w:r w:rsidRPr="00D66B6E">
        <w:rPr>
          <w:rFonts w:ascii="Lato" w:eastAsia="Helvetica Neue" w:hAnsi="Lato" w:cs="Helvetica Neue"/>
          <w:vertAlign w:val="superscript"/>
        </w:rPr>
        <w:footnoteReference w:id="26"/>
      </w:r>
      <w:r w:rsidR="00642F16" w:rsidRPr="00D66B6E">
        <w:rPr>
          <w:rFonts w:ascii="Lato" w:eastAsia="Helvetica Neue" w:hAnsi="Lato" w:cs="Helvetica Neue"/>
        </w:rPr>
        <w:t>.</w:t>
      </w:r>
      <w:r w:rsidR="004616FF">
        <w:rPr>
          <w:rFonts w:ascii="Lato" w:eastAsia="Helvetica Neue" w:hAnsi="Lato" w:cs="Helvetica Neue"/>
        </w:rPr>
        <w:t xml:space="preserve"> On the other </w:t>
      </w:r>
      <w:r w:rsidR="00694EC9">
        <w:rPr>
          <w:rFonts w:ascii="Lato" w:eastAsia="Helvetica Neue" w:hAnsi="Lato" w:cs="Helvetica Neue"/>
        </w:rPr>
        <w:t>hand, Article</w:t>
      </w:r>
      <w:r w:rsidRPr="00D66B6E">
        <w:rPr>
          <w:rFonts w:ascii="Lato" w:eastAsia="Helvetica Neue" w:hAnsi="Lato" w:cs="Helvetica Neue"/>
        </w:rPr>
        <w:t xml:space="preserve"> 377 of the </w:t>
      </w:r>
      <w:r w:rsidRPr="22F87D31">
        <w:rPr>
          <w:rFonts w:ascii="Lato" w:eastAsia="Helvetica Neue" w:hAnsi="Lato" w:cs="Helvetica Neue"/>
          <w:b/>
          <w:bCs/>
        </w:rPr>
        <w:t>Pakistan</w:t>
      </w:r>
      <w:r w:rsidRPr="00D66B6E">
        <w:rPr>
          <w:rFonts w:ascii="Lato" w:eastAsia="Helvetica Neue" w:hAnsi="Lato" w:cs="Helvetica Neue"/>
        </w:rPr>
        <w:t xml:space="preserve"> Penal Code states that the penalty “shall be not less than two years</w:t>
      </w:r>
      <w:r w:rsidR="00EF2812" w:rsidRPr="460D18E2">
        <w:rPr>
          <w:rFonts w:ascii="Lato" w:eastAsia="Helvetica Neue" w:hAnsi="Lato" w:cs="Helvetica Neue"/>
        </w:rPr>
        <w:t>”</w:t>
      </w:r>
      <w:r w:rsidRPr="00D66B6E">
        <w:rPr>
          <w:rFonts w:ascii="Lato" w:eastAsia="Helvetica Neue" w:hAnsi="Lato" w:cs="Helvetica Neue"/>
          <w:vertAlign w:val="superscript"/>
        </w:rPr>
        <w:footnoteReference w:id="27"/>
      </w:r>
      <w:r w:rsidR="00642F16" w:rsidRPr="00D66B6E">
        <w:rPr>
          <w:rFonts w:ascii="Lato" w:eastAsia="Helvetica Neue" w:hAnsi="Lato" w:cs="Helvetica Neue"/>
        </w:rPr>
        <w:t>.</w:t>
      </w:r>
      <w:r w:rsidRPr="00D66B6E">
        <w:rPr>
          <w:rFonts w:ascii="Lato" w:eastAsia="Helvetica Neue" w:hAnsi="Lato" w:cs="Helvetica Neue"/>
        </w:rPr>
        <w:t xml:space="preserve"> This was later amended by the Hudood Ordinances in 1980 to increase the penalty to a minimum punishment of ten years and a fine. The Hudood Ordinances were created to align criminal law with the Shariat and are applicable to both Muslims and non-Muslims.</w:t>
      </w:r>
      <w:r w:rsidR="00AB7937">
        <w:rPr>
          <w:rFonts w:ascii="Lato" w:eastAsia="Helvetica Neue" w:hAnsi="Lato" w:cs="Helvetica Neue"/>
        </w:rPr>
        <w:t xml:space="preserve"> </w:t>
      </w:r>
      <w:r w:rsidR="00AB7937" w:rsidRPr="00AB7937">
        <w:rPr>
          <w:rFonts w:ascii="Lato" w:eastAsia="Helvetica Neue" w:hAnsi="Lato" w:cs="Helvetica Neue"/>
        </w:rPr>
        <w:t xml:space="preserve">Discriminatory narratives and stigmatization of </w:t>
      </w:r>
      <w:r w:rsidR="00AB7937" w:rsidRPr="460D18E2">
        <w:rPr>
          <w:rFonts w:ascii="Lato" w:eastAsia="Helvetica Neue" w:hAnsi="Lato" w:cs="Helvetica Neue"/>
          <w:i/>
          <w:iCs/>
        </w:rPr>
        <w:t>hijras</w:t>
      </w:r>
      <w:r w:rsidR="00AB7937" w:rsidRPr="00AB7937">
        <w:rPr>
          <w:rFonts w:ascii="Lato" w:eastAsia="Helvetica Neue" w:hAnsi="Lato" w:cs="Helvetica Neue"/>
        </w:rPr>
        <w:t xml:space="preserve"> brought about by British colonial rule and imposition of Victorian ideologies of gender and sexuality remain prevalent in contemporary India and Pakistan. </w:t>
      </w:r>
      <w:r w:rsidR="00AB7937" w:rsidRPr="460D18E2">
        <w:rPr>
          <w:rFonts w:ascii="Lato" w:eastAsia="Helvetica Neue" w:hAnsi="Lato" w:cs="Helvetica Neue"/>
          <w:i/>
          <w:iCs/>
        </w:rPr>
        <w:t>H</w:t>
      </w:r>
      <w:r w:rsidR="00D71FA7" w:rsidRPr="460D18E2">
        <w:rPr>
          <w:rFonts w:ascii="Lato" w:eastAsia="Helvetica Neue" w:hAnsi="Lato" w:cs="Helvetica Neue"/>
          <w:i/>
          <w:iCs/>
        </w:rPr>
        <w:t>i</w:t>
      </w:r>
      <w:r w:rsidR="00AB7937" w:rsidRPr="460D18E2">
        <w:rPr>
          <w:rFonts w:ascii="Lato" w:eastAsia="Helvetica Neue" w:hAnsi="Lato" w:cs="Helvetica Neue"/>
          <w:i/>
          <w:iCs/>
        </w:rPr>
        <w:t>jras</w:t>
      </w:r>
      <w:r w:rsidR="00AB7937" w:rsidRPr="00AB7937">
        <w:rPr>
          <w:rFonts w:ascii="Lato" w:eastAsia="Helvetica Neue" w:hAnsi="Lato" w:cs="Helvetica Neue"/>
        </w:rPr>
        <w:t xml:space="preserve"> continue to face social and economic </w:t>
      </w:r>
      <w:r w:rsidR="00AB7937" w:rsidRPr="00AB7937">
        <w:rPr>
          <w:rFonts w:ascii="Lato" w:eastAsia="Helvetica Neue" w:hAnsi="Lato" w:cs="Helvetica Neue"/>
        </w:rPr>
        <w:lastRenderedPageBreak/>
        <w:t>exclusion, making it difficult for them to secure legal employment. In turn, many resort to begging or sex work to survive</w:t>
      </w:r>
      <w:r w:rsidR="00694EC9">
        <w:rPr>
          <w:rStyle w:val="FootnoteReference"/>
          <w:rFonts w:ascii="Lato" w:eastAsia="Helvetica Neue" w:hAnsi="Lato" w:cs="Helvetica Neue"/>
        </w:rPr>
        <w:footnoteReference w:id="28"/>
      </w:r>
      <w:r w:rsidR="00AB7937" w:rsidRPr="00AB7937">
        <w:rPr>
          <w:rFonts w:ascii="Lato" w:eastAsia="Helvetica Neue" w:hAnsi="Lato" w:cs="Helvetica Neue"/>
        </w:rPr>
        <w:t>.</w:t>
      </w:r>
    </w:p>
    <w:p w14:paraId="4A77B12D" w14:textId="77777777" w:rsidR="00156B99" w:rsidRDefault="00156B99" w:rsidP="0003776D">
      <w:pPr>
        <w:jc w:val="both"/>
        <w:rPr>
          <w:rFonts w:ascii="Lato" w:eastAsia="Helvetica Neue" w:hAnsi="Lato" w:cs="Helvetica Neue"/>
        </w:rPr>
      </w:pPr>
    </w:p>
    <w:p w14:paraId="38038411" w14:textId="40CEF5BC" w:rsidR="00117DF6" w:rsidRDefault="00AB7937" w:rsidP="0003776D">
      <w:pPr>
        <w:jc w:val="both"/>
        <w:rPr>
          <w:rFonts w:ascii="Lato" w:eastAsia="Helvetica Neue" w:hAnsi="Lato" w:cs="Helvetica Neue"/>
        </w:rPr>
      </w:pPr>
      <w:r>
        <w:rPr>
          <w:rFonts w:ascii="Lato" w:eastAsia="Helvetica Neue" w:hAnsi="Lato" w:cs="Helvetica Neue"/>
        </w:rPr>
        <w:t>I</w:t>
      </w:r>
      <w:r w:rsidRPr="00AB7937">
        <w:rPr>
          <w:rFonts w:ascii="Lato" w:eastAsia="Helvetica Neue" w:hAnsi="Lato" w:cs="Helvetica Neue"/>
        </w:rPr>
        <w:t xml:space="preserve">n </w:t>
      </w:r>
      <w:r w:rsidRPr="00AB7937">
        <w:rPr>
          <w:rFonts w:ascii="Lato" w:eastAsia="Helvetica Neue" w:hAnsi="Lato" w:cs="Helvetica Neue"/>
          <w:b/>
          <w:bCs/>
        </w:rPr>
        <w:t>Sri Lanka</w:t>
      </w:r>
      <w:r w:rsidRPr="00AB7937">
        <w:rPr>
          <w:rFonts w:ascii="Lato" w:eastAsia="Helvetica Neue" w:hAnsi="Lato" w:cs="Helvetica Neue"/>
        </w:rPr>
        <w:t xml:space="preserve">, Article 365 of the Sri Lankan Penal Code reproduced Section 377 of the Indian Penal Code and is interpreted to target </w:t>
      </w:r>
      <w:r w:rsidR="00AE1633" w:rsidRPr="002D18B5">
        <w:rPr>
          <w:rFonts w:ascii="Lato" w:hAnsi="Lato"/>
          <w:color w:val="1C1C1C"/>
        </w:rPr>
        <w:t>LGBTQI+ and other ancestral sexual and gender diverse</w:t>
      </w:r>
      <w:r w:rsidR="00AE1633">
        <w:rPr>
          <w:rFonts w:ascii="Lato" w:eastAsia="Helvetica Neue" w:hAnsi="Lato" w:cs="Helvetica Neue"/>
        </w:rPr>
        <w:t xml:space="preserve"> </w:t>
      </w:r>
      <w:r w:rsidRPr="00AB7937">
        <w:rPr>
          <w:rFonts w:ascii="Lato" w:eastAsia="Helvetica Neue" w:hAnsi="Lato" w:cs="Helvetica Neue"/>
        </w:rPr>
        <w:t>individuals</w:t>
      </w:r>
      <w:r w:rsidR="000357CE">
        <w:rPr>
          <w:rStyle w:val="FootnoteReference"/>
          <w:rFonts w:ascii="Lato" w:eastAsia="Helvetica Neue" w:hAnsi="Lato" w:cs="Helvetica Neue"/>
        </w:rPr>
        <w:footnoteReference w:id="29"/>
      </w:r>
      <w:r w:rsidRPr="00AB7937">
        <w:rPr>
          <w:rFonts w:ascii="Lato" w:eastAsia="Helvetica Neue" w:hAnsi="Lato" w:cs="Helvetica Neue"/>
        </w:rPr>
        <w:t>.</w:t>
      </w:r>
      <w:r w:rsidR="000357CE">
        <w:rPr>
          <w:rFonts w:ascii="Lato" w:eastAsia="Helvetica Neue" w:hAnsi="Lato" w:cs="Helvetica Neue"/>
        </w:rPr>
        <w:t xml:space="preserve"> Furthermore, section </w:t>
      </w:r>
      <w:r w:rsidR="000357CE" w:rsidRPr="000357CE">
        <w:rPr>
          <w:rFonts w:ascii="Lato" w:eastAsia="Helvetica Neue" w:hAnsi="Lato" w:cs="Helvetica Neue"/>
        </w:rPr>
        <w:t xml:space="preserve">365A render same-sex relations between consenting adults illegal, even in private. The retention of these laws </w:t>
      </w:r>
      <w:r w:rsidR="0C924AB8" w:rsidRPr="000357CE">
        <w:rPr>
          <w:rFonts w:ascii="Lato" w:eastAsia="Helvetica Neue" w:hAnsi="Lato" w:cs="Helvetica Neue"/>
        </w:rPr>
        <w:t>allows</w:t>
      </w:r>
      <w:r w:rsidR="000357CE" w:rsidRPr="000357CE">
        <w:rPr>
          <w:rFonts w:ascii="Lato" w:eastAsia="Helvetica Neue" w:hAnsi="Lato" w:cs="Helvetica Neue"/>
        </w:rPr>
        <w:t xml:space="preserve"> for the mistreatment of </w:t>
      </w:r>
      <w:r w:rsidR="00AE1633" w:rsidRPr="002D18B5">
        <w:rPr>
          <w:rFonts w:ascii="Lato" w:hAnsi="Lato"/>
          <w:color w:val="1C1C1C"/>
        </w:rPr>
        <w:t>LGBTQI+ and other ancestral sexual and gender diverse</w:t>
      </w:r>
      <w:r w:rsidR="00AE1633" w:rsidRPr="000357CE">
        <w:rPr>
          <w:rFonts w:ascii="Lato" w:eastAsia="Helvetica Neue" w:hAnsi="Lato" w:cs="Helvetica Neue"/>
        </w:rPr>
        <w:t xml:space="preserve"> </w:t>
      </w:r>
      <w:r w:rsidR="000357CE" w:rsidRPr="000357CE">
        <w:rPr>
          <w:rFonts w:ascii="Lato" w:eastAsia="Helvetica Neue" w:hAnsi="Lato" w:cs="Helvetica Neue"/>
        </w:rPr>
        <w:t>people by both the public and state officials. Due to repeated police harassment and mistreatment, some transgender women and men who have sex with men are hesitant to report crimes committed against them</w:t>
      </w:r>
      <w:r w:rsidR="000357CE">
        <w:rPr>
          <w:rStyle w:val="FootnoteReference"/>
          <w:rFonts w:ascii="Lato" w:eastAsia="Helvetica Neue" w:hAnsi="Lato" w:cs="Helvetica Neue"/>
        </w:rPr>
        <w:footnoteReference w:id="30"/>
      </w:r>
      <w:r w:rsidR="000357CE" w:rsidRPr="000357CE">
        <w:rPr>
          <w:rFonts w:ascii="Lato" w:eastAsia="Helvetica Neue" w:hAnsi="Lato" w:cs="Helvetica Neue"/>
        </w:rPr>
        <w:t>.</w:t>
      </w:r>
    </w:p>
    <w:p w14:paraId="7F81E850" w14:textId="77777777" w:rsidR="00865B98" w:rsidRDefault="00865B98" w:rsidP="0003776D">
      <w:pPr>
        <w:jc w:val="both"/>
        <w:rPr>
          <w:rFonts w:ascii="Lato" w:eastAsia="Helvetica Neue" w:hAnsi="Lato" w:cs="Helvetica Neue"/>
        </w:rPr>
      </w:pPr>
    </w:p>
    <w:p w14:paraId="0F484F23" w14:textId="2D8ADDEF" w:rsidR="00865B98" w:rsidRPr="00865B98" w:rsidRDefault="00865B98" w:rsidP="0003776D">
      <w:pPr>
        <w:jc w:val="both"/>
        <w:rPr>
          <w:rFonts w:ascii="Lato" w:eastAsia="Helvetica Neue" w:hAnsi="Lato" w:cs="Helvetica Neue"/>
        </w:rPr>
      </w:pPr>
      <w:r w:rsidRPr="00865B98">
        <w:rPr>
          <w:rFonts w:ascii="Lato" w:eastAsia="Helvetica Neue" w:hAnsi="Lato" w:cs="Helvetica Neue"/>
        </w:rPr>
        <w:t>The British colonial Offenses Against the Person Act</w:t>
      </w:r>
      <w:r>
        <w:rPr>
          <w:rStyle w:val="FootnoteReference"/>
          <w:rFonts w:ascii="Lato" w:eastAsia="Helvetica Neue" w:hAnsi="Lato" w:cs="Helvetica Neue"/>
        </w:rPr>
        <w:footnoteReference w:id="31"/>
      </w:r>
      <w:r w:rsidRPr="00865B98">
        <w:rPr>
          <w:rFonts w:ascii="Lato" w:eastAsia="Helvetica Neue" w:hAnsi="Lato" w:cs="Helvetica Neue"/>
        </w:rPr>
        <w:t xml:space="preserve"> (1861) remains in force in </w:t>
      </w:r>
      <w:r w:rsidRPr="00865B98">
        <w:rPr>
          <w:rFonts w:ascii="Lato" w:eastAsia="Helvetica Neue" w:hAnsi="Lato" w:cs="Helvetica Neue"/>
          <w:b/>
          <w:bCs/>
        </w:rPr>
        <w:t>Sierra Leone</w:t>
      </w:r>
      <w:r w:rsidRPr="00865B98">
        <w:rPr>
          <w:rFonts w:ascii="Lato" w:eastAsia="Helvetica Neue" w:hAnsi="Lato" w:cs="Helvetica Neue"/>
        </w:rPr>
        <w:t>. Under Section 61 of this legislation, any man found guilty of “buggery” is liable to imprisonment of 10 years to life.</w:t>
      </w:r>
      <w:r>
        <w:rPr>
          <w:rFonts w:ascii="Lato" w:eastAsia="Helvetica Neue" w:hAnsi="Lato" w:cs="Helvetica Neue"/>
        </w:rPr>
        <w:t xml:space="preserve"> And in </w:t>
      </w:r>
      <w:r w:rsidRPr="00865B98">
        <w:rPr>
          <w:rFonts w:ascii="Lato" w:eastAsia="Helvetica Neue" w:hAnsi="Lato" w:cs="Helvetica Neue"/>
          <w:b/>
          <w:bCs/>
        </w:rPr>
        <w:t>Mauritius</w:t>
      </w:r>
      <w:r w:rsidRPr="00865B98">
        <w:rPr>
          <w:rFonts w:ascii="Lato" w:eastAsia="Helvetica Neue" w:hAnsi="Lato" w:cs="Helvetica Neue"/>
        </w:rPr>
        <w:t>, same-sex relations are still criminalized under section 250 of the Criminal Code, a legacy of the colonial era.</w:t>
      </w:r>
    </w:p>
    <w:p w14:paraId="029FBB09" w14:textId="77777777" w:rsidR="0003632C" w:rsidRDefault="0003632C" w:rsidP="0003776D">
      <w:pPr>
        <w:jc w:val="both"/>
        <w:rPr>
          <w:rFonts w:ascii="Lato" w:eastAsia="Helvetica Neue" w:hAnsi="Lato" w:cs="Helvetica Neue"/>
        </w:rPr>
      </w:pPr>
    </w:p>
    <w:p w14:paraId="25E358E3" w14:textId="4B61EF03" w:rsidR="00E178F8" w:rsidRDefault="004616FF" w:rsidP="0003776D">
      <w:pPr>
        <w:jc w:val="both"/>
        <w:rPr>
          <w:rFonts w:ascii="Lato" w:eastAsia="Times New Roman" w:hAnsi="Lato" w:cs="Times New Roman"/>
          <w:kern w:val="0"/>
          <w14:ligatures w14:val="none"/>
        </w:rPr>
      </w:pPr>
      <w:r w:rsidRPr="000D6957">
        <w:rPr>
          <w:rFonts w:ascii="Lato" w:eastAsia="Times New Roman" w:hAnsi="Lato" w:cs="Times New Roman"/>
          <w:kern w:val="0"/>
          <w14:ligatures w14:val="none"/>
        </w:rPr>
        <w:t xml:space="preserve">“Carnal intercourse against the order of nature” was criminalized under Section 377 of the Penal Code of the Federated Malay States (F.M.S. Cap. 45) (1936) enacted during the colonial occupation of some of the territories that form modern </w:t>
      </w:r>
      <w:r w:rsidRPr="000D6957">
        <w:rPr>
          <w:rFonts w:ascii="Lato" w:eastAsia="Times New Roman" w:hAnsi="Lato" w:cs="Times New Roman"/>
          <w:b/>
          <w:bCs/>
          <w:kern w:val="0"/>
          <w14:ligatures w14:val="none"/>
        </w:rPr>
        <w:t>Malaysia</w:t>
      </w:r>
      <w:r w:rsidRPr="000D6957">
        <w:rPr>
          <w:rFonts w:ascii="Lato" w:eastAsia="Times New Roman" w:hAnsi="Lato" w:cs="Times New Roman"/>
          <w:kern w:val="0"/>
          <w14:ligatures w14:val="none"/>
        </w:rPr>
        <w:t>. Malaysia maintained the FMS Penal Code after independence and extended its application to the entire country in 1976. A revised version of this Penal Code</w:t>
      </w:r>
      <w:r>
        <w:rPr>
          <w:rStyle w:val="FootnoteReference"/>
          <w:rFonts w:ascii="Lato" w:eastAsia="Times New Roman" w:hAnsi="Lato" w:cs="Times New Roman"/>
          <w:kern w:val="0"/>
          <w14:ligatures w14:val="none"/>
        </w:rPr>
        <w:footnoteReference w:id="32"/>
      </w:r>
      <w:r w:rsidRPr="000D6957">
        <w:rPr>
          <w:rFonts w:ascii="Lato" w:eastAsia="Times New Roman" w:hAnsi="Lato" w:cs="Times New Roman"/>
          <w:kern w:val="0"/>
          <w14:ligatures w14:val="none"/>
        </w:rPr>
        <w:t xml:space="preserve"> (1997) is still in force today</w:t>
      </w:r>
      <w:r>
        <w:rPr>
          <w:rFonts w:ascii="Lato" w:eastAsia="Times New Roman" w:hAnsi="Lato" w:cs="Times New Roman"/>
          <w:kern w:val="0"/>
          <w14:ligatures w14:val="none"/>
        </w:rPr>
        <w:t xml:space="preserve">. </w:t>
      </w:r>
      <w:r w:rsidRPr="000D6957">
        <w:rPr>
          <w:rFonts w:ascii="Lato" w:eastAsia="Times New Roman" w:hAnsi="Lato" w:cs="Times New Roman"/>
          <w:kern w:val="0"/>
          <w14:ligatures w14:val="none"/>
        </w:rPr>
        <w:t>In 1976, the Penal Code (Amendment and Extension) Act (Act A-327</w:t>
      </w:r>
      <w:r w:rsidR="008F6FC2">
        <w:rPr>
          <w:rFonts w:ascii="Lato" w:eastAsia="Times New Roman" w:hAnsi="Lato" w:cs="Times New Roman"/>
          <w:kern w:val="0"/>
          <w14:ligatures w14:val="none"/>
        </w:rPr>
        <w:t>)</w:t>
      </w:r>
      <w:r>
        <w:rPr>
          <w:rStyle w:val="FootnoteReference"/>
          <w:rFonts w:ascii="Lato" w:eastAsia="Times New Roman" w:hAnsi="Lato" w:cs="Times New Roman"/>
          <w:kern w:val="0"/>
          <w14:ligatures w14:val="none"/>
        </w:rPr>
        <w:footnoteReference w:id="33"/>
      </w:r>
      <w:r w:rsidRPr="000D6957">
        <w:rPr>
          <w:rFonts w:ascii="Lato" w:eastAsia="Times New Roman" w:hAnsi="Lato" w:cs="Times New Roman"/>
          <w:kern w:val="0"/>
          <w14:ligatures w14:val="none"/>
        </w:rPr>
        <w:t xml:space="preserve"> (1976), increased the penalties for Section 377, which were raised from 10 to 20 years in prison and whipping was introduced as an alternative new penalty. Furthermore, in 1989, the Penal Code (Amendment) Act (Act A-727) (1989) overhauled Section 377 and inserted several new provisions, three of which are applicable to consensual same-sex sexual acts. </w:t>
      </w:r>
      <w:r w:rsidR="00E178F8" w:rsidRPr="00E178F8">
        <w:rPr>
          <w:rFonts w:ascii="Lato" w:eastAsia="Times New Roman" w:hAnsi="Lato" w:cs="Times New Roman"/>
          <w:kern w:val="0"/>
          <w14:ligatures w14:val="none"/>
        </w:rPr>
        <w:t>The revised amendment defined carnal intercourse as anal or oral sex and made gross indecency gender-neutral, extending its application to lesbian women</w:t>
      </w:r>
      <w:r w:rsidR="00E178F8">
        <w:rPr>
          <w:rStyle w:val="FootnoteReference"/>
          <w:rFonts w:ascii="Lato" w:eastAsia="Times New Roman" w:hAnsi="Lato" w:cs="Times New Roman"/>
          <w:kern w:val="0"/>
          <w14:ligatures w14:val="none"/>
        </w:rPr>
        <w:footnoteReference w:id="34"/>
      </w:r>
      <w:r w:rsidR="00E178F8" w:rsidRPr="00E178F8">
        <w:rPr>
          <w:rFonts w:ascii="Lato" w:eastAsia="Times New Roman" w:hAnsi="Lato" w:cs="Times New Roman"/>
          <w:kern w:val="0"/>
          <w14:ligatures w14:val="none"/>
        </w:rPr>
        <w:t>.</w:t>
      </w:r>
    </w:p>
    <w:p w14:paraId="09CAF6B6" w14:textId="77777777" w:rsidR="00E178F8" w:rsidRDefault="00E178F8" w:rsidP="0003776D">
      <w:pPr>
        <w:jc w:val="both"/>
        <w:rPr>
          <w:rFonts w:ascii="Lato" w:eastAsia="Times New Roman" w:hAnsi="Lato" w:cs="Times New Roman"/>
          <w:kern w:val="0"/>
          <w14:ligatures w14:val="none"/>
        </w:rPr>
      </w:pPr>
    </w:p>
    <w:p w14:paraId="3E5731C9" w14:textId="54239157" w:rsidR="00694EC9" w:rsidRDefault="00E178F8" w:rsidP="0003776D">
      <w:pPr>
        <w:jc w:val="both"/>
        <w:rPr>
          <w:rFonts w:ascii="Lato" w:eastAsia="Times New Roman" w:hAnsi="Lato" w:cs="Times New Roman"/>
          <w:kern w:val="0"/>
          <w14:ligatures w14:val="none"/>
        </w:rPr>
      </w:pPr>
      <w:r>
        <w:rPr>
          <w:rFonts w:ascii="Lato" w:eastAsia="Times New Roman" w:hAnsi="Lato" w:cs="Times New Roman"/>
          <w:kern w:val="0"/>
          <w14:ligatures w14:val="none"/>
        </w:rPr>
        <w:t xml:space="preserve">Moreover, </w:t>
      </w:r>
      <w:r w:rsidR="004616FF" w:rsidRPr="000D6957">
        <w:rPr>
          <w:rFonts w:ascii="Lato" w:eastAsia="Times New Roman" w:hAnsi="Lato" w:cs="Times New Roman"/>
          <w:kern w:val="0"/>
          <w14:ligatures w14:val="none"/>
        </w:rPr>
        <w:t xml:space="preserve">Section 377A included a clear definition of "carnal intercourse against the order of nature" which, in line British tradition, had remained undefined in the FMS Penal Code. The criminal act was defined as a "sexual connection with another person by the </w:t>
      </w:r>
      <w:r w:rsidR="004616FF" w:rsidRPr="000D6957">
        <w:rPr>
          <w:rFonts w:ascii="Lato" w:eastAsia="Times New Roman" w:hAnsi="Lato" w:cs="Times New Roman"/>
          <w:kern w:val="0"/>
          <w14:ligatures w14:val="none"/>
        </w:rPr>
        <w:lastRenderedPageBreak/>
        <w:t>introduction of the penis into the anus or mouth of the other person". Section 377B maintained punishment for this crime by keeping the penalty of imprisonment for 20 years (as increased in 1976) but removed the fine and incorporated whipping as an additional penalty (not an alternative penalty, as per the 1976 text). Finally, Section 377D criminal</w:t>
      </w:r>
      <w:r w:rsidR="004616FF">
        <w:rPr>
          <w:rFonts w:ascii="Lato" w:eastAsia="Times New Roman" w:hAnsi="Lato" w:cs="Times New Roman"/>
          <w:kern w:val="0"/>
          <w14:ligatures w14:val="none"/>
        </w:rPr>
        <w:t>iz</w:t>
      </w:r>
      <w:r w:rsidR="004616FF" w:rsidRPr="000D6957">
        <w:rPr>
          <w:rFonts w:ascii="Lato" w:eastAsia="Times New Roman" w:hAnsi="Lato" w:cs="Times New Roman"/>
          <w:kern w:val="0"/>
          <w14:ligatures w14:val="none"/>
        </w:rPr>
        <w:t>ed "outrages on decency" by punishing public or private acts of gross indecency with imprisonment for up to 2 years.</w:t>
      </w:r>
      <w:r w:rsidR="00694EC9">
        <w:rPr>
          <w:rFonts w:ascii="Lato" w:eastAsia="Times New Roman" w:hAnsi="Lato" w:cs="Times New Roman"/>
          <w:kern w:val="0"/>
          <w14:ligatures w14:val="none"/>
        </w:rPr>
        <w:t xml:space="preserve"> </w:t>
      </w:r>
    </w:p>
    <w:p w14:paraId="4124C0D0" w14:textId="77777777" w:rsidR="00B022D4" w:rsidRDefault="00B022D4" w:rsidP="0003776D">
      <w:pPr>
        <w:jc w:val="both"/>
        <w:rPr>
          <w:rFonts w:ascii="Lato" w:eastAsia="Times New Roman" w:hAnsi="Lato" w:cs="Times New Roman"/>
          <w:kern w:val="0"/>
          <w14:ligatures w14:val="none"/>
        </w:rPr>
      </w:pPr>
    </w:p>
    <w:p w14:paraId="305E12C9" w14:textId="46B4C72B" w:rsidR="004616FF" w:rsidRPr="00A31367" w:rsidRDefault="00694EC9" w:rsidP="0003776D">
      <w:pPr>
        <w:jc w:val="both"/>
        <w:rPr>
          <w:rFonts w:ascii="Lato" w:eastAsia="Times New Roman" w:hAnsi="Lato" w:cs="Times New Roman"/>
          <w:kern w:val="0"/>
          <w14:ligatures w14:val="none"/>
        </w:rPr>
      </w:pPr>
      <w:r w:rsidRPr="00694EC9">
        <w:rPr>
          <w:rFonts w:ascii="Lato" w:eastAsia="Times New Roman" w:hAnsi="Lato" w:cs="Times New Roman"/>
          <w:kern w:val="0"/>
          <w14:ligatures w14:val="none"/>
        </w:rPr>
        <w:t xml:space="preserve">The existence of anti-LGBTIQ discriminatory laws and social attitudes is ostensible throughout Malaysia. Recently, there has been an upsurge in rhetoric advocating for the "rehabilitation" or "curing" of </w:t>
      </w:r>
      <w:r w:rsidR="00AE1633" w:rsidRPr="002D18B5">
        <w:rPr>
          <w:rFonts w:ascii="Lato" w:hAnsi="Lato"/>
          <w:color w:val="1C1C1C"/>
        </w:rPr>
        <w:t>LGBTQI+ and other ancestral sexual and gender diverse</w:t>
      </w:r>
      <w:r w:rsidR="00AE1633" w:rsidRPr="00694EC9">
        <w:rPr>
          <w:rFonts w:ascii="Lato" w:eastAsia="Times New Roman" w:hAnsi="Lato" w:cs="Times New Roman"/>
          <w:kern w:val="0"/>
          <w14:ligatures w14:val="none"/>
        </w:rPr>
        <w:t xml:space="preserve"> </w:t>
      </w:r>
      <w:r w:rsidRPr="00694EC9">
        <w:rPr>
          <w:rFonts w:ascii="Lato" w:eastAsia="Times New Roman" w:hAnsi="Lato" w:cs="Times New Roman"/>
          <w:kern w:val="0"/>
          <w14:ligatures w14:val="none"/>
        </w:rPr>
        <w:t xml:space="preserve">individuals. Article 377 has also been used by Members of Parliament as a springboard for discussions relating to the imposition of harsher laws and punishments against </w:t>
      </w:r>
      <w:r w:rsidR="00AE1633" w:rsidRPr="002D18B5">
        <w:rPr>
          <w:rFonts w:ascii="Lato" w:hAnsi="Lato"/>
          <w:color w:val="1C1C1C"/>
        </w:rPr>
        <w:t>LGBTQI+ and other ancestral sexual and gender diverse</w:t>
      </w:r>
      <w:r w:rsidR="00AE1633" w:rsidRPr="00694EC9">
        <w:rPr>
          <w:rFonts w:ascii="Lato" w:eastAsia="Times New Roman" w:hAnsi="Lato" w:cs="Times New Roman"/>
          <w:kern w:val="0"/>
          <w14:ligatures w14:val="none"/>
        </w:rPr>
        <w:t xml:space="preserve"> </w:t>
      </w:r>
      <w:r w:rsidRPr="00694EC9">
        <w:rPr>
          <w:rFonts w:ascii="Lato" w:eastAsia="Times New Roman" w:hAnsi="Lato" w:cs="Times New Roman"/>
          <w:kern w:val="0"/>
          <w14:ligatures w14:val="none"/>
        </w:rPr>
        <w:t>individuals</w:t>
      </w:r>
      <w:r>
        <w:rPr>
          <w:rStyle w:val="FootnoteReference"/>
          <w:rFonts w:ascii="Lato" w:eastAsia="Times New Roman" w:hAnsi="Lato" w:cs="Times New Roman"/>
          <w:kern w:val="0"/>
          <w14:ligatures w14:val="none"/>
        </w:rPr>
        <w:footnoteReference w:id="35"/>
      </w:r>
      <w:r w:rsidRPr="00694EC9">
        <w:rPr>
          <w:rFonts w:ascii="Lato" w:eastAsia="Times New Roman" w:hAnsi="Lato" w:cs="Times New Roman"/>
          <w:kern w:val="0"/>
          <w14:ligatures w14:val="none"/>
        </w:rPr>
        <w:t>.</w:t>
      </w:r>
    </w:p>
    <w:p w14:paraId="180E617A" w14:textId="77777777" w:rsidR="0051684C" w:rsidRDefault="0051684C" w:rsidP="0003776D">
      <w:pPr>
        <w:jc w:val="both"/>
        <w:rPr>
          <w:rFonts w:ascii="Lato" w:eastAsia="Helvetica Neue" w:hAnsi="Lato" w:cs="Helvetica Neue"/>
        </w:rPr>
      </w:pPr>
    </w:p>
    <w:p w14:paraId="5625B604" w14:textId="0B3C0166" w:rsidR="00234FB7" w:rsidRDefault="00234FB7" w:rsidP="0003776D">
      <w:pPr>
        <w:jc w:val="both"/>
        <w:rPr>
          <w:rFonts w:ascii="Lato" w:eastAsia="Times New Roman" w:hAnsi="Lato" w:cs="Times New Roman"/>
          <w:kern w:val="0"/>
          <w14:ligatures w14:val="none"/>
        </w:rPr>
      </w:pPr>
      <w:r w:rsidRPr="00A31367">
        <w:rPr>
          <w:rFonts w:ascii="Lato" w:eastAsia="Times New Roman" w:hAnsi="Lato" w:cs="Times New Roman"/>
          <w:b/>
          <w:bCs/>
          <w:kern w:val="0"/>
          <w14:ligatures w14:val="none"/>
        </w:rPr>
        <w:t>Gambia</w:t>
      </w:r>
      <w:r w:rsidRPr="00A31367">
        <w:rPr>
          <w:rFonts w:ascii="Lato" w:eastAsia="Times New Roman" w:hAnsi="Lato" w:cs="Times New Roman"/>
          <w:kern w:val="0"/>
          <w14:ligatures w14:val="none"/>
        </w:rPr>
        <w:t xml:space="preserve"> has criminalized same-sex sexual activity since the implementation of the colonial Criminal Code</w:t>
      </w:r>
      <w:r>
        <w:rPr>
          <w:rStyle w:val="FootnoteReference"/>
          <w:rFonts w:ascii="Lato" w:eastAsia="Times New Roman" w:hAnsi="Lato" w:cs="Times New Roman"/>
          <w:kern w:val="0"/>
          <w14:ligatures w14:val="none"/>
        </w:rPr>
        <w:footnoteReference w:id="36"/>
      </w:r>
      <w:r w:rsidRPr="00A31367">
        <w:rPr>
          <w:rFonts w:ascii="Lato" w:eastAsia="Times New Roman" w:hAnsi="Lato" w:cs="Times New Roman"/>
          <w:kern w:val="0"/>
          <w14:ligatures w14:val="none"/>
        </w:rPr>
        <w:t xml:space="preserve"> (1934), instituting prison sentences of up to 14 years for anyone with “carnal knowledge of any person against the order of nature” under Chapter XV, Section 143(1).</w:t>
      </w:r>
      <w:r>
        <w:rPr>
          <w:rFonts w:ascii="Lato" w:eastAsia="Times New Roman" w:hAnsi="Lato" w:cs="Times New Roman"/>
          <w:kern w:val="0"/>
          <w14:ligatures w14:val="none"/>
        </w:rPr>
        <w:t xml:space="preserve"> </w:t>
      </w:r>
      <w:r w:rsidRPr="00A31367">
        <w:rPr>
          <w:rFonts w:ascii="Lato" w:eastAsia="Times New Roman" w:hAnsi="Lato" w:cs="Times New Roman"/>
          <w:kern w:val="0"/>
          <w14:ligatures w14:val="none"/>
        </w:rPr>
        <w:t>Part 4(c) of the Criminal Code (Amendment) Act</w:t>
      </w:r>
      <w:r>
        <w:rPr>
          <w:rStyle w:val="FootnoteReference"/>
          <w:rFonts w:ascii="Lato" w:eastAsia="Times New Roman" w:hAnsi="Lato" w:cs="Times New Roman"/>
          <w:kern w:val="0"/>
          <w14:ligatures w14:val="none"/>
        </w:rPr>
        <w:footnoteReference w:id="37"/>
      </w:r>
      <w:r w:rsidRPr="00A31367">
        <w:rPr>
          <w:rFonts w:ascii="Lato" w:eastAsia="Times New Roman" w:hAnsi="Lato" w:cs="Times New Roman"/>
          <w:kern w:val="0"/>
          <w14:ligatures w14:val="none"/>
        </w:rPr>
        <w:t xml:space="preserve"> (2005) clarified the meaning of “carnal knowledge against the order of nature” to include anal and oral sex, the use of “any object or thing” to “simulate sex”, and “committing any other homosexual act with the person”. Moreover, Article 147(2) of the 2005 version of the Criminal Code limits women to 5-year sentences for “gross indecency”.</w:t>
      </w:r>
      <w:r>
        <w:rPr>
          <w:rFonts w:ascii="Lato" w:eastAsia="Times New Roman" w:hAnsi="Lato" w:cs="Times New Roman"/>
          <w:kern w:val="0"/>
          <w14:ligatures w14:val="none"/>
        </w:rPr>
        <w:t xml:space="preserve"> </w:t>
      </w:r>
      <w:r w:rsidRPr="00A31367">
        <w:rPr>
          <w:rFonts w:ascii="Lato" w:eastAsia="Times New Roman" w:hAnsi="Lato" w:cs="Times New Roman"/>
          <w:kern w:val="0"/>
          <w14:ligatures w14:val="none"/>
        </w:rPr>
        <w:t>The law was expanded again with the Criminal Code (Amendment) Act</w:t>
      </w:r>
      <w:r>
        <w:rPr>
          <w:rStyle w:val="FootnoteReference"/>
          <w:rFonts w:ascii="Lato" w:eastAsia="Times New Roman" w:hAnsi="Lato" w:cs="Times New Roman"/>
          <w:kern w:val="0"/>
          <w14:ligatures w14:val="none"/>
        </w:rPr>
        <w:footnoteReference w:id="38"/>
      </w:r>
      <w:r w:rsidRPr="00A31367">
        <w:rPr>
          <w:rFonts w:ascii="Lato" w:eastAsia="Times New Roman" w:hAnsi="Lato" w:cs="Times New Roman"/>
          <w:kern w:val="0"/>
          <w14:ligatures w14:val="none"/>
        </w:rPr>
        <w:t xml:space="preserve"> (2014). Part 4 of the Act introduces the category of “aggravated homosexuality”, laying out factors such as the spread of HIV and being a “serial offender” as grounds for life-imprisonment"</w:t>
      </w:r>
      <w:r>
        <w:rPr>
          <w:rStyle w:val="FootnoteReference"/>
          <w:rFonts w:ascii="Lato" w:eastAsia="Times New Roman" w:hAnsi="Lato" w:cs="Times New Roman"/>
          <w:kern w:val="0"/>
          <w14:ligatures w14:val="none"/>
        </w:rPr>
        <w:footnoteReference w:id="39"/>
      </w:r>
      <w:r>
        <w:rPr>
          <w:rFonts w:ascii="Lato" w:eastAsia="Times New Roman" w:hAnsi="Lato" w:cs="Times New Roman"/>
          <w:kern w:val="0"/>
          <w14:ligatures w14:val="none"/>
        </w:rPr>
        <w:t>.</w:t>
      </w:r>
    </w:p>
    <w:p w14:paraId="5D8DEC9D" w14:textId="77777777" w:rsidR="0000566D" w:rsidRDefault="0000566D" w:rsidP="0003776D">
      <w:pPr>
        <w:jc w:val="both"/>
        <w:rPr>
          <w:rFonts w:ascii="Lato" w:eastAsia="Helvetica Neue" w:hAnsi="Lato" w:cs="Helvetica Neue"/>
        </w:rPr>
      </w:pPr>
    </w:p>
    <w:p w14:paraId="2E7AB484" w14:textId="77777777" w:rsidR="009721C8" w:rsidRDefault="0003632C" w:rsidP="009721C8">
      <w:pPr>
        <w:jc w:val="both"/>
        <w:rPr>
          <w:rFonts w:ascii="Lato" w:eastAsia="Helvetica Neue" w:hAnsi="Lato" w:cs="Helvetica Neue"/>
        </w:rPr>
      </w:pPr>
      <w:r w:rsidRPr="0003632C">
        <w:rPr>
          <w:rFonts w:ascii="Lato" w:eastAsia="Helvetica Neue" w:hAnsi="Lato" w:cs="Helvetica Neue"/>
        </w:rPr>
        <w:t xml:space="preserve">In </w:t>
      </w:r>
      <w:r w:rsidRPr="0003632C">
        <w:rPr>
          <w:rFonts w:ascii="Lato" w:eastAsia="Helvetica Neue" w:hAnsi="Lato" w:cs="Helvetica Neue"/>
          <w:b/>
          <w:bCs/>
        </w:rPr>
        <w:t>Nigeria</w:t>
      </w:r>
      <w:r w:rsidRPr="0003632C">
        <w:rPr>
          <w:rFonts w:ascii="Lato" w:eastAsia="Helvetica Neue" w:hAnsi="Lato" w:cs="Helvetica Neue"/>
        </w:rPr>
        <w:t>, at the federal level, the Criminal Code Act</w:t>
      </w:r>
      <w:r>
        <w:rPr>
          <w:rStyle w:val="FootnoteReference"/>
          <w:rFonts w:ascii="Lato" w:eastAsia="Helvetica Neue" w:hAnsi="Lato" w:cs="Helvetica Neue"/>
        </w:rPr>
        <w:footnoteReference w:id="40"/>
      </w:r>
      <w:r w:rsidRPr="0003632C">
        <w:rPr>
          <w:rFonts w:ascii="Lato" w:eastAsia="Helvetica Neue" w:hAnsi="Lato" w:cs="Helvetica Neue"/>
        </w:rPr>
        <w:t xml:space="preserve"> (2004) contains provisions criminalizing consensual same-sex sexual acts (framed as “carnal knowledge of any person against the order of nature”) imposing a penalty of imprisonment for 14 years, as per Section 241. Moreover, Section 217 of this Code also punishes acts of "gross indecency" among men, whether in public or private, with imprisonment for three years. Most of the Southern states use the provisions of this Code as their state law, including those aspects that deal with consensual same-sex sexual acts. Across the North of the country, however, the Penal Code (Northern States) Federal Provisions Act</w:t>
      </w:r>
      <w:r>
        <w:rPr>
          <w:rStyle w:val="FootnoteReference"/>
          <w:rFonts w:ascii="Lato" w:eastAsia="Helvetica Neue" w:hAnsi="Lato" w:cs="Helvetica Neue"/>
        </w:rPr>
        <w:footnoteReference w:id="41"/>
      </w:r>
      <w:r w:rsidRPr="0003632C">
        <w:rPr>
          <w:rFonts w:ascii="Lato" w:eastAsia="Helvetica Neue" w:hAnsi="Lato" w:cs="Helvetica Neue"/>
        </w:rPr>
        <w:t xml:space="preserve"> (1959) (usually referred to as the “Penal Code”) applies as both federal and state law in the states that succeeded the colonial Northern Region. Section 284 of the Penal Code criminalizes consensual same-sex sexual acts (“unnatural offences”) with imprisonment for up to 14 years and a fine.</w:t>
      </w:r>
    </w:p>
    <w:p w14:paraId="618E9E5F" w14:textId="532ADD5A" w:rsidR="00234FB7" w:rsidRPr="009721C8" w:rsidRDefault="00351C79" w:rsidP="009721C8">
      <w:pPr>
        <w:jc w:val="both"/>
        <w:rPr>
          <w:rFonts w:ascii="Lato" w:eastAsia="Helvetica Neue" w:hAnsi="Lato" w:cs="Helvetica Neue"/>
        </w:rPr>
      </w:pPr>
      <w:bookmarkStart w:id="6" w:name="_Toc136003043"/>
      <w:r w:rsidRPr="00D94354">
        <w:rPr>
          <w:rStyle w:val="Heading2Char"/>
          <w:rFonts w:ascii="Lato" w:hAnsi="Lato"/>
          <w:b/>
          <w:bCs/>
          <w:color w:val="000000" w:themeColor="text1"/>
          <w:sz w:val="24"/>
          <w:szCs w:val="24"/>
        </w:rPr>
        <w:lastRenderedPageBreak/>
        <w:t xml:space="preserve">Legacies from former </w:t>
      </w:r>
      <w:r w:rsidR="00234FB7" w:rsidRPr="00D94354">
        <w:rPr>
          <w:rStyle w:val="Heading2Char"/>
          <w:rFonts w:ascii="Lato" w:hAnsi="Lato"/>
          <w:b/>
          <w:bCs/>
          <w:color w:val="000000" w:themeColor="text1"/>
          <w:sz w:val="24"/>
          <w:szCs w:val="24"/>
        </w:rPr>
        <w:t>Fr</w:t>
      </w:r>
      <w:r w:rsidR="00AB7937" w:rsidRPr="00D94354">
        <w:rPr>
          <w:rStyle w:val="Heading2Char"/>
          <w:rFonts w:ascii="Lato" w:hAnsi="Lato"/>
          <w:b/>
          <w:bCs/>
          <w:color w:val="000000" w:themeColor="text1"/>
          <w:sz w:val="24"/>
          <w:szCs w:val="24"/>
        </w:rPr>
        <w:t>ench</w:t>
      </w:r>
      <w:r w:rsidR="00234FB7" w:rsidRPr="00D94354">
        <w:rPr>
          <w:rStyle w:val="Heading2Char"/>
          <w:rFonts w:ascii="Lato" w:hAnsi="Lato"/>
          <w:b/>
          <w:bCs/>
          <w:color w:val="000000" w:themeColor="text1"/>
          <w:sz w:val="24"/>
          <w:szCs w:val="24"/>
        </w:rPr>
        <w:t xml:space="preserve"> colonies</w:t>
      </w:r>
      <w:bookmarkEnd w:id="6"/>
      <w:r w:rsidRPr="000058B2">
        <w:rPr>
          <w:rStyle w:val="FootnoteReference"/>
          <w:rFonts w:ascii="Lato" w:eastAsia="Helvetica Neue" w:hAnsi="Lato"/>
          <w:color w:val="000000" w:themeColor="text1"/>
        </w:rPr>
        <w:footnoteReference w:id="42"/>
      </w:r>
    </w:p>
    <w:p w14:paraId="365EF122" w14:textId="77777777" w:rsidR="004616FF" w:rsidRDefault="004616FF" w:rsidP="0003776D">
      <w:pPr>
        <w:jc w:val="both"/>
        <w:rPr>
          <w:rFonts w:ascii="Lato" w:eastAsia="Helvetica Neue" w:hAnsi="Lato" w:cs="Helvetica Neue"/>
        </w:rPr>
      </w:pPr>
    </w:p>
    <w:p w14:paraId="21BE2E46" w14:textId="570E91F3" w:rsidR="00495CBF" w:rsidRDefault="00937DC4" w:rsidP="0003776D">
      <w:pPr>
        <w:jc w:val="both"/>
        <w:rPr>
          <w:rFonts w:ascii="Lato" w:eastAsia="Times New Roman" w:hAnsi="Lato" w:cs="Times New Roman"/>
          <w:kern w:val="0"/>
          <w14:ligatures w14:val="none"/>
        </w:rPr>
      </w:pPr>
      <w:r w:rsidRPr="00D409E4">
        <w:rPr>
          <w:rFonts w:ascii="Lato" w:eastAsia="Helvetica Neue" w:hAnsi="Lato" w:cs="Helvetica Neue"/>
        </w:rPr>
        <w:t xml:space="preserve">The Penal </w:t>
      </w:r>
      <w:r w:rsidR="00C579F4">
        <w:rPr>
          <w:rFonts w:ascii="Lato" w:eastAsia="Helvetica Neue" w:hAnsi="Lato" w:cs="Helvetica Neue"/>
        </w:rPr>
        <w:t>C</w:t>
      </w:r>
      <w:r w:rsidRPr="00D409E4">
        <w:rPr>
          <w:rFonts w:ascii="Lato" w:eastAsia="Helvetica Neue" w:hAnsi="Lato" w:cs="Helvetica Neue"/>
        </w:rPr>
        <w:t xml:space="preserve">ode of the </w:t>
      </w:r>
      <w:r w:rsidRPr="00D409E4">
        <w:rPr>
          <w:rFonts w:ascii="Lato" w:eastAsia="Times New Roman" w:hAnsi="Lato" w:cs="Times New Roman"/>
          <w:b/>
          <w:bCs/>
          <w:kern w:val="0"/>
          <w14:ligatures w14:val="none"/>
        </w:rPr>
        <w:t>Democratic Republic of Congo</w:t>
      </w:r>
      <w:r w:rsidRPr="00D409E4">
        <w:rPr>
          <w:rFonts w:ascii="Lato" w:eastAsia="Times New Roman" w:hAnsi="Lato" w:cs="Times New Roman"/>
          <w:kern w:val="0"/>
          <w14:ligatures w14:val="none"/>
        </w:rPr>
        <w:t xml:space="preserve"> (DRC) </w:t>
      </w:r>
      <w:r w:rsidR="00311A8C" w:rsidRPr="00D409E4">
        <w:rPr>
          <w:rFonts w:ascii="Lato" w:eastAsia="Times New Roman" w:hAnsi="Lato" w:cs="Times New Roman"/>
          <w:kern w:val="0"/>
          <w14:ligatures w14:val="none"/>
        </w:rPr>
        <w:t>w</w:t>
      </w:r>
      <w:r w:rsidR="106E562B" w:rsidRPr="00D409E4">
        <w:rPr>
          <w:rFonts w:ascii="Lato" w:eastAsia="Times New Roman" w:hAnsi="Lato" w:cs="Times New Roman"/>
          <w:kern w:val="0"/>
          <w14:ligatures w14:val="none"/>
        </w:rPr>
        <w:t>as</w:t>
      </w:r>
      <w:r w:rsidR="00311A8C" w:rsidRPr="00D409E4">
        <w:rPr>
          <w:rFonts w:ascii="Lato" w:eastAsia="Times New Roman" w:hAnsi="Lato" w:cs="Times New Roman"/>
          <w:kern w:val="0"/>
          <w14:ligatures w14:val="none"/>
        </w:rPr>
        <w:t xml:space="preserve"> enshrined in 1940 (before </w:t>
      </w:r>
      <w:r w:rsidR="0B7CFBB5" w:rsidRPr="00D409E4">
        <w:rPr>
          <w:rFonts w:ascii="Lato" w:eastAsia="Times New Roman" w:hAnsi="Lato" w:cs="Times New Roman"/>
          <w:kern w:val="0"/>
          <w14:ligatures w14:val="none"/>
        </w:rPr>
        <w:t>its</w:t>
      </w:r>
      <w:r w:rsidR="00311A8C" w:rsidRPr="00D409E4">
        <w:rPr>
          <w:rFonts w:ascii="Lato" w:eastAsia="Times New Roman" w:hAnsi="Lato" w:cs="Times New Roman"/>
          <w:kern w:val="0"/>
          <w14:ligatures w14:val="none"/>
        </w:rPr>
        <w:t xml:space="preserve"> independence </w:t>
      </w:r>
      <w:r w:rsidR="004616FF">
        <w:rPr>
          <w:rFonts w:ascii="Lato" w:eastAsia="Times New Roman" w:hAnsi="Lato" w:cs="Times New Roman"/>
          <w:kern w:val="0"/>
          <w14:ligatures w14:val="none"/>
        </w:rPr>
        <w:t xml:space="preserve">from </w:t>
      </w:r>
      <w:r w:rsidR="004616FF" w:rsidRPr="004616FF">
        <w:rPr>
          <w:rFonts w:ascii="Lato" w:eastAsia="Times New Roman" w:hAnsi="Lato" w:cs="Times New Roman"/>
          <w:kern w:val="0"/>
          <w14:ligatures w14:val="none"/>
        </w:rPr>
        <w:t xml:space="preserve">Belgium </w:t>
      </w:r>
      <w:r w:rsidR="00311A8C" w:rsidRPr="00D409E4">
        <w:rPr>
          <w:rFonts w:ascii="Lato" w:eastAsia="Times New Roman" w:hAnsi="Lato" w:cs="Times New Roman"/>
          <w:kern w:val="0"/>
          <w14:ligatures w14:val="none"/>
        </w:rPr>
        <w:t>in 1960) and currently ha</w:t>
      </w:r>
      <w:r w:rsidR="103D752A" w:rsidRPr="00D409E4">
        <w:rPr>
          <w:rFonts w:ascii="Lato" w:eastAsia="Times New Roman" w:hAnsi="Lato" w:cs="Times New Roman"/>
          <w:kern w:val="0"/>
          <w14:ligatures w14:val="none"/>
        </w:rPr>
        <w:t>s</w:t>
      </w:r>
      <w:r w:rsidR="00311A8C" w:rsidRPr="00D409E4">
        <w:rPr>
          <w:rFonts w:ascii="Lato" w:eastAsia="Times New Roman" w:hAnsi="Lato" w:cs="Times New Roman"/>
          <w:kern w:val="0"/>
          <w14:ligatures w14:val="none"/>
        </w:rPr>
        <w:t xml:space="preserve"> negative </w:t>
      </w:r>
      <w:r w:rsidR="00642F16" w:rsidRPr="00D409E4">
        <w:rPr>
          <w:rFonts w:ascii="Lato" w:eastAsia="Times New Roman" w:hAnsi="Lato" w:cs="Times New Roman"/>
          <w:kern w:val="0"/>
          <w14:ligatures w14:val="none"/>
        </w:rPr>
        <w:t>implications for</w:t>
      </w:r>
      <w:r w:rsidR="00AE1633" w:rsidRPr="00AE1633">
        <w:rPr>
          <w:rFonts w:ascii="Lato" w:hAnsi="Lato"/>
          <w:color w:val="1C1C1C"/>
        </w:rPr>
        <w:t xml:space="preserve"> </w:t>
      </w:r>
      <w:r w:rsidR="00AE1633" w:rsidRPr="002D18B5">
        <w:rPr>
          <w:rFonts w:ascii="Lato" w:hAnsi="Lato"/>
          <w:color w:val="1C1C1C"/>
        </w:rPr>
        <w:t>LGBTQI+ and other ancestral sexual and gender diverse</w:t>
      </w:r>
      <w:r w:rsidR="00AE1633">
        <w:rPr>
          <w:rFonts w:ascii="Lato" w:hAnsi="Lato"/>
          <w:color w:val="1C1C1C"/>
        </w:rPr>
        <w:t xml:space="preserve"> people</w:t>
      </w:r>
      <w:r w:rsidR="00642F16" w:rsidRPr="00D409E4">
        <w:rPr>
          <w:rFonts w:ascii="Lato" w:eastAsia="Times New Roman" w:hAnsi="Lato" w:cs="Times New Roman"/>
          <w:kern w:val="0"/>
          <w14:ligatures w14:val="none"/>
        </w:rPr>
        <w:t xml:space="preserve">. </w:t>
      </w:r>
      <w:r w:rsidR="0000566D" w:rsidRPr="00D409E4">
        <w:rPr>
          <w:rFonts w:ascii="Lato" w:eastAsia="Times New Roman" w:hAnsi="Lato" w:cs="Times New Roman"/>
          <w:kern w:val="0"/>
          <w14:ligatures w14:val="none"/>
        </w:rPr>
        <w:t>Article 174 of the DRC's Penal Code</w:t>
      </w:r>
      <w:r w:rsidR="0000566D" w:rsidRPr="00AD7034">
        <w:rPr>
          <w:rStyle w:val="FootnoteReference"/>
          <w:rFonts w:ascii="Lato" w:eastAsia="Times New Roman" w:hAnsi="Lato" w:cs="Times New Roman"/>
          <w:color w:val="000000" w:themeColor="text1"/>
          <w:kern w:val="0"/>
          <w14:ligatures w14:val="none"/>
        </w:rPr>
        <w:footnoteReference w:id="43"/>
      </w:r>
      <w:r w:rsidR="0000566D" w:rsidRPr="00AD7034">
        <w:rPr>
          <w:rFonts w:ascii="Lato" w:eastAsia="Times New Roman" w:hAnsi="Lato" w:cs="Times New Roman"/>
          <w:color w:val="000000" w:themeColor="text1"/>
          <w:kern w:val="0"/>
          <w14:ligatures w14:val="none"/>
        </w:rPr>
        <w:t xml:space="preserve"> </w:t>
      </w:r>
      <w:r w:rsidR="0000566D" w:rsidRPr="00D409E4">
        <w:rPr>
          <w:rFonts w:ascii="Lato" w:eastAsia="Times New Roman" w:hAnsi="Lato" w:cs="Times New Roman"/>
          <w:kern w:val="0"/>
          <w14:ligatures w14:val="none"/>
        </w:rPr>
        <w:t xml:space="preserve">criminalizes acts of sodomy, which are defined as sexual relations between persons of the same sex. Those convicted of </w:t>
      </w:r>
      <w:r w:rsidR="00D66B6E" w:rsidRPr="00D409E4">
        <w:rPr>
          <w:rFonts w:ascii="Lato" w:eastAsia="Times New Roman" w:hAnsi="Lato" w:cs="Times New Roman"/>
          <w:kern w:val="0"/>
          <w14:ligatures w14:val="none"/>
        </w:rPr>
        <w:t>“</w:t>
      </w:r>
      <w:r w:rsidR="0000566D" w:rsidRPr="00D409E4">
        <w:rPr>
          <w:rFonts w:ascii="Lato" w:eastAsia="Times New Roman" w:hAnsi="Lato" w:cs="Times New Roman"/>
          <w:kern w:val="0"/>
          <w14:ligatures w14:val="none"/>
        </w:rPr>
        <w:t>sodomy</w:t>
      </w:r>
      <w:r w:rsidR="00D66B6E" w:rsidRPr="00D409E4">
        <w:rPr>
          <w:rFonts w:ascii="Lato" w:eastAsia="Times New Roman" w:hAnsi="Lato" w:cs="Times New Roman"/>
          <w:kern w:val="0"/>
          <w14:ligatures w14:val="none"/>
        </w:rPr>
        <w:t>”</w:t>
      </w:r>
      <w:r w:rsidR="0000566D" w:rsidRPr="00D409E4">
        <w:rPr>
          <w:rFonts w:ascii="Lato" w:eastAsia="Times New Roman" w:hAnsi="Lato" w:cs="Times New Roman"/>
          <w:kern w:val="0"/>
          <w14:ligatures w14:val="none"/>
        </w:rPr>
        <w:t xml:space="preserve"> can be sentenced to up to five years in prison. Article 175 also criminalizes the "attempted corruption of a minor through homosexual acts," punishable by two to five years' imprisonment</w:t>
      </w:r>
      <w:r w:rsidR="3C63AA52" w:rsidRPr="00D409E4">
        <w:rPr>
          <w:rFonts w:ascii="Lato" w:eastAsia="Times New Roman" w:hAnsi="Lato" w:cs="Times New Roman"/>
          <w:kern w:val="0"/>
          <w14:ligatures w14:val="none"/>
        </w:rPr>
        <w:t>. Moreover,</w:t>
      </w:r>
      <w:r w:rsidR="000058B2">
        <w:rPr>
          <w:rFonts w:ascii="Lato" w:eastAsia="Times New Roman" w:hAnsi="Lato" w:cs="Times New Roman"/>
          <w:kern w:val="0"/>
          <w14:ligatures w14:val="none"/>
        </w:rPr>
        <w:t xml:space="preserve"> </w:t>
      </w:r>
      <w:r w:rsidR="00D66B6E" w:rsidRPr="00D409E4">
        <w:rPr>
          <w:rFonts w:ascii="Lato" w:eastAsia="Times New Roman" w:hAnsi="Lato" w:cs="Times New Roman"/>
          <w:kern w:val="0"/>
          <w14:ligatures w14:val="none"/>
        </w:rPr>
        <w:t xml:space="preserve">Article 176 states: “Whoever publicly outrages morals by actions that offend modesty, shall be punished by penal servitude of eight days to three years and a fine of twenty-five to one thousand </w:t>
      </w:r>
      <w:proofErr w:type="spellStart"/>
      <w:r w:rsidR="00D66B6E" w:rsidRPr="5C7B450E">
        <w:rPr>
          <w:rFonts w:ascii="Lato" w:eastAsia="Times New Roman" w:hAnsi="Lato" w:cs="Times New Roman"/>
          <w:i/>
          <w:iCs/>
          <w:kern w:val="0"/>
          <w14:ligatures w14:val="none"/>
        </w:rPr>
        <w:t>zaïres</w:t>
      </w:r>
      <w:proofErr w:type="spellEnd"/>
      <w:r w:rsidR="00D66B6E" w:rsidRPr="00D409E4">
        <w:rPr>
          <w:rFonts w:ascii="Lato" w:eastAsia="Times New Roman" w:hAnsi="Lato" w:cs="Times New Roman"/>
          <w:kern w:val="0"/>
          <w14:ligatures w14:val="none"/>
        </w:rPr>
        <w:t xml:space="preserve"> or one of these penalties only</w:t>
      </w:r>
      <w:r w:rsidR="269664BB" w:rsidRPr="00D409E4">
        <w:rPr>
          <w:rFonts w:ascii="Lato" w:eastAsia="Times New Roman" w:hAnsi="Lato" w:cs="Times New Roman"/>
          <w:kern w:val="0"/>
          <w14:ligatures w14:val="none"/>
        </w:rPr>
        <w:t>.”</w:t>
      </w:r>
      <w:r w:rsidR="00D66B6E" w:rsidRPr="00D409E4">
        <w:rPr>
          <w:rFonts w:ascii="Lato" w:eastAsia="Times New Roman" w:hAnsi="Lato" w:cs="Times New Roman"/>
          <w:kern w:val="0"/>
          <w14:ligatures w14:val="none"/>
        </w:rPr>
        <w:t xml:space="preserve"> Additionally, the Family Code prohibits the adoption of a child in these terms: “Can only adopt people of full age and capacity, with the exception of those who are deprived of parental authority, homosexuals, transsexuals (…)". </w:t>
      </w:r>
      <w:r w:rsidR="00495CBF" w:rsidRPr="00D409E4">
        <w:rPr>
          <w:rFonts w:ascii="Lato" w:eastAsia="Times New Roman" w:hAnsi="Lato" w:cs="Times New Roman"/>
          <w:kern w:val="0"/>
          <w14:ligatures w14:val="none"/>
        </w:rPr>
        <w:t>Following these articles, most of the Congolese judicial police officers use it to arrest and repress LGBTQIA+</w:t>
      </w:r>
      <w:r w:rsidR="00C579F4">
        <w:rPr>
          <w:rFonts w:ascii="Lato" w:eastAsia="Times New Roman" w:hAnsi="Lato" w:cs="Times New Roman"/>
          <w:kern w:val="0"/>
          <w14:ligatures w14:val="none"/>
        </w:rPr>
        <w:t xml:space="preserve"> </w:t>
      </w:r>
      <w:r w:rsidR="00C579F4" w:rsidRPr="002D18B5">
        <w:rPr>
          <w:rFonts w:ascii="Lato" w:hAnsi="Lato"/>
          <w:color w:val="1C1C1C"/>
        </w:rPr>
        <w:t>and other ancestral sexual and gender diverse</w:t>
      </w:r>
      <w:r w:rsidR="00C579F4">
        <w:rPr>
          <w:rFonts w:ascii="Lato" w:hAnsi="Lato"/>
          <w:color w:val="1C1C1C"/>
        </w:rPr>
        <w:t xml:space="preserve"> people</w:t>
      </w:r>
      <w:r w:rsidR="00495CBF" w:rsidRPr="00D409E4">
        <w:rPr>
          <w:rFonts w:ascii="Lato" w:eastAsia="Times New Roman" w:hAnsi="Lato" w:cs="Times New Roman"/>
          <w:kern w:val="0"/>
          <w14:ligatures w14:val="none"/>
        </w:rPr>
        <w:t xml:space="preserve"> in the DRC</w:t>
      </w:r>
      <w:r w:rsidR="00495CBF" w:rsidRPr="00D409E4">
        <w:rPr>
          <w:rStyle w:val="FootnoteReference"/>
          <w:rFonts w:ascii="Lato" w:eastAsia="Times New Roman" w:hAnsi="Lato" w:cs="Times New Roman"/>
          <w:kern w:val="0"/>
          <w14:ligatures w14:val="none"/>
        </w:rPr>
        <w:footnoteReference w:id="44"/>
      </w:r>
      <w:r w:rsidR="00495CBF" w:rsidRPr="00D409E4">
        <w:rPr>
          <w:rFonts w:ascii="Lato" w:eastAsia="Times New Roman" w:hAnsi="Lato" w:cs="Times New Roman"/>
          <w:kern w:val="0"/>
          <w14:ligatures w14:val="none"/>
        </w:rPr>
        <w:t xml:space="preserve">. </w:t>
      </w:r>
      <w:r w:rsidR="00D66B6E" w:rsidRPr="00D409E4">
        <w:rPr>
          <w:rFonts w:ascii="Lato" w:eastAsia="Times New Roman" w:hAnsi="Lato" w:cs="Times New Roman"/>
          <w:kern w:val="0"/>
          <w14:ligatures w14:val="none"/>
        </w:rPr>
        <w:t xml:space="preserve"> </w:t>
      </w:r>
    </w:p>
    <w:p w14:paraId="09AAA0E5" w14:textId="77777777" w:rsidR="0003632C" w:rsidRDefault="0003632C" w:rsidP="0003776D">
      <w:pPr>
        <w:jc w:val="both"/>
        <w:rPr>
          <w:rFonts w:ascii="Lato" w:eastAsia="Times New Roman" w:hAnsi="Lato" w:cs="Times New Roman"/>
          <w:kern w:val="0"/>
          <w14:ligatures w14:val="none"/>
        </w:rPr>
      </w:pPr>
    </w:p>
    <w:p w14:paraId="4A7C4BA0" w14:textId="14579C79" w:rsidR="00863FF3" w:rsidRDefault="00863FF3" w:rsidP="0003776D">
      <w:pPr>
        <w:jc w:val="both"/>
        <w:rPr>
          <w:rFonts w:ascii="Lato" w:eastAsia="Times New Roman" w:hAnsi="Lato" w:cs="Times New Roman"/>
          <w:kern w:val="0"/>
          <w14:ligatures w14:val="none"/>
        </w:rPr>
      </w:pPr>
      <w:r w:rsidRPr="00863FF3">
        <w:rPr>
          <w:rFonts w:ascii="Lato" w:eastAsia="Times New Roman" w:hAnsi="Lato" w:cs="Times New Roman"/>
          <w:kern w:val="0"/>
          <w14:ligatures w14:val="none"/>
        </w:rPr>
        <w:t xml:space="preserve">The legal, moral, and socio-cultural justifications for maintaining laws criminalizing </w:t>
      </w:r>
      <w:r w:rsidR="00AE1633" w:rsidRPr="002D18B5">
        <w:rPr>
          <w:rFonts w:ascii="Lato" w:hAnsi="Lato"/>
          <w:color w:val="1C1C1C"/>
        </w:rPr>
        <w:t>LGBTQI+ and other ancestral sexual and gender diverse</w:t>
      </w:r>
      <w:r w:rsidR="00AE1633" w:rsidRPr="00863FF3">
        <w:rPr>
          <w:rFonts w:ascii="Lato" w:eastAsia="Times New Roman" w:hAnsi="Lato" w:cs="Times New Roman"/>
          <w:kern w:val="0"/>
          <w14:ligatures w14:val="none"/>
        </w:rPr>
        <w:t xml:space="preserve"> </w:t>
      </w:r>
      <w:r w:rsidRPr="00863FF3">
        <w:rPr>
          <w:rFonts w:ascii="Lato" w:eastAsia="Times New Roman" w:hAnsi="Lato" w:cs="Times New Roman"/>
          <w:kern w:val="0"/>
          <w14:ligatures w14:val="none"/>
        </w:rPr>
        <w:t>behavior in the DRC are often based on religious and cultural beliefs</w:t>
      </w:r>
      <w:r>
        <w:rPr>
          <w:rFonts w:ascii="Lato" w:eastAsia="Times New Roman" w:hAnsi="Lato" w:cs="Times New Roman"/>
          <w:kern w:val="0"/>
          <w14:ligatures w14:val="none"/>
        </w:rPr>
        <w:t xml:space="preserve">, </w:t>
      </w:r>
      <w:r w:rsidRPr="00863FF3">
        <w:rPr>
          <w:rFonts w:ascii="Lato" w:eastAsia="Times New Roman" w:hAnsi="Lato" w:cs="Times New Roman"/>
          <w:kern w:val="0"/>
          <w14:ligatures w14:val="none"/>
        </w:rPr>
        <w:t xml:space="preserve">particularly </w:t>
      </w:r>
      <w:r>
        <w:rPr>
          <w:rFonts w:ascii="Lato" w:eastAsia="Times New Roman" w:hAnsi="Lato" w:cs="Times New Roman"/>
          <w:kern w:val="0"/>
          <w14:ligatures w14:val="none"/>
        </w:rPr>
        <w:t xml:space="preserve">due to </w:t>
      </w:r>
      <w:r w:rsidRPr="00863FF3">
        <w:rPr>
          <w:rFonts w:ascii="Lato" w:eastAsia="Times New Roman" w:hAnsi="Lato" w:cs="Times New Roman"/>
          <w:kern w:val="0"/>
          <w14:ligatures w14:val="none"/>
        </w:rPr>
        <w:t>Christianity</w:t>
      </w:r>
      <w:r>
        <w:rPr>
          <w:rFonts w:ascii="Lato" w:eastAsia="Times New Roman" w:hAnsi="Lato" w:cs="Times New Roman"/>
          <w:kern w:val="0"/>
          <w14:ligatures w14:val="none"/>
        </w:rPr>
        <w:t xml:space="preserve">. </w:t>
      </w:r>
      <w:r w:rsidRPr="00863FF3">
        <w:rPr>
          <w:rFonts w:ascii="Lato" w:eastAsia="Times New Roman" w:hAnsi="Lato" w:cs="Times New Roman"/>
          <w:kern w:val="0"/>
          <w14:ligatures w14:val="none"/>
        </w:rPr>
        <w:t xml:space="preserve">Courts have sometimes used religion to justify the criminalization of homosexuality and other </w:t>
      </w:r>
      <w:r w:rsidR="00AE1633" w:rsidRPr="002D18B5">
        <w:rPr>
          <w:rFonts w:ascii="Lato" w:hAnsi="Lato"/>
          <w:color w:val="1C1C1C"/>
        </w:rPr>
        <w:t>LGBTQI+ and other ancestral sexual and gender diverse</w:t>
      </w:r>
      <w:r w:rsidR="00AE1633" w:rsidRPr="00863FF3">
        <w:rPr>
          <w:rFonts w:ascii="Lato" w:eastAsia="Times New Roman" w:hAnsi="Lato" w:cs="Times New Roman"/>
          <w:kern w:val="0"/>
          <w14:ligatures w14:val="none"/>
        </w:rPr>
        <w:t xml:space="preserve"> </w:t>
      </w:r>
      <w:r w:rsidRPr="00863FF3">
        <w:rPr>
          <w:rFonts w:ascii="Lato" w:eastAsia="Times New Roman" w:hAnsi="Lato" w:cs="Times New Roman"/>
          <w:kern w:val="0"/>
          <w14:ligatures w14:val="none"/>
        </w:rPr>
        <w:t>behavior.</w:t>
      </w:r>
    </w:p>
    <w:p w14:paraId="3E68C333" w14:textId="77777777" w:rsidR="00AB7937" w:rsidRDefault="00AB7937" w:rsidP="0003776D">
      <w:pPr>
        <w:jc w:val="both"/>
        <w:rPr>
          <w:rFonts w:ascii="Lato" w:eastAsia="Times New Roman" w:hAnsi="Lato" w:cs="Times New Roman"/>
          <w:kern w:val="0"/>
          <w14:ligatures w14:val="none"/>
        </w:rPr>
      </w:pPr>
    </w:p>
    <w:p w14:paraId="78A2FA2C" w14:textId="6E4A7801" w:rsidR="00AB7937" w:rsidRPr="00AB7937" w:rsidRDefault="00351C79" w:rsidP="0003776D">
      <w:pPr>
        <w:pStyle w:val="Heading2"/>
        <w:rPr>
          <w:rFonts w:ascii="Lato" w:eastAsia="Times New Roman" w:hAnsi="Lato"/>
          <w:b/>
          <w:bCs/>
          <w:color w:val="000000" w:themeColor="text1"/>
          <w:sz w:val="24"/>
          <w:szCs w:val="24"/>
        </w:rPr>
      </w:pPr>
      <w:bookmarkStart w:id="7" w:name="_Toc136003044"/>
      <w:r w:rsidRPr="5C7B450E">
        <w:rPr>
          <w:rFonts w:ascii="Lato" w:eastAsia="Times New Roman" w:hAnsi="Lato"/>
          <w:b/>
          <w:bCs/>
          <w:color w:val="000000" w:themeColor="text1"/>
          <w:sz w:val="24"/>
          <w:szCs w:val="24"/>
        </w:rPr>
        <w:t xml:space="preserve">Legacies from former </w:t>
      </w:r>
      <w:r w:rsidR="00AB7937" w:rsidRPr="5C7B450E">
        <w:rPr>
          <w:rFonts w:ascii="Lato" w:eastAsia="Times New Roman" w:hAnsi="Lato"/>
          <w:b/>
          <w:bCs/>
          <w:color w:val="000000" w:themeColor="text1"/>
          <w:sz w:val="24"/>
          <w:szCs w:val="24"/>
        </w:rPr>
        <w:t>Spanish colonies</w:t>
      </w:r>
      <w:bookmarkEnd w:id="7"/>
    </w:p>
    <w:p w14:paraId="48512898" w14:textId="77777777" w:rsidR="00AB7937" w:rsidRDefault="00AB7937" w:rsidP="0003776D">
      <w:pPr>
        <w:jc w:val="both"/>
        <w:rPr>
          <w:rFonts w:ascii="Lato" w:eastAsia="Times New Roman" w:hAnsi="Lato" w:cs="Times New Roman"/>
          <w:kern w:val="0"/>
          <w14:ligatures w14:val="none"/>
        </w:rPr>
      </w:pPr>
    </w:p>
    <w:p w14:paraId="15DA8A0E" w14:textId="55A7782F" w:rsidR="00AB7937" w:rsidRDefault="00AB7937" w:rsidP="0003776D">
      <w:pPr>
        <w:jc w:val="both"/>
        <w:rPr>
          <w:rFonts w:ascii="Lato" w:eastAsia="Helvetica Neue" w:hAnsi="Lato" w:cs="Helvetica Neue"/>
        </w:rPr>
      </w:pPr>
      <w:r w:rsidRPr="00AB7937">
        <w:rPr>
          <w:rFonts w:ascii="Lato" w:eastAsia="Helvetica Neue" w:hAnsi="Lato" w:cs="Helvetica Neue"/>
        </w:rPr>
        <w:t xml:space="preserve">In </w:t>
      </w:r>
      <w:r w:rsidRPr="22F87D31">
        <w:rPr>
          <w:rFonts w:ascii="Lato" w:eastAsia="Helvetica Neue" w:hAnsi="Lato" w:cs="Helvetica Neue"/>
          <w:b/>
          <w:bCs/>
        </w:rPr>
        <w:t>the Philippines</w:t>
      </w:r>
      <w:r w:rsidRPr="00AB7937">
        <w:rPr>
          <w:rFonts w:ascii="Lato" w:eastAsia="Helvetica Neue" w:hAnsi="Lato" w:cs="Helvetica Neue"/>
        </w:rPr>
        <w:t>, many existing laws have been informed by standards of morality inculcated by the Catholic Church. The Family Code of the Philippines specifically limits marriage “between a man and a woman” and is undoubtedly informed by the worldviews and morals imposed by Catholic missionaries. The same Code also includes homosexuality and lesbianism as grounds for marriage annulment, along with alcoholism and drug addiction.</w:t>
      </w:r>
      <w:r w:rsidRPr="00AB7937">
        <w:rPr>
          <w:rFonts w:ascii="Lato" w:eastAsia="Helvetica Neue" w:hAnsi="Lato" w:cs="Helvetica Neue"/>
          <w:vertAlign w:val="superscript"/>
        </w:rPr>
        <w:footnoteReference w:id="45"/>
      </w:r>
      <w:r w:rsidRPr="00AB7937">
        <w:rPr>
          <w:rFonts w:ascii="Lato" w:eastAsia="Helvetica Neue" w:hAnsi="Lato" w:cs="Helvetica Neue"/>
        </w:rPr>
        <w:t xml:space="preserve"> The passage of certain laws that would codify rights protections </w:t>
      </w:r>
      <w:proofErr w:type="gramStart"/>
      <w:r w:rsidRPr="00AB7937">
        <w:rPr>
          <w:rFonts w:ascii="Lato" w:eastAsia="Helvetica Neue" w:hAnsi="Lato" w:cs="Helvetica Neue"/>
        </w:rPr>
        <w:t>on the basis of</w:t>
      </w:r>
      <w:proofErr w:type="gramEnd"/>
      <w:r w:rsidRPr="00AB7937">
        <w:rPr>
          <w:rFonts w:ascii="Lato" w:eastAsia="Helvetica Neue" w:hAnsi="Lato" w:cs="Helvetica Neue"/>
        </w:rPr>
        <w:t xml:space="preserve"> sexual orientation, gender identity, and expression have been continuously blocked by various conservative Christian denominations</w:t>
      </w:r>
      <w:r w:rsidRPr="00AB7937">
        <w:rPr>
          <w:rFonts w:ascii="Lato" w:eastAsia="Helvetica Neue" w:hAnsi="Lato" w:cs="Helvetica Neue"/>
          <w:vertAlign w:val="superscript"/>
        </w:rPr>
        <w:footnoteReference w:id="46"/>
      </w:r>
      <w:r w:rsidRPr="00AB7937">
        <w:rPr>
          <w:rFonts w:ascii="Lato" w:eastAsia="Helvetica Neue" w:hAnsi="Lato" w:cs="Helvetica Neue"/>
        </w:rPr>
        <w:t>.</w:t>
      </w:r>
    </w:p>
    <w:p w14:paraId="2FE5A89F" w14:textId="77777777" w:rsidR="0058490E" w:rsidRDefault="0058490E" w:rsidP="0003776D">
      <w:pPr>
        <w:jc w:val="both"/>
        <w:rPr>
          <w:rFonts w:ascii="Lato" w:eastAsia="Helvetica Neue" w:hAnsi="Lato" w:cs="Helvetica Neue"/>
        </w:rPr>
      </w:pPr>
    </w:p>
    <w:p w14:paraId="52293C05" w14:textId="049C00B9" w:rsidR="001525F9" w:rsidRPr="00C579F4" w:rsidRDefault="00C579F4" w:rsidP="0003776D">
      <w:pPr>
        <w:jc w:val="both"/>
        <w:rPr>
          <w:rFonts w:ascii="Lato" w:eastAsia="Helvetica Neue" w:hAnsi="Lato" w:cs="Helvetica Neue"/>
        </w:rPr>
      </w:pPr>
      <w:r w:rsidRPr="00C579F4">
        <w:rPr>
          <w:rFonts w:ascii="Lato" w:eastAsia="Helvetica Neue" w:hAnsi="Lato" w:cs="Helvetica Neue"/>
        </w:rPr>
        <w:t xml:space="preserve">In </w:t>
      </w:r>
      <w:r w:rsidRPr="00C579F4">
        <w:rPr>
          <w:rFonts w:ascii="Lato" w:eastAsia="Helvetica Neue" w:hAnsi="Lato" w:cs="Helvetica Neue"/>
          <w:b/>
          <w:bCs/>
        </w:rPr>
        <w:t>Bolivia</w:t>
      </w:r>
      <w:r w:rsidRPr="00C579F4">
        <w:rPr>
          <w:rFonts w:ascii="Lato" w:eastAsia="Helvetica Neue" w:hAnsi="Lato" w:cs="Helvetica Neue"/>
        </w:rPr>
        <w:t>, the Family Code</w:t>
      </w:r>
      <w:r>
        <w:rPr>
          <w:rStyle w:val="FootnoteReference"/>
          <w:rFonts w:ascii="Lato" w:eastAsia="Helvetica Neue" w:hAnsi="Lato" w:cs="Helvetica Neue"/>
        </w:rPr>
        <w:footnoteReference w:id="47"/>
      </w:r>
      <w:r w:rsidRPr="00C579F4">
        <w:rPr>
          <w:rFonts w:ascii="Lato" w:eastAsia="Helvetica Neue" w:hAnsi="Lato" w:cs="Helvetica Neue"/>
        </w:rPr>
        <w:t xml:space="preserve"> currently has a colonizing approach that regulates </w:t>
      </w:r>
      <w:r w:rsidR="002633F4">
        <w:rPr>
          <w:rFonts w:ascii="Lato" w:eastAsia="Helvetica Neue" w:hAnsi="Lato" w:cs="Helvetica Neue"/>
        </w:rPr>
        <w:t>SOGI</w:t>
      </w:r>
      <w:r w:rsidRPr="00C579F4">
        <w:rPr>
          <w:rFonts w:ascii="Lato" w:eastAsia="Helvetica Neue" w:hAnsi="Lato" w:cs="Helvetica Neue"/>
        </w:rPr>
        <w:t xml:space="preserve"> rights, since it determines the invalidity of marriages and civil unions between persons of </w:t>
      </w:r>
      <w:r w:rsidRPr="00C579F4">
        <w:rPr>
          <w:rFonts w:ascii="Lato" w:eastAsia="Helvetica Neue" w:hAnsi="Lato" w:cs="Helvetica Neue"/>
        </w:rPr>
        <w:lastRenderedPageBreak/>
        <w:t>the same sex. This Code remains in force because few institutions have promoted normative changes either with new laws or by filing constitutional actions against them</w:t>
      </w:r>
      <w:r>
        <w:rPr>
          <w:rStyle w:val="FootnoteReference"/>
          <w:rFonts w:ascii="Lato" w:eastAsia="Helvetica Neue" w:hAnsi="Lato" w:cs="Helvetica Neue"/>
          <w:lang w:val="es-ES"/>
        </w:rPr>
        <w:footnoteReference w:id="48"/>
      </w:r>
      <w:r w:rsidRPr="00C579F4">
        <w:rPr>
          <w:rFonts w:ascii="Lato" w:eastAsia="Helvetica Neue" w:hAnsi="Lato" w:cs="Helvetica Neue"/>
        </w:rPr>
        <w:t>.</w:t>
      </w:r>
    </w:p>
    <w:p w14:paraId="1F1E5E34" w14:textId="2FF5CA34" w:rsidR="007E200C" w:rsidRDefault="007E200C" w:rsidP="0003776D">
      <w:pPr>
        <w:pStyle w:val="Heading1"/>
        <w:rPr>
          <w:rFonts w:ascii="Lato" w:eastAsia="Times New Roman" w:hAnsi="Lato"/>
          <w:b/>
          <w:bCs/>
          <w:color w:val="000000" w:themeColor="text1"/>
          <w:sz w:val="28"/>
          <w:szCs w:val="28"/>
        </w:rPr>
      </w:pPr>
      <w:bookmarkStart w:id="8" w:name="_Toc136003045"/>
      <w:r w:rsidRPr="007E200C">
        <w:rPr>
          <w:rFonts w:ascii="Lato" w:eastAsia="Times New Roman" w:hAnsi="Lato"/>
          <w:b/>
          <w:bCs/>
          <w:color w:val="000000" w:themeColor="text1"/>
          <w:sz w:val="28"/>
          <w:szCs w:val="28"/>
        </w:rPr>
        <w:t>Repealed colonial laws regulating sexual orientation and gender identity</w:t>
      </w:r>
      <w:r w:rsidR="0058490E" w:rsidRPr="009721C8">
        <w:rPr>
          <w:rStyle w:val="FootnoteReference"/>
          <w:rFonts w:ascii="Lato" w:eastAsia="Times New Roman" w:hAnsi="Lato"/>
          <w:color w:val="000000" w:themeColor="text1"/>
          <w:sz w:val="28"/>
          <w:szCs w:val="28"/>
        </w:rPr>
        <w:footnoteReference w:id="49"/>
      </w:r>
      <w:bookmarkEnd w:id="8"/>
    </w:p>
    <w:p w14:paraId="46F68174" w14:textId="77777777" w:rsidR="007B1E05" w:rsidRPr="00AB7937" w:rsidRDefault="007B1E05" w:rsidP="0003776D">
      <w:pPr>
        <w:rPr>
          <w:rFonts w:ascii="Lato" w:hAnsi="Lato"/>
        </w:rPr>
      </w:pPr>
    </w:p>
    <w:p w14:paraId="5FD4DABF" w14:textId="5E61A4F5" w:rsidR="007B1E05" w:rsidRPr="007B1E05" w:rsidRDefault="007B1E05" w:rsidP="0003776D">
      <w:pPr>
        <w:jc w:val="both"/>
        <w:rPr>
          <w:rFonts w:ascii="Lato" w:hAnsi="Lato"/>
        </w:rPr>
      </w:pPr>
      <w:r w:rsidRPr="007B1E05">
        <w:rPr>
          <w:rFonts w:ascii="Lato" w:hAnsi="Lato"/>
        </w:rPr>
        <w:t xml:space="preserve">In this section, we present five examples of colonial laws that regulated </w:t>
      </w:r>
      <w:r w:rsidR="00DD5A72">
        <w:rPr>
          <w:rFonts w:ascii="Lato" w:hAnsi="Lato"/>
        </w:rPr>
        <w:t>SOGI</w:t>
      </w:r>
      <w:r w:rsidRPr="007B1E05">
        <w:rPr>
          <w:rFonts w:ascii="Lato" w:hAnsi="Lato"/>
        </w:rPr>
        <w:t xml:space="preserve"> under the classification of </w:t>
      </w:r>
      <w:r>
        <w:rPr>
          <w:rFonts w:ascii="Lato" w:hAnsi="Lato"/>
        </w:rPr>
        <w:t>“</w:t>
      </w:r>
      <w:r w:rsidRPr="007B1E05">
        <w:rPr>
          <w:rFonts w:ascii="Lato" w:hAnsi="Lato"/>
        </w:rPr>
        <w:t>sodomy</w:t>
      </w:r>
      <w:r>
        <w:rPr>
          <w:rFonts w:ascii="Lato" w:hAnsi="Lato"/>
        </w:rPr>
        <w:t xml:space="preserve">”, but when </w:t>
      </w:r>
      <w:r w:rsidRPr="007B1E05">
        <w:rPr>
          <w:rFonts w:ascii="Lato" w:hAnsi="Lato"/>
        </w:rPr>
        <w:t>these laws were repealed</w:t>
      </w:r>
      <w:r>
        <w:rPr>
          <w:rFonts w:ascii="Lato" w:hAnsi="Lato"/>
        </w:rPr>
        <w:t xml:space="preserve"> </w:t>
      </w:r>
      <w:r w:rsidRPr="007B1E05">
        <w:rPr>
          <w:rFonts w:ascii="Lato" w:hAnsi="Lato"/>
        </w:rPr>
        <w:t>during the end of the colonial period</w:t>
      </w:r>
      <w:r>
        <w:rPr>
          <w:rFonts w:ascii="Lato" w:hAnsi="Lato"/>
        </w:rPr>
        <w:t xml:space="preserve">, </w:t>
      </w:r>
      <w:r w:rsidRPr="007B1E05">
        <w:rPr>
          <w:rFonts w:ascii="Lato" w:hAnsi="Lato"/>
        </w:rPr>
        <w:t xml:space="preserve">the subsequent legislation no longer included provisions criminalizing </w:t>
      </w:r>
      <w:r w:rsidR="00DD5A72">
        <w:rPr>
          <w:rFonts w:ascii="Lato" w:hAnsi="Lato"/>
        </w:rPr>
        <w:t>SOGI.</w:t>
      </w:r>
    </w:p>
    <w:p w14:paraId="2ABD5B47" w14:textId="77777777" w:rsidR="007B1E05" w:rsidRPr="007B1E05" w:rsidRDefault="007B1E05" w:rsidP="0003776D">
      <w:pPr>
        <w:jc w:val="both"/>
        <w:rPr>
          <w:rFonts w:ascii="Lato" w:hAnsi="Lato"/>
        </w:rPr>
      </w:pPr>
    </w:p>
    <w:p w14:paraId="2B88A44F" w14:textId="649822EA" w:rsidR="00AD160F" w:rsidRPr="009C219E" w:rsidRDefault="009C219E" w:rsidP="0003776D">
      <w:pPr>
        <w:jc w:val="both"/>
        <w:rPr>
          <w:rFonts w:ascii="Lato" w:hAnsi="Lato"/>
        </w:rPr>
      </w:pPr>
      <w:r w:rsidRPr="009C219E">
        <w:rPr>
          <w:rFonts w:ascii="Lato" w:hAnsi="Lato"/>
          <w:b/>
          <w:bCs/>
          <w:color w:val="1C1C1C"/>
        </w:rPr>
        <w:t>Brazil</w:t>
      </w:r>
    </w:p>
    <w:p w14:paraId="5F9C2E8C" w14:textId="77777777" w:rsidR="007E200C" w:rsidRPr="009C219E" w:rsidRDefault="007E200C" w:rsidP="0003776D">
      <w:pPr>
        <w:jc w:val="both"/>
        <w:rPr>
          <w:rFonts w:ascii="Lato" w:hAnsi="Lato"/>
        </w:rPr>
      </w:pPr>
    </w:p>
    <w:p w14:paraId="05B29438" w14:textId="74D0C918" w:rsidR="007E200C" w:rsidRPr="009C219E" w:rsidRDefault="007E200C" w:rsidP="0003776D">
      <w:pPr>
        <w:jc w:val="both"/>
        <w:rPr>
          <w:rFonts w:ascii="Lato" w:hAnsi="Lato"/>
          <w:color w:val="1C1C1C"/>
        </w:rPr>
      </w:pPr>
      <w:r w:rsidRPr="009C219E">
        <w:rPr>
          <w:rFonts w:ascii="Lato" w:hAnsi="Lato"/>
          <w:color w:val="1C1C1C"/>
        </w:rPr>
        <w:t>The first </w:t>
      </w:r>
      <w:r w:rsidRPr="009C219E">
        <w:rPr>
          <w:rStyle w:val="sourcetooltip"/>
          <w:rFonts w:ascii="Lato" w:hAnsi="Lato"/>
        </w:rPr>
        <w:t>Criminal Code</w:t>
      </w:r>
      <w:r w:rsidR="007532DA">
        <w:rPr>
          <w:rStyle w:val="FootnoteReference"/>
          <w:rFonts w:ascii="Lato" w:hAnsi="Lato"/>
        </w:rPr>
        <w:footnoteReference w:id="50"/>
      </w:r>
      <w:r w:rsidRPr="009C219E">
        <w:rPr>
          <w:rFonts w:ascii="Lato" w:hAnsi="Lato"/>
          <w:color w:val="1C1C1C"/>
        </w:rPr>
        <w:t> (183</w:t>
      </w:r>
      <w:r w:rsidR="007532DA">
        <w:rPr>
          <w:rFonts w:ascii="Lato" w:hAnsi="Lato"/>
          <w:color w:val="1C1C1C"/>
        </w:rPr>
        <w:t>0</w:t>
      </w:r>
      <w:r w:rsidRPr="009C219E">
        <w:rPr>
          <w:rFonts w:ascii="Lato" w:hAnsi="Lato"/>
          <w:color w:val="1C1C1C"/>
        </w:rPr>
        <w:t>) of Brazil contained no provision on sodomy. This Code repealed the crime established under Title XIII, Book V of the colonial law (“</w:t>
      </w:r>
      <w:r w:rsidRPr="009C219E">
        <w:rPr>
          <w:rStyle w:val="sourcetooltip"/>
          <w:rFonts w:ascii="Lato" w:hAnsi="Lato"/>
        </w:rPr>
        <w:t>Filipe’s Ordinances</w:t>
      </w:r>
      <w:r w:rsidRPr="009C219E">
        <w:rPr>
          <w:rFonts w:ascii="Lato" w:hAnsi="Lato"/>
          <w:color w:val="1C1C1C"/>
        </w:rPr>
        <w:t>”)</w:t>
      </w:r>
      <w:r w:rsidR="007532DA">
        <w:rPr>
          <w:rStyle w:val="FootnoteReference"/>
          <w:rFonts w:ascii="Lato" w:hAnsi="Lato"/>
          <w:color w:val="1C1C1C"/>
        </w:rPr>
        <w:footnoteReference w:id="51"/>
      </w:r>
      <w:r w:rsidRPr="009C219E">
        <w:rPr>
          <w:rFonts w:ascii="Lato" w:hAnsi="Lato"/>
          <w:color w:val="1C1C1C"/>
        </w:rPr>
        <w:t xml:space="preserve"> which established that that any person who committed the “sin of sodomy” should be “burnt to dust</w:t>
      </w:r>
      <w:r w:rsidR="00D91D58">
        <w:rPr>
          <w:rFonts w:ascii="Lato" w:hAnsi="Lato"/>
          <w:color w:val="1C1C1C"/>
        </w:rPr>
        <w:t>”.</w:t>
      </w:r>
      <w:r w:rsidRPr="009C219E">
        <w:rPr>
          <w:rFonts w:ascii="Lato" w:hAnsi="Lato"/>
          <w:color w:val="1C1C1C"/>
        </w:rPr>
        <w:t xml:space="preserve"> Despite this early </w:t>
      </w:r>
      <w:r w:rsidR="009C219E" w:rsidRPr="009C219E">
        <w:rPr>
          <w:rFonts w:ascii="Lato" w:hAnsi="Lato"/>
          <w:color w:val="1C1C1C"/>
        </w:rPr>
        <w:t>decriminalization</w:t>
      </w:r>
      <w:r w:rsidRPr="009C219E">
        <w:rPr>
          <w:rFonts w:ascii="Lato" w:hAnsi="Lato"/>
          <w:color w:val="1C1C1C"/>
        </w:rPr>
        <w:t>, it has been indicated that other provisions of that Code were used to persecute persons who engaged in same-sex sexual acts. In 2015 the Supreme Court of Brazil declared that the expressions “pederasty or other” and “homosexual or not” under article 235 of the 1969 </w:t>
      </w:r>
      <w:r w:rsidRPr="009C219E">
        <w:rPr>
          <w:rStyle w:val="sourcetooltip"/>
          <w:rFonts w:ascii="Lato" w:hAnsi="Lato"/>
        </w:rPr>
        <w:t>Military Penal Code</w:t>
      </w:r>
      <w:r w:rsidRPr="009C219E">
        <w:rPr>
          <w:rFonts w:ascii="Lato" w:hAnsi="Lato"/>
          <w:color w:val="1C1C1C"/>
        </w:rPr>
        <w:t> were unconstitutional.</w:t>
      </w:r>
    </w:p>
    <w:p w14:paraId="4EE52288" w14:textId="77777777" w:rsidR="007E200C" w:rsidRPr="009C219E" w:rsidRDefault="007E200C" w:rsidP="0003776D">
      <w:pPr>
        <w:jc w:val="both"/>
        <w:rPr>
          <w:rFonts w:ascii="Lato" w:hAnsi="Lato"/>
          <w:b/>
          <w:bCs/>
          <w:color w:val="1C1C1C"/>
        </w:rPr>
      </w:pPr>
    </w:p>
    <w:p w14:paraId="1DEF7E17" w14:textId="20B92624" w:rsidR="009C219E" w:rsidRPr="009C219E" w:rsidRDefault="009C219E" w:rsidP="0003776D">
      <w:pPr>
        <w:jc w:val="both"/>
        <w:rPr>
          <w:rFonts w:ascii="Lato" w:hAnsi="Lato"/>
          <w:b/>
          <w:bCs/>
          <w:color w:val="1C1C1C"/>
        </w:rPr>
      </w:pPr>
      <w:r w:rsidRPr="009C219E">
        <w:rPr>
          <w:rFonts w:ascii="Lato" w:hAnsi="Lato"/>
          <w:b/>
          <w:bCs/>
          <w:color w:val="1C1C1C"/>
        </w:rPr>
        <w:t>El Salvador</w:t>
      </w:r>
    </w:p>
    <w:p w14:paraId="4B9AD7E4" w14:textId="77777777" w:rsidR="009C219E" w:rsidRPr="009C219E" w:rsidRDefault="009C219E" w:rsidP="0003776D">
      <w:pPr>
        <w:jc w:val="both"/>
        <w:rPr>
          <w:rFonts w:ascii="Lato" w:hAnsi="Lato"/>
          <w:b/>
          <w:bCs/>
          <w:color w:val="1C1C1C"/>
        </w:rPr>
      </w:pPr>
    </w:p>
    <w:p w14:paraId="476A92D9" w14:textId="25428BD4" w:rsidR="007E200C" w:rsidRPr="009C219E" w:rsidRDefault="007E200C" w:rsidP="0003776D">
      <w:pPr>
        <w:jc w:val="both"/>
        <w:rPr>
          <w:rFonts w:ascii="Lato" w:hAnsi="Lato"/>
          <w:color w:val="1C1C1C"/>
        </w:rPr>
      </w:pPr>
      <w:r w:rsidRPr="009C219E">
        <w:rPr>
          <w:rFonts w:ascii="Lato" w:hAnsi="Lato"/>
          <w:color w:val="1C1C1C"/>
        </w:rPr>
        <w:t>The first </w:t>
      </w:r>
      <w:r w:rsidRPr="009C219E">
        <w:rPr>
          <w:rStyle w:val="sourcetooltip"/>
          <w:rFonts w:ascii="Lato" w:hAnsi="Lato"/>
        </w:rPr>
        <w:t>Penal Code</w:t>
      </w:r>
      <w:r w:rsidRPr="009C219E">
        <w:rPr>
          <w:rFonts w:ascii="Lato" w:hAnsi="Lato"/>
          <w:color w:val="1C1C1C"/>
        </w:rPr>
        <w:t> (1826) of El Salvador was enacted following the </w:t>
      </w:r>
      <w:r w:rsidRPr="009C219E">
        <w:rPr>
          <w:rStyle w:val="sourcetooltip"/>
          <w:rFonts w:ascii="Lato" w:hAnsi="Lato"/>
        </w:rPr>
        <w:t>Spanish Criminal Code</w:t>
      </w:r>
      <w:r w:rsidRPr="009C219E">
        <w:rPr>
          <w:rFonts w:ascii="Lato" w:hAnsi="Lato"/>
          <w:color w:val="1C1C1C"/>
        </w:rPr>
        <w:t xml:space="preserve"> (1822) that contained no provisions on consensual same-sex sexual acts between </w:t>
      </w:r>
      <w:r w:rsidR="007532DA" w:rsidRPr="009C219E">
        <w:rPr>
          <w:rFonts w:ascii="Lato" w:hAnsi="Lato"/>
          <w:color w:val="1C1C1C"/>
        </w:rPr>
        <w:t>adults and</w:t>
      </w:r>
      <w:r w:rsidRPr="009C219E">
        <w:rPr>
          <w:rFonts w:ascii="Lato" w:hAnsi="Lato"/>
          <w:color w:val="1C1C1C"/>
        </w:rPr>
        <w:t xml:space="preserve"> repealed other existing colonial laws that punished “sodomy”. In 2003, the Human Rights Committee noted that local provisions (“</w:t>
      </w:r>
      <w:proofErr w:type="spellStart"/>
      <w:r w:rsidRPr="009C219E">
        <w:rPr>
          <w:rFonts w:ascii="Lato" w:hAnsi="Lato"/>
          <w:color w:val="1C1C1C"/>
        </w:rPr>
        <w:t>misdemeanour</w:t>
      </w:r>
      <w:proofErr w:type="spellEnd"/>
      <w:r w:rsidRPr="009C219E">
        <w:rPr>
          <w:rFonts w:ascii="Lato" w:hAnsi="Lato"/>
          <w:color w:val="1C1C1C"/>
        </w:rPr>
        <w:t xml:space="preserve"> ordinances”) were being used to discriminate against people on account of their sexual orientation.</w:t>
      </w:r>
    </w:p>
    <w:p w14:paraId="64E701D6" w14:textId="77777777" w:rsidR="007E200C" w:rsidRPr="009C219E" w:rsidRDefault="007E200C" w:rsidP="0003776D">
      <w:pPr>
        <w:jc w:val="both"/>
        <w:rPr>
          <w:rFonts w:ascii="Lato" w:hAnsi="Lato"/>
          <w:b/>
          <w:bCs/>
          <w:color w:val="1C1C1C"/>
        </w:rPr>
      </w:pPr>
    </w:p>
    <w:p w14:paraId="1DF50C71" w14:textId="44A0ABC9" w:rsidR="009C219E" w:rsidRPr="009C219E" w:rsidRDefault="009C219E" w:rsidP="0003776D">
      <w:pPr>
        <w:jc w:val="both"/>
        <w:rPr>
          <w:rFonts w:ascii="Lato" w:hAnsi="Lato"/>
          <w:b/>
          <w:bCs/>
          <w:color w:val="1C1C1C"/>
        </w:rPr>
      </w:pPr>
      <w:r w:rsidRPr="009C219E">
        <w:rPr>
          <w:rFonts w:ascii="Lato" w:hAnsi="Lato"/>
          <w:b/>
          <w:bCs/>
          <w:color w:val="1C1C1C"/>
        </w:rPr>
        <w:t>Guinea-Bissau</w:t>
      </w:r>
    </w:p>
    <w:p w14:paraId="3DB7B847" w14:textId="77777777" w:rsidR="009C219E" w:rsidRPr="009C219E" w:rsidRDefault="009C219E" w:rsidP="0003776D">
      <w:pPr>
        <w:jc w:val="both"/>
        <w:rPr>
          <w:rFonts w:ascii="Helvetica Neue" w:eastAsia="Helvetica Neue" w:hAnsi="Helvetica Neue" w:cs="Helvetica Neue"/>
        </w:rPr>
      </w:pPr>
    </w:p>
    <w:p w14:paraId="0D3E5758" w14:textId="27E39B91" w:rsidR="007E200C" w:rsidRPr="009C219E" w:rsidRDefault="007E200C" w:rsidP="0003776D">
      <w:pPr>
        <w:jc w:val="both"/>
        <w:rPr>
          <w:rFonts w:ascii="Lato" w:hAnsi="Lato"/>
          <w:color w:val="1C1C1C"/>
        </w:rPr>
      </w:pPr>
      <w:r w:rsidRPr="009C219E">
        <w:rPr>
          <w:rFonts w:ascii="Lato" w:hAnsi="Lato"/>
          <w:color w:val="1C1C1C"/>
        </w:rPr>
        <w:t>The colonial </w:t>
      </w:r>
      <w:r w:rsidRPr="009C219E">
        <w:rPr>
          <w:rStyle w:val="sourcetooltip"/>
          <w:rFonts w:ascii="Lato" w:hAnsi="Lato"/>
        </w:rPr>
        <w:t>Penal Code</w:t>
      </w:r>
      <w:r w:rsidR="007532DA">
        <w:rPr>
          <w:rStyle w:val="FootnoteReference"/>
          <w:rFonts w:ascii="Lato" w:hAnsi="Lato"/>
        </w:rPr>
        <w:footnoteReference w:id="52"/>
      </w:r>
      <w:r w:rsidRPr="009C219E">
        <w:rPr>
          <w:rFonts w:ascii="Lato" w:hAnsi="Lato"/>
          <w:color w:val="1C1C1C"/>
        </w:rPr>
        <w:t> (1886), as amended by other colonial provisions such as </w:t>
      </w:r>
      <w:r w:rsidRPr="009C219E">
        <w:rPr>
          <w:rStyle w:val="sourcetooltip"/>
          <w:rFonts w:ascii="Lato" w:hAnsi="Lato"/>
        </w:rPr>
        <w:t>Law No. 177</w:t>
      </w:r>
      <w:r w:rsidR="007532DA">
        <w:rPr>
          <w:rStyle w:val="FootnoteReference"/>
          <w:rFonts w:ascii="Lato" w:hAnsi="Lato"/>
        </w:rPr>
        <w:footnoteReference w:id="53"/>
      </w:r>
      <w:r w:rsidRPr="009C219E">
        <w:rPr>
          <w:rFonts w:ascii="Lato" w:hAnsi="Lato"/>
          <w:color w:val="1C1C1C"/>
        </w:rPr>
        <w:t> (1912)</w:t>
      </w:r>
      <w:r w:rsidR="007532DA">
        <w:rPr>
          <w:rFonts w:ascii="Lato" w:hAnsi="Lato"/>
          <w:color w:val="1C1C1C"/>
        </w:rPr>
        <w:t xml:space="preserve"> </w:t>
      </w:r>
      <w:r w:rsidRPr="009C219E">
        <w:rPr>
          <w:rFonts w:ascii="Lato" w:hAnsi="Lato"/>
          <w:color w:val="1C1C1C"/>
        </w:rPr>
        <w:t>and </w:t>
      </w:r>
      <w:r w:rsidRPr="009C219E">
        <w:rPr>
          <w:rStyle w:val="sourcetooltip"/>
          <w:rFonts w:ascii="Lato" w:hAnsi="Lato"/>
        </w:rPr>
        <w:t>Executive</w:t>
      </w:r>
      <w:r w:rsidR="00D91D58">
        <w:rPr>
          <w:rStyle w:val="sourcetooltip"/>
          <w:rFonts w:ascii="Lato" w:hAnsi="Lato"/>
        </w:rPr>
        <w:t xml:space="preserve"> </w:t>
      </w:r>
      <w:r w:rsidRPr="009C219E">
        <w:rPr>
          <w:rStyle w:val="sourcetooltip"/>
          <w:rFonts w:ascii="Lato" w:hAnsi="Lato"/>
        </w:rPr>
        <w:t>Order-Law No. 39,688</w:t>
      </w:r>
      <w:r w:rsidR="007532DA">
        <w:rPr>
          <w:rStyle w:val="FootnoteReference"/>
          <w:rFonts w:ascii="Lato" w:hAnsi="Lato"/>
        </w:rPr>
        <w:footnoteReference w:id="54"/>
      </w:r>
      <w:r w:rsidRPr="009C219E">
        <w:rPr>
          <w:rFonts w:ascii="Lato" w:hAnsi="Lato"/>
          <w:color w:val="1C1C1C"/>
        </w:rPr>
        <w:t xml:space="preserve"> (1954), remained in force after independence from Portugal and </w:t>
      </w:r>
      <w:r w:rsidR="009C219E" w:rsidRPr="009C219E">
        <w:rPr>
          <w:rFonts w:ascii="Lato" w:hAnsi="Lato"/>
          <w:color w:val="1C1C1C"/>
        </w:rPr>
        <w:t>penalized</w:t>
      </w:r>
      <w:r w:rsidRPr="009C219E">
        <w:rPr>
          <w:rFonts w:ascii="Lato" w:hAnsi="Lato"/>
          <w:color w:val="1C1C1C"/>
        </w:rPr>
        <w:t xml:space="preserve"> “vices against nature”. This Code was repealed in 1993 with the enactment of a new </w:t>
      </w:r>
      <w:r w:rsidRPr="009C219E">
        <w:rPr>
          <w:rStyle w:val="sourcetooltip"/>
          <w:rFonts w:ascii="Lato" w:hAnsi="Lato"/>
        </w:rPr>
        <w:t>Penal Code</w:t>
      </w:r>
      <w:r w:rsidR="007532DA">
        <w:rPr>
          <w:rStyle w:val="FootnoteReference"/>
          <w:rFonts w:ascii="Lato" w:hAnsi="Lato"/>
        </w:rPr>
        <w:footnoteReference w:id="55"/>
      </w:r>
      <w:r w:rsidRPr="009C219E">
        <w:rPr>
          <w:rFonts w:ascii="Lato" w:hAnsi="Lato"/>
          <w:color w:val="1C1C1C"/>
        </w:rPr>
        <w:t xml:space="preserve"> (1993) which contains no provisions </w:t>
      </w:r>
      <w:r w:rsidR="009C219E" w:rsidRPr="009C219E">
        <w:rPr>
          <w:rFonts w:ascii="Lato" w:hAnsi="Lato"/>
          <w:color w:val="1C1C1C"/>
        </w:rPr>
        <w:t>criminalizing</w:t>
      </w:r>
      <w:r w:rsidRPr="009C219E">
        <w:rPr>
          <w:rFonts w:ascii="Lato" w:hAnsi="Lato"/>
          <w:color w:val="1C1C1C"/>
        </w:rPr>
        <w:t xml:space="preserve"> consensual same-sex sexual acts between adults.</w:t>
      </w:r>
    </w:p>
    <w:p w14:paraId="67F9F121" w14:textId="77777777" w:rsidR="009C219E" w:rsidRPr="009C219E" w:rsidRDefault="009C219E" w:rsidP="0003776D">
      <w:pPr>
        <w:jc w:val="both"/>
        <w:rPr>
          <w:rFonts w:ascii="Lato" w:hAnsi="Lato"/>
          <w:b/>
          <w:bCs/>
          <w:color w:val="1C1C1C"/>
        </w:rPr>
      </w:pPr>
      <w:r w:rsidRPr="009C219E">
        <w:rPr>
          <w:rFonts w:ascii="Lato" w:hAnsi="Lato"/>
          <w:b/>
          <w:bCs/>
          <w:color w:val="1C1C1C"/>
        </w:rPr>
        <w:lastRenderedPageBreak/>
        <w:t>Ireland</w:t>
      </w:r>
    </w:p>
    <w:p w14:paraId="67210DC9" w14:textId="77777777" w:rsidR="009C219E" w:rsidRDefault="009C219E" w:rsidP="0003776D">
      <w:pPr>
        <w:jc w:val="both"/>
        <w:rPr>
          <w:rFonts w:ascii="Helvetica Neue" w:eastAsia="Helvetica Neue" w:hAnsi="Helvetica Neue" w:cs="Helvetica Neue"/>
        </w:rPr>
      </w:pPr>
    </w:p>
    <w:p w14:paraId="50725DB9" w14:textId="474DEFA7" w:rsidR="009C219E" w:rsidRPr="009C219E" w:rsidRDefault="009C219E" w:rsidP="0003776D">
      <w:pPr>
        <w:jc w:val="both"/>
        <w:rPr>
          <w:rFonts w:ascii="Lato" w:eastAsia="Helvetica Neue" w:hAnsi="Lato" w:cs="Helvetica Neue"/>
        </w:rPr>
      </w:pPr>
      <w:r w:rsidRPr="5C7B450E">
        <w:rPr>
          <w:rFonts w:ascii="Lato" w:eastAsia="Helvetica Neue" w:hAnsi="Lato" w:cs="Helvetica Neue"/>
        </w:rPr>
        <w:t xml:space="preserve">Until 1993 male homosexual acts were </w:t>
      </w:r>
      <w:r w:rsidR="00D91D58" w:rsidRPr="5C7B450E">
        <w:rPr>
          <w:rFonts w:ascii="Lato" w:eastAsia="Helvetica Neue" w:hAnsi="Lato" w:cs="Helvetica Neue"/>
        </w:rPr>
        <w:t>criminalized</w:t>
      </w:r>
      <w:r w:rsidRPr="5C7B450E">
        <w:rPr>
          <w:rFonts w:ascii="Lato" w:eastAsia="Helvetica Neue" w:hAnsi="Lato" w:cs="Helvetica Neue"/>
        </w:rPr>
        <w:t xml:space="preserve"> by two statutes inherited from the British colonial era, the Offences against the Person Act</w:t>
      </w:r>
      <w:r w:rsidR="00ED296B">
        <w:rPr>
          <w:rStyle w:val="FootnoteReference"/>
          <w:rFonts w:ascii="Lato" w:eastAsia="Helvetica Neue" w:hAnsi="Lato" w:cs="Helvetica Neue"/>
        </w:rPr>
        <w:footnoteReference w:id="56"/>
      </w:r>
      <w:r w:rsidRPr="5C7B450E">
        <w:rPr>
          <w:rFonts w:ascii="Lato" w:eastAsia="Helvetica Neue" w:hAnsi="Lato" w:cs="Helvetica Neue"/>
        </w:rPr>
        <w:t xml:space="preserve"> (1861), which covered anal intercourse, and the Criminal Law (Amendment) Act</w:t>
      </w:r>
      <w:r w:rsidR="00ED296B">
        <w:rPr>
          <w:rStyle w:val="FootnoteReference"/>
          <w:rFonts w:ascii="Lato" w:eastAsia="Helvetica Neue" w:hAnsi="Lato" w:cs="Helvetica Neue"/>
        </w:rPr>
        <w:footnoteReference w:id="57"/>
      </w:r>
      <w:r w:rsidRPr="5C7B450E">
        <w:rPr>
          <w:rFonts w:ascii="Lato" w:eastAsia="Helvetica Neue" w:hAnsi="Lato" w:cs="Helvetica Neue"/>
        </w:rPr>
        <w:t xml:space="preserve"> (1885), which covered "gross indecency" (all other sexual acts between men). Prior to its annexation into the United Kingdom in 1801, same-sex sexual acts had been </w:t>
      </w:r>
      <w:r w:rsidR="00D91D58" w:rsidRPr="5C7B450E">
        <w:rPr>
          <w:rFonts w:ascii="Lato" w:eastAsia="Helvetica Neue" w:hAnsi="Lato" w:cs="Helvetica Neue"/>
        </w:rPr>
        <w:t>criminalized</w:t>
      </w:r>
      <w:r w:rsidRPr="5C7B450E">
        <w:rPr>
          <w:rFonts w:ascii="Lato" w:eastAsia="Helvetica Neue" w:hAnsi="Lato" w:cs="Helvetica Neue"/>
        </w:rPr>
        <w:t xml:space="preserve"> by An Act for the Punishment for the Vice of Buggery (1634). </w:t>
      </w:r>
    </w:p>
    <w:p w14:paraId="4D26E0D1" w14:textId="77777777" w:rsidR="007532DA" w:rsidRDefault="007532DA" w:rsidP="0003776D">
      <w:pPr>
        <w:jc w:val="both"/>
        <w:rPr>
          <w:rFonts w:ascii="Lato" w:eastAsia="Helvetica Neue" w:hAnsi="Lato" w:cs="Helvetica Neue"/>
        </w:rPr>
      </w:pPr>
    </w:p>
    <w:p w14:paraId="38221B8C" w14:textId="29233207" w:rsidR="009C219E" w:rsidRPr="009C219E" w:rsidRDefault="009C219E" w:rsidP="0003776D">
      <w:pPr>
        <w:jc w:val="both"/>
        <w:rPr>
          <w:rFonts w:ascii="Lato" w:eastAsia="Helvetica Neue" w:hAnsi="Lato" w:cs="Helvetica Neue"/>
        </w:rPr>
      </w:pPr>
      <w:r w:rsidRPr="009C219E">
        <w:rPr>
          <w:rFonts w:ascii="Lato" w:eastAsia="Helvetica Neue" w:hAnsi="Lato" w:cs="Helvetica Neue"/>
        </w:rPr>
        <w:t>In 1977, David Norris commenced proceedings in the Irish High Court on the basis that these anti-gay laws were unconstitutional. His case was rejected in both this Court, and in the Supreme Court, but was eventually supported by the European Court of Human Rights in 1988. Finally, in 1993, Section 2 of the Criminal Law (Sexual Offences) Act</w:t>
      </w:r>
      <w:r w:rsidR="00ED296B">
        <w:rPr>
          <w:rStyle w:val="FootnoteReference"/>
          <w:rFonts w:ascii="Lato" w:eastAsia="Helvetica Neue" w:hAnsi="Lato" w:cs="Helvetica Neue"/>
        </w:rPr>
        <w:footnoteReference w:id="58"/>
      </w:r>
      <w:r w:rsidRPr="009C219E">
        <w:rPr>
          <w:rFonts w:ascii="Lato" w:eastAsia="Helvetica Neue" w:hAnsi="Lato" w:cs="Helvetica Neue"/>
        </w:rPr>
        <w:t xml:space="preserve"> (1993) repealed the provisions described above.</w:t>
      </w:r>
    </w:p>
    <w:p w14:paraId="6E473F08" w14:textId="75E9D4B6" w:rsidR="007E200C" w:rsidRPr="009C219E" w:rsidRDefault="007E200C" w:rsidP="0003776D">
      <w:pPr>
        <w:jc w:val="both"/>
        <w:rPr>
          <w:rFonts w:ascii="Lato" w:hAnsi="Lato"/>
          <w:color w:val="1C1C1C"/>
        </w:rPr>
      </w:pPr>
    </w:p>
    <w:p w14:paraId="3E4A0F84" w14:textId="77777777" w:rsidR="007E200C" w:rsidRPr="009C219E" w:rsidRDefault="007E200C" w:rsidP="0003776D">
      <w:pPr>
        <w:jc w:val="both"/>
        <w:rPr>
          <w:rFonts w:ascii="Lato" w:hAnsi="Lato"/>
          <w:color w:val="1C1C1C"/>
        </w:rPr>
      </w:pPr>
      <w:r w:rsidRPr="009C219E">
        <w:rPr>
          <w:rFonts w:ascii="Lato" w:hAnsi="Lato"/>
          <w:color w:val="1C1C1C"/>
        </w:rPr>
        <w:t>In August 2022, it was reported that the Department of Justice had been sent consultation documents drafted by an "expert working group" tasked with examining how the State can overturn historical convictions of men found guilty of same-sex conduct. The Department of Justice is slated to begin a public consultative process to determine how best to implement these recommendations, and whether any form of reparations or redress are feasible.</w:t>
      </w:r>
    </w:p>
    <w:p w14:paraId="4ABA19EB" w14:textId="77777777" w:rsidR="009C219E" w:rsidRPr="009C219E" w:rsidRDefault="009C219E" w:rsidP="0003776D">
      <w:pPr>
        <w:jc w:val="both"/>
        <w:rPr>
          <w:rFonts w:ascii="Lato" w:hAnsi="Lato"/>
          <w:color w:val="1C1C1C"/>
        </w:rPr>
      </w:pPr>
    </w:p>
    <w:p w14:paraId="57334550" w14:textId="5A1A5CF2" w:rsidR="009C219E" w:rsidRPr="009C219E" w:rsidRDefault="009C219E" w:rsidP="0003776D">
      <w:pPr>
        <w:jc w:val="both"/>
        <w:rPr>
          <w:rFonts w:ascii="Lato" w:hAnsi="Lato"/>
          <w:color w:val="1C1C1C"/>
        </w:rPr>
      </w:pPr>
      <w:r w:rsidRPr="009C219E">
        <w:rPr>
          <w:rFonts w:ascii="Lato" w:hAnsi="Lato"/>
          <w:b/>
          <w:bCs/>
          <w:color w:val="1C1C1C"/>
        </w:rPr>
        <w:t>Macao</w:t>
      </w:r>
      <w:r w:rsidR="00ED296B">
        <w:rPr>
          <w:rFonts w:ascii="Lato" w:hAnsi="Lato"/>
          <w:b/>
          <w:bCs/>
          <w:color w:val="1C1C1C"/>
        </w:rPr>
        <w:t xml:space="preserve"> (China)</w:t>
      </w:r>
    </w:p>
    <w:p w14:paraId="13050E5B" w14:textId="77777777" w:rsidR="007E200C" w:rsidRPr="009C219E" w:rsidRDefault="007E200C" w:rsidP="0003776D">
      <w:pPr>
        <w:jc w:val="both"/>
      </w:pPr>
    </w:p>
    <w:p w14:paraId="1CBB8A87" w14:textId="389FF283" w:rsidR="007E200C" w:rsidRDefault="007E200C" w:rsidP="0003776D">
      <w:pPr>
        <w:jc w:val="both"/>
        <w:rPr>
          <w:rFonts w:ascii="Lato" w:hAnsi="Lato"/>
          <w:color w:val="1C1C1C"/>
        </w:rPr>
      </w:pPr>
      <w:r w:rsidRPr="009C219E">
        <w:rPr>
          <w:rFonts w:ascii="Lato" w:hAnsi="Lato"/>
          <w:color w:val="1C1C1C"/>
        </w:rPr>
        <w:t>In Maca</w:t>
      </w:r>
      <w:r w:rsidR="00ED296B">
        <w:rPr>
          <w:rFonts w:ascii="Lato" w:hAnsi="Lato"/>
          <w:color w:val="1C1C1C"/>
        </w:rPr>
        <w:t>o</w:t>
      </w:r>
      <w:r w:rsidRPr="009C219E">
        <w:rPr>
          <w:rFonts w:ascii="Lato" w:hAnsi="Lato"/>
          <w:color w:val="1C1C1C"/>
        </w:rPr>
        <w:t xml:space="preserve">, </w:t>
      </w:r>
      <w:r w:rsidR="00ED296B" w:rsidRPr="009C219E">
        <w:rPr>
          <w:rFonts w:ascii="Lato" w:hAnsi="Lato"/>
          <w:color w:val="1C1C1C"/>
        </w:rPr>
        <w:t>decriminalization</w:t>
      </w:r>
      <w:r w:rsidRPr="009C219E">
        <w:rPr>
          <w:rFonts w:ascii="Lato" w:hAnsi="Lato"/>
          <w:color w:val="1C1C1C"/>
        </w:rPr>
        <w:t xml:space="preserve"> was brought about in 1996 with the entry into force of the </w:t>
      </w:r>
      <w:r w:rsidRPr="009C219E">
        <w:rPr>
          <w:rStyle w:val="sourcetooltip"/>
          <w:rFonts w:ascii="Lato" w:hAnsi="Lato"/>
        </w:rPr>
        <w:t>Penal Code</w:t>
      </w:r>
      <w:r w:rsidR="00ED296B">
        <w:rPr>
          <w:rStyle w:val="FootnoteReference"/>
          <w:rFonts w:ascii="Lato" w:hAnsi="Lato"/>
        </w:rPr>
        <w:footnoteReference w:id="59"/>
      </w:r>
      <w:r w:rsidRPr="009C219E">
        <w:rPr>
          <w:rFonts w:ascii="Lato" w:hAnsi="Lato"/>
          <w:color w:val="1C1C1C"/>
        </w:rPr>
        <w:t> (1995, effective 1996), revoking the colonial</w:t>
      </w:r>
      <w:r w:rsidR="00ED296B">
        <w:rPr>
          <w:rFonts w:ascii="Lato" w:hAnsi="Lato"/>
          <w:color w:val="1C1C1C"/>
        </w:rPr>
        <w:t xml:space="preserve"> </w:t>
      </w:r>
      <w:r w:rsidRPr="009C219E">
        <w:rPr>
          <w:rFonts w:ascii="Lato" w:hAnsi="Lato"/>
          <w:color w:val="1C1C1C"/>
        </w:rPr>
        <w:t>Portuguese </w:t>
      </w:r>
      <w:r w:rsidRPr="009C219E">
        <w:rPr>
          <w:rStyle w:val="sourcetooltip"/>
          <w:rFonts w:ascii="Lato" w:hAnsi="Lato"/>
        </w:rPr>
        <w:t>Penal Code</w:t>
      </w:r>
      <w:r w:rsidR="00ED296B">
        <w:rPr>
          <w:rStyle w:val="FootnoteReference"/>
          <w:rFonts w:ascii="Lato" w:hAnsi="Lato"/>
        </w:rPr>
        <w:footnoteReference w:id="60"/>
      </w:r>
      <w:r w:rsidRPr="009C219E">
        <w:rPr>
          <w:rFonts w:ascii="Lato" w:hAnsi="Lato"/>
          <w:color w:val="1C1C1C"/>
        </w:rPr>
        <w:t> (1886) which punished consensual same-sex sexual acts between adults.</w:t>
      </w:r>
    </w:p>
    <w:p w14:paraId="6751C51A" w14:textId="77777777" w:rsidR="006D5D7A" w:rsidRDefault="006D5D7A" w:rsidP="0003776D">
      <w:pPr>
        <w:jc w:val="both"/>
        <w:rPr>
          <w:rFonts w:ascii="Lato" w:hAnsi="Lato"/>
          <w:color w:val="1C1C1C"/>
        </w:rPr>
      </w:pPr>
    </w:p>
    <w:p w14:paraId="06D39ED5" w14:textId="77777777" w:rsidR="0003776D" w:rsidRDefault="006D5D7A" w:rsidP="0003776D">
      <w:pPr>
        <w:jc w:val="both"/>
        <w:rPr>
          <w:rFonts w:ascii="Lato" w:hAnsi="Lato"/>
          <w:b/>
          <w:bCs/>
          <w:color w:val="1C1C1C"/>
        </w:rPr>
      </w:pPr>
      <w:r w:rsidRPr="0043273F">
        <w:rPr>
          <w:rFonts w:ascii="Lato" w:hAnsi="Lato"/>
          <w:b/>
          <w:bCs/>
          <w:color w:val="1C1C1C"/>
        </w:rPr>
        <w:t>Hong Kong</w:t>
      </w:r>
    </w:p>
    <w:p w14:paraId="418E99FA" w14:textId="77777777" w:rsidR="00E93D3F" w:rsidRDefault="00E93D3F" w:rsidP="0003776D">
      <w:pPr>
        <w:jc w:val="both"/>
        <w:rPr>
          <w:rFonts w:ascii="Lato" w:hAnsi="Lato"/>
          <w:b/>
          <w:bCs/>
          <w:color w:val="1C1C1C"/>
        </w:rPr>
      </w:pPr>
    </w:p>
    <w:p w14:paraId="10AB1500" w14:textId="5138B063" w:rsidR="006D5D7A" w:rsidRPr="0003776D" w:rsidRDefault="006D5D7A" w:rsidP="0003776D">
      <w:pPr>
        <w:jc w:val="both"/>
        <w:rPr>
          <w:rFonts w:ascii="Lato" w:hAnsi="Lato"/>
          <w:b/>
          <w:bCs/>
          <w:color w:val="1C1C1C"/>
        </w:rPr>
      </w:pPr>
      <w:r w:rsidRPr="22F87D31">
        <w:rPr>
          <w:rFonts w:ascii="Lato" w:eastAsia="Helvetica Neue" w:hAnsi="Lato" w:cs="Helvetica Neue"/>
        </w:rPr>
        <w:t>Hong Kong's</w:t>
      </w:r>
      <w:r w:rsidRPr="00D66B6E">
        <w:rPr>
          <w:rFonts w:ascii="Lato" w:eastAsia="Helvetica Neue" w:hAnsi="Lato" w:cs="Helvetica Neue"/>
        </w:rPr>
        <w:t xml:space="preserve"> legal history under British colonial rule included articles 49 to 53 of the Offences Against the Person Ordinance, which criminalized homosexuality until their repeal in 1991</w:t>
      </w:r>
      <w:r w:rsidRPr="00D66B6E">
        <w:rPr>
          <w:rFonts w:ascii="Lato" w:eastAsia="Helvetica Neue" w:hAnsi="Lato" w:cs="Helvetica Neue"/>
          <w:vertAlign w:val="superscript"/>
        </w:rPr>
        <w:footnoteReference w:id="61"/>
      </w:r>
      <w:r w:rsidRPr="00D66B6E">
        <w:rPr>
          <w:rFonts w:ascii="Lato" w:eastAsia="Helvetica Neue" w:hAnsi="Lato" w:cs="Helvetica Neue"/>
        </w:rPr>
        <w:t>.</w:t>
      </w:r>
    </w:p>
    <w:p w14:paraId="1B520B46" w14:textId="3D0C2253" w:rsidR="22F87D31" w:rsidRDefault="22F87D31" w:rsidP="0003776D">
      <w:pPr>
        <w:jc w:val="both"/>
        <w:rPr>
          <w:rFonts w:ascii="Lato" w:eastAsia="Helvetica Neue" w:hAnsi="Lato" w:cs="Helvetica Neue"/>
        </w:rPr>
      </w:pPr>
    </w:p>
    <w:p w14:paraId="13206388" w14:textId="21875588" w:rsidR="7AD9A425" w:rsidRDefault="7AD9A425" w:rsidP="0003776D">
      <w:pPr>
        <w:jc w:val="both"/>
        <w:rPr>
          <w:rFonts w:ascii="Lato" w:eastAsia="Helvetica Neue" w:hAnsi="Lato" w:cs="Helvetica Neue"/>
          <w:b/>
          <w:bCs/>
        </w:rPr>
      </w:pPr>
      <w:r w:rsidRPr="22F87D31">
        <w:rPr>
          <w:rFonts w:ascii="Lato" w:eastAsia="Helvetica Neue" w:hAnsi="Lato" w:cs="Helvetica Neue"/>
          <w:b/>
          <w:bCs/>
        </w:rPr>
        <w:t>Botswana</w:t>
      </w:r>
    </w:p>
    <w:p w14:paraId="34EB58EF" w14:textId="0EB58D09" w:rsidR="22F87D31" w:rsidRDefault="22F87D31" w:rsidP="0003776D">
      <w:pPr>
        <w:jc w:val="both"/>
        <w:rPr>
          <w:rFonts w:ascii="Lato" w:eastAsia="Helvetica Neue" w:hAnsi="Lato" w:cs="Helvetica Neue"/>
        </w:rPr>
      </w:pPr>
    </w:p>
    <w:p w14:paraId="1D764AEE" w14:textId="627FDB99" w:rsidR="22F87D31" w:rsidRDefault="7AD9A425" w:rsidP="0003776D">
      <w:pPr>
        <w:jc w:val="both"/>
        <w:rPr>
          <w:rFonts w:ascii="Lato" w:eastAsia="Helvetica Neue" w:hAnsi="Lato" w:cs="Helvetica Neue"/>
        </w:rPr>
      </w:pPr>
      <w:r w:rsidRPr="22F87D31">
        <w:rPr>
          <w:rFonts w:ascii="Lato" w:eastAsia="Helvetica Neue" w:hAnsi="Lato" w:cs="Helvetica Neue"/>
        </w:rPr>
        <w:t xml:space="preserve">In June 2020, Botswana overturned the colonial-era laws which criminalized homosexuality, with the judge, Michael Leburu, declaring that “the anti-sodomy laws are a </w:t>
      </w:r>
      <w:r w:rsidRPr="22F87D31">
        <w:rPr>
          <w:rFonts w:ascii="Lato" w:eastAsia="Helvetica Neue" w:hAnsi="Lato" w:cs="Helvetica Neue"/>
        </w:rPr>
        <w:lastRenderedPageBreak/>
        <w:t>British import” and were developed “without the consultation of local peoples”. It was viewed as a massive success and a historic moment across the continent</w:t>
      </w:r>
      <w:r w:rsidRPr="22F87D31">
        <w:rPr>
          <w:rStyle w:val="FootnoteReference"/>
          <w:rFonts w:ascii="Lato" w:eastAsia="Helvetica Neue" w:hAnsi="Lato" w:cs="Helvetica Neue"/>
        </w:rPr>
        <w:footnoteReference w:id="62"/>
      </w:r>
      <w:r w:rsidRPr="22F87D31">
        <w:rPr>
          <w:rFonts w:ascii="Lato" w:eastAsia="Helvetica Neue" w:hAnsi="Lato" w:cs="Helvetica Neue"/>
        </w:rPr>
        <w:t>.</w:t>
      </w:r>
    </w:p>
    <w:p w14:paraId="40DEE9D0" w14:textId="31423813" w:rsidR="00F2063F" w:rsidRDefault="00F2063F" w:rsidP="0003776D">
      <w:pPr>
        <w:pStyle w:val="Heading1"/>
        <w:rPr>
          <w:rFonts w:ascii="Lato" w:hAnsi="Lato" w:cstheme="minorHAnsi"/>
          <w:b/>
          <w:bCs/>
          <w:color w:val="000000" w:themeColor="text1"/>
          <w:sz w:val="28"/>
          <w:szCs w:val="28"/>
        </w:rPr>
      </w:pPr>
      <w:bookmarkStart w:id="9" w:name="_Toc136003046"/>
      <w:r w:rsidRPr="00076776">
        <w:rPr>
          <w:rFonts w:ascii="Lato" w:hAnsi="Lato" w:cstheme="minorHAnsi"/>
          <w:b/>
          <w:bCs/>
          <w:color w:val="000000" w:themeColor="text1"/>
          <w:sz w:val="28"/>
          <w:szCs w:val="28"/>
        </w:rPr>
        <w:t>Reparations and redress for the legacy of colonialism</w:t>
      </w:r>
      <w:r w:rsidR="00076776" w:rsidRPr="00076776">
        <w:rPr>
          <w:rFonts w:ascii="Lato" w:hAnsi="Lato" w:cstheme="minorHAnsi"/>
          <w:b/>
          <w:bCs/>
          <w:color w:val="000000" w:themeColor="text1"/>
          <w:sz w:val="28"/>
          <w:szCs w:val="28"/>
        </w:rPr>
        <w:t xml:space="preserve"> on gender and sexual diversity</w:t>
      </w:r>
      <w:bookmarkEnd w:id="9"/>
    </w:p>
    <w:p w14:paraId="618AF308" w14:textId="77777777" w:rsidR="000C199E" w:rsidRDefault="000C199E" w:rsidP="0003776D"/>
    <w:p w14:paraId="7CE2B154" w14:textId="45ED1E69" w:rsidR="0043273F" w:rsidRDefault="00B31EB6" w:rsidP="0003776D">
      <w:pPr>
        <w:jc w:val="both"/>
        <w:rPr>
          <w:rFonts w:ascii="Lato" w:hAnsi="Lato"/>
        </w:rPr>
      </w:pPr>
      <w:r w:rsidRPr="22F87D31">
        <w:rPr>
          <w:rFonts w:ascii="Lato" w:hAnsi="Lato"/>
        </w:rPr>
        <w:t>Reparation policies are generally limited due to the complexity of the situation in form</w:t>
      </w:r>
      <w:r w:rsidR="00F072F1" w:rsidRPr="22F87D31">
        <w:rPr>
          <w:rFonts w:ascii="Lato" w:hAnsi="Lato"/>
        </w:rPr>
        <w:t>er</w:t>
      </w:r>
      <w:r w:rsidRPr="22F87D31">
        <w:rPr>
          <w:rFonts w:ascii="Lato" w:hAnsi="Lato"/>
        </w:rPr>
        <w:t xml:space="preserve"> colonies, including poverty, insecurity, corruption, and weak institutions. However, it’s important to acknowledge some efforts made by States </w:t>
      </w:r>
      <w:r w:rsidR="007736DA" w:rsidRPr="22F87D31">
        <w:rPr>
          <w:rFonts w:ascii="Lato" w:hAnsi="Lato"/>
        </w:rPr>
        <w:t>to</w:t>
      </w:r>
      <w:r w:rsidRPr="22F87D31">
        <w:rPr>
          <w:rFonts w:ascii="Lato" w:hAnsi="Lato"/>
        </w:rPr>
        <w:t xml:space="preserve"> compensate the aftermath of colonialism</w:t>
      </w:r>
      <w:r w:rsidR="08F84343" w:rsidRPr="22F87D31">
        <w:rPr>
          <w:rFonts w:ascii="Lato" w:hAnsi="Lato"/>
        </w:rPr>
        <w:t>, such as the following.</w:t>
      </w:r>
    </w:p>
    <w:p w14:paraId="6F91FE19" w14:textId="77777777" w:rsidR="00B31EB6" w:rsidRDefault="00B31EB6" w:rsidP="0003776D">
      <w:pPr>
        <w:rPr>
          <w:rFonts w:ascii="Lato" w:hAnsi="Lato"/>
        </w:rPr>
      </w:pPr>
    </w:p>
    <w:p w14:paraId="28E603C3" w14:textId="270A9096" w:rsidR="007736DA" w:rsidRPr="00B31EB6" w:rsidRDefault="00B31EB6" w:rsidP="0003776D">
      <w:pPr>
        <w:jc w:val="both"/>
        <w:rPr>
          <w:rFonts w:ascii="Lato" w:hAnsi="Lato"/>
        </w:rPr>
      </w:pPr>
      <w:r>
        <w:rPr>
          <w:rFonts w:ascii="Lato" w:hAnsi="Lato"/>
        </w:rPr>
        <w:t xml:space="preserve">In </w:t>
      </w:r>
      <w:r w:rsidRPr="00B31EB6">
        <w:rPr>
          <w:rFonts w:ascii="Lato" w:hAnsi="Lato"/>
          <w:b/>
          <w:bCs/>
        </w:rPr>
        <w:t>Bolivia</w:t>
      </w:r>
      <w:r>
        <w:rPr>
          <w:rFonts w:ascii="Lato" w:hAnsi="Lato"/>
        </w:rPr>
        <w:t xml:space="preserve">, there is </w:t>
      </w:r>
      <w:r w:rsidR="007736DA" w:rsidRPr="007736DA">
        <w:rPr>
          <w:rFonts w:ascii="Lato" w:hAnsi="Lato"/>
        </w:rPr>
        <w:t xml:space="preserve">the Law 045 against Racism and all forms of Discrimination, </w:t>
      </w:r>
      <w:r w:rsidR="007736DA">
        <w:rPr>
          <w:rFonts w:ascii="Lato" w:hAnsi="Lato"/>
        </w:rPr>
        <w:t xml:space="preserve">which </w:t>
      </w:r>
      <w:r w:rsidR="007736DA" w:rsidRPr="007736DA">
        <w:rPr>
          <w:rFonts w:ascii="Lato" w:hAnsi="Lato"/>
        </w:rPr>
        <w:t>respond</w:t>
      </w:r>
      <w:r w:rsidR="007736DA">
        <w:rPr>
          <w:rFonts w:ascii="Lato" w:hAnsi="Lato"/>
        </w:rPr>
        <w:t>s</w:t>
      </w:r>
      <w:r w:rsidR="007736DA" w:rsidRPr="007736DA">
        <w:rPr>
          <w:rFonts w:ascii="Lato" w:hAnsi="Lato"/>
        </w:rPr>
        <w:t xml:space="preserve"> to the historical social struggles against discrimination, struggles that began in the colony and continued until the republican era</w:t>
      </w:r>
      <w:r w:rsidR="00F072F1">
        <w:rPr>
          <w:rFonts w:ascii="Lato" w:hAnsi="Lato"/>
        </w:rPr>
        <w:t>. This law considers</w:t>
      </w:r>
      <w:r w:rsidR="007736DA" w:rsidRPr="007736DA">
        <w:rPr>
          <w:rFonts w:ascii="Lato" w:hAnsi="Lato"/>
        </w:rPr>
        <w:t xml:space="preserve"> discrimination based on </w:t>
      </w:r>
      <w:r w:rsidR="00DD5A72">
        <w:rPr>
          <w:rFonts w:ascii="Lato" w:hAnsi="Lato"/>
        </w:rPr>
        <w:t>SOGI</w:t>
      </w:r>
      <w:r w:rsidR="007736DA" w:rsidRPr="007736DA">
        <w:rPr>
          <w:rFonts w:ascii="Lato" w:hAnsi="Lato"/>
        </w:rPr>
        <w:t>, but unfortunately</w:t>
      </w:r>
      <w:r w:rsidR="00F072F1">
        <w:rPr>
          <w:rFonts w:ascii="Lato" w:hAnsi="Lato"/>
        </w:rPr>
        <w:t xml:space="preserve">, it </w:t>
      </w:r>
      <w:r w:rsidR="19F7DDC5">
        <w:rPr>
          <w:rFonts w:ascii="Lato" w:hAnsi="Lato"/>
        </w:rPr>
        <w:t>has</w:t>
      </w:r>
      <w:r w:rsidR="00F072F1">
        <w:rPr>
          <w:rFonts w:ascii="Lato" w:hAnsi="Lato"/>
        </w:rPr>
        <w:t xml:space="preserve"> not been implemented accordingly. S</w:t>
      </w:r>
      <w:r w:rsidR="007736DA" w:rsidRPr="007736DA">
        <w:rPr>
          <w:rFonts w:ascii="Lato" w:hAnsi="Lato"/>
        </w:rPr>
        <w:t xml:space="preserve">o </w:t>
      </w:r>
      <w:r w:rsidR="00F072F1" w:rsidRPr="007736DA">
        <w:rPr>
          <w:rFonts w:ascii="Lato" w:hAnsi="Lato"/>
        </w:rPr>
        <w:t>far,</w:t>
      </w:r>
      <w:r w:rsidR="007736DA" w:rsidRPr="007736DA">
        <w:rPr>
          <w:rFonts w:ascii="Lato" w:hAnsi="Lato"/>
        </w:rPr>
        <w:t xml:space="preserve"> no real reparation action has been carried out, nor have</w:t>
      </w:r>
      <w:r w:rsidR="00AE1633">
        <w:rPr>
          <w:rFonts w:ascii="Lato" w:hAnsi="Lato"/>
        </w:rPr>
        <w:t xml:space="preserve"> </w:t>
      </w:r>
      <w:r w:rsidR="00AE1633" w:rsidRPr="002D18B5">
        <w:rPr>
          <w:rFonts w:ascii="Lato" w:hAnsi="Lato"/>
          <w:color w:val="1C1C1C"/>
        </w:rPr>
        <w:t>LGBTQI+ and other ancestral sexual and gender diverse</w:t>
      </w:r>
      <w:r w:rsidR="007736DA" w:rsidRPr="007736DA">
        <w:rPr>
          <w:rFonts w:ascii="Lato" w:hAnsi="Lato"/>
        </w:rPr>
        <w:t xml:space="preserve"> people promoted laws or policies or specific support for the reparation or compensation of damages for the legacy of colonialism</w:t>
      </w:r>
      <w:r w:rsidR="000E7233">
        <w:rPr>
          <w:rStyle w:val="FootnoteReference"/>
          <w:rFonts w:ascii="Lato" w:hAnsi="Lato"/>
        </w:rPr>
        <w:footnoteReference w:id="63"/>
      </w:r>
      <w:r w:rsidR="007736DA" w:rsidRPr="007736DA">
        <w:rPr>
          <w:rFonts w:ascii="Lato" w:hAnsi="Lato"/>
        </w:rPr>
        <w:t>.</w:t>
      </w:r>
    </w:p>
    <w:p w14:paraId="550FFFDC" w14:textId="77777777" w:rsidR="000E7233" w:rsidRDefault="000E7233" w:rsidP="0003776D"/>
    <w:p w14:paraId="1F60CE55" w14:textId="4C511E8D" w:rsidR="000E7233" w:rsidRDefault="000E7233" w:rsidP="0003776D">
      <w:pPr>
        <w:jc w:val="both"/>
        <w:rPr>
          <w:rFonts w:ascii="Lato" w:hAnsi="Lato"/>
        </w:rPr>
      </w:pPr>
      <w:r w:rsidRPr="000E7233">
        <w:rPr>
          <w:rFonts w:ascii="Lato" w:hAnsi="Lato"/>
        </w:rPr>
        <w:t xml:space="preserve">The </w:t>
      </w:r>
      <w:r w:rsidRPr="000E7233">
        <w:rPr>
          <w:rFonts w:ascii="Lato" w:hAnsi="Lato"/>
          <w:b/>
          <w:bCs/>
        </w:rPr>
        <w:t>Democratic Republic of Congo</w:t>
      </w:r>
      <w:r w:rsidRPr="000E7233">
        <w:rPr>
          <w:rFonts w:ascii="Lato" w:hAnsi="Lato"/>
        </w:rPr>
        <w:t xml:space="preserve"> has taken a few steps</w:t>
      </w:r>
      <w:r>
        <w:rPr>
          <w:rFonts w:ascii="Lato" w:hAnsi="Lato"/>
        </w:rPr>
        <w:t xml:space="preserve"> in this regard</w:t>
      </w:r>
      <w:r w:rsidRPr="000E7233">
        <w:rPr>
          <w:rFonts w:ascii="Lato" w:hAnsi="Lato"/>
        </w:rPr>
        <w:t>, including recognition of the suffering and human rights violations suffered by the Congolese during colonization, as well as commemorating the country's independence</w:t>
      </w:r>
      <w:r>
        <w:rPr>
          <w:rFonts w:ascii="Lato" w:hAnsi="Lato"/>
        </w:rPr>
        <w:t>. However, r</w:t>
      </w:r>
      <w:r w:rsidRPr="000E7233">
        <w:rPr>
          <w:rFonts w:ascii="Lato" w:hAnsi="Lato"/>
        </w:rPr>
        <w:t>eparative justice for the lasting consequences of colonialism in the DRC should certainly include measures to address issues related to violence and discrimination based on</w:t>
      </w:r>
      <w:r w:rsidR="00DD5A72">
        <w:rPr>
          <w:rFonts w:ascii="Lato" w:hAnsi="Lato"/>
        </w:rPr>
        <w:t xml:space="preserve"> SOGI</w:t>
      </w:r>
      <w:r>
        <w:rPr>
          <w:rStyle w:val="FootnoteReference"/>
          <w:rFonts w:ascii="Lato" w:hAnsi="Lato"/>
        </w:rPr>
        <w:footnoteReference w:id="64"/>
      </w:r>
      <w:r w:rsidRPr="000E7233">
        <w:rPr>
          <w:rFonts w:ascii="Lato" w:hAnsi="Lato"/>
        </w:rPr>
        <w:t>.</w:t>
      </w:r>
      <w:r>
        <w:rPr>
          <w:rFonts w:ascii="Lato" w:hAnsi="Lato"/>
        </w:rPr>
        <w:t xml:space="preserve"> </w:t>
      </w:r>
      <w:r w:rsidRPr="000E7233">
        <w:rPr>
          <w:rFonts w:ascii="Lato" w:hAnsi="Lato"/>
        </w:rPr>
        <w:t xml:space="preserve">This could include measures such as education programs to raise awareness of gender and discrimination issues, training programs for justice professionals to ensure that cases of violence and discrimination are handled appropriately, and initiatives to improve access to employment, education, and health care for women and </w:t>
      </w:r>
      <w:r w:rsidR="00AE1633" w:rsidRPr="002D18B5">
        <w:rPr>
          <w:rFonts w:ascii="Lato" w:hAnsi="Lato"/>
          <w:color w:val="1C1C1C"/>
        </w:rPr>
        <w:t>LGBTQI+ and other ancestral sexual and gender diverse</w:t>
      </w:r>
      <w:r w:rsidR="00AE1633">
        <w:rPr>
          <w:rFonts w:ascii="Lato" w:hAnsi="Lato"/>
          <w:color w:val="1C1C1C"/>
        </w:rPr>
        <w:t xml:space="preserve"> people.</w:t>
      </w:r>
    </w:p>
    <w:p w14:paraId="408CF2E0" w14:textId="77777777" w:rsidR="000E7233" w:rsidRDefault="000E7233" w:rsidP="0003776D">
      <w:pPr>
        <w:rPr>
          <w:rFonts w:ascii="Lato" w:hAnsi="Lato"/>
        </w:rPr>
      </w:pPr>
    </w:p>
    <w:p w14:paraId="2DE55D0D" w14:textId="3EAFAA51" w:rsidR="00A01C92" w:rsidRPr="00AE7618" w:rsidRDefault="000E7233" w:rsidP="0003776D">
      <w:pPr>
        <w:jc w:val="both"/>
        <w:rPr>
          <w:rFonts w:ascii="Lato" w:eastAsia="Lato" w:hAnsi="Lato" w:cs="Lato"/>
        </w:rPr>
      </w:pPr>
      <w:r w:rsidRPr="22F87D31">
        <w:rPr>
          <w:rFonts w:ascii="Lato" w:hAnsi="Lato"/>
        </w:rPr>
        <w:t xml:space="preserve">In </w:t>
      </w:r>
      <w:r w:rsidRPr="22F87D31">
        <w:rPr>
          <w:rFonts w:ascii="Lato" w:hAnsi="Lato"/>
          <w:b/>
          <w:bCs/>
        </w:rPr>
        <w:t>Bangladesh</w:t>
      </w:r>
      <w:r w:rsidRPr="22F87D31">
        <w:rPr>
          <w:rFonts w:ascii="Lato" w:hAnsi="Lato"/>
        </w:rPr>
        <w:t xml:space="preserve">, </w:t>
      </w:r>
      <w:r w:rsidR="06DE3F7E" w:rsidRPr="22F87D31">
        <w:rPr>
          <w:rFonts w:ascii="Lato" w:eastAsia="Lato" w:hAnsi="Lato" w:cs="Lato"/>
        </w:rPr>
        <w:t>Hijras have been legally recognized as a third gender since 2004.</w:t>
      </w:r>
      <w:r w:rsidR="7EC2A762" w:rsidRPr="22F87D31">
        <w:rPr>
          <w:rFonts w:ascii="Lato" w:eastAsia="Lato" w:hAnsi="Lato" w:cs="Lato"/>
        </w:rPr>
        <w:t xml:space="preserve"> </w:t>
      </w:r>
      <w:r w:rsidR="00A01C92" w:rsidRPr="5C7B450E">
        <w:rPr>
          <w:rFonts w:ascii="Lato" w:eastAsia="Lato" w:hAnsi="Lato" w:cs="Lato"/>
        </w:rPr>
        <w:t xml:space="preserve">However, the legal recognition of Hijra is based on the interpretation of Hijra as a sex, rather than a gender or cultural identity. </w:t>
      </w:r>
      <w:r w:rsidR="458324AF" w:rsidRPr="22F87D31">
        <w:rPr>
          <w:rFonts w:ascii="Lato" w:eastAsia="Lato" w:hAnsi="Lato" w:cs="Lato"/>
        </w:rPr>
        <w:t>In fact, t</w:t>
      </w:r>
      <w:r w:rsidR="00A01C92" w:rsidRPr="5C7B450E">
        <w:rPr>
          <w:rFonts w:ascii="Lato" w:eastAsia="Lato" w:hAnsi="Lato" w:cs="Lato"/>
        </w:rPr>
        <w:t xml:space="preserve">here is no definition of the Hijra sex provided by the state, </w:t>
      </w:r>
      <w:r w:rsidR="72FDDEDE" w:rsidRPr="22F87D31">
        <w:rPr>
          <w:rFonts w:ascii="Lato" w:eastAsia="Lato" w:hAnsi="Lato" w:cs="Lato"/>
        </w:rPr>
        <w:t>and</w:t>
      </w:r>
      <w:r w:rsidR="00A01C92" w:rsidRPr="5C7B450E">
        <w:rPr>
          <w:rFonts w:ascii="Lato" w:eastAsia="Lato" w:hAnsi="Lato" w:cs="Lato"/>
        </w:rPr>
        <w:t xml:space="preserve"> there is a widespread misconception that all Hijras are intersex or have undergone some form of genital procedure.</w:t>
      </w:r>
      <w:r w:rsidR="00ED296B">
        <w:rPr>
          <w:rFonts w:ascii="Lato" w:eastAsia="Lato" w:hAnsi="Lato" w:cs="Lato"/>
        </w:rPr>
        <w:t xml:space="preserve"> </w:t>
      </w:r>
      <w:r w:rsidR="00A01C92" w:rsidRPr="5C7B450E">
        <w:rPr>
          <w:rFonts w:ascii="Lato" w:eastAsia="Lato" w:hAnsi="Lato" w:cs="Lato"/>
        </w:rPr>
        <w:t>In December 2014, the Ministry of Social Welfare invited Hijras to apply for an employment scheme, however, participants had to undergo an invasive medical examination to determine whether they were “authentic” Hijras</w:t>
      </w:r>
      <w:r w:rsidR="002D2434">
        <w:rPr>
          <w:rStyle w:val="FootnoteReference"/>
          <w:rFonts w:ascii="Lato" w:eastAsia="Lato" w:hAnsi="Lato" w:cs="Lato"/>
        </w:rPr>
        <w:footnoteReference w:id="65"/>
      </w:r>
      <w:r w:rsidR="00A01C92" w:rsidRPr="5C7B450E">
        <w:rPr>
          <w:rFonts w:ascii="Lato" w:eastAsia="Lato" w:hAnsi="Lato" w:cs="Lato"/>
        </w:rPr>
        <w:t xml:space="preserve">. The legal recognition of Hijras is thus exclusionary to many in the community and </w:t>
      </w:r>
      <w:r w:rsidR="00A01C92" w:rsidRPr="5C7B450E">
        <w:rPr>
          <w:rFonts w:ascii="Lato" w:eastAsia="Lato" w:hAnsi="Lato" w:cs="Lato"/>
        </w:rPr>
        <w:lastRenderedPageBreak/>
        <w:t>is generally insufficient to tackle stigmatisation. Even when living in community, Hijras continue to face severe marginalization and a lack of adequate support from the state</w:t>
      </w:r>
      <w:r w:rsidR="002D2434">
        <w:rPr>
          <w:rStyle w:val="FootnoteReference"/>
          <w:rFonts w:ascii="Lato" w:eastAsia="Lato" w:hAnsi="Lato" w:cs="Lato"/>
        </w:rPr>
        <w:footnoteReference w:id="66"/>
      </w:r>
      <w:r w:rsidR="00A01C92" w:rsidRPr="5C7B450E">
        <w:rPr>
          <w:rFonts w:ascii="Lato" w:eastAsia="Lato" w:hAnsi="Lato" w:cs="Lato"/>
        </w:rPr>
        <w:t xml:space="preserve">. </w:t>
      </w:r>
    </w:p>
    <w:p w14:paraId="45963112" w14:textId="77777777" w:rsidR="00A01C92" w:rsidRPr="000C199E" w:rsidRDefault="00A01C92" w:rsidP="0003776D">
      <w:pPr>
        <w:jc w:val="both"/>
        <w:rPr>
          <w:sz w:val="20"/>
          <w:szCs w:val="20"/>
        </w:rPr>
      </w:pPr>
    </w:p>
    <w:p w14:paraId="0276CDE6" w14:textId="4EC5E8B0" w:rsidR="09D0949E" w:rsidRDefault="09D0949E" w:rsidP="0003776D">
      <w:pPr>
        <w:pStyle w:val="Heading2"/>
        <w:rPr>
          <w:rFonts w:ascii="Lato" w:eastAsia="Lato" w:hAnsi="Lato" w:cs="Lato"/>
          <w:b/>
          <w:bCs/>
          <w:color w:val="auto"/>
          <w:sz w:val="24"/>
          <w:szCs w:val="24"/>
        </w:rPr>
      </w:pPr>
      <w:bookmarkStart w:id="10" w:name="_Toc136003047"/>
      <w:r w:rsidRPr="22F87D31">
        <w:rPr>
          <w:rFonts w:ascii="Lato" w:eastAsia="Lato" w:hAnsi="Lato" w:cs="Lato"/>
          <w:b/>
          <w:bCs/>
          <w:color w:val="auto"/>
          <w:sz w:val="24"/>
          <w:szCs w:val="24"/>
        </w:rPr>
        <w:t>Measures to effective reparative justice</w:t>
      </w:r>
      <w:bookmarkEnd w:id="10"/>
    </w:p>
    <w:p w14:paraId="6E9E3890" w14:textId="46EB9C67" w:rsidR="09D0949E" w:rsidRDefault="09D0949E" w:rsidP="0003776D">
      <w:pPr>
        <w:jc w:val="both"/>
      </w:pPr>
      <w:r w:rsidRPr="22F87D31">
        <w:rPr>
          <w:rFonts w:ascii="Calibri" w:eastAsia="Calibri" w:hAnsi="Calibri" w:cs="Calibri"/>
          <w:sz w:val="20"/>
          <w:szCs w:val="20"/>
        </w:rPr>
        <w:t xml:space="preserve"> </w:t>
      </w:r>
    </w:p>
    <w:p w14:paraId="36A28D71" w14:textId="26E67EF6" w:rsidR="09D0949E" w:rsidRDefault="09D0949E" w:rsidP="0003776D">
      <w:pPr>
        <w:pStyle w:val="ListParagraph"/>
        <w:numPr>
          <w:ilvl w:val="0"/>
          <w:numId w:val="3"/>
        </w:numPr>
        <w:jc w:val="both"/>
        <w:rPr>
          <w:rFonts w:ascii="Lato" w:eastAsia="Lato" w:hAnsi="Lato" w:cs="Lato"/>
        </w:rPr>
      </w:pPr>
      <w:r w:rsidRPr="5C7B450E">
        <w:rPr>
          <w:rFonts w:ascii="Lato" w:eastAsia="Lato" w:hAnsi="Lato" w:cs="Lato"/>
        </w:rPr>
        <w:t>Recognition of past injustices: It is essential that the States recognize the historical injustices committed against people based on their</w:t>
      </w:r>
      <w:r w:rsidR="00DD5A72">
        <w:rPr>
          <w:rFonts w:ascii="Lato" w:eastAsia="Lato" w:hAnsi="Lato" w:cs="Lato"/>
        </w:rPr>
        <w:t xml:space="preserve"> SOGI</w:t>
      </w:r>
      <w:r w:rsidRPr="5C7B450E">
        <w:rPr>
          <w:rFonts w:ascii="Lato" w:eastAsia="Lato" w:hAnsi="Lato" w:cs="Lato"/>
        </w:rPr>
        <w:t>. This implies a collective acceptance of historical responsibility</w:t>
      </w:r>
      <w:r w:rsidR="008D4A9D">
        <w:rPr>
          <w:rFonts w:ascii="Lato" w:eastAsia="Lato" w:hAnsi="Lato" w:cs="Lato"/>
        </w:rPr>
        <w:t xml:space="preserve"> due to colonialism</w:t>
      </w:r>
      <w:r w:rsidRPr="5C7B450E">
        <w:rPr>
          <w:rFonts w:ascii="Lato" w:eastAsia="Lato" w:hAnsi="Lato" w:cs="Lato"/>
        </w:rPr>
        <w:t xml:space="preserve"> and an understanding of how these injustices have had lasting consequences in the lives of those affected.</w:t>
      </w:r>
    </w:p>
    <w:p w14:paraId="6B0AF9F3" w14:textId="3E2D4F70" w:rsidR="09D0949E" w:rsidRDefault="09D0949E" w:rsidP="0003776D">
      <w:pPr>
        <w:pStyle w:val="ListParagraph"/>
        <w:numPr>
          <w:ilvl w:val="0"/>
          <w:numId w:val="3"/>
        </w:numPr>
        <w:jc w:val="both"/>
        <w:rPr>
          <w:rFonts w:ascii="Lato" w:eastAsia="Lato" w:hAnsi="Lato" w:cs="Lato"/>
        </w:rPr>
      </w:pPr>
      <w:r w:rsidRPr="22F87D31">
        <w:rPr>
          <w:rFonts w:ascii="Lato" w:eastAsia="Lato" w:hAnsi="Lato" w:cs="Lato"/>
        </w:rPr>
        <w:t>Active participation: It is also important to recognize that reparative justice cannot be effective without the active participation of affected communities. Therefore, working closely with civil society organizations</w:t>
      </w:r>
      <w:r w:rsidR="008D4A9D">
        <w:rPr>
          <w:rFonts w:ascii="Lato" w:eastAsia="Lato" w:hAnsi="Lato" w:cs="Lato"/>
        </w:rPr>
        <w:t xml:space="preserve">, including indigenous </w:t>
      </w:r>
      <w:r w:rsidR="005D2297">
        <w:rPr>
          <w:rFonts w:ascii="Lato" w:eastAsia="Lato" w:hAnsi="Lato" w:cs="Lato"/>
        </w:rPr>
        <w:t>communities</w:t>
      </w:r>
      <w:r w:rsidR="008D4A9D">
        <w:rPr>
          <w:rFonts w:ascii="Lato" w:eastAsia="Lato" w:hAnsi="Lato" w:cs="Lato"/>
        </w:rPr>
        <w:t xml:space="preserve">, </w:t>
      </w:r>
      <w:r w:rsidRPr="22F87D31">
        <w:rPr>
          <w:rFonts w:ascii="Lato" w:eastAsia="Lato" w:hAnsi="Lato" w:cs="Lato"/>
        </w:rPr>
        <w:t>members of the LGBTQ+</w:t>
      </w:r>
      <w:r w:rsidR="008D4A9D">
        <w:rPr>
          <w:rFonts w:ascii="Lato" w:eastAsia="Lato" w:hAnsi="Lato" w:cs="Lato"/>
        </w:rPr>
        <w:t xml:space="preserve">, </w:t>
      </w:r>
      <w:r w:rsidRPr="22F87D31">
        <w:rPr>
          <w:rFonts w:ascii="Lato" w:eastAsia="Lato" w:hAnsi="Lato" w:cs="Lato"/>
        </w:rPr>
        <w:t>and other ancestral sexual and gender diverse persons is essential to ensure that reparative justice measures are responsive to the needs and concerns of those directly affected.</w:t>
      </w:r>
    </w:p>
    <w:p w14:paraId="6B251A5E" w14:textId="7DF1B740" w:rsidR="00076776" w:rsidRDefault="09D0949E" w:rsidP="0003776D">
      <w:pPr>
        <w:pStyle w:val="ListParagraph"/>
        <w:numPr>
          <w:ilvl w:val="0"/>
          <w:numId w:val="3"/>
        </w:numPr>
        <w:jc w:val="both"/>
        <w:rPr>
          <w:rFonts w:ascii="Lato" w:eastAsia="Lato" w:hAnsi="Lato" w:cs="Lato"/>
        </w:rPr>
      </w:pPr>
      <w:r w:rsidRPr="22F87D31">
        <w:rPr>
          <w:rFonts w:ascii="Lato" w:eastAsia="Lato" w:hAnsi="Lato" w:cs="Lato"/>
        </w:rPr>
        <w:t>Material and symbolic reparations: Material measures may include financial compensation, access to health and education services, employment and housing opportunities, among others. Symbolic measures may include public apologies, official recognition of the injustices committed, and the promotion of diversity and inclusion in all spheres of society.</w:t>
      </w:r>
    </w:p>
    <w:p w14:paraId="4E4852ED" w14:textId="52F7AA40" w:rsidR="00AE2001" w:rsidRDefault="00AE2001" w:rsidP="0003776D">
      <w:pPr>
        <w:pStyle w:val="ListParagraph"/>
        <w:numPr>
          <w:ilvl w:val="0"/>
          <w:numId w:val="3"/>
        </w:numPr>
        <w:jc w:val="both"/>
        <w:rPr>
          <w:rFonts w:ascii="Lato" w:eastAsia="Lato" w:hAnsi="Lato" w:cs="Lato"/>
        </w:rPr>
      </w:pPr>
      <w:r>
        <w:rPr>
          <w:rFonts w:ascii="Lato" w:eastAsia="Lato" w:hAnsi="Lato" w:cs="Lato"/>
        </w:rPr>
        <w:t>Decriminalization</w:t>
      </w:r>
      <w:r w:rsidR="008D4A9D">
        <w:rPr>
          <w:rFonts w:ascii="Lato" w:eastAsia="Lato" w:hAnsi="Lato" w:cs="Lato"/>
        </w:rPr>
        <w:t xml:space="preserve"> of SOGI</w:t>
      </w:r>
      <w:r>
        <w:rPr>
          <w:rFonts w:ascii="Lato" w:eastAsia="Lato" w:hAnsi="Lato" w:cs="Lato"/>
        </w:rPr>
        <w:t xml:space="preserve"> and repeal of colonial laws: Countries where </w:t>
      </w:r>
      <w:r w:rsidR="008D4A9D">
        <w:rPr>
          <w:rFonts w:ascii="Lato" w:eastAsia="Lato" w:hAnsi="Lato" w:cs="Lato"/>
        </w:rPr>
        <w:t xml:space="preserve">legacies of </w:t>
      </w:r>
      <w:r>
        <w:rPr>
          <w:rFonts w:ascii="Lato" w:eastAsia="Lato" w:hAnsi="Lato" w:cs="Lato"/>
        </w:rPr>
        <w:t>colonial laws are still present today required urgent social and normative changes</w:t>
      </w:r>
      <w:r w:rsidR="008D4A9D">
        <w:rPr>
          <w:rFonts w:ascii="Lato" w:eastAsia="Lato" w:hAnsi="Lato" w:cs="Lato"/>
        </w:rPr>
        <w:t xml:space="preserve"> that should be</w:t>
      </w:r>
      <w:r w:rsidR="00535047">
        <w:rPr>
          <w:rFonts w:ascii="Lato" w:eastAsia="Lato" w:hAnsi="Lato" w:cs="Lato"/>
        </w:rPr>
        <w:t xml:space="preserve"> </w:t>
      </w:r>
      <w:r>
        <w:rPr>
          <w:rFonts w:ascii="Lato" w:eastAsia="Lato" w:hAnsi="Lato" w:cs="Lato"/>
        </w:rPr>
        <w:t xml:space="preserve">in line </w:t>
      </w:r>
      <w:r w:rsidR="008D4A9D">
        <w:rPr>
          <w:rFonts w:ascii="Lato" w:eastAsia="Lato" w:hAnsi="Lato" w:cs="Lato"/>
        </w:rPr>
        <w:t xml:space="preserve">with international human rights standards and that adequately tackle </w:t>
      </w:r>
      <w:r>
        <w:rPr>
          <w:rFonts w:ascii="Lato" w:eastAsia="Lato" w:hAnsi="Lato" w:cs="Lato"/>
        </w:rPr>
        <w:t xml:space="preserve">the multiples realities of their population, which includes </w:t>
      </w:r>
      <w:r w:rsidRPr="22F87D31">
        <w:rPr>
          <w:rFonts w:ascii="Lato" w:eastAsia="Lato" w:hAnsi="Lato" w:cs="Lato"/>
        </w:rPr>
        <w:t>LGBTQ+ and other ancestral sexual and gender diverse persons</w:t>
      </w:r>
      <w:r>
        <w:rPr>
          <w:rFonts w:ascii="Lato" w:eastAsia="Lato" w:hAnsi="Lato" w:cs="Lato"/>
        </w:rPr>
        <w:t xml:space="preserve">. </w:t>
      </w:r>
    </w:p>
    <w:p w14:paraId="252F7C0D" w14:textId="6E0C845E" w:rsidR="00DD5A72" w:rsidRPr="00DD5A72" w:rsidRDefault="00DD5A72" w:rsidP="0003776D">
      <w:pPr>
        <w:pStyle w:val="ListParagraph"/>
        <w:numPr>
          <w:ilvl w:val="0"/>
          <w:numId w:val="3"/>
        </w:numPr>
        <w:jc w:val="both"/>
        <w:rPr>
          <w:rFonts w:ascii="Lato" w:eastAsia="Lato" w:hAnsi="Lato" w:cs="Lato"/>
        </w:rPr>
      </w:pPr>
      <w:r w:rsidRPr="00DD5A72">
        <w:rPr>
          <w:rFonts w:ascii="Lato" w:eastAsia="Lato" w:hAnsi="Lato" w:cs="Lato"/>
        </w:rPr>
        <w:t xml:space="preserve">Raising awareness of the rights of LGBTQ+ and other ancestral sexual and gender diverse persons: It is fundamental to call for more critical societies in countries where colonial legacies are tight with </w:t>
      </w:r>
      <w:r w:rsidR="005D2297">
        <w:rPr>
          <w:rFonts w:ascii="Lato" w:eastAsia="Lato" w:hAnsi="Lato" w:cs="Lato"/>
        </w:rPr>
        <w:t xml:space="preserve">certain </w:t>
      </w:r>
      <w:r w:rsidRPr="00DD5A72">
        <w:rPr>
          <w:rFonts w:ascii="Lato" w:eastAsia="Lato" w:hAnsi="Lato" w:cs="Lato"/>
        </w:rPr>
        <w:t xml:space="preserve">religious moralities </w:t>
      </w:r>
      <w:r w:rsidR="00535047" w:rsidRPr="00DD5A72">
        <w:rPr>
          <w:rFonts w:ascii="Lato" w:eastAsia="Lato" w:hAnsi="Lato" w:cs="Lato"/>
        </w:rPr>
        <w:t>and norms</w:t>
      </w:r>
      <w:r w:rsidR="008D4A9D">
        <w:rPr>
          <w:rFonts w:ascii="Lato" w:eastAsia="Lato" w:hAnsi="Lato" w:cs="Lato"/>
        </w:rPr>
        <w:t xml:space="preserve"> and, therefore</w:t>
      </w:r>
      <w:r w:rsidR="005D2297">
        <w:rPr>
          <w:rFonts w:ascii="Lato" w:eastAsia="Lato" w:hAnsi="Lato" w:cs="Lato"/>
        </w:rPr>
        <w:t>, prevent</w:t>
      </w:r>
      <w:r w:rsidR="008D4A9D">
        <w:rPr>
          <w:rFonts w:ascii="Lato" w:eastAsia="Lato" w:hAnsi="Lato" w:cs="Lato"/>
        </w:rPr>
        <w:t xml:space="preserve"> recognition and advancement of SOGI rights.</w:t>
      </w:r>
    </w:p>
    <w:p w14:paraId="619C8D48" w14:textId="5345D24E" w:rsidR="003401B2" w:rsidRDefault="003401B2" w:rsidP="0003776D">
      <w:pPr>
        <w:pStyle w:val="ListParagraph"/>
        <w:numPr>
          <w:ilvl w:val="0"/>
          <w:numId w:val="3"/>
        </w:numPr>
        <w:jc w:val="both"/>
        <w:rPr>
          <w:rFonts w:ascii="Lato" w:eastAsia="Lato" w:hAnsi="Lato" w:cs="Lato"/>
        </w:rPr>
      </w:pPr>
      <w:r w:rsidRPr="003401B2">
        <w:rPr>
          <w:rFonts w:ascii="Lato" w:eastAsia="Lato" w:hAnsi="Lato" w:cs="Lato"/>
        </w:rPr>
        <w:t xml:space="preserve">Recognition of ancestral identities with diverse SOGI in </w:t>
      </w:r>
      <w:r w:rsidR="008D4A9D">
        <w:rPr>
          <w:rFonts w:ascii="Lato" w:eastAsia="Lato" w:hAnsi="Lato" w:cs="Lato"/>
        </w:rPr>
        <w:t xml:space="preserve">indigenous and </w:t>
      </w:r>
      <w:r w:rsidR="00535047">
        <w:rPr>
          <w:rFonts w:ascii="Lato" w:eastAsia="Lato" w:hAnsi="Lato" w:cs="Lato"/>
        </w:rPr>
        <w:t xml:space="preserve">racialized </w:t>
      </w:r>
      <w:r w:rsidR="00535047" w:rsidRPr="003401B2">
        <w:rPr>
          <w:rFonts w:ascii="Lato" w:eastAsia="Lato" w:hAnsi="Lato" w:cs="Lato"/>
        </w:rPr>
        <w:t>communities</w:t>
      </w:r>
      <w:r>
        <w:rPr>
          <w:rFonts w:ascii="Lato" w:eastAsia="Lato" w:hAnsi="Lato" w:cs="Lato"/>
        </w:rPr>
        <w:t xml:space="preserve">: It is crucial to </w:t>
      </w:r>
      <w:r w:rsidRPr="003401B2">
        <w:rPr>
          <w:rFonts w:ascii="Lato" w:eastAsia="Lato" w:hAnsi="Lato" w:cs="Lato"/>
        </w:rPr>
        <w:t>strengthen</w:t>
      </w:r>
      <w:r>
        <w:rPr>
          <w:rFonts w:ascii="Lato" w:eastAsia="Lato" w:hAnsi="Lato" w:cs="Lato"/>
        </w:rPr>
        <w:t xml:space="preserve"> the social and political participation of </w:t>
      </w:r>
      <w:r w:rsidRPr="22F87D31">
        <w:rPr>
          <w:rFonts w:ascii="Lato" w:eastAsia="Lato" w:hAnsi="Lato" w:cs="Lato"/>
        </w:rPr>
        <w:t xml:space="preserve">LGBTQ+ and other ancestral sexual and gender diverse </w:t>
      </w:r>
      <w:r w:rsidR="00535047" w:rsidRPr="22F87D31">
        <w:rPr>
          <w:rFonts w:ascii="Lato" w:eastAsia="Lato" w:hAnsi="Lato" w:cs="Lato"/>
        </w:rPr>
        <w:t>persons</w:t>
      </w:r>
      <w:r w:rsidR="00535047">
        <w:rPr>
          <w:rFonts w:ascii="Lato" w:eastAsia="Lato" w:hAnsi="Lato" w:cs="Lato"/>
        </w:rPr>
        <w:t xml:space="preserve"> and</w:t>
      </w:r>
      <w:r>
        <w:rPr>
          <w:rFonts w:ascii="Lato" w:eastAsia="Lato" w:hAnsi="Lato" w:cs="Lato"/>
        </w:rPr>
        <w:t xml:space="preserve"> guarantee their active agency in all aspect of public life. </w:t>
      </w:r>
    </w:p>
    <w:p w14:paraId="187904AB" w14:textId="6DAA88E5" w:rsidR="003E0B96" w:rsidRPr="0029128A" w:rsidRDefault="00080150" w:rsidP="0003776D">
      <w:pPr>
        <w:pStyle w:val="ListParagraph"/>
        <w:numPr>
          <w:ilvl w:val="0"/>
          <w:numId w:val="3"/>
        </w:numPr>
        <w:jc w:val="both"/>
        <w:rPr>
          <w:rFonts w:ascii="Lato" w:eastAsia="Lato" w:hAnsi="Lato" w:cs="Lato"/>
        </w:rPr>
      </w:pPr>
      <w:r>
        <w:rPr>
          <w:rFonts w:ascii="Lato" w:eastAsia="Lato" w:hAnsi="Lato" w:cs="Lato"/>
        </w:rPr>
        <w:t xml:space="preserve">Increase the global awareness regarding unfortunate anti-LGBT laws currently being discussed </w:t>
      </w:r>
      <w:r w:rsidR="008D4A9D">
        <w:rPr>
          <w:rFonts w:ascii="Lato" w:eastAsia="Lato" w:hAnsi="Lato" w:cs="Lato"/>
        </w:rPr>
        <w:t xml:space="preserve">and promoted </w:t>
      </w:r>
      <w:r>
        <w:rPr>
          <w:rFonts w:ascii="Lato" w:eastAsia="Lato" w:hAnsi="Lato" w:cs="Lato"/>
        </w:rPr>
        <w:t xml:space="preserve">in countries such Uganda and Tanzania: using </w:t>
      </w:r>
      <w:r w:rsidR="008D4A9D">
        <w:rPr>
          <w:rFonts w:ascii="Lato" w:eastAsia="Lato" w:hAnsi="Lato" w:cs="Lato"/>
        </w:rPr>
        <w:t>a misleading</w:t>
      </w:r>
      <w:r>
        <w:rPr>
          <w:rFonts w:ascii="Lato" w:eastAsia="Lato" w:hAnsi="Lato" w:cs="Lato"/>
        </w:rPr>
        <w:t xml:space="preserve"> rhetoric of </w:t>
      </w:r>
      <w:r w:rsidRPr="00080150">
        <w:rPr>
          <w:rFonts w:ascii="Lato" w:hAnsi="Lato"/>
        </w:rPr>
        <w:t>importing western values</w:t>
      </w:r>
      <w:r>
        <w:rPr>
          <w:rFonts w:ascii="Lato" w:hAnsi="Lato"/>
        </w:rPr>
        <w:t xml:space="preserve"> in African </w:t>
      </w:r>
      <w:r w:rsidR="00535047">
        <w:rPr>
          <w:rFonts w:ascii="Lato" w:hAnsi="Lato"/>
        </w:rPr>
        <w:t>cultures.</w:t>
      </w:r>
      <w:r>
        <w:rPr>
          <w:rFonts w:ascii="Lato" w:hAnsi="Lato"/>
        </w:rPr>
        <w:t xml:space="preserve"> Therefore, </w:t>
      </w:r>
      <w:r w:rsidR="0029128A">
        <w:rPr>
          <w:rFonts w:ascii="Lato" w:hAnsi="Lato"/>
        </w:rPr>
        <w:t xml:space="preserve">it is necessary to promote a </w:t>
      </w:r>
      <w:r w:rsidR="0029128A">
        <w:rPr>
          <w:rFonts w:ascii="Lato" w:eastAsia="Lato" w:hAnsi="Lato" w:cs="Lato"/>
        </w:rPr>
        <w:t xml:space="preserve">global awareness to States to </w:t>
      </w:r>
      <w:r w:rsidR="0029128A" w:rsidRPr="00080150">
        <w:rPr>
          <w:rFonts w:ascii="Lato" w:hAnsi="Lato"/>
        </w:rPr>
        <w:t>reject these laws</w:t>
      </w:r>
      <w:r w:rsidR="0029128A">
        <w:rPr>
          <w:rFonts w:ascii="Lato" w:hAnsi="Lato"/>
        </w:rPr>
        <w:t>.</w:t>
      </w:r>
    </w:p>
    <w:sectPr w:rsidR="003E0B96" w:rsidRPr="0029128A" w:rsidSect="00E817EA">
      <w:headerReference w:type="default" r:id="rId8"/>
      <w:footerReference w:type="even"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FC20" w14:textId="77777777" w:rsidR="00884C43" w:rsidRDefault="00884C43" w:rsidP="0083222C">
      <w:r>
        <w:separator/>
      </w:r>
    </w:p>
  </w:endnote>
  <w:endnote w:type="continuationSeparator" w:id="0">
    <w:p w14:paraId="463B17C9" w14:textId="77777777" w:rsidR="00884C43" w:rsidRDefault="00884C43" w:rsidP="0083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E95" w14:textId="402B10CF" w:rsidR="008D4A9D" w:rsidRDefault="008D4A9D" w:rsidP="009D1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80113A" w14:textId="77777777" w:rsidR="008D4A9D" w:rsidRDefault="008D4A9D" w:rsidP="00586E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242153"/>
      <w:docPartObj>
        <w:docPartGallery w:val="Page Numbers (Bottom of Page)"/>
        <w:docPartUnique/>
      </w:docPartObj>
    </w:sdtPr>
    <w:sdtContent>
      <w:p w14:paraId="426848AD" w14:textId="035296B6" w:rsidR="008D4A9D" w:rsidRDefault="008D4A9D" w:rsidP="009D1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2297">
          <w:rPr>
            <w:rStyle w:val="PageNumber"/>
            <w:noProof/>
          </w:rPr>
          <w:t>3</w:t>
        </w:r>
        <w:r>
          <w:rPr>
            <w:rStyle w:val="PageNumber"/>
          </w:rPr>
          <w:fldChar w:fldCharType="end"/>
        </w:r>
      </w:p>
    </w:sdtContent>
  </w:sdt>
  <w:p w14:paraId="36CF1BBF" w14:textId="77777777" w:rsidR="008D4A9D" w:rsidRDefault="008D4A9D" w:rsidP="00586E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CB44" w14:textId="77777777" w:rsidR="00884C43" w:rsidRDefault="00884C43" w:rsidP="0083222C">
      <w:r>
        <w:separator/>
      </w:r>
    </w:p>
  </w:footnote>
  <w:footnote w:type="continuationSeparator" w:id="0">
    <w:p w14:paraId="4F3DB286" w14:textId="77777777" w:rsidR="00884C43" w:rsidRDefault="00884C43" w:rsidP="0083222C">
      <w:r>
        <w:continuationSeparator/>
      </w:r>
    </w:p>
  </w:footnote>
  <w:footnote w:id="1">
    <w:p w14:paraId="536770CD" w14:textId="405FA8C3" w:rsidR="008D4A9D" w:rsidRPr="007013B4" w:rsidRDefault="008D4A9D" w:rsidP="004E698B">
      <w:pPr>
        <w:pStyle w:val="FootnoteText"/>
        <w:jc w:val="both"/>
        <w:rPr>
          <w:rFonts w:ascii="Lato" w:hAnsi="Lato"/>
          <w:sz w:val="18"/>
          <w:szCs w:val="18"/>
        </w:rPr>
      </w:pPr>
      <w:r w:rsidRPr="004E698B">
        <w:rPr>
          <w:rStyle w:val="FootnoteReference"/>
          <w:rFonts w:ascii="Lato" w:hAnsi="Lato"/>
          <w:sz w:val="18"/>
          <w:szCs w:val="18"/>
        </w:rPr>
        <w:footnoteRef/>
      </w:r>
      <w:r w:rsidRPr="004E698B">
        <w:rPr>
          <w:rFonts w:ascii="Lato" w:hAnsi="Lato"/>
          <w:sz w:val="18"/>
          <w:szCs w:val="18"/>
        </w:rPr>
        <w:t xml:space="preserve"> Independent Expert on Sexual Orientation and Gender Identity. Report “Practices of Exclusion”. </w:t>
      </w:r>
      <w:hyperlink r:id="rId1" w:history="1">
        <w:r w:rsidRPr="004E698B">
          <w:rPr>
            <w:rStyle w:val="Hyperlink"/>
            <w:rFonts w:ascii="Lato" w:hAnsi="Lato"/>
            <w:sz w:val="18"/>
            <w:szCs w:val="18"/>
          </w:rPr>
          <w:t>A/76/152</w:t>
        </w:r>
      </w:hyperlink>
      <w:r w:rsidRPr="004E698B">
        <w:rPr>
          <w:rFonts w:ascii="Lato" w:hAnsi="Lato"/>
          <w:sz w:val="18"/>
          <w:szCs w:val="18"/>
        </w:rPr>
        <w:t xml:space="preserve">. </w:t>
      </w:r>
    </w:p>
  </w:footnote>
  <w:footnote w:id="2">
    <w:p w14:paraId="425F4981" w14:textId="246A41F7" w:rsidR="008D4A9D" w:rsidRPr="004E698B" w:rsidRDefault="008D4A9D" w:rsidP="004E698B">
      <w:pPr>
        <w:pStyle w:val="FootnoteText"/>
        <w:jc w:val="both"/>
        <w:rPr>
          <w:rFonts w:ascii="Lato" w:hAnsi="Lato"/>
          <w:sz w:val="18"/>
          <w:szCs w:val="18"/>
        </w:rPr>
      </w:pPr>
      <w:r w:rsidRPr="004E698B">
        <w:rPr>
          <w:rStyle w:val="FootnoteReference"/>
          <w:rFonts w:ascii="Lato" w:hAnsi="Lato"/>
          <w:sz w:val="18"/>
          <w:szCs w:val="18"/>
        </w:rPr>
        <w:footnoteRef/>
      </w:r>
      <w:r w:rsidRPr="007013B4">
        <w:rPr>
          <w:rFonts w:ascii="Lato" w:hAnsi="Lato"/>
          <w:sz w:val="18"/>
          <w:szCs w:val="18"/>
        </w:rPr>
        <w:t xml:space="preserve"> Ibid. </w:t>
      </w:r>
      <w:r w:rsidRPr="004E698B">
        <w:rPr>
          <w:rFonts w:ascii="Lato" w:hAnsi="Lato"/>
          <w:sz w:val="18"/>
          <w:szCs w:val="18"/>
        </w:rPr>
        <w:t>Para. 36.</w:t>
      </w:r>
    </w:p>
  </w:footnote>
  <w:footnote w:id="3">
    <w:p w14:paraId="0E10925F" w14:textId="6AA539E3" w:rsidR="008D4A9D" w:rsidRPr="004E698B" w:rsidRDefault="008D4A9D" w:rsidP="004E698B">
      <w:pPr>
        <w:pStyle w:val="FootnoteText"/>
        <w:jc w:val="both"/>
        <w:rPr>
          <w:rFonts w:ascii="Lato" w:hAnsi="Lato"/>
          <w:sz w:val="18"/>
          <w:szCs w:val="18"/>
        </w:rPr>
      </w:pPr>
      <w:r w:rsidRPr="004E698B">
        <w:rPr>
          <w:rStyle w:val="FootnoteReference"/>
          <w:rFonts w:ascii="Lato" w:hAnsi="Lato"/>
          <w:sz w:val="18"/>
          <w:szCs w:val="18"/>
        </w:rPr>
        <w:footnoteRef/>
      </w:r>
      <w:r w:rsidRPr="004E698B">
        <w:rPr>
          <w:rFonts w:ascii="Lato" w:hAnsi="Lato"/>
          <w:sz w:val="18"/>
          <w:szCs w:val="18"/>
        </w:rPr>
        <w:t xml:space="preserve"> For instance, see arguments related to the controversial anti-LGBTIQI+ bill in Uganda. (Information provided by Gender Dynamix). See: </w:t>
      </w:r>
      <w:hyperlink r:id="rId2" w:history="1">
        <w:r w:rsidRPr="004E698B">
          <w:rPr>
            <w:rStyle w:val="Hyperlink"/>
            <w:rFonts w:ascii="Lato" w:hAnsi="Lato"/>
            <w:sz w:val="18"/>
            <w:szCs w:val="18"/>
          </w:rPr>
          <w:t>Uganda’s president refuses to sign new hardline anti-LGBTQ+ bill</w:t>
        </w:r>
      </w:hyperlink>
      <w:r w:rsidRPr="004E698B">
        <w:rPr>
          <w:rFonts w:ascii="Lato" w:hAnsi="Lato"/>
          <w:sz w:val="18"/>
          <w:szCs w:val="18"/>
        </w:rPr>
        <w:t xml:space="preserve">. </w:t>
      </w:r>
    </w:p>
  </w:footnote>
  <w:footnote w:id="4">
    <w:p w14:paraId="5C93BC51" w14:textId="69EDA868" w:rsidR="008D4A9D" w:rsidRPr="00EF1388" w:rsidRDefault="008D4A9D" w:rsidP="004E698B">
      <w:pPr>
        <w:pStyle w:val="FootnoteText"/>
        <w:jc w:val="both"/>
        <w:rPr>
          <w:rFonts w:ascii="Lato" w:hAnsi="Lato"/>
          <w:sz w:val="18"/>
          <w:szCs w:val="18"/>
        </w:rPr>
      </w:pPr>
      <w:r w:rsidRPr="00EF1388">
        <w:rPr>
          <w:rStyle w:val="FootnoteReference"/>
          <w:rFonts w:ascii="Lato" w:hAnsi="Lato"/>
          <w:sz w:val="18"/>
          <w:szCs w:val="18"/>
        </w:rPr>
        <w:footnoteRef/>
      </w:r>
      <w:r w:rsidR="003D7EDB" w:rsidRPr="00EF1388">
        <w:rPr>
          <w:rFonts w:ascii="Lato" w:hAnsi="Lato"/>
          <w:sz w:val="18"/>
          <w:szCs w:val="18"/>
        </w:rPr>
        <w:t xml:space="preserve"> Special Rapporteur on the right of everyone to the enjoyment of the highest attainable standard of physical and mental health</w:t>
      </w:r>
      <w:r w:rsidRPr="00EF1388">
        <w:rPr>
          <w:rFonts w:ascii="Lato" w:hAnsi="Lato"/>
          <w:sz w:val="18"/>
          <w:szCs w:val="18"/>
        </w:rPr>
        <w:t>. Report “</w:t>
      </w:r>
      <w:r w:rsidR="003D7EDB" w:rsidRPr="00EF1388">
        <w:rPr>
          <w:rFonts w:ascii="Lato" w:hAnsi="Lato"/>
          <w:sz w:val="18"/>
          <w:szCs w:val="18"/>
        </w:rPr>
        <w:t>Sexual and reproductive health rights: challenges and opportunities during the COVID-19 pandemic</w:t>
      </w:r>
      <w:r w:rsidRPr="00EF1388">
        <w:rPr>
          <w:rFonts w:ascii="Lato" w:hAnsi="Lato"/>
          <w:sz w:val="18"/>
          <w:szCs w:val="18"/>
        </w:rPr>
        <w:t xml:space="preserve">”. </w:t>
      </w:r>
      <w:hyperlink r:id="rId3" w:history="1">
        <w:r w:rsidRPr="00EF1388">
          <w:rPr>
            <w:rStyle w:val="Hyperlink"/>
            <w:rFonts w:ascii="Lato" w:hAnsi="Lato"/>
            <w:sz w:val="18"/>
            <w:szCs w:val="18"/>
          </w:rPr>
          <w:t>A/76/152</w:t>
        </w:r>
      </w:hyperlink>
      <w:r w:rsidRPr="00EF1388">
        <w:rPr>
          <w:rFonts w:ascii="Lato" w:hAnsi="Lato"/>
          <w:sz w:val="18"/>
          <w:szCs w:val="18"/>
        </w:rPr>
        <w:t xml:space="preserve">. Para. 6. </w:t>
      </w:r>
    </w:p>
  </w:footnote>
  <w:footnote w:id="5">
    <w:p w14:paraId="11C2BBC0" w14:textId="7F1C48F2"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 xml:space="preserve">Examples of indigenous groups that move away from the gendered and sexual binary are the </w:t>
      </w:r>
      <w:proofErr w:type="gramStart"/>
      <w:r w:rsidRPr="00AA3A06">
        <w:rPr>
          <w:rFonts w:ascii="Lato" w:hAnsi="Lato" w:cs="Times New Roman"/>
          <w:sz w:val="18"/>
          <w:szCs w:val="18"/>
        </w:rPr>
        <w:t>Non-binary</w:t>
      </w:r>
      <w:proofErr w:type="gramEnd"/>
      <w:r w:rsidRPr="00AA3A06">
        <w:rPr>
          <w:rFonts w:ascii="Lato" w:hAnsi="Lato" w:cs="Times New Roman"/>
          <w:sz w:val="18"/>
          <w:szCs w:val="18"/>
        </w:rPr>
        <w:t xml:space="preserve"> and “third gender” people that held important social and spiritual positions in many cultures: the </w:t>
      </w:r>
      <w:proofErr w:type="spellStart"/>
      <w:r w:rsidRPr="00AA3A06">
        <w:rPr>
          <w:rFonts w:ascii="Lato" w:hAnsi="Lato" w:cs="Times New Roman"/>
          <w:sz w:val="18"/>
          <w:szCs w:val="18"/>
        </w:rPr>
        <w:t>Isangoma</w:t>
      </w:r>
      <w:proofErr w:type="spellEnd"/>
      <w:r w:rsidRPr="00AA3A06">
        <w:rPr>
          <w:rFonts w:ascii="Lato" w:hAnsi="Lato" w:cs="Times New Roman"/>
          <w:sz w:val="18"/>
          <w:szCs w:val="18"/>
        </w:rPr>
        <w:t xml:space="preserve"> of the Zulu for instance; or the Babaylan of the Philippines. See: </w:t>
      </w:r>
      <w:proofErr w:type="spellStart"/>
      <w:r w:rsidRPr="00AA3A06">
        <w:rPr>
          <w:rFonts w:ascii="Lato" w:hAnsi="Lato" w:cs="Times New Roman"/>
          <w:sz w:val="18"/>
          <w:szCs w:val="18"/>
        </w:rPr>
        <w:t>Chitando</w:t>
      </w:r>
      <w:proofErr w:type="spellEnd"/>
      <w:r w:rsidRPr="00AA3A06">
        <w:rPr>
          <w:rFonts w:ascii="Lato" w:hAnsi="Lato" w:cs="Times New Roman"/>
          <w:sz w:val="18"/>
          <w:szCs w:val="18"/>
        </w:rPr>
        <w:t xml:space="preserve">, Ezra, and </w:t>
      </w:r>
      <w:proofErr w:type="spellStart"/>
      <w:r w:rsidRPr="00AA3A06">
        <w:rPr>
          <w:rFonts w:ascii="Lato" w:hAnsi="Lato" w:cs="Times New Roman"/>
          <w:sz w:val="18"/>
          <w:szCs w:val="18"/>
        </w:rPr>
        <w:t>Mateveke</w:t>
      </w:r>
      <w:proofErr w:type="spellEnd"/>
      <w:r w:rsidRPr="00AA3A06">
        <w:rPr>
          <w:rFonts w:ascii="Lato" w:hAnsi="Lato" w:cs="Times New Roman"/>
          <w:sz w:val="18"/>
          <w:szCs w:val="18"/>
        </w:rPr>
        <w:t>, Pauline. (2017). “</w:t>
      </w:r>
      <w:hyperlink r:id="rId4" w:history="1">
        <w:r w:rsidRPr="00AA3A06">
          <w:rPr>
            <w:rStyle w:val="Hyperlink"/>
            <w:rFonts w:ascii="Lato" w:hAnsi="Lato" w:cs="Times New Roman"/>
            <w:sz w:val="18"/>
            <w:szCs w:val="18"/>
          </w:rPr>
          <w:t>Africanizing the discourse on homosexuality: challenges and prospects</w:t>
        </w:r>
      </w:hyperlink>
      <w:r w:rsidRPr="00AA3A06">
        <w:rPr>
          <w:rFonts w:ascii="Lato" w:hAnsi="Lato" w:cs="Times New Roman"/>
          <w:sz w:val="18"/>
          <w:szCs w:val="18"/>
        </w:rPr>
        <w:t>”. Critical African Studies, 9:1: 124-140.</w:t>
      </w:r>
    </w:p>
  </w:footnote>
  <w:footnote w:id="6">
    <w:p w14:paraId="1B237226" w14:textId="62788C5F"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Walters, K.L, et al. (2006). “</w:t>
      </w:r>
      <w:hyperlink r:id="rId5" w:history="1">
        <w:r w:rsidRPr="00AA3A06">
          <w:rPr>
            <w:rStyle w:val="Hyperlink"/>
            <w:rFonts w:ascii="Lato" w:hAnsi="Lato" w:cs="Times New Roman"/>
            <w:sz w:val="18"/>
            <w:szCs w:val="18"/>
          </w:rPr>
          <w:t>My Spirit in My Heart</w:t>
        </w:r>
      </w:hyperlink>
      <w:r w:rsidRPr="00AA3A06">
        <w:rPr>
          <w:rFonts w:ascii="Lato" w:hAnsi="Lato" w:cs="Times New Roman"/>
          <w:sz w:val="18"/>
          <w:szCs w:val="18"/>
        </w:rPr>
        <w:t>”: Identity Experiences and Challenges Among American Indian Two-Spirit, Journal of Lesbian Studies, 10:1-2, 125-149.</w:t>
      </w:r>
    </w:p>
  </w:footnote>
  <w:footnote w:id="7">
    <w:p w14:paraId="13F79B47" w14:textId="659E6F12"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 xml:space="preserve">An umbrella term that involves all gender and sexual variance among people of Indigenous North American descent: including lesbian, gay, bisexual, transgender and/or queer identities. For more information, see </w:t>
      </w:r>
      <w:proofErr w:type="spellStart"/>
      <w:r w:rsidRPr="00AA3A06">
        <w:rPr>
          <w:rFonts w:ascii="Lato" w:hAnsi="Lato" w:cs="Times New Roman"/>
          <w:sz w:val="18"/>
          <w:szCs w:val="18"/>
        </w:rPr>
        <w:t>Ristock</w:t>
      </w:r>
      <w:proofErr w:type="spellEnd"/>
      <w:r w:rsidRPr="00AA3A06">
        <w:rPr>
          <w:rFonts w:ascii="Lato" w:hAnsi="Lato" w:cs="Times New Roman"/>
          <w:sz w:val="18"/>
          <w:szCs w:val="18"/>
        </w:rPr>
        <w:t xml:space="preserve">, J., et al. (2019). </w:t>
      </w:r>
      <w:hyperlink r:id="rId6" w:history="1">
        <w:r w:rsidRPr="00AA3A06">
          <w:rPr>
            <w:rStyle w:val="Hyperlink"/>
            <w:rFonts w:ascii="Lato" w:hAnsi="Lato" w:cs="Times New Roman"/>
            <w:sz w:val="18"/>
            <w:szCs w:val="18"/>
          </w:rPr>
          <w:t>Impacts of colonization on Indigenous Two-Spirit/ LGBTQ Canadians’ experiences of migration, mobility and relationship violence</w:t>
        </w:r>
      </w:hyperlink>
      <w:r w:rsidRPr="00AA3A06">
        <w:rPr>
          <w:rFonts w:ascii="Lato" w:hAnsi="Lato" w:cs="Times New Roman"/>
          <w:sz w:val="18"/>
          <w:szCs w:val="18"/>
        </w:rPr>
        <w:t xml:space="preserve">, Sexualities 2019, Vol. 22(5–6) 767–784. </w:t>
      </w:r>
    </w:p>
  </w:footnote>
  <w:footnote w:id="8">
    <w:p w14:paraId="4A16D725" w14:textId="3BC87472"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proofErr w:type="spellStart"/>
      <w:r w:rsidRPr="00AA3A06">
        <w:rPr>
          <w:rFonts w:ascii="Lato" w:hAnsi="Lato" w:cs="Times New Roman"/>
          <w:i/>
          <w:iCs/>
          <w:sz w:val="18"/>
          <w:szCs w:val="18"/>
        </w:rPr>
        <w:t>Bonju</w:t>
      </w:r>
      <w:proofErr w:type="spellEnd"/>
      <w:r w:rsidRPr="00AA3A06">
        <w:rPr>
          <w:rFonts w:ascii="Lato" w:hAnsi="Lato" w:cs="Times New Roman"/>
          <w:sz w:val="18"/>
          <w:szCs w:val="18"/>
        </w:rPr>
        <w:t xml:space="preserve"> is a word in north-Sami that is directly translated from the Norwegian word for queer, </w:t>
      </w:r>
      <w:proofErr w:type="spellStart"/>
      <w:r w:rsidRPr="00AA3A06">
        <w:rPr>
          <w:rFonts w:ascii="Lato" w:hAnsi="Lato" w:cs="Times New Roman"/>
          <w:sz w:val="18"/>
          <w:szCs w:val="18"/>
        </w:rPr>
        <w:t>skeiv</w:t>
      </w:r>
      <w:proofErr w:type="spellEnd"/>
      <w:r w:rsidRPr="00AA3A06">
        <w:rPr>
          <w:rFonts w:ascii="Lato" w:hAnsi="Lato" w:cs="Times New Roman"/>
          <w:sz w:val="18"/>
          <w:szCs w:val="18"/>
        </w:rPr>
        <w:t xml:space="preserve">. The term </w:t>
      </w:r>
      <w:proofErr w:type="spellStart"/>
      <w:r w:rsidRPr="00AA3A06">
        <w:rPr>
          <w:rFonts w:ascii="Lato" w:hAnsi="Lato" w:cs="Times New Roman"/>
          <w:i/>
          <w:iCs/>
          <w:sz w:val="18"/>
          <w:szCs w:val="18"/>
        </w:rPr>
        <w:t>bonju</w:t>
      </w:r>
      <w:proofErr w:type="spellEnd"/>
      <w:r w:rsidRPr="00AA3A06">
        <w:rPr>
          <w:rFonts w:ascii="Lato" w:hAnsi="Lato" w:cs="Times New Roman"/>
          <w:sz w:val="18"/>
          <w:szCs w:val="18"/>
        </w:rPr>
        <w:t xml:space="preserve"> is coined by queer Sami in the Sami language, and not by outsiders, and is therefore based on queer indigenous conditions. For more information, see </w:t>
      </w:r>
      <w:proofErr w:type="spellStart"/>
      <w:r w:rsidRPr="00AA3A06">
        <w:rPr>
          <w:rFonts w:ascii="Lato" w:hAnsi="Lato" w:cs="Times New Roman"/>
          <w:sz w:val="18"/>
          <w:szCs w:val="18"/>
        </w:rPr>
        <w:t>Løvold</w:t>
      </w:r>
      <w:proofErr w:type="spellEnd"/>
      <w:r w:rsidRPr="00AA3A06">
        <w:rPr>
          <w:rFonts w:ascii="Lato" w:hAnsi="Lato" w:cs="Times New Roman"/>
          <w:sz w:val="18"/>
          <w:szCs w:val="18"/>
        </w:rPr>
        <w:t xml:space="preserve">, A. (2015). </w:t>
      </w:r>
      <w:hyperlink r:id="rId7" w:history="1">
        <w:r w:rsidRPr="00AA3A06">
          <w:rPr>
            <w:rStyle w:val="Hyperlink"/>
            <w:rFonts w:ascii="Lato" w:hAnsi="Lato" w:cs="Times New Roman"/>
            <w:sz w:val="18"/>
            <w:szCs w:val="18"/>
          </w:rPr>
          <w:t xml:space="preserve">The silence in </w:t>
        </w:r>
        <w:proofErr w:type="spellStart"/>
        <w:r w:rsidRPr="00AA3A06">
          <w:rPr>
            <w:rStyle w:val="Hyperlink"/>
            <w:rFonts w:ascii="Lato" w:hAnsi="Lato" w:cs="Times New Roman"/>
            <w:sz w:val="18"/>
            <w:szCs w:val="18"/>
          </w:rPr>
          <w:t>Sápmi</w:t>
        </w:r>
        <w:proofErr w:type="spellEnd"/>
        <w:r w:rsidRPr="00AA3A06">
          <w:rPr>
            <w:rStyle w:val="Hyperlink"/>
            <w:rFonts w:ascii="Lato" w:hAnsi="Lato" w:cs="Times New Roman"/>
            <w:sz w:val="18"/>
            <w:szCs w:val="18"/>
          </w:rPr>
          <w:t xml:space="preserve"> - and the queer Sami breaking it</w:t>
        </w:r>
      </w:hyperlink>
      <w:r w:rsidRPr="00AA3A06">
        <w:rPr>
          <w:rFonts w:ascii="Lato" w:hAnsi="Lato" w:cs="Times New Roman"/>
          <w:sz w:val="18"/>
          <w:szCs w:val="18"/>
        </w:rPr>
        <w:t xml:space="preserve">. Master Thesis. </w:t>
      </w:r>
      <w:proofErr w:type="spellStart"/>
      <w:r w:rsidRPr="00AA3A06">
        <w:rPr>
          <w:rFonts w:ascii="Lato" w:hAnsi="Lato" w:cs="Times New Roman"/>
          <w:sz w:val="18"/>
          <w:szCs w:val="18"/>
        </w:rPr>
        <w:t>UiT</w:t>
      </w:r>
      <w:proofErr w:type="spellEnd"/>
      <w:r w:rsidRPr="00AA3A06">
        <w:rPr>
          <w:rFonts w:ascii="Lato" w:hAnsi="Lato" w:cs="Times New Roman"/>
          <w:sz w:val="18"/>
          <w:szCs w:val="18"/>
        </w:rPr>
        <w:t xml:space="preserve"> The Arctic University of Norway. </w:t>
      </w:r>
    </w:p>
  </w:footnote>
  <w:footnote w:id="9">
    <w:p w14:paraId="5E492B2D" w14:textId="67DBD7AD"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proofErr w:type="spellStart"/>
      <w:r w:rsidRPr="00AA3A06">
        <w:rPr>
          <w:rFonts w:ascii="Lato" w:hAnsi="Lato" w:cs="Times New Roman"/>
          <w:i/>
          <w:iCs/>
          <w:sz w:val="18"/>
          <w:szCs w:val="18"/>
        </w:rPr>
        <w:t>Muxes</w:t>
      </w:r>
      <w:proofErr w:type="spellEnd"/>
      <w:r w:rsidRPr="00AA3A06">
        <w:rPr>
          <w:rFonts w:ascii="Lato" w:hAnsi="Lato" w:cs="Times New Roman"/>
          <w:sz w:val="18"/>
          <w:szCs w:val="18"/>
        </w:rPr>
        <w:t xml:space="preserve"> are biological males who also manifest feminine identities in their dress and attire, but they are not transgender or consider themselves women. They both self-identify and are generally recognized and accepted as a third gender, rather than as men or women, adopting characteristics of each gender. For more information, see </w:t>
      </w:r>
      <w:proofErr w:type="spellStart"/>
      <w:r w:rsidRPr="00AA3A06">
        <w:rPr>
          <w:rFonts w:ascii="Lato" w:hAnsi="Lato" w:cs="Times New Roman"/>
          <w:sz w:val="18"/>
          <w:szCs w:val="18"/>
        </w:rPr>
        <w:t>Mirandé</w:t>
      </w:r>
      <w:proofErr w:type="spellEnd"/>
      <w:r w:rsidRPr="00AA3A06">
        <w:rPr>
          <w:rFonts w:ascii="Lato" w:hAnsi="Lato" w:cs="Times New Roman"/>
          <w:sz w:val="18"/>
          <w:szCs w:val="18"/>
        </w:rPr>
        <w:t xml:space="preserve">, A. (2016). </w:t>
      </w:r>
      <w:hyperlink r:id="rId8" w:history="1">
        <w:r w:rsidRPr="00AA3A06">
          <w:rPr>
            <w:rStyle w:val="Hyperlink"/>
            <w:rFonts w:ascii="Lato" w:hAnsi="Lato" w:cs="Times New Roman"/>
            <w:sz w:val="18"/>
            <w:szCs w:val="18"/>
          </w:rPr>
          <w:t xml:space="preserve">Hombre </w:t>
        </w:r>
        <w:proofErr w:type="spellStart"/>
        <w:r w:rsidRPr="00AA3A06">
          <w:rPr>
            <w:rStyle w:val="Hyperlink"/>
            <w:rFonts w:ascii="Lato" w:hAnsi="Lato" w:cs="Times New Roman"/>
            <w:sz w:val="18"/>
            <w:szCs w:val="18"/>
          </w:rPr>
          <w:t>Mujeres</w:t>
        </w:r>
        <w:proofErr w:type="spellEnd"/>
        <w:r w:rsidRPr="00AA3A06">
          <w:rPr>
            <w:rStyle w:val="Hyperlink"/>
            <w:rFonts w:ascii="Lato" w:hAnsi="Lato" w:cs="Times New Roman"/>
            <w:sz w:val="18"/>
            <w:szCs w:val="18"/>
          </w:rPr>
          <w:t>: an Indigenous Third Gender, Men and Masculinities</w:t>
        </w:r>
      </w:hyperlink>
      <w:r w:rsidRPr="00AA3A06">
        <w:rPr>
          <w:rFonts w:ascii="Lato" w:hAnsi="Lato" w:cs="Times New Roman"/>
          <w:sz w:val="18"/>
          <w:szCs w:val="18"/>
        </w:rPr>
        <w:t>, Vol. 19(4) 384-409. </w:t>
      </w:r>
      <w:r w:rsidRPr="00AA3A06">
        <w:rPr>
          <w:rFonts w:ascii="Lato" w:hAnsi="Lato"/>
          <w:sz w:val="18"/>
          <w:szCs w:val="18"/>
        </w:rPr>
        <w:t xml:space="preserve"> </w:t>
      </w:r>
    </w:p>
  </w:footnote>
  <w:footnote w:id="10">
    <w:p w14:paraId="10170E45" w14:textId="5BDB14C2" w:rsidR="008D4A9D" w:rsidRPr="00AA3A06" w:rsidRDefault="008D4A9D" w:rsidP="00C0628B">
      <w:pPr>
        <w:pStyle w:val="EndnoteText"/>
        <w:jc w:val="both"/>
        <w:rPr>
          <w:rFonts w:ascii="Lato" w:hAnsi="Lato" w:cs="Times New Roman"/>
          <w:sz w:val="18"/>
          <w:szCs w:val="18"/>
        </w:rPr>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 xml:space="preserve">Traditionally, </w:t>
      </w:r>
      <w:r w:rsidRPr="00AA3A06">
        <w:rPr>
          <w:rFonts w:ascii="Lato" w:hAnsi="Lato" w:cs="Times New Roman"/>
          <w:i/>
          <w:iCs/>
          <w:sz w:val="18"/>
          <w:szCs w:val="18"/>
        </w:rPr>
        <w:t>hijras</w:t>
      </w:r>
      <w:r w:rsidRPr="00AA3A06">
        <w:rPr>
          <w:rFonts w:ascii="Lato" w:hAnsi="Lato" w:cs="Times New Roman"/>
          <w:sz w:val="18"/>
          <w:szCs w:val="18"/>
        </w:rPr>
        <w:t xml:space="preserve"> are male-bodied feminine-identified people who sacrifice, although not always, their male genitals in return for spiritual power to bless and curse the newlywed and the newborn. A wide range of terminology, ranging from transsexual to transvestite and intersex, is used in South Asian and international popular media to describe the hijra. For more information, see Hossain, A. (2016). </w:t>
      </w:r>
      <w:hyperlink r:id="rId9" w:history="1">
        <w:r w:rsidRPr="00AA3A06">
          <w:rPr>
            <w:rStyle w:val="Hyperlink"/>
            <w:rFonts w:ascii="Lato" w:hAnsi="Lato" w:cs="Times New Roman"/>
            <w:sz w:val="18"/>
            <w:szCs w:val="18"/>
          </w:rPr>
          <w:t>The paradox of recognition: hijra, third gender and sexual rights in Bangladesh</w:t>
        </w:r>
      </w:hyperlink>
      <w:r w:rsidRPr="00AA3A06">
        <w:rPr>
          <w:rFonts w:ascii="Lato" w:hAnsi="Lato" w:cs="Times New Roman"/>
          <w:sz w:val="18"/>
          <w:szCs w:val="18"/>
        </w:rPr>
        <w:t>. Culture, Health &amp; Sexuality, 2017 Vol. 19, No. 12, 1418–1431.</w:t>
      </w:r>
    </w:p>
  </w:footnote>
  <w:footnote w:id="11">
    <w:p w14:paraId="6F490E29" w14:textId="5CE0356D" w:rsidR="008D4A9D" w:rsidRPr="00AA3A06" w:rsidRDefault="008D4A9D" w:rsidP="00C0628B">
      <w:pPr>
        <w:pStyle w:val="FootnoteText"/>
        <w:jc w:val="both"/>
        <w:rPr>
          <w:rFonts w:ascii="Lato" w:hAnsi="Lato"/>
          <w:sz w:val="18"/>
          <w:szCs w:val="18"/>
        </w:rPr>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 xml:space="preserve">The term </w:t>
      </w:r>
      <w:proofErr w:type="spellStart"/>
      <w:r w:rsidRPr="00AA3A06">
        <w:rPr>
          <w:rFonts w:ascii="Lato" w:hAnsi="Lato" w:cs="Times New Roman"/>
          <w:i/>
          <w:iCs/>
          <w:sz w:val="18"/>
          <w:szCs w:val="18"/>
        </w:rPr>
        <w:t>takatāpui</w:t>
      </w:r>
      <w:proofErr w:type="spellEnd"/>
      <w:r w:rsidRPr="00AA3A06">
        <w:rPr>
          <w:rFonts w:ascii="Lato" w:hAnsi="Lato" w:cs="Times New Roman"/>
          <w:i/>
          <w:iCs/>
          <w:sz w:val="18"/>
          <w:szCs w:val="18"/>
        </w:rPr>
        <w:t xml:space="preserve"> </w:t>
      </w:r>
      <w:r w:rsidRPr="00AA3A06">
        <w:rPr>
          <w:rFonts w:ascii="Lato" w:hAnsi="Lato" w:cs="Times New Roman"/>
          <w:sz w:val="18"/>
          <w:szCs w:val="18"/>
        </w:rPr>
        <w:t xml:space="preserve">is used to describe queer persons from the Maori culture in New Zealand. The word </w:t>
      </w:r>
      <w:proofErr w:type="spellStart"/>
      <w:r w:rsidRPr="00AA3A06">
        <w:rPr>
          <w:rFonts w:ascii="Lato" w:hAnsi="Lato" w:cs="Times New Roman"/>
          <w:sz w:val="18"/>
          <w:szCs w:val="18"/>
        </w:rPr>
        <w:t>takatāpui</w:t>
      </w:r>
      <w:proofErr w:type="spellEnd"/>
      <w:r w:rsidRPr="00AA3A06">
        <w:rPr>
          <w:rFonts w:ascii="Lato" w:hAnsi="Lato" w:cs="Times New Roman"/>
          <w:sz w:val="18"/>
          <w:szCs w:val="18"/>
        </w:rPr>
        <w:t xml:space="preserve"> originates in the indigenous </w:t>
      </w:r>
      <w:proofErr w:type="spellStart"/>
      <w:r w:rsidRPr="00AA3A06">
        <w:rPr>
          <w:rFonts w:ascii="Lato" w:hAnsi="Lato" w:cs="Times New Roman"/>
          <w:i/>
          <w:sz w:val="18"/>
          <w:szCs w:val="18"/>
        </w:rPr>
        <w:t>te</w:t>
      </w:r>
      <w:proofErr w:type="spellEnd"/>
      <w:r w:rsidRPr="00AA3A06">
        <w:rPr>
          <w:rFonts w:ascii="Lato" w:hAnsi="Lato" w:cs="Times New Roman"/>
          <w:i/>
          <w:sz w:val="18"/>
          <w:szCs w:val="18"/>
        </w:rPr>
        <w:t xml:space="preserve"> </w:t>
      </w:r>
      <w:proofErr w:type="spellStart"/>
      <w:r w:rsidRPr="00AA3A06">
        <w:rPr>
          <w:rFonts w:ascii="Lato" w:hAnsi="Lato" w:cs="Times New Roman"/>
          <w:i/>
          <w:sz w:val="18"/>
          <w:szCs w:val="18"/>
        </w:rPr>
        <w:t>Reo</w:t>
      </w:r>
      <w:proofErr w:type="spellEnd"/>
      <w:r w:rsidRPr="00AA3A06">
        <w:rPr>
          <w:rFonts w:ascii="Lato" w:hAnsi="Lato" w:cs="Times New Roman"/>
          <w:i/>
          <w:sz w:val="18"/>
          <w:szCs w:val="18"/>
        </w:rPr>
        <w:t xml:space="preserve"> </w:t>
      </w:r>
      <w:proofErr w:type="spellStart"/>
      <w:r w:rsidRPr="00AA3A06">
        <w:rPr>
          <w:rFonts w:ascii="Lato" w:hAnsi="Lato" w:cs="Times New Roman"/>
          <w:i/>
          <w:sz w:val="18"/>
          <w:szCs w:val="18"/>
        </w:rPr>
        <w:t>Maori</w:t>
      </w:r>
      <w:proofErr w:type="spellEnd"/>
      <w:r w:rsidRPr="00AA3A06">
        <w:rPr>
          <w:rFonts w:ascii="Lato" w:hAnsi="Lato" w:cs="Times New Roman"/>
          <w:sz w:val="18"/>
          <w:szCs w:val="18"/>
        </w:rPr>
        <w:t xml:space="preserve"> language, which originally means “intimate friendship”, but it has come to take on a new meaning in the recent 20-25 </w:t>
      </w:r>
      <w:proofErr w:type="gramStart"/>
      <w:r w:rsidRPr="00AA3A06">
        <w:rPr>
          <w:rFonts w:ascii="Lato" w:hAnsi="Lato" w:cs="Times New Roman"/>
          <w:sz w:val="18"/>
          <w:szCs w:val="18"/>
        </w:rPr>
        <w:t>years, and</w:t>
      </w:r>
      <w:proofErr w:type="gramEnd"/>
      <w:r w:rsidRPr="00AA3A06">
        <w:rPr>
          <w:rFonts w:ascii="Lato" w:hAnsi="Lato" w:cs="Times New Roman"/>
          <w:sz w:val="18"/>
          <w:szCs w:val="18"/>
        </w:rPr>
        <w:t xml:space="preserve"> is now recognized as the word for “intimate relationship with same sex”. It has been reclaimed to embrace all Māori who identify with diverse genders, </w:t>
      </w:r>
      <w:proofErr w:type="gramStart"/>
      <w:r w:rsidRPr="00AA3A06">
        <w:rPr>
          <w:rFonts w:ascii="Lato" w:hAnsi="Lato" w:cs="Times New Roman"/>
          <w:sz w:val="18"/>
          <w:szCs w:val="18"/>
        </w:rPr>
        <w:t>sexualities</w:t>
      </w:r>
      <w:proofErr w:type="gramEnd"/>
      <w:r w:rsidRPr="00AA3A06">
        <w:rPr>
          <w:rFonts w:ascii="Lato" w:hAnsi="Lato" w:cs="Times New Roman"/>
          <w:sz w:val="18"/>
          <w:szCs w:val="18"/>
        </w:rPr>
        <w:t xml:space="preserve"> and sex characteristics such as </w:t>
      </w:r>
      <w:proofErr w:type="spellStart"/>
      <w:r w:rsidRPr="00AA3A06">
        <w:rPr>
          <w:rFonts w:ascii="Lato" w:hAnsi="Lato" w:cs="Times New Roman"/>
          <w:sz w:val="18"/>
          <w:szCs w:val="18"/>
        </w:rPr>
        <w:t>whakawāhine</w:t>
      </w:r>
      <w:proofErr w:type="spellEnd"/>
      <w:r w:rsidRPr="00AA3A06">
        <w:rPr>
          <w:rFonts w:ascii="Lato" w:hAnsi="Lato" w:cs="Times New Roman"/>
          <w:sz w:val="18"/>
          <w:szCs w:val="18"/>
        </w:rPr>
        <w:t xml:space="preserve">, </w:t>
      </w:r>
      <w:proofErr w:type="spellStart"/>
      <w:r w:rsidRPr="00AA3A06">
        <w:rPr>
          <w:rFonts w:ascii="Lato" w:hAnsi="Lato" w:cs="Times New Roman"/>
          <w:sz w:val="18"/>
          <w:szCs w:val="18"/>
        </w:rPr>
        <w:t>tangata</w:t>
      </w:r>
      <w:proofErr w:type="spellEnd"/>
      <w:r w:rsidRPr="00AA3A06">
        <w:rPr>
          <w:rFonts w:ascii="Lato" w:hAnsi="Lato" w:cs="Times New Roman"/>
          <w:sz w:val="18"/>
          <w:szCs w:val="18"/>
        </w:rPr>
        <w:t xml:space="preserve"> </w:t>
      </w:r>
      <w:proofErr w:type="spellStart"/>
      <w:r w:rsidRPr="00AA3A06">
        <w:rPr>
          <w:rFonts w:ascii="Lato" w:hAnsi="Lato" w:cs="Times New Roman"/>
          <w:sz w:val="18"/>
          <w:szCs w:val="18"/>
        </w:rPr>
        <w:t>ira</w:t>
      </w:r>
      <w:proofErr w:type="spellEnd"/>
      <w:r w:rsidRPr="00AA3A06">
        <w:rPr>
          <w:rFonts w:ascii="Lato" w:hAnsi="Lato" w:cs="Times New Roman"/>
          <w:sz w:val="18"/>
          <w:szCs w:val="18"/>
        </w:rPr>
        <w:t xml:space="preserve"> </w:t>
      </w:r>
      <w:proofErr w:type="spellStart"/>
      <w:r w:rsidRPr="00AA3A06">
        <w:rPr>
          <w:rFonts w:ascii="Lato" w:hAnsi="Lato" w:cs="Times New Roman"/>
          <w:sz w:val="18"/>
          <w:szCs w:val="18"/>
        </w:rPr>
        <w:t>tāne</w:t>
      </w:r>
      <w:proofErr w:type="spellEnd"/>
      <w:r w:rsidRPr="00AA3A06">
        <w:rPr>
          <w:rFonts w:ascii="Lato" w:hAnsi="Lato" w:cs="Times New Roman"/>
          <w:sz w:val="18"/>
          <w:szCs w:val="18"/>
        </w:rPr>
        <w:t xml:space="preserve">, lesbian, gay, bisexual, trans, intersex, non-binary and queer. For more information, see </w:t>
      </w:r>
      <w:proofErr w:type="spellStart"/>
      <w:r w:rsidRPr="00AA3A06">
        <w:rPr>
          <w:rFonts w:ascii="Lato" w:hAnsi="Lato" w:cs="Times New Roman"/>
          <w:sz w:val="18"/>
          <w:szCs w:val="18"/>
        </w:rPr>
        <w:t>Løvold</w:t>
      </w:r>
      <w:proofErr w:type="spellEnd"/>
      <w:r w:rsidRPr="00AA3A06">
        <w:rPr>
          <w:rFonts w:ascii="Lato" w:hAnsi="Lato" w:cs="Times New Roman"/>
          <w:sz w:val="18"/>
          <w:szCs w:val="18"/>
        </w:rPr>
        <w:t xml:space="preserve">, A. (2015). </w:t>
      </w:r>
      <w:hyperlink r:id="rId10" w:history="1">
        <w:r w:rsidRPr="00AA3A06">
          <w:rPr>
            <w:rStyle w:val="Hyperlink"/>
            <w:rFonts w:ascii="Lato" w:hAnsi="Lato" w:cs="Times New Roman"/>
            <w:sz w:val="18"/>
            <w:szCs w:val="18"/>
          </w:rPr>
          <w:t xml:space="preserve">The silence in </w:t>
        </w:r>
        <w:proofErr w:type="spellStart"/>
        <w:r w:rsidRPr="00AA3A06">
          <w:rPr>
            <w:rStyle w:val="Hyperlink"/>
            <w:rFonts w:ascii="Lato" w:hAnsi="Lato" w:cs="Times New Roman"/>
            <w:sz w:val="18"/>
            <w:szCs w:val="18"/>
          </w:rPr>
          <w:t>Sápmi</w:t>
        </w:r>
        <w:proofErr w:type="spellEnd"/>
        <w:r w:rsidRPr="00AA3A06">
          <w:rPr>
            <w:rStyle w:val="Hyperlink"/>
            <w:rFonts w:ascii="Lato" w:hAnsi="Lato" w:cs="Times New Roman"/>
            <w:sz w:val="18"/>
            <w:szCs w:val="18"/>
          </w:rPr>
          <w:t xml:space="preserve"> - and the queer Sami breaking it</w:t>
        </w:r>
      </w:hyperlink>
      <w:r w:rsidRPr="00AA3A06">
        <w:rPr>
          <w:rFonts w:ascii="Lato" w:hAnsi="Lato" w:cs="Times New Roman"/>
          <w:sz w:val="18"/>
          <w:szCs w:val="18"/>
        </w:rPr>
        <w:t xml:space="preserve">. Master Thesis. </w:t>
      </w:r>
      <w:proofErr w:type="spellStart"/>
      <w:r w:rsidRPr="00AA3A06">
        <w:rPr>
          <w:rFonts w:ascii="Lato" w:hAnsi="Lato" w:cs="Times New Roman"/>
          <w:sz w:val="18"/>
          <w:szCs w:val="18"/>
        </w:rPr>
        <w:t>UiT</w:t>
      </w:r>
      <w:proofErr w:type="spellEnd"/>
      <w:r w:rsidRPr="00AA3A06">
        <w:rPr>
          <w:rFonts w:ascii="Lato" w:hAnsi="Lato" w:cs="Times New Roman"/>
          <w:sz w:val="18"/>
          <w:szCs w:val="18"/>
        </w:rPr>
        <w:t xml:space="preserve"> The Arctic University of Norway, and </w:t>
      </w:r>
      <w:proofErr w:type="spellStart"/>
      <w:r w:rsidRPr="00AA3A06">
        <w:rPr>
          <w:rFonts w:ascii="Lato" w:hAnsi="Lato" w:cs="Times New Roman"/>
          <w:sz w:val="18"/>
          <w:szCs w:val="18"/>
        </w:rPr>
        <w:t>Kerekere</w:t>
      </w:r>
      <w:proofErr w:type="spellEnd"/>
      <w:r w:rsidRPr="00AA3A06">
        <w:rPr>
          <w:rFonts w:ascii="Lato" w:hAnsi="Lato" w:cs="Times New Roman"/>
          <w:sz w:val="18"/>
          <w:szCs w:val="18"/>
        </w:rPr>
        <w:t xml:space="preserve">. E. </w:t>
      </w:r>
      <w:hyperlink r:id="rId11" w:history="1">
        <w:proofErr w:type="spellStart"/>
        <w:r w:rsidRPr="00AA3A06">
          <w:rPr>
            <w:rStyle w:val="Hyperlink"/>
            <w:rFonts w:ascii="Lato" w:hAnsi="Lato" w:cs="Times New Roman"/>
            <w:bCs/>
            <w:iCs/>
            <w:sz w:val="18"/>
            <w:szCs w:val="18"/>
          </w:rPr>
          <w:t>Takatāpui</w:t>
        </w:r>
        <w:proofErr w:type="spellEnd"/>
        <w:r w:rsidRPr="00AA3A06">
          <w:rPr>
            <w:rStyle w:val="Hyperlink"/>
            <w:rFonts w:ascii="Lato" w:hAnsi="Lato" w:cs="Times New Roman"/>
            <w:bCs/>
            <w:iCs/>
            <w:sz w:val="18"/>
            <w:szCs w:val="18"/>
          </w:rPr>
          <w:t xml:space="preserve">: Part of the </w:t>
        </w:r>
        <w:proofErr w:type="spellStart"/>
        <w:r w:rsidRPr="00AA3A06">
          <w:rPr>
            <w:rStyle w:val="Hyperlink"/>
            <w:rFonts w:ascii="Lato" w:hAnsi="Lato" w:cs="Times New Roman"/>
            <w:bCs/>
            <w:iCs/>
            <w:sz w:val="18"/>
            <w:szCs w:val="18"/>
          </w:rPr>
          <w:t>Whānau</w:t>
        </w:r>
        <w:proofErr w:type="spellEnd"/>
      </w:hyperlink>
      <w:r w:rsidRPr="00AA3A06">
        <w:rPr>
          <w:rFonts w:ascii="Lato" w:hAnsi="Lato" w:cs="Times New Roman"/>
          <w:bCs/>
          <w:iCs/>
          <w:sz w:val="18"/>
          <w:szCs w:val="18"/>
        </w:rPr>
        <w:t>.</w:t>
      </w:r>
    </w:p>
  </w:footnote>
  <w:footnote w:id="12">
    <w:p w14:paraId="4308C5E3" w14:textId="606F4875" w:rsidR="008D4A9D" w:rsidRPr="00AA3A06" w:rsidRDefault="008D4A9D" w:rsidP="00C0628B">
      <w:pPr>
        <w:pStyle w:val="FootnoteText"/>
        <w:jc w:val="both"/>
      </w:pPr>
      <w:r w:rsidRPr="00AA3A06">
        <w:rPr>
          <w:rStyle w:val="FootnoteReference"/>
          <w:rFonts w:ascii="Lato" w:hAnsi="Lato"/>
          <w:sz w:val="18"/>
          <w:szCs w:val="18"/>
        </w:rPr>
        <w:footnoteRef/>
      </w:r>
      <w:r w:rsidRPr="00AA3A06">
        <w:rPr>
          <w:rFonts w:ascii="Lato" w:hAnsi="Lato"/>
          <w:sz w:val="18"/>
          <w:szCs w:val="18"/>
        </w:rPr>
        <w:t xml:space="preserve"> </w:t>
      </w:r>
      <w:r w:rsidRPr="00AA3A06">
        <w:rPr>
          <w:rFonts w:ascii="Lato" w:hAnsi="Lato" w:cs="Times New Roman"/>
          <w:sz w:val="18"/>
          <w:szCs w:val="18"/>
        </w:rPr>
        <w:t xml:space="preserve">Sistergirls and Brotherboys are​ ​terms used to describe trans and gender diverse people in some Aboriginal or Torres Strait Islander communities. For more information, see Riggs D.W. &amp; Toone K. (2017). </w:t>
      </w:r>
      <w:hyperlink r:id="rId12" w:history="1">
        <w:r w:rsidRPr="00AA3A06">
          <w:rPr>
            <w:rStyle w:val="Hyperlink"/>
            <w:rFonts w:ascii="Lato" w:hAnsi="Lato" w:cs="Times New Roman"/>
            <w:sz w:val="18"/>
            <w:szCs w:val="18"/>
          </w:rPr>
          <w:t>Indigenous Sistergirls’ Experiences of Family and Community</w:t>
        </w:r>
      </w:hyperlink>
      <w:r w:rsidRPr="00AA3A06">
        <w:rPr>
          <w:rFonts w:ascii="Lato" w:hAnsi="Lato" w:cs="Times New Roman"/>
          <w:sz w:val="18"/>
          <w:szCs w:val="18"/>
        </w:rPr>
        <w:t>. Australian Social Work, 70:2, 229-240.</w:t>
      </w:r>
      <w:r w:rsidRPr="00AA3A06">
        <w:t xml:space="preserve"> </w:t>
      </w:r>
    </w:p>
  </w:footnote>
  <w:footnote w:id="13">
    <w:p w14:paraId="6C62C7C6" w14:textId="43F4BF17" w:rsidR="008D4A9D" w:rsidRPr="00C0628B" w:rsidRDefault="008D4A9D" w:rsidP="00C0628B">
      <w:pPr>
        <w:pStyle w:val="FootnoteText"/>
        <w:jc w:val="both"/>
        <w:rPr>
          <w:rFonts w:ascii="Lato" w:hAnsi="Lato"/>
          <w:sz w:val="18"/>
          <w:szCs w:val="18"/>
        </w:rPr>
      </w:pPr>
      <w:r w:rsidRPr="00C0628B">
        <w:rPr>
          <w:rStyle w:val="FootnoteReference"/>
          <w:rFonts w:ascii="Lato" w:hAnsi="Lato"/>
          <w:sz w:val="18"/>
          <w:szCs w:val="18"/>
        </w:rPr>
        <w:footnoteRef/>
      </w:r>
      <w:r w:rsidRPr="00C0628B">
        <w:rPr>
          <w:rFonts w:ascii="Lato" w:hAnsi="Lato"/>
          <w:sz w:val="18"/>
          <w:szCs w:val="18"/>
        </w:rPr>
        <w:t xml:space="preserve"> Information provided by Mano Diversa and COMCAVIS TRANS.</w:t>
      </w:r>
    </w:p>
  </w:footnote>
  <w:footnote w:id="14">
    <w:p w14:paraId="5C038545" w14:textId="7AE0D090" w:rsidR="008D4A9D" w:rsidRPr="00345DD8" w:rsidRDefault="008D4A9D" w:rsidP="00C0628B">
      <w:pPr>
        <w:pStyle w:val="FootnoteText"/>
        <w:jc w:val="both"/>
        <w:rPr>
          <w:rFonts w:ascii="Lato" w:hAnsi="Lato"/>
          <w:sz w:val="18"/>
          <w:szCs w:val="18"/>
        </w:rPr>
      </w:pPr>
      <w:r w:rsidRPr="00345DD8">
        <w:rPr>
          <w:rStyle w:val="FootnoteReference"/>
          <w:rFonts w:ascii="Lato" w:hAnsi="Lato"/>
          <w:sz w:val="18"/>
          <w:szCs w:val="18"/>
        </w:rPr>
        <w:footnoteRef/>
      </w:r>
      <w:r w:rsidRPr="00345DD8">
        <w:rPr>
          <w:rFonts w:ascii="Lato" w:hAnsi="Lato"/>
          <w:sz w:val="18"/>
          <w:szCs w:val="18"/>
        </w:rPr>
        <w:t xml:space="preserve"> Information provided by Gender Dynamix.</w:t>
      </w:r>
    </w:p>
  </w:footnote>
  <w:footnote w:id="15">
    <w:p w14:paraId="3141A28C" w14:textId="149DB6F9" w:rsidR="008D4A9D" w:rsidRPr="00345DD8" w:rsidRDefault="008D4A9D" w:rsidP="00C0628B">
      <w:pPr>
        <w:pStyle w:val="FootnoteText"/>
        <w:jc w:val="both"/>
        <w:rPr>
          <w:rFonts w:ascii="Lato" w:hAnsi="Lato"/>
          <w:sz w:val="18"/>
          <w:szCs w:val="18"/>
        </w:rPr>
      </w:pPr>
      <w:r w:rsidRPr="00345DD8">
        <w:rPr>
          <w:rStyle w:val="FootnoteReference"/>
          <w:rFonts w:ascii="Lato" w:hAnsi="Lato"/>
          <w:sz w:val="18"/>
          <w:szCs w:val="18"/>
        </w:rPr>
        <w:footnoteRef/>
      </w:r>
      <w:r w:rsidRPr="00345DD8">
        <w:rPr>
          <w:rFonts w:ascii="Lato" w:hAnsi="Lato"/>
          <w:sz w:val="18"/>
          <w:szCs w:val="18"/>
        </w:rPr>
        <w:t xml:space="preserve"> For instance, former and late Zimbabwean President Mugabe labeled homosexuality as a “white disease”. (Information provided by Gender Dynamix).   </w:t>
      </w:r>
    </w:p>
  </w:footnote>
  <w:footnote w:id="16">
    <w:p w14:paraId="23E4C4FA" w14:textId="2260F5D9" w:rsidR="008D4A9D" w:rsidRPr="00345DD8" w:rsidRDefault="008D4A9D" w:rsidP="00C0628B">
      <w:pPr>
        <w:pStyle w:val="FootnoteText"/>
        <w:jc w:val="both"/>
        <w:rPr>
          <w:rFonts w:ascii="Lato" w:hAnsi="Lato"/>
          <w:sz w:val="18"/>
          <w:szCs w:val="18"/>
        </w:rPr>
      </w:pPr>
      <w:r w:rsidRPr="00345DD8">
        <w:rPr>
          <w:rStyle w:val="FootnoteReference"/>
          <w:rFonts w:ascii="Lato" w:hAnsi="Lato"/>
          <w:sz w:val="18"/>
          <w:szCs w:val="18"/>
        </w:rPr>
        <w:footnoteRef/>
      </w:r>
      <w:r w:rsidRPr="00345DD8">
        <w:rPr>
          <w:rFonts w:ascii="Lato" w:hAnsi="Lato"/>
          <w:sz w:val="18"/>
          <w:szCs w:val="18"/>
        </w:rPr>
        <w:t xml:space="preserve"> Special Rapporteur on the right of everyone to the enjoyment of the highest attainable standard of physical and mental health. Report “Strategic priorities of work”. </w:t>
      </w:r>
      <w:hyperlink r:id="rId13" w:history="1">
        <w:r w:rsidRPr="00345DD8">
          <w:rPr>
            <w:rStyle w:val="Hyperlink"/>
            <w:rFonts w:ascii="Lato" w:hAnsi="Lato"/>
            <w:sz w:val="18"/>
            <w:szCs w:val="18"/>
          </w:rPr>
          <w:t>A/HRC/47/28</w:t>
        </w:r>
      </w:hyperlink>
      <w:r w:rsidRPr="00345DD8">
        <w:rPr>
          <w:rFonts w:ascii="Lato" w:hAnsi="Lato"/>
          <w:sz w:val="18"/>
          <w:szCs w:val="18"/>
        </w:rPr>
        <w:t>. Para. 77: “Colonialism made morality a commodity possessed by colonial powers, which was subsequently used to found nationhood and which is underpinned by norms and values applied to subjects that are marginalized in relation to sexuality and gender”.</w:t>
      </w:r>
    </w:p>
  </w:footnote>
  <w:footnote w:id="17">
    <w:p w14:paraId="3B215CF4" w14:textId="49B3D1D5" w:rsidR="008D4A9D" w:rsidRPr="00345DD8" w:rsidRDefault="008D4A9D" w:rsidP="00C0628B">
      <w:pPr>
        <w:pStyle w:val="FootnoteText"/>
        <w:jc w:val="both"/>
        <w:rPr>
          <w:rFonts w:ascii="Lato" w:hAnsi="Lato"/>
          <w:sz w:val="18"/>
          <w:szCs w:val="18"/>
        </w:rPr>
      </w:pPr>
      <w:r w:rsidRPr="00345DD8">
        <w:rPr>
          <w:rStyle w:val="FootnoteReference"/>
          <w:rFonts w:ascii="Lato" w:hAnsi="Lato"/>
          <w:sz w:val="18"/>
          <w:szCs w:val="18"/>
        </w:rPr>
        <w:footnoteRef/>
      </w:r>
      <w:r w:rsidRPr="00345DD8">
        <w:rPr>
          <w:rFonts w:ascii="Lato" w:hAnsi="Lato"/>
          <w:sz w:val="18"/>
          <w:szCs w:val="18"/>
        </w:rPr>
        <w:t xml:space="preserve"> This section was developed thank to the contribution of </w:t>
      </w:r>
      <w:hyperlink r:id="rId14" w:history="1">
        <w:r w:rsidRPr="003750BE">
          <w:rPr>
            <w:rStyle w:val="Hyperlink"/>
            <w:rFonts w:ascii="Lato" w:hAnsi="Lato"/>
            <w:sz w:val="18"/>
            <w:szCs w:val="18"/>
          </w:rPr>
          <w:t>Francisco Córdoba</w:t>
        </w:r>
      </w:hyperlink>
      <w:r w:rsidRPr="00345DD8">
        <w:rPr>
          <w:rFonts w:ascii="Lato" w:hAnsi="Lato"/>
          <w:sz w:val="18"/>
          <w:szCs w:val="18"/>
        </w:rPr>
        <w:t xml:space="preserve">, under his thesis work tittle: “The Imposed Patriarchy: Brief research on the condition of women and of what is now called the “LGBTQIA+ community” in Latin America from 1492 to 2022. Socio-cultural, economic, </w:t>
      </w:r>
      <w:proofErr w:type="gramStart"/>
      <w:r w:rsidRPr="00345DD8">
        <w:rPr>
          <w:rFonts w:ascii="Lato" w:hAnsi="Lato"/>
          <w:sz w:val="18"/>
          <w:szCs w:val="18"/>
        </w:rPr>
        <w:t>historical</w:t>
      </w:r>
      <w:proofErr w:type="gramEnd"/>
      <w:r w:rsidRPr="00345DD8">
        <w:rPr>
          <w:rFonts w:ascii="Lato" w:hAnsi="Lato"/>
          <w:sz w:val="18"/>
          <w:szCs w:val="18"/>
        </w:rPr>
        <w:t xml:space="preserve"> and artistic expressions”.</w:t>
      </w:r>
    </w:p>
  </w:footnote>
  <w:footnote w:id="18">
    <w:p w14:paraId="4B05F389" w14:textId="6DB3E559" w:rsidR="008D4A9D" w:rsidRPr="00345DD8" w:rsidRDefault="008D4A9D" w:rsidP="006D0974">
      <w:pPr>
        <w:pStyle w:val="FootnoteText"/>
        <w:jc w:val="both"/>
        <w:rPr>
          <w:rFonts w:ascii="Lato" w:hAnsi="Lato"/>
          <w:sz w:val="18"/>
          <w:szCs w:val="18"/>
        </w:rPr>
      </w:pPr>
      <w:r w:rsidRPr="00345DD8">
        <w:rPr>
          <w:rStyle w:val="FootnoteReference"/>
          <w:rFonts w:ascii="Lato" w:hAnsi="Lato"/>
          <w:color w:val="000000" w:themeColor="text1"/>
          <w:sz w:val="18"/>
          <w:szCs w:val="18"/>
        </w:rPr>
        <w:footnoteRef/>
      </w:r>
      <w:r w:rsidRPr="00345DD8">
        <w:rPr>
          <w:rFonts w:ascii="Lato" w:hAnsi="Lato"/>
          <w:color w:val="000000" w:themeColor="text1"/>
          <w:sz w:val="18"/>
          <w:szCs w:val="18"/>
        </w:rPr>
        <w:t xml:space="preserve"> The </w:t>
      </w:r>
      <w:hyperlink r:id="rId15" w:history="1">
        <w:proofErr w:type="spellStart"/>
        <w:r w:rsidRPr="00345DD8">
          <w:rPr>
            <w:rStyle w:val="Hyperlink"/>
            <w:rFonts w:ascii="Lato" w:hAnsi="Lato"/>
            <w:color w:val="0462C2"/>
            <w:sz w:val="18"/>
            <w:szCs w:val="18"/>
          </w:rPr>
          <w:t>Larco</w:t>
        </w:r>
        <w:proofErr w:type="spellEnd"/>
        <w:r w:rsidRPr="00345DD8">
          <w:rPr>
            <w:rStyle w:val="Hyperlink"/>
            <w:rFonts w:ascii="Lato" w:hAnsi="Lato"/>
            <w:color w:val="0462C2"/>
            <w:sz w:val="18"/>
            <w:szCs w:val="18"/>
          </w:rPr>
          <w:t xml:space="preserve"> Museum</w:t>
        </w:r>
      </w:hyperlink>
      <w:r w:rsidRPr="00345DD8">
        <w:rPr>
          <w:rFonts w:ascii="Lato" w:hAnsi="Lato"/>
          <w:color w:val="0462C2"/>
          <w:sz w:val="18"/>
          <w:szCs w:val="18"/>
        </w:rPr>
        <w:t xml:space="preserve"> </w:t>
      </w:r>
      <w:r w:rsidRPr="00345DD8">
        <w:rPr>
          <w:rFonts w:ascii="Lato" w:hAnsi="Lato"/>
          <w:color w:val="000000" w:themeColor="text1"/>
          <w:sz w:val="18"/>
          <w:szCs w:val="18"/>
        </w:rPr>
        <w:t xml:space="preserve">in Perú has one of the largest </w:t>
      </w:r>
      <w:hyperlink r:id="rId16" w:history="1">
        <w:r w:rsidRPr="00345DD8">
          <w:rPr>
            <w:rStyle w:val="Hyperlink"/>
            <w:rFonts w:ascii="Lato" w:hAnsi="Lato"/>
            <w:color w:val="0462C2"/>
            <w:sz w:val="18"/>
            <w:szCs w:val="18"/>
          </w:rPr>
          <w:t>collection of erotic art</w:t>
        </w:r>
      </w:hyperlink>
      <w:r w:rsidRPr="00345DD8">
        <w:rPr>
          <w:rFonts w:ascii="Lato" w:hAnsi="Lato"/>
          <w:color w:val="000000" w:themeColor="text1"/>
          <w:sz w:val="18"/>
          <w:szCs w:val="18"/>
        </w:rPr>
        <w:t xml:space="preserve"> in both </w:t>
      </w:r>
      <w:r w:rsidRPr="00345DD8">
        <w:rPr>
          <w:rFonts w:ascii="Lato" w:hAnsi="Lato"/>
          <w:i/>
          <w:iCs/>
          <w:color w:val="000000" w:themeColor="text1"/>
          <w:sz w:val="18"/>
          <w:szCs w:val="18"/>
        </w:rPr>
        <w:t>Mochica</w:t>
      </w:r>
      <w:r w:rsidRPr="00345DD8">
        <w:rPr>
          <w:rFonts w:ascii="Lato" w:hAnsi="Lato"/>
          <w:color w:val="000000" w:themeColor="text1"/>
          <w:sz w:val="18"/>
          <w:szCs w:val="18"/>
        </w:rPr>
        <w:t xml:space="preserve"> and </w:t>
      </w:r>
      <w:r w:rsidRPr="00345DD8">
        <w:rPr>
          <w:rFonts w:ascii="Lato" w:hAnsi="Lato"/>
          <w:i/>
          <w:iCs/>
          <w:color w:val="000000" w:themeColor="text1"/>
          <w:sz w:val="18"/>
          <w:szCs w:val="18"/>
        </w:rPr>
        <w:t>Chimú</w:t>
      </w:r>
      <w:r w:rsidRPr="00345DD8">
        <w:rPr>
          <w:rFonts w:ascii="Lato" w:hAnsi="Lato"/>
          <w:color w:val="000000" w:themeColor="text1"/>
          <w:sz w:val="18"/>
          <w:szCs w:val="18"/>
        </w:rPr>
        <w:t xml:space="preserve"> cultures.</w:t>
      </w:r>
    </w:p>
  </w:footnote>
  <w:footnote w:id="19">
    <w:p w14:paraId="63E3F870" w14:textId="4711887F" w:rsidR="003B025E" w:rsidRPr="003B025E" w:rsidRDefault="003B025E" w:rsidP="003B025E">
      <w:pPr>
        <w:pStyle w:val="FootnoteText"/>
        <w:jc w:val="both"/>
        <w:rPr>
          <w:lang w:val="es-ES"/>
        </w:rPr>
      </w:pPr>
      <w:r w:rsidRPr="00345DD8">
        <w:rPr>
          <w:rStyle w:val="FootnoteReference"/>
          <w:rFonts w:ascii="Lato" w:hAnsi="Lato"/>
          <w:sz w:val="18"/>
          <w:szCs w:val="18"/>
        </w:rPr>
        <w:footnoteRef/>
      </w:r>
      <w:r w:rsidRPr="00345DD8">
        <w:rPr>
          <w:rFonts w:ascii="Lato" w:hAnsi="Lato"/>
          <w:sz w:val="18"/>
          <w:szCs w:val="18"/>
          <w:lang w:val="es-ES"/>
        </w:rPr>
        <w:t xml:space="preserve"> Arantxa Robes Santana. (2014). </w:t>
      </w:r>
      <w:hyperlink r:id="rId17" w:history="1">
        <w:r w:rsidRPr="00345DD8">
          <w:rPr>
            <w:rStyle w:val="Hyperlink"/>
            <w:rFonts w:ascii="Lato" w:hAnsi="Lato"/>
            <w:sz w:val="18"/>
            <w:szCs w:val="18"/>
            <w:lang w:val="es-ES"/>
          </w:rPr>
          <w:t>Una aproximación al rol de la mujer precolombina en América</w:t>
        </w:r>
      </w:hyperlink>
      <w:r w:rsidRPr="00345DD8">
        <w:rPr>
          <w:rFonts w:ascii="Lato" w:hAnsi="Lato"/>
          <w:sz w:val="18"/>
          <w:szCs w:val="18"/>
          <w:lang w:val="es-ES"/>
        </w:rPr>
        <w:t>. Cuadernos del Ateneo, 92-109, Revista 32 4ª Prueba. Fundación Dialnet, Universidad de La Rioja.</w:t>
      </w:r>
    </w:p>
  </w:footnote>
  <w:footnote w:id="20">
    <w:p w14:paraId="4C1D346D" w14:textId="37FCF689" w:rsidR="008D4A9D" w:rsidRPr="006337CF" w:rsidRDefault="008D4A9D" w:rsidP="006D0974">
      <w:pPr>
        <w:pStyle w:val="FootnoteText"/>
        <w:jc w:val="both"/>
        <w:rPr>
          <w:rFonts w:ascii="Lato" w:hAnsi="Lato"/>
          <w:sz w:val="18"/>
          <w:szCs w:val="18"/>
        </w:rPr>
      </w:pPr>
      <w:r w:rsidRPr="006337CF">
        <w:rPr>
          <w:rStyle w:val="FootnoteReference"/>
          <w:rFonts w:ascii="Lato" w:hAnsi="Lato"/>
          <w:color w:val="000000" w:themeColor="text1"/>
          <w:sz w:val="18"/>
          <w:szCs w:val="18"/>
        </w:rPr>
        <w:footnoteRef/>
      </w:r>
      <w:r w:rsidRPr="006337CF">
        <w:rPr>
          <w:rFonts w:ascii="Lato" w:hAnsi="Lato"/>
          <w:color w:val="000000" w:themeColor="text1"/>
          <w:sz w:val="18"/>
          <w:szCs w:val="18"/>
        </w:rPr>
        <w:t xml:space="preserve"> </w:t>
      </w:r>
      <w:r w:rsidRPr="006337CF">
        <w:rPr>
          <w:rFonts w:ascii="Lato" w:hAnsi="Lato"/>
          <w:sz w:val="18"/>
          <w:szCs w:val="18"/>
        </w:rPr>
        <w:t xml:space="preserve">For instance, the Title XIII, Book V of the Filipe’s Ordinances colonial law in Brazil established that any person who committed the “sin of sodomy” should be “burnt to dust, so that their body and grave can never be remembered and all their possessions shall be confiscated to the Crown of our Kingdoms, even if they have descendants; for the same reason, their sons and grandsons shall be considered ineligible and infamous just as those that commit the crime of Lèse-majesté” </w:t>
      </w:r>
      <w:r w:rsidR="00332DD7" w:rsidRPr="006337CF">
        <w:rPr>
          <w:rFonts w:ascii="Lato" w:hAnsi="Lato"/>
          <w:sz w:val="18"/>
          <w:szCs w:val="18"/>
        </w:rPr>
        <w:t xml:space="preserve">(See: </w:t>
      </w:r>
      <w:hyperlink r:id="rId18" w:history="1">
        <w:proofErr w:type="spellStart"/>
        <w:r w:rsidRPr="006337CF">
          <w:rPr>
            <w:rStyle w:val="Hyperlink"/>
            <w:rFonts w:ascii="Lato" w:hAnsi="Lato"/>
            <w:color w:val="0462C2"/>
            <w:sz w:val="18"/>
            <w:szCs w:val="18"/>
          </w:rPr>
          <w:t>Livro</w:t>
        </w:r>
        <w:proofErr w:type="spellEnd"/>
        <w:r w:rsidRPr="006337CF">
          <w:rPr>
            <w:rStyle w:val="Hyperlink"/>
            <w:rFonts w:ascii="Lato" w:hAnsi="Lato"/>
            <w:color w:val="0462C2"/>
            <w:sz w:val="18"/>
            <w:szCs w:val="18"/>
          </w:rPr>
          <w:t xml:space="preserve"> 5 Tit. 12</w:t>
        </w:r>
      </w:hyperlink>
      <w:r w:rsidRPr="006337CF">
        <w:rPr>
          <w:rFonts w:ascii="Lato" w:hAnsi="Lato"/>
          <w:sz w:val="18"/>
          <w:szCs w:val="18"/>
        </w:rPr>
        <w:t xml:space="preserve">: </w:t>
      </w:r>
      <w:r w:rsidRPr="006337CF">
        <w:rPr>
          <w:rFonts w:ascii="Lato" w:hAnsi="Lato"/>
          <w:i/>
          <w:iCs/>
          <w:sz w:val="18"/>
          <w:szCs w:val="18"/>
        </w:rPr>
        <w:t xml:space="preserve">Dos que </w:t>
      </w:r>
      <w:proofErr w:type="spellStart"/>
      <w:r w:rsidRPr="006337CF">
        <w:rPr>
          <w:rFonts w:ascii="Lato" w:hAnsi="Lato"/>
          <w:i/>
          <w:iCs/>
          <w:sz w:val="18"/>
          <w:szCs w:val="18"/>
        </w:rPr>
        <w:t>fazem</w:t>
      </w:r>
      <w:proofErr w:type="spellEnd"/>
      <w:r w:rsidRPr="006337CF">
        <w:rPr>
          <w:rFonts w:ascii="Lato" w:hAnsi="Lato"/>
          <w:i/>
          <w:iCs/>
          <w:sz w:val="18"/>
          <w:szCs w:val="18"/>
        </w:rPr>
        <w:t xml:space="preserve"> </w:t>
      </w:r>
      <w:proofErr w:type="spellStart"/>
      <w:r w:rsidRPr="006337CF">
        <w:rPr>
          <w:rFonts w:ascii="Lato" w:hAnsi="Lato"/>
          <w:i/>
          <w:iCs/>
          <w:sz w:val="18"/>
          <w:szCs w:val="18"/>
        </w:rPr>
        <w:t>moeda</w:t>
      </w:r>
      <w:proofErr w:type="spellEnd"/>
      <w:r w:rsidRPr="006337CF">
        <w:rPr>
          <w:rFonts w:ascii="Lato" w:hAnsi="Lato"/>
          <w:i/>
          <w:iCs/>
          <w:sz w:val="18"/>
          <w:szCs w:val="18"/>
        </w:rPr>
        <w:t xml:space="preserve"> falsa, </w:t>
      </w:r>
      <w:proofErr w:type="spellStart"/>
      <w:r w:rsidRPr="006337CF">
        <w:rPr>
          <w:rFonts w:ascii="Lato" w:hAnsi="Lato"/>
          <w:i/>
          <w:iCs/>
          <w:sz w:val="18"/>
          <w:szCs w:val="18"/>
        </w:rPr>
        <w:t>ou</w:t>
      </w:r>
      <w:proofErr w:type="spellEnd"/>
      <w:r w:rsidRPr="006337CF">
        <w:rPr>
          <w:rFonts w:ascii="Lato" w:hAnsi="Lato"/>
          <w:i/>
          <w:iCs/>
          <w:sz w:val="18"/>
          <w:szCs w:val="18"/>
        </w:rPr>
        <w:t xml:space="preserve"> a </w:t>
      </w:r>
      <w:proofErr w:type="spellStart"/>
      <w:r w:rsidRPr="006337CF">
        <w:rPr>
          <w:rFonts w:ascii="Lato" w:hAnsi="Lato"/>
          <w:i/>
          <w:iCs/>
          <w:sz w:val="18"/>
          <w:szCs w:val="18"/>
        </w:rPr>
        <w:t>dispendem</w:t>
      </w:r>
      <w:proofErr w:type="spellEnd"/>
      <w:r w:rsidRPr="006337CF">
        <w:rPr>
          <w:rFonts w:ascii="Lato" w:hAnsi="Lato"/>
          <w:i/>
          <w:iCs/>
          <w:sz w:val="18"/>
          <w:szCs w:val="18"/>
        </w:rPr>
        <w:t xml:space="preserve">, e dos que </w:t>
      </w:r>
      <w:proofErr w:type="spellStart"/>
      <w:r w:rsidRPr="006337CF">
        <w:rPr>
          <w:rFonts w:ascii="Lato" w:hAnsi="Lato"/>
          <w:i/>
          <w:iCs/>
          <w:sz w:val="18"/>
          <w:szCs w:val="18"/>
        </w:rPr>
        <w:t>cerceiam</w:t>
      </w:r>
      <w:proofErr w:type="spellEnd"/>
      <w:r w:rsidRPr="006337CF">
        <w:rPr>
          <w:rFonts w:ascii="Lato" w:hAnsi="Lato"/>
          <w:i/>
          <w:iCs/>
          <w:sz w:val="18"/>
          <w:szCs w:val="18"/>
        </w:rPr>
        <w:t xml:space="preserve"> a </w:t>
      </w:r>
      <w:proofErr w:type="spellStart"/>
      <w:r w:rsidRPr="006337CF">
        <w:rPr>
          <w:rFonts w:ascii="Lato" w:hAnsi="Lato"/>
          <w:i/>
          <w:iCs/>
          <w:sz w:val="18"/>
          <w:szCs w:val="18"/>
        </w:rPr>
        <w:t>verdadeira</w:t>
      </w:r>
      <w:proofErr w:type="spellEnd"/>
      <w:r w:rsidRPr="006337CF">
        <w:rPr>
          <w:rFonts w:ascii="Lato" w:hAnsi="Lato"/>
          <w:i/>
          <w:iCs/>
          <w:sz w:val="18"/>
          <w:szCs w:val="18"/>
        </w:rPr>
        <w:t xml:space="preserve">, </w:t>
      </w:r>
      <w:proofErr w:type="spellStart"/>
      <w:r w:rsidRPr="006337CF">
        <w:rPr>
          <w:rFonts w:ascii="Lato" w:hAnsi="Lato"/>
          <w:i/>
          <w:iCs/>
          <w:sz w:val="18"/>
          <w:szCs w:val="18"/>
        </w:rPr>
        <w:t>ou</w:t>
      </w:r>
      <w:proofErr w:type="spellEnd"/>
      <w:r w:rsidRPr="006337CF">
        <w:rPr>
          <w:rFonts w:ascii="Lato" w:hAnsi="Lato"/>
          <w:i/>
          <w:iCs/>
          <w:sz w:val="18"/>
          <w:szCs w:val="18"/>
        </w:rPr>
        <w:t xml:space="preserve"> a </w:t>
      </w:r>
      <w:proofErr w:type="spellStart"/>
      <w:r w:rsidRPr="006337CF">
        <w:rPr>
          <w:rFonts w:ascii="Lato" w:hAnsi="Lato"/>
          <w:i/>
          <w:iCs/>
          <w:sz w:val="18"/>
          <w:szCs w:val="18"/>
        </w:rPr>
        <w:t>desfazem</w:t>
      </w:r>
      <w:proofErr w:type="spellEnd"/>
      <w:r w:rsidRPr="006337CF">
        <w:rPr>
          <w:rFonts w:ascii="Lato" w:hAnsi="Lato"/>
          <w:i/>
          <w:iCs/>
          <w:sz w:val="18"/>
          <w:szCs w:val="18"/>
        </w:rPr>
        <w:t xml:space="preserve"> (Conc.) </w:t>
      </w:r>
      <w:proofErr w:type="spellStart"/>
      <w:r w:rsidRPr="006337CF">
        <w:rPr>
          <w:rFonts w:ascii="Lato" w:hAnsi="Lato"/>
          <w:i/>
          <w:iCs/>
          <w:sz w:val="18"/>
          <w:szCs w:val="18"/>
          <w:lang w:val="es-ES"/>
        </w:rPr>
        <w:t>Livro</w:t>
      </w:r>
      <w:proofErr w:type="spellEnd"/>
      <w:r w:rsidRPr="006337CF">
        <w:rPr>
          <w:rFonts w:ascii="Lato" w:hAnsi="Lato"/>
          <w:i/>
          <w:iCs/>
          <w:sz w:val="18"/>
          <w:szCs w:val="18"/>
          <w:lang w:val="es-ES"/>
        </w:rPr>
        <w:t xml:space="preserve"> 5 </w:t>
      </w:r>
      <w:proofErr w:type="spellStart"/>
      <w:r w:rsidRPr="006337CF">
        <w:rPr>
          <w:rFonts w:ascii="Lato" w:hAnsi="Lato"/>
          <w:i/>
          <w:iCs/>
          <w:sz w:val="18"/>
          <w:szCs w:val="18"/>
          <w:lang w:val="es-ES"/>
        </w:rPr>
        <w:t>Tit</w:t>
      </w:r>
      <w:proofErr w:type="spellEnd"/>
      <w:r w:rsidRPr="006337CF">
        <w:rPr>
          <w:rFonts w:ascii="Lato" w:hAnsi="Lato"/>
          <w:i/>
          <w:iCs/>
          <w:sz w:val="18"/>
          <w:szCs w:val="18"/>
          <w:lang w:val="es-ES"/>
        </w:rPr>
        <w:t xml:space="preserve">. 13: Dos que </w:t>
      </w:r>
      <w:proofErr w:type="spellStart"/>
      <w:r w:rsidRPr="006337CF">
        <w:rPr>
          <w:rFonts w:ascii="Lato" w:hAnsi="Lato"/>
          <w:i/>
          <w:iCs/>
          <w:sz w:val="18"/>
          <w:szCs w:val="18"/>
          <w:lang w:val="es-ES"/>
        </w:rPr>
        <w:t>cometem</w:t>
      </w:r>
      <w:proofErr w:type="spellEnd"/>
      <w:r w:rsidRPr="006337CF">
        <w:rPr>
          <w:rFonts w:ascii="Lato" w:hAnsi="Lato"/>
          <w:i/>
          <w:iCs/>
          <w:sz w:val="18"/>
          <w:szCs w:val="18"/>
          <w:lang w:val="es-ES"/>
        </w:rPr>
        <w:t xml:space="preserve"> pecado de </w:t>
      </w:r>
      <w:proofErr w:type="spellStart"/>
      <w:r w:rsidRPr="006337CF">
        <w:rPr>
          <w:rFonts w:ascii="Lato" w:hAnsi="Lato"/>
          <w:i/>
          <w:iCs/>
          <w:sz w:val="18"/>
          <w:szCs w:val="18"/>
          <w:lang w:val="es-ES"/>
        </w:rPr>
        <w:t>sodomia</w:t>
      </w:r>
      <w:proofErr w:type="spellEnd"/>
      <w:r w:rsidRPr="006337CF">
        <w:rPr>
          <w:rFonts w:ascii="Lato" w:hAnsi="Lato"/>
          <w:i/>
          <w:iCs/>
          <w:sz w:val="18"/>
          <w:szCs w:val="18"/>
          <w:lang w:val="es-ES"/>
        </w:rPr>
        <w:t xml:space="preserve">, e </w:t>
      </w:r>
      <w:proofErr w:type="spellStart"/>
      <w:r w:rsidRPr="006337CF">
        <w:rPr>
          <w:rFonts w:ascii="Lato" w:hAnsi="Lato"/>
          <w:i/>
          <w:iCs/>
          <w:sz w:val="18"/>
          <w:szCs w:val="18"/>
          <w:lang w:val="es-ES"/>
        </w:rPr>
        <w:t>com</w:t>
      </w:r>
      <w:proofErr w:type="spellEnd"/>
      <w:r w:rsidRPr="006337CF">
        <w:rPr>
          <w:rFonts w:ascii="Lato" w:hAnsi="Lato"/>
          <w:i/>
          <w:iCs/>
          <w:sz w:val="18"/>
          <w:szCs w:val="18"/>
          <w:lang w:val="es-ES"/>
        </w:rPr>
        <w:t xml:space="preserve"> </w:t>
      </w:r>
      <w:proofErr w:type="spellStart"/>
      <w:r w:rsidRPr="006337CF">
        <w:rPr>
          <w:rFonts w:ascii="Lato" w:hAnsi="Lato"/>
          <w:i/>
          <w:iCs/>
          <w:sz w:val="18"/>
          <w:szCs w:val="18"/>
          <w:lang w:val="es-ES"/>
        </w:rPr>
        <w:t>alimarias</w:t>
      </w:r>
      <w:proofErr w:type="spellEnd"/>
      <w:r w:rsidR="00332DD7" w:rsidRPr="006337CF">
        <w:rPr>
          <w:rFonts w:ascii="Lato" w:hAnsi="Lato"/>
          <w:sz w:val="18"/>
          <w:szCs w:val="18"/>
          <w:lang w:val="es-ES"/>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19"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21">
    <w:p w14:paraId="215CA660" w14:textId="53D67525" w:rsidR="008D4A9D" w:rsidRPr="006337CF" w:rsidRDefault="008D4A9D" w:rsidP="006D0974">
      <w:pPr>
        <w:pStyle w:val="FootnoteText"/>
        <w:jc w:val="both"/>
        <w:rPr>
          <w:rFonts w:ascii="Lato" w:hAnsi="Lato"/>
          <w:sz w:val="18"/>
          <w:szCs w:val="18"/>
        </w:rPr>
      </w:pPr>
      <w:r w:rsidRPr="006337CF">
        <w:rPr>
          <w:rStyle w:val="FootnoteReference"/>
          <w:rFonts w:ascii="Lato" w:hAnsi="Lato"/>
          <w:sz w:val="18"/>
          <w:szCs w:val="18"/>
        </w:rPr>
        <w:footnoteRef/>
      </w:r>
      <w:r w:rsidRPr="006337CF">
        <w:rPr>
          <w:rFonts w:ascii="Lato" w:hAnsi="Lato"/>
          <w:sz w:val="18"/>
          <w:szCs w:val="18"/>
        </w:rPr>
        <w:t xml:space="preserve"> This section was developed thanks to the contribution of Gender Dynamix.</w:t>
      </w:r>
    </w:p>
  </w:footnote>
  <w:footnote w:id="22">
    <w:p w14:paraId="62DA0DD7" w14:textId="14533479" w:rsidR="008D4A9D" w:rsidRPr="006337CF" w:rsidRDefault="008D4A9D" w:rsidP="006D0974">
      <w:pPr>
        <w:pStyle w:val="FootnoteText"/>
        <w:jc w:val="both"/>
        <w:rPr>
          <w:rFonts w:ascii="Lato" w:hAnsi="Lato"/>
          <w:sz w:val="18"/>
          <w:szCs w:val="18"/>
        </w:rPr>
      </w:pPr>
      <w:r w:rsidRPr="006337CF">
        <w:rPr>
          <w:rStyle w:val="FootnoteReference"/>
          <w:rFonts w:ascii="Lato" w:hAnsi="Lato"/>
          <w:sz w:val="18"/>
          <w:szCs w:val="18"/>
        </w:rPr>
        <w:footnoteRef/>
      </w:r>
      <w:r w:rsidRPr="006337CF">
        <w:rPr>
          <w:rFonts w:ascii="Lato" w:hAnsi="Lato"/>
          <w:sz w:val="18"/>
          <w:szCs w:val="18"/>
        </w:rPr>
        <w:t xml:space="preserve"> For more information, see: </w:t>
      </w:r>
      <w:hyperlink r:id="rId20" w:history="1">
        <w:r w:rsidRPr="006337CF">
          <w:rPr>
            <w:rStyle w:val="Hyperlink"/>
            <w:rFonts w:ascii="Lato" w:hAnsi="Lato"/>
            <w:sz w:val="18"/>
            <w:szCs w:val="18"/>
          </w:rPr>
          <w:t xml:space="preserve">The Tomb of </w:t>
        </w:r>
        <w:proofErr w:type="spellStart"/>
        <w:r w:rsidRPr="006337CF">
          <w:rPr>
            <w:rStyle w:val="Hyperlink"/>
            <w:rFonts w:ascii="Lato" w:hAnsi="Lato"/>
            <w:sz w:val="18"/>
            <w:szCs w:val="18"/>
          </w:rPr>
          <w:t>Niankhkhnum</w:t>
        </w:r>
        <w:proofErr w:type="spellEnd"/>
        <w:r w:rsidRPr="006337CF">
          <w:rPr>
            <w:rStyle w:val="Hyperlink"/>
            <w:rFonts w:ascii="Lato" w:hAnsi="Lato"/>
            <w:sz w:val="18"/>
            <w:szCs w:val="18"/>
          </w:rPr>
          <w:t xml:space="preserve"> and </w:t>
        </w:r>
        <w:proofErr w:type="spellStart"/>
        <w:r w:rsidRPr="006337CF">
          <w:rPr>
            <w:rStyle w:val="Hyperlink"/>
            <w:rFonts w:ascii="Lato" w:hAnsi="Lato"/>
            <w:sz w:val="18"/>
            <w:szCs w:val="18"/>
          </w:rPr>
          <w:t>Khnumhotep</w:t>
        </w:r>
        <w:proofErr w:type="spellEnd"/>
        <w:r w:rsidRPr="006337CF">
          <w:rPr>
            <w:rStyle w:val="Hyperlink"/>
            <w:rFonts w:ascii="Lato" w:hAnsi="Lato"/>
            <w:sz w:val="18"/>
            <w:szCs w:val="18"/>
          </w:rPr>
          <w:t xml:space="preserve"> At Saqqara</w:t>
        </w:r>
      </w:hyperlink>
      <w:r w:rsidRPr="006337CF">
        <w:rPr>
          <w:rFonts w:ascii="Lato" w:hAnsi="Lato"/>
          <w:sz w:val="18"/>
          <w:szCs w:val="18"/>
        </w:rPr>
        <w:t xml:space="preserve">; </w:t>
      </w:r>
      <w:hyperlink r:id="rId21" w:history="1">
        <w:r w:rsidRPr="006337CF">
          <w:rPr>
            <w:rStyle w:val="Hyperlink"/>
            <w:rFonts w:ascii="Lato" w:hAnsi="Lato"/>
            <w:sz w:val="18"/>
            <w:szCs w:val="18"/>
          </w:rPr>
          <w:t>Evidence of gay relationships exists as early as 2400 B.C</w:t>
        </w:r>
      </w:hyperlink>
      <w:r w:rsidRPr="006337CF">
        <w:rPr>
          <w:rFonts w:ascii="Lato" w:hAnsi="Lato"/>
          <w:sz w:val="18"/>
          <w:szCs w:val="18"/>
        </w:rPr>
        <w:t xml:space="preserve">; </w:t>
      </w:r>
      <w:hyperlink r:id="rId22" w:history="1">
        <w:r w:rsidRPr="006337CF">
          <w:rPr>
            <w:rStyle w:val="Hyperlink"/>
            <w:rFonts w:ascii="Lato" w:hAnsi="Lato"/>
            <w:sz w:val="18"/>
            <w:szCs w:val="18"/>
          </w:rPr>
          <w:t>Mwah ... is this the first recorded gay kiss?</w:t>
        </w:r>
      </w:hyperlink>
      <w:r w:rsidRPr="006337CF">
        <w:rPr>
          <w:rFonts w:ascii="Lato" w:hAnsi="Lato"/>
          <w:sz w:val="18"/>
          <w:szCs w:val="18"/>
        </w:rPr>
        <w:t>.</w:t>
      </w:r>
    </w:p>
  </w:footnote>
  <w:footnote w:id="23">
    <w:p w14:paraId="5BBFB02D" w14:textId="29DD4CC1" w:rsidR="008D4A9D" w:rsidRPr="0058490E" w:rsidRDefault="008D4A9D" w:rsidP="0003632C">
      <w:pPr>
        <w:pStyle w:val="FootnoteText"/>
        <w:contextualSpacing/>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Myanmar, </w:t>
      </w:r>
      <w:hyperlink r:id="rId23" w:history="1">
        <w:r w:rsidRPr="0058490E">
          <w:rPr>
            <w:rStyle w:val="Hyperlink"/>
            <w:rFonts w:ascii="Lato" w:hAnsi="Lato"/>
            <w:sz w:val="18"/>
            <w:szCs w:val="18"/>
          </w:rPr>
          <w:t>The Penal Code</w:t>
        </w:r>
      </w:hyperlink>
      <w:r w:rsidRPr="0058490E">
        <w:rPr>
          <w:rFonts w:ascii="Lato" w:hAnsi="Lato"/>
          <w:sz w:val="18"/>
          <w:szCs w:val="18"/>
        </w:rPr>
        <w:t xml:space="preserve"> (1860).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24"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24">
    <w:p w14:paraId="2F51BAB3" w14:textId="4B36E7C5" w:rsidR="008D4A9D" w:rsidRPr="0058490E" w:rsidRDefault="008D4A9D" w:rsidP="001E6365">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The Special Rapporteur on freedom of religion or belief welcomed the decision in 2018 by the Supreme Court of India that struck down the colonial-era criminal law against homosexuality, however, she also mentioned that “elsewhere in South Asia, similar colonial-era laws prohibiting same-sex relations are found in the penal codes of Bangladesh, </w:t>
      </w:r>
      <w:proofErr w:type="gramStart"/>
      <w:r w:rsidRPr="0058490E">
        <w:rPr>
          <w:rFonts w:ascii="Lato" w:hAnsi="Lato"/>
          <w:sz w:val="18"/>
          <w:szCs w:val="18"/>
        </w:rPr>
        <w:t>Pakistan</w:t>
      </w:r>
      <w:proofErr w:type="gramEnd"/>
      <w:r w:rsidRPr="0058490E">
        <w:rPr>
          <w:rFonts w:ascii="Lato" w:hAnsi="Lato"/>
          <w:sz w:val="18"/>
          <w:szCs w:val="18"/>
        </w:rPr>
        <w:t xml:space="preserve"> and Sri Lanka. Participants in the consultations noted that attempts to push for regulations that safeguard the existence of LGBT+ individuals in Afghanistan, Maldives and Pakistan struggled against tenets of Islamic law.” For more information, see: Special Rapporteur on freedom of religion or belief. Report “Gender-based violence and discrimination in the name of religion or belief”. </w:t>
      </w:r>
      <w:hyperlink r:id="rId25" w:history="1">
        <w:r w:rsidRPr="0058490E">
          <w:rPr>
            <w:rStyle w:val="Hyperlink"/>
            <w:rFonts w:ascii="Lato" w:hAnsi="Lato"/>
            <w:sz w:val="18"/>
            <w:szCs w:val="18"/>
          </w:rPr>
          <w:t>A/HRC/43/48</w:t>
        </w:r>
      </w:hyperlink>
      <w:r w:rsidRPr="0058490E">
        <w:rPr>
          <w:rFonts w:ascii="Lato" w:hAnsi="Lato"/>
          <w:sz w:val="18"/>
          <w:szCs w:val="18"/>
        </w:rPr>
        <w:t xml:space="preserve">. Para. 23. </w:t>
      </w:r>
    </w:p>
  </w:footnote>
  <w:footnote w:id="25">
    <w:p w14:paraId="6049EA44" w14:textId="5970EAA2" w:rsidR="008D4A9D" w:rsidRPr="0058490E" w:rsidRDefault="008D4A9D" w:rsidP="0003632C">
      <w:pPr>
        <w:contextualSpacing/>
        <w:rPr>
          <w:rFonts w:ascii="Lato" w:eastAsia="Helvetica Neue" w:hAnsi="Lato" w:cs="Helvetica Neue"/>
          <w:sz w:val="18"/>
          <w:szCs w:val="18"/>
        </w:rPr>
      </w:pPr>
      <w:r w:rsidRPr="0058490E">
        <w:rPr>
          <w:rFonts w:ascii="Lato" w:hAnsi="Lato"/>
          <w:sz w:val="18"/>
          <w:szCs w:val="18"/>
          <w:vertAlign w:val="superscript"/>
        </w:rPr>
        <w:footnoteRef/>
      </w:r>
      <w:r w:rsidRPr="0058490E">
        <w:rPr>
          <w:rFonts w:ascii="Lato" w:hAnsi="Lato"/>
          <w:sz w:val="18"/>
          <w:szCs w:val="18"/>
        </w:rPr>
        <w:t xml:space="preserve"> Mandal, </w:t>
      </w:r>
      <w:proofErr w:type="spellStart"/>
      <w:r w:rsidRPr="0058490E">
        <w:rPr>
          <w:rFonts w:ascii="Lato" w:hAnsi="Lato"/>
          <w:sz w:val="18"/>
          <w:szCs w:val="18"/>
        </w:rPr>
        <w:t>Saptarshi</w:t>
      </w:r>
      <w:proofErr w:type="spellEnd"/>
      <w:r w:rsidRPr="0058490E">
        <w:rPr>
          <w:rFonts w:ascii="Lato" w:hAnsi="Lato"/>
          <w:sz w:val="18"/>
          <w:szCs w:val="18"/>
        </w:rPr>
        <w:t xml:space="preserve">. (2018). </w:t>
      </w:r>
      <w:hyperlink r:id="rId26" w:history="1">
        <w:r w:rsidRPr="0058490E">
          <w:rPr>
            <w:rStyle w:val="Hyperlink"/>
            <w:rFonts w:ascii="Lato" w:hAnsi="Lato"/>
            <w:sz w:val="18"/>
            <w:szCs w:val="18"/>
          </w:rPr>
          <w:t xml:space="preserve">Section 377: Whose Concerns Does </w:t>
        </w:r>
        <w:proofErr w:type="gramStart"/>
        <w:r w:rsidRPr="0058490E">
          <w:rPr>
            <w:rStyle w:val="Hyperlink"/>
            <w:rFonts w:ascii="Lato" w:hAnsi="Lato"/>
            <w:sz w:val="18"/>
            <w:szCs w:val="18"/>
          </w:rPr>
          <w:t>The</w:t>
        </w:r>
        <w:proofErr w:type="gramEnd"/>
        <w:r w:rsidRPr="0058490E">
          <w:rPr>
            <w:rStyle w:val="Hyperlink"/>
            <w:rFonts w:ascii="Lato" w:hAnsi="Lato"/>
            <w:sz w:val="18"/>
            <w:szCs w:val="18"/>
          </w:rPr>
          <w:t xml:space="preserve"> Judgment Address?</w:t>
        </w:r>
      </w:hyperlink>
      <w:r w:rsidRPr="0058490E">
        <w:rPr>
          <w:rFonts w:ascii="Lato" w:hAnsi="Lato"/>
          <w:sz w:val="18"/>
          <w:szCs w:val="18"/>
        </w:rPr>
        <w:t xml:space="preserve"> Engage EPW. </w:t>
      </w:r>
    </w:p>
  </w:footnote>
  <w:footnote w:id="26">
    <w:p w14:paraId="21FA68D2" w14:textId="4C423314" w:rsidR="008D4A9D" w:rsidRPr="0058490E" w:rsidRDefault="008D4A9D" w:rsidP="0003632C">
      <w:pPr>
        <w:contextualSpacing/>
        <w:rPr>
          <w:rFonts w:ascii="Lato" w:eastAsia="Helvetica Neue" w:hAnsi="Lato" w:cs="Helvetica Neue"/>
          <w:sz w:val="18"/>
          <w:szCs w:val="18"/>
        </w:rPr>
      </w:pPr>
      <w:r w:rsidRPr="0058490E">
        <w:rPr>
          <w:rFonts w:ascii="Lato" w:hAnsi="Lato"/>
          <w:sz w:val="18"/>
          <w:szCs w:val="18"/>
          <w:vertAlign w:val="superscript"/>
        </w:rPr>
        <w:footnoteRef/>
      </w:r>
      <w:r w:rsidRPr="0058490E">
        <w:rPr>
          <w:rFonts w:ascii="Lato" w:hAnsi="Lato"/>
          <w:sz w:val="18"/>
          <w:szCs w:val="18"/>
        </w:rPr>
        <w:t xml:space="preserve"> For more information, see: </w:t>
      </w:r>
      <w:hyperlink r:id="rId27" w:history="1">
        <w:r w:rsidRPr="0058490E">
          <w:rPr>
            <w:rStyle w:val="Hyperlink"/>
            <w:rFonts w:ascii="Lato" w:hAnsi="Lato"/>
            <w:sz w:val="18"/>
            <w:szCs w:val="18"/>
          </w:rPr>
          <w:t>Section 377 verdict: Some of these 4,690 cases are no longer crimes</w:t>
        </w:r>
      </w:hyperlink>
      <w:r w:rsidRPr="0058490E">
        <w:rPr>
          <w:rFonts w:ascii="Lato" w:hAnsi="Lato"/>
          <w:sz w:val="18"/>
          <w:szCs w:val="18"/>
        </w:rPr>
        <w:t xml:space="preserve">. </w:t>
      </w:r>
      <w:r w:rsidRPr="0058490E">
        <w:rPr>
          <w:rFonts w:ascii="Lato" w:eastAsia="Helvetica Neue" w:hAnsi="Lato" w:cs="Helvetica Neue"/>
          <w:sz w:val="18"/>
          <w:szCs w:val="18"/>
        </w:rPr>
        <w:t xml:space="preserve"> </w:t>
      </w:r>
    </w:p>
  </w:footnote>
  <w:footnote w:id="27">
    <w:p w14:paraId="488BDF5A" w14:textId="7A899CD6" w:rsidR="008D4A9D" w:rsidRPr="0058490E" w:rsidRDefault="008D4A9D" w:rsidP="00F63920">
      <w:pPr>
        <w:contextualSpacing/>
        <w:rPr>
          <w:rFonts w:ascii="Lato" w:hAnsi="Lato"/>
          <w:sz w:val="18"/>
          <w:szCs w:val="18"/>
        </w:rPr>
      </w:pPr>
      <w:r w:rsidRPr="0058490E">
        <w:rPr>
          <w:rFonts w:ascii="Lato" w:hAnsi="Lato"/>
          <w:sz w:val="18"/>
          <w:szCs w:val="18"/>
          <w:vertAlign w:val="superscript"/>
        </w:rPr>
        <w:footnoteRef/>
      </w:r>
      <w:r w:rsidRPr="0058490E">
        <w:rPr>
          <w:rFonts w:ascii="Lato" w:hAnsi="Lato"/>
          <w:sz w:val="18"/>
          <w:szCs w:val="18"/>
        </w:rPr>
        <w:t xml:space="preserve"> Han, </w:t>
      </w:r>
      <w:proofErr w:type="spellStart"/>
      <w:r w:rsidRPr="0058490E">
        <w:rPr>
          <w:rFonts w:ascii="Lato" w:hAnsi="Lato"/>
          <w:sz w:val="18"/>
          <w:szCs w:val="18"/>
        </w:rPr>
        <w:t>Enze</w:t>
      </w:r>
      <w:proofErr w:type="spellEnd"/>
      <w:r w:rsidRPr="0058490E">
        <w:rPr>
          <w:rFonts w:ascii="Lato" w:hAnsi="Lato"/>
          <w:sz w:val="18"/>
          <w:szCs w:val="18"/>
        </w:rPr>
        <w:t xml:space="preserve"> &amp; O’Mahoney, Joseph. (2018). </w:t>
      </w:r>
      <w:hyperlink r:id="rId28" w:history="1">
        <w:r w:rsidRPr="0058490E">
          <w:rPr>
            <w:rStyle w:val="Hyperlink"/>
            <w:rFonts w:ascii="Lato" w:hAnsi="Lato"/>
            <w:sz w:val="18"/>
            <w:szCs w:val="18"/>
          </w:rPr>
          <w:t>British Colonialism and the Criminalization of Homosexuality: Queens, Crime and Empire</w:t>
        </w:r>
      </w:hyperlink>
      <w:r w:rsidRPr="0058490E">
        <w:rPr>
          <w:rFonts w:ascii="Lato" w:hAnsi="Lato"/>
          <w:sz w:val="18"/>
          <w:szCs w:val="18"/>
        </w:rPr>
        <w:t xml:space="preserve">.  </w:t>
      </w:r>
      <w:r w:rsidRPr="0058490E">
        <w:rPr>
          <w:rFonts w:ascii="Lato" w:eastAsia="Helvetica Neue" w:hAnsi="Lato" w:cs="Helvetica Neue"/>
          <w:sz w:val="18"/>
          <w:szCs w:val="18"/>
        </w:rPr>
        <w:t xml:space="preserve"> </w:t>
      </w:r>
    </w:p>
  </w:footnote>
  <w:footnote w:id="28">
    <w:p w14:paraId="3CA405C1" w14:textId="29D64C3A" w:rsidR="008D4A9D" w:rsidRPr="000058B2" w:rsidRDefault="008D4A9D" w:rsidP="00B7197B">
      <w:pPr>
        <w:pStyle w:val="FootnoteText"/>
        <w:jc w:val="both"/>
        <w:rPr>
          <w:rFonts w:ascii="Lato" w:hAnsi="Lato"/>
          <w:sz w:val="18"/>
          <w:szCs w:val="18"/>
        </w:rPr>
      </w:pPr>
      <w:r w:rsidRPr="0058490E">
        <w:rPr>
          <w:rStyle w:val="FootnoteReference"/>
          <w:rFonts w:ascii="Lato" w:hAnsi="Lato"/>
          <w:color w:val="000000" w:themeColor="text1"/>
          <w:sz w:val="18"/>
          <w:szCs w:val="18"/>
        </w:rPr>
        <w:footnoteRef/>
      </w:r>
      <w:r w:rsidRPr="0058490E">
        <w:rPr>
          <w:rFonts w:ascii="Lato" w:hAnsi="Lato"/>
          <w:color w:val="000000" w:themeColor="text1"/>
          <w:sz w:val="18"/>
          <w:szCs w:val="18"/>
        </w:rPr>
        <w:t xml:space="preserve"> Information provided by ILGA ASIA</w:t>
      </w:r>
      <w:r w:rsidR="0058490E">
        <w:rPr>
          <w:rFonts w:ascii="Lato" w:hAnsi="Lato"/>
          <w:color w:val="000000" w:themeColor="text1"/>
          <w:sz w:val="18"/>
          <w:szCs w:val="18"/>
        </w:rPr>
        <w:t>.</w:t>
      </w:r>
    </w:p>
  </w:footnote>
  <w:footnote w:id="29">
    <w:p w14:paraId="2642B3AF" w14:textId="41EA91DA" w:rsidR="008D4A9D" w:rsidRPr="000357CE" w:rsidRDefault="008D4A9D" w:rsidP="00B7197B">
      <w:pPr>
        <w:pStyle w:val="FootnoteText"/>
        <w:jc w:val="both"/>
      </w:pPr>
      <w:r w:rsidRPr="000058B2">
        <w:rPr>
          <w:rStyle w:val="FootnoteReference"/>
          <w:rFonts w:ascii="Lato" w:hAnsi="Lato"/>
          <w:sz w:val="18"/>
          <w:szCs w:val="18"/>
        </w:rPr>
        <w:footnoteRef/>
      </w:r>
      <w:r w:rsidRPr="000058B2">
        <w:rPr>
          <w:rFonts w:ascii="Lato" w:hAnsi="Lato"/>
          <w:sz w:val="18"/>
          <w:szCs w:val="18"/>
        </w:rPr>
        <w:t xml:space="preserve"> Center for International Human Rights of Northwestern University School of Law Heartland Alliance for Human Needs &amp; Human Rights, Global Initiative for Sexuality and Human Rights. (2014). </w:t>
      </w:r>
      <w:hyperlink r:id="rId29" w:history="1">
        <w:r w:rsidRPr="000058B2">
          <w:rPr>
            <w:rStyle w:val="Hyperlink"/>
            <w:rFonts w:ascii="Lato" w:hAnsi="Lato"/>
            <w:sz w:val="18"/>
            <w:szCs w:val="18"/>
          </w:rPr>
          <w:t>Human Rights Violations Against Lesbian, Gay, Bisexual, and Transgender (LGBT) People in Sri Lanka: A Shadow Report</w:t>
        </w:r>
      </w:hyperlink>
      <w:r w:rsidRPr="000058B2">
        <w:rPr>
          <w:rFonts w:ascii="Lato" w:hAnsi="Lato"/>
          <w:sz w:val="18"/>
          <w:szCs w:val="18"/>
        </w:rPr>
        <w:t>. (Submitted for consideration at the 110th Session of the Human Rights Committee).</w:t>
      </w:r>
      <w:r>
        <w:t xml:space="preserve"> </w:t>
      </w:r>
    </w:p>
  </w:footnote>
  <w:footnote w:id="30">
    <w:p w14:paraId="33B78384" w14:textId="6D66BB5F" w:rsidR="008D4A9D" w:rsidRPr="008F6FC2" w:rsidRDefault="008D4A9D" w:rsidP="00B7197B">
      <w:pPr>
        <w:jc w:val="both"/>
        <w:rPr>
          <w:rFonts w:ascii="Lato" w:hAnsi="Lato"/>
          <w:sz w:val="18"/>
          <w:szCs w:val="18"/>
        </w:rPr>
      </w:pPr>
      <w:r w:rsidRPr="008F6FC2">
        <w:rPr>
          <w:rStyle w:val="FootnoteReference"/>
          <w:rFonts w:ascii="Lato" w:hAnsi="Lato"/>
          <w:sz w:val="18"/>
          <w:szCs w:val="18"/>
        </w:rPr>
        <w:footnoteRef/>
      </w:r>
      <w:r w:rsidRPr="008F6FC2">
        <w:rPr>
          <w:rFonts w:ascii="Lato" w:hAnsi="Lato"/>
          <w:sz w:val="18"/>
          <w:szCs w:val="18"/>
        </w:rPr>
        <w:t xml:space="preserve"> Human Rights Watch. (2016). </w:t>
      </w:r>
      <w:hyperlink r:id="rId30" w:history="1">
        <w:r w:rsidRPr="008F6FC2">
          <w:rPr>
            <w:rStyle w:val="Hyperlink"/>
            <w:rFonts w:ascii="Lato" w:hAnsi="Lato"/>
            <w:sz w:val="18"/>
            <w:szCs w:val="18"/>
          </w:rPr>
          <w:t>“All Five Fingers Are Not the Same”: Discrimination on Grounds of Gender Identity and Sexual Orientation in Sri Lanka</w:t>
        </w:r>
      </w:hyperlink>
      <w:r w:rsidRPr="008F6FC2">
        <w:rPr>
          <w:rFonts w:ascii="Lato" w:hAnsi="Lato"/>
          <w:sz w:val="18"/>
          <w:szCs w:val="18"/>
        </w:rPr>
        <w:t xml:space="preserve">. </w:t>
      </w:r>
    </w:p>
  </w:footnote>
  <w:footnote w:id="31">
    <w:p w14:paraId="4CA11C3C" w14:textId="62DED242" w:rsidR="008D4A9D" w:rsidRPr="008F6FC2" w:rsidRDefault="008D4A9D" w:rsidP="00B7197B">
      <w:pPr>
        <w:pStyle w:val="FootnoteText"/>
        <w:jc w:val="both"/>
        <w:rPr>
          <w:rFonts w:ascii="Lato" w:hAnsi="Lato"/>
          <w:sz w:val="18"/>
          <w:szCs w:val="18"/>
        </w:rPr>
      </w:pPr>
      <w:r w:rsidRPr="008F6FC2">
        <w:rPr>
          <w:rStyle w:val="FootnoteReference"/>
          <w:rFonts w:ascii="Lato" w:hAnsi="Lato"/>
          <w:sz w:val="18"/>
          <w:szCs w:val="18"/>
        </w:rPr>
        <w:footnoteRef/>
      </w:r>
      <w:r w:rsidRPr="008F6FC2">
        <w:rPr>
          <w:rFonts w:ascii="Lato" w:hAnsi="Lato"/>
          <w:sz w:val="18"/>
          <w:szCs w:val="18"/>
        </w:rPr>
        <w:t xml:space="preserve"> </w:t>
      </w:r>
      <w:hyperlink r:id="rId31" w:history="1">
        <w:r w:rsidRPr="008F6FC2">
          <w:rPr>
            <w:rStyle w:val="Hyperlink"/>
            <w:rFonts w:ascii="Lato" w:hAnsi="Lato"/>
            <w:sz w:val="18"/>
            <w:szCs w:val="18"/>
          </w:rPr>
          <w:t>Offences against the Person</w:t>
        </w:r>
      </w:hyperlink>
      <w:r w:rsidRPr="008F6FC2">
        <w:rPr>
          <w:rFonts w:ascii="Lato" w:hAnsi="Lato"/>
          <w:sz w:val="18"/>
          <w:szCs w:val="18"/>
        </w:rPr>
        <w:t xml:space="preserve">: An Act to consolidate and amend the Statute Law of England and Ireland relating to Offences against the Person. </w:t>
      </w:r>
    </w:p>
  </w:footnote>
  <w:footnote w:id="32">
    <w:p w14:paraId="330E22A2" w14:textId="62C0A528" w:rsidR="008D4A9D" w:rsidRPr="008F6FC2" w:rsidRDefault="008D4A9D" w:rsidP="00B7197B">
      <w:pPr>
        <w:pStyle w:val="FootnoteText"/>
        <w:contextualSpacing/>
        <w:jc w:val="both"/>
        <w:rPr>
          <w:rFonts w:ascii="Lato" w:hAnsi="Lato"/>
          <w:sz w:val="18"/>
          <w:szCs w:val="18"/>
        </w:rPr>
      </w:pPr>
      <w:r w:rsidRPr="008F6FC2">
        <w:rPr>
          <w:rStyle w:val="FootnoteReference"/>
          <w:rFonts w:ascii="Lato" w:hAnsi="Lato"/>
          <w:sz w:val="18"/>
          <w:szCs w:val="18"/>
        </w:rPr>
        <w:footnoteRef/>
      </w:r>
      <w:r w:rsidRPr="008F6FC2">
        <w:rPr>
          <w:rFonts w:ascii="Lato" w:hAnsi="Lato"/>
          <w:sz w:val="18"/>
          <w:szCs w:val="18"/>
        </w:rPr>
        <w:t xml:space="preserve"> Malaysia, </w:t>
      </w:r>
      <w:hyperlink r:id="rId32" w:history="1">
        <w:r w:rsidRPr="008F6FC2">
          <w:rPr>
            <w:rStyle w:val="Hyperlink"/>
            <w:rFonts w:ascii="Lato" w:hAnsi="Lato"/>
            <w:sz w:val="18"/>
            <w:szCs w:val="18"/>
          </w:rPr>
          <w:t>Act 574 Penal Code</w:t>
        </w:r>
      </w:hyperlink>
      <w:r w:rsidRPr="008F6FC2">
        <w:rPr>
          <w:rFonts w:ascii="Lato" w:hAnsi="Lato"/>
          <w:sz w:val="18"/>
          <w:szCs w:val="18"/>
        </w:rPr>
        <w:t xml:space="preserve"> (2015).</w:t>
      </w:r>
      <w:r w:rsidR="0058490E">
        <w:rPr>
          <w:rFonts w:ascii="Lato" w:hAnsi="Lato"/>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33"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33">
    <w:p w14:paraId="405371D9" w14:textId="376936DF" w:rsidR="008D4A9D" w:rsidRPr="008F6FC2" w:rsidRDefault="008D4A9D" w:rsidP="00B7197B">
      <w:pPr>
        <w:pStyle w:val="FootnoteText"/>
        <w:jc w:val="both"/>
        <w:rPr>
          <w:rFonts w:ascii="Lato" w:hAnsi="Lato"/>
          <w:sz w:val="18"/>
          <w:szCs w:val="18"/>
        </w:rPr>
      </w:pPr>
      <w:r w:rsidRPr="008F6FC2">
        <w:rPr>
          <w:rStyle w:val="FootnoteReference"/>
          <w:rFonts w:ascii="Lato" w:hAnsi="Lato"/>
          <w:sz w:val="18"/>
          <w:szCs w:val="18"/>
        </w:rPr>
        <w:footnoteRef/>
      </w:r>
      <w:r w:rsidRPr="008F6FC2">
        <w:rPr>
          <w:rFonts w:ascii="Lato" w:hAnsi="Lato"/>
          <w:sz w:val="18"/>
          <w:szCs w:val="18"/>
        </w:rPr>
        <w:t xml:space="preserve"> Malaysia, </w:t>
      </w:r>
      <w:hyperlink r:id="rId34" w:history="1">
        <w:r w:rsidRPr="008F6FC2">
          <w:rPr>
            <w:rStyle w:val="Hyperlink"/>
            <w:rFonts w:ascii="Lato" w:eastAsia="Times New Roman" w:hAnsi="Lato" w:cs="Times New Roman"/>
            <w:kern w:val="0"/>
            <w:sz w:val="18"/>
            <w:szCs w:val="18"/>
            <w14:ligatures w14:val="none"/>
          </w:rPr>
          <w:t>the Penal Code (Amendment and Extension) Act (Act A-327).</w:t>
        </w:r>
      </w:hyperlink>
      <w:r w:rsidRPr="008F6FC2">
        <w:rPr>
          <w:rFonts w:ascii="Lato" w:eastAsia="Times New Roman" w:hAnsi="Lato" w:cs="Times New Roman"/>
          <w:kern w:val="0"/>
          <w:sz w:val="18"/>
          <w:szCs w:val="18"/>
          <w14:ligatures w14:val="none"/>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35"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34">
    <w:p w14:paraId="4E14215C" w14:textId="1F879C59" w:rsidR="008D4A9D" w:rsidRPr="008F6FC2" w:rsidRDefault="008D4A9D" w:rsidP="00B7197B">
      <w:pPr>
        <w:jc w:val="both"/>
      </w:pPr>
      <w:r w:rsidRPr="008F6FC2">
        <w:rPr>
          <w:rStyle w:val="FootnoteReference"/>
          <w:rFonts w:ascii="Lato" w:hAnsi="Lato"/>
          <w:sz w:val="18"/>
          <w:szCs w:val="18"/>
        </w:rPr>
        <w:footnoteRef/>
      </w:r>
      <w:r w:rsidRPr="008F6FC2">
        <w:rPr>
          <w:rFonts w:ascii="Lato" w:hAnsi="Lato"/>
          <w:sz w:val="18"/>
          <w:szCs w:val="18"/>
        </w:rPr>
        <w:t xml:space="preserve"> Sanders, Douglas. (2008). </w:t>
      </w:r>
      <w:hyperlink r:id="rId36" w:history="1">
        <w:r w:rsidRPr="008F6FC2">
          <w:rPr>
            <w:rStyle w:val="Hyperlink"/>
            <w:rFonts w:ascii="Lato" w:hAnsi="Lato"/>
            <w:sz w:val="18"/>
            <w:szCs w:val="18"/>
          </w:rPr>
          <w:t>377 and the unnatural afterlife of British colonialism in Asia</w:t>
        </w:r>
      </w:hyperlink>
      <w:r w:rsidRPr="008F6FC2">
        <w:rPr>
          <w:rFonts w:ascii="Lato" w:hAnsi="Lato"/>
          <w:sz w:val="18"/>
          <w:szCs w:val="18"/>
        </w:rPr>
        <w:t xml:space="preserve">. </w:t>
      </w:r>
    </w:p>
  </w:footnote>
  <w:footnote w:id="35">
    <w:p w14:paraId="4E0A5614" w14:textId="77884C13" w:rsidR="008D4A9D" w:rsidRPr="00C643DD"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C643DD">
        <w:rPr>
          <w:rFonts w:ascii="Lato" w:hAnsi="Lato"/>
          <w:sz w:val="18"/>
          <w:szCs w:val="18"/>
        </w:rPr>
        <w:t xml:space="preserve"> </w:t>
      </w:r>
      <w:r w:rsidRPr="00C643DD">
        <w:rPr>
          <w:rFonts w:ascii="Lato" w:hAnsi="Lato"/>
          <w:color w:val="000000" w:themeColor="text1"/>
          <w:sz w:val="18"/>
          <w:szCs w:val="18"/>
        </w:rPr>
        <w:t>Information provided by ILGA ASIA.</w:t>
      </w:r>
    </w:p>
  </w:footnote>
  <w:footnote w:id="36">
    <w:p w14:paraId="7FC49BEE" w14:textId="530EC589" w:rsidR="008D4A9D" w:rsidRPr="0058490E"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58490E">
        <w:rPr>
          <w:rFonts w:ascii="Lato" w:hAnsi="Lato"/>
          <w:sz w:val="18"/>
          <w:szCs w:val="18"/>
        </w:rPr>
        <w:t xml:space="preserve"> Gambia, </w:t>
      </w:r>
      <w:hyperlink r:id="rId37" w:history="1">
        <w:r w:rsidRPr="0058490E">
          <w:rPr>
            <w:rStyle w:val="Hyperlink"/>
            <w:rFonts w:ascii="Lato" w:hAnsi="Lato"/>
            <w:sz w:val="18"/>
            <w:szCs w:val="18"/>
          </w:rPr>
          <w:t>Criminal Code</w:t>
        </w:r>
      </w:hyperlink>
      <w:r w:rsidRPr="0058490E">
        <w:rPr>
          <w:rFonts w:ascii="Lato" w:hAnsi="Lato"/>
          <w:sz w:val="18"/>
          <w:szCs w:val="18"/>
        </w:rPr>
        <w:t xml:space="preserve"> (1934).</w:t>
      </w:r>
      <w:r w:rsidR="0058490E" w:rsidRPr="0058490E">
        <w:rPr>
          <w:rFonts w:ascii="Lato" w:hAnsi="Lato"/>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38"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37">
    <w:p w14:paraId="349EE98E" w14:textId="071DF508" w:rsidR="008D4A9D" w:rsidRPr="0058490E"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58490E">
        <w:rPr>
          <w:rFonts w:ascii="Lato" w:hAnsi="Lato"/>
          <w:sz w:val="18"/>
          <w:szCs w:val="18"/>
        </w:rPr>
        <w:t xml:space="preserve"> Gambia, </w:t>
      </w:r>
      <w:hyperlink r:id="rId39" w:history="1">
        <w:r w:rsidRPr="0058490E">
          <w:rPr>
            <w:rStyle w:val="Hyperlink"/>
            <w:rFonts w:ascii="Lato" w:hAnsi="Lato"/>
            <w:sz w:val="18"/>
            <w:szCs w:val="18"/>
          </w:rPr>
          <w:t>Criminal Code (Amendment) Act</w:t>
        </w:r>
      </w:hyperlink>
      <w:r w:rsidRPr="0058490E">
        <w:rPr>
          <w:rFonts w:ascii="Lato" w:hAnsi="Lato"/>
          <w:sz w:val="18"/>
          <w:szCs w:val="18"/>
        </w:rPr>
        <w:t xml:space="preserve"> (2005).</w:t>
      </w:r>
      <w:r w:rsidR="0058490E" w:rsidRPr="0058490E">
        <w:rPr>
          <w:rFonts w:ascii="Lato" w:hAnsi="Lato"/>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40"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38">
    <w:p w14:paraId="4F72BC3C" w14:textId="00A0D609" w:rsidR="008D4A9D" w:rsidRPr="00C643DD"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C643DD">
        <w:rPr>
          <w:rFonts w:ascii="Lato" w:hAnsi="Lato"/>
          <w:sz w:val="18"/>
          <w:szCs w:val="18"/>
        </w:rPr>
        <w:t xml:space="preserve"> Gambia, </w:t>
      </w:r>
      <w:hyperlink r:id="rId41" w:history="1">
        <w:r w:rsidRPr="00C643DD">
          <w:rPr>
            <w:rStyle w:val="Hyperlink"/>
            <w:rFonts w:ascii="Lato" w:hAnsi="Lato"/>
            <w:sz w:val="18"/>
            <w:szCs w:val="18"/>
          </w:rPr>
          <w:t>Criminal Code (Amendment) Act</w:t>
        </w:r>
      </w:hyperlink>
      <w:r w:rsidRPr="00C643DD">
        <w:rPr>
          <w:rFonts w:ascii="Lato" w:hAnsi="Lato"/>
          <w:sz w:val="18"/>
          <w:szCs w:val="18"/>
        </w:rPr>
        <w:t xml:space="preserve"> (2014).</w:t>
      </w:r>
      <w:r w:rsidR="0058490E">
        <w:rPr>
          <w:rFonts w:ascii="Lato" w:hAnsi="Lato"/>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42"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39">
    <w:p w14:paraId="7FAC26DB" w14:textId="62564BC8" w:rsidR="008D4A9D" w:rsidRPr="00C643DD"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C643DD">
        <w:rPr>
          <w:rFonts w:ascii="Lato" w:hAnsi="Lato"/>
          <w:sz w:val="18"/>
          <w:szCs w:val="18"/>
        </w:rPr>
        <w:t xml:space="preserve"> Ibid., Part 4. </w:t>
      </w:r>
    </w:p>
  </w:footnote>
  <w:footnote w:id="40">
    <w:p w14:paraId="18C9DED3" w14:textId="68833364" w:rsidR="008D4A9D" w:rsidRPr="00C643DD" w:rsidRDefault="008D4A9D" w:rsidP="00B7197B">
      <w:pPr>
        <w:pStyle w:val="FootnoteText"/>
        <w:jc w:val="both"/>
        <w:rPr>
          <w:rFonts w:ascii="Lato" w:hAnsi="Lato"/>
          <w:sz w:val="18"/>
          <w:szCs w:val="18"/>
        </w:rPr>
      </w:pPr>
      <w:r w:rsidRPr="00C643DD">
        <w:rPr>
          <w:rStyle w:val="FootnoteReference"/>
          <w:rFonts w:ascii="Lato" w:hAnsi="Lato"/>
          <w:sz w:val="18"/>
          <w:szCs w:val="18"/>
        </w:rPr>
        <w:footnoteRef/>
      </w:r>
      <w:r w:rsidRPr="00C643DD">
        <w:rPr>
          <w:rFonts w:ascii="Lato" w:hAnsi="Lato"/>
          <w:sz w:val="18"/>
          <w:szCs w:val="18"/>
        </w:rPr>
        <w:t xml:space="preserve"> Nigeria, </w:t>
      </w:r>
      <w:hyperlink r:id="rId43" w:history="1">
        <w:r w:rsidRPr="00C643DD">
          <w:rPr>
            <w:rStyle w:val="Hyperlink"/>
            <w:rFonts w:ascii="Lato" w:eastAsia="Helvetica Neue" w:hAnsi="Lato" w:cs="Helvetica Neue"/>
            <w:sz w:val="18"/>
            <w:szCs w:val="18"/>
          </w:rPr>
          <w:t>Criminal Code Act</w:t>
        </w:r>
      </w:hyperlink>
      <w:r w:rsidRPr="00C643DD">
        <w:rPr>
          <w:rFonts w:ascii="Lato" w:eastAsia="Helvetica Neue" w:hAnsi="Lato" w:cs="Helvetica Neue"/>
          <w:sz w:val="18"/>
          <w:szCs w:val="18"/>
        </w:rPr>
        <w:t xml:space="preserve"> (2004).</w:t>
      </w:r>
      <w:r w:rsidR="0058490E">
        <w:rPr>
          <w:rFonts w:ascii="Lato" w:eastAsia="Helvetica Neue" w:hAnsi="Lato" w:cs="Helvetica Neue"/>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44"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41">
    <w:p w14:paraId="155AD032" w14:textId="0CA8E14B" w:rsidR="008D4A9D" w:rsidRPr="00C643DD" w:rsidRDefault="008D4A9D" w:rsidP="00B7197B">
      <w:pPr>
        <w:pStyle w:val="FootnoteText"/>
        <w:jc w:val="both"/>
      </w:pPr>
      <w:r w:rsidRPr="00C643DD">
        <w:rPr>
          <w:rStyle w:val="FootnoteReference"/>
          <w:rFonts w:ascii="Lato" w:hAnsi="Lato"/>
          <w:sz w:val="18"/>
          <w:szCs w:val="18"/>
        </w:rPr>
        <w:footnoteRef/>
      </w:r>
      <w:r w:rsidRPr="00C643DD">
        <w:rPr>
          <w:rFonts w:ascii="Lato" w:hAnsi="Lato"/>
          <w:sz w:val="18"/>
          <w:szCs w:val="18"/>
        </w:rPr>
        <w:t xml:space="preserve"> Nigeria, </w:t>
      </w:r>
      <w:hyperlink r:id="rId45" w:history="1">
        <w:r w:rsidRPr="00C643DD">
          <w:rPr>
            <w:rStyle w:val="Hyperlink"/>
            <w:rFonts w:ascii="Lato" w:hAnsi="Lato"/>
            <w:sz w:val="18"/>
            <w:szCs w:val="18"/>
          </w:rPr>
          <w:t>Penal Code (Northern States) Federal Provisions Act</w:t>
        </w:r>
      </w:hyperlink>
      <w:r w:rsidRPr="00C643DD">
        <w:rPr>
          <w:rFonts w:ascii="Lato" w:hAnsi="Lato"/>
          <w:sz w:val="18"/>
          <w:szCs w:val="18"/>
        </w:rPr>
        <w:t xml:space="preserve"> (1959).</w:t>
      </w:r>
      <w:r w:rsidR="0058490E">
        <w:rPr>
          <w:rFonts w:ascii="Lato" w:hAnsi="Lato"/>
          <w:sz w:val="18"/>
          <w:szCs w:val="18"/>
        </w:rPr>
        <w:t xml:space="preserve"> </w:t>
      </w:r>
      <w:r w:rsidR="0058490E" w:rsidRPr="006337CF">
        <w:rPr>
          <w:rFonts w:ascii="Lato" w:hAnsi="Lato"/>
          <w:sz w:val="18"/>
          <w:szCs w:val="18"/>
        </w:rPr>
        <w:t xml:space="preserve">Information </w:t>
      </w:r>
      <w:r w:rsidR="0058490E" w:rsidRPr="0058490E">
        <w:rPr>
          <w:rFonts w:ascii="Lato" w:hAnsi="Lato"/>
          <w:sz w:val="18"/>
          <w:szCs w:val="18"/>
        </w:rPr>
        <w:t xml:space="preserve">obtained </w:t>
      </w:r>
      <w:r w:rsidR="0058490E" w:rsidRPr="006337CF">
        <w:rPr>
          <w:rFonts w:ascii="Lato" w:hAnsi="Lato"/>
          <w:sz w:val="18"/>
          <w:szCs w:val="18"/>
        </w:rPr>
        <w:t xml:space="preserve">from the </w:t>
      </w:r>
      <w:hyperlink r:id="rId46" w:history="1">
        <w:r w:rsidR="0058490E" w:rsidRPr="006337CF">
          <w:rPr>
            <w:rStyle w:val="Hyperlink"/>
            <w:rFonts w:ascii="Lato" w:hAnsi="Lato"/>
            <w:sz w:val="18"/>
            <w:szCs w:val="18"/>
          </w:rPr>
          <w:t xml:space="preserve">ILGA World </w:t>
        </w:r>
        <w:r w:rsidR="0058490E">
          <w:rPr>
            <w:rStyle w:val="Hyperlink"/>
            <w:rFonts w:ascii="Lato" w:hAnsi="Lato"/>
            <w:sz w:val="18"/>
            <w:szCs w:val="18"/>
          </w:rPr>
          <w:t>d</w:t>
        </w:r>
        <w:r w:rsidR="0058490E" w:rsidRPr="006337CF">
          <w:rPr>
            <w:rStyle w:val="Hyperlink"/>
            <w:rFonts w:ascii="Lato" w:hAnsi="Lato"/>
            <w:sz w:val="18"/>
            <w:szCs w:val="18"/>
          </w:rPr>
          <w:t>ata</w:t>
        </w:r>
        <w:r w:rsidR="0058490E">
          <w:rPr>
            <w:rStyle w:val="Hyperlink"/>
            <w:rFonts w:ascii="Lato" w:hAnsi="Lato"/>
            <w:sz w:val="18"/>
            <w:szCs w:val="18"/>
          </w:rPr>
          <w:t>b</w:t>
        </w:r>
        <w:r w:rsidR="0058490E" w:rsidRPr="006337CF">
          <w:rPr>
            <w:rStyle w:val="Hyperlink"/>
            <w:rFonts w:ascii="Lato" w:hAnsi="Lato"/>
            <w:sz w:val="18"/>
            <w:szCs w:val="18"/>
          </w:rPr>
          <w:t>ase</w:t>
        </w:r>
      </w:hyperlink>
      <w:r w:rsidR="0058490E" w:rsidRPr="006337CF">
        <w:rPr>
          <w:rFonts w:ascii="Lato" w:hAnsi="Lato"/>
          <w:sz w:val="18"/>
          <w:szCs w:val="18"/>
        </w:rPr>
        <w:t>.</w:t>
      </w:r>
    </w:p>
  </w:footnote>
  <w:footnote w:id="42">
    <w:p w14:paraId="3DFB6F8B" w14:textId="4D93C956" w:rsidR="008D4A9D" w:rsidRPr="0058490E" w:rsidRDefault="008D4A9D" w:rsidP="00464021">
      <w:pPr>
        <w:jc w:val="both"/>
        <w:rPr>
          <w:rFonts w:ascii="Lato" w:eastAsia="Lato" w:hAnsi="Lato" w:cs="Lato"/>
          <w:color w:val="000000" w:themeColor="text1"/>
          <w:sz w:val="18"/>
          <w:szCs w:val="18"/>
        </w:rPr>
      </w:pPr>
      <w:r w:rsidRPr="0058490E">
        <w:rPr>
          <w:rStyle w:val="FootnoteReference"/>
          <w:rFonts w:ascii="Lato" w:eastAsia="Lato" w:hAnsi="Lato" w:cs="Lato"/>
          <w:sz w:val="18"/>
          <w:szCs w:val="18"/>
        </w:rPr>
        <w:footnoteRef/>
      </w:r>
      <w:r w:rsidRPr="0058490E">
        <w:rPr>
          <w:rFonts w:ascii="Lato" w:eastAsia="Lato" w:hAnsi="Lato" w:cs="Lato"/>
          <w:sz w:val="18"/>
          <w:szCs w:val="18"/>
        </w:rPr>
        <w:t xml:space="preserve"> T</w:t>
      </w:r>
      <w:r w:rsidRPr="0058490E">
        <w:rPr>
          <w:rFonts w:ascii="Lato" w:eastAsia="Lato" w:hAnsi="Lato" w:cs="Lato"/>
          <w:color w:val="000000" w:themeColor="text1"/>
          <w:sz w:val="18"/>
          <w:szCs w:val="18"/>
        </w:rPr>
        <w:t>he French repealed their anti-sodomy laws after the first French Revolution in 1750, two centuries prior to the British in 1967. This is then echoed in La Francophonie nations.</w:t>
      </w:r>
    </w:p>
  </w:footnote>
  <w:footnote w:id="43">
    <w:p w14:paraId="6A8BEDAC" w14:textId="63E6DC98" w:rsidR="008D4A9D" w:rsidRPr="0058490E" w:rsidRDefault="008D4A9D" w:rsidP="00464021">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Democratic Republic of Congo, </w:t>
      </w:r>
      <w:hyperlink r:id="rId47" w:history="1">
        <w:r w:rsidRPr="0058490E">
          <w:rPr>
            <w:rStyle w:val="Hyperlink"/>
            <w:rFonts w:ascii="Lato" w:hAnsi="Lato"/>
            <w:sz w:val="18"/>
            <w:szCs w:val="18"/>
          </w:rPr>
          <w:t>Code Penal</w:t>
        </w:r>
      </w:hyperlink>
      <w:r w:rsidRPr="0058490E">
        <w:rPr>
          <w:rFonts w:ascii="Lato" w:hAnsi="Lato"/>
          <w:sz w:val="18"/>
          <w:szCs w:val="18"/>
        </w:rPr>
        <w:t>.</w:t>
      </w:r>
      <w:r w:rsidR="0058490E" w:rsidRPr="0058490E">
        <w:rPr>
          <w:rFonts w:ascii="Lato" w:hAnsi="Lato"/>
          <w:sz w:val="18"/>
          <w:szCs w:val="18"/>
        </w:rPr>
        <w:t xml:space="preserve"> Information obtained from the </w:t>
      </w:r>
      <w:hyperlink r:id="rId48" w:history="1">
        <w:r w:rsidR="0058490E" w:rsidRPr="0058490E">
          <w:rPr>
            <w:rStyle w:val="Hyperlink"/>
            <w:rFonts w:ascii="Lato" w:hAnsi="Lato"/>
            <w:sz w:val="18"/>
            <w:szCs w:val="18"/>
          </w:rPr>
          <w:t>ILGA World database</w:t>
        </w:r>
      </w:hyperlink>
      <w:r w:rsidR="0058490E" w:rsidRPr="0058490E">
        <w:rPr>
          <w:rFonts w:ascii="Lato" w:hAnsi="Lato"/>
          <w:sz w:val="18"/>
          <w:szCs w:val="18"/>
        </w:rPr>
        <w:t>.</w:t>
      </w:r>
    </w:p>
  </w:footnote>
  <w:footnote w:id="44">
    <w:p w14:paraId="407ED37D" w14:textId="61ECC67F" w:rsidR="008D4A9D" w:rsidRPr="0058490E" w:rsidRDefault="008D4A9D" w:rsidP="001525F9">
      <w:pPr>
        <w:pStyle w:val="FootnoteText"/>
        <w:jc w:val="both"/>
        <w:rPr>
          <w:rFonts w:ascii="Lato" w:hAnsi="Lato"/>
          <w:sz w:val="18"/>
          <w:szCs w:val="18"/>
        </w:rPr>
      </w:pPr>
      <w:r w:rsidRPr="0058490E">
        <w:rPr>
          <w:rStyle w:val="FootnoteReference"/>
          <w:rFonts w:ascii="Lato" w:hAnsi="Lato"/>
          <w:color w:val="000000" w:themeColor="text1"/>
          <w:sz w:val="18"/>
          <w:szCs w:val="18"/>
        </w:rPr>
        <w:footnoteRef/>
      </w:r>
      <w:r w:rsidRPr="0058490E">
        <w:rPr>
          <w:rFonts w:ascii="Lato" w:hAnsi="Lato"/>
          <w:color w:val="000000" w:themeColor="text1"/>
          <w:sz w:val="18"/>
          <w:szCs w:val="18"/>
        </w:rPr>
        <w:t xml:space="preserve"> Information provided by OASIS</w:t>
      </w:r>
      <w:r w:rsidR="0058490E" w:rsidRPr="0058490E">
        <w:rPr>
          <w:rFonts w:ascii="Lato" w:hAnsi="Lato"/>
          <w:color w:val="000000" w:themeColor="text1"/>
          <w:sz w:val="18"/>
          <w:szCs w:val="18"/>
        </w:rPr>
        <w:t xml:space="preserve"> RD Congo.</w:t>
      </w:r>
    </w:p>
  </w:footnote>
  <w:footnote w:id="45">
    <w:p w14:paraId="1B50B8CF" w14:textId="0643B4F1" w:rsidR="008D4A9D" w:rsidRPr="0058490E" w:rsidRDefault="008D4A9D" w:rsidP="001525F9">
      <w:pPr>
        <w:jc w:val="both"/>
        <w:rPr>
          <w:rFonts w:ascii="Lato" w:hAnsi="Lato"/>
          <w:sz w:val="18"/>
          <w:szCs w:val="18"/>
        </w:rPr>
      </w:pPr>
      <w:r w:rsidRPr="0058490E">
        <w:rPr>
          <w:rFonts w:ascii="Lato" w:hAnsi="Lato"/>
          <w:sz w:val="18"/>
          <w:szCs w:val="18"/>
          <w:vertAlign w:val="superscript"/>
        </w:rPr>
        <w:footnoteRef/>
      </w:r>
      <w:r w:rsidRPr="0058490E">
        <w:rPr>
          <w:rFonts w:ascii="Lato" w:eastAsia="Helvetica Neue" w:hAnsi="Lato" w:cs="Helvetica Neue"/>
          <w:sz w:val="18"/>
          <w:szCs w:val="18"/>
        </w:rPr>
        <w:t xml:space="preserve"> The Philippines, </w:t>
      </w:r>
      <w:hyperlink r:id="rId49" w:history="1">
        <w:r w:rsidRPr="0058490E">
          <w:rPr>
            <w:rStyle w:val="Hyperlink"/>
            <w:rFonts w:ascii="Lato" w:eastAsia="Helvetica Neue" w:hAnsi="Lato" w:cs="Helvetica Neue"/>
            <w:sz w:val="18"/>
            <w:szCs w:val="18"/>
          </w:rPr>
          <w:t>Executive Order No. 209, s. 1987</w:t>
        </w:r>
      </w:hyperlink>
      <w:r w:rsidRPr="0058490E">
        <w:rPr>
          <w:rFonts w:ascii="Lato" w:eastAsia="Helvetica Neue" w:hAnsi="Lato" w:cs="Helvetica Neue"/>
          <w:sz w:val="18"/>
          <w:szCs w:val="18"/>
        </w:rPr>
        <w:t>.</w:t>
      </w:r>
      <w:r w:rsidR="0058490E" w:rsidRPr="0058490E">
        <w:rPr>
          <w:rFonts w:ascii="Lato" w:eastAsia="Helvetica Neue" w:hAnsi="Lato" w:cs="Helvetica Neue"/>
          <w:sz w:val="18"/>
          <w:szCs w:val="18"/>
        </w:rPr>
        <w:t xml:space="preserve"> </w:t>
      </w:r>
      <w:r w:rsidR="00535047" w:rsidRPr="0058490E">
        <w:rPr>
          <w:rFonts w:ascii="Lato" w:hAnsi="Lato"/>
          <w:sz w:val="18"/>
          <w:szCs w:val="18"/>
        </w:rPr>
        <w:t xml:space="preserve">Information obtained from the </w:t>
      </w:r>
      <w:hyperlink r:id="rId50"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46">
    <w:p w14:paraId="4E035B4E" w14:textId="2AC7D034" w:rsidR="008D4A9D" w:rsidRPr="0058490E" w:rsidRDefault="008D4A9D" w:rsidP="001525F9">
      <w:pPr>
        <w:jc w:val="both"/>
        <w:rPr>
          <w:rFonts w:ascii="Lato" w:eastAsia="Helvetica Neue" w:hAnsi="Lato" w:cs="Helvetica Neue"/>
          <w:sz w:val="18"/>
          <w:szCs w:val="18"/>
        </w:rPr>
      </w:pPr>
      <w:r w:rsidRPr="0058490E">
        <w:rPr>
          <w:rFonts w:ascii="Lato" w:hAnsi="Lato"/>
          <w:sz w:val="18"/>
          <w:szCs w:val="18"/>
          <w:vertAlign w:val="superscript"/>
        </w:rPr>
        <w:footnoteRef/>
      </w:r>
      <w:r w:rsidRPr="0058490E">
        <w:rPr>
          <w:rFonts w:ascii="Lato" w:eastAsia="Helvetica Neue" w:hAnsi="Lato" w:cs="Helvetica Neue"/>
          <w:sz w:val="18"/>
          <w:szCs w:val="18"/>
        </w:rPr>
        <w:t xml:space="preserve"> Annabel Consuelo </w:t>
      </w:r>
      <w:proofErr w:type="spellStart"/>
      <w:r w:rsidRPr="0058490E">
        <w:rPr>
          <w:rFonts w:ascii="Lato" w:eastAsia="Helvetica Neue" w:hAnsi="Lato" w:cs="Helvetica Neue"/>
          <w:sz w:val="18"/>
          <w:szCs w:val="18"/>
        </w:rPr>
        <w:t>Petinglay</w:t>
      </w:r>
      <w:proofErr w:type="spellEnd"/>
      <w:r w:rsidRPr="0058490E">
        <w:rPr>
          <w:rFonts w:ascii="Lato" w:eastAsia="Helvetica Neue" w:hAnsi="Lato" w:cs="Helvetica Neue"/>
          <w:sz w:val="18"/>
          <w:szCs w:val="18"/>
        </w:rPr>
        <w:t xml:space="preserve">. </w:t>
      </w:r>
      <w:r w:rsidRPr="0058490E">
        <w:rPr>
          <w:rFonts w:ascii="Lato" w:hAnsi="Lato"/>
          <w:sz w:val="18"/>
          <w:szCs w:val="18"/>
        </w:rPr>
        <w:t xml:space="preserve">(2019). </w:t>
      </w:r>
      <w:hyperlink r:id="rId51" w:history="1">
        <w:r w:rsidRPr="0058490E">
          <w:rPr>
            <w:rStyle w:val="Hyperlink"/>
            <w:rFonts w:ascii="Lato" w:hAnsi="Lato"/>
            <w:sz w:val="18"/>
            <w:szCs w:val="18"/>
          </w:rPr>
          <w:t>Antique religious sector opposes SOGIE bills</w:t>
        </w:r>
      </w:hyperlink>
      <w:r w:rsidRPr="0058490E">
        <w:rPr>
          <w:rFonts w:ascii="Lato" w:hAnsi="Lato"/>
          <w:sz w:val="18"/>
          <w:szCs w:val="18"/>
        </w:rPr>
        <w:t>. Republic of the Philippines, Philippine News Agency</w:t>
      </w:r>
      <w:r w:rsidR="0058490E" w:rsidRPr="0058490E">
        <w:rPr>
          <w:rFonts w:ascii="Lato" w:hAnsi="Lato"/>
          <w:sz w:val="18"/>
          <w:szCs w:val="18"/>
        </w:rPr>
        <w:t>.</w:t>
      </w:r>
    </w:p>
  </w:footnote>
  <w:footnote w:id="47">
    <w:p w14:paraId="2CD4F180" w14:textId="4F09E419" w:rsidR="008D4A9D" w:rsidRPr="00C579F4" w:rsidRDefault="008D4A9D">
      <w:pPr>
        <w:pStyle w:val="FootnoteText"/>
      </w:pPr>
      <w:r w:rsidRPr="0058490E">
        <w:rPr>
          <w:rStyle w:val="FootnoteReference"/>
          <w:rFonts w:ascii="Lato" w:hAnsi="Lato"/>
          <w:sz w:val="18"/>
          <w:szCs w:val="18"/>
        </w:rPr>
        <w:footnoteRef/>
      </w:r>
      <w:r w:rsidRPr="0058490E">
        <w:rPr>
          <w:rFonts w:ascii="Lato" w:hAnsi="Lato"/>
          <w:sz w:val="18"/>
          <w:szCs w:val="18"/>
        </w:rPr>
        <w:t xml:space="preserve"> Bolivia, </w:t>
      </w:r>
      <w:hyperlink r:id="rId52" w:history="1">
        <w:r w:rsidRPr="0058490E">
          <w:rPr>
            <w:rStyle w:val="Hyperlink"/>
            <w:rFonts w:ascii="Lato" w:hAnsi="Lato"/>
            <w:sz w:val="18"/>
            <w:szCs w:val="18"/>
          </w:rPr>
          <w:t>Family Code</w:t>
        </w:r>
      </w:hyperlink>
      <w:r w:rsidRPr="0058490E">
        <w:rPr>
          <w:rFonts w:ascii="Lato" w:hAnsi="Lato"/>
          <w:sz w:val="18"/>
          <w:szCs w:val="18"/>
        </w:rPr>
        <w:t xml:space="preserve"> (2014)</w:t>
      </w:r>
      <w:r w:rsidR="0058490E" w:rsidRPr="0058490E">
        <w:rPr>
          <w:rFonts w:ascii="Lato" w:hAnsi="Lato"/>
          <w:sz w:val="18"/>
          <w:szCs w:val="18"/>
        </w:rPr>
        <w:t xml:space="preserve">. Information from the </w:t>
      </w:r>
      <w:hyperlink r:id="rId53" w:history="1">
        <w:r w:rsidR="0058490E" w:rsidRPr="0058490E">
          <w:rPr>
            <w:rStyle w:val="Hyperlink"/>
            <w:rFonts w:ascii="Lato" w:hAnsi="Lato"/>
            <w:sz w:val="18"/>
            <w:szCs w:val="18"/>
          </w:rPr>
          <w:t>ILGA World database</w:t>
        </w:r>
      </w:hyperlink>
      <w:r w:rsidR="0058490E" w:rsidRPr="0058490E">
        <w:rPr>
          <w:rFonts w:ascii="Lato" w:hAnsi="Lato"/>
          <w:sz w:val="18"/>
          <w:szCs w:val="18"/>
        </w:rPr>
        <w:t>.</w:t>
      </w:r>
    </w:p>
  </w:footnote>
  <w:footnote w:id="48">
    <w:p w14:paraId="00760B04" w14:textId="170724DF" w:rsidR="008D4A9D" w:rsidRPr="00C579F4" w:rsidRDefault="008D4A9D" w:rsidP="00B7197B">
      <w:pPr>
        <w:pStyle w:val="FootnoteText"/>
        <w:jc w:val="both"/>
      </w:pPr>
      <w:r w:rsidRPr="00C579F4">
        <w:rPr>
          <w:rStyle w:val="FootnoteReference"/>
          <w:rFonts w:ascii="Lato" w:hAnsi="Lato"/>
          <w:sz w:val="18"/>
          <w:szCs w:val="18"/>
        </w:rPr>
        <w:footnoteRef/>
      </w:r>
      <w:r w:rsidRPr="00C579F4">
        <w:rPr>
          <w:rFonts w:ascii="Lato" w:hAnsi="Lato"/>
          <w:sz w:val="18"/>
          <w:szCs w:val="18"/>
        </w:rPr>
        <w:t xml:space="preserve"> Information provided by Mano Diversa.</w:t>
      </w:r>
    </w:p>
  </w:footnote>
  <w:footnote w:id="49">
    <w:p w14:paraId="035AEA1C" w14:textId="2E400FDB" w:rsidR="0058490E" w:rsidRPr="0058490E" w:rsidRDefault="0058490E" w:rsidP="00B7197B">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All the information</w:t>
      </w:r>
      <w:r w:rsidR="00535047">
        <w:rPr>
          <w:rFonts w:ascii="Lato" w:hAnsi="Lato"/>
          <w:sz w:val="18"/>
          <w:szCs w:val="18"/>
        </w:rPr>
        <w:t xml:space="preserve"> and </w:t>
      </w:r>
      <w:r w:rsidR="00535047" w:rsidRPr="00535047">
        <w:rPr>
          <w:rFonts w:ascii="Lato" w:hAnsi="Lato"/>
          <w:sz w:val="18"/>
          <w:szCs w:val="18"/>
        </w:rPr>
        <w:t>sources</w:t>
      </w:r>
      <w:r w:rsidRPr="0058490E">
        <w:rPr>
          <w:rFonts w:ascii="Lato" w:hAnsi="Lato"/>
          <w:sz w:val="18"/>
          <w:szCs w:val="18"/>
        </w:rPr>
        <w:t xml:space="preserve"> of this section were obtained from the </w:t>
      </w:r>
      <w:hyperlink r:id="rId54" w:history="1">
        <w:r w:rsidRPr="0058490E">
          <w:rPr>
            <w:rStyle w:val="Hyperlink"/>
            <w:rFonts w:ascii="Lato" w:hAnsi="Lato"/>
            <w:sz w:val="18"/>
            <w:szCs w:val="18"/>
          </w:rPr>
          <w:t>ILGA World database</w:t>
        </w:r>
      </w:hyperlink>
      <w:r w:rsidRPr="0058490E">
        <w:rPr>
          <w:rFonts w:ascii="Lato" w:hAnsi="Lato"/>
          <w:sz w:val="18"/>
          <w:szCs w:val="18"/>
        </w:rPr>
        <w:t xml:space="preserve">. </w:t>
      </w:r>
    </w:p>
  </w:footnote>
  <w:footnote w:id="50">
    <w:p w14:paraId="372CDB3C" w14:textId="6E813506" w:rsidR="008D4A9D" w:rsidRPr="0058490E" w:rsidRDefault="008D4A9D" w:rsidP="00B7197B">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Brazil, </w:t>
      </w:r>
      <w:hyperlink r:id="rId55" w:history="1">
        <w:r w:rsidRPr="0058490E">
          <w:rPr>
            <w:rStyle w:val="Hyperlink"/>
            <w:rFonts w:ascii="Lato" w:hAnsi="Lato"/>
            <w:sz w:val="18"/>
            <w:szCs w:val="18"/>
          </w:rPr>
          <w:t>Criminal Code</w:t>
        </w:r>
      </w:hyperlink>
      <w:r w:rsidRPr="0058490E">
        <w:rPr>
          <w:rFonts w:ascii="Lato" w:hAnsi="Lato"/>
          <w:sz w:val="18"/>
          <w:szCs w:val="18"/>
        </w:rPr>
        <w:t xml:space="preserve"> (1830). </w:t>
      </w:r>
      <w:r w:rsidR="00535047" w:rsidRPr="0058490E">
        <w:rPr>
          <w:rFonts w:ascii="Lato" w:hAnsi="Lato"/>
          <w:sz w:val="18"/>
          <w:szCs w:val="18"/>
        </w:rPr>
        <w:t xml:space="preserve">Information obtained from the </w:t>
      </w:r>
      <w:hyperlink r:id="rId56"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1">
    <w:p w14:paraId="08BF8426" w14:textId="30A65A85" w:rsidR="008D4A9D" w:rsidRPr="00535047" w:rsidRDefault="008D4A9D" w:rsidP="00B7197B">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lang w:val="es-ES"/>
        </w:rPr>
        <w:t xml:space="preserve"> </w:t>
      </w:r>
      <w:hyperlink r:id="rId57" w:history="1">
        <w:proofErr w:type="spellStart"/>
        <w:r w:rsidRPr="0058490E">
          <w:rPr>
            <w:rStyle w:val="Hyperlink"/>
            <w:rFonts w:ascii="Lato" w:hAnsi="Lato"/>
            <w:color w:val="0462C2"/>
            <w:sz w:val="18"/>
            <w:szCs w:val="18"/>
            <w:lang w:val="es-ES"/>
          </w:rPr>
          <w:t>Livro</w:t>
        </w:r>
        <w:proofErr w:type="spellEnd"/>
        <w:r w:rsidRPr="0058490E">
          <w:rPr>
            <w:rStyle w:val="Hyperlink"/>
            <w:rFonts w:ascii="Lato" w:hAnsi="Lato"/>
            <w:color w:val="0462C2"/>
            <w:sz w:val="18"/>
            <w:szCs w:val="18"/>
            <w:lang w:val="es-ES"/>
          </w:rPr>
          <w:t xml:space="preserve"> 5 </w:t>
        </w:r>
        <w:proofErr w:type="spellStart"/>
        <w:r w:rsidRPr="0058490E">
          <w:rPr>
            <w:rStyle w:val="Hyperlink"/>
            <w:rFonts w:ascii="Lato" w:hAnsi="Lato"/>
            <w:color w:val="0462C2"/>
            <w:sz w:val="18"/>
            <w:szCs w:val="18"/>
            <w:lang w:val="es-ES"/>
          </w:rPr>
          <w:t>Tit</w:t>
        </w:r>
        <w:proofErr w:type="spellEnd"/>
        <w:r w:rsidRPr="0058490E">
          <w:rPr>
            <w:rStyle w:val="Hyperlink"/>
            <w:rFonts w:ascii="Lato" w:hAnsi="Lato"/>
            <w:color w:val="0462C2"/>
            <w:sz w:val="18"/>
            <w:szCs w:val="18"/>
            <w:lang w:val="es-ES"/>
          </w:rPr>
          <w:t>. 12</w:t>
        </w:r>
      </w:hyperlink>
      <w:r w:rsidRPr="0058490E">
        <w:rPr>
          <w:rFonts w:ascii="Lato" w:hAnsi="Lato"/>
          <w:sz w:val="18"/>
          <w:szCs w:val="18"/>
          <w:lang w:val="es-ES"/>
        </w:rPr>
        <w:t xml:space="preserve">: </w:t>
      </w:r>
      <w:r w:rsidRPr="0058490E">
        <w:rPr>
          <w:rFonts w:ascii="Lato" w:hAnsi="Lato"/>
          <w:i/>
          <w:iCs/>
          <w:sz w:val="18"/>
          <w:szCs w:val="18"/>
          <w:lang w:val="es-ES"/>
        </w:rPr>
        <w:t xml:space="preserve">Dos que </w:t>
      </w:r>
      <w:proofErr w:type="spellStart"/>
      <w:r w:rsidRPr="0058490E">
        <w:rPr>
          <w:rFonts w:ascii="Lato" w:hAnsi="Lato"/>
          <w:i/>
          <w:iCs/>
          <w:sz w:val="18"/>
          <w:szCs w:val="18"/>
          <w:lang w:val="es-ES"/>
        </w:rPr>
        <w:t>fazem</w:t>
      </w:r>
      <w:proofErr w:type="spellEnd"/>
      <w:r w:rsidRPr="0058490E">
        <w:rPr>
          <w:rFonts w:ascii="Lato" w:hAnsi="Lato"/>
          <w:i/>
          <w:iCs/>
          <w:sz w:val="18"/>
          <w:szCs w:val="18"/>
          <w:lang w:val="es-ES"/>
        </w:rPr>
        <w:t xml:space="preserve"> </w:t>
      </w:r>
      <w:proofErr w:type="spellStart"/>
      <w:r w:rsidRPr="0058490E">
        <w:rPr>
          <w:rFonts w:ascii="Lato" w:hAnsi="Lato"/>
          <w:i/>
          <w:iCs/>
          <w:sz w:val="18"/>
          <w:szCs w:val="18"/>
          <w:lang w:val="es-ES"/>
        </w:rPr>
        <w:t>moeda</w:t>
      </w:r>
      <w:proofErr w:type="spellEnd"/>
      <w:r w:rsidRPr="0058490E">
        <w:rPr>
          <w:rFonts w:ascii="Lato" w:hAnsi="Lato"/>
          <w:i/>
          <w:iCs/>
          <w:sz w:val="18"/>
          <w:szCs w:val="18"/>
          <w:lang w:val="es-ES"/>
        </w:rPr>
        <w:t xml:space="preserve"> falsa, </w:t>
      </w:r>
      <w:proofErr w:type="spellStart"/>
      <w:r w:rsidRPr="0058490E">
        <w:rPr>
          <w:rFonts w:ascii="Lato" w:hAnsi="Lato"/>
          <w:i/>
          <w:iCs/>
          <w:sz w:val="18"/>
          <w:szCs w:val="18"/>
          <w:lang w:val="es-ES"/>
        </w:rPr>
        <w:t>ou</w:t>
      </w:r>
      <w:proofErr w:type="spellEnd"/>
      <w:r w:rsidRPr="0058490E">
        <w:rPr>
          <w:rFonts w:ascii="Lato" w:hAnsi="Lato"/>
          <w:i/>
          <w:iCs/>
          <w:sz w:val="18"/>
          <w:szCs w:val="18"/>
          <w:lang w:val="es-ES"/>
        </w:rPr>
        <w:t xml:space="preserve"> a </w:t>
      </w:r>
      <w:proofErr w:type="spellStart"/>
      <w:r w:rsidRPr="0058490E">
        <w:rPr>
          <w:rFonts w:ascii="Lato" w:hAnsi="Lato"/>
          <w:i/>
          <w:iCs/>
          <w:sz w:val="18"/>
          <w:szCs w:val="18"/>
          <w:lang w:val="es-ES"/>
        </w:rPr>
        <w:t>dispendem</w:t>
      </w:r>
      <w:proofErr w:type="spellEnd"/>
      <w:r w:rsidRPr="0058490E">
        <w:rPr>
          <w:rFonts w:ascii="Lato" w:hAnsi="Lato"/>
          <w:i/>
          <w:iCs/>
          <w:sz w:val="18"/>
          <w:szCs w:val="18"/>
          <w:lang w:val="es-ES"/>
        </w:rPr>
        <w:t xml:space="preserve">, e dos que </w:t>
      </w:r>
      <w:proofErr w:type="spellStart"/>
      <w:r w:rsidRPr="0058490E">
        <w:rPr>
          <w:rFonts w:ascii="Lato" w:hAnsi="Lato"/>
          <w:i/>
          <w:iCs/>
          <w:sz w:val="18"/>
          <w:szCs w:val="18"/>
          <w:lang w:val="es-ES"/>
        </w:rPr>
        <w:t>cerceiam</w:t>
      </w:r>
      <w:proofErr w:type="spellEnd"/>
      <w:r w:rsidRPr="0058490E">
        <w:rPr>
          <w:rFonts w:ascii="Lato" w:hAnsi="Lato"/>
          <w:i/>
          <w:iCs/>
          <w:sz w:val="18"/>
          <w:szCs w:val="18"/>
          <w:lang w:val="es-ES"/>
        </w:rPr>
        <w:t xml:space="preserve"> a </w:t>
      </w:r>
      <w:proofErr w:type="spellStart"/>
      <w:r w:rsidRPr="0058490E">
        <w:rPr>
          <w:rFonts w:ascii="Lato" w:hAnsi="Lato"/>
          <w:i/>
          <w:iCs/>
          <w:sz w:val="18"/>
          <w:szCs w:val="18"/>
          <w:lang w:val="es-ES"/>
        </w:rPr>
        <w:t>verdadeira</w:t>
      </w:r>
      <w:proofErr w:type="spellEnd"/>
      <w:r w:rsidRPr="0058490E">
        <w:rPr>
          <w:rFonts w:ascii="Lato" w:hAnsi="Lato"/>
          <w:i/>
          <w:iCs/>
          <w:sz w:val="18"/>
          <w:szCs w:val="18"/>
          <w:lang w:val="es-ES"/>
        </w:rPr>
        <w:t xml:space="preserve">, </w:t>
      </w:r>
      <w:proofErr w:type="spellStart"/>
      <w:r w:rsidRPr="0058490E">
        <w:rPr>
          <w:rFonts w:ascii="Lato" w:hAnsi="Lato"/>
          <w:i/>
          <w:iCs/>
          <w:sz w:val="18"/>
          <w:szCs w:val="18"/>
          <w:lang w:val="es-ES"/>
        </w:rPr>
        <w:t>ou</w:t>
      </w:r>
      <w:proofErr w:type="spellEnd"/>
      <w:r w:rsidRPr="0058490E">
        <w:rPr>
          <w:rFonts w:ascii="Lato" w:hAnsi="Lato"/>
          <w:i/>
          <w:iCs/>
          <w:sz w:val="18"/>
          <w:szCs w:val="18"/>
          <w:lang w:val="es-ES"/>
        </w:rPr>
        <w:t xml:space="preserve"> a </w:t>
      </w:r>
      <w:proofErr w:type="spellStart"/>
      <w:r w:rsidRPr="0058490E">
        <w:rPr>
          <w:rFonts w:ascii="Lato" w:hAnsi="Lato"/>
          <w:i/>
          <w:iCs/>
          <w:sz w:val="18"/>
          <w:szCs w:val="18"/>
          <w:lang w:val="es-ES"/>
        </w:rPr>
        <w:t>desfazem</w:t>
      </w:r>
      <w:proofErr w:type="spellEnd"/>
      <w:r w:rsidRPr="0058490E">
        <w:rPr>
          <w:rFonts w:ascii="Lato" w:hAnsi="Lato"/>
          <w:i/>
          <w:iCs/>
          <w:sz w:val="18"/>
          <w:szCs w:val="18"/>
          <w:lang w:val="es-ES"/>
        </w:rPr>
        <w:t xml:space="preserve"> (</w:t>
      </w:r>
      <w:proofErr w:type="spellStart"/>
      <w:r w:rsidRPr="0058490E">
        <w:rPr>
          <w:rFonts w:ascii="Lato" w:hAnsi="Lato"/>
          <w:i/>
          <w:iCs/>
          <w:sz w:val="18"/>
          <w:szCs w:val="18"/>
          <w:lang w:val="es-ES"/>
        </w:rPr>
        <w:t>Conc</w:t>
      </w:r>
      <w:proofErr w:type="spellEnd"/>
      <w:r w:rsidRPr="0058490E">
        <w:rPr>
          <w:rFonts w:ascii="Lato" w:hAnsi="Lato"/>
          <w:i/>
          <w:iCs/>
          <w:sz w:val="18"/>
          <w:szCs w:val="18"/>
          <w:lang w:val="es-ES"/>
        </w:rPr>
        <w:t xml:space="preserve">.) </w:t>
      </w:r>
      <w:proofErr w:type="spellStart"/>
      <w:r w:rsidRPr="0058490E">
        <w:rPr>
          <w:rFonts w:ascii="Lato" w:hAnsi="Lato"/>
          <w:i/>
          <w:iCs/>
          <w:sz w:val="18"/>
          <w:szCs w:val="18"/>
          <w:lang w:val="es-ES"/>
        </w:rPr>
        <w:t>Livro</w:t>
      </w:r>
      <w:proofErr w:type="spellEnd"/>
      <w:r w:rsidRPr="0058490E">
        <w:rPr>
          <w:rFonts w:ascii="Lato" w:hAnsi="Lato"/>
          <w:i/>
          <w:iCs/>
          <w:sz w:val="18"/>
          <w:szCs w:val="18"/>
          <w:lang w:val="es-ES"/>
        </w:rPr>
        <w:t xml:space="preserve"> 5 </w:t>
      </w:r>
      <w:proofErr w:type="spellStart"/>
      <w:r w:rsidRPr="0058490E">
        <w:rPr>
          <w:rFonts w:ascii="Lato" w:hAnsi="Lato"/>
          <w:i/>
          <w:iCs/>
          <w:sz w:val="18"/>
          <w:szCs w:val="18"/>
          <w:lang w:val="es-ES"/>
        </w:rPr>
        <w:t>Tit</w:t>
      </w:r>
      <w:proofErr w:type="spellEnd"/>
      <w:r w:rsidRPr="0058490E">
        <w:rPr>
          <w:rFonts w:ascii="Lato" w:hAnsi="Lato"/>
          <w:i/>
          <w:iCs/>
          <w:sz w:val="18"/>
          <w:szCs w:val="18"/>
          <w:lang w:val="es-ES"/>
        </w:rPr>
        <w:t xml:space="preserve">. 13: Dos que </w:t>
      </w:r>
      <w:proofErr w:type="spellStart"/>
      <w:r w:rsidRPr="0058490E">
        <w:rPr>
          <w:rFonts w:ascii="Lato" w:hAnsi="Lato"/>
          <w:i/>
          <w:iCs/>
          <w:sz w:val="18"/>
          <w:szCs w:val="18"/>
          <w:lang w:val="es-ES"/>
        </w:rPr>
        <w:t>cometem</w:t>
      </w:r>
      <w:proofErr w:type="spellEnd"/>
      <w:r w:rsidRPr="0058490E">
        <w:rPr>
          <w:rFonts w:ascii="Lato" w:hAnsi="Lato"/>
          <w:i/>
          <w:iCs/>
          <w:sz w:val="18"/>
          <w:szCs w:val="18"/>
          <w:lang w:val="es-ES"/>
        </w:rPr>
        <w:t xml:space="preserve"> pecado de </w:t>
      </w:r>
      <w:proofErr w:type="spellStart"/>
      <w:r w:rsidRPr="0058490E">
        <w:rPr>
          <w:rFonts w:ascii="Lato" w:hAnsi="Lato"/>
          <w:i/>
          <w:iCs/>
          <w:sz w:val="18"/>
          <w:szCs w:val="18"/>
          <w:lang w:val="es-ES"/>
        </w:rPr>
        <w:t>sodomia</w:t>
      </w:r>
      <w:proofErr w:type="spellEnd"/>
      <w:r w:rsidRPr="0058490E">
        <w:rPr>
          <w:rFonts w:ascii="Lato" w:hAnsi="Lato"/>
          <w:i/>
          <w:iCs/>
          <w:sz w:val="18"/>
          <w:szCs w:val="18"/>
          <w:lang w:val="es-ES"/>
        </w:rPr>
        <w:t xml:space="preserve">, e </w:t>
      </w:r>
      <w:proofErr w:type="spellStart"/>
      <w:r w:rsidRPr="0058490E">
        <w:rPr>
          <w:rFonts w:ascii="Lato" w:hAnsi="Lato"/>
          <w:i/>
          <w:iCs/>
          <w:sz w:val="18"/>
          <w:szCs w:val="18"/>
          <w:lang w:val="es-ES"/>
        </w:rPr>
        <w:t>com</w:t>
      </w:r>
      <w:proofErr w:type="spellEnd"/>
      <w:r w:rsidRPr="0058490E">
        <w:rPr>
          <w:rFonts w:ascii="Lato" w:hAnsi="Lato"/>
          <w:i/>
          <w:iCs/>
          <w:sz w:val="18"/>
          <w:szCs w:val="18"/>
          <w:lang w:val="es-ES"/>
        </w:rPr>
        <w:t xml:space="preserve"> </w:t>
      </w:r>
      <w:proofErr w:type="spellStart"/>
      <w:r w:rsidRPr="0058490E">
        <w:rPr>
          <w:rFonts w:ascii="Lato" w:hAnsi="Lato"/>
          <w:i/>
          <w:iCs/>
          <w:sz w:val="18"/>
          <w:szCs w:val="18"/>
          <w:lang w:val="es-ES"/>
        </w:rPr>
        <w:t>alimarias</w:t>
      </w:r>
      <w:proofErr w:type="spellEnd"/>
      <w:r w:rsidRPr="0058490E">
        <w:rPr>
          <w:rFonts w:ascii="Lato" w:hAnsi="Lato"/>
          <w:sz w:val="18"/>
          <w:szCs w:val="18"/>
          <w:lang w:val="es-ES"/>
        </w:rPr>
        <w:t>.</w:t>
      </w:r>
      <w:r w:rsidR="00535047">
        <w:rPr>
          <w:rFonts w:ascii="Lato" w:hAnsi="Lato"/>
          <w:sz w:val="18"/>
          <w:szCs w:val="18"/>
          <w:lang w:val="es-ES"/>
        </w:rPr>
        <w:t xml:space="preserve"> </w:t>
      </w:r>
      <w:r w:rsidR="00535047" w:rsidRPr="0058490E">
        <w:rPr>
          <w:rFonts w:ascii="Lato" w:hAnsi="Lato"/>
          <w:sz w:val="18"/>
          <w:szCs w:val="18"/>
        </w:rPr>
        <w:t xml:space="preserve">Information obtained from the </w:t>
      </w:r>
      <w:hyperlink r:id="rId58"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2">
    <w:p w14:paraId="623628C0" w14:textId="7D161E10" w:rsidR="008D4A9D" w:rsidRPr="0058490E" w:rsidRDefault="008D4A9D" w:rsidP="00B7197B">
      <w:pPr>
        <w:jc w:val="both"/>
        <w:rPr>
          <w:rFonts w:ascii="Lato" w:hAnsi="Lato"/>
          <w:color w:val="1C1C1C"/>
          <w:sz w:val="18"/>
          <w:szCs w:val="18"/>
        </w:rPr>
      </w:pPr>
      <w:r w:rsidRPr="0058490E">
        <w:rPr>
          <w:rStyle w:val="FootnoteReference"/>
          <w:rFonts w:ascii="Lato" w:hAnsi="Lato"/>
          <w:sz w:val="18"/>
          <w:szCs w:val="18"/>
        </w:rPr>
        <w:footnoteRef/>
      </w:r>
      <w:r w:rsidRPr="0058490E">
        <w:rPr>
          <w:rFonts w:ascii="Lato" w:hAnsi="Lato"/>
          <w:sz w:val="18"/>
          <w:szCs w:val="18"/>
        </w:rPr>
        <w:t xml:space="preserve"> </w:t>
      </w:r>
      <w:r w:rsidRPr="0058490E">
        <w:rPr>
          <w:rFonts w:ascii="Lato" w:hAnsi="Lato"/>
          <w:color w:val="1C1C1C"/>
          <w:sz w:val="18"/>
          <w:szCs w:val="18"/>
        </w:rPr>
        <w:t xml:space="preserve">Guinea-Bissau, </w:t>
      </w:r>
      <w:hyperlink r:id="rId59" w:history="1">
        <w:r w:rsidRPr="0058490E">
          <w:rPr>
            <w:rStyle w:val="Hyperlink"/>
            <w:rFonts w:ascii="Lato" w:hAnsi="Lato"/>
            <w:sz w:val="18"/>
            <w:szCs w:val="18"/>
          </w:rPr>
          <w:t>Penal Code</w:t>
        </w:r>
      </w:hyperlink>
      <w:r w:rsidRPr="0058490E">
        <w:rPr>
          <w:rFonts w:ascii="Lato" w:hAnsi="Lato"/>
          <w:color w:val="1C1C1C"/>
          <w:sz w:val="18"/>
          <w:szCs w:val="18"/>
        </w:rPr>
        <w:t xml:space="preserve"> (1886).</w:t>
      </w:r>
      <w:r w:rsidR="00535047">
        <w:rPr>
          <w:rFonts w:ascii="Lato" w:hAnsi="Lato"/>
          <w:color w:val="1C1C1C"/>
          <w:sz w:val="18"/>
          <w:szCs w:val="18"/>
        </w:rPr>
        <w:t xml:space="preserve"> </w:t>
      </w:r>
      <w:r w:rsidR="00535047" w:rsidRPr="0058490E">
        <w:rPr>
          <w:rFonts w:ascii="Lato" w:hAnsi="Lato"/>
          <w:sz w:val="18"/>
          <w:szCs w:val="18"/>
        </w:rPr>
        <w:t xml:space="preserve">Information obtained from the </w:t>
      </w:r>
      <w:hyperlink r:id="rId60"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3">
    <w:p w14:paraId="40EF7AD3" w14:textId="22BDA4B0" w:rsidR="008D4A9D" w:rsidRPr="0058490E" w:rsidRDefault="008D4A9D" w:rsidP="00B7197B">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w:t>
      </w:r>
      <w:r w:rsidRPr="0058490E">
        <w:rPr>
          <w:rFonts w:ascii="Lato" w:hAnsi="Lato"/>
          <w:color w:val="1C1C1C"/>
          <w:sz w:val="18"/>
          <w:szCs w:val="18"/>
        </w:rPr>
        <w:t xml:space="preserve">Guinea-Bissau, </w:t>
      </w:r>
      <w:hyperlink r:id="rId61" w:history="1">
        <w:r w:rsidRPr="0058490E">
          <w:rPr>
            <w:rStyle w:val="Hyperlink"/>
            <w:rFonts w:ascii="Lato" w:hAnsi="Lato"/>
            <w:sz w:val="18"/>
            <w:szCs w:val="18"/>
          </w:rPr>
          <w:t>Law 177</w:t>
        </w:r>
      </w:hyperlink>
      <w:r w:rsidRPr="0058490E">
        <w:rPr>
          <w:rFonts w:ascii="Lato" w:hAnsi="Lato"/>
          <w:color w:val="1C1C1C"/>
          <w:sz w:val="18"/>
          <w:szCs w:val="18"/>
        </w:rPr>
        <w:t xml:space="preserve"> (1912).</w:t>
      </w:r>
      <w:r w:rsidR="00535047">
        <w:rPr>
          <w:rFonts w:ascii="Lato" w:hAnsi="Lato"/>
          <w:color w:val="1C1C1C"/>
          <w:sz w:val="18"/>
          <w:szCs w:val="18"/>
        </w:rPr>
        <w:t xml:space="preserve"> </w:t>
      </w:r>
      <w:r w:rsidR="00535047" w:rsidRPr="0058490E">
        <w:rPr>
          <w:rFonts w:ascii="Lato" w:hAnsi="Lato"/>
          <w:sz w:val="18"/>
          <w:szCs w:val="18"/>
        </w:rPr>
        <w:t xml:space="preserve">Information obtained from the </w:t>
      </w:r>
      <w:hyperlink r:id="rId62"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4">
    <w:p w14:paraId="5240750C" w14:textId="6DE8D356" w:rsidR="008D4A9D" w:rsidRPr="0058490E" w:rsidRDefault="008D4A9D" w:rsidP="00B7197B">
      <w:pPr>
        <w:pStyle w:val="FootnoteText"/>
        <w:jc w:val="both"/>
        <w:rPr>
          <w:rFonts w:ascii="Lato" w:hAnsi="Lato"/>
          <w:sz w:val="18"/>
          <w:szCs w:val="18"/>
        </w:rPr>
      </w:pPr>
      <w:r w:rsidRPr="0058490E">
        <w:rPr>
          <w:rStyle w:val="FootnoteReference"/>
          <w:rFonts w:ascii="Lato" w:hAnsi="Lato"/>
          <w:sz w:val="18"/>
          <w:szCs w:val="18"/>
        </w:rPr>
        <w:footnoteRef/>
      </w:r>
      <w:r w:rsidRPr="0058490E">
        <w:rPr>
          <w:rFonts w:ascii="Lato" w:hAnsi="Lato"/>
          <w:sz w:val="18"/>
          <w:szCs w:val="18"/>
        </w:rPr>
        <w:t xml:space="preserve"> </w:t>
      </w:r>
      <w:r w:rsidRPr="0058490E">
        <w:rPr>
          <w:rFonts w:ascii="Lato" w:hAnsi="Lato"/>
          <w:color w:val="1C1C1C"/>
          <w:sz w:val="18"/>
          <w:szCs w:val="18"/>
        </w:rPr>
        <w:t xml:space="preserve">Guinea-Bissau, </w:t>
      </w:r>
      <w:hyperlink r:id="rId63" w:history="1">
        <w:r w:rsidRPr="0058490E">
          <w:rPr>
            <w:rStyle w:val="Hyperlink"/>
            <w:rFonts w:ascii="Lato" w:hAnsi="Lato"/>
            <w:sz w:val="18"/>
            <w:szCs w:val="18"/>
          </w:rPr>
          <w:t>Executive Order-Law No. 39,688</w:t>
        </w:r>
      </w:hyperlink>
      <w:r w:rsidRPr="0058490E">
        <w:rPr>
          <w:rFonts w:ascii="Lato" w:hAnsi="Lato"/>
          <w:color w:val="1C1C1C"/>
          <w:sz w:val="18"/>
          <w:szCs w:val="18"/>
        </w:rPr>
        <w:t xml:space="preserve"> (1954).</w:t>
      </w:r>
      <w:r w:rsidR="00535047">
        <w:rPr>
          <w:rFonts w:ascii="Lato" w:hAnsi="Lato"/>
          <w:color w:val="1C1C1C"/>
          <w:sz w:val="18"/>
          <w:szCs w:val="18"/>
        </w:rPr>
        <w:t xml:space="preserve"> </w:t>
      </w:r>
      <w:r w:rsidR="00535047" w:rsidRPr="0058490E">
        <w:rPr>
          <w:rFonts w:ascii="Lato" w:hAnsi="Lato"/>
          <w:sz w:val="18"/>
          <w:szCs w:val="18"/>
        </w:rPr>
        <w:t xml:space="preserve">Information obtained from the </w:t>
      </w:r>
      <w:hyperlink r:id="rId64"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5">
    <w:p w14:paraId="61D3C5C4" w14:textId="65568568" w:rsidR="008D4A9D" w:rsidRPr="007532DA" w:rsidRDefault="008D4A9D" w:rsidP="00B7197B">
      <w:pPr>
        <w:pStyle w:val="FootnoteText"/>
        <w:jc w:val="both"/>
      </w:pPr>
      <w:r w:rsidRPr="0058490E">
        <w:rPr>
          <w:rStyle w:val="FootnoteReference"/>
          <w:rFonts w:ascii="Lato" w:hAnsi="Lato"/>
          <w:sz w:val="18"/>
          <w:szCs w:val="18"/>
        </w:rPr>
        <w:footnoteRef/>
      </w:r>
      <w:r w:rsidRPr="0058490E">
        <w:rPr>
          <w:rFonts w:ascii="Lato" w:hAnsi="Lato"/>
          <w:sz w:val="18"/>
          <w:szCs w:val="18"/>
        </w:rPr>
        <w:t xml:space="preserve"> </w:t>
      </w:r>
      <w:r w:rsidRPr="0058490E">
        <w:rPr>
          <w:rFonts w:ascii="Lato" w:hAnsi="Lato"/>
          <w:color w:val="1C1C1C"/>
          <w:sz w:val="18"/>
          <w:szCs w:val="18"/>
        </w:rPr>
        <w:t xml:space="preserve">Guinea-Bissau, </w:t>
      </w:r>
      <w:hyperlink r:id="rId65" w:history="1">
        <w:r w:rsidRPr="0058490E">
          <w:rPr>
            <w:rStyle w:val="Hyperlink"/>
            <w:rFonts w:ascii="Lato" w:hAnsi="Lato"/>
            <w:sz w:val="18"/>
            <w:szCs w:val="18"/>
          </w:rPr>
          <w:t>Penal Code</w:t>
        </w:r>
      </w:hyperlink>
      <w:r w:rsidRPr="0058490E">
        <w:rPr>
          <w:rFonts w:ascii="Lato" w:hAnsi="Lato"/>
          <w:color w:val="1C1C1C"/>
          <w:sz w:val="18"/>
          <w:szCs w:val="18"/>
        </w:rPr>
        <w:t xml:space="preserve"> (1993).</w:t>
      </w:r>
      <w:r w:rsidR="00535047">
        <w:rPr>
          <w:rFonts w:ascii="Lato" w:hAnsi="Lato"/>
          <w:color w:val="1C1C1C"/>
          <w:sz w:val="18"/>
          <w:szCs w:val="18"/>
        </w:rPr>
        <w:t xml:space="preserve"> </w:t>
      </w:r>
      <w:r w:rsidR="00535047" w:rsidRPr="0058490E">
        <w:rPr>
          <w:rFonts w:ascii="Lato" w:hAnsi="Lato"/>
          <w:sz w:val="18"/>
          <w:szCs w:val="18"/>
        </w:rPr>
        <w:t xml:space="preserve">Information obtained from the </w:t>
      </w:r>
      <w:hyperlink r:id="rId66"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6">
    <w:p w14:paraId="311478A2" w14:textId="5C06636B" w:rsidR="008D4A9D" w:rsidRPr="00ED296B" w:rsidRDefault="008D4A9D" w:rsidP="009721C8">
      <w:pPr>
        <w:pStyle w:val="FootnoteText"/>
        <w:jc w:val="both"/>
      </w:pPr>
      <w:r>
        <w:rPr>
          <w:rStyle w:val="FootnoteReference"/>
        </w:rPr>
        <w:footnoteRef/>
      </w:r>
      <w:r>
        <w:t xml:space="preserve"> Ireland, </w:t>
      </w:r>
      <w:hyperlink r:id="rId67" w:history="1">
        <w:r w:rsidRPr="00ED296B">
          <w:rPr>
            <w:rStyle w:val="Hyperlink"/>
          </w:rPr>
          <w:t>Offences against the Person Act</w:t>
        </w:r>
      </w:hyperlink>
      <w:r>
        <w:t xml:space="preserve"> (1861).</w:t>
      </w:r>
      <w:r w:rsidR="00535047">
        <w:t xml:space="preserve"> </w:t>
      </w:r>
      <w:r w:rsidR="00535047" w:rsidRPr="0058490E">
        <w:rPr>
          <w:rFonts w:ascii="Lato" w:hAnsi="Lato"/>
          <w:sz w:val="18"/>
          <w:szCs w:val="18"/>
        </w:rPr>
        <w:t xml:space="preserve">Information obtained from the </w:t>
      </w:r>
      <w:hyperlink r:id="rId68"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7">
    <w:p w14:paraId="13EFBF93" w14:textId="17889C09" w:rsidR="008D4A9D" w:rsidRPr="00ED296B" w:rsidRDefault="008D4A9D" w:rsidP="009721C8">
      <w:pPr>
        <w:pStyle w:val="FootnoteText"/>
        <w:jc w:val="both"/>
        <w:rPr>
          <w:rFonts w:ascii="Lato" w:hAnsi="Lato"/>
          <w:sz w:val="18"/>
          <w:szCs w:val="18"/>
        </w:rPr>
      </w:pPr>
      <w:r w:rsidRPr="00ED296B">
        <w:rPr>
          <w:rStyle w:val="FootnoteReference"/>
          <w:rFonts w:ascii="Lato" w:hAnsi="Lato"/>
          <w:sz w:val="18"/>
          <w:szCs w:val="18"/>
        </w:rPr>
        <w:footnoteRef/>
      </w:r>
      <w:r w:rsidRPr="00ED296B">
        <w:rPr>
          <w:rFonts w:ascii="Lato" w:hAnsi="Lato"/>
          <w:sz w:val="18"/>
          <w:szCs w:val="18"/>
        </w:rPr>
        <w:t xml:space="preserve"> Ireland, </w:t>
      </w:r>
      <w:hyperlink r:id="rId69" w:history="1">
        <w:r w:rsidRPr="00ED296B">
          <w:rPr>
            <w:rStyle w:val="Hyperlink"/>
            <w:rFonts w:ascii="Lato" w:hAnsi="Lato"/>
            <w:sz w:val="18"/>
            <w:szCs w:val="18"/>
          </w:rPr>
          <w:t>Criminal Law Amendment Act</w:t>
        </w:r>
      </w:hyperlink>
      <w:r w:rsidRPr="00ED296B">
        <w:rPr>
          <w:rFonts w:ascii="Lato" w:hAnsi="Lato"/>
          <w:sz w:val="18"/>
          <w:szCs w:val="18"/>
        </w:rPr>
        <w:t xml:space="preserve"> (1885).</w:t>
      </w:r>
      <w:r w:rsidR="00535047">
        <w:rPr>
          <w:rFonts w:ascii="Lato" w:hAnsi="Lato"/>
          <w:sz w:val="18"/>
          <w:szCs w:val="18"/>
        </w:rPr>
        <w:t xml:space="preserve"> </w:t>
      </w:r>
      <w:r w:rsidR="00535047" w:rsidRPr="0058490E">
        <w:rPr>
          <w:rFonts w:ascii="Lato" w:hAnsi="Lato"/>
          <w:sz w:val="18"/>
          <w:szCs w:val="18"/>
        </w:rPr>
        <w:t xml:space="preserve">Information obtained from the </w:t>
      </w:r>
      <w:hyperlink r:id="rId70"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8">
    <w:p w14:paraId="464303CB" w14:textId="414EA878" w:rsidR="008D4A9D" w:rsidRPr="00ED296B" w:rsidRDefault="008D4A9D" w:rsidP="009721C8">
      <w:pPr>
        <w:pStyle w:val="FootnoteText"/>
        <w:jc w:val="both"/>
        <w:rPr>
          <w:rFonts w:ascii="Lato" w:hAnsi="Lato"/>
          <w:sz w:val="18"/>
          <w:szCs w:val="18"/>
        </w:rPr>
      </w:pPr>
      <w:r w:rsidRPr="00ED296B">
        <w:rPr>
          <w:rStyle w:val="FootnoteReference"/>
          <w:rFonts w:ascii="Lato" w:hAnsi="Lato"/>
          <w:sz w:val="18"/>
          <w:szCs w:val="18"/>
        </w:rPr>
        <w:footnoteRef/>
      </w:r>
      <w:r w:rsidRPr="00ED296B">
        <w:rPr>
          <w:rFonts w:ascii="Lato" w:hAnsi="Lato"/>
          <w:sz w:val="18"/>
          <w:szCs w:val="18"/>
        </w:rPr>
        <w:t xml:space="preserve"> Ireland, </w:t>
      </w:r>
      <w:hyperlink r:id="rId71" w:history="1">
        <w:r w:rsidRPr="00ED296B">
          <w:rPr>
            <w:rStyle w:val="Hyperlink"/>
            <w:rFonts w:ascii="Lato" w:hAnsi="Lato"/>
            <w:sz w:val="18"/>
            <w:szCs w:val="18"/>
          </w:rPr>
          <w:t>Criminal Law (Sexual Offences) Act</w:t>
        </w:r>
      </w:hyperlink>
      <w:r w:rsidRPr="00ED296B">
        <w:rPr>
          <w:rFonts w:ascii="Lato" w:hAnsi="Lato"/>
          <w:sz w:val="18"/>
          <w:szCs w:val="18"/>
        </w:rPr>
        <w:t xml:space="preserve"> (1993).</w:t>
      </w:r>
      <w:r w:rsidR="00535047">
        <w:rPr>
          <w:rFonts w:ascii="Lato" w:hAnsi="Lato"/>
          <w:sz w:val="18"/>
          <w:szCs w:val="18"/>
        </w:rPr>
        <w:t xml:space="preserve"> </w:t>
      </w:r>
      <w:r w:rsidR="00535047" w:rsidRPr="0058490E">
        <w:rPr>
          <w:rFonts w:ascii="Lato" w:hAnsi="Lato"/>
          <w:sz w:val="18"/>
          <w:szCs w:val="18"/>
        </w:rPr>
        <w:t xml:space="preserve">Information obtained from the </w:t>
      </w:r>
      <w:hyperlink r:id="rId72"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59">
    <w:p w14:paraId="44E23FCC" w14:textId="3945C22B" w:rsidR="008D4A9D" w:rsidRPr="00535047" w:rsidRDefault="008D4A9D" w:rsidP="009721C8">
      <w:pPr>
        <w:pStyle w:val="FootnoteText"/>
        <w:jc w:val="both"/>
        <w:rPr>
          <w:rFonts w:ascii="Lato" w:hAnsi="Lato"/>
          <w:sz w:val="18"/>
          <w:szCs w:val="18"/>
        </w:rPr>
      </w:pPr>
      <w:r w:rsidRPr="00ED296B">
        <w:rPr>
          <w:rStyle w:val="FootnoteReference"/>
          <w:rFonts w:ascii="Lato" w:hAnsi="Lato"/>
          <w:sz w:val="18"/>
          <w:szCs w:val="18"/>
        </w:rPr>
        <w:footnoteRef/>
      </w:r>
      <w:r w:rsidRPr="00535047">
        <w:rPr>
          <w:rFonts w:ascii="Lato" w:hAnsi="Lato"/>
          <w:sz w:val="18"/>
          <w:szCs w:val="18"/>
        </w:rPr>
        <w:t xml:space="preserve"> Macao, </w:t>
      </w:r>
      <w:hyperlink r:id="rId73" w:history="1">
        <w:r w:rsidRPr="00535047">
          <w:rPr>
            <w:rStyle w:val="Hyperlink"/>
            <w:rFonts w:ascii="Lato" w:hAnsi="Lato"/>
            <w:sz w:val="18"/>
            <w:szCs w:val="18"/>
          </w:rPr>
          <w:t>Penal Code</w:t>
        </w:r>
      </w:hyperlink>
      <w:r w:rsidRPr="00535047">
        <w:rPr>
          <w:rFonts w:ascii="Lato" w:hAnsi="Lato"/>
          <w:sz w:val="18"/>
          <w:szCs w:val="18"/>
        </w:rPr>
        <w:t xml:space="preserve"> (1995).</w:t>
      </w:r>
      <w:r w:rsidR="00535047" w:rsidRPr="00535047">
        <w:rPr>
          <w:rFonts w:ascii="Lato" w:hAnsi="Lato"/>
          <w:sz w:val="18"/>
          <w:szCs w:val="18"/>
        </w:rPr>
        <w:t xml:space="preserve"> </w:t>
      </w:r>
      <w:r w:rsidR="00535047" w:rsidRPr="0058490E">
        <w:rPr>
          <w:rFonts w:ascii="Lato" w:hAnsi="Lato"/>
          <w:sz w:val="18"/>
          <w:szCs w:val="18"/>
        </w:rPr>
        <w:t xml:space="preserve">Information obtained from the </w:t>
      </w:r>
      <w:hyperlink r:id="rId74"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60">
    <w:p w14:paraId="6B276EF1" w14:textId="05E5CA20" w:rsidR="008D4A9D" w:rsidRPr="00ED296B" w:rsidRDefault="008D4A9D" w:rsidP="009721C8">
      <w:pPr>
        <w:pStyle w:val="FootnoteText"/>
        <w:jc w:val="both"/>
        <w:rPr>
          <w:rFonts w:ascii="Lato" w:hAnsi="Lato"/>
          <w:sz w:val="18"/>
          <w:szCs w:val="18"/>
          <w:lang w:val="es-ES"/>
        </w:rPr>
      </w:pPr>
      <w:r w:rsidRPr="00ED296B">
        <w:rPr>
          <w:rStyle w:val="FootnoteReference"/>
          <w:rFonts w:ascii="Lato" w:hAnsi="Lato"/>
          <w:sz w:val="18"/>
          <w:szCs w:val="18"/>
        </w:rPr>
        <w:footnoteRef/>
      </w:r>
      <w:r w:rsidRPr="00535047">
        <w:rPr>
          <w:rFonts w:ascii="Lato" w:hAnsi="Lato"/>
          <w:sz w:val="18"/>
          <w:szCs w:val="18"/>
        </w:rPr>
        <w:t xml:space="preserve"> Macao</w:t>
      </w:r>
      <w:hyperlink r:id="rId75" w:history="1">
        <w:r w:rsidRPr="00535047">
          <w:rPr>
            <w:rStyle w:val="Hyperlink"/>
            <w:rFonts w:ascii="Lato" w:hAnsi="Lato"/>
            <w:color w:val="000000" w:themeColor="text1"/>
            <w:sz w:val="18"/>
            <w:szCs w:val="18"/>
            <w:u w:val="none"/>
          </w:rPr>
          <w:t xml:space="preserve">, </w:t>
        </w:r>
        <w:r w:rsidRPr="00535047">
          <w:rPr>
            <w:rStyle w:val="Hyperlink"/>
            <w:rFonts w:ascii="Lato" w:hAnsi="Lato"/>
            <w:sz w:val="18"/>
            <w:szCs w:val="18"/>
          </w:rPr>
          <w:t>Portuguese Penal Code</w:t>
        </w:r>
      </w:hyperlink>
      <w:r w:rsidRPr="00535047">
        <w:rPr>
          <w:rFonts w:ascii="Lato" w:hAnsi="Lato"/>
          <w:sz w:val="18"/>
          <w:szCs w:val="18"/>
        </w:rPr>
        <w:t xml:space="preserve"> (1886).</w:t>
      </w:r>
      <w:r w:rsidR="00535047" w:rsidRPr="00535047">
        <w:rPr>
          <w:rFonts w:ascii="Lato" w:hAnsi="Lato"/>
          <w:sz w:val="18"/>
          <w:szCs w:val="18"/>
        </w:rPr>
        <w:t xml:space="preserve"> </w:t>
      </w:r>
      <w:r w:rsidR="00535047" w:rsidRPr="0058490E">
        <w:rPr>
          <w:rFonts w:ascii="Lato" w:hAnsi="Lato"/>
          <w:sz w:val="18"/>
          <w:szCs w:val="18"/>
        </w:rPr>
        <w:t xml:space="preserve">Information obtained from the </w:t>
      </w:r>
      <w:hyperlink r:id="rId76" w:history="1">
        <w:r w:rsidR="00535047" w:rsidRPr="0058490E">
          <w:rPr>
            <w:rStyle w:val="Hyperlink"/>
            <w:rFonts w:ascii="Lato" w:hAnsi="Lato"/>
            <w:sz w:val="18"/>
            <w:szCs w:val="18"/>
          </w:rPr>
          <w:t>ILGA World database</w:t>
        </w:r>
      </w:hyperlink>
      <w:r w:rsidR="00535047" w:rsidRPr="0058490E">
        <w:rPr>
          <w:rFonts w:ascii="Lato" w:hAnsi="Lato"/>
          <w:sz w:val="18"/>
          <w:szCs w:val="18"/>
        </w:rPr>
        <w:t>.</w:t>
      </w:r>
    </w:p>
  </w:footnote>
  <w:footnote w:id="61">
    <w:p w14:paraId="0DEF17AE" w14:textId="54635D7C" w:rsidR="008D4A9D" w:rsidRPr="00ED296B" w:rsidRDefault="008D4A9D" w:rsidP="009721C8">
      <w:pPr>
        <w:contextualSpacing/>
        <w:jc w:val="both"/>
        <w:rPr>
          <w:rFonts w:ascii="Lato" w:eastAsia="Helvetica Neue" w:hAnsi="Lato" w:cs="Helvetica Neue"/>
          <w:sz w:val="18"/>
          <w:szCs w:val="18"/>
        </w:rPr>
      </w:pPr>
      <w:r w:rsidRPr="00ED296B">
        <w:rPr>
          <w:rFonts w:ascii="Lato" w:hAnsi="Lato"/>
          <w:sz w:val="18"/>
          <w:szCs w:val="18"/>
          <w:vertAlign w:val="superscript"/>
        </w:rPr>
        <w:footnoteRef/>
      </w:r>
      <w:r w:rsidRPr="00ED296B">
        <w:rPr>
          <w:rFonts w:ascii="Lato" w:eastAsia="Helvetica Neue" w:hAnsi="Lato" w:cs="Helvetica Neue"/>
          <w:color w:val="1155CC"/>
          <w:sz w:val="18"/>
          <w:szCs w:val="18"/>
        </w:rPr>
        <w:t xml:space="preserve"> </w:t>
      </w:r>
      <w:r w:rsidRPr="00ED296B">
        <w:rPr>
          <w:rFonts w:ascii="Lato" w:hAnsi="Lato"/>
          <w:sz w:val="18"/>
          <w:szCs w:val="18"/>
        </w:rPr>
        <w:t xml:space="preserve">Han, </w:t>
      </w:r>
      <w:proofErr w:type="spellStart"/>
      <w:r w:rsidRPr="00ED296B">
        <w:rPr>
          <w:rFonts w:ascii="Lato" w:hAnsi="Lato"/>
          <w:sz w:val="18"/>
          <w:szCs w:val="18"/>
        </w:rPr>
        <w:t>Enze</w:t>
      </w:r>
      <w:proofErr w:type="spellEnd"/>
      <w:r w:rsidRPr="00ED296B">
        <w:rPr>
          <w:rFonts w:ascii="Lato" w:hAnsi="Lato"/>
          <w:sz w:val="18"/>
          <w:szCs w:val="18"/>
        </w:rPr>
        <w:t xml:space="preserve"> &amp; O’Mahoney, Joseph. (2018). </w:t>
      </w:r>
      <w:hyperlink r:id="rId77" w:history="1">
        <w:r w:rsidRPr="00ED296B">
          <w:rPr>
            <w:rStyle w:val="Hyperlink"/>
            <w:rFonts w:ascii="Lato" w:hAnsi="Lato"/>
            <w:sz w:val="18"/>
            <w:szCs w:val="18"/>
          </w:rPr>
          <w:t>British Colonialism and the Criminalization of Homosexuality: Queens, Crime and Empire</w:t>
        </w:r>
      </w:hyperlink>
      <w:r w:rsidRPr="00ED296B">
        <w:rPr>
          <w:rFonts w:ascii="Lato" w:hAnsi="Lato"/>
          <w:sz w:val="18"/>
          <w:szCs w:val="18"/>
        </w:rPr>
        <w:t xml:space="preserve">.  </w:t>
      </w:r>
      <w:r w:rsidRPr="00ED296B">
        <w:rPr>
          <w:rFonts w:ascii="Lato" w:eastAsia="Helvetica Neue" w:hAnsi="Lato" w:cs="Helvetica Neue"/>
          <w:sz w:val="18"/>
          <w:szCs w:val="18"/>
        </w:rPr>
        <w:t xml:space="preserve"> </w:t>
      </w:r>
    </w:p>
  </w:footnote>
  <w:footnote w:id="62">
    <w:p w14:paraId="7648F98F" w14:textId="2D234F8D" w:rsidR="008D4A9D" w:rsidRDefault="008D4A9D" w:rsidP="009721C8">
      <w:pPr>
        <w:pStyle w:val="FootnoteText"/>
        <w:jc w:val="both"/>
      </w:pPr>
      <w:r w:rsidRPr="00ED296B">
        <w:rPr>
          <w:rStyle w:val="FootnoteReference"/>
          <w:rFonts w:ascii="Lato" w:hAnsi="Lato"/>
          <w:sz w:val="18"/>
          <w:szCs w:val="18"/>
        </w:rPr>
        <w:footnoteRef/>
      </w:r>
      <w:r w:rsidRPr="00ED296B">
        <w:rPr>
          <w:rFonts w:ascii="Lato" w:hAnsi="Lato"/>
          <w:sz w:val="18"/>
          <w:szCs w:val="18"/>
        </w:rPr>
        <w:t xml:space="preserve"> </w:t>
      </w:r>
      <w:r w:rsidRPr="00ED296B">
        <w:rPr>
          <w:rFonts w:ascii="Lato" w:hAnsi="Lato"/>
          <w:color w:val="000000" w:themeColor="text1"/>
          <w:sz w:val="18"/>
          <w:szCs w:val="18"/>
        </w:rPr>
        <w:t xml:space="preserve">Information provided by </w:t>
      </w:r>
      <w:r w:rsidRPr="00ED296B">
        <w:rPr>
          <w:rFonts w:ascii="Lato" w:hAnsi="Lato"/>
          <w:sz w:val="18"/>
          <w:szCs w:val="18"/>
        </w:rPr>
        <w:t>Gender Dynamix.</w:t>
      </w:r>
    </w:p>
  </w:footnote>
  <w:footnote w:id="63">
    <w:p w14:paraId="294CEE33" w14:textId="4A4505DC" w:rsidR="008D4A9D" w:rsidRPr="00DA2C4B" w:rsidRDefault="008D4A9D" w:rsidP="009721C8">
      <w:pPr>
        <w:pStyle w:val="FootnoteText"/>
        <w:jc w:val="both"/>
        <w:rPr>
          <w:rFonts w:ascii="Lato" w:hAnsi="Lato"/>
          <w:sz w:val="18"/>
          <w:szCs w:val="18"/>
        </w:rPr>
      </w:pPr>
      <w:r w:rsidRPr="00BD6E79">
        <w:rPr>
          <w:rStyle w:val="FootnoteReference"/>
          <w:rFonts w:ascii="Lato" w:hAnsi="Lato"/>
          <w:sz w:val="18"/>
          <w:szCs w:val="18"/>
        </w:rPr>
        <w:footnoteRef/>
      </w:r>
      <w:r w:rsidRPr="00BD6E79">
        <w:rPr>
          <w:rFonts w:ascii="Lato" w:hAnsi="Lato"/>
          <w:sz w:val="18"/>
          <w:szCs w:val="18"/>
        </w:rPr>
        <w:t xml:space="preserve"> </w:t>
      </w:r>
      <w:r w:rsidRPr="00DA2C4B">
        <w:rPr>
          <w:rFonts w:ascii="Lato" w:hAnsi="Lato"/>
          <w:color w:val="000000" w:themeColor="text1"/>
          <w:sz w:val="18"/>
          <w:szCs w:val="18"/>
        </w:rPr>
        <w:t xml:space="preserve">Information provided by </w:t>
      </w:r>
      <w:r w:rsidRPr="00DA2C4B">
        <w:rPr>
          <w:rFonts w:ascii="Lato" w:hAnsi="Lato"/>
          <w:sz w:val="18"/>
          <w:szCs w:val="18"/>
        </w:rPr>
        <w:t>Manodiversa</w:t>
      </w:r>
      <w:r>
        <w:rPr>
          <w:rFonts w:ascii="Lato" w:hAnsi="Lato"/>
          <w:sz w:val="18"/>
          <w:szCs w:val="18"/>
        </w:rPr>
        <w:t>.</w:t>
      </w:r>
    </w:p>
  </w:footnote>
  <w:footnote w:id="64">
    <w:p w14:paraId="4F80DBE7" w14:textId="2485ABC3" w:rsidR="008D4A9D" w:rsidRPr="00DA2C4B" w:rsidRDefault="008D4A9D" w:rsidP="009721C8">
      <w:pPr>
        <w:pStyle w:val="FootnoteText"/>
        <w:jc w:val="both"/>
        <w:rPr>
          <w:rFonts w:ascii="Lato" w:hAnsi="Lato"/>
          <w:sz w:val="18"/>
          <w:szCs w:val="18"/>
        </w:rPr>
      </w:pPr>
      <w:r w:rsidRPr="00535047">
        <w:rPr>
          <w:rStyle w:val="FootnoteReference"/>
          <w:rFonts w:ascii="Lato" w:hAnsi="Lato"/>
          <w:color w:val="000000" w:themeColor="text1"/>
          <w:sz w:val="18"/>
          <w:szCs w:val="18"/>
        </w:rPr>
        <w:footnoteRef/>
      </w:r>
      <w:r w:rsidRPr="00535047">
        <w:rPr>
          <w:rFonts w:ascii="Lato" w:hAnsi="Lato"/>
          <w:color w:val="000000" w:themeColor="text1"/>
          <w:sz w:val="18"/>
          <w:szCs w:val="18"/>
        </w:rPr>
        <w:t xml:space="preserve"> Information provided by </w:t>
      </w:r>
      <w:r w:rsidR="00535047" w:rsidRPr="00535047">
        <w:rPr>
          <w:rFonts w:ascii="Lato" w:hAnsi="Lato"/>
          <w:color w:val="000000" w:themeColor="text1"/>
          <w:sz w:val="18"/>
          <w:szCs w:val="18"/>
        </w:rPr>
        <w:t>OASIS RD Congo.</w:t>
      </w:r>
    </w:p>
  </w:footnote>
  <w:footnote w:id="65">
    <w:p w14:paraId="39DD64C2" w14:textId="0448C1F3" w:rsidR="008D4A9D" w:rsidRPr="00BD6E79" w:rsidRDefault="008D4A9D" w:rsidP="009721C8">
      <w:pPr>
        <w:pStyle w:val="FootnoteText"/>
        <w:jc w:val="both"/>
        <w:rPr>
          <w:rFonts w:ascii="Lato" w:hAnsi="Lato"/>
          <w:sz w:val="18"/>
          <w:szCs w:val="18"/>
        </w:rPr>
      </w:pPr>
      <w:r w:rsidRPr="00BD6E79">
        <w:rPr>
          <w:rStyle w:val="FootnoteReference"/>
          <w:rFonts w:ascii="Lato" w:hAnsi="Lato"/>
          <w:sz w:val="18"/>
          <w:szCs w:val="18"/>
        </w:rPr>
        <w:footnoteRef/>
      </w:r>
      <w:r w:rsidRPr="00BD6E79">
        <w:rPr>
          <w:rFonts w:ascii="Lato" w:hAnsi="Lato"/>
          <w:sz w:val="18"/>
          <w:szCs w:val="18"/>
        </w:rPr>
        <w:t xml:space="preserve"> Barua, Mithila. (2018). </w:t>
      </w:r>
      <w:hyperlink r:id="rId78" w:history="1">
        <w:r w:rsidRPr="00BD6E79">
          <w:rPr>
            <w:rStyle w:val="Hyperlink"/>
            <w:rFonts w:ascii="Lato" w:hAnsi="Lato"/>
            <w:sz w:val="18"/>
            <w:szCs w:val="18"/>
          </w:rPr>
          <w:t>Third Gender of Bangladesh: An under privileged community</w:t>
        </w:r>
      </w:hyperlink>
      <w:r w:rsidRPr="00BD6E79">
        <w:rPr>
          <w:rFonts w:ascii="Lato" w:hAnsi="Lato"/>
          <w:sz w:val="18"/>
          <w:szCs w:val="18"/>
        </w:rPr>
        <w:t>. Society for Critical Legal Studies, University of Chittagong.</w:t>
      </w:r>
    </w:p>
  </w:footnote>
  <w:footnote w:id="66">
    <w:p w14:paraId="3DA201A6" w14:textId="77777777" w:rsidR="008D4A9D" w:rsidRPr="002D2434" w:rsidRDefault="008D4A9D" w:rsidP="002D2434">
      <w:pPr>
        <w:pStyle w:val="FootnoteText"/>
      </w:pPr>
      <w:r w:rsidRPr="00BD6E79">
        <w:rPr>
          <w:rStyle w:val="FootnoteReference"/>
          <w:rFonts w:ascii="Lato" w:hAnsi="Lato"/>
          <w:sz w:val="18"/>
          <w:szCs w:val="18"/>
        </w:rPr>
        <w:footnoteRef/>
      </w:r>
      <w:r w:rsidRPr="00BD6E79">
        <w:rPr>
          <w:rFonts w:ascii="Lato" w:hAnsi="Lato"/>
          <w:sz w:val="18"/>
          <w:szCs w:val="18"/>
        </w:rPr>
        <w:t xml:space="preserve"> Harvard Divinity School. (2018). </w:t>
      </w:r>
      <w:hyperlink r:id="rId79" w:history="1">
        <w:r w:rsidRPr="00BD6E79">
          <w:rPr>
            <w:rStyle w:val="Hyperlink"/>
            <w:rFonts w:ascii="Lato" w:hAnsi="Lato"/>
            <w:sz w:val="18"/>
            <w:szCs w:val="18"/>
          </w:rPr>
          <w:t>The Third Gender and Hijras</w:t>
        </w:r>
      </w:hyperlink>
      <w:r w:rsidRPr="00BD6E79">
        <w:rPr>
          <w:rFonts w:ascii="Lato" w:hAnsi="Lato"/>
          <w:sz w:val="18"/>
          <w:szCs w:val="18"/>
        </w:rPr>
        <w:t>: Hinduism case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3F3A" w14:textId="3F9625F5" w:rsidR="008D4A9D" w:rsidRDefault="008D4A9D">
    <w:pPr>
      <w:pStyle w:val="Header"/>
    </w:pPr>
    <w:r>
      <w:t xml:space="preserve">                                                                </w:t>
    </w:r>
  </w:p>
  <w:p w14:paraId="4984046A" w14:textId="77777777" w:rsidR="008D4A9D" w:rsidRDefault="008D4A9D">
    <w:pPr>
      <w:pStyle w:val="Header"/>
    </w:pPr>
  </w:p>
  <w:p w14:paraId="1EFBFACB" w14:textId="682DB49F" w:rsidR="008D4A9D" w:rsidRDefault="008D4A9D" w:rsidP="00E817EA">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71A" w14:textId="40F0209F" w:rsidR="007013B4" w:rsidRDefault="007013B4" w:rsidP="007013B4">
    <w:pPr>
      <w:pStyle w:val="Header"/>
      <w:jc w:val="center"/>
    </w:pPr>
    <w:r>
      <w:rPr>
        <w:noProof/>
      </w:rPr>
      <w:drawing>
        <wp:anchor distT="0" distB="0" distL="114300" distR="114300" simplePos="0" relativeHeight="251666432" behindDoc="0" locked="0" layoutInCell="1" allowOverlap="1" wp14:anchorId="0CC1FFFC" wp14:editId="54D86A00">
          <wp:simplePos x="0" y="0"/>
          <wp:positionH relativeFrom="margin">
            <wp:posOffset>1736090</wp:posOffset>
          </wp:positionH>
          <wp:positionV relativeFrom="margin">
            <wp:posOffset>-4343400</wp:posOffset>
          </wp:positionV>
          <wp:extent cx="2101850" cy="1117600"/>
          <wp:effectExtent l="0" t="0" r="6350" b="0"/>
          <wp:wrapSquare wrapText="bothSides"/>
          <wp:docPr id="5595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044" name="Picture 55959044"/>
                  <pic:cNvPicPr/>
                </pic:nvPicPr>
                <pic:blipFill rotWithShape="1">
                  <a:blip r:embed="rId1">
                    <a:extLst>
                      <a:ext uri="{28A0092B-C50C-407E-A947-70E740481C1C}">
                        <a14:useLocalDpi xmlns:a14="http://schemas.microsoft.com/office/drawing/2010/main" val="0"/>
                      </a:ext>
                    </a:extLst>
                  </a:blip>
                  <a:srcRect l="15580" t="10636" r="24760" b="25923"/>
                  <a:stretch/>
                </pic:blipFill>
                <pic:spPr bwMode="auto">
                  <a:xfrm>
                    <a:off x="0" y="0"/>
                    <a:ext cx="2101850" cy="11176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63360" behindDoc="0" locked="0" layoutInCell="1" allowOverlap="1" wp14:anchorId="096499EE" wp14:editId="47A80D24">
          <wp:simplePos x="0" y="0"/>
          <wp:positionH relativeFrom="column">
            <wp:posOffset>191912</wp:posOffset>
          </wp:positionH>
          <wp:positionV relativeFrom="paragraph">
            <wp:posOffset>-635</wp:posOffset>
          </wp:positionV>
          <wp:extent cx="1230374" cy="1568450"/>
          <wp:effectExtent l="0" t="0" r="1905" b="0"/>
          <wp:wrapNone/>
          <wp:docPr id="1475728477" name="Picture 147572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alphaModFix/>
                    <a:extLst>
                      <a:ext uri="{28A0092B-C50C-407E-A947-70E740481C1C}">
                        <a14:useLocalDpi xmlns:a14="http://schemas.microsoft.com/office/drawing/2010/main" val="0"/>
                      </a:ext>
                    </a:extLst>
                  </a:blip>
                  <a:srcRect/>
                  <a:stretch>
                    <a:fillRect/>
                  </a:stretch>
                </pic:blipFill>
                <pic:spPr bwMode="auto">
                  <a:xfrm>
                    <a:off x="0" y="0"/>
                    <a:ext cx="1230374" cy="156845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8D4A9D">
      <w:rPr>
        <w:noProof/>
        <w:lang w:val="es-MX" w:eastAsia="es-MX"/>
      </w:rPr>
      <w:drawing>
        <wp:anchor distT="0" distB="0" distL="114300" distR="114300" simplePos="0" relativeHeight="251665408" behindDoc="0" locked="0" layoutInCell="1" allowOverlap="1" wp14:anchorId="07F5ED4D" wp14:editId="0FBB9AD1">
          <wp:simplePos x="0" y="0"/>
          <wp:positionH relativeFrom="column">
            <wp:posOffset>4051935</wp:posOffset>
          </wp:positionH>
          <wp:positionV relativeFrom="paragraph">
            <wp:posOffset>157551</wp:posOffset>
          </wp:positionV>
          <wp:extent cx="1589405" cy="1116330"/>
          <wp:effectExtent l="0" t="0" r="0" b="1270"/>
          <wp:wrapSquare wrapText="bothSides"/>
          <wp:docPr id="1129387139" name="Picture 1129387139" descr="A picture containing graphics, tex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87139" name="Picture 1129387139" descr="A picture containing graphics, text, graphic design,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9405" cy="111633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169639A" w14:textId="47D491F4" w:rsidR="007013B4" w:rsidRDefault="007013B4">
    <w:pPr>
      <w:pStyle w:val="Header"/>
    </w:pPr>
  </w:p>
  <w:p w14:paraId="1CC9CEED" w14:textId="7D76FCBD" w:rsidR="007013B4" w:rsidRDefault="007013B4">
    <w:pPr>
      <w:pStyle w:val="Header"/>
    </w:pPr>
  </w:p>
  <w:p w14:paraId="31D8F397" w14:textId="6A1B170D" w:rsidR="008D4A9D" w:rsidRDefault="008D4A9D">
    <w:pPr>
      <w:pStyle w:val="Header"/>
      <w:rPr>
        <w:sz w:val="18"/>
        <w:szCs w:val="18"/>
      </w:rPr>
    </w:pPr>
  </w:p>
  <w:p w14:paraId="3C58F2CD" w14:textId="77777777" w:rsidR="007013B4" w:rsidRDefault="007013B4">
    <w:pPr>
      <w:pStyle w:val="Header"/>
      <w:rPr>
        <w:sz w:val="18"/>
        <w:szCs w:val="18"/>
      </w:rPr>
    </w:pPr>
  </w:p>
  <w:p w14:paraId="0CCB12B8" w14:textId="77777777" w:rsidR="007013B4" w:rsidRDefault="007013B4">
    <w:pPr>
      <w:pStyle w:val="Header"/>
      <w:rPr>
        <w:sz w:val="18"/>
        <w:szCs w:val="18"/>
      </w:rPr>
    </w:pPr>
  </w:p>
  <w:p w14:paraId="3DCAF3D0" w14:textId="77777777" w:rsidR="007013B4" w:rsidRDefault="007013B4">
    <w:pPr>
      <w:pStyle w:val="Header"/>
      <w:rPr>
        <w:sz w:val="18"/>
        <w:szCs w:val="18"/>
      </w:rPr>
    </w:pPr>
  </w:p>
  <w:p w14:paraId="29ABFC30" w14:textId="77777777" w:rsidR="007013B4" w:rsidRDefault="007013B4">
    <w:pPr>
      <w:pStyle w:val="Header"/>
      <w:rPr>
        <w:sz w:val="18"/>
        <w:szCs w:val="18"/>
      </w:rPr>
    </w:pPr>
  </w:p>
  <w:p w14:paraId="1BB26309" w14:textId="77777777" w:rsidR="007013B4" w:rsidRDefault="007013B4">
    <w:pPr>
      <w:pStyle w:val="Header"/>
      <w:rPr>
        <w:sz w:val="18"/>
        <w:szCs w:val="18"/>
      </w:rPr>
    </w:pPr>
  </w:p>
  <w:p w14:paraId="0D686273" w14:textId="77777777" w:rsidR="007013B4" w:rsidRDefault="007013B4">
    <w:pPr>
      <w:pStyle w:val="Header"/>
      <w:rPr>
        <w:sz w:val="18"/>
        <w:szCs w:val="18"/>
      </w:rPr>
    </w:pPr>
  </w:p>
  <w:p w14:paraId="5ABC95BC" w14:textId="77777777" w:rsidR="007013B4" w:rsidRDefault="007013B4">
    <w:pPr>
      <w:pStyle w:val="Header"/>
      <w:rPr>
        <w:sz w:val="18"/>
        <w:szCs w:val="18"/>
      </w:rPr>
    </w:pPr>
  </w:p>
  <w:p w14:paraId="3298FF45" w14:textId="77777777" w:rsidR="007013B4" w:rsidRPr="007013B4" w:rsidRDefault="007013B4">
    <w:pPr>
      <w:pStyle w:val="Header"/>
      <w:rPr>
        <w:sz w:val="18"/>
        <w:szCs w:val="18"/>
      </w:rPr>
    </w:pPr>
  </w:p>
  <w:p w14:paraId="6C2B0F21" w14:textId="56F3C2E6" w:rsidR="007013B4" w:rsidRDefault="008D4A9D" w:rsidP="007013B4">
    <w:pPr>
      <w:pStyle w:val="Header"/>
      <w:jc w:val="center"/>
    </w:pPr>
    <w:r>
      <w:rPr>
        <w:noProof/>
        <w:lang w:val="es-MX" w:eastAsia="es-MX"/>
      </w:rPr>
      <w:drawing>
        <wp:inline distT="0" distB="0" distL="0" distR="0" wp14:anchorId="35DF1A07" wp14:editId="4360AEB2">
          <wp:extent cx="3066975" cy="642885"/>
          <wp:effectExtent l="0" t="0" r="0" b="0"/>
          <wp:docPr id="2141753449" name="Picture 214175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5820" name="Picture 1220045820"/>
                  <pic:cNvPicPr/>
                </pic:nvPicPr>
                <pic:blipFill>
                  <a:blip r:embed="rId4">
                    <a:extLst>
                      <a:ext uri="{28A0092B-C50C-407E-A947-70E740481C1C}">
                        <a14:useLocalDpi xmlns:a14="http://schemas.microsoft.com/office/drawing/2010/main" val="0"/>
                      </a:ext>
                    </a:extLst>
                  </a:blip>
                  <a:stretch>
                    <a:fillRect/>
                  </a:stretch>
                </pic:blipFill>
                <pic:spPr>
                  <a:xfrm>
                    <a:off x="0" y="0"/>
                    <a:ext cx="3066975" cy="642885"/>
                  </a:xfrm>
                  <a:prstGeom prst="rect">
                    <a:avLst/>
                  </a:prstGeom>
                </pic:spPr>
              </pic:pic>
            </a:graphicData>
          </a:graphic>
        </wp:inline>
      </w:drawing>
    </w:r>
    <w:r w:rsidR="007013B4">
      <w:t xml:space="preserve">         </w:t>
    </w:r>
    <w:r>
      <w:rPr>
        <w:noProof/>
        <w:lang w:val="es-MX" w:eastAsia="es-MX"/>
      </w:rPr>
      <w:drawing>
        <wp:inline distT="0" distB="0" distL="0" distR="0" wp14:anchorId="68875911" wp14:editId="67ABC2E5">
          <wp:extent cx="1972690" cy="637331"/>
          <wp:effectExtent l="0" t="0" r="0" b="0"/>
          <wp:docPr id="1707258337" name="Picture 170725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36096" name="Picture 566936096"/>
                  <pic:cNvPicPr/>
                </pic:nvPicPr>
                <pic:blipFill>
                  <a:blip r:embed="rId5">
                    <a:extLst>
                      <a:ext uri="{28A0092B-C50C-407E-A947-70E740481C1C}">
                        <a14:useLocalDpi xmlns:a14="http://schemas.microsoft.com/office/drawing/2010/main" val="0"/>
                      </a:ext>
                    </a:extLst>
                  </a:blip>
                  <a:stretch>
                    <a:fillRect/>
                  </a:stretch>
                </pic:blipFill>
                <pic:spPr>
                  <a:xfrm>
                    <a:off x="0" y="0"/>
                    <a:ext cx="1972690" cy="637331"/>
                  </a:xfrm>
                  <a:prstGeom prst="rect">
                    <a:avLst/>
                  </a:prstGeom>
                </pic:spPr>
              </pic:pic>
            </a:graphicData>
          </a:graphic>
        </wp:inline>
      </w:drawing>
    </w:r>
  </w:p>
  <w:p w14:paraId="031A36B0" w14:textId="77777777" w:rsidR="007013B4" w:rsidRDefault="007013B4" w:rsidP="007013B4">
    <w:pPr>
      <w:pStyle w:val="Header"/>
      <w:jc w:val="center"/>
    </w:pPr>
  </w:p>
  <w:p w14:paraId="7C5D2D93" w14:textId="567C6C1E" w:rsidR="007013B4" w:rsidRDefault="007013B4" w:rsidP="007013B4">
    <w:pPr>
      <w:pStyle w:val="Header"/>
      <w:jc w:val="center"/>
    </w:pPr>
  </w:p>
  <w:p w14:paraId="515D8CA7" w14:textId="18E86EE8" w:rsidR="008D4A9D" w:rsidRDefault="007013B4" w:rsidP="007013B4">
    <w:pPr>
      <w:pStyle w:val="Header"/>
      <w:jc w:val="center"/>
    </w:pPr>
    <w:r>
      <w:t xml:space="preserve">    </w:t>
    </w:r>
    <w:r>
      <w:rPr>
        <w:noProof/>
        <w:lang w:val="es-MX" w:eastAsia="es-MX"/>
      </w:rPr>
      <w:drawing>
        <wp:inline distT="0" distB="0" distL="0" distR="0" wp14:anchorId="31F9D710" wp14:editId="47F0A733">
          <wp:extent cx="1143635" cy="1483019"/>
          <wp:effectExtent l="0" t="0" r="0" b="3175"/>
          <wp:docPr id="1569940173" name="Picture 1569940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6">
                    <a:extLst>
                      <a:ext uri="{28A0092B-C50C-407E-A947-70E740481C1C}">
                        <a14:useLocalDpi xmlns:a14="http://schemas.microsoft.com/office/drawing/2010/main" val="0"/>
                      </a:ext>
                    </a:extLst>
                  </a:blip>
                  <a:stretch>
                    <a:fillRect/>
                  </a:stretch>
                </pic:blipFill>
                <pic:spPr>
                  <a:xfrm>
                    <a:off x="0" y="0"/>
                    <a:ext cx="1152146" cy="1494056"/>
                  </a:xfrm>
                  <a:prstGeom prst="rect">
                    <a:avLst/>
                  </a:prstGeom>
                  <a:ln/>
                </pic:spPr>
              </pic:pic>
            </a:graphicData>
          </a:graphic>
        </wp:inline>
      </w:drawing>
    </w:r>
    <w:r>
      <w:t xml:space="preserve">       </w:t>
    </w:r>
    <w:r>
      <w:rPr>
        <w:rFonts w:ascii="Helvetica Neue" w:eastAsia="Helvetica Neue" w:hAnsi="Helvetica Neue" w:cs="Helvetica Neue"/>
        <w:noProof/>
        <w:lang w:val="es-MX" w:eastAsia="es-MX"/>
      </w:rPr>
      <w:drawing>
        <wp:inline distT="114300" distB="114300" distL="114300" distR="114300" wp14:anchorId="4E43ABD6" wp14:editId="15240BEF">
          <wp:extent cx="1457739" cy="1421185"/>
          <wp:effectExtent l="0" t="0" r="3175" b="1270"/>
          <wp:docPr id="1823165709" name="Picture 18231657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60215" cy="1423599"/>
                  </a:xfrm>
                  <a:prstGeom prst="rect">
                    <a:avLst/>
                  </a:prstGeom>
                  <a:ln/>
                </pic:spPr>
              </pic:pic>
            </a:graphicData>
          </a:graphic>
        </wp:inline>
      </w:drawing>
    </w:r>
  </w:p>
  <w:p w14:paraId="3EDA5541" w14:textId="28AE25F1" w:rsidR="008D4A9D" w:rsidRDefault="008D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F23"/>
    <w:multiLevelType w:val="hybridMultilevel"/>
    <w:tmpl w:val="061837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57AF"/>
    <w:multiLevelType w:val="hybridMultilevel"/>
    <w:tmpl w:val="52EC8AC6"/>
    <w:lvl w:ilvl="0" w:tplc="6706DA94">
      <w:start w:val="1"/>
      <w:numFmt w:val="bullet"/>
      <w:lvlText w:val="-"/>
      <w:lvlJc w:val="left"/>
      <w:pPr>
        <w:ind w:left="720" w:hanging="360"/>
      </w:pPr>
      <w:rPr>
        <w:rFonts w:ascii="Calibri" w:hAnsi="Calibri" w:hint="default"/>
      </w:rPr>
    </w:lvl>
    <w:lvl w:ilvl="1" w:tplc="0172F5AA">
      <w:start w:val="1"/>
      <w:numFmt w:val="bullet"/>
      <w:lvlText w:val="o"/>
      <w:lvlJc w:val="left"/>
      <w:pPr>
        <w:ind w:left="1440" w:hanging="360"/>
      </w:pPr>
      <w:rPr>
        <w:rFonts w:ascii="Courier New" w:hAnsi="Courier New" w:hint="default"/>
      </w:rPr>
    </w:lvl>
    <w:lvl w:ilvl="2" w:tplc="1DF49900">
      <w:start w:val="1"/>
      <w:numFmt w:val="bullet"/>
      <w:lvlText w:val=""/>
      <w:lvlJc w:val="left"/>
      <w:pPr>
        <w:ind w:left="2160" w:hanging="360"/>
      </w:pPr>
      <w:rPr>
        <w:rFonts w:ascii="Wingdings" w:hAnsi="Wingdings" w:hint="default"/>
      </w:rPr>
    </w:lvl>
    <w:lvl w:ilvl="3" w:tplc="0B4266AC">
      <w:start w:val="1"/>
      <w:numFmt w:val="bullet"/>
      <w:lvlText w:val=""/>
      <w:lvlJc w:val="left"/>
      <w:pPr>
        <w:ind w:left="2880" w:hanging="360"/>
      </w:pPr>
      <w:rPr>
        <w:rFonts w:ascii="Symbol" w:hAnsi="Symbol" w:hint="default"/>
      </w:rPr>
    </w:lvl>
    <w:lvl w:ilvl="4" w:tplc="60681334">
      <w:start w:val="1"/>
      <w:numFmt w:val="bullet"/>
      <w:lvlText w:val="o"/>
      <w:lvlJc w:val="left"/>
      <w:pPr>
        <w:ind w:left="3600" w:hanging="360"/>
      </w:pPr>
      <w:rPr>
        <w:rFonts w:ascii="Courier New" w:hAnsi="Courier New" w:hint="default"/>
      </w:rPr>
    </w:lvl>
    <w:lvl w:ilvl="5" w:tplc="F00C8A30">
      <w:start w:val="1"/>
      <w:numFmt w:val="bullet"/>
      <w:lvlText w:val=""/>
      <w:lvlJc w:val="left"/>
      <w:pPr>
        <w:ind w:left="4320" w:hanging="360"/>
      </w:pPr>
      <w:rPr>
        <w:rFonts w:ascii="Wingdings" w:hAnsi="Wingdings" w:hint="default"/>
      </w:rPr>
    </w:lvl>
    <w:lvl w:ilvl="6" w:tplc="C416F6E2">
      <w:start w:val="1"/>
      <w:numFmt w:val="bullet"/>
      <w:lvlText w:val=""/>
      <w:lvlJc w:val="left"/>
      <w:pPr>
        <w:ind w:left="5040" w:hanging="360"/>
      </w:pPr>
      <w:rPr>
        <w:rFonts w:ascii="Symbol" w:hAnsi="Symbol" w:hint="default"/>
      </w:rPr>
    </w:lvl>
    <w:lvl w:ilvl="7" w:tplc="FC0291E8">
      <w:start w:val="1"/>
      <w:numFmt w:val="bullet"/>
      <w:lvlText w:val="o"/>
      <w:lvlJc w:val="left"/>
      <w:pPr>
        <w:ind w:left="5760" w:hanging="360"/>
      </w:pPr>
      <w:rPr>
        <w:rFonts w:ascii="Courier New" w:hAnsi="Courier New" w:hint="default"/>
      </w:rPr>
    </w:lvl>
    <w:lvl w:ilvl="8" w:tplc="E74A7F06">
      <w:start w:val="1"/>
      <w:numFmt w:val="bullet"/>
      <w:lvlText w:val=""/>
      <w:lvlJc w:val="left"/>
      <w:pPr>
        <w:ind w:left="6480" w:hanging="360"/>
      </w:pPr>
      <w:rPr>
        <w:rFonts w:ascii="Wingdings" w:hAnsi="Wingdings" w:hint="default"/>
      </w:rPr>
    </w:lvl>
  </w:abstractNum>
  <w:abstractNum w:abstractNumId="2" w15:restartNumberingAfterBreak="0">
    <w:nsid w:val="21DB0E9D"/>
    <w:multiLevelType w:val="multilevel"/>
    <w:tmpl w:val="82DC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36E87"/>
    <w:multiLevelType w:val="hybridMultilevel"/>
    <w:tmpl w:val="6F1AB8EE"/>
    <w:lvl w:ilvl="0" w:tplc="34EC8A2A">
      <w:start w:val="1"/>
      <w:numFmt w:val="bullet"/>
      <w:lvlText w:val="-"/>
      <w:lvlJc w:val="left"/>
      <w:pPr>
        <w:ind w:left="720" w:hanging="360"/>
      </w:pPr>
      <w:rPr>
        <w:rFonts w:ascii="Calibri" w:hAnsi="Calibri" w:hint="default"/>
      </w:rPr>
    </w:lvl>
    <w:lvl w:ilvl="1" w:tplc="CE18E55E">
      <w:start w:val="1"/>
      <w:numFmt w:val="bullet"/>
      <w:lvlText w:val="o"/>
      <w:lvlJc w:val="left"/>
      <w:pPr>
        <w:ind w:left="1440" w:hanging="360"/>
      </w:pPr>
      <w:rPr>
        <w:rFonts w:ascii="Courier New" w:hAnsi="Courier New" w:hint="default"/>
      </w:rPr>
    </w:lvl>
    <w:lvl w:ilvl="2" w:tplc="EDBE1772">
      <w:start w:val="1"/>
      <w:numFmt w:val="bullet"/>
      <w:lvlText w:val=""/>
      <w:lvlJc w:val="left"/>
      <w:pPr>
        <w:ind w:left="2160" w:hanging="360"/>
      </w:pPr>
      <w:rPr>
        <w:rFonts w:ascii="Wingdings" w:hAnsi="Wingdings" w:hint="default"/>
      </w:rPr>
    </w:lvl>
    <w:lvl w:ilvl="3" w:tplc="CABC38D8">
      <w:start w:val="1"/>
      <w:numFmt w:val="bullet"/>
      <w:lvlText w:val=""/>
      <w:lvlJc w:val="left"/>
      <w:pPr>
        <w:ind w:left="2880" w:hanging="360"/>
      </w:pPr>
      <w:rPr>
        <w:rFonts w:ascii="Symbol" w:hAnsi="Symbol" w:hint="default"/>
      </w:rPr>
    </w:lvl>
    <w:lvl w:ilvl="4" w:tplc="152804C8">
      <w:start w:val="1"/>
      <w:numFmt w:val="bullet"/>
      <w:lvlText w:val="o"/>
      <w:lvlJc w:val="left"/>
      <w:pPr>
        <w:ind w:left="3600" w:hanging="360"/>
      </w:pPr>
      <w:rPr>
        <w:rFonts w:ascii="Courier New" w:hAnsi="Courier New" w:hint="default"/>
      </w:rPr>
    </w:lvl>
    <w:lvl w:ilvl="5" w:tplc="EFF8890C">
      <w:start w:val="1"/>
      <w:numFmt w:val="bullet"/>
      <w:lvlText w:val=""/>
      <w:lvlJc w:val="left"/>
      <w:pPr>
        <w:ind w:left="4320" w:hanging="360"/>
      </w:pPr>
      <w:rPr>
        <w:rFonts w:ascii="Wingdings" w:hAnsi="Wingdings" w:hint="default"/>
      </w:rPr>
    </w:lvl>
    <w:lvl w:ilvl="6" w:tplc="3462FCBA">
      <w:start w:val="1"/>
      <w:numFmt w:val="bullet"/>
      <w:lvlText w:val=""/>
      <w:lvlJc w:val="left"/>
      <w:pPr>
        <w:ind w:left="5040" w:hanging="360"/>
      </w:pPr>
      <w:rPr>
        <w:rFonts w:ascii="Symbol" w:hAnsi="Symbol" w:hint="default"/>
      </w:rPr>
    </w:lvl>
    <w:lvl w:ilvl="7" w:tplc="1F5A3D8A">
      <w:start w:val="1"/>
      <w:numFmt w:val="bullet"/>
      <w:lvlText w:val="o"/>
      <w:lvlJc w:val="left"/>
      <w:pPr>
        <w:ind w:left="5760" w:hanging="360"/>
      </w:pPr>
      <w:rPr>
        <w:rFonts w:ascii="Courier New" w:hAnsi="Courier New" w:hint="default"/>
      </w:rPr>
    </w:lvl>
    <w:lvl w:ilvl="8" w:tplc="4010214C">
      <w:start w:val="1"/>
      <w:numFmt w:val="bullet"/>
      <w:lvlText w:val=""/>
      <w:lvlJc w:val="left"/>
      <w:pPr>
        <w:ind w:left="6480" w:hanging="360"/>
      </w:pPr>
      <w:rPr>
        <w:rFonts w:ascii="Wingdings" w:hAnsi="Wingdings" w:hint="default"/>
      </w:rPr>
    </w:lvl>
  </w:abstractNum>
  <w:abstractNum w:abstractNumId="4" w15:restartNumberingAfterBreak="0">
    <w:nsid w:val="2E2C049C"/>
    <w:multiLevelType w:val="multilevel"/>
    <w:tmpl w:val="2CB6A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B9A427"/>
    <w:multiLevelType w:val="hybridMultilevel"/>
    <w:tmpl w:val="3668A0CC"/>
    <w:lvl w:ilvl="0" w:tplc="34724C6C">
      <w:start w:val="1"/>
      <w:numFmt w:val="bullet"/>
      <w:lvlText w:val="-"/>
      <w:lvlJc w:val="left"/>
      <w:pPr>
        <w:ind w:left="720" w:hanging="360"/>
      </w:pPr>
      <w:rPr>
        <w:rFonts w:ascii="Calibri" w:hAnsi="Calibri" w:hint="default"/>
      </w:rPr>
    </w:lvl>
    <w:lvl w:ilvl="1" w:tplc="40A66A0A">
      <w:start w:val="1"/>
      <w:numFmt w:val="bullet"/>
      <w:lvlText w:val="o"/>
      <w:lvlJc w:val="left"/>
      <w:pPr>
        <w:ind w:left="1440" w:hanging="360"/>
      </w:pPr>
      <w:rPr>
        <w:rFonts w:ascii="Courier New" w:hAnsi="Courier New" w:hint="default"/>
      </w:rPr>
    </w:lvl>
    <w:lvl w:ilvl="2" w:tplc="643CE2D8">
      <w:start w:val="1"/>
      <w:numFmt w:val="bullet"/>
      <w:lvlText w:val=""/>
      <w:lvlJc w:val="left"/>
      <w:pPr>
        <w:ind w:left="2160" w:hanging="360"/>
      </w:pPr>
      <w:rPr>
        <w:rFonts w:ascii="Wingdings" w:hAnsi="Wingdings" w:hint="default"/>
      </w:rPr>
    </w:lvl>
    <w:lvl w:ilvl="3" w:tplc="F558D702">
      <w:start w:val="1"/>
      <w:numFmt w:val="bullet"/>
      <w:lvlText w:val=""/>
      <w:lvlJc w:val="left"/>
      <w:pPr>
        <w:ind w:left="2880" w:hanging="360"/>
      </w:pPr>
      <w:rPr>
        <w:rFonts w:ascii="Symbol" w:hAnsi="Symbol" w:hint="default"/>
      </w:rPr>
    </w:lvl>
    <w:lvl w:ilvl="4" w:tplc="1E92091E">
      <w:start w:val="1"/>
      <w:numFmt w:val="bullet"/>
      <w:lvlText w:val="o"/>
      <w:lvlJc w:val="left"/>
      <w:pPr>
        <w:ind w:left="3600" w:hanging="360"/>
      </w:pPr>
      <w:rPr>
        <w:rFonts w:ascii="Courier New" w:hAnsi="Courier New" w:hint="default"/>
      </w:rPr>
    </w:lvl>
    <w:lvl w:ilvl="5" w:tplc="2D28DB34">
      <w:start w:val="1"/>
      <w:numFmt w:val="bullet"/>
      <w:lvlText w:val=""/>
      <w:lvlJc w:val="left"/>
      <w:pPr>
        <w:ind w:left="4320" w:hanging="360"/>
      </w:pPr>
      <w:rPr>
        <w:rFonts w:ascii="Wingdings" w:hAnsi="Wingdings" w:hint="default"/>
      </w:rPr>
    </w:lvl>
    <w:lvl w:ilvl="6" w:tplc="EA2AF0D0">
      <w:start w:val="1"/>
      <w:numFmt w:val="bullet"/>
      <w:lvlText w:val=""/>
      <w:lvlJc w:val="left"/>
      <w:pPr>
        <w:ind w:left="5040" w:hanging="360"/>
      </w:pPr>
      <w:rPr>
        <w:rFonts w:ascii="Symbol" w:hAnsi="Symbol" w:hint="default"/>
      </w:rPr>
    </w:lvl>
    <w:lvl w:ilvl="7" w:tplc="0B76180C">
      <w:start w:val="1"/>
      <w:numFmt w:val="bullet"/>
      <w:lvlText w:val="o"/>
      <w:lvlJc w:val="left"/>
      <w:pPr>
        <w:ind w:left="5760" w:hanging="360"/>
      </w:pPr>
      <w:rPr>
        <w:rFonts w:ascii="Courier New" w:hAnsi="Courier New" w:hint="default"/>
      </w:rPr>
    </w:lvl>
    <w:lvl w:ilvl="8" w:tplc="EE360DAA">
      <w:start w:val="1"/>
      <w:numFmt w:val="bullet"/>
      <w:lvlText w:val=""/>
      <w:lvlJc w:val="left"/>
      <w:pPr>
        <w:ind w:left="6480" w:hanging="360"/>
      </w:pPr>
      <w:rPr>
        <w:rFonts w:ascii="Wingdings" w:hAnsi="Wingdings" w:hint="default"/>
      </w:rPr>
    </w:lvl>
  </w:abstractNum>
  <w:abstractNum w:abstractNumId="6" w15:restartNumberingAfterBreak="0">
    <w:nsid w:val="76F2763D"/>
    <w:multiLevelType w:val="hybridMultilevel"/>
    <w:tmpl w:val="3D6814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576CC"/>
    <w:multiLevelType w:val="hybridMultilevel"/>
    <w:tmpl w:val="0ADE69EA"/>
    <w:lvl w:ilvl="0" w:tplc="B1188C9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9618669">
    <w:abstractNumId w:val="3"/>
  </w:num>
  <w:num w:numId="2" w16cid:durableId="222109117">
    <w:abstractNumId w:val="5"/>
  </w:num>
  <w:num w:numId="3" w16cid:durableId="1974173331">
    <w:abstractNumId w:val="1"/>
  </w:num>
  <w:num w:numId="4" w16cid:durableId="964577145">
    <w:abstractNumId w:val="4"/>
  </w:num>
  <w:num w:numId="5" w16cid:durableId="2101830929">
    <w:abstractNumId w:val="0"/>
  </w:num>
  <w:num w:numId="6" w16cid:durableId="1120496320">
    <w:abstractNumId w:val="7"/>
  </w:num>
  <w:num w:numId="7" w16cid:durableId="1161508609">
    <w:abstractNumId w:val="6"/>
  </w:num>
  <w:num w:numId="8" w16cid:durableId="145151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A6"/>
    <w:rsid w:val="0000566D"/>
    <w:rsid w:val="000058B2"/>
    <w:rsid w:val="0001590C"/>
    <w:rsid w:val="000357CE"/>
    <w:rsid w:val="0003632C"/>
    <w:rsid w:val="0003776D"/>
    <w:rsid w:val="00046EB8"/>
    <w:rsid w:val="000520F6"/>
    <w:rsid w:val="00052385"/>
    <w:rsid w:val="00062C87"/>
    <w:rsid w:val="00076776"/>
    <w:rsid w:val="00080150"/>
    <w:rsid w:val="000B02E6"/>
    <w:rsid w:val="000C199E"/>
    <w:rsid w:val="000D6957"/>
    <w:rsid w:val="000E7233"/>
    <w:rsid w:val="000F2681"/>
    <w:rsid w:val="00107CDD"/>
    <w:rsid w:val="00117DF6"/>
    <w:rsid w:val="00124C8F"/>
    <w:rsid w:val="0013764B"/>
    <w:rsid w:val="001525F9"/>
    <w:rsid w:val="00156B99"/>
    <w:rsid w:val="001579D9"/>
    <w:rsid w:val="00163264"/>
    <w:rsid w:val="001633A0"/>
    <w:rsid w:val="001878C7"/>
    <w:rsid w:val="0019515A"/>
    <w:rsid w:val="001A016C"/>
    <w:rsid w:val="001B5A9D"/>
    <w:rsid w:val="001C6DDF"/>
    <w:rsid w:val="001E5DAA"/>
    <w:rsid w:val="001E6365"/>
    <w:rsid w:val="001F415B"/>
    <w:rsid w:val="001F4D62"/>
    <w:rsid w:val="002007C6"/>
    <w:rsid w:val="00217734"/>
    <w:rsid w:val="00234FB7"/>
    <w:rsid w:val="00251E40"/>
    <w:rsid w:val="00252B91"/>
    <w:rsid w:val="002633F4"/>
    <w:rsid w:val="0029128A"/>
    <w:rsid w:val="0029389E"/>
    <w:rsid w:val="00297231"/>
    <w:rsid w:val="002A45A4"/>
    <w:rsid w:val="002D2434"/>
    <w:rsid w:val="002D661F"/>
    <w:rsid w:val="002D7FE6"/>
    <w:rsid w:val="002F02A5"/>
    <w:rsid w:val="002F0A88"/>
    <w:rsid w:val="00305903"/>
    <w:rsid w:val="00311A8C"/>
    <w:rsid w:val="00332DD7"/>
    <w:rsid w:val="003401B2"/>
    <w:rsid w:val="00345DD8"/>
    <w:rsid w:val="00351C79"/>
    <w:rsid w:val="003534F7"/>
    <w:rsid w:val="00364259"/>
    <w:rsid w:val="003750BE"/>
    <w:rsid w:val="003B025E"/>
    <w:rsid w:val="003C2643"/>
    <w:rsid w:val="003D7EDB"/>
    <w:rsid w:val="003E077D"/>
    <w:rsid w:val="003E0B96"/>
    <w:rsid w:val="0043273F"/>
    <w:rsid w:val="0043408B"/>
    <w:rsid w:val="004616FF"/>
    <w:rsid w:val="00464021"/>
    <w:rsid w:val="00482118"/>
    <w:rsid w:val="00495CBF"/>
    <w:rsid w:val="004E698B"/>
    <w:rsid w:val="004F4512"/>
    <w:rsid w:val="0051684C"/>
    <w:rsid w:val="005331A2"/>
    <w:rsid w:val="00535047"/>
    <w:rsid w:val="00536C70"/>
    <w:rsid w:val="00556E60"/>
    <w:rsid w:val="0056317B"/>
    <w:rsid w:val="00563473"/>
    <w:rsid w:val="00564286"/>
    <w:rsid w:val="005762DC"/>
    <w:rsid w:val="0058490E"/>
    <w:rsid w:val="00586E98"/>
    <w:rsid w:val="00590DD7"/>
    <w:rsid w:val="005A77C6"/>
    <w:rsid w:val="005C4255"/>
    <w:rsid w:val="005C6BF9"/>
    <w:rsid w:val="005D2297"/>
    <w:rsid w:val="005E5BF7"/>
    <w:rsid w:val="005F6786"/>
    <w:rsid w:val="00600ED6"/>
    <w:rsid w:val="006011EF"/>
    <w:rsid w:val="00607F89"/>
    <w:rsid w:val="00612A7D"/>
    <w:rsid w:val="006337CF"/>
    <w:rsid w:val="00642F16"/>
    <w:rsid w:val="006503BB"/>
    <w:rsid w:val="00690427"/>
    <w:rsid w:val="00694EC9"/>
    <w:rsid w:val="006D0974"/>
    <w:rsid w:val="006D4220"/>
    <w:rsid w:val="006D5D7A"/>
    <w:rsid w:val="00700392"/>
    <w:rsid w:val="007013B4"/>
    <w:rsid w:val="007532DA"/>
    <w:rsid w:val="007736DA"/>
    <w:rsid w:val="007773D3"/>
    <w:rsid w:val="007774A6"/>
    <w:rsid w:val="007B1E05"/>
    <w:rsid w:val="007E200C"/>
    <w:rsid w:val="007E4F03"/>
    <w:rsid w:val="007F3A4A"/>
    <w:rsid w:val="0080421F"/>
    <w:rsid w:val="0083222C"/>
    <w:rsid w:val="00843444"/>
    <w:rsid w:val="00847EC9"/>
    <w:rsid w:val="00860970"/>
    <w:rsid w:val="00863FF3"/>
    <w:rsid w:val="008645E8"/>
    <w:rsid w:val="00865962"/>
    <w:rsid w:val="00865B98"/>
    <w:rsid w:val="008703B5"/>
    <w:rsid w:val="00874FFB"/>
    <w:rsid w:val="008776B0"/>
    <w:rsid w:val="00884C43"/>
    <w:rsid w:val="008A3ECE"/>
    <w:rsid w:val="008C33CE"/>
    <w:rsid w:val="008D4A9D"/>
    <w:rsid w:val="008E7005"/>
    <w:rsid w:val="008F6FC2"/>
    <w:rsid w:val="00916450"/>
    <w:rsid w:val="00937DC4"/>
    <w:rsid w:val="009721C8"/>
    <w:rsid w:val="009807AD"/>
    <w:rsid w:val="009A05C2"/>
    <w:rsid w:val="009C219E"/>
    <w:rsid w:val="009D1A0B"/>
    <w:rsid w:val="009F5B08"/>
    <w:rsid w:val="00A01C92"/>
    <w:rsid w:val="00A31367"/>
    <w:rsid w:val="00A324DD"/>
    <w:rsid w:val="00A47EFD"/>
    <w:rsid w:val="00A64C01"/>
    <w:rsid w:val="00A963EE"/>
    <w:rsid w:val="00AA3A06"/>
    <w:rsid w:val="00AB7937"/>
    <w:rsid w:val="00AD0ACB"/>
    <w:rsid w:val="00AD160F"/>
    <w:rsid w:val="00AD7034"/>
    <w:rsid w:val="00AE1441"/>
    <w:rsid w:val="00AE1633"/>
    <w:rsid w:val="00AE2001"/>
    <w:rsid w:val="00B022D4"/>
    <w:rsid w:val="00B312EE"/>
    <w:rsid w:val="00B31EB6"/>
    <w:rsid w:val="00B32C26"/>
    <w:rsid w:val="00B4708C"/>
    <w:rsid w:val="00B52C1E"/>
    <w:rsid w:val="00B648B2"/>
    <w:rsid w:val="00B7197B"/>
    <w:rsid w:val="00BC0993"/>
    <w:rsid w:val="00BD6E79"/>
    <w:rsid w:val="00BE5B94"/>
    <w:rsid w:val="00BF1157"/>
    <w:rsid w:val="00C0628B"/>
    <w:rsid w:val="00C31A25"/>
    <w:rsid w:val="00C46132"/>
    <w:rsid w:val="00C465B9"/>
    <w:rsid w:val="00C469DF"/>
    <w:rsid w:val="00C56E1A"/>
    <w:rsid w:val="00C579F4"/>
    <w:rsid w:val="00C643DD"/>
    <w:rsid w:val="00CA3998"/>
    <w:rsid w:val="00CA63DC"/>
    <w:rsid w:val="00D26501"/>
    <w:rsid w:val="00D37C8A"/>
    <w:rsid w:val="00D405FD"/>
    <w:rsid w:val="00D409E4"/>
    <w:rsid w:val="00D66B6E"/>
    <w:rsid w:val="00D71FA7"/>
    <w:rsid w:val="00D75E04"/>
    <w:rsid w:val="00D87144"/>
    <w:rsid w:val="00D9063D"/>
    <w:rsid w:val="00D907E3"/>
    <w:rsid w:val="00D91D58"/>
    <w:rsid w:val="00D94354"/>
    <w:rsid w:val="00DA2C4B"/>
    <w:rsid w:val="00DD2A0B"/>
    <w:rsid w:val="00DD5A72"/>
    <w:rsid w:val="00DD6BDC"/>
    <w:rsid w:val="00DE3667"/>
    <w:rsid w:val="00DE4858"/>
    <w:rsid w:val="00DE4D94"/>
    <w:rsid w:val="00E134CC"/>
    <w:rsid w:val="00E14062"/>
    <w:rsid w:val="00E15651"/>
    <w:rsid w:val="00E178F8"/>
    <w:rsid w:val="00E3117E"/>
    <w:rsid w:val="00E61939"/>
    <w:rsid w:val="00E63B5C"/>
    <w:rsid w:val="00E65D97"/>
    <w:rsid w:val="00E817EA"/>
    <w:rsid w:val="00E92609"/>
    <w:rsid w:val="00E93D3F"/>
    <w:rsid w:val="00ED296B"/>
    <w:rsid w:val="00ED690E"/>
    <w:rsid w:val="00EE15E4"/>
    <w:rsid w:val="00EE2563"/>
    <w:rsid w:val="00EF1388"/>
    <w:rsid w:val="00EF2812"/>
    <w:rsid w:val="00EF34E7"/>
    <w:rsid w:val="00F04EAC"/>
    <w:rsid w:val="00F072F1"/>
    <w:rsid w:val="00F2063F"/>
    <w:rsid w:val="00F3598A"/>
    <w:rsid w:val="00F63920"/>
    <w:rsid w:val="00F80629"/>
    <w:rsid w:val="00F82FDB"/>
    <w:rsid w:val="00FB1867"/>
    <w:rsid w:val="00FF7D53"/>
    <w:rsid w:val="060C1343"/>
    <w:rsid w:val="06584D50"/>
    <w:rsid w:val="068097A2"/>
    <w:rsid w:val="06DE3F7E"/>
    <w:rsid w:val="079D01C1"/>
    <w:rsid w:val="08F84343"/>
    <w:rsid w:val="091EADA6"/>
    <w:rsid w:val="093624E4"/>
    <w:rsid w:val="09514661"/>
    <w:rsid w:val="09D0949E"/>
    <w:rsid w:val="0AA25DA6"/>
    <w:rsid w:val="0AC71023"/>
    <w:rsid w:val="0B7CFBB5"/>
    <w:rsid w:val="0C5834B1"/>
    <w:rsid w:val="0C863789"/>
    <w:rsid w:val="0C924AB8"/>
    <w:rsid w:val="0CC917BA"/>
    <w:rsid w:val="0DA749B8"/>
    <w:rsid w:val="0E64E81B"/>
    <w:rsid w:val="0EF172DC"/>
    <w:rsid w:val="0F1814EE"/>
    <w:rsid w:val="0F89CBDD"/>
    <w:rsid w:val="0F8FD573"/>
    <w:rsid w:val="103D752A"/>
    <w:rsid w:val="106E562B"/>
    <w:rsid w:val="10F7AD35"/>
    <w:rsid w:val="11469480"/>
    <w:rsid w:val="12A03204"/>
    <w:rsid w:val="12E264E1"/>
    <w:rsid w:val="132AB5CF"/>
    <w:rsid w:val="138617BA"/>
    <w:rsid w:val="142F4DF7"/>
    <w:rsid w:val="14A39965"/>
    <w:rsid w:val="1713D989"/>
    <w:rsid w:val="171FF4F4"/>
    <w:rsid w:val="17263E1E"/>
    <w:rsid w:val="18AFA9EA"/>
    <w:rsid w:val="191D85BF"/>
    <w:rsid w:val="198D84EE"/>
    <w:rsid w:val="19F7DDC5"/>
    <w:rsid w:val="1AB63B60"/>
    <w:rsid w:val="1B80D7AF"/>
    <w:rsid w:val="1BA35A74"/>
    <w:rsid w:val="1BA7191A"/>
    <w:rsid w:val="1BB93383"/>
    <w:rsid w:val="1BB95283"/>
    <w:rsid w:val="1C0874C4"/>
    <w:rsid w:val="1D8F4110"/>
    <w:rsid w:val="1DED5334"/>
    <w:rsid w:val="1E003417"/>
    <w:rsid w:val="1E22AF10"/>
    <w:rsid w:val="1ED0B0E4"/>
    <w:rsid w:val="1F9F62E0"/>
    <w:rsid w:val="1FBE7F71"/>
    <w:rsid w:val="2032091D"/>
    <w:rsid w:val="2033D879"/>
    <w:rsid w:val="2065C391"/>
    <w:rsid w:val="207EAD8A"/>
    <w:rsid w:val="21D7638F"/>
    <w:rsid w:val="220851A6"/>
    <w:rsid w:val="22E00C95"/>
    <w:rsid w:val="22F87D31"/>
    <w:rsid w:val="234FE961"/>
    <w:rsid w:val="23904231"/>
    <w:rsid w:val="23E29859"/>
    <w:rsid w:val="24133410"/>
    <w:rsid w:val="24E0C1B4"/>
    <w:rsid w:val="25B18CCA"/>
    <w:rsid w:val="269664BB"/>
    <w:rsid w:val="27CCB884"/>
    <w:rsid w:val="2993E76D"/>
    <w:rsid w:val="29AC83B5"/>
    <w:rsid w:val="29C94D17"/>
    <w:rsid w:val="2AA6D26D"/>
    <w:rsid w:val="2ABCA0CB"/>
    <w:rsid w:val="2AF17402"/>
    <w:rsid w:val="2B3C6E26"/>
    <w:rsid w:val="2BDAD08F"/>
    <w:rsid w:val="2C95E9ED"/>
    <w:rsid w:val="2E38C6AD"/>
    <w:rsid w:val="2E4CD038"/>
    <w:rsid w:val="2F09D0D2"/>
    <w:rsid w:val="2FA734E5"/>
    <w:rsid w:val="30580554"/>
    <w:rsid w:val="3062BEFE"/>
    <w:rsid w:val="30664A4E"/>
    <w:rsid w:val="31EDBA2A"/>
    <w:rsid w:val="329B61EF"/>
    <w:rsid w:val="33B93D6C"/>
    <w:rsid w:val="33B9663F"/>
    <w:rsid w:val="33D45F9C"/>
    <w:rsid w:val="34833071"/>
    <w:rsid w:val="34D93FDE"/>
    <w:rsid w:val="354D5318"/>
    <w:rsid w:val="35D302B1"/>
    <w:rsid w:val="3650D429"/>
    <w:rsid w:val="36F0DE2E"/>
    <w:rsid w:val="39F0A445"/>
    <w:rsid w:val="3A054CC4"/>
    <w:rsid w:val="3A3F7DD3"/>
    <w:rsid w:val="3A40DE99"/>
    <w:rsid w:val="3A72F243"/>
    <w:rsid w:val="3B58462A"/>
    <w:rsid w:val="3C283C46"/>
    <w:rsid w:val="3C63AA52"/>
    <w:rsid w:val="3CABF90C"/>
    <w:rsid w:val="3D90518A"/>
    <w:rsid w:val="3E1E9F3C"/>
    <w:rsid w:val="3E31DDE4"/>
    <w:rsid w:val="3FD4E377"/>
    <w:rsid w:val="40569FEB"/>
    <w:rsid w:val="406C93CB"/>
    <w:rsid w:val="41AAF171"/>
    <w:rsid w:val="4231675B"/>
    <w:rsid w:val="4243DBD3"/>
    <w:rsid w:val="434A9554"/>
    <w:rsid w:val="4376C422"/>
    <w:rsid w:val="4444245B"/>
    <w:rsid w:val="4488C6ED"/>
    <w:rsid w:val="4504EE8C"/>
    <w:rsid w:val="458324AF"/>
    <w:rsid w:val="460D18E2"/>
    <w:rsid w:val="46655AA6"/>
    <w:rsid w:val="46D32A2F"/>
    <w:rsid w:val="46EB746B"/>
    <w:rsid w:val="47A1BBB0"/>
    <w:rsid w:val="483C5679"/>
    <w:rsid w:val="483D6B22"/>
    <w:rsid w:val="496BF554"/>
    <w:rsid w:val="4A469040"/>
    <w:rsid w:val="4AA5C270"/>
    <w:rsid w:val="4B1B7587"/>
    <w:rsid w:val="4B76BE38"/>
    <w:rsid w:val="4B9197DD"/>
    <w:rsid w:val="4CC64A1D"/>
    <w:rsid w:val="4DF8019E"/>
    <w:rsid w:val="4E35C9BD"/>
    <w:rsid w:val="4ECA2774"/>
    <w:rsid w:val="4F9AD2CB"/>
    <w:rsid w:val="509349A3"/>
    <w:rsid w:val="51D58F96"/>
    <w:rsid w:val="525E7CEB"/>
    <w:rsid w:val="562C3D16"/>
    <w:rsid w:val="562EF1EC"/>
    <w:rsid w:val="562F198E"/>
    <w:rsid w:val="56B3240E"/>
    <w:rsid w:val="56E6439D"/>
    <w:rsid w:val="5734E35B"/>
    <w:rsid w:val="57A9C82A"/>
    <w:rsid w:val="57F596DE"/>
    <w:rsid w:val="5A287758"/>
    <w:rsid w:val="5AAA9538"/>
    <w:rsid w:val="5B046819"/>
    <w:rsid w:val="5B942DA1"/>
    <w:rsid w:val="5C298A29"/>
    <w:rsid w:val="5C7B450E"/>
    <w:rsid w:val="5DABD598"/>
    <w:rsid w:val="5E070988"/>
    <w:rsid w:val="5ECE2192"/>
    <w:rsid w:val="5ED6EE4E"/>
    <w:rsid w:val="5F1F97B1"/>
    <w:rsid w:val="5FE743F8"/>
    <w:rsid w:val="609545B3"/>
    <w:rsid w:val="60D955CC"/>
    <w:rsid w:val="632CFB6C"/>
    <w:rsid w:val="63539CF1"/>
    <w:rsid w:val="63A5D2A8"/>
    <w:rsid w:val="64B95290"/>
    <w:rsid w:val="64EF6D52"/>
    <w:rsid w:val="651DE1DE"/>
    <w:rsid w:val="65A2CBE2"/>
    <w:rsid w:val="662ED2DA"/>
    <w:rsid w:val="67F3BA4F"/>
    <w:rsid w:val="67FB9DAE"/>
    <w:rsid w:val="69CA01B2"/>
    <w:rsid w:val="6A135AF7"/>
    <w:rsid w:val="6A20A573"/>
    <w:rsid w:val="6A702193"/>
    <w:rsid w:val="6B344A0D"/>
    <w:rsid w:val="6B68F941"/>
    <w:rsid w:val="6D1A0B20"/>
    <w:rsid w:val="6E9E843D"/>
    <w:rsid w:val="6F68FADA"/>
    <w:rsid w:val="6F7FC820"/>
    <w:rsid w:val="6FD8084F"/>
    <w:rsid w:val="6FECA6DB"/>
    <w:rsid w:val="710FAEEC"/>
    <w:rsid w:val="7188773C"/>
    <w:rsid w:val="71BA8A74"/>
    <w:rsid w:val="727549C3"/>
    <w:rsid w:val="727F2E8C"/>
    <w:rsid w:val="72FDDEDE"/>
    <w:rsid w:val="732C1E8C"/>
    <w:rsid w:val="73A57F89"/>
    <w:rsid w:val="74F22B36"/>
    <w:rsid w:val="74F834CC"/>
    <w:rsid w:val="75ACEA85"/>
    <w:rsid w:val="78E48B47"/>
    <w:rsid w:val="7915B32C"/>
    <w:rsid w:val="7AD9A425"/>
    <w:rsid w:val="7B8264FC"/>
    <w:rsid w:val="7D19D3C5"/>
    <w:rsid w:val="7EC2A762"/>
    <w:rsid w:val="7F148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F7809"/>
  <w15:chartTrackingRefBased/>
  <w15:docId w15:val="{F4D77A1D-0316-6549-B6CE-3AC85217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767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67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AD"/>
    <w:pPr>
      <w:ind w:left="720"/>
      <w:contextualSpacing/>
    </w:pPr>
  </w:style>
  <w:style w:type="paragraph" w:styleId="FootnoteText">
    <w:name w:val="footnote text"/>
    <w:basedOn w:val="Normal"/>
    <w:link w:val="FootnoteTextChar"/>
    <w:uiPriority w:val="99"/>
    <w:semiHidden/>
    <w:unhideWhenUsed/>
    <w:rsid w:val="0083222C"/>
    <w:rPr>
      <w:sz w:val="20"/>
      <w:szCs w:val="20"/>
    </w:rPr>
  </w:style>
  <w:style w:type="character" w:customStyle="1" w:styleId="FootnoteTextChar">
    <w:name w:val="Footnote Text Char"/>
    <w:basedOn w:val="DefaultParagraphFont"/>
    <w:link w:val="FootnoteText"/>
    <w:uiPriority w:val="99"/>
    <w:semiHidden/>
    <w:rsid w:val="0083222C"/>
    <w:rPr>
      <w:sz w:val="20"/>
      <w:szCs w:val="20"/>
      <w:lang w:val="en-US"/>
    </w:rPr>
  </w:style>
  <w:style w:type="character" w:styleId="FootnoteReference">
    <w:name w:val="footnote reference"/>
    <w:basedOn w:val="DefaultParagraphFont"/>
    <w:uiPriority w:val="99"/>
    <w:semiHidden/>
    <w:unhideWhenUsed/>
    <w:rsid w:val="0083222C"/>
    <w:rPr>
      <w:vertAlign w:val="superscript"/>
    </w:rPr>
  </w:style>
  <w:style w:type="character" w:customStyle="1" w:styleId="Heading1Char">
    <w:name w:val="Heading 1 Char"/>
    <w:basedOn w:val="DefaultParagraphFont"/>
    <w:link w:val="Heading1"/>
    <w:uiPriority w:val="9"/>
    <w:rsid w:val="0007677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76776"/>
    <w:rPr>
      <w:rFonts w:asciiTheme="majorHAnsi" w:eastAsiaTheme="majorEastAsia" w:hAnsiTheme="majorHAnsi" w:cstheme="majorBidi"/>
      <w:color w:val="2F5496" w:themeColor="accent1" w:themeShade="BF"/>
      <w:sz w:val="26"/>
      <w:szCs w:val="26"/>
      <w:lang w:val="en-US"/>
    </w:rPr>
  </w:style>
  <w:style w:type="paragraph" w:styleId="TOCHeading">
    <w:name w:val="TOC Heading"/>
    <w:basedOn w:val="Heading1"/>
    <w:next w:val="Normal"/>
    <w:uiPriority w:val="39"/>
    <w:unhideWhenUsed/>
    <w:qFormat/>
    <w:rsid w:val="00076776"/>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076776"/>
    <w:pPr>
      <w:spacing w:before="120" w:after="120"/>
    </w:pPr>
    <w:rPr>
      <w:rFonts w:cstheme="minorHAnsi"/>
      <w:b/>
      <w:bCs/>
      <w:caps/>
      <w:sz w:val="20"/>
      <w:szCs w:val="20"/>
    </w:rPr>
  </w:style>
  <w:style w:type="paragraph" w:styleId="TOC2">
    <w:name w:val="toc 2"/>
    <w:basedOn w:val="Normal"/>
    <w:next w:val="Normal"/>
    <w:autoRedefine/>
    <w:uiPriority w:val="39"/>
    <w:unhideWhenUsed/>
    <w:rsid w:val="00D94354"/>
    <w:pPr>
      <w:tabs>
        <w:tab w:val="right" w:leader="dot" w:pos="9350"/>
      </w:tabs>
      <w:ind w:left="240"/>
    </w:pPr>
    <w:rPr>
      <w:rFonts w:ascii="Lato" w:eastAsia="Lato" w:hAnsi="Lato" w:cs="Lato"/>
      <w:smallCaps/>
      <w:noProof/>
    </w:rPr>
  </w:style>
  <w:style w:type="character" w:styleId="Hyperlink">
    <w:name w:val="Hyperlink"/>
    <w:basedOn w:val="DefaultParagraphFont"/>
    <w:uiPriority w:val="99"/>
    <w:unhideWhenUsed/>
    <w:rsid w:val="00076776"/>
    <w:rPr>
      <w:color w:val="0563C1" w:themeColor="hyperlink"/>
      <w:u w:val="single"/>
    </w:rPr>
  </w:style>
  <w:style w:type="paragraph" w:styleId="TOC3">
    <w:name w:val="toc 3"/>
    <w:basedOn w:val="Normal"/>
    <w:next w:val="Normal"/>
    <w:autoRedefine/>
    <w:uiPriority w:val="39"/>
    <w:semiHidden/>
    <w:unhideWhenUsed/>
    <w:rsid w:val="00076776"/>
    <w:pPr>
      <w:ind w:left="480"/>
    </w:pPr>
    <w:rPr>
      <w:rFonts w:cstheme="minorHAnsi"/>
      <w:i/>
      <w:iCs/>
      <w:sz w:val="20"/>
      <w:szCs w:val="20"/>
    </w:rPr>
  </w:style>
  <w:style w:type="paragraph" w:styleId="TOC4">
    <w:name w:val="toc 4"/>
    <w:basedOn w:val="Normal"/>
    <w:next w:val="Normal"/>
    <w:autoRedefine/>
    <w:uiPriority w:val="39"/>
    <w:semiHidden/>
    <w:unhideWhenUsed/>
    <w:rsid w:val="00076776"/>
    <w:pPr>
      <w:ind w:left="720"/>
    </w:pPr>
    <w:rPr>
      <w:rFonts w:cstheme="minorHAnsi"/>
      <w:sz w:val="18"/>
      <w:szCs w:val="18"/>
    </w:rPr>
  </w:style>
  <w:style w:type="paragraph" w:styleId="TOC5">
    <w:name w:val="toc 5"/>
    <w:basedOn w:val="Normal"/>
    <w:next w:val="Normal"/>
    <w:autoRedefine/>
    <w:uiPriority w:val="39"/>
    <w:semiHidden/>
    <w:unhideWhenUsed/>
    <w:rsid w:val="00076776"/>
    <w:pPr>
      <w:ind w:left="960"/>
    </w:pPr>
    <w:rPr>
      <w:rFonts w:cstheme="minorHAnsi"/>
      <w:sz w:val="18"/>
      <w:szCs w:val="18"/>
    </w:rPr>
  </w:style>
  <w:style w:type="paragraph" w:styleId="TOC6">
    <w:name w:val="toc 6"/>
    <w:basedOn w:val="Normal"/>
    <w:next w:val="Normal"/>
    <w:autoRedefine/>
    <w:uiPriority w:val="39"/>
    <w:semiHidden/>
    <w:unhideWhenUsed/>
    <w:rsid w:val="00076776"/>
    <w:pPr>
      <w:ind w:left="1200"/>
    </w:pPr>
    <w:rPr>
      <w:rFonts w:cstheme="minorHAnsi"/>
      <w:sz w:val="18"/>
      <w:szCs w:val="18"/>
    </w:rPr>
  </w:style>
  <w:style w:type="paragraph" w:styleId="TOC7">
    <w:name w:val="toc 7"/>
    <w:basedOn w:val="Normal"/>
    <w:next w:val="Normal"/>
    <w:autoRedefine/>
    <w:uiPriority w:val="39"/>
    <w:semiHidden/>
    <w:unhideWhenUsed/>
    <w:rsid w:val="00076776"/>
    <w:pPr>
      <w:ind w:left="1440"/>
    </w:pPr>
    <w:rPr>
      <w:rFonts w:cstheme="minorHAnsi"/>
      <w:sz w:val="18"/>
      <w:szCs w:val="18"/>
    </w:rPr>
  </w:style>
  <w:style w:type="paragraph" w:styleId="TOC8">
    <w:name w:val="toc 8"/>
    <w:basedOn w:val="Normal"/>
    <w:next w:val="Normal"/>
    <w:autoRedefine/>
    <w:uiPriority w:val="39"/>
    <w:semiHidden/>
    <w:unhideWhenUsed/>
    <w:rsid w:val="00076776"/>
    <w:pPr>
      <w:ind w:left="1680"/>
    </w:pPr>
    <w:rPr>
      <w:rFonts w:cstheme="minorHAnsi"/>
      <w:sz w:val="18"/>
      <w:szCs w:val="18"/>
    </w:rPr>
  </w:style>
  <w:style w:type="paragraph" w:styleId="TOC9">
    <w:name w:val="toc 9"/>
    <w:basedOn w:val="Normal"/>
    <w:next w:val="Normal"/>
    <w:autoRedefine/>
    <w:uiPriority w:val="39"/>
    <w:semiHidden/>
    <w:unhideWhenUsed/>
    <w:rsid w:val="00076776"/>
    <w:pPr>
      <w:ind w:left="1920"/>
    </w:pPr>
    <w:rPr>
      <w:rFonts w:cstheme="minorHAnsi"/>
      <w:sz w:val="18"/>
      <w:szCs w:val="18"/>
    </w:rPr>
  </w:style>
  <w:style w:type="paragraph" w:styleId="Footer">
    <w:name w:val="footer"/>
    <w:basedOn w:val="Normal"/>
    <w:link w:val="FooterChar"/>
    <w:uiPriority w:val="99"/>
    <w:unhideWhenUsed/>
    <w:rsid w:val="00586E98"/>
    <w:pPr>
      <w:tabs>
        <w:tab w:val="center" w:pos="4680"/>
        <w:tab w:val="right" w:pos="9360"/>
      </w:tabs>
    </w:pPr>
  </w:style>
  <w:style w:type="character" w:customStyle="1" w:styleId="FooterChar">
    <w:name w:val="Footer Char"/>
    <w:basedOn w:val="DefaultParagraphFont"/>
    <w:link w:val="Footer"/>
    <w:uiPriority w:val="99"/>
    <w:rsid w:val="00586E98"/>
    <w:rPr>
      <w:lang w:val="en-US"/>
    </w:rPr>
  </w:style>
  <w:style w:type="character" w:styleId="PageNumber">
    <w:name w:val="page number"/>
    <w:basedOn w:val="DefaultParagraphFont"/>
    <w:uiPriority w:val="99"/>
    <w:semiHidden/>
    <w:unhideWhenUsed/>
    <w:rsid w:val="00586E98"/>
  </w:style>
  <w:style w:type="character" w:customStyle="1" w:styleId="UnresolvedMention1">
    <w:name w:val="Unresolved Mention1"/>
    <w:basedOn w:val="DefaultParagraphFont"/>
    <w:uiPriority w:val="99"/>
    <w:semiHidden/>
    <w:unhideWhenUsed/>
    <w:rsid w:val="00F04EAC"/>
    <w:rPr>
      <w:color w:val="605E5C"/>
      <w:shd w:val="clear" w:color="auto" w:fill="E1DFDD"/>
    </w:rPr>
  </w:style>
  <w:style w:type="character" w:customStyle="1" w:styleId="sourcetooltip">
    <w:name w:val="sourcetooltip"/>
    <w:basedOn w:val="DefaultParagraphFont"/>
    <w:rsid w:val="00495CBF"/>
  </w:style>
  <w:style w:type="character" w:styleId="CommentReference">
    <w:name w:val="annotation reference"/>
    <w:basedOn w:val="DefaultParagraphFont"/>
    <w:uiPriority w:val="99"/>
    <w:semiHidden/>
    <w:unhideWhenUsed/>
    <w:rsid w:val="0003632C"/>
    <w:rPr>
      <w:sz w:val="16"/>
      <w:szCs w:val="16"/>
    </w:rPr>
  </w:style>
  <w:style w:type="paragraph" w:styleId="CommentText">
    <w:name w:val="annotation text"/>
    <w:basedOn w:val="Normal"/>
    <w:link w:val="CommentTextChar"/>
    <w:uiPriority w:val="99"/>
    <w:semiHidden/>
    <w:unhideWhenUsed/>
    <w:rsid w:val="0003632C"/>
    <w:rPr>
      <w:sz w:val="20"/>
      <w:szCs w:val="20"/>
    </w:rPr>
  </w:style>
  <w:style w:type="character" w:customStyle="1" w:styleId="CommentTextChar">
    <w:name w:val="Comment Text Char"/>
    <w:basedOn w:val="DefaultParagraphFont"/>
    <w:link w:val="CommentText"/>
    <w:uiPriority w:val="99"/>
    <w:semiHidden/>
    <w:rsid w:val="0003632C"/>
    <w:rPr>
      <w:sz w:val="20"/>
      <w:szCs w:val="20"/>
      <w:lang w:val="en-US"/>
    </w:rPr>
  </w:style>
  <w:style w:type="paragraph" w:styleId="CommentSubject">
    <w:name w:val="annotation subject"/>
    <w:basedOn w:val="CommentText"/>
    <w:next w:val="CommentText"/>
    <w:link w:val="CommentSubjectChar"/>
    <w:uiPriority w:val="99"/>
    <w:semiHidden/>
    <w:unhideWhenUsed/>
    <w:rsid w:val="0003632C"/>
    <w:rPr>
      <w:b/>
      <w:bCs/>
    </w:rPr>
  </w:style>
  <w:style w:type="character" w:customStyle="1" w:styleId="CommentSubjectChar">
    <w:name w:val="Comment Subject Char"/>
    <w:basedOn w:val="CommentTextChar"/>
    <w:link w:val="CommentSubject"/>
    <w:uiPriority w:val="99"/>
    <w:semiHidden/>
    <w:rsid w:val="0003632C"/>
    <w:rPr>
      <w:b/>
      <w:bCs/>
      <w:sz w:val="20"/>
      <w:szCs w:val="20"/>
      <w:lang w:val="en-US"/>
    </w:rPr>
  </w:style>
  <w:style w:type="paragraph" w:styleId="BalloonText">
    <w:name w:val="Balloon Text"/>
    <w:basedOn w:val="Normal"/>
    <w:link w:val="BalloonTextChar"/>
    <w:uiPriority w:val="99"/>
    <w:semiHidden/>
    <w:unhideWhenUsed/>
    <w:rsid w:val="00252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91"/>
    <w:rPr>
      <w:rFonts w:ascii="Segoe UI" w:hAnsi="Segoe UI" w:cs="Segoe UI"/>
      <w:sz w:val="18"/>
      <w:szCs w:val="18"/>
      <w:lang w:val="en-US"/>
    </w:rPr>
  </w:style>
  <w:style w:type="paragraph" w:styleId="EndnoteText">
    <w:name w:val="endnote text"/>
    <w:basedOn w:val="Normal"/>
    <w:link w:val="EndnoteTextChar"/>
    <w:uiPriority w:val="99"/>
    <w:unhideWhenUsed/>
    <w:rsid w:val="00CA3998"/>
    <w:rPr>
      <w:rFonts w:ascii="Arial" w:eastAsia="Arial" w:hAnsi="Arial" w:cs="Arial"/>
      <w:kern w:val="0"/>
      <w:sz w:val="20"/>
      <w:szCs w:val="20"/>
      <w:lang w:val="en"/>
      <w14:ligatures w14:val="none"/>
    </w:rPr>
  </w:style>
  <w:style w:type="character" w:customStyle="1" w:styleId="EndnoteTextChar">
    <w:name w:val="Endnote Text Char"/>
    <w:basedOn w:val="DefaultParagraphFont"/>
    <w:link w:val="EndnoteText"/>
    <w:uiPriority w:val="99"/>
    <w:rsid w:val="00CA3998"/>
    <w:rPr>
      <w:rFonts w:ascii="Arial" w:eastAsia="Arial" w:hAnsi="Arial" w:cs="Arial"/>
      <w:kern w:val="0"/>
      <w:sz w:val="20"/>
      <w:szCs w:val="20"/>
      <w:lang w:val="en"/>
      <w14:ligatures w14:val="none"/>
    </w:rPr>
  </w:style>
  <w:style w:type="character" w:styleId="EndnoteReference">
    <w:name w:val="endnote reference"/>
    <w:basedOn w:val="DefaultParagraphFont"/>
    <w:uiPriority w:val="99"/>
    <w:semiHidden/>
    <w:unhideWhenUsed/>
    <w:rsid w:val="00CA3998"/>
    <w:rPr>
      <w:vertAlign w:val="superscript"/>
    </w:rPr>
  </w:style>
  <w:style w:type="paragraph" w:styleId="Revision">
    <w:name w:val="Revision"/>
    <w:hidden/>
    <w:uiPriority w:val="99"/>
    <w:semiHidden/>
    <w:rsid w:val="00B312EE"/>
    <w:rPr>
      <w:lang w:val="en-US"/>
    </w:rPr>
  </w:style>
  <w:style w:type="character" w:styleId="FollowedHyperlink">
    <w:name w:val="FollowedHyperlink"/>
    <w:basedOn w:val="DefaultParagraphFont"/>
    <w:uiPriority w:val="99"/>
    <w:semiHidden/>
    <w:unhideWhenUsed/>
    <w:rsid w:val="0056317B"/>
    <w:rPr>
      <w:color w:val="954F72" w:themeColor="followedHyperlink"/>
      <w:u w:val="single"/>
    </w:rPr>
  </w:style>
  <w:style w:type="character" w:customStyle="1" w:styleId="UnresolvedMention2">
    <w:name w:val="Unresolved Mention2"/>
    <w:basedOn w:val="DefaultParagraphFont"/>
    <w:uiPriority w:val="99"/>
    <w:semiHidden/>
    <w:unhideWhenUsed/>
    <w:rsid w:val="0056317B"/>
    <w:rPr>
      <w:color w:val="605E5C"/>
      <w:shd w:val="clear" w:color="auto" w:fill="E1DFDD"/>
    </w:rPr>
  </w:style>
  <w:style w:type="paragraph" w:styleId="Header">
    <w:name w:val="header"/>
    <w:basedOn w:val="Normal"/>
    <w:link w:val="HeaderChar"/>
    <w:uiPriority w:val="99"/>
    <w:unhideWhenUsed/>
    <w:rsid w:val="00364259"/>
    <w:pPr>
      <w:tabs>
        <w:tab w:val="center" w:pos="4680"/>
        <w:tab w:val="right" w:pos="9360"/>
      </w:tabs>
    </w:pPr>
  </w:style>
  <w:style w:type="character" w:customStyle="1" w:styleId="HeaderChar">
    <w:name w:val="Header Char"/>
    <w:basedOn w:val="DefaultParagraphFont"/>
    <w:link w:val="Header"/>
    <w:uiPriority w:val="99"/>
    <w:rsid w:val="00364259"/>
    <w:rPr>
      <w:lang w:val="en-US"/>
    </w:rPr>
  </w:style>
  <w:style w:type="character" w:styleId="UnresolvedMention">
    <w:name w:val="Unresolved Mention"/>
    <w:basedOn w:val="DefaultParagraphFont"/>
    <w:uiPriority w:val="99"/>
    <w:semiHidden/>
    <w:unhideWhenUsed/>
    <w:rsid w:val="003B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s://www.epw.in/engage/article/section-377-whose-concerns-does-judgment" TargetMode="External"/><Relationship Id="rId21" Type="http://schemas.openxmlformats.org/officeDocument/2006/relationships/hyperlink" Target="http://www.egyptology.com/niankhkhnum_khnumhotep/dallas.html" TargetMode="External"/><Relationship Id="rId42" Type="http://schemas.openxmlformats.org/officeDocument/2006/relationships/hyperlink" Target="https://database.ilga.org/en" TargetMode="External"/><Relationship Id="rId47" Type="http://schemas.openxmlformats.org/officeDocument/2006/relationships/hyperlink" Target="https://database.ilga.org/api/downloader/download/1/CG%20-%20LEG%20-%20Penal%20Code%20(1836)%20-%20OR-OFF(fr).pdf" TargetMode="External"/><Relationship Id="rId63" Type="http://schemas.openxmlformats.org/officeDocument/2006/relationships/hyperlink" Target="https://database.ilga.org/api/downloader/download/1/PT%20-%20LEG%20-%20Law%20No.%2039688%20(1954)%20-%20OR-OFF(pt).pdf" TargetMode="External"/><Relationship Id="rId68" Type="http://schemas.openxmlformats.org/officeDocument/2006/relationships/hyperlink" Target="https://database.ilga.org/en" TargetMode="External"/><Relationship Id="rId16" Type="http://schemas.openxmlformats.org/officeDocument/2006/relationships/hyperlink" Target="https://www.museolarco.org/exposicion/sala-erotica/" TargetMode="External"/><Relationship Id="rId11" Type="http://schemas.openxmlformats.org/officeDocument/2006/relationships/hyperlink" Target="https://mentalhealth.org.nz/resources/resource/takatapui-part-of-the-whanau" TargetMode="External"/><Relationship Id="rId24" Type="http://schemas.openxmlformats.org/officeDocument/2006/relationships/hyperlink" Target="https://database.ilga.org/en" TargetMode="External"/><Relationship Id="rId32" Type="http://schemas.openxmlformats.org/officeDocument/2006/relationships/hyperlink" Target="https://database.ilga.org/api/downloader/download/1/MY%20-%20LEG%20-%20Penal%20Code%20(1936)%20-%20OR(en).pdf" TargetMode="External"/><Relationship Id="rId37" Type="http://schemas.openxmlformats.org/officeDocument/2006/relationships/hyperlink" Target="https://database.ilga.org/api/downloader/download/1/GM%20-%20LEG%20-%20Criminal%20Code%20(1934)%20-%20OR(en).pdf" TargetMode="External"/><Relationship Id="rId40" Type="http://schemas.openxmlformats.org/officeDocument/2006/relationships/hyperlink" Target="https://database.ilga.org/en" TargetMode="External"/><Relationship Id="rId45" Type="http://schemas.openxmlformats.org/officeDocument/2006/relationships/hyperlink" Target="https://database.ilga.org/api/downloader/download/1/NG%20-%20LEG%20-%20Penal%20Code%20(Northern%20States)%20Federal%20Provisions%20Act%20(1959)%20-%20OR(en).pdf" TargetMode="External"/><Relationship Id="rId53" Type="http://schemas.openxmlformats.org/officeDocument/2006/relationships/hyperlink" Target="https://database.ilga.org/en" TargetMode="External"/><Relationship Id="rId58" Type="http://schemas.openxmlformats.org/officeDocument/2006/relationships/hyperlink" Target="https://database.ilga.org/en" TargetMode="External"/><Relationship Id="rId66" Type="http://schemas.openxmlformats.org/officeDocument/2006/relationships/hyperlink" Target="https://database.ilga.org/en" TargetMode="External"/><Relationship Id="rId74" Type="http://schemas.openxmlformats.org/officeDocument/2006/relationships/hyperlink" Target="https://database.ilga.org/en" TargetMode="External"/><Relationship Id="rId79" Type="http://schemas.openxmlformats.org/officeDocument/2006/relationships/hyperlink" Target="https://rpl.hds.harvard.edu/religion-context/case-studies/gender/third-gender-and-hijras" TargetMode="External"/><Relationship Id="rId5" Type="http://schemas.openxmlformats.org/officeDocument/2006/relationships/hyperlink" Target="https://doi.org/10.1300/J155v10n01_07" TargetMode="External"/><Relationship Id="rId61" Type="http://schemas.openxmlformats.org/officeDocument/2006/relationships/hyperlink" Target="https://database.ilga.org/api/downloader/download/1/PT%20-%20LEG%20-%20Law%20No.%20177%20(1912)%20-%20OR-OFF(pt).pdf" TargetMode="External"/><Relationship Id="rId19" Type="http://schemas.openxmlformats.org/officeDocument/2006/relationships/hyperlink" Target="https://database.ilga.org/en" TargetMode="External"/><Relationship Id="rId14" Type="http://schemas.openxmlformats.org/officeDocument/2006/relationships/hyperlink" Target="http://cordoba.it/" TargetMode="External"/><Relationship Id="rId22" Type="http://schemas.openxmlformats.org/officeDocument/2006/relationships/hyperlink" Target="https://www.thetimes.co.uk/article/mwah-is-this-the-first-recorded-gay-kiss-7kv6qqnfz32" TargetMode="External"/><Relationship Id="rId27" Type="http://schemas.openxmlformats.org/officeDocument/2006/relationships/hyperlink" Target="https://www.livemint.com/Politics/LlqSpXABN7V8mmuHGV2x0O/Section-377-verdict-These-4690-crimes-are-no-longer-crimes.html" TargetMode="External"/><Relationship Id="rId30" Type="http://schemas.openxmlformats.org/officeDocument/2006/relationships/hyperlink" Target="https://www.hrw.org/report/2016/08/16/all-five-fingers-are-not-same/discrimination-grounds-gender-identity-and-sexual" TargetMode="External"/><Relationship Id="rId35" Type="http://schemas.openxmlformats.org/officeDocument/2006/relationships/hyperlink" Target="https://database.ilga.org/en" TargetMode="External"/><Relationship Id="rId43" Type="http://schemas.openxmlformats.org/officeDocument/2006/relationships/hyperlink" Target="https://database.ilga.org/api/downloader/download/1/NG%20-%20LEG%20-%20Criminal%20Code%20Act%20(2004)%20-%20OR(en).pdf" TargetMode="External"/><Relationship Id="rId48" Type="http://schemas.openxmlformats.org/officeDocument/2006/relationships/hyperlink" Target="https://database.ilga.org/en" TargetMode="External"/><Relationship Id="rId56" Type="http://schemas.openxmlformats.org/officeDocument/2006/relationships/hyperlink" Target="https://database.ilga.org/en" TargetMode="External"/><Relationship Id="rId64" Type="http://schemas.openxmlformats.org/officeDocument/2006/relationships/hyperlink" Target="https://database.ilga.org/en" TargetMode="External"/><Relationship Id="rId69" Type="http://schemas.openxmlformats.org/officeDocument/2006/relationships/hyperlink" Target="https://database.ilga.org/api/downloader/download/1/GB%20-%20LEG%20-%20Criminal%20Law%20Amendment%20Act%20(1885)%20-%20OR-OFF(en).pdf" TargetMode="External"/><Relationship Id="rId77" Type="http://schemas.openxmlformats.org/officeDocument/2006/relationships/hyperlink" Target="https://www.routledge.com/British-Colonialism-and-the-Criminalization-of-Homosexuality-Queens-Crime/Han-OMahoney/p/book/9780367892517" TargetMode="External"/><Relationship Id="rId8" Type="http://schemas.openxmlformats.org/officeDocument/2006/relationships/hyperlink" Target="https://doi.org/10.1177/1097184X15602746" TargetMode="External"/><Relationship Id="rId51" Type="http://schemas.openxmlformats.org/officeDocument/2006/relationships/hyperlink" Target="https://www.pna.gov.ph/articles/1081910" TargetMode="External"/><Relationship Id="rId72" Type="http://schemas.openxmlformats.org/officeDocument/2006/relationships/hyperlink" Target="https://database.ilga.org/en" TargetMode="External"/><Relationship Id="rId3" Type="http://schemas.openxmlformats.org/officeDocument/2006/relationships/hyperlink" Target="https://database.ilga.org/api/downloader/download/4/en-A_76_172.pdf" TargetMode="External"/><Relationship Id="rId12" Type="http://schemas.openxmlformats.org/officeDocument/2006/relationships/hyperlink" Target="https://www.tandfonline.com/doi/full/10.1080/0312407X.2016.1165267" TargetMode="External"/><Relationship Id="rId17" Type="http://schemas.openxmlformats.org/officeDocument/2006/relationships/hyperlink" Target="https://dialnet.unirioja.es/servlet/articulo?codigo=5241118" TargetMode="External"/><Relationship Id="rId25" Type="http://schemas.openxmlformats.org/officeDocument/2006/relationships/hyperlink" Target="https://database.ilga.org/api/downloader/download/4/en-A_HRC_43_48.pdf" TargetMode="External"/><Relationship Id="rId33" Type="http://schemas.openxmlformats.org/officeDocument/2006/relationships/hyperlink" Target="https://database.ilga.org/en" TargetMode="External"/><Relationship Id="rId38" Type="http://schemas.openxmlformats.org/officeDocument/2006/relationships/hyperlink" Target="https://database.ilga.org/en" TargetMode="External"/><Relationship Id="rId46" Type="http://schemas.openxmlformats.org/officeDocument/2006/relationships/hyperlink" Target="https://database.ilga.org/en" TargetMode="External"/><Relationship Id="rId59" Type="http://schemas.openxmlformats.org/officeDocument/2006/relationships/hyperlink" Target="https://database.ilga.org/api/downloader/download/1/PT%20-%20LEG%20-%20Penal%20Code%20(1886)%20-%20OR-OFF(pt).pdf" TargetMode="External"/><Relationship Id="rId67" Type="http://schemas.openxmlformats.org/officeDocument/2006/relationships/hyperlink" Target="https://database.ilga.org/api/downloader/download/1/GB%20-%20LEG%20-%20Offences%20Against%20the%20Person%20Act%20(1861)%20-%20OR-OFF(en).pdf" TargetMode="External"/><Relationship Id="rId20" Type="http://schemas.openxmlformats.org/officeDocument/2006/relationships/hyperlink" Target="http://www.touregypt.net/featurestories/niankhnumt.htm" TargetMode="External"/><Relationship Id="rId41" Type="http://schemas.openxmlformats.org/officeDocument/2006/relationships/hyperlink" Target="https://database.ilga.org/api/downloader/download/1/GM%20-%20LEG%20-%20Criminal%20Code%20(Amendment)%20Act%20(2014)%20-%20OR-OFF%20(en).pdf" TargetMode="External"/><Relationship Id="rId54" Type="http://schemas.openxmlformats.org/officeDocument/2006/relationships/hyperlink" Target="https://database.ilga.org/en" TargetMode="External"/><Relationship Id="rId62" Type="http://schemas.openxmlformats.org/officeDocument/2006/relationships/hyperlink" Target="https://database.ilga.org/en" TargetMode="External"/><Relationship Id="rId70" Type="http://schemas.openxmlformats.org/officeDocument/2006/relationships/hyperlink" Target="https://database.ilga.org/en" TargetMode="External"/><Relationship Id="rId75" Type="http://schemas.openxmlformats.org/officeDocument/2006/relationships/hyperlink" Target="https://database.ilga.org/api/downloader/download/1/PT%20-%20LEG%20-%20Penal%20Code%20(1886)%20-%20OR-OFF(pt).pdf" TargetMode="External"/><Relationship Id="rId1" Type="http://schemas.openxmlformats.org/officeDocument/2006/relationships/hyperlink" Target="https://database.ilga.org/api/downloader/download/4/en-A_76_152.pdf" TargetMode="External"/><Relationship Id="rId6" Type="http://schemas.openxmlformats.org/officeDocument/2006/relationships/hyperlink" Target="https://doi.org/10.1177/1363460716681474" TargetMode="External"/><Relationship Id="rId15" Type="http://schemas.openxmlformats.org/officeDocument/2006/relationships/hyperlink" Target="https://www.museolarco.org/" TargetMode="External"/><Relationship Id="rId23" Type="http://schemas.openxmlformats.org/officeDocument/2006/relationships/hyperlink" Target="https://database.ilga.org/api/downloader/download/1/MM%20-%20LEG%20-%20Penal%20Code%20(1860)%20-%20TR(en).pdf" TargetMode="External"/><Relationship Id="rId28" Type="http://schemas.openxmlformats.org/officeDocument/2006/relationships/hyperlink" Target="https://www.routledge.com/British-Colonialism-and-the-Criminalization-of-Homosexuality-Queens-Crime/Han-OMahoney/p/book/9780367892517" TargetMode="External"/><Relationship Id="rId36" Type="http://schemas.openxmlformats.org/officeDocument/2006/relationships/hyperlink" Target="https://www.sxpolitics.org/wp-content/uploads/2009/03/article-douglas-sanders.pdf" TargetMode="External"/><Relationship Id="rId49" Type="http://schemas.openxmlformats.org/officeDocument/2006/relationships/hyperlink" Target="https://www.officialgazette.gov.ph/1987/07/06/executive-order-no-209-s-1987/" TargetMode="External"/><Relationship Id="rId57" Type="http://schemas.openxmlformats.org/officeDocument/2006/relationships/hyperlink" Target="https://database.ilga.org/api/downloader/download/1/BR%20-%20LEG%20-%20Filipe's%20Ordinances%20(1595)%20-%20OR(pt).pdf" TargetMode="External"/><Relationship Id="rId10" Type="http://schemas.openxmlformats.org/officeDocument/2006/relationships/hyperlink" Target="https://hdl.handle.net/10037/7063" TargetMode="External"/><Relationship Id="rId31" Type="http://schemas.openxmlformats.org/officeDocument/2006/relationships/hyperlink" Target="https://database.ilga.org/api/downloader/download/1/SL%20-%20LEG%20-%20Offenses%20Against%20the%20Person%20Act%20(1861)%20-%20OR(en).pdf" TargetMode="External"/><Relationship Id="rId44" Type="http://schemas.openxmlformats.org/officeDocument/2006/relationships/hyperlink" Target="https://database.ilga.org/en" TargetMode="External"/><Relationship Id="rId52" Type="http://schemas.openxmlformats.org/officeDocument/2006/relationships/hyperlink" Target="https://www.comunicacion.gob.bo/sites/default/files/dale_vida_a_tus_derechos/archivos/Ley%20603%20C%C3%B3digo%20de%20las%20Familias%20y%20del%20Proceso%20Familiar.pdf" TargetMode="External"/><Relationship Id="rId60" Type="http://schemas.openxmlformats.org/officeDocument/2006/relationships/hyperlink" Target="https://database.ilga.org/en" TargetMode="External"/><Relationship Id="rId65" Type="http://schemas.openxmlformats.org/officeDocument/2006/relationships/hyperlink" Target="https://database.ilga.org/api/downloader/download/1/GW%20-%20LEG%20-%20Penal%20Code%20(1993)%20-%20OR-OFF(pt).pdf" TargetMode="External"/><Relationship Id="rId73" Type="http://schemas.openxmlformats.org/officeDocument/2006/relationships/hyperlink" Target="https://database.ilga.org/api/downloader/download/1/MO-%20LEG%20-%20Penal%20Code%20(1995)%20-%20OR-OFF(pt).pdf" TargetMode="External"/><Relationship Id="rId78" Type="http://schemas.openxmlformats.org/officeDocument/2006/relationships/hyperlink" Target="https://sclsbd.org/third-gender-bangladesh-privileged-community/" TargetMode="External"/><Relationship Id="rId4" Type="http://schemas.openxmlformats.org/officeDocument/2006/relationships/hyperlink" Target="https://www.tandfonline.com/doi/full/10.1080/21681392.2017.1285243" TargetMode="External"/><Relationship Id="rId9" Type="http://schemas.openxmlformats.org/officeDocument/2006/relationships/hyperlink" Target="https://doi.org/10.1080/13691058.2017.1317831" TargetMode="External"/><Relationship Id="rId13" Type="http://schemas.openxmlformats.org/officeDocument/2006/relationships/hyperlink" Target="https://documents-dds-ny.un.org/doc/UNDOC/GEN/G21/082/15/PDF/G2108215.pdf?OpenElement" TargetMode="External"/><Relationship Id="rId18" Type="http://schemas.openxmlformats.org/officeDocument/2006/relationships/hyperlink" Target="https://database.ilga.org/api/downloader/download/1/BR%20-%20LEG%20-%20Filipe's%20Ordinances%20(1595)%20-%20OR(pt).pdf" TargetMode="External"/><Relationship Id="rId39" Type="http://schemas.openxmlformats.org/officeDocument/2006/relationships/hyperlink" Target="https://database.ilga.org/api/downloader/download/1/GM%20-%20LEG%20-%20Criminal%20Code%20(Amendment)%20Act%20(2005)%20-%20OR-OFF%20(en).pdf" TargetMode="External"/><Relationship Id="rId34" Type="http://schemas.openxmlformats.org/officeDocument/2006/relationships/hyperlink" Target="https://database.ilga.org/api/downloader/download/1/MY%20-%20LEG%20-%20Penal%20Code%20(Amendment%20and%20Extension)%20Act%201976%20-%20OR(en).pdf" TargetMode="External"/><Relationship Id="rId50" Type="http://schemas.openxmlformats.org/officeDocument/2006/relationships/hyperlink" Target="https://database.ilga.org/en" TargetMode="External"/><Relationship Id="rId55" Type="http://schemas.openxmlformats.org/officeDocument/2006/relationships/hyperlink" Target="https://database.ilga.org/api/downloader/download/1/BR%20-%20LEG%20-%20Penal%20Code%20(1831)%20-%20OR-OFF(pt).pdf" TargetMode="External"/><Relationship Id="rId76" Type="http://schemas.openxmlformats.org/officeDocument/2006/relationships/hyperlink" Target="https://database.ilga.org/en" TargetMode="External"/><Relationship Id="rId7" Type="http://schemas.openxmlformats.org/officeDocument/2006/relationships/hyperlink" Target="https://hdl.handle.net/10037/7063" TargetMode="External"/><Relationship Id="rId71" Type="http://schemas.openxmlformats.org/officeDocument/2006/relationships/hyperlink" Target="https://database.ilga.org/api/downloader/download/1/IE%20-%20LEG%20-%20Criminal%20Law%20(Sexual%20Offences)%20Act%20(1993)%20-%20OR-OFF(en).pdf" TargetMode="External"/><Relationship Id="rId2" Type="http://schemas.openxmlformats.org/officeDocument/2006/relationships/hyperlink" Target="https://www.theguardian.com/global-development/2023/apr/20/ugandas-president-refuses-to-sign-new-hardline-anti-gay-bill" TargetMode="External"/><Relationship Id="rId29" Type="http://schemas.openxmlformats.org/officeDocument/2006/relationships/hyperlink" Target="https://www.heartlandalliance.org/gihr/wp-content/uploads/sites/12/2016/02/sri-lanka-lgbt-shadow-report-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ILGA World Joint Submission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AAD47F1-1A12-4914-B9CF-A4CE4ABC437A}">
  <ds:schemaRefs>
    <ds:schemaRef ds:uri="http://schemas.openxmlformats.org/officeDocument/2006/bibliography"/>
  </ds:schemaRefs>
</ds:datastoreItem>
</file>

<file path=customXml/itemProps2.xml><?xml version="1.0" encoding="utf-8"?>
<ds:datastoreItem xmlns:ds="http://schemas.openxmlformats.org/officeDocument/2006/customXml" ds:itemID="{052C5C3C-1C84-4CBE-A54B-E03426D3F585}"/>
</file>

<file path=customXml/itemProps3.xml><?xml version="1.0" encoding="utf-8"?>
<ds:datastoreItem xmlns:ds="http://schemas.openxmlformats.org/officeDocument/2006/customXml" ds:itemID="{8ADA9706-6775-43A0-846C-EBEC3D2D183E}"/>
</file>

<file path=customXml/itemProps4.xml><?xml version="1.0" encoding="utf-8"?>
<ds:datastoreItem xmlns:ds="http://schemas.openxmlformats.org/officeDocument/2006/customXml" ds:itemID="{3F66BF66-E4A0-486E-9E4C-DCCEE2D0052D}"/>
</file>

<file path=docProps/app.xml><?xml version="1.0" encoding="utf-8"?>
<Properties xmlns="http://schemas.openxmlformats.org/officeDocument/2006/extended-properties" xmlns:vt="http://schemas.openxmlformats.org/officeDocument/2006/docPropsVTypes">
  <Template>Normal.dotm</Template>
  <TotalTime>2</TotalTime>
  <Pages>14</Pages>
  <Words>4380</Words>
  <Characters>24966</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Fierro Castro</dc:creator>
  <cp:keywords/>
  <dc:description/>
  <cp:lastModifiedBy>Alejandra Fierro Castro</cp:lastModifiedBy>
  <cp:revision>5</cp:revision>
  <dcterms:created xsi:type="dcterms:W3CDTF">2023-05-26T19:20:00Z</dcterms:created>
  <dcterms:modified xsi:type="dcterms:W3CDTF">2023-05-26T19:36:00Z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