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FB70" w14:textId="22D8DBB1" w:rsidR="002D54BD" w:rsidRDefault="00F02CFE" w:rsidP="008817F0">
      <w:pPr>
        <w:rPr>
          <w:b/>
          <w:bCs/>
          <w:sz w:val="24"/>
          <w:szCs w:val="24"/>
          <w:lang w:eastAsia="en-GB"/>
        </w:rPr>
      </w:pPr>
      <w:r w:rsidRPr="00F02CFE">
        <w:rPr>
          <w:b/>
          <w:bCs/>
          <w:sz w:val="24"/>
          <w:szCs w:val="24"/>
          <w:lang w:eastAsia="en-GB"/>
        </w:rPr>
        <w:t>Call for inputs: Report on colonialism and sexual orientation and gender identity</w:t>
      </w:r>
    </w:p>
    <w:p w14:paraId="4983EA50" w14:textId="58E67515" w:rsidR="00D5379D" w:rsidRPr="00D5379D" w:rsidRDefault="00D5379D" w:rsidP="008817F0">
      <w:pPr>
        <w:rPr>
          <w:b/>
          <w:bCs/>
          <w:lang w:eastAsia="en-GB"/>
        </w:rPr>
      </w:pPr>
      <w:r w:rsidRPr="00D5379D">
        <w:rPr>
          <w:b/>
          <w:bCs/>
          <w:lang w:eastAsia="en-GB"/>
        </w:rPr>
        <w:t>Phoebe Eleanor Sheppard</w:t>
      </w:r>
    </w:p>
    <w:p w14:paraId="7F066B54" w14:textId="77777777" w:rsidR="00026F32" w:rsidRDefault="002D54BD" w:rsidP="008817F0">
      <w:pPr>
        <w:rPr>
          <w:lang w:eastAsia="en-GB"/>
        </w:rPr>
      </w:pPr>
      <w:r>
        <w:rPr>
          <w:lang w:eastAsia="en-GB"/>
        </w:rPr>
        <w:t xml:space="preserve">The significance of patriarchy in </w:t>
      </w:r>
      <w:r w:rsidR="00304B95">
        <w:rPr>
          <w:lang w:eastAsia="en-GB"/>
        </w:rPr>
        <w:t>establishing, maintaining, and promoting</w:t>
      </w:r>
      <w:r>
        <w:rPr>
          <w:lang w:eastAsia="en-GB"/>
        </w:rPr>
        <w:t xml:space="preserve"> queerphobic</w:t>
      </w:r>
      <w:r w:rsidR="00000385">
        <w:rPr>
          <w:rStyle w:val="FootnoteReference"/>
          <w:lang w:eastAsia="en-GB"/>
        </w:rPr>
        <w:footnoteReference w:id="1"/>
      </w:r>
      <w:r>
        <w:rPr>
          <w:lang w:eastAsia="en-GB"/>
        </w:rPr>
        <w:t xml:space="preserve"> attitude</w:t>
      </w:r>
      <w:r w:rsidR="00073839">
        <w:rPr>
          <w:lang w:eastAsia="en-GB"/>
        </w:rPr>
        <w:t>s is</w:t>
      </w:r>
      <w:r w:rsidR="00F07F5E">
        <w:rPr>
          <w:lang w:eastAsia="en-GB"/>
        </w:rPr>
        <w:t xml:space="preserve"> under researched and frequently underplayed. </w:t>
      </w:r>
    </w:p>
    <w:p w14:paraId="6ECC1381" w14:textId="1EE2D4B2" w:rsidR="00F02CFE" w:rsidRDefault="00662F15" w:rsidP="008817F0">
      <w:pPr>
        <w:rPr>
          <w:lang w:eastAsia="en-GB"/>
        </w:rPr>
      </w:pPr>
      <w:r w:rsidRPr="008817F0">
        <w:t xml:space="preserve">The sex binary and </w:t>
      </w:r>
      <w:r w:rsidR="00E21D26" w:rsidRPr="008817F0">
        <w:t xml:space="preserve">wider </w:t>
      </w:r>
      <w:r w:rsidRPr="008817F0">
        <w:t>patriarchal structures were establish</w:t>
      </w:r>
      <w:r w:rsidR="00E21D26" w:rsidRPr="008817F0">
        <w:t xml:space="preserve">ed as part of an imperial project </w:t>
      </w:r>
      <w:r w:rsidR="00C669DD" w:rsidRPr="008817F0">
        <w:t xml:space="preserve">to </w:t>
      </w:r>
      <w:r w:rsidR="008817F0" w:rsidRPr="008817F0">
        <w:t>enforce</w:t>
      </w:r>
      <w:r w:rsidR="000D696C" w:rsidRPr="008817F0">
        <w:t xml:space="preserve"> the idea of ‘race’ itself</w:t>
      </w:r>
      <w:r w:rsidR="00DC4BC8" w:rsidRPr="008817F0">
        <w:t xml:space="preserve">, </w:t>
      </w:r>
      <w:r w:rsidR="00E42747" w:rsidRPr="008817F0">
        <w:t xml:space="preserve">defining masculinity and femininity as exclusively white </w:t>
      </w:r>
      <w:r w:rsidR="008E7A12" w:rsidRPr="008817F0">
        <w:t>characteristics</w:t>
      </w:r>
      <w:r w:rsidR="00B0714D" w:rsidRPr="008817F0">
        <w:t xml:space="preserve"> and </w:t>
      </w:r>
      <w:r w:rsidR="00FF5555" w:rsidRPr="008817F0">
        <w:t>demarcating colonised women from their white counterparts</w:t>
      </w:r>
      <w:r w:rsidR="00BC0E1F" w:rsidRPr="008817F0">
        <w:t>, thereby</w:t>
      </w:r>
      <w:r w:rsidR="00FF5555" w:rsidRPr="008817F0">
        <w:t xml:space="preserve"> </w:t>
      </w:r>
      <w:r w:rsidR="005B2FF0" w:rsidRPr="008817F0">
        <w:t>leaving them ‘sexually marked as female without the characteristics of femininity</w:t>
      </w:r>
      <w:r w:rsidR="00BC0E1F" w:rsidRPr="008817F0">
        <w:t>’</w:t>
      </w:r>
      <w:r w:rsidR="005B2FF0" w:rsidRPr="008817F0">
        <w:t>.</w:t>
      </w:r>
      <w:r w:rsidR="00DD4CF1" w:rsidRPr="008817F0">
        <w:rPr>
          <w:rStyle w:val="FootnoteReference"/>
        </w:rPr>
        <w:footnoteReference w:id="2"/>
      </w:r>
      <w:r w:rsidR="005B2FF0" w:rsidRPr="008817F0">
        <w:t xml:space="preserve"> </w:t>
      </w:r>
      <w:r w:rsidR="00E0457F" w:rsidRPr="008817F0">
        <w:t>This was a successful ploy to fortify white supremacy</w:t>
      </w:r>
      <w:r w:rsidR="003A48A3" w:rsidRPr="008817F0">
        <w:t xml:space="preserve"> </w:t>
      </w:r>
      <w:r w:rsidR="00BE36BF" w:rsidRPr="008817F0">
        <w:t xml:space="preserve">using Victorian </w:t>
      </w:r>
      <w:r w:rsidR="000F4D37" w:rsidRPr="008817F0">
        <w:t>gender</w:t>
      </w:r>
      <w:r w:rsidR="00BE36BF" w:rsidRPr="008817F0">
        <w:t xml:space="preserve"> ideals for white </w:t>
      </w:r>
      <w:r w:rsidR="001C2F04" w:rsidRPr="008817F0">
        <w:t>people</w:t>
      </w:r>
      <w:r w:rsidR="00BE36BF" w:rsidRPr="008817F0">
        <w:t xml:space="preserve"> whilst simultaneously </w:t>
      </w:r>
      <w:r w:rsidR="00DD34F4" w:rsidRPr="008817F0">
        <w:t>portraying indigenous women and men</w:t>
      </w:r>
      <w:r w:rsidR="00F12A5F" w:rsidRPr="008817F0">
        <w:t xml:space="preserve"> as genderless and animalistic</w:t>
      </w:r>
      <w:r w:rsidR="00D546DB" w:rsidRPr="008817F0">
        <w:t xml:space="preserve">, with indigenous men in particular depicted as </w:t>
      </w:r>
      <w:r w:rsidR="006A7896" w:rsidRPr="008817F0">
        <w:t>‘uncontrollably sexual and wild’.</w:t>
      </w:r>
      <w:bookmarkStart w:id="0" w:name="_Ref136899637"/>
      <w:r w:rsidR="00FB3E92" w:rsidRPr="008817F0">
        <w:rPr>
          <w:rStyle w:val="FootnoteReference"/>
        </w:rPr>
        <w:footnoteReference w:id="3"/>
      </w:r>
      <w:bookmarkEnd w:id="0"/>
      <w:r w:rsidR="006A7896" w:rsidRPr="008817F0">
        <w:t xml:space="preserve"> </w:t>
      </w:r>
      <w:r w:rsidR="00881FA5" w:rsidRPr="008817F0">
        <w:t>It was in this way that whiteness became associated</w:t>
      </w:r>
      <w:r w:rsidR="003D4190" w:rsidRPr="008817F0">
        <w:t xml:space="preserve">, in Azille Coetzee’s words, </w:t>
      </w:r>
      <w:r w:rsidR="007E694D" w:rsidRPr="008817F0">
        <w:t>with</w:t>
      </w:r>
      <w:r w:rsidR="003D4190" w:rsidRPr="008817F0">
        <w:t xml:space="preserve"> </w:t>
      </w:r>
      <w:r w:rsidR="00FB6FA5" w:rsidRPr="008817F0">
        <w:t xml:space="preserve">‘inhabiting a masculine or feminine identity according to the rules of binary heterosexual </w:t>
      </w:r>
      <w:r w:rsidR="009A4818" w:rsidRPr="008817F0">
        <w:t xml:space="preserve">patriarchy, </w:t>
      </w:r>
      <w:r w:rsidR="007E694D" w:rsidRPr="008817F0">
        <w:t>[whilst]</w:t>
      </w:r>
      <w:r w:rsidR="00FB6FA5" w:rsidRPr="008817F0">
        <w:t xml:space="preserve"> being black mean</w:t>
      </w:r>
      <w:r w:rsidR="00862F4E" w:rsidRPr="008817F0">
        <w:t>[t]</w:t>
      </w:r>
      <w:r w:rsidR="00FB6FA5" w:rsidRPr="008817F0">
        <w:t xml:space="preserve"> failing to do so’.</w:t>
      </w:r>
      <w:r w:rsidR="00F7625F" w:rsidRPr="008817F0">
        <w:rPr>
          <w:rStyle w:val="FootnoteReference"/>
        </w:rPr>
        <w:footnoteReference w:id="4"/>
      </w:r>
      <w:r w:rsidR="00FB6FA5" w:rsidRPr="008817F0">
        <w:t xml:space="preserve"> </w:t>
      </w:r>
      <w:r w:rsidR="008F513C" w:rsidRPr="008817F0">
        <w:t xml:space="preserve">Thus, essentially one’s masculinity or femininity became a prerequisite for </w:t>
      </w:r>
      <w:r w:rsidR="00BA2BEB" w:rsidRPr="008817F0">
        <w:t xml:space="preserve">their </w:t>
      </w:r>
      <w:r w:rsidR="001871FE" w:rsidRPr="008817F0">
        <w:t xml:space="preserve">humanity and as a result </w:t>
      </w:r>
      <w:r w:rsidR="00E577B8" w:rsidRPr="008817F0">
        <w:t xml:space="preserve">the existence of colonised people outside of this binary justified their degrading treatment </w:t>
      </w:r>
      <w:r w:rsidR="00BA2BEB" w:rsidRPr="008817F0">
        <w:t>in the eyes of imperialists.</w:t>
      </w:r>
      <w:r w:rsidR="001A135D" w:rsidRPr="008817F0">
        <w:t xml:space="preserve"> With such a</w:t>
      </w:r>
      <w:r w:rsidR="00927F0E" w:rsidRPr="008817F0">
        <w:t xml:space="preserve"> significant tie </w:t>
      </w:r>
      <w:r w:rsidR="00E06216" w:rsidRPr="008817F0">
        <w:t xml:space="preserve">forged </w:t>
      </w:r>
      <w:r w:rsidR="00927F0E" w:rsidRPr="008817F0">
        <w:t xml:space="preserve">between the sex and gender binaries and one’s humanity, </w:t>
      </w:r>
      <w:r w:rsidR="000F7C55" w:rsidRPr="008817F0">
        <w:t>colonial</w:t>
      </w:r>
      <w:r w:rsidR="00E06216" w:rsidRPr="008817F0">
        <w:t xml:space="preserve"> policies paved the way for discriminatory attitudes</w:t>
      </w:r>
      <w:r w:rsidR="00D27968" w:rsidRPr="008817F0">
        <w:t xml:space="preserve"> against LGBT person</w:t>
      </w:r>
      <w:r w:rsidR="00576F06">
        <w:t xml:space="preserve">s </w:t>
      </w:r>
      <w:r w:rsidR="00BE45B7">
        <w:t>–</w:t>
      </w:r>
      <w:r w:rsidR="00576F06">
        <w:t xml:space="preserve"> </w:t>
      </w:r>
      <w:r w:rsidR="00BE45B7">
        <w:t>who often exist outside of the gender binary -</w:t>
      </w:r>
      <w:r w:rsidR="00D27968" w:rsidRPr="008817F0">
        <w:t xml:space="preserve"> and more specifically, </w:t>
      </w:r>
      <w:r w:rsidR="004B4C07" w:rsidRPr="008817F0">
        <w:t>Black and Brown LGBT persons,</w:t>
      </w:r>
      <w:r w:rsidR="00E06216" w:rsidRPr="008817F0">
        <w:t xml:space="preserve"> with the belief that anyone </w:t>
      </w:r>
      <w:r w:rsidR="00D27968" w:rsidRPr="008817F0">
        <w:t xml:space="preserve">existing outside of this </w:t>
      </w:r>
      <w:r w:rsidR="004B4C07" w:rsidRPr="008817F0">
        <w:t>binary does not qualify for personhood</w:t>
      </w:r>
      <w:r w:rsidR="000351EA">
        <w:t>.</w:t>
      </w:r>
    </w:p>
    <w:p w14:paraId="7BC9CF80" w14:textId="40C6C6F8" w:rsidR="00880124" w:rsidRDefault="009B46E6" w:rsidP="008817F0">
      <w:r>
        <w:t>The violent queerphobic act of ‘corrective’ rape</w:t>
      </w:r>
      <w:r w:rsidR="006F068D">
        <w:t xml:space="preserve"> – defined as </w:t>
      </w:r>
      <w:r w:rsidR="00AC0C76">
        <w:t xml:space="preserve">the rape of non-conforming </w:t>
      </w:r>
      <w:r w:rsidR="00594D26">
        <w:t>groups</w:t>
      </w:r>
      <w:r w:rsidR="00AC0C76">
        <w:t xml:space="preserve"> </w:t>
      </w:r>
      <w:r w:rsidR="00443C1F">
        <w:t>in relation to gender identity or sexual orientation</w:t>
      </w:r>
      <w:r w:rsidR="00827275">
        <w:t xml:space="preserve"> with the intention of the perpetrator being </w:t>
      </w:r>
      <w:proofErr w:type="gramStart"/>
      <w:r w:rsidR="00827275">
        <w:t>to</w:t>
      </w:r>
      <w:proofErr w:type="gramEnd"/>
      <w:r w:rsidR="00827275">
        <w:t xml:space="preserve"> ‘correct’ the individual </w:t>
      </w:r>
      <w:r w:rsidR="00DB6F77">
        <w:t>- has</w:t>
      </w:r>
      <w:r w:rsidR="003127E2">
        <w:t xml:space="preserve"> largely misogynistic roots</w:t>
      </w:r>
      <w:r w:rsidR="005225AD">
        <w:t xml:space="preserve">, </w:t>
      </w:r>
      <w:r w:rsidR="00102DB1">
        <w:t>intending to demonstrate</w:t>
      </w:r>
      <w:r w:rsidR="005225AD">
        <w:t xml:space="preserve"> male patriarchal domination</w:t>
      </w:r>
      <w:r w:rsidR="00F12563">
        <w:t>,</w:t>
      </w:r>
      <w:r w:rsidR="00A174F7">
        <w:t xml:space="preserve"> and is one such example of how </w:t>
      </w:r>
      <w:r w:rsidR="000F3CFB">
        <w:t>patriarchal colonial values continue to contribute to institutional queerphobic violence</w:t>
      </w:r>
      <w:r w:rsidR="005225AD">
        <w:t xml:space="preserve">. </w:t>
      </w:r>
      <w:r w:rsidR="00293E09">
        <w:t xml:space="preserve">As </w:t>
      </w:r>
      <w:r w:rsidR="008408FF">
        <w:t xml:space="preserve">Sarah </w:t>
      </w:r>
      <w:r w:rsidR="00293E09">
        <w:t>Doa</w:t>
      </w:r>
      <w:r w:rsidR="00C11ED2">
        <w:t xml:space="preserve">n-Minh argues, ‘corrective’ rape is a punishment for </w:t>
      </w:r>
      <w:r w:rsidR="00A80DEA">
        <w:t>‘violating traditional gender presentatio</w:t>
      </w:r>
      <w:r w:rsidR="00C11ED2">
        <w:t>n</w:t>
      </w:r>
      <w:r w:rsidR="00A80DEA">
        <w:t>’</w:t>
      </w:r>
      <w:r w:rsidR="00C11ED2">
        <w:t xml:space="preserve"> and </w:t>
      </w:r>
      <w:r w:rsidR="00AC028A">
        <w:t xml:space="preserve">heterosexuality which </w:t>
      </w:r>
      <w:r w:rsidR="00306657">
        <w:t xml:space="preserve">threatens </w:t>
      </w:r>
      <w:r w:rsidR="002A5791">
        <w:t>masculinity and by</w:t>
      </w:r>
      <w:r w:rsidR="00AC028A">
        <w:t xml:space="preserve"> extension</w:t>
      </w:r>
      <w:r w:rsidR="002A5791">
        <w:t xml:space="preserve">, </w:t>
      </w:r>
      <w:r w:rsidR="00AC028A">
        <w:t>dominant patriarchal order</w:t>
      </w:r>
      <w:r w:rsidR="002A5791">
        <w:t>.</w:t>
      </w:r>
      <w:r w:rsidR="00806678">
        <w:rPr>
          <w:rStyle w:val="FootnoteReference"/>
        </w:rPr>
        <w:footnoteReference w:id="5"/>
      </w:r>
      <w:r w:rsidR="00AC028A">
        <w:t xml:space="preserve"> </w:t>
      </w:r>
      <w:r w:rsidR="00650936">
        <w:t>This existence outside of the gender binary or heteropatriarch</w:t>
      </w:r>
      <w:r w:rsidR="00B53697">
        <w:t>y</w:t>
      </w:r>
      <w:r w:rsidR="006715CB">
        <w:t>,</w:t>
      </w:r>
      <w:r w:rsidR="00B53697">
        <w:t xml:space="preserve"> </w:t>
      </w:r>
      <w:r w:rsidR="00650936">
        <w:t>therefore</w:t>
      </w:r>
      <w:r w:rsidR="006715CB">
        <w:t>,</w:t>
      </w:r>
      <w:r w:rsidR="00650936">
        <w:t xml:space="preserve"> needs to be ‘punished’ </w:t>
      </w:r>
      <w:r w:rsidR="0062454E">
        <w:t xml:space="preserve">in the eyes of perpetrators </w:t>
      </w:r>
      <w:r w:rsidR="00650936">
        <w:t>through an act</w:t>
      </w:r>
      <w:r w:rsidR="00871BCC">
        <w:t xml:space="preserve"> </w:t>
      </w:r>
      <w:r w:rsidR="00467CE9">
        <w:t>in</w:t>
      </w:r>
      <w:r w:rsidR="00871BCC">
        <w:t xml:space="preserve"> </w:t>
      </w:r>
      <w:r w:rsidR="00B53697">
        <w:t xml:space="preserve">which they can </w:t>
      </w:r>
      <w:r w:rsidR="007C7996">
        <w:t xml:space="preserve">personally </w:t>
      </w:r>
      <w:r w:rsidR="00B53697">
        <w:t>exert their power and control over victims</w:t>
      </w:r>
      <w:r w:rsidR="00F7395B">
        <w:t xml:space="preserve"> to ‘correct’ </w:t>
      </w:r>
      <w:r w:rsidR="00CF1061">
        <w:t xml:space="preserve">and degrade </w:t>
      </w:r>
      <w:r w:rsidR="00F7395B">
        <w:t>them</w:t>
      </w:r>
      <w:r w:rsidR="00CF1061">
        <w:t xml:space="preserve">, </w:t>
      </w:r>
      <w:r w:rsidR="003A3E9B">
        <w:t>forcing</w:t>
      </w:r>
      <w:r w:rsidR="00F7395B">
        <w:t xml:space="preserve"> them</w:t>
      </w:r>
      <w:r w:rsidR="003A3E9B">
        <w:t xml:space="preserve"> to essentially conform by demonstrating what happens when they fail to do so</w:t>
      </w:r>
      <w:r w:rsidR="00F7395B">
        <w:t>.</w:t>
      </w:r>
      <w:r w:rsidR="00B53697">
        <w:t xml:space="preserve"> </w:t>
      </w:r>
      <w:r w:rsidR="00215C4C">
        <w:t>‘Corrective’ rape</w:t>
      </w:r>
      <w:r w:rsidR="003415FE">
        <w:t>,</w:t>
      </w:r>
      <w:r w:rsidR="00215C4C">
        <w:t xml:space="preserve"> and more widely sexual violence</w:t>
      </w:r>
      <w:r w:rsidR="003415FE">
        <w:t>,</w:t>
      </w:r>
      <w:r w:rsidR="00215C4C">
        <w:t xml:space="preserve"> are endemic in South Africa despite the </w:t>
      </w:r>
      <w:r w:rsidR="00FF71BE">
        <w:t>Equality Clause in the constitution which legally en</w:t>
      </w:r>
      <w:r w:rsidR="00BB04FE">
        <w:t>shrines</w:t>
      </w:r>
      <w:r w:rsidR="00FF71BE">
        <w:t xml:space="preserve"> the rights and legal protection of all no matter their gender identity or sexual orientation</w:t>
      </w:r>
      <w:r w:rsidR="003415FE">
        <w:t>.</w:t>
      </w:r>
      <w:r w:rsidR="00147AAC">
        <w:t xml:space="preserve"> It is a hate crime perpet</w:t>
      </w:r>
      <w:r w:rsidR="00E3628F">
        <w:t>rated</w:t>
      </w:r>
      <w:r w:rsidR="00147AAC">
        <w:t xml:space="preserve"> by men trying to </w:t>
      </w:r>
      <w:r w:rsidR="00AA56B8">
        <w:t xml:space="preserve">maintain their superiority and masculinity </w:t>
      </w:r>
      <w:r w:rsidR="00617BD4">
        <w:t>in a society that they feel</w:t>
      </w:r>
      <w:r w:rsidR="000373C4">
        <w:t xml:space="preserve"> increasingly</w:t>
      </w:r>
      <w:r w:rsidR="00617BD4">
        <w:t xml:space="preserve"> threatens </w:t>
      </w:r>
      <w:r w:rsidR="006A5301">
        <w:t xml:space="preserve">the </w:t>
      </w:r>
      <w:r w:rsidR="00617BD4">
        <w:t xml:space="preserve">‘natural’ patriarchal order. </w:t>
      </w:r>
      <w:r w:rsidR="00C97F51">
        <w:t xml:space="preserve">As with any case of </w:t>
      </w:r>
      <w:r w:rsidR="00601C76">
        <w:t>queerphobic violence, those with intersecting identities are more frequently and harshly targeted</w:t>
      </w:r>
      <w:r w:rsidR="00E22AB0">
        <w:t>,</w:t>
      </w:r>
      <w:r w:rsidR="00601C76">
        <w:t xml:space="preserve"> with Black</w:t>
      </w:r>
      <w:r w:rsidR="00BA5116">
        <w:t xml:space="preserve"> </w:t>
      </w:r>
      <w:r w:rsidR="00601C76">
        <w:t xml:space="preserve">lesbians </w:t>
      </w:r>
      <w:r w:rsidR="00E22AB0">
        <w:t xml:space="preserve">most commonly </w:t>
      </w:r>
      <w:r w:rsidR="00601C76">
        <w:t xml:space="preserve">the main target of ‘corrective’ </w:t>
      </w:r>
      <w:r w:rsidR="00601C76">
        <w:lastRenderedPageBreak/>
        <w:t>rape</w:t>
      </w:r>
      <w:r w:rsidR="00F17B02">
        <w:t xml:space="preserve"> due to the</w:t>
      </w:r>
      <w:r w:rsidR="00E475F0">
        <w:t xml:space="preserve"> </w:t>
      </w:r>
      <w:r w:rsidR="00F17B02">
        <w:t>intersecti</w:t>
      </w:r>
      <w:r w:rsidR="00E475F0">
        <w:t xml:space="preserve">on of their </w:t>
      </w:r>
      <w:r w:rsidR="00F17B02">
        <w:t>gender</w:t>
      </w:r>
      <w:r w:rsidR="00E475F0">
        <w:t>, sexual orientation, and racial identity</w:t>
      </w:r>
      <w:r w:rsidR="00601C76">
        <w:t>.</w:t>
      </w:r>
      <w:r w:rsidR="00622150">
        <w:t xml:space="preserve"> Arguably, given that the gender binary was introduced during colonialism with </w:t>
      </w:r>
      <w:r w:rsidR="00FA7CDB">
        <w:t xml:space="preserve">the </w:t>
      </w:r>
      <w:r w:rsidR="00622150">
        <w:t>intent o</w:t>
      </w:r>
      <w:r w:rsidR="00FA7CDB">
        <w:t>f</w:t>
      </w:r>
      <w:r w:rsidR="00622150">
        <w:t xml:space="preserve"> </w:t>
      </w:r>
      <w:r w:rsidR="00AF5D78">
        <w:t>dehumanising</w:t>
      </w:r>
      <w:r w:rsidR="00622150">
        <w:t xml:space="preserve"> Black people, </w:t>
      </w:r>
      <w:r w:rsidR="00290779">
        <w:t xml:space="preserve">‘traditional’ </w:t>
      </w:r>
      <w:r w:rsidR="00F36A2D">
        <w:t xml:space="preserve">feminine </w:t>
      </w:r>
      <w:r w:rsidR="00290779">
        <w:t xml:space="preserve">appearance and </w:t>
      </w:r>
      <w:r w:rsidR="008231B2">
        <w:t xml:space="preserve">broadly </w:t>
      </w:r>
      <w:r w:rsidR="00F36A2D">
        <w:t xml:space="preserve">conforming to </w:t>
      </w:r>
      <w:r w:rsidR="00290779">
        <w:t>gender</w:t>
      </w:r>
      <w:r w:rsidR="00F36A2D">
        <w:t>ed ideals</w:t>
      </w:r>
      <w:r w:rsidR="00290779">
        <w:t xml:space="preserve"> </w:t>
      </w:r>
      <w:r w:rsidR="006143E9">
        <w:t>are</w:t>
      </w:r>
      <w:r w:rsidR="00290779">
        <w:t xml:space="preserve"> perceived as even more important </w:t>
      </w:r>
      <w:r w:rsidR="008231B2">
        <w:t xml:space="preserve">in the consideration of the personhood of </w:t>
      </w:r>
      <w:r w:rsidR="00A84DA0">
        <w:t>Black women</w:t>
      </w:r>
      <w:r w:rsidR="008231B2">
        <w:t xml:space="preserve">. When they do not ascribe to these gendered norms </w:t>
      </w:r>
      <w:r w:rsidR="00BE3D59">
        <w:t>created by colonis</w:t>
      </w:r>
      <w:r w:rsidR="001F7C0D">
        <w:t>ers</w:t>
      </w:r>
      <w:r w:rsidR="00BE3D59">
        <w:t>, their humanity is degraded far quicker than their white counterparts</w:t>
      </w:r>
      <w:r w:rsidR="000508E5">
        <w:t xml:space="preserve"> for this reason. Thus, historical r</w:t>
      </w:r>
      <w:r w:rsidR="0043416D">
        <w:t xml:space="preserve">acial oppression intertwines with </w:t>
      </w:r>
      <w:r w:rsidR="003C12CF">
        <w:t>gender-based</w:t>
      </w:r>
      <w:r w:rsidR="0043416D">
        <w:t xml:space="preserve"> violence and queerphobia to make the experience of Black lesbians uniquely </w:t>
      </w:r>
      <w:r w:rsidR="000E3DC8">
        <w:t>more repressive</w:t>
      </w:r>
      <w:r w:rsidR="00372324">
        <w:t>, often stripping them of their humanity</w:t>
      </w:r>
      <w:r w:rsidR="00CB2D18">
        <w:t xml:space="preserve"> when they fail to conform</w:t>
      </w:r>
      <w:r w:rsidR="004D1FEC">
        <w:t xml:space="preserve"> to heteropatriarchy</w:t>
      </w:r>
      <w:r w:rsidR="00372324">
        <w:t>,</w:t>
      </w:r>
      <w:r w:rsidR="000E3DC8">
        <w:t xml:space="preserve"> and as a result of this,</w:t>
      </w:r>
      <w:r w:rsidR="00FD743B">
        <w:t xml:space="preserve"> </w:t>
      </w:r>
      <w:r w:rsidR="000E3DC8">
        <w:t>i</w:t>
      </w:r>
      <w:r w:rsidR="00FD743B">
        <w:t xml:space="preserve">n South Africa, Black lesbians are twice as likely to be subject to </w:t>
      </w:r>
      <w:r w:rsidR="00A95D9B">
        <w:t>sexual assault and other instances of sexual violence</w:t>
      </w:r>
      <w:r w:rsidR="00FD743B">
        <w:t>.</w:t>
      </w:r>
      <w:r w:rsidR="00FD743B">
        <w:rPr>
          <w:rStyle w:val="FootnoteReference"/>
        </w:rPr>
        <w:footnoteReference w:id="6"/>
      </w:r>
      <w:r w:rsidR="00601C76">
        <w:t xml:space="preserve">  </w:t>
      </w:r>
      <w:r w:rsidR="000E3DC8">
        <w:t xml:space="preserve">Therefore, </w:t>
      </w:r>
      <w:r w:rsidR="005663BD">
        <w:t xml:space="preserve">when given the question </w:t>
      </w:r>
      <w:r w:rsidR="00E54472">
        <w:t>“what’s race got to do with rape”</w:t>
      </w:r>
      <w:r w:rsidR="003C12CF">
        <w:t xml:space="preserve">, </w:t>
      </w:r>
      <w:r w:rsidR="005663BD">
        <w:t xml:space="preserve">as South African feminist Pumla Gqola answers, </w:t>
      </w:r>
      <w:r w:rsidR="003C12CF">
        <w:t>unequivocally “everything”.</w:t>
      </w:r>
      <w:r w:rsidR="00C21CF0">
        <w:rPr>
          <w:rStyle w:val="FootnoteReference"/>
        </w:rPr>
        <w:footnoteReference w:id="7"/>
      </w:r>
      <w:r w:rsidR="003C12CF">
        <w:t xml:space="preserve"> </w:t>
      </w:r>
    </w:p>
    <w:p w14:paraId="1DE11D6F" w14:textId="7BE50E19" w:rsidR="0000409B" w:rsidRDefault="009C07ED" w:rsidP="008817F0">
      <w:r>
        <w:t>Furthermore, t</w:t>
      </w:r>
      <w:r w:rsidR="00F81AAA" w:rsidRPr="008817F0">
        <w:t>he prevalence of forced gender reassignment surgeries</w:t>
      </w:r>
      <w:r w:rsidR="00C7409A" w:rsidRPr="008817F0">
        <w:t xml:space="preserve"> as a ‘corrective’ treatment for homosexuality</w:t>
      </w:r>
      <w:r w:rsidR="00F81AAA" w:rsidRPr="008817F0">
        <w:t xml:space="preserve"> </w:t>
      </w:r>
      <w:r w:rsidR="006A3D45" w:rsidRPr="008817F0">
        <w:t xml:space="preserve">historically is </w:t>
      </w:r>
      <w:r w:rsidR="002A5EDB">
        <w:t xml:space="preserve">an </w:t>
      </w:r>
      <w:r w:rsidR="006A3D45" w:rsidRPr="008817F0">
        <w:t xml:space="preserve">example </w:t>
      </w:r>
      <w:r w:rsidR="00C7409A" w:rsidRPr="008817F0">
        <w:t xml:space="preserve">of </w:t>
      </w:r>
      <w:r w:rsidR="00A14552" w:rsidRPr="008817F0">
        <w:t xml:space="preserve">how </w:t>
      </w:r>
      <w:r w:rsidR="00F306B1" w:rsidRPr="008817F0">
        <w:t xml:space="preserve">colonially enforced </w:t>
      </w:r>
      <w:r w:rsidR="00A14552" w:rsidRPr="008817F0">
        <w:t xml:space="preserve">perceptions of gender that revolve around </w:t>
      </w:r>
      <w:r w:rsidR="00630457" w:rsidRPr="008817F0">
        <w:t xml:space="preserve">white supremacy and </w:t>
      </w:r>
      <w:r w:rsidR="00F306B1" w:rsidRPr="008817F0">
        <w:t xml:space="preserve">heteropatriarchal norms </w:t>
      </w:r>
      <w:r w:rsidR="00874BC2" w:rsidRPr="008817F0">
        <w:t xml:space="preserve">have caused immense damage and impacted the pervasiveness of harmful ‘conversion’ therapy practices. </w:t>
      </w:r>
      <w:r w:rsidR="00BE71DD" w:rsidRPr="008817F0">
        <w:t>During</w:t>
      </w:r>
      <w:r w:rsidR="006C2482" w:rsidRPr="008817F0">
        <w:t xml:space="preserve"> apartheid</w:t>
      </w:r>
      <w:r w:rsidR="00BE71DD" w:rsidRPr="008817F0">
        <w:t xml:space="preserve">, </w:t>
      </w:r>
      <w:r w:rsidR="006C2482" w:rsidRPr="008817F0">
        <w:t>the South African Defence Force (SADF)</w:t>
      </w:r>
      <w:r w:rsidR="00FF0C0C" w:rsidRPr="008817F0">
        <w:t xml:space="preserve"> subject</w:t>
      </w:r>
      <w:r w:rsidR="00BE71DD" w:rsidRPr="008817F0">
        <w:t>ed</w:t>
      </w:r>
      <w:r w:rsidR="00FF0C0C" w:rsidRPr="008817F0">
        <w:t xml:space="preserve"> homosexual cons</w:t>
      </w:r>
      <w:r w:rsidR="002420FF" w:rsidRPr="008817F0">
        <w:t>cripts to torturous treatment including electroshock therapy</w:t>
      </w:r>
      <w:r w:rsidR="00BE71DD" w:rsidRPr="008817F0">
        <w:t xml:space="preserve"> </w:t>
      </w:r>
      <w:r w:rsidR="00A74A91" w:rsidRPr="008817F0">
        <w:t>with the intention of ‘curing’ their homosexuality through the Aversion Project</w:t>
      </w:r>
      <w:r w:rsidR="0010761B" w:rsidRPr="008817F0">
        <w:t>, and when this inevitably failed, they forced conscripts to undergo gender reassignment surgery so that they</w:t>
      </w:r>
      <w:r w:rsidR="007F78A9" w:rsidRPr="008817F0">
        <w:t xml:space="preserve"> could </w:t>
      </w:r>
      <w:r w:rsidR="004A288E" w:rsidRPr="008817F0">
        <w:t>at least be seen to fulfil heteropatriarchal standards</w:t>
      </w:r>
      <w:r w:rsidR="009D4FBE" w:rsidRPr="008817F0">
        <w:t>.</w:t>
      </w:r>
      <w:r w:rsidR="00C117BA" w:rsidRPr="008817F0">
        <w:rPr>
          <w:rStyle w:val="FootnoteReference"/>
        </w:rPr>
        <w:footnoteReference w:id="8"/>
      </w:r>
      <w:r w:rsidR="009D4FBE" w:rsidRPr="008817F0">
        <w:t xml:space="preserve"> </w:t>
      </w:r>
      <w:r w:rsidR="004D0117" w:rsidRPr="008817F0">
        <w:t xml:space="preserve">The aim of this very extreme measure was therefore to allow homosexual </w:t>
      </w:r>
      <w:r w:rsidR="000F5751" w:rsidRPr="008817F0">
        <w:t>con</w:t>
      </w:r>
      <w:r w:rsidR="009C414E" w:rsidRPr="008817F0">
        <w:t>scripts</w:t>
      </w:r>
      <w:r w:rsidR="004D0117" w:rsidRPr="008817F0">
        <w:t xml:space="preserve"> to </w:t>
      </w:r>
      <w:r w:rsidR="000F5751" w:rsidRPr="008817F0">
        <w:t>‘fulfil their projected role in the opposite sex’</w:t>
      </w:r>
      <w:r w:rsidR="00FA18A1" w:rsidRPr="008817F0">
        <w:t xml:space="preserve"> and to adhere to the rigid heteropatriarchal </w:t>
      </w:r>
      <w:r w:rsidR="00C9106E" w:rsidRPr="008817F0">
        <w:t xml:space="preserve">requirements of apartheid, in which </w:t>
      </w:r>
      <w:r w:rsidR="00191205" w:rsidRPr="008817F0">
        <w:t xml:space="preserve">the heavy policing of the body and sexuality were </w:t>
      </w:r>
      <w:r w:rsidR="00836A18" w:rsidRPr="008817F0">
        <w:t>a crucial aspect of the regime.</w:t>
      </w:r>
      <w:r w:rsidR="009962CF" w:rsidRPr="008817F0">
        <w:rPr>
          <w:rStyle w:val="FootnoteReference"/>
        </w:rPr>
        <w:footnoteReference w:id="9"/>
      </w:r>
      <w:r w:rsidR="00836A18" w:rsidRPr="008817F0">
        <w:t xml:space="preserve"> </w:t>
      </w:r>
      <w:r w:rsidR="00DC4730" w:rsidRPr="008817F0">
        <w:t xml:space="preserve">These forced gender-reassignment surgeries were therefore </w:t>
      </w:r>
      <w:r w:rsidR="00C0003E" w:rsidRPr="008817F0">
        <w:t>excessively subsidised by the apartheid state</w:t>
      </w:r>
      <w:r w:rsidR="006057AF" w:rsidRPr="008817F0">
        <w:t xml:space="preserve"> a</w:t>
      </w:r>
      <w:r w:rsidR="006366B0" w:rsidRPr="008817F0">
        <w:t xml:space="preserve">s a colonial project of </w:t>
      </w:r>
      <w:r w:rsidR="008F0B20" w:rsidRPr="008817F0">
        <w:t xml:space="preserve">binary control </w:t>
      </w:r>
      <w:r w:rsidR="00383AE8" w:rsidRPr="008817F0">
        <w:t xml:space="preserve">and it has been estimated that within 18 years in South Africa, more than 900 forced gender reassignment surgeries were </w:t>
      </w:r>
      <w:r w:rsidR="00000371" w:rsidRPr="008817F0">
        <w:t>conducted.</w:t>
      </w:r>
      <w:r w:rsidR="002A17D0" w:rsidRPr="008817F0">
        <w:rPr>
          <w:rStyle w:val="FootnoteReference"/>
        </w:rPr>
        <w:footnoteReference w:id="10"/>
      </w:r>
      <w:r w:rsidR="00000371" w:rsidRPr="008817F0">
        <w:t xml:space="preserve"> It was because of the pervasiveness of this </w:t>
      </w:r>
      <w:r w:rsidR="008813C4" w:rsidRPr="008817F0">
        <w:t>‘treatment’ during apartheid as well as elsewhere on the continent during colonialism that Afric</w:t>
      </w:r>
      <w:r w:rsidR="000D00C4" w:rsidRPr="008817F0">
        <w:t xml:space="preserve">a became a </w:t>
      </w:r>
      <w:r w:rsidR="006A430E" w:rsidRPr="008817F0">
        <w:t xml:space="preserve">renowned </w:t>
      </w:r>
      <w:r w:rsidR="000D00C4" w:rsidRPr="008817F0">
        <w:t>world leader within this surgical field.</w:t>
      </w:r>
      <w:r w:rsidR="0014462F" w:rsidRPr="008817F0">
        <w:t xml:space="preserve"> With apartheid and colonial regimes more generally being a system </w:t>
      </w:r>
      <w:r w:rsidR="00963CF0" w:rsidRPr="008817F0">
        <w:t xml:space="preserve">that leveraged physical differences and controlled bodies </w:t>
      </w:r>
      <w:r w:rsidR="00AD7BC8" w:rsidRPr="008817F0">
        <w:t xml:space="preserve">to maintain </w:t>
      </w:r>
      <w:r w:rsidR="0057109D" w:rsidRPr="008817F0">
        <w:t>a strict hierarchy,</w:t>
      </w:r>
      <w:r w:rsidR="00AD7BC8" w:rsidRPr="008817F0">
        <w:t xml:space="preserve"> and more generally colonial power,</w:t>
      </w:r>
      <w:r w:rsidR="0057109D" w:rsidRPr="008817F0">
        <w:t xml:space="preserve"> it is not a surprise that barbaric treatments </w:t>
      </w:r>
      <w:r w:rsidR="00F47B8F">
        <w:t xml:space="preserve">to combat deviations from heteropatriarchy </w:t>
      </w:r>
      <w:r w:rsidR="0057109D" w:rsidRPr="008817F0">
        <w:t>such as these were so pervasive and continue to take place in some places worldwide even today.</w:t>
      </w:r>
      <w:r w:rsidR="00F029EE">
        <w:t xml:space="preserve"> </w:t>
      </w:r>
    </w:p>
    <w:p w14:paraId="3DC760A1" w14:textId="41E6B3A1" w:rsidR="00AD733F" w:rsidRDefault="00AD733F" w:rsidP="008817F0">
      <w:r>
        <w:t xml:space="preserve">To conclude, </w:t>
      </w:r>
      <w:proofErr w:type="gramStart"/>
      <w:r>
        <w:t>it is clear that perceptions</w:t>
      </w:r>
      <w:proofErr w:type="gramEnd"/>
      <w:r>
        <w:t xml:space="preserve"> of sexuality are implicitly gendered with the </w:t>
      </w:r>
      <w:r w:rsidR="00897201">
        <w:t xml:space="preserve">perceived threat of queer identity to the heteropatriarchy being one of the main reasons why sexual violence and </w:t>
      </w:r>
      <w:r w:rsidR="00B154DA">
        <w:t xml:space="preserve">barbaric conversion therapy practises are so pervasive. Fundamentally, whilst patriarchy must be considered </w:t>
      </w:r>
      <w:r w:rsidR="00AC03F5">
        <w:t xml:space="preserve">as </w:t>
      </w:r>
      <w:r w:rsidR="00B154DA">
        <w:t xml:space="preserve">an individual significant factor in the </w:t>
      </w:r>
      <w:r w:rsidR="00AC03F5">
        <w:t>persistence of queerphobic sentiment, this must be seen as a factor that is closely tied to both religion and colonialism, with both responsible for the establishment of patriarchal structures</w:t>
      </w:r>
      <w:r w:rsidR="00573470">
        <w:t>.</w:t>
      </w:r>
      <w:r w:rsidR="004B421B">
        <w:t xml:space="preserve"> Crucially, patriarchal structures must be </w:t>
      </w:r>
      <w:r w:rsidR="00E82E0C">
        <w:t>dismantled,</w:t>
      </w:r>
      <w:r w:rsidR="004B421B">
        <w:t xml:space="preserve"> and </w:t>
      </w:r>
      <w:r w:rsidR="004B421B">
        <w:lastRenderedPageBreak/>
        <w:t xml:space="preserve">misogynistic attitudes must be combatted before </w:t>
      </w:r>
      <w:r w:rsidR="003B359A">
        <w:t>LGBT rights can be</w:t>
      </w:r>
      <w:r w:rsidR="00FC58A6">
        <w:t xml:space="preserve"> </w:t>
      </w:r>
      <w:r w:rsidR="00E82E0C">
        <w:t xml:space="preserve">truly </w:t>
      </w:r>
      <w:r w:rsidR="00FC58A6">
        <w:t>entrenched legally, publicly supported, and protected in practice.</w:t>
      </w:r>
    </w:p>
    <w:p w14:paraId="3367D698" w14:textId="285B0438" w:rsidR="00372A82" w:rsidRPr="008817F0" w:rsidRDefault="00372A82" w:rsidP="008817F0">
      <w:pPr>
        <w:rPr>
          <w:color w:val="2F5496" w:themeColor="accent1" w:themeShade="BF"/>
        </w:rPr>
      </w:pPr>
    </w:p>
    <w:sectPr w:rsidR="00372A82" w:rsidRPr="00881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B000" w14:textId="77777777" w:rsidR="004C55FA" w:rsidRDefault="004C55FA" w:rsidP="00C117BA">
      <w:pPr>
        <w:spacing w:after="0" w:line="240" w:lineRule="auto"/>
      </w:pPr>
      <w:r>
        <w:separator/>
      </w:r>
    </w:p>
  </w:endnote>
  <w:endnote w:type="continuationSeparator" w:id="0">
    <w:p w14:paraId="46CCD5C3" w14:textId="77777777" w:rsidR="004C55FA" w:rsidRDefault="004C55FA" w:rsidP="00C1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D45B" w14:textId="77777777" w:rsidR="004C55FA" w:rsidRDefault="004C55FA" w:rsidP="00C117BA">
      <w:pPr>
        <w:spacing w:after="0" w:line="240" w:lineRule="auto"/>
      </w:pPr>
      <w:r>
        <w:separator/>
      </w:r>
    </w:p>
  </w:footnote>
  <w:footnote w:type="continuationSeparator" w:id="0">
    <w:p w14:paraId="2F415C50" w14:textId="77777777" w:rsidR="004C55FA" w:rsidRDefault="004C55FA" w:rsidP="00C117BA">
      <w:pPr>
        <w:spacing w:after="0" w:line="240" w:lineRule="auto"/>
      </w:pPr>
      <w:r>
        <w:continuationSeparator/>
      </w:r>
    </w:p>
  </w:footnote>
  <w:footnote w:id="1">
    <w:p w14:paraId="35C45840" w14:textId="5316F9B9" w:rsidR="00000385" w:rsidRDefault="00000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2D90">
        <w:t>The term q</w:t>
      </w:r>
      <w:r>
        <w:t>ueerphobia will be use</w:t>
      </w:r>
      <w:r w:rsidR="00BD2D90">
        <w:t xml:space="preserve">d in replacement of </w:t>
      </w:r>
      <w:r>
        <w:t>homophobia as a more inclusive alternative.</w:t>
      </w:r>
    </w:p>
  </w:footnote>
  <w:footnote w:id="2">
    <w:p w14:paraId="716CDAA8" w14:textId="398652CD" w:rsidR="00DD4CF1" w:rsidRDefault="00DD4C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1402">
        <w:t xml:space="preserve">M </w:t>
      </w:r>
      <w:r w:rsidR="000D1402" w:rsidRPr="00E82DA8">
        <w:t>Lugones</w:t>
      </w:r>
      <w:r w:rsidR="000D1402">
        <w:t xml:space="preserve">, Toward a decolonial feminism. </w:t>
      </w:r>
      <w:r w:rsidR="000D1402" w:rsidRPr="00B54F6F">
        <w:rPr>
          <w:i/>
          <w:iCs/>
        </w:rPr>
        <w:t>Hypatia</w:t>
      </w:r>
      <w:r w:rsidR="000D1402">
        <w:t xml:space="preserve"> 25(4)</w:t>
      </w:r>
      <w:r w:rsidR="000D1402" w:rsidRPr="00E82DA8">
        <w:t xml:space="preserve"> (2007)</w:t>
      </w:r>
      <w:r w:rsidR="000D1402">
        <w:t xml:space="preserve"> 742-759 cited</w:t>
      </w:r>
      <w:r w:rsidR="000D1402" w:rsidRPr="00E82DA8">
        <w:t xml:space="preserve"> in </w:t>
      </w:r>
      <w:r w:rsidR="000D1402" w:rsidRPr="00B54F6F">
        <w:t>Coetzee A, ‘Afrikaner Nationalism and the Light Side of the Colonial/Modern Gender System: Understanding White Patriarchy as Colonial Race Technology’ (2021) 129 Feminist Review 93</w:t>
      </w:r>
      <w:r w:rsidR="000D1402">
        <w:t>,</w:t>
      </w:r>
      <w:r w:rsidR="000D1402" w:rsidRPr="00E82DA8">
        <w:t xml:space="preserve"> 202-03.</w:t>
      </w:r>
    </w:p>
  </w:footnote>
  <w:footnote w:id="3">
    <w:p w14:paraId="7C0172A5" w14:textId="2F608A97" w:rsidR="00FB3E92" w:rsidRDefault="00FB3E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2DA8">
        <w:t xml:space="preserve">Azille Coetzee, ‘Afrikaner Nationalism and the Light Side of the Colonial/Modern Gender System: Understanding White Patriarchy as Colonial Race Technology’ (2021) 129 Feminist Review </w:t>
      </w:r>
      <w:r>
        <w:t xml:space="preserve">93, </w:t>
      </w:r>
      <w:r w:rsidRPr="00E82DA8">
        <w:t>96-97.</w:t>
      </w:r>
    </w:p>
  </w:footnote>
  <w:footnote w:id="4">
    <w:p w14:paraId="36EB254A" w14:textId="2FF7CA0A" w:rsidR="00F7625F" w:rsidRDefault="00F7625F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5">
    <w:p w14:paraId="2748EF1D" w14:textId="4253145D" w:rsidR="004C755F" w:rsidRPr="00E82DA8" w:rsidRDefault="00806678" w:rsidP="004C755F">
      <w:pPr>
        <w:spacing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4C755F">
        <w:t>S</w:t>
      </w:r>
      <w:r w:rsidR="004C755F" w:rsidRPr="00E82DA8">
        <w:rPr>
          <w:sz w:val="20"/>
          <w:szCs w:val="20"/>
        </w:rPr>
        <w:t>arah Doan-Minh, ‘Corrective Rape: An Extreme Manifestation of Discrimination and the State’s Complicity in Sexual Violence’ (2019) 30(1) Hastings Women’s Law Journal 167.</w:t>
      </w:r>
    </w:p>
    <w:p w14:paraId="10BD04C9" w14:textId="340A05AD" w:rsidR="00806678" w:rsidRDefault="00806678">
      <w:pPr>
        <w:pStyle w:val="FootnoteText"/>
      </w:pPr>
    </w:p>
  </w:footnote>
  <w:footnote w:id="6">
    <w:p w14:paraId="441E9A3F" w14:textId="40A7C4DC" w:rsidR="00FD743B" w:rsidRPr="00A95D9B" w:rsidRDefault="00FD743B" w:rsidP="00A95D9B">
      <w:pPr>
        <w:spacing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A95D9B" w:rsidRPr="00E82DA8">
        <w:rPr>
          <w:sz w:val="20"/>
          <w:szCs w:val="20"/>
        </w:rPr>
        <w:t xml:space="preserve">Lucy Graham, ‘“Then You Are a Man, My Son”: Kipling and the Zuma Rape Trial’ (2016) 36(2) Comparative Studies of South Asia, </w:t>
      </w:r>
      <w:proofErr w:type="gramStart"/>
      <w:r w:rsidR="00A95D9B" w:rsidRPr="00E82DA8">
        <w:rPr>
          <w:sz w:val="20"/>
          <w:szCs w:val="20"/>
        </w:rPr>
        <w:t>Africa</w:t>
      </w:r>
      <w:proofErr w:type="gramEnd"/>
      <w:r w:rsidR="00A95D9B" w:rsidRPr="00E82DA8">
        <w:rPr>
          <w:sz w:val="20"/>
          <w:szCs w:val="20"/>
        </w:rPr>
        <w:t xml:space="preserve"> and the Middle East</w:t>
      </w:r>
      <w:r w:rsidR="00A95D9B">
        <w:rPr>
          <w:sz w:val="20"/>
          <w:szCs w:val="20"/>
        </w:rPr>
        <w:t xml:space="preserve"> 263</w:t>
      </w:r>
      <w:r w:rsidR="00A95D9B" w:rsidRPr="00E82DA8">
        <w:rPr>
          <w:sz w:val="20"/>
          <w:szCs w:val="20"/>
        </w:rPr>
        <w:t>, 271.</w:t>
      </w:r>
    </w:p>
  </w:footnote>
  <w:footnote w:id="7">
    <w:p w14:paraId="2192AADA" w14:textId="76CF2C51" w:rsidR="00C21CF0" w:rsidRDefault="00C21CF0">
      <w:pPr>
        <w:pStyle w:val="FootnoteText"/>
      </w:pPr>
      <w:r>
        <w:rPr>
          <w:rStyle w:val="FootnoteReference"/>
        </w:rPr>
        <w:footnoteRef/>
      </w:r>
      <w:r>
        <w:t xml:space="preserve"> Coetzee (n </w:t>
      </w:r>
      <w:r>
        <w:fldChar w:fldCharType="begin"/>
      </w:r>
      <w:r>
        <w:instrText xml:space="preserve"> NOTEREF _Ref136899637 \h </w:instrText>
      </w:r>
      <w:r>
        <w:fldChar w:fldCharType="separate"/>
      </w:r>
      <w:r>
        <w:t>2</w:t>
      </w:r>
      <w:r>
        <w:fldChar w:fldCharType="end"/>
      </w:r>
      <w:r>
        <w:t>)</w:t>
      </w:r>
      <w:r w:rsidR="00B17070">
        <w:t xml:space="preserve"> 94.</w:t>
      </w:r>
    </w:p>
  </w:footnote>
  <w:footnote w:id="8">
    <w:p w14:paraId="48F83D3B" w14:textId="3F1E61ED" w:rsidR="00C117BA" w:rsidRPr="000D0C6B" w:rsidRDefault="00C117BA" w:rsidP="000D0C6B">
      <w:pPr>
        <w:spacing w:line="240" w:lineRule="auto"/>
        <w:rPr>
          <w:sz w:val="20"/>
          <w:szCs w:val="20"/>
        </w:rPr>
      </w:pPr>
      <w:r w:rsidRPr="000D0C6B">
        <w:rPr>
          <w:rStyle w:val="FootnoteReference"/>
          <w:sz w:val="20"/>
          <w:szCs w:val="20"/>
        </w:rPr>
        <w:footnoteRef/>
      </w:r>
      <w:r w:rsidRPr="000D0C6B">
        <w:rPr>
          <w:sz w:val="20"/>
          <w:szCs w:val="20"/>
        </w:rPr>
        <w:t xml:space="preserve"> </w:t>
      </w:r>
      <w:r w:rsidR="000D0C6B" w:rsidRPr="000D0C6B">
        <w:rPr>
          <w:sz w:val="20"/>
          <w:szCs w:val="20"/>
        </w:rPr>
        <w:t>Robert M Kaplan, ‘Treatment of Homosexuality During Apartheid: More Investigation Is Needed Into The Shameful Way Homosexuality Was Treated ’(2004) 329(7480) British Medical Association 1415.</w:t>
      </w:r>
    </w:p>
  </w:footnote>
  <w:footnote w:id="9">
    <w:p w14:paraId="0412867B" w14:textId="2D1705FB" w:rsidR="009962CF" w:rsidRDefault="009962CF">
      <w:pPr>
        <w:pStyle w:val="FootnoteText"/>
      </w:pPr>
      <w:r>
        <w:rPr>
          <w:rStyle w:val="FootnoteReference"/>
        </w:rPr>
        <w:footnoteRef/>
      </w:r>
      <w:r>
        <w:t xml:space="preserve"> Ibid, 1416.</w:t>
      </w:r>
    </w:p>
  </w:footnote>
  <w:footnote w:id="10">
    <w:p w14:paraId="0EB5F5C5" w14:textId="2F69FFAB" w:rsidR="002A17D0" w:rsidRDefault="002A17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2DA8">
        <w:t>A Tapalaga, ‘Forced Gender Reassignment Procedures During the Apartheid Era’ (</w:t>
      </w:r>
      <w:r w:rsidRPr="00E82DA8">
        <w:rPr>
          <w:i/>
        </w:rPr>
        <w:t>History of Yesterday</w:t>
      </w:r>
      <w:r w:rsidRPr="00E82DA8">
        <w:t xml:space="preserve">, </w:t>
      </w:r>
      <w:r>
        <w:t xml:space="preserve">7 September </w:t>
      </w:r>
      <w:r w:rsidRPr="00E82DA8">
        <w:t>2022) &lt;</w:t>
      </w:r>
      <w:r w:rsidRPr="0075413E">
        <w:t>https://historyofyesterday.com/forced-gender-reassignment-procedures-during-the-apartheid-era/</w:t>
      </w:r>
      <w:r w:rsidRPr="00E82DA8">
        <w:t>&gt; accessed 2 July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E4A"/>
    <w:multiLevelType w:val="multilevel"/>
    <w:tmpl w:val="3E40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76BE2"/>
    <w:multiLevelType w:val="hybridMultilevel"/>
    <w:tmpl w:val="B4DE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04329"/>
    <w:multiLevelType w:val="multilevel"/>
    <w:tmpl w:val="5E4E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42354"/>
    <w:multiLevelType w:val="multilevel"/>
    <w:tmpl w:val="1B9A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41EF0"/>
    <w:multiLevelType w:val="multilevel"/>
    <w:tmpl w:val="2EB4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248905">
    <w:abstractNumId w:val="1"/>
  </w:num>
  <w:num w:numId="2" w16cid:durableId="271016612">
    <w:abstractNumId w:val="4"/>
  </w:num>
  <w:num w:numId="3" w16cid:durableId="917248892">
    <w:abstractNumId w:val="0"/>
  </w:num>
  <w:num w:numId="4" w16cid:durableId="1075667023">
    <w:abstractNumId w:val="3"/>
  </w:num>
  <w:num w:numId="5" w16cid:durableId="212272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FE"/>
    <w:rsid w:val="00000371"/>
    <w:rsid w:val="00000385"/>
    <w:rsid w:val="0000409B"/>
    <w:rsid w:val="0002597B"/>
    <w:rsid w:val="00026F32"/>
    <w:rsid w:val="000351EA"/>
    <w:rsid w:val="000373C4"/>
    <w:rsid w:val="000458F6"/>
    <w:rsid w:val="000508E5"/>
    <w:rsid w:val="00073839"/>
    <w:rsid w:val="00084E52"/>
    <w:rsid w:val="000D00C4"/>
    <w:rsid w:val="000D0C6B"/>
    <w:rsid w:val="000D1402"/>
    <w:rsid w:val="000D696C"/>
    <w:rsid w:val="000E3DC8"/>
    <w:rsid w:val="000F3CFB"/>
    <w:rsid w:val="000F4D37"/>
    <w:rsid w:val="000F5751"/>
    <w:rsid w:val="000F7C55"/>
    <w:rsid w:val="00102DB1"/>
    <w:rsid w:val="0010761B"/>
    <w:rsid w:val="00113836"/>
    <w:rsid w:val="0014462F"/>
    <w:rsid w:val="00147AAC"/>
    <w:rsid w:val="00164FE8"/>
    <w:rsid w:val="00173559"/>
    <w:rsid w:val="001871FE"/>
    <w:rsid w:val="00191205"/>
    <w:rsid w:val="001A135D"/>
    <w:rsid w:val="001C2F04"/>
    <w:rsid w:val="001F7C0D"/>
    <w:rsid w:val="00215C4C"/>
    <w:rsid w:val="00240CAD"/>
    <w:rsid w:val="002420FF"/>
    <w:rsid w:val="00246FD2"/>
    <w:rsid w:val="00290779"/>
    <w:rsid w:val="00293726"/>
    <w:rsid w:val="00293E09"/>
    <w:rsid w:val="002A17D0"/>
    <w:rsid w:val="002A5791"/>
    <w:rsid w:val="002A5884"/>
    <w:rsid w:val="002A5EDB"/>
    <w:rsid w:val="002D54BD"/>
    <w:rsid w:val="002F5B97"/>
    <w:rsid w:val="00304B95"/>
    <w:rsid w:val="00306657"/>
    <w:rsid w:val="003127E2"/>
    <w:rsid w:val="003415FE"/>
    <w:rsid w:val="00363AAF"/>
    <w:rsid w:val="00372324"/>
    <w:rsid w:val="00372A82"/>
    <w:rsid w:val="003812D4"/>
    <w:rsid w:val="00383AE8"/>
    <w:rsid w:val="003A3E9B"/>
    <w:rsid w:val="003A48A3"/>
    <w:rsid w:val="003B359A"/>
    <w:rsid w:val="003C12CF"/>
    <w:rsid w:val="003D4190"/>
    <w:rsid w:val="0043311C"/>
    <w:rsid w:val="0043416D"/>
    <w:rsid w:val="00443C1F"/>
    <w:rsid w:val="00447D3A"/>
    <w:rsid w:val="00451E4A"/>
    <w:rsid w:val="00466444"/>
    <w:rsid w:val="00467CE9"/>
    <w:rsid w:val="0049556B"/>
    <w:rsid w:val="004A157E"/>
    <w:rsid w:val="004A288E"/>
    <w:rsid w:val="004B421B"/>
    <w:rsid w:val="004B4C07"/>
    <w:rsid w:val="004C55FA"/>
    <w:rsid w:val="004C755F"/>
    <w:rsid w:val="004D0117"/>
    <w:rsid w:val="004D1FEC"/>
    <w:rsid w:val="00511D51"/>
    <w:rsid w:val="005200F5"/>
    <w:rsid w:val="005225AD"/>
    <w:rsid w:val="00533050"/>
    <w:rsid w:val="005663BD"/>
    <w:rsid w:val="0057109D"/>
    <w:rsid w:val="00573470"/>
    <w:rsid w:val="00573558"/>
    <w:rsid w:val="00576F06"/>
    <w:rsid w:val="00594D26"/>
    <w:rsid w:val="005B0710"/>
    <w:rsid w:val="005B2FF0"/>
    <w:rsid w:val="005D0C29"/>
    <w:rsid w:val="005E5128"/>
    <w:rsid w:val="005F337B"/>
    <w:rsid w:val="00601C76"/>
    <w:rsid w:val="006057AF"/>
    <w:rsid w:val="006077FE"/>
    <w:rsid w:val="006102A0"/>
    <w:rsid w:val="006143E9"/>
    <w:rsid w:val="00616163"/>
    <w:rsid w:val="00617BD4"/>
    <w:rsid w:val="00622150"/>
    <w:rsid w:val="0062454E"/>
    <w:rsid w:val="00630457"/>
    <w:rsid w:val="006366B0"/>
    <w:rsid w:val="00650936"/>
    <w:rsid w:val="00662F15"/>
    <w:rsid w:val="006715CB"/>
    <w:rsid w:val="006A3D45"/>
    <w:rsid w:val="006A430E"/>
    <w:rsid w:val="006A5301"/>
    <w:rsid w:val="006A5B0A"/>
    <w:rsid w:val="006A7896"/>
    <w:rsid w:val="006C2482"/>
    <w:rsid w:val="006F068D"/>
    <w:rsid w:val="00776699"/>
    <w:rsid w:val="007A0669"/>
    <w:rsid w:val="007C0C1F"/>
    <w:rsid w:val="007C7996"/>
    <w:rsid w:val="007E163D"/>
    <w:rsid w:val="007E4D61"/>
    <w:rsid w:val="007E694D"/>
    <w:rsid w:val="007F78A9"/>
    <w:rsid w:val="00806678"/>
    <w:rsid w:val="008231B2"/>
    <w:rsid w:val="00827275"/>
    <w:rsid w:val="00836A18"/>
    <w:rsid w:val="008408FF"/>
    <w:rsid w:val="008475FD"/>
    <w:rsid w:val="00862F4E"/>
    <w:rsid w:val="00871BCC"/>
    <w:rsid w:val="00874BC2"/>
    <w:rsid w:val="00880124"/>
    <w:rsid w:val="008813C4"/>
    <w:rsid w:val="008817F0"/>
    <w:rsid w:val="00881FA5"/>
    <w:rsid w:val="00897201"/>
    <w:rsid w:val="008A65F9"/>
    <w:rsid w:val="008E7A12"/>
    <w:rsid w:val="008F0B20"/>
    <w:rsid w:val="008F513C"/>
    <w:rsid w:val="008F58FD"/>
    <w:rsid w:val="00927F0E"/>
    <w:rsid w:val="00963CF0"/>
    <w:rsid w:val="00973523"/>
    <w:rsid w:val="00995018"/>
    <w:rsid w:val="009962CF"/>
    <w:rsid w:val="009A4818"/>
    <w:rsid w:val="009B46E6"/>
    <w:rsid w:val="009C07ED"/>
    <w:rsid w:val="009C414E"/>
    <w:rsid w:val="009D4FBE"/>
    <w:rsid w:val="00A14552"/>
    <w:rsid w:val="00A174F7"/>
    <w:rsid w:val="00A74A91"/>
    <w:rsid w:val="00A80DEA"/>
    <w:rsid w:val="00A84DA0"/>
    <w:rsid w:val="00A95D9B"/>
    <w:rsid w:val="00AA56B8"/>
    <w:rsid w:val="00AC028A"/>
    <w:rsid w:val="00AC03F5"/>
    <w:rsid w:val="00AC0C76"/>
    <w:rsid w:val="00AD733F"/>
    <w:rsid w:val="00AD7BC8"/>
    <w:rsid w:val="00AE0406"/>
    <w:rsid w:val="00AF5D78"/>
    <w:rsid w:val="00B0714D"/>
    <w:rsid w:val="00B1345A"/>
    <w:rsid w:val="00B154DA"/>
    <w:rsid w:val="00B17070"/>
    <w:rsid w:val="00B41441"/>
    <w:rsid w:val="00B53697"/>
    <w:rsid w:val="00B738E5"/>
    <w:rsid w:val="00B93B14"/>
    <w:rsid w:val="00BA2BEB"/>
    <w:rsid w:val="00BA5116"/>
    <w:rsid w:val="00BB04FE"/>
    <w:rsid w:val="00BB4443"/>
    <w:rsid w:val="00BC0E1F"/>
    <w:rsid w:val="00BC1B99"/>
    <w:rsid w:val="00BC7122"/>
    <w:rsid w:val="00BD2D90"/>
    <w:rsid w:val="00BE36BF"/>
    <w:rsid w:val="00BE3D59"/>
    <w:rsid w:val="00BE45B7"/>
    <w:rsid w:val="00BE71DD"/>
    <w:rsid w:val="00C0003E"/>
    <w:rsid w:val="00C117BA"/>
    <w:rsid w:val="00C11ED2"/>
    <w:rsid w:val="00C21CF0"/>
    <w:rsid w:val="00C35888"/>
    <w:rsid w:val="00C640E7"/>
    <w:rsid w:val="00C669DD"/>
    <w:rsid w:val="00C7409A"/>
    <w:rsid w:val="00C9106E"/>
    <w:rsid w:val="00C919A8"/>
    <w:rsid w:val="00C97F51"/>
    <w:rsid w:val="00CB2D18"/>
    <w:rsid w:val="00CB4FAA"/>
    <w:rsid w:val="00CF1061"/>
    <w:rsid w:val="00D02514"/>
    <w:rsid w:val="00D03985"/>
    <w:rsid w:val="00D27833"/>
    <w:rsid w:val="00D27968"/>
    <w:rsid w:val="00D5379D"/>
    <w:rsid w:val="00D546DB"/>
    <w:rsid w:val="00D67387"/>
    <w:rsid w:val="00DB6F77"/>
    <w:rsid w:val="00DC4730"/>
    <w:rsid w:val="00DC4BC8"/>
    <w:rsid w:val="00DD1EE6"/>
    <w:rsid w:val="00DD34F4"/>
    <w:rsid w:val="00DD4CF1"/>
    <w:rsid w:val="00DD541C"/>
    <w:rsid w:val="00E0457F"/>
    <w:rsid w:val="00E04D33"/>
    <w:rsid w:val="00E06216"/>
    <w:rsid w:val="00E17315"/>
    <w:rsid w:val="00E21D26"/>
    <w:rsid w:val="00E22AB0"/>
    <w:rsid w:val="00E3628F"/>
    <w:rsid w:val="00E42747"/>
    <w:rsid w:val="00E475F0"/>
    <w:rsid w:val="00E54472"/>
    <w:rsid w:val="00E577B8"/>
    <w:rsid w:val="00E82E0C"/>
    <w:rsid w:val="00EE5463"/>
    <w:rsid w:val="00EF44EE"/>
    <w:rsid w:val="00EF6DB9"/>
    <w:rsid w:val="00F029EE"/>
    <w:rsid w:val="00F02CFE"/>
    <w:rsid w:val="00F07F5E"/>
    <w:rsid w:val="00F12563"/>
    <w:rsid w:val="00F12A5F"/>
    <w:rsid w:val="00F17B02"/>
    <w:rsid w:val="00F306B1"/>
    <w:rsid w:val="00F36A2D"/>
    <w:rsid w:val="00F47B8F"/>
    <w:rsid w:val="00F7395B"/>
    <w:rsid w:val="00F7625F"/>
    <w:rsid w:val="00F81AAA"/>
    <w:rsid w:val="00FA18A1"/>
    <w:rsid w:val="00FA7CDB"/>
    <w:rsid w:val="00FB3E92"/>
    <w:rsid w:val="00FB6FA5"/>
    <w:rsid w:val="00FC58A6"/>
    <w:rsid w:val="00FC6B20"/>
    <w:rsid w:val="00FD0B66"/>
    <w:rsid w:val="00FD743B"/>
    <w:rsid w:val="00FF0C0C"/>
    <w:rsid w:val="00FF5555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1F4B"/>
  <w15:chartTrackingRefBased/>
  <w15:docId w15:val="{AB56961B-296E-4633-A9BE-4C5BDFC8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2CF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02C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6B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Others</Category>
    <Doctype xmlns="d42e65b2-cf21-49c1-b27d-d23f90380c0e">input</Doctype>
    <Contributor xmlns="d42e65b2-cf21-49c1-b27d-d23f90380c0e">Sheppard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B9F0C117-19A7-43F9-9987-6CACE93F8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99DA5-0C99-4952-9D80-71D6C3393CFD}"/>
</file>

<file path=customXml/itemProps3.xml><?xml version="1.0" encoding="utf-8"?>
<ds:datastoreItem xmlns:ds="http://schemas.openxmlformats.org/officeDocument/2006/customXml" ds:itemID="{85F46CD3-D38E-45A6-BD0D-469D730643DF}"/>
</file>

<file path=customXml/itemProps4.xml><?xml version="1.0" encoding="utf-8"?>
<ds:datastoreItem xmlns:ds="http://schemas.openxmlformats.org/officeDocument/2006/customXml" ds:itemID="{05E4C5AC-ADE6-4982-B96F-D041D4C5F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Sheppard</dc:creator>
  <cp:keywords/>
  <dc:description/>
  <cp:lastModifiedBy>Phoebe Sheppard</cp:lastModifiedBy>
  <cp:revision>245</cp:revision>
  <dcterms:created xsi:type="dcterms:W3CDTF">2023-05-20T14:55:00Z</dcterms:created>
  <dcterms:modified xsi:type="dcterms:W3CDTF">2023-06-05T23:10:00Z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