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B6A93" w14:textId="51F36432" w:rsidR="005F1548" w:rsidRPr="001C6E55" w:rsidRDefault="005F1548" w:rsidP="00D13B54">
      <w:pPr>
        <w:spacing w:after="200" w:line="240" w:lineRule="auto"/>
        <w:jc w:val="center"/>
        <w:rPr>
          <w:rFonts w:ascii="Segoe UI" w:hAnsi="Segoe UI" w:cs="Segoe UI"/>
          <w:b/>
        </w:rPr>
      </w:pPr>
      <w:r w:rsidRPr="001C6E55">
        <w:rPr>
          <w:rFonts w:ascii="Segoe UI" w:hAnsi="Segoe UI" w:cs="Segoe UI"/>
          <w:b/>
        </w:rPr>
        <w:t>CONTRIBUCIONES DEL ESTADO DE CHILE</w:t>
      </w:r>
      <w:r w:rsidR="00D00061" w:rsidRPr="001C6E55">
        <w:rPr>
          <w:rStyle w:val="FootnoteReference"/>
          <w:rFonts w:ascii="Segoe UI" w:hAnsi="Segoe UI" w:cs="Segoe UI"/>
          <w:b/>
        </w:rPr>
        <w:footnoteReference w:id="1"/>
      </w:r>
    </w:p>
    <w:p w14:paraId="1BC5AD95" w14:textId="49746F2B" w:rsidR="00837358" w:rsidRPr="001C6E55" w:rsidRDefault="006B0CBD" w:rsidP="00D13B54">
      <w:pPr>
        <w:spacing w:after="200" w:line="240" w:lineRule="auto"/>
        <w:jc w:val="center"/>
        <w:rPr>
          <w:rFonts w:ascii="Segoe UI" w:hAnsi="Segoe UI" w:cs="Segoe UI"/>
          <w:b/>
        </w:rPr>
      </w:pPr>
      <w:r w:rsidRPr="001C6E55">
        <w:rPr>
          <w:rFonts w:ascii="Segoe UI" w:hAnsi="Segoe UI" w:cs="Segoe UI"/>
          <w:b/>
        </w:rPr>
        <w:t xml:space="preserve">Informe del </w:t>
      </w:r>
      <w:r w:rsidR="006A2F46" w:rsidRPr="001C6E55">
        <w:rPr>
          <w:rFonts w:ascii="Segoe UI" w:hAnsi="Segoe UI" w:cs="Segoe UI"/>
          <w:b/>
        </w:rPr>
        <w:t>Experto Independiente sobre la orientación sexual e identidad de género sobre el colonialismo, la orientación sexual e la identidad de género</w:t>
      </w:r>
    </w:p>
    <w:p w14:paraId="75DBA9C8" w14:textId="77777777" w:rsidR="006B0CBD" w:rsidRPr="001C6E55" w:rsidRDefault="006B0CBD" w:rsidP="00D13B54">
      <w:pPr>
        <w:spacing w:after="200" w:line="240" w:lineRule="auto"/>
        <w:jc w:val="center"/>
        <w:rPr>
          <w:rFonts w:ascii="Segoe UI" w:hAnsi="Segoe UI" w:cs="Segoe UI"/>
          <w:b/>
        </w:rPr>
      </w:pPr>
    </w:p>
    <w:p w14:paraId="09A0DCDD" w14:textId="5D924D2A" w:rsidR="005F1548" w:rsidRPr="001C6E55" w:rsidRDefault="00746659" w:rsidP="00D13B54">
      <w:pPr>
        <w:spacing w:after="200" w:line="240" w:lineRule="auto"/>
        <w:jc w:val="both"/>
        <w:rPr>
          <w:rFonts w:ascii="Segoe UI" w:hAnsi="Segoe UI" w:cs="Segoe UI"/>
          <w:b/>
        </w:rPr>
      </w:pPr>
      <w:r w:rsidRPr="001C6E55">
        <w:rPr>
          <w:rFonts w:ascii="Segoe UI" w:hAnsi="Segoe UI" w:cs="Segoe UI"/>
          <w:b/>
        </w:rPr>
        <w:t xml:space="preserve">I. </w:t>
      </w:r>
      <w:r w:rsidR="005D1F78" w:rsidRPr="001C6E55">
        <w:rPr>
          <w:rFonts w:ascii="Segoe UI" w:hAnsi="Segoe UI" w:cs="Segoe UI"/>
          <w:b/>
        </w:rPr>
        <w:t>Introducción</w:t>
      </w:r>
    </w:p>
    <w:p w14:paraId="7E4B71A4" w14:textId="0234D40B" w:rsidR="00D00061" w:rsidRDefault="00746659" w:rsidP="00D00061">
      <w:pPr>
        <w:spacing w:after="200" w:line="240" w:lineRule="auto"/>
        <w:jc w:val="both"/>
        <w:rPr>
          <w:rFonts w:ascii="Segoe UI" w:hAnsi="Segoe UI" w:cs="Segoe UI"/>
        </w:rPr>
      </w:pPr>
      <w:r w:rsidRPr="001C6E55">
        <w:rPr>
          <w:rFonts w:ascii="Segoe UI" w:hAnsi="Segoe UI" w:cs="Segoe UI"/>
        </w:rPr>
        <w:t xml:space="preserve">El presente documento </w:t>
      </w:r>
      <w:r w:rsidR="001C6E55">
        <w:rPr>
          <w:rFonts w:ascii="Segoe UI" w:hAnsi="Segoe UI" w:cs="Segoe UI"/>
        </w:rPr>
        <w:t>bu</w:t>
      </w:r>
      <w:r w:rsidRPr="001C6E55">
        <w:rPr>
          <w:rFonts w:ascii="Segoe UI" w:hAnsi="Segoe UI" w:cs="Segoe UI"/>
        </w:rPr>
        <w:t>sca da</w:t>
      </w:r>
      <w:r w:rsidR="006A2F46" w:rsidRPr="001C6E55">
        <w:rPr>
          <w:rFonts w:ascii="Segoe UI" w:hAnsi="Segoe UI" w:cs="Segoe UI"/>
        </w:rPr>
        <w:t>r respuesta a</w:t>
      </w:r>
      <w:r w:rsidR="00D00061" w:rsidRPr="001C6E55">
        <w:rPr>
          <w:rFonts w:ascii="Segoe UI" w:hAnsi="Segoe UI" w:cs="Segoe UI"/>
        </w:rPr>
        <w:t xml:space="preserve"> algunas de las preguntas contenidas en </w:t>
      </w:r>
      <w:r w:rsidR="006A2F46" w:rsidRPr="001C6E55">
        <w:rPr>
          <w:rFonts w:ascii="Segoe UI" w:hAnsi="Segoe UI" w:cs="Segoe UI"/>
        </w:rPr>
        <w:t>la convocatoria efectuada por el Experto Independiente sobre la protección contra la violencia y la discriminación por motivos de orientación sexual o identidad de género (</w:t>
      </w:r>
      <w:r w:rsidR="001C6E55">
        <w:rPr>
          <w:rFonts w:ascii="Segoe UI" w:hAnsi="Segoe UI" w:cs="Segoe UI"/>
        </w:rPr>
        <w:t>“</w:t>
      </w:r>
      <w:r w:rsidR="006A2F46" w:rsidRPr="001C6E55">
        <w:rPr>
          <w:rFonts w:ascii="Segoe UI" w:hAnsi="Segoe UI" w:cs="Segoe UI"/>
        </w:rPr>
        <w:t>IE SOGI</w:t>
      </w:r>
      <w:r w:rsidR="001C6E55">
        <w:rPr>
          <w:rFonts w:ascii="Segoe UI" w:hAnsi="Segoe UI" w:cs="Segoe UI"/>
        </w:rPr>
        <w:t>”</w:t>
      </w:r>
      <w:r w:rsidR="006A2F46" w:rsidRPr="001C6E55">
        <w:rPr>
          <w:rFonts w:ascii="Segoe UI" w:hAnsi="Segoe UI" w:cs="Segoe UI"/>
        </w:rPr>
        <w:t xml:space="preserve">) para la elaboración de su informe a la 78° sesión de la Asamblea General de las Naciones Unidas sobre las repercusiones históricas y actuales del colonialismo en el disfrute de los derechos humanos por parte de las personas lesbianas, gays, bisexuales, </w:t>
      </w:r>
      <w:r w:rsidR="00D00061" w:rsidRPr="001C6E55">
        <w:rPr>
          <w:rFonts w:ascii="Segoe UI" w:hAnsi="Segoe UI" w:cs="Segoe UI"/>
        </w:rPr>
        <w:t>trans y de género diverso (LGBT).</w:t>
      </w:r>
    </w:p>
    <w:p w14:paraId="6A16B776" w14:textId="4CD1D611" w:rsidR="001C6E55" w:rsidRPr="001C6E55" w:rsidRDefault="001C6E55" w:rsidP="00D00061">
      <w:pPr>
        <w:spacing w:after="200" w:line="240" w:lineRule="auto"/>
        <w:jc w:val="both"/>
        <w:rPr>
          <w:rFonts w:ascii="Segoe UI" w:hAnsi="Segoe UI" w:cs="Segoe UI"/>
        </w:rPr>
      </w:pPr>
      <w:r>
        <w:rPr>
          <w:rFonts w:ascii="Segoe UI" w:hAnsi="Segoe UI" w:cs="Segoe UI"/>
        </w:rPr>
        <w:t>Se acompañan además tres anexos que pueden permitir profundizar algunos de los aspectos tratados en este documento.</w:t>
      </w:r>
    </w:p>
    <w:p w14:paraId="4A29E48F" w14:textId="450ADB2B" w:rsidR="006A2F46" w:rsidRPr="001C6E55" w:rsidRDefault="006A2F46" w:rsidP="00D13B54">
      <w:pPr>
        <w:spacing w:after="200" w:line="240" w:lineRule="auto"/>
        <w:jc w:val="both"/>
        <w:rPr>
          <w:rFonts w:ascii="Segoe UI" w:hAnsi="Segoe UI" w:cs="Segoe UI"/>
          <w:b/>
        </w:rPr>
      </w:pPr>
      <w:r w:rsidRPr="001C6E55">
        <w:rPr>
          <w:rFonts w:ascii="Segoe UI" w:hAnsi="Segoe UI" w:cs="Segoe UI"/>
          <w:b/>
        </w:rPr>
        <w:t>II. Aportaciones</w:t>
      </w:r>
    </w:p>
    <w:p w14:paraId="58480564" w14:textId="4CE45E2E" w:rsidR="006A2F46" w:rsidRPr="001C6E55" w:rsidRDefault="00527E9E" w:rsidP="00527E9E">
      <w:pPr>
        <w:pStyle w:val="ListParagraph"/>
        <w:ind w:left="0"/>
        <w:jc w:val="both"/>
        <w:rPr>
          <w:rFonts w:ascii="Segoe UI" w:hAnsi="Segoe UI" w:cs="Segoe UI"/>
          <w:b/>
          <w:lang w:val="es-MX"/>
        </w:rPr>
      </w:pPr>
      <w:r w:rsidRPr="001C6E55">
        <w:rPr>
          <w:rFonts w:ascii="Segoe UI" w:hAnsi="Segoe UI" w:cs="Segoe UI"/>
          <w:b/>
          <w:lang w:val="es-MX"/>
        </w:rPr>
        <w:t xml:space="preserve">1. </w:t>
      </w:r>
      <w:r w:rsidR="006A2F46" w:rsidRPr="001C6E55">
        <w:rPr>
          <w:rFonts w:ascii="Segoe UI" w:hAnsi="Segoe UI" w:cs="Segoe UI"/>
          <w:b/>
          <w:lang w:val="es-MX"/>
        </w:rPr>
        <w:t>La imposición y/o aplicación de leyes o políticas coloniales sobre sexo, género y sexualidad modificó el tratamiento precolonial de la orientación sexual y la identidad de género? ¿Qué pruebas históricas o anecdóticas existen sobre el tratamiento de la diversidad sexual y de género antes de las experiencias pasadas o presentes de colonización?</w:t>
      </w:r>
    </w:p>
    <w:p w14:paraId="213F91F4" w14:textId="66E90EED" w:rsidR="001C6E55" w:rsidRPr="001C6E55" w:rsidRDefault="006A2F46" w:rsidP="00527E9E">
      <w:pPr>
        <w:jc w:val="both"/>
        <w:rPr>
          <w:rFonts w:ascii="Segoe UI" w:hAnsi="Segoe UI" w:cs="Segoe UI"/>
          <w:lang w:val="es-MX"/>
        </w:rPr>
      </w:pPr>
      <w:r w:rsidRPr="001C6E55">
        <w:rPr>
          <w:rFonts w:ascii="Segoe UI" w:hAnsi="Segoe UI" w:cs="Segoe UI"/>
          <w:lang w:val="es-MX"/>
        </w:rPr>
        <w:t xml:space="preserve">En la época precolombina, las prácticas “homosexuales” eran aceptadas e incluso asociadas a rituales religiosos y sagrados en diversos pueblos indígenas, tales como los que poblaron el norte de Chile y el pueblo mapuche. Se precisa que no se cuenta con pruebas oficiales, sino únicamente con antecedentes de carácter académico que, sin perjuicio, dan cuenta </w:t>
      </w:r>
      <w:r w:rsidR="001C6E55">
        <w:rPr>
          <w:rFonts w:ascii="Segoe UI" w:hAnsi="Segoe UI" w:cs="Segoe UI"/>
          <w:lang w:val="es-MX"/>
        </w:rPr>
        <w:t xml:space="preserve">de </w:t>
      </w:r>
      <w:r w:rsidRPr="001C6E55">
        <w:rPr>
          <w:rFonts w:ascii="Segoe UI" w:hAnsi="Segoe UI" w:cs="Segoe UI"/>
          <w:lang w:val="es-MX"/>
        </w:rPr>
        <w:t>que “</w:t>
      </w:r>
      <w:r w:rsidRPr="001C6E55">
        <w:rPr>
          <w:rFonts w:ascii="Segoe UI" w:hAnsi="Segoe UI" w:cs="Segoe UI"/>
          <w:i/>
          <w:iCs/>
          <w:lang w:val="es-MX"/>
        </w:rPr>
        <w:t>muchas de las concepciones del sexo y el género precolombinas contradecían las nociones de normalidad del sistema sexo-género europeo</w:t>
      </w:r>
      <w:r w:rsidRPr="001C6E55">
        <w:rPr>
          <w:rFonts w:ascii="Segoe UI" w:hAnsi="Segoe UI" w:cs="Segoe UI"/>
          <w:lang w:val="es-MX"/>
        </w:rPr>
        <w:t>”</w:t>
      </w:r>
      <w:r w:rsidR="001C6E55" w:rsidRPr="001C6E55">
        <w:rPr>
          <w:rStyle w:val="FootnoteReference"/>
          <w:rFonts w:ascii="Segoe UI" w:hAnsi="Segoe UI" w:cs="Segoe UI"/>
          <w:lang w:val="es-MX"/>
        </w:rPr>
        <w:footnoteReference w:id="2"/>
      </w:r>
      <w:r w:rsidR="001C6E55" w:rsidRPr="001C6E55">
        <w:rPr>
          <w:rFonts w:ascii="Segoe UI" w:hAnsi="Segoe UI" w:cs="Segoe UI"/>
          <w:lang w:val="es-MX"/>
        </w:rPr>
        <w:t xml:space="preserve">. </w:t>
      </w:r>
    </w:p>
    <w:p w14:paraId="4C259A52" w14:textId="286D8B38" w:rsidR="001C6E55" w:rsidRPr="001C6E55" w:rsidRDefault="001C6E55" w:rsidP="001C6E55">
      <w:pPr>
        <w:jc w:val="both"/>
        <w:rPr>
          <w:rFonts w:ascii="Segoe UI" w:hAnsi="Segoe UI" w:cs="Segoe UI"/>
          <w:lang w:val="es-MX"/>
        </w:rPr>
      </w:pPr>
      <w:r w:rsidRPr="001C6E55">
        <w:rPr>
          <w:rFonts w:ascii="Segoe UI" w:hAnsi="Segoe UI" w:cs="Segoe UI"/>
          <w:lang w:val="es-MX"/>
        </w:rPr>
        <w:t xml:space="preserve">En este sentido, si bien la colonia española no reguló explícitamente a través de leyes el tratamiento de la orientación sexual e identidad de género, si introdujo consigo un ordenamiento moral basado en una visión cristiana del sexo que influenció muchas de las </w:t>
      </w:r>
      <w:r w:rsidRPr="001C6E55">
        <w:rPr>
          <w:rFonts w:ascii="Segoe UI" w:hAnsi="Segoe UI" w:cs="Segoe UI"/>
          <w:lang w:val="es-MX"/>
        </w:rPr>
        <w:lastRenderedPageBreak/>
        <w:t>políticas y prácticas que se impusieron durante el proceso de colonización. Así, en el ámbito de la orientación sexual e identidad de género, se destaca la visión binaria, patriarcal, religiosa y reproductiva</w:t>
      </w:r>
      <w:r w:rsidRPr="001C6E55">
        <w:rPr>
          <w:rStyle w:val="FootnoteReference"/>
          <w:rFonts w:ascii="Segoe UI" w:hAnsi="Segoe UI" w:cs="Segoe UI"/>
          <w:lang w:val="es-MX"/>
        </w:rPr>
        <w:footnoteReference w:id="3"/>
      </w:r>
      <w:r w:rsidRPr="001C6E55">
        <w:rPr>
          <w:rFonts w:ascii="Segoe UI" w:hAnsi="Segoe UI" w:cs="Segoe UI"/>
          <w:lang w:val="es-MX"/>
        </w:rPr>
        <w:t xml:space="preserve"> del sexo y el discurso criminalizador de la homosexualidad por parte de la Iglesia Católica, que la consideraba como un pecado y una desviación moral</w:t>
      </w:r>
      <w:r w:rsidRPr="001C6E55">
        <w:rPr>
          <w:rStyle w:val="FootnoteReference"/>
          <w:rFonts w:ascii="Segoe UI" w:hAnsi="Segoe UI" w:cs="Segoe UI"/>
          <w:lang w:val="es-MX"/>
        </w:rPr>
        <w:footnoteReference w:id="4"/>
      </w:r>
      <w:r w:rsidRPr="001C6E55">
        <w:rPr>
          <w:rFonts w:ascii="Segoe UI" w:hAnsi="Segoe UI" w:cs="Segoe UI"/>
          <w:lang w:val="es-MX"/>
        </w:rPr>
        <w:t xml:space="preserve">. Una prueba anecdótica de lo anterior es la visión que los colonos tenían de los machi </w:t>
      </w:r>
      <w:r w:rsidRPr="001C6E55">
        <w:rPr>
          <w:rFonts w:ascii="Segoe UI" w:hAnsi="Segoe UI" w:cs="Segoe UI"/>
          <w:i/>
          <w:iCs/>
          <w:lang w:val="es-MX"/>
        </w:rPr>
        <w:t>weye</w:t>
      </w:r>
      <w:r w:rsidRPr="001C6E55">
        <w:rPr>
          <w:rFonts w:ascii="Segoe UI" w:hAnsi="Segoe UI" w:cs="Segoe UI"/>
          <w:lang w:val="es-MX"/>
        </w:rPr>
        <w:t xml:space="preserve"> y que se encuentra plasmada en el artículo académico denominado “La lucha por la masculinidad del machi: políticas coloniales de género, sexualidad y poder en el Sur de Chile”, en el cual se constata una visión estigmatizante y descalificadora de los machi, a quienes se les deslegitimaba su poder sanador por ser percibidos como afeminados, sodomitas o representantes del mal: en definitiva, una amenaza para el nuevo orden moral y político que se instalaba con la colonia</w:t>
      </w:r>
      <w:r w:rsidRPr="001C6E55">
        <w:rPr>
          <w:rStyle w:val="FootnoteReference"/>
          <w:rFonts w:ascii="Segoe UI" w:hAnsi="Segoe UI" w:cs="Segoe UI"/>
          <w:lang w:val="es-MX"/>
        </w:rPr>
        <w:footnoteReference w:id="5"/>
      </w:r>
      <w:r w:rsidRPr="001C6E55">
        <w:rPr>
          <w:rFonts w:ascii="Segoe UI" w:hAnsi="Segoe UI" w:cs="Segoe UI"/>
          <w:lang w:val="es-MX"/>
        </w:rPr>
        <w:t xml:space="preserve">. </w:t>
      </w:r>
    </w:p>
    <w:p w14:paraId="6ADE5D2D" w14:textId="50030A44" w:rsidR="001C6E55" w:rsidRPr="001C6E55" w:rsidRDefault="001C6E55" w:rsidP="00527E9E">
      <w:pPr>
        <w:pStyle w:val="ListParagraph"/>
        <w:ind w:left="0"/>
        <w:jc w:val="both"/>
        <w:rPr>
          <w:rFonts w:ascii="Segoe UI" w:hAnsi="Segoe UI" w:cs="Segoe UI"/>
          <w:b/>
          <w:lang w:val="es-MX"/>
        </w:rPr>
      </w:pPr>
      <w:r w:rsidRPr="001C6E55">
        <w:rPr>
          <w:rFonts w:ascii="Segoe UI" w:hAnsi="Segoe UI" w:cs="Segoe UI"/>
          <w:b/>
          <w:lang w:val="es-MX"/>
        </w:rPr>
        <w:t>2. ¿Qué leyes, políticas y prácticas regularon o influyeron en la configuración o la percepción socio-normativa de la orientación sexual y la identidad de género en la época colonial? ¿Cómo se introdujeron, promovieron, administraron o aplicaron? Los ejemplos podrían incluir la prohibición de determinados actos sexuales, pero también la regulación de las identidades y expresiones sexuales o de género (como la prohibición del travestismo).</w:t>
      </w:r>
    </w:p>
    <w:p w14:paraId="7403D87C" w14:textId="77777777" w:rsidR="001C6E55" w:rsidRPr="001C6E55" w:rsidRDefault="001C6E55" w:rsidP="00527E9E">
      <w:pPr>
        <w:jc w:val="both"/>
        <w:rPr>
          <w:rFonts w:ascii="Segoe UI" w:hAnsi="Segoe UI" w:cs="Segoe UI"/>
          <w:lang w:val="es-MX"/>
        </w:rPr>
      </w:pPr>
      <w:r w:rsidRPr="001C6E55">
        <w:rPr>
          <w:rFonts w:ascii="Segoe UI" w:hAnsi="Segoe UI" w:cs="Segoe UI"/>
          <w:lang w:val="es-MX"/>
        </w:rPr>
        <w:t>Sin perjuicio de que no se cuenta con pruebas de carácter oficial, a partir de antecedentes de carácter académico es dable afirmar que durante la época colonial en Chile el sistema legal se fundamentaba en el denominado “Derecho Indiano” que, si bien no contenía una regulación explícita respecto a la orientación sexual y la identidad de género, estaba fuertemente influenciado por el derecho canónico español, en términos tales que en la época colonial prevaleció un marcado influjo de la moral católica y, con ello, un discurso criminalizador en contra de personas de orientación e identidad de género diversa que dio pie a la consolidación de una configuración socio-normativa discriminadora y segregadora en contra de esta comunida</w:t>
      </w:r>
      <w:r w:rsidRPr="001C6E55">
        <w:rPr>
          <w:rFonts w:ascii="Segoe UI" w:hAnsi="Segoe UI" w:cs="Segoe UI"/>
        </w:rPr>
        <w:t>d. Esta configuración</w:t>
      </w:r>
      <w:r w:rsidRPr="001C6E55">
        <w:rPr>
          <w:rFonts w:ascii="Segoe UI" w:hAnsi="Segoe UI" w:cs="Segoe UI"/>
          <w:lang w:val="es-MX"/>
        </w:rPr>
        <w:t xml:space="preserve"> perduró incluso luego de alcanzada la </w:t>
      </w:r>
      <w:r w:rsidRPr="001C6E55">
        <w:rPr>
          <w:rFonts w:ascii="Segoe UI" w:hAnsi="Segoe UI" w:cs="Segoe UI"/>
          <w:lang w:val="es-MX"/>
        </w:rPr>
        <w:lastRenderedPageBreak/>
        <w:t>independencia, por ejemplo, a través de la tipificación de la sodomía como delito en el Código Penal chileno de 1875, norma que se mantuvo vigente hasta el año 1999</w:t>
      </w:r>
      <w:r w:rsidRPr="001C6E55">
        <w:rPr>
          <w:rStyle w:val="FootnoteReference"/>
          <w:rFonts w:ascii="Segoe UI" w:hAnsi="Segoe UI" w:cs="Segoe UI"/>
          <w:lang w:val="es-MX"/>
        </w:rPr>
        <w:footnoteReference w:id="6"/>
      </w:r>
      <w:r w:rsidRPr="001C6E55">
        <w:rPr>
          <w:rFonts w:ascii="Segoe UI" w:hAnsi="Segoe UI" w:cs="Segoe UI"/>
          <w:lang w:val="es-MX"/>
        </w:rPr>
        <w:t xml:space="preserve"> </w:t>
      </w:r>
      <w:r w:rsidRPr="001C6E55">
        <w:rPr>
          <w:rStyle w:val="FootnoteReference"/>
          <w:rFonts w:ascii="Segoe UI" w:hAnsi="Segoe UI" w:cs="Segoe UI"/>
          <w:lang w:val="es-MX"/>
        </w:rPr>
        <w:footnoteReference w:id="7"/>
      </w:r>
      <w:r w:rsidRPr="001C6E55">
        <w:rPr>
          <w:rFonts w:ascii="Segoe UI" w:hAnsi="Segoe UI" w:cs="Segoe UI"/>
          <w:lang w:val="es-MX"/>
        </w:rPr>
        <w:t xml:space="preserve"> </w:t>
      </w:r>
      <w:r w:rsidRPr="001C6E55">
        <w:rPr>
          <w:rStyle w:val="FootnoteReference"/>
          <w:rFonts w:ascii="Segoe UI" w:hAnsi="Segoe UI" w:cs="Segoe UI"/>
          <w:lang w:val="es-MX"/>
        </w:rPr>
        <w:footnoteReference w:id="8"/>
      </w:r>
      <w:r w:rsidRPr="001C6E55">
        <w:rPr>
          <w:rFonts w:ascii="Segoe UI" w:hAnsi="Segoe UI" w:cs="Segoe UI"/>
          <w:lang w:val="es-MX"/>
        </w:rPr>
        <w:t xml:space="preserve"> </w:t>
      </w:r>
      <w:r w:rsidRPr="001C6E55">
        <w:rPr>
          <w:rStyle w:val="FootnoteReference"/>
          <w:rFonts w:ascii="Segoe UI" w:hAnsi="Segoe UI" w:cs="Segoe UI"/>
          <w:lang w:val="es-MX"/>
        </w:rPr>
        <w:footnoteReference w:id="9"/>
      </w:r>
      <w:r w:rsidRPr="001C6E55">
        <w:rPr>
          <w:rFonts w:ascii="Segoe UI" w:hAnsi="Segoe UI" w:cs="Segoe UI"/>
          <w:lang w:val="es-MX"/>
        </w:rPr>
        <w:t xml:space="preserve"> </w:t>
      </w:r>
      <w:r w:rsidRPr="001C6E55">
        <w:rPr>
          <w:rStyle w:val="FootnoteReference"/>
          <w:rFonts w:ascii="Segoe UI" w:hAnsi="Segoe UI" w:cs="Segoe UI"/>
          <w:lang w:val="es-MX"/>
        </w:rPr>
        <w:footnoteReference w:id="10"/>
      </w:r>
      <w:r w:rsidRPr="001C6E55">
        <w:rPr>
          <w:rFonts w:ascii="Segoe UI" w:hAnsi="Segoe UI" w:cs="Segoe UI"/>
          <w:lang w:val="es-MX"/>
        </w:rPr>
        <w:t xml:space="preserve">. </w:t>
      </w:r>
    </w:p>
    <w:p w14:paraId="5FB484A9" w14:textId="7F914961" w:rsidR="001C6E55" w:rsidRPr="001C6E55" w:rsidRDefault="001C6E55" w:rsidP="00527E9E">
      <w:pPr>
        <w:pStyle w:val="ListParagraph"/>
        <w:ind w:left="0"/>
        <w:jc w:val="both"/>
        <w:rPr>
          <w:rFonts w:ascii="Segoe UI" w:hAnsi="Segoe UI" w:cs="Segoe UI"/>
          <w:b/>
          <w:lang w:val="es-MX"/>
        </w:rPr>
      </w:pPr>
      <w:r w:rsidRPr="001C6E55">
        <w:rPr>
          <w:rFonts w:ascii="Segoe UI" w:hAnsi="Segoe UI" w:cs="Segoe UI"/>
          <w:b/>
          <w:lang w:val="es-MX"/>
        </w:rPr>
        <w:t>3. ¿Cómo, si es que lo ha hecho, se ha transformado y afectado positivamente o negativamente el proceso de descolonización a la protección contra la violencia y la discriminación por motivos de orientación sexual e identidad de género?</w:t>
      </w:r>
    </w:p>
    <w:p w14:paraId="64CF5669" w14:textId="77777777" w:rsidR="001C6E55" w:rsidRPr="001C6E55" w:rsidRDefault="001C6E55" w:rsidP="00527E9E">
      <w:pPr>
        <w:jc w:val="both"/>
        <w:rPr>
          <w:rFonts w:ascii="Segoe UI" w:hAnsi="Segoe UI" w:cs="Segoe UI"/>
          <w:lang w:val="es-MX"/>
        </w:rPr>
      </w:pPr>
      <w:r w:rsidRPr="001C6E55">
        <w:rPr>
          <w:rFonts w:ascii="Segoe UI" w:hAnsi="Segoe UI" w:cs="Segoe UI"/>
          <w:lang w:val="es-MX"/>
        </w:rPr>
        <w:t>En un comienzo y atendidos los registros académicos con los que se cuenta, durante el proceso de descolonización se tendió a consagrar a nivel legal diversas prácticas y discursos que fueron introducidos por la colonia española de la mano de la influencia de la Iglesia Católica</w:t>
      </w:r>
      <w:r w:rsidRPr="001C6E55">
        <w:rPr>
          <w:rStyle w:val="FootnoteReference"/>
          <w:rFonts w:ascii="Segoe UI" w:hAnsi="Segoe UI" w:cs="Segoe UI"/>
          <w:lang w:val="es-MX"/>
        </w:rPr>
        <w:footnoteReference w:id="11"/>
      </w:r>
      <w:r w:rsidRPr="001C6E55">
        <w:rPr>
          <w:rFonts w:ascii="Segoe UI" w:hAnsi="Segoe UI" w:cs="Segoe UI"/>
          <w:lang w:val="es-MX"/>
        </w:rPr>
        <w:t>. En efecto, el Código Penal chileno de 1875 tipificó el delito de sodomía, práctica que, si bien fue altamente criminalizada a nivel discursivo, no se encontraba sancionada penalmente durante el período colonial, en términos tales que el período postcolonial vino a cristalizar aquellas prácticas violentas y discriminadoras por motivos de orientación sexual e identidad de género</w:t>
      </w:r>
      <w:r w:rsidRPr="001C6E55">
        <w:rPr>
          <w:rStyle w:val="FootnoteReference"/>
          <w:rFonts w:ascii="Segoe UI" w:hAnsi="Segoe UI" w:cs="Segoe UI"/>
          <w:lang w:val="es-MX"/>
        </w:rPr>
        <w:footnoteReference w:id="12"/>
      </w:r>
      <w:r w:rsidRPr="001C6E55">
        <w:rPr>
          <w:rFonts w:ascii="Segoe UI" w:hAnsi="Segoe UI" w:cs="Segoe UI"/>
          <w:lang w:val="es-MX"/>
        </w:rPr>
        <w:t xml:space="preserve">. </w:t>
      </w:r>
    </w:p>
    <w:p w14:paraId="2B522E46" w14:textId="087AA9C3" w:rsidR="001C6E55" w:rsidRPr="001C6E55" w:rsidRDefault="001C6E55" w:rsidP="00527E9E">
      <w:pPr>
        <w:jc w:val="both"/>
        <w:rPr>
          <w:rFonts w:ascii="Segoe UI" w:hAnsi="Segoe UI" w:cs="Segoe UI"/>
          <w:lang w:val="es-MX"/>
        </w:rPr>
      </w:pPr>
      <w:r w:rsidRPr="001C6E55">
        <w:rPr>
          <w:rFonts w:ascii="Segoe UI" w:hAnsi="Segoe UI" w:cs="Segoe UI"/>
          <w:lang w:val="es-MX"/>
        </w:rPr>
        <w:t xml:space="preserve">Con todo, muy recientemente se ha constatado una tendencia hacia el rechazo de esas normas y valores impuestos por las colonias, contexto en el cual se ha promovido una serie de acciones legales concretas con miras a brindar protección a las personas contra la violencia y la discriminación por motivos de orientación sexual e identidad de género, tales como la dictación de la Ley N°20.609 (Ley Antidiscriminación); la Ley N°21.120 (Ley de Identidad de Género); la Ley N°21.400 (Ley de Matrimonio Igualitario); Ley N°21.331 (establece el deber de los servicios de salud de abordar las consecuencias en la salud mental, entre otras, desde una perspectiva de género y prohíbe el diagnóstico del estado de la salud mental de una persona en base a su identidad u orientación de género o sexual); la Ley </w:t>
      </w:r>
      <w:r w:rsidRPr="001C6E55">
        <w:rPr>
          <w:rFonts w:ascii="Segoe UI" w:hAnsi="Segoe UI" w:cs="Segoe UI"/>
          <w:lang w:val="es-MX"/>
        </w:rPr>
        <w:lastRenderedPageBreak/>
        <w:t>N°21.367 (suprime la causal de conducta homosexual para dar lugar al divorcio por culpa); Ley N°21.369 (regula el acoso sexual, la violencia y la discriminación de género en el ámbito de la educación superior a través de la promoción de políticas integrales); la Ley N°21.483 (Ley Tamara; entre otras, derogó el artículo 365 del Código Penal que tipificaba y sancionaba la sodomía como delito); la Ley N°21.511 (instaura el 16 de noviembre como el Día Internacional para la Tolerancia); Ordinario N°147 de 26 de enero de 2022 de la Dirección del Trabajo (garantiza el derecho de los trabajadores transgénero masculinos en estado de gravidez a acceder a las normas protectoras de la maternidad, paternidad y vida familiar).</w:t>
      </w:r>
    </w:p>
    <w:p w14:paraId="51164345" w14:textId="1F466416" w:rsidR="001C6E55" w:rsidRPr="001C6E55" w:rsidRDefault="001C6E55" w:rsidP="00527E9E">
      <w:pPr>
        <w:jc w:val="both"/>
        <w:rPr>
          <w:rFonts w:ascii="Segoe UI" w:hAnsi="Segoe UI" w:cs="Segoe UI"/>
          <w:b/>
          <w:lang w:val="es-MX"/>
        </w:rPr>
      </w:pPr>
      <w:r w:rsidRPr="001C6E55">
        <w:rPr>
          <w:rFonts w:ascii="Segoe UI" w:hAnsi="Segoe UI" w:cs="Segoe UI"/>
          <w:b/>
          <w:lang w:val="es-MX"/>
        </w:rPr>
        <w:t>4. ¿Cómo ha influido la regulación (jurídica y social) del género, la orientación sexual y la identidad de género en la instauración y el mantenimiento del poder colonial?</w:t>
      </w:r>
    </w:p>
    <w:p w14:paraId="5E1FA1FB" w14:textId="77777777" w:rsidR="001C6E55" w:rsidRPr="001C6E55" w:rsidRDefault="001C6E55" w:rsidP="00527E9E">
      <w:pPr>
        <w:jc w:val="both"/>
        <w:rPr>
          <w:rFonts w:ascii="Segoe UI" w:hAnsi="Segoe UI" w:cs="Segoe UI"/>
          <w:lang w:val="es-MX"/>
        </w:rPr>
      </w:pPr>
      <w:r w:rsidRPr="001C6E55">
        <w:rPr>
          <w:rFonts w:ascii="Segoe UI" w:hAnsi="Segoe UI" w:cs="Segoe UI"/>
        </w:rPr>
        <w:t>En Chile, la</w:t>
      </w:r>
      <w:r w:rsidRPr="001C6E55">
        <w:rPr>
          <w:rFonts w:ascii="Segoe UI" w:hAnsi="Segoe UI" w:cs="Segoe UI"/>
          <w:lang w:val="es-MX"/>
        </w:rPr>
        <w:t xml:space="preserve"> regulación social del género, orientación sexual e identidad de género en la época colonial, operó como una herramienta de control que permitió instaurar y mantener el poder en todas sus dimensiones, trascendiendo a la colonización territorial y material</w:t>
      </w:r>
      <w:r w:rsidRPr="001C6E55">
        <w:rPr>
          <w:rStyle w:val="FootnoteReference"/>
          <w:rFonts w:ascii="Segoe UI" w:hAnsi="Segoe UI" w:cs="Segoe UI"/>
          <w:lang w:val="es-MX"/>
        </w:rPr>
        <w:footnoteReference w:id="13"/>
      </w:r>
      <w:r w:rsidRPr="001C6E55">
        <w:rPr>
          <w:rFonts w:ascii="Segoe UI" w:hAnsi="Segoe UI" w:cs="Segoe UI"/>
          <w:lang w:val="es-MX"/>
        </w:rPr>
        <w:t>. En este sentido, aportó a la mantención del poder colonial de manera simbólica incluso en forma posterior a la descolonización</w:t>
      </w:r>
      <w:r w:rsidRPr="001C6E55">
        <w:rPr>
          <w:rFonts w:ascii="Segoe UI" w:hAnsi="Segoe UI" w:cs="Segoe UI"/>
        </w:rPr>
        <w:t>. La</w:t>
      </w:r>
      <w:r w:rsidRPr="001C6E55">
        <w:rPr>
          <w:rFonts w:ascii="Segoe UI" w:hAnsi="Segoe UI" w:cs="Segoe UI"/>
          <w:lang w:val="es-MX"/>
        </w:rPr>
        <w:t xml:space="preserve">s prácticas y discursos criminalizadores en contra de personas LGTBIQA+ lograron consagrarse a nivel legal durante el período de independencia, </w:t>
      </w:r>
      <w:r w:rsidRPr="001C6E55">
        <w:rPr>
          <w:rFonts w:ascii="Segoe UI" w:hAnsi="Segoe UI" w:cs="Segoe UI"/>
        </w:rPr>
        <w:t>manteniéndose vigentes</w:t>
      </w:r>
      <w:r w:rsidRPr="001C6E55">
        <w:rPr>
          <w:rFonts w:ascii="Segoe UI" w:hAnsi="Segoe UI" w:cs="Segoe UI"/>
          <w:lang w:val="es-MX"/>
        </w:rPr>
        <w:t xml:space="preserve"> durante siglos</w:t>
      </w:r>
      <w:r w:rsidRPr="001C6E55">
        <w:rPr>
          <w:rStyle w:val="FootnoteReference"/>
          <w:rFonts w:ascii="Segoe UI" w:hAnsi="Segoe UI" w:cs="Segoe UI"/>
          <w:lang w:val="es-MX"/>
        </w:rPr>
        <w:footnoteReference w:id="14"/>
      </w:r>
      <w:r w:rsidRPr="001C6E55">
        <w:rPr>
          <w:rFonts w:ascii="Segoe UI" w:hAnsi="Segoe UI" w:cs="Segoe UI"/>
          <w:lang w:val="es-MX"/>
        </w:rPr>
        <w:t xml:space="preserve"> </w:t>
      </w:r>
      <w:r w:rsidRPr="001C6E55">
        <w:rPr>
          <w:rStyle w:val="FootnoteReference"/>
          <w:rFonts w:ascii="Segoe UI" w:hAnsi="Segoe UI" w:cs="Segoe UI"/>
          <w:lang w:val="es-MX"/>
        </w:rPr>
        <w:footnoteReference w:id="15"/>
      </w:r>
      <w:r w:rsidRPr="001C6E55">
        <w:rPr>
          <w:rFonts w:ascii="Segoe UI" w:hAnsi="Segoe UI" w:cs="Segoe UI"/>
          <w:lang w:val="es-MX"/>
        </w:rPr>
        <w:t>, lo que demuestra de manera fehaciente la efectividad de la regulación colonial sobre la orientación sexual e identidad de género como dispositivo de poder y control.</w:t>
      </w:r>
    </w:p>
    <w:p w14:paraId="4954841E" w14:textId="3B71DC8E" w:rsidR="001C6E55" w:rsidRPr="001C6E55" w:rsidRDefault="001C6E55" w:rsidP="00527E9E">
      <w:pPr>
        <w:jc w:val="both"/>
        <w:rPr>
          <w:rFonts w:ascii="Segoe UI" w:hAnsi="Segoe UI" w:cs="Segoe UI"/>
          <w:b/>
          <w:lang w:val="es-MX"/>
        </w:rPr>
      </w:pPr>
      <w:r w:rsidRPr="001C6E55">
        <w:rPr>
          <w:rFonts w:ascii="Segoe UI" w:hAnsi="Segoe UI" w:cs="Segoe UI"/>
          <w:b/>
          <w:lang w:val="es-MX"/>
        </w:rPr>
        <w:t>5. ¿Existe una relación entre las leyes y políticas coloniales que crean relaciones de poder desiguales que afectan a las personas LGBT y el racismo, el patriarcado y otros sistemas de opresión?</w:t>
      </w:r>
    </w:p>
    <w:p w14:paraId="7F7A6768" w14:textId="77777777" w:rsidR="001C6E55" w:rsidRPr="001C6E55" w:rsidRDefault="001C6E55" w:rsidP="00527E9E">
      <w:pPr>
        <w:jc w:val="both"/>
        <w:rPr>
          <w:rFonts w:ascii="Segoe UI" w:hAnsi="Segoe UI" w:cs="Segoe UI"/>
          <w:lang w:val="es-MX"/>
        </w:rPr>
      </w:pPr>
      <w:r w:rsidRPr="001C6E55">
        <w:rPr>
          <w:rFonts w:ascii="Segoe UI" w:hAnsi="Segoe UI" w:cs="Segoe UI"/>
          <w:lang w:val="es-MX"/>
        </w:rPr>
        <w:t>Efectivamente, se ha constatado desde la academia una relación entre las políticas coloniales impuestas en territorio chileno que justificaron relaciones de poder desiguales en desmedro de la comunidad LGBT y otros sistemas de opresión, como el racismo y el patriarcado. En efecto, las políticas coloniales vinieron a imponer una visión machista, binaria, religiosa y reproductiva del sexo</w:t>
      </w:r>
      <w:r w:rsidRPr="001C6E55">
        <w:rPr>
          <w:rStyle w:val="FootnoteReference"/>
          <w:rFonts w:ascii="Segoe UI" w:hAnsi="Segoe UI" w:cs="Segoe UI"/>
          <w:lang w:val="es-MX"/>
        </w:rPr>
        <w:footnoteReference w:id="16"/>
      </w:r>
      <w:r w:rsidRPr="001C6E55">
        <w:rPr>
          <w:rFonts w:ascii="Segoe UI" w:hAnsi="Segoe UI" w:cs="Segoe UI"/>
          <w:lang w:val="es-MX"/>
        </w:rPr>
        <w:t xml:space="preserve">, que se oponía radicalmente a la concepción indígena de las relaciones sexo-afectivas. </w:t>
      </w:r>
    </w:p>
    <w:p w14:paraId="63DB5BF0" w14:textId="1FEC2C94" w:rsidR="006A2F46" w:rsidRPr="001C6E55" w:rsidRDefault="001C6E55" w:rsidP="00D00061">
      <w:pPr>
        <w:jc w:val="both"/>
        <w:rPr>
          <w:rFonts w:ascii="Segoe UI" w:hAnsi="Segoe UI" w:cs="Segoe UI"/>
        </w:rPr>
      </w:pPr>
      <w:r w:rsidRPr="001C6E55">
        <w:rPr>
          <w:rFonts w:ascii="Segoe UI" w:hAnsi="Segoe UI" w:cs="Segoe UI"/>
          <w:lang w:val="es-MX"/>
        </w:rPr>
        <w:lastRenderedPageBreak/>
        <w:t xml:space="preserve">En este sentido, existen dos paradigmas históricos </w:t>
      </w:r>
      <w:r w:rsidRPr="001C6E55">
        <w:rPr>
          <w:rFonts w:ascii="Segoe UI" w:hAnsi="Segoe UI" w:cs="Segoe UI"/>
        </w:rPr>
        <w:t>en Chile</w:t>
      </w:r>
      <w:r w:rsidRPr="001C6E55">
        <w:rPr>
          <w:rFonts w:ascii="Segoe UI" w:hAnsi="Segoe UI" w:cs="Segoe UI"/>
          <w:lang w:val="es-MX"/>
        </w:rPr>
        <w:t xml:space="preserve"> que dan cuenta de lo anterior: el caso de los machis </w:t>
      </w:r>
      <w:r w:rsidRPr="001C6E55">
        <w:rPr>
          <w:rFonts w:ascii="Segoe UI" w:hAnsi="Segoe UI" w:cs="Segoe UI"/>
          <w:i/>
          <w:iCs/>
          <w:lang w:val="es-MX"/>
        </w:rPr>
        <w:t>weye</w:t>
      </w:r>
      <w:r w:rsidRPr="001C6E55">
        <w:rPr>
          <w:rFonts w:ascii="Segoe UI" w:hAnsi="Segoe UI" w:cs="Segoe UI"/>
          <w:lang w:val="es-MX"/>
        </w:rPr>
        <w:t xml:space="preserve"> y la historia de Catalina de Erauso, más conocida como la monja alférez. El primero, encarna el discurso criminalizador por parte de los colonos contra una identidad de género ambigua o fluida como era la de los machis </w:t>
      </w:r>
      <w:r w:rsidRPr="001C6E55">
        <w:rPr>
          <w:rFonts w:ascii="Segoe UI" w:hAnsi="Segoe UI" w:cs="Segoe UI"/>
          <w:i/>
          <w:iCs/>
          <w:lang w:val="es-MX"/>
        </w:rPr>
        <w:t>weye</w:t>
      </w:r>
      <w:r w:rsidRPr="001C6E55">
        <w:rPr>
          <w:rFonts w:ascii="Segoe UI" w:hAnsi="Segoe UI" w:cs="Segoe UI"/>
          <w:lang w:val="es-MX"/>
        </w:rPr>
        <w:t>, en tanto, el segundo caso, refleja la</w:t>
      </w:r>
      <w:r w:rsidRPr="001C6E55">
        <w:rPr>
          <w:rFonts w:ascii="Segoe UI" w:hAnsi="Segoe UI" w:cs="Segoe UI"/>
        </w:rPr>
        <w:t xml:space="preserve"> evidente criminalización de la feminización a través de la</w:t>
      </w:r>
      <w:r w:rsidRPr="001C6E55">
        <w:rPr>
          <w:rFonts w:ascii="Segoe UI" w:hAnsi="Segoe UI" w:cs="Segoe UI"/>
          <w:lang w:val="es-MX"/>
        </w:rPr>
        <w:t xml:space="preserve"> aceptación social de una mujer travestida en soldado varón</w:t>
      </w:r>
      <w:r w:rsidRPr="001C6E55">
        <w:rPr>
          <w:rFonts w:ascii="Segoe UI" w:hAnsi="Segoe UI" w:cs="Segoe UI"/>
        </w:rPr>
        <w:t xml:space="preserve">. Esta criminalización se </w:t>
      </w:r>
      <w:r w:rsidRPr="001C6E55">
        <w:rPr>
          <w:rFonts w:ascii="Segoe UI" w:hAnsi="Segoe UI" w:cs="Segoe UI"/>
          <w:lang w:val="es-MX"/>
        </w:rPr>
        <w:t>justifica</w:t>
      </w:r>
      <w:r w:rsidRPr="001C6E55">
        <w:rPr>
          <w:rFonts w:ascii="Segoe UI" w:hAnsi="Segoe UI" w:cs="Segoe UI"/>
        </w:rPr>
        <w:t>b</w:t>
      </w:r>
      <w:r w:rsidRPr="001C6E55">
        <w:rPr>
          <w:rFonts w:ascii="Segoe UI" w:hAnsi="Segoe UI" w:cs="Segoe UI"/>
          <w:lang w:val="es-MX"/>
        </w:rPr>
        <w:t xml:space="preserve">a en la consideración de las mujeres como seres inferiores, elemento clave del sistema patriarcal. Por otro lado, la forma de vivir la sexualidad por parte de la población indígena </w:t>
      </w:r>
      <w:r w:rsidRPr="001C6E55">
        <w:rPr>
          <w:rFonts w:ascii="Segoe UI" w:hAnsi="Segoe UI" w:cs="Segoe UI"/>
        </w:rPr>
        <w:t>fue</w:t>
      </w:r>
      <w:r w:rsidRPr="001C6E55">
        <w:rPr>
          <w:rFonts w:ascii="Segoe UI" w:hAnsi="Segoe UI" w:cs="Segoe UI"/>
          <w:lang w:val="es-MX"/>
        </w:rPr>
        <w:t xml:space="preserve"> altamente juzgada por la colonia española</w:t>
      </w:r>
      <w:r w:rsidRPr="001C6E55">
        <w:rPr>
          <w:rFonts w:ascii="Segoe UI" w:hAnsi="Segoe UI" w:cs="Segoe UI"/>
        </w:rPr>
        <w:t xml:space="preserve"> al ser calificada como "promiscua",</w:t>
      </w:r>
      <w:r w:rsidRPr="001C6E55">
        <w:rPr>
          <w:rFonts w:ascii="Segoe UI" w:hAnsi="Segoe UI" w:cs="Segoe UI"/>
          <w:lang w:val="es-MX"/>
        </w:rPr>
        <w:t xml:space="preserve"> discriminación que fue traspasada a grupos sociales populares</w:t>
      </w:r>
      <w:r w:rsidRPr="001C6E55">
        <w:rPr>
          <w:rFonts w:ascii="Segoe UI" w:hAnsi="Segoe UI" w:cs="Segoe UI"/>
        </w:rPr>
        <w:t xml:space="preserve"> durante el período postcolonial</w:t>
      </w:r>
      <w:r w:rsidRPr="001C6E55">
        <w:rPr>
          <w:rStyle w:val="FootnoteReference"/>
          <w:rFonts w:ascii="Segoe UI" w:hAnsi="Segoe UI" w:cs="Segoe UI"/>
          <w:lang w:val="es-MX"/>
        </w:rPr>
        <w:footnoteReference w:id="17"/>
      </w:r>
      <w:r w:rsidRPr="001C6E55">
        <w:rPr>
          <w:rFonts w:ascii="Segoe UI" w:hAnsi="Segoe UI" w:cs="Segoe UI"/>
          <w:lang w:val="es-MX"/>
        </w:rPr>
        <w:t>.</w:t>
      </w:r>
    </w:p>
    <w:sectPr w:rsidR="006A2F46" w:rsidRPr="001C6E55">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10508" w14:textId="77777777" w:rsidR="00AC5BCB" w:rsidRDefault="00AC5BCB" w:rsidP="00F62063">
      <w:pPr>
        <w:spacing w:after="0" w:line="240" w:lineRule="auto"/>
      </w:pPr>
      <w:r>
        <w:separator/>
      </w:r>
    </w:p>
  </w:endnote>
  <w:endnote w:type="continuationSeparator" w:id="0">
    <w:p w14:paraId="2F10A278" w14:textId="77777777" w:rsidR="00AC5BCB" w:rsidRDefault="00AC5BCB" w:rsidP="00F62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Quattrocento Sans">
    <w:altName w:val="Times New Roman"/>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372184"/>
      <w:docPartObj>
        <w:docPartGallery w:val="Page Numbers (Bottom of Page)"/>
        <w:docPartUnique/>
      </w:docPartObj>
    </w:sdtPr>
    <w:sdtEndPr>
      <w:rPr>
        <w:rFonts w:ascii="Segoe UI" w:hAnsi="Segoe UI" w:cs="Segoe UI"/>
        <w:sz w:val="20"/>
        <w:szCs w:val="20"/>
      </w:rPr>
    </w:sdtEndPr>
    <w:sdtContent>
      <w:p w14:paraId="33EF95D8" w14:textId="033E6F9E" w:rsidR="00435C8A" w:rsidRPr="0053214A" w:rsidRDefault="00435C8A">
        <w:pPr>
          <w:pStyle w:val="Footer"/>
          <w:jc w:val="center"/>
          <w:rPr>
            <w:rFonts w:ascii="Segoe UI" w:hAnsi="Segoe UI" w:cs="Segoe UI"/>
            <w:sz w:val="20"/>
            <w:szCs w:val="20"/>
          </w:rPr>
        </w:pPr>
        <w:r w:rsidRPr="0053214A">
          <w:rPr>
            <w:rFonts w:ascii="Segoe UI" w:hAnsi="Segoe UI" w:cs="Segoe UI"/>
            <w:sz w:val="20"/>
            <w:szCs w:val="20"/>
          </w:rPr>
          <w:fldChar w:fldCharType="begin"/>
        </w:r>
        <w:r w:rsidRPr="0053214A">
          <w:rPr>
            <w:rFonts w:ascii="Segoe UI" w:hAnsi="Segoe UI" w:cs="Segoe UI"/>
            <w:sz w:val="20"/>
            <w:szCs w:val="20"/>
          </w:rPr>
          <w:instrText>PAGE   \* MERGEFORMAT</w:instrText>
        </w:r>
        <w:r w:rsidRPr="0053214A">
          <w:rPr>
            <w:rFonts w:ascii="Segoe UI" w:hAnsi="Segoe UI" w:cs="Segoe UI"/>
            <w:sz w:val="20"/>
            <w:szCs w:val="20"/>
          </w:rPr>
          <w:fldChar w:fldCharType="separate"/>
        </w:r>
        <w:r w:rsidR="00957203" w:rsidRPr="00957203">
          <w:rPr>
            <w:rFonts w:ascii="Segoe UI" w:hAnsi="Segoe UI" w:cs="Segoe UI"/>
            <w:noProof/>
            <w:sz w:val="20"/>
            <w:szCs w:val="20"/>
            <w:lang w:val="es-ES"/>
          </w:rPr>
          <w:t>4</w:t>
        </w:r>
        <w:r w:rsidRPr="0053214A">
          <w:rPr>
            <w:rFonts w:ascii="Segoe UI" w:hAnsi="Segoe UI" w:cs="Segoe UI"/>
            <w:sz w:val="20"/>
            <w:szCs w:val="20"/>
          </w:rPr>
          <w:fldChar w:fldCharType="end"/>
        </w:r>
      </w:p>
    </w:sdtContent>
  </w:sdt>
  <w:p w14:paraId="095441DC" w14:textId="77777777" w:rsidR="00435C8A" w:rsidRDefault="00435C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6C8F4" w14:textId="77777777" w:rsidR="00AC5BCB" w:rsidRDefault="00AC5BCB" w:rsidP="00F62063">
      <w:pPr>
        <w:spacing w:after="0" w:line="240" w:lineRule="auto"/>
      </w:pPr>
      <w:r>
        <w:separator/>
      </w:r>
    </w:p>
  </w:footnote>
  <w:footnote w:type="continuationSeparator" w:id="0">
    <w:p w14:paraId="076B7B8F" w14:textId="77777777" w:rsidR="00AC5BCB" w:rsidRDefault="00AC5BCB" w:rsidP="00F62063">
      <w:pPr>
        <w:spacing w:after="0" w:line="240" w:lineRule="auto"/>
      </w:pPr>
      <w:r>
        <w:continuationSeparator/>
      </w:r>
    </w:p>
  </w:footnote>
  <w:footnote w:id="1">
    <w:p w14:paraId="0157C509" w14:textId="52284189" w:rsidR="00D00061" w:rsidRPr="001C6E55" w:rsidRDefault="00D00061" w:rsidP="001C6E55">
      <w:pPr>
        <w:pStyle w:val="FootnoteText"/>
        <w:jc w:val="both"/>
        <w:rPr>
          <w:rFonts w:ascii="Segoe UI" w:hAnsi="Segoe UI" w:cs="Segoe UI"/>
          <w:sz w:val="18"/>
          <w:szCs w:val="18"/>
          <w:lang w:val="es-ES"/>
        </w:rPr>
      </w:pPr>
      <w:r w:rsidRPr="001C6E55">
        <w:rPr>
          <w:rStyle w:val="FootnoteReference"/>
          <w:rFonts w:ascii="Segoe UI" w:hAnsi="Segoe UI" w:cs="Segoe UI"/>
          <w:sz w:val="18"/>
          <w:szCs w:val="18"/>
        </w:rPr>
        <w:footnoteRef/>
      </w:r>
      <w:r w:rsidRPr="001C6E55">
        <w:rPr>
          <w:rFonts w:ascii="Segoe UI" w:hAnsi="Segoe UI" w:cs="Segoe UI"/>
          <w:sz w:val="18"/>
          <w:szCs w:val="18"/>
        </w:rPr>
        <w:t xml:space="preserve"> </w:t>
      </w:r>
      <w:r w:rsidR="001C6E55" w:rsidRPr="001C6E55">
        <w:rPr>
          <w:rFonts w:ascii="Segoe UI" w:hAnsi="Segoe UI" w:cs="Segoe UI"/>
          <w:sz w:val="18"/>
          <w:szCs w:val="18"/>
        </w:rPr>
        <w:t>El presente documento ha sido elaborado a partir de las contribuciones proporcionadas por el Ministerio de la Mujer y la Equidad de Género.</w:t>
      </w:r>
    </w:p>
  </w:footnote>
  <w:footnote w:id="2">
    <w:p w14:paraId="43556418" w14:textId="77777777" w:rsidR="001C6E55" w:rsidRPr="001C6E55" w:rsidRDefault="001C6E55" w:rsidP="001C6E55">
      <w:pPr>
        <w:pStyle w:val="FootnoteText"/>
        <w:jc w:val="both"/>
        <w:rPr>
          <w:rFonts w:ascii="Segoe UI" w:hAnsi="Segoe UI" w:cs="Segoe UI"/>
          <w:sz w:val="18"/>
          <w:szCs w:val="18"/>
          <w:lang w:val="es-MX"/>
        </w:rPr>
      </w:pPr>
      <w:r w:rsidRPr="001C6E55">
        <w:rPr>
          <w:rStyle w:val="FootnoteReference"/>
          <w:rFonts w:ascii="Segoe UI" w:hAnsi="Segoe UI" w:cs="Segoe UI"/>
          <w:sz w:val="18"/>
          <w:szCs w:val="18"/>
        </w:rPr>
        <w:footnoteRef/>
      </w:r>
      <w:r w:rsidRPr="001C6E55">
        <w:rPr>
          <w:rFonts w:ascii="Segoe UI" w:hAnsi="Segoe UI" w:cs="Segoe UI"/>
          <w:sz w:val="18"/>
          <w:szCs w:val="18"/>
        </w:rPr>
        <w:t xml:space="preserve"> </w:t>
      </w:r>
      <w:r w:rsidRPr="001C6E55">
        <w:rPr>
          <w:rFonts w:ascii="Segoe UI" w:hAnsi="Segoe UI" w:cs="Segoe UI"/>
          <w:sz w:val="18"/>
          <w:szCs w:val="18"/>
          <w:lang w:val="es-MX"/>
        </w:rPr>
        <w:t xml:space="preserve">Figueroa Silva, Esau. (2020). “Sexualidad e Historia en Chile: un ensayo sobre el conflicto y el control”, en </w:t>
      </w:r>
      <w:r w:rsidRPr="001C6E55">
        <w:rPr>
          <w:rFonts w:ascii="Segoe UI" w:hAnsi="Segoe UI" w:cs="Segoe UI"/>
          <w:i/>
          <w:sz w:val="18"/>
          <w:szCs w:val="18"/>
          <w:lang w:val="es-MX"/>
        </w:rPr>
        <w:t>RELIES: Revista del Laboratorio Iberoamericano para el Estudio Sociohistórico de las Sexualidades</w:t>
      </w:r>
      <w:r w:rsidRPr="001C6E55">
        <w:rPr>
          <w:rFonts w:ascii="Segoe UI" w:hAnsi="Segoe UI" w:cs="Segoe UI"/>
          <w:sz w:val="18"/>
          <w:szCs w:val="18"/>
          <w:lang w:val="es-MX"/>
        </w:rPr>
        <w:t>, número 2; p.93.</w:t>
      </w:r>
    </w:p>
  </w:footnote>
  <w:footnote w:id="3">
    <w:p w14:paraId="3DEDB8B2" w14:textId="77777777" w:rsidR="001C6E55" w:rsidRPr="001C6E55" w:rsidRDefault="001C6E55" w:rsidP="001C6E55">
      <w:pPr>
        <w:pStyle w:val="FootnoteText"/>
        <w:jc w:val="both"/>
        <w:rPr>
          <w:rFonts w:ascii="Segoe UI" w:hAnsi="Segoe UI" w:cs="Segoe UI"/>
          <w:sz w:val="18"/>
          <w:szCs w:val="18"/>
          <w:lang w:val="es-MX"/>
        </w:rPr>
      </w:pPr>
      <w:r w:rsidRPr="001C6E55">
        <w:rPr>
          <w:rStyle w:val="FootnoteReference"/>
          <w:rFonts w:ascii="Segoe UI" w:hAnsi="Segoe UI" w:cs="Segoe UI"/>
          <w:sz w:val="18"/>
          <w:szCs w:val="18"/>
        </w:rPr>
        <w:footnoteRef/>
      </w:r>
      <w:r w:rsidRPr="001C6E55">
        <w:rPr>
          <w:rFonts w:ascii="Segoe UI" w:hAnsi="Segoe UI" w:cs="Segoe UI"/>
          <w:sz w:val="18"/>
          <w:szCs w:val="18"/>
        </w:rPr>
        <w:t xml:space="preserve"> Salinas, R. (2010). “Cuerpo y erotismo en Chile”, en Cóngora, A. y Sagredo, R. (Eds.), </w:t>
      </w:r>
      <w:r w:rsidRPr="001C6E55">
        <w:rPr>
          <w:rFonts w:ascii="Segoe UI" w:hAnsi="Segoe UI" w:cs="Segoe UI"/>
          <w:i/>
          <w:sz w:val="18"/>
          <w:szCs w:val="18"/>
        </w:rPr>
        <w:t>Fragmentos para una historia del cuerpo en Chile</w:t>
      </w:r>
      <w:r w:rsidRPr="001C6E55">
        <w:rPr>
          <w:rFonts w:ascii="Segoe UI" w:hAnsi="Segoe UI" w:cs="Segoe UI"/>
          <w:sz w:val="18"/>
          <w:szCs w:val="18"/>
        </w:rPr>
        <w:t>, Editorial Taurus, Santiago, pp. 217-256.</w:t>
      </w:r>
    </w:p>
  </w:footnote>
  <w:footnote w:id="4">
    <w:p w14:paraId="63D3658B" w14:textId="77777777" w:rsidR="001C6E55" w:rsidRPr="001C6E55" w:rsidRDefault="001C6E55" w:rsidP="001C6E55">
      <w:pPr>
        <w:pStyle w:val="FootnoteText"/>
        <w:jc w:val="both"/>
        <w:rPr>
          <w:rFonts w:ascii="Segoe UI" w:hAnsi="Segoe UI" w:cs="Segoe UI"/>
          <w:sz w:val="18"/>
          <w:szCs w:val="18"/>
        </w:rPr>
      </w:pPr>
      <w:r w:rsidRPr="001C6E55">
        <w:rPr>
          <w:rStyle w:val="FootnoteReference"/>
          <w:rFonts w:ascii="Segoe UI" w:hAnsi="Segoe UI" w:cs="Segoe UI"/>
          <w:sz w:val="18"/>
          <w:szCs w:val="18"/>
        </w:rPr>
        <w:footnoteRef/>
      </w:r>
      <w:r w:rsidRPr="001C6E55">
        <w:rPr>
          <w:rFonts w:ascii="Segoe UI" w:hAnsi="Segoe UI" w:cs="Segoe UI"/>
          <w:sz w:val="18"/>
          <w:szCs w:val="18"/>
        </w:rPr>
        <w:t xml:space="preserve"> Biblioteca Nacional de Chile (s.f.). Matrimonio y familia en Chile colonial. </w:t>
      </w:r>
      <w:r w:rsidRPr="001C6E55">
        <w:rPr>
          <w:rFonts w:ascii="Segoe UI" w:hAnsi="Segoe UI" w:cs="Segoe UI"/>
          <w:i/>
          <w:iCs/>
          <w:sz w:val="18"/>
          <w:szCs w:val="18"/>
        </w:rPr>
        <w:t>Memoria Chilena</w:t>
      </w:r>
      <w:r w:rsidRPr="001C6E55">
        <w:rPr>
          <w:rFonts w:ascii="Segoe UI" w:hAnsi="Segoe UI" w:cs="Segoe UI"/>
          <w:sz w:val="18"/>
          <w:szCs w:val="18"/>
        </w:rPr>
        <w:t xml:space="preserve">. Disponible en http://www.memoriachilena.gob.cl/602/w3-article-3607.html . </w:t>
      </w:r>
    </w:p>
  </w:footnote>
  <w:footnote w:id="5">
    <w:p w14:paraId="3FEB8061" w14:textId="77777777" w:rsidR="001C6E55" w:rsidRPr="001C6E55" w:rsidRDefault="001C6E55" w:rsidP="001C6E55">
      <w:pPr>
        <w:pStyle w:val="FootnoteText"/>
        <w:jc w:val="both"/>
        <w:rPr>
          <w:rFonts w:ascii="Segoe UI" w:hAnsi="Segoe UI" w:cs="Segoe UI"/>
          <w:sz w:val="18"/>
          <w:szCs w:val="18"/>
          <w:lang w:val="es-MX"/>
        </w:rPr>
      </w:pPr>
      <w:r w:rsidRPr="001C6E55">
        <w:rPr>
          <w:rStyle w:val="FootnoteReference"/>
          <w:rFonts w:ascii="Segoe UI" w:hAnsi="Segoe UI" w:cs="Segoe UI"/>
          <w:sz w:val="18"/>
          <w:szCs w:val="18"/>
        </w:rPr>
        <w:footnoteRef/>
      </w:r>
      <w:r w:rsidRPr="001C6E55">
        <w:rPr>
          <w:rFonts w:ascii="Segoe UI" w:hAnsi="Segoe UI" w:cs="Segoe UI"/>
          <w:sz w:val="18"/>
          <w:szCs w:val="18"/>
        </w:rPr>
        <w:t xml:space="preserve"> </w:t>
      </w:r>
      <w:r w:rsidRPr="001C6E55">
        <w:rPr>
          <w:rFonts w:ascii="Segoe UI" w:hAnsi="Segoe UI" w:cs="Segoe UI"/>
          <w:sz w:val="18"/>
          <w:szCs w:val="18"/>
          <w:lang w:val="es-MX"/>
        </w:rPr>
        <w:t xml:space="preserve">Bacigalupo, Ana Mariella. (2002). “La lucha por la masculinidad del </w:t>
      </w:r>
      <w:r w:rsidRPr="001C6E55">
        <w:rPr>
          <w:rFonts w:ascii="Segoe UI" w:hAnsi="Segoe UI" w:cs="Segoe UI"/>
          <w:i/>
          <w:iCs/>
          <w:sz w:val="18"/>
          <w:szCs w:val="18"/>
          <w:lang w:val="es-MX"/>
        </w:rPr>
        <w:t xml:space="preserve">machi: </w:t>
      </w:r>
      <w:r w:rsidRPr="001C6E55">
        <w:rPr>
          <w:rFonts w:ascii="Segoe UI" w:hAnsi="Segoe UI" w:cs="Segoe UI"/>
          <w:sz w:val="18"/>
          <w:szCs w:val="18"/>
          <w:lang w:val="es-MX"/>
        </w:rPr>
        <w:t xml:space="preserve">políticas coloniales de género, sexualidad y poder en el sur de Chile”, en </w:t>
      </w:r>
      <w:r w:rsidRPr="001C6E55">
        <w:rPr>
          <w:rFonts w:ascii="Segoe UI" w:hAnsi="Segoe UI" w:cs="Segoe UI"/>
          <w:i/>
          <w:sz w:val="18"/>
          <w:szCs w:val="18"/>
          <w:lang w:val="es-MX"/>
        </w:rPr>
        <w:t xml:space="preserve">Revista de Historia Indígena </w:t>
      </w:r>
      <w:r w:rsidRPr="001C6E55">
        <w:rPr>
          <w:rFonts w:ascii="Segoe UI" w:hAnsi="Segoe UI" w:cs="Segoe UI"/>
          <w:sz w:val="18"/>
          <w:szCs w:val="18"/>
          <w:lang w:val="es-MX"/>
        </w:rPr>
        <w:t>N°6, Departamento de Ciencias Históricas de la Universidad de Chile.</w:t>
      </w:r>
    </w:p>
  </w:footnote>
  <w:footnote w:id="6">
    <w:p w14:paraId="48A8DEE2" w14:textId="77777777" w:rsidR="001C6E55" w:rsidRPr="001C6E55" w:rsidRDefault="001C6E55" w:rsidP="001C6E55">
      <w:pPr>
        <w:pStyle w:val="FootnoteText"/>
        <w:jc w:val="both"/>
        <w:rPr>
          <w:rFonts w:ascii="Segoe UI" w:hAnsi="Segoe UI" w:cs="Segoe UI"/>
          <w:sz w:val="18"/>
          <w:szCs w:val="18"/>
        </w:rPr>
      </w:pPr>
      <w:r w:rsidRPr="001C6E55">
        <w:rPr>
          <w:rStyle w:val="FootnoteReference"/>
          <w:rFonts w:ascii="Segoe UI" w:hAnsi="Segoe UI" w:cs="Segoe UI"/>
          <w:sz w:val="18"/>
          <w:szCs w:val="18"/>
        </w:rPr>
        <w:footnoteRef/>
      </w:r>
      <w:r w:rsidRPr="001C6E55">
        <w:rPr>
          <w:rFonts w:ascii="Segoe UI" w:hAnsi="Segoe UI" w:cs="Segoe UI"/>
          <w:sz w:val="18"/>
          <w:szCs w:val="18"/>
        </w:rPr>
        <w:t xml:space="preserve"> Bravo Lira, Bernardino. (1985). “El Derecho Indiano después de la independencia en América española: legislación y doctrina”. En </w:t>
      </w:r>
      <w:r w:rsidRPr="001C6E55">
        <w:rPr>
          <w:rFonts w:ascii="Segoe UI" w:hAnsi="Segoe UI" w:cs="Segoe UI"/>
          <w:i/>
          <w:iCs/>
          <w:sz w:val="18"/>
          <w:szCs w:val="18"/>
        </w:rPr>
        <w:t>Revista de Historia</w:t>
      </w:r>
      <w:r w:rsidRPr="001C6E55">
        <w:rPr>
          <w:rFonts w:ascii="Segoe UI" w:hAnsi="Segoe UI" w:cs="Segoe UI"/>
          <w:sz w:val="18"/>
          <w:szCs w:val="18"/>
        </w:rPr>
        <w:t xml:space="preserve">, vol. 19, pp. 5-52. </w:t>
      </w:r>
    </w:p>
  </w:footnote>
  <w:footnote w:id="7">
    <w:p w14:paraId="117B4F2F" w14:textId="77777777" w:rsidR="001C6E55" w:rsidRPr="001C6E55" w:rsidRDefault="001C6E55" w:rsidP="001C6E55">
      <w:pPr>
        <w:pStyle w:val="FootnoteText"/>
        <w:jc w:val="both"/>
        <w:rPr>
          <w:rFonts w:ascii="Segoe UI" w:hAnsi="Segoe UI" w:cs="Segoe UI"/>
          <w:sz w:val="18"/>
          <w:szCs w:val="18"/>
        </w:rPr>
      </w:pPr>
      <w:r w:rsidRPr="001C6E55">
        <w:rPr>
          <w:rStyle w:val="FootnoteReference"/>
          <w:rFonts w:ascii="Segoe UI" w:hAnsi="Segoe UI" w:cs="Segoe UI"/>
          <w:sz w:val="18"/>
          <w:szCs w:val="18"/>
        </w:rPr>
        <w:footnoteRef/>
      </w:r>
      <w:r w:rsidRPr="001C6E55">
        <w:rPr>
          <w:rFonts w:ascii="Segoe UI" w:hAnsi="Segoe UI" w:cs="Segoe UI"/>
          <w:sz w:val="18"/>
          <w:szCs w:val="18"/>
        </w:rPr>
        <w:t xml:space="preserve"> Biblioteca Nacional de Chile. (s.f.) El derecho indiano. </w:t>
      </w:r>
      <w:r w:rsidRPr="001C6E55">
        <w:rPr>
          <w:rFonts w:ascii="Segoe UI" w:hAnsi="Segoe UI" w:cs="Segoe UI"/>
          <w:i/>
          <w:iCs/>
          <w:sz w:val="18"/>
          <w:szCs w:val="18"/>
        </w:rPr>
        <w:t>Memoria Chilena</w:t>
      </w:r>
      <w:r w:rsidRPr="001C6E55">
        <w:rPr>
          <w:rFonts w:ascii="Segoe UI" w:hAnsi="Segoe UI" w:cs="Segoe UI"/>
          <w:sz w:val="18"/>
          <w:szCs w:val="18"/>
        </w:rPr>
        <w:t xml:space="preserve">. Disponible en </w:t>
      </w:r>
      <w:hyperlink r:id="rId1">
        <w:r w:rsidRPr="001C6E55">
          <w:rPr>
            <w:rStyle w:val="Hyperlink"/>
            <w:rFonts w:ascii="Segoe UI" w:hAnsi="Segoe UI" w:cs="Segoe UI"/>
            <w:sz w:val="18"/>
            <w:szCs w:val="18"/>
          </w:rPr>
          <w:t>https://www.memoriachilena.gob.cl/602/w3-article-598.html</w:t>
        </w:r>
      </w:hyperlink>
      <w:r w:rsidRPr="001C6E55">
        <w:rPr>
          <w:rFonts w:ascii="Segoe UI" w:hAnsi="Segoe UI" w:cs="Segoe UI"/>
          <w:sz w:val="18"/>
          <w:szCs w:val="18"/>
        </w:rPr>
        <w:t xml:space="preserve">   </w:t>
      </w:r>
    </w:p>
  </w:footnote>
  <w:footnote w:id="8">
    <w:p w14:paraId="429971B3" w14:textId="77777777" w:rsidR="001C6E55" w:rsidRPr="001C6E55" w:rsidRDefault="001C6E55" w:rsidP="001C6E55">
      <w:pPr>
        <w:pStyle w:val="FootnoteText"/>
        <w:jc w:val="both"/>
        <w:rPr>
          <w:rFonts w:ascii="Segoe UI" w:hAnsi="Segoe UI" w:cs="Segoe UI"/>
          <w:sz w:val="18"/>
          <w:szCs w:val="18"/>
        </w:rPr>
      </w:pPr>
      <w:r w:rsidRPr="001C6E55">
        <w:rPr>
          <w:rStyle w:val="FootnoteReference"/>
          <w:rFonts w:ascii="Segoe UI" w:hAnsi="Segoe UI" w:cs="Segoe UI"/>
          <w:sz w:val="18"/>
          <w:szCs w:val="18"/>
        </w:rPr>
        <w:footnoteRef/>
      </w:r>
      <w:r w:rsidRPr="001C6E55">
        <w:rPr>
          <w:rFonts w:ascii="Segoe UI" w:hAnsi="Segoe UI" w:cs="Segoe UI"/>
          <w:sz w:val="18"/>
          <w:szCs w:val="18"/>
        </w:rPr>
        <w:t xml:space="preserve"> </w:t>
      </w:r>
      <w:r w:rsidRPr="001C6E55">
        <w:rPr>
          <w:rFonts w:ascii="Segoe UI" w:eastAsiaTheme="minorEastAsia" w:hAnsi="Segoe UI" w:cs="Segoe UI"/>
          <w:color w:val="000000" w:themeColor="text1"/>
          <w:sz w:val="18"/>
          <w:szCs w:val="18"/>
        </w:rPr>
        <w:t xml:space="preserve">Salinas Araneda, Carlos. (2000). Vigencia Del Derecho Indiano en Chile Republicano: Personalidad Jurídica de las Congregaciones Religiosas. </w:t>
      </w:r>
      <w:r w:rsidRPr="001C6E55">
        <w:rPr>
          <w:rFonts w:ascii="Segoe UI" w:eastAsiaTheme="minorEastAsia" w:hAnsi="Segoe UI" w:cs="Segoe UI"/>
          <w:i/>
          <w:iCs/>
          <w:color w:val="000000" w:themeColor="text1"/>
          <w:sz w:val="18"/>
          <w:szCs w:val="18"/>
        </w:rPr>
        <w:t>Revista de estudios histórico-jurídicos</w:t>
      </w:r>
      <w:r w:rsidRPr="001C6E55">
        <w:rPr>
          <w:rFonts w:ascii="Segoe UI" w:eastAsiaTheme="minorEastAsia" w:hAnsi="Segoe UI" w:cs="Segoe UI"/>
          <w:color w:val="000000" w:themeColor="text1"/>
          <w:sz w:val="18"/>
          <w:szCs w:val="18"/>
        </w:rPr>
        <w:t xml:space="preserve">, (22), 299-316. </w:t>
      </w:r>
      <w:r w:rsidRPr="001C6E55">
        <w:rPr>
          <w:rFonts w:ascii="Segoe UI" w:eastAsiaTheme="minorEastAsia" w:hAnsi="Segoe UI" w:cs="Segoe UI"/>
          <w:sz w:val="18"/>
          <w:szCs w:val="18"/>
        </w:rPr>
        <w:t xml:space="preserve">Disponible en: </w:t>
      </w:r>
      <w:hyperlink r:id="rId2">
        <w:r w:rsidRPr="001C6E55">
          <w:rPr>
            <w:rStyle w:val="Hyperlink"/>
            <w:rFonts w:ascii="Segoe UI" w:eastAsiaTheme="minorEastAsia" w:hAnsi="Segoe UI" w:cs="Segoe UI"/>
            <w:sz w:val="18"/>
            <w:szCs w:val="18"/>
          </w:rPr>
          <w:t>https://www.scielo.cl/scielo.php?script=sci_arttext&amp;pid=S0716-54552000002200013</w:t>
        </w:r>
      </w:hyperlink>
      <w:r w:rsidRPr="001C6E55">
        <w:rPr>
          <w:rFonts w:ascii="Segoe UI" w:eastAsiaTheme="minorEastAsia" w:hAnsi="Segoe UI" w:cs="Segoe UI"/>
          <w:sz w:val="18"/>
          <w:szCs w:val="18"/>
        </w:rPr>
        <w:t xml:space="preserve"> </w:t>
      </w:r>
    </w:p>
  </w:footnote>
  <w:footnote w:id="9">
    <w:p w14:paraId="13ABBFA4" w14:textId="77777777" w:rsidR="001C6E55" w:rsidRPr="001C6E55" w:rsidRDefault="001C6E55" w:rsidP="001C6E55">
      <w:pPr>
        <w:pStyle w:val="FootnoteText"/>
        <w:jc w:val="both"/>
        <w:rPr>
          <w:rFonts w:ascii="Segoe UI" w:hAnsi="Segoe UI" w:cs="Segoe UI"/>
          <w:sz w:val="18"/>
          <w:szCs w:val="18"/>
        </w:rPr>
      </w:pPr>
      <w:r w:rsidRPr="001C6E55">
        <w:rPr>
          <w:rStyle w:val="FootnoteReference"/>
          <w:rFonts w:ascii="Segoe UI" w:hAnsi="Segoe UI" w:cs="Segoe UI"/>
          <w:sz w:val="18"/>
          <w:szCs w:val="18"/>
        </w:rPr>
        <w:footnoteRef/>
      </w:r>
      <w:r w:rsidRPr="001C6E55">
        <w:rPr>
          <w:rFonts w:ascii="Segoe UI" w:hAnsi="Segoe UI" w:cs="Segoe UI"/>
          <w:sz w:val="18"/>
          <w:szCs w:val="18"/>
        </w:rPr>
        <w:t xml:space="preserve"> Biblioteca Nacional de Chile. (s.f.). Discursos sobre la homosexualidad en Chile (1875-1999). </w:t>
      </w:r>
      <w:r w:rsidRPr="001C6E55">
        <w:rPr>
          <w:rFonts w:ascii="Segoe UI" w:hAnsi="Segoe UI" w:cs="Segoe UI"/>
          <w:i/>
          <w:iCs/>
          <w:sz w:val="18"/>
          <w:szCs w:val="18"/>
        </w:rPr>
        <w:t>Memoria Chilena</w:t>
      </w:r>
      <w:r w:rsidRPr="001C6E55">
        <w:rPr>
          <w:rFonts w:ascii="Segoe UI" w:hAnsi="Segoe UI" w:cs="Segoe UI"/>
          <w:sz w:val="18"/>
          <w:szCs w:val="18"/>
        </w:rPr>
        <w:t xml:space="preserve">. Disponible en </w:t>
      </w:r>
      <w:hyperlink r:id="rId3">
        <w:r w:rsidRPr="001C6E55">
          <w:rPr>
            <w:rStyle w:val="Hyperlink"/>
            <w:rFonts w:ascii="Segoe UI" w:hAnsi="Segoe UI" w:cs="Segoe UI"/>
            <w:sz w:val="18"/>
            <w:szCs w:val="18"/>
          </w:rPr>
          <w:t>http://www.memoriachilena.gob.cl/602/w3-article-589202.html</w:t>
        </w:r>
      </w:hyperlink>
      <w:r w:rsidRPr="001C6E55">
        <w:rPr>
          <w:rFonts w:ascii="Segoe UI" w:hAnsi="Segoe UI" w:cs="Segoe UI"/>
          <w:sz w:val="18"/>
          <w:szCs w:val="18"/>
        </w:rPr>
        <w:t xml:space="preserve">  </w:t>
      </w:r>
    </w:p>
  </w:footnote>
  <w:footnote w:id="10">
    <w:p w14:paraId="3EE3A15D" w14:textId="77777777" w:rsidR="001C6E55" w:rsidRPr="001C6E55" w:rsidRDefault="001C6E55" w:rsidP="001C6E55">
      <w:pPr>
        <w:pStyle w:val="FootnoteText"/>
        <w:jc w:val="both"/>
        <w:rPr>
          <w:rFonts w:ascii="Segoe UI" w:hAnsi="Segoe UI" w:cs="Segoe UI"/>
          <w:sz w:val="18"/>
          <w:szCs w:val="18"/>
        </w:rPr>
      </w:pPr>
      <w:r w:rsidRPr="001C6E55">
        <w:rPr>
          <w:rStyle w:val="FootnoteReference"/>
          <w:rFonts w:ascii="Segoe UI" w:hAnsi="Segoe UI" w:cs="Segoe UI"/>
          <w:sz w:val="18"/>
          <w:szCs w:val="18"/>
        </w:rPr>
        <w:footnoteRef/>
      </w:r>
      <w:r w:rsidRPr="001C6E55">
        <w:rPr>
          <w:rFonts w:ascii="Segoe UI" w:hAnsi="Segoe UI" w:cs="Segoe UI"/>
          <w:sz w:val="18"/>
          <w:szCs w:val="18"/>
        </w:rPr>
        <w:t xml:space="preserve"> Biblioteca Nacional de Chile. (s.f.)."Criminalización de la homosexualidad", en: Discursos sobre la homosexualidad en Chile (1875-1999). </w:t>
      </w:r>
      <w:r w:rsidRPr="001C6E55">
        <w:rPr>
          <w:rFonts w:ascii="Segoe UI" w:hAnsi="Segoe UI" w:cs="Segoe UI"/>
          <w:i/>
          <w:iCs/>
          <w:sz w:val="18"/>
          <w:szCs w:val="18"/>
        </w:rPr>
        <w:t>Memoria Chilena</w:t>
      </w:r>
      <w:r w:rsidRPr="001C6E55">
        <w:rPr>
          <w:rFonts w:ascii="Segoe UI" w:hAnsi="Segoe UI" w:cs="Segoe UI"/>
          <w:sz w:val="18"/>
          <w:szCs w:val="18"/>
        </w:rPr>
        <w:t xml:space="preserve">. Disponible en </w:t>
      </w:r>
      <w:hyperlink r:id="rId4">
        <w:r w:rsidRPr="001C6E55">
          <w:rPr>
            <w:rStyle w:val="Hyperlink"/>
            <w:rFonts w:ascii="Segoe UI" w:hAnsi="Segoe UI" w:cs="Segoe UI"/>
            <w:sz w:val="18"/>
            <w:szCs w:val="18"/>
          </w:rPr>
          <w:t>https://www.memoriachilena.gob.cl/602/w3-article-589194.html</w:t>
        </w:r>
      </w:hyperlink>
      <w:r w:rsidRPr="001C6E55">
        <w:rPr>
          <w:rFonts w:ascii="Segoe UI" w:hAnsi="Segoe UI" w:cs="Segoe UI"/>
          <w:sz w:val="18"/>
          <w:szCs w:val="18"/>
        </w:rPr>
        <w:t xml:space="preserve">  </w:t>
      </w:r>
    </w:p>
  </w:footnote>
  <w:footnote w:id="11">
    <w:p w14:paraId="3DB23BC3" w14:textId="77777777" w:rsidR="001C6E55" w:rsidRPr="001C6E55" w:rsidRDefault="001C6E55" w:rsidP="001C6E55">
      <w:pPr>
        <w:pStyle w:val="FootnoteText"/>
        <w:jc w:val="both"/>
        <w:rPr>
          <w:rFonts w:ascii="Segoe UI" w:hAnsi="Segoe UI" w:cs="Segoe UI"/>
          <w:sz w:val="18"/>
          <w:szCs w:val="18"/>
          <w:lang w:val="es-MX"/>
        </w:rPr>
      </w:pPr>
      <w:r w:rsidRPr="001C6E55">
        <w:rPr>
          <w:rStyle w:val="FootnoteReference"/>
          <w:rFonts w:ascii="Segoe UI" w:hAnsi="Segoe UI" w:cs="Segoe UI"/>
          <w:sz w:val="18"/>
          <w:szCs w:val="18"/>
        </w:rPr>
        <w:footnoteRef/>
      </w:r>
      <w:r w:rsidRPr="001C6E55">
        <w:rPr>
          <w:rFonts w:ascii="Segoe UI" w:hAnsi="Segoe UI" w:cs="Segoe UI"/>
          <w:sz w:val="18"/>
          <w:szCs w:val="18"/>
        </w:rPr>
        <w:t xml:space="preserve"> </w:t>
      </w:r>
      <w:r w:rsidRPr="001C6E55">
        <w:rPr>
          <w:rFonts w:ascii="Segoe UI" w:eastAsiaTheme="minorEastAsia" w:hAnsi="Segoe UI" w:cs="Segoe UI"/>
          <w:color w:val="000000" w:themeColor="text1"/>
          <w:sz w:val="18"/>
          <w:szCs w:val="18"/>
        </w:rPr>
        <w:t xml:space="preserve">Westermeyer Hernández, Felipe. (2022). La Constitución chilena de 1818: ¿Derecho indiano del siglo XIX?. </w:t>
      </w:r>
      <w:r w:rsidRPr="001C6E55">
        <w:rPr>
          <w:rFonts w:ascii="Segoe UI" w:eastAsiaTheme="minorEastAsia" w:hAnsi="Segoe UI" w:cs="Segoe UI"/>
          <w:i/>
          <w:iCs/>
          <w:color w:val="000000" w:themeColor="text1"/>
          <w:sz w:val="18"/>
          <w:szCs w:val="18"/>
        </w:rPr>
        <w:t>Revista de estudios histórico-jurídicos</w:t>
      </w:r>
      <w:r w:rsidRPr="001C6E55">
        <w:rPr>
          <w:rFonts w:ascii="Segoe UI" w:eastAsiaTheme="minorEastAsia" w:hAnsi="Segoe UI" w:cs="Segoe UI"/>
          <w:color w:val="000000" w:themeColor="text1"/>
          <w:sz w:val="18"/>
          <w:szCs w:val="18"/>
        </w:rPr>
        <w:t xml:space="preserve">, (44), 633-661. Disponible en: </w:t>
      </w:r>
      <w:hyperlink r:id="rId5">
        <w:r w:rsidRPr="001C6E55">
          <w:rPr>
            <w:rStyle w:val="Hyperlink"/>
            <w:rFonts w:ascii="Segoe UI" w:eastAsiaTheme="minorEastAsia" w:hAnsi="Segoe UI" w:cs="Segoe UI"/>
            <w:sz w:val="18"/>
            <w:szCs w:val="18"/>
          </w:rPr>
          <w:t>https://www.scielo.cl/scielo.php?script=sci_arttext&amp;pid=S0716-54552022000100633</w:t>
        </w:r>
      </w:hyperlink>
      <w:r w:rsidRPr="001C6E55">
        <w:rPr>
          <w:rFonts w:ascii="Segoe UI" w:eastAsiaTheme="minorEastAsia" w:hAnsi="Segoe UI" w:cs="Segoe UI"/>
          <w:sz w:val="18"/>
          <w:szCs w:val="18"/>
        </w:rPr>
        <w:t xml:space="preserve"> </w:t>
      </w:r>
    </w:p>
  </w:footnote>
  <w:footnote w:id="12">
    <w:p w14:paraId="79AB6C8C" w14:textId="77777777" w:rsidR="001C6E55" w:rsidRPr="001C6E55" w:rsidRDefault="001C6E55" w:rsidP="001C6E55">
      <w:pPr>
        <w:pStyle w:val="FootnoteText"/>
        <w:jc w:val="both"/>
        <w:rPr>
          <w:rFonts w:ascii="Segoe UI" w:hAnsi="Segoe UI" w:cs="Segoe UI"/>
          <w:sz w:val="18"/>
          <w:szCs w:val="18"/>
        </w:rPr>
      </w:pPr>
      <w:r w:rsidRPr="001C6E55">
        <w:rPr>
          <w:rStyle w:val="FootnoteReference"/>
          <w:rFonts w:ascii="Segoe UI" w:hAnsi="Segoe UI" w:cs="Segoe UI"/>
          <w:sz w:val="18"/>
          <w:szCs w:val="18"/>
        </w:rPr>
        <w:footnoteRef/>
      </w:r>
      <w:r w:rsidRPr="001C6E55">
        <w:rPr>
          <w:rFonts w:ascii="Segoe UI" w:hAnsi="Segoe UI" w:cs="Segoe UI"/>
          <w:sz w:val="18"/>
          <w:szCs w:val="18"/>
        </w:rPr>
        <w:t xml:space="preserve"> Biblioteca Nacional de Chile. (s.f.). Discursos sobre la homosexualidad en Chile (1875-1999). </w:t>
      </w:r>
      <w:r w:rsidRPr="001C6E55">
        <w:rPr>
          <w:rFonts w:ascii="Segoe UI" w:hAnsi="Segoe UI" w:cs="Segoe UI"/>
          <w:i/>
          <w:iCs/>
          <w:sz w:val="18"/>
          <w:szCs w:val="18"/>
        </w:rPr>
        <w:t>Memoria Chilena</w:t>
      </w:r>
      <w:r w:rsidRPr="001C6E55">
        <w:rPr>
          <w:rFonts w:ascii="Segoe UI" w:hAnsi="Segoe UI" w:cs="Segoe UI"/>
          <w:sz w:val="18"/>
          <w:szCs w:val="18"/>
        </w:rPr>
        <w:t xml:space="preserve">. Disponible en </w:t>
      </w:r>
      <w:hyperlink r:id="rId6">
        <w:r w:rsidRPr="001C6E55">
          <w:rPr>
            <w:rStyle w:val="Hyperlink"/>
            <w:rFonts w:ascii="Segoe UI" w:hAnsi="Segoe UI" w:cs="Segoe UI"/>
            <w:sz w:val="18"/>
            <w:szCs w:val="18"/>
          </w:rPr>
          <w:t>http://www.memoriachilena.gob.cl/602/w3-article-589202.html</w:t>
        </w:r>
      </w:hyperlink>
      <w:r w:rsidRPr="001C6E55">
        <w:rPr>
          <w:rFonts w:ascii="Segoe UI" w:hAnsi="Segoe UI" w:cs="Segoe UI"/>
          <w:sz w:val="18"/>
          <w:szCs w:val="18"/>
        </w:rPr>
        <w:t xml:space="preserve"> </w:t>
      </w:r>
    </w:p>
  </w:footnote>
  <w:footnote w:id="13">
    <w:p w14:paraId="4070265A" w14:textId="77777777" w:rsidR="001C6E55" w:rsidRPr="001C6E55" w:rsidRDefault="001C6E55" w:rsidP="001C6E55">
      <w:pPr>
        <w:pStyle w:val="FootnoteText"/>
        <w:jc w:val="both"/>
        <w:rPr>
          <w:rFonts w:ascii="Segoe UI" w:hAnsi="Segoe UI" w:cs="Segoe UI"/>
          <w:sz w:val="18"/>
          <w:szCs w:val="18"/>
          <w:lang w:val="es-MX"/>
        </w:rPr>
      </w:pPr>
      <w:r w:rsidRPr="001C6E55">
        <w:rPr>
          <w:rStyle w:val="FootnoteReference"/>
          <w:rFonts w:ascii="Segoe UI" w:hAnsi="Segoe UI" w:cs="Segoe UI"/>
          <w:sz w:val="18"/>
          <w:szCs w:val="18"/>
        </w:rPr>
        <w:footnoteRef/>
      </w:r>
      <w:r w:rsidRPr="001C6E55">
        <w:rPr>
          <w:rFonts w:ascii="Segoe UI" w:hAnsi="Segoe UI" w:cs="Segoe UI"/>
          <w:sz w:val="18"/>
          <w:szCs w:val="18"/>
        </w:rPr>
        <w:t xml:space="preserve"> </w:t>
      </w:r>
      <w:r w:rsidRPr="001C6E55">
        <w:rPr>
          <w:rFonts w:ascii="Segoe UI" w:hAnsi="Segoe UI" w:cs="Segoe UI"/>
          <w:sz w:val="18"/>
          <w:szCs w:val="18"/>
          <w:lang w:val="es-MX"/>
        </w:rPr>
        <w:t xml:space="preserve">Figueroa Silva, Esau. (2020). “Sexualidad e Historia en Chile: un ensayo sobre el conflicto y el control”, en </w:t>
      </w:r>
      <w:r w:rsidRPr="001C6E55">
        <w:rPr>
          <w:rFonts w:ascii="Segoe UI" w:hAnsi="Segoe UI" w:cs="Segoe UI"/>
          <w:i/>
          <w:sz w:val="18"/>
          <w:szCs w:val="18"/>
          <w:lang w:val="es-MX"/>
        </w:rPr>
        <w:t>RELIES: Revista del Laboratorio Iberoamericano para el Estudio Sociohistórico de las Sexualidades</w:t>
      </w:r>
      <w:r w:rsidRPr="001C6E55">
        <w:rPr>
          <w:rFonts w:ascii="Segoe UI" w:hAnsi="Segoe UI" w:cs="Segoe UI"/>
          <w:sz w:val="18"/>
          <w:szCs w:val="18"/>
          <w:lang w:val="es-MX"/>
        </w:rPr>
        <w:t>, número 2, p.93.</w:t>
      </w:r>
    </w:p>
  </w:footnote>
  <w:footnote w:id="14">
    <w:p w14:paraId="297C2F53" w14:textId="77777777" w:rsidR="001C6E55" w:rsidRPr="001C6E55" w:rsidRDefault="001C6E55" w:rsidP="001C6E55">
      <w:pPr>
        <w:pStyle w:val="FootnoteText"/>
        <w:jc w:val="both"/>
        <w:rPr>
          <w:rFonts w:ascii="Segoe UI" w:hAnsi="Segoe UI" w:cs="Segoe UI"/>
          <w:sz w:val="18"/>
          <w:szCs w:val="18"/>
        </w:rPr>
      </w:pPr>
      <w:r w:rsidRPr="001C6E55">
        <w:rPr>
          <w:rStyle w:val="FootnoteReference"/>
          <w:rFonts w:ascii="Segoe UI" w:hAnsi="Segoe UI" w:cs="Segoe UI"/>
          <w:sz w:val="18"/>
          <w:szCs w:val="18"/>
        </w:rPr>
        <w:footnoteRef/>
      </w:r>
      <w:r w:rsidRPr="001C6E55">
        <w:rPr>
          <w:rFonts w:ascii="Segoe UI" w:hAnsi="Segoe UI" w:cs="Segoe UI"/>
          <w:sz w:val="18"/>
          <w:szCs w:val="18"/>
        </w:rPr>
        <w:t xml:space="preserve"> Biblioteca Nacional De Chile. (s.f.) Discursos sobre la homosexualidad en Chile (1875-1999). </w:t>
      </w:r>
      <w:r w:rsidRPr="001C6E55">
        <w:rPr>
          <w:rFonts w:ascii="Segoe UI" w:hAnsi="Segoe UI" w:cs="Segoe UI"/>
          <w:i/>
          <w:iCs/>
          <w:sz w:val="18"/>
          <w:szCs w:val="18"/>
        </w:rPr>
        <w:t>Memoria Chilena.</w:t>
      </w:r>
      <w:r w:rsidRPr="001C6E55">
        <w:rPr>
          <w:rFonts w:ascii="Segoe UI" w:hAnsi="Segoe UI" w:cs="Segoe UI"/>
          <w:sz w:val="18"/>
          <w:szCs w:val="18"/>
        </w:rPr>
        <w:t xml:space="preserve"> Disponible en http://www.memoriachilena.gob.cl/602/w3-article-589202.html </w:t>
      </w:r>
    </w:p>
  </w:footnote>
  <w:footnote w:id="15">
    <w:p w14:paraId="1C305AD2" w14:textId="77777777" w:rsidR="001C6E55" w:rsidRPr="001C6E55" w:rsidRDefault="001C6E55" w:rsidP="001C6E55">
      <w:pPr>
        <w:pStyle w:val="FootnoteText"/>
        <w:jc w:val="both"/>
        <w:rPr>
          <w:rFonts w:ascii="Segoe UI" w:hAnsi="Segoe UI" w:cs="Segoe UI"/>
          <w:sz w:val="18"/>
          <w:szCs w:val="18"/>
        </w:rPr>
      </w:pPr>
      <w:r w:rsidRPr="001C6E55">
        <w:rPr>
          <w:rStyle w:val="FootnoteReference"/>
          <w:rFonts w:ascii="Segoe UI" w:hAnsi="Segoe UI" w:cs="Segoe UI"/>
          <w:sz w:val="18"/>
          <w:szCs w:val="18"/>
        </w:rPr>
        <w:footnoteRef/>
      </w:r>
      <w:r w:rsidRPr="001C6E55">
        <w:rPr>
          <w:rFonts w:ascii="Segoe UI" w:hAnsi="Segoe UI" w:cs="Segoe UI"/>
          <w:sz w:val="18"/>
          <w:szCs w:val="18"/>
        </w:rPr>
        <w:t xml:space="preserve"> Movimiento de Integración y Liberación Homosexual. (s.f.). Legalización de las orientaciones sexuales diversas y término de la criminalización. Disponible en: </w:t>
      </w:r>
      <w:hyperlink r:id="rId7">
        <w:r w:rsidRPr="001C6E55">
          <w:rPr>
            <w:rStyle w:val="Hyperlink"/>
            <w:rFonts w:ascii="Segoe UI" w:hAnsi="Segoe UI" w:cs="Segoe UI"/>
            <w:sz w:val="18"/>
            <w:szCs w:val="18"/>
          </w:rPr>
          <w:t>https://www.movilh.cl/biblioteca/legislacion/</w:t>
        </w:r>
      </w:hyperlink>
      <w:r w:rsidRPr="001C6E55">
        <w:rPr>
          <w:rFonts w:ascii="Segoe UI" w:hAnsi="Segoe UI" w:cs="Segoe UI"/>
          <w:sz w:val="18"/>
          <w:szCs w:val="18"/>
        </w:rPr>
        <w:t xml:space="preserve"> </w:t>
      </w:r>
    </w:p>
  </w:footnote>
  <w:footnote w:id="16">
    <w:p w14:paraId="0618F1B3" w14:textId="77777777" w:rsidR="001C6E55" w:rsidRPr="001C6E55" w:rsidRDefault="001C6E55" w:rsidP="001C6E55">
      <w:pPr>
        <w:pStyle w:val="FootnoteText"/>
        <w:jc w:val="both"/>
        <w:rPr>
          <w:rFonts w:ascii="Segoe UI" w:hAnsi="Segoe UI" w:cs="Segoe UI"/>
          <w:sz w:val="18"/>
          <w:szCs w:val="18"/>
          <w:lang w:val="es-MX"/>
        </w:rPr>
      </w:pPr>
      <w:r w:rsidRPr="001C6E55">
        <w:rPr>
          <w:rStyle w:val="FootnoteReference"/>
          <w:rFonts w:ascii="Segoe UI" w:hAnsi="Segoe UI" w:cs="Segoe UI"/>
          <w:sz w:val="18"/>
          <w:szCs w:val="18"/>
        </w:rPr>
        <w:footnoteRef/>
      </w:r>
      <w:r w:rsidRPr="001C6E55">
        <w:rPr>
          <w:rFonts w:ascii="Segoe UI" w:hAnsi="Segoe UI" w:cs="Segoe UI"/>
          <w:sz w:val="18"/>
          <w:szCs w:val="18"/>
        </w:rPr>
        <w:t xml:space="preserve"> Salinas, R. (2010). “Cuerpo y erotismo en Chile”, en Cóngora, A. y Sagredo, R. (Eds.), Fragmentos para una historia del cuerpo en Chile, Editorial Taurus, Santiago, pp. 217-256.</w:t>
      </w:r>
    </w:p>
  </w:footnote>
  <w:footnote w:id="17">
    <w:p w14:paraId="05FD177A" w14:textId="77777777" w:rsidR="001C6E55" w:rsidRPr="001C6E55" w:rsidRDefault="001C6E55" w:rsidP="001C6E55">
      <w:pPr>
        <w:pStyle w:val="FootnoteText"/>
        <w:jc w:val="both"/>
        <w:rPr>
          <w:rFonts w:ascii="Segoe UI" w:hAnsi="Segoe UI" w:cs="Segoe UI"/>
          <w:sz w:val="18"/>
          <w:szCs w:val="18"/>
          <w:lang w:val="es-MX"/>
        </w:rPr>
      </w:pPr>
      <w:r w:rsidRPr="001C6E55">
        <w:rPr>
          <w:rStyle w:val="FootnoteReference"/>
          <w:rFonts w:ascii="Segoe UI" w:hAnsi="Segoe UI" w:cs="Segoe UI"/>
          <w:sz w:val="18"/>
          <w:szCs w:val="18"/>
        </w:rPr>
        <w:footnoteRef/>
      </w:r>
      <w:r w:rsidRPr="001C6E55">
        <w:rPr>
          <w:rFonts w:ascii="Segoe UI" w:hAnsi="Segoe UI" w:cs="Segoe UI"/>
          <w:sz w:val="18"/>
          <w:szCs w:val="18"/>
        </w:rPr>
        <w:t xml:space="preserve"> </w:t>
      </w:r>
      <w:r w:rsidRPr="001C6E55">
        <w:rPr>
          <w:rFonts w:ascii="Segoe UI" w:hAnsi="Segoe UI" w:cs="Segoe UI"/>
          <w:sz w:val="18"/>
          <w:szCs w:val="18"/>
          <w:lang w:val="es-MX"/>
        </w:rPr>
        <w:t xml:space="preserve">Figueroa Silva, Esau. (2020). “Sexualidad e Historia en Chile: un ensayo sobre el conflicto y el control”, en </w:t>
      </w:r>
      <w:r w:rsidRPr="001C6E55">
        <w:rPr>
          <w:rFonts w:ascii="Segoe UI" w:hAnsi="Segoe UI" w:cs="Segoe UI"/>
          <w:i/>
          <w:sz w:val="18"/>
          <w:szCs w:val="18"/>
          <w:lang w:val="es-MX"/>
        </w:rPr>
        <w:t>RELIES: Revista del Laboratorio Iberoamericano para el Estudio Sociohistórico de las Sexualidades</w:t>
      </w:r>
      <w:r w:rsidRPr="001C6E55">
        <w:rPr>
          <w:rFonts w:ascii="Segoe UI" w:hAnsi="Segoe UI" w:cs="Segoe UI"/>
          <w:sz w:val="18"/>
          <w:szCs w:val="18"/>
          <w:lang w:val="es-MX"/>
        </w:rPr>
        <w:t>, número 2, p.95.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C7D4D" w14:textId="77777777" w:rsidR="00435C8A" w:rsidRPr="00D65F3B" w:rsidRDefault="00435C8A" w:rsidP="00F62063">
    <w:pPr>
      <w:pBdr>
        <w:top w:val="nil"/>
        <w:left w:val="nil"/>
        <w:bottom w:val="nil"/>
        <w:right w:val="nil"/>
        <w:between w:val="nil"/>
      </w:pBdr>
      <w:tabs>
        <w:tab w:val="center" w:pos="4252"/>
        <w:tab w:val="right" w:pos="8504"/>
      </w:tabs>
      <w:spacing w:line="240" w:lineRule="auto"/>
      <w:jc w:val="right"/>
      <w:rPr>
        <w:rFonts w:ascii="Segoe UI" w:eastAsia="Quattrocento Sans" w:hAnsi="Segoe UI" w:cs="Segoe UI"/>
        <w:b/>
        <w:color w:val="000000"/>
      </w:rPr>
    </w:pPr>
    <w:r w:rsidRPr="00D65F3B">
      <w:rPr>
        <w:rFonts w:ascii="Segoe UI" w:eastAsia="Quattrocento Sans" w:hAnsi="Segoe UI" w:cs="Segoe UI"/>
        <w:b/>
        <w:color w:val="000000"/>
      </w:rPr>
      <w:tab/>
    </w:r>
    <w:r w:rsidRPr="00D65F3B">
      <w:rPr>
        <w:rFonts w:ascii="Segoe UI" w:eastAsia="Quattrocento Sans" w:hAnsi="Segoe UI" w:cs="Segoe UI"/>
        <w:b/>
        <w:color w:val="000000"/>
      </w:rPr>
      <w:tab/>
    </w:r>
    <w:r w:rsidRPr="00D65F3B">
      <w:rPr>
        <w:rFonts w:ascii="Segoe UI" w:hAnsi="Segoe UI" w:cs="Segoe UI"/>
        <w:noProof/>
        <w:lang w:eastAsia="es-CL"/>
      </w:rPr>
      <w:drawing>
        <wp:anchor distT="0" distB="0" distL="0" distR="0" simplePos="0" relativeHeight="251659264" behindDoc="1" locked="0" layoutInCell="1" hidden="0" allowOverlap="1" wp14:anchorId="3267A2AE" wp14:editId="4CD8BA29">
          <wp:simplePos x="0" y="0"/>
          <wp:positionH relativeFrom="column">
            <wp:posOffset>-3809</wp:posOffset>
          </wp:positionH>
          <wp:positionV relativeFrom="paragraph">
            <wp:posOffset>-1904</wp:posOffset>
          </wp:positionV>
          <wp:extent cx="1152525" cy="104267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52525" cy="1042675"/>
                  </a:xfrm>
                  <a:prstGeom prst="rect">
                    <a:avLst/>
                  </a:prstGeom>
                  <a:ln/>
                </pic:spPr>
              </pic:pic>
            </a:graphicData>
          </a:graphic>
        </wp:anchor>
      </w:drawing>
    </w:r>
  </w:p>
  <w:p w14:paraId="0C2FD342" w14:textId="77777777" w:rsidR="00435C8A" w:rsidRPr="00D65F3B" w:rsidRDefault="00435C8A" w:rsidP="00F62063">
    <w:pPr>
      <w:pBdr>
        <w:top w:val="nil"/>
        <w:left w:val="nil"/>
        <w:bottom w:val="nil"/>
        <w:right w:val="nil"/>
        <w:between w:val="nil"/>
      </w:pBdr>
      <w:tabs>
        <w:tab w:val="center" w:pos="4252"/>
        <w:tab w:val="right" w:pos="8504"/>
      </w:tabs>
      <w:spacing w:after="0" w:line="240" w:lineRule="auto"/>
      <w:jc w:val="right"/>
      <w:rPr>
        <w:rFonts w:ascii="Segoe UI" w:eastAsia="Quattrocento Sans" w:hAnsi="Segoe UI" w:cs="Segoe UI"/>
        <w:color w:val="000000"/>
      </w:rPr>
    </w:pPr>
    <w:r w:rsidRPr="00D65F3B">
      <w:rPr>
        <w:rFonts w:ascii="Segoe UI" w:eastAsia="Quattrocento Sans" w:hAnsi="Segoe UI" w:cs="Segoe UI"/>
        <w:color w:val="000000"/>
      </w:rPr>
      <w:t>Ministerio de Relaciones Exteriores</w:t>
    </w:r>
  </w:p>
  <w:p w14:paraId="21C84E1D" w14:textId="77777777" w:rsidR="00435C8A" w:rsidRPr="00D65F3B" w:rsidRDefault="00435C8A" w:rsidP="00F62063">
    <w:pPr>
      <w:pBdr>
        <w:top w:val="nil"/>
        <w:left w:val="nil"/>
        <w:bottom w:val="nil"/>
        <w:right w:val="nil"/>
        <w:between w:val="nil"/>
      </w:pBdr>
      <w:tabs>
        <w:tab w:val="center" w:pos="4252"/>
        <w:tab w:val="right" w:pos="8504"/>
      </w:tabs>
      <w:spacing w:after="0" w:line="240" w:lineRule="auto"/>
      <w:jc w:val="right"/>
      <w:rPr>
        <w:rFonts w:ascii="Segoe UI" w:eastAsia="Quattrocento Sans" w:hAnsi="Segoe UI" w:cs="Segoe UI"/>
        <w:color w:val="000000"/>
      </w:rPr>
    </w:pPr>
    <w:r w:rsidRPr="00D65F3B">
      <w:rPr>
        <w:rFonts w:ascii="Segoe UI" w:eastAsia="Quattrocento Sans" w:hAnsi="Segoe UI" w:cs="Segoe UI"/>
        <w:color w:val="000000"/>
      </w:rPr>
      <w:t>División de Derechos Humanos</w:t>
    </w:r>
  </w:p>
  <w:p w14:paraId="1C697EC9" w14:textId="232DBF31" w:rsidR="00435C8A" w:rsidRPr="00D65F3B" w:rsidRDefault="00435C8A" w:rsidP="00F62063">
    <w:pPr>
      <w:pBdr>
        <w:top w:val="nil"/>
        <w:left w:val="nil"/>
        <w:bottom w:val="nil"/>
        <w:right w:val="nil"/>
        <w:between w:val="nil"/>
      </w:pBdr>
      <w:tabs>
        <w:tab w:val="center" w:pos="4252"/>
        <w:tab w:val="right" w:pos="8504"/>
      </w:tabs>
      <w:spacing w:after="0" w:line="240" w:lineRule="auto"/>
      <w:jc w:val="right"/>
      <w:rPr>
        <w:rFonts w:ascii="Segoe UI" w:eastAsia="Quattrocento Sans" w:hAnsi="Segoe UI" w:cs="Segoe UI"/>
        <w:color w:val="000000"/>
      </w:rPr>
    </w:pPr>
    <w:r>
      <w:rPr>
        <w:rFonts w:ascii="Segoe UI" w:eastAsia="Quattrocento Sans" w:hAnsi="Segoe UI" w:cs="Segoe UI"/>
        <w:color w:val="000000"/>
      </w:rPr>
      <w:t>2</w:t>
    </w:r>
    <w:r w:rsidR="001C6E55">
      <w:rPr>
        <w:rFonts w:ascii="Segoe UI" w:eastAsia="Quattrocento Sans" w:hAnsi="Segoe UI" w:cs="Segoe UI"/>
        <w:color w:val="000000"/>
      </w:rPr>
      <w:t>9</w:t>
    </w:r>
    <w:r w:rsidRPr="00D65F3B">
      <w:rPr>
        <w:rFonts w:ascii="Segoe UI" w:eastAsia="Quattrocento Sans" w:hAnsi="Segoe UI" w:cs="Segoe UI"/>
        <w:color w:val="000000"/>
      </w:rPr>
      <w:t xml:space="preserve"> de </w:t>
    </w:r>
    <w:r w:rsidR="006A2F46">
      <w:rPr>
        <w:rFonts w:ascii="Segoe UI" w:eastAsia="Quattrocento Sans" w:hAnsi="Segoe UI" w:cs="Segoe UI"/>
        <w:color w:val="000000"/>
      </w:rPr>
      <w:t>junio</w:t>
    </w:r>
    <w:r w:rsidRPr="00D65F3B">
      <w:rPr>
        <w:rFonts w:ascii="Segoe UI" w:eastAsia="Quattrocento Sans" w:hAnsi="Segoe UI" w:cs="Segoe UI"/>
        <w:color w:val="000000"/>
      </w:rPr>
      <w:t xml:space="preserve"> de 2023</w:t>
    </w:r>
  </w:p>
  <w:p w14:paraId="1631AD1A" w14:textId="77777777" w:rsidR="00435C8A" w:rsidRDefault="00435C8A">
    <w:pPr>
      <w:pStyle w:val="Header"/>
    </w:pPr>
  </w:p>
  <w:p w14:paraId="0ACA8E3F" w14:textId="77777777" w:rsidR="00435C8A" w:rsidRDefault="00435C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4B6E369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5B23075"/>
    <w:multiLevelType w:val="hybridMultilevel"/>
    <w:tmpl w:val="4D401564"/>
    <w:lvl w:ilvl="0" w:tplc="83DC2770">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 w15:restartNumberingAfterBreak="0">
    <w:nsid w:val="06702B68"/>
    <w:multiLevelType w:val="hybridMultilevel"/>
    <w:tmpl w:val="E3B888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83B6E0C"/>
    <w:multiLevelType w:val="hybridMultilevel"/>
    <w:tmpl w:val="32FC5D32"/>
    <w:lvl w:ilvl="0" w:tplc="83DC27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88752DC"/>
    <w:multiLevelType w:val="hybridMultilevel"/>
    <w:tmpl w:val="34C48952"/>
    <w:lvl w:ilvl="0" w:tplc="83DC27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0FE0788"/>
    <w:multiLevelType w:val="hybridMultilevel"/>
    <w:tmpl w:val="55EEFD64"/>
    <w:lvl w:ilvl="0" w:tplc="83DC27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4EC4E62"/>
    <w:multiLevelType w:val="hybridMultilevel"/>
    <w:tmpl w:val="AEB6EF08"/>
    <w:lvl w:ilvl="0" w:tplc="83DC2770">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5BA287A"/>
    <w:multiLevelType w:val="hybridMultilevel"/>
    <w:tmpl w:val="A11E775C"/>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5F76550"/>
    <w:multiLevelType w:val="hybridMultilevel"/>
    <w:tmpl w:val="F7287F32"/>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D64848"/>
    <w:multiLevelType w:val="hybridMultilevel"/>
    <w:tmpl w:val="781E8E8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C617BD9"/>
    <w:multiLevelType w:val="hybridMultilevel"/>
    <w:tmpl w:val="1924FDF0"/>
    <w:lvl w:ilvl="0" w:tplc="83DC27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FE70FE3"/>
    <w:multiLevelType w:val="hybridMultilevel"/>
    <w:tmpl w:val="6C78C658"/>
    <w:lvl w:ilvl="0" w:tplc="83DC2770">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2" w15:restartNumberingAfterBreak="0">
    <w:nsid w:val="210D2688"/>
    <w:multiLevelType w:val="multilevel"/>
    <w:tmpl w:val="F3DE12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5F00F6F"/>
    <w:multiLevelType w:val="hybridMultilevel"/>
    <w:tmpl w:val="A920CA76"/>
    <w:lvl w:ilvl="0" w:tplc="A6408B62">
      <w:start w:val="4"/>
      <w:numFmt w:val="bullet"/>
      <w:lvlText w:val=""/>
      <w:lvlJc w:val="left"/>
      <w:pPr>
        <w:ind w:left="720" w:hanging="360"/>
      </w:pPr>
      <w:rPr>
        <w:rFonts w:ascii="Symbol" w:eastAsia="Calibri" w:hAnsi="Symbol" w:cs="Segoe U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4" w15:restartNumberingAfterBreak="0">
    <w:nsid w:val="29CA7702"/>
    <w:multiLevelType w:val="hybridMultilevel"/>
    <w:tmpl w:val="A1E2D87C"/>
    <w:lvl w:ilvl="0" w:tplc="83DC27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C295A28"/>
    <w:multiLevelType w:val="multilevel"/>
    <w:tmpl w:val="D428C04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6" w15:restartNumberingAfterBreak="0">
    <w:nsid w:val="2C480E2C"/>
    <w:multiLevelType w:val="hybridMultilevel"/>
    <w:tmpl w:val="DCA41F68"/>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20C347F"/>
    <w:multiLevelType w:val="hybridMultilevel"/>
    <w:tmpl w:val="6CAC838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4902D76"/>
    <w:multiLevelType w:val="hybridMultilevel"/>
    <w:tmpl w:val="73E21A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403C726E"/>
    <w:multiLevelType w:val="hybridMultilevel"/>
    <w:tmpl w:val="F8F22640"/>
    <w:lvl w:ilvl="0" w:tplc="E5489DE0">
      <w:start w:val="1"/>
      <w:numFmt w:val="lowerLetter"/>
      <w:lvlText w:val="%1)"/>
      <w:lvlJc w:val="left"/>
      <w:pPr>
        <w:ind w:left="720" w:hanging="360"/>
      </w:pPr>
      <w:rPr>
        <w:rFonts w:hint="default"/>
        <w:b/>
      </w:rPr>
    </w:lvl>
    <w:lvl w:ilvl="1" w:tplc="F0D48D58">
      <w:start w:val="1"/>
      <w:numFmt w:val="decimal"/>
      <w:lvlText w:val="%2."/>
      <w:lvlJc w:val="lef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4AD5126"/>
    <w:multiLevelType w:val="hybridMultilevel"/>
    <w:tmpl w:val="C2DCEE6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53006EB"/>
    <w:multiLevelType w:val="hybridMultilevel"/>
    <w:tmpl w:val="37F87C62"/>
    <w:lvl w:ilvl="0" w:tplc="83DC2770">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2" w15:restartNumberingAfterBreak="0">
    <w:nsid w:val="45B45D75"/>
    <w:multiLevelType w:val="hybridMultilevel"/>
    <w:tmpl w:val="1F9C26CC"/>
    <w:lvl w:ilvl="0" w:tplc="83DC27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B27547B"/>
    <w:multiLevelType w:val="hybridMultilevel"/>
    <w:tmpl w:val="9134FB6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4" w15:restartNumberingAfterBreak="0">
    <w:nsid w:val="4D8D60A5"/>
    <w:multiLevelType w:val="hybridMultilevel"/>
    <w:tmpl w:val="C11E309C"/>
    <w:lvl w:ilvl="0" w:tplc="340A000F">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4FCA31B1"/>
    <w:multiLevelType w:val="hybridMultilevel"/>
    <w:tmpl w:val="1744D184"/>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16C73A6"/>
    <w:multiLevelType w:val="hybridMultilevel"/>
    <w:tmpl w:val="C5AA7EC4"/>
    <w:lvl w:ilvl="0" w:tplc="340A000F">
      <w:start w:val="5"/>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3FB0CEC"/>
    <w:multiLevelType w:val="hybridMultilevel"/>
    <w:tmpl w:val="FB5A3C86"/>
    <w:lvl w:ilvl="0" w:tplc="83DC2770">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56373E8B"/>
    <w:multiLevelType w:val="hybridMultilevel"/>
    <w:tmpl w:val="3208DB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9EA30C5"/>
    <w:multiLevelType w:val="hybridMultilevel"/>
    <w:tmpl w:val="590818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60097383"/>
    <w:multiLevelType w:val="hybridMultilevel"/>
    <w:tmpl w:val="6F603CC8"/>
    <w:lvl w:ilvl="0" w:tplc="340A000F">
      <w:start w:val="6"/>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00D1705"/>
    <w:multiLevelType w:val="hybridMultilevel"/>
    <w:tmpl w:val="332A4C24"/>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64F674EB"/>
    <w:multiLevelType w:val="hybridMultilevel"/>
    <w:tmpl w:val="B98E2A60"/>
    <w:lvl w:ilvl="0" w:tplc="340A000F">
      <w:start w:val="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6E272A20"/>
    <w:multiLevelType w:val="hybridMultilevel"/>
    <w:tmpl w:val="B412A33E"/>
    <w:lvl w:ilvl="0" w:tplc="83DC27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3FB2A91"/>
    <w:multiLevelType w:val="hybridMultilevel"/>
    <w:tmpl w:val="33C476D0"/>
    <w:lvl w:ilvl="0" w:tplc="B43E580A">
      <w:start w:val="1"/>
      <w:numFmt w:val="upperRoman"/>
      <w:lvlText w:val="%1."/>
      <w:lvlJc w:val="left"/>
      <w:pPr>
        <w:ind w:left="1080" w:hanging="72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5" w15:restartNumberingAfterBreak="0">
    <w:nsid w:val="769876DB"/>
    <w:multiLevelType w:val="hybridMultilevel"/>
    <w:tmpl w:val="68D87EC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7AC074DD"/>
    <w:multiLevelType w:val="hybridMultilevel"/>
    <w:tmpl w:val="2D1A883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236939782">
    <w:abstractNumId w:val="7"/>
  </w:num>
  <w:num w:numId="2" w16cid:durableId="10343873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6516443">
    <w:abstractNumId w:val="18"/>
  </w:num>
  <w:num w:numId="4" w16cid:durableId="2022705615">
    <w:abstractNumId w:val="23"/>
  </w:num>
  <w:num w:numId="5" w16cid:durableId="1381591224">
    <w:abstractNumId w:val="1"/>
  </w:num>
  <w:num w:numId="6" w16cid:durableId="377239775">
    <w:abstractNumId w:val="9"/>
  </w:num>
  <w:num w:numId="7" w16cid:durableId="2080051578">
    <w:abstractNumId w:val="1"/>
  </w:num>
  <w:num w:numId="8" w16cid:durableId="1759985419">
    <w:abstractNumId w:val="29"/>
  </w:num>
  <w:num w:numId="9" w16cid:durableId="1397044493">
    <w:abstractNumId w:val="8"/>
  </w:num>
  <w:num w:numId="10" w16cid:durableId="1014574454">
    <w:abstractNumId w:val="27"/>
  </w:num>
  <w:num w:numId="11" w16cid:durableId="15426540">
    <w:abstractNumId w:val="13"/>
  </w:num>
  <w:num w:numId="12" w16cid:durableId="430780755">
    <w:abstractNumId w:val="21"/>
  </w:num>
  <w:num w:numId="13" w16cid:durableId="781536080">
    <w:abstractNumId w:val="11"/>
  </w:num>
  <w:num w:numId="14" w16cid:durableId="1279609384">
    <w:abstractNumId w:val="31"/>
  </w:num>
  <w:num w:numId="15" w16cid:durableId="800728511">
    <w:abstractNumId w:val="25"/>
  </w:num>
  <w:num w:numId="16" w16cid:durableId="847141660">
    <w:abstractNumId w:val="16"/>
  </w:num>
  <w:num w:numId="17" w16cid:durableId="1874801773">
    <w:abstractNumId w:val="3"/>
  </w:num>
  <w:num w:numId="18" w16cid:durableId="1085154810">
    <w:abstractNumId w:val="14"/>
  </w:num>
  <w:num w:numId="19" w16cid:durableId="1949312240">
    <w:abstractNumId w:val="5"/>
  </w:num>
  <w:num w:numId="20" w16cid:durableId="551893280">
    <w:abstractNumId w:val="4"/>
  </w:num>
  <w:num w:numId="21" w16cid:durableId="523325368">
    <w:abstractNumId w:val="6"/>
  </w:num>
  <w:num w:numId="22" w16cid:durableId="1060403856">
    <w:abstractNumId w:val="22"/>
  </w:num>
  <w:num w:numId="23" w16cid:durableId="339505702">
    <w:abstractNumId w:val="2"/>
  </w:num>
  <w:num w:numId="24" w16cid:durableId="1982416148">
    <w:abstractNumId w:val="12"/>
  </w:num>
  <w:num w:numId="25" w16cid:durableId="806704118">
    <w:abstractNumId w:val="15"/>
  </w:num>
  <w:num w:numId="26" w16cid:durableId="1927416040">
    <w:abstractNumId w:val="20"/>
  </w:num>
  <w:num w:numId="27" w16cid:durableId="1774085123">
    <w:abstractNumId w:val="17"/>
  </w:num>
  <w:num w:numId="28" w16cid:durableId="131143905">
    <w:abstractNumId w:val="35"/>
  </w:num>
  <w:num w:numId="29" w16cid:durableId="447283213">
    <w:abstractNumId w:val="19"/>
  </w:num>
  <w:num w:numId="30" w16cid:durableId="560799069">
    <w:abstractNumId w:val="28"/>
  </w:num>
  <w:num w:numId="31" w16cid:durableId="88820587">
    <w:abstractNumId w:val="33"/>
  </w:num>
  <w:num w:numId="32" w16cid:durableId="1152716264">
    <w:abstractNumId w:val="10"/>
  </w:num>
  <w:num w:numId="33" w16cid:durableId="644437643">
    <w:abstractNumId w:val="36"/>
  </w:num>
  <w:num w:numId="34" w16cid:durableId="1203324548">
    <w:abstractNumId w:val="0"/>
  </w:num>
  <w:num w:numId="35" w16cid:durableId="1637568469">
    <w:abstractNumId w:val="24"/>
  </w:num>
  <w:num w:numId="36" w16cid:durableId="675227896">
    <w:abstractNumId w:val="32"/>
  </w:num>
  <w:num w:numId="37" w16cid:durableId="632445412">
    <w:abstractNumId w:val="26"/>
  </w:num>
  <w:num w:numId="38" w16cid:durableId="112901109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548"/>
    <w:rsid w:val="00004E9C"/>
    <w:rsid w:val="00046AF1"/>
    <w:rsid w:val="0005330F"/>
    <w:rsid w:val="00083B09"/>
    <w:rsid w:val="00090CDA"/>
    <w:rsid w:val="00092DB6"/>
    <w:rsid w:val="0009603B"/>
    <w:rsid w:val="000C02DE"/>
    <w:rsid w:val="00103283"/>
    <w:rsid w:val="00103DF7"/>
    <w:rsid w:val="00114796"/>
    <w:rsid w:val="00117256"/>
    <w:rsid w:val="001206B3"/>
    <w:rsid w:val="001438F4"/>
    <w:rsid w:val="0014611F"/>
    <w:rsid w:val="00173CBF"/>
    <w:rsid w:val="001A7953"/>
    <w:rsid w:val="001C6E55"/>
    <w:rsid w:val="001D7D32"/>
    <w:rsid w:val="002163F4"/>
    <w:rsid w:val="0026106D"/>
    <w:rsid w:val="002638DE"/>
    <w:rsid w:val="0026533F"/>
    <w:rsid w:val="0027130E"/>
    <w:rsid w:val="002B562C"/>
    <w:rsid w:val="002C32DB"/>
    <w:rsid w:val="002E6318"/>
    <w:rsid w:val="00317612"/>
    <w:rsid w:val="0032522D"/>
    <w:rsid w:val="00334201"/>
    <w:rsid w:val="00347DBE"/>
    <w:rsid w:val="003634DD"/>
    <w:rsid w:val="003B5A5D"/>
    <w:rsid w:val="00401CC1"/>
    <w:rsid w:val="0041718A"/>
    <w:rsid w:val="00420D4C"/>
    <w:rsid w:val="00435C8A"/>
    <w:rsid w:val="00443225"/>
    <w:rsid w:val="004878A3"/>
    <w:rsid w:val="00493581"/>
    <w:rsid w:val="004A22AE"/>
    <w:rsid w:val="004D4244"/>
    <w:rsid w:val="004E2160"/>
    <w:rsid w:val="004E2371"/>
    <w:rsid w:val="00527E9E"/>
    <w:rsid w:val="0053214A"/>
    <w:rsid w:val="00552BF7"/>
    <w:rsid w:val="00567D63"/>
    <w:rsid w:val="00590360"/>
    <w:rsid w:val="005A63AB"/>
    <w:rsid w:val="005B63A2"/>
    <w:rsid w:val="005C79FA"/>
    <w:rsid w:val="005D1F78"/>
    <w:rsid w:val="005E70C7"/>
    <w:rsid w:val="005F1548"/>
    <w:rsid w:val="00677F64"/>
    <w:rsid w:val="0068420B"/>
    <w:rsid w:val="006A0A05"/>
    <w:rsid w:val="006A2F46"/>
    <w:rsid w:val="006B0CBD"/>
    <w:rsid w:val="006F13F4"/>
    <w:rsid w:val="00707A89"/>
    <w:rsid w:val="0071135D"/>
    <w:rsid w:val="00732C91"/>
    <w:rsid w:val="00736A8F"/>
    <w:rsid w:val="0074073E"/>
    <w:rsid w:val="00746659"/>
    <w:rsid w:val="00751A46"/>
    <w:rsid w:val="00761A16"/>
    <w:rsid w:val="00775E96"/>
    <w:rsid w:val="007E5505"/>
    <w:rsid w:val="008125AE"/>
    <w:rsid w:val="00820039"/>
    <w:rsid w:val="00837358"/>
    <w:rsid w:val="008D01DB"/>
    <w:rsid w:val="008E436B"/>
    <w:rsid w:val="00917A03"/>
    <w:rsid w:val="00917FFD"/>
    <w:rsid w:val="009332FC"/>
    <w:rsid w:val="00957203"/>
    <w:rsid w:val="009623FD"/>
    <w:rsid w:val="009D38D7"/>
    <w:rsid w:val="009E7255"/>
    <w:rsid w:val="009F7F2D"/>
    <w:rsid w:val="00A06F0A"/>
    <w:rsid w:val="00A22740"/>
    <w:rsid w:val="00A27768"/>
    <w:rsid w:val="00A7462B"/>
    <w:rsid w:val="00AC5BCB"/>
    <w:rsid w:val="00B96ECC"/>
    <w:rsid w:val="00BA7B52"/>
    <w:rsid w:val="00BD48C8"/>
    <w:rsid w:val="00BE6EC8"/>
    <w:rsid w:val="00C0008E"/>
    <w:rsid w:val="00C00CAE"/>
    <w:rsid w:val="00C36BB3"/>
    <w:rsid w:val="00C509DA"/>
    <w:rsid w:val="00C62819"/>
    <w:rsid w:val="00CC2D50"/>
    <w:rsid w:val="00CE1CD4"/>
    <w:rsid w:val="00D00061"/>
    <w:rsid w:val="00D0478C"/>
    <w:rsid w:val="00D0699E"/>
    <w:rsid w:val="00D13B54"/>
    <w:rsid w:val="00D40EE5"/>
    <w:rsid w:val="00D41820"/>
    <w:rsid w:val="00D44051"/>
    <w:rsid w:val="00DD49F0"/>
    <w:rsid w:val="00DD59CF"/>
    <w:rsid w:val="00DE1BFB"/>
    <w:rsid w:val="00DF6164"/>
    <w:rsid w:val="00E04DD5"/>
    <w:rsid w:val="00F31807"/>
    <w:rsid w:val="00F50AD7"/>
    <w:rsid w:val="00F552F2"/>
    <w:rsid w:val="00F62063"/>
    <w:rsid w:val="00F92B49"/>
    <w:rsid w:val="00FB1B4E"/>
    <w:rsid w:val="00FC4F42"/>
    <w:rsid w:val="00FD5389"/>
    <w:rsid w:val="00FD571F"/>
    <w:rsid w:val="00FE4E32"/>
    <w:rsid w:val="00FF136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92AB6"/>
  <w15:chartTrackingRefBased/>
  <w15:docId w15:val="{12EDE2E0-7F59-4FAC-A0EB-2D0934F7E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548"/>
    <w:pPr>
      <w:ind w:left="720"/>
      <w:contextualSpacing/>
    </w:pPr>
  </w:style>
  <w:style w:type="paragraph" w:styleId="Header">
    <w:name w:val="header"/>
    <w:basedOn w:val="Normal"/>
    <w:link w:val="HeaderChar"/>
    <w:uiPriority w:val="99"/>
    <w:unhideWhenUsed/>
    <w:rsid w:val="00F62063"/>
    <w:pPr>
      <w:tabs>
        <w:tab w:val="center" w:pos="4252"/>
        <w:tab w:val="right" w:pos="8504"/>
      </w:tabs>
      <w:spacing w:after="0" w:line="240" w:lineRule="auto"/>
    </w:pPr>
  </w:style>
  <w:style w:type="character" w:customStyle="1" w:styleId="HeaderChar">
    <w:name w:val="Header Char"/>
    <w:basedOn w:val="DefaultParagraphFont"/>
    <w:link w:val="Header"/>
    <w:uiPriority w:val="99"/>
    <w:rsid w:val="00F62063"/>
  </w:style>
  <w:style w:type="paragraph" w:styleId="Footer">
    <w:name w:val="footer"/>
    <w:basedOn w:val="Normal"/>
    <w:link w:val="FooterChar"/>
    <w:uiPriority w:val="99"/>
    <w:unhideWhenUsed/>
    <w:rsid w:val="00F62063"/>
    <w:pPr>
      <w:tabs>
        <w:tab w:val="center" w:pos="4252"/>
        <w:tab w:val="right" w:pos="8504"/>
      </w:tabs>
      <w:spacing w:after="0" w:line="240" w:lineRule="auto"/>
    </w:pPr>
  </w:style>
  <w:style w:type="character" w:customStyle="1" w:styleId="FooterChar">
    <w:name w:val="Footer Char"/>
    <w:basedOn w:val="DefaultParagraphFont"/>
    <w:link w:val="Footer"/>
    <w:uiPriority w:val="99"/>
    <w:rsid w:val="00F62063"/>
  </w:style>
  <w:style w:type="paragraph" w:styleId="FootnoteText">
    <w:name w:val="footnote text"/>
    <w:basedOn w:val="Normal"/>
    <w:link w:val="FootnoteTextChar"/>
    <w:uiPriority w:val="99"/>
    <w:semiHidden/>
    <w:unhideWhenUsed/>
    <w:rsid w:val="00F620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2063"/>
    <w:rPr>
      <w:sz w:val="20"/>
      <w:szCs w:val="20"/>
    </w:rPr>
  </w:style>
  <w:style w:type="character" w:styleId="FootnoteReference">
    <w:name w:val="footnote reference"/>
    <w:basedOn w:val="DefaultParagraphFont"/>
    <w:uiPriority w:val="99"/>
    <w:semiHidden/>
    <w:unhideWhenUsed/>
    <w:rsid w:val="00F62063"/>
    <w:rPr>
      <w:vertAlign w:val="superscript"/>
    </w:rPr>
  </w:style>
  <w:style w:type="character" w:styleId="Hyperlink">
    <w:name w:val="Hyperlink"/>
    <w:basedOn w:val="DefaultParagraphFont"/>
    <w:uiPriority w:val="99"/>
    <w:unhideWhenUsed/>
    <w:rsid w:val="006F13F4"/>
    <w:rPr>
      <w:color w:val="0563C1" w:themeColor="hyperlink"/>
      <w:u w:val="single"/>
    </w:rPr>
  </w:style>
  <w:style w:type="character" w:styleId="CommentReference">
    <w:name w:val="annotation reference"/>
    <w:basedOn w:val="DefaultParagraphFont"/>
    <w:uiPriority w:val="99"/>
    <w:semiHidden/>
    <w:unhideWhenUsed/>
    <w:rsid w:val="00917A03"/>
    <w:rPr>
      <w:sz w:val="16"/>
      <w:szCs w:val="16"/>
    </w:rPr>
  </w:style>
  <w:style w:type="paragraph" w:styleId="CommentText">
    <w:name w:val="annotation text"/>
    <w:basedOn w:val="Normal"/>
    <w:link w:val="CommentTextChar"/>
    <w:uiPriority w:val="99"/>
    <w:semiHidden/>
    <w:unhideWhenUsed/>
    <w:rsid w:val="00917A03"/>
    <w:pPr>
      <w:spacing w:line="240" w:lineRule="auto"/>
    </w:pPr>
    <w:rPr>
      <w:sz w:val="20"/>
      <w:szCs w:val="20"/>
    </w:rPr>
  </w:style>
  <w:style w:type="character" w:customStyle="1" w:styleId="CommentTextChar">
    <w:name w:val="Comment Text Char"/>
    <w:basedOn w:val="DefaultParagraphFont"/>
    <w:link w:val="CommentText"/>
    <w:uiPriority w:val="99"/>
    <w:semiHidden/>
    <w:rsid w:val="00917A03"/>
    <w:rPr>
      <w:sz w:val="20"/>
      <w:szCs w:val="20"/>
    </w:rPr>
  </w:style>
  <w:style w:type="paragraph" w:styleId="CommentSubject">
    <w:name w:val="annotation subject"/>
    <w:basedOn w:val="CommentText"/>
    <w:next w:val="CommentText"/>
    <w:link w:val="CommentSubjectChar"/>
    <w:uiPriority w:val="99"/>
    <w:semiHidden/>
    <w:unhideWhenUsed/>
    <w:rsid w:val="00917A03"/>
    <w:rPr>
      <w:b/>
      <w:bCs/>
    </w:rPr>
  </w:style>
  <w:style w:type="character" w:customStyle="1" w:styleId="CommentSubjectChar">
    <w:name w:val="Comment Subject Char"/>
    <w:basedOn w:val="CommentTextChar"/>
    <w:link w:val="CommentSubject"/>
    <w:uiPriority w:val="99"/>
    <w:semiHidden/>
    <w:rsid w:val="00917A03"/>
    <w:rPr>
      <w:b/>
      <w:bCs/>
      <w:sz w:val="20"/>
      <w:szCs w:val="20"/>
    </w:rPr>
  </w:style>
  <w:style w:type="paragraph" w:styleId="BalloonText">
    <w:name w:val="Balloon Text"/>
    <w:basedOn w:val="Normal"/>
    <w:link w:val="BalloonTextChar"/>
    <w:uiPriority w:val="99"/>
    <w:semiHidden/>
    <w:unhideWhenUsed/>
    <w:rsid w:val="00917A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A03"/>
    <w:rPr>
      <w:rFonts w:ascii="Segoe UI" w:hAnsi="Segoe UI" w:cs="Segoe UI"/>
      <w:sz w:val="18"/>
      <w:szCs w:val="18"/>
    </w:rPr>
  </w:style>
  <w:style w:type="paragraph" w:styleId="EndnoteText">
    <w:name w:val="endnote text"/>
    <w:basedOn w:val="Normal"/>
    <w:link w:val="EndnoteTextChar"/>
    <w:uiPriority w:val="99"/>
    <w:rsid w:val="006A2F46"/>
    <w:pPr>
      <w:spacing w:after="0" w:line="240" w:lineRule="auto"/>
    </w:pPr>
    <w:rPr>
      <w:rFonts w:ascii="Calibri" w:eastAsia="Calibri" w:hAnsi="Calibri" w:cs="SimSun"/>
      <w:kern w:val="2"/>
      <w:sz w:val="20"/>
      <w:szCs w:val="20"/>
      <w14:ligatures w14:val="standardContextual"/>
    </w:rPr>
  </w:style>
  <w:style w:type="character" w:customStyle="1" w:styleId="EndnoteTextChar">
    <w:name w:val="Endnote Text Char"/>
    <w:basedOn w:val="DefaultParagraphFont"/>
    <w:link w:val="EndnoteText"/>
    <w:uiPriority w:val="99"/>
    <w:rsid w:val="006A2F46"/>
    <w:rPr>
      <w:rFonts w:ascii="Calibri" w:eastAsia="Calibri" w:hAnsi="Calibri" w:cs="SimSun"/>
      <w:kern w:val="2"/>
      <w:sz w:val="20"/>
      <w:szCs w:val="20"/>
      <w14:ligatures w14:val="standardContextual"/>
    </w:rPr>
  </w:style>
  <w:style w:type="character" w:styleId="EndnoteReference">
    <w:name w:val="endnote reference"/>
    <w:basedOn w:val="DefaultParagraphFont"/>
    <w:uiPriority w:val="99"/>
    <w:rsid w:val="006A2F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476">
      <w:bodyDiv w:val="1"/>
      <w:marLeft w:val="0"/>
      <w:marRight w:val="0"/>
      <w:marTop w:val="0"/>
      <w:marBottom w:val="0"/>
      <w:divBdr>
        <w:top w:val="none" w:sz="0" w:space="0" w:color="auto"/>
        <w:left w:val="none" w:sz="0" w:space="0" w:color="auto"/>
        <w:bottom w:val="none" w:sz="0" w:space="0" w:color="auto"/>
        <w:right w:val="none" w:sz="0" w:space="0" w:color="auto"/>
      </w:divBdr>
    </w:div>
    <w:div w:id="381633280">
      <w:bodyDiv w:val="1"/>
      <w:marLeft w:val="0"/>
      <w:marRight w:val="0"/>
      <w:marTop w:val="0"/>
      <w:marBottom w:val="0"/>
      <w:divBdr>
        <w:top w:val="none" w:sz="0" w:space="0" w:color="auto"/>
        <w:left w:val="none" w:sz="0" w:space="0" w:color="auto"/>
        <w:bottom w:val="none" w:sz="0" w:space="0" w:color="auto"/>
        <w:right w:val="none" w:sz="0" w:space="0" w:color="auto"/>
      </w:divBdr>
    </w:div>
    <w:div w:id="396245591">
      <w:bodyDiv w:val="1"/>
      <w:marLeft w:val="0"/>
      <w:marRight w:val="0"/>
      <w:marTop w:val="0"/>
      <w:marBottom w:val="0"/>
      <w:divBdr>
        <w:top w:val="none" w:sz="0" w:space="0" w:color="auto"/>
        <w:left w:val="none" w:sz="0" w:space="0" w:color="auto"/>
        <w:bottom w:val="none" w:sz="0" w:space="0" w:color="auto"/>
        <w:right w:val="none" w:sz="0" w:space="0" w:color="auto"/>
      </w:divBdr>
    </w:div>
    <w:div w:id="518861785">
      <w:bodyDiv w:val="1"/>
      <w:marLeft w:val="0"/>
      <w:marRight w:val="0"/>
      <w:marTop w:val="0"/>
      <w:marBottom w:val="0"/>
      <w:divBdr>
        <w:top w:val="none" w:sz="0" w:space="0" w:color="auto"/>
        <w:left w:val="none" w:sz="0" w:space="0" w:color="auto"/>
        <w:bottom w:val="none" w:sz="0" w:space="0" w:color="auto"/>
        <w:right w:val="none" w:sz="0" w:space="0" w:color="auto"/>
      </w:divBdr>
    </w:div>
    <w:div w:id="749888782">
      <w:bodyDiv w:val="1"/>
      <w:marLeft w:val="0"/>
      <w:marRight w:val="0"/>
      <w:marTop w:val="0"/>
      <w:marBottom w:val="0"/>
      <w:divBdr>
        <w:top w:val="none" w:sz="0" w:space="0" w:color="auto"/>
        <w:left w:val="none" w:sz="0" w:space="0" w:color="auto"/>
        <w:bottom w:val="none" w:sz="0" w:space="0" w:color="auto"/>
        <w:right w:val="none" w:sz="0" w:space="0" w:color="auto"/>
      </w:divBdr>
    </w:div>
    <w:div w:id="891422519">
      <w:bodyDiv w:val="1"/>
      <w:marLeft w:val="0"/>
      <w:marRight w:val="0"/>
      <w:marTop w:val="0"/>
      <w:marBottom w:val="0"/>
      <w:divBdr>
        <w:top w:val="none" w:sz="0" w:space="0" w:color="auto"/>
        <w:left w:val="none" w:sz="0" w:space="0" w:color="auto"/>
        <w:bottom w:val="none" w:sz="0" w:space="0" w:color="auto"/>
        <w:right w:val="none" w:sz="0" w:space="0" w:color="auto"/>
      </w:divBdr>
    </w:div>
    <w:div w:id="1065638162">
      <w:bodyDiv w:val="1"/>
      <w:marLeft w:val="0"/>
      <w:marRight w:val="0"/>
      <w:marTop w:val="0"/>
      <w:marBottom w:val="0"/>
      <w:divBdr>
        <w:top w:val="none" w:sz="0" w:space="0" w:color="auto"/>
        <w:left w:val="none" w:sz="0" w:space="0" w:color="auto"/>
        <w:bottom w:val="none" w:sz="0" w:space="0" w:color="auto"/>
        <w:right w:val="none" w:sz="0" w:space="0" w:color="auto"/>
      </w:divBdr>
    </w:div>
    <w:div w:id="1313025572">
      <w:bodyDiv w:val="1"/>
      <w:marLeft w:val="0"/>
      <w:marRight w:val="0"/>
      <w:marTop w:val="0"/>
      <w:marBottom w:val="0"/>
      <w:divBdr>
        <w:top w:val="none" w:sz="0" w:space="0" w:color="auto"/>
        <w:left w:val="none" w:sz="0" w:space="0" w:color="auto"/>
        <w:bottom w:val="none" w:sz="0" w:space="0" w:color="auto"/>
        <w:right w:val="none" w:sz="0" w:space="0" w:color="auto"/>
      </w:divBdr>
    </w:div>
    <w:div w:id="171005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memoriachilena.gob.cl/602/w3-article-589202.html" TargetMode="External"/><Relationship Id="rId7" Type="http://schemas.openxmlformats.org/officeDocument/2006/relationships/hyperlink" Target="https://www.movilh.cl/biblioteca/legislacion/" TargetMode="External"/><Relationship Id="rId2" Type="http://schemas.openxmlformats.org/officeDocument/2006/relationships/hyperlink" Target="https://www.scielo.cl/scielo.php?script=sci_arttext&amp;pid=S0716-54552000002200013" TargetMode="External"/><Relationship Id="rId1" Type="http://schemas.openxmlformats.org/officeDocument/2006/relationships/hyperlink" Target="https://www.memoriachilena.gob.cl/602/w3-article-598.html" TargetMode="External"/><Relationship Id="rId6" Type="http://schemas.openxmlformats.org/officeDocument/2006/relationships/hyperlink" Target="http://www.memoriachilena.gob.cl/602/w3-article-589202.html" TargetMode="External"/><Relationship Id="rId5" Type="http://schemas.openxmlformats.org/officeDocument/2006/relationships/hyperlink" Target="https://www.scielo.cl/scielo.php?script=sci_arttext&amp;pid=S0716-54552022000100633" TargetMode="External"/><Relationship Id="rId4" Type="http://schemas.openxmlformats.org/officeDocument/2006/relationships/hyperlink" Target="https://www.memoriachilena.gob.cl/602/w3-article-589194.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8a2eb13a65b4e39aade0e9a12fb96aa2">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146a154732f6d1bf5d08156947e941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annex-1</Doctype>
    <Contributor xmlns="d42e65b2-cf21-49c1-b27d-d23f90380c0e">Chile</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31EC573D-80F6-48C4-A740-001CB148D782}">
  <ds:schemaRefs>
    <ds:schemaRef ds:uri="http://schemas.openxmlformats.org/officeDocument/2006/bibliography"/>
  </ds:schemaRefs>
</ds:datastoreItem>
</file>

<file path=customXml/itemProps2.xml><?xml version="1.0" encoding="utf-8"?>
<ds:datastoreItem xmlns:ds="http://schemas.openxmlformats.org/officeDocument/2006/customXml" ds:itemID="{50C19F82-1B95-4461-A3B5-A236D3F2D45E}"/>
</file>

<file path=customXml/itemProps3.xml><?xml version="1.0" encoding="utf-8"?>
<ds:datastoreItem xmlns:ds="http://schemas.openxmlformats.org/officeDocument/2006/customXml" ds:itemID="{CC7E370B-A97B-486D-AF4B-515FB8B5B6E5}">
  <ds:schemaRefs>
    <ds:schemaRef ds:uri="http://schemas.microsoft.com/sharepoint/v3/contenttype/forms"/>
  </ds:schemaRefs>
</ds:datastoreItem>
</file>

<file path=customXml/itemProps4.xml><?xml version="1.0" encoding="utf-8"?>
<ds:datastoreItem xmlns:ds="http://schemas.openxmlformats.org/officeDocument/2006/customXml" ds:itemID="{5A386812-8901-4714-A4A2-A8E31136899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1383</Words>
  <Characters>7885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MINREL</Company>
  <LinksUpToDate>false</LinksUpToDate>
  <CharactersWithSpaces>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Muñoz Rodríguez</dc:creator>
  <cp:keywords/>
  <dc:description/>
  <cp:lastModifiedBy>Manon Beury</cp:lastModifiedBy>
  <cp:revision>2</cp:revision>
  <cp:lastPrinted>2023-04-24T21:33:00Z</cp:lastPrinted>
  <dcterms:created xsi:type="dcterms:W3CDTF">2023-07-05T11:18:00Z</dcterms:created>
  <dcterms:modified xsi:type="dcterms:W3CDTF">2023-07-05T11:18:00Z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7645dbc15db13f61cddf6784a5bf3b4e3d5388edea682ce03e882f9c0a0bc0bf</vt:lpwstr>
  </property>
  <property fmtid="{D5CDD505-2E9C-101B-9397-08002B2CF9AE}" pid="3" name="ContentTypeId">
    <vt:lpwstr>0x0101009D953D6983EF5F4EB0B6A5354F975E96</vt:lpwstr>
  </property>
</Properties>
</file>