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9EE6F" w14:textId="39594B4D" w:rsidR="005B52AD" w:rsidRPr="005B52AD" w:rsidRDefault="005B52AD" w:rsidP="005B52AD">
      <w:pPr>
        <w:shd w:val="clear" w:color="auto" w:fill="A50021"/>
        <w:spacing w:line="276" w:lineRule="auto"/>
        <w:jc w:val="center"/>
        <w:rPr>
          <w:rFonts w:ascii="Montserrat" w:eastAsiaTheme="minorEastAsia" w:hAnsi="Montserrat" w:cs="Arial"/>
          <w:b/>
          <w:lang w:eastAsia="es-ES"/>
        </w:rPr>
      </w:pPr>
      <w:r w:rsidRPr="005B52AD">
        <w:rPr>
          <w:rFonts w:ascii="Montserrat" w:eastAsiaTheme="minorEastAsia" w:hAnsi="Montserrat" w:cs="Arial"/>
          <w:b/>
          <w:lang w:eastAsia="es-ES"/>
        </w:rPr>
        <w:t>Alcance -</w:t>
      </w:r>
      <w:r w:rsidR="00A160B3" w:rsidRPr="005B52AD">
        <w:rPr>
          <w:rFonts w:ascii="Montserrat" w:eastAsiaTheme="minorEastAsia" w:hAnsi="Montserrat" w:cs="Arial"/>
          <w:b/>
          <w:lang w:eastAsia="es-ES"/>
        </w:rPr>
        <w:t xml:space="preserve"> “</w:t>
      </w:r>
      <w:r w:rsidR="008210BD" w:rsidRPr="005B52AD">
        <w:rPr>
          <w:rFonts w:ascii="Montserrat" w:eastAsiaTheme="minorEastAsia" w:hAnsi="Montserrat" w:cs="Arial"/>
          <w:b/>
          <w:lang w:eastAsia="es-ES"/>
        </w:rPr>
        <w:t>El colonialismo, la orientación sexual e identidad de género</w:t>
      </w:r>
      <w:r w:rsidR="00A160B3" w:rsidRPr="005B52AD">
        <w:rPr>
          <w:rFonts w:ascii="Montserrat" w:eastAsiaTheme="minorEastAsia" w:hAnsi="Montserrat" w:cs="Arial"/>
          <w:b/>
          <w:lang w:eastAsia="es-ES"/>
        </w:rPr>
        <w:t>”</w:t>
      </w:r>
    </w:p>
    <w:p w14:paraId="19EDF53B" w14:textId="77777777" w:rsidR="005B52AD" w:rsidRDefault="005B52AD" w:rsidP="005B52AD">
      <w:pPr>
        <w:spacing w:line="276" w:lineRule="auto"/>
        <w:jc w:val="both"/>
        <w:rPr>
          <w:rFonts w:ascii="Montserrat" w:eastAsiaTheme="minorEastAsia" w:hAnsi="Montserrat" w:cs="Arial"/>
          <w:lang w:eastAsia="es-ES"/>
        </w:rPr>
      </w:pPr>
    </w:p>
    <w:p w14:paraId="28D1D790" w14:textId="77777777" w:rsidR="005B52AD" w:rsidRPr="005B52AD" w:rsidRDefault="00632078" w:rsidP="00B5227C">
      <w:pPr>
        <w:pStyle w:val="Prrafodelista"/>
        <w:numPr>
          <w:ilvl w:val="0"/>
          <w:numId w:val="46"/>
        </w:numPr>
        <w:jc w:val="both"/>
        <w:rPr>
          <w:rFonts w:ascii="Montserrat" w:hAnsi="Montserrat"/>
          <w:b/>
          <w:sz w:val="22"/>
          <w:szCs w:val="22"/>
          <w:u w:val="single"/>
        </w:rPr>
      </w:pPr>
      <w:r w:rsidRPr="005B52AD">
        <w:rPr>
          <w:rFonts w:ascii="Montserrat" w:hAnsi="Montserrat"/>
          <w:b/>
          <w:sz w:val="22"/>
          <w:szCs w:val="22"/>
        </w:rPr>
        <w:t xml:space="preserve">Leyes, políticas y prácticas que regularon o influyeron en la configuración o la percepción socio-normativa de la orientación sexual y la identidad de género en la época colonial ¿Cómo se introdujeron, promovieron, administraron o aplicaron? </w:t>
      </w:r>
    </w:p>
    <w:p w14:paraId="3FD128AE" w14:textId="77777777" w:rsidR="005B52AD" w:rsidRDefault="005B52AD" w:rsidP="005B52AD">
      <w:pPr>
        <w:jc w:val="both"/>
        <w:rPr>
          <w:rFonts w:ascii="Montserrat" w:hAnsi="Montserrat"/>
          <w:b/>
          <w:sz w:val="22"/>
          <w:szCs w:val="22"/>
          <w:u w:val="single"/>
        </w:rPr>
      </w:pPr>
    </w:p>
    <w:p w14:paraId="21A4FD6A" w14:textId="154767E3" w:rsidR="003C4E38" w:rsidRPr="005B52AD" w:rsidRDefault="003C4E38" w:rsidP="005B52AD">
      <w:pPr>
        <w:jc w:val="both"/>
        <w:rPr>
          <w:rFonts w:ascii="Montserrat" w:hAnsi="Montserrat"/>
          <w:b/>
          <w:sz w:val="22"/>
          <w:szCs w:val="22"/>
          <w:u w:val="single"/>
        </w:rPr>
      </w:pPr>
      <w:r w:rsidRPr="005B52AD">
        <w:rPr>
          <w:rFonts w:ascii="Montserrat" w:hAnsi="Montserrat"/>
          <w:b/>
          <w:sz w:val="22"/>
          <w:szCs w:val="22"/>
          <w:u w:val="single"/>
        </w:rPr>
        <w:t xml:space="preserve">Leyes sobre el matrimonio y la familia </w:t>
      </w:r>
    </w:p>
    <w:p w14:paraId="46FBCD53" w14:textId="26563A60" w:rsidR="003C4E38" w:rsidRDefault="007864F9" w:rsidP="005B52AD">
      <w:pPr>
        <w:jc w:val="both"/>
        <w:rPr>
          <w:rFonts w:ascii="Montserrat" w:hAnsi="Montserrat"/>
          <w:bCs/>
          <w:sz w:val="22"/>
          <w:szCs w:val="22"/>
        </w:rPr>
      </w:pPr>
      <w:r w:rsidRPr="005B52AD">
        <w:rPr>
          <w:rFonts w:ascii="Montserrat" w:hAnsi="Montserrat"/>
          <w:bCs/>
          <w:sz w:val="22"/>
          <w:szCs w:val="22"/>
        </w:rPr>
        <w:t xml:space="preserve">En congruencia con su atribución por difundir estudios e investigaciones sobre el derecho a la igualdad y no discriminación, el Consejo Nacional para Prevenir la Discriminación (CONAPRED) elaboró la colección </w:t>
      </w:r>
      <w:r w:rsidRPr="005B52AD">
        <w:rPr>
          <w:rFonts w:ascii="Montserrat" w:hAnsi="Montserrat"/>
          <w:bCs/>
          <w:i/>
          <w:iCs/>
          <w:sz w:val="22"/>
          <w:szCs w:val="22"/>
        </w:rPr>
        <w:t>Legislar sin Discriminación</w:t>
      </w:r>
      <w:r w:rsidRPr="005B52AD">
        <w:rPr>
          <w:rFonts w:ascii="Montserrat" w:hAnsi="Montserrat"/>
          <w:bCs/>
          <w:sz w:val="22"/>
          <w:szCs w:val="22"/>
        </w:rPr>
        <w:t xml:space="preserve"> con la finalidad de desarrollar propuestas que promuevan la eliminación de contenidos discriminatorios </w:t>
      </w:r>
      <w:r w:rsidR="00E55397" w:rsidRPr="005B52AD">
        <w:rPr>
          <w:rFonts w:ascii="Montserrat" w:hAnsi="Montserrat"/>
          <w:bCs/>
          <w:sz w:val="22"/>
          <w:szCs w:val="22"/>
        </w:rPr>
        <w:t xml:space="preserve">en el ámbito legislativo y permitan atender las necesidades principales de los grupos en situación de discriminación. </w:t>
      </w:r>
    </w:p>
    <w:p w14:paraId="5612641D" w14:textId="77777777" w:rsidR="005B52AD" w:rsidRPr="005B52AD" w:rsidRDefault="005B52AD" w:rsidP="005B52AD">
      <w:pPr>
        <w:jc w:val="both"/>
        <w:rPr>
          <w:rFonts w:ascii="Montserrat" w:hAnsi="Montserrat"/>
          <w:bCs/>
          <w:sz w:val="22"/>
          <w:szCs w:val="22"/>
        </w:rPr>
      </w:pPr>
    </w:p>
    <w:p w14:paraId="02E5C8EC" w14:textId="435219C3" w:rsidR="00E55397" w:rsidRDefault="00E55397" w:rsidP="005B52AD">
      <w:pPr>
        <w:jc w:val="both"/>
        <w:rPr>
          <w:rFonts w:ascii="Montserrat" w:hAnsi="Montserrat"/>
          <w:bCs/>
          <w:sz w:val="22"/>
          <w:szCs w:val="22"/>
        </w:rPr>
      </w:pPr>
      <w:r w:rsidRPr="005B52AD">
        <w:rPr>
          <w:rFonts w:ascii="Montserrat" w:hAnsi="Montserrat"/>
          <w:bCs/>
          <w:sz w:val="22"/>
          <w:szCs w:val="22"/>
        </w:rPr>
        <w:t xml:space="preserve">Dentro de esta colección destaca el </w:t>
      </w:r>
      <w:r w:rsidRPr="005B52AD">
        <w:rPr>
          <w:rFonts w:ascii="Montserrat" w:hAnsi="Montserrat"/>
          <w:bCs/>
          <w:i/>
          <w:iCs/>
          <w:sz w:val="22"/>
          <w:szCs w:val="22"/>
        </w:rPr>
        <w:t>Tomo II sobre matrimonio y familia</w:t>
      </w:r>
      <w:r w:rsidR="00363B20" w:rsidRPr="005B52AD">
        <w:rPr>
          <w:rStyle w:val="Refdenotaalpie"/>
          <w:rFonts w:ascii="Montserrat" w:hAnsi="Montserrat"/>
          <w:bCs/>
          <w:i/>
          <w:iCs/>
          <w:sz w:val="22"/>
          <w:szCs w:val="22"/>
        </w:rPr>
        <w:footnoteReference w:id="1"/>
      </w:r>
      <w:r w:rsidR="005F360C" w:rsidRPr="005B52AD">
        <w:rPr>
          <w:rFonts w:ascii="Montserrat" w:hAnsi="Montserrat"/>
          <w:bCs/>
          <w:sz w:val="22"/>
          <w:szCs w:val="22"/>
        </w:rPr>
        <w:t xml:space="preserve"> que centra su análisis en estas dos figuras jurídicas, considerando sus antecedentes, conformación y la forma en que han evolucionado en el panorama legislativo nacional, todo ello a la luz del derecho a la igualdad y no discriminación. </w:t>
      </w:r>
    </w:p>
    <w:p w14:paraId="1A97A2A0" w14:textId="77777777" w:rsidR="005B52AD" w:rsidRPr="005B52AD" w:rsidRDefault="005B52AD" w:rsidP="005B52AD">
      <w:pPr>
        <w:jc w:val="both"/>
        <w:rPr>
          <w:rFonts w:ascii="Montserrat" w:hAnsi="Montserrat"/>
          <w:bCs/>
          <w:sz w:val="22"/>
          <w:szCs w:val="22"/>
        </w:rPr>
      </w:pPr>
    </w:p>
    <w:p w14:paraId="3CBC66ED" w14:textId="17185FE9" w:rsidR="00A77EC0" w:rsidRPr="005B52AD" w:rsidRDefault="00A77EC0" w:rsidP="005B52AD">
      <w:pPr>
        <w:pStyle w:val="Prrafodelista"/>
        <w:numPr>
          <w:ilvl w:val="0"/>
          <w:numId w:val="38"/>
        </w:numPr>
        <w:jc w:val="both"/>
        <w:rPr>
          <w:rFonts w:ascii="Montserrat" w:hAnsi="Montserrat"/>
          <w:b/>
          <w:sz w:val="22"/>
          <w:szCs w:val="22"/>
        </w:rPr>
      </w:pPr>
      <w:r w:rsidRPr="005B52AD">
        <w:rPr>
          <w:rFonts w:ascii="Montserrat" w:hAnsi="Montserrat"/>
          <w:b/>
          <w:sz w:val="22"/>
          <w:szCs w:val="22"/>
        </w:rPr>
        <w:t xml:space="preserve">Concepto de familia </w:t>
      </w:r>
      <w:r w:rsidR="001E2F6F" w:rsidRPr="005B52AD">
        <w:rPr>
          <w:rFonts w:ascii="Montserrat" w:hAnsi="Montserrat"/>
          <w:b/>
          <w:sz w:val="22"/>
          <w:szCs w:val="22"/>
        </w:rPr>
        <w:t xml:space="preserve">tradicional </w:t>
      </w:r>
    </w:p>
    <w:p w14:paraId="613DFF3E" w14:textId="57BEBB0F" w:rsidR="003A7F94" w:rsidRDefault="00FF1A75" w:rsidP="005B52AD">
      <w:pPr>
        <w:jc w:val="both"/>
        <w:rPr>
          <w:rFonts w:ascii="Montserrat" w:hAnsi="Montserrat"/>
          <w:bCs/>
          <w:sz w:val="22"/>
          <w:szCs w:val="22"/>
        </w:rPr>
      </w:pPr>
      <w:r w:rsidRPr="005B52AD">
        <w:rPr>
          <w:rFonts w:ascii="Montserrat" w:hAnsi="Montserrat"/>
          <w:bCs/>
          <w:sz w:val="22"/>
          <w:szCs w:val="22"/>
        </w:rPr>
        <w:t xml:space="preserve">Como parte de su análisis este estudio plantea que el concepto de familia </w:t>
      </w:r>
      <w:r w:rsidR="00FA5409" w:rsidRPr="005B52AD">
        <w:rPr>
          <w:rFonts w:ascii="Montserrat" w:hAnsi="Montserrat"/>
          <w:bCs/>
          <w:sz w:val="22"/>
          <w:szCs w:val="22"/>
        </w:rPr>
        <w:t>no es estático, cerrado y aislado del tiempo, por el contrario, es una noción dinámica cuya evolución ha respondido principalmente a los cambios económicos, gracias a los cuales se ha ido modelando la interacción entre sus miembros</w:t>
      </w:r>
      <w:r w:rsidR="003A7F94" w:rsidRPr="005B52AD">
        <w:rPr>
          <w:rFonts w:ascii="Montserrat" w:hAnsi="Montserrat"/>
          <w:bCs/>
          <w:sz w:val="22"/>
          <w:szCs w:val="22"/>
        </w:rPr>
        <w:t xml:space="preserve">. </w:t>
      </w:r>
    </w:p>
    <w:p w14:paraId="464691CA" w14:textId="77777777" w:rsidR="005B52AD" w:rsidRPr="005B52AD" w:rsidRDefault="005B52AD" w:rsidP="005B52AD">
      <w:pPr>
        <w:jc w:val="both"/>
        <w:rPr>
          <w:rFonts w:ascii="Montserrat" w:hAnsi="Montserrat"/>
          <w:bCs/>
          <w:sz w:val="22"/>
          <w:szCs w:val="22"/>
        </w:rPr>
      </w:pPr>
    </w:p>
    <w:p w14:paraId="23A370D8" w14:textId="77777777" w:rsidR="00301DAC" w:rsidRPr="005B52AD" w:rsidRDefault="00701778" w:rsidP="005B52AD">
      <w:pPr>
        <w:jc w:val="both"/>
        <w:rPr>
          <w:rFonts w:ascii="Montserrat" w:hAnsi="Montserrat"/>
          <w:bCs/>
          <w:sz w:val="22"/>
          <w:szCs w:val="22"/>
        </w:rPr>
      </w:pPr>
      <w:r w:rsidRPr="005B52AD">
        <w:rPr>
          <w:rFonts w:ascii="Montserrat" w:hAnsi="Montserrat"/>
          <w:bCs/>
          <w:sz w:val="22"/>
          <w:szCs w:val="22"/>
        </w:rPr>
        <w:t>Para contextualizar lo anterior, este documento</w:t>
      </w:r>
      <w:r w:rsidR="00111AFC" w:rsidRPr="005B52AD">
        <w:rPr>
          <w:rFonts w:ascii="Montserrat" w:hAnsi="Montserrat"/>
          <w:bCs/>
          <w:sz w:val="22"/>
          <w:szCs w:val="22"/>
        </w:rPr>
        <w:t xml:space="preserve"> parte del reconocimiento jurídico de la familia y su incidencia en el panorama legislativo nacional bajo un canon tradicional</w:t>
      </w:r>
      <w:r w:rsidR="00301DAC" w:rsidRPr="005B52AD">
        <w:rPr>
          <w:rFonts w:ascii="Montserrat" w:hAnsi="Montserrat"/>
          <w:bCs/>
          <w:sz w:val="22"/>
          <w:szCs w:val="22"/>
        </w:rPr>
        <w:t xml:space="preserve"> con las siguientes características: </w:t>
      </w:r>
    </w:p>
    <w:p w14:paraId="1674EF2F" w14:textId="77777777" w:rsidR="00301DAC" w:rsidRPr="005B52AD" w:rsidRDefault="00301DAC" w:rsidP="005B52AD">
      <w:pPr>
        <w:pStyle w:val="Prrafodelista"/>
        <w:numPr>
          <w:ilvl w:val="0"/>
          <w:numId w:val="34"/>
        </w:numPr>
        <w:jc w:val="both"/>
        <w:rPr>
          <w:rFonts w:ascii="Montserrat" w:hAnsi="Montserrat"/>
          <w:b/>
          <w:sz w:val="22"/>
          <w:szCs w:val="22"/>
        </w:rPr>
      </w:pPr>
      <w:r w:rsidRPr="005B52AD">
        <w:rPr>
          <w:rFonts w:ascii="Montserrat" w:hAnsi="Montserrat"/>
          <w:bCs/>
          <w:sz w:val="22"/>
          <w:szCs w:val="22"/>
        </w:rPr>
        <w:t xml:space="preserve">Su valor se </w:t>
      </w:r>
      <w:r w:rsidR="00111AFC" w:rsidRPr="005B52AD">
        <w:rPr>
          <w:rFonts w:ascii="Montserrat" w:hAnsi="Montserrat"/>
          <w:bCs/>
          <w:sz w:val="22"/>
          <w:szCs w:val="22"/>
        </w:rPr>
        <w:t>centra</w:t>
      </w:r>
      <w:r w:rsidRPr="005B52AD">
        <w:rPr>
          <w:rFonts w:ascii="Montserrat" w:hAnsi="Montserrat"/>
          <w:bCs/>
          <w:sz w:val="22"/>
          <w:szCs w:val="22"/>
        </w:rPr>
        <w:t>b</w:t>
      </w:r>
      <w:r w:rsidR="00111AFC" w:rsidRPr="005B52AD">
        <w:rPr>
          <w:rFonts w:ascii="Montserrat" w:hAnsi="Montserrat"/>
          <w:bCs/>
          <w:sz w:val="22"/>
          <w:szCs w:val="22"/>
        </w:rPr>
        <w:t xml:space="preserve">a en el trabajo </w:t>
      </w:r>
      <w:r w:rsidRPr="005B52AD">
        <w:rPr>
          <w:rFonts w:ascii="Montserrat" w:hAnsi="Montserrat"/>
          <w:bCs/>
          <w:sz w:val="22"/>
          <w:szCs w:val="22"/>
        </w:rPr>
        <w:t>y la economía, teniendo como principal rasgo la desigualdad entre la mujer y el hombre;</w:t>
      </w:r>
    </w:p>
    <w:p w14:paraId="030E8845" w14:textId="15EADA8D" w:rsidR="00301DAC" w:rsidRPr="005B52AD" w:rsidRDefault="00301DAC" w:rsidP="005B52AD">
      <w:pPr>
        <w:pStyle w:val="Prrafodelista"/>
        <w:numPr>
          <w:ilvl w:val="0"/>
          <w:numId w:val="34"/>
        </w:numPr>
        <w:jc w:val="both"/>
        <w:rPr>
          <w:rFonts w:ascii="Montserrat" w:hAnsi="Montserrat"/>
          <w:b/>
          <w:sz w:val="22"/>
          <w:szCs w:val="22"/>
        </w:rPr>
      </w:pPr>
      <w:r w:rsidRPr="005B52AD">
        <w:rPr>
          <w:rFonts w:ascii="Montserrat" w:hAnsi="Montserrat"/>
          <w:bCs/>
          <w:sz w:val="22"/>
          <w:szCs w:val="22"/>
        </w:rPr>
        <w:t xml:space="preserve">En la dinámica interfamiliar niñas, niños y adolescentes ostentaban pocos derechos y no eran concebidos como sujetos autónomos; </w:t>
      </w:r>
    </w:p>
    <w:p w14:paraId="3ACACC7E" w14:textId="77777777" w:rsidR="00301DAC" w:rsidRPr="005B52AD" w:rsidRDefault="00301DAC" w:rsidP="005B52AD">
      <w:pPr>
        <w:pStyle w:val="Prrafodelista"/>
        <w:numPr>
          <w:ilvl w:val="0"/>
          <w:numId w:val="34"/>
        </w:numPr>
        <w:jc w:val="both"/>
        <w:rPr>
          <w:rFonts w:ascii="Montserrat" w:hAnsi="Montserrat"/>
          <w:b/>
          <w:sz w:val="22"/>
          <w:szCs w:val="22"/>
        </w:rPr>
      </w:pPr>
      <w:r w:rsidRPr="005B52AD">
        <w:rPr>
          <w:rFonts w:ascii="Montserrat" w:hAnsi="Montserrat"/>
          <w:bCs/>
          <w:sz w:val="22"/>
          <w:szCs w:val="22"/>
        </w:rPr>
        <w:t xml:space="preserve">Las prácticas </w:t>
      </w:r>
      <w:proofErr w:type="spellStart"/>
      <w:r w:rsidRPr="005B52AD">
        <w:rPr>
          <w:rFonts w:ascii="Montserrat" w:hAnsi="Montserrat"/>
          <w:bCs/>
          <w:sz w:val="22"/>
          <w:szCs w:val="22"/>
        </w:rPr>
        <w:t>homoeróticas</w:t>
      </w:r>
      <w:proofErr w:type="spellEnd"/>
      <w:r w:rsidRPr="005B52AD">
        <w:rPr>
          <w:rFonts w:ascii="Montserrat" w:hAnsi="Montserrat"/>
          <w:bCs/>
          <w:sz w:val="22"/>
          <w:szCs w:val="22"/>
        </w:rPr>
        <w:t xml:space="preserve"> eran entendidas como una perversión </w:t>
      </w:r>
    </w:p>
    <w:p w14:paraId="1C53DF08" w14:textId="77777777" w:rsidR="005B52AD" w:rsidRDefault="005B52AD" w:rsidP="005B52AD">
      <w:pPr>
        <w:jc w:val="both"/>
        <w:rPr>
          <w:rFonts w:ascii="Montserrat" w:hAnsi="Montserrat"/>
          <w:bCs/>
          <w:sz w:val="22"/>
          <w:szCs w:val="22"/>
        </w:rPr>
      </w:pPr>
    </w:p>
    <w:p w14:paraId="7519067C" w14:textId="77777777" w:rsidR="00D266CE" w:rsidRDefault="007617B2" w:rsidP="005B52AD">
      <w:pPr>
        <w:jc w:val="both"/>
        <w:rPr>
          <w:rFonts w:ascii="Montserrat" w:hAnsi="Montserrat"/>
          <w:bCs/>
          <w:sz w:val="22"/>
          <w:szCs w:val="22"/>
        </w:rPr>
      </w:pPr>
      <w:r w:rsidRPr="005B52AD">
        <w:rPr>
          <w:rFonts w:ascii="Montserrat" w:hAnsi="Montserrat"/>
          <w:bCs/>
          <w:sz w:val="22"/>
          <w:szCs w:val="22"/>
        </w:rPr>
        <w:t xml:space="preserve">Lo anterior adquiere vigencia a partir del análisis del llamado “Derecho de Familia” que a nivel nacional se ha construido sobre la base del derecho romano y del derecho canónico, este último dedicado a proteger la moralidad y confinar la sexualidad a las relaciones matrimoniales con la única finalidad </w:t>
      </w:r>
      <w:r w:rsidR="00496F3D" w:rsidRPr="005B52AD">
        <w:rPr>
          <w:rFonts w:ascii="Montserrat" w:hAnsi="Montserrat"/>
          <w:bCs/>
          <w:sz w:val="22"/>
          <w:szCs w:val="22"/>
        </w:rPr>
        <w:t xml:space="preserve">de procrear. </w:t>
      </w:r>
    </w:p>
    <w:p w14:paraId="589FF7EB" w14:textId="77777777" w:rsidR="005B52AD" w:rsidRPr="005B52AD" w:rsidRDefault="005B52AD" w:rsidP="005B52AD">
      <w:pPr>
        <w:jc w:val="both"/>
        <w:rPr>
          <w:rFonts w:ascii="Montserrat" w:hAnsi="Montserrat"/>
          <w:bCs/>
          <w:sz w:val="22"/>
          <w:szCs w:val="22"/>
        </w:rPr>
      </w:pPr>
    </w:p>
    <w:p w14:paraId="58A3CB82" w14:textId="05C9C74A" w:rsidR="00632078" w:rsidRDefault="00D266CE" w:rsidP="005B52AD">
      <w:pPr>
        <w:jc w:val="both"/>
        <w:rPr>
          <w:rFonts w:ascii="Montserrat" w:hAnsi="Montserrat"/>
          <w:bCs/>
          <w:sz w:val="22"/>
          <w:szCs w:val="22"/>
        </w:rPr>
      </w:pPr>
      <w:r w:rsidRPr="005B52AD">
        <w:rPr>
          <w:rFonts w:ascii="Montserrat" w:hAnsi="Montserrat"/>
          <w:bCs/>
          <w:sz w:val="22"/>
          <w:szCs w:val="22"/>
        </w:rPr>
        <w:lastRenderedPageBreak/>
        <w:t>El derecho a</w:t>
      </w:r>
      <w:r w:rsidR="006076CB" w:rsidRPr="005B52AD">
        <w:rPr>
          <w:rFonts w:ascii="Montserrat" w:hAnsi="Montserrat"/>
          <w:bCs/>
          <w:sz w:val="22"/>
          <w:szCs w:val="22"/>
        </w:rPr>
        <w:t xml:space="preserve">l libre desarrollo de la personalidad </w:t>
      </w:r>
      <w:r w:rsidRPr="005B52AD">
        <w:rPr>
          <w:rFonts w:ascii="Montserrat" w:hAnsi="Montserrat"/>
          <w:bCs/>
          <w:sz w:val="22"/>
          <w:szCs w:val="22"/>
        </w:rPr>
        <w:t xml:space="preserve">y a la identidad adquiere especial relevancia en materia familiar toda vez que se trata </w:t>
      </w:r>
      <w:r w:rsidR="006076CB" w:rsidRPr="005B52AD">
        <w:rPr>
          <w:rFonts w:ascii="Montserrat" w:hAnsi="Montserrat"/>
          <w:bCs/>
          <w:sz w:val="22"/>
          <w:szCs w:val="22"/>
        </w:rPr>
        <w:t xml:space="preserve">de la posibilidad de que cada persona realice sus relaciones familiares de acuerdo con su proyecto de vida y su identidad. Esto es importante debido a que cada persona es libre de definir sus relaciones familiares, sin que el Estado deba intervenir en ellas imponiendo valores o comportamientos vistos como correctos.  </w:t>
      </w:r>
    </w:p>
    <w:p w14:paraId="0BF6CD30" w14:textId="77777777" w:rsidR="005B52AD" w:rsidRPr="005B52AD" w:rsidRDefault="005B52AD" w:rsidP="005B52AD">
      <w:pPr>
        <w:jc w:val="both"/>
        <w:rPr>
          <w:rFonts w:ascii="Montserrat" w:hAnsi="Montserrat"/>
          <w:bCs/>
          <w:sz w:val="22"/>
          <w:szCs w:val="22"/>
        </w:rPr>
      </w:pPr>
    </w:p>
    <w:p w14:paraId="451F371A" w14:textId="77777777" w:rsidR="0080358C" w:rsidRPr="005B52AD" w:rsidRDefault="0080358C" w:rsidP="005B52AD">
      <w:pPr>
        <w:pStyle w:val="Prrafodelista"/>
        <w:numPr>
          <w:ilvl w:val="0"/>
          <w:numId w:val="35"/>
        </w:numPr>
        <w:jc w:val="both"/>
        <w:rPr>
          <w:rFonts w:ascii="Montserrat" w:hAnsi="Montserrat"/>
          <w:b/>
          <w:sz w:val="22"/>
          <w:szCs w:val="22"/>
        </w:rPr>
      </w:pPr>
      <w:r w:rsidRPr="005B52AD">
        <w:rPr>
          <w:rFonts w:ascii="Montserrat" w:hAnsi="Montserrat"/>
          <w:b/>
          <w:sz w:val="22"/>
          <w:szCs w:val="22"/>
        </w:rPr>
        <w:t xml:space="preserve">Relación con el derecho a la identidad </w:t>
      </w:r>
    </w:p>
    <w:p w14:paraId="5991CA65" w14:textId="77777777" w:rsidR="0080358C" w:rsidRDefault="0080358C" w:rsidP="005B52AD">
      <w:pPr>
        <w:jc w:val="both"/>
        <w:rPr>
          <w:rFonts w:ascii="Montserrat" w:hAnsi="Montserrat"/>
          <w:bCs/>
          <w:sz w:val="22"/>
          <w:szCs w:val="22"/>
        </w:rPr>
      </w:pPr>
      <w:r w:rsidRPr="005B52AD">
        <w:rPr>
          <w:rFonts w:ascii="Montserrat" w:hAnsi="Montserrat"/>
          <w:bCs/>
          <w:sz w:val="22"/>
          <w:szCs w:val="22"/>
        </w:rPr>
        <w:t>El derecho a la autodeterminación y a la identidad cobra especial relevancia en materia familiar pues se trata de la posibilidad de que cada persona realice sus relaciones familiares de acuerdo con su proyecto de vida y su identidad. Esto es importante debido a que cada persona es libre de definir sus relaciones familiares (respetando siempre derechos de terceros, en especial de niños y niñas) sin que el Estado deba intervenir en ellas imponiendo valores o comportamientos vistos como los correctos.</w:t>
      </w:r>
    </w:p>
    <w:p w14:paraId="162A639C" w14:textId="77777777" w:rsidR="005B52AD" w:rsidRPr="005B52AD" w:rsidRDefault="005B52AD" w:rsidP="005B52AD">
      <w:pPr>
        <w:jc w:val="both"/>
        <w:rPr>
          <w:rFonts w:ascii="Montserrat" w:hAnsi="Montserrat"/>
          <w:bCs/>
          <w:sz w:val="22"/>
          <w:szCs w:val="22"/>
        </w:rPr>
      </w:pPr>
    </w:p>
    <w:p w14:paraId="4661A3AF" w14:textId="4EDEE5D4" w:rsidR="0080358C" w:rsidRDefault="0080358C" w:rsidP="005B52AD">
      <w:pPr>
        <w:jc w:val="both"/>
        <w:rPr>
          <w:rFonts w:ascii="Montserrat" w:hAnsi="Montserrat"/>
          <w:bCs/>
          <w:sz w:val="22"/>
          <w:szCs w:val="22"/>
        </w:rPr>
      </w:pPr>
      <w:r w:rsidRPr="005B52AD">
        <w:rPr>
          <w:rFonts w:ascii="Montserrat" w:hAnsi="Montserrat"/>
          <w:bCs/>
          <w:sz w:val="22"/>
          <w:szCs w:val="22"/>
        </w:rPr>
        <w:t xml:space="preserve">El libre desarrollo de la personalidad comprende, entre otras expresiones, la libertad de contraer matrimonio o no hacerlo; de procrear hijos y cuántos, o bien, decidir no tenerlos; de escoger su apariencia personal; su profesión o actividad laboral, así como </w:t>
      </w:r>
      <w:r w:rsidR="00D13EBA" w:rsidRPr="005B52AD">
        <w:rPr>
          <w:rFonts w:ascii="Montserrat" w:hAnsi="Montserrat"/>
          <w:bCs/>
          <w:sz w:val="22"/>
          <w:szCs w:val="22"/>
        </w:rPr>
        <w:t>el derecho a la identidad, dentro de la cual se comprende la identidad sexual a partir de la que el individuo se proyecta frente a sí mismo y dentro de una sociedad</w:t>
      </w:r>
      <w:r w:rsidRPr="005B52AD">
        <w:rPr>
          <w:rFonts w:ascii="Montserrat" w:hAnsi="Montserrat"/>
          <w:bCs/>
          <w:sz w:val="22"/>
          <w:szCs w:val="22"/>
        </w:rPr>
        <w:t>, en tanto que todos estos aspectos son parte de la forma en que una persona desea vivir su vida y que, por tanto, sólo a ella corresponde decidir autónomamente.</w:t>
      </w:r>
    </w:p>
    <w:p w14:paraId="733C21D9" w14:textId="77777777" w:rsidR="005B52AD" w:rsidRPr="005B52AD" w:rsidRDefault="005B52AD" w:rsidP="005B52AD">
      <w:pPr>
        <w:jc w:val="both"/>
        <w:rPr>
          <w:rFonts w:ascii="Montserrat" w:hAnsi="Montserrat"/>
          <w:bCs/>
          <w:sz w:val="22"/>
          <w:szCs w:val="22"/>
        </w:rPr>
      </w:pPr>
    </w:p>
    <w:p w14:paraId="773D2172" w14:textId="1C92E3ED" w:rsidR="001E2F6F" w:rsidRPr="005B52AD" w:rsidRDefault="001E2F6F" w:rsidP="005B52AD">
      <w:pPr>
        <w:pStyle w:val="Prrafodelista"/>
        <w:numPr>
          <w:ilvl w:val="0"/>
          <w:numId w:val="35"/>
        </w:numPr>
        <w:jc w:val="both"/>
        <w:rPr>
          <w:rFonts w:ascii="Montserrat" w:hAnsi="Montserrat"/>
          <w:b/>
          <w:sz w:val="22"/>
          <w:szCs w:val="22"/>
        </w:rPr>
      </w:pPr>
      <w:r w:rsidRPr="005B52AD">
        <w:rPr>
          <w:rFonts w:ascii="Montserrat" w:hAnsi="Montserrat"/>
          <w:b/>
          <w:sz w:val="22"/>
          <w:szCs w:val="22"/>
        </w:rPr>
        <w:t xml:space="preserve">Propuesta de modelo normativo óptimo </w:t>
      </w:r>
    </w:p>
    <w:p w14:paraId="0D9DC325" w14:textId="2680A207" w:rsidR="001E2F6F" w:rsidRDefault="001E2F6F" w:rsidP="005B52AD">
      <w:pPr>
        <w:jc w:val="both"/>
        <w:rPr>
          <w:rFonts w:ascii="Montserrat" w:hAnsi="Montserrat"/>
          <w:bCs/>
          <w:sz w:val="22"/>
          <w:szCs w:val="22"/>
        </w:rPr>
      </w:pPr>
      <w:r w:rsidRPr="005B52AD">
        <w:rPr>
          <w:rFonts w:ascii="Montserrat" w:hAnsi="Montserrat"/>
          <w:bCs/>
          <w:sz w:val="22"/>
          <w:szCs w:val="22"/>
        </w:rPr>
        <w:t>Es importante precisar que el contenido mínimo amparado por el derecho de las familias es el de relaciones de filiación y parentesco</w:t>
      </w:r>
      <w:r w:rsidR="000E37CE" w:rsidRPr="005B52AD">
        <w:rPr>
          <w:rFonts w:ascii="Montserrat" w:hAnsi="Montserrat"/>
          <w:bCs/>
          <w:sz w:val="22"/>
          <w:szCs w:val="22"/>
        </w:rPr>
        <w:t xml:space="preserve"> (ideas que utilizan tanto la Suprema Corte de Justicia de la Nación (SCJN), como el Comité de Derechos Humanos) o de la vida familiar (concepto que emplea la Corte IDH). </w:t>
      </w:r>
    </w:p>
    <w:p w14:paraId="64EB7B4A" w14:textId="77777777" w:rsidR="005B52AD" w:rsidRPr="005B52AD" w:rsidRDefault="005B52AD" w:rsidP="005B52AD">
      <w:pPr>
        <w:jc w:val="both"/>
        <w:rPr>
          <w:rFonts w:ascii="Montserrat" w:hAnsi="Montserrat"/>
          <w:bCs/>
          <w:sz w:val="22"/>
          <w:szCs w:val="22"/>
        </w:rPr>
      </w:pPr>
    </w:p>
    <w:p w14:paraId="6162F315" w14:textId="1E208431" w:rsidR="001E2F6F" w:rsidRDefault="000E37CE" w:rsidP="005B52AD">
      <w:pPr>
        <w:jc w:val="both"/>
        <w:rPr>
          <w:rFonts w:ascii="Montserrat" w:hAnsi="Montserrat"/>
          <w:bCs/>
          <w:sz w:val="22"/>
          <w:szCs w:val="22"/>
        </w:rPr>
      </w:pPr>
      <w:r w:rsidRPr="005B52AD">
        <w:rPr>
          <w:rFonts w:ascii="Montserrat" w:hAnsi="Montserrat"/>
          <w:bCs/>
          <w:sz w:val="22"/>
          <w:szCs w:val="22"/>
        </w:rPr>
        <w:t>En el marco de los procesos de reforma para el reconocimiento del matrimonio igualitario, la SCJN interpretó el artícul</w:t>
      </w:r>
      <w:r w:rsidR="00233E0F" w:rsidRPr="005B52AD">
        <w:rPr>
          <w:rFonts w:ascii="Montserrat" w:hAnsi="Montserrat"/>
          <w:bCs/>
          <w:sz w:val="22"/>
          <w:szCs w:val="22"/>
        </w:rPr>
        <w:t>o 4 en el sentido de que no protege a un determinado modelo de familia, pues se trata de un concepto</w:t>
      </w:r>
      <w:r w:rsidRPr="005B52AD">
        <w:rPr>
          <w:rFonts w:ascii="Montserrat" w:hAnsi="Montserrat"/>
          <w:bCs/>
          <w:sz w:val="22"/>
          <w:szCs w:val="22"/>
        </w:rPr>
        <w:t xml:space="preserve"> </w:t>
      </w:r>
      <w:r w:rsidR="002A587F" w:rsidRPr="005B52AD">
        <w:rPr>
          <w:rFonts w:ascii="Montserrat" w:hAnsi="Montserrat"/>
          <w:bCs/>
          <w:sz w:val="22"/>
          <w:szCs w:val="22"/>
        </w:rPr>
        <w:t>pues se trata de un concepto social y dinámico: “dentro de un Estado democrático de Derecho, en el que el respeto a la pluralidad es parte de su esencia, lo que debe entenderse protegido constitucionalmente es la familia como realidad social y, por ende, tal protección debe cubrir todas sus formas y manifestaciones en cuanto realidad existente”.</w:t>
      </w:r>
    </w:p>
    <w:p w14:paraId="38E5B0A8" w14:textId="77777777" w:rsidR="005B52AD" w:rsidRPr="00165408" w:rsidRDefault="005B52AD" w:rsidP="00165408">
      <w:pPr>
        <w:jc w:val="both"/>
        <w:rPr>
          <w:rFonts w:ascii="Montserrat" w:hAnsi="Montserrat"/>
          <w:bCs/>
          <w:sz w:val="22"/>
          <w:szCs w:val="22"/>
          <w:u w:val="single"/>
        </w:rPr>
      </w:pPr>
    </w:p>
    <w:p w14:paraId="708AFA7F" w14:textId="664F58B9" w:rsidR="00D13EBA" w:rsidRPr="00165408" w:rsidRDefault="00D13EBA" w:rsidP="00165408">
      <w:pPr>
        <w:pStyle w:val="Prrafodelista"/>
        <w:numPr>
          <w:ilvl w:val="0"/>
          <w:numId w:val="47"/>
        </w:numPr>
        <w:jc w:val="both"/>
        <w:rPr>
          <w:rFonts w:ascii="Montserrat" w:hAnsi="Montserrat"/>
          <w:sz w:val="22"/>
          <w:szCs w:val="22"/>
          <w:u w:val="single"/>
        </w:rPr>
      </w:pPr>
      <w:r w:rsidRPr="00165408">
        <w:rPr>
          <w:rFonts w:ascii="Montserrat" w:hAnsi="Montserrat"/>
          <w:sz w:val="22"/>
          <w:szCs w:val="22"/>
          <w:u w:val="single"/>
        </w:rPr>
        <w:t>La igualdad en el derecho a establecer una familia</w:t>
      </w:r>
    </w:p>
    <w:p w14:paraId="431AF7BF" w14:textId="20C2CF63" w:rsidR="0080358C" w:rsidRDefault="00D13EBA" w:rsidP="005B52AD">
      <w:pPr>
        <w:jc w:val="both"/>
        <w:rPr>
          <w:rFonts w:ascii="Montserrat" w:hAnsi="Montserrat"/>
          <w:bCs/>
          <w:sz w:val="22"/>
          <w:szCs w:val="22"/>
        </w:rPr>
      </w:pPr>
      <w:r w:rsidRPr="005B52AD">
        <w:rPr>
          <w:rFonts w:ascii="Montserrat" w:hAnsi="Montserrat"/>
          <w:bCs/>
          <w:sz w:val="22"/>
          <w:szCs w:val="22"/>
        </w:rPr>
        <w:t xml:space="preserve">La interpretación sistemática del artículo 4 constitucional –que establece el derecho a la protección de las familias– en conjunto con el artículo 1, revela que </w:t>
      </w:r>
      <w:r w:rsidRPr="005B52AD">
        <w:rPr>
          <w:rFonts w:ascii="Montserrat" w:hAnsi="Montserrat"/>
          <w:b/>
          <w:sz w:val="22"/>
          <w:szCs w:val="22"/>
        </w:rPr>
        <w:t>este derecho pertenece a todas las personas y que a nadie le podrá ser negado por ninguna razón (cláusula de no discriminación).</w:t>
      </w:r>
      <w:r w:rsidRPr="005B52AD">
        <w:rPr>
          <w:rFonts w:ascii="Montserrat" w:hAnsi="Montserrat"/>
          <w:bCs/>
          <w:sz w:val="22"/>
          <w:szCs w:val="22"/>
        </w:rPr>
        <w:t xml:space="preserve"> De esta manera se concluye que cualquier persona tiene el derecho a establecer una familia y a que ésta sea objeto de protección por parte de las autoridades. El derecho a la </w:t>
      </w:r>
      <w:r w:rsidRPr="005B52AD">
        <w:rPr>
          <w:rFonts w:ascii="Montserrat" w:hAnsi="Montserrat"/>
          <w:bCs/>
          <w:sz w:val="22"/>
          <w:szCs w:val="22"/>
        </w:rPr>
        <w:lastRenderedPageBreak/>
        <w:t xml:space="preserve">protección de las familias, interpretado conjuntamente con el derecho a la autodeterminación y el derecho a decidir el número y espaciamiento de hijas e hijos, denota el derecho de cada persona a unirse en pareja con otra persona y a tener descendencia, es decir, a conformar una familia. Luego, si se tiene la libertad para determinar si se quiere o no tener progenie, cuánta y cuándo; si el Poder Revisor de la Constitución ha considerado la importancia de las familias como una institución social y ha determinado su protección como un derecho y como un valor superior, entonces, </w:t>
      </w:r>
      <w:r w:rsidRPr="005B52AD">
        <w:rPr>
          <w:rFonts w:ascii="Montserrat" w:hAnsi="Montserrat"/>
          <w:b/>
          <w:sz w:val="22"/>
          <w:szCs w:val="22"/>
        </w:rPr>
        <w:t>cualquier persona debe tener derecho a establecer su familia de la forma en que mejor considere</w:t>
      </w:r>
      <w:r w:rsidRPr="005B52AD">
        <w:rPr>
          <w:rFonts w:ascii="Montserrat" w:hAnsi="Montserrat"/>
          <w:bCs/>
          <w:sz w:val="22"/>
          <w:szCs w:val="22"/>
        </w:rPr>
        <w:t xml:space="preserve"> (respetando siempre derechos de terceros) y a que ésta sea protegida por la ley y la autoridad.</w:t>
      </w:r>
    </w:p>
    <w:p w14:paraId="5EB6F0A6" w14:textId="77777777" w:rsidR="005B52AD" w:rsidRPr="005B52AD" w:rsidRDefault="005B52AD" w:rsidP="005B52AD">
      <w:pPr>
        <w:jc w:val="both"/>
        <w:rPr>
          <w:rFonts w:ascii="Montserrat" w:hAnsi="Montserrat"/>
          <w:bCs/>
          <w:sz w:val="22"/>
          <w:szCs w:val="22"/>
        </w:rPr>
      </w:pPr>
    </w:p>
    <w:p w14:paraId="0C779076" w14:textId="79399175" w:rsidR="00D13EBA" w:rsidRPr="005B52AD" w:rsidRDefault="006C3CD7" w:rsidP="005B52AD">
      <w:pPr>
        <w:pStyle w:val="Prrafodelista"/>
        <w:numPr>
          <w:ilvl w:val="0"/>
          <w:numId w:val="38"/>
        </w:numPr>
        <w:jc w:val="both"/>
        <w:rPr>
          <w:rFonts w:ascii="Montserrat" w:hAnsi="Montserrat"/>
          <w:b/>
          <w:sz w:val="22"/>
          <w:szCs w:val="22"/>
        </w:rPr>
      </w:pPr>
      <w:r w:rsidRPr="005B52AD">
        <w:rPr>
          <w:rFonts w:ascii="Montserrat" w:hAnsi="Montserrat"/>
          <w:b/>
          <w:sz w:val="22"/>
          <w:szCs w:val="22"/>
        </w:rPr>
        <w:t xml:space="preserve">Matrimonio </w:t>
      </w:r>
    </w:p>
    <w:p w14:paraId="15E676A6" w14:textId="12862280" w:rsidR="001B4024" w:rsidRDefault="001B4024" w:rsidP="005B52AD">
      <w:pPr>
        <w:jc w:val="both"/>
        <w:rPr>
          <w:rFonts w:ascii="Montserrat" w:hAnsi="Montserrat"/>
          <w:bCs/>
          <w:sz w:val="22"/>
          <w:szCs w:val="22"/>
        </w:rPr>
      </w:pPr>
      <w:r w:rsidRPr="005B52AD">
        <w:rPr>
          <w:rFonts w:ascii="Montserrat" w:hAnsi="Montserrat"/>
          <w:bCs/>
          <w:sz w:val="22"/>
          <w:szCs w:val="22"/>
        </w:rPr>
        <w:t xml:space="preserve">La Constitución mexicana no reconoce textualmente el derecho al matrimonio, sin embargo, por la vía del artículo 1 es posible hablar en México de él ya que tanto la Convención Americana </w:t>
      </w:r>
      <w:r w:rsidR="001256D6" w:rsidRPr="005B52AD">
        <w:rPr>
          <w:rFonts w:ascii="Montserrat" w:hAnsi="Montserrat"/>
          <w:bCs/>
          <w:sz w:val="22"/>
          <w:szCs w:val="22"/>
        </w:rPr>
        <w:t>de Derechos Humanos</w:t>
      </w:r>
      <w:r w:rsidR="00713DEE" w:rsidRPr="005B52AD">
        <w:rPr>
          <w:rFonts w:ascii="Montserrat" w:hAnsi="Montserrat"/>
          <w:bCs/>
          <w:sz w:val="22"/>
          <w:szCs w:val="22"/>
        </w:rPr>
        <w:t xml:space="preserve"> (CADH)</w:t>
      </w:r>
      <w:r w:rsidRPr="005B52AD">
        <w:rPr>
          <w:rFonts w:ascii="Montserrat" w:hAnsi="Montserrat"/>
          <w:bCs/>
          <w:sz w:val="22"/>
          <w:szCs w:val="22"/>
        </w:rPr>
        <w:t xml:space="preserve"> como el </w:t>
      </w:r>
      <w:r w:rsidR="001256D6" w:rsidRPr="005B52AD">
        <w:rPr>
          <w:rFonts w:ascii="Montserrat" w:hAnsi="Montserrat"/>
          <w:bCs/>
          <w:sz w:val="22"/>
          <w:szCs w:val="22"/>
        </w:rPr>
        <w:t>Pacto Internacional de Derechos Civiles y Políticos</w:t>
      </w:r>
      <w:r w:rsidR="00713DEE" w:rsidRPr="005B52AD">
        <w:rPr>
          <w:rFonts w:ascii="Montserrat" w:hAnsi="Montserrat"/>
          <w:bCs/>
          <w:sz w:val="22"/>
          <w:szCs w:val="22"/>
        </w:rPr>
        <w:t xml:space="preserve"> (PIDCP)</w:t>
      </w:r>
      <w:r w:rsidR="001256D6" w:rsidRPr="005B52AD">
        <w:rPr>
          <w:rFonts w:ascii="Montserrat" w:hAnsi="Montserrat"/>
          <w:bCs/>
          <w:sz w:val="22"/>
          <w:szCs w:val="22"/>
        </w:rPr>
        <w:t xml:space="preserve"> </w:t>
      </w:r>
      <w:r w:rsidRPr="005B52AD">
        <w:rPr>
          <w:rFonts w:ascii="Montserrat" w:hAnsi="Montserrat"/>
          <w:bCs/>
          <w:sz w:val="22"/>
          <w:szCs w:val="22"/>
        </w:rPr>
        <w:t>reconocen el derecho a contraer matrimonio, artículos 17.2 y 23.2, respectivamente.</w:t>
      </w:r>
    </w:p>
    <w:p w14:paraId="2B3B056B" w14:textId="77777777" w:rsidR="005B52AD" w:rsidRPr="005B52AD" w:rsidRDefault="005B52AD" w:rsidP="005B52AD">
      <w:pPr>
        <w:jc w:val="both"/>
        <w:rPr>
          <w:rFonts w:ascii="Montserrat" w:hAnsi="Montserrat"/>
          <w:bCs/>
          <w:sz w:val="22"/>
          <w:szCs w:val="22"/>
        </w:rPr>
      </w:pPr>
    </w:p>
    <w:p w14:paraId="22EAE83C" w14:textId="4604E56B" w:rsidR="00713DEE" w:rsidRDefault="00713DEE" w:rsidP="005B52AD">
      <w:pPr>
        <w:jc w:val="both"/>
        <w:rPr>
          <w:rFonts w:ascii="Montserrat" w:hAnsi="Montserrat"/>
          <w:b/>
          <w:sz w:val="22"/>
          <w:szCs w:val="22"/>
        </w:rPr>
      </w:pPr>
      <w:r w:rsidRPr="005B52AD">
        <w:rPr>
          <w:rFonts w:ascii="Montserrat" w:hAnsi="Montserrat"/>
          <w:bCs/>
          <w:sz w:val="22"/>
          <w:szCs w:val="22"/>
        </w:rPr>
        <w:t xml:space="preserve">A pesar de que la redacción en ambos instrumentos establece el derecho del “hombre y la mujer”, y que hay quienes interpretan esto en el sentido de que la institución debe ser esencialmente heterosexual, la Corte Interamericana ha determinado que la CADH ha de ser interpretada atendiendo al principio de interpretación evolutiva, que entiende a ésta como un instrumento vivo y, además, siempre debe atenderse a la </w:t>
      </w:r>
      <w:r w:rsidRPr="005B52AD">
        <w:rPr>
          <w:rFonts w:ascii="Montserrat" w:hAnsi="Montserrat"/>
          <w:b/>
          <w:sz w:val="22"/>
          <w:szCs w:val="22"/>
        </w:rPr>
        <w:t>cláusula de no discriminación.</w:t>
      </w:r>
    </w:p>
    <w:p w14:paraId="124BB00B" w14:textId="77777777" w:rsidR="005B52AD" w:rsidRPr="005B52AD" w:rsidRDefault="005B52AD" w:rsidP="005B52AD">
      <w:pPr>
        <w:jc w:val="both"/>
        <w:rPr>
          <w:rFonts w:ascii="Montserrat" w:hAnsi="Montserrat"/>
          <w:b/>
          <w:sz w:val="22"/>
          <w:szCs w:val="22"/>
        </w:rPr>
      </w:pPr>
    </w:p>
    <w:p w14:paraId="2FA24439" w14:textId="01F84243" w:rsidR="00713DEE" w:rsidRPr="005B52AD" w:rsidRDefault="00713DEE" w:rsidP="005B52AD">
      <w:pPr>
        <w:jc w:val="both"/>
        <w:rPr>
          <w:rFonts w:ascii="Montserrat" w:hAnsi="Montserrat"/>
          <w:bCs/>
          <w:sz w:val="22"/>
          <w:szCs w:val="22"/>
        </w:rPr>
      </w:pPr>
      <w:r w:rsidRPr="005B52AD">
        <w:rPr>
          <w:rFonts w:ascii="Montserrat" w:hAnsi="Montserrat"/>
          <w:bCs/>
          <w:sz w:val="22"/>
          <w:szCs w:val="22"/>
        </w:rPr>
        <w:t xml:space="preserve">Si se interpretan dichos artículos en conjunto con las cláusulas de no discriminación, el derecho a contraer matrimonio no puede ser restringido a ninguna persona por ninguna condición, a menos que la medida cumpla con los requisitos de razonabilidad (fin legítimo, necesidad, idoneidad y proporcionalidad). Ello implica que la autoridad no puede negar el matrimonio a ninguna persona por razones de salud, nacionalidad u </w:t>
      </w:r>
      <w:r w:rsidRPr="005B52AD">
        <w:rPr>
          <w:rFonts w:ascii="Montserrat" w:hAnsi="Montserrat"/>
          <w:b/>
          <w:sz w:val="22"/>
          <w:szCs w:val="22"/>
        </w:rPr>
        <w:t>orientación sexual e identidad de género</w:t>
      </w:r>
      <w:r w:rsidRPr="005B52AD">
        <w:rPr>
          <w:rFonts w:ascii="Montserrat" w:hAnsi="Montserrat"/>
          <w:bCs/>
          <w:sz w:val="22"/>
          <w:szCs w:val="22"/>
        </w:rPr>
        <w:t xml:space="preserve"> si no existe una justificación objetiva y razonable.</w:t>
      </w:r>
      <w:r w:rsidR="005B0BDC" w:rsidRPr="005B52AD">
        <w:rPr>
          <w:rFonts w:ascii="Montserrat" w:hAnsi="Montserrat"/>
          <w:bCs/>
          <w:sz w:val="22"/>
          <w:szCs w:val="22"/>
        </w:rPr>
        <w:t xml:space="preserve"> Esto tiene repercusiones, por ejemplo, en la normativa sobre matrimonios de nacionales con extranjeros, impedimentos para contraer matrimonio y matrimonio entre personas del mismo sexo o personas con identidades de género no normativas. </w:t>
      </w:r>
    </w:p>
    <w:p w14:paraId="253ECFAC" w14:textId="77777777" w:rsidR="005B0BDC" w:rsidRPr="005B52AD" w:rsidRDefault="005B0BDC" w:rsidP="005B52AD">
      <w:pPr>
        <w:jc w:val="both"/>
        <w:rPr>
          <w:rFonts w:ascii="Montserrat" w:hAnsi="Montserrat"/>
          <w:b/>
          <w:sz w:val="22"/>
          <w:szCs w:val="22"/>
        </w:rPr>
      </w:pPr>
    </w:p>
    <w:p w14:paraId="331FCEC7" w14:textId="2021FDFD" w:rsidR="005B0BDC" w:rsidRPr="005B52AD" w:rsidRDefault="005B0BDC" w:rsidP="005B52AD">
      <w:pPr>
        <w:pStyle w:val="Prrafodelista"/>
        <w:numPr>
          <w:ilvl w:val="0"/>
          <w:numId w:val="33"/>
        </w:numPr>
        <w:jc w:val="both"/>
        <w:rPr>
          <w:rFonts w:ascii="Montserrat" w:hAnsi="Montserrat"/>
          <w:b/>
          <w:sz w:val="22"/>
          <w:szCs w:val="22"/>
        </w:rPr>
      </w:pPr>
      <w:r w:rsidRPr="005B52AD">
        <w:rPr>
          <w:rFonts w:ascii="Montserrat" w:hAnsi="Montserrat"/>
          <w:b/>
          <w:sz w:val="22"/>
          <w:szCs w:val="22"/>
        </w:rPr>
        <w:t>¿Se han establecido leyes, políticas, apoyo psicosocial o recursos legales para reconocer y proporcionar reparaciones y compensaciones por el legado del colonialismo en relación con el disfrute de los derechos humanos? ¿Tienen en cuenta la violencia y la discriminación por motivos de orientación sexual e identidad de género? </w:t>
      </w:r>
    </w:p>
    <w:p w14:paraId="0FA47C75" w14:textId="77777777" w:rsidR="00632078" w:rsidRPr="005B52AD" w:rsidRDefault="00632078" w:rsidP="005B52AD">
      <w:pPr>
        <w:jc w:val="both"/>
        <w:rPr>
          <w:rFonts w:ascii="Montserrat" w:hAnsi="Montserrat"/>
          <w:b/>
          <w:sz w:val="22"/>
          <w:szCs w:val="22"/>
        </w:rPr>
      </w:pPr>
    </w:p>
    <w:p w14:paraId="1E7DA0DA" w14:textId="5017A82B" w:rsidR="00E425DA" w:rsidRPr="005B52AD" w:rsidRDefault="005B0BDC" w:rsidP="005B52AD">
      <w:pPr>
        <w:pStyle w:val="Default"/>
        <w:numPr>
          <w:ilvl w:val="0"/>
          <w:numId w:val="45"/>
        </w:numPr>
        <w:jc w:val="both"/>
        <w:rPr>
          <w:rFonts w:ascii="Montserrat" w:hAnsi="Montserrat"/>
          <w:sz w:val="22"/>
          <w:szCs w:val="22"/>
        </w:rPr>
      </w:pPr>
      <w:r w:rsidRPr="005B52AD">
        <w:rPr>
          <w:rFonts w:ascii="Montserrat" w:hAnsi="Montserrat"/>
          <w:b/>
          <w:bCs/>
          <w:sz w:val="22"/>
          <w:szCs w:val="22"/>
        </w:rPr>
        <w:t xml:space="preserve">Marco legislativo </w:t>
      </w:r>
    </w:p>
    <w:p w14:paraId="6C98AF64" w14:textId="77777777" w:rsidR="005B0BDC" w:rsidRPr="005B52AD" w:rsidRDefault="005B0BDC" w:rsidP="005B52AD">
      <w:pPr>
        <w:jc w:val="both"/>
        <w:rPr>
          <w:rFonts w:ascii="Montserrat" w:eastAsia="Helvetica Neue" w:hAnsi="Montserrat" w:cs="Times New Roman"/>
          <w:bCs/>
          <w:color w:val="000000" w:themeColor="text1"/>
          <w:sz w:val="22"/>
          <w:szCs w:val="22"/>
          <w:lang w:val="es-ES_tradnl"/>
        </w:rPr>
      </w:pPr>
      <w:r w:rsidRPr="005B52AD">
        <w:rPr>
          <w:rFonts w:ascii="Montserrat" w:eastAsia="Helvetica Neue" w:hAnsi="Montserrat" w:cs="Times New Roman"/>
          <w:bCs/>
          <w:color w:val="000000" w:themeColor="text1"/>
          <w:sz w:val="22"/>
          <w:szCs w:val="22"/>
          <w:lang w:val="es-ES_tradnl"/>
        </w:rPr>
        <w:t xml:space="preserve">En México, el derecho a la igualdad y a la no discriminación se encuentra reconocido en el artículo primero constitucional, párrafo 5° que dicta: </w:t>
      </w:r>
    </w:p>
    <w:p w14:paraId="388D93BA" w14:textId="77777777" w:rsidR="005B0BDC" w:rsidRPr="005B52AD" w:rsidRDefault="005B0BDC" w:rsidP="005B52AD">
      <w:pPr>
        <w:ind w:left="708"/>
        <w:jc w:val="both"/>
        <w:rPr>
          <w:rFonts w:ascii="Montserrat" w:eastAsia="Helvetica Neue" w:hAnsi="Montserrat" w:cs="Times New Roman"/>
          <w:bCs/>
          <w:color w:val="000000" w:themeColor="text1"/>
          <w:sz w:val="20"/>
          <w:szCs w:val="22"/>
          <w:lang w:val="es-ES_tradnl"/>
        </w:rPr>
      </w:pPr>
      <w:r w:rsidRPr="005B52AD">
        <w:rPr>
          <w:rFonts w:ascii="Montserrat" w:eastAsia="Helvetica Neue" w:hAnsi="Montserrat" w:cs="Times New Roman"/>
          <w:bCs/>
          <w:color w:val="000000" w:themeColor="text1"/>
          <w:sz w:val="20"/>
          <w:szCs w:val="22"/>
          <w:lang w:val="es-ES_tradnl"/>
        </w:rPr>
        <w:t xml:space="preserve">[…] </w:t>
      </w:r>
      <w:r w:rsidRPr="005B52AD">
        <w:rPr>
          <w:rFonts w:ascii="Montserrat" w:eastAsia="Helvetica Neue" w:hAnsi="Montserrat" w:cs="Times New Roman"/>
          <w:bCs/>
          <w:i/>
          <w:color w:val="000000" w:themeColor="text1"/>
          <w:sz w:val="20"/>
          <w:szCs w:val="22"/>
          <w:lang w:val="es-ES_tradnl"/>
        </w:rPr>
        <w:t xml:space="preserve">Queda prohibida toda discriminación motivada por origen étnico o nacional, el género, la edad, las discapacidades, la condición social, las condiciones de </w:t>
      </w:r>
      <w:r w:rsidRPr="005B52AD">
        <w:rPr>
          <w:rFonts w:ascii="Montserrat" w:eastAsia="Helvetica Neue" w:hAnsi="Montserrat" w:cs="Times New Roman"/>
          <w:bCs/>
          <w:i/>
          <w:color w:val="000000" w:themeColor="text1"/>
          <w:sz w:val="20"/>
          <w:szCs w:val="22"/>
          <w:lang w:val="es-ES_tradnl"/>
        </w:rPr>
        <w:lastRenderedPageBreak/>
        <w:t>salud,</w:t>
      </w:r>
      <w:r w:rsidRPr="005B52AD">
        <w:rPr>
          <w:rFonts w:ascii="Montserrat" w:eastAsia="Helvetica Neue" w:hAnsi="Montserrat" w:cs="Times New Roman"/>
          <w:b/>
          <w:i/>
          <w:color w:val="000000" w:themeColor="text1"/>
          <w:sz w:val="20"/>
          <w:szCs w:val="22"/>
          <w:lang w:val="es-ES_tradnl"/>
        </w:rPr>
        <w:t xml:space="preserve"> </w:t>
      </w:r>
      <w:r w:rsidRPr="005B52AD">
        <w:rPr>
          <w:rFonts w:ascii="Montserrat" w:eastAsia="Helvetica Neue" w:hAnsi="Montserrat" w:cs="Times New Roman"/>
          <w:bCs/>
          <w:i/>
          <w:color w:val="000000" w:themeColor="text1"/>
          <w:sz w:val="20"/>
          <w:szCs w:val="22"/>
          <w:lang w:val="es-ES_tradnl"/>
        </w:rPr>
        <w:t xml:space="preserve">la religión, las opiniones, </w:t>
      </w:r>
      <w:r w:rsidRPr="005B52AD">
        <w:rPr>
          <w:rFonts w:ascii="Montserrat" w:eastAsia="Helvetica Neue" w:hAnsi="Montserrat" w:cs="Times New Roman"/>
          <w:b/>
          <w:i/>
          <w:color w:val="000000" w:themeColor="text1"/>
          <w:sz w:val="20"/>
          <w:szCs w:val="22"/>
          <w:lang w:val="es-ES_tradnl"/>
        </w:rPr>
        <w:t>las preferencias sexuales</w:t>
      </w:r>
      <w:r w:rsidRPr="005B52AD">
        <w:rPr>
          <w:rFonts w:ascii="Montserrat" w:eastAsia="Helvetica Neue" w:hAnsi="Montserrat" w:cs="Times New Roman"/>
          <w:bCs/>
          <w:i/>
          <w:color w:val="000000" w:themeColor="text1"/>
          <w:sz w:val="20"/>
          <w:szCs w:val="22"/>
          <w:lang w:val="es-ES_tradnl"/>
        </w:rPr>
        <w:t>, el estado civil o cualquier otra que atente contra la dignidad humana y que tenga por objeto anular o menoscabar los derechos y las libertades de las personas.</w:t>
      </w:r>
      <w:r w:rsidRPr="005B52AD">
        <w:rPr>
          <w:rFonts w:ascii="Montserrat" w:eastAsia="Helvetica Neue" w:hAnsi="Montserrat" w:cs="Times New Roman"/>
          <w:bCs/>
          <w:i/>
          <w:color w:val="000000" w:themeColor="text1"/>
          <w:sz w:val="20"/>
          <w:szCs w:val="22"/>
          <w:vertAlign w:val="superscript"/>
          <w:lang w:val="es-ES_tradnl"/>
        </w:rPr>
        <w:footnoteReference w:id="2"/>
      </w:r>
    </w:p>
    <w:p w14:paraId="1E41C022" w14:textId="77777777" w:rsidR="005B52AD" w:rsidRDefault="005B52AD" w:rsidP="005B52AD">
      <w:pPr>
        <w:jc w:val="both"/>
        <w:rPr>
          <w:rFonts w:ascii="Montserrat" w:eastAsia="Helvetica Neue" w:hAnsi="Montserrat" w:cs="Times New Roman"/>
          <w:bCs/>
          <w:color w:val="000000" w:themeColor="text1"/>
          <w:sz w:val="22"/>
          <w:szCs w:val="22"/>
          <w:lang w:val="es-ES_tradnl"/>
        </w:rPr>
      </w:pPr>
    </w:p>
    <w:p w14:paraId="2A691EEA" w14:textId="77777777" w:rsidR="005B0BDC" w:rsidRPr="005B52AD" w:rsidRDefault="005B0BDC" w:rsidP="005B52AD">
      <w:pPr>
        <w:jc w:val="both"/>
        <w:rPr>
          <w:rFonts w:ascii="Montserrat" w:eastAsia="Helvetica Neue" w:hAnsi="Montserrat" w:cs="Times New Roman"/>
          <w:bCs/>
          <w:color w:val="000000" w:themeColor="text1"/>
          <w:sz w:val="22"/>
          <w:szCs w:val="22"/>
          <w:lang w:val="es-ES_tradnl"/>
        </w:rPr>
      </w:pPr>
      <w:r w:rsidRPr="005B52AD">
        <w:rPr>
          <w:rFonts w:ascii="Montserrat" w:eastAsia="Helvetica Neue" w:hAnsi="Montserrat" w:cs="Times New Roman"/>
          <w:bCs/>
          <w:color w:val="000000" w:themeColor="text1"/>
          <w:sz w:val="22"/>
          <w:szCs w:val="22"/>
          <w:lang w:val="es-ES_tradnl"/>
        </w:rPr>
        <w:t xml:space="preserve">Esta cláusula antidiscriminatoria prohíbe en el país toda forma de discriminación y está reglamentada por LFPED, que establece criterios para respetar, proteger, garantizar y promover el derecho a la igualdad y no discriminación. </w:t>
      </w:r>
    </w:p>
    <w:p w14:paraId="5B749438" w14:textId="77777777" w:rsidR="005B52AD" w:rsidRDefault="005B52AD" w:rsidP="005B52AD">
      <w:pPr>
        <w:jc w:val="both"/>
        <w:rPr>
          <w:rFonts w:ascii="Montserrat" w:eastAsia="Helvetica Neue" w:hAnsi="Montserrat" w:cs="Times New Roman"/>
          <w:bCs/>
          <w:color w:val="000000" w:themeColor="text1"/>
          <w:sz w:val="22"/>
          <w:szCs w:val="22"/>
          <w:lang w:val="es-ES_tradnl"/>
        </w:rPr>
      </w:pPr>
    </w:p>
    <w:p w14:paraId="1DD3B068" w14:textId="77777777" w:rsidR="005B0BDC" w:rsidRPr="005B52AD" w:rsidRDefault="005B0BDC" w:rsidP="005B52AD">
      <w:pPr>
        <w:jc w:val="both"/>
        <w:rPr>
          <w:rFonts w:ascii="Montserrat" w:eastAsia="Helvetica Neue" w:hAnsi="Montserrat" w:cs="Times New Roman"/>
          <w:bCs/>
          <w:color w:val="000000" w:themeColor="text1"/>
          <w:sz w:val="22"/>
          <w:szCs w:val="22"/>
          <w:lang w:val="es-ES_tradnl"/>
        </w:rPr>
      </w:pPr>
      <w:r w:rsidRPr="005B52AD">
        <w:rPr>
          <w:rFonts w:ascii="Montserrat" w:eastAsia="Helvetica Neue" w:hAnsi="Montserrat" w:cs="Times New Roman"/>
          <w:bCs/>
          <w:color w:val="000000" w:themeColor="text1"/>
          <w:sz w:val="22"/>
          <w:szCs w:val="22"/>
          <w:lang w:val="es-ES_tradnl"/>
        </w:rPr>
        <w:t xml:space="preserve">De acuerdo con la LFPED, se entenderá por discriminación; </w:t>
      </w:r>
    </w:p>
    <w:p w14:paraId="5D233E80" w14:textId="77777777" w:rsidR="005B0BDC" w:rsidRPr="005B52AD" w:rsidRDefault="005B0BDC" w:rsidP="005B52AD">
      <w:pPr>
        <w:ind w:left="708"/>
        <w:jc w:val="both"/>
        <w:rPr>
          <w:rFonts w:ascii="Montserrat" w:eastAsia="Helvetica Neue" w:hAnsi="Montserrat" w:cs="Times New Roman"/>
          <w:bCs/>
          <w:i/>
          <w:color w:val="000000" w:themeColor="text1"/>
          <w:sz w:val="20"/>
          <w:szCs w:val="22"/>
          <w:lang w:val="es-ES_tradnl"/>
        </w:rPr>
      </w:pPr>
      <w:r w:rsidRPr="005B52AD">
        <w:rPr>
          <w:rFonts w:ascii="Montserrat" w:eastAsia="Helvetica Neue" w:hAnsi="Montserrat" w:cs="Times New Roman"/>
          <w:bCs/>
          <w:i/>
          <w:color w:val="000000" w:themeColor="text1"/>
          <w:sz w:val="20"/>
          <w:szCs w:val="22"/>
          <w:lang w:val="es-ES_tradnl"/>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w:t>
      </w:r>
      <w:r w:rsidRPr="005B52AD">
        <w:rPr>
          <w:rFonts w:ascii="Montserrat" w:eastAsia="Helvetica Neue" w:hAnsi="Montserrat" w:cs="Times New Roman"/>
          <w:bCs/>
          <w:color w:val="000000" w:themeColor="text1"/>
          <w:sz w:val="20"/>
          <w:szCs w:val="22"/>
          <w:lang w:val="es-ES_tradnl"/>
        </w:rPr>
        <w:t>, la edad,</w:t>
      </w:r>
      <w:r w:rsidRPr="005B52AD">
        <w:rPr>
          <w:rFonts w:ascii="Montserrat" w:eastAsia="Helvetica Neue" w:hAnsi="Montserrat" w:cs="Times New Roman"/>
          <w:bCs/>
          <w:i/>
          <w:color w:val="000000" w:themeColor="text1"/>
          <w:sz w:val="20"/>
          <w:szCs w:val="22"/>
          <w:lang w:val="es-ES_tradnl"/>
        </w:rPr>
        <w:t xml:space="preserve"> las discapacidades, la condición social, económica, de salud o jurídica, la religión, la apariencia física, las características genéticas, la situación migratoria, el embarazo, la lengua, las opiniones</w:t>
      </w:r>
      <w:r w:rsidRPr="005B52AD">
        <w:rPr>
          <w:rFonts w:ascii="Montserrat" w:eastAsia="Helvetica Neue" w:hAnsi="Montserrat" w:cs="Times New Roman"/>
          <w:b/>
          <w:i/>
          <w:color w:val="000000" w:themeColor="text1"/>
          <w:sz w:val="20"/>
          <w:szCs w:val="22"/>
          <w:lang w:val="es-ES_tradnl"/>
        </w:rPr>
        <w:t>, las preferencias sexuales</w:t>
      </w:r>
      <w:r w:rsidRPr="005B52AD">
        <w:rPr>
          <w:rFonts w:ascii="Montserrat" w:eastAsia="Helvetica Neue" w:hAnsi="Montserrat" w:cs="Times New Roman"/>
          <w:bCs/>
          <w:i/>
          <w:color w:val="000000" w:themeColor="text1"/>
          <w:sz w:val="20"/>
          <w:szCs w:val="22"/>
          <w:lang w:val="es-ES_tradnl"/>
        </w:rPr>
        <w:t xml:space="preserve">, la identidad o filiación política, el estado civil, la situación familiar, las responsabilidades familiares, el idioma, los antecedentes penales o cualquier otro motivo.  </w:t>
      </w:r>
    </w:p>
    <w:p w14:paraId="2C21A199" w14:textId="77777777" w:rsidR="005B0BDC" w:rsidRPr="005B52AD" w:rsidRDefault="005B0BDC" w:rsidP="005B52AD">
      <w:pPr>
        <w:ind w:left="708"/>
        <w:jc w:val="both"/>
        <w:rPr>
          <w:rFonts w:ascii="Montserrat" w:eastAsia="Helvetica Neue" w:hAnsi="Montserrat" w:cs="Times New Roman"/>
          <w:bCs/>
          <w:color w:val="000000" w:themeColor="text1"/>
          <w:sz w:val="20"/>
          <w:szCs w:val="22"/>
          <w:lang w:val="es-ES_tradnl"/>
        </w:rPr>
      </w:pPr>
      <w:r w:rsidRPr="005B52AD">
        <w:rPr>
          <w:rFonts w:ascii="Montserrat" w:eastAsia="Helvetica Neue" w:hAnsi="Montserrat" w:cs="Times New Roman"/>
          <w:bCs/>
          <w:i/>
          <w:color w:val="000000" w:themeColor="text1"/>
          <w:sz w:val="20"/>
          <w:szCs w:val="22"/>
          <w:lang w:val="es-ES_tradnl"/>
        </w:rPr>
        <w:t xml:space="preserve">También se entenderá como discriminación </w:t>
      </w:r>
      <w:r w:rsidRPr="005B52AD">
        <w:rPr>
          <w:rFonts w:ascii="Montserrat" w:eastAsia="Helvetica Neue" w:hAnsi="Montserrat" w:cs="Times New Roman"/>
          <w:b/>
          <w:i/>
          <w:color w:val="000000" w:themeColor="text1"/>
          <w:sz w:val="20"/>
          <w:szCs w:val="22"/>
          <w:lang w:val="es-ES_tradnl"/>
        </w:rPr>
        <w:t>la homofobia</w:t>
      </w:r>
      <w:r w:rsidRPr="005B52AD">
        <w:rPr>
          <w:rFonts w:ascii="Montserrat" w:eastAsia="Helvetica Neue" w:hAnsi="Montserrat" w:cs="Times New Roman"/>
          <w:bCs/>
          <w:i/>
          <w:color w:val="000000" w:themeColor="text1"/>
          <w:sz w:val="20"/>
          <w:szCs w:val="22"/>
          <w:lang w:val="es-ES_tradnl"/>
        </w:rPr>
        <w:t>, misoginia, cualquier manifestación de xenofobia, segregación racial, antisemitismo, así como la discriminación racial y otras formas conexas de intolerancia</w:t>
      </w:r>
      <w:r w:rsidRPr="005B52AD">
        <w:rPr>
          <w:rFonts w:ascii="Montserrat" w:eastAsia="Helvetica Neue" w:hAnsi="Montserrat" w:cs="Times New Roman"/>
          <w:bCs/>
          <w:color w:val="000000" w:themeColor="text1"/>
          <w:sz w:val="20"/>
          <w:szCs w:val="22"/>
          <w:lang w:val="es-ES_tradnl"/>
        </w:rPr>
        <w:t>.</w:t>
      </w:r>
      <w:r w:rsidRPr="005B52AD">
        <w:rPr>
          <w:rFonts w:ascii="Montserrat" w:eastAsia="Helvetica Neue" w:hAnsi="Montserrat" w:cs="Times New Roman"/>
          <w:bCs/>
          <w:color w:val="000000" w:themeColor="text1"/>
          <w:sz w:val="20"/>
          <w:szCs w:val="22"/>
          <w:vertAlign w:val="superscript"/>
          <w:lang w:val="es-ES_tradnl"/>
        </w:rPr>
        <w:footnoteReference w:id="3"/>
      </w:r>
      <w:r w:rsidRPr="005B52AD">
        <w:rPr>
          <w:rFonts w:ascii="Montserrat" w:eastAsia="Helvetica Neue" w:hAnsi="Montserrat" w:cs="Times New Roman"/>
          <w:bCs/>
          <w:color w:val="000000" w:themeColor="text1"/>
          <w:sz w:val="20"/>
          <w:szCs w:val="22"/>
          <w:lang w:val="es-ES_tradnl"/>
        </w:rPr>
        <w:t xml:space="preserve"> </w:t>
      </w:r>
    </w:p>
    <w:p w14:paraId="7CAD451F" w14:textId="77777777" w:rsidR="005B52AD" w:rsidRDefault="005B52AD" w:rsidP="005B52AD">
      <w:pPr>
        <w:jc w:val="both"/>
        <w:rPr>
          <w:rFonts w:ascii="Montserrat" w:eastAsia="Calibri" w:hAnsi="Montserrat" w:cs="Arial"/>
          <w:bCs/>
          <w:noProof/>
          <w:sz w:val="22"/>
          <w:szCs w:val="22"/>
          <w:lang w:val="es-ES_tradnl" w:eastAsia="es-MX"/>
        </w:rPr>
      </w:pPr>
    </w:p>
    <w:p w14:paraId="2141300B" w14:textId="0FC35DC7" w:rsidR="005B0BDC" w:rsidRPr="005B52AD" w:rsidRDefault="005B0BDC" w:rsidP="005B52AD">
      <w:pPr>
        <w:jc w:val="both"/>
        <w:rPr>
          <w:rFonts w:ascii="Montserrat" w:eastAsia="Calibri" w:hAnsi="Montserrat" w:cs="Arial"/>
          <w:bCs/>
          <w:noProof/>
          <w:sz w:val="22"/>
          <w:szCs w:val="22"/>
          <w:lang w:val="es-ES_tradnl" w:eastAsia="es-MX"/>
        </w:rPr>
      </w:pPr>
      <w:r w:rsidRPr="005B52AD">
        <w:rPr>
          <w:rFonts w:ascii="Montserrat" w:eastAsia="Calibri" w:hAnsi="Montserrat" w:cs="Arial"/>
          <w:bCs/>
          <w:noProof/>
          <w:sz w:val="22"/>
          <w:szCs w:val="22"/>
          <w:lang w:val="es-ES_tradnl" w:eastAsia="es-MX"/>
        </w:rPr>
        <w:t xml:space="preserve">En virtud de lo anterior es posible observar que el Estado mexicano cuenta con un andamiaje jurídico sólido a través del cual se prohíbe la discriminación por motivos de preferencias sexuales el cual protege y garantiza el derecho a la igualdad y no discriminación; reconociendo su importancia como principio rector, como derecho y como garantía, debido a que impacta en el ejercicio de otros derechos reconocidos en el derecho interno y en el derecho internacional. </w:t>
      </w:r>
    </w:p>
    <w:p w14:paraId="42246B82" w14:textId="77777777" w:rsidR="00990592" w:rsidRDefault="00990592" w:rsidP="005B52AD">
      <w:pPr>
        <w:jc w:val="both"/>
        <w:rPr>
          <w:rFonts w:ascii="Montserrat" w:eastAsia="Calibri" w:hAnsi="Montserrat" w:cs="Arial"/>
          <w:bCs/>
          <w:noProof/>
          <w:sz w:val="22"/>
          <w:szCs w:val="22"/>
          <w:lang w:val="es-ES_tradnl" w:eastAsia="es-MX"/>
        </w:rPr>
      </w:pPr>
      <w:r w:rsidRPr="005B52AD">
        <w:rPr>
          <w:rFonts w:ascii="Montserrat" w:eastAsia="Calibri" w:hAnsi="Montserrat" w:cs="Arial"/>
          <w:bCs/>
          <w:noProof/>
          <w:sz w:val="22"/>
          <w:szCs w:val="22"/>
          <w:lang w:val="es-ES_tradnl" w:eastAsia="es-MX"/>
        </w:rPr>
        <w:t xml:space="preserve">En correspondencia con lo anterior, a continuación se presenta el panorama y avance legislativo actual relacionado con las siguientes temáticas: </w:t>
      </w:r>
    </w:p>
    <w:p w14:paraId="22670735" w14:textId="77777777" w:rsidR="005B52AD" w:rsidRPr="005B52AD" w:rsidRDefault="005B52AD" w:rsidP="005B52AD">
      <w:pPr>
        <w:jc w:val="both"/>
        <w:rPr>
          <w:rFonts w:ascii="Montserrat" w:eastAsia="Calibri" w:hAnsi="Montserrat" w:cs="Arial"/>
          <w:bCs/>
          <w:noProof/>
          <w:sz w:val="22"/>
          <w:szCs w:val="22"/>
          <w:lang w:val="es-ES_tradnl" w:eastAsia="es-MX"/>
        </w:rPr>
      </w:pPr>
    </w:p>
    <w:p w14:paraId="42BF578A" w14:textId="67B19D93" w:rsidR="00990592" w:rsidRPr="005B52AD" w:rsidRDefault="00990592" w:rsidP="005B52AD">
      <w:pPr>
        <w:pStyle w:val="Prrafodelista"/>
        <w:numPr>
          <w:ilvl w:val="0"/>
          <w:numId w:val="33"/>
        </w:numPr>
        <w:jc w:val="both"/>
        <w:rPr>
          <w:rFonts w:ascii="Montserrat" w:eastAsia="Calibri" w:hAnsi="Montserrat" w:cs="Arial"/>
          <w:bCs/>
          <w:noProof/>
          <w:sz w:val="22"/>
          <w:szCs w:val="22"/>
          <w:u w:val="single"/>
          <w:lang w:val="es-ES_tradnl" w:eastAsia="es-MX"/>
        </w:rPr>
      </w:pPr>
      <w:r w:rsidRPr="005B52AD">
        <w:rPr>
          <w:rFonts w:ascii="Montserrat" w:eastAsia="Calibri" w:hAnsi="Montserrat" w:cs="Arial"/>
          <w:bCs/>
          <w:noProof/>
          <w:sz w:val="22"/>
          <w:szCs w:val="22"/>
          <w:u w:val="single"/>
          <w:lang w:val="es-ES_tradnl" w:eastAsia="es-MX"/>
        </w:rPr>
        <w:t>Reconocimiento del derecho a la identidad de género</w:t>
      </w:r>
      <w:r w:rsidR="0065640A" w:rsidRPr="005B52AD">
        <w:rPr>
          <w:rStyle w:val="Refdenotaalpie"/>
          <w:rFonts w:ascii="Montserrat" w:eastAsia="Calibri" w:hAnsi="Montserrat" w:cs="Arial"/>
          <w:bCs/>
          <w:noProof/>
          <w:sz w:val="22"/>
          <w:szCs w:val="22"/>
          <w:u w:val="single"/>
          <w:lang w:val="es-ES_tradnl" w:eastAsia="es-MX"/>
        </w:rPr>
        <w:footnoteReference w:id="4"/>
      </w:r>
    </w:p>
    <w:p w14:paraId="658C2E14" w14:textId="77777777" w:rsidR="005B52AD" w:rsidRDefault="005B52AD" w:rsidP="005B52AD">
      <w:pPr>
        <w:jc w:val="both"/>
        <w:rPr>
          <w:rFonts w:ascii="Montserrat" w:eastAsia="Calibri" w:hAnsi="Montserrat" w:cstheme="minorHAnsi"/>
          <w:sz w:val="22"/>
          <w:szCs w:val="22"/>
          <w:lang w:val="es-ES_tradnl"/>
        </w:rPr>
      </w:pPr>
    </w:p>
    <w:p w14:paraId="784CD377" w14:textId="173E8B0F" w:rsidR="0065640A" w:rsidRDefault="0065640A" w:rsidP="005B52AD">
      <w:pPr>
        <w:jc w:val="both"/>
        <w:rPr>
          <w:rFonts w:ascii="Montserrat" w:eastAsia="Calibri" w:hAnsi="Montserrat" w:cstheme="minorHAnsi"/>
          <w:sz w:val="22"/>
          <w:szCs w:val="22"/>
          <w:lang w:val="es-ES"/>
        </w:rPr>
      </w:pPr>
      <w:r w:rsidRPr="005B52AD">
        <w:rPr>
          <w:rFonts w:ascii="Montserrat" w:eastAsia="Calibri" w:hAnsi="Montserrat" w:cstheme="minorHAnsi"/>
          <w:sz w:val="22"/>
          <w:szCs w:val="22"/>
          <w:lang w:val="es-ES"/>
        </w:rPr>
        <w:t xml:space="preserve">En </w:t>
      </w:r>
      <w:r w:rsidRPr="005B52AD">
        <w:rPr>
          <w:rFonts w:ascii="Montserrat" w:eastAsia="Calibri" w:hAnsi="Montserrat" w:cstheme="minorHAnsi"/>
          <w:b/>
          <w:bCs/>
          <w:sz w:val="22"/>
          <w:szCs w:val="22"/>
          <w:lang w:val="es-ES"/>
        </w:rPr>
        <w:t>19 entidades federativas</w:t>
      </w:r>
      <w:r w:rsidRPr="005B52AD">
        <w:rPr>
          <w:rStyle w:val="Refdenotaalpie"/>
          <w:rFonts w:ascii="Montserrat" w:eastAsia="Calibri" w:hAnsi="Montserrat" w:cstheme="minorHAnsi"/>
          <w:b/>
          <w:bCs/>
          <w:sz w:val="22"/>
          <w:szCs w:val="22"/>
          <w:lang w:val="es-ES"/>
        </w:rPr>
        <w:footnoteReference w:id="5"/>
      </w:r>
      <w:r w:rsidRPr="005B52AD">
        <w:rPr>
          <w:rFonts w:ascii="Montserrat" w:eastAsia="Calibri" w:hAnsi="Montserrat" w:cstheme="minorHAnsi"/>
          <w:b/>
          <w:bCs/>
          <w:sz w:val="22"/>
          <w:szCs w:val="22"/>
          <w:lang w:val="es-ES"/>
        </w:rPr>
        <w:t xml:space="preserve"> </w:t>
      </w:r>
      <w:r w:rsidRPr="005B52AD">
        <w:rPr>
          <w:rFonts w:ascii="Montserrat" w:eastAsia="Calibri" w:hAnsi="Montserrat" w:cstheme="minorHAnsi"/>
          <w:sz w:val="22"/>
          <w:szCs w:val="22"/>
          <w:lang w:val="es-ES"/>
        </w:rPr>
        <w:t>se reconoce el derecho al reconocimiento a la identidad de género</w:t>
      </w:r>
      <w:bookmarkStart w:id="0" w:name="_Hlk94266113"/>
      <w:r w:rsidRPr="005B52AD">
        <w:rPr>
          <w:rFonts w:ascii="Montserrat" w:eastAsia="Calibri" w:hAnsi="Montserrat" w:cstheme="minorHAnsi"/>
          <w:sz w:val="22"/>
          <w:szCs w:val="22"/>
          <w:lang w:val="es-ES"/>
        </w:rPr>
        <w:t xml:space="preserve">, ya sea a través </w:t>
      </w:r>
      <w:bookmarkEnd w:id="0"/>
      <w:r w:rsidRPr="005B52AD">
        <w:rPr>
          <w:rFonts w:ascii="Montserrat" w:eastAsia="Calibri" w:hAnsi="Montserrat" w:cstheme="minorHAnsi"/>
          <w:sz w:val="22"/>
          <w:szCs w:val="22"/>
          <w:lang w:val="es-ES"/>
        </w:rPr>
        <w:t xml:space="preserve">de reformas a los Códigos Civiles, a los </w:t>
      </w:r>
      <w:r w:rsidRPr="005B52AD">
        <w:rPr>
          <w:rFonts w:ascii="Montserrat" w:eastAsia="Calibri" w:hAnsi="Montserrat" w:cstheme="minorHAnsi"/>
          <w:sz w:val="22"/>
          <w:szCs w:val="22"/>
          <w:lang w:val="es-ES"/>
        </w:rPr>
        <w:lastRenderedPageBreak/>
        <w:t>Códigos Familiares, a las leyes o reglamentos del Registro Civil locales, o mediante la emisión de normativa de carácter administrativo en el ámbito local.</w:t>
      </w:r>
    </w:p>
    <w:p w14:paraId="70519329" w14:textId="77777777" w:rsidR="00165408" w:rsidRPr="005B52AD" w:rsidRDefault="00165408" w:rsidP="005B52AD">
      <w:pPr>
        <w:jc w:val="both"/>
        <w:rPr>
          <w:rFonts w:ascii="Montserrat" w:eastAsia="Calibri" w:hAnsi="Montserrat" w:cstheme="minorHAnsi"/>
          <w:sz w:val="22"/>
          <w:szCs w:val="22"/>
          <w:lang w:val="es-ES"/>
        </w:rPr>
      </w:pPr>
    </w:p>
    <w:p w14:paraId="09088717" w14:textId="363D5C2F" w:rsidR="0065640A" w:rsidRPr="005B52AD" w:rsidRDefault="0065640A" w:rsidP="005B52AD">
      <w:pPr>
        <w:pStyle w:val="Prrafodelista"/>
        <w:numPr>
          <w:ilvl w:val="0"/>
          <w:numId w:val="33"/>
        </w:numPr>
        <w:jc w:val="both"/>
        <w:rPr>
          <w:rFonts w:ascii="Montserrat" w:eastAsia="Calibri" w:hAnsi="Montserrat" w:cstheme="minorHAnsi"/>
          <w:sz w:val="22"/>
          <w:szCs w:val="22"/>
          <w:u w:val="single"/>
          <w:lang w:val="es-ES"/>
        </w:rPr>
      </w:pPr>
      <w:r w:rsidRPr="005B52AD">
        <w:rPr>
          <w:rFonts w:ascii="Montserrat" w:eastAsia="Calibri" w:hAnsi="Montserrat" w:cstheme="minorHAnsi"/>
          <w:sz w:val="22"/>
          <w:szCs w:val="22"/>
          <w:u w:val="single"/>
          <w:lang w:val="es-ES"/>
        </w:rPr>
        <w:t>Matrimonio entre personas del mismo sexo</w:t>
      </w:r>
      <w:r w:rsidR="007D39A5" w:rsidRPr="005B52AD">
        <w:rPr>
          <w:rStyle w:val="Refdenotaalpie"/>
          <w:rFonts w:ascii="Montserrat" w:eastAsia="Calibri" w:hAnsi="Montserrat" w:cstheme="minorHAnsi"/>
          <w:sz w:val="22"/>
          <w:szCs w:val="22"/>
          <w:u w:val="single"/>
          <w:lang w:val="es-ES"/>
        </w:rPr>
        <w:footnoteReference w:id="6"/>
      </w:r>
      <w:r w:rsidRPr="005B52AD">
        <w:rPr>
          <w:rFonts w:ascii="Montserrat" w:eastAsia="Calibri" w:hAnsi="Montserrat" w:cstheme="minorHAnsi"/>
          <w:sz w:val="22"/>
          <w:szCs w:val="22"/>
          <w:u w:val="single"/>
          <w:lang w:val="es-ES"/>
        </w:rPr>
        <w:t xml:space="preserve"> </w:t>
      </w:r>
    </w:p>
    <w:p w14:paraId="66BEE7C1" w14:textId="77777777" w:rsidR="007D39A5" w:rsidRPr="005B52AD" w:rsidRDefault="007D39A5" w:rsidP="005B52AD">
      <w:pPr>
        <w:pStyle w:val="Prrafodelista"/>
        <w:jc w:val="both"/>
        <w:rPr>
          <w:rFonts w:ascii="Montserrat" w:eastAsia="Calibri" w:hAnsi="Montserrat" w:cstheme="minorHAnsi"/>
          <w:sz w:val="22"/>
          <w:szCs w:val="22"/>
          <w:u w:val="single"/>
          <w:lang w:val="es-ES"/>
        </w:rPr>
      </w:pPr>
    </w:p>
    <w:p w14:paraId="6D1D3808" w14:textId="259356D0" w:rsidR="007D39A5" w:rsidRPr="005410F6" w:rsidRDefault="007D39A5" w:rsidP="00BD2D4F">
      <w:pPr>
        <w:pStyle w:val="Prrafodelista"/>
        <w:numPr>
          <w:ilvl w:val="0"/>
          <w:numId w:val="41"/>
        </w:numPr>
        <w:jc w:val="both"/>
        <w:rPr>
          <w:rFonts w:ascii="Montserrat" w:eastAsia="Calibri" w:hAnsi="Montserrat" w:cstheme="minorHAnsi"/>
          <w:sz w:val="22"/>
          <w:szCs w:val="22"/>
        </w:rPr>
      </w:pPr>
      <w:r w:rsidRPr="005410F6">
        <w:rPr>
          <w:rFonts w:ascii="Montserrat" w:eastAsia="Calibri" w:hAnsi="Montserrat" w:cstheme="minorHAnsi"/>
          <w:b/>
          <w:bCs/>
          <w:sz w:val="22"/>
          <w:szCs w:val="22"/>
          <w:u w:val="single"/>
          <w:lang w:val="es-ES"/>
        </w:rPr>
        <w:t xml:space="preserve">En </w:t>
      </w:r>
      <w:r w:rsidRPr="005410F6">
        <w:rPr>
          <w:rFonts w:ascii="Montserrat" w:eastAsia="Calibri" w:hAnsi="Montserrat" w:cstheme="minorHAnsi"/>
          <w:b/>
          <w:bCs/>
          <w:sz w:val="22"/>
          <w:szCs w:val="22"/>
          <w:u w:val="single"/>
        </w:rPr>
        <w:t>Vía legislativa</w:t>
      </w:r>
      <w:r w:rsidRPr="005410F6">
        <w:rPr>
          <w:rFonts w:ascii="Montserrat" w:eastAsia="Calibri" w:hAnsi="Montserrat" w:cstheme="minorHAnsi"/>
          <w:b/>
          <w:bCs/>
          <w:sz w:val="22"/>
          <w:szCs w:val="22"/>
        </w:rPr>
        <w:t>.</w:t>
      </w:r>
      <w:r w:rsidRPr="005410F6">
        <w:rPr>
          <w:rFonts w:ascii="Montserrat" w:eastAsia="Calibri" w:hAnsi="Montserrat" w:cstheme="minorHAnsi"/>
          <w:sz w:val="22"/>
          <w:szCs w:val="22"/>
        </w:rPr>
        <w:t xml:space="preserve"> En</w:t>
      </w:r>
      <w:r w:rsidRPr="005410F6">
        <w:rPr>
          <w:rFonts w:ascii="Montserrat" w:eastAsia="Calibri" w:hAnsi="Montserrat" w:cstheme="minorHAnsi"/>
          <w:b/>
          <w:bCs/>
          <w:sz w:val="22"/>
          <w:szCs w:val="22"/>
        </w:rPr>
        <w:t xml:space="preserve"> 27 entidades federativas</w:t>
      </w:r>
      <w:r w:rsidRPr="005410F6">
        <w:rPr>
          <w:rFonts w:ascii="Montserrat" w:eastAsia="Calibri" w:hAnsi="Montserrat" w:cstheme="minorHAnsi"/>
          <w:sz w:val="22"/>
          <w:szCs w:val="22"/>
        </w:rPr>
        <w:t xml:space="preserve"> se reconoce el matrimonio entre personas del mismo sexo por la vía legislativa.</w:t>
      </w:r>
      <w:r w:rsidR="005B52AD" w:rsidRPr="005410F6">
        <w:rPr>
          <w:rFonts w:ascii="Montserrat" w:eastAsia="Calibri" w:hAnsi="Montserrat" w:cstheme="minorHAnsi"/>
          <w:sz w:val="22"/>
          <w:szCs w:val="22"/>
        </w:rPr>
        <w:t xml:space="preserve"> </w:t>
      </w:r>
      <w:r w:rsidR="005410F6">
        <w:rPr>
          <w:rFonts w:ascii="Montserrat" w:eastAsia="Calibri" w:hAnsi="Montserrat" w:cstheme="minorHAnsi"/>
          <w:sz w:val="22"/>
          <w:szCs w:val="22"/>
        </w:rPr>
        <w:t>Estas entidades son:</w:t>
      </w:r>
      <w:r w:rsidRPr="005410F6">
        <w:rPr>
          <w:rFonts w:ascii="Montserrat" w:eastAsia="Calibri" w:hAnsi="Montserrat" w:cstheme="minorHAnsi"/>
          <w:sz w:val="22"/>
          <w:szCs w:val="22"/>
        </w:rPr>
        <w:t xml:space="preserve"> </w:t>
      </w:r>
      <w:r w:rsidR="005410F6">
        <w:rPr>
          <w:rFonts w:ascii="Montserrat" w:eastAsia="Calibri" w:hAnsi="Montserrat" w:cstheme="minorHAnsi"/>
          <w:bCs/>
          <w:sz w:val="22"/>
          <w:szCs w:val="22"/>
        </w:rPr>
        <w:t xml:space="preserve">1. </w:t>
      </w:r>
      <w:r w:rsidRPr="005410F6">
        <w:rPr>
          <w:rFonts w:ascii="Montserrat" w:eastAsia="Calibri" w:hAnsi="Montserrat" w:cstheme="minorHAnsi"/>
          <w:sz w:val="22"/>
          <w:szCs w:val="22"/>
        </w:rPr>
        <w:t xml:space="preserve">Baja California, </w:t>
      </w:r>
      <w:r w:rsidRPr="005410F6">
        <w:rPr>
          <w:rFonts w:ascii="Montserrat" w:eastAsia="Calibri" w:hAnsi="Montserrat" w:cstheme="minorHAnsi"/>
          <w:bCs/>
          <w:sz w:val="22"/>
          <w:szCs w:val="22"/>
        </w:rPr>
        <w:t>2.</w:t>
      </w:r>
      <w:r w:rsidRPr="005410F6">
        <w:rPr>
          <w:rFonts w:ascii="Montserrat" w:eastAsia="Calibri" w:hAnsi="Montserrat" w:cstheme="minorHAnsi"/>
          <w:sz w:val="22"/>
          <w:szCs w:val="22"/>
        </w:rPr>
        <w:t xml:space="preserve"> Baja California Sur, </w:t>
      </w:r>
      <w:r w:rsidRPr="005410F6">
        <w:rPr>
          <w:rFonts w:ascii="Montserrat" w:eastAsia="Calibri" w:hAnsi="Montserrat" w:cstheme="minorHAnsi"/>
          <w:bCs/>
          <w:sz w:val="22"/>
          <w:szCs w:val="22"/>
        </w:rPr>
        <w:t>3.</w:t>
      </w:r>
      <w:r w:rsidRPr="005410F6">
        <w:rPr>
          <w:rFonts w:ascii="Montserrat" w:eastAsia="Calibri" w:hAnsi="Montserrat" w:cstheme="minorHAnsi"/>
          <w:sz w:val="22"/>
          <w:szCs w:val="22"/>
        </w:rPr>
        <w:t xml:space="preserve"> Campeche, </w:t>
      </w:r>
      <w:r w:rsidRPr="005410F6">
        <w:rPr>
          <w:rFonts w:ascii="Montserrat" w:eastAsia="Calibri" w:hAnsi="Montserrat" w:cstheme="minorHAnsi"/>
          <w:bCs/>
          <w:sz w:val="22"/>
          <w:szCs w:val="22"/>
        </w:rPr>
        <w:t>4.</w:t>
      </w:r>
      <w:r w:rsidRPr="005410F6">
        <w:rPr>
          <w:rFonts w:ascii="Montserrat" w:eastAsia="Calibri" w:hAnsi="Montserrat" w:cstheme="minorHAnsi"/>
          <w:sz w:val="22"/>
          <w:szCs w:val="22"/>
        </w:rPr>
        <w:t xml:space="preserve"> Ciudad de México, </w:t>
      </w:r>
      <w:r w:rsidRPr="005410F6">
        <w:rPr>
          <w:rFonts w:ascii="Montserrat" w:eastAsia="Calibri" w:hAnsi="Montserrat" w:cstheme="minorHAnsi"/>
          <w:bCs/>
          <w:sz w:val="22"/>
          <w:szCs w:val="22"/>
        </w:rPr>
        <w:t>5.</w:t>
      </w:r>
      <w:r w:rsidRPr="005410F6">
        <w:rPr>
          <w:rFonts w:ascii="Montserrat" w:eastAsia="Calibri" w:hAnsi="Montserrat" w:cstheme="minorHAnsi"/>
          <w:sz w:val="22"/>
          <w:szCs w:val="22"/>
        </w:rPr>
        <w:t xml:space="preserve"> Coahuila, </w:t>
      </w:r>
      <w:r w:rsidRPr="005410F6">
        <w:rPr>
          <w:rFonts w:ascii="Montserrat" w:eastAsia="Calibri" w:hAnsi="Montserrat" w:cstheme="minorHAnsi"/>
          <w:bCs/>
          <w:sz w:val="22"/>
          <w:szCs w:val="22"/>
        </w:rPr>
        <w:t>6.</w:t>
      </w:r>
      <w:r w:rsidRPr="005410F6">
        <w:rPr>
          <w:rFonts w:ascii="Montserrat" w:eastAsia="Calibri" w:hAnsi="Montserrat" w:cstheme="minorHAnsi"/>
          <w:sz w:val="22"/>
          <w:szCs w:val="22"/>
        </w:rPr>
        <w:t xml:space="preserve"> Colima, </w:t>
      </w:r>
      <w:r w:rsidRPr="005410F6">
        <w:rPr>
          <w:rFonts w:ascii="Montserrat" w:eastAsia="Calibri" w:hAnsi="Montserrat" w:cstheme="minorHAnsi"/>
          <w:bCs/>
          <w:sz w:val="22"/>
          <w:szCs w:val="22"/>
        </w:rPr>
        <w:t xml:space="preserve">7. </w:t>
      </w:r>
      <w:r w:rsidRPr="005410F6">
        <w:rPr>
          <w:rFonts w:ascii="Montserrat" w:eastAsia="Calibri" w:hAnsi="Montserrat" w:cstheme="minorHAnsi"/>
          <w:sz w:val="22"/>
          <w:szCs w:val="22"/>
        </w:rPr>
        <w:t>Estado de México,</w:t>
      </w:r>
      <w:r w:rsidRPr="005410F6">
        <w:rPr>
          <w:rFonts w:ascii="Montserrat" w:eastAsia="Calibri" w:hAnsi="Montserrat" w:cstheme="minorHAnsi"/>
          <w:bCs/>
          <w:sz w:val="22"/>
          <w:szCs w:val="22"/>
        </w:rPr>
        <w:t xml:space="preserve"> 8. </w:t>
      </w:r>
      <w:r w:rsidRPr="005410F6">
        <w:rPr>
          <w:rFonts w:ascii="Montserrat" w:eastAsia="Calibri" w:hAnsi="Montserrat" w:cstheme="minorHAnsi"/>
          <w:sz w:val="22"/>
          <w:szCs w:val="22"/>
        </w:rPr>
        <w:t>Guerrero,</w:t>
      </w:r>
      <w:r w:rsidRPr="005410F6">
        <w:rPr>
          <w:rFonts w:ascii="Montserrat" w:eastAsia="Calibri" w:hAnsi="Montserrat" w:cstheme="minorHAnsi"/>
          <w:bCs/>
          <w:sz w:val="22"/>
          <w:szCs w:val="22"/>
        </w:rPr>
        <w:t xml:space="preserve"> 9.</w:t>
      </w:r>
      <w:r w:rsidRPr="005410F6">
        <w:rPr>
          <w:rFonts w:ascii="Montserrat" w:eastAsia="Calibri" w:hAnsi="Montserrat" w:cstheme="minorHAnsi"/>
          <w:sz w:val="22"/>
          <w:szCs w:val="22"/>
        </w:rPr>
        <w:t xml:space="preserve"> Hidalgo, </w:t>
      </w:r>
      <w:r w:rsidRPr="005410F6">
        <w:rPr>
          <w:rFonts w:ascii="Montserrat" w:eastAsia="Calibri" w:hAnsi="Montserrat" w:cstheme="minorHAnsi"/>
          <w:bCs/>
          <w:sz w:val="22"/>
          <w:szCs w:val="22"/>
        </w:rPr>
        <w:t>10.</w:t>
      </w:r>
      <w:r w:rsidRPr="005410F6">
        <w:rPr>
          <w:rFonts w:ascii="Montserrat" w:eastAsia="Calibri" w:hAnsi="Montserrat" w:cstheme="minorHAnsi"/>
          <w:sz w:val="22"/>
          <w:szCs w:val="22"/>
        </w:rPr>
        <w:t xml:space="preserve"> Jalisco, </w:t>
      </w:r>
      <w:r w:rsidRPr="005410F6">
        <w:rPr>
          <w:rFonts w:ascii="Montserrat" w:eastAsia="Calibri" w:hAnsi="Montserrat" w:cstheme="minorHAnsi"/>
          <w:bCs/>
          <w:sz w:val="22"/>
          <w:szCs w:val="22"/>
        </w:rPr>
        <w:t>11.</w:t>
      </w:r>
      <w:r w:rsidRPr="005410F6">
        <w:rPr>
          <w:rFonts w:ascii="Montserrat" w:eastAsia="Calibri" w:hAnsi="Montserrat" w:cstheme="minorHAnsi"/>
          <w:sz w:val="22"/>
          <w:szCs w:val="22"/>
        </w:rPr>
        <w:t xml:space="preserve"> Michoacán, </w:t>
      </w:r>
      <w:r w:rsidRPr="005410F6">
        <w:rPr>
          <w:rFonts w:ascii="Montserrat" w:eastAsia="Calibri" w:hAnsi="Montserrat" w:cstheme="minorHAnsi"/>
          <w:bCs/>
          <w:sz w:val="22"/>
          <w:szCs w:val="22"/>
        </w:rPr>
        <w:t>12.</w:t>
      </w:r>
      <w:r w:rsidRPr="005410F6">
        <w:rPr>
          <w:rFonts w:ascii="Montserrat" w:eastAsia="Calibri" w:hAnsi="Montserrat" w:cstheme="minorHAnsi"/>
          <w:sz w:val="22"/>
          <w:szCs w:val="22"/>
        </w:rPr>
        <w:t xml:space="preserve"> Morelos, </w:t>
      </w:r>
      <w:r w:rsidRPr="005410F6">
        <w:rPr>
          <w:rFonts w:ascii="Montserrat" w:eastAsia="Calibri" w:hAnsi="Montserrat" w:cstheme="minorHAnsi"/>
          <w:bCs/>
          <w:sz w:val="22"/>
          <w:szCs w:val="22"/>
        </w:rPr>
        <w:t>13.</w:t>
      </w:r>
      <w:r w:rsidRPr="005410F6">
        <w:rPr>
          <w:rFonts w:ascii="Montserrat" w:eastAsia="Calibri" w:hAnsi="Montserrat" w:cstheme="minorHAnsi"/>
          <w:sz w:val="22"/>
          <w:szCs w:val="22"/>
        </w:rPr>
        <w:t xml:space="preserve"> Nayarit, </w:t>
      </w:r>
      <w:r w:rsidRPr="005410F6">
        <w:rPr>
          <w:rFonts w:ascii="Montserrat" w:eastAsia="Calibri" w:hAnsi="Montserrat" w:cstheme="minorHAnsi"/>
          <w:bCs/>
          <w:sz w:val="22"/>
          <w:szCs w:val="22"/>
        </w:rPr>
        <w:t>14.</w:t>
      </w:r>
      <w:r w:rsidRPr="005410F6">
        <w:rPr>
          <w:rFonts w:ascii="Montserrat" w:eastAsia="Calibri" w:hAnsi="Montserrat" w:cstheme="minorHAnsi"/>
          <w:sz w:val="22"/>
          <w:szCs w:val="22"/>
        </w:rPr>
        <w:t xml:space="preserve"> Oaxaca, </w:t>
      </w:r>
      <w:r w:rsidRPr="005410F6">
        <w:rPr>
          <w:rFonts w:ascii="Montserrat" w:eastAsia="Calibri" w:hAnsi="Montserrat" w:cstheme="minorHAnsi"/>
          <w:bCs/>
          <w:sz w:val="22"/>
          <w:szCs w:val="22"/>
        </w:rPr>
        <w:t>15.</w:t>
      </w:r>
      <w:r w:rsidRPr="005410F6">
        <w:rPr>
          <w:rFonts w:ascii="Montserrat" w:eastAsia="Calibri" w:hAnsi="Montserrat" w:cstheme="minorHAnsi"/>
          <w:sz w:val="22"/>
          <w:szCs w:val="22"/>
        </w:rPr>
        <w:t xml:space="preserve"> Puebla, </w:t>
      </w:r>
      <w:r w:rsidRPr="005410F6">
        <w:rPr>
          <w:rFonts w:ascii="Montserrat" w:eastAsia="Calibri" w:hAnsi="Montserrat" w:cstheme="minorHAnsi"/>
          <w:bCs/>
          <w:sz w:val="22"/>
          <w:szCs w:val="22"/>
        </w:rPr>
        <w:t>16.</w:t>
      </w:r>
      <w:r w:rsidRPr="005410F6">
        <w:rPr>
          <w:rFonts w:ascii="Montserrat" w:eastAsia="Calibri" w:hAnsi="Montserrat" w:cstheme="minorHAnsi"/>
          <w:sz w:val="22"/>
          <w:szCs w:val="22"/>
        </w:rPr>
        <w:t xml:space="preserve"> Querétaro, </w:t>
      </w:r>
      <w:r w:rsidRPr="005410F6">
        <w:rPr>
          <w:rFonts w:ascii="Montserrat" w:eastAsia="Calibri" w:hAnsi="Montserrat" w:cstheme="minorHAnsi"/>
          <w:bCs/>
          <w:sz w:val="22"/>
          <w:szCs w:val="22"/>
        </w:rPr>
        <w:t xml:space="preserve">17. </w:t>
      </w:r>
      <w:r w:rsidRPr="005410F6">
        <w:rPr>
          <w:rFonts w:ascii="Montserrat" w:eastAsia="Calibri" w:hAnsi="Montserrat" w:cstheme="minorHAnsi"/>
          <w:sz w:val="22"/>
          <w:szCs w:val="22"/>
        </w:rPr>
        <w:t xml:space="preserve">Quintana Roo, </w:t>
      </w:r>
      <w:r w:rsidRPr="005410F6">
        <w:rPr>
          <w:rFonts w:ascii="Montserrat" w:eastAsia="Calibri" w:hAnsi="Montserrat" w:cstheme="minorHAnsi"/>
          <w:bCs/>
          <w:sz w:val="22"/>
          <w:szCs w:val="22"/>
        </w:rPr>
        <w:t>18.</w:t>
      </w:r>
      <w:r w:rsidRPr="005410F6">
        <w:rPr>
          <w:rFonts w:ascii="Montserrat" w:eastAsia="Calibri" w:hAnsi="Montserrat" w:cstheme="minorHAnsi"/>
          <w:sz w:val="22"/>
          <w:szCs w:val="22"/>
        </w:rPr>
        <w:t xml:space="preserve"> San Luis Potosí, </w:t>
      </w:r>
      <w:r w:rsidRPr="005410F6">
        <w:rPr>
          <w:rFonts w:ascii="Montserrat" w:eastAsia="Calibri" w:hAnsi="Montserrat" w:cstheme="minorHAnsi"/>
          <w:bCs/>
          <w:sz w:val="22"/>
          <w:szCs w:val="22"/>
        </w:rPr>
        <w:t>19.</w:t>
      </w:r>
      <w:r w:rsidRPr="005410F6">
        <w:rPr>
          <w:rFonts w:ascii="Montserrat" w:eastAsia="Calibri" w:hAnsi="Montserrat" w:cstheme="minorHAnsi"/>
          <w:sz w:val="22"/>
          <w:szCs w:val="22"/>
        </w:rPr>
        <w:t xml:space="preserve"> Sinaloa, </w:t>
      </w:r>
      <w:r w:rsidRPr="005410F6">
        <w:rPr>
          <w:rFonts w:ascii="Montserrat" w:eastAsia="Calibri" w:hAnsi="Montserrat" w:cstheme="minorHAnsi"/>
          <w:bCs/>
          <w:sz w:val="22"/>
          <w:szCs w:val="22"/>
        </w:rPr>
        <w:t>20.</w:t>
      </w:r>
      <w:r w:rsidRPr="005410F6">
        <w:rPr>
          <w:rFonts w:ascii="Montserrat" w:eastAsia="Calibri" w:hAnsi="Montserrat" w:cstheme="minorHAnsi"/>
          <w:sz w:val="22"/>
          <w:szCs w:val="22"/>
        </w:rPr>
        <w:t xml:space="preserve"> Sonora, </w:t>
      </w:r>
      <w:r w:rsidRPr="005410F6">
        <w:rPr>
          <w:rFonts w:ascii="Montserrat" w:eastAsia="Calibri" w:hAnsi="Montserrat" w:cstheme="minorHAnsi"/>
          <w:bCs/>
          <w:sz w:val="22"/>
          <w:szCs w:val="22"/>
        </w:rPr>
        <w:t>21.</w:t>
      </w:r>
      <w:r w:rsidRPr="005410F6">
        <w:rPr>
          <w:rFonts w:ascii="Montserrat" w:eastAsia="Calibri" w:hAnsi="Montserrat" w:cstheme="minorHAnsi"/>
          <w:sz w:val="22"/>
          <w:szCs w:val="22"/>
        </w:rPr>
        <w:t xml:space="preserve"> Tabasco, </w:t>
      </w:r>
      <w:r w:rsidRPr="005410F6">
        <w:rPr>
          <w:rFonts w:ascii="Montserrat" w:eastAsia="Calibri" w:hAnsi="Montserrat" w:cstheme="minorHAnsi"/>
          <w:bCs/>
          <w:sz w:val="22"/>
          <w:szCs w:val="22"/>
        </w:rPr>
        <w:t xml:space="preserve">22. </w:t>
      </w:r>
      <w:r w:rsidRPr="005410F6">
        <w:rPr>
          <w:rFonts w:ascii="Montserrat" w:eastAsia="Calibri" w:hAnsi="Montserrat" w:cstheme="minorHAnsi"/>
          <w:sz w:val="22"/>
          <w:szCs w:val="22"/>
        </w:rPr>
        <w:t xml:space="preserve">Tamaulipas, </w:t>
      </w:r>
      <w:r w:rsidRPr="005410F6">
        <w:rPr>
          <w:rFonts w:ascii="Montserrat" w:eastAsia="Calibri" w:hAnsi="Montserrat" w:cstheme="minorHAnsi"/>
          <w:bCs/>
          <w:sz w:val="22"/>
          <w:szCs w:val="22"/>
        </w:rPr>
        <w:t>23.</w:t>
      </w:r>
      <w:r w:rsidRPr="005410F6">
        <w:rPr>
          <w:rFonts w:ascii="Montserrat" w:eastAsia="Calibri" w:hAnsi="Montserrat" w:cstheme="minorHAnsi"/>
          <w:sz w:val="22"/>
          <w:szCs w:val="22"/>
        </w:rPr>
        <w:t xml:space="preserve"> Tlaxcala, </w:t>
      </w:r>
      <w:r w:rsidRPr="005410F6">
        <w:rPr>
          <w:rFonts w:ascii="Montserrat" w:eastAsia="Calibri" w:hAnsi="Montserrat" w:cstheme="minorHAnsi"/>
          <w:bCs/>
          <w:sz w:val="22"/>
          <w:szCs w:val="22"/>
        </w:rPr>
        <w:t>24.</w:t>
      </w:r>
      <w:r w:rsidRPr="005410F6">
        <w:rPr>
          <w:rFonts w:ascii="Montserrat" w:eastAsia="Calibri" w:hAnsi="Montserrat" w:cstheme="minorHAnsi"/>
          <w:sz w:val="22"/>
          <w:szCs w:val="22"/>
        </w:rPr>
        <w:t xml:space="preserve"> Veracruz, </w:t>
      </w:r>
      <w:r w:rsidRPr="005410F6">
        <w:rPr>
          <w:rFonts w:ascii="Montserrat" w:eastAsia="Calibri" w:hAnsi="Montserrat" w:cstheme="minorHAnsi"/>
          <w:bCs/>
          <w:sz w:val="22"/>
          <w:szCs w:val="22"/>
        </w:rPr>
        <w:t>25.</w:t>
      </w:r>
      <w:r w:rsidRPr="005410F6">
        <w:rPr>
          <w:rFonts w:ascii="Montserrat" w:eastAsia="Calibri" w:hAnsi="Montserrat" w:cstheme="minorHAnsi"/>
          <w:sz w:val="22"/>
          <w:szCs w:val="22"/>
        </w:rPr>
        <w:t xml:space="preserve"> Yucatán, </w:t>
      </w:r>
      <w:r w:rsidRPr="005410F6">
        <w:rPr>
          <w:rFonts w:ascii="Montserrat" w:eastAsia="Calibri" w:hAnsi="Montserrat" w:cstheme="minorHAnsi"/>
          <w:bCs/>
          <w:sz w:val="22"/>
          <w:szCs w:val="22"/>
        </w:rPr>
        <w:t>26.</w:t>
      </w:r>
      <w:r w:rsidRPr="005410F6">
        <w:rPr>
          <w:rFonts w:ascii="Montserrat" w:eastAsia="Calibri" w:hAnsi="Montserrat" w:cstheme="minorHAnsi"/>
          <w:sz w:val="22"/>
          <w:szCs w:val="22"/>
        </w:rPr>
        <w:t xml:space="preserve"> Zacatecas</w:t>
      </w:r>
      <w:r w:rsidRPr="005410F6">
        <w:rPr>
          <w:rFonts w:ascii="Montserrat" w:eastAsia="Calibri" w:hAnsi="Montserrat" w:cstheme="minorHAnsi"/>
          <w:bCs/>
          <w:sz w:val="22"/>
          <w:szCs w:val="22"/>
        </w:rPr>
        <w:t xml:space="preserve">, </w:t>
      </w:r>
      <w:r w:rsidRPr="005410F6">
        <w:rPr>
          <w:rFonts w:ascii="Montserrat" w:eastAsia="Calibri" w:hAnsi="Montserrat" w:cstheme="minorHAnsi"/>
          <w:sz w:val="22"/>
          <w:szCs w:val="22"/>
        </w:rPr>
        <w:t>y</w:t>
      </w:r>
      <w:r w:rsidRPr="005410F6">
        <w:rPr>
          <w:rFonts w:ascii="Montserrat" w:eastAsia="Calibri" w:hAnsi="Montserrat" w:cstheme="minorHAnsi"/>
          <w:bCs/>
          <w:sz w:val="22"/>
          <w:szCs w:val="22"/>
        </w:rPr>
        <w:t xml:space="preserve"> 27.</w:t>
      </w:r>
      <w:r w:rsidRPr="005410F6">
        <w:rPr>
          <w:rFonts w:ascii="Montserrat" w:eastAsia="Calibri" w:hAnsi="Montserrat" w:cstheme="minorHAnsi"/>
          <w:sz w:val="22"/>
          <w:szCs w:val="22"/>
        </w:rPr>
        <w:t xml:space="preserve"> Durango</w:t>
      </w:r>
      <w:r w:rsidRPr="005410F6">
        <w:rPr>
          <w:rFonts w:ascii="Montserrat" w:eastAsia="Calibri" w:hAnsi="Montserrat" w:cstheme="minorHAnsi"/>
          <w:sz w:val="22"/>
          <w:szCs w:val="22"/>
          <w:vertAlign w:val="superscript"/>
        </w:rPr>
        <w:footnoteReference w:id="7"/>
      </w:r>
      <w:r w:rsidRPr="005410F6">
        <w:rPr>
          <w:rFonts w:ascii="Montserrat" w:eastAsia="Calibri" w:hAnsi="Montserrat" w:cstheme="minorHAnsi"/>
          <w:sz w:val="22"/>
          <w:szCs w:val="22"/>
        </w:rPr>
        <w:t>.</w:t>
      </w:r>
    </w:p>
    <w:p w14:paraId="674E1886" w14:textId="77777777" w:rsidR="005B52AD" w:rsidRPr="005410F6" w:rsidRDefault="005B52AD" w:rsidP="005B52AD">
      <w:pPr>
        <w:ind w:left="708"/>
        <w:jc w:val="both"/>
        <w:rPr>
          <w:rFonts w:ascii="Montserrat" w:eastAsia="Calibri" w:hAnsi="Montserrat" w:cstheme="minorHAnsi"/>
          <w:bCs/>
          <w:sz w:val="22"/>
          <w:szCs w:val="22"/>
          <w:u w:val="single"/>
        </w:rPr>
      </w:pPr>
    </w:p>
    <w:p w14:paraId="27C99612" w14:textId="362F6207" w:rsidR="007D39A5" w:rsidRDefault="007D39A5" w:rsidP="005B52AD">
      <w:pPr>
        <w:ind w:left="708"/>
        <w:jc w:val="both"/>
        <w:rPr>
          <w:rFonts w:ascii="Montserrat" w:eastAsia="Calibri" w:hAnsi="Montserrat" w:cstheme="minorHAnsi"/>
          <w:sz w:val="22"/>
          <w:szCs w:val="22"/>
        </w:rPr>
      </w:pPr>
      <w:r w:rsidRPr="005410F6">
        <w:rPr>
          <w:rFonts w:ascii="Montserrat" w:eastAsia="Calibri" w:hAnsi="Montserrat" w:cstheme="minorHAnsi"/>
          <w:b/>
          <w:bCs/>
          <w:sz w:val="22"/>
          <w:szCs w:val="22"/>
          <w:u w:val="single"/>
        </w:rPr>
        <w:t>b. Vía Suprema Corte de Justicia de la Nación (SCJN).</w:t>
      </w:r>
      <w:r w:rsidRPr="005410F6">
        <w:rPr>
          <w:rFonts w:ascii="Montserrat" w:eastAsia="Calibri" w:hAnsi="Montserrat" w:cstheme="minorHAnsi"/>
          <w:sz w:val="22"/>
          <w:szCs w:val="22"/>
        </w:rPr>
        <w:t xml:space="preserve"> En </w:t>
      </w:r>
      <w:r w:rsidRPr="005410F6">
        <w:rPr>
          <w:rFonts w:ascii="Montserrat" w:eastAsia="Calibri" w:hAnsi="Montserrat" w:cstheme="minorHAnsi"/>
          <w:bCs/>
          <w:sz w:val="22"/>
          <w:szCs w:val="22"/>
        </w:rPr>
        <w:t>3 entidades federativas</w:t>
      </w:r>
      <w:r w:rsidRPr="005410F6">
        <w:rPr>
          <w:rFonts w:ascii="Montserrat" w:eastAsia="Calibri" w:hAnsi="Montserrat" w:cstheme="minorHAnsi"/>
          <w:sz w:val="22"/>
          <w:szCs w:val="22"/>
        </w:rPr>
        <w:t xml:space="preserve"> se reconoce esta figura a través de la resolución de una acción de inconstitucionalidad de la SCJN.</w:t>
      </w:r>
      <w:r w:rsidR="005B52AD" w:rsidRPr="005410F6">
        <w:rPr>
          <w:rFonts w:ascii="Montserrat" w:eastAsia="Calibri" w:hAnsi="Montserrat" w:cstheme="minorHAnsi"/>
          <w:sz w:val="22"/>
          <w:szCs w:val="22"/>
        </w:rPr>
        <w:t xml:space="preserve"> </w:t>
      </w:r>
      <w:r w:rsidRPr="005410F6">
        <w:rPr>
          <w:rFonts w:ascii="Montserrat" w:eastAsia="Calibri" w:hAnsi="Montserrat" w:cstheme="minorHAnsi"/>
          <w:sz w:val="22"/>
          <w:szCs w:val="22"/>
        </w:rPr>
        <w:t xml:space="preserve">Las entidades son: </w:t>
      </w:r>
      <w:r w:rsidRPr="005410F6">
        <w:rPr>
          <w:rFonts w:ascii="Montserrat" w:eastAsia="Calibri" w:hAnsi="Montserrat" w:cstheme="minorHAnsi"/>
          <w:bCs/>
          <w:sz w:val="22"/>
          <w:szCs w:val="22"/>
        </w:rPr>
        <w:t>28.</w:t>
      </w:r>
      <w:r w:rsidRPr="005410F6">
        <w:rPr>
          <w:rFonts w:ascii="Montserrat" w:eastAsia="Calibri" w:hAnsi="Montserrat" w:cstheme="minorHAnsi"/>
          <w:sz w:val="22"/>
          <w:szCs w:val="22"/>
        </w:rPr>
        <w:t xml:space="preserve"> Aguascalientes, </w:t>
      </w:r>
      <w:r w:rsidRPr="005410F6">
        <w:rPr>
          <w:rFonts w:ascii="Montserrat" w:eastAsia="Calibri" w:hAnsi="Montserrat" w:cstheme="minorHAnsi"/>
          <w:bCs/>
          <w:sz w:val="22"/>
          <w:szCs w:val="22"/>
        </w:rPr>
        <w:t>29.</w:t>
      </w:r>
      <w:r w:rsidRPr="005410F6">
        <w:rPr>
          <w:rFonts w:ascii="Montserrat" w:eastAsia="Calibri" w:hAnsi="Montserrat" w:cstheme="minorHAnsi"/>
          <w:sz w:val="22"/>
          <w:szCs w:val="22"/>
        </w:rPr>
        <w:t xml:space="preserve"> Chiapas, y</w:t>
      </w:r>
      <w:r w:rsidRPr="005410F6">
        <w:rPr>
          <w:rFonts w:ascii="Montserrat" w:eastAsia="Calibri" w:hAnsi="Montserrat" w:cstheme="minorHAnsi"/>
          <w:bCs/>
          <w:sz w:val="22"/>
          <w:szCs w:val="22"/>
        </w:rPr>
        <w:t xml:space="preserve"> 30.</w:t>
      </w:r>
      <w:r w:rsidRPr="005410F6">
        <w:rPr>
          <w:rFonts w:ascii="Montserrat" w:eastAsia="Calibri" w:hAnsi="Montserrat" w:cstheme="minorHAnsi"/>
          <w:sz w:val="22"/>
          <w:szCs w:val="22"/>
        </w:rPr>
        <w:t xml:space="preserve"> Nuevo León.</w:t>
      </w:r>
    </w:p>
    <w:p w14:paraId="52D083D4" w14:textId="77777777" w:rsidR="005B52AD" w:rsidRPr="005B52AD" w:rsidRDefault="005B52AD" w:rsidP="005B52AD">
      <w:pPr>
        <w:ind w:left="708"/>
        <w:jc w:val="both"/>
        <w:rPr>
          <w:rFonts w:ascii="Montserrat" w:eastAsia="Calibri" w:hAnsi="Montserrat" w:cstheme="minorHAnsi"/>
          <w:b/>
          <w:bCs/>
          <w:sz w:val="22"/>
          <w:szCs w:val="22"/>
        </w:rPr>
      </w:pPr>
    </w:p>
    <w:p w14:paraId="30FDEAE7" w14:textId="5908B6D7" w:rsidR="007D39A5" w:rsidRDefault="007D39A5" w:rsidP="005B52AD">
      <w:pPr>
        <w:ind w:left="708"/>
        <w:jc w:val="both"/>
        <w:rPr>
          <w:rFonts w:ascii="Montserrat" w:eastAsia="Calibri" w:hAnsi="Montserrat" w:cstheme="minorHAnsi"/>
          <w:sz w:val="22"/>
          <w:szCs w:val="22"/>
        </w:rPr>
      </w:pPr>
      <w:r w:rsidRPr="005B52AD">
        <w:rPr>
          <w:rFonts w:ascii="Montserrat" w:eastAsia="Calibri" w:hAnsi="Montserrat" w:cstheme="minorHAnsi"/>
          <w:b/>
          <w:bCs/>
          <w:sz w:val="22"/>
          <w:szCs w:val="22"/>
          <w:u w:val="single"/>
        </w:rPr>
        <w:t>c. Vía administrativa.</w:t>
      </w:r>
      <w:r w:rsidRPr="005B52AD">
        <w:rPr>
          <w:rFonts w:ascii="Montserrat" w:eastAsia="Calibri" w:hAnsi="Montserrat" w:cstheme="minorHAnsi"/>
          <w:sz w:val="22"/>
          <w:szCs w:val="22"/>
        </w:rPr>
        <w:t xml:space="preserve"> En</w:t>
      </w:r>
      <w:r w:rsidRPr="005410F6">
        <w:rPr>
          <w:rFonts w:ascii="Montserrat" w:eastAsia="Calibri" w:hAnsi="Montserrat" w:cstheme="minorHAnsi"/>
          <w:sz w:val="22"/>
          <w:szCs w:val="22"/>
        </w:rPr>
        <w:t xml:space="preserve"> </w:t>
      </w:r>
      <w:r w:rsidRPr="005410F6">
        <w:rPr>
          <w:rFonts w:ascii="Montserrat" w:eastAsia="Calibri" w:hAnsi="Montserrat" w:cstheme="minorHAnsi"/>
          <w:bCs/>
          <w:sz w:val="22"/>
          <w:szCs w:val="22"/>
        </w:rPr>
        <w:t>2</w:t>
      </w:r>
      <w:r w:rsidRPr="005410F6">
        <w:rPr>
          <w:rFonts w:ascii="Montserrat" w:eastAsia="Calibri" w:hAnsi="Montserrat" w:cstheme="minorHAnsi"/>
          <w:sz w:val="22"/>
          <w:szCs w:val="22"/>
        </w:rPr>
        <w:t xml:space="preserve"> </w:t>
      </w:r>
      <w:r w:rsidRPr="005410F6">
        <w:rPr>
          <w:rFonts w:ascii="Montserrat" w:eastAsia="Calibri" w:hAnsi="Montserrat" w:cstheme="minorHAnsi"/>
          <w:bCs/>
          <w:sz w:val="22"/>
          <w:szCs w:val="22"/>
        </w:rPr>
        <w:t>entidades federativas</w:t>
      </w:r>
      <w:r w:rsidRPr="005410F6">
        <w:rPr>
          <w:rFonts w:ascii="Montserrat" w:eastAsia="Calibri" w:hAnsi="Montserrat" w:cstheme="minorHAnsi"/>
          <w:sz w:val="22"/>
          <w:szCs w:val="22"/>
        </w:rPr>
        <w:t xml:space="preserve"> reconocen esta figura a través de un decreto del Poder Ejecutivo local que suprime las disposiciones jurídicas que impiden en sede administrativa la celebración del matrimonio entre personas del mismo sexo, y/o con la emisión de acuerdos administrativos.</w:t>
      </w:r>
      <w:r w:rsidR="005B52AD" w:rsidRPr="005410F6">
        <w:rPr>
          <w:rFonts w:ascii="Montserrat" w:eastAsia="Calibri" w:hAnsi="Montserrat" w:cstheme="minorHAnsi"/>
          <w:sz w:val="22"/>
          <w:szCs w:val="22"/>
        </w:rPr>
        <w:t xml:space="preserve"> </w:t>
      </w:r>
      <w:r w:rsidRPr="005410F6">
        <w:rPr>
          <w:rFonts w:ascii="Montserrat" w:eastAsia="Calibri" w:hAnsi="Montserrat" w:cstheme="minorHAnsi"/>
          <w:sz w:val="22"/>
          <w:szCs w:val="22"/>
        </w:rPr>
        <w:t xml:space="preserve">Estas entidades son: </w:t>
      </w:r>
      <w:r w:rsidRPr="005410F6">
        <w:rPr>
          <w:rFonts w:ascii="Montserrat" w:eastAsia="Calibri" w:hAnsi="Montserrat" w:cstheme="minorHAnsi"/>
          <w:bCs/>
          <w:sz w:val="22"/>
          <w:szCs w:val="22"/>
        </w:rPr>
        <w:t xml:space="preserve">31. </w:t>
      </w:r>
      <w:r w:rsidRPr="005410F6">
        <w:rPr>
          <w:rFonts w:ascii="Montserrat" w:eastAsia="Calibri" w:hAnsi="Montserrat" w:cstheme="minorHAnsi"/>
          <w:sz w:val="22"/>
          <w:szCs w:val="22"/>
        </w:rPr>
        <w:t>Guanajuato (vigente hasta septiembre de 2024 mediante decreto del Ejecutivo)</w:t>
      </w:r>
      <w:r w:rsidRPr="005410F6">
        <w:rPr>
          <w:rFonts w:ascii="Montserrat" w:eastAsia="Calibri" w:hAnsi="Montserrat" w:cstheme="minorHAnsi"/>
          <w:sz w:val="22"/>
          <w:szCs w:val="22"/>
          <w:vertAlign w:val="superscript"/>
        </w:rPr>
        <w:footnoteReference w:id="8"/>
      </w:r>
      <w:r w:rsidRPr="005410F6">
        <w:rPr>
          <w:rFonts w:ascii="Montserrat" w:eastAsia="Calibri" w:hAnsi="Montserrat" w:cstheme="minorHAnsi"/>
          <w:sz w:val="22"/>
          <w:szCs w:val="22"/>
        </w:rPr>
        <w:t xml:space="preserve">,  y </w:t>
      </w:r>
      <w:r w:rsidRPr="005410F6">
        <w:rPr>
          <w:rFonts w:ascii="Montserrat" w:eastAsia="Calibri" w:hAnsi="Montserrat" w:cstheme="minorHAnsi"/>
          <w:bCs/>
          <w:sz w:val="22"/>
          <w:szCs w:val="22"/>
        </w:rPr>
        <w:t xml:space="preserve">32. </w:t>
      </w:r>
      <w:r w:rsidRPr="005B52AD">
        <w:rPr>
          <w:rFonts w:ascii="Montserrat" w:eastAsia="Calibri" w:hAnsi="Montserrat" w:cstheme="minorHAnsi"/>
          <w:sz w:val="22"/>
          <w:szCs w:val="22"/>
        </w:rPr>
        <w:t>Chihuahua</w:t>
      </w:r>
      <w:r w:rsidRPr="005B52AD">
        <w:rPr>
          <w:rFonts w:ascii="Montserrat" w:eastAsia="Calibri" w:hAnsi="Montserrat" w:cstheme="minorHAnsi"/>
          <w:sz w:val="22"/>
          <w:szCs w:val="22"/>
          <w:vertAlign w:val="superscript"/>
        </w:rPr>
        <w:footnoteReference w:id="9"/>
      </w:r>
    </w:p>
    <w:p w14:paraId="3E5B3FAE" w14:textId="77777777" w:rsidR="005B52AD" w:rsidRPr="005B52AD" w:rsidRDefault="005B52AD" w:rsidP="005B52AD">
      <w:pPr>
        <w:ind w:left="708"/>
        <w:jc w:val="both"/>
        <w:rPr>
          <w:rFonts w:ascii="Montserrat" w:eastAsia="Calibri" w:hAnsi="Montserrat" w:cstheme="minorHAnsi"/>
          <w:sz w:val="22"/>
          <w:szCs w:val="22"/>
        </w:rPr>
      </w:pPr>
    </w:p>
    <w:p w14:paraId="18296FA5" w14:textId="77777777" w:rsidR="007D39A5" w:rsidRDefault="007D39A5" w:rsidP="005B52AD">
      <w:pPr>
        <w:jc w:val="both"/>
        <w:rPr>
          <w:rFonts w:ascii="Montserrat" w:eastAsia="Calibri" w:hAnsi="Montserrat" w:cstheme="minorHAnsi"/>
          <w:sz w:val="22"/>
          <w:szCs w:val="22"/>
        </w:rPr>
      </w:pPr>
      <w:r w:rsidRPr="005B52AD">
        <w:rPr>
          <w:rFonts w:ascii="Montserrat" w:eastAsia="Calibri" w:hAnsi="Montserrat" w:cstheme="minorHAnsi"/>
          <w:sz w:val="22"/>
          <w:szCs w:val="22"/>
        </w:rPr>
        <w:t xml:space="preserve">Para dar un total de </w:t>
      </w:r>
      <w:r w:rsidRPr="005B52AD">
        <w:rPr>
          <w:rFonts w:ascii="Montserrat" w:eastAsia="Calibri" w:hAnsi="Montserrat" w:cstheme="minorHAnsi"/>
          <w:b/>
          <w:bCs/>
          <w:sz w:val="22"/>
          <w:szCs w:val="22"/>
        </w:rPr>
        <w:t>32 entidades federativas</w:t>
      </w:r>
      <w:r w:rsidRPr="005B52AD">
        <w:rPr>
          <w:rFonts w:ascii="Montserrat" w:eastAsia="Calibri" w:hAnsi="Montserrat" w:cstheme="minorHAnsi"/>
          <w:sz w:val="22"/>
          <w:szCs w:val="22"/>
        </w:rPr>
        <w:t xml:space="preserve"> en las que el matrimonio entre personas del mismo sexo es reconocido, ya sea por la vía legislativa, administrativa o por el reconocimiento de la figura a través de una resolución de la SCJN. </w:t>
      </w:r>
    </w:p>
    <w:p w14:paraId="4DA6CD6D" w14:textId="77777777" w:rsidR="005B52AD" w:rsidRPr="005B52AD" w:rsidRDefault="005B52AD" w:rsidP="005B52AD">
      <w:pPr>
        <w:jc w:val="both"/>
        <w:rPr>
          <w:rFonts w:ascii="Montserrat" w:eastAsia="Calibri" w:hAnsi="Montserrat" w:cstheme="minorHAnsi"/>
          <w:sz w:val="22"/>
          <w:szCs w:val="22"/>
        </w:rPr>
      </w:pPr>
    </w:p>
    <w:p w14:paraId="259AA4B8" w14:textId="1A2C7109" w:rsidR="007D39A5" w:rsidRPr="005B52AD" w:rsidRDefault="007D39A5" w:rsidP="005B52AD">
      <w:pPr>
        <w:pStyle w:val="Prrafodelista"/>
        <w:numPr>
          <w:ilvl w:val="0"/>
          <w:numId w:val="33"/>
        </w:numPr>
        <w:jc w:val="both"/>
        <w:rPr>
          <w:rFonts w:ascii="Montserrat" w:eastAsia="Calibri" w:hAnsi="Montserrat" w:cstheme="minorHAnsi"/>
          <w:sz w:val="22"/>
          <w:szCs w:val="22"/>
        </w:rPr>
      </w:pPr>
      <w:r w:rsidRPr="005B52AD">
        <w:rPr>
          <w:rFonts w:ascii="Montserrat" w:eastAsia="Calibri" w:hAnsi="Montserrat" w:cstheme="minorHAnsi"/>
          <w:sz w:val="22"/>
          <w:szCs w:val="22"/>
        </w:rPr>
        <w:lastRenderedPageBreak/>
        <w:t>Tipificaci</w:t>
      </w:r>
      <w:r w:rsidR="005B52AD">
        <w:rPr>
          <w:rFonts w:ascii="Montserrat" w:eastAsia="Calibri" w:hAnsi="Montserrat" w:cstheme="minorHAnsi"/>
          <w:sz w:val="22"/>
          <w:szCs w:val="22"/>
        </w:rPr>
        <w:t xml:space="preserve">ón a las terapias de conversión: </w:t>
      </w:r>
      <w:r w:rsidRPr="005B52AD">
        <w:rPr>
          <w:rFonts w:ascii="Montserrat" w:eastAsia="Calibri" w:hAnsi="Montserrat" w:cstheme="minorHAnsi"/>
          <w:sz w:val="22"/>
          <w:szCs w:val="22"/>
          <w:lang w:val="es-ES"/>
        </w:rPr>
        <w:t xml:space="preserve">En </w:t>
      </w:r>
      <w:r w:rsidRPr="005B52AD">
        <w:rPr>
          <w:rFonts w:ascii="Montserrat" w:eastAsia="Calibri" w:hAnsi="Montserrat" w:cstheme="minorHAnsi"/>
          <w:b/>
          <w:sz w:val="22"/>
          <w:szCs w:val="22"/>
          <w:lang w:val="es-ES"/>
        </w:rPr>
        <w:t xml:space="preserve">13 </w:t>
      </w:r>
      <w:r w:rsidRPr="005B52AD">
        <w:rPr>
          <w:rFonts w:ascii="Montserrat" w:eastAsia="Calibri" w:hAnsi="Montserrat" w:cstheme="minorHAnsi"/>
          <w:b/>
          <w:bCs/>
          <w:sz w:val="22"/>
          <w:szCs w:val="22"/>
          <w:lang w:val="es-ES"/>
        </w:rPr>
        <w:t>entidades federativas</w:t>
      </w:r>
      <w:r w:rsidRPr="005B52AD">
        <w:rPr>
          <w:rFonts w:ascii="Montserrat" w:eastAsia="Calibri" w:hAnsi="Montserrat" w:cstheme="minorHAnsi"/>
          <w:sz w:val="22"/>
          <w:szCs w:val="22"/>
          <w:lang w:val="es-ES"/>
        </w:rPr>
        <w:t xml:space="preserve"> se tipifican, en el Código Penal, las terapias de conversión, y cuyas reformas ya entraron en vigor.</w:t>
      </w:r>
    </w:p>
    <w:p w14:paraId="1323B8ED" w14:textId="77777777" w:rsidR="005B52AD" w:rsidRPr="005B52AD" w:rsidRDefault="005B52AD" w:rsidP="005B52AD">
      <w:pPr>
        <w:jc w:val="both"/>
        <w:rPr>
          <w:rFonts w:ascii="Montserrat" w:hAnsi="Montserrat"/>
          <w:sz w:val="22"/>
          <w:szCs w:val="22"/>
          <w:lang w:val="es-ES"/>
        </w:rPr>
      </w:pPr>
    </w:p>
    <w:p w14:paraId="79C13E5D" w14:textId="54AE0890" w:rsidR="00054BE2" w:rsidRPr="005B52AD" w:rsidRDefault="00054BE2" w:rsidP="005B52AD">
      <w:pPr>
        <w:pStyle w:val="Prrafodelista"/>
        <w:numPr>
          <w:ilvl w:val="0"/>
          <w:numId w:val="45"/>
        </w:numPr>
        <w:jc w:val="both"/>
        <w:rPr>
          <w:rFonts w:ascii="Montserrat" w:hAnsi="Montserrat"/>
          <w:b/>
          <w:bCs/>
          <w:sz w:val="22"/>
          <w:szCs w:val="22"/>
          <w:lang w:val="es-ES"/>
        </w:rPr>
      </w:pPr>
      <w:r w:rsidRPr="005B52AD">
        <w:rPr>
          <w:rFonts w:ascii="Montserrat" w:hAnsi="Montserrat"/>
          <w:b/>
          <w:bCs/>
          <w:sz w:val="22"/>
          <w:szCs w:val="22"/>
          <w:lang w:val="es-ES"/>
        </w:rPr>
        <w:t xml:space="preserve">Mecanismo de quejas </w:t>
      </w:r>
    </w:p>
    <w:p w14:paraId="35F91D7E" w14:textId="77777777" w:rsidR="005B52AD" w:rsidRDefault="005B52AD" w:rsidP="005B52AD">
      <w:pPr>
        <w:jc w:val="both"/>
        <w:rPr>
          <w:rFonts w:ascii="Montserrat" w:eastAsia="Calibri" w:hAnsi="Montserrat" w:cstheme="minorHAnsi"/>
          <w:bCs/>
          <w:sz w:val="22"/>
          <w:szCs w:val="22"/>
          <w:lang w:val="es-ES_tradnl"/>
        </w:rPr>
      </w:pPr>
    </w:p>
    <w:p w14:paraId="4519CEBE" w14:textId="77777777" w:rsidR="00054BE2" w:rsidRDefault="00054BE2" w:rsidP="005B52AD">
      <w:pPr>
        <w:jc w:val="both"/>
        <w:rPr>
          <w:rFonts w:ascii="Montserrat" w:eastAsia="Calibri" w:hAnsi="Montserrat" w:cstheme="minorHAnsi"/>
          <w:bCs/>
          <w:sz w:val="22"/>
          <w:szCs w:val="22"/>
          <w:lang w:val="es-ES_tradnl"/>
        </w:rPr>
      </w:pPr>
      <w:r w:rsidRPr="005B52AD">
        <w:rPr>
          <w:rFonts w:ascii="Montserrat" w:eastAsia="Calibri" w:hAnsi="Montserrat" w:cstheme="minorHAnsi"/>
          <w:bCs/>
          <w:sz w:val="22"/>
          <w:szCs w:val="22"/>
          <w:lang w:val="es-ES_tradnl"/>
        </w:rPr>
        <w:t>El artículo 43 de la LFPED establece que el CONAPRED es competente para conocer actos u omisiones que sucedan dentro del territorio mexicano, que puedan configurar conductas que se presuman discriminatorias en términos del artículo 1, párrafo segundo, fracción III de la Ley Federal en comento y que son atribuidos a personas particulares o a personas servidoras públicas federales o de los poderes públicos federales</w:t>
      </w:r>
      <w:r w:rsidRPr="005B52AD">
        <w:rPr>
          <w:rFonts w:ascii="Montserrat" w:eastAsia="Calibri" w:hAnsi="Montserrat" w:cstheme="minorHAnsi"/>
          <w:bCs/>
          <w:sz w:val="22"/>
          <w:szCs w:val="22"/>
          <w:vertAlign w:val="superscript"/>
          <w:lang w:val="es-ES_tradnl"/>
        </w:rPr>
        <w:footnoteReference w:id="10"/>
      </w:r>
      <w:r w:rsidRPr="005B52AD">
        <w:rPr>
          <w:rFonts w:ascii="Montserrat" w:eastAsia="Calibri" w:hAnsi="Montserrat" w:cstheme="minorHAnsi"/>
          <w:bCs/>
          <w:sz w:val="22"/>
          <w:szCs w:val="22"/>
          <w:lang w:val="es-ES_tradnl"/>
        </w:rPr>
        <w:t xml:space="preserve">. </w:t>
      </w:r>
    </w:p>
    <w:p w14:paraId="161D83F4" w14:textId="77777777" w:rsidR="00034E0D" w:rsidRPr="005B52AD" w:rsidRDefault="00034E0D" w:rsidP="005B52AD">
      <w:pPr>
        <w:jc w:val="both"/>
        <w:rPr>
          <w:rFonts w:ascii="Montserrat" w:eastAsia="Calibri" w:hAnsi="Montserrat" w:cstheme="minorHAnsi"/>
          <w:bCs/>
          <w:sz w:val="22"/>
          <w:szCs w:val="22"/>
          <w:lang w:val="es-ES_tradnl"/>
        </w:rPr>
      </w:pPr>
    </w:p>
    <w:p w14:paraId="0A1D22A6" w14:textId="77777777" w:rsidR="00054BE2" w:rsidRDefault="00054BE2" w:rsidP="005B52AD">
      <w:pPr>
        <w:jc w:val="both"/>
        <w:rPr>
          <w:rFonts w:ascii="Montserrat" w:eastAsia="Calibri" w:hAnsi="Montserrat" w:cstheme="minorHAnsi"/>
          <w:bCs/>
          <w:sz w:val="22"/>
          <w:szCs w:val="22"/>
          <w:lang w:val="es-ES_tradnl"/>
        </w:rPr>
      </w:pPr>
      <w:r w:rsidRPr="005B52AD">
        <w:rPr>
          <w:rFonts w:ascii="Montserrat" w:eastAsia="Calibri" w:hAnsi="Montserrat" w:cstheme="minorHAnsi"/>
          <w:bCs/>
          <w:sz w:val="22"/>
          <w:szCs w:val="22"/>
          <w:lang w:val="es-ES_tradnl"/>
        </w:rPr>
        <w:t xml:space="preserve">Así, el Consejo conoce de los procedimientos de queja por presuntos actos, omisiones o prácticas sociales presuntamente discriminatorias imputables a personas servidoras públicas federales en el ejercicio de sus funciones o con motivo de ellas, personas físicas o morales, así como a particulares. </w:t>
      </w:r>
    </w:p>
    <w:p w14:paraId="30ED3F98" w14:textId="77777777" w:rsidR="005B52AD" w:rsidRPr="005B52AD" w:rsidRDefault="005B52AD" w:rsidP="005B52AD">
      <w:pPr>
        <w:jc w:val="both"/>
        <w:rPr>
          <w:rFonts w:ascii="Montserrat" w:eastAsia="Calibri" w:hAnsi="Montserrat" w:cstheme="minorHAnsi"/>
          <w:bCs/>
          <w:sz w:val="22"/>
          <w:szCs w:val="22"/>
          <w:lang w:val="es-ES_tradnl"/>
        </w:rPr>
      </w:pPr>
    </w:p>
    <w:p w14:paraId="1AC6E2B2" w14:textId="77777777" w:rsidR="00054BE2" w:rsidRDefault="00054BE2" w:rsidP="005B52AD">
      <w:pPr>
        <w:jc w:val="both"/>
        <w:rPr>
          <w:rFonts w:ascii="Montserrat" w:eastAsia="Calibri" w:hAnsi="Montserrat" w:cstheme="minorHAnsi"/>
          <w:bCs/>
          <w:sz w:val="22"/>
          <w:szCs w:val="22"/>
          <w:lang w:val="es-ES_tradnl"/>
        </w:rPr>
      </w:pPr>
      <w:r w:rsidRPr="005B52AD">
        <w:rPr>
          <w:rFonts w:ascii="Montserrat" w:eastAsia="Calibri" w:hAnsi="Montserrat" w:cstheme="minorHAnsi"/>
          <w:bCs/>
          <w:sz w:val="22"/>
          <w:szCs w:val="22"/>
          <w:lang w:val="es-ES_tradnl"/>
        </w:rPr>
        <w:t>Para ello, el CONAPRED podrá someter a un procedimiento de conciliación entre las partes, sin embargo; en caso de acreditarse el acto, la omisión o la práctica social discriminatoria imputable a personas servidoras públicas federales, poderes públicos federales o particulares el Consejo se encuentra facultado para emitir una Resolución por disposición estableciendo medidas administrativas y de reparación.</w:t>
      </w:r>
    </w:p>
    <w:p w14:paraId="18AD7560" w14:textId="77777777" w:rsidR="005B52AD" w:rsidRPr="005B52AD" w:rsidRDefault="005B52AD" w:rsidP="005B52AD">
      <w:pPr>
        <w:jc w:val="both"/>
        <w:rPr>
          <w:rFonts w:ascii="Montserrat" w:eastAsia="Calibri" w:hAnsi="Montserrat" w:cstheme="minorHAnsi"/>
          <w:bCs/>
          <w:sz w:val="22"/>
          <w:szCs w:val="22"/>
          <w:lang w:val="es-ES_tradnl"/>
        </w:rPr>
      </w:pPr>
    </w:p>
    <w:p w14:paraId="7B85F9AB" w14:textId="2511BD9A" w:rsidR="007D39A5" w:rsidRDefault="00054BE2" w:rsidP="005B52AD">
      <w:pPr>
        <w:jc w:val="both"/>
        <w:rPr>
          <w:rFonts w:ascii="Montserrat" w:eastAsia="Calibri" w:hAnsi="Montserrat" w:cstheme="minorHAnsi"/>
          <w:bCs/>
          <w:sz w:val="22"/>
          <w:szCs w:val="22"/>
          <w:lang w:val="es-ES_tradnl"/>
        </w:rPr>
      </w:pPr>
      <w:r w:rsidRPr="005B52AD">
        <w:rPr>
          <w:rFonts w:ascii="Montserrat" w:eastAsia="Calibri" w:hAnsi="Montserrat" w:cstheme="minorHAnsi"/>
          <w:bCs/>
          <w:sz w:val="22"/>
          <w:szCs w:val="22"/>
          <w:lang w:val="es-ES_tradnl"/>
        </w:rPr>
        <w:t xml:space="preserve">El procedimiento de queja del CONAPRED es administrativo y busca de manera prioritaria la conciliación entre las partes por presuntos actos de discriminación. En este sentido, del año 2017 al 2023 se radicaron 414 expedientes de quejas calificados como presuntos actos de discriminación relacionadas con personas de la diversidad sexual, de los cuales 285 fueron atribuidos a personas particulares y 129 por actos atribuidos a personas servidoras públicas federales y/o poderes públicos federales. </w:t>
      </w:r>
    </w:p>
    <w:p w14:paraId="055BF259" w14:textId="77777777" w:rsidR="00034E0D" w:rsidRPr="005B52AD" w:rsidRDefault="00034E0D" w:rsidP="005B52AD">
      <w:pPr>
        <w:jc w:val="both"/>
        <w:rPr>
          <w:rFonts w:ascii="Montserrat" w:eastAsia="Calibri" w:hAnsi="Montserrat" w:cstheme="minorHAnsi"/>
          <w:bCs/>
          <w:sz w:val="22"/>
          <w:szCs w:val="22"/>
          <w:lang w:val="es-ES_tradnl"/>
        </w:rPr>
      </w:pPr>
      <w:bookmarkStart w:id="1" w:name="_GoBack"/>
      <w:bookmarkEnd w:id="1"/>
    </w:p>
    <w:tbl>
      <w:tblPr>
        <w:tblStyle w:val="Tabladecuadrcula4-nfasis2"/>
        <w:tblW w:w="0" w:type="auto"/>
        <w:jc w:val="center"/>
        <w:tblLook w:val="04A0" w:firstRow="1" w:lastRow="0" w:firstColumn="1" w:lastColumn="0" w:noHBand="0" w:noVBand="1"/>
      </w:tblPr>
      <w:tblGrid>
        <w:gridCol w:w="2869"/>
        <w:gridCol w:w="718"/>
        <w:gridCol w:w="727"/>
        <w:gridCol w:w="722"/>
        <w:gridCol w:w="775"/>
        <w:gridCol w:w="712"/>
        <w:gridCol w:w="755"/>
        <w:gridCol w:w="756"/>
        <w:gridCol w:w="794"/>
      </w:tblGrid>
      <w:tr w:rsidR="00054BE2" w:rsidRPr="005B52AD" w14:paraId="042F946E" w14:textId="77777777" w:rsidTr="0008272A">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9"/>
            <w:noWrap/>
            <w:hideMark/>
          </w:tcPr>
          <w:p w14:paraId="1B7F781C" w14:textId="77777777" w:rsidR="00054BE2" w:rsidRPr="005B52AD" w:rsidRDefault="00054BE2" w:rsidP="005B52AD">
            <w:pPr>
              <w:jc w:val="both"/>
              <w:rPr>
                <w:rFonts w:ascii="Montserrat" w:eastAsia="Calibri" w:hAnsi="Montserrat" w:cstheme="minorHAnsi"/>
                <w:sz w:val="22"/>
                <w:szCs w:val="22"/>
                <w:lang w:val="es-MX"/>
              </w:rPr>
            </w:pPr>
            <w:r w:rsidRPr="005B52AD">
              <w:rPr>
                <w:rFonts w:ascii="Montserrat" w:eastAsia="Calibri" w:hAnsi="Montserrat" w:cstheme="minorHAnsi"/>
                <w:sz w:val="22"/>
                <w:szCs w:val="22"/>
              </w:rPr>
              <w:t> </w:t>
            </w:r>
          </w:p>
        </w:tc>
      </w:tr>
      <w:tr w:rsidR="00054BE2" w:rsidRPr="005B52AD" w14:paraId="79EC17C9" w14:textId="77777777" w:rsidTr="0008272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5DF3AA" w14:textId="77777777" w:rsidR="00054BE2" w:rsidRPr="005B52AD" w:rsidRDefault="00054BE2" w:rsidP="005B52AD">
            <w:pPr>
              <w:jc w:val="both"/>
              <w:rPr>
                <w:rFonts w:ascii="Montserrat" w:eastAsia="Calibri" w:hAnsi="Montserrat" w:cstheme="minorHAnsi"/>
                <w:sz w:val="22"/>
                <w:szCs w:val="22"/>
                <w:lang w:val="es-MX"/>
              </w:rPr>
            </w:pPr>
            <w:r w:rsidRPr="005B52AD">
              <w:rPr>
                <w:rFonts w:ascii="Montserrat" w:eastAsia="Calibri" w:hAnsi="Montserrat" w:cstheme="minorHAnsi"/>
                <w:sz w:val="22"/>
                <w:szCs w:val="22"/>
              </w:rPr>
              <w:t> </w:t>
            </w:r>
          </w:p>
        </w:tc>
        <w:tc>
          <w:tcPr>
            <w:tcW w:w="0" w:type="auto"/>
            <w:hideMark/>
          </w:tcPr>
          <w:p w14:paraId="1F5980F9"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2017</w:t>
            </w:r>
          </w:p>
        </w:tc>
        <w:tc>
          <w:tcPr>
            <w:tcW w:w="0" w:type="auto"/>
            <w:hideMark/>
          </w:tcPr>
          <w:p w14:paraId="47B59D7C"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rPr>
              <w:t>2018</w:t>
            </w:r>
          </w:p>
        </w:tc>
        <w:tc>
          <w:tcPr>
            <w:tcW w:w="0" w:type="auto"/>
            <w:hideMark/>
          </w:tcPr>
          <w:p w14:paraId="1D676D66"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2019</w:t>
            </w:r>
          </w:p>
        </w:tc>
        <w:tc>
          <w:tcPr>
            <w:tcW w:w="0" w:type="auto"/>
            <w:hideMark/>
          </w:tcPr>
          <w:p w14:paraId="23DCA33F"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rPr>
              <w:t>2020</w:t>
            </w:r>
          </w:p>
        </w:tc>
        <w:tc>
          <w:tcPr>
            <w:tcW w:w="0" w:type="auto"/>
            <w:hideMark/>
          </w:tcPr>
          <w:p w14:paraId="626F5C69"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2021</w:t>
            </w:r>
          </w:p>
        </w:tc>
        <w:tc>
          <w:tcPr>
            <w:tcW w:w="0" w:type="auto"/>
            <w:hideMark/>
          </w:tcPr>
          <w:p w14:paraId="65390EA5"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MX"/>
              </w:rPr>
              <w:t>2022</w:t>
            </w:r>
          </w:p>
        </w:tc>
        <w:tc>
          <w:tcPr>
            <w:tcW w:w="0" w:type="auto"/>
            <w:hideMark/>
          </w:tcPr>
          <w:p w14:paraId="58F3BC5D"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MX"/>
              </w:rPr>
              <w:t>2023</w:t>
            </w:r>
          </w:p>
        </w:tc>
        <w:tc>
          <w:tcPr>
            <w:tcW w:w="0" w:type="auto"/>
            <w:hideMark/>
          </w:tcPr>
          <w:p w14:paraId="198E0F42"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Total</w:t>
            </w:r>
          </w:p>
        </w:tc>
      </w:tr>
      <w:tr w:rsidR="00054BE2" w:rsidRPr="005B52AD" w14:paraId="2ACFC63F" w14:textId="77777777" w:rsidTr="0008272A">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597ECA" w14:textId="77777777" w:rsidR="00054BE2" w:rsidRPr="005B52AD" w:rsidRDefault="00054BE2" w:rsidP="005B52AD">
            <w:pPr>
              <w:jc w:val="both"/>
              <w:rPr>
                <w:rFonts w:ascii="Montserrat" w:eastAsia="Calibri" w:hAnsi="Montserrat" w:cstheme="minorHAnsi"/>
                <w:sz w:val="22"/>
                <w:szCs w:val="22"/>
                <w:lang w:val="es-MX"/>
              </w:rPr>
            </w:pPr>
            <w:r w:rsidRPr="005B52AD">
              <w:rPr>
                <w:rFonts w:ascii="Montserrat" w:eastAsia="Calibri" w:hAnsi="Montserrat" w:cstheme="minorHAnsi"/>
                <w:sz w:val="22"/>
                <w:szCs w:val="22"/>
              </w:rPr>
              <w:t>Quejas contra personas particulares</w:t>
            </w:r>
          </w:p>
        </w:tc>
        <w:tc>
          <w:tcPr>
            <w:tcW w:w="0" w:type="auto"/>
            <w:hideMark/>
          </w:tcPr>
          <w:p w14:paraId="1162067E"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ES"/>
              </w:rPr>
              <w:t>118</w:t>
            </w:r>
          </w:p>
        </w:tc>
        <w:tc>
          <w:tcPr>
            <w:tcW w:w="0" w:type="auto"/>
            <w:hideMark/>
          </w:tcPr>
          <w:p w14:paraId="789FD408"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ES"/>
              </w:rPr>
              <w:t>59</w:t>
            </w:r>
          </w:p>
        </w:tc>
        <w:tc>
          <w:tcPr>
            <w:tcW w:w="0" w:type="auto"/>
            <w:hideMark/>
          </w:tcPr>
          <w:p w14:paraId="269622F4"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ES"/>
              </w:rPr>
              <w:t>21</w:t>
            </w:r>
          </w:p>
        </w:tc>
        <w:tc>
          <w:tcPr>
            <w:tcW w:w="0" w:type="auto"/>
            <w:hideMark/>
          </w:tcPr>
          <w:p w14:paraId="68C7C1C8"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ES"/>
              </w:rPr>
              <w:t>26</w:t>
            </w:r>
          </w:p>
        </w:tc>
        <w:tc>
          <w:tcPr>
            <w:tcW w:w="0" w:type="auto"/>
            <w:hideMark/>
          </w:tcPr>
          <w:p w14:paraId="5261F903"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ES"/>
              </w:rPr>
              <w:t>28</w:t>
            </w:r>
          </w:p>
        </w:tc>
        <w:tc>
          <w:tcPr>
            <w:tcW w:w="0" w:type="auto"/>
            <w:hideMark/>
          </w:tcPr>
          <w:p w14:paraId="139ABC63"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ES"/>
              </w:rPr>
              <w:t>28</w:t>
            </w:r>
          </w:p>
        </w:tc>
        <w:tc>
          <w:tcPr>
            <w:tcW w:w="0" w:type="auto"/>
            <w:hideMark/>
          </w:tcPr>
          <w:p w14:paraId="3239E2B4"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MX"/>
              </w:rPr>
              <w:t>5</w:t>
            </w:r>
          </w:p>
        </w:tc>
        <w:tc>
          <w:tcPr>
            <w:tcW w:w="0" w:type="auto"/>
            <w:hideMark/>
          </w:tcPr>
          <w:p w14:paraId="71BAEAD4"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MX"/>
              </w:rPr>
              <w:t>285</w:t>
            </w:r>
          </w:p>
        </w:tc>
      </w:tr>
      <w:tr w:rsidR="00054BE2" w:rsidRPr="005B52AD" w14:paraId="55D2A6E1" w14:textId="77777777" w:rsidTr="0008272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F522D8" w14:textId="77777777" w:rsidR="00054BE2" w:rsidRPr="005B52AD" w:rsidRDefault="00054BE2" w:rsidP="005B52AD">
            <w:pPr>
              <w:jc w:val="both"/>
              <w:rPr>
                <w:rFonts w:ascii="Montserrat" w:eastAsia="Calibri" w:hAnsi="Montserrat" w:cstheme="minorHAnsi"/>
                <w:sz w:val="22"/>
                <w:szCs w:val="22"/>
                <w:lang w:val="es-MX"/>
              </w:rPr>
            </w:pPr>
            <w:r w:rsidRPr="005B52AD">
              <w:rPr>
                <w:rFonts w:ascii="Montserrat" w:eastAsia="Calibri" w:hAnsi="Montserrat" w:cstheme="minorHAnsi"/>
                <w:sz w:val="22"/>
                <w:szCs w:val="22"/>
              </w:rPr>
              <w:t xml:space="preserve">Quejas por actos atribuidos a personas servidoras públicas </w:t>
            </w:r>
            <w:r w:rsidRPr="005B52AD">
              <w:rPr>
                <w:rFonts w:ascii="Montserrat" w:eastAsia="Calibri" w:hAnsi="Montserrat" w:cstheme="minorHAnsi"/>
                <w:sz w:val="22"/>
                <w:szCs w:val="22"/>
              </w:rPr>
              <w:lastRenderedPageBreak/>
              <w:t>federales y/o poderes públicos federales</w:t>
            </w:r>
          </w:p>
        </w:tc>
        <w:tc>
          <w:tcPr>
            <w:tcW w:w="0" w:type="auto"/>
            <w:hideMark/>
          </w:tcPr>
          <w:p w14:paraId="7A46AF01"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rPr>
              <w:lastRenderedPageBreak/>
              <w:t>37</w:t>
            </w:r>
          </w:p>
        </w:tc>
        <w:tc>
          <w:tcPr>
            <w:tcW w:w="0" w:type="auto"/>
            <w:hideMark/>
          </w:tcPr>
          <w:p w14:paraId="04B4A0FE"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rPr>
              <w:t>40</w:t>
            </w:r>
          </w:p>
        </w:tc>
        <w:tc>
          <w:tcPr>
            <w:tcW w:w="0" w:type="auto"/>
            <w:hideMark/>
          </w:tcPr>
          <w:p w14:paraId="2090EBD8"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rPr>
              <w:t>17</w:t>
            </w:r>
          </w:p>
        </w:tc>
        <w:tc>
          <w:tcPr>
            <w:tcW w:w="0" w:type="auto"/>
            <w:hideMark/>
          </w:tcPr>
          <w:p w14:paraId="72B48074"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rPr>
              <w:t>9</w:t>
            </w:r>
          </w:p>
        </w:tc>
        <w:tc>
          <w:tcPr>
            <w:tcW w:w="0" w:type="auto"/>
            <w:hideMark/>
          </w:tcPr>
          <w:p w14:paraId="11B0CAD2"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rPr>
              <w:t>10</w:t>
            </w:r>
          </w:p>
        </w:tc>
        <w:tc>
          <w:tcPr>
            <w:tcW w:w="0" w:type="auto"/>
            <w:hideMark/>
          </w:tcPr>
          <w:p w14:paraId="46618453"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MX"/>
              </w:rPr>
              <w:t>11</w:t>
            </w:r>
          </w:p>
        </w:tc>
        <w:tc>
          <w:tcPr>
            <w:tcW w:w="0" w:type="auto"/>
            <w:hideMark/>
          </w:tcPr>
          <w:p w14:paraId="261E3A2C"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Cs/>
                <w:sz w:val="22"/>
                <w:szCs w:val="22"/>
                <w:lang w:val="es-MX"/>
              </w:rPr>
            </w:pPr>
            <w:r w:rsidRPr="005B52AD">
              <w:rPr>
                <w:rFonts w:ascii="Montserrat" w:eastAsia="Calibri" w:hAnsi="Montserrat" w:cstheme="minorHAnsi"/>
                <w:bCs/>
                <w:sz w:val="22"/>
                <w:szCs w:val="22"/>
                <w:lang w:val="es-MX"/>
              </w:rPr>
              <w:t>5</w:t>
            </w:r>
          </w:p>
        </w:tc>
        <w:tc>
          <w:tcPr>
            <w:tcW w:w="0" w:type="auto"/>
            <w:hideMark/>
          </w:tcPr>
          <w:p w14:paraId="70AA718A" w14:textId="77777777" w:rsidR="00054BE2" w:rsidRPr="005B52AD" w:rsidRDefault="00054BE2" w:rsidP="005B52AD">
            <w:pPr>
              <w:jc w:val="both"/>
              <w:cnfStyle w:val="000000100000" w:firstRow="0" w:lastRow="0" w:firstColumn="0" w:lastColumn="0" w:oddVBand="0" w:evenVBand="0" w:oddHBand="1"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MX"/>
              </w:rPr>
              <w:t>129</w:t>
            </w:r>
          </w:p>
        </w:tc>
      </w:tr>
      <w:tr w:rsidR="00054BE2" w:rsidRPr="005B52AD" w14:paraId="3530DB47" w14:textId="77777777" w:rsidTr="0008272A">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58E760" w14:textId="77777777" w:rsidR="00054BE2" w:rsidRPr="005B52AD" w:rsidRDefault="00054BE2" w:rsidP="005B52AD">
            <w:pPr>
              <w:jc w:val="both"/>
              <w:rPr>
                <w:rFonts w:ascii="Montserrat" w:eastAsia="Calibri" w:hAnsi="Montserrat" w:cstheme="minorHAnsi"/>
                <w:sz w:val="22"/>
                <w:szCs w:val="22"/>
                <w:lang w:val="es-MX"/>
              </w:rPr>
            </w:pPr>
            <w:r w:rsidRPr="005B52AD">
              <w:rPr>
                <w:rFonts w:ascii="Montserrat" w:eastAsia="Calibri" w:hAnsi="Montserrat" w:cstheme="minorHAnsi"/>
                <w:sz w:val="22"/>
                <w:szCs w:val="22"/>
                <w:lang w:val="es-ES"/>
              </w:rPr>
              <w:t>TOTAL</w:t>
            </w:r>
          </w:p>
        </w:tc>
        <w:tc>
          <w:tcPr>
            <w:tcW w:w="0" w:type="auto"/>
            <w:hideMark/>
          </w:tcPr>
          <w:p w14:paraId="26B0F4FD"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155</w:t>
            </w:r>
          </w:p>
        </w:tc>
        <w:tc>
          <w:tcPr>
            <w:tcW w:w="0" w:type="auto"/>
            <w:hideMark/>
          </w:tcPr>
          <w:p w14:paraId="6DB360B4"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99</w:t>
            </w:r>
          </w:p>
        </w:tc>
        <w:tc>
          <w:tcPr>
            <w:tcW w:w="0" w:type="auto"/>
            <w:hideMark/>
          </w:tcPr>
          <w:p w14:paraId="1591CE95"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38</w:t>
            </w:r>
          </w:p>
        </w:tc>
        <w:tc>
          <w:tcPr>
            <w:tcW w:w="0" w:type="auto"/>
            <w:hideMark/>
          </w:tcPr>
          <w:p w14:paraId="15AEE0E8"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35</w:t>
            </w:r>
          </w:p>
        </w:tc>
        <w:tc>
          <w:tcPr>
            <w:tcW w:w="0" w:type="auto"/>
            <w:hideMark/>
          </w:tcPr>
          <w:p w14:paraId="70F6CF4A"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38</w:t>
            </w:r>
          </w:p>
        </w:tc>
        <w:tc>
          <w:tcPr>
            <w:tcW w:w="0" w:type="auto"/>
            <w:hideMark/>
          </w:tcPr>
          <w:p w14:paraId="477B2DC3"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ES"/>
              </w:rPr>
              <w:t>39</w:t>
            </w:r>
          </w:p>
        </w:tc>
        <w:tc>
          <w:tcPr>
            <w:tcW w:w="0" w:type="auto"/>
            <w:hideMark/>
          </w:tcPr>
          <w:p w14:paraId="5B97709F"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MX"/>
              </w:rPr>
              <w:t>10</w:t>
            </w:r>
          </w:p>
        </w:tc>
        <w:tc>
          <w:tcPr>
            <w:tcW w:w="0" w:type="auto"/>
            <w:hideMark/>
          </w:tcPr>
          <w:p w14:paraId="5BC87B59" w14:textId="77777777" w:rsidR="00054BE2" w:rsidRPr="005B52AD" w:rsidRDefault="00054BE2" w:rsidP="005B52AD">
            <w:pPr>
              <w:jc w:val="both"/>
              <w:cnfStyle w:val="000000000000" w:firstRow="0" w:lastRow="0" w:firstColumn="0" w:lastColumn="0" w:oddVBand="0" w:evenVBand="0" w:oddHBand="0" w:evenHBand="0" w:firstRowFirstColumn="0" w:firstRowLastColumn="0" w:lastRowFirstColumn="0" w:lastRowLastColumn="0"/>
              <w:rPr>
                <w:rFonts w:ascii="Montserrat" w:eastAsia="Calibri" w:hAnsi="Montserrat" w:cstheme="minorHAnsi"/>
                <w:b/>
                <w:bCs/>
                <w:sz w:val="22"/>
                <w:szCs w:val="22"/>
                <w:lang w:val="es-MX"/>
              </w:rPr>
            </w:pPr>
            <w:r w:rsidRPr="005B52AD">
              <w:rPr>
                <w:rFonts w:ascii="Montserrat" w:eastAsia="Calibri" w:hAnsi="Montserrat" w:cstheme="minorHAnsi"/>
                <w:b/>
                <w:bCs/>
                <w:sz w:val="22"/>
                <w:szCs w:val="22"/>
                <w:lang w:val="es-MX"/>
              </w:rPr>
              <w:t>414</w:t>
            </w:r>
          </w:p>
        </w:tc>
      </w:tr>
    </w:tbl>
    <w:p w14:paraId="26C67012" w14:textId="4701A4F2" w:rsidR="005B33CE" w:rsidRPr="005B52AD" w:rsidRDefault="005B33CE" w:rsidP="005B52AD">
      <w:pPr>
        <w:pStyle w:val="Prrafodelista"/>
        <w:numPr>
          <w:ilvl w:val="0"/>
          <w:numId w:val="45"/>
        </w:numPr>
        <w:jc w:val="both"/>
        <w:rPr>
          <w:rFonts w:ascii="Montserrat" w:eastAsia="Calibri" w:hAnsi="Montserrat" w:cstheme="minorHAnsi"/>
          <w:b/>
          <w:sz w:val="22"/>
          <w:szCs w:val="22"/>
          <w:lang w:val="es-ES"/>
        </w:rPr>
      </w:pPr>
      <w:r w:rsidRPr="005B52AD">
        <w:rPr>
          <w:rFonts w:ascii="Montserrat" w:eastAsia="Calibri" w:hAnsi="Montserrat" w:cstheme="minorHAnsi"/>
          <w:b/>
          <w:sz w:val="22"/>
          <w:szCs w:val="22"/>
          <w:lang w:val="es-ES"/>
        </w:rPr>
        <w:t xml:space="preserve">Protocolo de actuación para el personal de las Instancias de Procuración de Justicia del País, en casos que involucren la Orientación Sexual o la Identidad de Género </w:t>
      </w:r>
    </w:p>
    <w:p w14:paraId="517C9E78" w14:textId="77777777" w:rsidR="005B52AD" w:rsidRDefault="005B52AD" w:rsidP="005B52AD">
      <w:pPr>
        <w:jc w:val="both"/>
        <w:rPr>
          <w:rFonts w:ascii="Montserrat" w:eastAsia="Calibri" w:hAnsi="Montserrat" w:cstheme="minorHAnsi"/>
          <w:bCs/>
          <w:sz w:val="22"/>
          <w:szCs w:val="22"/>
          <w:lang w:val="es-ES"/>
        </w:rPr>
      </w:pPr>
    </w:p>
    <w:p w14:paraId="25C61C03" w14:textId="77777777" w:rsidR="005B33CE" w:rsidRDefault="005B33CE" w:rsidP="005B52AD">
      <w:pPr>
        <w:jc w:val="both"/>
        <w:rPr>
          <w:rFonts w:ascii="Montserrat" w:eastAsia="Calibri" w:hAnsi="Montserrat" w:cstheme="minorHAnsi"/>
          <w:bCs/>
          <w:sz w:val="22"/>
          <w:szCs w:val="22"/>
          <w:lang w:val="es-ES"/>
        </w:rPr>
      </w:pPr>
      <w:r w:rsidRPr="005B52AD">
        <w:rPr>
          <w:rFonts w:ascii="Montserrat" w:eastAsia="Calibri" w:hAnsi="Montserrat" w:cstheme="minorHAnsi"/>
          <w:bCs/>
          <w:sz w:val="22"/>
          <w:szCs w:val="22"/>
          <w:lang w:val="es-ES"/>
        </w:rPr>
        <w:t xml:space="preserve">El Estado mexicano cuenta con un Protocolo de actuación para el personal de las Instancias de Procuración de Justicia del País, en casos que involucren la Orientación Sexual o la Identidad de Género que constituye una herramienta para combatir la discriminación por motivos de orientación sexual, identidad de género, expresión de género y características sexuales, en el ámbito de la procuración de justicia. </w:t>
      </w:r>
    </w:p>
    <w:p w14:paraId="34D83D15" w14:textId="77777777" w:rsidR="005B52AD" w:rsidRPr="005B52AD" w:rsidRDefault="005B52AD" w:rsidP="005B52AD">
      <w:pPr>
        <w:jc w:val="both"/>
        <w:rPr>
          <w:rFonts w:ascii="Montserrat" w:eastAsia="Calibri" w:hAnsi="Montserrat" w:cstheme="minorHAnsi"/>
          <w:bCs/>
          <w:sz w:val="22"/>
          <w:szCs w:val="22"/>
          <w:lang w:val="es-ES"/>
        </w:rPr>
      </w:pPr>
    </w:p>
    <w:p w14:paraId="3C2D5EC8" w14:textId="77777777" w:rsidR="005B33CE" w:rsidRDefault="005B33CE" w:rsidP="005B52AD">
      <w:pPr>
        <w:jc w:val="both"/>
        <w:rPr>
          <w:rFonts w:ascii="Montserrat" w:eastAsia="Calibri" w:hAnsi="Montserrat" w:cstheme="minorHAnsi"/>
          <w:bCs/>
          <w:sz w:val="22"/>
          <w:szCs w:val="22"/>
          <w:lang w:val="es-ES"/>
        </w:rPr>
      </w:pPr>
      <w:r w:rsidRPr="005B52AD">
        <w:rPr>
          <w:rFonts w:ascii="Montserrat" w:eastAsia="Calibri" w:hAnsi="Montserrat" w:cstheme="minorHAnsi"/>
          <w:bCs/>
          <w:sz w:val="22"/>
          <w:szCs w:val="22"/>
          <w:lang w:val="es-ES"/>
        </w:rPr>
        <w:t xml:space="preserve">Este Protocolo tiene por objetivo establecer las reglas de actuación que deberá seguir el personal de las instancias de procuración de justicia del país que intervengan en la investigación de hechos que la ley señala como delitos y la persecución de los responsables de aquellos, en casos que involucren a personas LGBTI, a fin de poner en práctica acciones afirmativas con base en la orientación sexual, identidad de género, la expresión de género y/o las características sexuales, sustentadas en el respeto y garantía de los derechos humanos, con perspectiva de género y no discriminación. </w:t>
      </w:r>
    </w:p>
    <w:p w14:paraId="66AC2026" w14:textId="77777777" w:rsidR="005B52AD" w:rsidRPr="005B52AD" w:rsidRDefault="005B52AD" w:rsidP="005B52AD">
      <w:pPr>
        <w:jc w:val="both"/>
        <w:rPr>
          <w:rFonts w:ascii="Montserrat" w:eastAsia="Calibri" w:hAnsi="Montserrat" w:cstheme="minorHAnsi"/>
          <w:bCs/>
          <w:sz w:val="22"/>
          <w:szCs w:val="22"/>
          <w:lang w:val="es-ES"/>
        </w:rPr>
      </w:pPr>
    </w:p>
    <w:p w14:paraId="3399E145" w14:textId="77777777" w:rsidR="005B33CE" w:rsidRDefault="005B33CE" w:rsidP="005B52AD">
      <w:pPr>
        <w:jc w:val="both"/>
        <w:rPr>
          <w:rFonts w:ascii="Montserrat" w:eastAsia="Calibri" w:hAnsi="Montserrat" w:cstheme="minorHAnsi"/>
          <w:bCs/>
          <w:sz w:val="22"/>
          <w:szCs w:val="22"/>
          <w:lang w:val="es-ES"/>
        </w:rPr>
      </w:pPr>
      <w:r w:rsidRPr="005B52AD">
        <w:rPr>
          <w:rFonts w:ascii="Montserrat" w:eastAsia="Calibri" w:hAnsi="Montserrat" w:cstheme="minorHAnsi"/>
          <w:bCs/>
          <w:sz w:val="22"/>
          <w:szCs w:val="22"/>
          <w:lang w:val="es-ES"/>
        </w:rPr>
        <w:t xml:space="preserve">Este documento es de observancia obligatoria para las personas servidoras públicas de las Fiscalías Generales del país, en los casos que involucren a personas LGBTI que participen, con cualquier calidad, en un procedimiento penal. </w:t>
      </w:r>
    </w:p>
    <w:p w14:paraId="6271FE73" w14:textId="77777777" w:rsidR="005B52AD" w:rsidRPr="005B52AD" w:rsidRDefault="005B52AD" w:rsidP="005B52AD">
      <w:pPr>
        <w:jc w:val="both"/>
        <w:rPr>
          <w:rFonts w:ascii="Montserrat" w:eastAsia="Calibri" w:hAnsi="Montserrat" w:cstheme="minorHAnsi"/>
          <w:bCs/>
          <w:sz w:val="22"/>
          <w:szCs w:val="22"/>
          <w:lang w:val="es-ES"/>
        </w:rPr>
      </w:pPr>
    </w:p>
    <w:p w14:paraId="3163D9E7" w14:textId="63F8FF96" w:rsidR="005B33CE" w:rsidRDefault="005B33CE" w:rsidP="005B52AD">
      <w:pPr>
        <w:jc w:val="both"/>
        <w:rPr>
          <w:rFonts w:ascii="Montserrat" w:eastAsia="Calibri" w:hAnsi="Montserrat" w:cstheme="minorHAnsi"/>
          <w:bCs/>
          <w:sz w:val="22"/>
          <w:szCs w:val="22"/>
          <w:lang w:val="es-ES"/>
        </w:rPr>
      </w:pPr>
      <w:r w:rsidRPr="005B52AD">
        <w:rPr>
          <w:rFonts w:ascii="Montserrat" w:eastAsia="Calibri" w:hAnsi="Montserrat" w:cstheme="minorHAnsi"/>
          <w:bCs/>
          <w:sz w:val="22"/>
          <w:szCs w:val="22"/>
          <w:lang w:val="es-ES"/>
        </w:rPr>
        <w:t>El Protocolo es un instrumento jurídico que incorpora las recomendaciones generales y específicas que emite la Comisión Interamericana de Derechos Humanos (CIDH) sobre la obligación de garantizar el acceso a la justicia e investigar con debida diligencia los delitos cometidos contra personas de la población LGBTTTI (o aquellas que se perciben como tal) considerando el contexto social, legal y cultural de México</w:t>
      </w:r>
      <w:r w:rsidRPr="005B52AD">
        <w:rPr>
          <w:rFonts w:ascii="Montserrat" w:eastAsia="Calibri" w:hAnsi="Montserrat" w:cstheme="minorHAnsi"/>
          <w:bCs/>
          <w:sz w:val="22"/>
          <w:szCs w:val="22"/>
          <w:vertAlign w:val="superscript"/>
          <w:lang w:val="es-ES"/>
        </w:rPr>
        <w:footnoteReference w:id="11"/>
      </w:r>
      <w:r w:rsidRPr="005B52AD">
        <w:rPr>
          <w:rFonts w:ascii="Montserrat" w:eastAsia="Calibri" w:hAnsi="Montserrat" w:cstheme="minorHAnsi"/>
          <w:bCs/>
          <w:sz w:val="22"/>
          <w:szCs w:val="22"/>
          <w:lang w:val="es-ES"/>
        </w:rPr>
        <w:t xml:space="preserve">.   </w:t>
      </w:r>
    </w:p>
    <w:p w14:paraId="4A3B5D44" w14:textId="77777777" w:rsidR="005B52AD" w:rsidRPr="005B52AD" w:rsidRDefault="005B52AD" w:rsidP="005B52AD">
      <w:pPr>
        <w:jc w:val="both"/>
        <w:rPr>
          <w:rFonts w:ascii="Montserrat" w:eastAsia="Calibri" w:hAnsi="Montserrat" w:cstheme="minorHAnsi"/>
          <w:bCs/>
          <w:sz w:val="22"/>
          <w:szCs w:val="22"/>
          <w:lang w:val="es-ES"/>
        </w:rPr>
      </w:pPr>
    </w:p>
    <w:p w14:paraId="1BE75D62" w14:textId="10F2D90E" w:rsidR="002D6873" w:rsidRPr="005B52AD" w:rsidRDefault="002D6873" w:rsidP="005B52AD">
      <w:pPr>
        <w:pStyle w:val="Prrafodelista"/>
        <w:numPr>
          <w:ilvl w:val="0"/>
          <w:numId w:val="45"/>
        </w:numPr>
        <w:jc w:val="both"/>
        <w:rPr>
          <w:rFonts w:ascii="Montserrat" w:eastAsia="Calibri" w:hAnsi="Montserrat" w:cstheme="minorHAnsi"/>
          <w:b/>
          <w:bCs/>
          <w:sz w:val="22"/>
          <w:szCs w:val="22"/>
        </w:rPr>
      </w:pPr>
      <w:r w:rsidRPr="005B52AD">
        <w:rPr>
          <w:rFonts w:ascii="Montserrat" w:eastAsia="Calibri" w:hAnsi="Montserrat" w:cstheme="minorHAnsi"/>
          <w:b/>
          <w:bCs/>
          <w:sz w:val="22"/>
          <w:szCs w:val="22"/>
        </w:rPr>
        <w:t xml:space="preserve">Decreto por el que se declara Día Nacional de la Lucha contra la Homofobia, Lesbofobia, Transfobia y Bifobia, el 17 de mayo de cada año. </w:t>
      </w:r>
    </w:p>
    <w:p w14:paraId="15F63CF0" w14:textId="77777777" w:rsidR="002D6873" w:rsidRDefault="002D6873" w:rsidP="005B52AD">
      <w:pPr>
        <w:jc w:val="both"/>
        <w:rPr>
          <w:rFonts w:ascii="Montserrat" w:eastAsia="Calibri" w:hAnsi="Montserrat" w:cstheme="minorHAnsi"/>
          <w:bCs/>
          <w:sz w:val="22"/>
          <w:szCs w:val="22"/>
        </w:rPr>
      </w:pPr>
      <w:r w:rsidRPr="005B52AD">
        <w:rPr>
          <w:rFonts w:ascii="Montserrat" w:eastAsia="Calibri" w:hAnsi="Montserrat" w:cstheme="minorHAnsi"/>
          <w:bCs/>
          <w:sz w:val="22"/>
          <w:szCs w:val="22"/>
        </w:rPr>
        <w:t xml:space="preserve">El día 17 de mayo de 2019 se publicó en el Diario Oficial de la Federación el decreto por el que se deroga el diverso por el que se declara Día Nacional de la lucha contra la Homofobia, el día 17 de mayo de cada año, y se declara Día Nacional de </w:t>
      </w:r>
      <w:r w:rsidRPr="005B52AD">
        <w:rPr>
          <w:rFonts w:ascii="Montserrat" w:eastAsia="Calibri" w:hAnsi="Montserrat" w:cstheme="minorHAnsi"/>
          <w:bCs/>
          <w:sz w:val="22"/>
          <w:szCs w:val="22"/>
        </w:rPr>
        <w:lastRenderedPageBreak/>
        <w:t>la Lucha contra la Homofobia, Lesbofobia, Transfobia y Bifobia, el 17 de mayo de cada año</w:t>
      </w:r>
      <w:r w:rsidRPr="005B52AD">
        <w:rPr>
          <w:rFonts w:ascii="Montserrat" w:eastAsia="Calibri" w:hAnsi="Montserrat" w:cstheme="minorHAnsi"/>
          <w:bCs/>
          <w:sz w:val="22"/>
          <w:szCs w:val="22"/>
          <w:vertAlign w:val="superscript"/>
        </w:rPr>
        <w:footnoteReference w:id="12"/>
      </w:r>
      <w:r w:rsidRPr="005B52AD">
        <w:rPr>
          <w:rFonts w:ascii="Montserrat" w:eastAsia="Calibri" w:hAnsi="Montserrat" w:cstheme="minorHAnsi"/>
          <w:bCs/>
          <w:sz w:val="22"/>
          <w:szCs w:val="22"/>
        </w:rPr>
        <w:t>.</w:t>
      </w:r>
    </w:p>
    <w:p w14:paraId="6275CB39" w14:textId="77777777" w:rsidR="005B52AD" w:rsidRPr="005B52AD" w:rsidRDefault="005B52AD" w:rsidP="005B52AD">
      <w:pPr>
        <w:jc w:val="both"/>
        <w:rPr>
          <w:rFonts w:ascii="Montserrat" w:eastAsia="Calibri" w:hAnsi="Montserrat" w:cstheme="minorHAnsi"/>
          <w:bCs/>
          <w:sz w:val="22"/>
          <w:szCs w:val="22"/>
        </w:rPr>
      </w:pPr>
    </w:p>
    <w:p w14:paraId="228C8FD7" w14:textId="77777777" w:rsidR="002D6873" w:rsidRDefault="002D6873" w:rsidP="005B52AD">
      <w:pPr>
        <w:jc w:val="both"/>
        <w:rPr>
          <w:rFonts w:ascii="Montserrat" w:eastAsia="Calibri" w:hAnsi="Montserrat" w:cstheme="minorHAnsi"/>
          <w:bCs/>
          <w:sz w:val="22"/>
          <w:szCs w:val="22"/>
        </w:rPr>
      </w:pPr>
      <w:r w:rsidRPr="005B52AD">
        <w:rPr>
          <w:rFonts w:ascii="Montserrat" w:eastAsia="Calibri" w:hAnsi="Montserrat" w:cstheme="minorHAnsi"/>
          <w:bCs/>
          <w:sz w:val="22"/>
          <w:szCs w:val="22"/>
        </w:rPr>
        <w:t xml:space="preserve">Lo anterior tiene congruencia con la conmemoración del Día Internacional Contra la Homofobia, Transfobia y Bifobia (IDAHOT, por sus siglas en inglés) como recuerdo del aniversario del retiro de la homosexualidad de la lista de trastornos mentales de la Organización Mundial de la Salud (OMS) en 1990.  </w:t>
      </w:r>
    </w:p>
    <w:p w14:paraId="5C023B86" w14:textId="77777777" w:rsidR="005B52AD" w:rsidRPr="005B52AD" w:rsidRDefault="005B52AD" w:rsidP="005B52AD">
      <w:pPr>
        <w:jc w:val="both"/>
        <w:rPr>
          <w:rFonts w:ascii="Montserrat" w:eastAsia="Calibri" w:hAnsi="Montserrat" w:cstheme="minorHAnsi"/>
          <w:bCs/>
          <w:sz w:val="22"/>
          <w:szCs w:val="22"/>
        </w:rPr>
      </w:pPr>
    </w:p>
    <w:p w14:paraId="7B0905A5" w14:textId="464F68D3" w:rsidR="004A4B0C" w:rsidRPr="005B52AD" w:rsidRDefault="004A4B0C" w:rsidP="005B52AD">
      <w:pPr>
        <w:pStyle w:val="Prrafodelista"/>
        <w:numPr>
          <w:ilvl w:val="0"/>
          <w:numId w:val="45"/>
        </w:numPr>
        <w:jc w:val="both"/>
        <w:rPr>
          <w:rFonts w:ascii="Montserrat" w:eastAsia="Calibri" w:hAnsi="Montserrat" w:cstheme="minorHAnsi"/>
          <w:b/>
          <w:sz w:val="22"/>
          <w:szCs w:val="22"/>
        </w:rPr>
      </w:pPr>
      <w:r w:rsidRPr="005B52AD">
        <w:rPr>
          <w:rFonts w:ascii="Montserrat" w:eastAsia="Calibri" w:hAnsi="Montserrat" w:cstheme="minorHAnsi"/>
          <w:b/>
          <w:sz w:val="22"/>
          <w:szCs w:val="22"/>
        </w:rPr>
        <w:t>Programa Nacional para la Igualdad y No Discriminación (PRONAIND) 2021-2024</w:t>
      </w:r>
    </w:p>
    <w:p w14:paraId="5CB25A25" w14:textId="77777777" w:rsidR="005B52AD" w:rsidRDefault="005B52AD" w:rsidP="005B52AD">
      <w:pPr>
        <w:jc w:val="both"/>
        <w:rPr>
          <w:rFonts w:ascii="Montserrat" w:eastAsia="Calibri" w:hAnsi="Montserrat" w:cstheme="minorHAnsi"/>
          <w:bCs/>
          <w:sz w:val="22"/>
          <w:szCs w:val="22"/>
        </w:rPr>
      </w:pPr>
    </w:p>
    <w:p w14:paraId="32255439" w14:textId="5636452F" w:rsidR="004A4B0C" w:rsidRDefault="004A4B0C" w:rsidP="005B52AD">
      <w:pPr>
        <w:jc w:val="both"/>
        <w:rPr>
          <w:rFonts w:ascii="Montserrat" w:eastAsia="Calibri" w:hAnsi="Montserrat" w:cstheme="minorHAnsi"/>
          <w:bCs/>
          <w:sz w:val="22"/>
          <w:szCs w:val="22"/>
        </w:rPr>
      </w:pPr>
      <w:r w:rsidRPr="005B52AD">
        <w:rPr>
          <w:rFonts w:ascii="Montserrat" w:eastAsia="Calibri" w:hAnsi="Montserrat" w:cstheme="minorHAnsi"/>
          <w:bCs/>
          <w:sz w:val="22"/>
          <w:szCs w:val="22"/>
        </w:rPr>
        <w:t>El PRONAIND 2021-20241</w:t>
      </w:r>
      <w:r w:rsidRPr="005B52AD">
        <w:rPr>
          <w:rFonts w:ascii="Montserrat" w:eastAsia="Calibri" w:hAnsi="Montserrat" w:cstheme="minorHAnsi"/>
          <w:bCs/>
          <w:sz w:val="22"/>
          <w:szCs w:val="22"/>
          <w:vertAlign w:val="superscript"/>
        </w:rPr>
        <w:footnoteReference w:id="13"/>
      </w:r>
      <w:r w:rsidRPr="005B52AD">
        <w:rPr>
          <w:rFonts w:ascii="Montserrat" w:eastAsia="Calibri" w:hAnsi="Montserrat" w:cstheme="minorHAnsi"/>
          <w:bCs/>
          <w:sz w:val="22"/>
          <w:szCs w:val="22"/>
        </w:rPr>
        <w:t xml:space="preserve"> es un programa especial derivado del Plan Nacional de Desarrollo 2019-2024 y obligatorio para la APF, centrado en desmantelar las prácticas discriminatorias que operan en los ámbitos de salud, trabajo, educación, seguridad social, seguridad, justicia, y otros, que vulneran los derechos humanos, y de manera desproporcionada de los grupos históricamente discriminados, entre ellos, las personas de la diversidad sexual y de género.</w:t>
      </w:r>
    </w:p>
    <w:p w14:paraId="41392ECF" w14:textId="77777777" w:rsidR="005B52AD" w:rsidRPr="005B52AD" w:rsidRDefault="005B52AD" w:rsidP="005B52AD">
      <w:pPr>
        <w:jc w:val="both"/>
        <w:rPr>
          <w:rFonts w:ascii="Montserrat" w:eastAsia="Calibri" w:hAnsi="Montserrat" w:cstheme="minorHAnsi"/>
          <w:bCs/>
          <w:sz w:val="22"/>
          <w:szCs w:val="22"/>
        </w:rPr>
      </w:pPr>
    </w:p>
    <w:p w14:paraId="36B66FB1" w14:textId="72FD57EE" w:rsidR="004A4B0C" w:rsidRDefault="004A4B0C" w:rsidP="005B52AD">
      <w:pPr>
        <w:jc w:val="both"/>
        <w:rPr>
          <w:rFonts w:ascii="Montserrat" w:eastAsia="Calibri" w:hAnsi="Montserrat" w:cstheme="minorHAnsi"/>
          <w:bCs/>
          <w:sz w:val="22"/>
          <w:szCs w:val="22"/>
        </w:rPr>
      </w:pPr>
      <w:r w:rsidRPr="005B52AD">
        <w:rPr>
          <w:rFonts w:ascii="Montserrat" w:eastAsia="Calibri" w:hAnsi="Montserrat" w:cstheme="minorHAnsi"/>
          <w:bCs/>
          <w:sz w:val="22"/>
          <w:szCs w:val="22"/>
        </w:rPr>
        <w:t>El Programa establece 35 acciones puntuales que contribuyen a la combatir la discriminación motivada por la orientación sexual, identidad y expresión de género y características sexuales. Entre las acciones se encuentran la eliminación de requisitos discriminatorios en salud y seguridad social; la prohibición normativa de los llamados “esfuerzos para corregir la orientación sexual, la identidad y la expresión de género” (ECOSIG); la implementación de los protocolos específicos de atención hacia las personas de la diversidad sexual y de género ya existentes en el sistema de salud (SALUD) y en la procuración de justicia (FGR); la prevención y atención del acoso escolar motivado por discriminación hacia las personas de la diversidad sexual y de género; la realización de medidas para la igualdad para la población de la diversidad sexual y de género; la armonización normativa en el ámbito del trabajo y recursos humanos de la APF; la realización de diagnósticos sobre las prácticas discriminatorias hacia las personas de la diversidad sexual y de género en los ámbitos de salud, educación, laboral y seguridad social con la finalidad de definir acciones específicas para transformar esa realidad; la promoción de modelos de atención igualitaria a la población trans en los centros de readaptación social; y la realización de campañas accesibles y otros materiales comunicativos con enfoque diferenciado para prevenir y combatir la homo-</w:t>
      </w:r>
      <w:proofErr w:type="spellStart"/>
      <w:r w:rsidRPr="005B52AD">
        <w:rPr>
          <w:rFonts w:ascii="Montserrat" w:eastAsia="Calibri" w:hAnsi="Montserrat" w:cstheme="minorHAnsi"/>
          <w:bCs/>
          <w:sz w:val="22"/>
          <w:szCs w:val="22"/>
        </w:rPr>
        <w:t>lesbo</w:t>
      </w:r>
      <w:proofErr w:type="spellEnd"/>
      <w:r w:rsidRPr="005B52AD">
        <w:rPr>
          <w:rFonts w:ascii="Montserrat" w:eastAsia="Calibri" w:hAnsi="Montserrat" w:cstheme="minorHAnsi"/>
          <w:bCs/>
          <w:sz w:val="22"/>
          <w:szCs w:val="22"/>
        </w:rPr>
        <w:t>-</w:t>
      </w:r>
      <w:proofErr w:type="spellStart"/>
      <w:r w:rsidRPr="005B52AD">
        <w:rPr>
          <w:rFonts w:ascii="Montserrat" w:eastAsia="Calibri" w:hAnsi="Montserrat" w:cstheme="minorHAnsi"/>
          <w:bCs/>
          <w:sz w:val="22"/>
          <w:szCs w:val="22"/>
        </w:rPr>
        <w:t>transfobia</w:t>
      </w:r>
      <w:proofErr w:type="spellEnd"/>
      <w:r w:rsidRPr="005B52AD">
        <w:rPr>
          <w:rFonts w:ascii="Montserrat" w:eastAsia="Calibri" w:hAnsi="Montserrat" w:cstheme="minorHAnsi"/>
          <w:bCs/>
          <w:sz w:val="22"/>
          <w:szCs w:val="22"/>
        </w:rPr>
        <w:t xml:space="preserve">. </w:t>
      </w:r>
    </w:p>
    <w:p w14:paraId="49C58E38" w14:textId="77777777" w:rsidR="005B52AD" w:rsidRPr="005B52AD" w:rsidRDefault="005B52AD" w:rsidP="005B52AD">
      <w:pPr>
        <w:jc w:val="both"/>
        <w:rPr>
          <w:rFonts w:ascii="Montserrat" w:eastAsia="Calibri" w:hAnsi="Montserrat" w:cstheme="minorHAnsi"/>
          <w:bCs/>
          <w:sz w:val="22"/>
          <w:szCs w:val="22"/>
        </w:rPr>
      </w:pPr>
    </w:p>
    <w:p w14:paraId="469AA3C7" w14:textId="526D4FAD" w:rsidR="00054BE2" w:rsidRPr="005B52AD" w:rsidRDefault="004A4B0C" w:rsidP="005B52AD">
      <w:pPr>
        <w:jc w:val="both"/>
        <w:rPr>
          <w:rFonts w:ascii="Montserrat" w:eastAsia="Calibri" w:hAnsi="Montserrat" w:cstheme="minorHAnsi"/>
          <w:bCs/>
          <w:sz w:val="22"/>
          <w:szCs w:val="22"/>
          <w:lang w:val="es-ES_tradnl"/>
        </w:rPr>
      </w:pPr>
      <w:r w:rsidRPr="005B52AD">
        <w:rPr>
          <w:rFonts w:ascii="Montserrat" w:eastAsia="Calibri" w:hAnsi="Montserrat" w:cstheme="minorHAnsi"/>
          <w:bCs/>
          <w:sz w:val="22"/>
          <w:szCs w:val="22"/>
          <w:lang w:val="es-ES_tradnl"/>
        </w:rPr>
        <w:t xml:space="preserve">Para consultar los principales avances de política pública logrados entre 2016 y 2021 en la Administración Pública Federal y algunos órganos constitucionales autónomos para combatir la discriminación por motivos de orientación sexual, identidad de género, expresión de género y características sexuales, se puede consultar el Informe 2016-2021 realizado por este Consejo (véase </w:t>
      </w:r>
      <w:hyperlink r:id="rId8" w:history="1">
        <w:r w:rsidRPr="005B52AD">
          <w:rPr>
            <w:rStyle w:val="Hipervnculo"/>
            <w:rFonts w:ascii="Montserrat" w:eastAsia="Calibri" w:hAnsi="Montserrat" w:cstheme="minorHAnsi"/>
            <w:bCs/>
            <w:sz w:val="22"/>
            <w:szCs w:val="22"/>
            <w:lang w:val="es-ES_tradnl"/>
          </w:rPr>
          <w:t>https://www.conapred.org.mx/userfiles/files/INFORME_DivSexGen_2016-2021%5B61%5D%20%281%29.pdf</w:t>
        </w:r>
      </w:hyperlink>
      <w:r w:rsidR="005B52AD">
        <w:rPr>
          <w:rFonts w:ascii="Montserrat" w:eastAsia="Calibri" w:hAnsi="Montserrat" w:cstheme="minorHAnsi"/>
          <w:bCs/>
          <w:sz w:val="22"/>
          <w:szCs w:val="22"/>
          <w:lang w:val="es-ES_tradnl"/>
        </w:rPr>
        <w:t>)</w:t>
      </w:r>
    </w:p>
    <w:sectPr w:rsidR="00054BE2" w:rsidRPr="005B52AD" w:rsidSect="005B52AD">
      <w:headerReference w:type="default" r:id="rId9"/>
      <w:footerReference w:type="default" r:id="rId10"/>
      <w:pgSz w:w="12240" w:h="15840"/>
      <w:pgMar w:top="1417" w:right="1701" w:bottom="1417" w:left="1701" w:header="706" w:footer="1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EC4DD" w14:textId="77777777" w:rsidR="00AA2ADE" w:rsidRDefault="00AA2ADE" w:rsidP="00F513EB">
      <w:r>
        <w:separator/>
      </w:r>
    </w:p>
  </w:endnote>
  <w:endnote w:type="continuationSeparator" w:id="0">
    <w:p w14:paraId="3788C0C8" w14:textId="77777777" w:rsidR="00AA2ADE" w:rsidRDefault="00AA2ADE" w:rsidP="00F5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0C770" w14:textId="77777777" w:rsidR="005B52AD" w:rsidRPr="005B52AD" w:rsidRDefault="005B52AD" w:rsidP="005B52AD">
    <w:pPr>
      <w:pStyle w:val="Piedepgina"/>
      <w:jc w:val="right"/>
      <w:rPr>
        <w:rFonts w:ascii="Montserrat" w:hAnsi="Montserrat"/>
        <w:b/>
        <w:sz w:val="18"/>
        <w:szCs w:val="18"/>
      </w:rPr>
    </w:pPr>
    <w:r w:rsidRPr="005B52AD">
      <w:rPr>
        <w:rFonts w:ascii="Montserrat" w:hAnsi="Montserrat"/>
        <w:b/>
        <w:sz w:val="18"/>
        <w:szCs w:val="18"/>
        <w:lang w:val="es-ES"/>
      </w:rPr>
      <w:t xml:space="preserve">Página </w:t>
    </w:r>
    <w:r w:rsidRPr="005B52AD">
      <w:rPr>
        <w:rFonts w:ascii="Montserrat" w:hAnsi="Montserrat"/>
        <w:b/>
        <w:sz w:val="18"/>
        <w:szCs w:val="18"/>
      </w:rPr>
      <w:fldChar w:fldCharType="begin"/>
    </w:r>
    <w:r w:rsidRPr="005B52AD">
      <w:rPr>
        <w:rFonts w:ascii="Montserrat" w:hAnsi="Montserrat"/>
        <w:b/>
        <w:sz w:val="18"/>
        <w:szCs w:val="18"/>
      </w:rPr>
      <w:instrText>PAGE  \* Arabic  \* MERGEFORMAT</w:instrText>
    </w:r>
    <w:r w:rsidRPr="005B52AD">
      <w:rPr>
        <w:rFonts w:ascii="Montserrat" w:hAnsi="Montserrat"/>
        <w:b/>
        <w:sz w:val="18"/>
        <w:szCs w:val="18"/>
      </w:rPr>
      <w:fldChar w:fldCharType="separate"/>
    </w:r>
    <w:r w:rsidR="00034E0D" w:rsidRPr="00034E0D">
      <w:rPr>
        <w:rFonts w:ascii="Montserrat" w:hAnsi="Montserrat"/>
        <w:b/>
        <w:noProof/>
        <w:sz w:val="18"/>
        <w:szCs w:val="18"/>
        <w:lang w:val="es-ES"/>
      </w:rPr>
      <w:t>8</w:t>
    </w:r>
    <w:r w:rsidRPr="005B52AD">
      <w:rPr>
        <w:rFonts w:ascii="Montserrat" w:hAnsi="Montserrat"/>
        <w:b/>
        <w:sz w:val="18"/>
        <w:szCs w:val="18"/>
      </w:rPr>
      <w:fldChar w:fldCharType="end"/>
    </w:r>
    <w:r w:rsidRPr="005B52AD">
      <w:rPr>
        <w:rFonts w:ascii="Montserrat" w:hAnsi="Montserrat"/>
        <w:b/>
        <w:sz w:val="18"/>
        <w:szCs w:val="18"/>
        <w:lang w:val="es-ES"/>
      </w:rPr>
      <w:t xml:space="preserve"> de </w:t>
    </w:r>
    <w:r w:rsidRPr="005B52AD">
      <w:rPr>
        <w:rFonts w:ascii="Montserrat" w:hAnsi="Montserrat"/>
        <w:b/>
        <w:sz w:val="18"/>
        <w:szCs w:val="18"/>
      </w:rPr>
      <w:fldChar w:fldCharType="begin"/>
    </w:r>
    <w:r w:rsidRPr="005B52AD">
      <w:rPr>
        <w:rFonts w:ascii="Montserrat" w:hAnsi="Montserrat"/>
        <w:b/>
        <w:sz w:val="18"/>
        <w:szCs w:val="18"/>
      </w:rPr>
      <w:instrText>NUMPAGES  \* Arabic  \* MERGEFORMAT</w:instrText>
    </w:r>
    <w:r w:rsidRPr="005B52AD">
      <w:rPr>
        <w:rFonts w:ascii="Montserrat" w:hAnsi="Montserrat"/>
        <w:b/>
        <w:sz w:val="18"/>
        <w:szCs w:val="18"/>
      </w:rPr>
      <w:fldChar w:fldCharType="separate"/>
    </w:r>
    <w:r w:rsidR="00034E0D" w:rsidRPr="00034E0D">
      <w:rPr>
        <w:rFonts w:ascii="Montserrat" w:hAnsi="Montserrat"/>
        <w:b/>
        <w:noProof/>
        <w:sz w:val="18"/>
        <w:szCs w:val="18"/>
        <w:lang w:val="es-ES"/>
      </w:rPr>
      <w:t>9</w:t>
    </w:r>
    <w:r w:rsidRPr="005B52AD">
      <w:rPr>
        <w:rFonts w:ascii="Montserrat" w:hAnsi="Montserrat"/>
        <w:b/>
        <w:sz w:val="18"/>
        <w:szCs w:val="18"/>
      </w:rPr>
      <w:fldChar w:fldCharType="end"/>
    </w:r>
  </w:p>
  <w:p w14:paraId="6682401C" w14:textId="77777777" w:rsidR="005B52AD" w:rsidRDefault="005B5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CEFAC" w14:textId="77777777" w:rsidR="00AA2ADE" w:rsidRDefault="00AA2ADE" w:rsidP="00F513EB">
      <w:r>
        <w:separator/>
      </w:r>
    </w:p>
  </w:footnote>
  <w:footnote w:type="continuationSeparator" w:id="0">
    <w:p w14:paraId="1CCAD401" w14:textId="77777777" w:rsidR="00AA2ADE" w:rsidRDefault="00AA2ADE" w:rsidP="00F513EB">
      <w:r>
        <w:continuationSeparator/>
      </w:r>
    </w:p>
  </w:footnote>
  <w:footnote w:id="1">
    <w:p w14:paraId="3FB31F83" w14:textId="0B795C98" w:rsidR="00363B20" w:rsidRPr="005B52AD" w:rsidRDefault="00363B20" w:rsidP="005B52AD">
      <w:pPr>
        <w:pStyle w:val="Textonotapie"/>
        <w:jc w:val="both"/>
        <w:rPr>
          <w:rFonts w:ascii="Montserrat" w:hAnsi="Montserrat"/>
          <w:sz w:val="18"/>
          <w:szCs w:val="18"/>
          <w:lang w:val="es-ES"/>
        </w:rPr>
      </w:pPr>
      <w:r w:rsidRPr="005B52AD">
        <w:rPr>
          <w:rStyle w:val="Refdenotaalpie"/>
          <w:rFonts w:ascii="Montserrat" w:hAnsi="Montserrat"/>
          <w:sz w:val="18"/>
          <w:szCs w:val="18"/>
        </w:rPr>
        <w:footnoteRef/>
      </w:r>
      <w:r w:rsidRPr="005B52AD">
        <w:rPr>
          <w:rFonts w:ascii="Montserrat" w:hAnsi="Montserrat"/>
          <w:sz w:val="18"/>
          <w:szCs w:val="18"/>
        </w:rPr>
        <w:t xml:space="preserve"> </w:t>
      </w:r>
      <w:r w:rsidRPr="005B52AD">
        <w:rPr>
          <w:rFonts w:ascii="Montserrat" w:hAnsi="Montserrat"/>
          <w:sz w:val="18"/>
          <w:szCs w:val="18"/>
          <w:lang w:val="es-MX"/>
        </w:rPr>
        <w:t xml:space="preserve">CONAPRED. </w:t>
      </w:r>
      <w:r w:rsidRPr="005B52AD">
        <w:rPr>
          <w:rFonts w:ascii="Montserrat" w:hAnsi="Montserrat"/>
          <w:i/>
          <w:iCs/>
          <w:sz w:val="18"/>
          <w:szCs w:val="18"/>
          <w:lang w:val="es-MX"/>
        </w:rPr>
        <w:t>Legislar sin Discriminación. Tomo II sobre matrimonio y familia</w:t>
      </w:r>
      <w:r w:rsidRPr="005B52AD">
        <w:rPr>
          <w:rFonts w:ascii="Montserrat" w:hAnsi="Montserrat"/>
          <w:sz w:val="18"/>
          <w:szCs w:val="18"/>
          <w:lang w:val="es-MX"/>
        </w:rPr>
        <w:t xml:space="preserve">. </w:t>
      </w:r>
      <w:r w:rsidR="002A587F" w:rsidRPr="005B52AD">
        <w:rPr>
          <w:rFonts w:ascii="Montserrat" w:hAnsi="Montserrat"/>
          <w:sz w:val="18"/>
          <w:szCs w:val="18"/>
          <w:lang w:val="es-MX"/>
        </w:rPr>
        <w:t xml:space="preserve">Disponible en: </w:t>
      </w:r>
      <w:hyperlink r:id="rId1" w:history="1">
        <w:r w:rsidR="002A587F" w:rsidRPr="005B52AD">
          <w:rPr>
            <w:rStyle w:val="Hipervnculo"/>
            <w:rFonts w:ascii="Montserrat" w:hAnsi="Montserrat"/>
            <w:sz w:val="18"/>
            <w:szCs w:val="18"/>
            <w:lang w:val="es-MX"/>
          </w:rPr>
          <w:t>http://www.conapred.org.mx/userfiles/files/LSD_II_Matrimonio%20y%20familias_Corre_INACCSS.pdf.pdf</w:t>
        </w:r>
      </w:hyperlink>
      <w:r w:rsidR="002A587F" w:rsidRPr="005B52AD">
        <w:rPr>
          <w:rFonts w:ascii="Montserrat" w:hAnsi="Montserrat"/>
          <w:sz w:val="18"/>
          <w:szCs w:val="18"/>
          <w:lang w:val="es-MX"/>
        </w:rPr>
        <w:t xml:space="preserve"> </w:t>
      </w:r>
    </w:p>
  </w:footnote>
  <w:footnote w:id="2">
    <w:p w14:paraId="5CDCD815" w14:textId="77777777" w:rsidR="005B0BDC" w:rsidRPr="005B52AD" w:rsidRDefault="005B0BDC" w:rsidP="005B52AD">
      <w:pPr>
        <w:pStyle w:val="Textonotapie"/>
        <w:jc w:val="both"/>
        <w:rPr>
          <w:rFonts w:ascii="Montserrat" w:hAnsi="Montserrat" w:cs="Calibri"/>
          <w:sz w:val="18"/>
          <w:szCs w:val="18"/>
        </w:rPr>
      </w:pPr>
      <w:r w:rsidRPr="005B52AD">
        <w:rPr>
          <w:rStyle w:val="Refdenotaalpie"/>
          <w:rFonts w:ascii="Montserrat" w:hAnsi="Montserrat" w:cs="Calibri"/>
          <w:sz w:val="18"/>
          <w:szCs w:val="18"/>
        </w:rPr>
        <w:footnoteRef/>
      </w:r>
      <w:r w:rsidRPr="005B52AD">
        <w:rPr>
          <w:rFonts w:ascii="Montserrat" w:hAnsi="Montserrat" w:cs="Calibri"/>
          <w:sz w:val="18"/>
          <w:szCs w:val="18"/>
        </w:rPr>
        <w:t xml:space="preserve"> Constitución Política de los Estados Unidos Mexicanos, artículo 1, párrafo V. [en línea] Ver </w:t>
      </w:r>
      <w:hyperlink r:id="rId2" w:history="1">
        <w:r w:rsidRPr="005B52AD">
          <w:rPr>
            <w:rStyle w:val="Hipervnculo"/>
            <w:rFonts w:ascii="Montserrat" w:hAnsi="Montserrat" w:cs="Calibri"/>
            <w:sz w:val="18"/>
            <w:szCs w:val="18"/>
          </w:rPr>
          <w:t>http://www.diputados.gob.mx/LeyesBiblio/pdf/1_270818.pdf</w:t>
        </w:r>
      </w:hyperlink>
      <w:r w:rsidRPr="005B52AD">
        <w:rPr>
          <w:rFonts w:ascii="Montserrat" w:hAnsi="Montserrat" w:cs="Calibri"/>
          <w:sz w:val="18"/>
          <w:szCs w:val="18"/>
        </w:rPr>
        <w:t xml:space="preserve"> </w:t>
      </w:r>
    </w:p>
  </w:footnote>
  <w:footnote w:id="3">
    <w:p w14:paraId="1F5A7F6A" w14:textId="77777777" w:rsidR="005B0BDC" w:rsidRPr="005B52AD" w:rsidRDefault="005B0BDC" w:rsidP="005B52AD">
      <w:pPr>
        <w:pStyle w:val="Textonotapie"/>
        <w:jc w:val="both"/>
        <w:rPr>
          <w:rFonts w:ascii="Montserrat" w:hAnsi="Montserrat" w:cs="Calibri"/>
          <w:sz w:val="18"/>
          <w:szCs w:val="18"/>
        </w:rPr>
      </w:pPr>
      <w:r w:rsidRPr="005B52AD">
        <w:rPr>
          <w:rStyle w:val="Refdenotaalpie"/>
          <w:rFonts w:ascii="Montserrat" w:hAnsi="Montserrat" w:cs="Calibri"/>
          <w:sz w:val="18"/>
          <w:szCs w:val="18"/>
        </w:rPr>
        <w:footnoteRef/>
      </w:r>
      <w:r w:rsidRPr="005B52AD">
        <w:rPr>
          <w:rFonts w:ascii="Montserrat" w:hAnsi="Montserrat" w:cs="Calibri"/>
          <w:sz w:val="18"/>
          <w:szCs w:val="18"/>
        </w:rPr>
        <w:t xml:space="preserve"> Ley Federal para Prevenir y Eliminar la Discriminación, artículo 1, fracción III. [en línea] Ver  </w:t>
      </w:r>
      <w:hyperlink r:id="rId3" w:history="1">
        <w:r w:rsidRPr="005B52AD">
          <w:rPr>
            <w:rStyle w:val="Hipervnculo"/>
            <w:rFonts w:ascii="Montserrat" w:hAnsi="Montserrat" w:cs="Calibri"/>
            <w:sz w:val="18"/>
            <w:szCs w:val="18"/>
          </w:rPr>
          <w:t>http://www.diputados.gob.mx/LeyesBiblio/pdf/262_210618.pdf</w:t>
        </w:r>
      </w:hyperlink>
      <w:r w:rsidRPr="005B52AD">
        <w:rPr>
          <w:rFonts w:ascii="Montserrat" w:hAnsi="Montserrat" w:cs="Calibri"/>
          <w:sz w:val="18"/>
          <w:szCs w:val="18"/>
        </w:rPr>
        <w:t xml:space="preserve"> </w:t>
      </w:r>
    </w:p>
  </w:footnote>
  <w:footnote w:id="4">
    <w:p w14:paraId="23F709B7" w14:textId="71E926BC" w:rsidR="0065640A" w:rsidRPr="005B52AD" w:rsidRDefault="0065640A" w:rsidP="005B52AD">
      <w:pPr>
        <w:pStyle w:val="Textonotapie"/>
        <w:jc w:val="both"/>
        <w:rPr>
          <w:rFonts w:ascii="Montserrat" w:hAnsi="Montserrat" w:cstheme="majorHAnsi"/>
          <w:sz w:val="18"/>
          <w:szCs w:val="18"/>
          <w:lang w:val="es-ES"/>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w:t>
      </w:r>
      <w:r w:rsidRPr="005B52AD">
        <w:rPr>
          <w:rFonts w:ascii="Montserrat" w:hAnsi="Montserrat" w:cstheme="majorHAnsi"/>
          <w:sz w:val="18"/>
          <w:szCs w:val="18"/>
          <w:lang w:val="es-ES"/>
        </w:rPr>
        <w:t xml:space="preserve">Actualizado al 3 de mayo de 2023 </w:t>
      </w:r>
    </w:p>
  </w:footnote>
  <w:footnote w:id="5">
    <w:p w14:paraId="1FFB7BBE" w14:textId="3422962D" w:rsidR="0065640A" w:rsidRPr="005B52AD" w:rsidRDefault="0065640A" w:rsidP="005B52AD">
      <w:pPr>
        <w:pStyle w:val="Textonotapie"/>
        <w:jc w:val="both"/>
        <w:rPr>
          <w:rFonts w:ascii="Montserrat" w:hAnsi="Montserrat" w:cstheme="majorHAnsi"/>
          <w:sz w:val="18"/>
          <w:szCs w:val="18"/>
          <w:lang w:val="es-ES"/>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Los estados son los siguientes: </w:t>
      </w:r>
      <w:r w:rsidRPr="005B52AD">
        <w:rPr>
          <w:rFonts w:ascii="Montserrat" w:hAnsi="Montserrat" w:cstheme="majorHAnsi"/>
          <w:sz w:val="18"/>
          <w:szCs w:val="18"/>
          <w:lang w:val="es-ES"/>
        </w:rPr>
        <w:t>1. Baja California, 2. Baja California Sur, 3. Ciudad de México, 4. Coahuila, 5. Colima, 6. Estado de México, 7. Hidalgo, 8. Jalisco</w:t>
      </w:r>
      <w:r w:rsidRPr="005B52AD">
        <w:rPr>
          <w:rFonts w:ascii="Montserrat" w:hAnsi="Montserrat" w:cstheme="majorHAnsi"/>
          <w:sz w:val="18"/>
          <w:szCs w:val="18"/>
          <w:vertAlign w:val="superscript"/>
          <w:lang w:val="es-ES"/>
        </w:rPr>
        <w:footnoteRef/>
      </w:r>
      <w:r w:rsidRPr="005B52AD">
        <w:rPr>
          <w:rFonts w:ascii="Montserrat" w:hAnsi="Montserrat" w:cstheme="majorHAnsi"/>
          <w:sz w:val="18"/>
          <w:szCs w:val="18"/>
          <w:lang w:val="es-ES"/>
        </w:rPr>
        <w:t>, 9. Michoacán, 10. Morelos, 11. Nayarit, 12. Oaxaca, 13. Puebla</w:t>
      </w:r>
      <w:r w:rsidRPr="005B52AD">
        <w:rPr>
          <w:rFonts w:ascii="Montserrat" w:hAnsi="Montserrat" w:cstheme="majorHAnsi"/>
          <w:sz w:val="18"/>
          <w:szCs w:val="18"/>
          <w:vertAlign w:val="superscript"/>
          <w:lang w:val="es-ES"/>
        </w:rPr>
        <w:footnoteRef/>
      </w:r>
      <w:r w:rsidRPr="005B52AD">
        <w:rPr>
          <w:rFonts w:ascii="Montserrat" w:hAnsi="Montserrat" w:cstheme="majorHAnsi"/>
          <w:sz w:val="18"/>
          <w:szCs w:val="18"/>
          <w:lang w:val="es-ES"/>
        </w:rPr>
        <w:t>, 14. Quintana Roo, 15. San Luis Potosí, 16. Sinaloa, 17. Sonora, 18. Tlaxcala, y 19. Zacatecas.</w:t>
      </w:r>
    </w:p>
    <w:p w14:paraId="55698EFF" w14:textId="187020E8" w:rsidR="0065640A" w:rsidRPr="005B52AD" w:rsidRDefault="0065640A" w:rsidP="005B52AD">
      <w:pPr>
        <w:pStyle w:val="Textonotapie"/>
        <w:jc w:val="both"/>
        <w:rPr>
          <w:rFonts w:ascii="Montserrat" w:hAnsi="Montserrat" w:cstheme="majorHAnsi"/>
          <w:sz w:val="18"/>
          <w:szCs w:val="18"/>
          <w:lang w:val="es-ES"/>
        </w:rPr>
      </w:pPr>
      <w:r w:rsidRPr="005B52AD">
        <w:rPr>
          <w:rFonts w:ascii="Montserrat" w:hAnsi="Montserrat" w:cstheme="majorHAnsi"/>
          <w:i/>
          <w:iCs/>
          <w:sz w:val="18"/>
          <w:szCs w:val="18"/>
          <w:lang w:val="es-ES"/>
        </w:rPr>
        <w:t>*Las entidades federativas pendientes de reconocer el derecho al reconocimiento de la identidad de género son: Aguascalientes, Campeche, Chiapas, Durango, Guanajuato, Guerrero, Querétaro, Tabasco, Tamaulipas, Veracruz y Yucatán</w:t>
      </w:r>
    </w:p>
  </w:footnote>
  <w:footnote w:id="6">
    <w:p w14:paraId="6B063543" w14:textId="6DBA7E77" w:rsidR="007D39A5" w:rsidRPr="005B52AD" w:rsidRDefault="007D39A5" w:rsidP="005B52AD">
      <w:pPr>
        <w:pStyle w:val="Textonotapie"/>
        <w:jc w:val="both"/>
        <w:rPr>
          <w:rFonts w:ascii="Montserrat" w:hAnsi="Montserrat" w:cstheme="majorHAnsi"/>
          <w:sz w:val="18"/>
          <w:szCs w:val="18"/>
          <w:lang w:val="es-ES"/>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w:t>
      </w:r>
      <w:r w:rsidRPr="005B52AD">
        <w:rPr>
          <w:rFonts w:ascii="Montserrat" w:hAnsi="Montserrat" w:cstheme="majorHAnsi"/>
          <w:sz w:val="18"/>
          <w:szCs w:val="18"/>
          <w:lang w:val="es-ES"/>
        </w:rPr>
        <w:t>Actualizado al 3 de mayo de 2023</w:t>
      </w:r>
    </w:p>
  </w:footnote>
  <w:footnote w:id="7">
    <w:p w14:paraId="67E588F4" w14:textId="77777777" w:rsidR="007D39A5" w:rsidRPr="005B52AD" w:rsidRDefault="007D39A5" w:rsidP="005B52AD">
      <w:pPr>
        <w:pStyle w:val="Textonotapie"/>
        <w:jc w:val="both"/>
        <w:rPr>
          <w:rFonts w:ascii="Montserrat" w:hAnsi="Montserrat" w:cstheme="majorHAnsi"/>
          <w:sz w:val="18"/>
          <w:szCs w:val="18"/>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En Durango el 18 de septiembre de 2022, el Poder Ejecutivo emitió un Acuerdo Administrativo por el que se establece la obligación de las personas titulares de las oficialías del Registro Civil en Durango, a celebrar los actos matrimoniales sin discriminación y sin que sea necesario que mede recurso legal alguno para su procedencia, más allá de los requisitos establecidos en el Código Civil del Estado. Disponible en: </w:t>
      </w:r>
      <w:hyperlink r:id="rId4" w:history="1">
        <w:r w:rsidRPr="005B52AD">
          <w:rPr>
            <w:rStyle w:val="Hipervnculo"/>
            <w:rFonts w:ascii="Montserrat" w:hAnsi="Montserrat" w:cstheme="majorHAnsi"/>
            <w:sz w:val="18"/>
            <w:szCs w:val="18"/>
          </w:rPr>
          <w:t>PON75_.pdf (durango.gob.mx)</w:t>
        </w:r>
      </w:hyperlink>
      <w:r w:rsidRPr="005B52AD">
        <w:rPr>
          <w:rStyle w:val="Hipervnculo"/>
          <w:rFonts w:ascii="Montserrat" w:hAnsi="Montserrat" w:cstheme="majorHAnsi"/>
          <w:sz w:val="18"/>
          <w:szCs w:val="18"/>
        </w:rPr>
        <w:t xml:space="preserve"> </w:t>
      </w:r>
    </w:p>
  </w:footnote>
  <w:footnote w:id="8">
    <w:p w14:paraId="6BC3E103" w14:textId="77777777" w:rsidR="007D39A5" w:rsidRPr="005B52AD" w:rsidRDefault="007D39A5" w:rsidP="005B52AD">
      <w:pPr>
        <w:pStyle w:val="Textonotapie"/>
        <w:jc w:val="both"/>
        <w:rPr>
          <w:rFonts w:ascii="Montserrat" w:hAnsi="Montserrat" w:cstheme="majorHAnsi"/>
          <w:sz w:val="18"/>
          <w:szCs w:val="18"/>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w:t>
      </w:r>
      <w:r w:rsidRPr="005B52AD">
        <w:rPr>
          <w:rFonts w:ascii="Montserrat" w:hAnsi="Montserrat" w:cstheme="majorHAnsi"/>
          <w:i/>
          <w:iCs/>
          <w:sz w:val="18"/>
          <w:szCs w:val="18"/>
        </w:rPr>
        <w:t>Cfr</w:t>
      </w:r>
      <w:r w:rsidRPr="005B52AD">
        <w:rPr>
          <w:rFonts w:ascii="Montserrat" w:hAnsi="Montserrat" w:cstheme="majorHAnsi"/>
          <w:sz w:val="18"/>
          <w:szCs w:val="18"/>
        </w:rPr>
        <w:t xml:space="preserve">. Decreto Gubernativo número 108 mediante el cual se modifica el Reglamento del Registro Civil del Estado de Guanajuato, expedido mediante el Decreto Gubernativo número 228, publicado en el Periódico Oficial del Gobierno del Estado número 154, Quinta Parte, del 25 de septiembre de 2012. Disponible en: </w:t>
      </w:r>
      <w:hyperlink r:id="rId5" w:history="1">
        <w:r w:rsidRPr="005B52AD">
          <w:rPr>
            <w:rStyle w:val="Hipervnculo"/>
            <w:rFonts w:ascii="Montserrat" w:hAnsi="Montserrat" w:cstheme="majorHAnsi"/>
            <w:sz w:val="18"/>
            <w:szCs w:val="18"/>
          </w:rPr>
          <w:t>http://periodico.guanajuato.gob.mx/downloadfile?dir=anio_2022&amp;file=PO_17_2da_Parte_20220125.pdf</w:t>
        </w:r>
      </w:hyperlink>
      <w:r w:rsidRPr="005B52AD">
        <w:rPr>
          <w:rFonts w:ascii="Montserrat" w:hAnsi="Montserrat" w:cstheme="majorHAnsi"/>
          <w:sz w:val="18"/>
          <w:szCs w:val="18"/>
        </w:rPr>
        <w:t xml:space="preserve">. </w:t>
      </w:r>
    </w:p>
  </w:footnote>
  <w:footnote w:id="9">
    <w:p w14:paraId="549C3144" w14:textId="77777777" w:rsidR="007D39A5" w:rsidRPr="005B52AD" w:rsidRDefault="007D39A5" w:rsidP="005B52AD">
      <w:pPr>
        <w:pStyle w:val="Textonotapie"/>
        <w:jc w:val="both"/>
        <w:rPr>
          <w:rFonts w:ascii="Montserrat" w:hAnsi="Montserrat"/>
          <w:sz w:val="18"/>
          <w:szCs w:val="18"/>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El matrimonio entre personas del mismo sexo en Chihuahua es viable debido que el Ejecutivo local emitió un Decreto Gubernativo el 12 de junio de 2015 permitir esta figura, sin embargo, aún no se reforma la legislación correspondiente.</w:t>
      </w:r>
    </w:p>
  </w:footnote>
  <w:footnote w:id="10">
    <w:p w14:paraId="4914AF16" w14:textId="77777777" w:rsidR="00054BE2" w:rsidRPr="005B52AD" w:rsidRDefault="00054BE2" w:rsidP="005B52AD">
      <w:pPr>
        <w:pStyle w:val="Textonotapie"/>
        <w:jc w:val="both"/>
        <w:rPr>
          <w:rFonts w:ascii="Montserrat" w:hAnsi="Montserrat"/>
          <w:sz w:val="18"/>
          <w:szCs w:val="18"/>
        </w:rPr>
      </w:pPr>
      <w:r w:rsidRPr="005B52AD">
        <w:rPr>
          <w:rStyle w:val="Refdenotaalpie"/>
          <w:rFonts w:ascii="Montserrat" w:hAnsi="Montserrat"/>
          <w:sz w:val="18"/>
          <w:szCs w:val="18"/>
        </w:rPr>
        <w:footnoteRef/>
      </w:r>
      <w:r w:rsidRPr="005B52AD">
        <w:rPr>
          <w:rFonts w:ascii="Montserrat" w:hAnsi="Montserrat"/>
          <w:sz w:val="18"/>
          <w:szCs w:val="18"/>
        </w:rPr>
        <w:t xml:space="preserve"> Artículo 43 (LFPED).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398DC27F" w14:textId="77777777" w:rsidR="00054BE2" w:rsidRPr="005B52AD" w:rsidRDefault="00054BE2" w:rsidP="005B52AD">
      <w:pPr>
        <w:pStyle w:val="Textonotapie"/>
        <w:jc w:val="both"/>
        <w:rPr>
          <w:rFonts w:ascii="Montserrat" w:hAnsi="Montserrat"/>
          <w:sz w:val="18"/>
          <w:szCs w:val="18"/>
        </w:rPr>
      </w:pPr>
      <w:r w:rsidRPr="005B52AD">
        <w:rPr>
          <w:rFonts w:ascii="Montserrat" w:hAnsi="Montserrat"/>
          <w:sz w:val="18"/>
          <w:szCs w:val="18"/>
          <w:lang w:val="es-MX"/>
        </w:rPr>
        <w:t>Toda persona podrá presentar quejas por presuntos actos, omisiones, o prácticas sociales discriminatorias ante el Consejo, ya sea directamente o por medio de un representante.</w:t>
      </w:r>
    </w:p>
  </w:footnote>
  <w:footnote w:id="11">
    <w:p w14:paraId="5EAB317B" w14:textId="77777777" w:rsidR="005B33CE" w:rsidRPr="005B52AD" w:rsidRDefault="005B33CE" w:rsidP="005B52AD">
      <w:pPr>
        <w:pStyle w:val="Textonotapie"/>
        <w:jc w:val="both"/>
        <w:rPr>
          <w:rFonts w:ascii="Montserrat" w:hAnsi="Montserrat"/>
          <w:sz w:val="18"/>
          <w:szCs w:val="18"/>
        </w:rPr>
      </w:pPr>
      <w:r w:rsidRPr="005B52AD">
        <w:rPr>
          <w:rStyle w:val="Refdenotaalpie"/>
          <w:rFonts w:ascii="Montserrat" w:hAnsi="Montserrat"/>
          <w:sz w:val="18"/>
          <w:szCs w:val="18"/>
        </w:rPr>
        <w:footnoteRef/>
      </w:r>
      <w:r w:rsidRPr="005B52AD">
        <w:rPr>
          <w:rFonts w:ascii="Montserrat" w:hAnsi="Montserrat"/>
          <w:sz w:val="18"/>
          <w:szCs w:val="18"/>
        </w:rPr>
        <w:t xml:space="preserve"> </w:t>
      </w:r>
      <w:r w:rsidRPr="005B52AD">
        <w:rPr>
          <w:rFonts w:ascii="Montserrat" w:hAnsi="Montserrat" w:cs="Arial"/>
          <w:color w:val="262626"/>
          <w:sz w:val="18"/>
          <w:szCs w:val="18"/>
        </w:rPr>
        <w:t xml:space="preserve">Protocolo de actuación para el personal de las Instancias de Procuración de Justicia del País, en casos que involucren la Orientación Sexual o la Identidad de Género. Disponible en: </w:t>
      </w:r>
      <w:hyperlink r:id="rId6" w:history="1">
        <w:r w:rsidRPr="005B52AD">
          <w:rPr>
            <w:rFonts w:ascii="Montserrat" w:eastAsiaTheme="minorHAnsi" w:hAnsi="Montserrat"/>
            <w:color w:val="0000FF"/>
            <w:sz w:val="18"/>
            <w:szCs w:val="18"/>
            <w:u w:val="single"/>
            <w:lang w:val="es-MX" w:eastAsia="en-US"/>
          </w:rPr>
          <w:t>http://www.cnpj.gob.mx/normatividad/Documentos_Normatividad/Protocolo%20de%20Actuacion%20para%20el%20personal%20de%20las%20Instancias%20de%20Procuraci%C3%B3n%20de%20Justicia%20del%20Pa%C3%ADs,%20LGBTI.pdf</w:t>
        </w:r>
      </w:hyperlink>
    </w:p>
  </w:footnote>
  <w:footnote w:id="12">
    <w:p w14:paraId="0576FDFB" w14:textId="77777777" w:rsidR="002D6873" w:rsidRPr="005B52AD" w:rsidRDefault="002D6873" w:rsidP="005B52AD">
      <w:pPr>
        <w:spacing w:before="120" w:line="276" w:lineRule="auto"/>
        <w:jc w:val="both"/>
        <w:rPr>
          <w:rFonts w:ascii="Montserrat" w:eastAsiaTheme="minorEastAsia" w:hAnsi="Montserrat" w:cs="Arial"/>
          <w:bCs/>
          <w:color w:val="262626"/>
          <w:sz w:val="18"/>
          <w:szCs w:val="18"/>
          <w:lang w:eastAsia="es-ES"/>
        </w:rPr>
      </w:pPr>
      <w:r w:rsidRPr="005B52AD">
        <w:rPr>
          <w:rStyle w:val="Refdenotaalpie"/>
          <w:rFonts w:ascii="Montserrat" w:hAnsi="Montserrat"/>
          <w:sz w:val="18"/>
          <w:szCs w:val="18"/>
        </w:rPr>
        <w:footnoteRef/>
      </w:r>
      <w:r w:rsidRPr="005B52AD">
        <w:rPr>
          <w:rFonts w:ascii="Montserrat" w:hAnsi="Montserrat"/>
          <w:sz w:val="18"/>
          <w:szCs w:val="18"/>
        </w:rPr>
        <w:t xml:space="preserve"> Diario Oficial de la Federación (DOF) </w:t>
      </w:r>
      <w:r w:rsidRPr="005B52AD">
        <w:rPr>
          <w:rFonts w:ascii="Montserrat" w:eastAsiaTheme="minorEastAsia" w:hAnsi="Montserrat" w:cs="Arial"/>
          <w:bCs/>
          <w:color w:val="262626"/>
          <w:sz w:val="18"/>
          <w:szCs w:val="18"/>
          <w:lang w:eastAsia="es-ES"/>
        </w:rPr>
        <w:t xml:space="preserve">Decreto por el que se deroga el diverso por el que se declara Día Nacional de la lucha contra la Homofobia, el día 17 de mayo de cada año, y se declara Día Nacional de la Lucha contra la Homofobia, Lesbofobia, Transfobia y Bifobia, el 17 de mayo de cada año. Disponible en:  </w:t>
      </w:r>
      <w:hyperlink r:id="rId7" w:history="1">
        <w:r w:rsidRPr="005B52AD">
          <w:rPr>
            <w:rFonts w:ascii="Montserrat" w:hAnsi="Montserrat"/>
            <w:color w:val="0000FF"/>
            <w:sz w:val="18"/>
            <w:szCs w:val="18"/>
            <w:u w:val="single"/>
          </w:rPr>
          <w:t>https://www.dof.gob.mx/nota_detalle.php?codigo=5560669&amp;fecha=17/05/2019</w:t>
        </w:r>
      </w:hyperlink>
    </w:p>
    <w:p w14:paraId="40FA359D" w14:textId="77777777" w:rsidR="002D6873" w:rsidRPr="005B52AD" w:rsidRDefault="002D6873" w:rsidP="005B52AD">
      <w:pPr>
        <w:pStyle w:val="Textonotapie"/>
        <w:jc w:val="both"/>
        <w:rPr>
          <w:rFonts w:ascii="Montserrat" w:hAnsi="Montserrat"/>
          <w:sz w:val="18"/>
          <w:szCs w:val="18"/>
        </w:rPr>
      </w:pPr>
    </w:p>
  </w:footnote>
  <w:footnote w:id="13">
    <w:p w14:paraId="44355BC1" w14:textId="77777777" w:rsidR="004A4B0C" w:rsidRPr="005B52AD" w:rsidRDefault="004A4B0C" w:rsidP="005B52AD">
      <w:pPr>
        <w:pStyle w:val="Textonotapie"/>
        <w:jc w:val="both"/>
        <w:rPr>
          <w:rStyle w:val="Hipervnculo"/>
          <w:rFonts w:ascii="Montserrat" w:hAnsi="Montserrat" w:cstheme="majorHAnsi"/>
          <w:sz w:val="18"/>
          <w:szCs w:val="18"/>
        </w:rPr>
      </w:pPr>
      <w:r w:rsidRPr="005B52AD">
        <w:rPr>
          <w:rStyle w:val="Refdenotaalpie"/>
          <w:rFonts w:ascii="Montserrat" w:hAnsi="Montserrat" w:cstheme="majorHAnsi"/>
          <w:sz w:val="18"/>
          <w:szCs w:val="18"/>
        </w:rPr>
        <w:footnoteRef/>
      </w:r>
      <w:r w:rsidRPr="005B52AD">
        <w:rPr>
          <w:rFonts w:ascii="Montserrat" w:hAnsi="Montserrat" w:cstheme="majorHAnsi"/>
          <w:sz w:val="18"/>
          <w:szCs w:val="18"/>
        </w:rPr>
        <w:t xml:space="preserve"> Para más detalles consultar el siguiente enlace: </w:t>
      </w:r>
      <w:hyperlink r:id="rId8" w:history="1">
        <w:r w:rsidRPr="005B52AD">
          <w:rPr>
            <w:rStyle w:val="Hipervnculo"/>
            <w:rFonts w:ascii="Montserrat" w:hAnsi="Montserrat" w:cstheme="majorHAnsi"/>
            <w:sz w:val="18"/>
            <w:szCs w:val="18"/>
          </w:rPr>
          <w:t>http://www.conapred.org.mx/userfiles/files/PRONAIND_2021-2024_final.Ax.pdf</w:t>
        </w:r>
      </w:hyperlink>
      <w:r w:rsidRPr="005B52AD">
        <w:rPr>
          <w:rStyle w:val="Hipervnculo"/>
          <w:rFonts w:ascii="Montserrat" w:hAnsi="Montserrat" w:cstheme="majorHAnsi"/>
          <w:sz w:val="18"/>
          <w:szCs w:val="18"/>
        </w:rPr>
        <w:t>.</w:t>
      </w:r>
    </w:p>
    <w:p w14:paraId="4E0DD181" w14:textId="77777777" w:rsidR="004A4B0C" w:rsidRPr="00B849E8" w:rsidRDefault="004A4B0C" w:rsidP="004A4B0C">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BB53" w14:textId="62598B23" w:rsidR="00667D0C" w:rsidRPr="005B52AD" w:rsidRDefault="00367903" w:rsidP="00667D0C">
    <w:pPr>
      <w:jc w:val="right"/>
      <w:rPr>
        <w:rFonts w:ascii="Montserrat" w:hAnsi="Montserrat"/>
        <w:b/>
        <w:bCs/>
        <w:color w:val="262626" w:themeColor="text1" w:themeTint="D9"/>
        <w:sz w:val="16"/>
        <w:szCs w:val="16"/>
        <w:lang w:val="es-ES"/>
      </w:rPr>
    </w:pPr>
    <w:r w:rsidRPr="00F02BB9">
      <w:rPr>
        <w:noProof/>
        <w:lang w:eastAsia="es-MX"/>
      </w:rPr>
      <w:drawing>
        <wp:anchor distT="0" distB="0" distL="114300" distR="114300" simplePos="0" relativeHeight="251659264" behindDoc="1" locked="0" layoutInCell="1" allowOverlap="1" wp14:anchorId="203BAC76" wp14:editId="774D2E49">
          <wp:simplePos x="0" y="0"/>
          <wp:positionH relativeFrom="margin">
            <wp:posOffset>0</wp:posOffset>
          </wp:positionH>
          <wp:positionV relativeFrom="paragraph">
            <wp:posOffset>-151296</wp:posOffset>
          </wp:positionV>
          <wp:extent cx="3563620" cy="383540"/>
          <wp:effectExtent l="0" t="0" r="5080" b="0"/>
          <wp:wrapTight wrapText="bothSides">
            <wp:wrapPolygon edited="0">
              <wp:start x="539" y="0"/>
              <wp:lineTo x="0" y="5007"/>
              <wp:lineTo x="0" y="18596"/>
              <wp:lineTo x="616" y="20742"/>
              <wp:lineTo x="1694" y="20742"/>
              <wp:lineTo x="21554" y="15020"/>
              <wp:lineTo x="21554" y="2146"/>
              <wp:lineTo x="1694" y="0"/>
              <wp:lineTo x="539"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3620" cy="3835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DA37"/>
      </v:shape>
    </w:pict>
  </w:numPicBullet>
  <w:abstractNum w:abstractNumId="0" w15:restartNumberingAfterBreak="0">
    <w:nsid w:val="008A5514"/>
    <w:multiLevelType w:val="hybridMultilevel"/>
    <w:tmpl w:val="3FEA84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8A6705"/>
    <w:multiLevelType w:val="hybridMultilevel"/>
    <w:tmpl w:val="DEEE00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02380"/>
    <w:multiLevelType w:val="hybridMultilevel"/>
    <w:tmpl w:val="4AB69C0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6422A1"/>
    <w:multiLevelType w:val="hybridMultilevel"/>
    <w:tmpl w:val="48DECFE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0F7B2783"/>
    <w:multiLevelType w:val="hybridMultilevel"/>
    <w:tmpl w:val="CA163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4E008C"/>
    <w:multiLevelType w:val="hybridMultilevel"/>
    <w:tmpl w:val="96722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204323"/>
    <w:multiLevelType w:val="hybridMultilevel"/>
    <w:tmpl w:val="B1BE50EA"/>
    <w:lvl w:ilvl="0" w:tplc="A386DB46">
      <w:start w:val="1"/>
      <w:numFmt w:val="lowerLetter"/>
      <w:lvlText w:val="%1."/>
      <w:lvlJc w:val="left"/>
      <w:pPr>
        <w:ind w:left="720" w:hanging="360"/>
      </w:pPr>
      <w:rPr>
        <w:b/>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560B84"/>
    <w:multiLevelType w:val="hybridMultilevel"/>
    <w:tmpl w:val="D6B6B788"/>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23D43E7"/>
    <w:multiLevelType w:val="hybridMultilevel"/>
    <w:tmpl w:val="94E0CB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CB4159"/>
    <w:multiLevelType w:val="hybridMultilevel"/>
    <w:tmpl w:val="A71675B6"/>
    <w:lvl w:ilvl="0" w:tplc="161A51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0708E"/>
    <w:multiLevelType w:val="hybridMultilevel"/>
    <w:tmpl w:val="92E291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C34763"/>
    <w:multiLevelType w:val="hybridMultilevel"/>
    <w:tmpl w:val="8D2C5F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715304"/>
    <w:multiLevelType w:val="hybridMultilevel"/>
    <w:tmpl w:val="71403348"/>
    <w:lvl w:ilvl="0" w:tplc="DEC848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561BA"/>
    <w:multiLevelType w:val="hybridMultilevel"/>
    <w:tmpl w:val="B4747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D50088"/>
    <w:multiLevelType w:val="hybridMultilevel"/>
    <w:tmpl w:val="614898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B172B0D"/>
    <w:multiLevelType w:val="hybridMultilevel"/>
    <w:tmpl w:val="8D64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D07ED"/>
    <w:multiLevelType w:val="hybridMultilevel"/>
    <w:tmpl w:val="081ECF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330E73"/>
    <w:multiLevelType w:val="hybridMultilevel"/>
    <w:tmpl w:val="8DEA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662F71"/>
    <w:multiLevelType w:val="hybridMultilevel"/>
    <w:tmpl w:val="091E04D8"/>
    <w:lvl w:ilvl="0" w:tplc="080A0001">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2408B"/>
    <w:multiLevelType w:val="hybridMultilevel"/>
    <w:tmpl w:val="A25C255E"/>
    <w:lvl w:ilvl="0" w:tplc="0409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31822CA"/>
    <w:multiLevelType w:val="hybridMultilevel"/>
    <w:tmpl w:val="5B5C62A0"/>
    <w:lvl w:ilvl="0" w:tplc="33A8128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A09"/>
    <w:multiLevelType w:val="hybridMultilevel"/>
    <w:tmpl w:val="72603E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3A287F"/>
    <w:multiLevelType w:val="hybridMultilevel"/>
    <w:tmpl w:val="AEEC3B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E91C7E"/>
    <w:multiLevelType w:val="hybridMultilevel"/>
    <w:tmpl w:val="F260FAEA"/>
    <w:lvl w:ilvl="0" w:tplc="080A001B">
      <w:start w:val="1"/>
      <w:numFmt w:val="lowerRoman"/>
      <w:lvlText w:val="%1."/>
      <w:lvlJc w:val="righ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BA54FC"/>
    <w:multiLevelType w:val="hybridMultilevel"/>
    <w:tmpl w:val="260E37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9F46AB"/>
    <w:multiLevelType w:val="hybridMultilevel"/>
    <w:tmpl w:val="926CD1E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744814"/>
    <w:multiLevelType w:val="hybridMultilevel"/>
    <w:tmpl w:val="16C85C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EB7DCF"/>
    <w:multiLevelType w:val="hybridMultilevel"/>
    <w:tmpl w:val="C3A8A2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4620EF"/>
    <w:multiLevelType w:val="hybridMultilevel"/>
    <w:tmpl w:val="8D0A55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BD3F4D"/>
    <w:multiLevelType w:val="multilevel"/>
    <w:tmpl w:val="495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E47BC3"/>
    <w:multiLevelType w:val="hybridMultilevel"/>
    <w:tmpl w:val="FFE6B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D31A03"/>
    <w:multiLevelType w:val="hybridMultilevel"/>
    <w:tmpl w:val="EB606C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E97BDD"/>
    <w:multiLevelType w:val="hybridMultilevel"/>
    <w:tmpl w:val="5BD42CBE"/>
    <w:lvl w:ilvl="0" w:tplc="FF806AF2">
      <w:start w:val="1"/>
      <w:numFmt w:val="low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FB733F"/>
    <w:multiLevelType w:val="hybridMultilevel"/>
    <w:tmpl w:val="20ACC7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823803"/>
    <w:multiLevelType w:val="hybridMultilevel"/>
    <w:tmpl w:val="137828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DE01FD"/>
    <w:multiLevelType w:val="hybridMultilevel"/>
    <w:tmpl w:val="C706D5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262567"/>
    <w:multiLevelType w:val="hybridMultilevel"/>
    <w:tmpl w:val="90D4A308"/>
    <w:lvl w:ilvl="0" w:tplc="9F6A289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325AF5"/>
    <w:multiLevelType w:val="hybridMultilevel"/>
    <w:tmpl w:val="4F921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2B507E"/>
    <w:multiLevelType w:val="hybridMultilevel"/>
    <w:tmpl w:val="4ED6C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673D1A"/>
    <w:multiLevelType w:val="hybridMultilevel"/>
    <w:tmpl w:val="A2B0E7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610EF5"/>
    <w:multiLevelType w:val="hybridMultilevel"/>
    <w:tmpl w:val="EE221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A2295D"/>
    <w:multiLevelType w:val="hybridMultilevel"/>
    <w:tmpl w:val="E1F63550"/>
    <w:lvl w:ilvl="0" w:tplc="EB00109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CF34DC"/>
    <w:multiLevelType w:val="hybridMultilevel"/>
    <w:tmpl w:val="2D4C4BE2"/>
    <w:lvl w:ilvl="0" w:tplc="DE04EB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F4641E"/>
    <w:multiLevelType w:val="hybridMultilevel"/>
    <w:tmpl w:val="301ADF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FE2E85"/>
    <w:multiLevelType w:val="hybridMultilevel"/>
    <w:tmpl w:val="48066196"/>
    <w:lvl w:ilvl="0" w:tplc="080A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F9D7192"/>
    <w:multiLevelType w:val="hybridMultilevel"/>
    <w:tmpl w:val="A13878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5"/>
  </w:num>
  <w:num w:numId="4">
    <w:abstractNumId w:val="17"/>
  </w:num>
  <w:num w:numId="5">
    <w:abstractNumId w:val="30"/>
  </w:num>
  <w:num w:numId="6">
    <w:abstractNumId w:val="25"/>
  </w:num>
  <w:num w:numId="7">
    <w:abstractNumId w:val="10"/>
  </w:num>
  <w:num w:numId="8">
    <w:abstractNumId w:val="22"/>
  </w:num>
  <w:num w:numId="9">
    <w:abstractNumId w:val="36"/>
  </w:num>
  <w:num w:numId="10">
    <w:abstractNumId w:val="38"/>
  </w:num>
  <w:num w:numId="11">
    <w:abstractNumId w:val="45"/>
  </w:num>
  <w:num w:numId="12">
    <w:abstractNumId w:val="29"/>
  </w:num>
  <w:num w:numId="13">
    <w:abstractNumId w:val="15"/>
  </w:num>
  <w:num w:numId="14">
    <w:abstractNumId w:val="7"/>
  </w:num>
  <w:num w:numId="15">
    <w:abstractNumId w:val="13"/>
  </w:num>
  <w:num w:numId="16">
    <w:abstractNumId w:val="40"/>
  </w:num>
  <w:num w:numId="17">
    <w:abstractNumId w:val="4"/>
  </w:num>
  <w:num w:numId="18">
    <w:abstractNumId w:val="26"/>
  </w:num>
  <w:num w:numId="19">
    <w:abstractNumId w:val="46"/>
  </w:num>
  <w:num w:numId="20">
    <w:abstractNumId w:val="34"/>
  </w:num>
  <w:num w:numId="21">
    <w:abstractNumId w:val="16"/>
  </w:num>
  <w:num w:numId="22">
    <w:abstractNumId w:val="9"/>
  </w:num>
  <w:num w:numId="23">
    <w:abstractNumId w:val="18"/>
  </w:num>
  <w:num w:numId="24">
    <w:abstractNumId w:val="6"/>
  </w:num>
  <w:num w:numId="25">
    <w:abstractNumId w:val="35"/>
  </w:num>
  <w:num w:numId="26">
    <w:abstractNumId w:val="8"/>
  </w:num>
  <w:num w:numId="27">
    <w:abstractNumId w:val="21"/>
  </w:num>
  <w:num w:numId="28">
    <w:abstractNumId w:val="39"/>
  </w:num>
  <w:num w:numId="29">
    <w:abstractNumId w:val="23"/>
  </w:num>
  <w:num w:numId="30">
    <w:abstractNumId w:val="2"/>
  </w:num>
  <w:num w:numId="31">
    <w:abstractNumId w:val="41"/>
  </w:num>
  <w:num w:numId="32">
    <w:abstractNumId w:val="12"/>
  </w:num>
  <w:num w:numId="33">
    <w:abstractNumId w:val="27"/>
  </w:num>
  <w:num w:numId="34">
    <w:abstractNumId w:val="28"/>
  </w:num>
  <w:num w:numId="35">
    <w:abstractNumId w:val="11"/>
  </w:num>
  <w:num w:numId="36">
    <w:abstractNumId w:val="24"/>
  </w:num>
  <w:num w:numId="37">
    <w:abstractNumId w:val="43"/>
  </w:num>
  <w:num w:numId="38">
    <w:abstractNumId w:val="20"/>
  </w:num>
  <w:num w:numId="39">
    <w:abstractNumId w:val="14"/>
  </w:num>
  <w:num w:numId="40">
    <w:abstractNumId w:val="3"/>
  </w:num>
  <w:num w:numId="41">
    <w:abstractNumId w:val="33"/>
  </w:num>
  <w:num w:numId="42">
    <w:abstractNumId w:val="37"/>
  </w:num>
  <w:num w:numId="43">
    <w:abstractNumId w:val="44"/>
  </w:num>
  <w:num w:numId="44">
    <w:abstractNumId w:val="32"/>
  </w:num>
  <w:num w:numId="45">
    <w:abstractNumId w:val="42"/>
  </w:num>
  <w:num w:numId="46">
    <w:abstractNumId w:val="31"/>
  </w:num>
  <w:num w:numId="4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EB"/>
    <w:rsid w:val="00006069"/>
    <w:rsid w:val="00012185"/>
    <w:rsid w:val="000124A3"/>
    <w:rsid w:val="000228D5"/>
    <w:rsid w:val="00031F54"/>
    <w:rsid w:val="00034E0D"/>
    <w:rsid w:val="00037AE2"/>
    <w:rsid w:val="00046C69"/>
    <w:rsid w:val="0005151B"/>
    <w:rsid w:val="00054355"/>
    <w:rsid w:val="00054402"/>
    <w:rsid w:val="00054463"/>
    <w:rsid w:val="00054BE2"/>
    <w:rsid w:val="00056A57"/>
    <w:rsid w:val="00066282"/>
    <w:rsid w:val="00086223"/>
    <w:rsid w:val="000915D4"/>
    <w:rsid w:val="000A240E"/>
    <w:rsid w:val="000A4357"/>
    <w:rsid w:val="000B018F"/>
    <w:rsid w:val="000B5905"/>
    <w:rsid w:val="000B6F1A"/>
    <w:rsid w:val="000C07BE"/>
    <w:rsid w:val="000C16FB"/>
    <w:rsid w:val="000C4609"/>
    <w:rsid w:val="000D1382"/>
    <w:rsid w:val="000E37CE"/>
    <w:rsid w:val="00100EA1"/>
    <w:rsid w:val="001103FE"/>
    <w:rsid w:val="00111AFC"/>
    <w:rsid w:val="0011373C"/>
    <w:rsid w:val="00121FB0"/>
    <w:rsid w:val="001256D6"/>
    <w:rsid w:val="00131E96"/>
    <w:rsid w:val="00133650"/>
    <w:rsid w:val="00134D7C"/>
    <w:rsid w:val="0014610B"/>
    <w:rsid w:val="001469E9"/>
    <w:rsid w:val="001479D7"/>
    <w:rsid w:val="00154ADA"/>
    <w:rsid w:val="00165408"/>
    <w:rsid w:val="00166137"/>
    <w:rsid w:val="001671FD"/>
    <w:rsid w:val="00167C3F"/>
    <w:rsid w:val="00182BDB"/>
    <w:rsid w:val="001A4BEB"/>
    <w:rsid w:val="001A54BC"/>
    <w:rsid w:val="001B1AA6"/>
    <w:rsid w:val="001B1F61"/>
    <w:rsid w:val="001B4024"/>
    <w:rsid w:val="001B49A1"/>
    <w:rsid w:val="001C353B"/>
    <w:rsid w:val="001D0714"/>
    <w:rsid w:val="001D2295"/>
    <w:rsid w:val="001D46A3"/>
    <w:rsid w:val="001E1DBC"/>
    <w:rsid w:val="001E2F6F"/>
    <w:rsid w:val="001E45AE"/>
    <w:rsid w:val="001E474F"/>
    <w:rsid w:val="001F6D6A"/>
    <w:rsid w:val="0020419B"/>
    <w:rsid w:val="00204E12"/>
    <w:rsid w:val="0020746D"/>
    <w:rsid w:val="002238BB"/>
    <w:rsid w:val="0022535F"/>
    <w:rsid w:val="0023289F"/>
    <w:rsid w:val="00233E0F"/>
    <w:rsid w:val="00241485"/>
    <w:rsid w:val="00241DAC"/>
    <w:rsid w:val="00243202"/>
    <w:rsid w:val="002461FC"/>
    <w:rsid w:val="00253B47"/>
    <w:rsid w:val="00271F57"/>
    <w:rsid w:val="002742FD"/>
    <w:rsid w:val="00274FD7"/>
    <w:rsid w:val="00277009"/>
    <w:rsid w:val="00293ACA"/>
    <w:rsid w:val="002A0C54"/>
    <w:rsid w:val="002A57AC"/>
    <w:rsid w:val="002A587F"/>
    <w:rsid w:val="002A5D71"/>
    <w:rsid w:val="002B2DCE"/>
    <w:rsid w:val="002B382B"/>
    <w:rsid w:val="002B4B7D"/>
    <w:rsid w:val="002C06D7"/>
    <w:rsid w:val="002C0BAA"/>
    <w:rsid w:val="002C6741"/>
    <w:rsid w:val="002C7122"/>
    <w:rsid w:val="002D6873"/>
    <w:rsid w:val="002E6317"/>
    <w:rsid w:val="002E6C1A"/>
    <w:rsid w:val="002F408F"/>
    <w:rsid w:val="00301DAC"/>
    <w:rsid w:val="00303EDD"/>
    <w:rsid w:val="003116A9"/>
    <w:rsid w:val="00314AD9"/>
    <w:rsid w:val="00320B22"/>
    <w:rsid w:val="003215DD"/>
    <w:rsid w:val="003345D4"/>
    <w:rsid w:val="00342C11"/>
    <w:rsid w:val="00344AA6"/>
    <w:rsid w:val="003454AE"/>
    <w:rsid w:val="00345931"/>
    <w:rsid w:val="0035634D"/>
    <w:rsid w:val="00360B82"/>
    <w:rsid w:val="00363055"/>
    <w:rsid w:val="00363B20"/>
    <w:rsid w:val="00363F01"/>
    <w:rsid w:val="00367903"/>
    <w:rsid w:val="00370DC4"/>
    <w:rsid w:val="003769DC"/>
    <w:rsid w:val="00380616"/>
    <w:rsid w:val="003866A8"/>
    <w:rsid w:val="003A09B3"/>
    <w:rsid w:val="003A6382"/>
    <w:rsid w:val="003A7C8D"/>
    <w:rsid w:val="003A7F94"/>
    <w:rsid w:val="003B07DA"/>
    <w:rsid w:val="003C4E38"/>
    <w:rsid w:val="003D286B"/>
    <w:rsid w:val="003E0439"/>
    <w:rsid w:val="003E091E"/>
    <w:rsid w:val="00406A61"/>
    <w:rsid w:val="00414D3F"/>
    <w:rsid w:val="004207E4"/>
    <w:rsid w:val="00424952"/>
    <w:rsid w:val="0044363E"/>
    <w:rsid w:val="00445F78"/>
    <w:rsid w:val="00463B1E"/>
    <w:rsid w:val="00465115"/>
    <w:rsid w:val="004655CF"/>
    <w:rsid w:val="004678D4"/>
    <w:rsid w:val="0048017B"/>
    <w:rsid w:val="004839D1"/>
    <w:rsid w:val="00486210"/>
    <w:rsid w:val="00487561"/>
    <w:rsid w:val="004877E9"/>
    <w:rsid w:val="00496F3D"/>
    <w:rsid w:val="00497E22"/>
    <w:rsid w:val="004A4B0C"/>
    <w:rsid w:val="004B24A9"/>
    <w:rsid w:val="004B47D3"/>
    <w:rsid w:val="004B4A94"/>
    <w:rsid w:val="004C37AF"/>
    <w:rsid w:val="004C5AB0"/>
    <w:rsid w:val="004C66A7"/>
    <w:rsid w:val="004D3187"/>
    <w:rsid w:val="004D671E"/>
    <w:rsid w:val="004E05D1"/>
    <w:rsid w:val="004E6CA2"/>
    <w:rsid w:val="004F1988"/>
    <w:rsid w:val="004F2B5E"/>
    <w:rsid w:val="00504FDF"/>
    <w:rsid w:val="00527B08"/>
    <w:rsid w:val="00531300"/>
    <w:rsid w:val="00532720"/>
    <w:rsid w:val="005410F6"/>
    <w:rsid w:val="0054283A"/>
    <w:rsid w:val="00543DB3"/>
    <w:rsid w:val="00547544"/>
    <w:rsid w:val="00553C35"/>
    <w:rsid w:val="005606D8"/>
    <w:rsid w:val="00560AEC"/>
    <w:rsid w:val="00563835"/>
    <w:rsid w:val="0057278A"/>
    <w:rsid w:val="00573502"/>
    <w:rsid w:val="00574328"/>
    <w:rsid w:val="005826F6"/>
    <w:rsid w:val="00586D0C"/>
    <w:rsid w:val="0059770E"/>
    <w:rsid w:val="005A2577"/>
    <w:rsid w:val="005B0BDC"/>
    <w:rsid w:val="005B33CE"/>
    <w:rsid w:val="005B52AD"/>
    <w:rsid w:val="005C2A08"/>
    <w:rsid w:val="005C50C9"/>
    <w:rsid w:val="005C57FA"/>
    <w:rsid w:val="005C646D"/>
    <w:rsid w:val="005D05DA"/>
    <w:rsid w:val="005E0269"/>
    <w:rsid w:val="005E533D"/>
    <w:rsid w:val="005E646E"/>
    <w:rsid w:val="005E680D"/>
    <w:rsid w:val="005E7272"/>
    <w:rsid w:val="005F25FF"/>
    <w:rsid w:val="005F360C"/>
    <w:rsid w:val="0060147A"/>
    <w:rsid w:val="00606305"/>
    <w:rsid w:val="00606496"/>
    <w:rsid w:val="00606818"/>
    <w:rsid w:val="006076CB"/>
    <w:rsid w:val="006079E7"/>
    <w:rsid w:val="00616E78"/>
    <w:rsid w:val="00632078"/>
    <w:rsid w:val="006422B6"/>
    <w:rsid w:val="006479FB"/>
    <w:rsid w:val="006508B7"/>
    <w:rsid w:val="00652208"/>
    <w:rsid w:val="0065640A"/>
    <w:rsid w:val="006602E1"/>
    <w:rsid w:val="00661873"/>
    <w:rsid w:val="00662875"/>
    <w:rsid w:val="00662ADD"/>
    <w:rsid w:val="00667D0C"/>
    <w:rsid w:val="00672D5D"/>
    <w:rsid w:val="00674504"/>
    <w:rsid w:val="00676844"/>
    <w:rsid w:val="00677327"/>
    <w:rsid w:val="00681C9E"/>
    <w:rsid w:val="00693D26"/>
    <w:rsid w:val="006B526B"/>
    <w:rsid w:val="006C02BC"/>
    <w:rsid w:val="006C1D53"/>
    <w:rsid w:val="006C23B4"/>
    <w:rsid w:val="006C3CD7"/>
    <w:rsid w:val="006D3865"/>
    <w:rsid w:val="006E4914"/>
    <w:rsid w:val="006F5957"/>
    <w:rsid w:val="006F637E"/>
    <w:rsid w:val="00701778"/>
    <w:rsid w:val="00702673"/>
    <w:rsid w:val="00710AB1"/>
    <w:rsid w:val="00710E83"/>
    <w:rsid w:val="00713DEE"/>
    <w:rsid w:val="00716E82"/>
    <w:rsid w:val="007306AA"/>
    <w:rsid w:val="00741F8A"/>
    <w:rsid w:val="0075035E"/>
    <w:rsid w:val="00752971"/>
    <w:rsid w:val="00753F97"/>
    <w:rsid w:val="00756B20"/>
    <w:rsid w:val="007617B2"/>
    <w:rsid w:val="00762438"/>
    <w:rsid w:val="007662DF"/>
    <w:rsid w:val="007720FC"/>
    <w:rsid w:val="00776042"/>
    <w:rsid w:val="00780946"/>
    <w:rsid w:val="00782284"/>
    <w:rsid w:val="007864F9"/>
    <w:rsid w:val="00792FA9"/>
    <w:rsid w:val="0079606E"/>
    <w:rsid w:val="007974FB"/>
    <w:rsid w:val="007A0308"/>
    <w:rsid w:val="007A2C2B"/>
    <w:rsid w:val="007A74C3"/>
    <w:rsid w:val="007B0C83"/>
    <w:rsid w:val="007C3C45"/>
    <w:rsid w:val="007C52E2"/>
    <w:rsid w:val="007D1847"/>
    <w:rsid w:val="007D39A5"/>
    <w:rsid w:val="007D723A"/>
    <w:rsid w:val="007E1491"/>
    <w:rsid w:val="007F092A"/>
    <w:rsid w:val="007F6DF1"/>
    <w:rsid w:val="007F6E82"/>
    <w:rsid w:val="0080358C"/>
    <w:rsid w:val="008055C3"/>
    <w:rsid w:val="008121F8"/>
    <w:rsid w:val="008200D4"/>
    <w:rsid w:val="008210BD"/>
    <w:rsid w:val="008231EA"/>
    <w:rsid w:val="00824963"/>
    <w:rsid w:val="008252E7"/>
    <w:rsid w:val="00855FC2"/>
    <w:rsid w:val="008561AA"/>
    <w:rsid w:val="00860D0A"/>
    <w:rsid w:val="00871F4D"/>
    <w:rsid w:val="008800AF"/>
    <w:rsid w:val="00883423"/>
    <w:rsid w:val="008912C9"/>
    <w:rsid w:val="008941D9"/>
    <w:rsid w:val="008A26F5"/>
    <w:rsid w:val="008B0CAC"/>
    <w:rsid w:val="008B30CC"/>
    <w:rsid w:val="008C08EC"/>
    <w:rsid w:val="008C33DE"/>
    <w:rsid w:val="008C60C3"/>
    <w:rsid w:val="008D071D"/>
    <w:rsid w:val="008D642C"/>
    <w:rsid w:val="008E35B9"/>
    <w:rsid w:val="008F5BA1"/>
    <w:rsid w:val="00901300"/>
    <w:rsid w:val="009058F4"/>
    <w:rsid w:val="009059AB"/>
    <w:rsid w:val="009166F9"/>
    <w:rsid w:val="00921748"/>
    <w:rsid w:val="00923FF3"/>
    <w:rsid w:val="009271A7"/>
    <w:rsid w:val="00934483"/>
    <w:rsid w:val="00936F34"/>
    <w:rsid w:val="00944643"/>
    <w:rsid w:val="009533AC"/>
    <w:rsid w:val="00954DDB"/>
    <w:rsid w:val="009614E1"/>
    <w:rsid w:val="00961657"/>
    <w:rsid w:val="009628D7"/>
    <w:rsid w:val="0096767B"/>
    <w:rsid w:val="00974159"/>
    <w:rsid w:val="0097508B"/>
    <w:rsid w:val="00975C05"/>
    <w:rsid w:val="009772C4"/>
    <w:rsid w:val="00980436"/>
    <w:rsid w:val="00985E4A"/>
    <w:rsid w:val="00990592"/>
    <w:rsid w:val="009B0607"/>
    <w:rsid w:val="009B29B7"/>
    <w:rsid w:val="009B47DC"/>
    <w:rsid w:val="009C0485"/>
    <w:rsid w:val="009C58CD"/>
    <w:rsid w:val="009E1631"/>
    <w:rsid w:val="009F05D5"/>
    <w:rsid w:val="009F08B6"/>
    <w:rsid w:val="009F0922"/>
    <w:rsid w:val="009F24C3"/>
    <w:rsid w:val="009F51CF"/>
    <w:rsid w:val="009F543C"/>
    <w:rsid w:val="009F7082"/>
    <w:rsid w:val="00A02FED"/>
    <w:rsid w:val="00A160B3"/>
    <w:rsid w:val="00A228FD"/>
    <w:rsid w:val="00A22FD4"/>
    <w:rsid w:val="00A25AF8"/>
    <w:rsid w:val="00A264EE"/>
    <w:rsid w:val="00A31B47"/>
    <w:rsid w:val="00A437A5"/>
    <w:rsid w:val="00A47E4B"/>
    <w:rsid w:val="00A50F21"/>
    <w:rsid w:val="00A5652A"/>
    <w:rsid w:val="00A71991"/>
    <w:rsid w:val="00A77EC0"/>
    <w:rsid w:val="00A95F84"/>
    <w:rsid w:val="00AA03E7"/>
    <w:rsid w:val="00AA1C22"/>
    <w:rsid w:val="00AA20BD"/>
    <w:rsid w:val="00AA2ADE"/>
    <w:rsid w:val="00AA503A"/>
    <w:rsid w:val="00AA51EB"/>
    <w:rsid w:val="00AA7826"/>
    <w:rsid w:val="00AB3860"/>
    <w:rsid w:val="00AB3DC0"/>
    <w:rsid w:val="00AB6A0C"/>
    <w:rsid w:val="00AC06DF"/>
    <w:rsid w:val="00AC1608"/>
    <w:rsid w:val="00AC184D"/>
    <w:rsid w:val="00AC60FB"/>
    <w:rsid w:val="00AC6DFA"/>
    <w:rsid w:val="00AD2E37"/>
    <w:rsid w:val="00AE02A9"/>
    <w:rsid w:val="00AE4ADB"/>
    <w:rsid w:val="00AE546B"/>
    <w:rsid w:val="00AE5F01"/>
    <w:rsid w:val="00AE729D"/>
    <w:rsid w:val="00AF229A"/>
    <w:rsid w:val="00AF2E8E"/>
    <w:rsid w:val="00B05E54"/>
    <w:rsid w:val="00B07ECB"/>
    <w:rsid w:val="00B17935"/>
    <w:rsid w:val="00B30031"/>
    <w:rsid w:val="00B320A5"/>
    <w:rsid w:val="00B3230E"/>
    <w:rsid w:val="00B346E0"/>
    <w:rsid w:val="00B34C29"/>
    <w:rsid w:val="00B448AC"/>
    <w:rsid w:val="00B538AE"/>
    <w:rsid w:val="00B676BE"/>
    <w:rsid w:val="00B74E91"/>
    <w:rsid w:val="00B82389"/>
    <w:rsid w:val="00B92FFB"/>
    <w:rsid w:val="00B9381F"/>
    <w:rsid w:val="00B95182"/>
    <w:rsid w:val="00BA66FD"/>
    <w:rsid w:val="00BC7CCD"/>
    <w:rsid w:val="00C05D9C"/>
    <w:rsid w:val="00C0725A"/>
    <w:rsid w:val="00C13CC2"/>
    <w:rsid w:val="00C2190D"/>
    <w:rsid w:val="00C23067"/>
    <w:rsid w:val="00C252D4"/>
    <w:rsid w:val="00C32D45"/>
    <w:rsid w:val="00C34DD7"/>
    <w:rsid w:val="00C350B3"/>
    <w:rsid w:val="00C37F6D"/>
    <w:rsid w:val="00C42E5F"/>
    <w:rsid w:val="00C52D1D"/>
    <w:rsid w:val="00C54D20"/>
    <w:rsid w:val="00C57B2B"/>
    <w:rsid w:val="00C6292A"/>
    <w:rsid w:val="00C76CE3"/>
    <w:rsid w:val="00CA1B04"/>
    <w:rsid w:val="00CA2C5A"/>
    <w:rsid w:val="00CA4002"/>
    <w:rsid w:val="00CA42E5"/>
    <w:rsid w:val="00CA56FB"/>
    <w:rsid w:val="00CB3CD1"/>
    <w:rsid w:val="00CB48BD"/>
    <w:rsid w:val="00CD38F5"/>
    <w:rsid w:val="00CD689D"/>
    <w:rsid w:val="00CD6BCF"/>
    <w:rsid w:val="00CF14B3"/>
    <w:rsid w:val="00CF264F"/>
    <w:rsid w:val="00CF64C5"/>
    <w:rsid w:val="00CF7AE5"/>
    <w:rsid w:val="00D105C2"/>
    <w:rsid w:val="00D10DF5"/>
    <w:rsid w:val="00D13EBA"/>
    <w:rsid w:val="00D15F88"/>
    <w:rsid w:val="00D2349F"/>
    <w:rsid w:val="00D266CE"/>
    <w:rsid w:val="00D528F8"/>
    <w:rsid w:val="00D60476"/>
    <w:rsid w:val="00D66D38"/>
    <w:rsid w:val="00D711BA"/>
    <w:rsid w:val="00D73BDC"/>
    <w:rsid w:val="00D75537"/>
    <w:rsid w:val="00D8055A"/>
    <w:rsid w:val="00D9702B"/>
    <w:rsid w:val="00DC12B5"/>
    <w:rsid w:val="00DC61B0"/>
    <w:rsid w:val="00DD10E2"/>
    <w:rsid w:val="00DD4444"/>
    <w:rsid w:val="00DD61BA"/>
    <w:rsid w:val="00DE1097"/>
    <w:rsid w:val="00DF10B7"/>
    <w:rsid w:val="00DF470D"/>
    <w:rsid w:val="00DF64BC"/>
    <w:rsid w:val="00E00687"/>
    <w:rsid w:val="00E01A15"/>
    <w:rsid w:val="00E06F31"/>
    <w:rsid w:val="00E11702"/>
    <w:rsid w:val="00E171BC"/>
    <w:rsid w:val="00E251B7"/>
    <w:rsid w:val="00E26013"/>
    <w:rsid w:val="00E40884"/>
    <w:rsid w:val="00E425DA"/>
    <w:rsid w:val="00E44831"/>
    <w:rsid w:val="00E4576A"/>
    <w:rsid w:val="00E45D65"/>
    <w:rsid w:val="00E472F5"/>
    <w:rsid w:val="00E5133F"/>
    <w:rsid w:val="00E5343F"/>
    <w:rsid w:val="00E54BB8"/>
    <w:rsid w:val="00E55397"/>
    <w:rsid w:val="00E5791E"/>
    <w:rsid w:val="00E6355A"/>
    <w:rsid w:val="00E63833"/>
    <w:rsid w:val="00E6650F"/>
    <w:rsid w:val="00E71F53"/>
    <w:rsid w:val="00E74609"/>
    <w:rsid w:val="00E74D23"/>
    <w:rsid w:val="00E770BE"/>
    <w:rsid w:val="00E777CC"/>
    <w:rsid w:val="00E84910"/>
    <w:rsid w:val="00E95AA6"/>
    <w:rsid w:val="00EA0391"/>
    <w:rsid w:val="00EA1BA2"/>
    <w:rsid w:val="00EA3FDF"/>
    <w:rsid w:val="00EA5145"/>
    <w:rsid w:val="00EB3742"/>
    <w:rsid w:val="00EB5A01"/>
    <w:rsid w:val="00EB72D0"/>
    <w:rsid w:val="00EC686E"/>
    <w:rsid w:val="00EC7541"/>
    <w:rsid w:val="00EE75DB"/>
    <w:rsid w:val="00EF4819"/>
    <w:rsid w:val="00F00774"/>
    <w:rsid w:val="00F038D8"/>
    <w:rsid w:val="00F26A11"/>
    <w:rsid w:val="00F44358"/>
    <w:rsid w:val="00F513EB"/>
    <w:rsid w:val="00F520E0"/>
    <w:rsid w:val="00F52A5E"/>
    <w:rsid w:val="00F56922"/>
    <w:rsid w:val="00F62EBD"/>
    <w:rsid w:val="00F6395F"/>
    <w:rsid w:val="00F70483"/>
    <w:rsid w:val="00F70820"/>
    <w:rsid w:val="00F81289"/>
    <w:rsid w:val="00F950E0"/>
    <w:rsid w:val="00FA5409"/>
    <w:rsid w:val="00FA6B77"/>
    <w:rsid w:val="00FB3A9F"/>
    <w:rsid w:val="00FD267F"/>
    <w:rsid w:val="00FD52DB"/>
    <w:rsid w:val="00FD5A12"/>
    <w:rsid w:val="00FE2F50"/>
    <w:rsid w:val="00FE4012"/>
    <w:rsid w:val="00FE45FD"/>
    <w:rsid w:val="00FE56FE"/>
    <w:rsid w:val="00FE5CEF"/>
    <w:rsid w:val="00FE5FC4"/>
    <w:rsid w:val="00FF0129"/>
    <w:rsid w:val="00FF1A75"/>
    <w:rsid w:val="00FF27D5"/>
    <w:rsid w:val="00FF4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D7884"/>
  <w15:chartTrackingRefBased/>
  <w15:docId w15:val="{B84C95A0-1A77-CF49-893C-F6BC43F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3EB"/>
    <w:pPr>
      <w:tabs>
        <w:tab w:val="center" w:pos="4419"/>
        <w:tab w:val="right" w:pos="8838"/>
      </w:tabs>
    </w:pPr>
  </w:style>
  <w:style w:type="character" w:customStyle="1" w:styleId="EncabezadoCar">
    <w:name w:val="Encabezado Car"/>
    <w:basedOn w:val="Fuentedeprrafopredeter"/>
    <w:link w:val="Encabezado"/>
    <w:uiPriority w:val="99"/>
    <w:rsid w:val="00F513EB"/>
  </w:style>
  <w:style w:type="paragraph" w:styleId="Piedepgina">
    <w:name w:val="footer"/>
    <w:basedOn w:val="Normal"/>
    <w:link w:val="PiedepginaCar"/>
    <w:uiPriority w:val="99"/>
    <w:unhideWhenUsed/>
    <w:rsid w:val="00F513EB"/>
    <w:pPr>
      <w:tabs>
        <w:tab w:val="center" w:pos="4419"/>
        <w:tab w:val="right" w:pos="8838"/>
      </w:tabs>
    </w:pPr>
  </w:style>
  <w:style w:type="character" w:customStyle="1" w:styleId="PiedepginaCar">
    <w:name w:val="Pie de página Car"/>
    <w:basedOn w:val="Fuentedeprrafopredeter"/>
    <w:link w:val="Piedepgina"/>
    <w:uiPriority w:val="99"/>
    <w:rsid w:val="00F513EB"/>
  </w:style>
  <w:style w:type="paragraph" w:styleId="Prrafodelista">
    <w:name w:val="List Paragraph"/>
    <w:aliases w:val="lp1,List Paragraph1,Lista vistosa - Énfasis 11,Listas,viñetas,Dot pt,No Spacing1,List Paragraph Char Char Char,Indicator Text,Numbered Para 1,Colorful List - Accent 11,Bullet 1,F5 List Paragraph,Bullet Points,4 Párrafo de lista,Figuras"/>
    <w:basedOn w:val="Normal"/>
    <w:link w:val="PrrafodelistaCar"/>
    <w:uiPriority w:val="34"/>
    <w:qFormat/>
    <w:rsid w:val="00A71991"/>
    <w:pPr>
      <w:ind w:left="720"/>
      <w:contextualSpacing/>
    </w:pPr>
  </w:style>
  <w:style w:type="character" w:styleId="Hipervnculo">
    <w:name w:val="Hyperlink"/>
    <w:basedOn w:val="Fuentedeprrafopredeter"/>
    <w:uiPriority w:val="99"/>
    <w:unhideWhenUsed/>
    <w:rsid w:val="00A71991"/>
    <w:rPr>
      <w:color w:val="0563C1" w:themeColor="hyperlink"/>
      <w:u w:val="single"/>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unhideWhenUsed/>
    <w:qFormat/>
    <w:rsid w:val="00A71991"/>
    <w:rPr>
      <w:rFonts w:eastAsiaTheme="minorEastAsia"/>
      <w:sz w:val="20"/>
      <w:szCs w:val="20"/>
      <w:lang w:val="es-ES_tradnl" w:eastAsia="es-ES"/>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A71991"/>
    <w:rPr>
      <w:rFonts w:eastAsiaTheme="minorEastAsia"/>
      <w:sz w:val="20"/>
      <w:szCs w:val="20"/>
      <w:lang w:val="es-ES_tradnl" w:eastAsia="es-ES"/>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ootnote symbol"/>
    <w:basedOn w:val="Fuentedeprrafopredeter"/>
    <w:link w:val="BVIfnrCar1CarCarCarCar"/>
    <w:uiPriority w:val="99"/>
    <w:unhideWhenUsed/>
    <w:qFormat/>
    <w:rsid w:val="00A71991"/>
    <w:rPr>
      <w:vertAlign w:val="superscript"/>
    </w:rPr>
  </w:style>
  <w:style w:type="table" w:styleId="Tablaconcuadrcula">
    <w:name w:val="Table Grid"/>
    <w:basedOn w:val="Tablanormal"/>
    <w:uiPriority w:val="39"/>
    <w:rsid w:val="00A71991"/>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76844"/>
    <w:rPr>
      <w:color w:val="605E5C"/>
      <w:shd w:val="clear" w:color="auto" w:fill="E1DFDD"/>
    </w:rPr>
  </w:style>
  <w:style w:type="table" w:styleId="Tabladecuadrcula4-nfasis2">
    <w:name w:val="Grid Table 4 Accent 2"/>
    <w:basedOn w:val="Tablanormal"/>
    <w:uiPriority w:val="49"/>
    <w:rsid w:val="00C23067"/>
    <w:rPr>
      <w:rFonts w:eastAsiaTheme="minorEastAsia"/>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012185"/>
    <w:pPr>
      <w:spacing w:before="200" w:after="160" w:line="240" w:lineRule="exact"/>
    </w:pPr>
    <w:rPr>
      <w:vertAlign w:val="superscript"/>
    </w:rPr>
  </w:style>
  <w:style w:type="character" w:customStyle="1" w:styleId="PrrafodelistaCar">
    <w:name w:val="Párrafo de lista Car"/>
    <w:aliases w:val="lp1 Car,List Paragraph1 Car,Lista vistosa - Énfasis 11 Car,Listas Car,viñetas Car,Dot pt Car,No Spacing1 Car,List Paragraph Char Char Char Car,Indicator Text Car,Numbered Para 1 Car,Colorful List - Accent 11 Car,Bullet 1 Car"/>
    <w:link w:val="Prrafodelista"/>
    <w:uiPriority w:val="34"/>
    <w:qFormat/>
    <w:locked/>
    <w:rsid w:val="00C52D1D"/>
  </w:style>
  <w:style w:type="paragraph" w:styleId="Revisin">
    <w:name w:val="Revision"/>
    <w:hidden/>
    <w:uiPriority w:val="99"/>
    <w:semiHidden/>
    <w:rsid w:val="00EB5A01"/>
  </w:style>
  <w:style w:type="paragraph" w:styleId="Cita">
    <w:name w:val="Quote"/>
    <w:basedOn w:val="Normal"/>
    <w:next w:val="Normal"/>
    <w:link w:val="CitaCar"/>
    <w:uiPriority w:val="29"/>
    <w:qFormat/>
    <w:rsid w:val="00792FA9"/>
    <w:pPr>
      <w:spacing w:before="200" w:after="160"/>
      <w:ind w:left="864" w:right="864"/>
      <w:jc w:val="center"/>
    </w:pPr>
    <w:rPr>
      <w:i/>
      <w:iCs/>
      <w:color w:val="404040" w:themeColor="text1" w:themeTint="BF"/>
      <w:lang w:val="es-ES_tradnl"/>
    </w:rPr>
  </w:style>
  <w:style w:type="character" w:customStyle="1" w:styleId="CitaCar">
    <w:name w:val="Cita Car"/>
    <w:basedOn w:val="Fuentedeprrafopredeter"/>
    <w:link w:val="Cita"/>
    <w:uiPriority w:val="29"/>
    <w:rsid w:val="00792FA9"/>
    <w:rPr>
      <w:i/>
      <w:iCs/>
      <w:color w:val="404040" w:themeColor="text1" w:themeTint="BF"/>
      <w:lang w:val="es-ES_tradnl"/>
    </w:rPr>
  </w:style>
  <w:style w:type="character" w:styleId="Refdecomentario">
    <w:name w:val="annotation reference"/>
    <w:basedOn w:val="Fuentedeprrafopredeter"/>
    <w:uiPriority w:val="99"/>
    <w:semiHidden/>
    <w:unhideWhenUsed/>
    <w:rsid w:val="00056A57"/>
    <w:rPr>
      <w:sz w:val="16"/>
      <w:szCs w:val="16"/>
    </w:rPr>
  </w:style>
  <w:style w:type="paragraph" w:styleId="Textocomentario">
    <w:name w:val="annotation text"/>
    <w:basedOn w:val="Normal"/>
    <w:link w:val="TextocomentarioCar"/>
    <w:uiPriority w:val="99"/>
    <w:semiHidden/>
    <w:unhideWhenUsed/>
    <w:rsid w:val="00056A57"/>
    <w:rPr>
      <w:sz w:val="20"/>
      <w:szCs w:val="20"/>
    </w:rPr>
  </w:style>
  <w:style w:type="character" w:customStyle="1" w:styleId="TextocomentarioCar">
    <w:name w:val="Texto comentario Car"/>
    <w:basedOn w:val="Fuentedeprrafopredeter"/>
    <w:link w:val="Textocomentario"/>
    <w:uiPriority w:val="99"/>
    <w:semiHidden/>
    <w:rsid w:val="00056A57"/>
    <w:rPr>
      <w:sz w:val="20"/>
      <w:szCs w:val="20"/>
    </w:rPr>
  </w:style>
  <w:style w:type="paragraph" w:styleId="Asuntodelcomentario">
    <w:name w:val="annotation subject"/>
    <w:basedOn w:val="Textocomentario"/>
    <w:next w:val="Textocomentario"/>
    <w:link w:val="AsuntodelcomentarioCar"/>
    <w:uiPriority w:val="99"/>
    <w:semiHidden/>
    <w:unhideWhenUsed/>
    <w:rsid w:val="00056A57"/>
    <w:rPr>
      <w:b/>
      <w:bCs/>
    </w:rPr>
  </w:style>
  <w:style w:type="character" w:customStyle="1" w:styleId="AsuntodelcomentarioCar">
    <w:name w:val="Asunto del comentario Car"/>
    <w:basedOn w:val="TextocomentarioCar"/>
    <w:link w:val="Asuntodelcomentario"/>
    <w:uiPriority w:val="99"/>
    <w:semiHidden/>
    <w:rsid w:val="00056A57"/>
    <w:rPr>
      <w:b/>
      <w:bCs/>
      <w:sz w:val="20"/>
      <w:szCs w:val="20"/>
    </w:rPr>
  </w:style>
  <w:style w:type="paragraph" w:customStyle="1" w:styleId="Default">
    <w:name w:val="Default"/>
    <w:rsid w:val="0066287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43022">
      <w:bodyDiv w:val="1"/>
      <w:marLeft w:val="0"/>
      <w:marRight w:val="0"/>
      <w:marTop w:val="0"/>
      <w:marBottom w:val="0"/>
      <w:divBdr>
        <w:top w:val="none" w:sz="0" w:space="0" w:color="auto"/>
        <w:left w:val="none" w:sz="0" w:space="0" w:color="auto"/>
        <w:bottom w:val="none" w:sz="0" w:space="0" w:color="auto"/>
        <w:right w:val="none" w:sz="0" w:space="0" w:color="auto"/>
      </w:divBdr>
    </w:div>
    <w:div w:id="813185104">
      <w:bodyDiv w:val="1"/>
      <w:marLeft w:val="0"/>
      <w:marRight w:val="0"/>
      <w:marTop w:val="0"/>
      <w:marBottom w:val="0"/>
      <w:divBdr>
        <w:top w:val="none" w:sz="0" w:space="0" w:color="auto"/>
        <w:left w:val="none" w:sz="0" w:space="0" w:color="auto"/>
        <w:bottom w:val="none" w:sz="0" w:space="0" w:color="auto"/>
        <w:right w:val="none" w:sz="0" w:space="0" w:color="auto"/>
      </w:divBdr>
    </w:div>
    <w:div w:id="1864398054">
      <w:bodyDiv w:val="1"/>
      <w:marLeft w:val="0"/>
      <w:marRight w:val="0"/>
      <w:marTop w:val="0"/>
      <w:marBottom w:val="0"/>
      <w:divBdr>
        <w:top w:val="none" w:sz="0" w:space="0" w:color="auto"/>
        <w:left w:val="none" w:sz="0" w:space="0" w:color="auto"/>
        <w:bottom w:val="none" w:sz="0" w:space="0" w:color="auto"/>
        <w:right w:val="none" w:sz="0" w:space="0" w:color="auto"/>
      </w:divBdr>
    </w:div>
    <w:div w:id="20611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pred.org.mx/userfiles/files/INFORME_DivSexGen_2016-2021%5B61%5D%20%281%29.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conapred.org.mx/userfiles/files/PRONAIND_2021-2024_final.Ax.pdf" TargetMode="External"/><Relationship Id="rId3" Type="http://schemas.openxmlformats.org/officeDocument/2006/relationships/hyperlink" Target="http://www.diputados.gob.mx/LeyesBiblio/pdf/262_210618.pdf" TargetMode="External"/><Relationship Id="rId7" Type="http://schemas.openxmlformats.org/officeDocument/2006/relationships/hyperlink" Target="https://www.dof.gob.mx/nota_detalle.php?codigo=5560669&amp;fecha=17/05/2019" TargetMode="External"/><Relationship Id="rId2" Type="http://schemas.openxmlformats.org/officeDocument/2006/relationships/hyperlink" Target="http://www.diputados.gob.mx/LeyesBiblio/pdf/1_270818.pdf" TargetMode="External"/><Relationship Id="rId1" Type="http://schemas.openxmlformats.org/officeDocument/2006/relationships/hyperlink" Target="http://www.conapred.org.mx/userfiles/files/LSD_II_Matrimonio%20y%20familias_Corre_INACCSS.pdf.pdf" TargetMode="External"/><Relationship Id="rId6" Type="http://schemas.openxmlformats.org/officeDocument/2006/relationships/hyperlink" Target="http://www.cnpj.gob.mx/normatividad/Documentos_Normatividad/Protocolo%20de%20Actuacion%20para%20el%20personal%20de%20las%20Instancias%20de%20Procuraci%C3%B3n%20de%20Justicia%20del%20Pa%C3%ADs,%20LGBTI.pdf" TargetMode="External"/><Relationship Id="rId5" Type="http://schemas.openxmlformats.org/officeDocument/2006/relationships/hyperlink" Target="http://periodico.guanajuato.gob.mx/downloadfile?dir=anio_2022&amp;file=PO_17_2da_Parte_20220125.pdf" TargetMode="External"/><Relationship Id="rId4" Type="http://schemas.openxmlformats.org/officeDocument/2006/relationships/hyperlink" Target="http://secretariageneral.durango.gob.mx/wp-content/uploads/sites/40/2022/09/PON75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9EEC731-B966-4BDA-AB19-3134469AE5E3}">
  <ds:schemaRefs>
    <ds:schemaRef ds:uri="http://schemas.openxmlformats.org/officeDocument/2006/bibliography"/>
  </ds:schemaRefs>
</ds:datastoreItem>
</file>

<file path=customXml/itemProps2.xml><?xml version="1.0" encoding="utf-8"?>
<ds:datastoreItem xmlns:ds="http://schemas.openxmlformats.org/officeDocument/2006/customXml" ds:itemID="{17B570A5-B4C4-417D-B673-D5874067E8C6}"/>
</file>

<file path=customXml/itemProps3.xml><?xml version="1.0" encoding="utf-8"?>
<ds:datastoreItem xmlns:ds="http://schemas.openxmlformats.org/officeDocument/2006/customXml" ds:itemID="{19B54805-B16F-4779-A72D-513A53077F69}"/>
</file>

<file path=customXml/itemProps4.xml><?xml version="1.0" encoding="utf-8"?>
<ds:datastoreItem xmlns:ds="http://schemas.openxmlformats.org/officeDocument/2006/customXml" ds:itemID="{A3FF46E2-B51B-4DA4-9392-D5EBC775EC14}"/>
</file>

<file path=docProps/app.xml><?xml version="1.0" encoding="utf-8"?>
<Properties xmlns="http://schemas.openxmlformats.org/officeDocument/2006/extended-properties" xmlns:vt="http://schemas.openxmlformats.org/officeDocument/2006/docPropsVTypes">
  <Template>Normal</Template>
  <TotalTime>7</TotalTime>
  <Pages>9</Pages>
  <Words>3032</Words>
  <Characters>16682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diseno2</dc:creator>
  <cp:keywords/>
  <dc:description/>
  <cp:lastModifiedBy>Alcazar Ylizaliturri, Jessica</cp:lastModifiedBy>
  <cp:revision>7</cp:revision>
  <cp:lastPrinted>2020-01-08T16:46:00Z</cp:lastPrinted>
  <dcterms:created xsi:type="dcterms:W3CDTF">2023-05-23T22:43:00Z</dcterms:created>
  <dcterms:modified xsi:type="dcterms:W3CDTF">2023-05-23T22:50:00Z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