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E503" w14:textId="203FA29C" w:rsidR="00383A56" w:rsidRDefault="00647E15">
      <w:r>
        <w:rPr>
          <w:noProof/>
        </w:rPr>
        <w:drawing>
          <wp:anchor distT="0" distB="0" distL="0" distR="0" simplePos="0" relativeHeight="251657216" behindDoc="1" locked="0" layoutInCell="1" hidden="0" allowOverlap="1" wp14:anchorId="082EE527" wp14:editId="1F9EB1C0">
            <wp:simplePos x="0" y="0"/>
            <wp:positionH relativeFrom="margin">
              <wp:posOffset>-635</wp:posOffset>
            </wp:positionH>
            <wp:positionV relativeFrom="paragraph">
              <wp:posOffset>504825</wp:posOffset>
            </wp:positionV>
            <wp:extent cx="2743200" cy="1290320"/>
            <wp:effectExtent l="0" t="0" r="0" b="508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743200" cy="1290320"/>
                    </a:xfrm>
                    <a:prstGeom prst="rect">
                      <a:avLst/>
                    </a:prstGeom>
                    <a:ln/>
                  </pic:spPr>
                </pic:pic>
              </a:graphicData>
            </a:graphic>
          </wp:anchor>
        </w:drawing>
      </w:r>
      <w:r w:rsidR="00685614">
        <w:rPr>
          <w:sz w:val="36"/>
          <w:szCs w:val="36"/>
        </w:rPr>
        <w:t xml:space="preserve">Input to the report on gender, sexual </w:t>
      </w:r>
      <w:proofErr w:type="gramStart"/>
      <w:r w:rsidR="00685614">
        <w:rPr>
          <w:sz w:val="36"/>
          <w:szCs w:val="36"/>
        </w:rPr>
        <w:t>orientation</w:t>
      </w:r>
      <w:proofErr w:type="gramEnd"/>
      <w:r w:rsidR="00685614">
        <w:rPr>
          <w:sz w:val="36"/>
          <w:szCs w:val="36"/>
        </w:rPr>
        <w:t xml:space="preserve"> and gender identity</w:t>
      </w:r>
    </w:p>
    <w:p w14:paraId="082EE504" w14:textId="77777777" w:rsidR="00383A56" w:rsidRDefault="00685614">
      <w:pPr>
        <w:jc w:val="right"/>
        <w:rPr>
          <w:b/>
        </w:rPr>
      </w:pPr>
      <w:r>
        <w:rPr>
          <w:b/>
        </w:rPr>
        <w:t>Commentary by LGBT-Initiative group “Coming Out”</w:t>
      </w:r>
      <w:r>
        <w:rPr>
          <w:b/>
          <w:vertAlign w:val="superscript"/>
        </w:rPr>
        <w:footnoteReference w:id="1"/>
      </w:r>
    </w:p>
    <w:p w14:paraId="082EE505" w14:textId="77777777" w:rsidR="00383A56" w:rsidRDefault="00685614">
      <w:pPr>
        <w:jc w:val="right"/>
        <w:rPr>
          <w:b/>
        </w:rPr>
      </w:pPr>
      <w:r>
        <w:rPr>
          <w:b/>
        </w:rPr>
        <w:t>For Independent Expert on protection against</w:t>
      </w:r>
      <w:r>
        <w:rPr>
          <w:b/>
        </w:rPr>
        <w:br/>
        <w:t xml:space="preserve">violence and discrimination based on </w:t>
      </w:r>
      <w:r>
        <w:rPr>
          <w:b/>
        </w:rPr>
        <w:br/>
      </w:r>
      <w:r>
        <w:rPr>
          <w:b/>
        </w:rPr>
        <w:t>sexual orientation and gender identity</w:t>
      </w:r>
    </w:p>
    <w:p w14:paraId="082EE506" w14:textId="77777777" w:rsidR="00383A56" w:rsidRDefault="00383A56">
      <w:pPr>
        <w:spacing w:after="0" w:line="285" w:lineRule="auto"/>
        <w:ind w:right="7"/>
        <w:rPr>
          <w:rFonts w:ascii="Times New Roman" w:eastAsia="Times New Roman" w:hAnsi="Times New Roman" w:cs="Times New Roman"/>
        </w:rPr>
      </w:pPr>
    </w:p>
    <w:p w14:paraId="1E7F0446" w14:textId="77777777" w:rsidR="0038109A" w:rsidRDefault="0038109A">
      <w:pPr>
        <w:spacing w:after="0" w:line="285" w:lineRule="auto"/>
        <w:ind w:right="7"/>
        <w:rPr>
          <w:rFonts w:ascii="Times New Roman" w:eastAsia="Times New Roman" w:hAnsi="Times New Roman" w:cs="Times New Roman"/>
        </w:rPr>
      </w:pPr>
    </w:p>
    <w:p w14:paraId="082EE507" w14:textId="70C9A3D3" w:rsidR="00383A56" w:rsidRPr="00FD5594" w:rsidRDefault="00685614">
      <w:pPr>
        <w:spacing w:after="0" w:line="285" w:lineRule="auto"/>
        <w:ind w:right="7"/>
        <w:rPr>
          <w:rFonts w:ascii="Times New Roman" w:eastAsia="Times New Roman" w:hAnsi="Times New Roman" w:cs="Times New Roman"/>
          <w:i/>
          <w:iCs/>
        </w:rPr>
      </w:pPr>
      <w:r w:rsidRPr="00FD5594">
        <w:rPr>
          <w:rFonts w:ascii="Times New Roman" w:eastAsia="Times New Roman" w:hAnsi="Times New Roman" w:cs="Times New Roman"/>
          <w:i/>
          <w:iCs/>
        </w:rPr>
        <w:t>Russian Ministry of the Justice added Coming Out to the list of so called “foreign agents”, and we must write about it in our reports</w:t>
      </w:r>
      <w:r w:rsidR="00286D09">
        <w:rPr>
          <w:rFonts w:ascii="Times New Roman" w:eastAsia="Times New Roman" w:hAnsi="Times New Roman" w:cs="Times New Roman"/>
          <w:i/>
          <w:iCs/>
        </w:rPr>
        <w:t xml:space="preserve"> – so it is.</w:t>
      </w:r>
    </w:p>
    <w:p w14:paraId="57EFC9C4" w14:textId="77777777" w:rsidR="00147044" w:rsidRDefault="00147044">
      <w:pPr>
        <w:spacing w:after="0" w:line="285" w:lineRule="auto"/>
        <w:ind w:right="7"/>
        <w:rPr>
          <w:rFonts w:ascii="Times New Roman" w:eastAsia="Times New Roman" w:hAnsi="Times New Roman" w:cs="Times New Roman"/>
        </w:rPr>
      </w:pPr>
    </w:p>
    <w:p w14:paraId="706ABCD8" w14:textId="77777777" w:rsidR="00484732" w:rsidRDefault="00484732">
      <w:pPr>
        <w:spacing w:after="0" w:line="285" w:lineRule="auto"/>
        <w:ind w:right="7"/>
        <w:rPr>
          <w:rFonts w:ascii="Times New Roman" w:eastAsia="Times New Roman" w:hAnsi="Times New Roman" w:cs="Times New Roman"/>
        </w:rPr>
      </w:pPr>
    </w:p>
    <w:p w14:paraId="2FED119D" w14:textId="081AA6D7" w:rsidR="00484732" w:rsidRPr="00F2117B" w:rsidRDefault="00484732">
      <w:pPr>
        <w:jc w:val="both"/>
        <w:rPr>
          <w:b/>
          <w:bCs/>
          <w:iCs/>
          <w:sz w:val="21"/>
          <w:szCs w:val="21"/>
        </w:rPr>
      </w:pPr>
      <w:r w:rsidRPr="00F2117B">
        <w:rPr>
          <w:rFonts w:ascii="Verdana" w:eastAsia="Verdana" w:hAnsi="Verdana" w:cs="Verdana"/>
          <w:b/>
          <w:bCs/>
          <w:iCs/>
          <w:sz w:val="21"/>
          <w:szCs w:val="21"/>
        </w:rPr>
        <w:t>Research: understanding the health care needs of LGTBI and GNC people</w:t>
      </w:r>
      <w:r w:rsidR="00685614" w:rsidRPr="00F2117B">
        <w:rPr>
          <w:b/>
          <w:bCs/>
          <w:iCs/>
          <w:sz w:val="21"/>
          <w:szCs w:val="21"/>
        </w:rPr>
        <w:t xml:space="preserve">  </w:t>
      </w:r>
    </w:p>
    <w:p w14:paraId="082EE511" w14:textId="7066B9A6" w:rsidR="00383A56" w:rsidRPr="00F2117B" w:rsidRDefault="009425B4">
      <w:pPr>
        <w:jc w:val="both"/>
        <w:rPr>
          <w:sz w:val="21"/>
          <w:szCs w:val="21"/>
        </w:rPr>
      </w:pPr>
      <w:r w:rsidRPr="00F2117B">
        <w:rPr>
          <w:sz w:val="21"/>
          <w:szCs w:val="21"/>
        </w:rPr>
        <w:t>T</w:t>
      </w:r>
      <w:r w:rsidR="00685614" w:rsidRPr="00F2117B">
        <w:rPr>
          <w:sz w:val="21"/>
          <w:szCs w:val="21"/>
        </w:rPr>
        <w:t>he Russian government prefers not to identify LGBT* people as a social group, thus, from the State’s point of view there cannot be any</w:t>
      </w:r>
      <w:r w:rsidR="00685614" w:rsidRPr="00F2117B">
        <w:rPr>
          <w:sz w:val="21"/>
          <w:szCs w:val="21"/>
        </w:rPr>
        <w:t xml:space="preserve"> “extra” vulnerability, and the problems of LGBT* people are almost invisible to the authorities. The State does not collect any information about the health condition </w:t>
      </w:r>
      <w:r w:rsidR="00647E15" w:rsidRPr="00F2117B">
        <w:rPr>
          <w:sz w:val="21"/>
          <w:szCs w:val="21"/>
        </w:rPr>
        <w:t>of</w:t>
      </w:r>
      <w:r w:rsidR="00685614" w:rsidRPr="00F2117B">
        <w:rPr>
          <w:sz w:val="21"/>
          <w:szCs w:val="21"/>
        </w:rPr>
        <w:t xml:space="preserve"> LGBT* people, about their needs and vulnerabilitie</w:t>
      </w:r>
      <w:r w:rsidR="00685614" w:rsidRPr="00F2117B">
        <w:rPr>
          <w:sz w:val="21"/>
          <w:szCs w:val="21"/>
        </w:rPr>
        <w:t xml:space="preserve">s, because the State does not perceive LGBT* as a social group with specific characteristics and needs. The only source of </w:t>
      </w:r>
      <w:r w:rsidR="00484732" w:rsidRPr="00F2117B">
        <w:rPr>
          <w:sz w:val="21"/>
          <w:szCs w:val="21"/>
        </w:rPr>
        <w:t>data</w:t>
      </w:r>
      <w:r w:rsidR="00685614" w:rsidRPr="00F2117B">
        <w:rPr>
          <w:sz w:val="21"/>
          <w:szCs w:val="21"/>
        </w:rPr>
        <w:t xml:space="preserve"> </w:t>
      </w:r>
      <w:r w:rsidR="00484732" w:rsidRPr="00F2117B">
        <w:rPr>
          <w:sz w:val="21"/>
          <w:szCs w:val="21"/>
        </w:rPr>
        <w:t>about</w:t>
      </w:r>
      <w:r w:rsidR="00685614" w:rsidRPr="00F2117B">
        <w:rPr>
          <w:sz w:val="21"/>
          <w:szCs w:val="21"/>
        </w:rPr>
        <w:t xml:space="preserve"> LGBT* people are nongovernmental organizations, civil society associations and grassroots LGBT* initiatives.</w:t>
      </w:r>
    </w:p>
    <w:p w14:paraId="082EE512" w14:textId="77777777" w:rsidR="00383A56" w:rsidRPr="00F2117B" w:rsidRDefault="00383A56">
      <w:pPr>
        <w:rPr>
          <w:sz w:val="21"/>
          <w:szCs w:val="21"/>
        </w:rPr>
      </w:pPr>
    </w:p>
    <w:p w14:paraId="082EE514" w14:textId="0BEB42A3" w:rsidR="00383A56" w:rsidRPr="00F2117B" w:rsidRDefault="005C1730">
      <w:pPr>
        <w:jc w:val="both"/>
        <w:rPr>
          <w:sz w:val="21"/>
          <w:szCs w:val="21"/>
        </w:rPr>
      </w:pPr>
      <w:r w:rsidRPr="00F2117B">
        <w:rPr>
          <w:rStyle w:val="a6"/>
          <w:rFonts w:ascii="Verdana" w:hAnsi="Verdana"/>
          <w:color w:val="000000"/>
          <w:sz w:val="21"/>
          <w:szCs w:val="21"/>
          <w:shd w:val="clear" w:color="auto" w:fill="FFFFFF"/>
        </w:rPr>
        <w:t>Inclusion: LGTBI and GNC people in the decision-making process</w:t>
      </w:r>
    </w:p>
    <w:p w14:paraId="082EE515" w14:textId="101DA7F9" w:rsidR="00383A56" w:rsidRPr="00F2117B" w:rsidRDefault="00685614">
      <w:pPr>
        <w:jc w:val="both"/>
        <w:rPr>
          <w:sz w:val="21"/>
          <w:szCs w:val="21"/>
        </w:rPr>
      </w:pPr>
      <w:r w:rsidRPr="00F2117B">
        <w:rPr>
          <w:sz w:val="21"/>
          <w:szCs w:val="21"/>
        </w:rPr>
        <w:t>In June 2013, the “propaganda law” came</w:t>
      </w:r>
      <w:r w:rsidRPr="00F2117B">
        <w:rPr>
          <w:sz w:val="21"/>
          <w:szCs w:val="21"/>
        </w:rPr>
        <w:t xml:space="preserve"> into legal force; it was de jure aimed at preventing the propaganda of “non-traditional sexual relations” among minors, and de facto consolidated homo- and transphobia at the state level. And </w:t>
      </w:r>
      <w:proofErr w:type="gramStart"/>
      <w:r w:rsidRPr="00F2117B">
        <w:rPr>
          <w:sz w:val="21"/>
          <w:szCs w:val="21"/>
        </w:rPr>
        <w:t>despite the fact that</w:t>
      </w:r>
      <w:proofErr w:type="gramEnd"/>
      <w:r w:rsidRPr="00F2117B">
        <w:rPr>
          <w:sz w:val="21"/>
          <w:szCs w:val="21"/>
        </w:rPr>
        <w:t xml:space="preserve"> the laws and rhetoric of the authorities </w:t>
      </w:r>
      <w:r w:rsidRPr="00F2117B">
        <w:rPr>
          <w:sz w:val="21"/>
          <w:szCs w:val="21"/>
        </w:rPr>
        <w:t>often seem to be distant and unrelated to real life, the general trend towards the approval and institutionalization of homophobia and transphobia affect the lives of ordinary people</w:t>
      </w:r>
      <w:r w:rsidRPr="00F2117B">
        <w:rPr>
          <w:sz w:val="21"/>
          <w:szCs w:val="21"/>
        </w:rPr>
        <w:t>.</w:t>
      </w:r>
    </w:p>
    <w:p w14:paraId="0D91B64D" w14:textId="38689D19" w:rsidR="00875997" w:rsidRPr="00F2117B" w:rsidRDefault="00AF09DC">
      <w:pPr>
        <w:jc w:val="both"/>
        <w:rPr>
          <w:sz w:val="21"/>
          <w:szCs w:val="21"/>
          <w:lang w:val="en-US"/>
        </w:rPr>
      </w:pPr>
      <w:proofErr w:type="gramStart"/>
      <w:r w:rsidRPr="00F2117B">
        <w:rPr>
          <w:sz w:val="21"/>
          <w:szCs w:val="21"/>
          <w:lang w:val="en-US"/>
        </w:rPr>
        <w:t>Also</w:t>
      </w:r>
      <w:proofErr w:type="gramEnd"/>
      <w:r w:rsidRPr="00F2117B">
        <w:rPr>
          <w:sz w:val="21"/>
          <w:szCs w:val="21"/>
          <w:lang w:val="en-US"/>
        </w:rPr>
        <w:t xml:space="preserve"> continuation of the pressure to the civil society affects to </w:t>
      </w:r>
      <w:r w:rsidR="00213374" w:rsidRPr="00F2117B">
        <w:rPr>
          <w:sz w:val="21"/>
          <w:szCs w:val="21"/>
          <w:lang w:val="en-US"/>
        </w:rPr>
        <w:t>organizations providing support to the LGBT</w:t>
      </w:r>
      <w:r w:rsidR="00840FED" w:rsidRPr="00F2117B">
        <w:rPr>
          <w:sz w:val="21"/>
          <w:szCs w:val="21"/>
          <w:lang w:val="en-US"/>
        </w:rPr>
        <w:t xml:space="preserve">* and </w:t>
      </w:r>
      <w:r w:rsidR="005362CD" w:rsidRPr="00F2117B">
        <w:rPr>
          <w:sz w:val="21"/>
          <w:szCs w:val="21"/>
          <w:lang w:val="en-US"/>
        </w:rPr>
        <w:t>LGBT*</w:t>
      </w:r>
      <w:r w:rsidR="00840FED" w:rsidRPr="00F2117B">
        <w:rPr>
          <w:sz w:val="21"/>
          <w:szCs w:val="21"/>
          <w:lang w:val="en-US"/>
        </w:rPr>
        <w:t xml:space="preserve"> rights legislation.</w:t>
      </w:r>
      <w:r w:rsidR="005362CD" w:rsidRPr="00F2117B">
        <w:rPr>
          <w:sz w:val="21"/>
          <w:szCs w:val="21"/>
          <w:lang w:val="en-US"/>
        </w:rPr>
        <w:t xml:space="preserve"> In 2021 some of LGBT*-organizations and initiatives were included to the list of so-called “foreign agents”. That </w:t>
      </w:r>
      <w:r w:rsidR="00A844D1" w:rsidRPr="00F2117B">
        <w:rPr>
          <w:sz w:val="21"/>
          <w:szCs w:val="21"/>
          <w:lang w:val="en-US"/>
        </w:rPr>
        <w:t xml:space="preserve">makes more complicated to continue </w:t>
      </w:r>
      <w:r w:rsidR="007E74F4" w:rsidRPr="00F2117B">
        <w:rPr>
          <w:sz w:val="21"/>
          <w:szCs w:val="21"/>
          <w:lang w:val="en-US"/>
        </w:rPr>
        <w:t xml:space="preserve">their working for them. And the reason </w:t>
      </w:r>
      <w:r w:rsidR="00192CC0" w:rsidRPr="00F2117B">
        <w:rPr>
          <w:sz w:val="21"/>
          <w:szCs w:val="21"/>
          <w:lang w:val="en-US"/>
        </w:rPr>
        <w:t xml:space="preserve">why the State recognize these organizations as “foreign agents” is their activity which </w:t>
      </w:r>
      <w:r w:rsidR="007C6C64" w:rsidRPr="00F2117B">
        <w:rPr>
          <w:sz w:val="21"/>
          <w:szCs w:val="21"/>
          <w:lang w:val="en-US"/>
        </w:rPr>
        <w:t xml:space="preserve">is perceived like a political </w:t>
      </w:r>
      <w:r w:rsidR="003056B0" w:rsidRPr="00F2117B">
        <w:rPr>
          <w:sz w:val="21"/>
          <w:szCs w:val="21"/>
          <w:lang w:val="en-US"/>
        </w:rPr>
        <w:t>activity</w:t>
      </w:r>
      <w:r w:rsidR="008D36DB" w:rsidRPr="00F2117B">
        <w:rPr>
          <w:sz w:val="21"/>
          <w:szCs w:val="21"/>
          <w:lang w:val="en-US"/>
        </w:rPr>
        <w:t>, which in fact is just providing support.</w:t>
      </w:r>
    </w:p>
    <w:p w14:paraId="7703DDA8" w14:textId="3C080772" w:rsidR="003056B0" w:rsidRPr="00F2117B" w:rsidRDefault="003056B0">
      <w:pPr>
        <w:jc w:val="both"/>
        <w:rPr>
          <w:sz w:val="21"/>
          <w:szCs w:val="21"/>
          <w:lang w:val="en-US"/>
        </w:rPr>
      </w:pPr>
      <w:r w:rsidRPr="00F2117B">
        <w:rPr>
          <w:sz w:val="21"/>
          <w:szCs w:val="21"/>
          <w:lang w:val="en-US"/>
        </w:rPr>
        <w:t>So that means that</w:t>
      </w:r>
      <w:r w:rsidR="00532E37" w:rsidRPr="00F2117B">
        <w:rPr>
          <w:sz w:val="21"/>
          <w:szCs w:val="21"/>
          <w:lang w:val="en-US"/>
        </w:rPr>
        <w:t xml:space="preserve"> </w:t>
      </w:r>
      <w:r w:rsidR="003A4D04" w:rsidRPr="00F2117B">
        <w:rPr>
          <w:sz w:val="21"/>
          <w:szCs w:val="21"/>
          <w:lang w:val="en-US"/>
        </w:rPr>
        <w:t>any participation in the decision-making processes for LGBT*-people and organizations is</w:t>
      </w:r>
      <w:r w:rsidR="00183568" w:rsidRPr="00F2117B">
        <w:rPr>
          <w:sz w:val="21"/>
          <w:szCs w:val="21"/>
          <w:lang w:val="en-US"/>
        </w:rPr>
        <w:t xml:space="preserve"> almost </w:t>
      </w:r>
      <w:r w:rsidR="00265E21" w:rsidRPr="00F2117B">
        <w:rPr>
          <w:sz w:val="21"/>
          <w:szCs w:val="21"/>
          <w:lang w:val="en-US"/>
        </w:rPr>
        <w:t>out of law</w:t>
      </w:r>
      <w:r w:rsidR="003A4D04" w:rsidRPr="00F2117B">
        <w:rPr>
          <w:sz w:val="21"/>
          <w:szCs w:val="21"/>
          <w:lang w:val="en-US"/>
        </w:rPr>
        <w:t>.</w:t>
      </w:r>
    </w:p>
    <w:p w14:paraId="1BE23277" w14:textId="38998887" w:rsidR="003A4D04" w:rsidRPr="00F2117B" w:rsidRDefault="00A11218">
      <w:pPr>
        <w:jc w:val="both"/>
        <w:rPr>
          <w:sz w:val="21"/>
          <w:szCs w:val="21"/>
          <w:lang w:val="en-US"/>
        </w:rPr>
      </w:pPr>
      <w:r w:rsidRPr="00F2117B">
        <w:rPr>
          <w:sz w:val="21"/>
          <w:szCs w:val="21"/>
          <w:lang w:val="en-US"/>
        </w:rPr>
        <w:t xml:space="preserve">One of positive </w:t>
      </w:r>
      <w:r w:rsidR="001B7215" w:rsidRPr="00F2117B">
        <w:rPr>
          <w:sz w:val="21"/>
          <w:szCs w:val="21"/>
          <w:lang w:val="en-US"/>
        </w:rPr>
        <w:t xml:space="preserve">moments was that ombudsman of Saint-Petersburg </w:t>
      </w:r>
      <w:r w:rsidR="009069C0" w:rsidRPr="00F2117B">
        <w:rPr>
          <w:sz w:val="21"/>
          <w:szCs w:val="21"/>
          <w:lang w:val="en-US"/>
        </w:rPr>
        <w:t>included data collected by Coming Out to his Annual review</w:t>
      </w:r>
      <w:r w:rsidR="006603E2" w:rsidRPr="00F2117B">
        <w:rPr>
          <w:sz w:val="21"/>
          <w:szCs w:val="21"/>
          <w:lang w:val="en-US"/>
        </w:rPr>
        <w:t xml:space="preserve"> for a several years</w:t>
      </w:r>
      <w:r w:rsidR="009069C0" w:rsidRPr="00F2117B">
        <w:rPr>
          <w:sz w:val="21"/>
          <w:szCs w:val="21"/>
          <w:lang w:val="en-US"/>
        </w:rPr>
        <w:t xml:space="preserve">. </w:t>
      </w:r>
      <w:r w:rsidR="004C7032" w:rsidRPr="00F2117B">
        <w:rPr>
          <w:sz w:val="21"/>
          <w:szCs w:val="21"/>
          <w:lang w:val="en-US"/>
        </w:rPr>
        <w:t xml:space="preserve">However, the new ombudsman came in the end of 2021, and </w:t>
      </w:r>
      <w:r w:rsidR="00FB5CE3" w:rsidRPr="00F2117B">
        <w:rPr>
          <w:sz w:val="21"/>
          <w:szCs w:val="21"/>
          <w:lang w:val="en-US"/>
        </w:rPr>
        <w:t xml:space="preserve">this institution is not ready to </w:t>
      </w:r>
      <w:r w:rsidR="00366D61" w:rsidRPr="00F2117B">
        <w:rPr>
          <w:sz w:val="21"/>
          <w:szCs w:val="21"/>
          <w:lang w:val="en-US"/>
        </w:rPr>
        <w:t>cover these issues anymore.</w:t>
      </w:r>
    </w:p>
    <w:p w14:paraId="30DD0AC9" w14:textId="3776F082" w:rsidR="003A4D04" w:rsidRPr="00F2117B" w:rsidRDefault="00366D61">
      <w:pPr>
        <w:jc w:val="both"/>
        <w:rPr>
          <w:sz w:val="21"/>
          <w:szCs w:val="21"/>
          <w:lang w:val="en-US"/>
        </w:rPr>
      </w:pPr>
      <w:r w:rsidRPr="00F2117B">
        <w:rPr>
          <w:sz w:val="21"/>
          <w:szCs w:val="21"/>
          <w:lang w:val="en-US"/>
        </w:rPr>
        <w:lastRenderedPageBreak/>
        <w:t>Another on</w:t>
      </w:r>
      <w:r w:rsidR="00841E4E" w:rsidRPr="00F2117B">
        <w:rPr>
          <w:sz w:val="21"/>
          <w:szCs w:val="21"/>
          <w:lang w:val="en-US"/>
        </w:rPr>
        <w:t xml:space="preserve">e positive moment is that </w:t>
      </w:r>
      <w:r w:rsidR="005F1762" w:rsidRPr="00F2117B">
        <w:rPr>
          <w:sz w:val="21"/>
          <w:szCs w:val="21"/>
          <w:lang w:val="en-US"/>
        </w:rPr>
        <w:t>in 2021 transgender woman became the head of one of regional political parties</w:t>
      </w:r>
      <w:r w:rsidR="005F1762" w:rsidRPr="00F2117B">
        <w:rPr>
          <w:rStyle w:val="aa"/>
          <w:sz w:val="21"/>
          <w:szCs w:val="21"/>
          <w:lang w:val="en-US"/>
        </w:rPr>
        <w:footnoteReference w:id="2"/>
      </w:r>
      <w:r w:rsidR="005F1762" w:rsidRPr="00F2117B">
        <w:rPr>
          <w:sz w:val="21"/>
          <w:szCs w:val="21"/>
          <w:lang w:val="en-US"/>
        </w:rPr>
        <w:t>.</w:t>
      </w:r>
      <w:r w:rsidR="00147044" w:rsidRPr="00F2117B">
        <w:rPr>
          <w:sz w:val="21"/>
          <w:szCs w:val="21"/>
          <w:lang w:val="en-US"/>
        </w:rPr>
        <w:t xml:space="preserve"> That shows that the level of transphobia in the society can be less then it seems</w:t>
      </w:r>
      <w:r w:rsidR="00505357" w:rsidRPr="00F2117B">
        <w:rPr>
          <w:sz w:val="21"/>
          <w:szCs w:val="21"/>
          <w:lang w:val="en-US"/>
        </w:rPr>
        <w:t xml:space="preserve"> and less then the government tries to present.</w:t>
      </w:r>
    </w:p>
    <w:p w14:paraId="35849997" w14:textId="77777777" w:rsidR="008C3CE5" w:rsidRPr="00F2117B" w:rsidRDefault="008C3CE5">
      <w:pPr>
        <w:jc w:val="both"/>
        <w:rPr>
          <w:sz w:val="21"/>
          <w:szCs w:val="21"/>
        </w:rPr>
      </w:pPr>
    </w:p>
    <w:p w14:paraId="082EE51A" w14:textId="20925878" w:rsidR="00383A56" w:rsidRPr="00F2117B" w:rsidRDefault="008C3CE5">
      <w:pPr>
        <w:rPr>
          <w:sz w:val="21"/>
          <w:szCs w:val="21"/>
        </w:rPr>
      </w:pPr>
      <w:bookmarkStart w:id="0" w:name="_heading=h.mgs1xpppsj3c" w:colFirst="0" w:colLast="0"/>
      <w:bookmarkEnd w:id="0"/>
      <w:r w:rsidRPr="00F2117B">
        <w:rPr>
          <w:rStyle w:val="a6"/>
          <w:rFonts w:ascii="Verdana" w:hAnsi="Verdana"/>
          <w:color w:val="000000"/>
          <w:sz w:val="21"/>
          <w:szCs w:val="21"/>
          <w:shd w:val="clear" w:color="auto" w:fill="FFFFFF"/>
        </w:rPr>
        <w:t>Access: ensuring that LGTBI and GNC people have access to health care</w:t>
      </w:r>
    </w:p>
    <w:p w14:paraId="2DD8FDE3" w14:textId="3E019EF2" w:rsidR="008C3CE5" w:rsidRPr="00F2117B" w:rsidRDefault="008C3CE5" w:rsidP="008C3CE5">
      <w:pPr>
        <w:jc w:val="both"/>
        <w:rPr>
          <w:sz w:val="21"/>
          <w:szCs w:val="21"/>
        </w:rPr>
      </w:pPr>
      <w:r w:rsidRPr="00F2117B">
        <w:rPr>
          <w:sz w:val="21"/>
          <w:szCs w:val="21"/>
        </w:rPr>
        <w:t xml:space="preserve">As it has already been told, </w:t>
      </w:r>
      <w:r w:rsidR="00C26AAC" w:rsidRPr="00F2117B">
        <w:rPr>
          <w:sz w:val="21"/>
          <w:szCs w:val="21"/>
        </w:rPr>
        <w:t xml:space="preserve">the State </w:t>
      </w:r>
      <w:r w:rsidR="009F7C22" w:rsidRPr="00F2117B">
        <w:rPr>
          <w:sz w:val="21"/>
          <w:szCs w:val="21"/>
        </w:rPr>
        <w:t>prefers to ignore any vulnerability of LGBT*</w:t>
      </w:r>
      <w:r w:rsidR="006365A0" w:rsidRPr="00F2117B">
        <w:rPr>
          <w:sz w:val="21"/>
          <w:szCs w:val="21"/>
          <w:lang w:val="en-US"/>
        </w:rPr>
        <w:t xml:space="preserve"> and </w:t>
      </w:r>
      <w:r w:rsidR="006365A0" w:rsidRPr="00F2117B">
        <w:rPr>
          <w:sz w:val="21"/>
          <w:szCs w:val="21"/>
          <w:lang w:val="en-US"/>
        </w:rPr>
        <w:t>does</w:t>
      </w:r>
      <w:r w:rsidR="00814A28" w:rsidRPr="00F2117B">
        <w:rPr>
          <w:sz w:val="21"/>
          <w:szCs w:val="21"/>
          <w:lang w:val="en-US"/>
        </w:rPr>
        <w:t>n’</w:t>
      </w:r>
      <w:r w:rsidR="006365A0" w:rsidRPr="00F2117B">
        <w:rPr>
          <w:sz w:val="21"/>
          <w:szCs w:val="21"/>
          <w:lang w:val="en-US"/>
        </w:rPr>
        <w:t xml:space="preserve">t highlight </w:t>
      </w:r>
      <w:r w:rsidR="006365A0" w:rsidRPr="00F2117B">
        <w:rPr>
          <w:sz w:val="21"/>
          <w:szCs w:val="21"/>
          <w:lang w:val="en-US"/>
        </w:rPr>
        <w:t xml:space="preserve">any of </w:t>
      </w:r>
      <w:r w:rsidR="006365A0" w:rsidRPr="00F2117B">
        <w:rPr>
          <w:sz w:val="21"/>
          <w:szCs w:val="21"/>
          <w:lang w:val="en-US"/>
        </w:rPr>
        <w:t>their specific needs</w:t>
      </w:r>
      <w:r w:rsidR="009F7C22" w:rsidRPr="00F2117B">
        <w:rPr>
          <w:sz w:val="21"/>
          <w:szCs w:val="21"/>
        </w:rPr>
        <w:t xml:space="preserve">. The only source of the </w:t>
      </w:r>
      <w:r w:rsidR="0038109A" w:rsidRPr="00F2117B">
        <w:rPr>
          <w:sz w:val="21"/>
          <w:szCs w:val="21"/>
        </w:rPr>
        <w:t xml:space="preserve">support </w:t>
      </w:r>
      <w:r w:rsidR="00C73C64" w:rsidRPr="00F2117B">
        <w:rPr>
          <w:sz w:val="21"/>
          <w:szCs w:val="21"/>
        </w:rPr>
        <w:t xml:space="preserve">for them </w:t>
      </w:r>
      <w:r w:rsidR="0038109A" w:rsidRPr="00F2117B">
        <w:rPr>
          <w:sz w:val="21"/>
          <w:szCs w:val="21"/>
        </w:rPr>
        <w:t>is nongovernmental organizations and initiatives.</w:t>
      </w:r>
    </w:p>
    <w:p w14:paraId="32A1D9EB" w14:textId="7DA84A0D" w:rsidR="006365A0" w:rsidRPr="00F2117B" w:rsidRDefault="003B5E05" w:rsidP="006365A0">
      <w:pPr>
        <w:jc w:val="both"/>
        <w:rPr>
          <w:sz w:val="21"/>
          <w:szCs w:val="21"/>
          <w:lang w:val="en-US"/>
        </w:rPr>
      </w:pPr>
      <w:r w:rsidRPr="00F2117B">
        <w:rPr>
          <w:sz w:val="21"/>
          <w:szCs w:val="21"/>
          <w:lang w:val="en-US"/>
        </w:rPr>
        <w:t>N</w:t>
      </w:r>
      <w:r w:rsidR="006365A0" w:rsidRPr="00F2117B">
        <w:rPr>
          <w:sz w:val="21"/>
          <w:szCs w:val="21"/>
          <w:lang w:val="en-US"/>
        </w:rPr>
        <w:t xml:space="preserve">ongovernmental organizations </w:t>
      </w:r>
      <w:r w:rsidR="006365A0" w:rsidRPr="00F2117B">
        <w:rPr>
          <w:sz w:val="21"/>
          <w:szCs w:val="21"/>
          <w:lang w:val="en-US"/>
        </w:rPr>
        <w:t>ha</w:t>
      </w:r>
      <w:r w:rsidR="00C45968" w:rsidRPr="00F2117B">
        <w:rPr>
          <w:sz w:val="21"/>
          <w:szCs w:val="21"/>
          <w:lang w:val="en-US"/>
        </w:rPr>
        <w:t>ve</w:t>
      </w:r>
      <w:r w:rsidR="006365A0" w:rsidRPr="00F2117B">
        <w:rPr>
          <w:sz w:val="21"/>
          <w:szCs w:val="21"/>
          <w:lang w:val="en-US"/>
        </w:rPr>
        <w:t xml:space="preserve"> been </w:t>
      </w:r>
      <w:r w:rsidR="006365A0" w:rsidRPr="00F2117B">
        <w:rPr>
          <w:sz w:val="21"/>
          <w:szCs w:val="21"/>
          <w:lang w:val="en-US"/>
        </w:rPr>
        <w:t>tak</w:t>
      </w:r>
      <w:r w:rsidR="00C45968" w:rsidRPr="00F2117B">
        <w:rPr>
          <w:sz w:val="21"/>
          <w:szCs w:val="21"/>
          <w:lang w:val="en-US"/>
        </w:rPr>
        <w:t>ing</w:t>
      </w:r>
      <w:r w:rsidR="006365A0" w:rsidRPr="00F2117B">
        <w:rPr>
          <w:sz w:val="21"/>
          <w:szCs w:val="21"/>
          <w:lang w:val="en-US"/>
        </w:rPr>
        <w:t xml:space="preserve"> actions to improve the situation of LGBT people</w:t>
      </w:r>
      <w:r w:rsidR="00C45968" w:rsidRPr="00F2117B">
        <w:rPr>
          <w:sz w:val="21"/>
          <w:szCs w:val="21"/>
          <w:lang w:val="en-US"/>
        </w:rPr>
        <w:t xml:space="preserve"> especially during the pandemic</w:t>
      </w:r>
      <w:r w:rsidR="006365A0" w:rsidRPr="00F2117B">
        <w:rPr>
          <w:sz w:val="21"/>
          <w:szCs w:val="21"/>
          <w:lang w:val="en-US"/>
        </w:rPr>
        <w:t>. Here are some examples:</w:t>
      </w:r>
    </w:p>
    <w:p w14:paraId="0631E743" w14:textId="653CD824" w:rsidR="006365A0" w:rsidRPr="00F2117B" w:rsidRDefault="006365A0" w:rsidP="00C45968">
      <w:pPr>
        <w:pStyle w:val="a7"/>
        <w:numPr>
          <w:ilvl w:val="0"/>
          <w:numId w:val="2"/>
        </w:numPr>
        <w:ind w:left="284" w:firstLine="283"/>
        <w:jc w:val="both"/>
        <w:rPr>
          <w:sz w:val="21"/>
          <w:szCs w:val="21"/>
          <w:lang w:val="en-US"/>
        </w:rPr>
      </w:pPr>
      <w:hyperlink r:id="rId10" w:history="1">
        <w:r w:rsidRPr="00F2117B">
          <w:rPr>
            <w:rStyle w:val="a5"/>
            <w:sz w:val="21"/>
            <w:szCs w:val="21"/>
            <w:lang w:val="en-US"/>
          </w:rPr>
          <w:t>Rainbow World (Perm)</w:t>
        </w:r>
      </w:hyperlink>
      <w:r w:rsidRPr="00F2117B">
        <w:rPr>
          <w:sz w:val="21"/>
          <w:szCs w:val="21"/>
          <w:lang w:val="en-US"/>
        </w:rPr>
        <w:t xml:space="preserve"> </w:t>
      </w:r>
      <w:r w:rsidR="00C45968" w:rsidRPr="00F2117B">
        <w:rPr>
          <w:sz w:val="21"/>
          <w:szCs w:val="21"/>
          <w:lang w:val="en-US"/>
        </w:rPr>
        <w:t>has been providing</w:t>
      </w:r>
      <w:r w:rsidRPr="00F2117B">
        <w:rPr>
          <w:sz w:val="21"/>
          <w:szCs w:val="21"/>
          <w:lang w:val="en-US"/>
        </w:rPr>
        <w:t xml:space="preserve"> food for LGBT people who lost their source of </w:t>
      </w:r>
      <w:proofErr w:type="gramStart"/>
      <w:r w:rsidRPr="00F2117B">
        <w:rPr>
          <w:sz w:val="21"/>
          <w:szCs w:val="21"/>
          <w:lang w:val="en-US"/>
        </w:rPr>
        <w:t>income;</w:t>
      </w:r>
      <w:proofErr w:type="gramEnd"/>
    </w:p>
    <w:p w14:paraId="4381B57B" w14:textId="77777777" w:rsidR="006365A0" w:rsidRPr="00F2117B" w:rsidRDefault="006365A0" w:rsidP="00C45968">
      <w:pPr>
        <w:pStyle w:val="a7"/>
        <w:numPr>
          <w:ilvl w:val="0"/>
          <w:numId w:val="2"/>
        </w:numPr>
        <w:ind w:left="284" w:firstLine="283"/>
        <w:jc w:val="both"/>
        <w:rPr>
          <w:sz w:val="21"/>
          <w:szCs w:val="21"/>
          <w:lang w:val="en-US"/>
        </w:rPr>
      </w:pPr>
      <w:r w:rsidRPr="00F2117B">
        <w:rPr>
          <w:sz w:val="21"/>
          <w:szCs w:val="21"/>
          <w:lang w:val="en-US"/>
        </w:rPr>
        <w:t xml:space="preserve">Trans* Coalition </w:t>
      </w:r>
      <w:proofErr w:type="gramStart"/>
      <w:r w:rsidRPr="00F2117B">
        <w:rPr>
          <w:sz w:val="21"/>
          <w:szCs w:val="21"/>
          <w:lang w:val="en-US"/>
        </w:rPr>
        <w:t>On</w:t>
      </w:r>
      <w:proofErr w:type="gramEnd"/>
      <w:r w:rsidRPr="00F2117B">
        <w:rPr>
          <w:sz w:val="21"/>
          <w:szCs w:val="21"/>
          <w:lang w:val="en-US"/>
        </w:rPr>
        <w:t xml:space="preserve"> </w:t>
      </w:r>
      <w:proofErr w:type="spellStart"/>
      <w:r w:rsidRPr="00F2117B">
        <w:rPr>
          <w:sz w:val="21"/>
          <w:szCs w:val="21"/>
          <w:lang w:val="en-US"/>
        </w:rPr>
        <w:t>Postsoviet</w:t>
      </w:r>
      <w:proofErr w:type="spellEnd"/>
      <w:r w:rsidRPr="00F2117B">
        <w:rPr>
          <w:sz w:val="21"/>
          <w:szCs w:val="21"/>
          <w:lang w:val="en-US"/>
        </w:rPr>
        <w:t xml:space="preserve"> Space </w:t>
      </w:r>
      <w:hyperlink r:id="rId11" w:history="1">
        <w:r w:rsidRPr="00F2117B">
          <w:rPr>
            <w:rStyle w:val="a5"/>
            <w:sz w:val="21"/>
            <w:szCs w:val="21"/>
            <w:lang w:val="en-US"/>
          </w:rPr>
          <w:t>started a special program</w:t>
        </w:r>
      </w:hyperlink>
      <w:r w:rsidRPr="00F2117B">
        <w:rPr>
          <w:sz w:val="21"/>
          <w:szCs w:val="21"/>
          <w:lang w:val="en-US"/>
        </w:rPr>
        <w:t xml:space="preserve"> aimed to decrease vulnerability and to support transgender people. They provide psychological help and humanitarian </w:t>
      </w:r>
      <w:proofErr w:type="gramStart"/>
      <w:r w:rsidRPr="00F2117B">
        <w:rPr>
          <w:sz w:val="21"/>
          <w:szCs w:val="21"/>
          <w:lang w:val="en-US"/>
        </w:rPr>
        <w:t>aid;</w:t>
      </w:r>
      <w:proofErr w:type="gramEnd"/>
    </w:p>
    <w:p w14:paraId="621BF5BD" w14:textId="456A2716" w:rsidR="006365A0" w:rsidRPr="00F2117B" w:rsidRDefault="006365A0" w:rsidP="00C45968">
      <w:pPr>
        <w:pStyle w:val="a7"/>
        <w:numPr>
          <w:ilvl w:val="0"/>
          <w:numId w:val="2"/>
        </w:numPr>
        <w:ind w:left="284" w:firstLine="283"/>
        <w:jc w:val="both"/>
        <w:rPr>
          <w:sz w:val="21"/>
          <w:szCs w:val="21"/>
          <w:lang w:val="en-US"/>
        </w:rPr>
      </w:pPr>
      <w:hyperlink r:id="rId12" w:history="1">
        <w:r w:rsidRPr="00F2117B">
          <w:rPr>
            <w:rStyle w:val="a5"/>
            <w:sz w:val="21"/>
            <w:szCs w:val="21"/>
            <w:lang w:val="en-US"/>
          </w:rPr>
          <w:t>T-Action initiative group</w:t>
        </w:r>
      </w:hyperlink>
      <w:r w:rsidRPr="00F2117B">
        <w:rPr>
          <w:sz w:val="21"/>
          <w:szCs w:val="21"/>
          <w:lang w:val="en-US"/>
        </w:rPr>
        <w:t xml:space="preserve"> </w:t>
      </w:r>
      <w:r w:rsidR="005F4C37" w:rsidRPr="00F2117B">
        <w:rPr>
          <w:sz w:val="21"/>
          <w:szCs w:val="21"/>
          <w:lang w:val="en-US"/>
        </w:rPr>
        <w:t>has been providing</w:t>
      </w:r>
      <w:r w:rsidR="005F4C37" w:rsidRPr="00F2117B">
        <w:rPr>
          <w:sz w:val="21"/>
          <w:szCs w:val="21"/>
          <w:lang w:val="en-US"/>
        </w:rPr>
        <w:t xml:space="preserve"> </w:t>
      </w:r>
      <w:r w:rsidRPr="00F2117B">
        <w:rPr>
          <w:sz w:val="21"/>
          <w:szCs w:val="21"/>
          <w:lang w:val="en-US"/>
        </w:rPr>
        <w:t>free-of-charge endocrinologists’ consultations on hormonal therapy for transgender people online, after which they can get a prescription for hormonal medication by mail. This help</w:t>
      </w:r>
      <w:r w:rsidR="009A2F6D" w:rsidRPr="00F2117B">
        <w:rPr>
          <w:sz w:val="21"/>
          <w:szCs w:val="21"/>
          <w:lang w:val="en-US"/>
        </w:rPr>
        <w:t>ed</w:t>
      </w:r>
      <w:r w:rsidRPr="00F2117B">
        <w:rPr>
          <w:sz w:val="21"/>
          <w:szCs w:val="21"/>
          <w:lang w:val="en-US"/>
        </w:rPr>
        <w:t xml:space="preserve"> transgender people to connect with doctors </w:t>
      </w:r>
      <w:r w:rsidR="009A2F6D" w:rsidRPr="00F2117B">
        <w:rPr>
          <w:sz w:val="21"/>
          <w:szCs w:val="21"/>
          <w:lang w:val="en-US"/>
        </w:rPr>
        <w:t xml:space="preserve">especially </w:t>
      </w:r>
      <w:r w:rsidRPr="00F2117B">
        <w:rPr>
          <w:sz w:val="21"/>
          <w:szCs w:val="21"/>
          <w:lang w:val="en-US"/>
        </w:rPr>
        <w:t xml:space="preserve">in the pandemic period, when most of clinics </w:t>
      </w:r>
      <w:r w:rsidR="009A2F6D" w:rsidRPr="00F2117B">
        <w:rPr>
          <w:sz w:val="21"/>
          <w:szCs w:val="21"/>
          <w:lang w:val="en-US"/>
        </w:rPr>
        <w:t>were</w:t>
      </w:r>
      <w:r w:rsidRPr="00F2117B">
        <w:rPr>
          <w:sz w:val="21"/>
          <w:szCs w:val="21"/>
          <w:lang w:val="en-US"/>
        </w:rPr>
        <w:t xml:space="preserve"> </w:t>
      </w:r>
      <w:proofErr w:type="gramStart"/>
      <w:r w:rsidRPr="00F2117B">
        <w:rPr>
          <w:sz w:val="21"/>
          <w:szCs w:val="21"/>
          <w:lang w:val="en-US"/>
        </w:rPr>
        <w:t>closed;</w:t>
      </w:r>
      <w:proofErr w:type="gramEnd"/>
    </w:p>
    <w:p w14:paraId="65AF4D7E" w14:textId="77777777" w:rsidR="006365A0" w:rsidRPr="00F2117B" w:rsidRDefault="006365A0" w:rsidP="00C45968">
      <w:pPr>
        <w:pStyle w:val="a7"/>
        <w:numPr>
          <w:ilvl w:val="0"/>
          <w:numId w:val="2"/>
        </w:numPr>
        <w:ind w:left="284" w:firstLine="283"/>
        <w:jc w:val="both"/>
        <w:rPr>
          <w:sz w:val="21"/>
          <w:szCs w:val="21"/>
          <w:lang w:val="en-US"/>
        </w:rPr>
      </w:pPr>
      <w:r w:rsidRPr="00F2117B">
        <w:rPr>
          <w:sz w:val="21"/>
          <w:szCs w:val="21"/>
          <w:lang w:val="en-US"/>
        </w:rPr>
        <w:t>Several other social initiatives for transgender people aimed to provide them food, medicine, health care and psychological consultations.</w:t>
      </w:r>
    </w:p>
    <w:p w14:paraId="4DCB63BB" w14:textId="0664D5D4" w:rsidR="008C3CE5" w:rsidRPr="00F2117B" w:rsidRDefault="008C3CE5" w:rsidP="008C3CE5">
      <w:pPr>
        <w:jc w:val="both"/>
        <w:rPr>
          <w:sz w:val="21"/>
          <w:szCs w:val="21"/>
        </w:rPr>
      </w:pPr>
      <w:r w:rsidRPr="00F2117B">
        <w:rPr>
          <w:sz w:val="21"/>
          <w:szCs w:val="21"/>
        </w:rPr>
        <w:t xml:space="preserve">According to our research, in some cases, coming out in a </w:t>
      </w:r>
      <w:proofErr w:type="gramStart"/>
      <w:r w:rsidRPr="00F2117B">
        <w:rPr>
          <w:sz w:val="21"/>
          <w:szCs w:val="21"/>
        </w:rPr>
        <w:t>medical institutions</w:t>
      </w:r>
      <w:proofErr w:type="gramEnd"/>
      <w:r w:rsidRPr="00F2117B">
        <w:rPr>
          <w:sz w:val="21"/>
          <w:szCs w:val="21"/>
        </w:rPr>
        <w:t xml:space="preserve"> was the reason for the negative attitude of doctors. Every tenth of the respondents who sought treatment in 2020 faced inappropriate questions from doctors or other hospital staff.</w:t>
      </w:r>
      <w:r w:rsidR="006C58C3" w:rsidRPr="00F2117B">
        <w:rPr>
          <w:sz w:val="21"/>
          <w:szCs w:val="21"/>
        </w:rPr>
        <w:t xml:space="preserve"> </w:t>
      </w:r>
      <w:r w:rsidRPr="00F2117B">
        <w:rPr>
          <w:sz w:val="21"/>
          <w:szCs w:val="21"/>
        </w:rPr>
        <w:t>Dozens of LGBT* people have faced taunts, attempts to “cure” their sexual orientation or transgender identity, and explaining any medical problems by their orientation or gender identity.</w:t>
      </w:r>
      <w:r w:rsidR="006C58C3" w:rsidRPr="00F2117B">
        <w:rPr>
          <w:sz w:val="21"/>
          <w:szCs w:val="21"/>
        </w:rPr>
        <w:t xml:space="preserve"> </w:t>
      </w:r>
      <w:r w:rsidRPr="00F2117B">
        <w:rPr>
          <w:sz w:val="21"/>
          <w:szCs w:val="21"/>
        </w:rPr>
        <w:t>Transgender people are in a particularly vulnerable position. They are often denied access to services, including medical care.</w:t>
      </w:r>
    </w:p>
    <w:p w14:paraId="657513BA" w14:textId="77777777" w:rsidR="00E44A97" w:rsidRPr="00F2117B" w:rsidRDefault="00E44A97" w:rsidP="008C3CE5">
      <w:pPr>
        <w:jc w:val="both"/>
        <w:rPr>
          <w:sz w:val="21"/>
          <w:szCs w:val="21"/>
        </w:rPr>
      </w:pPr>
    </w:p>
    <w:p w14:paraId="082EE51C" w14:textId="7C5A34B2" w:rsidR="00383A56" w:rsidRPr="00F2117B" w:rsidRDefault="00E44A97">
      <w:pPr>
        <w:jc w:val="both"/>
        <w:rPr>
          <w:rStyle w:val="a6"/>
          <w:rFonts w:ascii="Verdana" w:hAnsi="Verdana"/>
          <w:color w:val="000000"/>
          <w:sz w:val="21"/>
          <w:szCs w:val="21"/>
          <w:shd w:val="clear" w:color="auto" w:fill="FFFFFF"/>
        </w:rPr>
      </w:pPr>
      <w:r w:rsidRPr="00F2117B">
        <w:rPr>
          <w:rStyle w:val="a6"/>
          <w:rFonts w:ascii="Verdana" w:hAnsi="Verdana"/>
          <w:color w:val="000000"/>
          <w:sz w:val="21"/>
          <w:szCs w:val="21"/>
          <w:shd w:val="clear" w:color="auto" w:fill="FFFFFF"/>
        </w:rPr>
        <w:t>Sustainable Development Goals</w:t>
      </w:r>
    </w:p>
    <w:p w14:paraId="61E0E8DB" w14:textId="661459B0" w:rsidR="00C13508" w:rsidRPr="00F2117B" w:rsidRDefault="00E44A97" w:rsidP="00F53CCA">
      <w:pPr>
        <w:jc w:val="both"/>
        <w:rPr>
          <w:sz w:val="21"/>
          <w:szCs w:val="21"/>
        </w:rPr>
      </w:pPr>
      <w:r w:rsidRPr="00F2117B">
        <w:rPr>
          <w:sz w:val="21"/>
          <w:szCs w:val="21"/>
        </w:rPr>
        <w:t>Sustainable Development Goals</w:t>
      </w:r>
      <w:r w:rsidR="00AA047F" w:rsidRPr="00F2117B">
        <w:rPr>
          <w:sz w:val="21"/>
          <w:szCs w:val="21"/>
        </w:rPr>
        <w:t xml:space="preserve"> is not the most popular conception among the </w:t>
      </w:r>
      <w:r w:rsidR="00367A0B" w:rsidRPr="00F2117B">
        <w:rPr>
          <w:sz w:val="21"/>
          <w:szCs w:val="21"/>
        </w:rPr>
        <w:t xml:space="preserve">Russian </w:t>
      </w:r>
      <w:r w:rsidR="00AA047F" w:rsidRPr="00F2117B">
        <w:rPr>
          <w:sz w:val="21"/>
          <w:szCs w:val="21"/>
        </w:rPr>
        <w:t>officials</w:t>
      </w:r>
      <w:r w:rsidR="00307760" w:rsidRPr="00F2117B">
        <w:rPr>
          <w:sz w:val="21"/>
          <w:szCs w:val="21"/>
        </w:rPr>
        <w:t>. We haven’t got any proo</w:t>
      </w:r>
      <w:r w:rsidR="00170F2B" w:rsidRPr="00F2117B">
        <w:rPr>
          <w:sz w:val="21"/>
          <w:szCs w:val="21"/>
        </w:rPr>
        <w:t xml:space="preserve">fs that it is </w:t>
      </w:r>
      <w:r w:rsidR="007541B1" w:rsidRPr="00F2117B">
        <w:rPr>
          <w:sz w:val="21"/>
          <w:szCs w:val="21"/>
        </w:rPr>
        <w:t>used as any kind of landmark</w:t>
      </w:r>
      <w:r w:rsidR="001C6183" w:rsidRPr="00F2117B">
        <w:rPr>
          <w:sz w:val="21"/>
          <w:szCs w:val="21"/>
        </w:rPr>
        <w:t xml:space="preserve"> on the governmental level.</w:t>
      </w:r>
      <w:r w:rsidR="00E053B2" w:rsidRPr="00F2117B">
        <w:rPr>
          <w:sz w:val="21"/>
          <w:szCs w:val="21"/>
        </w:rPr>
        <w:t xml:space="preserve"> Some of nonprofit organizations use them as </w:t>
      </w:r>
      <w:r w:rsidR="00D06E8B" w:rsidRPr="00F2117B">
        <w:rPr>
          <w:sz w:val="21"/>
          <w:szCs w:val="21"/>
        </w:rPr>
        <w:t>a guide, but not all.</w:t>
      </w:r>
      <w:r w:rsidR="00F25AAB" w:rsidRPr="00F2117B">
        <w:rPr>
          <w:sz w:val="21"/>
          <w:szCs w:val="21"/>
        </w:rPr>
        <w:t xml:space="preserve"> </w:t>
      </w:r>
      <w:r w:rsidR="007B43FD" w:rsidRPr="00F2117B">
        <w:rPr>
          <w:sz w:val="21"/>
          <w:szCs w:val="21"/>
        </w:rPr>
        <w:t xml:space="preserve">Honestly, lots of </w:t>
      </w:r>
      <w:r w:rsidR="008D3444" w:rsidRPr="00F2117B">
        <w:rPr>
          <w:sz w:val="21"/>
          <w:szCs w:val="21"/>
        </w:rPr>
        <w:t>decisions and actions of the officials of different levels</w:t>
      </w:r>
      <w:r w:rsidR="00F25AAB" w:rsidRPr="00F2117B">
        <w:rPr>
          <w:sz w:val="21"/>
          <w:szCs w:val="21"/>
        </w:rPr>
        <w:t xml:space="preserve"> often contradict to them</w:t>
      </w:r>
      <w:r w:rsidR="00512435" w:rsidRPr="00F2117B">
        <w:rPr>
          <w:sz w:val="21"/>
          <w:szCs w:val="21"/>
        </w:rPr>
        <w:t>, causes lots of additional problems for LGBT*-people</w:t>
      </w:r>
      <w:r w:rsidR="0070122A" w:rsidRPr="00F2117B">
        <w:rPr>
          <w:sz w:val="21"/>
          <w:szCs w:val="21"/>
        </w:rPr>
        <w:t>:</w:t>
      </w:r>
      <w:r w:rsidR="00F53CCA" w:rsidRPr="00F2117B">
        <w:rPr>
          <w:sz w:val="21"/>
          <w:szCs w:val="21"/>
        </w:rPr>
        <w:t xml:space="preserve"> w</w:t>
      </w:r>
      <w:proofErr w:type="spellStart"/>
      <w:r w:rsidR="003E79D5" w:rsidRPr="00F2117B">
        <w:rPr>
          <w:sz w:val="21"/>
          <w:szCs w:val="21"/>
          <w:lang w:val="en-US"/>
        </w:rPr>
        <w:t>idespread</w:t>
      </w:r>
      <w:proofErr w:type="spellEnd"/>
      <w:r w:rsidR="003E79D5" w:rsidRPr="00F2117B">
        <w:rPr>
          <w:sz w:val="21"/>
          <w:szCs w:val="21"/>
          <w:lang w:val="en-US"/>
        </w:rPr>
        <w:t xml:space="preserve"> </w:t>
      </w:r>
      <w:r w:rsidR="007F556A" w:rsidRPr="00F2117B">
        <w:rPr>
          <w:sz w:val="21"/>
          <w:szCs w:val="21"/>
          <w:lang w:val="en-US"/>
        </w:rPr>
        <w:t>d</w:t>
      </w:r>
      <w:proofErr w:type="spellStart"/>
      <w:r w:rsidR="006109D3" w:rsidRPr="00F2117B">
        <w:rPr>
          <w:sz w:val="21"/>
          <w:szCs w:val="21"/>
        </w:rPr>
        <w:t>iscriminatio</w:t>
      </w:r>
      <w:r w:rsidR="007F556A" w:rsidRPr="00F2117B">
        <w:rPr>
          <w:sz w:val="21"/>
          <w:szCs w:val="21"/>
        </w:rPr>
        <w:t>n</w:t>
      </w:r>
      <w:proofErr w:type="spellEnd"/>
      <w:r w:rsidR="006109D3" w:rsidRPr="00F2117B">
        <w:rPr>
          <w:sz w:val="21"/>
          <w:szCs w:val="21"/>
        </w:rPr>
        <w:t xml:space="preserve"> </w:t>
      </w:r>
      <w:r w:rsidR="003E79D5" w:rsidRPr="00F2117B">
        <w:rPr>
          <w:sz w:val="21"/>
          <w:szCs w:val="21"/>
        </w:rPr>
        <w:t xml:space="preserve">in </w:t>
      </w:r>
      <w:r w:rsidR="005F762F" w:rsidRPr="00F2117B">
        <w:rPr>
          <w:sz w:val="21"/>
          <w:szCs w:val="21"/>
        </w:rPr>
        <w:t xml:space="preserve">the health-care sphere </w:t>
      </w:r>
      <w:r w:rsidR="003229EF" w:rsidRPr="00F2117B">
        <w:rPr>
          <w:sz w:val="21"/>
          <w:szCs w:val="21"/>
        </w:rPr>
        <w:t xml:space="preserve">which causes that </w:t>
      </w:r>
      <w:r w:rsidR="00D12878" w:rsidRPr="00F2117B">
        <w:rPr>
          <w:sz w:val="21"/>
          <w:szCs w:val="21"/>
        </w:rPr>
        <w:t xml:space="preserve">some </w:t>
      </w:r>
      <w:r w:rsidR="006D7BBC" w:rsidRPr="00F2117B">
        <w:rPr>
          <w:sz w:val="21"/>
          <w:szCs w:val="21"/>
        </w:rPr>
        <w:t xml:space="preserve">of </w:t>
      </w:r>
      <w:r w:rsidR="003229EF" w:rsidRPr="00F2117B">
        <w:rPr>
          <w:sz w:val="21"/>
          <w:szCs w:val="21"/>
        </w:rPr>
        <w:t xml:space="preserve">LGBT*-people try not to go to the doctor </w:t>
      </w:r>
      <w:proofErr w:type="gramStart"/>
      <w:r w:rsidR="003229EF" w:rsidRPr="00F2117B">
        <w:rPr>
          <w:sz w:val="21"/>
          <w:szCs w:val="21"/>
        </w:rPr>
        <w:t xml:space="preserve">as </w:t>
      </w:r>
      <w:r w:rsidR="00002BFA" w:rsidRPr="00F2117B">
        <w:rPr>
          <w:sz w:val="21"/>
          <w:szCs w:val="21"/>
        </w:rPr>
        <w:t>long as</w:t>
      </w:r>
      <w:proofErr w:type="gramEnd"/>
      <w:r w:rsidR="00002BFA" w:rsidRPr="00F2117B">
        <w:rPr>
          <w:sz w:val="21"/>
          <w:szCs w:val="21"/>
        </w:rPr>
        <w:t xml:space="preserve"> it possible</w:t>
      </w:r>
      <w:r w:rsidR="00F53CCA" w:rsidRPr="00F2117B">
        <w:rPr>
          <w:sz w:val="21"/>
          <w:szCs w:val="21"/>
        </w:rPr>
        <w:t>; a</w:t>
      </w:r>
      <w:r w:rsidR="007F556A" w:rsidRPr="00F2117B">
        <w:rPr>
          <w:sz w:val="21"/>
          <w:szCs w:val="21"/>
        </w:rPr>
        <w:t xml:space="preserve"> large stress</w:t>
      </w:r>
      <w:r w:rsidR="007F5D88" w:rsidRPr="00F2117B">
        <w:rPr>
          <w:sz w:val="21"/>
          <w:szCs w:val="21"/>
        </w:rPr>
        <w:t xml:space="preserve">, caused by the potential discrimination </w:t>
      </w:r>
      <w:r w:rsidR="00D12878" w:rsidRPr="00F2117B">
        <w:rPr>
          <w:sz w:val="21"/>
          <w:szCs w:val="21"/>
        </w:rPr>
        <w:t xml:space="preserve">in </w:t>
      </w:r>
      <w:r w:rsidR="00C13508" w:rsidRPr="00F2117B">
        <w:rPr>
          <w:sz w:val="21"/>
          <w:szCs w:val="21"/>
        </w:rPr>
        <w:t>the health-care sphere</w:t>
      </w:r>
      <w:r w:rsidR="00F53CCA" w:rsidRPr="00F2117B">
        <w:rPr>
          <w:sz w:val="21"/>
          <w:szCs w:val="21"/>
        </w:rPr>
        <w:t>.</w:t>
      </w:r>
    </w:p>
    <w:p w14:paraId="082EE524" w14:textId="300CEEAA" w:rsidR="00383A56" w:rsidRDefault="00A76AA7" w:rsidP="00E475BC">
      <w:pPr>
        <w:jc w:val="both"/>
        <w:rPr>
          <w:sz w:val="21"/>
          <w:szCs w:val="21"/>
        </w:rPr>
      </w:pPr>
      <w:proofErr w:type="gramStart"/>
      <w:r w:rsidRPr="00F2117B">
        <w:rPr>
          <w:sz w:val="21"/>
          <w:szCs w:val="21"/>
        </w:rPr>
        <w:t>Also</w:t>
      </w:r>
      <w:proofErr w:type="gramEnd"/>
      <w:r w:rsidRPr="00F2117B">
        <w:rPr>
          <w:sz w:val="21"/>
          <w:szCs w:val="21"/>
        </w:rPr>
        <w:t xml:space="preserve"> a</w:t>
      </w:r>
      <w:r w:rsidR="00E44A97" w:rsidRPr="00F2117B">
        <w:rPr>
          <w:sz w:val="21"/>
          <w:szCs w:val="21"/>
        </w:rPr>
        <w:t xml:space="preserve">s all information </w:t>
      </w:r>
      <w:r w:rsidR="00F2117B" w:rsidRPr="00F2117B">
        <w:rPr>
          <w:sz w:val="21"/>
          <w:szCs w:val="21"/>
        </w:rPr>
        <w:t>concerning</w:t>
      </w:r>
      <w:r w:rsidR="00E44A97" w:rsidRPr="00F2117B">
        <w:rPr>
          <w:sz w:val="21"/>
          <w:szCs w:val="21"/>
        </w:rPr>
        <w:t xml:space="preserve"> sexual orientation or gender identity can be interpreted as propaganda, any attempt to provide sexuality education may be prosecuted</w:t>
      </w:r>
      <w:r w:rsidR="00DD0BFE" w:rsidRPr="00F2117B">
        <w:rPr>
          <w:sz w:val="21"/>
          <w:szCs w:val="21"/>
        </w:rPr>
        <w:t xml:space="preserve"> what makes it almost illegal.</w:t>
      </w:r>
    </w:p>
    <w:p w14:paraId="2A63A10E" w14:textId="77777777" w:rsidR="007D3CE7" w:rsidRPr="00F2117B" w:rsidRDefault="007D3CE7" w:rsidP="00E475BC">
      <w:pPr>
        <w:jc w:val="both"/>
        <w:rPr>
          <w:sz w:val="21"/>
          <w:szCs w:val="21"/>
        </w:rPr>
      </w:pPr>
    </w:p>
    <w:p w14:paraId="082EE525" w14:textId="77777777" w:rsidR="00383A56" w:rsidRPr="00F2117B" w:rsidRDefault="00685614">
      <w:pPr>
        <w:jc w:val="right"/>
        <w:rPr>
          <w:sz w:val="21"/>
          <w:szCs w:val="21"/>
        </w:rPr>
      </w:pPr>
      <w:r w:rsidRPr="00F2117B">
        <w:rPr>
          <w:sz w:val="21"/>
          <w:szCs w:val="21"/>
        </w:rPr>
        <w:t xml:space="preserve">For any additional information, please contact: </w:t>
      </w:r>
    </w:p>
    <w:p w14:paraId="082EE526" w14:textId="77777777" w:rsidR="00383A56" w:rsidRPr="00F2117B" w:rsidRDefault="00685614">
      <w:pPr>
        <w:jc w:val="right"/>
        <w:rPr>
          <w:sz w:val="21"/>
          <w:szCs w:val="21"/>
        </w:rPr>
      </w:pPr>
      <w:r w:rsidRPr="00F2117B">
        <w:rPr>
          <w:sz w:val="21"/>
          <w:szCs w:val="21"/>
        </w:rPr>
        <w:t>Aleksandr Voronov</w:t>
      </w:r>
      <w:r w:rsidRPr="00F2117B">
        <w:rPr>
          <w:sz w:val="21"/>
          <w:szCs w:val="21"/>
        </w:rPr>
        <w:br/>
        <w:t>Coordinator of monitoring and advocacy</w:t>
      </w:r>
      <w:r w:rsidRPr="00F2117B">
        <w:rPr>
          <w:sz w:val="21"/>
          <w:szCs w:val="21"/>
        </w:rPr>
        <w:br/>
        <w:t>“Coming Out" LGBT Initiative group</w:t>
      </w:r>
      <w:r w:rsidRPr="00F2117B">
        <w:rPr>
          <w:sz w:val="21"/>
          <w:szCs w:val="21"/>
        </w:rPr>
        <w:br/>
        <w:t>voronov@comingoutspb.ru</w:t>
      </w:r>
    </w:p>
    <w:sectPr w:rsidR="00383A56" w:rsidRPr="00F2117B">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C5B3" w14:textId="77777777" w:rsidR="00000000" w:rsidRDefault="00685614">
      <w:pPr>
        <w:spacing w:after="0" w:line="240" w:lineRule="auto"/>
      </w:pPr>
      <w:r>
        <w:separator/>
      </w:r>
    </w:p>
  </w:endnote>
  <w:endnote w:type="continuationSeparator" w:id="0">
    <w:p w14:paraId="121E61A9" w14:textId="77777777" w:rsidR="00000000" w:rsidRDefault="00685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1B38" w14:textId="77777777" w:rsidR="00000000" w:rsidRDefault="00685614">
      <w:pPr>
        <w:spacing w:after="0" w:line="240" w:lineRule="auto"/>
      </w:pPr>
      <w:r>
        <w:separator/>
      </w:r>
    </w:p>
  </w:footnote>
  <w:footnote w:type="continuationSeparator" w:id="0">
    <w:p w14:paraId="3C4BF320" w14:textId="77777777" w:rsidR="00000000" w:rsidRDefault="00685614">
      <w:pPr>
        <w:spacing w:after="0" w:line="240" w:lineRule="auto"/>
      </w:pPr>
      <w:r>
        <w:continuationSeparator/>
      </w:r>
    </w:p>
  </w:footnote>
  <w:footnote w:id="1">
    <w:p w14:paraId="082EE529" w14:textId="77777777" w:rsidR="00383A56" w:rsidRDefault="0068561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“Coming Out” (</w:t>
      </w:r>
      <w:hyperlink r:id="rId1">
        <w:r>
          <w:rPr>
            <w:color w:val="0000FF"/>
            <w:sz w:val="20"/>
            <w:szCs w:val="20"/>
            <w:u w:val="single"/>
          </w:rPr>
          <w:t>https:</w:t>
        </w:r>
        <w:r>
          <w:rPr>
            <w:color w:val="0000FF"/>
            <w:sz w:val="20"/>
            <w:szCs w:val="20"/>
            <w:u w:val="single"/>
          </w:rPr>
          <w:t>//comingoutspb.com/eng/</w:t>
        </w:r>
      </w:hyperlink>
      <w:r>
        <w:rPr>
          <w:color w:val="000000"/>
          <w:sz w:val="20"/>
          <w:szCs w:val="20"/>
        </w:rPr>
        <w:t>) is a regional nonprofit initiative group founded in 2008 in St. Petersburg, Russia. We work for universal recognition of human dignity and equal rights of all regardless of sexual orientation or gender identity by lobbying and advo</w:t>
      </w:r>
      <w:r>
        <w:rPr>
          <w:color w:val="000000"/>
          <w:sz w:val="20"/>
          <w:szCs w:val="20"/>
        </w:rPr>
        <w:t>cacy, educational and cultural events, and providing psychological and legal services to LGBT* people</w:t>
      </w:r>
    </w:p>
  </w:footnote>
  <w:footnote w:id="2">
    <w:p w14:paraId="6345F368" w14:textId="372BC671" w:rsidR="005F1762" w:rsidRPr="005F1762" w:rsidRDefault="005F1762">
      <w:pPr>
        <w:pStyle w:val="a8"/>
        <w:rPr>
          <w:lang w:val="en-US"/>
        </w:rPr>
      </w:pPr>
      <w:r>
        <w:rPr>
          <w:rStyle w:val="aa"/>
        </w:rPr>
        <w:footnoteRef/>
      </w:r>
      <w:r>
        <w:t xml:space="preserve"> </w:t>
      </w:r>
      <w:r w:rsidRPr="005F1762">
        <w:t>https://meduza.io/feature/2021/11/17/yuliya-aleshina-iz-altayskogo-kraya-pervaya-v-rossii-transgendernaya-zhenschina-politik-my-s-ney-pogovorili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2AC"/>
    <w:multiLevelType w:val="multilevel"/>
    <w:tmpl w:val="ED34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7689E"/>
    <w:multiLevelType w:val="hybridMultilevel"/>
    <w:tmpl w:val="7206B7B4"/>
    <w:lvl w:ilvl="0" w:tplc="36167CF6">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44BBF"/>
    <w:multiLevelType w:val="multilevel"/>
    <w:tmpl w:val="569619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eastAsia="Calibri" w:hAnsi="Calibri" w:cs="Calibri"/>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3" w15:restartNumberingAfterBreak="0">
    <w:nsid w:val="59C2436D"/>
    <w:multiLevelType w:val="hybridMultilevel"/>
    <w:tmpl w:val="C6A2C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A56"/>
    <w:rsid w:val="00002BFA"/>
    <w:rsid w:val="00122E64"/>
    <w:rsid w:val="00147044"/>
    <w:rsid w:val="00170F2B"/>
    <w:rsid w:val="00183568"/>
    <w:rsid w:val="00192CC0"/>
    <w:rsid w:val="001B7215"/>
    <w:rsid w:val="001C6183"/>
    <w:rsid w:val="00213374"/>
    <w:rsid w:val="00265E21"/>
    <w:rsid w:val="00286D09"/>
    <w:rsid w:val="003056B0"/>
    <w:rsid w:val="00307760"/>
    <w:rsid w:val="003229EF"/>
    <w:rsid w:val="00366D61"/>
    <w:rsid w:val="00367A0B"/>
    <w:rsid w:val="0038109A"/>
    <w:rsid w:val="00383A56"/>
    <w:rsid w:val="00390C36"/>
    <w:rsid w:val="003A4D04"/>
    <w:rsid w:val="003B5E05"/>
    <w:rsid w:val="003E79D5"/>
    <w:rsid w:val="00484732"/>
    <w:rsid w:val="004C7032"/>
    <w:rsid w:val="00505357"/>
    <w:rsid w:val="00512435"/>
    <w:rsid w:val="00532E37"/>
    <w:rsid w:val="005362CD"/>
    <w:rsid w:val="005C1730"/>
    <w:rsid w:val="005F1762"/>
    <w:rsid w:val="005F4C37"/>
    <w:rsid w:val="005F762F"/>
    <w:rsid w:val="00602AB9"/>
    <w:rsid w:val="006109D3"/>
    <w:rsid w:val="006365A0"/>
    <w:rsid w:val="00647E15"/>
    <w:rsid w:val="006603E2"/>
    <w:rsid w:val="00685614"/>
    <w:rsid w:val="006C58C3"/>
    <w:rsid w:val="006D7BBC"/>
    <w:rsid w:val="0070122A"/>
    <w:rsid w:val="007541B1"/>
    <w:rsid w:val="007B43FD"/>
    <w:rsid w:val="007C6C64"/>
    <w:rsid w:val="007D3CE7"/>
    <w:rsid w:val="007E74F4"/>
    <w:rsid w:val="007F556A"/>
    <w:rsid w:val="007F5D88"/>
    <w:rsid w:val="00814A28"/>
    <w:rsid w:val="00840FED"/>
    <w:rsid w:val="00841E4E"/>
    <w:rsid w:val="00875997"/>
    <w:rsid w:val="008C3CE5"/>
    <w:rsid w:val="008D3444"/>
    <w:rsid w:val="008D36DB"/>
    <w:rsid w:val="009069C0"/>
    <w:rsid w:val="009425B4"/>
    <w:rsid w:val="009A2F6D"/>
    <w:rsid w:val="009F7C22"/>
    <w:rsid w:val="00A11218"/>
    <w:rsid w:val="00A76AA7"/>
    <w:rsid w:val="00A844D1"/>
    <w:rsid w:val="00AA047F"/>
    <w:rsid w:val="00AF09DC"/>
    <w:rsid w:val="00C13508"/>
    <w:rsid w:val="00C26AAC"/>
    <w:rsid w:val="00C45968"/>
    <w:rsid w:val="00C73C64"/>
    <w:rsid w:val="00D06E8B"/>
    <w:rsid w:val="00D12878"/>
    <w:rsid w:val="00DD0BFE"/>
    <w:rsid w:val="00E053B2"/>
    <w:rsid w:val="00E44A97"/>
    <w:rsid w:val="00E475BC"/>
    <w:rsid w:val="00F2117B"/>
    <w:rsid w:val="00F25AAB"/>
    <w:rsid w:val="00F53CCA"/>
    <w:rsid w:val="00FB5CE3"/>
    <w:rsid w:val="00FD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E503"/>
  <w15:docId w15:val="{37E049C2-3980-48B4-9265-00B0ED12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BE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rsid w:val="006A7186"/>
    <w:pPr>
      <w:spacing w:before="240" w:after="120" w:line="276" w:lineRule="auto"/>
      <w:outlineLvl w:val="1"/>
    </w:pPr>
    <w:rPr>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C62E9E"/>
    <w:pPr>
      <w:spacing w:after="0" w:line="240" w:lineRule="auto"/>
      <w:contextualSpacing/>
    </w:pPr>
    <w:rPr>
      <w:rFonts w:asciiTheme="majorHAnsi" w:eastAsiaTheme="majorEastAsia" w:hAnsiTheme="majorHAnsi" w:cstheme="majorBidi"/>
      <w:spacing w:val="-10"/>
      <w:kern w:val="28"/>
      <w:sz w:val="56"/>
      <w:szCs w:val="56"/>
    </w:rPr>
  </w:style>
  <w:style w:type="character" w:styleId="a5">
    <w:name w:val="Hyperlink"/>
    <w:basedOn w:val="a0"/>
    <w:uiPriority w:val="99"/>
    <w:unhideWhenUsed/>
    <w:rsid w:val="00DF5381"/>
    <w:rPr>
      <w:color w:val="0000FF"/>
      <w:u w:val="single"/>
    </w:rPr>
  </w:style>
  <w:style w:type="character" w:customStyle="1" w:styleId="a4">
    <w:name w:val="Заголовок Знак"/>
    <w:basedOn w:val="a0"/>
    <w:link w:val="a3"/>
    <w:uiPriority w:val="10"/>
    <w:rsid w:val="00C62E9E"/>
    <w:rPr>
      <w:rFonts w:asciiTheme="majorHAnsi" w:eastAsiaTheme="majorEastAsia" w:hAnsiTheme="majorHAnsi" w:cstheme="majorBidi"/>
      <w:spacing w:val="-10"/>
      <w:kern w:val="28"/>
      <w:sz w:val="56"/>
      <w:szCs w:val="56"/>
    </w:rPr>
  </w:style>
  <w:style w:type="character" w:styleId="a6">
    <w:name w:val="Strong"/>
    <w:basedOn w:val="a0"/>
    <w:uiPriority w:val="22"/>
    <w:qFormat/>
    <w:rsid w:val="00C62E9E"/>
    <w:rPr>
      <w:b/>
      <w:bCs/>
    </w:rPr>
  </w:style>
  <w:style w:type="paragraph" w:styleId="a7">
    <w:name w:val="List Paragraph"/>
    <w:basedOn w:val="a"/>
    <w:uiPriority w:val="34"/>
    <w:qFormat/>
    <w:rsid w:val="00B138D3"/>
    <w:pPr>
      <w:ind w:left="720"/>
      <w:contextualSpacing/>
    </w:pPr>
  </w:style>
  <w:style w:type="paragraph" w:styleId="a8">
    <w:name w:val="footnote text"/>
    <w:basedOn w:val="a"/>
    <w:link w:val="a9"/>
    <w:uiPriority w:val="99"/>
    <w:semiHidden/>
    <w:unhideWhenUsed/>
    <w:rsid w:val="00B138D3"/>
    <w:pPr>
      <w:spacing w:after="0" w:line="240" w:lineRule="auto"/>
    </w:pPr>
    <w:rPr>
      <w:sz w:val="20"/>
      <w:szCs w:val="20"/>
    </w:rPr>
  </w:style>
  <w:style w:type="character" w:customStyle="1" w:styleId="a9">
    <w:name w:val="Текст сноски Знак"/>
    <w:basedOn w:val="a0"/>
    <w:link w:val="a8"/>
    <w:uiPriority w:val="99"/>
    <w:semiHidden/>
    <w:rsid w:val="00B138D3"/>
    <w:rPr>
      <w:sz w:val="20"/>
      <w:szCs w:val="20"/>
    </w:rPr>
  </w:style>
  <w:style w:type="character" w:styleId="aa">
    <w:name w:val="footnote reference"/>
    <w:basedOn w:val="a0"/>
    <w:uiPriority w:val="99"/>
    <w:semiHidden/>
    <w:unhideWhenUsed/>
    <w:rsid w:val="00B138D3"/>
    <w:rPr>
      <w:vertAlign w:val="superscript"/>
    </w:rPr>
  </w:style>
  <w:style w:type="character" w:styleId="ab">
    <w:name w:val="Unresolved Mention"/>
    <w:basedOn w:val="a0"/>
    <w:uiPriority w:val="99"/>
    <w:semiHidden/>
    <w:unhideWhenUsed/>
    <w:rsid w:val="00952286"/>
    <w:rPr>
      <w:color w:val="605E5C"/>
      <w:shd w:val="clear" w:color="auto" w:fill="E1DFDD"/>
    </w:rPr>
  </w:style>
  <w:style w:type="character" w:styleId="ac">
    <w:name w:val="FollowedHyperlink"/>
    <w:basedOn w:val="a0"/>
    <w:uiPriority w:val="99"/>
    <w:semiHidden/>
    <w:unhideWhenUsed/>
    <w:rsid w:val="004C0B24"/>
    <w:rPr>
      <w:color w:val="954F72" w:themeColor="followedHyperlink"/>
      <w:u w:val="single"/>
    </w:rPr>
  </w:style>
  <w:style w:type="character" w:customStyle="1" w:styleId="20">
    <w:name w:val="Заголовок 2 Знак"/>
    <w:basedOn w:val="a0"/>
    <w:link w:val="2"/>
    <w:uiPriority w:val="9"/>
    <w:rsid w:val="006A7186"/>
    <w:rPr>
      <w:rFonts w:eastAsia="Calibri" w:cs="Calibri"/>
      <w:b/>
      <w:lang w:val="en"/>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931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t-action-team.org/"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coalition.net/covid-19-2020-pandemic/"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rainboworldperm.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mingoutspb.com/e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x6XpFEN9gmi1MnS5uOCa6XFBvg==">AMUW2mUCqvfUfXtpZ2SI7eXolqCnKLDBxHmi1lKsbxI8B1a9Qr0OSOuz0p/IhrPek0aLVz7zbOAwpBdcm2nmrkiFYkRZ39lc9Aa667qgOAUVFjdnCRikgC2ZkXN8hQ/IZHtkSs/kTtQU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Coming Out LGBT Group</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553CB98-B0C1-482C-ABE4-A226118698CD}">
  <ds:schemaRefs>
    <ds:schemaRef ds:uri="http://schemas.openxmlformats.org/officeDocument/2006/bibliography"/>
  </ds:schemaRefs>
</ds:datastoreItem>
</file>

<file path=customXml/itemProps3.xml><?xml version="1.0" encoding="utf-8"?>
<ds:datastoreItem xmlns:ds="http://schemas.openxmlformats.org/officeDocument/2006/customXml" ds:itemID="{9FC7EAF6-CEB5-4CB7-95C5-9F9BFE1D97B6}"/>
</file>

<file path=customXml/itemProps4.xml><?xml version="1.0" encoding="utf-8"?>
<ds:datastoreItem xmlns:ds="http://schemas.openxmlformats.org/officeDocument/2006/customXml" ds:itemID="{BCDB16B4-0071-469C-931C-248F544F2B1D}"/>
</file>

<file path=customXml/itemProps5.xml><?xml version="1.0" encoding="utf-8"?>
<ds:datastoreItem xmlns:ds="http://schemas.openxmlformats.org/officeDocument/2006/customXml" ds:itemID="{4A2D369E-B2DA-42E2-B260-81B1A54DC13D}"/>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dc:creator>
  <cp:lastModifiedBy>Воронов Александр</cp:lastModifiedBy>
  <cp:revision>2</cp:revision>
  <dcterms:created xsi:type="dcterms:W3CDTF">2022-02-07T09:33:00Z</dcterms:created>
  <dcterms:modified xsi:type="dcterms:W3CDTF">2022-02-07T09:33:00Z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