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2FFB" w14:textId="35F864DB" w:rsidR="00857243" w:rsidRDefault="00857243" w:rsidP="00857243">
      <w:pPr>
        <w:spacing w:after="0" w:line="240" w:lineRule="auto"/>
        <w:ind w:left="360" w:hanging="360"/>
        <w:jc w:val="both"/>
        <w:rPr>
          <w:rFonts w:ascii="Calibri" w:hAnsi="Calibri" w:cs="Calibri"/>
          <w:bCs/>
          <w:lang w:val="es-PE"/>
        </w:rPr>
      </w:pPr>
    </w:p>
    <w:p w14:paraId="1541F24A" w14:textId="7B104A94" w:rsidR="00857243" w:rsidRDefault="00857243" w:rsidP="00857243">
      <w:pPr>
        <w:spacing w:after="0" w:line="240" w:lineRule="auto"/>
        <w:ind w:left="360" w:hanging="360"/>
        <w:jc w:val="both"/>
        <w:rPr>
          <w:rFonts w:ascii="Calibri" w:hAnsi="Calibri" w:cs="Calibri"/>
          <w:bCs/>
          <w:lang w:val="es-PE"/>
        </w:rPr>
      </w:pPr>
    </w:p>
    <w:p w14:paraId="3B0A022F" w14:textId="77777777" w:rsidR="00857243" w:rsidRPr="00857243" w:rsidRDefault="00857243" w:rsidP="00857243">
      <w:pPr>
        <w:spacing w:after="0" w:line="240" w:lineRule="auto"/>
        <w:ind w:left="360" w:hanging="360"/>
        <w:jc w:val="both"/>
        <w:rPr>
          <w:rFonts w:ascii="Calibri" w:hAnsi="Calibri" w:cs="Calibri"/>
          <w:bCs/>
          <w:lang w:val="es-PE"/>
        </w:rPr>
      </w:pPr>
    </w:p>
    <w:p w14:paraId="63F98C93" w14:textId="1A6849C1" w:rsidR="00033076" w:rsidRPr="00FE7711" w:rsidRDefault="00033076" w:rsidP="00A36A98">
      <w:pPr>
        <w:spacing w:after="0" w:line="240" w:lineRule="auto"/>
        <w:ind w:left="360" w:hanging="36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FE7711">
        <w:rPr>
          <w:rFonts w:ascii="Calibri" w:hAnsi="Calibri" w:cs="Calibri"/>
          <w:b/>
          <w:bCs/>
          <w:sz w:val="28"/>
          <w:szCs w:val="28"/>
          <w:lang w:val="es-PE"/>
        </w:rPr>
        <w:t xml:space="preserve">Insumos para </w:t>
      </w:r>
      <w:r w:rsidRPr="00FE7711">
        <w:rPr>
          <w:rFonts w:ascii="Calibri" w:hAnsi="Calibri" w:cs="Calibri"/>
          <w:b/>
          <w:bCs/>
          <w:sz w:val="28"/>
          <w:szCs w:val="28"/>
          <w:lang w:val="es-ES"/>
        </w:rPr>
        <w:t xml:space="preserve">Informe: Realización del derecho de las personas </w:t>
      </w:r>
      <w:r w:rsidR="00C66CB5" w:rsidRPr="00FE7711">
        <w:rPr>
          <w:rFonts w:ascii="Calibri" w:hAnsi="Calibri" w:cs="Calibri"/>
          <w:b/>
          <w:bCs/>
          <w:color w:val="000000"/>
          <w:sz w:val="28"/>
          <w:szCs w:val="28"/>
          <w:lang w:val="es-ES"/>
        </w:rPr>
        <w:t>LGTBI y GNC</w:t>
      </w:r>
      <w:r w:rsidR="00C66CB5" w:rsidRPr="00FE7711">
        <w:rPr>
          <w:rFonts w:ascii="Calibri" w:hAnsi="Calibri" w:cs="Calibri"/>
          <w:b/>
          <w:bCs/>
          <w:sz w:val="28"/>
          <w:szCs w:val="28"/>
          <w:lang w:val="es-ES"/>
        </w:rPr>
        <w:t xml:space="preserve"> </w:t>
      </w:r>
      <w:r w:rsidRPr="00FE7711">
        <w:rPr>
          <w:rFonts w:ascii="Calibri" w:hAnsi="Calibri" w:cs="Calibri"/>
          <w:b/>
          <w:bCs/>
          <w:sz w:val="28"/>
          <w:szCs w:val="28"/>
          <w:lang w:val="es-ES"/>
        </w:rPr>
        <w:t xml:space="preserve">afectadas por la violencia y la discriminación por orientación sexual e identidad de género al disfrute del más alto nivel posible de salud física y mental, en relación con el </w:t>
      </w:r>
      <w:proofErr w:type="spellStart"/>
      <w:r w:rsidRPr="00FE7711">
        <w:rPr>
          <w:rFonts w:ascii="Calibri" w:hAnsi="Calibri" w:cs="Calibri"/>
          <w:b/>
          <w:bCs/>
          <w:sz w:val="28"/>
          <w:szCs w:val="28"/>
          <w:lang w:val="es-ES"/>
        </w:rPr>
        <w:t>ODS</w:t>
      </w:r>
      <w:proofErr w:type="spellEnd"/>
      <w:r w:rsidRPr="00FE7711">
        <w:rPr>
          <w:rFonts w:ascii="Calibri" w:hAnsi="Calibri" w:cs="Calibri"/>
          <w:b/>
          <w:bCs/>
          <w:sz w:val="28"/>
          <w:szCs w:val="28"/>
          <w:lang w:val="es-ES"/>
        </w:rPr>
        <w:t xml:space="preserve"> 3</w:t>
      </w:r>
    </w:p>
    <w:p w14:paraId="24349412" w14:textId="77777777" w:rsidR="00A36A98" w:rsidRPr="00A36A98" w:rsidRDefault="00A36A98" w:rsidP="00A36A98">
      <w:pPr>
        <w:spacing w:after="0" w:line="240" w:lineRule="auto"/>
        <w:ind w:left="360" w:hanging="360"/>
        <w:rPr>
          <w:rFonts w:ascii="Calibri" w:hAnsi="Calibri" w:cs="Calibri"/>
          <w:lang w:val="es-ES"/>
        </w:rPr>
      </w:pPr>
    </w:p>
    <w:p w14:paraId="4A1B0BE0" w14:textId="1EAE93A9" w:rsidR="003E1010" w:rsidRPr="00A36A98" w:rsidRDefault="003E1010" w:rsidP="00857243">
      <w:pPr>
        <w:spacing w:after="0" w:line="240" w:lineRule="auto"/>
        <w:ind w:left="360" w:hanging="360"/>
        <w:jc w:val="center"/>
        <w:rPr>
          <w:rFonts w:ascii="Calibri" w:hAnsi="Calibri" w:cs="Calibri"/>
          <w:lang w:val="es-ES"/>
        </w:rPr>
      </w:pPr>
      <w:r w:rsidRPr="00A36A98">
        <w:rPr>
          <w:rFonts w:ascii="Calibri" w:hAnsi="Calibri" w:cs="Calibri"/>
          <w:lang w:val="es-ES"/>
        </w:rPr>
        <w:t xml:space="preserve">Realizado por </w:t>
      </w:r>
      <w:r w:rsidR="0082389F" w:rsidRPr="00A36A98">
        <w:rPr>
          <w:rFonts w:ascii="Calibri" w:hAnsi="Calibri" w:cs="Calibri"/>
          <w:lang w:val="es-ES"/>
        </w:rPr>
        <w:t>Lesbianas Independientes Feministas y Socialistas</w:t>
      </w:r>
      <w:r w:rsidR="00603BE6" w:rsidRPr="00A36A98">
        <w:rPr>
          <w:rFonts w:ascii="Calibri" w:hAnsi="Calibri" w:cs="Calibri"/>
          <w:lang w:val="es-ES"/>
        </w:rPr>
        <w:t xml:space="preserve"> </w:t>
      </w:r>
      <w:r w:rsidR="00A06F57" w:rsidRPr="00A36A98">
        <w:rPr>
          <w:rFonts w:ascii="Calibri" w:hAnsi="Calibri" w:cs="Calibri"/>
          <w:lang w:val="es-ES"/>
        </w:rPr>
        <w:t>(LIFS)</w:t>
      </w:r>
    </w:p>
    <w:p w14:paraId="192997C6" w14:textId="693EEFB8" w:rsidR="00A36A98" w:rsidRPr="00A36A98" w:rsidRDefault="00A36A98" w:rsidP="00857243">
      <w:pPr>
        <w:pStyle w:val="Ttulo2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Lima, </w:t>
      </w:r>
      <w:r w:rsidRPr="00A36A98">
        <w:rPr>
          <w:rFonts w:ascii="Calibri" w:hAnsi="Calibri" w:cs="Calibri"/>
          <w:b w:val="0"/>
          <w:sz w:val="22"/>
          <w:szCs w:val="22"/>
          <w:lang w:val="es-ES"/>
        </w:rPr>
        <w:t>Perú</w:t>
      </w:r>
      <w:r w:rsidRPr="00A36A98">
        <w:rPr>
          <w:rFonts w:ascii="Calibri" w:hAnsi="Calibri" w:cs="Calibri"/>
          <w:b w:val="0"/>
          <w:sz w:val="22"/>
          <w:szCs w:val="22"/>
          <w:lang w:val="es-ES"/>
        </w:rPr>
        <w:t>,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28 de enero de 202</w:t>
      </w:r>
      <w:r w:rsidR="00857243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2</w:t>
      </w:r>
    </w:p>
    <w:p w14:paraId="673280A3" w14:textId="177DC868" w:rsidR="00A36A98" w:rsidRPr="00A36A98" w:rsidRDefault="00A36A98" w:rsidP="00A36A98">
      <w:pPr>
        <w:spacing w:after="0" w:line="240" w:lineRule="auto"/>
        <w:ind w:left="360" w:hanging="360"/>
        <w:rPr>
          <w:rFonts w:ascii="Calibri" w:hAnsi="Calibri" w:cs="Calibri"/>
          <w:lang w:val="es-ES"/>
        </w:rPr>
      </w:pPr>
    </w:p>
    <w:p w14:paraId="4F7DF36E" w14:textId="77777777" w:rsidR="00A36A98" w:rsidRPr="00A36A98" w:rsidRDefault="00A36A98" w:rsidP="00A36A98">
      <w:pPr>
        <w:spacing w:after="0" w:line="240" w:lineRule="auto"/>
        <w:ind w:left="360" w:hanging="360"/>
        <w:rPr>
          <w:rFonts w:ascii="Calibri" w:hAnsi="Calibri" w:cs="Calibri"/>
          <w:lang w:val="es-ES"/>
        </w:rPr>
      </w:pPr>
    </w:p>
    <w:p w14:paraId="25484C96" w14:textId="0D0638A8" w:rsidR="005B4F5D" w:rsidRPr="00FE7711" w:rsidRDefault="005B4F5D" w:rsidP="00FE7711">
      <w:pPr>
        <w:pStyle w:val="Ttulo2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4"/>
          <w:szCs w:val="24"/>
          <w:lang w:val="es-ES"/>
        </w:rPr>
      </w:pPr>
      <w:r w:rsidRPr="00FE7711">
        <w:rPr>
          <w:rFonts w:ascii="Calibri" w:hAnsi="Calibri" w:cs="Calibri"/>
          <w:color w:val="000000"/>
          <w:sz w:val="24"/>
          <w:szCs w:val="24"/>
          <w:lang w:val="es-ES"/>
        </w:rPr>
        <w:t>Investigación: necesidades de atención médica</w:t>
      </w:r>
    </w:p>
    <w:p w14:paraId="291C28BC" w14:textId="19E17ABF" w:rsidR="003632E3" w:rsidRPr="00A36A98" w:rsidRDefault="00055FE4" w:rsidP="00FE7711">
      <w:pPr>
        <w:pStyle w:val="Ttulo2"/>
        <w:spacing w:before="0" w:beforeAutospacing="0" w:after="0" w:afterAutospacing="0"/>
        <w:ind w:left="709" w:hanging="425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PE"/>
        </w:rPr>
        <w:t>1.1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  <w:r w:rsidR="00FE7711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ab/>
      </w:r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Ni el</w:t>
      </w:r>
      <w:r w:rsidR="00B44B8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</w:t>
      </w:r>
      <w:r w:rsidR="005F06C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Ministerio de Salud (MINSA), </w:t>
      </w:r>
      <w:r w:rsidR="00F87671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ente rector en salud</w:t>
      </w:r>
      <w:r w:rsidR="00967E59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footnoteReference w:id="1"/>
      </w:r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ni e</w:t>
      </w:r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l Instituto Nacional de Informática y Estadística (</w:t>
      </w:r>
      <w:proofErr w:type="spellStart"/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INEI</w:t>
      </w:r>
      <w:proofErr w:type="spellEnd"/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)</w:t>
      </w:r>
      <w:r w:rsidR="005F06C9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2"/>
      </w:r>
      <w:r w:rsidR="005F06C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, </w:t>
      </w:r>
      <w:r w:rsidR="003632E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poseen información de manera desagregada </w:t>
      </w:r>
      <w:r w:rsidR="00A06F57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sobre</w:t>
      </w:r>
      <w:r w:rsidR="005F06C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:</w:t>
      </w:r>
    </w:p>
    <w:p w14:paraId="7D57F1E4" w14:textId="2D6460AA" w:rsidR="00A10C78" w:rsidRPr="00A36A98" w:rsidRDefault="00F461B3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A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cceso a</w:t>
      </w:r>
      <w:r w:rsidR="00DB554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y/o prestación de servicios de salud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31E7B0C3" w14:textId="795C6DF9" w:rsidR="00A10C78" w:rsidRPr="00A36A98" w:rsidRDefault="00F461B3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Nú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mero de nuevas infecciones por VIH por 1000 habitantes no infectados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20750946" w14:textId="69F3EA42" w:rsidR="00A10C78" w:rsidRPr="00A36A98" w:rsidRDefault="00F461B3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T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asa de mortalidad por suicidio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44F19381" w14:textId="4D6EC91B" w:rsidR="00A10C78" w:rsidRPr="00A36A98" w:rsidRDefault="00C67523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I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ntervenciones de tratamiento para trastornos por uso de sustancia</w:t>
      </w:r>
      <w:r w:rsidR="00F461B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s.</w:t>
      </w:r>
    </w:p>
    <w:p w14:paraId="02B483E0" w14:textId="2E25F690" w:rsidR="00A10C78" w:rsidRPr="00A36A98" w:rsidRDefault="00A10C78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Uso nocivo de alcohol</w:t>
      </w:r>
      <w:r w:rsidR="00F461B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6233CAD7" w14:textId="0170BF6B" w:rsidR="00A10C78" w:rsidRPr="00A36A98" w:rsidRDefault="00A10C78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Atención </w:t>
      </w:r>
      <w:r w:rsidR="00C6752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en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salud sexual y reproductiva</w:t>
      </w:r>
      <w:r w:rsidR="00F461B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500D4D33" w14:textId="5D6C1BD3" w:rsidR="005635C9" w:rsidRPr="00A36A98" w:rsidRDefault="00A10C78" w:rsidP="00FE7711">
      <w:pPr>
        <w:pStyle w:val="Ttulo2"/>
        <w:numPr>
          <w:ilvl w:val="0"/>
          <w:numId w:val="18"/>
        </w:numPr>
        <w:spacing w:before="0" w:beforeAutospacing="0" w:after="0" w:afterAutospacing="0"/>
        <w:ind w:left="993" w:hanging="284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Cobertura de servicios de salud esenciales</w:t>
      </w:r>
      <w:r w:rsidR="00F461B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7AA5B051" w14:textId="77777777" w:rsidR="003632E3" w:rsidRPr="00A36A98" w:rsidRDefault="003632E3" w:rsidP="00A36A98">
      <w:pPr>
        <w:pStyle w:val="Ttulo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</w:p>
    <w:p w14:paraId="6DBCB23D" w14:textId="7BABB9B5" w:rsidR="00B44B8E" w:rsidRPr="00A36A98" w:rsidRDefault="003632E3" w:rsidP="00FE7711">
      <w:pPr>
        <w:pStyle w:val="Ttulo2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1.2</w:t>
      </w:r>
      <w:r w:rsidR="00A36A98">
        <w:rPr>
          <w:rFonts w:ascii="Calibri" w:hAnsi="Calibri" w:cs="Calibri"/>
          <w:color w:val="000000"/>
          <w:sz w:val="22"/>
          <w:szCs w:val="22"/>
          <w:lang w:val="es-ES"/>
        </w:rPr>
        <w:t>.</w:t>
      </w:r>
      <w:r w:rsidR="00FE7711">
        <w:rPr>
          <w:rFonts w:ascii="Calibri" w:hAnsi="Calibri" w:cs="Calibri"/>
          <w:color w:val="000000"/>
          <w:sz w:val="22"/>
          <w:szCs w:val="22"/>
          <w:lang w:val="es-ES"/>
        </w:rPr>
        <w:tab/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Medidas para investigar y comprender necesidades de atención médica:</w:t>
      </w:r>
    </w:p>
    <w:p w14:paraId="7727CC1C" w14:textId="641FB935" w:rsidR="003917B4" w:rsidRPr="00A36A98" w:rsidRDefault="005635C9" w:rsidP="00FE7711">
      <w:pPr>
        <w:pStyle w:val="Ttulo2"/>
        <w:numPr>
          <w:ilvl w:val="0"/>
          <w:numId w:val="20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Primera encuesta virtual para personas LGBTI, efectuada por el Instituto Nacional de Estadística e Informática (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INEI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) en el 2017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C6752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Sobre a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cceso a servicios de salud: E</w:t>
      </w:r>
      <w:r w:rsidR="003917B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l </w:t>
      </w:r>
      <w:r w:rsidR="00305A6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32%</w:t>
      </w:r>
      <w:r w:rsidR="003917B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manifestó no tener seguro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3917B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Durante los últimos doce meses, el </w:t>
      </w:r>
      <w:r w:rsidR="00305A6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54,4% </w:t>
      </w:r>
      <w:r w:rsidR="003917B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manifestó haber padecido alguna enfermedad mental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512F95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El 15,9% se ha sentido discriminado en los servicios de salud, y en el 15,4% de los casos el personal de salud fue el agresor de esta discriminación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A06F57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No </w:t>
      </w:r>
      <w:r w:rsidR="00336F9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desagrega sobre la situación específica de las lesbianas.</w:t>
      </w:r>
    </w:p>
    <w:p w14:paraId="574CE0D4" w14:textId="3B5A0560" w:rsidR="00BC335E" w:rsidRPr="00A36A98" w:rsidRDefault="00BC335E" w:rsidP="00A36A98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</w:p>
    <w:p w14:paraId="5157AA7C" w14:textId="61F00222" w:rsidR="008C0BC3" w:rsidRPr="00A36A98" w:rsidRDefault="008C0BC3" w:rsidP="00FE7711">
      <w:pPr>
        <w:pStyle w:val="Ttulo2"/>
        <w:spacing w:before="0" w:beforeAutospacing="0" w:after="0" w:afterAutospacing="0"/>
        <w:ind w:left="709" w:hanging="425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1.3</w:t>
      </w:r>
      <w:r w:rsidR="00A36A98">
        <w:rPr>
          <w:rFonts w:ascii="Calibri" w:hAnsi="Calibri" w:cs="Calibri"/>
          <w:color w:val="000000"/>
          <w:sz w:val="22"/>
          <w:szCs w:val="22"/>
          <w:lang w:val="es-ES"/>
        </w:rPr>
        <w:t>.</w:t>
      </w:r>
      <w:r w:rsidR="00FE7711">
        <w:rPr>
          <w:rFonts w:ascii="Calibri" w:hAnsi="Calibri" w:cs="Calibri"/>
          <w:color w:val="000000"/>
          <w:sz w:val="22"/>
          <w:szCs w:val="22"/>
          <w:lang w:val="es-ES"/>
        </w:rPr>
        <w:tab/>
      </w:r>
      <w:r w:rsidR="00EA770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L</w:t>
      </w:r>
      <w:r w:rsidR="00DA3DF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as encuestas generales no recogen información desagregada por orientación sexual y/o identidad de género, el análisis</w:t>
      </w:r>
      <w:r w:rsidR="00FE5B6A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de esta información</w:t>
      </w:r>
      <w:r w:rsidR="00DA3DF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no puede hacer</w:t>
      </w:r>
      <w:r w:rsidR="00FE5B6A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se</w:t>
      </w:r>
      <w:r w:rsidR="00DA3DF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</w:t>
      </w:r>
      <w:r w:rsidR="00FE5B6A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de manera </w:t>
      </w:r>
      <w:r w:rsidR="00DA3DF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interseccional.</w:t>
      </w:r>
    </w:p>
    <w:p w14:paraId="78470F27" w14:textId="77777777" w:rsidR="008C0BC3" w:rsidRPr="00857243" w:rsidRDefault="008C0BC3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2"/>
          <w:szCs w:val="22"/>
          <w:lang w:val="es-ES"/>
        </w:rPr>
      </w:pPr>
    </w:p>
    <w:p w14:paraId="0DEB6DEA" w14:textId="2F77D2E6" w:rsidR="00A10C78" w:rsidRPr="00FE7711" w:rsidRDefault="00A10C78" w:rsidP="00FE7711">
      <w:pPr>
        <w:pStyle w:val="Ttulo2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4"/>
          <w:szCs w:val="24"/>
          <w:lang w:val="es-ES"/>
        </w:rPr>
      </w:pPr>
      <w:r w:rsidRPr="00FE7711">
        <w:rPr>
          <w:rFonts w:ascii="Calibri" w:hAnsi="Calibri" w:cs="Calibri"/>
          <w:color w:val="000000"/>
          <w:sz w:val="24"/>
          <w:szCs w:val="24"/>
          <w:lang w:val="es-ES"/>
        </w:rPr>
        <w:t>Inclusión: en el proceso de toma de decisiones</w:t>
      </w:r>
    </w:p>
    <w:p w14:paraId="10FD5A3D" w14:textId="723FDBD7" w:rsidR="00A10C78" w:rsidRPr="00A36A98" w:rsidRDefault="005E4C06" w:rsidP="00FE7711">
      <w:pPr>
        <w:pStyle w:val="Ttulo2"/>
        <w:numPr>
          <w:ilvl w:val="1"/>
          <w:numId w:val="4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M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edidas 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adoptadas 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para consultar e incluir en la legislación y la formulación de políticas en relación con el derecho de toda persona al disfrute del más alto nivel posible de salud física y mental</w:t>
      </w:r>
      <w:r w:rsidR="0044030E" w:rsidRPr="00A36A98">
        <w:rPr>
          <w:rFonts w:ascii="Calibri" w:hAnsi="Calibri" w:cs="Calibri"/>
          <w:color w:val="000000"/>
          <w:sz w:val="22"/>
          <w:szCs w:val="22"/>
          <w:lang w:val="es-ES"/>
        </w:rPr>
        <w:t>,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 y en relación con la realización de los </w:t>
      </w:r>
      <w:proofErr w:type="spellStart"/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ODS</w:t>
      </w:r>
      <w:proofErr w:type="spellEnd"/>
    </w:p>
    <w:p w14:paraId="43298C7C" w14:textId="253051B0" w:rsidR="00D6097D" w:rsidRPr="00A36A98" w:rsidRDefault="003943C7" w:rsidP="00FE7711">
      <w:pPr>
        <w:pStyle w:val="Ttulo2"/>
        <w:numPr>
          <w:ilvl w:val="0"/>
          <w:numId w:val="10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C</w:t>
      </w:r>
      <w:r w:rsidR="00D6097D" w:rsidRPr="00A36A98">
        <w:rPr>
          <w:rFonts w:ascii="Calibri" w:hAnsi="Calibri" w:cs="Calibri"/>
          <w:color w:val="000000"/>
          <w:sz w:val="22"/>
          <w:szCs w:val="22"/>
          <w:lang w:val="es-ES"/>
        </w:rPr>
        <w:t>oordinadora Nacional Multisectorial en Salud (CONAMUSA)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</w:t>
      </w:r>
      <w:r w:rsidR="00D6097D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organismo de coordinación de representantes del gobierno, la cooperación internacional y la sociedad civil, incluyendo a las organizaciones de personas directamente afectadas por el VIH/SIDA, Tuberculosis y poblaciones claves; reconocida con el Decreto Supremo 007-2004-SA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336F9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Tiene</w:t>
      </w:r>
      <w:r w:rsidR="000D01E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representantes de la Comunidad Gay</w:t>
      </w:r>
      <w:r w:rsidR="000D01E0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footnoteReference w:id="3"/>
      </w:r>
      <w:r w:rsidR="000D01E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y de las mujeres trans</w:t>
      </w:r>
      <w:r w:rsidR="000D01E0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footnoteReference w:id="4"/>
      </w:r>
      <w:r w:rsidR="000D01E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</w:p>
    <w:p w14:paraId="143A7174" w14:textId="70C51B28" w:rsidR="003943C7" w:rsidRPr="00DD6450" w:rsidRDefault="003943C7" w:rsidP="00FE7711">
      <w:pPr>
        <w:pStyle w:val="Ttulo2"/>
        <w:numPr>
          <w:ilvl w:val="0"/>
          <w:numId w:val="10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pacing w:val="-2"/>
          <w:sz w:val="22"/>
          <w:szCs w:val="22"/>
          <w:lang w:val="es-ES"/>
        </w:rPr>
      </w:pPr>
      <w:r w:rsidRPr="00DD6450">
        <w:rPr>
          <w:rFonts w:ascii="Calibri" w:hAnsi="Calibri" w:cs="Calibri"/>
          <w:color w:val="000000"/>
          <w:spacing w:val="-2"/>
          <w:sz w:val="22"/>
          <w:szCs w:val="22"/>
          <w:lang w:val="es-PE"/>
        </w:rPr>
        <w:lastRenderedPageBreak/>
        <w:t>II Encuesta Nacional de Derechos Humanos, elaborada por encargo del Ministerio de Justicia (2019)</w:t>
      </w:r>
      <w:r w:rsidR="006C0802" w:rsidRPr="00DD6450">
        <w:rPr>
          <w:rStyle w:val="Refdenotaalpie"/>
          <w:rFonts w:ascii="Calibri" w:hAnsi="Calibri" w:cs="Calibri"/>
          <w:color w:val="000000"/>
          <w:spacing w:val="-2"/>
          <w:sz w:val="22"/>
          <w:szCs w:val="22"/>
          <w:lang w:val="es-PE"/>
        </w:rPr>
        <w:footnoteReference w:id="5"/>
      </w:r>
      <w:r w:rsidR="00A36A98" w:rsidRPr="00DD6450">
        <w:rPr>
          <w:rFonts w:ascii="Calibri" w:hAnsi="Calibri" w:cs="Calibri"/>
          <w:b w:val="0"/>
          <w:color w:val="000000"/>
          <w:spacing w:val="-2"/>
          <w:sz w:val="22"/>
          <w:szCs w:val="22"/>
          <w:lang w:val="es-PE"/>
        </w:rPr>
        <w:t xml:space="preserve">.  </w:t>
      </w:r>
      <w:r w:rsidR="00FE7711" w:rsidRPr="00DD6450">
        <w:rPr>
          <w:rFonts w:ascii="Calibri" w:hAnsi="Calibri" w:cs="Calibri"/>
          <w:b w:val="0"/>
          <w:bCs w:val="0"/>
          <w:color w:val="000000"/>
          <w:spacing w:val="-2"/>
          <w:sz w:val="22"/>
          <w:szCs w:val="22"/>
          <w:lang w:val="es-PE"/>
        </w:rPr>
        <w:t>Mide</w:t>
      </w:r>
      <w:r w:rsidRPr="00DD6450">
        <w:rPr>
          <w:rFonts w:ascii="Calibri" w:hAnsi="Calibri" w:cs="Calibri"/>
          <w:b w:val="0"/>
          <w:bCs w:val="0"/>
          <w:color w:val="000000"/>
          <w:spacing w:val="-2"/>
          <w:sz w:val="22"/>
          <w:szCs w:val="22"/>
          <w:lang w:val="es-ES"/>
        </w:rPr>
        <w:t xml:space="preserve"> las percepciones sobre discriminación de las personas LGTBI y es la primera medición de la población no heterosexual (se busca dimensionar y hacer visible la población no heterosexual a nivel nacional)</w:t>
      </w:r>
      <w:r w:rsidR="00A36A98" w:rsidRPr="00DD6450">
        <w:rPr>
          <w:rFonts w:ascii="Calibri" w:hAnsi="Calibri" w:cs="Calibri"/>
          <w:b w:val="0"/>
          <w:bCs w:val="0"/>
          <w:color w:val="000000"/>
          <w:spacing w:val="-2"/>
          <w:sz w:val="22"/>
          <w:szCs w:val="22"/>
          <w:lang w:val="es-ES"/>
        </w:rPr>
        <w:t xml:space="preserve">.  </w:t>
      </w:r>
      <w:r w:rsidR="00336F9C" w:rsidRPr="00DD6450">
        <w:rPr>
          <w:rFonts w:ascii="Calibri" w:hAnsi="Calibri" w:cs="Calibri"/>
          <w:b w:val="0"/>
          <w:bCs w:val="0"/>
          <w:color w:val="000000"/>
          <w:spacing w:val="-2"/>
          <w:sz w:val="22"/>
          <w:szCs w:val="22"/>
          <w:lang w:val="es-PE"/>
        </w:rPr>
        <w:t>No desagrega sobre la situación de las lesbianas.</w:t>
      </w:r>
    </w:p>
    <w:p w14:paraId="18FEFC3C" w14:textId="39E3595A" w:rsidR="00383512" w:rsidRPr="00DD6450" w:rsidRDefault="00383512" w:rsidP="00FE7711">
      <w:pPr>
        <w:pStyle w:val="Ttulo2"/>
        <w:numPr>
          <w:ilvl w:val="0"/>
          <w:numId w:val="10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DD6450">
        <w:rPr>
          <w:rFonts w:ascii="Calibri" w:hAnsi="Calibri" w:cs="Calibri"/>
          <w:color w:val="000000"/>
          <w:sz w:val="22"/>
          <w:szCs w:val="22"/>
          <w:lang w:val="es-PE"/>
        </w:rPr>
        <w:t>Grupo de Trabajo denominado “Mesa</w:t>
      </w:r>
      <w:bookmarkStart w:id="0" w:name="_GoBack"/>
      <w:bookmarkEnd w:id="0"/>
      <w:r w:rsidRPr="00DD6450">
        <w:rPr>
          <w:rFonts w:ascii="Calibri" w:hAnsi="Calibri" w:cs="Calibri"/>
          <w:color w:val="000000"/>
          <w:sz w:val="22"/>
          <w:szCs w:val="22"/>
          <w:lang w:val="es-PE"/>
        </w:rPr>
        <w:t xml:space="preserve"> de Trabajo para promover los derechos de lesbianas”</w:t>
      </w:r>
      <w:r w:rsidRPr="00DD6450">
        <w:rPr>
          <w:rFonts w:ascii="Calibri" w:hAnsi="Calibri" w:cs="Calibri"/>
          <w:b w:val="0"/>
          <w:color w:val="000000"/>
          <w:sz w:val="22"/>
          <w:szCs w:val="22"/>
          <w:lang w:val="es-PE"/>
        </w:rPr>
        <w:t>,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creado mediante Resolución Ministerial </w:t>
      </w:r>
      <w:r w:rsidR="00DD6450" w:rsidRPr="00DD6450">
        <w:rPr>
          <w:rFonts w:ascii="Calibri" w:hAnsi="Calibri" w:cs="Calibri"/>
          <w:b w:val="0"/>
          <w:color w:val="000000"/>
          <w:sz w:val="22"/>
          <w:szCs w:val="22"/>
          <w:lang w:val="es-PE"/>
        </w:rPr>
        <w:t>N°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099—2016-MIMP</w:t>
      </w:r>
      <w:r w:rsidRPr="00DD64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PE"/>
        </w:rPr>
        <w:t xml:space="preserve"> 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encargado de coordinar el desarrollo de acciones entre el Ministerio de la Mujer y Poblaciones Vulnerables </w:t>
      </w:r>
      <w:r w:rsidR="00D278EC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(MIMP) 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y la Sociedad Civil</w:t>
      </w:r>
      <w:r w:rsidR="00445E69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,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 </w:t>
      </w:r>
      <w:r w:rsidR="00445E69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encargado, entre otras cosas, de “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la construcción de lineamientos de políticas públicas inclusivas</w:t>
      </w:r>
      <w:r w:rsidR="00445E69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”</w:t>
      </w:r>
      <w:r w:rsidR="00A36A98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.  </w:t>
      </w:r>
      <w:bookmarkStart w:id="1" w:name="_Hlk93245483"/>
      <w:r w:rsidR="00445E69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Conformado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 por una representante del </w:t>
      </w:r>
      <w:bookmarkStart w:id="2" w:name="_Hlk94279714"/>
      <w:r w:rsidR="00EA7703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MIMP</w:t>
      </w:r>
      <w:bookmarkEnd w:id="2"/>
      <w:r w:rsidR="00EA7703"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 xml:space="preserve"> </w:t>
      </w:r>
      <w:r w:rsidRPr="00DD6450">
        <w:rPr>
          <w:rFonts w:ascii="Calibri" w:hAnsi="Calibri" w:cs="Calibri"/>
          <w:b w:val="0"/>
          <w:bCs w:val="0"/>
          <w:color w:val="000000"/>
          <w:sz w:val="22"/>
          <w:szCs w:val="22"/>
          <w:shd w:val="clear" w:color="auto" w:fill="FFFFFF"/>
          <w:lang w:val="es-PE"/>
        </w:rPr>
        <w:t>y representantes de organizaciones de mujeres lesbianas.</w:t>
      </w:r>
    </w:p>
    <w:bookmarkEnd w:id="1"/>
    <w:p w14:paraId="29A0BA68" w14:textId="0ED58241" w:rsidR="00383512" w:rsidRPr="00A36A98" w:rsidRDefault="00383512" w:rsidP="00FE7711">
      <w:pPr>
        <w:pStyle w:val="Prrafodelista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color w:val="000000"/>
          <w:lang w:val="es-PE" w:eastAsia="en-GB"/>
        </w:rPr>
      </w:pPr>
      <w:r w:rsidRPr="00A36A98">
        <w:rPr>
          <w:rFonts w:ascii="Calibri" w:hAnsi="Calibri" w:cs="Calibri"/>
          <w:b/>
          <w:bCs/>
          <w:color w:val="000000"/>
          <w:lang w:val="es-PE"/>
        </w:rPr>
        <w:t>Grupo de Trabajo denominado “Mesa de Trabajo para promover los derechos de Gays, Transexuales, Bisexuales e Intersexuales GTBI”,</w:t>
      </w:r>
      <w:r w:rsidRPr="00A36A98">
        <w:rPr>
          <w:rFonts w:ascii="Calibri" w:hAnsi="Calibri" w:cs="Calibri"/>
          <w:color w:val="000000"/>
          <w:lang w:val="es-PE"/>
        </w:rPr>
        <w:t xml:space="preserve"> creado mediante Resolución Ministerial N</w:t>
      </w:r>
      <w:r w:rsidRPr="00A36A98">
        <w:rPr>
          <w:rFonts w:ascii="Calibri" w:hAnsi="Calibri" w:cs="Calibri"/>
          <w:b/>
          <w:bCs/>
          <w:color w:val="000000"/>
          <w:lang w:val="es-PE"/>
        </w:rPr>
        <w:t>° 294</w:t>
      </w:r>
      <w:r w:rsidRPr="00A36A98">
        <w:rPr>
          <w:rFonts w:ascii="Calibri" w:hAnsi="Calibri" w:cs="Calibri"/>
          <w:color w:val="000000"/>
          <w:lang w:val="es-PE"/>
        </w:rPr>
        <w:t>—2016-MIMP como un mecanismo de coordinación entre el M</w:t>
      </w:r>
      <w:r w:rsidR="00EA7703" w:rsidRPr="00A36A98">
        <w:rPr>
          <w:rFonts w:ascii="Calibri" w:hAnsi="Calibri" w:cs="Calibri"/>
          <w:color w:val="000000"/>
          <w:lang w:val="es-PE"/>
        </w:rPr>
        <w:t xml:space="preserve">IMP y </w:t>
      </w:r>
      <w:r w:rsidRPr="00A36A98">
        <w:rPr>
          <w:rFonts w:ascii="Calibri" w:hAnsi="Calibri" w:cs="Calibri"/>
          <w:color w:val="000000"/>
          <w:lang w:val="es-PE"/>
        </w:rPr>
        <w:t xml:space="preserve">sociedad civil, </w:t>
      </w:r>
      <w:bookmarkStart w:id="3" w:name="_Hlk93752983"/>
      <w:r w:rsidRPr="00A36A98">
        <w:rPr>
          <w:rFonts w:ascii="Calibri" w:hAnsi="Calibri" w:cs="Calibri"/>
          <w:color w:val="000000"/>
          <w:lang w:val="es-PE"/>
        </w:rPr>
        <w:t>encargado</w:t>
      </w:r>
      <w:r w:rsidR="00445E69" w:rsidRPr="00A36A98">
        <w:rPr>
          <w:rFonts w:ascii="Calibri" w:hAnsi="Calibri" w:cs="Calibri"/>
          <w:color w:val="000000"/>
          <w:lang w:val="es-PE"/>
        </w:rPr>
        <w:t>,</w:t>
      </w:r>
      <w:r w:rsidRPr="00A36A98">
        <w:rPr>
          <w:rFonts w:ascii="Calibri" w:hAnsi="Calibri" w:cs="Calibri"/>
          <w:color w:val="000000"/>
          <w:lang w:val="es-PE"/>
        </w:rPr>
        <w:t xml:space="preserve"> </w:t>
      </w:r>
      <w:r w:rsidR="00445E69" w:rsidRPr="00A36A98">
        <w:rPr>
          <w:rFonts w:ascii="Calibri" w:hAnsi="Calibri" w:cs="Calibri"/>
          <w:color w:val="000000"/>
          <w:lang w:val="es-PE"/>
        </w:rPr>
        <w:t>entre otras cosas, de “</w:t>
      </w:r>
      <w:r w:rsidRPr="00A36A98">
        <w:rPr>
          <w:rFonts w:ascii="Calibri" w:hAnsi="Calibri" w:cs="Calibri"/>
          <w:color w:val="000000"/>
          <w:lang w:val="es-PE"/>
        </w:rPr>
        <w:t xml:space="preserve">promover </w:t>
      </w:r>
      <w:bookmarkEnd w:id="3"/>
      <w:r w:rsidRPr="00A36A98">
        <w:rPr>
          <w:rFonts w:ascii="Calibri" w:hAnsi="Calibri" w:cs="Calibri"/>
          <w:color w:val="000000"/>
          <w:lang w:val="es-PE"/>
        </w:rPr>
        <w:t>la elaboración de propuestas de lineamientos de políticas públicas inclusivas</w:t>
      </w:r>
      <w:r w:rsidR="00445E69" w:rsidRPr="00A36A98">
        <w:rPr>
          <w:rFonts w:ascii="Calibri" w:hAnsi="Calibri" w:cs="Calibri"/>
          <w:color w:val="000000"/>
          <w:lang w:val="es-PE"/>
        </w:rPr>
        <w:t>”</w:t>
      </w:r>
      <w:r w:rsidR="00A36A98">
        <w:rPr>
          <w:rFonts w:ascii="Calibri" w:hAnsi="Calibri" w:cs="Calibri"/>
          <w:color w:val="000000"/>
          <w:lang w:val="es-PE"/>
        </w:rPr>
        <w:t xml:space="preserve">.  </w:t>
      </w:r>
      <w:r w:rsidR="00445E69" w:rsidRPr="00A36A98">
        <w:rPr>
          <w:rFonts w:ascii="Calibri" w:hAnsi="Calibri" w:cs="Calibri"/>
          <w:lang w:val="es-PE"/>
        </w:rPr>
        <w:t>Conformado</w:t>
      </w:r>
      <w:r w:rsidRPr="00A36A98">
        <w:rPr>
          <w:rFonts w:ascii="Calibri" w:eastAsia="Times New Roman" w:hAnsi="Calibri" w:cs="Calibri"/>
          <w:color w:val="000000"/>
          <w:lang w:val="es-PE" w:eastAsia="en-GB"/>
        </w:rPr>
        <w:t xml:space="preserve"> por una representante del M</w:t>
      </w:r>
      <w:r w:rsidR="00EA7703" w:rsidRPr="00A36A98">
        <w:rPr>
          <w:rFonts w:ascii="Calibri" w:eastAsia="Times New Roman" w:hAnsi="Calibri" w:cs="Calibri"/>
          <w:color w:val="000000"/>
          <w:lang w:val="es-PE" w:eastAsia="en-GB"/>
        </w:rPr>
        <w:t>IMP</w:t>
      </w:r>
      <w:r w:rsidRPr="00A36A98">
        <w:rPr>
          <w:rFonts w:ascii="Calibri" w:eastAsia="Times New Roman" w:hAnsi="Calibri" w:cs="Calibri"/>
          <w:color w:val="000000"/>
          <w:lang w:val="es-PE" w:eastAsia="en-GB"/>
        </w:rPr>
        <w:t xml:space="preserve"> y representantes de organizaciones de mujeres lesbianas.</w:t>
      </w:r>
    </w:p>
    <w:p w14:paraId="36E94D80" w14:textId="77777777" w:rsidR="00EC369C" w:rsidRPr="00A36A98" w:rsidRDefault="00EC369C" w:rsidP="00A36A9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PE" w:eastAsia="en-GB"/>
        </w:rPr>
      </w:pPr>
    </w:p>
    <w:p w14:paraId="1FFC385B" w14:textId="0284AC9C" w:rsidR="00D70538" w:rsidRPr="00A36A98" w:rsidRDefault="00730972" w:rsidP="00FE7711">
      <w:pPr>
        <w:pStyle w:val="Ttulo2"/>
        <w:numPr>
          <w:ilvl w:val="1"/>
          <w:numId w:val="4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PE"/>
        </w:rPr>
        <w:t>En qué medida se incluyen a</w:t>
      </w:r>
      <w:r w:rsidR="000D01E0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personas afectadas por la violencia y la discriminación por orientación sexual e identidad de género en las políticas y prácticas en torno a la atención de la salud sexual y reproductiva</w:t>
      </w:r>
      <w:r w:rsidR="000D01E0" w:rsidRPr="00A36A98">
        <w:rPr>
          <w:rFonts w:ascii="Calibri" w:hAnsi="Calibri" w:cs="Calibri"/>
          <w:color w:val="000000"/>
          <w:sz w:val="22"/>
          <w:szCs w:val="22"/>
          <w:lang w:val="es-ES"/>
        </w:rPr>
        <w:t>:</w:t>
      </w:r>
    </w:p>
    <w:p w14:paraId="4EFA9510" w14:textId="5B170A9F" w:rsidR="00D70538" w:rsidRPr="00A36A98" w:rsidRDefault="00445E69" w:rsidP="00FE7711">
      <w:pPr>
        <w:pStyle w:val="Ttulo2"/>
        <w:numPr>
          <w:ilvl w:val="0"/>
          <w:numId w:val="12"/>
        </w:numPr>
        <w:spacing w:before="0" w:beforeAutospacing="0" w:after="0" w:afterAutospacing="0"/>
        <w:ind w:left="993" w:hanging="284"/>
        <w:contextualSpacing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val="es-PE" w:eastAsia="en-US"/>
        </w:rPr>
        <w:t>L</w:t>
      </w:r>
      <w:r w:rsidR="00D70538" w:rsidRPr="00A36A98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val="es-PE" w:eastAsia="en-US"/>
        </w:rPr>
        <w:t>os actuales planes o políticas nacionales de salud (Política Nacional Multisectorial de Salud al 20230 “Perú, país saludable”</w:t>
      </w:r>
      <w:r w:rsidR="00D70538" w:rsidRPr="00A36A98">
        <w:rPr>
          <w:rFonts w:ascii="Calibri" w:eastAsiaTheme="minorHAnsi" w:hAnsi="Calibri" w:cs="Calibri"/>
          <w:b w:val="0"/>
          <w:bCs w:val="0"/>
          <w:sz w:val="22"/>
          <w:szCs w:val="22"/>
          <w:vertAlign w:val="superscript"/>
          <w:lang w:val="es-PE" w:eastAsia="en-US"/>
        </w:rPr>
        <w:footnoteReference w:id="6"/>
      </w:r>
      <w:r w:rsidR="00D70538" w:rsidRPr="00A36A98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val="es-PE" w:eastAsia="en-US"/>
        </w:rPr>
        <w:t>) ni los planes específicos sobre salud mental</w:t>
      </w:r>
      <w:r w:rsidR="00D70538" w:rsidRPr="00A36A98">
        <w:rPr>
          <w:rFonts w:ascii="Calibri" w:eastAsiaTheme="minorHAnsi" w:hAnsi="Calibri" w:cs="Calibri"/>
          <w:b w:val="0"/>
          <w:bCs w:val="0"/>
          <w:sz w:val="22"/>
          <w:szCs w:val="22"/>
          <w:vertAlign w:val="superscript"/>
          <w:lang w:val="es-PE" w:eastAsia="en-US"/>
        </w:rPr>
        <w:footnoteReference w:id="7"/>
      </w:r>
      <w:r w:rsidR="00D70538" w:rsidRPr="00A36A98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val="es-PE" w:eastAsia="en-US"/>
        </w:rPr>
        <w:t xml:space="preserve">, </w:t>
      </w:r>
      <w:r w:rsidR="00D70538" w:rsidRPr="00A36A98">
        <w:rPr>
          <w:rFonts w:ascii="Calibri" w:eastAsiaTheme="minorHAnsi" w:hAnsi="Calibri" w:cs="Calibri"/>
          <w:color w:val="000000"/>
          <w:sz w:val="22"/>
          <w:szCs w:val="22"/>
          <w:lang w:val="es-PE" w:eastAsia="en-US"/>
        </w:rPr>
        <w:t>NO</w:t>
      </w:r>
      <w:r w:rsidR="00D70538" w:rsidRPr="00A36A98">
        <w:rPr>
          <w:rFonts w:ascii="Calibri" w:eastAsiaTheme="minorHAnsi" w:hAnsi="Calibri" w:cs="Calibri"/>
          <w:b w:val="0"/>
          <w:bCs w:val="0"/>
          <w:color w:val="000000"/>
          <w:sz w:val="22"/>
          <w:szCs w:val="22"/>
          <w:lang w:val="es-PE" w:eastAsia="en-US"/>
        </w:rPr>
        <w:t xml:space="preserve"> toman en</w:t>
      </w:r>
      <w:r w:rsidR="00D7053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cuenta a las personas LGTBI y/o GNC.</w:t>
      </w:r>
    </w:p>
    <w:p w14:paraId="4A6CF404" w14:textId="2D504D8F" w:rsidR="001168C1" w:rsidRPr="00A36A98" w:rsidRDefault="00730972" w:rsidP="00FE7711">
      <w:pPr>
        <w:pStyle w:val="Ttulo2"/>
        <w:numPr>
          <w:ilvl w:val="0"/>
          <w:numId w:val="12"/>
        </w:numPr>
        <w:spacing w:before="0" w:beforeAutospacing="0" w:after="0" w:afterAutospacing="0"/>
        <w:ind w:left="993" w:hanging="284"/>
        <w:contextualSpacing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En lo referente a la afectación por VIH inclusión a través de normas del </w:t>
      </w:r>
      <w:r w:rsidR="00445E6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sector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salud: a) Educación entre pares: Se ha incluido a las </w:t>
      </w:r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Norma Técnica para el Sistema de Articulación de Servicios de Consejeros Educadores de Pares para Personas que viven con VIH/SIDA NT N</w:t>
      </w:r>
      <w:r w:rsidR="008A639D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°</w:t>
      </w:r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003-MINSA/</w:t>
      </w:r>
      <w:proofErr w:type="spellStart"/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DGSP</w:t>
      </w:r>
      <w:proofErr w:type="spellEnd"/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- V 01 aprobada mediante Resolución Ministerial N° 1328-2003 </w:t>
      </w:r>
      <w:proofErr w:type="spellStart"/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SA</w:t>
      </w:r>
      <w:proofErr w:type="spellEnd"/>
      <w:r w:rsidR="00957364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/DM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825B8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Lamentablemente, esta norma que comprende a </w:t>
      </w:r>
      <w:r w:rsidR="00B35B7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un sector de </w:t>
      </w:r>
      <w:r w:rsidR="00825B8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hombres gays o mujeres trans, </w:t>
      </w:r>
      <w:r w:rsidR="00825B89" w:rsidRPr="00A36A98">
        <w:rPr>
          <w:rFonts w:ascii="Calibri" w:hAnsi="Calibri" w:cs="Calibri"/>
          <w:color w:val="000000"/>
          <w:sz w:val="22"/>
          <w:szCs w:val="22"/>
          <w:lang w:val="es-PE"/>
        </w:rPr>
        <w:t>no les menciona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b) </w:t>
      </w:r>
      <w:bookmarkStart w:id="5" w:name="_Hlk93246592"/>
      <w:r w:rsidR="004E1A8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Norma Técnica de Salud de Atención Integral de la Población Trans Femenina para la Prevención y Control de las Infecciones de Transmisión Sexual y el VIH/Sida</w:t>
      </w:r>
      <w:bookmarkEnd w:id="5"/>
      <w:r w:rsidR="004E1A8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aprobada mediante Resolución Ministerial N° 980-2016/</w:t>
      </w:r>
      <w:proofErr w:type="spellStart"/>
      <w:r w:rsidR="004E1A8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MINSA</w:t>
      </w:r>
      <w:proofErr w:type="spellEnd"/>
      <w:r w:rsidR="000244B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</w:p>
    <w:p w14:paraId="56BC2E77" w14:textId="493587EC" w:rsidR="006C67CD" w:rsidRPr="00A36A98" w:rsidRDefault="006C67CD" w:rsidP="00FE7711">
      <w:pPr>
        <w:pStyle w:val="Ttulo2"/>
        <w:numPr>
          <w:ilvl w:val="0"/>
          <w:numId w:val="12"/>
        </w:numPr>
        <w:spacing w:before="0" w:beforeAutospacing="0" w:after="0" w:afterAutospacing="0"/>
        <w:ind w:left="993" w:hanging="284"/>
        <w:contextualSpacing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Las directivas sanitarias en materia de salud sexual y reproductiva dadas durante la pandemia (N° 94-MINSA/2020/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DGIESP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N° 97-MINSA/2020/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DGIESP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N° 98-MINSA/2020/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DGIESP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N° 164-MINSA/2020/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DGIESP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) no mencionan a las personas LGTBI, adicionalmente, en algunos casos están dirigidas de manera específica a reducir la mortalidad materna, tampoco especifican la atención para mujeres lesbianas.</w:t>
      </w:r>
    </w:p>
    <w:p w14:paraId="5E4DDD68" w14:textId="7E355CFA" w:rsidR="00A10C78" w:rsidRPr="00FE7711" w:rsidRDefault="00A10C78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2"/>
          <w:szCs w:val="22"/>
          <w:lang w:val="es-ES"/>
        </w:rPr>
      </w:pPr>
    </w:p>
    <w:p w14:paraId="1395FACF" w14:textId="766532EE" w:rsidR="00B25FE1" w:rsidRPr="00A36A98" w:rsidRDefault="00410FCD" w:rsidP="00FE7711">
      <w:pPr>
        <w:pStyle w:val="Ttulo2"/>
        <w:numPr>
          <w:ilvl w:val="1"/>
          <w:numId w:val="4"/>
        </w:numPr>
        <w:spacing w:before="0" w:beforeAutospacing="0" w:after="0" w:afterAutospacing="0"/>
        <w:ind w:left="709" w:hanging="42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¿Qué a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poyo o asistencia técnica 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se necesita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 para </w:t>
      </w:r>
      <w:r w:rsidR="00B25FE1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que la 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atención médica de las personas afectadas por la violencia y la discriminación por orientación sexual e identidad de género se aborde de manera integral e incluyan en las leyes, políticas y prácticas pertinentes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?</w:t>
      </w:r>
    </w:p>
    <w:p w14:paraId="05FEC600" w14:textId="262303BA" w:rsidR="00410FCD" w:rsidRPr="00DD6450" w:rsidRDefault="00410FCD" w:rsidP="00FE7711">
      <w:pPr>
        <w:pStyle w:val="Ttulo2"/>
        <w:numPr>
          <w:ilvl w:val="0"/>
          <w:numId w:val="16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</w:pPr>
      <w:r w:rsidRPr="00DD6450">
        <w:rPr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t xml:space="preserve">Acceso a servicios públicos de salud y salud mental </w:t>
      </w:r>
      <w:r w:rsidR="001939F9" w:rsidRPr="00DD6450">
        <w:rPr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t>con personal capacitado</w:t>
      </w:r>
      <w:r w:rsidRPr="00DD6450">
        <w:rPr>
          <w:rStyle w:val="Refdenotaalpie"/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footnoteReference w:id="8"/>
      </w:r>
      <w:r w:rsidR="001939F9" w:rsidRPr="00DD6450">
        <w:rPr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t xml:space="preserve"> y libre de prejuicios</w:t>
      </w:r>
      <w:r w:rsidR="001939F9" w:rsidRPr="00DD6450">
        <w:rPr>
          <w:rStyle w:val="Refdenotaalpie"/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footnoteReference w:id="9"/>
      </w:r>
      <w:r w:rsidR="001939F9" w:rsidRPr="00DD6450">
        <w:rPr>
          <w:rFonts w:ascii="Calibri" w:hAnsi="Calibri" w:cs="Calibri"/>
          <w:b w:val="0"/>
          <w:bCs w:val="0"/>
          <w:color w:val="000000"/>
          <w:spacing w:val="-6"/>
          <w:sz w:val="22"/>
          <w:szCs w:val="22"/>
          <w:lang w:val="es-ES"/>
        </w:rPr>
        <w:t>.</w:t>
      </w:r>
    </w:p>
    <w:p w14:paraId="2D917853" w14:textId="0A103D0D" w:rsidR="00AF6C0C" w:rsidRPr="00A36A98" w:rsidRDefault="001939F9" w:rsidP="00FE7711">
      <w:pPr>
        <w:pStyle w:val="Ttulo2"/>
        <w:numPr>
          <w:ilvl w:val="0"/>
          <w:numId w:val="16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lastRenderedPageBreak/>
        <w:t xml:space="preserve">Costo </w:t>
      </w:r>
      <w:r w:rsidR="00C45285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accesible a los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servicios</w:t>
      </w:r>
      <w:r w:rsidR="00C45285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de salud</w:t>
      </w:r>
      <w:r w:rsidR="00C45285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0"/>
      </w:r>
      <w:r w:rsidR="00C45285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2C02D233" w14:textId="0197766F" w:rsidR="00EA62EA" w:rsidRPr="00A36A98" w:rsidRDefault="00EA62EA" w:rsidP="00FE7711">
      <w:pPr>
        <w:pStyle w:val="Ttulo2"/>
        <w:numPr>
          <w:ilvl w:val="0"/>
          <w:numId w:val="16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Que el personal de salud está confirmado también por personas LGTBI.</w:t>
      </w:r>
    </w:p>
    <w:p w14:paraId="2AA72AA9" w14:textId="5514759E" w:rsidR="00B0186B" w:rsidRPr="00A36A98" w:rsidRDefault="00B0186B" w:rsidP="00FE7711">
      <w:pPr>
        <w:pStyle w:val="Ttulo2"/>
        <w:numPr>
          <w:ilvl w:val="0"/>
          <w:numId w:val="16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Que se actualicen la Políticas Nacionales Multisectorial de Salud al 2030, “Perú Saludable”, y la Política Nacional de Igualdad de Género, y que ambas contengan lineamientos, servicios, estándares e indicadores, construidos articulada e intersectorialmente</w:t>
      </w:r>
      <w:r w:rsidR="00336F9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</w:t>
      </w:r>
      <w:r w:rsidR="00336F9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etallando la necesidad de servicios diferenciados para personas trans, bisexuales, mujeres lesbianas, gays, intersexuales y personas GNC.</w:t>
      </w:r>
    </w:p>
    <w:p w14:paraId="507C821E" w14:textId="6307542B" w:rsidR="00F61EE4" w:rsidRPr="00FE7711" w:rsidRDefault="00F61EE4" w:rsidP="00FE7711">
      <w:pPr>
        <w:pStyle w:val="Prrafodelist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Calibri" w:eastAsia="Calibri" w:hAnsi="Calibri" w:cs="Calibri"/>
          <w:lang w:val="es-PE"/>
        </w:rPr>
      </w:pPr>
      <w:r w:rsidRPr="00FE7711">
        <w:rPr>
          <w:rFonts w:ascii="Calibri" w:eastAsia="Calibri" w:hAnsi="Calibri" w:cs="Calibri"/>
          <w:lang w:val="es-ES"/>
        </w:rPr>
        <w:t>Creación e implementación de</w:t>
      </w:r>
      <w:r w:rsidRPr="00FE7711">
        <w:rPr>
          <w:rFonts w:ascii="Calibri" w:eastAsia="Calibri" w:hAnsi="Calibri" w:cs="Calibri"/>
          <w:lang w:val="es-PE"/>
        </w:rPr>
        <w:t xml:space="preserve"> guía de Atención a la Salud Sexual y Reproductiva especializada para las lesbianas</w:t>
      </w:r>
      <w:r w:rsidR="0053126F">
        <w:rPr>
          <w:rFonts w:ascii="Calibri" w:eastAsia="Calibri" w:hAnsi="Calibri" w:cs="Calibri"/>
          <w:lang w:val="es-PE"/>
        </w:rPr>
        <w:t>.</w:t>
      </w:r>
    </w:p>
    <w:p w14:paraId="144808DD" w14:textId="559A885C" w:rsidR="00B13CF3" w:rsidRPr="00FE7711" w:rsidRDefault="00B13CF3" w:rsidP="00FE7711">
      <w:pPr>
        <w:pStyle w:val="Prrafodelista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Calibri" w:eastAsia="Calibri" w:hAnsi="Calibri" w:cs="Calibri"/>
          <w:lang w:val="es-PE"/>
        </w:rPr>
      </w:pPr>
      <w:r w:rsidRPr="00FE7711">
        <w:rPr>
          <w:rFonts w:ascii="Calibri" w:hAnsi="Calibri" w:cs="Calibri"/>
          <w:lang w:val="es-PE"/>
        </w:rPr>
        <w:t>Revisión y análisis de las Guías Nacionales de Atención Integral de la Salud Sexual y Reproductiva que ofrezca servicios de salud sexual y reproductiva adecuados a las necesidades de las mujeres lesbianas: lo cual implica realizar incorporaciones y/o agregados a los protocolos existentes.</w:t>
      </w:r>
    </w:p>
    <w:p w14:paraId="1BCB6A11" w14:textId="77777777" w:rsidR="00B25FE1" w:rsidRPr="0053126F" w:rsidRDefault="00B25FE1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2"/>
          <w:szCs w:val="22"/>
          <w:lang w:val="es-ES"/>
        </w:rPr>
      </w:pPr>
    </w:p>
    <w:p w14:paraId="52819BE4" w14:textId="7170242F" w:rsidR="00A10C78" w:rsidRPr="00A36A98" w:rsidRDefault="00B25FE1" w:rsidP="00FE7711">
      <w:pPr>
        <w:pStyle w:val="Ttulo2"/>
        <w:numPr>
          <w:ilvl w:val="1"/>
          <w:numId w:val="4"/>
        </w:numPr>
        <w:spacing w:before="0" w:beforeAutospacing="0" w:after="0" w:afterAutospacing="0"/>
        <w:ind w:left="709" w:hanging="426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P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rincipales barreras, en la ley o en la práctica, para que las personas afectadas por la violencia y la discriminación por orientación sexual e identidad de género reciban atención que satisfaga sus necesidades y derechos de salud física y mental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:</w:t>
      </w:r>
    </w:p>
    <w:p w14:paraId="304B447D" w14:textId="69EDDD00" w:rsidR="000244B9" w:rsidRPr="00A36A98" w:rsidRDefault="005F06C9" w:rsidP="00FE7711">
      <w:pPr>
        <w:pStyle w:val="Ttulo2"/>
        <w:numPr>
          <w:ilvl w:val="0"/>
          <w:numId w:val="17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E</w:t>
      </w:r>
      <w:r w:rsidR="000244B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l MINSA no brinda aún en los centros de salud todos los servicios que dispone la </w:t>
      </w:r>
      <w:r w:rsidR="000244B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Norma Técnica de Salud de Atención Integral de la Población Trans Femenina para la Prevención y Control de las Infecciones de Transmisión Sexual y el VIH/Sida, entre ellos la terapia hormonal</w:t>
      </w:r>
      <w:r w:rsidR="00EA62EA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footnoteReference w:id="11"/>
      </w:r>
      <w:r w:rsidR="000244B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</w:p>
    <w:p w14:paraId="2EA47FFB" w14:textId="5FB59B38" w:rsidR="00E453EC" w:rsidRPr="00A36A98" w:rsidRDefault="00E453EC" w:rsidP="00FE7711">
      <w:pPr>
        <w:pStyle w:val="Ttulo2"/>
        <w:numPr>
          <w:ilvl w:val="0"/>
          <w:numId w:val="17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Ausencia de protocolos de salud integral</w:t>
      </w:r>
      <w:r w:rsidR="00A36A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orientados a la formación, sensibilización y capacitación permanente en diversidad sexual y de género.</w:t>
      </w:r>
    </w:p>
    <w:p w14:paraId="76A32B6E" w14:textId="48CFCC5F" w:rsidR="00BC0266" w:rsidRPr="00FE7711" w:rsidRDefault="00BC0266" w:rsidP="00FE7711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Times New Roman" w:hAnsi="Calibri" w:cs="Calibri"/>
          <w:color w:val="000000"/>
          <w:lang w:val="es-PE" w:eastAsia="es-PE"/>
        </w:rPr>
      </w:pPr>
      <w:r w:rsidRPr="00FE7711">
        <w:rPr>
          <w:rFonts w:ascii="Calibri" w:eastAsia="Times New Roman" w:hAnsi="Calibri" w:cs="Calibri"/>
          <w:lang w:val="es-PE" w:eastAsia="es-PE"/>
        </w:rPr>
        <w:t>Ausencia de atención médica diferenciada para garantizar derechos sexuales y reproductivos de las niñas y mujeres lesbianas, así como de hombres trans, con una atención médica diferenciada y adecuada del sistema de salud de acuerdo a sus necesidades ginecológicas y obstétricas, de acceso al aborto, así como a los tratamientos reproductivos necesarios, tales como las tecnologías de reproducción asistida</w:t>
      </w:r>
      <w:r w:rsidRPr="00FE7711">
        <w:rPr>
          <w:rFonts w:ascii="Calibri" w:eastAsia="Times New Roman" w:hAnsi="Calibri" w:cs="Calibri"/>
          <w:color w:val="000000"/>
          <w:lang w:val="es-PE" w:eastAsia="es-PE"/>
        </w:rPr>
        <w:t>.</w:t>
      </w:r>
    </w:p>
    <w:p w14:paraId="184092B2" w14:textId="123F9DD1" w:rsidR="00560CD8" w:rsidRPr="00A36A98" w:rsidRDefault="00E453EC" w:rsidP="00FE7711">
      <w:pPr>
        <w:pStyle w:val="Ttulo2"/>
        <w:numPr>
          <w:ilvl w:val="0"/>
          <w:numId w:val="17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Inexistencia de un procedimiento administrativo </w:t>
      </w:r>
      <w:r w:rsidR="00D278E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de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reconocimiento de la identidad de género en el </w:t>
      </w:r>
      <w:r w:rsidR="00C45285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documento de identidad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, conforme la opinión </w:t>
      </w:r>
      <w:r w:rsidR="00D16CD1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consultiva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24/17 de la 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CorteIDH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, genera que las personas trans no accedan a servicios de salud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D278E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De igual manera, </w:t>
      </w:r>
      <w:r w:rsidR="00560CD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tampoco </w:t>
      </w:r>
      <w:r w:rsidR="00D278E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se </w:t>
      </w:r>
      <w:r w:rsidR="00560CD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reconoce la inscripción de hijas e hijos de familias monoparentales.</w:t>
      </w:r>
    </w:p>
    <w:p w14:paraId="35D1001C" w14:textId="516A6E5B" w:rsidR="001E3592" w:rsidRPr="00A36A98" w:rsidRDefault="001E3592" w:rsidP="00FE7711">
      <w:pPr>
        <w:pStyle w:val="Ttulo2"/>
        <w:numPr>
          <w:ilvl w:val="0"/>
          <w:numId w:val="17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No existe una ley de identidad de género.</w:t>
      </w:r>
    </w:p>
    <w:p w14:paraId="3F40C500" w14:textId="4F955DD0" w:rsidR="00560CD8" w:rsidRPr="00A36A98" w:rsidRDefault="00560CD8" w:rsidP="00FE7711">
      <w:pPr>
        <w:pStyle w:val="Ttulo2"/>
        <w:numPr>
          <w:ilvl w:val="0"/>
          <w:numId w:val="17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eastAsia="Calibri" w:hAnsi="Calibri" w:cs="Calibri"/>
          <w:b w:val="0"/>
          <w:bCs w:val="0"/>
          <w:sz w:val="22"/>
          <w:szCs w:val="22"/>
          <w:lang w:val="es-PE" w:eastAsia="en-US"/>
        </w:rPr>
        <w:t>Inexistencia de datos desagregados de la situación de las niñas y mujeres lesbianas, personas transgénero, bisexuales</w:t>
      </w:r>
      <w:r w:rsidR="00D278EC" w:rsidRPr="00A36A98">
        <w:rPr>
          <w:rFonts w:ascii="Calibri" w:eastAsia="Calibri" w:hAnsi="Calibri" w:cs="Calibri"/>
          <w:b w:val="0"/>
          <w:bCs w:val="0"/>
          <w:sz w:val="22"/>
          <w:szCs w:val="22"/>
          <w:lang w:val="es-PE" w:eastAsia="en-US"/>
        </w:rPr>
        <w:t xml:space="preserve"> y</w:t>
      </w:r>
      <w:r w:rsidRPr="00A36A98">
        <w:rPr>
          <w:rFonts w:ascii="Calibri" w:eastAsia="Calibri" w:hAnsi="Calibri" w:cs="Calibri"/>
          <w:b w:val="0"/>
          <w:bCs w:val="0"/>
          <w:sz w:val="22"/>
          <w:szCs w:val="22"/>
          <w:lang w:val="es-PE" w:eastAsia="en-US"/>
        </w:rPr>
        <w:t xml:space="preserve"> personas GNC, que generen políticas públicas.</w:t>
      </w:r>
    </w:p>
    <w:p w14:paraId="4737C08E" w14:textId="77777777" w:rsidR="00E453EC" w:rsidRPr="00A36A98" w:rsidRDefault="00E453EC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</w:p>
    <w:p w14:paraId="78F053F7" w14:textId="53458CE7" w:rsidR="00A10C78" w:rsidRPr="00FE7711" w:rsidRDefault="00A10C78" w:rsidP="00FE7711">
      <w:pPr>
        <w:pStyle w:val="Ttulo2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es-ES"/>
        </w:rPr>
      </w:pPr>
      <w:r w:rsidRPr="00FE7711">
        <w:rPr>
          <w:rFonts w:ascii="Calibri" w:hAnsi="Calibri" w:cs="Calibri"/>
          <w:color w:val="000000"/>
          <w:sz w:val="24"/>
          <w:szCs w:val="24"/>
          <w:lang w:val="es-ES"/>
        </w:rPr>
        <w:t>Acceso: garantizar atención médica</w:t>
      </w:r>
    </w:p>
    <w:p w14:paraId="4CF5C7D1" w14:textId="77777777" w:rsidR="00B25FE1" w:rsidRPr="00FE7711" w:rsidRDefault="00B25FE1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2"/>
          <w:szCs w:val="22"/>
          <w:lang w:val="es-ES"/>
        </w:rPr>
      </w:pPr>
    </w:p>
    <w:p w14:paraId="2DAF0E4F" w14:textId="7E62ADD7" w:rsidR="00B25FE1" w:rsidRPr="00A36A98" w:rsidRDefault="00B25FE1" w:rsidP="00FE7711">
      <w:pPr>
        <w:pStyle w:val="Ttulo2"/>
        <w:numPr>
          <w:ilvl w:val="1"/>
          <w:numId w:val="4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M</w:t>
      </w:r>
      <w:r w:rsidR="00A10C78" w:rsidRPr="00A36A98">
        <w:rPr>
          <w:rFonts w:ascii="Calibri" w:hAnsi="Calibri" w:cs="Calibri"/>
          <w:color w:val="000000"/>
          <w:sz w:val="22"/>
          <w:szCs w:val="22"/>
          <w:lang w:val="es-ES"/>
        </w:rPr>
        <w:t>edidas para garantizar el acceso a servicios de salud asequibles y no discriminatorios para las personas afectadas por la violencia y la discriminación por motivos de orientación sexual e identidad de género</w:t>
      </w:r>
      <w:r w:rsidR="00876C96" w:rsidRPr="00A36A98">
        <w:rPr>
          <w:rFonts w:ascii="Calibri" w:hAnsi="Calibri" w:cs="Calibri"/>
          <w:color w:val="000000"/>
          <w:sz w:val="22"/>
          <w:szCs w:val="22"/>
          <w:lang w:val="es-ES"/>
        </w:rPr>
        <w:t>:</w:t>
      </w:r>
    </w:p>
    <w:p w14:paraId="609DEE6B" w14:textId="5DD67AA8" w:rsidR="002D541B" w:rsidRPr="00A36A98" w:rsidRDefault="002D541B" w:rsidP="0053126F">
      <w:pPr>
        <w:pStyle w:val="Ttulo2"/>
        <w:numPr>
          <w:ilvl w:val="0"/>
          <w:numId w:val="21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En el 2019 el </w:t>
      </w:r>
      <w:proofErr w:type="spellStart"/>
      <w:r w:rsidR="005F06C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MINSA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informó que capacitó en la atención de personas LGTBI a más de 500 profesionales de la salud mental de Lima y Callao</w:t>
      </w:r>
      <w:r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2"/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="00B0186B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Sin embargo, esta medida es demasiado limitada aún</w:t>
      </w:r>
      <w:r w:rsidR="00D278E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0D45C60A" w14:textId="77777777" w:rsidR="0012202C" w:rsidRPr="00FE7711" w:rsidRDefault="0012202C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color w:val="000000"/>
          <w:sz w:val="22"/>
          <w:szCs w:val="22"/>
          <w:lang w:val="es-ES"/>
        </w:rPr>
      </w:pPr>
    </w:p>
    <w:p w14:paraId="1B920A0F" w14:textId="565EB6A5" w:rsidR="0012202C" w:rsidRPr="00A36A98" w:rsidRDefault="003E06CB" w:rsidP="0053126F">
      <w:pPr>
        <w:pStyle w:val="Ttulo2"/>
        <w:numPr>
          <w:ilvl w:val="1"/>
          <w:numId w:val="15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P</w:t>
      </w:r>
      <w:r w:rsidR="0012202C" w:rsidRPr="00A36A98">
        <w:rPr>
          <w:rFonts w:ascii="Calibri" w:hAnsi="Calibri" w:cs="Calibri"/>
          <w:color w:val="000000"/>
          <w:sz w:val="22"/>
          <w:szCs w:val="22"/>
          <w:lang w:val="es-ES"/>
        </w:rPr>
        <w:t>olíticas o programas existen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tes</w:t>
      </w:r>
      <w:r w:rsidR="0012202C" w:rsidRP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 para abordar las necesidades de atención de salud mental de las personas afectadas por la violencia y la discriminación basada en la orientación sexual </w:t>
      </w:r>
      <w:r w:rsidR="0012202C" w:rsidRPr="00A36A98">
        <w:rPr>
          <w:rFonts w:ascii="Calibri" w:hAnsi="Calibri" w:cs="Calibri"/>
          <w:color w:val="000000"/>
          <w:sz w:val="22"/>
          <w:szCs w:val="22"/>
          <w:lang w:val="es-ES"/>
        </w:rPr>
        <w:lastRenderedPageBreak/>
        <w:t>y la identidad de género, específicamente en torno a la depresión y la ansiedad, la ideación suicida y el abuso de sustancias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:</w:t>
      </w:r>
    </w:p>
    <w:p w14:paraId="08096CB9" w14:textId="5EA42981" w:rsidR="0012202C" w:rsidRPr="00A36A98" w:rsidRDefault="00B0186B" w:rsidP="0053126F">
      <w:pPr>
        <w:pStyle w:val="Ttulo2"/>
        <w:numPr>
          <w:ilvl w:val="0"/>
          <w:numId w:val="21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PE"/>
        </w:rPr>
        <w:t>Sobre</w:t>
      </w:r>
      <w:r w:rsidR="0012202C" w:rsidRPr="00A36A98">
        <w:rPr>
          <w:rFonts w:ascii="Calibri" w:hAnsi="Calibri" w:cs="Calibri"/>
          <w:color w:val="000000"/>
          <w:sz w:val="22"/>
          <w:szCs w:val="22"/>
          <w:lang w:val="es-PE"/>
        </w:rPr>
        <w:t xml:space="preserve"> abuso de sustancias:</w:t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Desde el 2014 se desarrolla el Programa SOGI</w:t>
      </w:r>
      <w:r w:rsidR="0012202C" w:rsidRPr="00A36A98">
        <w:rPr>
          <w:rFonts w:ascii="Calibri" w:hAnsi="Calibri" w:cs="Calibri"/>
          <w:b w:val="0"/>
          <w:bCs w:val="0"/>
          <w:sz w:val="22"/>
          <w:szCs w:val="22"/>
          <w:vertAlign w:val="superscript"/>
          <w:lang w:val="es-PE"/>
        </w:rPr>
        <w:footnoteReference w:id="13"/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para la atención en salud mental y adicciones por abuso de sustancias a las personas LGTBI, programa entr</w:t>
      </w:r>
      <w:r w:rsidR="00DD6450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e</w:t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sociedad civil (ONG y una universidad), M</w:t>
      </w:r>
      <w:r w:rsidR="005F06C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INSA</w:t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, </w:t>
      </w:r>
      <w:proofErr w:type="spellStart"/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DEVIDA</w:t>
      </w:r>
      <w:proofErr w:type="spellEnd"/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(Dirección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Nacional </w:t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para el Desarrollo y Vidal sin Drogas) y el</w:t>
      </w:r>
      <w:r w:rsidR="00EA770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 MIMP</w:t>
      </w:r>
      <w:r w:rsidR="0012202C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</w:p>
    <w:p w14:paraId="4E51AF0F" w14:textId="77777777" w:rsidR="0012202C" w:rsidRPr="00A36A98" w:rsidRDefault="0012202C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</w:p>
    <w:p w14:paraId="06240C0E" w14:textId="1E634CDC" w:rsidR="0012202C" w:rsidRPr="00A36A98" w:rsidRDefault="00A145A3" w:rsidP="0053126F">
      <w:pPr>
        <w:pStyle w:val="Ttulo2"/>
        <w:numPr>
          <w:ilvl w:val="1"/>
          <w:numId w:val="15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P</w:t>
      </w:r>
      <w:r w:rsidR="0012202C" w:rsidRPr="00A36A98">
        <w:rPr>
          <w:rFonts w:ascii="Calibri" w:hAnsi="Calibri" w:cs="Calibri"/>
          <w:color w:val="000000"/>
          <w:sz w:val="22"/>
          <w:szCs w:val="22"/>
          <w:lang w:val="es-ES"/>
        </w:rPr>
        <w:t>olíticas o programas para atender las necesidades de atención de la salud de las personas afectadas por la violencia y la discriminación por orientación sexual e identidad de género después de la experiencia de agresión o violencia de género</w:t>
      </w:r>
      <w:r w:rsidR="00A36A98">
        <w:rPr>
          <w:rFonts w:ascii="Calibri" w:hAnsi="Calibri" w:cs="Calibri"/>
          <w:color w:val="000000"/>
          <w:sz w:val="22"/>
          <w:szCs w:val="22"/>
          <w:lang w:val="es-ES"/>
        </w:rPr>
        <w:t xml:space="preserve">.  </w:t>
      </w:r>
      <w:r w:rsidRPr="00A36A98">
        <w:rPr>
          <w:rFonts w:ascii="Calibri" w:hAnsi="Calibri" w:cs="Calibri"/>
          <w:color w:val="000000"/>
          <w:sz w:val="22"/>
          <w:szCs w:val="22"/>
          <w:lang w:val="es-ES"/>
        </w:rPr>
        <w:t>Recursos humanos y financieros.</w:t>
      </w:r>
    </w:p>
    <w:p w14:paraId="6225F427" w14:textId="2532B72C" w:rsidR="0012202C" w:rsidRPr="00A36A98" w:rsidRDefault="0012202C" w:rsidP="0053126F">
      <w:pPr>
        <w:pStyle w:val="Ttulo2"/>
        <w:numPr>
          <w:ilvl w:val="0"/>
          <w:numId w:val="21"/>
        </w:numPr>
        <w:spacing w:before="0" w:beforeAutospacing="0" w:after="0" w:afterAutospacing="0"/>
        <w:ind w:left="993" w:hanging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hay o no se conocen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="00165DD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Dirigidos específicamente a mujeres lesbianas </w:t>
      </w:r>
      <w:r w:rsidR="00165DD9" w:rsidRPr="00857243">
        <w:rPr>
          <w:rFonts w:ascii="Calibri" w:hAnsi="Calibri" w:cs="Calibri"/>
          <w:bCs w:val="0"/>
          <w:color w:val="000000"/>
          <w:sz w:val="22"/>
          <w:szCs w:val="22"/>
          <w:lang w:val="es-ES"/>
        </w:rPr>
        <w:t>NO</w:t>
      </w:r>
      <w:r w:rsidR="00165DD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hay.</w:t>
      </w:r>
    </w:p>
    <w:p w14:paraId="295FF84D" w14:textId="77777777" w:rsidR="00B25FE1" w:rsidRPr="00A36A98" w:rsidRDefault="00B25FE1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</w:p>
    <w:p w14:paraId="14A17509" w14:textId="77777777" w:rsidR="00876C96" w:rsidRPr="00FE7711" w:rsidRDefault="00A10C78" w:rsidP="00FE7711">
      <w:pPr>
        <w:pStyle w:val="Ttulo2"/>
        <w:numPr>
          <w:ilvl w:val="0"/>
          <w:numId w:val="15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4"/>
          <w:szCs w:val="24"/>
          <w:lang w:val="es-ES"/>
        </w:rPr>
      </w:pPr>
      <w:r w:rsidRPr="00FE7711">
        <w:rPr>
          <w:rFonts w:ascii="Calibri" w:hAnsi="Calibri" w:cs="Calibri"/>
          <w:color w:val="000000"/>
          <w:sz w:val="24"/>
          <w:szCs w:val="24"/>
          <w:lang w:val="es-ES"/>
        </w:rPr>
        <w:t>Formación y educación: profesionales de la salud e instituciones educativas</w:t>
      </w:r>
    </w:p>
    <w:p w14:paraId="0A70CF5E" w14:textId="7ABA88A4" w:rsidR="00381D86" w:rsidRPr="00A36A98" w:rsidRDefault="009224DF" w:rsidP="0053126F">
      <w:pPr>
        <w:pStyle w:val="Ttulo2"/>
        <w:numPr>
          <w:ilvl w:val="1"/>
          <w:numId w:val="15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Según información </w:t>
      </w:r>
      <w:r w:rsidR="00160F6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oficial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son 27 universidades que ofrecen la carrera de Medicina humana en el Perú</w:t>
      </w:r>
      <w:r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4"/>
      </w:r>
      <w:r w:rsidR="00160F69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, ninguna de ellas tiene en su malla curricular sobre orientación sexual, la identidad de género y las necesidades específicas de salud de las personas afectadas por la violencia y la discriminación por orientación sexual e identidad de género</w:t>
      </w:r>
      <w:r w:rsidR="00160F69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5"/>
      </w:r>
      <w:r w:rsidR="00A36A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365829BB" w14:textId="04581A0F" w:rsidR="00546798" w:rsidRPr="00A36A98" w:rsidRDefault="00160F69" w:rsidP="0053126F">
      <w:pPr>
        <w:pStyle w:val="Ttulo2"/>
        <w:numPr>
          <w:ilvl w:val="1"/>
          <w:numId w:val="15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En Perú se encuentra en grave riesgo la Educación Sexual Integral en los colegios: </w:t>
      </w:r>
      <w:r w:rsidR="005467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No existe una norma nacional y con rango de ley que respalde un programa de educación sexual desde un enfoque integral (o Educación Sexual Integral -</w:t>
      </w:r>
      <w:proofErr w:type="spellStart"/>
      <w:r w:rsidR="005467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ESI</w:t>
      </w:r>
      <w:proofErr w:type="spellEnd"/>
      <w:r w:rsidR="005467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)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 xml:space="preserve">.  </w:t>
      </w:r>
      <w:r w:rsidR="005467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La integralidad de la educación sexual es mínima: solo el 9% de los estudiantes recibió instrucción en los 18 temas que aseguran un abordaje integral</w:t>
      </w:r>
      <w:r w:rsidR="00546798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footnoteReference w:id="16"/>
      </w:r>
      <w:r w:rsidR="00A36A9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PE"/>
        </w:rPr>
        <w:t>.</w:t>
      </w:r>
    </w:p>
    <w:p w14:paraId="4CD095DD" w14:textId="6801B83F" w:rsidR="00A10C78" w:rsidRPr="00A36A98" w:rsidRDefault="00160F69" w:rsidP="0053126F">
      <w:pPr>
        <w:pStyle w:val="Ttulo2"/>
        <w:numPr>
          <w:ilvl w:val="1"/>
          <w:numId w:val="15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hay d</w:t>
      </w:r>
      <w:r w:rsidR="0068727B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isponibilidad de 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pautas basadas en evidencia y actualizadas que incluyan cuestiones de SOGI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que se utilicen </w:t>
      </w:r>
      <w:r w:rsidR="00A10C78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para influir sobre políticas, programación, servicios, incluidos manuales de diagnóstico y prácticas dentro de las instituciones de atención de la salud</w:t>
      </w:r>
      <w:r w:rsidR="009B7D3D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46E7976C" w14:textId="77777777" w:rsidR="00A10C78" w:rsidRPr="00A36A98" w:rsidRDefault="00A10C78" w:rsidP="00A36A98">
      <w:pPr>
        <w:pStyle w:val="Ttulo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7677C6BA" w14:textId="5D95CBFA" w:rsidR="00B204E7" w:rsidRPr="00FE7711" w:rsidRDefault="0044030E" w:rsidP="00FE7711">
      <w:pPr>
        <w:pStyle w:val="Ttulo2"/>
        <w:numPr>
          <w:ilvl w:val="0"/>
          <w:numId w:val="15"/>
        </w:numPr>
        <w:spacing w:before="0" w:beforeAutospacing="0" w:after="0" w:afterAutospacing="0"/>
        <w:ind w:left="284" w:hanging="284"/>
        <w:rPr>
          <w:rFonts w:ascii="Calibri" w:hAnsi="Calibri" w:cs="Calibri"/>
          <w:color w:val="000000"/>
          <w:sz w:val="24"/>
          <w:szCs w:val="24"/>
          <w:lang w:val="es-ES"/>
        </w:rPr>
      </w:pPr>
      <w:r w:rsidRPr="00FE7711">
        <w:rPr>
          <w:rFonts w:ascii="Calibri" w:hAnsi="Calibri" w:cs="Calibri"/>
          <w:color w:val="000000"/>
          <w:sz w:val="24"/>
          <w:szCs w:val="24"/>
          <w:lang w:val="es-ES"/>
        </w:rPr>
        <w:t>Objetivos</w:t>
      </w:r>
      <w:r w:rsidR="00A10C78" w:rsidRPr="00FE7711">
        <w:rPr>
          <w:rFonts w:ascii="Calibri" w:hAnsi="Calibri" w:cs="Calibri"/>
          <w:color w:val="000000"/>
          <w:sz w:val="24"/>
          <w:szCs w:val="24"/>
          <w:lang w:val="es-ES"/>
        </w:rPr>
        <w:t xml:space="preserve"> de desarrollo sostenible</w:t>
      </w:r>
    </w:p>
    <w:p w14:paraId="577B8265" w14:textId="5B1BDB93" w:rsidR="00F61EE4" w:rsidRPr="00A36A98" w:rsidRDefault="00F61EE4" w:rsidP="0053126F">
      <w:pPr>
        <w:pStyle w:val="Ttulo2"/>
        <w:spacing w:before="0" w:beforeAutospacing="0" w:after="0" w:afterAutospacing="0"/>
        <w:ind w:left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El II Informe Nacional Voluntario sobre la implementación de la Agenda 30 para el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Desarrollo Sostenible</w:t>
      </w:r>
      <w:r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7"/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presentado en junio de 2020</w:t>
      </w:r>
      <w:r w:rsidR="00DD6450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,</w:t>
      </w:r>
      <w:r w:rsidR="00A36A98" w:rsidRPr="00A36A98">
        <w:rPr>
          <w:rFonts w:ascii="Calibri" w:hAnsi="Calibri" w:cs="Calibri"/>
          <w:b w:val="0"/>
          <w:color w:val="000000"/>
          <w:sz w:val="22"/>
          <w:szCs w:val="22"/>
          <w:lang w:val="es-ES"/>
        </w:rPr>
        <w:t xml:space="preserve">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informó sobre estos indicadores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En el acápite sobre acceso a servicios de salud (página 35) no se hace referencia al acceso de servicios de salud de las personas LGTBI o </w:t>
      </w:r>
      <w:proofErr w:type="spellStart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GNC</w:t>
      </w:r>
      <w:proofErr w:type="spellEnd"/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2DBDB932" w14:textId="77777777" w:rsidR="00A36A98" w:rsidRPr="00A36A98" w:rsidRDefault="00A36A98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</w:p>
    <w:p w14:paraId="3A48509D" w14:textId="007FDDB4" w:rsidR="009A789E" w:rsidRPr="00A36A98" w:rsidRDefault="009A789E" w:rsidP="0053126F">
      <w:pPr>
        <w:pStyle w:val="Ttulo2"/>
        <w:spacing w:before="0" w:beforeAutospacing="0" w:after="0" w:afterAutospacing="0"/>
        <w:ind w:left="284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El INEI ha implementado el Sistema de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Monitoreo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y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Seguimiento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de los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Indicadores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de los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Objetivos 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del </w:t>
      </w:r>
      <w:r w:rsidR="00DD645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Desarrollo Sostenible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, mediante el cual da seguimiento:</w:t>
      </w:r>
    </w:p>
    <w:p w14:paraId="499B1173" w14:textId="7B9FC666" w:rsidR="004C521E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3.3.1</w:t>
      </w:r>
      <w:r w:rsidR="004C521E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8"/>
      </w:r>
      <w:r w:rsidRPr="00857243">
        <w:rPr>
          <w:rFonts w:ascii="Calibri" w:hAnsi="Calibri" w:cs="Calibri"/>
          <w:bCs w:val="0"/>
          <w:color w:val="000000"/>
          <w:sz w:val="22"/>
          <w:szCs w:val="22"/>
          <w:lang w:val="es-ES"/>
        </w:rPr>
        <w:t>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Número de nuevas infecciones por el VIH por cada 1.000 habitantes no infectados, desglosado por sexo, edad y poblaciones clave</w:t>
      </w:r>
      <w:r w:rsidR="004C521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: </w:t>
      </w:r>
      <w:r w:rsidR="003E06CB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hay información desagregada por personas LGTBI o GNC</w:t>
      </w:r>
      <w:r w:rsidR="004C521E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19"/>
      </w:r>
      <w:r w:rsidR="004C521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hasta el año 2019</w:t>
      </w:r>
      <w:r w:rsidR="00857243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0DE1FD6C" w14:textId="0134F3EC" w:rsidR="009A789E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3.4.2: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Tasa de mortalidad por suicidio</w:t>
      </w:r>
      <w:r w:rsidR="004C521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: No hay información al respecto en el </w:t>
      </w:r>
      <w:r w:rsidR="009A789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Sistema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="00216C0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Sin embargo, según información oficial hecha pública vía la web del Estado</w:t>
      </w:r>
      <w:r w:rsidR="003E06CB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,</w:t>
      </w:r>
      <w:r w:rsidR="00216C0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al 1 de mayo de 2021, durante los primeros 4 meses de 2021, 200 personas se habías suicidado, no presentaron cifras desagregadas por orientación sexual o identidad de género</w:t>
      </w:r>
      <w:r w:rsidR="00216C03" w:rsidRPr="00A36A98">
        <w:rPr>
          <w:rStyle w:val="Refdenotaalpie"/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footnoteReference w:id="20"/>
      </w:r>
      <w:r w:rsidR="00216C0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.</w:t>
      </w:r>
    </w:p>
    <w:p w14:paraId="478275D0" w14:textId="71DD65E3" w:rsidR="003F2B57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lastRenderedPageBreak/>
        <w:t>Indicador 3.5.1: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Cobertura de intervenciones de tratamiento (farmacológico, psicosocial y servicios de rehabilitación y postratamiento) para los trastornos por uso de sustancias</w:t>
      </w:r>
      <w:r w:rsidR="000119C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: No existe información en el sistema.</w:t>
      </w:r>
    </w:p>
    <w:p w14:paraId="72EE81E7" w14:textId="559AA9AD" w:rsidR="003F2B57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3.5.2: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Uso nocivo de alcohol, definido según el contexto nacional como consumo de alcohol per cápita (de 15 años en adelante) dentro de un año calendario en litros de alcohol puro</w:t>
      </w:r>
      <w:r w:rsidR="000119C6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: No existe información desagregada.</w:t>
      </w:r>
    </w:p>
    <w:p w14:paraId="42FA76D9" w14:textId="296C4790" w:rsidR="003F2B57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3.7.1: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Proporción de mujeres en edad reproductiva (de 15 a 49 años) que cubran sus necesidades de planificación familiar con métodos modernos, incluidas las mujeres lesbianas y bisexuales y las personas trans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="004E0B40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da información desagregada.</w:t>
      </w:r>
    </w:p>
    <w:p w14:paraId="1DAE4D75" w14:textId="3A022080" w:rsidR="003F2B57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3.7.2: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Tasa de natalidad adolescente (de 10 a 14 años; de 15 a 19 años) por cada 1.000 mujeres y hombres trans en ese grupo de edad, en particular entre los jóvenes LBT y GNC</w:t>
      </w:r>
      <w:r w:rsidR="005A5023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: </w:t>
      </w:r>
      <w:r w:rsidR="00B40B27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da información desagregada.</w:t>
      </w:r>
    </w:p>
    <w:p w14:paraId="42DE4730" w14:textId="7EA5A962" w:rsidR="003F2B57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3.8.1: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Cobertura de servicios esenciales de salud (definida como la cobertura promedio de servicios esenciales basada en intervenciones trazadoras que incluyen salud reproductiva, materna, neonatal e infantil, enfermedades infecciosas, enfermedades no transmisibles y capacidad y acceso de servicios, entre los y la población más desfavorecida)</w:t>
      </w:r>
      <w:r w:rsid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.  </w:t>
      </w:r>
      <w:r w:rsidR="00B40B27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da información desagregada.</w:t>
      </w:r>
    </w:p>
    <w:p w14:paraId="6AC5EE2A" w14:textId="34602178" w:rsidR="002A0D4E" w:rsidRPr="00A36A98" w:rsidRDefault="003F2B57" w:rsidP="0053126F">
      <w:pPr>
        <w:pStyle w:val="Ttulo2"/>
        <w:numPr>
          <w:ilvl w:val="0"/>
          <w:numId w:val="22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  <w:r w:rsidRPr="00857243">
        <w:rPr>
          <w:rFonts w:ascii="Calibri" w:hAnsi="Calibri" w:cs="Calibri"/>
          <w:bCs w:val="0"/>
          <w:smallCaps/>
          <w:color w:val="000000"/>
          <w:sz w:val="22"/>
          <w:szCs w:val="22"/>
          <w:lang w:val="es-ES"/>
        </w:rPr>
        <w:t>Indicador 3.8.2:</w:t>
      </w:r>
      <w:r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 xml:space="preserve"> Proporción de la población con grandes gastos domésticos en salud como porcentaje del gasto o ingreso total del hogar</w:t>
      </w:r>
      <w:r w:rsidR="00A36A98" w:rsidRPr="00857243">
        <w:rPr>
          <w:rFonts w:ascii="Calibri" w:hAnsi="Calibri" w:cs="Calibri"/>
          <w:b w:val="0"/>
          <w:color w:val="000000"/>
          <w:sz w:val="22"/>
          <w:szCs w:val="22"/>
          <w:lang w:val="es-ES"/>
        </w:rPr>
        <w:t xml:space="preserve">.  </w:t>
      </w:r>
      <w:r w:rsidR="002A0D4E" w:rsidRPr="00A36A98"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  <w:t>No da información desagregada.</w:t>
      </w:r>
    </w:p>
    <w:p w14:paraId="518B15FB" w14:textId="5FD72C54" w:rsidR="005A5023" w:rsidRPr="00A36A98" w:rsidRDefault="005A5023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</w:p>
    <w:p w14:paraId="13495BC2" w14:textId="77777777" w:rsidR="003F2B57" w:rsidRPr="00A36A98" w:rsidRDefault="003F2B57" w:rsidP="00A36A98">
      <w:pPr>
        <w:pStyle w:val="Ttulo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lang w:val="es-ES"/>
        </w:rPr>
      </w:pPr>
    </w:p>
    <w:sectPr w:rsidR="003F2B57" w:rsidRPr="00A36A98" w:rsidSect="005312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1035" w14:textId="77777777" w:rsidR="001D4E9C" w:rsidRDefault="001D4E9C" w:rsidP="007F3940">
      <w:pPr>
        <w:spacing w:after="0" w:line="240" w:lineRule="auto"/>
      </w:pPr>
      <w:r>
        <w:separator/>
      </w:r>
    </w:p>
  </w:endnote>
  <w:endnote w:type="continuationSeparator" w:id="0">
    <w:p w14:paraId="6B876682" w14:textId="77777777" w:rsidR="001D4E9C" w:rsidRDefault="001D4E9C" w:rsidP="007F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2073335429"/>
      <w:docPartObj>
        <w:docPartGallery w:val="Page Numbers (Bottom of Page)"/>
        <w:docPartUnique/>
      </w:docPartObj>
    </w:sdtPr>
    <w:sdtContent>
      <w:p w14:paraId="3BB398EE" w14:textId="668788B4" w:rsidR="00857243" w:rsidRPr="00857243" w:rsidRDefault="00857243" w:rsidP="00857243">
        <w:pPr>
          <w:pStyle w:val="Piedepgina"/>
          <w:tabs>
            <w:tab w:val="clear" w:pos="4419"/>
            <w:tab w:val="clear" w:pos="8838"/>
          </w:tabs>
          <w:jc w:val="right"/>
          <w:rPr>
            <w:rFonts w:ascii="Calibri" w:hAnsi="Calibri" w:cs="Calibri"/>
            <w:sz w:val="18"/>
            <w:szCs w:val="18"/>
          </w:rPr>
        </w:pPr>
        <w:r w:rsidRPr="00857243">
          <w:rPr>
            <w:rFonts w:ascii="Calibri" w:hAnsi="Calibri" w:cs="Calibri"/>
            <w:sz w:val="18"/>
            <w:szCs w:val="18"/>
          </w:rPr>
          <w:fldChar w:fldCharType="begin"/>
        </w:r>
        <w:r w:rsidRPr="00857243">
          <w:rPr>
            <w:rFonts w:ascii="Calibri" w:hAnsi="Calibri" w:cs="Calibri"/>
            <w:sz w:val="18"/>
            <w:szCs w:val="18"/>
          </w:rPr>
          <w:instrText>PAGE   \* MERGEFORMAT</w:instrText>
        </w:r>
        <w:r w:rsidRPr="00857243">
          <w:rPr>
            <w:rFonts w:ascii="Calibri" w:hAnsi="Calibri" w:cs="Calibri"/>
            <w:sz w:val="18"/>
            <w:szCs w:val="18"/>
          </w:rPr>
          <w:fldChar w:fldCharType="separate"/>
        </w:r>
        <w:r w:rsidR="00DD6450" w:rsidRPr="00DD6450">
          <w:rPr>
            <w:rFonts w:ascii="Calibri" w:hAnsi="Calibri" w:cs="Calibri"/>
            <w:noProof/>
            <w:sz w:val="18"/>
            <w:szCs w:val="18"/>
            <w:lang w:val="es-ES"/>
          </w:rPr>
          <w:t>5</w:t>
        </w:r>
        <w:r w:rsidRPr="00857243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CC89" w14:textId="77777777" w:rsidR="00857243" w:rsidRPr="00857243" w:rsidRDefault="00857243" w:rsidP="00857243">
    <w:pPr>
      <w:pStyle w:val="Piedepgina"/>
      <w:tabs>
        <w:tab w:val="clear" w:pos="4419"/>
        <w:tab w:val="clear" w:pos="8838"/>
      </w:tabs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530D" w14:textId="77777777" w:rsidR="001D4E9C" w:rsidRDefault="001D4E9C" w:rsidP="007F3940">
      <w:pPr>
        <w:spacing w:after="0" w:line="240" w:lineRule="auto"/>
      </w:pPr>
      <w:r>
        <w:separator/>
      </w:r>
    </w:p>
  </w:footnote>
  <w:footnote w:type="continuationSeparator" w:id="0">
    <w:p w14:paraId="0106AA13" w14:textId="77777777" w:rsidR="001D4E9C" w:rsidRDefault="001D4E9C" w:rsidP="007F3940">
      <w:pPr>
        <w:spacing w:after="0" w:line="240" w:lineRule="auto"/>
      </w:pPr>
      <w:r>
        <w:continuationSeparator/>
      </w:r>
    </w:p>
  </w:footnote>
  <w:footnote w:id="1">
    <w:p w14:paraId="2CD9E5C4" w14:textId="57BC9ECD" w:rsidR="00967E59" w:rsidRPr="00A36A98" w:rsidRDefault="00967E59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FE7711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Solicitud de acceso a la información realizada N22-000120</w:t>
      </w:r>
      <w:r w:rsidR="004D1037" w:rsidRPr="00A36A98">
        <w:rPr>
          <w:rFonts w:ascii="Calibri" w:hAnsi="Calibri" w:cs="Calibri"/>
          <w:sz w:val="16"/>
          <w:szCs w:val="16"/>
          <w:lang w:val="es-ES"/>
        </w:rPr>
        <w:t>, respondida el 10 de enero de 2022 a través de correo electrónico</w:t>
      </w:r>
      <w:r w:rsidRPr="00A36A98">
        <w:rPr>
          <w:rFonts w:ascii="Calibri" w:hAnsi="Calibri" w:cs="Calibri"/>
          <w:sz w:val="16"/>
          <w:szCs w:val="16"/>
          <w:lang w:val="es-ES"/>
        </w:rPr>
        <w:t>:</w:t>
      </w:r>
    </w:p>
    <w:p w14:paraId="7A82C546" w14:textId="7D736D1E" w:rsidR="00A36A98" w:rsidRPr="00A36A98" w:rsidRDefault="00A36A98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Fonts w:ascii="Calibri" w:hAnsi="Calibri" w:cs="Calibri"/>
          <w:noProof/>
          <w:sz w:val="16"/>
          <w:szCs w:val="16"/>
          <w:lang w:val="en-US"/>
        </w:rPr>
        <w:drawing>
          <wp:inline distT="0" distB="0" distL="0" distR="0" wp14:anchorId="4E0238AA" wp14:editId="0E04C65D">
            <wp:extent cx="3049200" cy="720000"/>
            <wp:effectExtent l="0" t="0" r="0" b="4445"/>
            <wp:docPr id="1" name="Imagen 1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63" t="18257" r="2285" b="35249"/>
                    <a:stretch/>
                  </pic:blipFill>
                  <pic:spPr bwMode="auto">
                    <a:xfrm>
                      <a:off x="0" y="0"/>
                      <a:ext cx="30492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  <w:footnote w:id="2">
    <w:p w14:paraId="76E7F461" w14:textId="2C09263B" w:rsidR="005F06C9" w:rsidRPr="00A36A98" w:rsidRDefault="005F06C9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FE7711">
        <w:rPr>
          <w:rFonts w:ascii="Calibri" w:hAnsi="Calibri" w:cs="Calibri"/>
          <w:sz w:val="16"/>
          <w:szCs w:val="16"/>
          <w:lang w:val="es-ES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Ver ENDES 2020: https://proyectos.inei.gob.pe/endes/2020/INFORME_PRINCIPAL_2020/INFORME_PRINCIPAL_ENDES_2020.pdf</w:t>
      </w:r>
    </w:p>
  </w:footnote>
  <w:footnote w:id="3">
    <w:p w14:paraId="10E7191D" w14:textId="26D2FA7B" w:rsidR="000D01E0" w:rsidRPr="00A36A98" w:rsidRDefault="000D01E0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FE7711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PE"/>
        </w:rPr>
        <w:t>http://www.conamusa.org.pe/participacion/comunidad-gay/</w:t>
      </w:r>
    </w:p>
  </w:footnote>
  <w:footnote w:id="4">
    <w:p w14:paraId="156F8A22" w14:textId="62A8002F" w:rsidR="000D01E0" w:rsidRPr="00A36A98" w:rsidRDefault="000D01E0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FE7711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PE"/>
        </w:rPr>
        <w:t>http://www.conamusa.org.pe/participacion/mujeres-trans/</w:t>
      </w:r>
    </w:p>
  </w:footnote>
  <w:footnote w:id="5">
    <w:p w14:paraId="125B1C2E" w14:textId="33120F60" w:rsidR="006C0802" w:rsidRPr="0053126F" w:rsidRDefault="006C0802" w:rsidP="00A36A98">
      <w:pPr>
        <w:pStyle w:val="Textonotapie"/>
        <w:ind w:left="284" w:hanging="284"/>
        <w:jc w:val="both"/>
        <w:rPr>
          <w:rFonts w:ascii="Calibri" w:hAnsi="Calibri" w:cs="Calibri"/>
          <w:sz w:val="14"/>
          <w:szCs w:val="14"/>
          <w:lang w:val="es-PE"/>
        </w:rPr>
      </w:pPr>
      <w:r w:rsidRPr="0053126F">
        <w:rPr>
          <w:rStyle w:val="Refdenotaalpie"/>
          <w:rFonts w:ascii="Calibri" w:hAnsi="Calibri" w:cs="Calibri"/>
          <w:sz w:val="14"/>
          <w:szCs w:val="14"/>
        </w:rPr>
        <w:footnoteRef/>
      </w:r>
      <w:r w:rsidR="0053126F" w:rsidRPr="0053126F">
        <w:rPr>
          <w:rFonts w:ascii="Calibri" w:hAnsi="Calibri" w:cs="Calibri"/>
          <w:sz w:val="14"/>
          <w:szCs w:val="14"/>
          <w:lang w:val="es-PE"/>
        </w:rPr>
        <w:tab/>
      </w:r>
      <w:r w:rsidRPr="0053126F">
        <w:rPr>
          <w:rFonts w:ascii="Calibri" w:hAnsi="Calibri" w:cs="Calibri"/>
          <w:sz w:val="14"/>
          <w:szCs w:val="14"/>
          <w:lang w:val="es-PE"/>
        </w:rPr>
        <w:t>https://cdn.www.gob.pe/uploads/document/file/1611180/3.-Informe-completo-de-la-II-Encuesta-Nacional-de-Derechos-Humanos.pdf.</w:t>
      </w:r>
    </w:p>
  </w:footnote>
  <w:footnote w:id="6">
    <w:p w14:paraId="603CDEAD" w14:textId="164348FA" w:rsidR="00D70538" w:rsidRPr="00A36A98" w:rsidRDefault="00D70538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PE"/>
        </w:rPr>
        <w:t>Esta política aprobada mediante Decreto Supremo N° 026-2020-SA, no solo no contiene ninguna referencia a las personas LGTBI o GNC, sino que además considera el enfoque de género desde un esquema meramente binario: “Enfoque de Género</w:t>
      </w:r>
      <w:r w:rsidR="00857243">
        <w:rPr>
          <w:rFonts w:ascii="Calibri" w:hAnsi="Calibri" w:cs="Calibri"/>
          <w:sz w:val="16"/>
          <w:szCs w:val="16"/>
          <w:lang w:val="es-PE"/>
        </w:rPr>
        <w:t>:</w:t>
      </w:r>
      <w:r w:rsidRPr="00A36A98">
        <w:rPr>
          <w:rFonts w:ascii="Calibri" w:hAnsi="Calibri" w:cs="Calibri"/>
          <w:sz w:val="16"/>
          <w:szCs w:val="16"/>
          <w:lang w:val="es-PE"/>
        </w:rPr>
        <w:t xml:space="preserve"> Se considera las desigualdades sociales y relaciones asimétricas de poder de los varones en perjuicio de las mujeres de cualquier edad, para la disminución de las barreras de acceso a los servicios de salud”.</w:t>
      </w:r>
    </w:p>
  </w:footnote>
  <w:footnote w:id="7">
    <w:p w14:paraId="1A37766E" w14:textId="0BE277C9" w:rsidR="00D70538" w:rsidRPr="00A36A98" w:rsidRDefault="00D70538" w:rsidP="00A36A98">
      <w:pPr>
        <w:pStyle w:val="Ttulo2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b w:val="0"/>
          <w:bCs w:val="0"/>
          <w:sz w:val="16"/>
          <w:szCs w:val="16"/>
        </w:rPr>
        <w:footnoteRef/>
      </w:r>
      <w:r w:rsidR="0053126F">
        <w:rPr>
          <w:rFonts w:ascii="Calibri" w:hAnsi="Calibri" w:cs="Calibri"/>
          <w:b w:val="0"/>
          <w:bCs w:val="0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b w:val="0"/>
          <w:bCs w:val="0"/>
          <w:sz w:val="16"/>
          <w:szCs w:val="16"/>
          <w:lang w:val="es-ES"/>
        </w:rPr>
        <w:t xml:space="preserve">Los planes actuales son: Plan Nacional de Servicios de Salud Mental Comunitaria </w:t>
      </w:r>
      <w:r w:rsidR="0053126F">
        <w:rPr>
          <w:rFonts w:ascii="Calibri" w:hAnsi="Calibri" w:cs="Calibri"/>
          <w:b w:val="0"/>
          <w:bCs w:val="0"/>
          <w:sz w:val="16"/>
          <w:szCs w:val="16"/>
          <w:lang w:val="es-ES"/>
        </w:rPr>
        <w:t>(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Resolución Ministerial N° 356-2018-MINSA de 20 de abril de 2018</w:t>
      </w:r>
      <w:r w:rsidR="0053126F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)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, así como el Plan de Salud Mental (en el contexto COVID-19, Perú, 2020</w:t>
      </w:r>
      <w:r w:rsidR="0053126F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-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 xml:space="preserve">2021) </w:t>
      </w:r>
      <w:bookmarkStart w:id="4" w:name="_Hlk92285931"/>
      <w:r w:rsidR="0053126F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(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Resolución Ministerial N° 363-2020-MINSA de 5 de junio de 2020</w:t>
      </w:r>
      <w:bookmarkEnd w:id="4"/>
      <w:r w:rsidR="0053126F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)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, se constituyó como un instrumento que permite a la ciudadanía enfrentar en forma adecuada el curso y las consecuencias de la pandemia originada por el COVID-19, y tiene como propósito promover el bienestar de la población mediante la promoción del autocuidado y cuidado mutuo para la mitigación del impacto de la pandemia y la atención en salud mental a la población afectada</w:t>
      </w:r>
      <w:r w:rsid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 xml:space="preserve">.  </w:t>
      </w:r>
      <w:r w:rsidRP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Ambos documentos no toman en cuenta en modo algun</w:t>
      </w:r>
      <w:r w:rsidR="00A36A98">
        <w:rPr>
          <w:rFonts w:ascii="Calibri" w:hAnsi="Calibri" w:cs="Calibri"/>
          <w:b w:val="0"/>
          <w:bCs w:val="0"/>
          <w:color w:val="000000"/>
          <w:sz w:val="16"/>
          <w:szCs w:val="16"/>
          <w:lang w:val="es-PE"/>
        </w:rPr>
        <w:t>o la atención a personas LGTBI.</w:t>
      </w:r>
    </w:p>
  </w:footnote>
  <w:footnote w:id="8">
    <w:p w14:paraId="02EE69BF" w14:textId="7D31503D" w:rsidR="00410FCD" w:rsidRPr="00A36A98" w:rsidRDefault="00410FCD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PE"/>
        </w:rPr>
        <w:t xml:space="preserve">Según la investigación realizada por </w:t>
      </w:r>
      <w:proofErr w:type="spellStart"/>
      <w:r w:rsidRPr="00A36A98">
        <w:rPr>
          <w:rFonts w:ascii="Calibri" w:hAnsi="Calibri" w:cs="Calibri"/>
          <w:sz w:val="16"/>
          <w:szCs w:val="16"/>
          <w:lang w:val="es-PE"/>
        </w:rPr>
        <w:t>MásIgualdad.Pe</w:t>
      </w:r>
      <w:proofErr w:type="spellEnd"/>
      <w:r w:rsidRPr="00A36A98">
        <w:rPr>
          <w:rFonts w:ascii="Calibri" w:hAnsi="Calibri" w:cs="Calibri"/>
          <w:sz w:val="16"/>
          <w:szCs w:val="16"/>
          <w:lang w:val="es-PE"/>
        </w:rPr>
        <w:t xml:space="preserve">: “El acceso a servicios de salud mental en las personas LGBTQ+ encuestadas se realiza mayormente en clínicas o consultorios particulares (51,4%), seguido de la atención en servicios públicos de diverso tipo (33,4%)… </w:t>
      </w:r>
      <w:r w:rsidR="00FE7711">
        <w:rPr>
          <w:rFonts w:ascii="Calibri" w:hAnsi="Calibri" w:cs="Calibri"/>
          <w:sz w:val="16"/>
          <w:szCs w:val="16"/>
          <w:lang w:val="es-PE"/>
        </w:rPr>
        <w:t xml:space="preserve"> </w:t>
      </w:r>
      <w:r w:rsidRPr="00A36A98">
        <w:rPr>
          <w:rFonts w:ascii="Calibri" w:hAnsi="Calibri" w:cs="Calibri"/>
          <w:sz w:val="16"/>
          <w:szCs w:val="16"/>
          <w:lang w:val="es-PE"/>
        </w:rPr>
        <w:t>Sobre el servicio de salud que brinda el Estado, existe la percepción de que la atención no va a ser de calidad” pág</w:t>
      </w:r>
      <w:r w:rsidR="00FE7711">
        <w:rPr>
          <w:rFonts w:ascii="Calibri" w:hAnsi="Calibri" w:cs="Calibri"/>
          <w:sz w:val="16"/>
          <w:szCs w:val="16"/>
          <w:lang w:val="es-PE"/>
        </w:rPr>
        <w:t>.</w:t>
      </w:r>
      <w:r w:rsidRPr="00A36A98">
        <w:rPr>
          <w:rFonts w:ascii="Calibri" w:hAnsi="Calibri" w:cs="Calibri"/>
          <w:sz w:val="16"/>
          <w:szCs w:val="16"/>
          <w:lang w:val="es-PE"/>
        </w:rPr>
        <w:t xml:space="preserve"> 74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.  </w:t>
      </w:r>
      <w:r w:rsidRPr="00A36A98">
        <w:rPr>
          <w:rFonts w:ascii="Calibri" w:hAnsi="Calibri" w:cs="Calibri"/>
          <w:sz w:val="16"/>
          <w:szCs w:val="16"/>
          <w:lang w:val="es-PE"/>
        </w:rPr>
        <w:t>https://www.masigualdad.pe/estudio-salud-mental-lgbtiq</w:t>
      </w:r>
    </w:p>
  </w:footnote>
  <w:footnote w:id="9">
    <w:p w14:paraId="6247A515" w14:textId="129418C4" w:rsidR="001939F9" w:rsidRPr="00A36A98" w:rsidRDefault="001939F9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PE"/>
        </w:rPr>
        <w:tab/>
      </w:r>
      <w:proofErr w:type="spellStart"/>
      <w:r w:rsidRPr="00A36A98">
        <w:rPr>
          <w:rFonts w:ascii="Calibri" w:hAnsi="Calibri" w:cs="Calibri"/>
          <w:sz w:val="16"/>
          <w:szCs w:val="16"/>
          <w:lang w:val="es-PE"/>
        </w:rPr>
        <w:t>Ibid</w:t>
      </w:r>
      <w:proofErr w:type="spellEnd"/>
      <w:r w:rsidRPr="00A36A98">
        <w:rPr>
          <w:rFonts w:ascii="Calibri" w:hAnsi="Calibri" w:cs="Calibri"/>
          <w:sz w:val="16"/>
          <w:szCs w:val="16"/>
          <w:lang w:val="es-PE"/>
        </w:rPr>
        <w:t>,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 “el 61,9% de encuestados refi</w:t>
      </w:r>
      <w:r w:rsidRPr="00A36A98">
        <w:rPr>
          <w:rFonts w:ascii="Calibri" w:hAnsi="Calibri" w:cs="Calibri"/>
          <w:sz w:val="16"/>
          <w:szCs w:val="16"/>
          <w:lang w:val="es-PE"/>
        </w:rPr>
        <w:t>ere haber detectado estos prejuicios al ser atendidos por personal de salud mental”</w:t>
      </w:r>
      <w:r w:rsidR="0053126F" w:rsidRPr="00A36A98">
        <w:rPr>
          <w:rFonts w:ascii="Calibri" w:hAnsi="Calibri" w:cs="Calibri"/>
          <w:sz w:val="16"/>
          <w:szCs w:val="16"/>
          <w:lang w:val="es-PE"/>
        </w:rPr>
        <w:t>.</w:t>
      </w:r>
    </w:p>
  </w:footnote>
  <w:footnote w:id="10">
    <w:p w14:paraId="61D10701" w14:textId="2D29A0F9" w:rsidR="00C45285" w:rsidRPr="00A36A98" w:rsidRDefault="00C45285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PE"/>
        </w:rPr>
        <w:tab/>
      </w:r>
      <w:proofErr w:type="spellStart"/>
      <w:r w:rsidRPr="00A36A98">
        <w:rPr>
          <w:rFonts w:ascii="Calibri" w:hAnsi="Calibri" w:cs="Calibri"/>
          <w:sz w:val="16"/>
          <w:szCs w:val="16"/>
          <w:lang w:val="es-PE"/>
        </w:rPr>
        <w:t>Ibid</w:t>
      </w:r>
      <w:proofErr w:type="spellEnd"/>
      <w:r w:rsidRPr="00A36A98">
        <w:rPr>
          <w:rFonts w:ascii="Calibri" w:hAnsi="Calibri" w:cs="Calibri"/>
          <w:sz w:val="16"/>
          <w:szCs w:val="16"/>
          <w:lang w:val="es-PE"/>
        </w:rPr>
        <w:t>.</w:t>
      </w:r>
    </w:p>
  </w:footnote>
  <w:footnote w:id="11">
    <w:p w14:paraId="268A9B07" w14:textId="712659BD" w:rsidR="00EA62EA" w:rsidRPr="00A36A98" w:rsidRDefault="00EA62EA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PE"/>
        </w:rPr>
        <w:tab/>
      </w:r>
      <w:r w:rsidR="008A639D" w:rsidRPr="00A36A98">
        <w:rPr>
          <w:rFonts w:ascii="Calibri" w:hAnsi="Calibri" w:cs="Calibri"/>
          <w:sz w:val="16"/>
          <w:szCs w:val="16"/>
          <w:lang w:val="es-PE"/>
        </w:rPr>
        <w:t>Defensoría del Pueblo: “A dos años del Informe defensoría N° 175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.  </w:t>
      </w:r>
      <w:r w:rsidR="008A639D" w:rsidRPr="00A36A98">
        <w:rPr>
          <w:rFonts w:ascii="Calibri" w:hAnsi="Calibri" w:cs="Calibri"/>
          <w:sz w:val="16"/>
          <w:szCs w:val="16"/>
          <w:lang w:val="es-PE"/>
        </w:rPr>
        <w:t>Estado actual de los derechos de las personas LGBTI” Informe de Adjuntía N 007-2018-DP/</w:t>
      </w:r>
      <w:proofErr w:type="spellStart"/>
      <w:r w:rsidR="008A639D" w:rsidRPr="00A36A98">
        <w:rPr>
          <w:rFonts w:ascii="Calibri" w:hAnsi="Calibri" w:cs="Calibri"/>
          <w:sz w:val="16"/>
          <w:szCs w:val="16"/>
          <w:lang w:val="es-PE"/>
        </w:rPr>
        <w:t>ADHPD</w:t>
      </w:r>
      <w:proofErr w:type="spellEnd"/>
      <w:r w:rsidR="008A639D" w:rsidRPr="00A36A98">
        <w:rPr>
          <w:rFonts w:ascii="Calibri" w:hAnsi="Calibri" w:cs="Calibri"/>
          <w:sz w:val="16"/>
          <w:szCs w:val="16"/>
          <w:lang w:val="es-PE"/>
        </w:rPr>
        <w:t>, pág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. </w:t>
      </w:r>
      <w:r w:rsidR="008A639D" w:rsidRPr="00A36A98">
        <w:rPr>
          <w:rFonts w:ascii="Calibri" w:hAnsi="Calibri" w:cs="Calibri"/>
          <w:sz w:val="16"/>
          <w:szCs w:val="16"/>
          <w:lang w:val="es-PE"/>
        </w:rPr>
        <w:t>14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.  </w:t>
      </w:r>
      <w:r w:rsidR="008A639D" w:rsidRPr="00A36A98">
        <w:rPr>
          <w:rFonts w:ascii="Calibri" w:hAnsi="Calibri" w:cs="Calibri"/>
          <w:sz w:val="16"/>
          <w:szCs w:val="16"/>
          <w:lang w:val="es-PE"/>
        </w:rPr>
        <w:t>Disponible en: https://www.defensoria.gob.pe/wp-content/uploads/2018/12/Informe-Defensorial-N%C2%B0-007-2018-DPADHPD-%E2%80%9CA-2-a%C3%B1os-del-Informe-Defensorial-N%C2%B0-175.-Estado-actual-de-los-derechos-de-las-personas-LGBTI%E2%80%9D.pdf.</w:t>
      </w:r>
    </w:p>
  </w:footnote>
  <w:footnote w:id="12">
    <w:p w14:paraId="0F360680" w14:textId="627FD9E1" w:rsidR="002D541B" w:rsidRPr="00A36A98" w:rsidRDefault="002D541B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53126F">
        <w:rPr>
          <w:rFonts w:ascii="Calibri" w:hAnsi="Calibri" w:cs="Calibri"/>
          <w:sz w:val="16"/>
          <w:szCs w:val="16"/>
          <w:lang w:val="es-ES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https://www.gob.pe/institucion/minsa/noticias/29728-minsa-fortalece-capacidades-del-personal-de-salud-ment</w:t>
      </w:r>
      <w:r w:rsidR="003271D2" w:rsidRPr="00A36A98">
        <w:rPr>
          <w:rFonts w:ascii="Calibri" w:hAnsi="Calibri" w:cs="Calibri"/>
          <w:color w:val="1A1A1A"/>
          <w:sz w:val="16"/>
          <w:szCs w:val="16"/>
          <w:shd w:val="clear" w:color="auto" w:fill="FFFFFF"/>
          <w:lang w:val="es-PE"/>
        </w:rPr>
        <w:t xml:space="preserve"> </w:t>
      </w:r>
      <w:r w:rsidR="003271D2" w:rsidRPr="00A36A98">
        <w:rPr>
          <w:rFonts w:ascii="Calibri" w:hAnsi="Calibri" w:cs="Calibri"/>
          <w:sz w:val="16"/>
          <w:szCs w:val="16"/>
          <w:lang w:val="es-PE"/>
        </w:rPr>
        <w:t xml:space="preserve">la atención en salud mental y adicciones a la población LGTBI implementado en Lima y Callao, a través del Currículo especializado: La Intersección del Abuso de </w:t>
      </w:r>
      <w:r w:rsidR="00A36A98" w:rsidRPr="00A36A98">
        <w:rPr>
          <w:rFonts w:ascii="Calibri" w:hAnsi="Calibri" w:cs="Calibri"/>
          <w:sz w:val="16"/>
          <w:szCs w:val="16"/>
          <w:lang w:val="es-PE"/>
        </w:rPr>
        <w:t>Sustancias</w:t>
      </w:r>
      <w:r w:rsidR="003271D2" w:rsidRPr="00A36A98">
        <w:rPr>
          <w:rFonts w:ascii="Calibri" w:hAnsi="Calibri" w:cs="Calibri"/>
          <w:sz w:val="16"/>
          <w:szCs w:val="16"/>
          <w:lang w:val="es-PE"/>
        </w:rPr>
        <w:t>, la Orientación Sexual y la Identidad de Género</w:t>
      </w:r>
      <w:r w:rsidR="0053126F">
        <w:rPr>
          <w:rFonts w:ascii="Calibri" w:hAnsi="Calibri" w:cs="Calibri"/>
          <w:sz w:val="16"/>
          <w:szCs w:val="16"/>
          <w:lang w:val="es-PE"/>
        </w:rPr>
        <w:t xml:space="preserve"> </w:t>
      </w:r>
      <w:r w:rsidRPr="00A36A98">
        <w:rPr>
          <w:rFonts w:ascii="Calibri" w:hAnsi="Calibri" w:cs="Calibri"/>
          <w:sz w:val="16"/>
          <w:szCs w:val="16"/>
          <w:lang w:val="es-ES"/>
        </w:rPr>
        <w:t>al-para-</w:t>
      </w:r>
      <w:proofErr w:type="spellStart"/>
      <w:r w:rsidRPr="00A36A98">
        <w:rPr>
          <w:rFonts w:ascii="Calibri" w:hAnsi="Calibri" w:cs="Calibri"/>
          <w:sz w:val="16"/>
          <w:szCs w:val="16"/>
          <w:lang w:val="es-ES"/>
        </w:rPr>
        <w:t>atencion</w:t>
      </w:r>
      <w:proofErr w:type="spellEnd"/>
      <w:r w:rsidRPr="00A36A98">
        <w:rPr>
          <w:rFonts w:ascii="Calibri" w:hAnsi="Calibri" w:cs="Calibri"/>
          <w:sz w:val="16"/>
          <w:szCs w:val="16"/>
          <w:lang w:val="es-ES"/>
        </w:rPr>
        <w:t>-de-la-</w:t>
      </w:r>
      <w:proofErr w:type="spellStart"/>
      <w:r w:rsidRPr="00A36A98">
        <w:rPr>
          <w:rFonts w:ascii="Calibri" w:hAnsi="Calibri" w:cs="Calibri"/>
          <w:sz w:val="16"/>
          <w:szCs w:val="16"/>
          <w:lang w:val="es-ES"/>
        </w:rPr>
        <w:t>poblacion</w:t>
      </w:r>
      <w:proofErr w:type="spellEnd"/>
      <w:r w:rsidRPr="00A36A98">
        <w:rPr>
          <w:rFonts w:ascii="Calibri" w:hAnsi="Calibri" w:cs="Calibri"/>
          <w:sz w:val="16"/>
          <w:szCs w:val="16"/>
          <w:lang w:val="es-ES"/>
        </w:rPr>
        <w:t>-</w:t>
      </w:r>
      <w:proofErr w:type="spellStart"/>
      <w:r w:rsidRPr="00A36A98">
        <w:rPr>
          <w:rFonts w:ascii="Calibri" w:hAnsi="Calibri" w:cs="Calibri"/>
          <w:sz w:val="16"/>
          <w:szCs w:val="16"/>
          <w:lang w:val="es-ES"/>
        </w:rPr>
        <w:t>lgtb</w:t>
      </w:r>
      <w:proofErr w:type="spellEnd"/>
    </w:p>
  </w:footnote>
  <w:footnote w:id="13">
    <w:p w14:paraId="6C9CB8A4" w14:textId="697594BC" w:rsidR="0012202C" w:rsidRPr="00A36A98" w:rsidRDefault="0012202C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PE"/>
        </w:rPr>
        <w:tab/>
      </w:r>
      <w:r w:rsidR="00DD6450" w:rsidRPr="00DD6450">
        <w:rPr>
          <w:rFonts w:ascii="Calibri" w:hAnsi="Calibri" w:cs="Calibri"/>
          <w:sz w:val="16"/>
          <w:szCs w:val="16"/>
          <w:lang w:val="es-PE"/>
        </w:rPr>
        <w:t>https://www.care.org.pe/primeros-resultados-del-programa-sogi-en-busca-de-una-adecuada-atencion-en-salud-mental-para-la-poblacion-lgtbi/</w:t>
      </w:r>
      <w:r w:rsidR="00DD6450">
        <w:rPr>
          <w:rFonts w:ascii="Calibri" w:hAnsi="Calibri" w:cs="Calibri"/>
          <w:sz w:val="16"/>
          <w:szCs w:val="16"/>
          <w:lang w:val="es-PE"/>
        </w:rPr>
        <w:t>.</w:t>
      </w:r>
    </w:p>
  </w:footnote>
  <w:footnote w:id="14">
    <w:p w14:paraId="4DCBE2CD" w14:textId="010E5EC7" w:rsidR="009224DF" w:rsidRPr="00A36A98" w:rsidRDefault="009224DF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ES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https://www.sunedu.gob.pe/licenciamiento-programas-medicina-humana-estatus/</w:t>
      </w:r>
      <w:r w:rsidR="00DD6450">
        <w:rPr>
          <w:rFonts w:ascii="Calibri" w:hAnsi="Calibri" w:cs="Calibri"/>
          <w:sz w:val="16"/>
          <w:szCs w:val="16"/>
          <w:lang w:val="es-ES"/>
        </w:rPr>
        <w:t>.</w:t>
      </w:r>
    </w:p>
  </w:footnote>
  <w:footnote w:id="15">
    <w:p w14:paraId="36F58862" w14:textId="43B24FA7" w:rsidR="00160F69" w:rsidRPr="00A36A98" w:rsidRDefault="00160F69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PE"/>
        </w:rPr>
        <w:t>Anexo 1</w:t>
      </w:r>
      <w:r w:rsidR="00DD6450">
        <w:rPr>
          <w:rFonts w:ascii="Calibri" w:hAnsi="Calibri" w:cs="Calibri"/>
          <w:sz w:val="16"/>
          <w:szCs w:val="16"/>
          <w:lang w:val="es-PE"/>
        </w:rPr>
        <w:t>.</w:t>
      </w:r>
    </w:p>
  </w:footnote>
  <w:footnote w:id="16">
    <w:p w14:paraId="5BD98F5A" w14:textId="402F417F" w:rsidR="00546798" w:rsidRPr="00DD6450" w:rsidRDefault="00546798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PE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ES"/>
        </w:rPr>
        <w:tab/>
      </w:r>
      <w:r w:rsidR="0068727B" w:rsidRPr="00A36A98">
        <w:rPr>
          <w:rFonts w:ascii="Calibri" w:hAnsi="Calibri" w:cs="Calibri"/>
          <w:sz w:val="16"/>
          <w:szCs w:val="16"/>
          <w:lang w:val="es-ES"/>
        </w:rPr>
        <w:t xml:space="preserve">Hallazgos: </w:t>
      </w:r>
      <w:r w:rsidRPr="00A36A98">
        <w:rPr>
          <w:rFonts w:ascii="Calibri" w:hAnsi="Calibri" w:cs="Calibri"/>
          <w:sz w:val="16"/>
          <w:szCs w:val="16"/>
          <w:lang w:val="es-PE"/>
        </w:rPr>
        <w:t>De la Normativa a la Práctica: la Política de Educación Sexual y su Implementación en el Perú</w:t>
      </w:r>
      <w:r w:rsidR="00A36A98">
        <w:rPr>
          <w:rFonts w:ascii="Calibri" w:hAnsi="Calibri" w:cs="Calibri"/>
          <w:sz w:val="16"/>
          <w:szCs w:val="16"/>
          <w:lang w:val="es-PE"/>
        </w:rPr>
        <w:t xml:space="preserve">.  </w:t>
      </w:r>
      <w:proofErr w:type="spellStart"/>
      <w:r w:rsidRPr="00857243">
        <w:rPr>
          <w:rFonts w:ascii="Calibri" w:hAnsi="Calibri" w:cs="Calibri"/>
          <w:sz w:val="16"/>
          <w:szCs w:val="16"/>
          <w:lang w:val="es-PE"/>
        </w:rPr>
        <w:t>Guttmacher</w:t>
      </w:r>
      <w:proofErr w:type="spellEnd"/>
      <w:r w:rsidRPr="00857243">
        <w:rPr>
          <w:rFonts w:ascii="Calibri" w:hAnsi="Calibri" w:cs="Calibri"/>
          <w:sz w:val="16"/>
          <w:szCs w:val="16"/>
          <w:lang w:val="es-PE"/>
        </w:rPr>
        <w:t xml:space="preserve"> </w:t>
      </w:r>
      <w:proofErr w:type="spellStart"/>
      <w:r w:rsidRPr="00857243">
        <w:rPr>
          <w:rFonts w:ascii="Calibri" w:hAnsi="Calibri" w:cs="Calibri"/>
          <w:sz w:val="16"/>
          <w:szCs w:val="16"/>
          <w:lang w:val="es-PE"/>
        </w:rPr>
        <w:t>Institute</w:t>
      </w:r>
      <w:proofErr w:type="spellEnd"/>
      <w:r w:rsidRPr="00857243">
        <w:rPr>
          <w:rFonts w:ascii="Calibri" w:hAnsi="Calibri" w:cs="Calibri"/>
          <w:sz w:val="16"/>
          <w:szCs w:val="16"/>
          <w:lang w:val="es-PE"/>
        </w:rPr>
        <w:t>, mayo 2017</w:t>
      </w:r>
      <w:r w:rsidR="00A36A98" w:rsidRPr="00857243">
        <w:rPr>
          <w:rFonts w:ascii="Calibri" w:hAnsi="Calibri" w:cs="Calibri"/>
          <w:sz w:val="16"/>
          <w:szCs w:val="16"/>
          <w:lang w:val="es-PE"/>
        </w:rPr>
        <w:t xml:space="preserve">.  </w:t>
      </w:r>
      <w:r w:rsidRPr="00857243">
        <w:rPr>
          <w:rFonts w:ascii="Calibri" w:hAnsi="Calibri" w:cs="Calibri"/>
          <w:sz w:val="16"/>
          <w:szCs w:val="16"/>
          <w:lang w:val="es-PE"/>
        </w:rPr>
        <w:t>https://www.guttmacher.org/sites/default/files/report_pdf/de-la-normativa-a-la-practica-educa</w:t>
      </w:r>
      <w:r w:rsidRPr="00DD6450">
        <w:rPr>
          <w:rFonts w:ascii="Calibri" w:hAnsi="Calibri" w:cs="Calibri"/>
          <w:sz w:val="16"/>
          <w:szCs w:val="16"/>
          <w:lang w:val="es-PE"/>
        </w:rPr>
        <w:t>cion-sexual-peru.pdf</w:t>
      </w:r>
      <w:r w:rsidR="00DD6450" w:rsidRPr="00DD6450">
        <w:rPr>
          <w:rFonts w:ascii="Calibri" w:hAnsi="Calibri" w:cs="Calibri"/>
          <w:sz w:val="16"/>
          <w:szCs w:val="16"/>
          <w:lang w:val="es-PE"/>
        </w:rPr>
        <w:t>.</w:t>
      </w:r>
    </w:p>
  </w:footnote>
  <w:footnote w:id="17">
    <w:p w14:paraId="38463CD3" w14:textId="2DE3A352" w:rsidR="00F61EE4" w:rsidRPr="00A36A98" w:rsidRDefault="00F61EE4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n-U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n-US"/>
        </w:rPr>
        <w:tab/>
      </w:r>
      <w:r w:rsidRPr="00A36A98">
        <w:rPr>
          <w:rFonts w:ascii="Calibri" w:hAnsi="Calibri" w:cs="Calibri"/>
          <w:sz w:val="16"/>
          <w:szCs w:val="16"/>
          <w:lang w:val="en-US"/>
        </w:rPr>
        <w:t>https://www.gob.pe/institucion/ceplan/informes-publicaciones/925877-informe-nacional-del-peru-2020-la-proteccion-de-la-vida-en-la-emergencia-y-despues</w:t>
      </w:r>
      <w:r w:rsidR="00DD6450">
        <w:rPr>
          <w:rFonts w:ascii="Calibri" w:hAnsi="Calibri" w:cs="Calibri"/>
          <w:sz w:val="16"/>
          <w:szCs w:val="16"/>
          <w:lang w:val="en-US"/>
        </w:rPr>
        <w:t>.</w:t>
      </w:r>
    </w:p>
  </w:footnote>
  <w:footnote w:id="18">
    <w:p w14:paraId="274F731F" w14:textId="517DAAC6" w:rsidR="004C521E" w:rsidRPr="00A36A98" w:rsidRDefault="004C521E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n-U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n-US"/>
        </w:rPr>
        <w:tab/>
      </w:r>
      <w:r w:rsidRPr="00A36A98">
        <w:rPr>
          <w:rFonts w:ascii="Calibri" w:hAnsi="Calibri" w:cs="Calibri"/>
          <w:sz w:val="16"/>
          <w:szCs w:val="16"/>
          <w:lang w:val="en-US"/>
        </w:rPr>
        <w:t>http://ods.inei.gob.pe/ods/objetivos-de-desarrollo-sostenible/salud-y-bienestar</w:t>
      </w:r>
    </w:p>
  </w:footnote>
  <w:footnote w:id="19">
    <w:p w14:paraId="3D5DE900" w14:textId="217A0543" w:rsidR="004C521E" w:rsidRPr="00A36A98" w:rsidRDefault="004C521E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PE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No hace referencia a personas afectadas por la violencia y la discriminación por orientación sexual e identidad de género</w:t>
      </w:r>
      <w:r w:rsidR="00857243">
        <w:rPr>
          <w:rFonts w:ascii="Calibri" w:hAnsi="Calibri" w:cs="Calibri"/>
          <w:sz w:val="16"/>
          <w:szCs w:val="16"/>
          <w:lang w:val="es-ES"/>
        </w:rPr>
        <w:t>.</w:t>
      </w:r>
    </w:p>
  </w:footnote>
  <w:footnote w:id="20">
    <w:p w14:paraId="01B6CD00" w14:textId="2157CE13" w:rsidR="00216C03" w:rsidRPr="00A36A98" w:rsidRDefault="00216C03" w:rsidP="00A36A98">
      <w:pPr>
        <w:pStyle w:val="Textonotapie"/>
        <w:ind w:left="284" w:hanging="284"/>
        <w:jc w:val="both"/>
        <w:rPr>
          <w:rFonts w:ascii="Calibri" w:hAnsi="Calibri" w:cs="Calibri"/>
          <w:sz w:val="16"/>
          <w:szCs w:val="16"/>
          <w:lang w:val="es-ES"/>
        </w:rPr>
      </w:pPr>
      <w:r w:rsidRPr="00A36A98">
        <w:rPr>
          <w:rStyle w:val="Refdenotaalpie"/>
          <w:rFonts w:ascii="Calibri" w:hAnsi="Calibri" w:cs="Calibri"/>
          <w:sz w:val="16"/>
          <w:szCs w:val="16"/>
        </w:rPr>
        <w:footnoteRef/>
      </w:r>
      <w:r w:rsidR="00857243">
        <w:rPr>
          <w:rFonts w:ascii="Calibri" w:hAnsi="Calibri" w:cs="Calibri"/>
          <w:sz w:val="16"/>
          <w:szCs w:val="16"/>
          <w:lang w:val="es-ES"/>
        </w:rPr>
        <w:tab/>
      </w:r>
      <w:r w:rsidRPr="00A36A98">
        <w:rPr>
          <w:rFonts w:ascii="Calibri" w:hAnsi="Calibri" w:cs="Calibri"/>
          <w:sz w:val="16"/>
          <w:szCs w:val="16"/>
          <w:lang w:val="es-ES"/>
        </w:rPr>
        <w:t>https://www.gob.pe/institucion/minsa/noticias/490446-minsa-advierte-que-la-tasa-de-suicidio-esta-en-aumento-en-el-peru</w:t>
      </w:r>
      <w:r w:rsidR="00DD6450">
        <w:rPr>
          <w:rFonts w:ascii="Calibri" w:hAnsi="Calibri" w:cs="Calibri"/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80BB" w14:textId="77777777" w:rsidR="00857243" w:rsidRPr="00857243" w:rsidRDefault="00857243" w:rsidP="00857243">
    <w:pPr>
      <w:pStyle w:val="Encabezado"/>
      <w:tabs>
        <w:tab w:val="clear" w:pos="4419"/>
        <w:tab w:val="clear" w:pos="8838"/>
      </w:tabs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8047" w14:textId="5585F715" w:rsidR="00857243" w:rsidRPr="00857243" w:rsidRDefault="00857243" w:rsidP="00857243">
    <w:pPr>
      <w:pStyle w:val="Encabezado"/>
      <w:tabs>
        <w:tab w:val="clear" w:pos="4419"/>
        <w:tab w:val="clear" w:pos="8838"/>
      </w:tabs>
      <w:rPr>
        <w:rFonts w:ascii="Calibri" w:hAnsi="Calibri" w:cs="Calibri"/>
        <w:sz w:val="18"/>
        <w:szCs w:val="18"/>
      </w:rPr>
    </w:pPr>
    <w:r w:rsidRPr="0033568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F64C02A" wp14:editId="5F3A3573">
          <wp:simplePos x="0" y="0"/>
          <wp:positionH relativeFrom="margin">
            <wp:align>left</wp:align>
          </wp:positionH>
          <wp:positionV relativeFrom="paragraph">
            <wp:posOffset>-126047</wp:posOffset>
          </wp:positionV>
          <wp:extent cx="1457325" cy="1094003"/>
          <wp:effectExtent l="0" t="0" r="0" b="0"/>
          <wp:wrapNone/>
          <wp:docPr id="2" name="Imagen 2" descr="C:\Users\Hogar\Documents\LIFS-Todo\LIFS-Administrativo\Logos LIFS\logo_lif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gar\Documents\LIFS-Todo\LIFS-Administrativo\Logos LIFS\logo_lifs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9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8AE"/>
    <w:multiLevelType w:val="hybridMultilevel"/>
    <w:tmpl w:val="63CAC7EA"/>
    <w:lvl w:ilvl="0" w:tplc="7B7816FE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36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E3400"/>
    <w:multiLevelType w:val="hybridMultilevel"/>
    <w:tmpl w:val="2C0E603C"/>
    <w:lvl w:ilvl="0" w:tplc="79ECEC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0D46"/>
    <w:multiLevelType w:val="hybridMultilevel"/>
    <w:tmpl w:val="1994BE1A"/>
    <w:lvl w:ilvl="0" w:tplc="16C4CA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498"/>
    <w:multiLevelType w:val="hybridMultilevel"/>
    <w:tmpl w:val="808E36B0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9D79FA"/>
    <w:multiLevelType w:val="hybridMultilevel"/>
    <w:tmpl w:val="518825F0"/>
    <w:lvl w:ilvl="0" w:tplc="1C54081A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A3B62"/>
    <w:multiLevelType w:val="hybridMultilevel"/>
    <w:tmpl w:val="93EC715E"/>
    <w:lvl w:ilvl="0" w:tplc="31EA57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946"/>
    <w:multiLevelType w:val="hybridMultilevel"/>
    <w:tmpl w:val="79901C74"/>
    <w:lvl w:ilvl="0" w:tplc="04090005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2D0C5BD8"/>
    <w:multiLevelType w:val="hybridMultilevel"/>
    <w:tmpl w:val="E1BEB6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06BBA"/>
    <w:multiLevelType w:val="hybridMultilevel"/>
    <w:tmpl w:val="EE9EEA36"/>
    <w:lvl w:ilvl="0" w:tplc="A6C42032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A08"/>
    <w:multiLevelType w:val="hybridMultilevel"/>
    <w:tmpl w:val="9236B1B4"/>
    <w:lvl w:ilvl="0" w:tplc="906E77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71F58"/>
    <w:multiLevelType w:val="hybridMultilevel"/>
    <w:tmpl w:val="7A4ADD06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2032A29"/>
    <w:multiLevelType w:val="hybridMultilevel"/>
    <w:tmpl w:val="162E5CCC"/>
    <w:lvl w:ilvl="0" w:tplc="355C5F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438F"/>
    <w:multiLevelType w:val="hybridMultilevel"/>
    <w:tmpl w:val="6E2E78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64EB9"/>
    <w:multiLevelType w:val="multilevel"/>
    <w:tmpl w:val="BFD8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DA1583"/>
    <w:multiLevelType w:val="hybridMultilevel"/>
    <w:tmpl w:val="0C206494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2F960C8"/>
    <w:multiLevelType w:val="multilevel"/>
    <w:tmpl w:val="C722E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0D34EC"/>
    <w:multiLevelType w:val="hybridMultilevel"/>
    <w:tmpl w:val="3EE65EF0"/>
    <w:lvl w:ilvl="0" w:tplc="2AE61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441D7"/>
    <w:multiLevelType w:val="hybridMultilevel"/>
    <w:tmpl w:val="173EFC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622AE"/>
    <w:multiLevelType w:val="hybridMultilevel"/>
    <w:tmpl w:val="C832D6A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E2307EC"/>
    <w:multiLevelType w:val="hybridMultilevel"/>
    <w:tmpl w:val="146A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2534"/>
    <w:multiLevelType w:val="multilevel"/>
    <w:tmpl w:val="C2302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7CA22421"/>
    <w:multiLevelType w:val="multilevel"/>
    <w:tmpl w:val="6D9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6"/>
  </w:num>
  <w:num w:numId="5">
    <w:abstractNumId w:val="1"/>
  </w:num>
  <w:num w:numId="6">
    <w:abstractNumId w:val="8"/>
  </w:num>
  <w:num w:numId="7">
    <w:abstractNumId w:val="13"/>
  </w:num>
  <w:num w:numId="8">
    <w:abstractNumId w:val="17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21"/>
  </w:num>
  <w:num w:numId="16">
    <w:abstractNumId w:val="18"/>
  </w:num>
  <w:num w:numId="17">
    <w:abstractNumId w:val="7"/>
  </w:num>
  <w:num w:numId="18">
    <w:abstractNumId w:val="11"/>
  </w:num>
  <w:num w:numId="19">
    <w:abstractNumId w:val="5"/>
  </w:num>
  <w:num w:numId="20">
    <w:abstractNumId w:val="4"/>
  </w:num>
  <w:num w:numId="21">
    <w:abstractNumId w:val="19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22"/>
    <w:rsid w:val="000119C6"/>
    <w:rsid w:val="00013514"/>
    <w:rsid w:val="000244B9"/>
    <w:rsid w:val="00033076"/>
    <w:rsid w:val="000359E3"/>
    <w:rsid w:val="00055FE4"/>
    <w:rsid w:val="000B1B3B"/>
    <w:rsid w:val="000D01E0"/>
    <w:rsid w:val="001168C1"/>
    <w:rsid w:val="0012202C"/>
    <w:rsid w:val="0013551D"/>
    <w:rsid w:val="001526A2"/>
    <w:rsid w:val="00160F69"/>
    <w:rsid w:val="00165DD9"/>
    <w:rsid w:val="00184796"/>
    <w:rsid w:val="001939F9"/>
    <w:rsid w:val="001D4E9C"/>
    <w:rsid w:val="001D7B22"/>
    <w:rsid w:val="001E3592"/>
    <w:rsid w:val="0020700C"/>
    <w:rsid w:val="00216AAB"/>
    <w:rsid w:val="00216C03"/>
    <w:rsid w:val="00275816"/>
    <w:rsid w:val="00290790"/>
    <w:rsid w:val="002A0D4E"/>
    <w:rsid w:val="002A3A5B"/>
    <w:rsid w:val="002B49E7"/>
    <w:rsid w:val="002D541B"/>
    <w:rsid w:val="002E1F1C"/>
    <w:rsid w:val="002E56B6"/>
    <w:rsid w:val="00305A66"/>
    <w:rsid w:val="003271D2"/>
    <w:rsid w:val="00336F9C"/>
    <w:rsid w:val="003632E3"/>
    <w:rsid w:val="00381D86"/>
    <w:rsid w:val="00383512"/>
    <w:rsid w:val="003917B4"/>
    <w:rsid w:val="003943C7"/>
    <w:rsid w:val="003A7636"/>
    <w:rsid w:val="003B589D"/>
    <w:rsid w:val="003D3C98"/>
    <w:rsid w:val="003E06CB"/>
    <w:rsid w:val="003E1010"/>
    <w:rsid w:val="003F2B57"/>
    <w:rsid w:val="003F49DA"/>
    <w:rsid w:val="00400A14"/>
    <w:rsid w:val="00403AE1"/>
    <w:rsid w:val="00410FCD"/>
    <w:rsid w:val="00431B84"/>
    <w:rsid w:val="0044030E"/>
    <w:rsid w:val="00445E69"/>
    <w:rsid w:val="00450DA1"/>
    <w:rsid w:val="00452680"/>
    <w:rsid w:val="004646FF"/>
    <w:rsid w:val="004B695C"/>
    <w:rsid w:val="004C521E"/>
    <w:rsid w:val="004D1037"/>
    <w:rsid w:val="004D2B82"/>
    <w:rsid w:val="004E0B40"/>
    <w:rsid w:val="004E1A80"/>
    <w:rsid w:val="004F107C"/>
    <w:rsid w:val="00512F95"/>
    <w:rsid w:val="0053126F"/>
    <w:rsid w:val="00543444"/>
    <w:rsid w:val="00546798"/>
    <w:rsid w:val="00550315"/>
    <w:rsid w:val="00560CD8"/>
    <w:rsid w:val="005635C9"/>
    <w:rsid w:val="005A5023"/>
    <w:rsid w:val="005A5FAA"/>
    <w:rsid w:val="005B4F5D"/>
    <w:rsid w:val="005C078A"/>
    <w:rsid w:val="005E2901"/>
    <w:rsid w:val="005E4C06"/>
    <w:rsid w:val="005E7452"/>
    <w:rsid w:val="005F06C9"/>
    <w:rsid w:val="00603BE6"/>
    <w:rsid w:val="0067561D"/>
    <w:rsid w:val="0068727B"/>
    <w:rsid w:val="006A11CD"/>
    <w:rsid w:val="006B6487"/>
    <w:rsid w:val="006C0802"/>
    <w:rsid w:val="006C67CD"/>
    <w:rsid w:val="006D2929"/>
    <w:rsid w:val="006D573E"/>
    <w:rsid w:val="007250E5"/>
    <w:rsid w:val="00730972"/>
    <w:rsid w:val="00786E10"/>
    <w:rsid w:val="00792D69"/>
    <w:rsid w:val="007D1619"/>
    <w:rsid w:val="007F3940"/>
    <w:rsid w:val="007F7047"/>
    <w:rsid w:val="0082389F"/>
    <w:rsid w:val="00825B89"/>
    <w:rsid w:val="008260D1"/>
    <w:rsid w:val="00857243"/>
    <w:rsid w:val="00871FE8"/>
    <w:rsid w:val="00876C96"/>
    <w:rsid w:val="008A639D"/>
    <w:rsid w:val="008C0BC3"/>
    <w:rsid w:val="008E134E"/>
    <w:rsid w:val="008E74DD"/>
    <w:rsid w:val="009169BD"/>
    <w:rsid w:val="009224DF"/>
    <w:rsid w:val="00957364"/>
    <w:rsid w:val="00962E2F"/>
    <w:rsid w:val="00967E59"/>
    <w:rsid w:val="009A5C81"/>
    <w:rsid w:val="009A789E"/>
    <w:rsid w:val="009B7D3D"/>
    <w:rsid w:val="00A06F57"/>
    <w:rsid w:val="00A10C78"/>
    <w:rsid w:val="00A145A3"/>
    <w:rsid w:val="00A32C22"/>
    <w:rsid w:val="00A36A98"/>
    <w:rsid w:val="00AA729A"/>
    <w:rsid w:val="00AF11F0"/>
    <w:rsid w:val="00AF6C0C"/>
    <w:rsid w:val="00B0186B"/>
    <w:rsid w:val="00B13CF3"/>
    <w:rsid w:val="00B1568B"/>
    <w:rsid w:val="00B204E7"/>
    <w:rsid w:val="00B25FE1"/>
    <w:rsid w:val="00B35B79"/>
    <w:rsid w:val="00B40B27"/>
    <w:rsid w:val="00B44B8E"/>
    <w:rsid w:val="00BC0266"/>
    <w:rsid w:val="00BC335E"/>
    <w:rsid w:val="00BD3D63"/>
    <w:rsid w:val="00BD6561"/>
    <w:rsid w:val="00BE6235"/>
    <w:rsid w:val="00BF3D68"/>
    <w:rsid w:val="00C45285"/>
    <w:rsid w:val="00C66CB5"/>
    <w:rsid w:val="00C67523"/>
    <w:rsid w:val="00C960F7"/>
    <w:rsid w:val="00CA21C8"/>
    <w:rsid w:val="00D11C7D"/>
    <w:rsid w:val="00D16CD1"/>
    <w:rsid w:val="00D278EC"/>
    <w:rsid w:val="00D47F92"/>
    <w:rsid w:val="00D6097D"/>
    <w:rsid w:val="00D704FB"/>
    <w:rsid w:val="00D70538"/>
    <w:rsid w:val="00D9684F"/>
    <w:rsid w:val="00DA3DF6"/>
    <w:rsid w:val="00DA6A6D"/>
    <w:rsid w:val="00DB5549"/>
    <w:rsid w:val="00DD6450"/>
    <w:rsid w:val="00DD77B7"/>
    <w:rsid w:val="00DE570F"/>
    <w:rsid w:val="00E20E35"/>
    <w:rsid w:val="00E337FD"/>
    <w:rsid w:val="00E401EB"/>
    <w:rsid w:val="00E453EC"/>
    <w:rsid w:val="00EA62EA"/>
    <w:rsid w:val="00EA7703"/>
    <w:rsid w:val="00EB69E3"/>
    <w:rsid w:val="00EC369C"/>
    <w:rsid w:val="00ED0D5D"/>
    <w:rsid w:val="00F461B3"/>
    <w:rsid w:val="00F61EE4"/>
    <w:rsid w:val="00F715F0"/>
    <w:rsid w:val="00F752E2"/>
    <w:rsid w:val="00F87671"/>
    <w:rsid w:val="00FC4D5D"/>
    <w:rsid w:val="00FE5B6A"/>
    <w:rsid w:val="00FE60E7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161A"/>
  <w15:docId w15:val="{B59D77A4-CD49-4DD2-B469-BCE795A3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tulo2">
    <w:name w:val="heading 2"/>
    <w:basedOn w:val="Normal"/>
    <w:link w:val="Ttulo2Car"/>
    <w:uiPriority w:val="9"/>
    <w:qFormat/>
    <w:rsid w:val="00A3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C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32C2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3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A32C22"/>
    <w:rPr>
      <w:color w:val="0000FF"/>
      <w:u w:val="single"/>
    </w:rPr>
  </w:style>
  <w:style w:type="character" w:customStyle="1" w:styleId="activity-link">
    <w:name w:val="activity-link"/>
    <w:basedOn w:val="Fuentedeprrafopredeter"/>
    <w:rsid w:val="00A32C22"/>
  </w:style>
  <w:style w:type="paragraph" w:styleId="Textonotapie">
    <w:name w:val="footnote text"/>
    <w:basedOn w:val="Normal"/>
    <w:link w:val="TextonotapieCar"/>
    <w:uiPriority w:val="99"/>
    <w:semiHidden/>
    <w:unhideWhenUsed/>
    <w:rsid w:val="007F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F394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F39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F39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F3940"/>
    <w:rPr>
      <w:vertAlign w:val="superscript"/>
    </w:rPr>
  </w:style>
  <w:style w:type="table" w:styleId="Tablaconcuadrcula">
    <w:name w:val="Table Grid"/>
    <w:basedOn w:val="Tablanormal"/>
    <w:uiPriority w:val="39"/>
    <w:rsid w:val="00CA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51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86E1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57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243"/>
  </w:style>
  <w:style w:type="paragraph" w:styleId="Piedepgina">
    <w:name w:val="footer"/>
    <w:basedOn w:val="Normal"/>
    <w:link w:val="PiedepginaCar"/>
    <w:uiPriority w:val="99"/>
    <w:unhideWhenUsed/>
    <w:rsid w:val="00857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0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360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129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  <w:div w:id="1524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8a2eb13a65b4e39aade0e9a12fb96aa2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146a154732f6d1bf5d08156947e941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Type the name of the contributor for this submission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Lesbianas Independientes Feministas y Socialistas</Contributor>
    <Postingdate xmlns="d42e65b2-cf21-49c1-b27d-d23f90380c0e" xsi:nil="true"/>
    <Postedonline xmlns="d42e65b2-cf21-49c1-b27d-d23f90380c0e">false</Postedonlin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5EBB-8643-482D-AF1C-F40A5B1DC238}"/>
</file>

<file path=customXml/itemProps2.xml><?xml version="1.0" encoding="utf-8"?>
<ds:datastoreItem xmlns:ds="http://schemas.openxmlformats.org/officeDocument/2006/customXml" ds:itemID="{B14C9AA6-D52E-40C2-90D1-88E9388C48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73A954-7367-4800-AE1E-0155ED06F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7E273-B425-40DF-8DF0-D2D964BB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2054</Words>
  <Characters>11095</Characters>
  <Application>Microsoft Office Word</Application>
  <DocSecurity>0</DocSecurity>
  <Lines>226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FORCIGNANO Veronica</dc:creator>
  <cp:keywords/>
  <dc:description/>
  <cp:lastModifiedBy>Gissy</cp:lastModifiedBy>
  <cp:revision>3</cp:revision>
  <dcterms:created xsi:type="dcterms:W3CDTF">2022-01-28T21:35:00Z</dcterms:created>
  <dcterms:modified xsi:type="dcterms:W3CDTF">2022-01-31T21:27:00Z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