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33B25" w14:textId="77777777" w:rsidR="009B0950" w:rsidRPr="000501B0" w:rsidRDefault="00492F84" w:rsidP="000501B0">
      <w:pPr>
        <w:pStyle w:val="Heading3"/>
        <w:keepNext w:val="0"/>
        <w:keepLines w:val="0"/>
        <w:shd w:val="clear" w:color="auto" w:fill="FFFFFF"/>
        <w:spacing w:before="240" w:after="240" w:line="240" w:lineRule="auto"/>
        <w:rPr>
          <w:rFonts w:asciiTheme="majorHAnsi" w:hAnsiTheme="majorHAnsi" w:cstheme="majorHAnsi"/>
          <w:b/>
          <w:color w:val="3D85C6"/>
          <w:sz w:val="22"/>
          <w:szCs w:val="22"/>
        </w:rPr>
      </w:pPr>
      <w:r w:rsidRPr="000501B0">
        <w:rPr>
          <w:rFonts w:asciiTheme="majorHAnsi" w:hAnsiTheme="majorHAnsi" w:cstheme="majorHAnsi"/>
          <w:b/>
          <w:color w:val="3D85C6"/>
          <w:sz w:val="22"/>
          <w:szCs w:val="22"/>
        </w:rPr>
        <w:t xml:space="preserve"> </w:t>
      </w:r>
      <w:r w:rsidRPr="000501B0">
        <w:rPr>
          <w:rFonts w:asciiTheme="majorHAnsi" w:hAnsiTheme="majorHAnsi" w:cstheme="majorHAnsi"/>
          <w:noProof/>
          <w:sz w:val="22"/>
          <w:szCs w:val="22"/>
        </w:rPr>
        <w:drawing>
          <wp:anchor distT="114300" distB="114300" distL="114300" distR="114300" simplePos="0" relativeHeight="251658240" behindDoc="0" locked="0" layoutInCell="1" hidden="0" allowOverlap="1" wp14:anchorId="6979D00C" wp14:editId="012F3CB9">
            <wp:simplePos x="0" y="0"/>
            <wp:positionH relativeFrom="column">
              <wp:posOffset>-304799</wp:posOffset>
            </wp:positionH>
            <wp:positionV relativeFrom="paragraph">
              <wp:posOffset>114300</wp:posOffset>
            </wp:positionV>
            <wp:extent cx="1670730" cy="1121950"/>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670730" cy="1121950"/>
                    </a:xfrm>
                    <a:prstGeom prst="rect">
                      <a:avLst/>
                    </a:prstGeom>
                    <a:ln/>
                  </pic:spPr>
                </pic:pic>
              </a:graphicData>
            </a:graphic>
          </wp:anchor>
        </w:drawing>
      </w:r>
      <w:r w:rsidRPr="000501B0">
        <w:rPr>
          <w:rFonts w:asciiTheme="majorHAnsi" w:hAnsiTheme="majorHAnsi" w:cstheme="majorHAnsi"/>
          <w:noProof/>
          <w:sz w:val="22"/>
          <w:szCs w:val="22"/>
        </w:rPr>
        <w:drawing>
          <wp:anchor distT="114300" distB="114300" distL="114300" distR="114300" simplePos="0" relativeHeight="251659264" behindDoc="0" locked="0" layoutInCell="1" hidden="0" allowOverlap="1" wp14:anchorId="0C3928F4" wp14:editId="07E4BE69">
            <wp:simplePos x="0" y="0"/>
            <wp:positionH relativeFrom="column">
              <wp:posOffset>1409700</wp:posOffset>
            </wp:positionH>
            <wp:positionV relativeFrom="paragraph">
              <wp:posOffset>119063</wp:posOffset>
            </wp:positionV>
            <wp:extent cx="1666875" cy="942647"/>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666875" cy="942647"/>
                    </a:xfrm>
                    <a:prstGeom prst="rect">
                      <a:avLst/>
                    </a:prstGeom>
                    <a:ln/>
                  </pic:spPr>
                </pic:pic>
              </a:graphicData>
            </a:graphic>
          </wp:anchor>
        </w:drawing>
      </w:r>
      <w:r w:rsidRPr="000501B0">
        <w:rPr>
          <w:rFonts w:asciiTheme="majorHAnsi" w:hAnsiTheme="majorHAnsi" w:cstheme="majorHAnsi"/>
          <w:noProof/>
          <w:sz w:val="22"/>
          <w:szCs w:val="22"/>
        </w:rPr>
        <w:drawing>
          <wp:anchor distT="114300" distB="114300" distL="114300" distR="114300" simplePos="0" relativeHeight="251660288" behindDoc="0" locked="0" layoutInCell="1" hidden="0" allowOverlap="1" wp14:anchorId="6D696FBC" wp14:editId="00F08097">
            <wp:simplePos x="0" y="0"/>
            <wp:positionH relativeFrom="column">
              <wp:posOffset>3305175</wp:posOffset>
            </wp:positionH>
            <wp:positionV relativeFrom="paragraph">
              <wp:posOffset>195263</wp:posOffset>
            </wp:positionV>
            <wp:extent cx="1304925" cy="782955"/>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304925" cy="782955"/>
                    </a:xfrm>
                    <a:prstGeom prst="rect">
                      <a:avLst/>
                    </a:prstGeom>
                    <a:ln/>
                  </pic:spPr>
                </pic:pic>
              </a:graphicData>
            </a:graphic>
          </wp:anchor>
        </w:drawing>
      </w:r>
      <w:r w:rsidRPr="000501B0">
        <w:rPr>
          <w:rFonts w:asciiTheme="majorHAnsi" w:hAnsiTheme="majorHAnsi" w:cstheme="majorHAnsi"/>
          <w:noProof/>
          <w:sz w:val="22"/>
          <w:szCs w:val="22"/>
        </w:rPr>
        <w:drawing>
          <wp:anchor distT="114300" distB="114300" distL="114300" distR="114300" simplePos="0" relativeHeight="251661312" behindDoc="0" locked="0" layoutInCell="1" hidden="0" allowOverlap="1" wp14:anchorId="2581D156" wp14:editId="004897BB">
            <wp:simplePos x="0" y="0"/>
            <wp:positionH relativeFrom="column">
              <wp:posOffset>4981575</wp:posOffset>
            </wp:positionH>
            <wp:positionV relativeFrom="paragraph">
              <wp:posOffset>114300</wp:posOffset>
            </wp:positionV>
            <wp:extent cx="825103" cy="942975"/>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825103" cy="942975"/>
                    </a:xfrm>
                    <a:prstGeom prst="rect">
                      <a:avLst/>
                    </a:prstGeom>
                    <a:ln/>
                  </pic:spPr>
                </pic:pic>
              </a:graphicData>
            </a:graphic>
          </wp:anchor>
        </w:drawing>
      </w:r>
    </w:p>
    <w:p w14:paraId="1450E54B" w14:textId="77777777" w:rsidR="009B0950" w:rsidRPr="000501B0" w:rsidRDefault="00492F84" w:rsidP="000501B0">
      <w:pPr>
        <w:pStyle w:val="Heading3"/>
        <w:keepNext w:val="0"/>
        <w:keepLines w:val="0"/>
        <w:shd w:val="clear" w:color="auto" w:fill="FFFFFF"/>
        <w:spacing w:before="240" w:after="240" w:line="240" w:lineRule="auto"/>
        <w:jc w:val="center"/>
        <w:rPr>
          <w:rFonts w:asciiTheme="majorHAnsi" w:hAnsiTheme="majorHAnsi" w:cstheme="majorHAnsi"/>
          <w:b/>
          <w:color w:val="3D85C6"/>
          <w:sz w:val="22"/>
          <w:szCs w:val="22"/>
        </w:rPr>
      </w:pPr>
      <w:bookmarkStart w:id="0" w:name="_rs0lw9dlmusd" w:colFirst="0" w:colLast="0"/>
      <w:bookmarkEnd w:id="0"/>
      <w:r w:rsidRPr="000501B0">
        <w:rPr>
          <w:rFonts w:asciiTheme="majorHAnsi" w:hAnsiTheme="majorHAnsi" w:cstheme="majorHAnsi"/>
          <w:b/>
          <w:color w:val="3D85C6"/>
          <w:sz w:val="22"/>
          <w:szCs w:val="22"/>
        </w:rPr>
        <w:t xml:space="preserve">                                       </w:t>
      </w:r>
      <w:r w:rsidRPr="000501B0">
        <w:rPr>
          <w:rFonts w:asciiTheme="majorHAnsi" w:hAnsiTheme="majorHAnsi" w:cstheme="majorHAnsi"/>
          <w:b/>
          <w:color w:val="3D85C6"/>
          <w:sz w:val="22"/>
          <w:szCs w:val="22"/>
        </w:rPr>
        <w:tab/>
        <w:t xml:space="preserve">                         </w:t>
      </w:r>
      <w:r w:rsidRPr="000501B0">
        <w:rPr>
          <w:rFonts w:asciiTheme="majorHAnsi" w:hAnsiTheme="majorHAnsi" w:cstheme="majorHAnsi"/>
          <w:b/>
          <w:color w:val="3D85C6"/>
          <w:sz w:val="22"/>
          <w:szCs w:val="22"/>
        </w:rPr>
        <w:tab/>
      </w:r>
    </w:p>
    <w:p w14:paraId="7E79229E" w14:textId="77777777" w:rsidR="009B0950" w:rsidRPr="000501B0" w:rsidRDefault="00492F84" w:rsidP="000501B0">
      <w:pPr>
        <w:pStyle w:val="Heading3"/>
        <w:keepNext w:val="0"/>
        <w:keepLines w:val="0"/>
        <w:shd w:val="clear" w:color="auto" w:fill="FFFFFF"/>
        <w:spacing w:before="240" w:after="240" w:line="240" w:lineRule="auto"/>
        <w:jc w:val="center"/>
        <w:rPr>
          <w:rFonts w:asciiTheme="majorHAnsi" w:hAnsiTheme="majorHAnsi" w:cstheme="majorHAnsi"/>
          <w:b/>
          <w:color w:val="3D85C6"/>
          <w:sz w:val="22"/>
          <w:szCs w:val="22"/>
        </w:rPr>
      </w:pPr>
      <w:r w:rsidRPr="000501B0">
        <w:rPr>
          <w:rFonts w:asciiTheme="majorHAnsi" w:hAnsiTheme="majorHAnsi" w:cstheme="majorHAnsi"/>
          <w:b/>
          <w:color w:val="3D85C6"/>
          <w:sz w:val="22"/>
          <w:szCs w:val="22"/>
        </w:rPr>
        <w:tab/>
      </w:r>
      <w:r w:rsidRPr="000501B0">
        <w:rPr>
          <w:rFonts w:asciiTheme="majorHAnsi" w:hAnsiTheme="majorHAnsi" w:cstheme="majorHAnsi"/>
          <w:noProof/>
          <w:sz w:val="22"/>
          <w:szCs w:val="22"/>
        </w:rPr>
        <w:drawing>
          <wp:anchor distT="114300" distB="114300" distL="114300" distR="114300" simplePos="0" relativeHeight="251662336" behindDoc="0" locked="0" layoutInCell="1" hidden="0" allowOverlap="1" wp14:anchorId="7BF1847C" wp14:editId="7B747D4C">
            <wp:simplePos x="0" y="0"/>
            <wp:positionH relativeFrom="column">
              <wp:posOffset>-380999</wp:posOffset>
            </wp:positionH>
            <wp:positionV relativeFrom="paragraph">
              <wp:posOffset>405812</wp:posOffset>
            </wp:positionV>
            <wp:extent cx="2418539" cy="514350"/>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418539" cy="514350"/>
                    </a:xfrm>
                    <a:prstGeom prst="rect">
                      <a:avLst/>
                    </a:prstGeom>
                    <a:ln/>
                  </pic:spPr>
                </pic:pic>
              </a:graphicData>
            </a:graphic>
          </wp:anchor>
        </w:drawing>
      </w:r>
      <w:r w:rsidRPr="000501B0">
        <w:rPr>
          <w:rFonts w:asciiTheme="majorHAnsi" w:hAnsiTheme="majorHAnsi" w:cstheme="majorHAnsi"/>
          <w:noProof/>
          <w:sz w:val="22"/>
          <w:szCs w:val="22"/>
        </w:rPr>
        <w:drawing>
          <wp:anchor distT="114300" distB="114300" distL="114300" distR="114300" simplePos="0" relativeHeight="251663360" behindDoc="0" locked="0" layoutInCell="1" hidden="0" allowOverlap="1" wp14:anchorId="3EF7C0F9" wp14:editId="41B2EDBE">
            <wp:simplePos x="0" y="0"/>
            <wp:positionH relativeFrom="column">
              <wp:posOffset>4886325</wp:posOffset>
            </wp:positionH>
            <wp:positionV relativeFrom="paragraph">
              <wp:posOffset>252413</wp:posOffset>
            </wp:positionV>
            <wp:extent cx="828675" cy="828675"/>
            <wp:effectExtent l="0" t="0" r="0" b="0"/>
            <wp:wrapNone/>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828675" cy="828675"/>
                    </a:xfrm>
                    <a:prstGeom prst="rect">
                      <a:avLst/>
                    </a:prstGeom>
                    <a:ln/>
                  </pic:spPr>
                </pic:pic>
              </a:graphicData>
            </a:graphic>
          </wp:anchor>
        </w:drawing>
      </w:r>
      <w:r w:rsidRPr="000501B0">
        <w:rPr>
          <w:rFonts w:asciiTheme="majorHAnsi" w:hAnsiTheme="majorHAnsi" w:cstheme="majorHAnsi"/>
          <w:noProof/>
          <w:sz w:val="22"/>
          <w:szCs w:val="22"/>
        </w:rPr>
        <w:drawing>
          <wp:anchor distT="114300" distB="114300" distL="114300" distR="114300" simplePos="0" relativeHeight="251664384" behindDoc="0" locked="0" layoutInCell="1" hidden="0" allowOverlap="1" wp14:anchorId="08577156" wp14:editId="1DA3A585">
            <wp:simplePos x="0" y="0"/>
            <wp:positionH relativeFrom="column">
              <wp:posOffset>2628900</wp:posOffset>
            </wp:positionH>
            <wp:positionV relativeFrom="paragraph">
              <wp:posOffset>409575</wp:posOffset>
            </wp:positionV>
            <wp:extent cx="1666875" cy="512047"/>
            <wp:effectExtent l="0" t="0" r="0" b="0"/>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666875" cy="512047"/>
                    </a:xfrm>
                    <a:prstGeom prst="rect">
                      <a:avLst/>
                    </a:prstGeom>
                    <a:ln/>
                  </pic:spPr>
                </pic:pic>
              </a:graphicData>
            </a:graphic>
          </wp:anchor>
        </w:drawing>
      </w:r>
    </w:p>
    <w:p w14:paraId="08320655" w14:textId="77777777" w:rsidR="009B0950" w:rsidRPr="000501B0" w:rsidRDefault="009B0950" w:rsidP="000501B0">
      <w:pPr>
        <w:pStyle w:val="Title"/>
        <w:keepNext w:val="0"/>
        <w:keepLines w:val="0"/>
        <w:shd w:val="clear" w:color="auto" w:fill="FFFFFF"/>
        <w:spacing w:line="240" w:lineRule="auto"/>
        <w:jc w:val="center"/>
        <w:rPr>
          <w:rFonts w:asciiTheme="majorHAnsi" w:hAnsiTheme="majorHAnsi" w:cstheme="majorHAnsi"/>
          <w:b/>
          <w:color w:val="0B5394"/>
          <w:sz w:val="22"/>
          <w:szCs w:val="22"/>
        </w:rPr>
      </w:pPr>
      <w:bookmarkStart w:id="1" w:name="_xbimrjc0w6ld" w:colFirst="0" w:colLast="0"/>
      <w:bookmarkEnd w:id="1"/>
    </w:p>
    <w:p w14:paraId="022992F8" w14:textId="77777777" w:rsidR="009B0950" w:rsidRPr="000501B0" w:rsidRDefault="009B0950" w:rsidP="000501B0">
      <w:pPr>
        <w:pStyle w:val="Title"/>
        <w:keepNext w:val="0"/>
        <w:keepLines w:val="0"/>
        <w:shd w:val="clear" w:color="auto" w:fill="FFFFFF"/>
        <w:spacing w:line="240" w:lineRule="auto"/>
        <w:jc w:val="center"/>
        <w:rPr>
          <w:rFonts w:asciiTheme="majorHAnsi" w:hAnsiTheme="majorHAnsi" w:cstheme="majorHAnsi"/>
          <w:b/>
          <w:color w:val="0B5394"/>
          <w:sz w:val="22"/>
          <w:szCs w:val="22"/>
        </w:rPr>
      </w:pPr>
      <w:bookmarkStart w:id="2" w:name="_tl5tt43fgs1b" w:colFirst="0" w:colLast="0"/>
      <w:bookmarkEnd w:id="2"/>
    </w:p>
    <w:p w14:paraId="0FF7EE64" w14:textId="77777777" w:rsidR="009B0950" w:rsidRPr="000501B0" w:rsidRDefault="009B0950" w:rsidP="000501B0">
      <w:pPr>
        <w:pStyle w:val="Title"/>
        <w:keepNext w:val="0"/>
        <w:keepLines w:val="0"/>
        <w:shd w:val="clear" w:color="auto" w:fill="FFFFFF"/>
        <w:spacing w:line="240" w:lineRule="auto"/>
        <w:jc w:val="center"/>
        <w:rPr>
          <w:rFonts w:asciiTheme="majorHAnsi" w:hAnsiTheme="majorHAnsi" w:cstheme="majorHAnsi"/>
          <w:b/>
          <w:color w:val="0B5394"/>
          <w:sz w:val="22"/>
          <w:szCs w:val="22"/>
        </w:rPr>
      </w:pPr>
      <w:bookmarkStart w:id="3" w:name="_xc4k88i5n7pt" w:colFirst="0" w:colLast="0"/>
      <w:bookmarkEnd w:id="3"/>
    </w:p>
    <w:p w14:paraId="358131F2" w14:textId="77777777" w:rsidR="009B0950" w:rsidRPr="000501B0" w:rsidRDefault="009B0950" w:rsidP="000501B0">
      <w:pPr>
        <w:spacing w:line="240" w:lineRule="auto"/>
        <w:rPr>
          <w:rFonts w:asciiTheme="majorHAnsi" w:hAnsiTheme="majorHAnsi" w:cstheme="majorHAnsi"/>
        </w:rPr>
      </w:pPr>
    </w:p>
    <w:p w14:paraId="3865E390" w14:textId="77777777" w:rsidR="009B0950" w:rsidRPr="000501B0" w:rsidRDefault="009B0950" w:rsidP="000501B0">
      <w:pPr>
        <w:spacing w:line="240" w:lineRule="auto"/>
        <w:rPr>
          <w:rFonts w:asciiTheme="majorHAnsi" w:hAnsiTheme="majorHAnsi" w:cstheme="majorHAnsi"/>
        </w:rPr>
      </w:pPr>
    </w:p>
    <w:p w14:paraId="37D7CC34" w14:textId="77777777" w:rsidR="009B0950" w:rsidRPr="000501B0" w:rsidRDefault="00492F84" w:rsidP="000501B0">
      <w:pPr>
        <w:pStyle w:val="Title"/>
        <w:keepNext w:val="0"/>
        <w:keepLines w:val="0"/>
        <w:shd w:val="clear" w:color="auto" w:fill="FFFFFF"/>
        <w:spacing w:before="480" w:line="240" w:lineRule="auto"/>
        <w:jc w:val="center"/>
        <w:rPr>
          <w:rFonts w:asciiTheme="majorHAnsi" w:hAnsiTheme="majorHAnsi" w:cstheme="majorHAnsi"/>
          <w:b/>
          <w:color w:val="0563C1"/>
          <w:sz w:val="22"/>
          <w:szCs w:val="22"/>
        </w:rPr>
      </w:pPr>
      <w:bookmarkStart w:id="4" w:name="_sj0p46mewg43" w:colFirst="0" w:colLast="0"/>
      <w:bookmarkEnd w:id="4"/>
      <w:r w:rsidRPr="000501B0">
        <w:rPr>
          <w:rFonts w:asciiTheme="majorHAnsi" w:hAnsiTheme="majorHAnsi" w:cstheme="majorHAnsi"/>
          <w:b/>
          <w:color w:val="0563C1"/>
          <w:sz w:val="22"/>
          <w:szCs w:val="22"/>
        </w:rPr>
        <w:t xml:space="preserve">SUBMISSIONS TO THE UNITED NATIONS INDEPENDENT EXPERT ON PROTECTION AGAINST VIOLENCE AND DISCRIMINATION BASED ON </w:t>
      </w:r>
      <w:r w:rsidRPr="000501B0">
        <w:rPr>
          <w:rFonts w:asciiTheme="majorHAnsi" w:hAnsiTheme="majorHAnsi" w:cstheme="majorHAnsi"/>
          <w:b/>
          <w:color w:val="0563C1"/>
          <w:sz w:val="22"/>
          <w:szCs w:val="22"/>
        </w:rPr>
        <w:br/>
        <w:t>SEXUAL ORIENTATION AND GENDER IDENTITY</w:t>
      </w:r>
      <w:r w:rsidRPr="000501B0">
        <w:rPr>
          <w:rFonts w:asciiTheme="majorHAnsi" w:hAnsiTheme="majorHAnsi" w:cstheme="majorHAnsi"/>
          <w:b/>
          <w:color w:val="0563C1"/>
          <w:sz w:val="22"/>
          <w:szCs w:val="22"/>
        </w:rPr>
        <w:br/>
        <w:t xml:space="preserve">ON </w:t>
      </w:r>
      <w:r w:rsidRPr="000501B0">
        <w:rPr>
          <w:rFonts w:asciiTheme="majorHAnsi" w:hAnsiTheme="majorHAnsi" w:cstheme="majorHAnsi"/>
          <w:b/>
          <w:color w:val="0563C1"/>
          <w:sz w:val="22"/>
          <w:szCs w:val="22"/>
        </w:rPr>
        <w:br/>
        <w:t xml:space="preserve">SOUTH AFRICA’S REALISATION OF THE RIGHT OF PERSONS AFFECTED BY VIOLENCE AND DISCRIMINATION BASED ON </w:t>
      </w:r>
      <w:r w:rsidRPr="000501B0">
        <w:rPr>
          <w:rFonts w:asciiTheme="majorHAnsi" w:hAnsiTheme="majorHAnsi" w:cstheme="majorHAnsi"/>
          <w:b/>
          <w:color w:val="0563C1"/>
          <w:sz w:val="22"/>
          <w:szCs w:val="22"/>
        </w:rPr>
        <w:t xml:space="preserve">SEXUAL ORIENTATION </w:t>
      </w:r>
      <w:r w:rsidRPr="000501B0">
        <w:rPr>
          <w:rFonts w:asciiTheme="majorHAnsi" w:hAnsiTheme="majorHAnsi" w:cstheme="majorHAnsi"/>
          <w:b/>
          <w:color w:val="0563C1"/>
          <w:sz w:val="22"/>
          <w:szCs w:val="22"/>
        </w:rPr>
        <w:br/>
        <w:t>AND GENDER IDENTITY TO THE ENJOYMENT OF THE HIGHEST ATTAINABLE STANDARD OF PHYSICAL AND MENTAL HEALTH, IN RELATION TO SDG3</w:t>
      </w:r>
    </w:p>
    <w:p w14:paraId="6CC1A5E7" w14:textId="77777777" w:rsidR="009B0950" w:rsidRPr="000501B0" w:rsidRDefault="009B0950" w:rsidP="000501B0">
      <w:pPr>
        <w:spacing w:line="240" w:lineRule="auto"/>
        <w:jc w:val="center"/>
        <w:rPr>
          <w:rFonts w:asciiTheme="majorHAnsi" w:hAnsiTheme="majorHAnsi" w:cstheme="majorHAnsi"/>
          <w:i/>
        </w:rPr>
      </w:pPr>
    </w:p>
    <w:p w14:paraId="5C0685E7" w14:textId="77777777" w:rsidR="009B0950" w:rsidRPr="000501B0" w:rsidRDefault="009B0950" w:rsidP="000501B0">
      <w:pPr>
        <w:spacing w:line="240" w:lineRule="auto"/>
        <w:jc w:val="center"/>
        <w:rPr>
          <w:rFonts w:asciiTheme="majorHAnsi" w:hAnsiTheme="majorHAnsi" w:cstheme="majorHAnsi"/>
          <w:i/>
        </w:rPr>
      </w:pPr>
    </w:p>
    <w:p w14:paraId="014BD9D8" w14:textId="77777777" w:rsidR="009B0950" w:rsidRPr="000501B0" w:rsidRDefault="009B0950" w:rsidP="000501B0">
      <w:pPr>
        <w:spacing w:line="240" w:lineRule="auto"/>
        <w:jc w:val="center"/>
        <w:rPr>
          <w:rFonts w:asciiTheme="majorHAnsi" w:hAnsiTheme="majorHAnsi" w:cstheme="majorHAnsi"/>
          <w:i/>
        </w:rPr>
      </w:pPr>
    </w:p>
    <w:p w14:paraId="55F0EEA9" w14:textId="77777777" w:rsidR="009B0950" w:rsidRPr="000501B0" w:rsidRDefault="009B0950" w:rsidP="000501B0">
      <w:pPr>
        <w:spacing w:line="240" w:lineRule="auto"/>
        <w:jc w:val="center"/>
        <w:rPr>
          <w:rFonts w:asciiTheme="majorHAnsi" w:hAnsiTheme="majorHAnsi" w:cstheme="majorHAnsi"/>
          <w:i/>
        </w:rPr>
      </w:pPr>
    </w:p>
    <w:p w14:paraId="1700B645" w14:textId="77777777" w:rsidR="009B0950" w:rsidRPr="000501B0" w:rsidRDefault="00492F84" w:rsidP="000501B0">
      <w:pPr>
        <w:spacing w:line="240" w:lineRule="auto"/>
        <w:jc w:val="center"/>
        <w:rPr>
          <w:rFonts w:asciiTheme="majorHAnsi" w:hAnsiTheme="majorHAnsi" w:cstheme="majorHAnsi"/>
          <w:i/>
        </w:rPr>
      </w:pPr>
      <w:r w:rsidRPr="000501B0">
        <w:rPr>
          <w:rFonts w:asciiTheme="majorHAnsi" w:hAnsiTheme="majorHAnsi" w:cstheme="majorHAnsi"/>
          <w:i/>
        </w:rPr>
        <w:t xml:space="preserve">By Gender Dynamix, Iranti, Triangle Project, Intersex South Africa, Same Love Toti, </w:t>
      </w:r>
      <w:r w:rsidRPr="000501B0">
        <w:rPr>
          <w:rFonts w:asciiTheme="majorHAnsi" w:hAnsiTheme="majorHAnsi" w:cstheme="majorHAnsi"/>
          <w:i/>
        </w:rPr>
        <w:br/>
        <w:t>Women’s Legal Centre and</w:t>
      </w:r>
      <w:r w:rsidRPr="000501B0">
        <w:rPr>
          <w:rFonts w:asciiTheme="majorHAnsi" w:hAnsiTheme="majorHAnsi" w:cstheme="majorHAnsi"/>
          <w:i/>
        </w:rPr>
        <w:t xml:space="preserve"> Legal Resources Centre</w:t>
      </w:r>
    </w:p>
    <w:p w14:paraId="115D3116" w14:textId="77777777" w:rsidR="009B0950" w:rsidRPr="000501B0" w:rsidRDefault="009B0950" w:rsidP="000501B0">
      <w:pPr>
        <w:spacing w:line="240" w:lineRule="auto"/>
        <w:jc w:val="center"/>
        <w:rPr>
          <w:rFonts w:asciiTheme="majorHAnsi" w:hAnsiTheme="majorHAnsi" w:cstheme="majorHAnsi"/>
          <w:i/>
        </w:rPr>
      </w:pPr>
    </w:p>
    <w:p w14:paraId="3F30DF6D" w14:textId="77777777" w:rsidR="009B0950" w:rsidRPr="000501B0" w:rsidRDefault="009B0950" w:rsidP="000501B0">
      <w:pPr>
        <w:spacing w:line="240" w:lineRule="auto"/>
        <w:jc w:val="center"/>
        <w:rPr>
          <w:rFonts w:asciiTheme="majorHAnsi" w:hAnsiTheme="majorHAnsi" w:cstheme="majorHAnsi"/>
          <w:i/>
        </w:rPr>
      </w:pPr>
    </w:p>
    <w:p w14:paraId="50F8288C" w14:textId="77777777" w:rsidR="009B0950" w:rsidRPr="000501B0" w:rsidRDefault="00492F84" w:rsidP="000501B0">
      <w:pPr>
        <w:shd w:val="clear" w:color="auto" w:fill="FFFFFF"/>
        <w:spacing w:before="240" w:after="240" w:line="240" w:lineRule="auto"/>
        <w:jc w:val="center"/>
        <w:rPr>
          <w:rFonts w:asciiTheme="majorHAnsi" w:hAnsiTheme="majorHAnsi" w:cstheme="majorHAnsi"/>
          <w:b/>
        </w:rPr>
      </w:pPr>
      <w:r w:rsidRPr="000501B0">
        <w:rPr>
          <w:rFonts w:asciiTheme="majorHAnsi" w:hAnsiTheme="majorHAnsi" w:cstheme="majorHAnsi"/>
          <w:b/>
        </w:rPr>
        <w:t>7 February 2022</w:t>
      </w:r>
    </w:p>
    <w:p w14:paraId="5B38556E" w14:textId="77777777" w:rsidR="009B0950" w:rsidRPr="000501B0" w:rsidRDefault="00492F84" w:rsidP="000501B0">
      <w:pPr>
        <w:spacing w:line="240" w:lineRule="auto"/>
        <w:jc w:val="center"/>
        <w:rPr>
          <w:rFonts w:asciiTheme="majorHAnsi" w:hAnsiTheme="majorHAnsi" w:cstheme="majorHAnsi"/>
        </w:rPr>
      </w:pPr>
      <w:r w:rsidRPr="000501B0">
        <w:rPr>
          <w:rFonts w:asciiTheme="majorHAnsi" w:hAnsiTheme="majorHAnsi" w:cstheme="majorHAnsi"/>
        </w:rPr>
        <w:br w:type="page"/>
      </w:r>
    </w:p>
    <w:p w14:paraId="1B323D3F" w14:textId="77777777" w:rsidR="009B0950" w:rsidRPr="000501B0" w:rsidRDefault="009B0950" w:rsidP="000501B0">
      <w:pPr>
        <w:spacing w:line="240" w:lineRule="auto"/>
        <w:jc w:val="center"/>
        <w:rPr>
          <w:rFonts w:asciiTheme="majorHAnsi" w:hAnsiTheme="majorHAnsi" w:cstheme="majorHAnsi"/>
        </w:rPr>
      </w:pPr>
    </w:p>
    <w:p w14:paraId="71645D05" w14:textId="324BC538" w:rsidR="009B0950" w:rsidRPr="000501B0" w:rsidRDefault="00492F84" w:rsidP="000501B0">
      <w:pPr>
        <w:pStyle w:val="Heading1"/>
        <w:shd w:val="clear" w:color="auto" w:fill="FFFFFF"/>
        <w:spacing w:before="240" w:after="240" w:line="240" w:lineRule="auto"/>
        <w:rPr>
          <w:rFonts w:asciiTheme="majorHAnsi" w:hAnsiTheme="majorHAnsi" w:cstheme="majorHAnsi"/>
          <w:sz w:val="22"/>
          <w:szCs w:val="22"/>
        </w:rPr>
      </w:pPr>
      <w:bookmarkStart w:id="5" w:name="_uezr329pi3ca" w:colFirst="0" w:colLast="0"/>
      <w:bookmarkEnd w:id="5"/>
      <w:r w:rsidRPr="000501B0">
        <w:rPr>
          <w:rFonts w:asciiTheme="majorHAnsi" w:hAnsiTheme="majorHAnsi" w:cstheme="majorHAnsi"/>
          <w:sz w:val="22"/>
          <w:szCs w:val="22"/>
        </w:rPr>
        <w:t>SUBMITTED WITH INPUT AND CONTRIBUTIONS FROM</w:t>
      </w:r>
      <w:r w:rsidR="000501B0">
        <w:rPr>
          <w:rFonts w:asciiTheme="majorHAnsi" w:hAnsiTheme="majorHAnsi" w:cstheme="majorHAnsi"/>
          <w:sz w:val="22"/>
          <w:szCs w:val="22"/>
        </w:rPr>
        <w:t xml:space="preserve"> THE FOLLOWING ORGANISATIONS</w:t>
      </w:r>
      <w:r w:rsidRPr="000501B0">
        <w:rPr>
          <w:rFonts w:asciiTheme="majorHAnsi" w:hAnsiTheme="majorHAnsi" w:cstheme="majorHAnsi"/>
          <w:sz w:val="22"/>
          <w:szCs w:val="22"/>
        </w:rPr>
        <w:t>:</w:t>
      </w:r>
    </w:p>
    <w:p w14:paraId="32517F6E" w14:textId="77777777" w:rsidR="009B0950" w:rsidRPr="000501B0" w:rsidRDefault="00492F84" w:rsidP="000501B0">
      <w:pPr>
        <w:shd w:val="clear" w:color="auto" w:fill="FFFFFF"/>
        <w:spacing w:before="240" w:after="240" w:line="240" w:lineRule="auto"/>
        <w:rPr>
          <w:rFonts w:asciiTheme="majorHAnsi" w:eastAsia="Calibri" w:hAnsiTheme="majorHAnsi" w:cstheme="majorHAnsi"/>
          <w:b/>
          <w:u w:val="single"/>
        </w:rPr>
      </w:pPr>
      <w:r w:rsidRPr="000501B0">
        <w:rPr>
          <w:rFonts w:asciiTheme="majorHAnsi" w:eastAsia="Calibri" w:hAnsiTheme="majorHAnsi" w:cstheme="majorHAnsi"/>
          <w:b/>
        </w:rPr>
        <w:t xml:space="preserve"> </w:t>
      </w:r>
      <w:r w:rsidRPr="000501B0">
        <w:rPr>
          <w:rFonts w:asciiTheme="majorHAnsi" w:eastAsia="Calibri" w:hAnsiTheme="majorHAnsi" w:cstheme="majorHAnsi"/>
          <w:b/>
          <w:u w:val="single"/>
        </w:rPr>
        <w:t>Gender Dynamix</w:t>
      </w:r>
    </w:p>
    <w:p w14:paraId="7B92671D" w14:textId="77777777" w:rsidR="009B0950" w:rsidRPr="000501B0" w:rsidRDefault="00492F84" w:rsidP="000501B0">
      <w:pPr>
        <w:numPr>
          <w:ilvl w:val="0"/>
          <w:numId w:val="7"/>
        </w:numPr>
        <w:shd w:val="clear" w:color="auto" w:fill="FFFFFF"/>
        <w:spacing w:line="240" w:lineRule="auto"/>
        <w:rPr>
          <w:rFonts w:asciiTheme="majorHAnsi" w:eastAsia="Calibri" w:hAnsiTheme="majorHAnsi" w:cstheme="majorHAnsi"/>
        </w:rPr>
      </w:pPr>
      <w:r w:rsidRPr="000501B0">
        <w:rPr>
          <w:rFonts w:asciiTheme="majorHAnsi" w:eastAsia="Calibri" w:hAnsiTheme="majorHAnsi" w:cstheme="majorHAnsi"/>
        </w:rPr>
        <w:t xml:space="preserve">Hape Peshoane, Regional Advocacy Coordinator,  </w:t>
      </w:r>
      <w:hyperlink r:id="rId18">
        <w:r w:rsidRPr="000501B0">
          <w:rPr>
            <w:rFonts w:asciiTheme="majorHAnsi" w:eastAsia="Calibri" w:hAnsiTheme="majorHAnsi" w:cstheme="majorHAnsi"/>
            <w:color w:val="1155CC"/>
            <w:u w:val="single"/>
          </w:rPr>
          <w:t>regional@genderdynamix.org.za</w:t>
        </w:r>
      </w:hyperlink>
      <w:r w:rsidRPr="000501B0">
        <w:rPr>
          <w:rFonts w:asciiTheme="majorHAnsi" w:eastAsia="Calibri" w:hAnsiTheme="majorHAnsi" w:cstheme="majorHAnsi"/>
        </w:rPr>
        <w:t xml:space="preserve"> </w:t>
      </w:r>
    </w:p>
    <w:p w14:paraId="3A8AC0AB" w14:textId="77777777" w:rsidR="009B0950" w:rsidRPr="000501B0" w:rsidRDefault="00492F84" w:rsidP="000501B0">
      <w:pPr>
        <w:numPr>
          <w:ilvl w:val="0"/>
          <w:numId w:val="7"/>
        </w:numPr>
        <w:shd w:val="clear" w:color="auto" w:fill="FFFFFF"/>
        <w:spacing w:line="240" w:lineRule="auto"/>
        <w:rPr>
          <w:rFonts w:asciiTheme="majorHAnsi" w:eastAsia="Calibri" w:hAnsiTheme="majorHAnsi" w:cstheme="majorHAnsi"/>
        </w:rPr>
      </w:pPr>
      <w:r w:rsidRPr="000501B0">
        <w:rPr>
          <w:rFonts w:asciiTheme="majorHAnsi" w:eastAsia="Calibri" w:hAnsiTheme="majorHAnsi" w:cstheme="majorHAnsi"/>
        </w:rPr>
        <w:t xml:space="preserve">Savuka Matyila, Health Advocacy Officer, </w:t>
      </w:r>
      <w:hyperlink r:id="rId19">
        <w:r w:rsidRPr="000501B0">
          <w:rPr>
            <w:rFonts w:asciiTheme="majorHAnsi" w:eastAsia="Calibri" w:hAnsiTheme="majorHAnsi" w:cstheme="majorHAnsi"/>
            <w:color w:val="1155CC"/>
            <w:u w:val="single"/>
          </w:rPr>
          <w:t>advocacy1@genderdynamix.org.za</w:t>
        </w:r>
      </w:hyperlink>
      <w:r w:rsidRPr="000501B0">
        <w:rPr>
          <w:rFonts w:asciiTheme="majorHAnsi" w:eastAsia="Calibri" w:hAnsiTheme="majorHAnsi" w:cstheme="majorHAnsi"/>
        </w:rPr>
        <w:t xml:space="preserve"> </w:t>
      </w:r>
    </w:p>
    <w:p w14:paraId="780E20C8" w14:textId="77777777" w:rsidR="009B0950" w:rsidRPr="000501B0" w:rsidRDefault="00492F84" w:rsidP="000501B0">
      <w:pPr>
        <w:numPr>
          <w:ilvl w:val="0"/>
          <w:numId w:val="7"/>
        </w:numPr>
        <w:shd w:val="clear" w:color="auto" w:fill="FFFFFF"/>
        <w:spacing w:line="240" w:lineRule="auto"/>
        <w:rPr>
          <w:rFonts w:asciiTheme="majorHAnsi" w:eastAsia="Calibri" w:hAnsiTheme="majorHAnsi" w:cstheme="majorHAnsi"/>
        </w:rPr>
      </w:pPr>
      <w:r w:rsidRPr="000501B0">
        <w:rPr>
          <w:rFonts w:asciiTheme="majorHAnsi" w:eastAsia="Calibri" w:hAnsiTheme="majorHAnsi" w:cstheme="majorHAnsi"/>
        </w:rPr>
        <w:t>Anil Padavatan, Health and Legal Programm</w:t>
      </w:r>
      <w:r w:rsidRPr="000501B0">
        <w:rPr>
          <w:rFonts w:asciiTheme="majorHAnsi" w:eastAsia="Calibri" w:hAnsiTheme="majorHAnsi" w:cstheme="majorHAnsi"/>
        </w:rPr>
        <w:t xml:space="preserve">es Manager, </w:t>
      </w:r>
      <w:hyperlink r:id="rId20">
        <w:r w:rsidRPr="000501B0">
          <w:rPr>
            <w:rFonts w:asciiTheme="majorHAnsi" w:eastAsia="Calibri" w:hAnsiTheme="majorHAnsi" w:cstheme="majorHAnsi"/>
            <w:color w:val="1155CC"/>
            <w:u w:val="single"/>
          </w:rPr>
          <w:t>programmes@genderdynamix.org.za</w:t>
        </w:r>
      </w:hyperlink>
      <w:r w:rsidRPr="000501B0">
        <w:rPr>
          <w:rFonts w:asciiTheme="majorHAnsi" w:eastAsia="Calibri" w:hAnsiTheme="majorHAnsi" w:cstheme="majorHAnsi"/>
        </w:rPr>
        <w:t xml:space="preserve">  </w:t>
      </w:r>
    </w:p>
    <w:p w14:paraId="510C8F7E" w14:textId="77777777" w:rsidR="009B0950" w:rsidRPr="000501B0" w:rsidRDefault="009B0950" w:rsidP="000501B0">
      <w:pPr>
        <w:spacing w:line="240" w:lineRule="auto"/>
        <w:ind w:left="720"/>
        <w:rPr>
          <w:rFonts w:asciiTheme="majorHAnsi" w:eastAsia="Calibri" w:hAnsiTheme="majorHAnsi" w:cstheme="majorHAnsi"/>
        </w:rPr>
      </w:pPr>
    </w:p>
    <w:p w14:paraId="69E9B1E8" w14:textId="77777777" w:rsidR="009B0950" w:rsidRPr="000501B0" w:rsidRDefault="00492F84" w:rsidP="000501B0">
      <w:pPr>
        <w:spacing w:line="240" w:lineRule="auto"/>
        <w:rPr>
          <w:rFonts w:asciiTheme="majorHAnsi" w:eastAsia="Calibri" w:hAnsiTheme="majorHAnsi" w:cstheme="majorHAnsi"/>
          <w:b/>
          <w:u w:val="single"/>
        </w:rPr>
      </w:pPr>
      <w:r w:rsidRPr="000501B0">
        <w:rPr>
          <w:rFonts w:asciiTheme="majorHAnsi" w:eastAsia="Calibri" w:hAnsiTheme="majorHAnsi" w:cstheme="majorHAnsi"/>
          <w:b/>
          <w:u w:val="single"/>
        </w:rPr>
        <w:t>Iranti</w:t>
      </w:r>
    </w:p>
    <w:p w14:paraId="455B0904" w14:textId="77777777" w:rsidR="009B0950" w:rsidRPr="000501B0" w:rsidRDefault="00492F84" w:rsidP="000501B0">
      <w:pPr>
        <w:numPr>
          <w:ilvl w:val="0"/>
          <w:numId w:val="4"/>
        </w:numPr>
        <w:spacing w:line="240" w:lineRule="auto"/>
        <w:rPr>
          <w:rFonts w:asciiTheme="majorHAnsi" w:eastAsia="Calibri" w:hAnsiTheme="majorHAnsi" w:cstheme="majorHAnsi"/>
        </w:rPr>
      </w:pPr>
      <w:r w:rsidRPr="000501B0">
        <w:rPr>
          <w:rFonts w:asciiTheme="majorHAnsi" w:eastAsia="Calibri" w:hAnsiTheme="majorHAnsi" w:cstheme="majorHAnsi"/>
        </w:rPr>
        <w:t xml:space="preserve">Sylvester Kazibwe, Trans Rights Programme Officer </w:t>
      </w:r>
      <w:hyperlink r:id="rId21">
        <w:r w:rsidRPr="000501B0">
          <w:rPr>
            <w:rFonts w:asciiTheme="majorHAnsi" w:eastAsia="Calibri" w:hAnsiTheme="majorHAnsi" w:cstheme="majorHAnsi"/>
            <w:color w:val="1155CC"/>
            <w:u w:val="single"/>
          </w:rPr>
          <w:t>sylvester@iranti.org</w:t>
        </w:r>
      </w:hyperlink>
      <w:r w:rsidRPr="000501B0">
        <w:rPr>
          <w:rFonts w:asciiTheme="majorHAnsi" w:eastAsia="Calibri" w:hAnsiTheme="majorHAnsi" w:cstheme="majorHAnsi"/>
        </w:rPr>
        <w:t xml:space="preserve"> </w:t>
      </w:r>
    </w:p>
    <w:p w14:paraId="5075C255" w14:textId="1C6E1074" w:rsidR="009B0950" w:rsidRPr="000501B0" w:rsidRDefault="00492F84" w:rsidP="000501B0">
      <w:pPr>
        <w:numPr>
          <w:ilvl w:val="0"/>
          <w:numId w:val="4"/>
        </w:numPr>
        <w:spacing w:line="240" w:lineRule="auto"/>
        <w:rPr>
          <w:rFonts w:asciiTheme="majorHAnsi" w:eastAsia="Calibri" w:hAnsiTheme="majorHAnsi" w:cstheme="majorHAnsi"/>
        </w:rPr>
      </w:pPr>
      <w:r w:rsidRPr="000501B0">
        <w:rPr>
          <w:rFonts w:asciiTheme="majorHAnsi" w:eastAsia="Calibri" w:hAnsiTheme="majorHAnsi" w:cstheme="majorHAnsi"/>
        </w:rPr>
        <w:t xml:space="preserve">Nthuthuzo </w:t>
      </w:r>
      <w:r w:rsidR="005D7066" w:rsidRPr="000501B0">
        <w:rPr>
          <w:rFonts w:asciiTheme="majorHAnsi" w:eastAsia="Calibri" w:hAnsiTheme="majorHAnsi" w:cstheme="majorHAnsi"/>
        </w:rPr>
        <w:t>Ndzomo, Programmes</w:t>
      </w:r>
      <w:r w:rsidRPr="000501B0">
        <w:rPr>
          <w:rFonts w:asciiTheme="majorHAnsi" w:eastAsia="Calibri" w:hAnsiTheme="majorHAnsi" w:cstheme="majorHAnsi"/>
        </w:rPr>
        <w:t xml:space="preserve"> manager </w:t>
      </w:r>
      <w:hyperlink r:id="rId22">
        <w:r w:rsidRPr="000501B0">
          <w:rPr>
            <w:rFonts w:asciiTheme="majorHAnsi" w:eastAsia="Calibri" w:hAnsiTheme="majorHAnsi" w:cstheme="majorHAnsi"/>
            <w:color w:val="1155CC"/>
            <w:u w:val="single"/>
          </w:rPr>
          <w:t>ntuthuzo@iranti.org</w:t>
        </w:r>
      </w:hyperlink>
      <w:r w:rsidRPr="000501B0">
        <w:rPr>
          <w:rFonts w:asciiTheme="majorHAnsi" w:eastAsia="Calibri" w:hAnsiTheme="majorHAnsi" w:cstheme="majorHAnsi"/>
        </w:rPr>
        <w:t xml:space="preserve"> </w:t>
      </w:r>
    </w:p>
    <w:p w14:paraId="50AD1596" w14:textId="77777777" w:rsidR="009B0950" w:rsidRPr="000501B0" w:rsidRDefault="00492F84" w:rsidP="000501B0">
      <w:pPr>
        <w:shd w:val="clear" w:color="auto" w:fill="FFFFFF"/>
        <w:spacing w:before="240" w:after="240" w:line="240" w:lineRule="auto"/>
        <w:rPr>
          <w:rFonts w:asciiTheme="majorHAnsi" w:eastAsia="Calibri" w:hAnsiTheme="majorHAnsi" w:cstheme="majorHAnsi"/>
          <w:b/>
          <w:u w:val="single"/>
        </w:rPr>
      </w:pPr>
      <w:r w:rsidRPr="000501B0">
        <w:rPr>
          <w:rFonts w:asciiTheme="majorHAnsi" w:eastAsia="Calibri" w:hAnsiTheme="majorHAnsi" w:cstheme="majorHAnsi"/>
        </w:rPr>
        <w:t xml:space="preserve"> </w:t>
      </w:r>
      <w:r w:rsidRPr="000501B0">
        <w:rPr>
          <w:rFonts w:asciiTheme="majorHAnsi" w:eastAsia="Calibri" w:hAnsiTheme="majorHAnsi" w:cstheme="majorHAnsi"/>
          <w:b/>
          <w:u w:val="single"/>
        </w:rPr>
        <w:t>Triangle Project</w:t>
      </w:r>
    </w:p>
    <w:p w14:paraId="1B220C1D" w14:textId="77777777" w:rsidR="009B0950" w:rsidRPr="000501B0" w:rsidRDefault="00492F84" w:rsidP="000501B0">
      <w:pPr>
        <w:numPr>
          <w:ilvl w:val="0"/>
          <w:numId w:val="3"/>
        </w:numPr>
        <w:shd w:val="clear" w:color="auto" w:fill="FFFFFF"/>
        <w:spacing w:line="240" w:lineRule="auto"/>
        <w:rPr>
          <w:rFonts w:asciiTheme="majorHAnsi" w:eastAsia="Calibri" w:hAnsiTheme="majorHAnsi" w:cstheme="majorHAnsi"/>
        </w:rPr>
      </w:pPr>
      <w:r w:rsidRPr="000501B0">
        <w:rPr>
          <w:rFonts w:asciiTheme="majorHAnsi" w:eastAsia="Calibri" w:hAnsiTheme="majorHAnsi" w:cstheme="majorHAnsi"/>
        </w:rPr>
        <w:t xml:space="preserve">Thozama Njobe, Research Coordinator, </w:t>
      </w:r>
      <w:hyperlink r:id="rId23">
        <w:r w:rsidRPr="000501B0">
          <w:rPr>
            <w:rFonts w:asciiTheme="majorHAnsi" w:eastAsia="Calibri" w:hAnsiTheme="majorHAnsi" w:cstheme="majorHAnsi"/>
            <w:color w:val="1155CC"/>
            <w:u w:val="single"/>
          </w:rPr>
          <w:t>thozama@triangle.org.za</w:t>
        </w:r>
      </w:hyperlink>
      <w:r w:rsidRPr="000501B0">
        <w:rPr>
          <w:rFonts w:asciiTheme="majorHAnsi" w:eastAsia="Calibri" w:hAnsiTheme="majorHAnsi" w:cstheme="majorHAnsi"/>
        </w:rPr>
        <w:t xml:space="preserve"> </w:t>
      </w:r>
    </w:p>
    <w:p w14:paraId="0437683D" w14:textId="77777777" w:rsidR="009B0950" w:rsidRPr="000501B0" w:rsidRDefault="00492F84" w:rsidP="000501B0">
      <w:pPr>
        <w:numPr>
          <w:ilvl w:val="0"/>
          <w:numId w:val="3"/>
        </w:numPr>
        <w:shd w:val="clear" w:color="auto" w:fill="FFFFFF"/>
        <w:spacing w:line="240" w:lineRule="auto"/>
        <w:rPr>
          <w:rFonts w:asciiTheme="majorHAnsi" w:eastAsia="Calibri" w:hAnsiTheme="majorHAnsi" w:cstheme="majorHAnsi"/>
        </w:rPr>
      </w:pPr>
      <w:r w:rsidRPr="000501B0">
        <w:rPr>
          <w:rFonts w:asciiTheme="majorHAnsi" w:eastAsia="Calibri" w:hAnsiTheme="majorHAnsi" w:cstheme="majorHAnsi"/>
        </w:rPr>
        <w:t>Sharon Cox, Health and Support Services Manage</w:t>
      </w:r>
      <w:r w:rsidRPr="000501B0">
        <w:rPr>
          <w:rFonts w:asciiTheme="majorHAnsi" w:eastAsia="Calibri" w:hAnsiTheme="majorHAnsi" w:cstheme="majorHAnsi"/>
        </w:rPr>
        <w:t xml:space="preserve">r, </w:t>
      </w:r>
      <w:hyperlink r:id="rId24">
        <w:r w:rsidRPr="000501B0">
          <w:rPr>
            <w:rFonts w:asciiTheme="majorHAnsi" w:eastAsia="Calibri" w:hAnsiTheme="majorHAnsi" w:cstheme="majorHAnsi"/>
            <w:color w:val="1155CC"/>
            <w:u w:val="single"/>
          </w:rPr>
          <w:t>health@triangle.org.za</w:t>
        </w:r>
      </w:hyperlink>
      <w:r w:rsidRPr="000501B0">
        <w:rPr>
          <w:rFonts w:asciiTheme="majorHAnsi" w:eastAsia="Calibri" w:hAnsiTheme="majorHAnsi" w:cstheme="majorHAnsi"/>
        </w:rPr>
        <w:t xml:space="preserve"> </w:t>
      </w:r>
    </w:p>
    <w:p w14:paraId="5CA6AC5F" w14:textId="77777777" w:rsidR="009B0950" w:rsidRPr="000501B0" w:rsidRDefault="00492F84" w:rsidP="000501B0">
      <w:pPr>
        <w:numPr>
          <w:ilvl w:val="0"/>
          <w:numId w:val="3"/>
        </w:numPr>
        <w:shd w:val="clear" w:color="auto" w:fill="FFFFFF"/>
        <w:spacing w:after="240" w:line="240" w:lineRule="auto"/>
        <w:rPr>
          <w:rFonts w:asciiTheme="majorHAnsi" w:eastAsia="Calibri" w:hAnsiTheme="majorHAnsi" w:cstheme="majorHAnsi"/>
        </w:rPr>
      </w:pPr>
      <w:r w:rsidRPr="000501B0">
        <w:rPr>
          <w:rFonts w:asciiTheme="majorHAnsi" w:eastAsia="Calibri" w:hAnsiTheme="majorHAnsi" w:cstheme="majorHAnsi"/>
        </w:rPr>
        <w:t xml:space="preserve">Estian Smit, Research, Advocacy and Policy Manager, </w:t>
      </w:r>
      <w:hyperlink r:id="rId25">
        <w:r w:rsidRPr="000501B0">
          <w:rPr>
            <w:rFonts w:asciiTheme="majorHAnsi" w:eastAsia="Calibri" w:hAnsiTheme="majorHAnsi" w:cstheme="majorHAnsi"/>
            <w:color w:val="1155CC"/>
            <w:u w:val="single"/>
          </w:rPr>
          <w:t>estian@triangle.org.za</w:t>
        </w:r>
      </w:hyperlink>
      <w:r w:rsidRPr="000501B0">
        <w:rPr>
          <w:rFonts w:asciiTheme="majorHAnsi" w:eastAsia="Calibri" w:hAnsiTheme="majorHAnsi" w:cstheme="majorHAnsi"/>
        </w:rPr>
        <w:t xml:space="preserve"> </w:t>
      </w:r>
    </w:p>
    <w:p w14:paraId="012FABE8" w14:textId="77777777" w:rsidR="009B0950" w:rsidRPr="000501B0" w:rsidRDefault="00492F84" w:rsidP="000501B0">
      <w:pPr>
        <w:spacing w:line="240" w:lineRule="auto"/>
        <w:rPr>
          <w:rFonts w:asciiTheme="majorHAnsi" w:eastAsia="Calibri" w:hAnsiTheme="majorHAnsi" w:cstheme="majorHAnsi"/>
          <w:b/>
          <w:u w:val="single"/>
        </w:rPr>
      </w:pPr>
      <w:r w:rsidRPr="000501B0">
        <w:rPr>
          <w:rFonts w:asciiTheme="majorHAnsi" w:eastAsia="Calibri" w:hAnsiTheme="majorHAnsi" w:cstheme="majorHAnsi"/>
          <w:b/>
          <w:u w:val="single"/>
        </w:rPr>
        <w:t>Intersex SA</w:t>
      </w:r>
    </w:p>
    <w:p w14:paraId="1CE28C45" w14:textId="77777777" w:rsidR="009B0950" w:rsidRPr="000501B0" w:rsidRDefault="00492F84" w:rsidP="000501B0">
      <w:pPr>
        <w:numPr>
          <w:ilvl w:val="0"/>
          <w:numId w:val="5"/>
        </w:numPr>
        <w:spacing w:line="240" w:lineRule="auto"/>
        <w:rPr>
          <w:rFonts w:asciiTheme="majorHAnsi" w:eastAsia="Calibri" w:hAnsiTheme="majorHAnsi" w:cstheme="majorHAnsi"/>
        </w:rPr>
      </w:pPr>
      <w:r w:rsidRPr="000501B0">
        <w:rPr>
          <w:rFonts w:asciiTheme="majorHAnsi" w:eastAsia="Calibri" w:hAnsiTheme="majorHAnsi" w:cstheme="majorHAnsi"/>
        </w:rPr>
        <w:t xml:space="preserve">Crystal Hendricks, Intersex Rights Programme Officer </w:t>
      </w:r>
      <w:hyperlink r:id="rId26">
        <w:r w:rsidRPr="000501B0">
          <w:rPr>
            <w:rFonts w:asciiTheme="majorHAnsi" w:eastAsia="Calibri" w:hAnsiTheme="majorHAnsi" w:cstheme="majorHAnsi"/>
            <w:color w:val="1155CC"/>
            <w:u w:val="single"/>
          </w:rPr>
          <w:t>crystal@iranti.org.za</w:t>
        </w:r>
      </w:hyperlink>
    </w:p>
    <w:p w14:paraId="3A2BF442" w14:textId="77777777" w:rsidR="009B0950" w:rsidRPr="000501B0" w:rsidRDefault="00492F84" w:rsidP="000501B0">
      <w:pPr>
        <w:shd w:val="clear" w:color="auto" w:fill="FFFFFF"/>
        <w:spacing w:before="240" w:after="240" w:line="240" w:lineRule="auto"/>
        <w:rPr>
          <w:rFonts w:asciiTheme="majorHAnsi" w:eastAsia="Calibri" w:hAnsiTheme="majorHAnsi" w:cstheme="majorHAnsi"/>
          <w:b/>
          <w:u w:val="single"/>
        </w:rPr>
      </w:pPr>
      <w:r w:rsidRPr="000501B0">
        <w:rPr>
          <w:rFonts w:asciiTheme="majorHAnsi" w:eastAsia="Calibri" w:hAnsiTheme="majorHAnsi" w:cstheme="majorHAnsi"/>
        </w:rPr>
        <w:t xml:space="preserve"> </w:t>
      </w:r>
      <w:r w:rsidRPr="000501B0">
        <w:rPr>
          <w:rFonts w:asciiTheme="majorHAnsi" w:eastAsia="Calibri" w:hAnsiTheme="majorHAnsi" w:cstheme="majorHAnsi"/>
          <w:b/>
          <w:u w:val="single"/>
        </w:rPr>
        <w:t>Same Love Toti</w:t>
      </w:r>
    </w:p>
    <w:p w14:paraId="43464801" w14:textId="77777777" w:rsidR="009B0950" w:rsidRPr="000501B0" w:rsidRDefault="00492F84" w:rsidP="000501B0">
      <w:pPr>
        <w:numPr>
          <w:ilvl w:val="0"/>
          <w:numId w:val="1"/>
        </w:numPr>
        <w:shd w:val="clear" w:color="auto" w:fill="FFFFFF"/>
        <w:spacing w:after="240" w:line="240" w:lineRule="auto"/>
        <w:rPr>
          <w:rFonts w:asciiTheme="majorHAnsi" w:eastAsia="Calibri" w:hAnsiTheme="majorHAnsi" w:cstheme="majorHAnsi"/>
        </w:rPr>
      </w:pPr>
      <w:r w:rsidRPr="000501B0">
        <w:rPr>
          <w:rFonts w:asciiTheme="majorHAnsi" w:eastAsia="Calibri" w:hAnsiTheme="majorHAnsi" w:cstheme="majorHAnsi"/>
        </w:rPr>
        <w:t xml:space="preserve">Kim Lithgow, Founder, </w:t>
      </w:r>
      <w:hyperlink r:id="rId27">
        <w:r w:rsidRPr="000501B0">
          <w:rPr>
            <w:rFonts w:asciiTheme="majorHAnsi" w:eastAsia="Calibri" w:hAnsiTheme="majorHAnsi" w:cstheme="majorHAnsi"/>
            <w:color w:val="1155CC"/>
            <w:u w:val="single"/>
          </w:rPr>
          <w:t>samelovetoti@gmail.com</w:t>
        </w:r>
      </w:hyperlink>
      <w:r w:rsidRPr="000501B0">
        <w:rPr>
          <w:rFonts w:asciiTheme="majorHAnsi" w:eastAsia="Calibri" w:hAnsiTheme="majorHAnsi" w:cstheme="majorHAnsi"/>
        </w:rPr>
        <w:t xml:space="preserve"> </w:t>
      </w:r>
    </w:p>
    <w:p w14:paraId="7A451D2F" w14:textId="77777777" w:rsidR="009B0950" w:rsidRPr="000501B0" w:rsidRDefault="00492F84" w:rsidP="000501B0">
      <w:pPr>
        <w:shd w:val="clear" w:color="auto" w:fill="FFFFFF"/>
        <w:spacing w:before="240" w:after="240" w:line="240" w:lineRule="auto"/>
        <w:rPr>
          <w:rFonts w:asciiTheme="majorHAnsi" w:eastAsia="Calibri" w:hAnsiTheme="majorHAnsi" w:cstheme="majorHAnsi"/>
          <w:b/>
          <w:u w:val="single"/>
        </w:rPr>
      </w:pPr>
      <w:r w:rsidRPr="000501B0">
        <w:rPr>
          <w:rFonts w:asciiTheme="majorHAnsi" w:eastAsia="Calibri" w:hAnsiTheme="majorHAnsi" w:cstheme="majorHAnsi"/>
          <w:b/>
          <w:u w:val="single"/>
        </w:rPr>
        <w:t>Women’s Legal Centre</w:t>
      </w:r>
    </w:p>
    <w:p w14:paraId="487D9793" w14:textId="77777777" w:rsidR="009B0950" w:rsidRPr="000501B0" w:rsidRDefault="00492F84" w:rsidP="000501B0">
      <w:pPr>
        <w:numPr>
          <w:ilvl w:val="0"/>
          <w:numId w:val="2"/>
        </w:numPr>
        <w:shd w:val="clear" w:color="auto" w:fill="FFFFFF"/>
        <w:spacing w:after="240" w:line="240" w:lineRule="auto"/>
        <w:rPr>
          <w:rFonts w:asciiTheme="majorHAnsi" w:eastAsia="Calibri" w:hAnsiTheme="majorHAnsi" w:cstheme="majorHAnsi"/>
        </w:rPr>
      </w:pPr>
      <w:r w:rsidRPr="000501B0">
        <w:rPr>
          <w:rFonts w:asciiTheme="majorHAnsi" w:eastAsia="Calibri" w:hAnsiTheme="majorHAnsi" w:cstheme="majorHAnsi"/>
        </w:rPr>
        <w:t xml:space="preserve">Mandi Mudarikwa, Attorney,  </w:t>
      </w:r>
      <w:hyperlink r:id="rId28">
        <w:r w:rsidRPr="000501B0">
          <w:rPr>
            <w:rFonts w:asciiTheme="majorHAnsi" w:eastAsia="Calibri" w:hAnsiTheme="majorHAnsi" w:cstheme="majorHAnsi"/>
            <w:color w:val="1155CC"/>
            <w:u w:val="single"/>
          </w:rPr>
          <w:t>mandi@wlce.co.za</w:t>
        </w:r>
      </w:hyperlink>
      <w:r w:rsidRPr="000501B0">
        <w:rPr>
          <w:rFonts w:asciiTheme="majorHAnsi" w:eastAsia="Calibri" w:hAnsiTheme="majorHAnsi" w:cstheme="majorHAnsi"/>
        </w:rPr>
        <w:t xml:space="preserve"> </w:t>
      </w:r>
    </w:p>
    <w:p w14:paraId="152CB3DA" w14:textId="77777777" w:rsidR="009B0950" w:rsidRPr="000501B0" w:rsidRDefault="00492F84" w:rsidP="000501B0">
      <w:pPr>
        <w:shd w:val="clear" w:color="auto" w:fill="FFFFFF"/>
        <w:spacing w:before="240" w:after="240" w:line="240" w:lineRule="auto"/>
        <w:rPr>
          <w:rFonts w:asciiTheme="majorHAnsi" w:eastAsia="Calibri" w:hAnsiTheme="majorHAnsi" w:cstheme="majorHAnsi"/>
          <w:b/>
          <w:u w:val="single"/>
        </w:rPr>
      </w:pPr>
      <w:r w:rsidRPr="000501B0">
        <w:rPr>
          <w:rFonts w:asciiTheme="majorHAnsi" w:eastAsia="Calibri" w:hAnsiTheme="majorHAnsi" w:cstheme="majorHAnsi"/>
          <w:b/>
          <w:u w:val="single"/>
        </w:rPr>
        <w:t>Legal Resources Centre</w:t>
      </w:r>
    </w:p>
    <w:p w14:paraId="6EFC76AD" w14:textId="77777777" w:rsidR="009B0950" w:rsidRPr="000501B0" w:rsidRDefault="00492F84" w:rsidP="000501B0">
      <w:pPr>
        <w:numPr>
          <w:ilvl w:val="0"/>
          <w:numId w:val="6"/>
        </w:numPr>
        <w:shd w:val="clear" w:color="auto" w:fill="FFFFFF"/>
        <w:spacing w:line="240" w:lineRule="auto"/>
        <w:rPr>
          <w:rFonts w:asciiTheme="majorHAnsi" w:eastAsia="Calibri" w:hAnsiTheme="majorHAnsi" w:cstheme="majorHAnsi"/>
          <w:color w:val="000000"/>
        </w:rPr>
      </w:pPr>
      <w:r w:rsidRPr="000501B0">
        <w:rPr>
          <w:rFonts w:asciiTheme="majorHAnsi" w:eastAsia="Calibri" w:hAnsiTheme="majorHAnsi" w:cstheme="majorHAnsi"/>
          <w:color w:val="000000"/>
        </w:rPr>
        <w:t xml:space="preserve">Amy-Leigh Payne, Attorney, </w:t>
      </w:r>
      <w:hyperlink r:id="rId29">
        <w:r w:rsidRPr="000501B0">
          <w:rPr>
            <w:rFonts w:asciiTheme="majorHAnsi" w:eastAsia="Calibri" w:hAnsiTheme="majorHAnsi" w:cstheme="majorHAnsi"/>
            <w:color w:val="1155CC"/>
            <w:u w:val="single"/>
          </w:rPr>
          <w:t>amyleigh@lrc.co.za</w:t>
        </w:r>
      </w:hyperlink>
      <w:r w:rsidRPr="000501B0">
        <w:rPr>
          <w:rFonts w:asciiTheme="majorHAnsi" w:eastAsia="Calibri" w:hAnsiTheme="majorHAnsi" w:cstheme="majorHAnsi"/>
          <w:color w:val="000000"/>
        </w:rPr>
        <w:t xml:space="preserve"> </w:t>
      </w:r>
    </w:p>
    <w:p w14:paraId="6661CBCC" w14:textId="77777777" w:rsidR="009B0950" w:rsidRPr="000501B0" w:rsidRDefault="00492F84" w:rsidP="000501B0">
      <w:pPr>
        <w:numPr>
          <w:ilvl w:val="0"/>
          <w:numId w:val="6"/>
        </w:numPr>
        <w:shd w:val="clear" w:color="auto" w:fill="FFFFFF"/>
        <w:spacing w:after="240" w:line="240" w:lineRule="auto"/>
        <w:rPr>
          <w:rFonts w:asciiTheme="majorHAnsi" w:eastAsia="Calibri" w:hAnsiTheme="majorHAnsi" w:cstheme="majorHAnsi"/>
          <w:color w:val="000000"/>
        </w:rPr>
      </w:pPr>
      <w:r w:rsidRPr="000501B0">
        <w:rPr>
          <w:rFonts w:asciiTheme="majorHAnsi" w:eastAsia="Calibri" w:hAnsiTheme="majorHAnsi" w:cstheme="majorHAnsi"/>
          <w:color w:val="000000"/>
        </w:rPr>
        <w:t>Charlene Kreuser, Candidate Att</w:t>
      </w:r>
      <w:r w:rsidRPr="000501B0">
        <w:rPr>
          <w:rFonts w:asciiTheme="majorHAnsi" w:eastAsia="Calibri" w:hAnsiTheme="majorHAnsi" w:cstheme="majorHAnsi"/>
          <w:color w:val="000000"/>
        </w:rPr>
        <w:t xml:space="preserve">orney, </w:t>
      </w:r>
      <w:hyperlink r:id="rId30">
        <w:r w:rsidRPr="000501B0">
          <w:rPr>
            <w:rFonts w:asciiTheme="majorHAnsi" w:eastAsia="Calibri" w:hAnsiTheme="majorHAnsi" w:cstheme="majorHAnsi"/>
            <w:color w:val="1155CC"/>
            <w:u w:val="single"/>
          </w:rPr>
          <w:t>charlene@lrc.org.za</w:t>
        </w:r>
      </w:hyperlink>
      <w:r w:rsidRPr="000501B0">
        <w:rPr>
          <w:rFonts w:asciiTheme="majorHAnsi" w:eastAsia="Calibri" w:hAnsiTheme="majorHAnsi" w:cstheme="majorHAnsi"/>
          <w:color w:val="000000"/>
        </w:rPr>
        <w:t xml:space="preserve"> </w:t>
      </w:r>
    </w:p>
    <w:p w14:paraId="50D4422D" w14:textId="77777777" w:rsidR="009B0950" w:rsidRPr="000501B0" w:rsidRDefault="00492F84" w:rsidP="000501B0">
      <w:pPr>
        <w:shd w:val="clear" w:color="auto" w:fill="FFFFFF"/>
        <w:spacing w:before="240" w:after="240" w:line="240" w:lineRule="auto"/>
        <w:jc w:val="both"/>
        <w:rPr>
          <w:rFonts w:asciiTheme="majorHAnsi" w:hAnsiTheme="majorHAnsi" w:cstheme="majorHAnsi"/>
        </w:rPr>
      </w:pPr>
      <w:r w:rsidRPr="000501B0">
        <w:rPr>
          <w:rFonts w:asciiTheme="majorHAnsi" w:eastAsia="Calibri" w:hAnsiTheme="majorHAnsi" w:cstheme="majorHAnsi"/>
        </w:rPr>
        <w:t xml:space="preserve"> </w:t>
      </w:r>
    </w:p>
    <w:p w14:paraId="79FB95DB" w14:textId="77777777" w:rsidR="009B0950" w:rsidRPr="000501B0" w:rsidRDefault="00492F84" w:rsidP="000501B0">
      <w:pPr>
        <w:spacing w:line="240" w:lineRule="auto"/>
        <w:rPr>
          <w:rFonts w:asciiTheme="majorHAnsi" w:hAnsiTheme="majorHAnsi" w:cstheme="majorHAnsi"/>
        </w:rPr>
      </w:pPr>
      <w:r w:rsidRPr="000501B0">
        <w:rPr>
          <w:rFonts w:asciiTheme="majorHAnsi" w:hAnsiTheme="majorHAnsi" w:cstheme="majorHAnsi"/>
        </w:rPr>
        <w:br w:type="page"/>
      </w:r>
    </w:p>
    <w:p w14:paraId="43B0E6C6" w14:textId="77777777" w:rsidR="009B0950" w:rsidRPr="000501B0" w:rsidRDefault="00492F84" w:rsidP="000501B0">
      <w:pPr>
        <w:pStyle w:val="Heading1"/>
        <w:spacing w:after="240" w:line="240" w:lineRule="auto"/>
        <w:rPr>
          <w:rFonts w:asciiTheme="majorHAnsi" w:hAnsiTheme="majorHAnsi" w:cstheme="majorHAnsi"/>
          <w:sz w:val="22"/>
          <w:szCs w:val="22"/>
        </w:rPr>
      </w:pPr>
      <w:bookmarkStart w:id="6" w:name="_z2lafjcr1c6k" w:colFirst="0" w:colLast="0"/>
      <w:bookmarkEnd w:id="6"/>
      <w:r w:rsidRPr="000501B0">
        <w:rPr>
          <w:rFonts w:asciiTheme="majorHAnsi" w:hAnsiTheme="majorHAnsi" w:cstheme="majorHAnsi"/>
          <w:sz w:val="22"/>
          <w:szCs w:val="22"/>
        </w:rPr>
        <w:t xml:space="preserve">I.     </w:t>
      </w:r>
      <w:r w:rsidRPr="000501B0">
        <w:rPr>
          <w:rFonts w:asciiTheme="majorHAnsi" w:hAnsiTheme="majorHAnsi" w:cstheme="majorHAnsi"/>
          <w:b/>
          <w:bCs/>
          <w:sz w:val="22"/>
          <w:szCs w:val="22"/>
          <w:u w:val="single"/>
        </w:rPr>
        <w:t xml:space="preserve"> </w:t>
      </w:r>
      <w:r w:rsidRPr="000501B0">
        <w:rPr>
          <w:rFonts w:asciiTheme="majorHAnsi" w:hAnsiTheme="majorHAnsi" w:cstheme="majorHAnsi"/>
          <w:b/>
          <w:bCs/>
          <w:sz w:val="22"/>
          <w:szCs w:val="22"/>
          <w:u w:val="single"/>
        </w:rPr>
        <w:t>INTRODUCTION</w:t>
      </w:r>
    </w:p>
    <w:p w14:paraId="74920947" w14:textId="77777777" w:rsidR="009B0950" w:rsidRPr="000501B0" w:rsidRDefault="00492F84" w:rsidP="000501B0">
      <w:pPr>
        <w:shd w:val="clear" w:color="auto" w:fill="FFFFFF"/>
        <w:spacing w:before="240" w:after="240" w:line="240" w:lineRule="auto"/>
        <w:ind w:left="720" w:hanging="360"/>
        <w:jc w:val="both"/>
        <w:rPr>
          <w:rFonts w:asciiTheme="majorHAnsi" w:eastAsia="Calibri" w:hAnsiTheme="majorHAnsi" w:cstheme="majorHAnsi"/>
        </w:rPr>
      </w:pPr>
      <w:r w:rsidRPr="000501B0">
        <w:rPr>
          <w:rFonts w:asciiTheme="majorHAnsi" w:eastAsia="Calibri" w:hAnsiTheme="majorHAnsi" w:cstheme="majorHAnsi"/>
        </w:rPr>
        <w:t xml:space="preserve">1.  </w:t>
      </w:r>
      <w:r w:rsidRPr="000501B0">
        <w:rPr>
          <w:rFonts w:asciiTheme="majorHAnsi" w:eastAsia="Calibri" w:hAnsiTheme="majorHAnsi" w:cstheme="majorHAnsi"/>
        </w:rPr>
        <w:tab/>
        <w:t xml:space="preserve">We refer to the call for written submissions by the United Nations Independent Expert on Protection against Violence and Discrimination Based on Sexual </w:t>
      </w:r>
      <w:r w:rsidRPr="000501B0">
        <w:rPr>
          <w:rFonts w:asciiTheme="majorHAnsi" w:eastAsia="Calibri" w:hAnsiTheme="majorHAnsi" w:cstheme="majorHAnsi"/>
        </w:rPr>
        <w:t xml:space="preserve">Orientation and Gender Identity, on the Call for input to Report to the Human Rights Council on the realisation of the right of persons affected by violence and discrimination based on sexual orientation and gender identity to the enjoyment of the highest </w:t>
      </w:r>
      <w:r w:rsidRPr="000501B0">
        <w:rPr>
          <w:rFonts w:asciiTheme="majorHAnsi" w:eastAsia="Calibri" w:hAnsiTheme="majorHAnsi" w:cstheme="majorHAnsi"/>
        </w:rPr>
        <w:t>attainable standard of physical and mental health, in relation to SDG3.</w:t>
      </w:r>
      <w:r w:rsidRPr="000501B0">
        <w:rPr>
          <w:rFonts w:asciiTheme="majorHAnsi" w:eastAsia="Calibri" w:hAnsiTheme="majorHAnsi" w:cstheme="majorHAnsi"/>
          <w:vertAlign w:val="superscript"/>
        </w:rPr>
        <w:footnoteReference w:id="1"/>
      </w:r>
    </w:p>
    <w:p w14:paraId="217AD059" w14:textId="77777777" w:rsidR="009B0950" w:rsidRPr="000501B0" w:rsidRDefault="00492F84" w:rsidP="000501B0">
      <w:pPr>
        <w:shd w:val="clear" w:color="auto" w:fill="FFFFFF"/>
        <w:spacing w:before="240" w:after="240" w:line="240" w:lineRule="auto"/>
        <w:ind w:left="720" w:hanging="360"/>
        <w:jc w:val="both"/>
        <w:rPr>
          <w:rFonts w:asciiTheme="majorHAnsi" w:eastAsia="Calibri" w:hAnsiTheme="majorHAnsi" w:cstheme="majorHAnsi"/>
        </w:rPr>
      </w:pPr>
      <w:r w:rsidRPr="000501B0">
        <w:rPr>
          <w:rFonts w:asciiTheme="majorHAnsi" w:eastAsia="Calibri" w:hAnsiTheme="majorHAnsi" w:cstheme="majorHAnsi"/>
        </w:rPr>
        <w:t xml:space="preserve">2.  </w:t>
      </w:r>
      <w:r w:rsidRPr="000501B0">
        <w:rPr>
          <w:rFonts w:asciiTheme="majorHAnsi" w:eastAsia="Calibri" w:hAnsiTheme="majorHAnsi" w:cstheme="majorHAnsi"/>
        </w:rPr>
        <w:tab/>
      </w:r>
      <w:r w:rsidRPr="000501B0">
        <w:rPr>
          <w:rFonts w:asciiTheme="majorHAnsi" w:eastAsia="Calibri" w:hAnsiTheme="majorHAnsi" w:cstheme="majorHAnsi"/>
        </w:rPr>
        <w:t>We hereby respond to this call and accordingly provide this submission for consideration in the development of this report.</w:t>
      </w:r>
    </w:p>
    <w:p w14:paraId="7F979B01" w14:textId="77777777" w:rsidR="009B0950" w:rsidRPr="000501B0" w:rsidRDefault="00492F84" w:rsidP="000501B0">
      <w:pPr>
        <w:shd w:val="clear" w:color="auto" w:fill="FFFFFF"/>
        <w:spacing w:before="240" w:after="240" w:line="240" w:lineRule="auto"/>
        <w:ind w:left="720" w:hanging="360"/>
        <w:jc w:val="both"/>
        <w:rPr>
          <w:rFonts w:asciiTheme="majorHAnsi" w:hAnsiTheme="majorHAnsi" w:cstheme="majorHAnsi"/>
          <w:b/>
          <w:color w:val="000000"/>
        </w:rPr>
      </w:pPr>
      <w:r w:rsidRPr="000501B0">
        <w:rPr>
          <w:rFonts w:asciiTheme="majorHAnsi" w:eastAsia="Calibri" w:hAnsiTheme="majorHAnsi" w:cstheme="majorHAnsi"/>
        </w:rPr>
        <w:t xml:space="preserve">3.  </w:t>
      </w:r>
      <w:r w:rsidRPr="000501B0">
        <w:rPr>
          <w:rFonts w:asciiTheme="majorHAnsi" w:eastAsia="Calibri" w:hAnsiTheme="majorHAnsi" w:cstheme="majorHAnsi"/>
        </w:rPr>
        <w:tab/>
      </w:r>
      <w:r w:rsidRPr="000501B0">
        <w:rPr>
          <w:rFonts w:asciiTheme="majorHAnsi" w:eastAsia="Calibri" w:hAnsiTheme="majorHAnsi" w:cstheme="majorHAnsi"/>
        </w:rPr>
        <w:t>We welcome and appreciate this opportunity to make written submissions and to engage with issues related to gender, sexual orientation and gender identity, and diverse sex characteristics.</w:t>
      </w:r>
      <w:r w:rsidRPr="000501B0">
        <w:rPr>
          <w:rFonts w:asciiTheme="majorHAnsi" w:hAnsiTheme="majorHAnsi" w:cstheme="majorHAnsi"/>
          <w:b/>
          <w:color w:val="000000"/>
        </w:rPr>
        <w:t xml:space="preserve"> </w:t>
      </w:r>
    </w:p>
    <w:p w14:paraId="762269CD" w14:textId="77777777" w:rsidR="009B0950" w:rsidRPr="000501B0" w:rsidRDefault="00492F84" w:rsidP="000501B0">
      <w:pPr>
        <w:pStyle w:val="Heading1"/>
        <w:spacing w:after="240" w:line="240" w:lineRule="auto"/>
        <w:rPr>
          <w:rFonts w:asciiTheme="majorHAnsi" w:hAnsiTheme="majorHAnsi" w:cstheme="majorHAnsi"/>
          <w:sz w:val="22"/>
          <w:szCs w:val="22"/>
        </w:rPr>
      </w:pPr>
      <w:bookmarkStart w:id="7" w:name="_11wyu4vkysfc" w:colFirst="0" w:colLast="0"/>
      <w:bookmarkEnd w:id="7"/>
      <w:r w:rsidRPr="000501B0">
        <w:rPr>
          <w:rFonts w:asciiTheme="majorHAnsi" w:hAnsiTheme="majorHAnsi" w:cstheme="majorHAnsi"/>
          <w:sz w:val="22"/>
          <w:szCs w:val="22"/>
        </w:rPr>
        <w:t xml:space="preserve">II.     </w:t>
      </w:r>
      <w:r w:rsidRPr="000501B0">
        <w:rPr>
          <w:rFonts w:asciiTheme="majorHAnsi" w:hAnsiTheme="majorHAnsi" w:cstheme="majorHAnsi"/>
          <w:b/>
          <w:bCs/>
          <w:sz w:val="22"/>
          <w:szCs w:val="22"/>
          <w:u w:val="single"/>
        </w:rPr>
        <w:t>INTRODUCTION TO THE AUTHORS OF THE SUBMISSION</w:t>
      </w:r>
    </w:p>
    <w:p w14:paraId="2141C1CE" w14:textId="780FCE4B" w:rsidR="009B0950" w:rsidRPr="000501B0" w:rsidRDefault="00492F84" w:rsidP="00C2772A">
      <w:pPr>
        <w:shd w:val="clear" w:color="auto" w:fill="FFFFFF"/>
        <w:spacing w:before="240" w:after="240" w:line="240" w:lineRule="auto"/>
        <w:ind w:left="720" w:hanging="360"/>
        <w:jc w:val="both"/>
        <w:rPr>
          <w:rFonts w:asciiTheme="majorHAnsi" w:eastAsia="Calibri" w:hAnsiTheme="majorHAnsi" w:cstheme="majorHAnsi"/>
        </w:rPr>
      </w:pPr>
      <w:r w:rsidRPr="000501B0">
        <w:rPr>
          <w:rFonts w:asciiTheme="majorHAnsi" w:eastAsia="Calibri" w:hAnsiTheme="majorHAnsi" w:cstheme="majorHAnsi"/>
        </w:rPr>
        <w:t xml:space="preserve">4.  The </w:t>
      </w:r>
      <w:r w:rsidRPr="000501B0">
        <w:rPr>
          <w:rFonts w:asciiTheme="majorHAnsi" w:eastAsia="Calibri" w:hAnsiTheme="majorHAnsi" w:cstheme="majorHAnsi"/>
          <w:u w:val="single"/>
        </w:rPr>
        <w:t>Wome</w:t>
      </w:r>
      <w:r w:rsidRPr="000501B0">
        <w:rPr>
          <w:rFonts w:asciiTheme="majorHAnsi" w:eastAsia="Calibri" w:hAnsiTheme="majorHAnsi" w:cstheme="majorHAnsi"/>
          <w:u w:val="single"/>
        </w:rPr>
        <w:t>n’s Legal Centre</w:t>
      </w:r>
      <w:r w:rsidRPr="000501B0">
        <w:rPr>
          <w:rFonts w:asciiTheme="majorHAnsi" w:eastAsia="Calibri" w:hAnsiTheme="majorHAnsi" w:cstheme="majorHAnsi"/>
        </w:rPr>
        <w:t xml:space="preserve"> (“The </w:t>
      </w:r>
      <w:r w:rsidR="005D7066" w:rsidRPr="000501B0">
        <w:rPr>
          <w:rFonts w:asciiTheme="majorHAnsi" w:eastAsia="Calibri" w:hAnsiTheme="majorHAnsi" w:cstheme="majorHAnsi"/>
        </w:rPr>
        <w:t>WLC”</w:t>
      </w:r>
      <w:r w:rsidRPr="000501B0">
        <w:rPr>
          <w:rFonts w:asciiTheme="majorHAnsi" w:eastAsia="Calibri" w:hAnsiTheme="majorHAnsi" w:cstheme="majorHAnsi"/>
        </w:rPr>
        <w:t xml:space="preserve">) is an African feminist legal centre that advances women’s rights and equality through strategic litigation, advocacy, </w:t>
      </w:r>
      <w:r w:rsidR="00B02AAE" w:rsidRPr="000501B0">
        <w:rPr>
          <w:rFonts w:asciiTheme="majorHAnsi" w:eastAsia="Calibri" w:hAnsiTheme="majorHAnsi" w:cstheme="majorHAnsi"/>
        </w:rPr>
        <w:t>education,</w:t>
      </w:r>
      <w:r w:rsidRPr="000501B0">
        <w:rPr>
          <w:rFonts w:asciiTheme="majorHAnsi" w:eastAsia="Calibri" w:hAnsiTheme="majorHAnsi" w:cstheme="majorHAnsi"/>
        </w:rPr>
        <w:t xml:space="preserve"> and training. We aim to develop feminist jurisprudence that recognises and advances women’s rights</w:t>
      </w:r>
      <w:r w:rsidRPr="000501B0">
        <w:rPr>
          <w:rFonts w:asciiTheme="majorHAnsi" w:eastAsia="Calibri" w:hAnsiTheme="majorHAnsi" w:cstheme="majorHAnsi"/>
        </w:rPr>
        <w:t xml:space="preserve">. The Centre drives a feminist agenda that appreciates the impact that discrimination has on women within their different classes, race, ethnicity, sexual orientation, gender identity and disability. The Centre does its work across five programmatic areas </w:t>
      </w:r>
      <w:r w:rsidRPr="000501B0">
        <w:rPr>
          <w:rFonts w:asciiTheme="majorHAnsi" w:eastAsia="Calibri" w:hAnsiTheme="majorHAnsi" w:cstheme="majorHAnsi"/>
        </w:rPr>
        <w:t>including the right to be free from violence, women’s rights in relationships, and women’s rights to land, housing property and tenure security, women’s sexual and reproductive health rights and women’s rights to work and at conditions of work.</w:t>
      </w:r>
    </w:p>
    <w:p w14:paraId="72B4B7B3" w14:textId="77777777" w:rsidR="009B0950" w:rsidRPr="000501B0" w:rsidRDefault="00492F84" w:rsidP="000501B0">
      <w:pPr>
        <w:shd w:val="clear" w:color="auto" w:fill="FFFFFF"/>
        <w:spacing w:before="120" w:after="120" w:line="240" w:lineRule="auto"/>
        <w:ind w:left="708"/>
        <w:jc w:val="both"/>
        <w:rPr>
          <w:rFonts w:asciiTheme="majorHAnsi" w:eastAsia="Calibri" w:hAnsiTheme="majorHAnsi" w:cstheme="majorHAnsi"/>
        </w:rPr>
      </w:pPr>
      <w:r w:rsidRPr="000501B0">
        <w:rPr>
          <w:rFonts w:asciiTheme="majorHAnsi" w:eastAsia="Calibri" w:hAnsiTheme="majorHAnsi" w:cstheme="majorHAnsi"/>
        </w:rPr>
        <w:t>Website:</w:t>
      </w:r>
      <w:hyperlink r:id="rId31">
        <w:r w:rsidRPr="000501B0">
          <w:rPr>
            <w:rFonts w:asciiTheme="majorHAnsi" w:eastAsia="Calibri" w:hAnsiTheme="majorHAnsi" w:cstheme="majorHAnsi"/>
            <w:color w:val="1155CC"/>
            <w:u w:val="single"/>
          </w:rPr>
          <w:t xml:space="preserve"> www.wlce.co.za</w:t>
        </w:r>
      </w:hyperlink>
      <w:r w:rsidRPr="000501B0">
        <w:rPr>
          <w:rFonts w:asciiTheme="majorHAnsi" w:eastAsia="Calibri" w:hAnsiTheme="majorHAnsi" w:cstheme="majorHAnsi"/>
        </w:rPr>
        <w:t xml:space="preserve"> </w:t>
      </w:r>
    </w:p>
    <w:p w14:paraId="19F85341" w14:textId="77777777" w:rsidR="009B0950" w:rsidRPr="000501B0" w:rsidRDefault="00492F84" w:rsidP="000501B0">
      <w:pPr>
        <w:shd w:val="clear" w:color="auto" w:fill="FFFFFF"/>
        <w:spacing w:before="120" w:after="120" w:line="240" w:lineRule="auto"/>
        <w:ind w:left="720" w:hanging="360"/>
        <w:jc w:val="both"/>
        <w:rPr>
          <w:rFonts w:asciiTheme="majorHAnsi" w:eastAsia="Calibri" w:hAnsiTheme="majorHAnsi" w:cstheme="majorHAnsi"/>
        </w:rPr>
      </w:pPr>
      <w:r w:rsidRPr="000501B0">
        <w:rPr>
          <w:rFonts w:asciiTheme="majorHAnsi" w:eastAsia="Calibri" w:hAnsiTheme="majorHAnsi" w:cstheme="majorHAnsi"/>
        </w:rPr>
        <w:t xml:space="preserve">5.    </w:t>
      </w:r>
      <w:r w:rsidRPr="000501B0">
        <w:rPr>
          <w:rFonts w:asciiTheme="majorHAnsi" w:eastAsia="Calibri" w:hAnsiTheme="majorHAnsi" w:cstheme="majorHAnsi"/>
          <w:u w:val="single"/>
        </w:rPr>
        <w:t>The Legal Resources Centre</w:t>
      </w:r>
      <w:r w:rsidRPr="000501B0">
        <w:rPr>
          <w:rFonts w:asciiTheme="majorHAnsi" w:eastAsia="Calibri" w:hAnsiTheme="majorHAnsi" w:cstheme="majorHAnsi"/>
        </w:rPr>
        <w:t xml:space="preserve"> (“The LRC”) is a public interest, non-profit law clinic in South Africa that was founded in 1979. The LRC has since its inception shown a commitment to work towards a </w:t>
      </w:r>
      <w:r w:rsidRPr="000501B0">
        <w:rPr>
          <w:rFonts w:asciiTheme="majorHAnsi" w:eastAsia="Calibri" w:hAnsiTheme="majorHAnsi" w:cstheme="majorHAnsi"/>
        </w:rPr>
        <w:t xml:space="preserve">fully democratic society underpinned by respect for the rule of law and constitutional democracy. The LRC uses the law as an instrument for justice to facilitate the vulnerable and marginalised to assert and develop their rights; promote gender and racial </w:t>
      </w:r>
      <w:r w:rsidRPr="000501B0">
        <w:rPr>
          <w:rFonts w:asciiTheme="majorHAnsi" w:eastAsia="Calibri" w:hAnsiTheme="majorHAnsi" w:cstheme="majorHAnsi"/>
        </w:rPr>
        <w:t>equality and oppose all forms of unfair discrimination; as well as to contribute to the development of human rights jurisprudence and to the social and economic transformation of society.</w:t>
      </w:r>
    </w:p>
    <w:p w14:paraId="669E9697" w14:textId="77777777" w:rsidR="009B0950" w:rsidRPr="000501B0" w:rsidRDefault="00492F84" w:rsidP="000501B0">
      <w:pPr>
        <w:shd w:val="clear" w:color="auto" w:fill="FFFFFF"/>
        <w:spacing w:before="120" w:after="120" w:line="240" w:lineRule="auto"/>
        <w:ind w:left="708"/>
        <w:jc w:val="both"/>
        <w:rPr>
          <w:rFonts w:asciiTheme="majorHAnsi" w:eastAsia="Calibri" w:hAnsiTheme="majorHAnsi" w:cstheme="majorHAnsi"/>
          <w:u w:val="single"/>
        </w:rPr>
      </w:pPr>
      <w:r w:rsidRPr="000501B0">
        <w:rPr>
          <w:rFonts w:asciiTheme="majorHAnsi" w:eastAsia="Calibri" w:hAnsiTheme="majorHAnsi" w:cstheme="majorHAnsi"/>
        </w:rPr>
        <w:t>Website:</w:t>
      </w:r>
      <w:hyperlink r:id="rId32">
        <w:r w:rsidRPr="000501B0">
          <w:rPr>
            <w:rFonts w:asciiTheme="majorHAnsi" w:eastAsia="Calibri" w:hAnsiTheme="majorHAnsi" w:cstheme="majorHAnsi"/>
            <w:color w:val="1155CC"/>
            <w:u w:val="single"/>
          </w:rPr>
          <w:t xml:space="preserve"> www.lrc.org.za</w:t>
        </w:r>
      </w:hyperlink>
    </w:p>
    <w:p w14:paraId="6D03FE9D" w14:textId="1893D598" w:rsidR="009B0950" w:rsidRPr="000501B0" w:rsidRDefault="00492F84" w:rsidP="000501B0">
      <w:pPr>
        <w:shd w:val="clear" w:color="auto" w:fill="FFFFFF"/>
        <w:spacing w:before="120" w:after="120" w:line="240" w:lineRule="auto"/>
        <w:ind w:left="720" w:hanging="360"/>
        <w:jc w:val="both"/>
        <w:rPr>
          <w:rFonts w:asciiTheme="majorHAnsi" w:eastAsia="Calibri" w:hAnsiTheme="majorHAnsi" w:cstheme="majorHAnsi"/>
        </w:rPr>
      </w:pPr>
      <w:r w:rsidRPr="000501B0">
        <w:rPr>
          <w:rFonts w:asciiTheme="majorHAnsi" w:eastAsia="Calibri" w:hAnsiTheme="majorHAnsi" w:cstheme="majorHAnsi"/>
        </w:rPr>
        <w:t>6.</w:t>
      </w:r>
      <w:r w:rsidRPr="000501B0">
        <w:rPr>
          <w:rFonts w:asciiTheme="majorHAnsi" w:eastAsia="Calibri" w:hAnsiTheme="majorHAnsi" w:cstheme="majorHAnsi"/>
        </w:rPr>
        <w:t xml:space="preserve">   </w:t>
      </w:r>
      <w:r w:rsidRPr="000501B0">
        <w:rPr>
          <w:rFonts w:asciiTheme="majorHAnsi" w:eastAsia="Calibri" w:hAnsiTheme="majorHAnsi" w:cstheme="majorHAnsi"/>
          <w:u w:val="single"/>
        </w:rPr>
        <w:t>Same Love Toti (SLT)</w:t>
      </w:r>
      <w:r w:rsidRPr="000501B0">
        <w:rPr>
          <w:rFonts w:asciiTheme="majorHAnsi" w:eastAsia="Calibri" w:hAnsiTheme="majorHAnsi" w:cstheme="majorHAnsi"/>
        </w:rPr>
        <w:t xml:space="preserve"> is a registered non-profit organisation that provides support to LGBTI and advocates for the human rights of sexual and gender minorities in South Africa by providing psychosocial support &amp; safe spaces for LGBTI and their families, </w:t>
      </w:r>
      <w:r w:rsidRPr="000501B0">
        <w:rPr>
          <w:rFonts w:asciiTheme="majorHAnsi" w:eastAsia="Calibri" w:hAnsiTheme="majorHAnsi" w:cstheme="majorHAnsi"/>
        </w:rPr>
        <w:t xml:space="preserve">and empowering lesbians, gays, transgender, </w:t>
      </w:r>
      <w:r w:rsidR="00B02AAE" w:rsidRPr="000501B0">
        <w:rPr>
          <w:rFonts w:asciiTheme="majorHAnsi" w:eastAsia="Calibri" w:hAnsiTheme="majorHAnsi" w:cstheme="majorHAnsi"/>
        </w:rPr>
        <w:t>intersex,</w:t>
      </w:r>
      <w:r w:rsidRPr="000501B0">
        <w:rPr>
          <w:rFonts w:asciiTheme="majorHAnsi" w:eastAsia="Calibri" w:hAnsiTheme="majorHAnsi" w:cstheme="majorHAnsi"/>
        </w:rPr>
        <w:t xml:space="preserve"> and gender non-conforming individuals to live authentic lives. Same Love Toti also works alongside other organisations to challenge bullying in schools, discrimination in communities and hate crimes in s</w:t>
      </w:r>
      <w:r w:rsidRPr="000501B0">
        <w:rPr>
          <w:rFonts w:asciiTheme="majorHAnsi" w:eastAsia="Calibri" w:hAnsiTheme="majorHAnsi" w:cstheme="majorHAnsi"/>
        </w:rPr>
        <w:t xml:space="preserve">ociety. Their work includes advocacy projects to change or amend policies that need to be inclusive and affirming of sexual and gender minorities. They continue to work for an inclusive and more equitable society. </w:t>
      </w:r>
    </w:p>
    <w:p w14:paraId="4D4BAC1E" w14:textId="77777777" w:rsidR="009B0950" w:rsidRPr="000501B0" w:rsidRDefault="00492F84" w:rsidP="000501B0">
      <w:pPr>
        <w:shd w:val="clear" w:color="auto" w:fill="FFFFFF"/>
        <w:spacing w:before="120" w:after="120" w:line="240" w:lineRule="auto"/>
        <w:ind w:left="708"/>
        <w:jc w:val="both"/>
        <w:rPr>
          <w:rFonts w:asciiTheme="majorHAnsi" w:eastAsia="Calibri" w:hAnsiTheme="majorHAnsi" w:cstheme="majorHAnsi"/>
          <w:u w:val="single"/>
        </w:rPr>
      </w:pPr>
      <w:r w:rsidRPr="000501B0">
        <w:rPr>
          <w:rFonts w:asciiTheme="majorHAnsi" w:eastAsia="Calibri" w:hAnsiTheme="majorHAnsi" w:cstheme="majorHAnsi"/>
        </w:rPr>
        <w:t>Website:</w:t>
      </w:r>
      <w:hyperlink r:id="rId33">
        <w:r w:rsidRPr="000501B0">
          <w:rPr>
            <w:rFonts w:asciiTheme="majorHAnsi" w:eastAsia="Calibri" w:hAnsiTheme="majorHAnsi" w:cstheme="majorHAnsi"/>
            <w:color w:val="1155CC"/>
            <w:u w:val="single"/>
          </w:rPr>
          <w:t xml:space="preserve"> https://www.pflagsouthafrica.org/</w:t>
        </w:r>
      </w:hyperlink>
    </w:p>
    <w:p w14:paraId="6B16E811" w14:textId="78FBF2AD" w:rsidR="009B0950" w:rsidRPr="000501B0" w:rsidRDefault="00492F84" w:rsidP="000501B0">
      <w:pPr>
        <w:shd w:val="clear" w:color="auto" w:fill="FFFFFF"/>
        <w:spacing w:before="120" w:after="120" w:line="240" w:lineRule="auto"/>
        <w:ind w:left="720" w:hanging="360"/>
        <w:jc w:val="both"/>
        <w:rPr>
          <w:rFonts w:asciiTheme="majorHAnsi" w:eastAsia="Calibri" w:hAnsiTheme="majorHAnsi" w:cstheme="majorHAnsi"/>
        </w:rPr>
      </w:pPr>
      <w:r w:rsidRPr="000501B0">
        <w:rPr>
          <w:rFonts w:asciiTheme="majorHAnsi" w:eastAsia="Calibri" w:hAnsiTheme="majorHAnsi" w:cstheme="majorHAnsi"/>
        </w:rPr>
        <w:t xml:space="preserve">7.    </w:t>
      </w:r>
      <w:r w:rsidRPr="000501B0">
        <w:rPr>
          <w:rFonts w:asciiTheme="majorHAnsi" w:eastAsia="Calibri" w:hAnsiTheme="majorHAnsi" w:cstheme="majorHAnsi"/>
          <w:u w:val="single"/>
        </w:rPr>
        <w:t>Triangle Project</w:t>
      </w:r>
      <w:r w:rsidRPr="000501B0">
        <w:rPr>
          <w:rFonts w:asciiTheme="majorHAnsi" w:eastAsia="Calibri" w:hAnsiTheme="majorHAnsi" w:cstheme="majorHAnsi"/>
        </w:rPr>
        <w:t xml:space="preserve"> is a non-profit human rights organisation offering professional services to ensure the full realisation of constitutional and human rights for lesbian, gay, bisexual, transgender</w:t>
      </w:r>
      <w:r w:rsidRPr="000501B0">
        <w:rPr>
          <w:rFonts w:asciiTheme="majorHAnsi" w:eastAsia="Calibri" w:hAnsiTheme="majorHAnsi" w:cstheme="majorHAnsi"/>
        </w:rPr>
        <w:t xml:space="preserve">, queer, intersex, plus (LGBTQI+) persons, their </w:t>
      </w:r>
      <w:r w:rsidR="00B02AAE" w:rsidRPr="000501B0">
        <w:rPr>
          <w:rFonts w:asciiTheme="majorHAnsi" w:eastAsia="Calibri" w:hAnsiTheme="majorHAnsi" w:cstheme="majorHAnsi"/>
        </w:rPr>
        <w:t>partners,</w:t>
      </w:r>
      <w:r w:rsidRPr="000501B0">
        <w:rPr>
          <w:rFonts w:asciiTheme="majorHAnsi" w:eastAsia="Calibri" w:hAnsiTheme="majorHAnsi" w:cstheme="majorHAnsi"/>
        </w:rPr>
        <w:t xml:space="preserve"> and families. Our </w:t>
      </w:r>
      <w:r w:rsidR="005D7066" w:rsidRPr="000501B0">
        <w:rPr>
          <w:rFonts w:asciiTheme="majorHAnsi" w:eastAsia="Calibri" w:hAnsiTheme="majorHAnsi" w:cstheme="majorHAnsi"/>
        </w:rPr>
        <w:t>three-core</w:t>
      </w:r>
      <w:r w:rsidRPr="000501B0">
        <w:rPr>
          <w:rFonts w:asciiTheme="majorHAnsi" w:eastAsia="Calibri" w:hAnsiTheme="majorHAnsi" w:cstheme="majorHAnsi"/>
        </w:rPr>
        <w:t xml:space="preserve"> services centre around Health and Support, Community Engagement and Empowerment, and Research and Advocacy. We offer a wide range of services to LGBTQI+ communities. The</w:t>
      </w:r>
      <w:r w:rsidRPr="000501B0">
        <w:rPr>
          <w:rFonts w:asciiTheme="majorHAnsi" w:eastAsia="Calibri" w:hAnsiTheme="majorHAnsi" w:cstheme="majorHAnsi"/>
        </w:rPr>
        <w:t>se include sexual health clinical care, a needle and syringe programme, nutrition support, counselling, support groups, a helpline, public education and training services, solidarity spaces, community outreach, and court support to survivors of hate crimes</w:t>
      </w:r>
      <w:r w:rsidRPr="000501B0">
        <w:rPr>
          <w:rFonts w:asciiTheme="majorHAnsi" w:eastAsia="Calibri" w:hAnsiTheme="majorHAnsi" w:cstheme="majorHAnsi"/>
        </w:rPr>
        <w:t>. This submission falls within our Research, Advocacy and Policy Programme that works to advance the inclusion and protection of the human rights to sexual orientation, gender identity, gender expression and sex characteristics (SOGIESC) within South Afric</w:t>
      </w:r>
      <w:r w:rsidRPr="000501B0">
        <w:rPr>
          <w:rFonts w:asciiTheme="majorHAnsi" w:eastAsia="Calibri" w:hAnsiTheme="majorHAnsi" w:cstheme="majorHAnsi"/>
        </w:rPr>
        <w:t xml:space="preserve">an legislation, </w:t>
      </w:r>
      <w:r w:rsidR="00B02AAE" w:rsidRPr="000501B0">
        <w:rPr>
          <w:rFonts w:asciiTheme="majorHAnsi" w:eastAsia="Calibri" w:hAnsiTheme="majorHAnsi" w:cstheme="majorHAnsi"/>
        </w:rPr>
        <w:t>policy,</w:t>
      </w:r>
      <w:r w:rsidRPr="000501B0">
        <w:rPr>
          <w:rFonts w:asciiTheme="majorHAnsi" w:eastAsia="Calibri" w:hAnsiTheme="majorHAnsi" w:cstheme="majorHAnsi"/>
        </w:rPr>
        <w:t xml:space="preserve"> and practices.</w:t>
      </w:r>
    </w:p>
    <w:p w14:paraId="68D1C6F7" w14:textId="77777777" w:rsidR="009B0950" w:rsidRPr="000501B0" w:rsidRDefault="00492F84" w:rsidP="000501B0">
      <w:pPr>
        <w:shd w:val="clear" w:color="auto" w:fill="FFFFFF"/>
        <w:spacing w:before="120" w:after="120" w:line="240" w:lineRule="auto"/>
        <w:ind w:left="708" w:hanging="15"/>
        <w:jc w:val="both"/>
        <w:rPr>
          <w:rFonts w:asciiTheme="majorHAnsi" w:eastAsia="Calibri" w:hAnsiTheme="majorHAnsi" w:cstheme="majorHAnsi"/>
          <w:u w:val="single"/>
        </w:rPr>
      </w:pPr>
      <w:r w:rsidRPr="000501B0">
        <w:rPr>
          <w:rFonts w:asciiTheme="majorHAnsi" w:eastAsia="Calibri" w:hAnsiTheme="majorHAnsi" w:cstheme="majorHAnsi"/>
        </w:rPr>
        <w:t>Website:</w:t>
      </w:r>
      <w:hyperlink r:id="rId34">
        <w:r w:rsidRPr="000501B0">
          <w:rPr>
            <w:rFonts w:asciiTheme="majorHAnsi" w:eastAsia="Calibri" w:hAnsiTheme="majorHAnsi" w:cstheme="majorHAnsi"/>
            <w:color w:val="1155CC"/>
            <w:u w:val="single"/>
          </w:rPr>
          <w:t xml:space="preserve"> http://triangle.org.za/</w:t>
        </w:r>
      </w:hyperlink>
    </w:p>
    <w:p w14:paraId="52CAD60F" w14:textId="0E7F7D48" w:rsidR="009B0950" w:rsidRPr="000501B0" w:rsidRDefault="00492F84" w:rsidP="000501B0">
      <w:pPr>
        <w:shd w:val="clear" w:color="auto" w:fill="FFFFFF"/>
        <w:spacing w:before="120" w:after="120" w:line="240" w:lineRule="auto"/>
        <w:ind w:left="720" w:hanging="360"/>
        <w:jc w:val="both"/>
        <w:rPr>
          <w:rFonts w:asciiTheme="majorHAnsi" w:eastAsia="Calibri" w:hAnsiTheme="majorHAnsi" w:cstheme="majorHAnsi"/>
        </w:rPr>
      </w:pPr>
      <w:r w:rsidRPr="000501B0">
        <w:rPr>
          <w:rFonts w:asciiTheme="majorHAnsi" w:eastAsia="Calibri" w:hAnsiTheme="majorHAnsi" w:cstheme="majorHAnsi"/>
        </w:rPr>
        <w:t xml:space="preserve">8.    </w:t>
      </w:r>
      <w:r w:rsidRPr="000501B0">
        <w:rPr>
          <w:rFonts w:asciiTheme="majorHAnsi" w:eastAsia="Calibri" w:hAnsiTheme="majorHAnsi" w:cstheme="majorHAnsi"/>
          <w:u w:val="single"/>
        </w:rPr>
        <w:t>Gender Dynamix (GDX)</w:t>
      </w:r>
      <w:r w:rsidRPr="000501B0">
        <w:rPr>
          <w:rFonts w:asciiTheme="majorHAnsi" w:eastAsia="Calibri" w:hAnsiTheme="majorHAnsi" w:cstheme="majorHAnsi"/>
        </w:rPr>
        <w:t xml:space="preserve"> is the first registered trans and gender diverse-led organisation in Africa that specifically focuses on advancing,</w:t>
      </w:r>
      <w:r w:rsidRPr="000501B0">
        <w:rPr>
          <w:rFonts w:asciiTheme="majorHAnsi" w:eastAsia="Calibri" w:hAnsiTheme="majorHAnsi" w:cstheme="majorHAnsi"/>
        </w:rPr>
        <w:t xml:space="preserve"> </w:t>
      </w:r>
      <w:r w:rsidR="00B02AAE" w:rsidRPr="000501B0">
        <w:rPr>
          <w:rFonts w:asciiTheme="majorHAnsi" w:eastAsia="Calibri" w:hAnsiTheme="majorHAnsi" w:cstheme="majorHAnsi"/>
        </w:rPr>
        <w:t>promoting,</w:t>
      </w:r>
      <w:r w:rsidRPr="000501B0">
        <w:rPr>
          <w:rFonts w:asciiTheme="majorHAnsi" w:eastAsia="Calibri" w:hAnsiTheme="majorHAnsi" w:cstheme="majorHAnsi"/>
        </w:rPr>
        <w:t xml:space="preserve"> and securing the human rights of trans and gender diverse persons in Southern Africa. The organisation’s four strategic priority areas include: legal gender recognition based on self-determination; accessible gender affirming healthcare; inclusi</w:t>
      </w:r>
      <w:r w:rsidRPr="000501B0">
        <w:rPr>
          <w:rFonts w:asciiTheme="majorHAnsi" w:eastAsia="Calibri" w:hAnsiTheme="majorHAnsi" w:cstheme="majorHAnsi"/>
        </w:rPr>
        <w:t>ve quality education; and regional movement strengthening. GDX’s strategic drivers include advocacy and research, capacity enhancement, facilitating community access to direct services and organisational development. The organisation has a track record spa</w:t>
      </w:r>
      <w:r w:rsidRPr="000501B0">
        <w:rPr>
          <w:rFonts w:asciiTheme="majorHAnsi" w:eastAsia="Calibri" w:hAnsiTheme="majorHAnsi" w:cstheme="majorHAnsi"/>
        </w:rPr>
        <w:t>nning 15 years. We firmly believe that positive change for trans and gender diverse persons is only possible through the development and maintenance of multidisciplinary and intersectoral partnerships. The organisation, therefore, partners with diverse sta</w:t>
      </w:r>
      <w:r w:rsidRPr="000501B0">
        <w:rPr>
          <w:rFonts w:asciiTheme="majorHAnsi" w:eastAsia="Calibri" w:hAnsiTheme="majorHAnsi" w:cstheme="majorHAnsi"/>
        </w:rPr>
        <w:t xml:space="preserve">keholders to bring about positive change. </w:t>
      </w:r>
    </w:p>
    <w:p w14:paraId="4A82DF9B" w14:textId="77777777" w:rsidR="009B0950" w:rsidRPr="000501B0" w:rsidRDefault="00492F84" w:rsidP="000501B0">
      <w:pPr>
        <w:shd w:val="clear" w:color="auto" w:fill="FFFFFF"/>
        <w:spacing w:before="120" w:after="120" w:line="240" w:lineRule="auto"/>
        <w:ind w:left="720" w:hanging="11"/>
        <w:jc w:val="both"/>
        <w:rPr>
          <w:rFonts w:asciiTheme="majorHAnsi" w:eastAsia="Calibri" w:hAnsiTheme="majorHAnsi" w:cstheme="majorHAnsi"/>
        </w:rPr>
      </w:pPr>
      <w:r w:rsidRPr="000501B0">
        <w:rPr>
          <w:rFonts w:asciiTheme="majorHAnsi" w:eastAsia="Calibri" w:hAnsiTheme="majorHAnsi" w:cstheme="majorHAnsi"/>
        </w:rPr>
        <w:t>Website:</w:t>
      </w:r>
      <w:hyperlink r:id="rId35">
        <w:r w:rsidRPr="000501B0">
          <w:rPr>
            <w:rFonts w:asciiTheme="majorHAnsi" w:eastAsia="Calibri" w:hAnsiTheme="majorHAnsi" w:cstheme="majorHAnsi"/>
            <w:color w:val="1155CC"/>
            <w:u w:val="single"/>
          </w:rPr>
          <w:t xml:space="preserve"> </w:t>
        </w:r>
      </w:hyperlink>
      <w:hyperlink r:id="rId36">
        <w:r w:rsidRPr="000501B0">
          <w:rPr>
            <w:rFonts w:asciiTheme="majorHAnsi" w:eastAsia="Calibri" w:hAnsiTheme="majorHAnsi" w:cstheme="majorHAnsi"/>
            <w:color w:val="1155CC"/>
            <w:u w:val="single"/>
          </w:rPr>
          <w:t>https://www.genderdynamix.org.za</w:t>
        </w:r>
      </w:hyperlink>
    </w:p>
    <w:p w14:paraId="19C91534" w14:textId="51DCEE1D" w:rsidR="009B0950" w:rsidRPr="000501B0" w:rsidRDefault="00492F84" w:rsidP="000501B0">
      <w:pPr>
        <w:shd w:val="clear" w:color="auto" w:fill="FFFFFF"/>
        <w:spacing w:before="120" w:after="120" w:line="240" w:lineRule="auto"/>
        <w:ind w:left="720" w:hanging="360"/>
        <w:jc w:val="both"/>
        <w:rPr>
          <w:rFonts w:asciiTheme="majorHAnsi" w:eastAsia="Calibri" w:hAnsiTheme="majorHAnsi" w:cstheme="majorHAnsi"/>
        </w:rPr>
      </w:pPr>
      <w:r w:rsidRPr="000501B0">
        <w:rPr>
          <w:rFonts w:asciiTheme="majorHAnsi" w:eastAsia="Calibri" w:hAnsiTheme="majorHAnsi" w:cstheme="majorHAnsi"/>
        </w:rPr>
        <w:t xml:space="preserve">9. </w:t>
      </w:r>
      <w:r w:rsidRPr="000501B0">
        <w:rPr>
          <w:rFonts w:asciiTheme="majorHAnsi" w:eastAsia="Calibri" w:hAnsiTheme="majorHAnsi" w:cstheme="majorHAnsi"/>
          <w:u w:val="single"/>
        </w:rPr>
        <w:t xml:space="preserve"> Irant</w:t>
      </w:r>
      <w:r w:rsidRPr="000501B0">
        <w:rPr>
          <w:rFonts w:asciiTheme="majorHAnsi" w:eastAsia="Calibri" w:hAnsiTheme="majorHAnsi" w:cstheme="majorHAnsi"/>
        </w:rPr>
        <w:t>i</w:t>
      </w:r>
      <w:r w:rsidRPr="000501B0">
        <w:rPr>
          <w:rFonts w:asciiTheme="majorHAnsi" w:eastAsia="Calibri" w:hAnsiTheme="majorHAnsi" w:cstheme="majorHAnsi"/>
        </w:rPr>
        <w:t xml:space="preserve"> is a Johannesburg-based media-advocacy organisation which advocates for the rights of LGBTI+ persons, with specific focus on lesbian, transgender (including gender non-conforming) and intersex persons in Africa. Iranti works within a human rights framewor</w:t>
      </w:r>
      <w:r w:rsidRPr="000501B0">
        <w:rPr>
          <w:rFonts w:asciiTheme="majorHAnsi" w:eastAsia="Calibri" w:hAnsiTheme="majorHAnsi" w:cstheme="majorHAnsi"/>
        </w:rPr>
        <w:t xml:space="preserve">k raising issues on gender identities, and sexuality, through the strategic use of multimedia storytelling, </w:t>
      </w:r>
      <w:r w:rsidR="00B02AAE" w:rsidRPr="000501B0">
        <w:rPr>
          <w:rFonts w:asciiTheme="majorHAnsi" w:eastAsia="Calibri" w:hAnsiTheme="majorHAnsi" w:cstheme="majorHAnsi"/>
        </w:rPr>
        <w:t>research,</w:t>
      </w:r>
      <w:r w:rsidRPr="000501B0">
        <w:rPr>
          <w:rFonts w:asciiTheme="majorHAnsi" w:eastAsia="Calibri" w:hAnsiTheme="majorHAnsi" w:cstheme="majorHAnsi"/>
        </w:rPr>
        <w:t xml:space="preserve"> and activism. Iranti is an organisation by and for trans, lesbian and intersex persons and was formed with the clear intention of building </w:t>
      </w:r>
      <w:r w:rsidRPr="000501B0">
        <w:rPr>
          <w:rFonts w:asciiTheme="majorHAnsi" w:eastAsia="Calibri" w:hAnsiTheme="majorHAnsi" w:cstheme="majorHAnsi"/>
        </w:rPr>
        <w:t>strategic partnerships and movements that use media as a key platform for critical engagement, mobilisation, capacity development, reframing of perceptions, and advocacy interventions across Africa. Iranti works at country, regional (Africa) and internatio</w:t>
      </w:r>
      <w:r w:rsidRPr="000501B0">
        <w:rPr>
          <w:rFonts w:asciiTheme="majorHAnsi" w:eastAsia="Calibri" w:hAnsiTheme="majorHAnsi" w:cstheme="majorHAnsi"/>
        </w:rPr>
        <w:t xml:space="preserve">nal levels. </w:t>
      </w:r>
    </w:p>
    <w:p w14:paraId="523F21D7" w14:textId="77777777" w:rsidR="009B0950" w:rsidRPr="000501B0" w:rsidRDefault="00492F84" w:rsidP="000501B0">
      <w:pPr>
        <w:spacing w:before="120" w:after="120" w:line="240" w:lineRule="auto"/>
        <w:ind w:left="708"/>
        <w:rPr>
          <w:rFonts w:asciiTheme="majorHAnsi" w:eastAsia="Calibri" w:hAnsiTheme="majorHAnsi" w:cstheme="majorHAnsi"/>
        </w:rPr>
      </w:pPr>
      <w:r w:rsidRPr="000501B0">
        <w:rPr>
          <w:rFonts w:asciiTheme="majorHAnsi" w:eastAsia="Calibri" w:hAnsiTheme="majorHAnsi" w:cstheme="majorHAnsi"/>
        </w:rPr>
        <w:t xml:space="preserve">Website: </w:t>
      </w:r>
      <w:hyperlink r:id="rId37">
        <w:r w:rsidRPr="000501B0">
          <w:rPr>
            <w:rFonts w:asciiTheme="majorHAnsi" w:eastAsia="Calibri" w:hAnsiTheme="majorHAnsi" w:cstheme="majorHAnsi"/>
            <w:color w:val="1155CC"/>
            <w:u w:val="single"/>
          </w:rPr>
          <w:t>https://www.iranti.org.za</w:t>
        </w:r>
      </w:hyperlink>
      <w:r w:rsidRPr="000501B0">
        <w:rPr>
          <w:rFonts w:asciiTheme="majorHAnsi" w:eastAsia="Calibri" w:hAnsiTheme="majorHAnsi" w:cstheme="majorHAnsi"/>
        </w:rPr>
        <w:t xml:space="preserve"> </w:t>
      </w:r>
    </w:p>
    <w:p w14:paraId="5B02068D" w14:textId="7E197D9C" w:rsidR="009B0950" w:rsidRPr="000501B0" w:rsidRDefault="00492F84" w:rsidP="000501B0">
      <w:pPr>
        <w:shd w:val="clear" w:color="auto" w:fill="FFFFFF"/>
        <w:spacing w:before="120" w:after="120" w:line="240" w:lineRule="auto"/>
        <w:ind w:left="720" w:hanging="360"/>
        <w:jc w:val="both"/>
        <w:rPr>
          <w:rFonts w:asciiTheme="majorHAnsi" w:hAnsiTheme="majorHAnsi" w:cstheme="majorHAnsi"/>
          <w:b/>
          <w:color w:val="222222"/>
        </w:rPr>
      </w:pPr>
      <w:r w:rsidRPr="000501B0">
        <w:rPr>
          <w:rFonts w:asciiTheme="majorHAnsi" w:eastAsia="Calibri" w:hAnsiTheme="majorHAnsi" w:cstheme="majorHAnsi"/>
        </w:rPr>
        <w:t xml:space="preserve">10. </w:t>
      </w:r>
      <w:r w:rsidRPr="000501B0">
        <w:rPr>
          <w:rFonts w:asciiTheme="majorHAnsi" w:eastAsia="Calibri" w:hAnsiTheme="majorHAnsi" w:cstheme="majorHAnsi"/>
          <w:u w:val="single"/>
        </w:rPr>
        <w:t>Intersex South Africa (ISSA)</w:t>
      </w:r>
      <w:r w:rsidRPr="000501B0">
        <w:rPr>
          <w:rFonts w:asciiTheme="majorHAnsi" w:eastAsia="Calibri" w:hAnsiTheme="majorHAnsi" w:cstheme="majorHAnsi"/>
        </w:rPr>
        <w:t xml:space="preserve"> seeks to contribute towards the creation of a world where being intersex is not seen as a condition, disorder or abnormality but</w:t>
      </w:r>
      <w:r w:rsidRPr="000501B0">
        <w:rPr>
          <w:rFonts w:asciiTheme="majorHAnsi" w:eastAsia="Calibri" w:hAnsiTheme="majorHAnsi" w:cstheme="majorHAnsi"/>
        </w:rPr>
        <w:t xml:space="preserve"> rather naturally occurring variations that are part of human diversity. We envision an inclusive and diverse South Africa where the human rights, bodily autonomy and integrity of intersex people are respected, </w:t>
      </w:r>
      <w:r w:rsidR="00B02AAE" w:rsidRPr="000501B0">
        <w:rPr>
          <w:rFonts w:asciiTheme="majorHAnsi" w:eastAsia="Calibri" w:hAnsiTheme="majorHAnsi" w:cstheme="majorHAnsi"/>
        </w:rPr>
        <w:t>protected,</w:t>
      </w:r>
      <w:r w:rsidRPr="000501B0">
        <w:rPr>
          <w:rFonts w:asciiTheme="majorHAnsi" w:eastAsia="Calibri" w:hAnsiTheme="majorHAnsi" w:cstheme="majorHAnsi"/>
        </w:rPr>
        <w:t xml:space="preserve"> and affirmed. A world where the bir</w:t>
      </w:r>
      <w:r w:rsidRPr="000501B0">
        <w:rPr>
          <w:rFonts w:asciiTheme="majorHAnsi" w:eastAsia="Calibri" w:hAnsiTheme="majorHAnsi" w:cstheme="majorHAnsi"/>
        </w:rPr>
        <w:t>th of an intersex child is celebrated like any other birth, where intersex people have the power and control over the decisions that affect their lives. ISSA works to transform our communities into places where intersex people can freely decide, without fo</w:t>
      </w:r>
      <w:r w:rsidRPr="000501B0">
        <w:rPr>
          <w:rFonts w:asciiTheme="majorHAnsi" w:eastAsia="Calibri" w:hAnsiTheme="majorHAnsi" w:cstheme="majorHAnsi"/>
        </w:rPr>
        <w:t xml:space="preserve">rce or coercion, whether they want to undergo any medical procedure. A society where all intersex persons are recognized as full citizens, enjoy their human </w:t>
      </w:r>
      <w:r w:rsidR="00B02AAE" w:rsidRPr="000501B0">
        <w:rPr>
          <w:rFonts w:asciiTheme="majorHAnsi" w:eastAsia="Calibri" w:hAnsiTheme="majorHAnsi" w:cstheme="majorHAnsi"/>
        </w:rPr>
        <w:t>rights,</w:t>
      </w:r>
      <w:r w:rsidRPr="000501B0">
        <w:rPr>
          <w:rFonts w:asciiTheme="majorHAnsi" w:eastAsia="Calibri" w:hAnsiTheme="majorHAnsi" w:cstheme="majorHAnsi"/>
        </w:rPr>
        <w:t xml:space="preserve"> and have access to quality and affirming health, education, counselling, employment, legal a</w:t>
      </w:r>
      <w:r w:rsidRPr="000501B0">
        <w:rPr>
          <w:rFonts w:asciiTheme="majorHAnsi" w:eastAsia="Calibri" w:hAnsiTheme="majorHAnsi" w:cstheme="majorHAnsi"/>
        </w:rPr>
        <w:t xml:space="preserve">nd social </w:t>
      </w:r>
      <w:r w:rsidR="00B02AAE" w:rsidRPr="000501B0">
        <w:rPr>
          <w:rFonts w:asciiTheme="majorHAnsi" w:eastAsia="Calibri" w:hAnsiTheme="majorHAnsi" w:cstheme="majorHAnsi"/>
        </w:rPr>
        <w:t>services,</w:t>
      </w:r>
      <w:r w:rsidRPr="000501B0">
        <w:rPr>
          <w:rFonts w:asciiTheme="majorHAnsi" w:eastAsia="Calibri" w:hAnsiTheme="majorHAnsi" w:cstheme="majorHAnsi"/>
        </w:rPr>
        <w:t xml:space="preserve"> and opportunities. </w:t>
      </w:r>
    </w:p>
    <w:p w14:paraId="77C23A11" w14:textId="719521E1" w:rsidR="009B0950" w:rsidRPr="00C2772A" w:rsidRDefault="00C2772A" w:rsidP="000501B0">
      <w:pPr>
        <w:pStyle w:val="Heading1"/>
        <w:spacing w:after="240" w:line="240" w:lineRule="auto"/>
        <w:rPr>
          <w:rFonts w:asciiTheme="majorHAnsi" w:hAnsiTheme="majorHAnsi" w:cstheme="majorHAnsi"/>
          <w:sz w:val="22"/>
          <w:szCs w:val="22"/>
          <w:u w:val="single"/>
        </w:rPr>
      </w:pPr>
      <w:bookmarkStart w:id="8" w:name="_e1avmpa995rn" w:colFirst="0" w:colLast="0"/>
      <w:bookmarkEnd w:id="8"/>
      <w:r>
        <w:rPr>
          <w:rFonts w:asciiTheme="majorHAnsi" w:hAnsiTheme="majorHAnsi" w:cstheme="majorHAnsi"/>
          <w:sz w:val="22"/>
          <w:szCs w:val="22"/>
        </w:rPr>
        <w:t xml:space="preserve">III. </w:t>
      </w:r>
      <w:r w:rsidR="00492F84" w:rsidRPr="00C2772A">
        <w:rPr>
          <w:rFonts w:asciiTheme="majorHAnsi" w:hAnsiTheme="majorHAnsi" w:cstheme="majorHAnsi"/>
          <w:sz w:val="22"/>
          <w:szCs w:val="22"/>
          <w:u w:val="single"/>
        </w:rPr>
        <w:t>SUBMISSIONS</w:t>
      </w:r>
    </w:p>
    <w:p w14:paraId="713A9F20" w14:textId="669E78F6" w:rsidR="009B0950" w:rsidRPr="000501B0" w:rsidRDefault="00492F84" w:rsidP="000501B0">
      <w:pPr>
        <w:shd w:val="clear" w:color="auto" w:fill="FFFFFF"/>
        <w:spacing w:before="120" w:after="120" w:line="240" w:lineRule="auto"/>
        <w:ind w:left="720" w:hanging="360"/>
        <w:jc w:val="both"/>
        <w:rPr>
          <w:rFonts w:asciiTheme="majorHAnsi" w:eastAsia="Calibri" w:hAnsiTheme="majorHAnsi" w:cstheme="majorHAnsi"/>
          <w:highlight w:val="white"/>
        </w:rPr>
      </w:pPr>
      <w:r w:rsidRPr="000501B0">
        <w:rPr>
          <w:rFonts w:asciiTheme="majorHAnsi" w:eastAsia="Calibri" w:hAnsiTheme="majorHAnsi" w:cstheme="majorHAnsi"/>
        </w:rPr>
        <w:t xml:space="preserve">11. The legal protection and recognition of every person’s sexual orientation, gender identity, gender expression and sex characteristics (SOGIESC) by the State is </w:t>
      </w:r>
      <w:r w:rsidRPr="000501B0">
        <w:rPr>
          <w:rFonts w:asciiTheme="majorHAnsi" w:eastAsia="Calibri" w:hAnsiTheme="majorHAnsi" w:cstheme="majorHAnsi"/>
          <w:highlight w:val="white"/>
        </w:rPr>
        <w:t>vital for equality and improves t</w:t>
      </w:r>
      <w:r w:rsidRPr="000501B0">
        <w:rPr>
          <w:rFonts w:asciiTheme="majorHAnsi" w:eastAsia="Calibri" w:hAnsiTheme="majorHAnsi" w:cstheme="majorHAnsi"/>
          <w:highlight w:val="white"/>
        </w:rPr>
        <w:t>heir psychological, physical, and social well-being</w:t>
      </w:r>
      <w:r w:rsidRPr="000501B0">
        <w:rPr>
          <w:rFonts w:asciiTheme="majorHAnsi" w:eastAsia="Calibri" w:hAnsiTheme="majorHAnsi" w:cstheme="majorHAnsi"/>
        </w:rPr>
        <w:t xml:space="preserve">. </w:t>
      </w:r>
      <w:r w:rsidRPr="000501B0">
        <w:rPr>
          <w:rFonts w:asciiTheme="majorHAnsi" w:eastAsia="Calibri" w:hAnsiTheme="majorHAnsi" w:cstheme="majorHAnsi"/>
          <w:highlight w:val="white"/>
        </w:rPr>
        <w:t xml:space="preserve">This submission addresses access to health in the </w:t>
      </w:r>
      <w:r w:rsidRPr="000501B0">
        <w:rPr>
          <w:rFonts w:asciiTheme="majorHAnsi" w:eastAsia="Calibri" w:hAnsiTheme="majorHAnsi" w:cstheme="majorHAnsi"/>
        </w:rPr>
        <w:t>context</w:t>
      </w:r>
      <w:r w:rsidRPr="000501B0">
        <w:rPr>
          <w:rFonts w:asciiTheme="majorHAnsi" w:eastAsia="Calibri" w:hAnsiTheme="majorHAnsi" w:cstheme="majorHAnsi"/>
          <w:highlight w:val="white"/>
        </w:rPr>
        <w:t xml:space="preserve"> </w:t>
      </w:r>
      <w:r w:rsidR="00C2772A" w:rsidRPr="000501B0">
        <w:rPr>
          <w:rFonts w:asciiTheme="majorHAnsi" w:eastAsia="Calibri" w:hAnsiTheme="majorHAnsi" w:cstheme="majorHAnsi"/>
        </w:rPr>
        <w:t>of</w:t>
      </w:r>
      <w:r w:rsidR="00C2772A" w:rsidRPr="000501B0">
        <w:rPr>
          <w:rFonts w:asciiTheme="majorHAnsi" w:eastAsia="Calibri" w:hAnsiTheme="majorHAnsi" w:cstheme="majorHAnsi"/>
          <w:highlight w:val="white"/>
        </w:rPr>
        <w:t xml:space="preserve"> South</w:t>
      </w:r>
      <w:r w:rsidRPr="000501B0">
        <w:rPr>
          <w:rFonts w:asciiTheme="majorHAnsi" w:eastAsia="Calibri" w:hAnsiTheme="majorHAnsi" w:cstheme="majorHAnsi"/>
          <w:highlight w:val="white"/>
        </w:rPr>
        <w:t xml:space="preserve"> Africa. </w:t>
      </w:r>
    </w:p>
    <w:p w14:paraId="70F77FB0" w14:textId="4EAC3A79" w:rsidR="009B0950" w:rsidRPr="000501B0" w:rsidRDefault="00492F84" w:rsidP="000501B0">
      <w:pPr>
        <w:shd w:val="clear" w:color="auto" w:fill="FFFFFF"/>
        <w:spacing w:before="120" w:after="120" w:line="240" w:lineRule="auto"/>
        <w:ind w:left="720" w:hanging="360"/>
        <w:jc w:val="both"/>
        <w:rPr>
          <w:rFonts w:asciiTheme="majorHAnsi" w:eastAsia="Calibri" w:hAnsiTheme="majorHAnsi" w:cstheme="majorHAnsi"/>
          <w:highlight w:val="white"/>
        </w:rPr>
      </w:pPr>
      <w:r w:rsidRPr="000501B0">
        <w:rPr>
          <w:rFonts w:asciiTheme="majorHAnsi" w:eastAsia="Calibri" w:hAnsiTheme="majorHAnsi" w:cstheme="majorHAnsi"/>
          <w:highlight w:val="white"/>
        </w:rPr>
        <w:t xml:space="preserve">12. In our view, it is important to consider South Africa within its regional context. </w:t>
      </w:r>
      <w:r w:rsidRPr="000501B0">
        <w:rPr>
          <w:rFonts w:asciiTheme="majorHAnsi" w:eastAsia="Calibri" w:hAnsiTheme="majorHAnsi" w:cstheme="majorHAnsi"/>
        </w:rPr>
        <w:t>In the Southern African region, the abs</w:t>
      </w:r>
      <w:r w:rsidRPr="000501B0">
        <w:rPr>
          <w:rFonts w:asciiTheme="majorHAnsi" w:eastAsia="Calibri" w:hAnsiTheme="majorHAnsi" w:cstheme="majorHAnsi"/>
        </w:rPr>
        <w:t xml:space="preserve">ence of legal protection for LGBTIQ+ persons </w:t>
      </w:r>
      <w:r w:rsidR="00C2772A" w:rsidRPr="000501B0">
        <w:rPr>
          <w:rFonts w:asciiTheme="majorHAnsi" w:eastAsia="Calibri" w:hAnsiTheme="majorHAnsi" w:cstheme="majorHAnsi"/>
        </w:rPr>
        <w:t>remain</w:t>
      </w:r>
      <w:r w:rsidRPr="000501B0">
        <w:rPr>
          <w:rFonts w:asciiTheme="majorHAnsi" w:eastAsia="Calibri" w:hAnsiTheme="majorHAnsi" w:cstheme="majorHAnsi"/>
        </w:rPr>
        <w:t xml:space="preserve"> a huge obstacle towards the enjoyment of human rights, with the notable exception of South Africa, which </w:t>
      </w:r>
      <w:r w:rsidRPr="000501B0">
        <w:rPr>
          <w:rFonts w:asciiTheme="majorHAnsi" w:eastAsia="Calibri" w:hAnsiTheme="majorHAnsi" w:cstheme="majorHAnsi"/>
          <w:highlight w:val="white"/>
        </w:rPr>
        <w:t>has</w:t>
      </w:r>
      <w:r w:rsidRPr="000501B0">
        <w:rPr>
          <w:rFonts w:asciiTheme="majorHAnsi" w:eastAsia="Calibri" w:hAnsiTheme="majorHAnsi" w:cstheme="majorHAnsi"/>
        </w:rPr>
        <w:t xml:space="preserve"> taken legal steps to decriminalise same sex relations, </w:t>
      </w:r>
      <w:r w:rsidRPr="000501B0">
        <w:rPr>
          <w:rFonts w:asciiTheme="majorHAnsi" w:eastAsia="Calibri" w:hAnsiTheme="majorHAnsi" w:cstheme="majorHAnsi"/>
          <w:highlight w:val="white"/>
        </w:rPr>
        <w:t xml:space="preserve">legalised same-sex </w:t>
      </w:r>
      <w:r w:rsidR="00C2772A" w:rsidRPr="000501B0">
        <w:rPr>
          <w:rFonts w:asciiTheme="majorHAnsi" w:eastAsia="Calibri" w:hAnsiTheme="majorHAnsi" w:cstheme="majorHAnsi"/>
          <w:highlight w:val="white"/>
        </w:rPr>
        <w:t>marriage and</w:t>
      </w:r>
      <w:r w:rsidRPr="000501B0">
        <w:rPr>
          <w:rFonts w:asciiTheme="majorHAnsi" w:eastAsia="Calibri" w:hAnsiTheme="majorHAnsi" w:cstheme="majorHAnsi"/>
          <w:highlight w:val="white"/>
        </w:rPr>
        <w:t xml:space="preserve"> has a </w:t>
      </w:r>
      <w:proofErr w:type="gramStart"/>
      <w:r w:rsidRPr="000501B0">
        <w:rPr>
          <w:rFonts w:asciiTheme="majorHAnsi" w:eastAsia="Calibri" w:hAnsiTheme="majorHAnsi" w:cstheme="majorHAnsi"/>
          <w:highlight w:val="white"/>
        </w:rPr>
        <w:t>Constitution</w:t>
      </w:r>
      <w:proofErr w:type="gramEnd"/>
      <w:r w:rsidRPr="000501B0">
        <w:rPr>
          <w:rFonts w:asciiTheme="majorHAnsi" w:eastAsia="Calibri" w:hAnsiTheme="majorHAnsi" w:cstheme="majorHAnsi"/>
          <w:highlight w:val="white"/>
        </w:rPr>
        <w:t xml:space="preserve"> that protects against discrimination based on sexual orientation, </w:t>
      </w:r>
      <w:r w:rsidR="00B02AAE" w:rsidRPr="000501B0">
        <w:rPr>
          <w:rFonts w:asciiTheme="majorHAnsi" w:eastAsia="Calibri" w:hAnsiTheme="majorHAnsi" w:cstheme="majorHAnsi"/>
          <w:highlight w:val="white"/>
        </w:rPr>
        <w:t>sex,</w:t>
      </w:r>
      <w:r w:rsidRPr="000501B0">
        <w:rPr>
          <w:rFonts w:asciiTheme="majorHAnsi" w:eastAsia="Calibri" w:hAnsiTheme="majorHAnsi" w:cstheme="majorHAnsi"/>
          <w:highlight w:val="white"/>
        </w:rPr>
        <w:t xml:space="preserve"> and gender. While the certain offenses and identities have been decriminalised in Botswana, </w:t>
      </w:r>
      <w:r w:rsidR="00C2772A" w:rsidRPr="000501B0">
        <w:rPr>
          <w:rFonts w:asciiTheme="majorHAnsi" w:eastAsia="Calibri" w:hAnsiTheme="majorHAnsi" w:cstheme="majorHAnsi"/>
          <w:highlight w:val="white"/>
        </w:rPr>
        <w:t>Mozambique,</w:t>
      </w:r>
      <w:r w:rsidRPr="000501B0">
        <w:rPr>
          <w:rFonts w:asciiTheme="majorHAnsi" w:eastAsia="Calibri" w:hAnsiTheme="majorHAnsi" w:cstheme="majorHAnsi"/>
          <w:highlight w:val="white"/>
        </w:rPr>
        <w:t xml:space="preserve"> and Angola, this alone has not necessarily granted legal protection. A</w:t>
      </w:r>
      <w:r w:rsidRPr="000501B0">
        <w:rPr>
          <w:rFonts w:asciiTheme="majorHAnsi" w:eastAsia="Calibri" w:hAnsiTheme="majorHAnsi" w:cstheme="majorHAnsi"/>
          <w:highlight w:val="white"/>
        </w:rPr>
        <w:t xml:space="preserve"> </w:t>
      </w:r>
      <w:r w:rsidRPr="00C2772A">
        <w:rPr>
          <w:rFonts w:asciiTheme="majorHAnsi" w:eastAsia="Calibri" w:hAnsiTheme="majorHAnsi" w:cstheme="majorHAnsi"/>
          <w:highlight w:val="white"/>
        </w:rPr>
        <w:t>number</w:t>
      </w:r>
      <w:r w:rsidRPr="000501B0">
        <w:rPr>
          <w:rFonts w:asciiTheme="majorHAnsi" w:eastAsia="Calibri" w:hAnsiTheme="majorHAnsi" w:cstheme="majorHAnsi"/>
          <w:highlight w:val="white"/>
        </w:rPr>
        <w:t xml:space="preserve"> of states have failed to uphold their obligation to protect LGBTQI+ persons against violation of their human rights, including the right to health.</w:t>
      </w:r>
      <w:r w:rsidR="00C2772A">
        <w:rPr>
          <w:rFonts w:asciiTheme="majorHAnsi" w:eastAsia="Calibri" w:hAnsiTheme="majorHAnsi" w:cstheme="majorHAnsi"/>
          <w:highlight w:val="white"/>
        </w:rPr>
        <w:t xml:space="preserve"> </w:t>
      </w:r>
      <w:r w:rsidRPr="000501B0">
        <w:rPr>
          <w:rFonts w:asciiTheme="majorHAnsi" w:eastAsia="Calibri" w:hAnsiTheme="majorHAnsi" w:cstheme="majorHAnsi"/>
          <w:highlight w:val="white"/>
        </w:rPr>
        <w:t>It is impossible to speak to accessibility and enjoyment of the right to health in the region without</w:t>
      </w:r>
      <w:r w:rsidRPr="000501B0">
        <w:rPr>
          <w:rFonts w:asciiTheme="majorHAnsi" w:eastAsia="Calibri" w:hAnsiTheme="majorHAnsi" w:cstheme="majorHAnsi"/>
          <w:highlight w:val="white"/>
        </w:rPr>
        <w:t xml:space="preserve"> speaking to legal recognition. It is therefore important to consider that LGBTIQ+ persons in neighbouring countries also often depend on South Africa for access to inclusive and affirming healthcare</w:t>
      </w:r>
      <w:r w:rsidR="00B02AAE" w:rsidRPr="000501B0">
        <w:rPr>
          <w:rFonts w:asciiTheme="majorHAnsi" w:eastAsia="Calibri" w:hAnsiTheme="majorHAnsi" w:cstheme="majorHAnsi"/>
          <w:highlight w:val="white"/>
        </w:rPr>
        <w:t xml:space="preserve">. </w:t>
      </w:r>
    </w:p>
    <w:p w14:paraId="61EA86E2" w14:textId="77777777" w:rsidR="009B0950" w:rsidRPr="000501B0" w:rsidRDefault="009B0950" w:rsidP="000501B0">
      <w:pPr>
        <w:spacing w:line="240" w:lineRule="auto"/>
        <w:rPr>
          <w:rFonts w:asciiTheme="majorHAnsi" w:hAnsiTheme="majorHAnsi" w:cstheme="majorHAnsi"/>
        </w:rPr>
      </w:pPr>
    </w:p>
    <w:p w14:paraId="7D45875B" w14:textId="77777777" w:rsidR="009B0950" w:rsidRPr="000501B0" w:rsidRDefault="00492F84" w:rsidP="000501B0">
      <w:pPr>
        <w:pStyle w:val="Heading2"/>
        <w:shd w:val="clear" w:color="auto" w:fill="FFFFFF"/>
        <w:spacing w:before="300" w:after="200" w:line="240" w:lineRule="auto"/>
        <w:rPr>
          <w:rFonts w:asciiTheme="majorHAnsi" w:hAnsiTheme="majorHAnsi" w:cstheme="majorHAnsi"/>
          <w:b/>
          <w:sz w:val="22"/>
          <w:szCs w:val="22"/>
          <w:highlight w:val="yellow"/>
        </w:rPr>
      </w:pPr>
      <w:bookmarkStart w:id="9" w:name="_9fmynow9jqa" w:colFirst="0" w:colLast="0"/>
      <w:bookmarkEnd w:id="9"/>
      <w:r w:rsidRPr="000501B0">
        <w:rPr>
          <w:rFonts w:asciiTheme="majorHAnsi" w:hAnsiTheme="majorHAnsi" w:cstheme="majorHAnsi"/>
          <w:b/>
          <w:sz w:val="22"/>
          <w:szCs w:val="22"/>
        </w:rPr>
        <w:t xml:space="preserve">1. Research: understanding the health care needs of </w:t>
      </w:r>
      <w:r w:rsidRPr="000501B0">
        <w:rPr>
          <w:rFonts w:asciiTheme="majorHAnsi" w:hAnsiTheme="majorHAnsi" w:cstheme="majorHAnsi"/>
          <w:b/>
          <w:sz w:val="22"/>
          <w:szCs w:val="22"/>
        </w:rPr>
        <w:t>LGTBI and GNC people</w:t>
      </w:r>
    </w:p>
    <w:p w14:paraId="6F66A68A" w14:textId="77777777" w:rsidR="009B0950" w:rsidRPr="000501B0" w:rsidRDefault="00492F84" w:rsidP="000501B0">
      <w:pPr>
        <w:pStyle w:val="Heading3"/>
        <w:spacing w:before="160" w:after="160" w:line="240" w:lineRule="auto"/>
        <w:ind w:left="946" w:hanging="226"/>
        <w:rPr>
          <w:rFonts w:asciiTheme="majorHAnsi" w:hAnsiTheme="majorHAnsi" w:cstheme="majorHAnsi"/>
          <w:b/>
          <w:color w:val="000000"/>
          <w:sz w:val="22"/>
          <w:szCs w:val="22"/>
        </w:rPr>
      </w:pPr>
      <w:bookmarkStart w:id="10" w:name="_k3y5wanju65y" w:colFirst="0" w:colLast="0"/>
      <w:bookmarkEnd w:id="10"/>
      <w:r w:rsidRPr="000501B0">
        <w:rPr>
          <w:rFonts w:asciiTheme="majorHAnsi" w:hAnsiTheme="majorHAnsi" w:cstheme="majorHAnsi"/>
          <w:color w:val="000000"/>
          <w:sz w:val="22"/>
          <w:szCs w:val="22"/>
        </w:rPr>
        <w:t xml:space="preserve">i.  </w:t>
      </w:r>
      <w:r w:rsidRPr="000501B0">
        <w:rPr>
          <w:rFonts w:asciiTheme="majorHAnsi" w:hAnsiTheme="majorHAnsi" w:cstheme="majorHAnsi"/>
          <w:b/>
          <w:color w:val="000000"/>
          <w:sz w:val="22"/>
          <w:szCs w:val="22"/>
        </w:rPr>
        <w:t>Does the State (or other stakeholders) gather data, including data disaggregated by sexual orientation and/or gender identity, on:</w:t>
      </w:r>
    </w:p>
    <w:p w14:paraId="500FFF55" w14:textId="77777777" w:rsidR="009B0950" w:rsidRPr="000501B0" w:rsidRDefault="00492F84" w:rsidP="000501B0">
      <w:pPr>
        <w:numPr>
          <w:ilvl w:val="2"/>
          <w:numId w:val="8"/>
        </w:numPr>
        <w:spacing w:before="160" w:line="240" w:lineRule="auto"/>
        <w:rPr>
          <w:rFonts w:asciiTheme="majorHAnsi" w:eastAsia="Calibri" w:hAnsiTheme="majorHAnsi" w:cstheme="majorHAnsi"/>
          <w:b/>
          <w:i/>
        </w:rPr>
      </w:pPr>
      <w:r w:rsidRPr="000501B0">
        <w:rPr>
          <w:rFonts w:asciiTheme="majorHAnsi" w:eastAsia="Calibri" w:hAnsiTheme="majorHAnsi" w:cstheme="majorHAnsi"/>
          <w:b/>
          <w:i/>
        </w:rPr>
        <w:t>access to and/or delivery of health services</w:t>
      </w:r>
    </w:p>
    <w:p w14:paraId="10C33BD2" w14:textId="77777777" w:rsidR="009B0950" w:rsidRPr="000501B0" w:rsidRDefault="00492F84" w:rsidP="000501B0">
      <w:pPr>
        <w:numPr>
          <w:ilvl w:val="2"/>
          <w:numId w:val="8"/>
        </w:numPr>
        <w:spacing w:line="240" w:lineRule="auto"/>
        <w:rPr>
          <w:rFonts w:asciiTheme="majorHAnsi" w:eastAsia="Calibri" w:hAnsiTheme="majorHAnsi" w:cstheme="majorHAnsi"/>
          <w:b/>
          <w:i/>
        </w:rPr>
      </w:pPr>
      <w:r w:rsidRPr="000501B0">
        <w:rPr>
          <w:rFonts w:asciiTheme="majorHAnsi" w:eastAsia="Calibri" w:hAnsiTheme="majorHAnsi" w:cstheme="majorHAnsi"/>
          <w:b/>
          <w:i/>
        </w:rPr>
        <w:t>the number of new HIV infections per 1000 uninfected population?</w:t>
      </w:r>
    </w:p>
    <w:p w14:paraId="2CDA95E5" w14:textId="77777777" w:rsidR="009B0950" w:rsidRPr="000501B0" w:rsidRDefault="00492F84" w:rsidP="000501B0">
      <w:pPr>
        <w:numPr>
          <w:ilvl w:val="2"/>
          <w:numId w:val="8"/>
        </w:numPr>
        <w:spacing w:line="240" w:lineRule="auto"/>
        <w:rPr>
          <w:rFonts w:asciiTheme="majorHAnsi" w:eastAsia="Calibri" w:hAnsiTheme="majorHAnsi" w:cstheme="majorHAnsi"/>
          <w:b/>
          <w:i/>
        </w:rPr>
      </w:pPr>
      <w:r w:rsidRPr="000501B0">
        <w:rPr>
          <w:rFonts w:asciiTheme="majorHAnsi" w:eastAsia="Calibri" w:hAnsiTheme="majorHAnsi" w:cstheme="majorHAnsi"/>
          <w:b/>
          <w:i/>
        </w:rPr>
        <w:t>The suicide mortality rate?</w:t>
      </w:r>
    </w:p>
    <w:p w14:paraId="58B54B48" w14:textId="77777777" w:rsidR="009B0950" w:rsidRPr="000501B0" w:rsidRDefault="00492F84" w:rsidP="000501B0">
      <w:pPr>
        <w:numPr>
          <w:ilvl w:val="2"/>
          <w:numId w:val="8"/>
        </w:numPr>
        <w:spacing w:line="240" w:lineRule="auto"/>
        <w:rPr>
          <w:rFonts w:asciiTheme="majorHAnsi" w:eastAsia="Calibri" w:hAnsiTheme="majorHAnsi" w:cstheme="majorHAnsi"/>
          <w:b/>
          <w:i/>
        </w:rPr>
      </w:pPr>
      <w:r w:rsidRPr="000501B0">
        <w:rPr>
          <w:rFonts w:asciiTheme="majorHAnsi" w:eastAsia="Calibri" w:hAnsiTheme="majorHAnsi" w:cstheme="majorHAnsi"/>
          <w:b/>
          <w:i/>
        </w:rPr>
        <w:t>Coverage of treatment interventions for substance use disorders?</w:t>
      </w:r>
    </w:p>
    <w:p w14:paraId="3E15E1DF" w14:textId="77777777" w:rsidR="009B0950" w:rsidRPr="000501B0" w:rsidRDefault="00492F84" w:rsidP="000501B0">
      <w:pPr>
        <w:numPr>
          <w:ilvl w:val="2"/>
          <w:numId w:val="8"/>
        </w:numPr>
        <w:spacing w:line="240" w:lineRule="auto"/>
        <w:rPr>
          <w:rFonts w:asciiTheme="majorHAnsi" w:eastAsia="Calibri" w:hAnsiTheme="majorHAnsi" w:cstheme="majorHAnsi"/>
          <w:b/>
          <w:i/>
        </w:rPr>
      </w:pPr>
      <w:r w:rsidRPr="000501B0">
        <w:rPr>
          <w:rFonts w:asciiTheme="majorHAnsi" w:eastAsia="Calibri" w:hAnsiTheme="majorHAnsi" w:cstheme="majorHAnsi"/>
          <w:b/>
          <w:i/>
        </w:rPr>
        <w:t>Harmful use of alcohol?</w:t>
      </w:r>
    </w:p>
    <w:p w14:paraId="6887043F" w14:textId="77777777" w:rsidR="009B0950" w:rsidRPr="000501B0" w:rsidRDefault="00492F84" w:rsidP="000501B0">
      <w:pPr>
        <w:numPr>
          <w:ilvl w:val="2"/>
          <w:numId w:val="8"/>
        </w:numPr>
        <w:spacing w:line="240" w:lineRule="auto"/>
        <w:rPr>
          <w:rFonts w:asciiTheme="majorHAnsi" w:eastAsia="Calibri" w:hAnsiTheme="majorHAnsi" w:cstheme="majorHAnsi"/>
          <w:b/>
          <w:i/>
        </w:rPr>
      </w:pPr>
      <w:r w:rsidRPr="000501B0">
        <w:rPr>
          <w:rFonts w:asciiTheme="majorHAnsi" w:eastAsia="Calibri" w:hAnsiTheme="majorHAnsi" w:cstheme="majorHAnsi"/>
          <w:b/>
          <w:i/>
        </w:rPr>
        <w:t>Access to sexual and reproductive health care?</w:t>
      </w:r>
    </w:p>
    <w:p w14:paraId="1EBAD5BB" w14:textId="77777777" w:rsidR="009B0950" w:rsidRPr="000501B0" w:rsidRDefault="00492F84" w:rsidP="000501B0">
      <w:pPr>
        <w:numPr>
          <w:ilvl w:val="2"/>
          <w:numId w:val="8"/>
        </w:numPr>
        <w:spacing w:after="500" w:line="240" w:lineRule="auto"/>
        <w:rPr>
          <w:rFonts w:asciiTheme="majorHAnsi" w:eastAsia="Calibri" w:hAnsiTheme="majorHAnsi" w:cstheme="majorHAnsi"/>
          <w:b/>
          <w:i/>
        </w:rPr>
      </w:pPr>
      <w:r w:rsidRPr="000501B0">
        <w:rPr>
          <w:rFonts w:asciiTheme="majorHAnsi" w:eastAsia="Calibri" w:hAnsiTheme="majorHAnsi" w:cstheme="majorHAnsi"/>
          <w:b/>
          <w:i/>
        </w:rPr>
        <w:t>Coverage of essential health services</w:t>
      </w:r>
    </w:p>
    <w:p w14:paraId="00A62F8B" w14:textId="77777777" w:rsidR="009B0950" w:rsidRPr="000501B0" w:rsidRDefault="00492F84" w:rsidP="000501B0">
      <w:pPr>
        <w:spacing w:after="160" w:line="240" w:lineRule="auto"/>
        <w:rPr>
          <w:rFonts w:asciiTheme="majorHAnsi" w:eastAsia="Calibri" w:hAnsiTheme="majorHAnsi" w:cstheme="majorHAnsi"/>
        </w:rPr>
      </w:pPr>
      <w:r w:rsidRPr="000501B0">
        <w:rPr>
          <w:rFonts w:asciiTheme="majorHAnsi" w:eastAsia="Calibri" w:hAnsiTheme="majorHAnsi" w:cstheme="majorHAnsi"/>
        </w:rPr>
        <w:t xml:space="preserve">The South African government generally does not gather national health data disaggregated by sexual orientation and/or gender identity (SOGI), or diverse sex characteristics (SC). </w:t>
      </w:r>
    </w:p>
    <w:p w14:paraId="027A9B5A" w14:textId="7A4903C7" w:rsidR="009B0950" w:rsidRPr="000501B0" w:rsidRDefault="00492F84" w:rsidP="000501B0">
      <w:pPr>
        <w:spacing w:after="160" w:line="240" w:lineRule="auto"/>
        <w:jc w:val="both"/>
        <w:rPr>
          <w:rFonts w:asciiTheme="majorHAnsi" w:eastAsia="Calibri" w:hAnsiTheme="majorHAnsi" w:cstheme="majorHAnsi"/>
        </w:rPr>
      </w:pPr>
      <w:r w:rsidRPr="000501B0">
        <w:rPr>
          <w:rFonts w:asciiTheme="majorHAnsi" w:eastAsia="Calibri" w:hAnsiTheme="majorHAnsi" w:cstheme="majorHAnsi"/>
        </w:rPr>
        <w:t xml:space="preserve">The State gathers data on </w:t>
      </w:r>
      <w:r w:rsidRPr="000501B0">
        <w:rPr>
          <w:rFonts w:asciiTheme="majorHAnsi" w:eastAsia="Calibri" w:hAnsiTheme="majorHAnsi" w:cstheme="majorHAnsi"/>
          <w:b/>
        </w:rPr>
        <w:t>new HIV inf</w:t>
      </w:r>
      <w:r w:rsidRPr="000501B0">
        <w:rPr>
          <w:rFonts w:asciiTheme="majorHAnsi" w:eastAsia="Calibri" w:hAnsiTheme="majorHAnsi" w:cstheme="majorHAnsi"/>
          <w:b/>
        </w:rPr>
        <w:t>ections per 1000 uninfected population</w:t>
      </w:r>
      <w:r w:rsidRPr="000501B0">
        <w:rPr>
          <w:rFonts w:asciiTheme="majorHAnsi" w:eastAsia="Calibri" w:hAnsiTheme="majorHAnsi" w:cstheme="majorHAnsi"/>
        </w:rPr>
        <w:t>,</w:t>
      </w:r>
      <w:r w:rsidRPr="000501B0">
        <w:rPr>
          <w:rFonts w:asciiTheme="majorHAnsi" w:eastAsia="Calibri" w:hAnsiTheme="majorHAnsi" w:cstheme="majorHAnsi"/>
          <w:vertAlign w:val="superscript"/>
        </w:rPr>
        <w:footnoteReference w:id="2"/>
      </w:r>
      <w:r w:rsidRPr="000501B0">
        <w:rPr>
          <w:rFonts w:asciiTheme="majorHAnsi" w:eastAsia="Calibri" w:hAnsiTheme="majorHAnsi" w:cstheme="majorHAnsi"/>
        </w:rPr>
        <w:t xml:space="preserve"> but not on LGBTQI+ people, trans people</w:t>
      </w:r>
      <w:r w:rsidRPr="000501B0">
        <w:rPr>
          <w:rFonts w:asciiTheme="majorHAnsi" w:eastAsia="Calibri" w:hAnsiTheme="majorHAnsi" w:cstheme="majorHAnsi"/>
          <w:vertAlign w:val="superscript"/>
        </w:rPr>
        <w:footnoteReference w:id="3"/>
      </w:r>
      <w:r w:rsidRPr="000501B0">
        <w:rPr>
          <w:rFonts w:asciiTheme="majorHAnsi" w:eastAsia="Calibri" w:hAnsiTheme="majorHAnsi" w:cstheme="majorHAnsi"/>
        </w:rPr>
        <w:t xml:space="preserve"> and men who have sex with men (MSM). Data is disaggregated by binary sex (female/male), but not disaggregated by SOGI or diverse SC, </w:t>
      </w:r>
      <w:r w:rsidR="005D7066" w:rsidRPr="000501B0">
        <w:rPr>
          <w:rFonts w:asciiTheme="majorHAnsi" w:eastAsia="Calibri" w:hAnsiTheme="majorHAnsi" w:cstheme="majorHAnsi"/>
        </w:rPr>
        <w:t>even though</w:t>
      </w:r>
      <w:r w:rsidRPr="000501B0">
        <w:rPr>
          <w:rFonts w:asciiTheme="majorHAnsi" w:eastAsia="Calibri" w:hAnsiTheme="majorHAnsi" w:cstheme="majorHAnsi"/>
        </w:rPr>
        <w:t xml:space="preserve"> the South African</w:t>
      </w:r>
      <w:r w:rsidRPr="000501B0">
        <w:rPr>
          <w:rFonts w:asciiTheme="majorHAnsi" w:eastAsia="Calibri" w:hAnsiTheme="majorHAnsi" w:cstheme="majorHAnsi"/>
        </w:rPr>
        <w:t xml:space="preserve"> National Strategic Plan (NSP) for HIV, TB and STIs 2017-2022</w:t>
      </w:r>
      <w:r w:rsidRPr="000501B0">
        <w:rPr>
          <w:rFonts w:asciiTheme="majorHAnsi" w:eastAsia="Calibri" w:hAnsiTheme="majorHAnsi" w:cstheme="majorHAnsi"/>
          <w:vertAlign w:val="superscript"/>
        </w:rPr>
        <w:footnoteReference w:id="4"/>
      </w:r>
      <w:r w:rsidRPr="000501B0">
        <w:rPr>
          <w:rFonts w:asciiTheme="majorHAnsi" w:eastAsia="Calibri" w:hAnsiTheme="majorHAnsi" w:cstheme="majorHAnsi"/>
        </w:rPr>
        <w:t xml:space="preserve"> includes transgender people and MSM as key populations for HIV and STIs, </w:t>
      </w:r>
      <w:r w:rsidR="005D7066" w:rsidRPr="000501B0">
        <w:rPr>
          <w:rFonts w:asciiTheme="majorHAnsi" w:eastAsia="Calibri" w:hAnsiTheme="majorHAnsi" w:cstheme="majorHAnsi"/>
        </w:rPr>
        <w:t>and ‘</w:t>
      </w:r>
      <w:r w:rsidRPr="000501B0">
        <w:rPr>
          <w:rFonts w:asciiTheme="majorHAnsi" w:eastAsia="Calibri" w:hAnsiTheme="majorHAnsi" w:cstheme="majorHAnsi"/>
        </w:rPr>
        <w:t xml:space="preserve">other LGBTI populations’ as vulnerable populations for HIV and STIs. South Africa has a </w:t>
      </w:r>
      <w:r w:rsidR="005D7066" w:rsidRPr="000501B0">
        <w:rPr>
          <w:rFonts w:asciiTheme="majorHAnsi" w:eastAsia="Calibri" w:hAnsiTheme="majorHAnsi" w:cstheme="majorHAnsi"/>
        </w:rPr>
        <w:t>national LGBTI</w:t>
      </w:r>
      <w:r w:rsidRPr="000501B0">
        <w:rPr>
          <w:rFonts w:asciiTheme="majorHAnsi" w:eastAsia="Calibri" w:hAnsiTheme="majorHAnsi" w:cstheme="majorHAnsi"/>
        </w:rPr>
        <w:t xml:space="preserve"> HIV Plan</w:t>
      </w:r>
      <w:r w:rsidRPr="000501B0">
        <w:rPr>
          <w:rFonts w:asciiTheme="majorHAnsi" w:eastAsia="Calibri" w:hAnsiTheme="majorHAnsi" w:cstheme="majorHAnsi"/>
          <w:vertAlign w:val="superscript"/>
        </w:rPr>
        <w:footnoteReference w:id="5"/>
      </w:r>
      <w:r w:rsidRPr="000501B0">
        <w:rPr>
          <w:rFonts w:asciiTheme="majorHAnsi" w:eastAsia="Calibri" w:hAnsiTheme="majorHAnsi" w:cstheme="majorHAnsi"/>
        </w:rPr>
        <w:t xml:space="preserve"> and trans people are</w:t>
      </w:r>
      <w:r w:rsidRPr="000501B0">
        <w:rPr>
          <w:rFonts w:asciiTheme="majorHAnsi" w:eastAsia="Calibri" w:hAnsiTheme="majorHAnsi" w:cstheme="majorHAnsi"/>
        </w:rPr>
        <w:t xml:space="preserve"> included in the National Sex Worker HIV, TB and STI Plan.</w:t>
      </w:r>
      <w:r w:rsidRPr="000501B0">
        <w:rPr>
          <w:rFonts w:asciiTheme="majorHAnsi" w:eastAsia="Calibri" w:hAnsiTheme="majorHAnsi" w:cstheme="majorHAnsi"/>
          <w:vertAlign w:val="superscript"/>
        </w:rPr>
        <w:footnoteReference w:id="6"/>
      </w:r>
      <w:r w:rsidRPr="000501B0">
        <w:rPr>
          <w:rFonts w:asciiTheme="majorHAnsi" w:eastAsia="Calibri" w:hAnsiTheme="majorHAnsi" w:cstheme="majorHAnsi"/>
        </w:rPr>
        <w:t xml:space="preserve"> </w:t>
      </w:r>
    </w:p>
    <w:p w14:paraId="34A6737C" w14:textId="77777777" w:rsidR="009B0950" w:rsidRPr="000501B0" w:rsidRDefault="00492F84" w:rsidP="000501B0">
      <w:pPr>
        <w:spacing w:after="160" w:line="240" w:lineRule="auto"/>
        <w:rPr>
          <w:rFonts w:asciiTheme="majorHAnsi" w:eastAsia="Calibri" w:hAnsiTheme="majorHAnsi" w:cstheme="majorHAnsi"/>
        </w:rPr>
      </w:pPr>
      <w:r w:rsidRPr="000501B0">
        <w:rPr>
          <w:rFonts w:asciiTheme="majorHAnsi" w:eastAsia="Calibri" w:hAnsiTheme="majorHAnsi" w:cstheme="majorHAnsi"/>
        </w:rPr>
        <w:t xml:space="preserve">The State gathers data on the </w:t>
      </w:r>
      <w:r w:rsidRPr="000501B0">
        <w:rPr>
          <w:rFonts w:asciiTheme="majorHAnsi" w:eastAsia="Calibri" w:hAnsiTheme="majorHAnsi" w:cstheme="majorHAnsi"/>
          <w:b/>
        </w:rPr>
        <w:t>suicide mortality rate</w:t>
      </w:r>
      <w:r w:rsidRPr="000501B0">
        <w:rPr>
          <w:rFonts w:asciiTheme="majorHAnsi" w:eastAsia="Calibri" w:hAnsiTheme="majorHAnsi" w:cstheme="majorHAnsi"/>
          <w:vertAlign w:val="superscript"/>
        </w:rPr>
        <w:footnoteReference w:id="7"/>
      </w:r>
      <w:r w:rsidRPr="000501B0">
        <w:rPr>
          <w:rFonts w:asciiTheme="majorHAnsi" w:eastAsia="Calibri" w:hAnsiTheme="majorHAnsi" w:cstheme="majorHAnsi"/>
        </w:rPr>
        <w:t xml:space="preserve"> disaggregated by binary sex (female/male),</w:t>
      </w:r>
      <w:r w:rsidRPr="000501B0">
        <w:rPr>
          <w:rFonts w:asciiTheme="majorHAnsi" w:eastAsia="Calibri" w:hAnsiTheme="majorHAnsi" w:cstheme="majorHAnsi"/>
          <w:vertAlign w:val="superscript"/>
        </w:rPr>
        <w:footnoteReference w:id="8"/>
      </w:r>
      <w:r w:rsidRPr="000501B0">
        <w:rPr>
          <w:rFonts w:asciiTheme="majorHAnsi" w:eastAsia="Calibri" w:hAnsiTheme="majorHAnsi" w:cstheme="majorHAnsi"/>
        </w:rPr>
        <w:t xml:space="preserve"> </w:t>
      </w:r>
      <w:r w:rsidRPr="000501B0">
        <w:rPr>
          <w:rFonts w:asciiTheme="majorHAnsi" w:eastAsia="Calibri" w:hAnsiTheme="majorHAnsi" w:cstheme="majorHAnsi"/>
          <w:vertAlign w:val="superscript"/>
        </w:rPr>
        <w:footnoteReference w:id="9"/>
      </w:r>
      <w:r w:rsidRPr="000501B0">
        <w:rPr>
          <w:rFonts w:asciiTheme="majorHAnsi" w:eastAsia="Calibri" w:hAnsiTheme="majorHAnsi" w:cstheme="majorHAnsi"/>
        </w:rPr>
        <w:t xml:space="preserve"> but not disaggregated by SOGI or diverse SC.</w:t>
      </w:r>
      <w:r w:rsidRPr="000501B0">
        <w:rPr>
          <w:rFonts w:asciiTheme="majorHAnsi" w:eastAsia="Calibri" w:hAnsiTheme="majorHAnsi" w:cstheme="majorHAnsi"/>
          <w:vertAlign w:val="superscript"/>
        </w:rPr>
        <w:footnoteReference w:id="10"/>
      </w:r>
    </w:p>
    <w:p w14:paraId="70A92C54" w14:textId="77777777" w:rsidR="009B0950" w:rsidRPr="000501B0" w:rsidRDefault="00492F84" w:rsidP="000501B0">
      <w:pPr>
        <w:spacing w:after="160" w:line="240" w:lineRule="auto"/>
        <w:rPr>
          <w:rFonts w:asciiTheme="majorHAnsi" w:eastAsia="Calibri" w:hAnsiTheme="majorHAnsi" w:cstheme="majorHAnsi"/>
        </w:rPr>
      </w:pPr>
      <w:r w:rsidRPr="000501B0">
        <w:rPr>
          <w:rFonts w:asciiTheme="majorHAnsi" w:eastAsia="Calibri" w:hAnsiTheme="majorHAnsi" w:cstheme="majorHAnsi"/>
        </w:rPr>
        <w:t>The State gathers</w:t>
      </w:r>
      <w:r w:rsidRPr="000501B0">
        <w:rPr>
          <w:rFonts w:asciiTheme="majorHAnsi" w:eastAsia="Calibri" w:hAnsiTheme="majorHAnsi" w:cstheme="majorHAnsi"/>
        </w:rPr>
        <w:t xml:space="preserve"> data on </w:t>
      </w:r>
      <w:r w:rsidRPr="000501B0">
        <w:rPr>
          <w:rFonts w:asciiTheme="majorHAnsi" w:eastAsia="Calibri" w:hAnsiTheme="majorHAnsi" w:cstheme="majorHAnsi"/>
          <w:b/>
        </w:rPr>
        <w:t>harmful use of alcohol</w:t>
      </w:r>
      <w:r w:rsidRPr="000501B0">
        <w:rPr>
          <w:rFonts w:asciiTheme="majorHAnsi" w:eastAsia="Calibri" w:hAnsiTheme="majorHAnsi" w:cstheme="majorHAnsi"/>
          <w:vertAlign w:val="superscript"/>
        </w:rPr>
        <w:footnoteReference w:id="11"/>
      </w:r>
      <w:r w:rsidRPr="000501B0">
        <w:rPr>
          <w:rFonts w:asciiTheme="majorHAnsi" w:eastAsia="Calibri" w:hAnsiTheme="majorHAnsi" w:cstheme="majorHAnsi"/>
        </w:rPr>
        <w:t xml:space="preserve"> disaggregated by binary gender (women/men),</w:t>
      </w:r>
      <w:r w:rsidRPr="000501B0">
        <w:rPr>
          <w:rFonts w:asciiTheme="majorHAnsi" w:eastAsia="Calibri" w:hAnsiTheme="majorHAnsi" w:cstheme="majorHAnsi"/>
          <w:vertAlign w:val="superscript"/>
        </w:rPr>
        <w:footnoteReference w:id="12"/>
      </w:r>
      <w:r w:rsidRPr="000501B0">
        <w:rPr>
          <w:rFonts w:asciiTheme="majorHAnsi" w:eastAsia="Calibri" w:hAnsiTheme="majorHAnsi" w:cstheme="majorHAnsi"/>
        </w:rPr>
        <w:t xml:space="preserve"> but not disaggregated by SOGI or diverse SC.</w:t>
      </w:r>
      <w:r w:rsidRPr="000501B0">
        <w:rPr>
          <w:rFonts w:asciiTheme="majorHAnsi" w:eastAsia="Calibri" w:hAnsiTheme="majorHAnsi" w:cstheme="majorHAnsi"/>
          <w:vertAlign w:val="superscript"/>
        </w:rPr>
        <w:footnoteReference w:id="13"/>
      </w:r>
    </w:p>
    <w:p w14:paraId="251680A0" w14:textId="2F6A5F79" w:rsidR="009B0950" w:rsidRPr="000501B0" w:rsidRDefault="00492F84" w:rsidP="000501B0">
      <w:pPr>
        <w:spacing w:after="160" w:line="240" w:lineRule="auto"/>
        <w:jc w:val="both"/>
        <w:rPr>
          <w:rFonts w:asciiTheme="majorHAnsi" w:eastAsia="Calibri" w:hAnsiTheme="majorHAnsi" w:cstheme="majorHAnsi"/>
        </w:rPr>
      </w:pPr>
      <w:r w:rsidRPr="000501B0">
        <w:rPr>
          <w:rFonts w:asciiTheme="majorHAnsi" w:eastAsia="Calibri" w:hAnsiTheme="majorHAnsi" w:cstheme="majorHAnsi"/>
        </w:rPr>
        <w:t xml:space="preserve">The State gathers some data on </w:t>
      </w:r>
      <w:r w:rsidRPr="000501B0">
        <w:rPr>
          <w:rFonts w:asciiTheme="majorHAnsi" w:eastAsia="Calibri" w:hAnsiTheme="majorHAnsi" w:cstheme="majorHAnsi"/>
          <w:b/>
        </w:rPr>
        <w:t>access to and/or delivery of health services</w:t>
      </w:r>
      <w:r w:rsidRPr="000501B0">
        <w:rPr>
          <w:rFonts w:asciiTheme="majorHAnsi" w:eastAsia="Calibri" w:hAnsiTheme="majorHAnsi" w:cstheme="majorHAnsi"/>
        </w:rPr>
        <w:t xml:space="preserve">, </w:t>
      </w:r>
      <w:r w:rsidRPr="000501B0">
        <w:rPr>
          <w:rFonts w:asciiTheme="majorHAnsi" w:eastAsia="Calibri" w:hAnsiTheme="majorHAnsi" w:cstheme="majorHAnsi"/>
          <w:b/>
        </w:rPr>
        <w:t>access to sexual and reproductive healthcare</w:t>
      </w:r>
      <w:r w:rsidRPr="000501B0">
        <w:rPr>
          <w:rFonts w:asciiTheme="majorHAnsi" w:eastAsia="Calibri" w:hAnsiTheme="majorHAnsi" w:cstheme="majorHAnsi"/>
        </w:rPr>
        <w:t xml:space="preserve"> and </w:t>
      </w:r>
      <w:r w:rsidRPr="000501B0">
        <w:rPr>
          <w:rFonts w:asciiTheme="majorHAnsi" w:eastAsia="Calibri" w:hAnsiTheme="majorHAnsi" w:cstheme="majorHAnsi"/>
          <w:b/>
        </w:rPr>
        <w:t>coverage of essential health services</w:t>
      </w:r>
      <w:r w:rsidRPr="000501B0">
        <w:rPr>
          <w:rFonts w:asciiTheme="majorHAnsi" w:eastAsia="Calibri" w:hAnsiTheme="majorHAnsi" w:cstheme="majorHAnsi"/>
        </w:rPr>
        <w:t xml:space="preserve"> disaggregated by binary gender (women/men),</w:t>
      </w:r>
      <w:r w:rsidRPr="000501B0">
        <w:rPr>
          <w:rFonts w:asciiTheme="majorHAnsi" w:eastAsia="Calibri" w:hAnsiTheme="majorHAnsi" w:cstheme="majorHAnsi"/>
          <w:vertAlign w:val="superscript"/>
        </w:rPr>
        <w:footnoteReference w:id="14"/>
      </w:r>
      <w:r w:rsidRPr="000501B0">
        <w:rPr>
          <w:rFonts w:asciiTheme="majorHAnsi" w:eastAsia="Calibri" w:hAnsiTheme="majorHAnsi" w:cstheme="majorHAnsi"/>
        </w:rPr>
        <w:t xml:space="preserve"> but not disaggregated by SOGI or diverse SC, and not specific to the healthcare needs of LGBTI and gender diverse people. W</w:t>
      </w:r>
      <w:r w:rsidRPr="000501B0">
        <w:rPr>
          <w:rFonts w:asciiTheme="majorHAnsi" w:eastAsia="Calibri" w:hAnsiTheme="majorHAnsi" w:cstheme="majorHAnsi"/>
        </w:rPr>
        <w:t xml:space="preserve">here health programming data is collected for LGBTQI+ people, it is usually focused </w:t>
      </w:r>
      <w:r w:rsidR="005D7066" w:rsidRPr="000501B0">
        <w:rPr>
          <w:rFonts w:asciiTheme="majorHAnsi" w:eastAsia="Calibri" w:hAnsiTheme="majorHAnsi" w:cstheme="majorHAnsi"/>
        </w:rPr>
        <w:t>on “</w:t>
      </w:r>
      <w:r w:rsidRPr="000501B0">
        <w:rPr>
          <w:rFonts w:asciiTheme="majorHAnsi" w:eastAsia="Calibri" w:hAnsiTheme="majorHAnsi" w:cstheme="majorHAnsi"/>
        </w:rPr>
        <w:t>key populations'' as vectors of disease, rather than on providing comprehensive care for LGBTQI+ health needs. CSOs that receive funding from government departments to</w:t>
      </w:r>
      <w:r w:rsidRPr="000501B0">
        <w:rPr>
          <w:rFonts w:asciiTheme="majorHAnsi" w:eastAsia="Calibri" w:hAnsiTheme="majorHAnsi" w:cstheme="majorHAnsi"/>
        </w:rPr>
        <w:t xml:space="preserve"> provide health services to LGBTQI+ people, report their statistics to these departments, but to our knowledge these have not been made publicly available by the government. </w:t>
      </w:r>
    </w:p>
    <w:p w14:paraId="6B513DC8" w14:textId="77777777" w:rsidR="009B0950" w:rsidRPr="000501B0" w:rsidRDefault="00492F84" w:rsidP="000501B0">
      <w:pPr>
        <w:pStyle w:val="Heading3"/>
        <w:spacing w:before="400" w:after="160" w:line="240" w:lineRule="auto"/>
        <w:ind w:left="946" w:hanging="226"/>
        <w:rPr>
          <w:rFonts w:asciiTheme="majorHAnsi" w:hAnsiTheme="majorHAnsi" w:cstheme="majorHAnsi"/>
          <w:b/>
          <w:color w:val="000000"/>
          <w:sz w:val="22"/>
          <w:szCs w:val="22"/>
        </w:rPr>
      </w:pPr>
      <w:bookmarkStart w:id="11" w:name="_1scdvum2p5ei" w:colFirst="0" w:colLast="0"/>
      <w:bookmarkEnd w:id="11"/>
      <w:r w:rsidRPr="000501B0">
        <w:rPr>
          <w:rFonts w:asciiTheme="majorHAnsi" w:hAnsiTheme="majorHAnsi" w:cstheme="majorHAnsi"/>
          <w:color w:val="000000"/>
          <w:sz w:val="22"/>
          <w:szCs w:val="22"/>
        </w:rPr>
        <w:t xml:space="preserve">ii. </w:t>
      </w:r>
      <w:r w:rsidRPr="000501B0">
        <w:rPr>
          <w:rFonts w:asciiTheme="majorHAnsi" w:hAnsiTheme="majorHAnsi" w:cstheme="majorHAnsi"/>
          <w:b/>
          <w:color w:val="000000"/>
          <w:sz w:val="22"/>
          <w:szCs w:val="22"/>
        </w:rPr>
        <w:t>What steps have been taken to research and understand the health care needs o</w:t>
      </w:r>
      <w:r w:rsidRPr="000501B0">
        <w:rPr>
          <w:rFonts w:asciiTheme="majorHAnsi" w:hAnsiTheme="majorHAnsi" w:cstheme="majorHAnsi"/>
          <w:b/>
          <w:color w:val="000000"/>
          <w:sz w:val="22"/>
          <w:szCs w:val="22"/>
        </w:rPr>
        <w:t>f LGTBI and GNC people of all ages at the national level?</w:t>
      </w:r>
    </w:p>
    <w:p w14:paraId="26BC22AF" w14:textId="77777777" w:rsidR="009B0950" w:rsidRPr="000501B0" w:rsidRDefault="00492F84" w:rsidP="000501B0">
      <w:pPr>
        <w:spacing w:before="400" w:after="400" w:line="240" w:lineRule="auto"/>
        <w:jc w:val="both"/>
        <w:rPr>
          <w:rFonts w:asciiTheme="majorHAnsi" w:eastAsia="Calibri" w:hAnsiTheme="majorHAnsi" w:cstheme="majorHAnsi"/>
        </w:rPr>
      </w:pPr>
      <w:r w:rsidRPr="000501B0">
        <w:rPr>
          <w:rFonts w:asciiTheme="majorHAnsi" w:eastAsia="Calibri" w:hAnsiTheme="majorHAnsi" w:cstheme="majorHAnsi"/>
        </w:rPr>
        <w:t>Although some LGBTI research or data collection is done by various statutory</w:t>
      </w:r>
      <w:r w:rsidRPr="000501B0">
        <w:rPr>
          <w:rFonts w:asciiTheme="majorHAnsi" w:eastAsia="Calibri" w:hAnsiTheme="majorHAnsi" w:cstheme="majorHAnsi"/>
          <w:vertAlign w:val="superscript"/>
        </w:rPr>
        <w:footnoteReference w:id="15"/>
      </w:r>
      <w:r w:rsidRPr="000501B0">
        <w:rPr>
          <w:rFonts w:asciiTheme="majorHAnsi" w:eastAsia="Calibri" w:hAnsiTheme="majorHAnsi" w:cstheme="majorHAnsi"/>
        </w:rPr>
        <w:t xml:space="preserve"> and multi-sectoral</w:t>
      </w:r>
      <w:r w:rsidRPr="000501B0">
        <w:rPr>
          <w:rFonts w:asciiTheme="majorHAnsi" w:eastAsia="Calibri" w:hAnsiTheme="majorHAnsi" w:cstheme="majorHAnsi"/>
          <w:vertAlign w:val="superscript"/>
        </w:rPr>
        <w:footnoteReference w:id="16"/>
      </w:r>
      <w:r w:rsidRPr="000501B0">
        <w:rPr>
          <w:rFonts w:asciiTheme="majorHAnsi" w:eastAsia="Calibri" w:hAnsiTheme="majorHAnsi" w:cstheme="majorHAnsi"/>
        </w:rPr>
        <w:t xml:space="preserve"> bodies, and government departments,</w:t>
      </w:r>
      <w:r w:rsidRPr="000501B0">
        <w:rPr>
          <w:rFonts w:asciiTheme="majorHAnsi" w:eastAsia="Calibri" w:hAnsiTheme="majorHAnsi" w:cstheme="majorHAnsi"/>
          <w:vertAlign w:val="superscript"/>
        </w:rPr>
        <w:footnoteReference w:id="17"/>
      </w:r>
      <w:r w:rsidRPr="000501B0">
        <w:rPr>
          <w:rFonts w:asciiTheme="majorHAnsi" w:eastAsia="Calibri" w:hAnsiTheme="majorHAnsi" w:cstheme="majorHAnsi"/>
        </w:rPr>
        <w:t xml:space="preserve"> this data is not integrated into official national health st</w:t>
      </w:r>
      <w:r w:rsidRPr="000501B0">
        <w:rPr>
          <w:rFonts w:asciiTheme="majorHAnsi" w:eastAsia="Calibri" w:hAnsiTheme="majorHAnsi" w:cstheme="majorHAnsi"/>
        </w:rPr>
        <w:t>atistics. Research on LGBTQI+ and gender diverse people is also often undertaken by others, including civil society organisations (CSOs) and academic institutions.</w:t>
      </w:r>
      <w:r w:rsidRPr="000501B0">
        <w:rPr>
          <w:rFonts w:asciiTheme="majorHAnsi" w:eastAsia="Calibri" w:hAnsiTheme="majorHAnsi" w:cstheme="majorHAnsi"/>
          <w:vertAlign w:val="superscript"/>
        </w:rPr>
        <w:footnoteReference w:id="18"/>
      </w:r>
      <w:r w:rsidRPr="000501B0">
        <w:rPr>
          <w:rFonts w:asciiTheme="majorHAnsi" w:eastAsia="Calibri" w:hAnsiTheme="majorHAnsi" w:cstheme="majorHAnsi"/>
        </w:rPr>
        <w:t xml:space="preserve"> What is known about LGBTQI+ persons is also often based on research conducted by the global north, although this research does not address the nuances of LGBTQI+ health in under-resourced contexts, with varied socio-cultural factors.</w:t>
      </w:r>
      <w:r w:rsidRPr="000501B0">
        <w:rPr>
          <w:rFonts w:asciiTheme="majorHAnsi" w:eastAsia="Calibri" w:hAnsiTheme="majorHAnsi" w:cstheme="majorHAnsi"/>
          <w:vertAlign w:val="superscript"/>
        </w:rPr>
        <w:footnoteReference w:id="19"/>
      </w:r>
    </w:p>
    <w:p w14:paraId="1A8B6553" w14:textId="77777777" w:rsidR="009B0950" w:rsidRPr="000501B0" w:rsidRDefault="00492F84" w:rsidP="000501B0">
      <w:pPr>
        <w:pStyle w:val="Heading3"/>
        <w:spacing w:before="400" w:after="400" w:line="240" w:lineRule="auto"/>
        <w:ind w:left="946" w:hanging="226"/>
        <w:jc w:val="both"/>
        <w:rPr>
          <w:rFonts w:asciiTheme="majorHAnsi" w:hAnsiTheme="majorHAnsi" w:cstheme="majorHAnsi"/>
          <w:b/>
          <w:color w:val="000000"/>
          <w:sz w:val="22"/>
          <w:szCs w:val="22"/>
        </w:rPr>
      </w:pPr>
      <w:bookmarkStart w:id="12" w:name="_5ara1y3da8u9" w:colFirst="0" w:colLast="0"/>
      <w:bookmarkEnd w:id="12"/>
      <w:r w:rsidRPr="000501B0">
        <w:rPr>
          <w:rFonts w:asciiTheme="majorHAnsi" w:hAnsiTheme="majorHAnsi" w:cstheme="majorHAnsi"/>
          <w:color w:val="000000"/>
          <w:sz w:val="22"/>
          <w:szCs w:val="22"/>
        </w:rPr>
        <w:t>iii.</w:t>
      </w:r>
      <w:r w:rsidRPr="000501B0">
        <w:rPr>
          <w:rFonts w:asciiTheme="majorHAnsi" w:hAnsiTheme="majorHAnsi" w:cstheme="majorHAnsi"/>
          <w:b/>
          <w:color w:val="000000"/>
          <w:sz w:val="22"/>
          <w:szCs w:val="22"/>
        </w:rPr>
        <w:t xml:space="preserve"> Is this data a</w:t>
      </w:r>
      <w:r w:rsidRPr="000501B0">
        <w:rPr>
          <w:rFonts w:asciiTheme="majorHAnsi" w:hAnsiTheme="majorHAnsi" w:cstheme="majorHAnsi"/>
          <w:b/>
          <w:color w:val="000000"/>
          <w:sz w:val="22"/>
          <w:szCs w:val="22"/>
        </w:rPr>
        <w:t>nalyzed through an intersectional lens, such as by disaggregating data by sexual orientation and/or gender identity, as well as intersecting identities including social or geographic origin, ethnicity, socio-economic status, nationality or migration status</w:t>
      </w:r>
      <w:r w:rsidRPr="000501B0">
        <w:rPr>
          <w:rFonts w:asciiTheme="majorHAnsi" w:hAnsiTheme="majorHAnsi" w:cstheme="majorHAnsi"/>
          <w:b/>
          <w:color w:val="000000"/>
          <w:sz w:val="22"/>
          <w:szCs w:val="22"/>
        </w:rPr>
        <w:t>, minority, disability, and indigenous or other identity or status?</w:t>
      </w:r>
    </w:p>
    <w:p w14:paraId="70BADB25" w14:textId="77777777" w:rsidR="009B0950" w:rsidRPr="000501B0" w:rsidRDefault="00492F84" w:rsidP="000501B0">
      <w:pPr>
        <w:spacing w:line="240" w:lineRule="auto"/>
        <w:jc w:val="both"/>
        <w:rPr>
          <w:rFonts w:asciiTheme="majorHAnsi" w:eastAsia="Calibri" w:hAnsiTheme="majorHAnsi" w:cstheme="majorHAnsi"/>
        </w:rPr>
      </w:pPr>
      <w:r w:rsidRPr="000501B0">
        <w:rPr>
          <w:rFonts w:asciiTheme="majorHAnsi" w:eastAsia="Calibri" w:hAnsiTheme="majorHAnsi" w:cstheme="majorHAnsi"/>
        </w:rPr>
        <w:t xml:space="preserve">Some data </w:t>
      </w:r>
      <w:proofErr w:type="gramStart"/>
      <w:r w:rsidRPr="000501B0">
        <w:rPr>
          <w:rFonts w:asciiTheme="majorHAnsi" w:eastAsia="Calibri" w:hAnsiTheme="majorHAnsi" w:cstheme="majorHAnsi"/>
        </w:rPr>
        <w:t>is analysed</w:t>
      </w:r>
      <w:proofErr w:type="gramEnd"/>
      <w:r w:rsidRPr="000501B0">
        <w:rPr>
          <w:rFonts w:asciiTheme="majorHAnsi" w:eastAsia="Calibri" w:hAnsiTheme="majorHAnsi" w:cstheme="majorHAnsi"/>
        </w:rPr>
        <w:t xml:space="preserve"> through an intersectional lens, including disaggregation by SOGIESC, race, socio-economic status, religion, geographic area and/or nationality, etc., particularly in </w:t>
      </w:r>
      <w:r w:rsidRPr="000501B0">
        <w:rPr>
          <w:rFonts w:asciiTheme="majorHAnsi" w:eastAsia="Calibri" w:hAnsiTheme="majorHAnsi" w:cstheme="majorHAnsi"/>
        </w:rPr>
        <w:t>research conducted by CSOs and research institutions.</w:t>
      </w:r>
    </w:p>
    <w:p w14:paraId="4B760AE9" w14:textId="77777777" w:rsidR="009B0950" w:rsidRPr="000501B0" w:rsidRDefault="00492F84" w:rsidP="000501B0">
      <w:pPr>
        <w:pStyle w:val="Heading2"/>
        <w:shd w:val="clear" w:color="auto" w:fill="FFFFFF"/>
        <w:spacing w:before="300" w:after="300" w:line="240" w:lineRule="auto"/>
        <w:rPr>
          <w:rFonts w:asciiTheme="majorHAnsi" w:hAnsiTheme="majorHAnsi" w:cstheme="majorHAnsi"/>
          <w:b/>
          <w:sz w:val="22"/>
          <w:szCs w:val="22"/>
        </w:rPr>
      </w:pPr>
      <w:bookmarkStart w:id="13" w:name="_p9ntgpk01o5f" w:colFirst="0" w:colLast="0"/>
      <w:bookmarkEnd w:id="13"/>
      <w:r w:rsidRPr="000501B0">
        <w:rPr>
          <w:rFonts w:asciiTheme="majorHAnsi" w:hAnsiTheme="majorHAnsi" w:cstheme="majorHAnsi"/>
          <w:b/>
          <w:sz w:val="22"/>
          <w:szCs w:val="22"/>
        </w:rPr>
        <w:t>2. Inclusion: LGTBI and GNC people in the decision-making process</w:t>
      </w:r>
    </w:p>
    <w:p w14:paraId="0A8D58DA" w14:textId="77777777" w:rsidR="009B0950" w:rsidRPr="000501B0" w:rsidRDefault="00492F84" w:rsidP="000501B0">
      <w:pPr>
        <w:pStyle w:val="Heading3"/>
        <w:spacing w:before="160" w:after="160" w:line="240" w:lineRule="auto"/>
        <w:ind w:left="946" w:hanging="226"/>
        <w:jc w:val="both"/>
        <w:rPr>
          <w:rFonts w:asciiTheme="majorHAnsi" w:hAnsiTheme="majorHAnsi" w:cstheme="majorHAnsi"/>
          <w:b/>
          <w:color w:val="000000"/>
          <w:sz w:val="22"/>
          <w:szCs w:val="22"/>
        </w:rPr>
      </w:pPr>
      <w:bookmarkStart w:id="14" w:name="_p8f348wjwbfj" w:colFirst="0" w:colLast="0"/>
      <w:bookmarkEnd w:id="14"/>
      <w:r w:rsidRPr="000501B0">
        <w:rPr>
          <w:rFonts w:asciiTheme="majorHAnsi" w:hAnsiTheme="majorHAnsi" w:cstheme="majorHAnsi"/>
          <w:color w:val="000000"/>
          <w:sz w:val="22"/>
          <w:szCs w:val="22"/>
        </w:rPr>
        <w:t xml:space="preserve">i. </w:t>
      </w:r>
      <w:r w:rsidRPr="000501B0">
        <w:rPr>
          <w:rFonts w:asciiTheme="majorHAnsi" w:hAnsiTheme="majorHAnsi" w:cstheme="majorHAnsi"/>
          <w:b/>
          <w:color w:val="000000"/>
          <w:sz w:val="22"/>
          <w:szCs w:val="22"/>
        </w:rPr>
        <w:t>What measures have been put in place to consult with and include persons affected by violence and discrimination based on sexual orie</w:t>
      </w:r>
      <w:r w:rsidRPr="000501B0">
        <w:rPr>
          <w:rFonts w:asciiTheme="majorHAnsi" w:hAnsiTheme="majorHAnsi" w:cstheme="majorHAnsi"/>
          <w:b/>
          <w:color w:val="000000"/>
          <w:sz w:val="22"/>
          <w:szCs w:val="22"/>
        </w:rPr>
        <w:t>ntation and gender identity in law and policy making in relation to the right of everyone to the enjoyment of the highest attainable standard of physical and mental health, and in relation to realising the SDGs?</w:t>
      </w:r>
    </w:p>
    <w:p w14:paraId="6B964C41" w14:textId="77777777" w:rsidR="009B0950" w:rsidRPr="000501B0" w:rsidRDefault="00492F84" w:rsidP="000501B0">
      <w:pPr>
        <w:spacing w:before="400" w:after="400" w:line="240" w:lineRule="auto"/>
        <w:rPr>
          <w:rFonts w:asciiTheme="majorHAnsi" w:eastAsia="Calibri" w:hAnsiTheme="majorHAnsi" w:cstheme="majorHAnsi"/>
        </w:rPr>
      </w:pPr>
      <w:r w:rsidRPr="000501B0">
        <w:rPr>
          <w:rFonts w:asciiTheme="majorHAnsi" w:eastAsia="Calibri" w:hAnsiTheme="majorHAnsi" w:cstheme="majorHAnsi"/>
        </w:rPr>
        <w:t>Occasional multi-sectoral consultations take</w:t>
      </w:r>
      <w:r w:rsidRPr="000501B0">
        <w:rPr>
          <w:rFonts w:asciiTheme="majorHAnsi" w:eastAsia="Calibri" w:hAnsiTheme="majorHAnsi" w:cstheme="majorHAnsi"/>
        </w:rPr>
        <w:t xml:space="preserve"> place, especially in relation to HIV</w:t>
      </w:r>
      <w:r w:rsidRPr="000501B0">
        <w:rPr>
          <w:rFonts w:asciiTheme="majorHAnsi" w:eastAsia="Calibri" w:hAnsiTheme="majorHAnsi" w:cstheme="majorHAnsi"/>
          <w:vertAlign w:val="superscript"/>
        </w:rPr>
        <w:footnoteReference w:id="20"/>
      </w:r>
      <w:r w:rsidRPr="000501B0">
        <w:rPr>
          <w:rFonts w:asciiTheme="majorHAnsi" w:eastAsia="Calibri" w:hAnsiTheme="majorHAnsi" w:cstheme="majorHAnsi"/>
        </w:rPr>
        <w:t xml:space="preserve"> and hate crimes,</w:t>
      </w:r>
      <w:r w:rsidRPr="000501B0">
        <w:rPr>
          <w:rFonts w:asciiTheme="majorHAnsi" w:eastAsia="Calibri" w:hAnsiTheme="majorHAnsi" w:cstheme="majorHAnsi"/>
          <w:vertAlign w:val="superscript"/>
        </w:rPr>
        <w:footnoteReference w:id="21"/>
      </w:r>
      <w:r w:rsidRPr="000501B0">
        <w:rPr>
          <w:rFonts w:asciiTheme="majorHAnsi" w:eastAsia="Calibri" w:hAnsiTheme="majorHAnsi" w:cstheme="majorHAnsi"/>
        </w:rPr>
        <w:t xml:space="preserve"> but no measures are in place to systematically involve SOGIESC minorities in broader health-related law and policy making (including the National Health Insurance) and realising the SDGs.</w:t>
      </w:r>
      <w:r w:rsidRPr="000501B0">
        <w:rPr>
          <w:rFonts w:asciiTheme="majorHAnsi" w:eastAsia="Calibri" w:hAnsiTheme="majorHAnsi" w:cstheme="majorHAnsi"/>
          <w:vertAlign w:val="superscript"/>
        </w:rPr>
        <w:footnoteReference w:id="22"/>
      </w:r>
      <w:r w:rsidRPr="000501B0">
        <w:rPr>
          <w:rFonts w:asciiTheme="majorHAnsi" w:eastAsia="Calibri" w:hAnsiTheme="majorHAnsi" w:cstheme="majorHAnsi"/>
        </w:rPr>
        <w:t xml:space="preserve">   </w:t>
      </w:r>
    </w:p>
    <w:p w14:paraId="7FF84821" w14:textId="77777777" w:rsidR="009B0950" w:rsidRPr="000501B0" w:rsidRDefault="00492F84" w:rsidP="000501B0">
      <w:pPr>
        <w:pStyle w:val="Heading3"/>
        <w:shd w:val="clear" w:color="auto" w:fill="FFFFFF"/>
        <w:spacing w:before="400" w:after="400" w:line="240" w:lineRule="auto"/>
        <w:ind w:left="946" w:hanging="226"/>
        <w:jc w:val="both"/>
        <w:rPr>
          <w:rFonts w:asciiTheme="majorHAnsi" w:hAnsiTheme="majorHAnsi" w:cstheme="majorHAnsi"/>
          <w:b/>
          <w:color w:val="000000"/>
          <w:sz w:val="22"/>
          <w:szCs w:val="22"/>
        </w:rPr>
      </w:pPr>
      <w:bookmarkStart w:id="15" w:name="_ynti998sw2bt" w:colFirst="0" w:colLast="0"/>
      <w:bookmarkEnd w:id="15"/>
      <w:r w:rsidRPr="000501B0">
        <w:rPr>
          <w:rFonts w:asciiTheme="majorHAnsi" w:hAnsiTheme="majorHAnsi" w:cstheme="majorHAnsi"/>
          <w:color w:val="000000"/>
          <w:sz w:val="22"/>
          <w:szCs w:val="22"/>
        </w:rPr>
        <w:t xml:space="preserve">ii. </w:t>
      </w:r>
      <w:r w:rsidRPr="000501B0">
        <w:rPr>
          <w:rFonts w:asciiTheme="majorHAnsi" w:hAnsiTheme="majorHAnsi" w:cstheme="majorHAnsi"/>
          <w:b/>
          <w:color w:val="000000"/>
          <w:sz w:val="22"/>
          <w:szCs w:val="22"/>
        </w:rPr>
        <w:t>To what extent are persons affected by violence and discrimination based on sexual orientation and gender identity included in policies and practice around sexual and reproductive health care?</w:t>
      </w:r>
    </w:p>
    <w:p w14:paraId="72F41731" w14:textId="77777777" w:rsidR="009B0950" w:rsidRPr="000501B0" w:rsidRDefault="00492F84" w:rsidP="000501B0">
      <w:pPr>
        <w:shd w:val="clear" w:color="auto" w:fill="FFFFFF"/>
        <w:spacing w:line="240" w:lineRule="auto"/>
        <w:jc w:val="both"/>
        <w:rPr>
          <w:rFonts w:asciiTheme="majorHAnsi" w:eastAsia="Calibri" w:hAnsiTheme="majorHAnsi" w:cstheme="majorHAnsi"/>
        </w:rPr>
      </w:pPr>
      <w:r w:rsidRPr="000501B0">
        <w:rPr>
          <w:rFonts w:asciiTheme="majorHAnsi" w:eastAsia="Calibri" w:hAnsiTheme="majorHAnsi" w:cstheme="majorHAnsi"/>
        </w:rPr>
        <w:t>There has been some consultation of LGBTIQ+ persons in national</w:t>
      </w:r>
      <w:r w:rsidRPr="000501B0">
        <w:rPr>
          <w:rFonts w:asciiTheme="majorHAnsi" w:eastAsia="Calibri" w:hAnsiTheme="majorHAnsi" w:cstheme="majorHAnsi"/>
        </w:rPr>
        <w:t xml:space="preserve"> HIV/AIDS and STI planning,</w:t>
      </w:r>
      <w:r w:rsidRPr="000501B0">
        <w:rPr>
          <w:rFonts w:asciiTheme="majorHAnsi" w:eastAsia="Calibri" w:hAnsiTheme="majorHAnsi" w:cstheme="majorHAnsi"/>
          <w:vertAlign w:val="superscript"/>
        </w:rPr>
        <w:footnoteReference w:id="23"/>
      </w:r>
      <w:r w:rsidRPr="000501B0">
        <w:rPr>
          <w:rFonts w:asciiTheme="majorHAnsi" w:eastAsia="Calibri" w:hAnsiTheme="majorHAnsi" w:cstheme="majorHAnsi"/>
        </w:rPr>
        <w:t xml:space="preserve"> </w:t>
      </w:r>
      <w:r w:rsidRPr="000501B0">
        <w:rPr>
          <w:rFonts w:asciiTheme="majorHAnsi" w:eastAsia="Calibri" w:hAnsiTheme="majorHAnsi" w:cstheme="majorHAnsi"/>
          <w:vertAlign w:val="superscript"/>
        </w:rPr>
        <w:footnoteReference w:id="24"/>
      </w:r>
      <w:r w:rsidRPr="000501B0">
        <w:rPr>
          <w:rFonts w:asciiTheme="majorHAnsi" w:eastAsia="Calibri" w:hAnsiTheme="majorHAnsi" w:cstheme="majorHAnsi"/>
        </w:rPr>
        <w:t xml:space="preserve"> but there are no programmes that comprehensively cover SRH needs of  LBTIQ+ persons. Yet LGBTIQ+ persons still face pervasive discrimination in public health facilities</w:t>
      </w:r>
      <w:r w:rsidRPr="000501B0">
        <w:rPr>
          <w:rFonts w:asciiTheme="majorHAnsi" w:eastAsia="Calibri" w:hAnsiTheme="majorHAnsi" w:cstheme="majorHAnsi"/>
          <w:vertAlign w:val="superscript"/>
        </w:rPr>
        <w:footnoteReference w:id="25"/>
      </w:r>
      <w:r w:rsidRPr="000501B0">
        <w:rPr>
          <w:rFonts w:asciiTheme="majorHAnsi" w:eastAsia="Calibri" w:hAnsiTheme="majorHAnsi" w:cstheme="majorHAnsi"/>
        </w:rPr>
        <w:t xml:space="preserve"> </w:t>
      </w:r>
      <w:r w:rsidRPr="000501B0">
        <w:rPr>
          <w:rFonts w:asciiTheme="majorHAnsi" w:eastAsia="Calibri" w:hAnsiTheme="majorHAnsi" w:cstheme="majorHAnsi"/>
          <w:vertAlign w:val="superscript"/>
        </w:rPr>
        <w:footnoteReference w:id="26"/>
      </w:r>
      <w:r w:rsidRPr="000501B0">
        <w:rPr>
          <w:rFonts w:asciiTheme="majorHAnsi" w:eastAsia="Calibri" w:hAnsiTheme="majorHAnsi" w:cstheme="majorHAnsi"/>
        </w:rPr>
        <w:t xml:space="preserve"> and challenges to access SRH.</w:t>
      </w:r>
      <w:r w:rsidRPr="000501B0">
        <w:rPr>
          <w:rFonts w:asciiTheme="majorHAnsi" w:eastAsia="Calibri" w:hAnsiTheme="majorHAnsi" w:cstheme="majorHAnsi"/>
          <w:vertAlign w:val="superscript"/>
        </w:rPr>
        <w:footnoteReference w:id="27"/>
      </w:r>
      <w:r w:rsidRPr="000501B0">
        <w:rPr>
          <w:rFonts w:asciiTheme="majorHAnsi" w:eastAsia="Calibri" w:hAnsiTheme="majorHAnsi" w:cstheme="majorHAnsi"/>
        </w:rPr>
        <w:t xml:space="preserve">    </w:t>
      </w:r>
    </w:p>
    <w:p w14:paraId="192AA0B9" w14:textId="77777777" w:rsidR="009B0950" w:rsidRPr="000501B0" w:rsidRDefault="00492F84" w:rsidP="000501B0">
      <w:pPr>
        <w:pStyle w:val="Heading3"/>
        <w:spacing w:before="400" w:after="400" w:line="240" w:lineRule="auto"/>
        <w:ind w:left="946" w:hanging="226"/>
        <w:jc w:val="both"/>
        <w:rPr>
          <w:rFonts w:asciiTheme="majorHAnsi" w:hAnsiTheme="majorHAnsi" w:cstheme="majorHAnsi"/>
          <w:b/>
          <w:color w:val="000000"/>
          <w:sz w:val="22"/>
          <w:szCs w:val="22"/>
        </w:rPr>
      </w:pPr>
      <w:bookmarkStart w:id="16" w:name="_mztndr293rhn" w:colFirst="0" w:colLast="0"/>
      <w:bookmarkEnd w:id="16"/>
      <w:r w:rsidRPr="000501B0">
        <w:rPr>
          <w:rFonts w:asciiTheme="majorHAnsi" w:hAnsiTheme="majorHAnsi" w:cstheme="majorHAnsi"/>
          <w:color w:val="000000"/>
          <w:sz w:val="22"/>
          <w:szCs w:val="22"/>
        </w:rPr>
        <w:t>iii.</w:t>
      </w:r>
      <w:r w:rsidRPr="000501B0">
        <w:rPr>
          <w:rFonts w:asciiTheme="majorHAnsi" w:hAnsiTheme="majorHAnsi" w:cstheme="majorHAnsi"/>
          <w:b/>
          <w:color w:val="000000"/>
          <w:sz w:val="22"/>
          <w:szCs w:val="22"/>
        </w:rPr>
        <w:t xml:space="preserve"> What support or technical assistance is needed to ensure that the health care needs of persons affected by violence and discrimination based on sexual orientation and gender identity people are comprehensively addr</w:t>
      </w:r>
      <w:r w:rsidRPr="000501B0">
        <w:rPr>
          <w:rFonts w:asciiTheme="majorHAnsi" w:hAnsiTheme="majorHAnsi" w:cstheme="majorHAnsi"/>
          <w:b/>
          <w:color w:val="000000"/>
          <w:sz w:val="22"/>
          <w:szCs w:val="22"/>
        </w:rPr>
        <w:t>essed and included in relevant laws, policies, and practices?</w:t>
      </w:r>
    </w:p>
    <w:p w14:paraId="13649EAB" w14:textId="725E1BB2" w:rsidR="009B0950" w:rsidRPr="000501B0" w:rsidRDefault="00492F84" w:rsidP="000501B0">
      <w:pPr>
        <w:spacing w:before="400" w:after="400" w:line="240" w:lineRule="auto"/>
        <w:jc w:val="both"/>
        <w:rPr>
          <w:rFonts w:asciiTheme="majorHAnsi" w:eastAsia="Calibri" w:hAnsiTheme="majorHAnsi" w:cstheme="majorHAnsi"/>
        </w:rPr>
      </w:pPr>
      <w:r w:rsidRPr="000501B0">
        <w:rPr>
          <w:rFonts w:asciiTheme="majorHAnsi" w:eastAsia="Calibri" w:hAnsiTheme="majorHAnsi" w:cstheme="majorHAnsi"/>
        </w:rPr>
        <w:t xml:space="preserve">There is a need </w:t>
      </w:r>
      <w:r w:rsidRPr="000501B0">
        <w:rPr>
          <w:rFonts w:asciiTheme="majorHAnsi" w:eastAsia="Calibri" w:hAnsiTheme="majorHAnsi" w:cstheme="majorHAnsi"/>
        </w:rPr>
        <w:t xml:space="preserve">to eliminate a long history of </w:t>
      </w:r>
      <w:r w:rsidR="005D7066" w:rsidRPr="000501B0">
        <w:rPr>
          <w:rFonts w:asciiTheme="majorHAnsi" w:eastAsia="Calibri" w:hAnsiTheme="majorHAnsi" w:cstheme="majorHAnsi"/>
        </w:rPr>
        <w:t>institutional</w:t>
      </w:r>
      <w:r w:rsidRPr="000501B0">
        <w:rPr>
          <w:rFonts w:asciiTheme="majorHAnsi" w:eastAsia="Calibri" w:hAnsiTheme="majorHAnsi" w:cstheme="majorHAnsi"/>
        </w:rPr>
        <w:t xml:space="preserve"> healthcare discrimination,  raise awareness on the needs of SOGIESC minorities among health care professionals,</w:t>
      </w:r>
      <w:r w:rsidRPr="000501B0">
        <w:rPr>
          <w:rFonts w:asciiTheme="majorHAnsi" w:eastAsia="Calibri" w:hAnsiTheme="majorHAnsi" w:cstheme="majorHAnsi"/>
          <w:vertAlign w:val="superscript"/>
        </w:rPr>
        <w:footnoteReference w:id="28"/>
      </w:r>
      <w:r w:rsidRPr="000501B0">
        <w:rPr>
          <w:rFonts w:asciiTheme="majorHAnsi" w:eastAsia="Calibri" w:hAnsiTheme="majorHAnsi" w:cstheme="majorHAnsi"/>
        </w:rPr>
        <w:t xml:space="preserve"> lobby for the inclusion of LGBTIQ+ topics in all health sciences curricula to equip healthcare pr</w:t>
      </w:r>
      <w:r w:rsidRPr="000501B0">
        <w:rPr>
          <w:rFonts w:asciiTheme="majorHAnsi" w:eastAsia="Calibri" w:hAnsiTheme="majorHAnsi" w:cstheme="majorHAnsi"/>
        </w:rPr>
        <w:t xml:space="preserve">oviders with knowledge on competent healthcare provision for LGBTIQ+ people, fund CSOs to conduct </w:t>
      </w:r>
      <w:r w:rsidR="005D7066" w:rsidRPr="000501B0">
        <w:rPr>
          <w:rFonts w:asciiTheme="majorHAnsi" w:eastAsia="Calibri" w:hAnsiTheme="majorHAnsi" w:cstheme="majorHAnsi"/>
        </w:rPr>
        <w:t>behavioural</w:t>
      </w:r>
      <w:r w:rsidRPr="000501B0">
        <w:rPr>
          <w:rFonts w:asciiTheme="majorHAnsi" w:eastAsia="Calibri" w:hAnsiTheme="majorHAnsi" w:cstheme="majorHAnsi"/>
        </w:rPr>
        <w:t xml:space="preserve"> change health seeking practices and equip LGBTIQ persons to use accountability mechanisms within the health system when their right to access healt</w:t>
      </w:r>
      <w:r w:rsidRPr="000501B0">
        <w:rPr>
          <w:rFonts w:asciiTheme="majorHAnsi" w:eastAsia="Calibri" w:hAnsiTheme="majorHAnsi" w:cstheme="majorHAnsi"/>
        </w:rPr>
        <w:t xml:space="preserve">hcare is violated.   </w:t>
      </w:r>
    </w:p>
    <w:p w14:paraId="1627C836" w14:textId="77777777" w:rsidR="009B0950" w:rsidRPr="000501B0" w:rsidRDefault="00492F84" w:rsidP="000501B0">
      <w:pPr>
        <w:pStyle w:val="Heading3"/>
        <w:shd w:val="clear" w:color="auto" w:fill="FFFFFF"/>
        <w:spacing w:line="240" w:lineRule="auto"/>
        <w:ind w:left="946" w:hanging="226"/>
        <w:jc w:val="both"/>
        <w:rPr>
          <w:rFonts w:asciiTheme="majorHAnsi" w:hAnsiTheme="majorHAnsi" w:cstheme="majorHAnsi"/>
          <w:b/>
          <w:color w:val="000000"/>
          <w:sz w:val="22"/>
          <w:szCs w:val="22"/>
        </w:rPr>
      </w:pPr>
      <w:bookmarkStart w:id="17" w:name="_ifwqscuhm38m" w:colFirst="0" w:colLast="0"/>
      <w:bookmarkEnd w:id="17"/>
      <w:r w:rsidRPr="000501B0">
        <w:rPr>
          <w:rFonts w:asciiTheme="majorHAnsi" w:hAnsiTheme="majorHAnsi" w:cstheme="majorHAnsi"/>
          <w:color w:val="000000"/>
          <w:sz w:val="22"/>
          <w:szCs w:val="22"/>
        </w:rPr>
        <w:t xml:space="preserve">iv. </w:t>
      </w:r>
      <w:r w:rsidRPr="000501B0">
        <w:rPr>
          <w:rFonts w:asciiTheme="majorHAnsi" w:hAnsiTheme="majorHAnsi" w:cstheme="majorHAnsi"/>
          <w:b/>
          <w:color w:val="000000"/>
          <w:sz w:val="22"/>
          <w:szCs w:val="22"/>
        </w:rPr>
        <w:t>What are the main barriers, in law or practice, for persons affected by violence and discrimination based on sexual orientation and gender identity to receive care that meets their physical and mental health needs and rights?</w:t>
      </w:r>
    </w:p>
    <w:p w14:paraId="0F387B0A" w14:textId="77777777" w:rsidR="009B0950" w:rsidRPr="000501B0" w:rsidRDefault="009B0950" w:rsidP="000501B0">
      <w:pPr>
        <w:shd w:val="clear" w:color="auto" w:fill="FFFFFF"/>
        <w:spacing w:line="240" w:lineRule="auto"/>
        <w:ind w:left="720"/>
        <w:jc w:val="both"/>
        <w:rPr>
          <w:rFonts w:asciiTheme="majorHAnsi" w:eastAsia="Calibri" w:hAnsiTheme="majorHAnsi" w:cstheme="majorHAnsi"/>
          <w:i/>
        </w:rPr>
      </w:pPr>
    </w:p>
    <w:p w14:paraId="04D4E3B0" w14:textId="77777777" w:rsidR="009B0950" w:rsidRPr="000501B0" w:rsidRDefault="00492F84" w:rsidP="000501B0">
      <w:pPr>
        <w:shd w:val="clear" w:color="auto" w:fill="FFFFFF"/>
        <w:spacing w:after="160" w:line="240" w:lineRule="auto"/>
        <w:jc w:val="both"/>
        <w:rPr>
          <w:rFonts w:asciiTheme="majorHAnsi" w:eastAsia="Calibri" w:hAnsiTheme="majorHAnsi" w:cstheme="majorHAnsi"/>
        </w:rPr>
      </w:pPr>
      <w:r w:rsidRPr="000501B0">
        <w:rPr>
          <w:rFonts w:asciiTheme="majorHAnsi" w:eastAsia="Calibri" w:hAnsiTheme="majorHAnsi" w:cstheme="majorHAnsi"/>
        </w:rPr>
        <w:t>Bar</w:t>
      </w:r>
      <w:r w:rsidRPr="000501B0">
        <w:rPr>
          <w:rFonts w:asciiTheme="majorHAnsi" w:eastAsia="Calibri" w:hAnsiTheme="majorHAnsi" w:cstheme="majorHAnsi"/>
        </w:rPr>
        <w:t>riers include a lack of laws, policies and/or practices that ensures data collection on LGBTQI+ healthcare needs,</w:t>
      </w:r>
      <w:r w:rsidRPr="000501B0">
        <w:rPr>
          <w:rFonts w:asciiTheme="majorHAnsi" w:eastAsia="Calibri" w:hAnsiTheme="majorHAnsi" w:cstheme="majorHAnsi"/>
          <w:vertAlign w:val="superscript"/>
        </w:rPr>
        <w:footnoteReference w:id="29"/>
      </w:r>
      <w:r w:rsidRPr="000501B0">
        <w:rPr>
          <w:rFonts w:asciiTheme="majorHAnsi" w:eastAsia="Calibri" w:hAnsiTheme="majorHAnsi" w:cstheme="majorHAnsi"/>
        </w:rPr>
        <w:t xml:space="preserve"> prevent discrimination against SOGIESC minorities in healthcare, ensure legal gender recognition based on gender self-determination,</w:t>
      </w:r>
      <w:r w:rsidRPr="000501B0">
        <w:rPr>
          <w:rFonts w:asciiTheme="majorHAnsi" w:eastAsia="Calibri" w:hAnsiTheme="majorHAnsi" w:cstheme="majorHAnsi"/>
          <w:vertAlign w:val="superscript"/>
        </w:rPr>
        <w:footnoteReference w:id="30"/>
      </w:r>
      <w:r w:rsidRPr="000501B0">
        <w:rPr>
          <w:rFonts w:asciiTheme="majorHAnsi" w:eastAsia="Calibri" w:hAnsiTheme="majorHAnsi" w:cstheme="majorHAnsi"/>
        </w:rPr>
        <w:t xml:space="preserve"> make </w:t>
      </w:r>
      <w:r w:rsidRPr="000501B0">
        <w:rPr>
          <w:rFonts w:asciiTheme="majorHAnsi" w:eastAsia="Calibri" w:hAnsiTheme="majorHAnsi" w:cstheme="majorHAnsi"/>
        </w:rPr>
        <w:t>provision for gender affirming healthcare</w:t>
      </w:r>
      <w:r w:rsidRPr="000501B0">
        <w:rPr>
          <w:rFonts w:asciiTheme="majorHAnsi" w:eastAsia="Calibri" w:hAnsiTheme="majorHAnsi" w:cstheme="majorHAnsi"/>
          <w:vertAlign w:val="superscript"/>
        </w:rPr>
        <w:footnoteReference w:id="31"/>
      </w:r>
      <w:r w:rsidRPr="000501B0">
        <w:rPr>
          <w:rFonts w:asciiTheme="majorHAnsi" w:eastAsia="Calibri" w:hAnsiTheme="majorHAnsi" w:cstheme="majorHAnsi"/>
        </w:rPr>
        <w:t xml:space="preserve">  from primary healthcare level, prohibit intersex genital mutilation (IGM) and protect intersex rights in medical settings.</w:t>
      </w:r>
      <w:r w:rsidRPr="000501B0">
        <w:rPr>
          <w:rFonts w:asciiTheme="majorHAnsi" w:eastAsia="Calibri" w:hAnsiTheme="majorHAnsi" w:cstheme="majorHAnsi"/>
          <w:vertAlign w:val="superscript"/>
        </w:rPr>
        <w:footnoteReference w:id="32"/>
      </w:r>
      <w:r w:rsidRPr="000501B0">
        <w:rPr>
          <w:rFonts w:asciiTheme="majorHAnsi" w:eastAsia="Calibri" w:hAnsiTheme="majorHAnsi" w:cstheme="majorHAnsi"/>
        </w:rPr>
        <w:t xml:space="preserve"> </w:t>
      </w:r>
    </w:p>
    <w:p w14:paraId="762F7B20" w14:textId="44B031E1" w:rsidR="009B0950" w:rsidRPr="000501B0" w:rsidRDefault="00492F84" w:rsidP="000501B0">
      <w:pPr>
        <w:shd w:val="clear" w:color="auto" w:fill="FFFFFF"/>
        <w:spacing w:after="160" w:line="240" w:lineRule="auto"/>
        <w:jc w:val="both"/>
        <w:rPr>
          <w:rFonts w:asciiTheme="majorHAnsi" w:eastAsia="Calibri" w:hAnsiTheme="majorHAnsi" w:cstheme="majorHAnsi"/>
        </w:rPr>
      </w:pPr>
      <w:r w:rsidRPr="000501B0">
        <w:rPr>
          <w:rFonts w:asciiTheme="majorHAnsi" w:eastAsia="Calibri" w:hAnsiTheme="majorHAnsi" w:cstheme="majorHAnsi"/>
        </w:rPr>
        <w:t>The National Health Act 61 of 2003</w:t>
      </w:r>
      <w:r w:rsidRPr="000501B0">
        <w:rPr>
          <w:rFonts w:asciiTheme="majorHAnsi" w:eastAsia="Calibri" w:hAnsiTheme="majorHAnsi" w:cstheme="majorHAnsi"/>
          <w:vertAlign w:val="superscript"/>
        </w:rPr>
        <w:footnoteReference w:id="33"/>
      </w:r>
      <w:r w:rsidRPr="000501B0">
        <w:rPr>
          <w:rFonts w:asciiTheme="majorHAnsi" w:eastAsia="Calibri" w:hAnsiTheme="majorHAnsi" w:cstheme="majorHAnsi"/>
        </w:rPr>
        <w:t xml:space="preserve"> and National Health Insurance Policy</w:t>
      </w:r>
      <w:r w:rsidRPr="000501B0">
        <w:rPr>
          <w:rFonts w:asciiTheme="majorHAnsi" w:eastAsia="Calibri" w:hAnsiTheme="majorHAnsi" w:cstheme="majorHAnsi"/>
          <w:vertAlign w:val="superscript"/>
        </w:rPr>
        <w:footnoteReference w:id="34"/>
      </w:r>
      <w:r w:rsidRPr="000501B0">
        <w:rPr>
          <w:rFonts w:asciiTheme="majorHAnsi" w:eastAsia="Calibri" w:hAnsiTheme="majorHAnsi" w:cstheme="majorHAnsi"/>
        </w:rPr>
        <w:t xml:space="preserve"> do not in</w:t>
      </w:r>
      <w:r w:rsidRPr="000501B0">
        <w:rPr>
          <w:rFonts w:asciiTheme="majorHAnsi" w:eastAsia="Calibri" w:hAnsiTheme="majorHAnsi" w:cstheme="majorHAnsi"/>
        </w:rPr>
        <w:t xml:space="preserve">clude LGBTIQ+ persons as vulnerable groups, making it </w:t>
      </w:r>
      <w:r w:rsidR="005D7066" w:rsidRPr="000501B0">
        <w:rPr>
          <w:rFonts w:asciiTheme="majorHAnsi" w:eastAsia="Calibri" w:hAnsiTheme="majorHAnsi" w:cstheme="majorHAnsi"/>
        </w:rPr>
        <w:t>difficult to</w:t>
      </w:r>
      <w:r w:rsidRPr="000501B0">
        <w:rPr>
          <w:rFonts w:asciiTheme="majorHAnsi" w:eastAsia="Calibri" w:hAnsiTheme="majorHAnsi" w:cstheme="majorHAnsi"/>
        </w:rPr>
        <w:t xml:space="preserve"> attain universal health coverage for LGBTIQ+ persons. Healthcare professionals frequently misgender trans or GNC/gender diverse </w:t>
      </w:r>
      <w:r w:rsidR="005D7066" w:rsidRPr="000501B0">
        <w:rPr>
          <w:rFonts w:asciiTheme="majorHAnsi" w:eastAsia="Calibri" w:hAnsiTheme="majorHAnsi" w:cstheme="majorHAnsi"/>
        </w:rPr>
        <w:t>persons, refuse</w:t>
      </w:r>
      <w:r w:rsidRPr="000501B0">
        <w:rPr>
          <w:rFonts w:asciiTheme="majorHAnsi" w:eastAsia="Calibri" w:hAnsiTheme="majorHAnsi" w:cstheme="majorHAnsi"/>
        </w:rPr>
        <w:t xml:space="preserve"> treatment or make derogatory comments on th</w:t>
      </w:r>
      <w:r w:rsidRPr="000501B0">
        <w:rPr>
          <w:rFonts w:asciiTheme="majorHAnsi" w:eastAsia="Calibri" w:hAnsiTheme="majorHAnsi" w:cstheme="majorHAnsi"/>
        </w:rPr>
        <w:t xml:space="preserve">e SOGIESC of LGBTQI+ persons, and/or create an unwelcoming environment. </w:t>
      </w:r>
    </w:p>
    <w:p w14:paraId="16937091" w14:textId="77777777" w:rsidR="009B0950" w:rsidRPr="000501B0" w:rsidRDefault="00492F84" w:rsidP="000501B0">
      <w:pPr>
        <w:pStyle w:val="Heading2"/>
        <w:shd w:val="clear" w:color="auto" w:fill="FFFFFF"/>
        <w:spacing w:before="300" w:after="300" w:line="240" w:lineRule="auto"/>
        <w:jc w:val="both"/>
        <w:rPr>
          <w:rFonts w:asciiTheme="majorHAnsi" w:eastAsia="Calibri" w:hAnsiTheme="majorHAnsi" w:cstheme="majorHAnsi"/>
          <w:b/>
          <w:sz w:val="22"/>
          <w:szCs w:val="22"/>
        </w:rPr>
      </w:pPr>
      <w:bookmarkStart w:id="18" w:name="_gutjiff8428k" w:colFirst="0" w:colLast="0"/>
      <w:bookmarkEnd w:id="18"/>
      <w:r w:rsidRPr="000501B0">
        <w:rPr>
          <w:rFonts w:asciiTheme="majorHAnsi" w:eastAsia="Calibri" w:hAnsiTheme="majorHAnsi" w:cstheme="majorHAnsi"/>
          <w:sz w:val="22"/>
          <w:szCs w:val="22"/>
        </w:rPr>
        <w:t>Legal gender recognition in South Africa remains exclusionary, medicalised and binary (only female/male gender markers).</w:t>
      </w:r>
      <w:r w:rsidRPr="000501B0">
        <w:rPr>
          <w:rFonts w:asciiTheme="majorHAnsi" w:eastAsia="Calibri" w:hAnsiTheme="majorHAnsi" w:cstheme="majorHAnsi"/>
          <w:sz w:val="22"/>
          <w:szCs w:val="22"/>
          <w:vertAlign w:val="superscript"/>
        </w:rPr>
        <w:footnoteReference w:id="35"/>
      </w:r>
      <w:r w:rsidRPr="000501B0">
        <w:rPr>
          <w:rFonts w:asciiTheme="majorHAnsi" w:eastAsia="Calibri" w:hAnsiTheme="majorHAnsi" w:cstheme="majorHAnsi"/>
          <w:sz w:val="22"/>
          <w:szCs w:val="22"/>
        </w:rPr>
        <w:t xml:space="preserve"> Altering your gender marker or forenames can take years.</w:t>
      </w:r>
      <w:r w:rsidRPr="000501B0">
        <w:rPr>
          <w:rFonts w:asciiTheme="majorHAnsi" w:eastAsia="Calibri" w:hAnsiTheme="majorHAnsi" w:cstheme="majorHAnsi"/>
          <w:sz w:val="22"/>
          <w:szCs w:val="22"/>
          <w:vertAlign w:val="superscript"/>
        </w:rPr>
        <w:footnoteReference w:id="36"/>
      </w:r>
      <w:r w:rsidRPr="000501B0">
        <w:rPr>
          <w:rFonts w:asciiTheme="majorHAnsi" w:eastAsia="Calibri" w:hAnsiTheme="majorHAnsi" w:cstheme="majorHAnsi"/>
          <w:sz w:val="22"/>
          <w:szCs w:val="22"/>
        </w:rPr>
        <w:t xml:space="preserve"> Lack of identity documents that reflect one’s gender identity presents a major barrier for transgender, nonbinary and intersex persons who wish to access services, including healthcare. </w:t>
      </w:r>
    </w:p>
    <w:p w14:paraId="31521A8E" w14:textId="77777777" w:rsidR="009B0950" w:rsidRPr="000501B0" w:rsidRDefault="00492F84" w:rsidP="000501B0">
      <w:pPr>
        <w:pStyle w:val="Heading2"/>
        <w:shd w:val="clear" w:color="auto" w:fill="FFFFFF"/>
        <w:spacing w:before="300" w:after="300" w:line="240" w:lineRule="auto"/>
        <w:jc w:val="both"/>
        <w:rPr>
          <w:rFonts w:asciiTheme="majorHAnsi" w:hAnsiTheme="majorHAnsi" w:cstheme="majorHAnsi"/>
          <w:b/>
          <w:sz w:val="22"/>
          <w:szCs w:val="22"/>
        </w:rPr>
      </w:pPr>
      <w:bookmarkStart w:id="19" w:name="_g2si87hhs1nb" w:colFirst="0" w:colLast="0"/>
      <w:bookmarkEnd w:id="19"/>
      <w:r w:rsidRPr="000501B0">
        <w:rPr>
          <w:rFonts w:asciiTheme="majorHAnsi" w:hAnsiTheme="majorHAnsi" w:cstheme="majorHAnsi"/>
          <w:b/>
          <w:sz w:val="22"/>
          <w:szCs w:val="22"/>
        </w:rPr>
        <w:t xml:space="preserve">3. Access: ensuring that LGTBI and GNC people have access to health </w:t>
      </w:r>
      <w:r w:rsidRPr="000501B0">
        <w:rPr>
          <w:rFonts w:asciiTheme="majorHAnsi" w:hAnsiTheme="majorHAnsi" w:cstheme="majorHAnsi"/>
          <w:b/>
          <w:sz w:val="22"/>
          <w:szCs w:val="22"/>
        </w:rPr>
        <w:t>care</w:t>
      </w:r>
    </w:p>
    <w:p w14:paraId="35D1960C" w14:textId="77777777" w:rsidR="009B0950" w:rsidRPr="000501B0" w:rsidRDefault="00492F84" w:rsidP="000501B0">
      <w:pPr>
        <w:pStyle w:val="Heading3"/>
        <w:spacing w:before="400" w:after="400" w:line="240" w:lineRule="auto"/>
        <w:ind w:left="946" w:hanging="226"/>
        <w:rPr>
          <w:rFonts w:asciiTheme="majorHAnsi" w:hAnsiTheme="majorHAnsi" w:cstheme="majorHAnsi"/>
          <w:b/>
          <w:color w:val="000000"/>
          <w:sz w:val="22"/>
          <w:szCs w:val="22"/>
        </w:rPr>
      </w:pPr>
      <w:bookmarkStart w:id="20" w:name="_l1dvcsngw7ar" w:colFirst="0" w:colLast="0"/>
      <w:bookmarkEnd w:id="20"/>
      <w:r w:rsidRPr="000501B0">
        <w:rPr>
          <w:rFonts w:asciiTheme="majorHAnsi" w:hAnsiTheme="majorHAnsi" w:cstheme="majorHAnsi"/>
          <w:color w:val="000000"/>
          <w:sz w:val="22"/>
          <w:szCs w:val="22"/>
        </w:rPr>
        <w:t xml:space="preserve">i.  </w:t>
      </w:r>
      <w:r w:rsidRPr="000501B0">
        <w:rPr>
          <w:rFonts w:asciiTheme="majorHAnsi" w:hAnsiTheme="majorHAnsi" w:cstheme="majorHAnsi"/>
          <w:b/>
          <w:color w:val="000000"/>
          <w:sz w:val="22"/>
          <w:szCs w:val="22"/>
        </w:rPr>
        <w:t>What measures have been taken to ensure access to affordable non-discriminatory health care services for persons affected by violence and discrimination based on sexual orientation and gender identity?</w:t>
      </w:r>
    </w:p>
    <w:p w14:paraId="447629BE" w14:textId="77777777" w:rsidR="009B0950" w:rsidRPr="000501B0" w:rsidRDefault="00492F84" w:rsidP="000501B0">
      <w:pPr>
        <w:spacing w:before="400" w:after="400" w:line="240" w:lineRule="auto"/>
        <w:jc w:val="both"/>
        <w:rPr>
          <w:rFonts w:asciiTheme="majorHAnsi" w:eastAsia="Calibri" w:hAnsiTheme="majorHAnsi" w:cstheme="majorHAnsi"/>
        </w:rPr>
      </w:pPr>
      <w:r w:rsidRPr="000501B0">
        <w:rPr>
          <w:rFonts w:asciiTheme="majorHAnsi" w:eastAsia="Calibri" w:hAnsiTheme="majorHAnsi" w:cstheme="majorHAnsi"/>
        </w:rPr>
        <w:t>The South African Constitution  prohibits dis</w:t>
      </w:r>
      <w:r w:rsidRPr="000501B0">
        <w:rPr>
          <w:rFonts w:asciiTheme="majorHAnsi" w:eastAsia="Calibri" w:hAnsiTheme="majorHAnsi" w:cstheme="majorHAnsi"/>
        </w:rPr>
        <w:t>crimination based on sex, gender or sexual orientation, and Section 27 states that every person “has the right to access health care services” and “no person may be refused emergency treatment”.</w:t>
      </w:r>
      <w:r w:rsidRPr="000501B0">
        <w:rPr>
          <w:rFonts w:asciiTheme="majorHAnsi" w:eastAsia="Calibri" w:hAnsiTheme="majorHAnsi" w:cstheme="majorHAnsi"/>
          <w:vertAlign w:val="superscript"/>
        </w:rPr>
        <w:footnoteReference w:id="37"/>
      </w:r>
      <w:r w:rsidRPr="000501B0">
        <w:rPr>
          <w:rFonts w:asciiTheme="majorHAnsi" w:eastAsia="Calibri" w:hAnsiTheme="majorHAnsi" w:cstheme="majorHAnsi"/>
        </w:rPr>
        <w:t xml:space="preserve"> The Promotion of Equality and Prevention of Unfair Discrimination Act (2000) also protects from unfair discrimination by the state or an individual on the abovementioned prohibited grounds.</w:t>
      </w:r>
      <w:r w:rsidRPr="000501B0">
        <w:rPr>
          <w:rFonts w:asciiTheme="majorHAnsi" w:eastAsia="Calibri" w:hAnsiTheme="majorHAnsi" w:cstheme="majorHAnsi"/>
          <w:vertAlign w:val="superscript"/>
        </w:rPr>
        <w:footnoteReference w:id="38"/>
      </w:r>
      <w:r w:rsidRPr="000501B0">
        <w:rPr>
          <w:rFonts w:asciiTheme="majorHAnsi" w:eastAsia="Calibri" w:hAnsiTheme="majorHAnsi" w:cstheme="majorHAnsi"/>
        </w:rPr>
        <w:t xml:space="preserve"> The National Government has adopted a service delivery policy, </w:t>
      </w:r>
      <w:r w:rsidRPr="000501B0">
        <w:rPr>
          <w:rFonts w:asciiTheme="majorHAnsi" w:eastAsia="Calibri" w:hAnsiTheme="majorHAnsi" w:cstheme="majorHAnsi"/>
        </w:rPr>
        <w:t>the Batho Pele principles, which guide public servants to put people first, but these have generally not translated into action in the public health system.</w:t>
      </w:r>
      <w:r w:rsidRPr="000501B0">
        <w:rPr>
          <w:rFonts w:asciiTheme="majorHAnsi" w:eastAsia="Calibri" w:hAnsiTheme="majorHAnsi" w:cstheme="majorHAnsi"/>
          <w:vertAlign w:val="superscript"/>
        </w:rPr>
        <w:footnoteReference w:id="39"/>
      </w:r>
      <w:r w:rsidRPr="000501B0">
        <w:rPr>
          <w:rFonts w:asciiTheme="majorHAnsi" w:eastAsia="Calibri" w:hAnsiTheme="majorHAnsi" w:cstheme="majorHAnsi"/>
        </w:rPr>
        <w:t xml:space="preserve"> There are no specific Department of Health SOGIESC policies  that ensure LGBTQI+ persons receive </w:t>
      </w:r>
      <w:r w:rsidRPr="000501B0">
        <w:rPr>
          <w:rFonts w:asciiTheme="majorHAnsi" w:eastAsia="Calibri" w:hAnsiTheme="majorHAnsi" w:cstheme="majorHAnsi"/>
        </w:rPr>
        <w:t>competent, appropriate healthcare, or to address  stigma and prejudice against LGTBI and GNC community members within the healthcare  system.</w:t>
      </w:r>
      <w:r w:rsidRPr="000501B0">
        <w:rPr>
          <w:rFonts w:asciiTheme="majorHAnsi" w:eastAsia="Calibri" w:hAnsiTheme="majorHAnsi" w:cstheme="majorHAnsi"/>
          <w:vertAlign w:val="superscript"/>
        </w:rPr>
        <w:footnoteReference w:id="40"/>
      </w:r>
      <w:r w:rsidRPr="000501B0">
        <w:rPr>
          <w:rFonts w:asciiTheme="majorHAnsi" w:eastAsia="Calibri" w:hAnsiTheme="majorHAnsi" w:cstheme="majorHAnsi"/>
        </w:rPr>
        <w:t xml:space="preserve">   </w:t>
      </w:r>
    </w:p>
    <w:p w14:paraId="042C40A2" w14:textId="77777777" w:rsidR="009B0950" w:rsidRPr="000501B0" w:rsidRDefault="00492F84" w:rsidP="000501B0">
      <w:pPr>
        <w:pStyle w:val="Heading3"/>
        <w:spacing w:before="400" w:after="400" w:line="240" w:lineRule="auto"/>
        <w:ind w:left="946" w:hanging="226"/>
        <w:rPr>
          <w:rFonts w:asciiTheme="majorHAnsi" w:hAnsiTheme="majorHAnsi" w:cstheme="majorHAnsi"/>
          <w:b/>
          <w:color w:val="000000"/>
          <w:sz w:val="22"/>
          <w:szCs w:val="22"/>
        </w:rPr>
      </w:pPr>
      <w:bookmarkStart w:id="21" w:name="_x6wqn2pjr6vm" w:colFirst="0" w:colLast="0"/>
      <w:bookmarkEnd w:id="21"/>
      <w:r w:rsidRPr="000501B0">
        <w:rPr>
          <w:rFonts w:asciiTheme="majorHAnsi" w:hAnsiTheme="majorHAnsi" w:cstheme="majorHAnsi"/>
          <w:b/>
          <w:color w:val="000000"/>
          <w:sz w:val="22"/>
          <w:szCs w:val="22"/>
        </w:rPr>
        <w:t>ii. What policies or programmes exist to address the mental health care needs of persons affected by violence</w:t>
      </w:r>
      <w:r w:rsidRPr="000501B0">
        <w:rPr>
          <w:rFonts w:asciiTheme="majorHAnsi" w:hAnsiTheme="majorHAnsi" w:cstheme="majorHAnsi"/>
          <w:b/>
          <w:color w:val="000000"/>
          <w:sz w:val="22"/>
          <w:szCs w:val="22"/>
        </w:rPr>
        <w:t xml:space="preserve"> and discrimination based on sexual orientation and gender identity, specifically around depression and anxiety, suicidal ideation, and substance abuse?</w:t>
      </w:r>
    </w:p>
    <w:p w14:paraId="30B83BD4" w14:textId="427F8426" w:rsidR="009B0950" w:rsidRPr="000501B0" w:rsidRDefault="00492F84" w:rsidP="000501B0">
      <w:pPr>
        <w:shd w:val="clear" w:color="auto" w:fill="FFFFFF"/>
        <w:spacing w:before="120" w:after="120" w:line="240" w:lineRule="auto"/>
        <w:jc w:val="both"/>
        <w:rPr>
          <w:rFonts w:asciiTheme="majorHAnsi" w:eastAsia="Calibri" w:hAnsiTheme="majorHAnsi" w:cstheme="majorHAnsi"/>
        </w:rPr>
      </w:pPr>
      <w:r w:rsidRPr="000501B0">
        <w:rPr>
          <w:rFonts w:asciiTheme="majorHAnsi" w:eastAsia="Calibri" w:hAnsiTheme="majorHAnsi" w:cstheme="majorHAnsi"/>
        </w:rPr>
        <w:t>The Department of Health’s Norms and Standards for the Provision of Primary Health Care guide healthcar</w:t>
      </w:r>
      <w:r w:rsidRPr="000501B0">
        <w:rPr>
          <w:rFonts w:asciiTheme="majorHAnsi" w:eastAsia="Calibri" w:hAnsiTheme="majorHAnsi" w:cstheme="majorHAnsi"/>
        </w:rPr>
        <w:t xml:space="preserve">e professionals to identify and provide appropriate interventions in cases of depression, anxiety, stress-related problems, domestic violence, and substance abuse. The state-initiated victim support Thuthuzela </w:t>
      </w:r>
      <w:r w:rsidR="005D7066" w:rsidRPr="000501B0">
        <w:rPr>
          <w:rFonts w:asciiTheme="majorHAnsi" w:eastAsia="Calibri" w:hAnsiTheme="majorHAnsi" w:cstheme="majorHAnsi"/>
        </w:rPr>
        <w:t>Centres</w:t>
      </w:r>
      <w:r w:rsidRPr="000501B0">
        <w:rPr>
          <w:rFonts w:asciiTheme="majorHAnsi" w:eastAsia="Calibri" w:hAnsiTheme="majorHAnsi" w:cstheme="majorHAnsi"/>
        </w:rPr>
        <w:t xml:space="preserve"> assists victims of sexual violence wit</w:t>
      </w:r>
      <w:r w:rsidRPr="000501B0">
        <w:rPr>
          <w:rFonts w:asciiTheme="majorHAnsi" w:eastAsia="Calibri" w:hAnsiTheme="majorHAnsi" w:cstheme="majorHAnsi"/>
        </w:rPr>
        <w:t>h medical support, evidence collection, opening a case and ongoing counselling support. However, due to 84 percent of the population utilizing the public sector, emigration of skilled professionals</w:t>
      </w:r>
      <w:r w:rsidRPr="000501B0">
        <w:rPr>
          <w:rFonts w:asciiTheme="majorHAnsi" w:eastAsia="Calibri" w:hAnsiTheme="majorHAnsi" w:cstheme="majorHAnsi"/>
          <w:vertAlign w:val="superscript"/>
        </w:rPr>
        <w:footnoteReference w:id="41"/>
      </w:r>
      <w:r w:rsidRPr="000501B0">
        <w:rPr>
          <w:rFonts w:asciiTheme="majorHAnsi" w:eastAsia="Calibri" w:hAnsiTheme="majorHAnsi" w:cstheme="majorHAnsi"/>
        </w:rPr>
        <w:t xml:space="preserve"> and limited services that are inclusive of SOGIESC diver</w:t>
      </w:r>
      <w:r w:rsidRPr="000501B0">
        <w:rPr>
          <w:rFonts w:asciiTheme="majorHAnsi" w:eastAsia="Calibri" w:hAnsiTheme="majorHAnsi" w:cstheme="majorHAnsi"/>
        </w:rPr>
        <w:t xml:space="preserve">sity, many individuals have limited information or are unable to receive adequate psychosocial support from the state. </w:t>
      </w:r>
    </w:p>
    <w:p w14:paraId="26DBF79A" w14:textId="74AB41D2" w:rsidR="009B0950" w:rsidRPr="000501B0" w:rsidRDefault="00492F84" w:rsidP="000501B0">
      <w:pPr>
        <w:shd w:val="clear" w:color="auto" w:fill="FFFFFF"/>
        <w:spacing w:before="120" w:after="120" w:line="240" w:lineRule="auto"/>
        <w:jc w:val="both"/>
        <w:rPr>
          <w:rFonts w:asciiTheme="majorHAnsi" w:eastAsia="Calibri" w:hAnsiTheme="majorHAnsi" w:cstheme="majorHAnsi"/>
        </w:rPr>
      </w:pPr>
      <w:r w:rsidRPr="000501B0">
        <w:rPr>
          <w:rFonts w:asciiTheme="majorHAnsi" w:eastAsia="Calibri" w:hAnsiTheme="majorHAnsi" w:cstheme="majorHAnsi"/>
        </w:rPr>
        <w:t>At present, the Department of Health does not provide specific services for people who have experienced violence or discrimination based</w:t>
      </w:r>
      <w:r w:rsidRPr="000501B0">
        <w:rPr>
          <w:rFonts w:asciiTheme="majorHAnsi" w:eastAsia="Calibri" w:hAnsiTheme="majorHAnsi" w:cstheme="majorHAnsi"/>
        </w:rPr>
        <w:t xml:space="preserve"> on their gender identity or sexual orientation. LGBTIQ+ persons often opt for assistance from CSOs, through Lifeline, Masithethe or via private facilities if they can afford</w:t>
      </w:r>
      <w:r w:rsidR="00B02AAE" w:rsidRPr="000501B0">
        <w:rPr>
          <w:rFonts w:asciiTheme="majorHAnsi" w:eastAsia="Calibri" w:hAnsiTheme="majorHAnsi" w:cstheme="majorHAnsi"/>
        </w:rPr>
        <w:t xml:space="preserve">. </w:t>
      </w:r>
    </w:p>
    <w:p w14:paraId="5FB6A2A3" w14:textId="77777777" w:rsidR="009B0950" w:rsidRPr="000501B0" w:rsidRDefault="00492F84" w:rsidP="000501B0">
      <w:pPr>
        <w:pStyle w:val="Heading3"/>
        <w:spacing w:before="400" w:after="400" w:line="240" w:lineRule="auto"/>
        <w:ind w:left="946" w:hanging="226"/>
        <w:rPr>
          <w:rFonts w:asciiTheme="majorHAnsi" w:hAnsiTheme="majorHAnsi" w:cstheme="majorHAnsi"/>
          <w:b/>
          <w:color w:val="000000"/>
          <w:sz w:val="22"/>
          <w:szCs w:val="22"/>
        </w:rPr>
      </w:pPr>
      <w:bookmarkStart w:id="22" w:name="_qnh5ux6j0szg" w:colFirst="0" w:colLast="0"/>
      <w:bookmarkEnd w:id="22"/>
      <w:r w:rsidRPr="000501B0">
        <w:rPr>
          <w:rFonts w:asciiTheme="majorHAnsi" w:hAnsiTheme="majorHAnsi" w:cstheme="majorHAnsi"/>
          <w:b/>
          <w:color w:val="000000"/>
          <w:sz w:val="22"/>
          <w:szCs w:val="22"/>
        </w:rPr>
        <w:t>iii. What policies or programmes exist to assist the health care needs of pers</w:t>
      </w:r>
      <w:r w:rsidRPr="000501B0">
        <w:rPr>
          <w:rFonts w:asciiTheme="majorHAnsi" w:hAnsiTheme="majorHAnsi" w:cstheme="majorHAnsi"/>
          <w:b/>
          <w:color w:val="000000"/>
          <w:sz w:val="22"/>
          <w:szCs w:val="22"/>
        </w:rPr>
        <w:t>ons affected by violence and discrimination based on sexual orientation and gender identity following the experience of assault or gender-based violence?</w:t>
      </w:r>
    </w:p>
    <w:p w14:paraId="7C8A434B" w14:textId="77777777" w:rsidR="009B0950" w:rsidRPr="000501B0" w:rsidRDefault="00492F84" w:rsidP="000501B0">
      <w:pPr>
        <w:shd w:val="clear" w:color="auto" w:fill="FFFFFF"/>
        <w:spacing w:before="120" w:after="120" w:line="240" w:lineRule="auto"/>
        <w:jc w:val="both"/>
        <w:rPr>
          <w:rFonts w:asciiTheme="majorHAnsi" w:eastAsia="Calibri" w:hAnsiTheme="majorHAnsi" w:cstheme="majorHAnsi"/>
        </w:rPr>
      </w:pPr>
      <w:r w:rsidRPr="000501B0">
        <w:rPr>
          <w:rFonts w:asciiTheme="majorHAnsi" w:eastAsia="Calibri" w:hAnsiTheme="majorHAnsi" w:cstheme="majorHAnsi"/>
        </w:rPr>
        <w:t>In relation to GBV, the Department of Social Development initiated a Victim Empowerment Programme towa</w:t>
      </w:r>
      <w:r w:rsidRPr="000501B0">
        <w:rPr>
          <w:rFonts w:asciiTheme="majorHAnsi" w:eastAsia="Calibri" w:hAnsiTheme="majorHAnsi" w:cstheme="majorHAnsi"/>
        </w:rPr>
        <w:t>rds developing knowledge of victim issues, strengthening resources, addressing victim needs, and stimulating volunteer participation and prevention of secondary victimization.</w:t>
      </w:r>
      <w:r w:rsidRPr="000501B0">
        <w:rPr>
          <w:rFonts w:asciiTheme="majorHAnsi" w:eastAsia="Calibri" w:hAnsiTheme="majorHAnsi" w:cstheme="majorHAnsi"/>
          <w:vertAlign w:val="superscript"/>
        </w:rPr>
        <w:footnoteReference w:id="42"/>
      </w:r>
      <w:r w:rsidRPr="000501B0">
        <w:rPr>
          <w:rFonts w:asciiTheme="majorHAnsi" w:eastAsia="Calibri" w:hAnsiTheme="majorHAnsi" w:cstheme="majorHAnsi"/>
        </w:rPr>
        <w:t xml:space="preserve"> Monitoring of human rights violations is documented through ReACt,  a programm</w:t>
      </w:r>
      <w:r w:rsidRPr="000501B0">
        <w:rPr>
          <w:rFonts w:asciiTheme="majorHAnsi" w:eastAsia="Calibri" w:hAnsiTheme="majorHAnsi" w:cstheme="majorHAnsi"/>
        </w:rPr>
        <w:t>e headed by SANAC and AfSA, facilitated by CSOs that  link persons to necessary healthcare services.</w:t>
      </w:r>
      <w:r w:rsidRPr="000501B0">
        <w:rPr>
          <w:rFonts w:asciiTheme="majorHAnsi" w:eastAsia="Calibri" w:hAnsiTheme="majorHAnsi" w:cstheme="majorHAnsi"/>
          <w:vertAlign w:val="superscript"/>
        </w:rPr>
        <w:footnoteReference w:id="43"/>
      </w:r>
      <w:r w:rsidRPr="000501B0">
        <w:rPr>
          <w:rFonts w:asciiTheme="majorHAnsi" w:eastAsia="Calibri" w:hAnsiTheme="majorHAnsi" w:cstheme="majorHAnsi"/>
        </w:rPr>
        <w:t xml:space="preserve"> The Department of Justice coordinates a national multisectoral LGBTI task team,</w:t>
      </w:r>
      <w:r w:rsidRPr="000501B0">
        <w:rPr>
          <w:rFonts w:asciiTheme="majorHAnsi" w:eastAsia="Calibri" w:hAnsiTheme="majorHAnsi" w:cstheme="majorHAnsi"/>
          <w:vertAlign w:val="superscript"/>
        </w:rPr>
        <w:footnoteReference w:id="44"/>
      </w:r>
      <w:r w:rsidRPr="000501B0">
        <w:rPr>
          <w:rFonts w:asciiTheme="majorHAnsi" w:eastAsia="Calibri" w:hAnsiTheme="majorHAnsi" w:cstheme="majorHAnsi"/>
        </w:rPr>
        <w:t xml:space="preserve"> National Intervention Strategy</w:t>
      </w:r>
      <w:r w:rsidRPr="000501B0">
        <w:rPr>
          <w:rFonts w:asciiTheme="majorHAnsi" w:eastAsia="Calibri" w:hAnsiTheme="majorHAnsi" w:cstheme="majorHAnsi"/>
          <w:vertAlign w:val="superscript"/>
        </w:rPr>
        <w:footnoteReference w:id="45"/>
      </w:r>
      <w:r w:rsidRPr="000501B0">
        <w:rPr>
          <w:rFonts w:asciiTheme="majorHAnsi" w:eastAsia="Calibri" w:hAnsiTheme="majorHAnsi" w:cstheme="majorHAnsi"/>
        </w:rPr>
        <w:t xml:space="preserve"> and Communication Strategy</w:t>
      </w:r>
      <w:r w:rsidRPr="000501B0">
        <w:rPr>
          <w:rFonts w:asciiTheme="majorHAnsi" w:eastAsia="Calibri" w:hAnsiTheme="majorHAnsi" w:cstheme="majorHAnsi"/>
          <w:vertAlign w:val="superscript"/>
        </w:rPr>
        <w:footnoteReference w:id="46"/>
      </w:r>
      <w:r w:rsidRPr="000501B0">
        <w:rPr>
          <w:rFonts w:asciiTheme="majorHAnsi" w:eastAsia="Calibri" w:hAnsiTheme="majorHAnsi" w:cstheme="majorHAnsi"/>
        </w:rPr>
        <w:t xml:space="preserve"> in respon</w:t>
      </w:r>
      <w:r w:rsidRPr="000501B0">
        <w:rPr>
          <w:rFonts w:asciiTheme="majorHAnsi" w:eastAsia="Calibri" w:hAnsiTheme="majorHAnsi" w:cstheme="majorHAnsi"/>
        </w:rPr>
        <w:t>se to the violence plaguing LGBTI communities. CSOs across the country are engaged in sensitization trainings targeting public servants, including police officers and healthcare workers, to better cater for the needs of SOGIESC minorities as victims of vio</w:t>
      </w:r>
      <w:r w:rsidRPr="000501B0">
        <w:rPr>
          <w:rFonts w:asciiTheme="majorHAnsi" w:eastAsia="Calibri" w:hAnsiTheme="majorHAnsi" w:cstheme="majorHAnsi"/>
        </w:rPr>
        <w:t>lence.</w:t>
      </w:r>
    </w:p>
    <w:p w14:paraId="5F448CA7" w14:textId="77777777" w:rsidR="009B0950" w:rsidRPr="000501B0" w:rsidRDefault="00492F84" w:rsidP="000501B0">
      <w:pPr>
        <w:pStyle w:val="Heading3"/>
        <w:spacing w:before="400" w:after="400" w:line="240" w:lineRule="auto"/>
        <w:ind w:left="946" w:hanging="226"/>
        <w:rPr>
          <w:rFonts w:asciiTheme="majorHAnsi" w:hAnsiTheme="majorHAnsi" w:cstheme="majorHAnsi"/>
          <w:color w:val="000000"/>
          <w:sz w:val="22"/>
          <w:szCs w:val="22"/>
        </w:rPr>
      </w:pPr>
      <w:bookmarkStart w:id="23" w:name="_7jw9g7rhalnf" w:colFirst="0" w:colLast="0"/>
      <w:bookmarkEnd w:id="23"/>
      <w:r w:rsidRPr="000501B0">
        <w:rPr>
          <w:rFonts w:asciiTheme="majorHAnsi" w:hAnsiTheme="majorHAnsi" w:cstheme="majorHAnsi"/>
          <w:color w:val="000000"/>
          <w:sz w:val="22"/>
          <w:szCs w:val="22"/>
        </w:rPr>
        <w:t xml:space="preserve">iv. </w:t>
      </w:r>
      <w:r w:rsidRPr="00847CA1">
        <w:rPr>
          <w:rFonts w:asciiTheme="majorHAnsi" w:hAnsiTheme="majorHAnsi" w:cstheme="majorHAnsi"/>
          <w:b/>
          <w:bCs/>
          <w:color w:val="000000"/>
          <w:sz w:val="22"/>
          <w:szCs w:val="22"/>
        </w:rPr>
        <w:t>Have adequate human and financial resources been allocated to implement those policies and/or programmes?</w:t>
      </w:r>
    </w:p>
    <w:p w14:paraId="63D4DEF9" w14:textId="765382B8" w:rsidR="009B0950" w:rsidRPr="000501B0" w:rsidRDefault="00492F84" w:rsidP="000501B0">
      <w:pPr>
        <w:spacing w:before="400" w:after="400" w:line="240" w:lineRule="auto"/>
        <w:jc w:val="both"/>
        <w:rPr>
          <w:rFonts w:asciiTheme="majorHAnsi" w:eastAsia="Calibri" w:hAnsiTheme="majorHAnsi" w:cstheme="majorHAnsi"/>
        </w:rPr>
      </w:pPr>
      <w:r w:rsidRPr="000501B0">
        <w:rPr>
          <w:rFonts w:asciiTheme="majorHAnsi" w:eastAsia="Calibri" w:hAnsiTheme="majorHAnsi" w:cstheme="majorHAnsi"/>
        </w:rPr>
        <w:t xml:space="preserve">Although South Africa has made tremendous promises in the National </w:t>
      </w:r>
      <w:r w:rsidR="005D7066" w:rsidRPr="000501B0">
        <w:rPr>
          <w:rFonts w:asciiTheme="majorHAnsi" w:eastAsia="Calibri" w:hAnsiTheme="majorHAnsi" w:cstheme="majorHAnsi"/>
        </w:rPr>
        <w:t>Strategic Plan</w:t>
      </w:r>
      <w:r w:rsidRPr="000501B0">
        <w:rPr>
          <w:rFonts w:asciiTheme="majorHAnsi" w:eastAsia="Calibri" w:hAnsiTheme="majorHAnsi" w:cstheme="majorHAnsi"/>
        </w:rPr>
        <w:t xml:space="preserve"> on Gender-Based Violence and Femicide,</w:t>
      </w:r>
      <w:r w:rsidRPr="000501B0">
        <w:rPr>
          <w:rFonts w:asciiTheme="majorHAnsi" w:eastAsia="Calibri" w:hAnsiTheme="majorHAnsi" w:cstheme="majorHAnsi"/>
          <w:vertAlign w:val="superscript"/>
        </w:rPr>
        <w:footnoteReference w:id="47"/>
      </w:r>
      <w:r w:rsidRPr="000501B0">
        <w:rPr>
          <w:rFonts w:asciiTheme="majorHAnsi" w:eastAsia="Calibri" w:hAnsiTheme="majorHAnsi" w:cstheme="majorHAnsi"/>
        </w:rPr>
        <w:t xml:space="preserve"> government has not provided adequate human capital and financial support  for the  implementation of  programmes under Response, Car</w:t>
      </w:r>
      <w:r w:rsidRPr="000501B0">
        <w:rPr>
          <w:rFonts w:asciiTheme="majorHAnsi" w:eastAsia="Calibri" w:hAnsiTheme="majorHAnsi" w:cstheme="majorHAnsi"/>
        </w:rPr>
        <w:t>e, Support and Healing for LGBTIQ+ GBV survivors.</w:t>
      </w:r>
      <w:r w:rsidRPr="000501B0">
        <w:rPr>
          <w:rFonts w:asciiTheme="majorHAnsi" w:eastAsia="Calibri" w:hAnsiTheme="majorHAnsi" w:cstheme="majorHAnsi"/>
          <w:vertAlign w:val="superscript"/>
        </w:rPr>
        <w:footnoteReference w:id="48"/>
      </w:r>
      <w:r w:rsidRPr="000501B0">
        <w:rPr>
          <w:rFonts w:asciiTheme="majorHAnsi" w:eastAsia="Calibri" w:hAnsiTheme="majorHAnsi" w:cstheme="majorHAnsi"/>
        </w:rPr>
        <w:t xml:space="preserve"> </w:t>
      </w:r>
    </w:p>
    <w:p w14:paraId="787ADD68" w14:textId="77777777" w:rsidR="009B0950" w:rsidRPr="000501B0" w:rsidRDefault="00492F84" w:rsidP="000501B0">
      <w:pPr>
        <w:pStyle w:val="Heading2"/>
        <w:shd w:val="clear" w:color="auto" w:fill="FFFFFF"/>
        <w:spacing w:before="300" w:after="200" w:line="240" w:lineRule="auto"/>
        <w:rPr>
          <w:rFonts w:asciiTheme="majorHAnsi" w:hAnsiTheme="majorHAnsi" w:cstheme="majorHAnsi"/>
          <w:b/>
          <w:sz w:val="22"/>
          <w:szCs w:val="22"/>
        </w:rPr>
      </w:pPr>
      <w:bookmarkStart w:id="24" w:name="_pniv4lvgfowk" w:colFirst="0" w:colLast="0"/>
      <w:bookmarkEnd w:id="24"/>
      <w:r w:rsidRPr="000501B0">
        <w:rPr>
          <w:rFonts w:asciiTheme="majorHAnsi" w:hAnsiTheme="majorHAnsi" w:cstheme="majorHAnsi"/>
          <w:b/>
          <w:sz w:val="22"/>
          <w:szCs w:val="22"/>
        </w:rPr>
        <w:t>4. Training and Education: health care professionals and educational institutions</w:t>
      </w:r>
    </w:p>
    <w:p w14:paraId="1C8CCEA7" w14:textId="77777777" w:rsidR="009B0950" w:rsidRPr="000501B0" w:rsidRDefault="00492F84" w:rsidP="000501B0">
      <w:pPr>
        <w:pStyle w:val="Heading3"/>
        <w:spacing w:before="400" w:after="400" w:line="240" w:lineRule="auto"/>
        <w:ind w:left="946" w:hanging="226"/>
        <w:rPr>
          <w:rFonts w:asciiTheme="majorHAnsi" w:hAnsiTheme="majorHAnsi" w:cstheme="majorHAnsi"/>
          <w:b/>
          <w:color w:val="000000"/>
          <w:sz w:val="22"/>
          <w:szCs w:val="22"/>
        </w:rPr>
      </w:pPr>
      <w:bookmarkStart w:id="25" w:name="_o94dwccl6k3" w:colFirst="0" w:colLast="0"/>
      <w:bookmarkEnd w:id="25"/>
      <w:r w:rsidRPr="000501B0">
        <w:rPr>
          <w:rFonts w:asciiTheme="majorHAnsi" w:hAnsiTheme="majorHAnsi" w:cstheme="majorHAnsi"/>
          <w:b/>
          <w:color w:val="000000"/>
          <w:sz w:val="22"/>
          <w:szCs w:val="22"/>
        </w:rPr>
        <w:t>i.  Are sexual orientation and gender identity, and the specific health needs of persons affected by violence and discrim</w:t>
      </w:r>
      <w:r w:rsidRPr="000501B0">
        <w:rPr>
          <w:rFonts w:asciiTheme="majorHAnsi" w:hAnsiTheme="majorHAnsi" w:cstheme="majorHAnsi"/>
          <w:b/>
          <w:color w:val="000000"/>
          <w:sz w:val="22"/>
          <w:szCs w:val="22"/>
        </w:rPr>
        <w:t>ination based on sexual orientation and gender identity, included in training and education of health care professionals?</w:t>
      </w:r>
    </w:p>
    <w:p w14:paraId="60E0977C" w14:textId="099F48E7" w:rsidR="009B0950" w:rsidRPr="000501B0" w:rsidRDefault="00492F84" w:rsidP="000501B0">
      <w:pPr>
        <w:spacing w:before="400" w:after="400" w:line="240" w:lineRule="auto"/>
        <w:jc w:val="both"/>
        <w:rPr>
          <w:rFonts w:asciiTheme="majorHAnsi" w:eastAsia="Calibri" w:hAnsiTheme="majorHAnsi" w:cstheme="majorHAnsi"/>
        </w:rPr>
      </w:pPr>
      <w:r w:rsidRPr="000501B0">
        <w:rPr>
          <w:rFonts w:asciiTheme="majorHAnsi" w:eastAsia="Calibri" w:hAnsiTheme="majorHAnsi" w:cstheme="majorHAnsi"/>
        </w:rPr>
        <w:t>The Allied Health Science Curricula of South Africa does not cover any LGBTIQ related content and although the MBChB curriculum has so</w:t>
      </w:r>
      <w:r w:rsidRPr="000501B0">
        <w:rPr>
          <w:rFonts w:asciiTheme="majorHAnsi" w:eastAsia="Calibri" w:hAnsiTheme="majorHAnsi" w:cstheme="majorHAnsi"/>
        </w:rPr>
        <w:t>me topics that speak to LGBTIQ issues, these are not comprehensive and structured.</w:t>
      </w:r>
      <w:r w:rsidRPr="000501B0">
        <w:rPr>
          <w:rFonts w:asciiTheme="majorHAnsi" w:eastAsia="Calibri" w:hAnsiTheme="majorHAnsi" w:cstheme="majorHAnsi"/>
          <w:vertAlign w:val="superscript"/>
        </w:rPr>
        <w:footnoteReference w:id="49"/>
      </w:r>
      <w:r w:rsidRPr="000501B0">
        <w:rPr>
          <w:rFonts w:asciiTheme="majorHAnsi" w:eastAsia="Calibri" w:hAnsiTheme="majorHAnsi" w:cstheme="majorHAnsi"/>
        </w:rPr>
        <w:t xml:space="preserve"> Most of the effort to create LGBTIQ comprehensive content for professionals has been from CSOs that may not have the required resources to disseminate such content nationa</w:t>
      </w:r>
      <w:r w:rsidRPr="000501B0">
        <w:rPr>
          <w:rFonts w:asciiTheme="majorHAnsi" w:eastAsia="Calibri" w:hAnsiTheme="majorHAnsi" w:cstheme="majorHAnsi"/>
        </w:rPr>
        <w:t xml:space="preserve">lly. There is an urgent need to educate and sensitize health care professionals, as hostile, abusive and pathologising attitudes of healthcare professionals frequently prevent LGBTQI+, intersex, trans and gender diverse </w:t>
      </w:r>
      <w:r w:rsidR="005D7066" w:rsidRPr="000501B0">
        <w:rPr>
          <w:rFonts w:asciiTheme="majorHAnsi" w:eastAsia="Calibri" w:hAnsiTheme="majorHAnsi" w:cstheme="majorHAnsi"/>
        </w:rPr>
        <w:t>individuals from</w:t>
      </w:r>
      <w:r w:rsidRPr="000501B0">
        <w:rPr>
          <w:rFonts w:asciiTheme="majorHAnsi" w:eastAsia="Calibri" w:hAnsiTheme="majorHAnsi" w:cstheme="majorHAnsi"/>
        </w:rPr>
        <w:t xml:space="preserve"> receiving adequate</w:t>
      </w:r>
      <w:r w:rsidRPr="000501B0">
        <w:rPr>
          <w:rFonts w:asciiTheme="majorHAnsi" w:eastAsia="Calibri" w:hAnsiTheme="majorHAnsi" w:cstheme="majorHAnsi"/>
        </w:rPr>
        <w:t xml:space="preserve"> healthcare.</w:t>
      </w:r>
      <w:r w:rsidRPr="000501B0">
        <w:rPr>
          <w:rFonts w:asciiTheme="majorHAnsi" w:eastAsia="Calibri" w:hAnsiTheme="majorHAnsi" w:cstheme="majorHAnsi"/>
          <w:vertAlign w:val="superscript"/>
        </w:rPr>
        <w:footnoteReference w:id="50"/>
      </w:r>
    </w:p>
    <w:p w14:paraId="23206071" w14:textId="77777777" w:rsidR="009B0950" w:rsidRPr="000501B0" w:rsidRDefault="00492F84" w:rsidP="000501B0">
      <w:pPr>
        <w:pStyle w:val="Heading3"/>
        <w:spacing w:before="400" w:after="400" w:line="240" w:lineRule="auto"/>
        <w:ind w:left="946" w:hanging="226"/>
        <w:rPr>
          <w:rFonts w:asciiTheme="majorHAnsi" w:hAnsiTheme="majorHAnsi" w:cstheme="majorHAnsi"/>
          <w:b/>
          <w:color w:val="000000"/>
          <w:sz w:val="22"/>
          <w:szCs w:val="22"/>
        </w:rPr>
      </w:pPr>
      <w:bookmarkStart w:id="26" w:name="_fdr65m9dk36m" w:colFirst="0" w:colLast="0"/>
      <w:bookmarkEnd w:id="26"/>
      <w:r w:rsidRPr="000501B0">
        <w:rPr>
          <w:rFonts w:asciiTheme="majorHAnsi" w:hAnsiTheme="majorHAnsi" w:cstheme="majorHAnsi"/>
          <w:b/>
          <w:color w:val="000000"/>
          <w:sz w:val="22"/>
          <w:szCs w:val="22"/>
        </w:rPr>
        <w:t xml:space="preserve">ii. </w:t>
      </w:r>
      <w:r w:rsidRPr="000501B0">
        <w:rPr>
          <w:rFonts w:asciiTheme="majorHAnsi" w:hAnsiTheme="majorHAnsi" w:cstheme="majorHAnsi"/>
          <w:b/>
          <w:color w:val="000000"/>
          <w:sz w:val="22"/>
          <w:szCs w:val="22"/>
        </w:rPr>
        <w:t>What measures are being taken to provide age-appropriate comprehensive sexuality education inclusive of sexual and gender diversity in educational institutions?</w:t>
      </w:r>
    </w:p>
    <w:p w14:paraId="2C209436" w14:textId="5911B174" w:rsidR="009B0950" w:rsidRPr="000501B0" w:rsidRDefault="00492F84" w:rsidP="000501B0">
      <w:pPr>
        <w:spacing w:line="240" w:lineRule="auto"/>
        <w:jc w:val="both"/>
        <w:rPr>
          <w:rFonts w:asciiTheme="majorHAnsi" w:eastAsia="Calibri" w:hAnsiTheme="majorHAnsi" w:cstheme="majorHAnsi"/>
        </w:rPr>
      </w:pPr>
      <w:r w:rsidRPr="000501B0">
        <w:rPr>
          <w:rFonts w:asciiTheme="majorHAnsi" w:eastAsia="Calibri" w:hAnsiTheme="majorHAnsi" w:cstheme="majorHAnsi"/>
        </w:rPr>
        <w:t>The Department of Basic Education (DBE) introduced comprehensive sexuality education in 2000 wh</w:t>
      </w:r>
      <w:r w:rsidRPr="000501B0">
        <w:rPr>
          <w:rFonts w:asciiTheme="majorHAnsi" w:eastAsia="Calibri" w:hAnsiTheme="majorHAnsi" w:cstheme="majorHAnsi"/>
        </w:rPr>
        <w:t xml:space="preserve">ich deals with sex, sexuality, </w:t>
      </w:r>
      <w:r w:rsidR="00B02AAE" w:rsidRPr="000501B0">
        <w:rPr>
          <w:rFonts w:asciiTheme="majorHAnsi" w:eastAsia="Calibri" w:hAnsiTheme="majorHAnsi" w:cstheme="majorHAnsi"/>
        </w:rPr>
        <w:t>gender,</w:t>
      </w:r>
      <w:r w:rsidRPr="000501B0">
        <w:rPr>
          <w:rFonts w:asciiTheme="majorHAnsi" w:eastAsia="Calibri" w:hAnsiTheme="majorHAnsi" w:cstheme="majorHAnsi"/>
        </w:rPr>
        <w:t xml:space="preserve"> and relationships.</w:t>
      </w:r>
      <w:r w:rsidRPr="000501B0">
        <w:rPr>
          <w:rFonts w:asciiTheme="majorHAnsi" w:eastAsia="Calibri" w:hAnsiTheme="majorHAnsi" w:cstheme="majorHAnsi"/>
          <w:vertAlign w:val="superscript"/>
        </w:rPr>
        <w:footnoteReference w:id="51"/>
      </w:r>
      <w:r w:rsidRPr="000501B0">
        <w:rPr>
          <w:rFonts w:asciiTheme="majorHAnsi" w:eastAsia="Calibri" w:hAnsiTheme="majorHAnsi" w:cstheme="majorHAnsi"/>
        </w:rPr>
        <w:t xml:space="preserve"> In 2015, the DBE developed scripted lesson plans to strengthen the teaching of CSE in schools.</w:t>
      </w:r>
      <w:r w:rsidRPr="000501B0">
        <w:rPr>
          <w:rFonts w:asciiTheme="majorHAnsi" w:eastAsia="Calibri" w:hAnsiTheme="majorHAnsi" w:cstheme="majorHAnsi"/>
          <w:vertAlign w:val="superscript"/>
        </w:rPr>
        <w:footnoteReference w:id="52"/>
      </w:r>
      <w:r w:rsidRPr="000501B0">
        <w:rPr>
          <w:rFonts w:asciiTheme="majorHAnsi" w:eastAsia="Calibri" w:hAnsiTheme="majorHAnsi" w:cstheme="majorHAnsi"/>
        </w:rPr>
        <w:t xml:space="preserve"> CSOs in consultation with DBE have developed SOGIESC Guidelines for schools,</w:t>
      </w:r>
      <w:r w:rsidRPr="000501B0">
        <w:rPr>
          <w:rFonts w:asciiTheme="majorHAnsi" w:eastAsia="Calibri" w:hAnsiTheme="majorHAnsi" w:cstheme="majorHAnsi"/>
          <w:vertAlign w:val="superscript"/>
        </w:rPr>
        <w:footnoteReference w:id="53"/>
      </w:r>
      <w:r w:rsidRPr="000501B0">
        <w:rPr>
          <w:rFonts w:asciiTheme="majorHAnsi" w:eastAsia="Calibri" w:hAnsiTheme="majorHAnsi" w:cstheme="majorHAnsi"/>
        </w:rPr>
        <w:t xml:space="preserve"> which seeks to streng</w:t>
      </w:r>
      <w:r w:rsidRPr="000501B0">
        <w:rPr>
          <w:rFonts w:asciiTheme="majorHAnsi" w:eastAsia="Calibri" w:hAnsiTheme="majorHAnsi" w:cstheme="majorHAnsi"/>
        </w:rPr>
        <w:t>then some of the inclusive trainings already in progress. There have been efforts to involve higher education institutions in health science curriculum development to ensure non-discriminatory access for LGBTQI+ individuals to institutions of higher learni</w:t>
      </w:r>
      <w:r w:rsidRPr="000501B0">
        <w:rPr>
          <w:rFonts w:asciiTheme="majorHAnsi" w:eastAsia="Calibri" w:hAnsiTheme="majorHAnsi" w:cstheme="majorHAnsi"/>
        </w:rPr>
        <w:t xml:space="preserve">ng, and to assist to produce more informed and </w:t>
      </w:r>
      <w:r w:rsidR="005D7066" w:rsidRPr="000501B0">
        <w:rPr>
          <w:rFonts w:asciiTheme="majorHAnsi" w:eastAsia="Calibri" w:hAnsiTheme="majorHAnsi" w:cstheme="majorHAnsi"/>
        </w:rPr>
        <w:t>capacitated</w:t>
      </w:r>
      <w:r w:rsidRPr="000501B0">
        <w:rPr>
          <w:rFonts w:asciiTheme="majorHAnsi" w:eastAsia="Calibri" w:hAnsiTheme="majorHAnsi" w:cstheme="majorHAnsi"/>
        </w:rPr>
        <w:t xml:space="preserve"> health care professionals delivering gender affirming healthcare services. </w:t>
      </w:r>
    </w:p>
    <w:p w14:paraId="78E2A831" w14:textId="77777777" w:rsidR="009B0950" w:rsidRPr="000501B0" w:rsidRDefault="00492F84" w:rsidP="000501B0">
      <w:pPr>
        <w:pStyle w:val="Heading3"/>
        <w:spacing w:before="400" w:after="400" w:line="240" w:lineRule="auto"/>
        <w:ind w:left="946" w:hanging="226"/>
        <w:rPr>
          <w:rFonts w:asciiTheme="majorHAnsi" w:hAnsiTheme="majorHAnsi" w:cstheme="majorHAnsi"/>
          <w:b/>
          <w:color w:val="000000"/>
          <w:sz w:val="22"/>
          <w:szCs w:val="22"/>
        </w:rPr>
      </w:pPr>
      <w:bookmarkStart w:id="27" w:name="_3123u5ur14fe" w:colFirst="0" w:colLast="0"/>
      <w:bookmarkEnd w:id="27"/>
      <w:r w:rsidRPr="000501B0">
        <w:rPr>
          <w:rFonts w:asciiTheme="majorHAnsi" w:hAnsiTheme="majorHAnsi" w:cstheme="majorHAnsi"/>
          <w:b/>
          <w:color w:val="000000"/>
          <w:sz w:val="22"/>
          <w:szCs w:val="22"/>
        </w:rPr>
        <w:t>iii. Are evidence-based and up-to-date guidelines that include SOGI issues available? How are they used to influence healt</w:t>
      </w:r>
      <w:r w:rsidRPr="000501B0">
        <w:rPr>
          <w:rFonts w:asciiTheme="majorHAnsi" w:hAnsiTheme="majorHAnsi" w:cstheme="majorHAnsi"/>
          <w:b/>
          <w:color w:val="000000"/>
          <w:sz w:val="22"/>
          <w:szCs w:val="22"/>
        </w:rPr>
        <w:t>h related decisions on policy, programming, services including diagnostic manuals, and practices within the health care institutions?</w:t>
      </w:r>
    </w:p>
    <w:p w14:paraId="2A5B5211" w14:textId="77777777" w:rsidR="009B0950" w:rsidRPr="000501B0" w:rsidRDefault="00492F84" w:rsidP="000501B0">
      <w:pPr>
        <w:spacing w:before="240" w:after="240" w:line="240" w:lineRule="auto"/>
        <w:jc w:val="both"/>
        <w:rPr>
          <w:rFonts w:asciiTheme="majorHAnsi" w:eastAsia="Calibri" w:hAnsiTheme="majorHAnsi" w:cstheme="majorHAnsi"/>
        </w:rPr>
      </w:pPr>
      <w:r w:rsidRPr="000501B0">
        <w:rPr>
          <w:rFonts w:asciiTheme="majorHAnsi" w:eastAsia="Calibri" w:hAnsiTheme="majorHAnsi" w:cstheme="majorHAnsi"/>
        </w:rPr>
        <w:t>Professional healthcare associations and CSOs have developed national Gender-Affirming Healthcare Guidelines</w:t>
      </w:r>
      <w:r w:rsidRPr="000501B0">
        <w:rPr>
          <w:rFonts w:asciiTheme="majorHAnsi" w:eastAsia="Calibri" w:hAnsiTheme="majorHAnsi" w:cstheme="majorHAnsi"/>
          <w:vertAlign w:val="superscript"/>
        </w:rPr>
        <w:footnoteReference w:id="54"/>
      </w:r>
      <w:r w:rsidRPr="000501B0">
        <w:rPr>
          <w:rFonts w:asciiTheme="majorHAnsi" w:eastAsia="Calibri" w:hAnsiTheme="majorHAnsi" w:cstheme="majorHAnsi"/>
        </w:rPr>
        <w:t xml:space="preserve"> to address </w:t>
      </w:r>
      <w:r w:rsidRPr="000501B0">
        <w:rPr>
          <w:rFonts w:asciiTheme="majorHAnsi" w:eastAsia="Calibri" w:hAnsiTheme="majorHAnsi" w:cstheme="majorHAnsi"/>
        </w:rPr>
        <w:t>the need for access to competent gender affirming healthcare, as well as psychology practice guidelines for sexually and gender diverse people.</w:t>
      </w:r>
      <w:r w:rsidRPr="000501B0">
        <w:rPr>
          <w:rFonts w:asciiTheme="majorHAnsi" w:eastAsia="Calibri" w:hAnsiTheme="majorHAnsi" w:cstheme="majorHAnsi"/>
          <w:vertAlign w:val="superscript"/>
        </w:rPr>
        <w:footnoteReference w:id="55"/>
      </w:r>
      <w:r w:rsidRPr="000501B0">
        <w:rPr>
          <w:rFonts w:asciiTheme="majorHAnsi" w:eastAsia="Calibri" w:hAnsiTheme="majorHAnsi" w:cstheme="majorHAnsi"/>
        </w:rPr>
        <w:t xml:space="preserve"> However, adoption and implementation of these guidelines by the Department of Health have yet to take place. </w:t>
      </w:r>
    </w:p>
    <w:p w14:paraId="0C68302B" w14:textId="77777777" w:rsidR="009B0950" w:rsidRPr="000501B0" w:rsidRDefault="00492F84" w:rsidP="000501B0">
      <w:pPr>
        <w:pStyle w:val="Heading2"/>
        <w:shd w:val="clear" w:color="auto" w:fill="FFFFFF"/>
        <w:spacing w:before="300" w:after="300" w:line="240" w:lineRule="auto"/>
        <w:rPr>
          <w:rFonts w:asciiTheme="majorHAnsi" w:hAnsiTheme="majorHAnsi" w:cstheme="majorHAnsi"/>
          <w:b/>
          <w:sz w:val="22"/>
          <w:szCs w:val="22"/>
          <w:highlight w:val="yellow"/>
        </w:rPr>
      </w:pPr>
      <w:bookmarkStart w:id="28" w:name="_k0wxwc2lsmln" w:colFirst="0" w:colLast="0"/>
      <w:bookmarkEnd w:id="28"/>
      <w:r w:rsidRPr="000501B0">
        <w:rPr>
          <w:rFonts w:asciiTheme="majorHAnsi" w:hAnsiTheme="majorHAnsi" w:cstheme="majorHAnsi"/>
          <w:b/>
          <w:sz w:val="22"/>
          <w:szCs w:val="22"/>
        </w:rPr>
        <w:t>5. Sustainable Development Goals</w:t>
      </w:r>
    </w:p>
    <w:p w14:paraId="140C9ADF" w14:textId="77777777" w:rsidR="009B0950" w:rsidRPr="000501B0" w:rsidRDefault="00492F84" w:rsidP="000501B0">
      <w:pPr>
        <w:pStyle w:val="Heading3"/>
        <w:spacing w:before="400" w:after="400" w:line="240" w:lineRule="auto"/>
        <w:ind w:left="946" w:hanging="226"/>
        <w:rPr>
          <w:rFonts w:asciiTheme="majorHAnsi" w:hAnsiTheme="majorHAnsi" w:cstheme="majorHAnsi"/>
          <w:b/>
          <w:color w:val="000000"/>
          <w:sz w:val="22"/>
          <w:szCs w:val="22"/>
        </w:rPr>
      </w:pPr>
      <w:bookmarkStart w:id="29" w:name="_zhms8wm1ar4x" w:colFirst="0" w:colLast="0"/>
      <w:bookmarkEnd w:id="29"/>
      <w:r w:rsidRPr="000501B0">
        <w:rPr>
          <w:rFonts w:asciiTheme="majorHAnsi" w:hAnsiTheme="majorHAnsi" w:cstheme="majorHAnsi"/>
          <w:color w:val="000000"/>
          <w:sz w:val="22"/>
          <w:szCs w:val="22"/>
        </w:rPr>
        <w:t xml:space="preserve">i.  </w:t>
      </w:r>
      <w:r w:rsidRPr="000501B0">
        <w:rPr>
          <w:rFonts w:asciiTheme="majorHAnsi" w:hAnsiTheme="majorHAnsi" w:cstheme="majorHAnsi"/>
          <w:b/>
          <w:color w:val="000000"/>
          <w:sz w:val="22"/>
          <w:szCs w:val="22"/>
        </w:rPr>
        <w:t>Where the State measures its progress against SDG3, does it make reference to the health outcomes and needs of persons affected by violence and discrimination based on sexual orientation and gender identity?</w:t>
      </w:r>
    </w:p>
    <w:p w14:paraId="429E07CC" w14:textId="77777777" w:rsidR="009B0950" w:rsidRPr="000501B0" w:rsidRDefault="00492F84" w:rsidP="000501B0">
      <w:pPr>
        <w:spacing w:before="400" w:after="400" w:line="240" w:lineRule="auto"/>
        <w:jc w:val="both"/>
        <w:rPr>
          <w:rFonts w:asciiTheme="majorHAnsi" w:eastAsia="Calibri" w:hAnsiTheme="majorHAnsi" w:cstheme="majorHAnsi"/>
        </w:rPr>
      </w:pPr>
      <w:r w:rsidRPr="000501B0">
        <w:rPr>
          <w:rFonts w:asciiTheme="majorHAnsi" w:eastAsia="Calibri" w:hAnsiTheme="majorHAnsi" w:cstheme="majorHAnsi"/>
        </w:rPr>
        <w:t>No, when me</w:t>
      </w:r>
      <w:r w:rsidRPr="000501B0">
        <w:rPr>
          <w:rFonts w:asciiTheme="majorHAnsi" w:eastAsia="Calibri" w:hAnsiTheme="majorHAnsi" w:cstheme="majorHAnsi"/>
        </w:rPr>
        <w:t>asuring SDG3 progress, the State only mentions binary sex (female/male), not SOGI or diverse SC.</w:t>
      </w:r>
      <w:r w:rsidRPr="000501B0">
        <w:rPr>
          <w:rFonts w:asciiTheme="majorHAnsi" w:eastAsia="Calibri" w:hAnsiTheme="majorHAnsi" w:cstheme="majorHAnsi"/>
          <w:vertAlign w:val="superscript"/>
        </w:rPr>
        <w:footnoteReference w:id="56"/>
      </w:r>
      <w:r w:rsidRPr="000501B0">
        <w:rPr>
          <w:rFonts w:asciiTheme="majorHAnsi" w:eastAsia="Calibri" w:hAnsiTheme="majorHAnsi" w:cstheme="majorHAnsi"/>
        </w:rPr>
        <w:t xml:space="preserve"> </w:t>
      </w:r>
      <w:r w:rsidRPr="000501B0">
        <w:rPr>
          <w:rFonts w:asciiTheme="majorHAnsi" w:eastAsia="Calibri" w:hAnsiTheme="majorHAnsi" w:cstheme="majorHAnsi"/>
          <w:vertAlign w:val="superscript"/>
        </w:rPr>
        <w:footnoteReference w:id="57"/>
      </w:r>
      <w:r w:rsidRPr="000501B0">
        <w:rPr>
          <w:rFonts w:asciiTheme="majorHAnsi" w:eastAsia="Calibri" w:hAnsiTheme="majorHAnsi" w:cstheme="majorHAnsi"/>
        </w:rPr>
        <w:t xml:space="preserve"> The NDP 2030</w:t>
      </w:r>
      <w:r w:rsidRPr="000501B0">
        <w:rPr>
          <w:rFonts w:asciiTheme="majorHAnsi" w:eastAsia="Calibri" w:hAnsiTheme="majorHAnsi" w:cstheme="majorHAnsi"/>
          <w:vertAlign w:val="superscript"/>
        </w:rPr>
        <w:footnoteReference w:id="58"/>
      </w:r>
      <w:r w:rsidRPr="000501B0">
        <w:rPr>
          <w:rFonts w:asciiTheme="majorHAnsi" w:eastAsia="Calibri" w:hAnsiTheme="majorHAnsi" w:cstheme="majorHAnsi"/>
        </w:rPr>
        <w:t xml:space="preserve"> and its operational document, the MTSF 2019-2024,</w:t>
      </w:r>
      <w:r w:rsidRPr="000501B0">
        <w:rPr>
          <w:rFonts w:asciiTheme="majorHAnsi" w:eastAsia="Calibri" w:hAnsiTheme="majorHAnsi" w:cstheme="majorHAnsi"/>
          <w:vertAlign w:val="superscript"/>
        </w:rPr>
        <w:footnoteReference w:id="59"/>
      </w:r>
      <w:r w:rsidRPr="000501B0">
        <w:rPr>
          <w:rFonts w:asciiTheme="majorHAnsi" w:eastAsia="Calibri" w:hAnsiTheme="majorHAnsi" w:cstheme="majorHAnsi"/>
        </w:rPr>
        <w:t xml:space="preserve"> does not include a clear, comprehensive articulation of SOGIESC healthcare issues in relation to LGBTQI+ and gender diverse people. South Africa’s Census 2022,</w:t>
      </w:r>
      <w:r w:rsidRPr="000501B0">
        <w:rPr>
          <w:rFonts w:asciiTheme="majorHAnsi" w:eastAsia="Calibri" w:hAnsiTheme="majorHAnsi" w:cstheme="majorHAnsi"/>
          <w:vertAlign w:val="superscript"/>
        </w:rPr>
        <w:footnoteReference w:id="60"/>
      </w:r>
      <w:r w:rsidRPr="000501B0">
        <w:rPr>
          <w:rFonts w:asciiTheme="majorHAnsi" w:eastAsia="Calibri" w:hAnsiTheme="majorHAnsi" w:cstheme="majorHAnsi"/>
        </w:rPr>
        <w:t xml:space="preserve"> currently in progress, also does not make provision for diverse SOGIESC, but Stats SA has now</w:t>
      </w:r>
      <w:r w:rsidRPr="000501B0">
        <w:rPr>
          <w:rFonts w:asciiTheme="majorHAnsi" w:eastAsia="Calibri" w:hAnsiTheme="majorHAnsi" w:cstheme="majorHAnsi"/>
        </w:rPr>
        <w:t xml:space="preserve"> committed to ensure LGBTQI inclusion in the next census.</w:t>
      </w:r>
      <w:r w:rsidRPr="000501B0">
        <w:rPr>
          <w:rFonts w:asciiTheme="majorHAnsi" w:eastAsia="Calibri" w:hAnsiTheme="majorHAnsi" w:cstheme="majorHAnsi"/>
          <w:vertAlign w:val="superscript"/>
        </w:rPr>
        <w:footnoteReference w:id="61"/>
      </w:r>
    </w:p>
    <w:p w14:paraId="439DEC15" w14:textId="77777777" w:rsidR="009B0950" w:rsidRPr="000501B0" w:rsidRDefault="00492F84" w:rsidP="000501B0">
      <w:pPr>
        <w:pStyle w:val="Heading3"/>
        <w:spacing w:before="400" w:after="400" w:line="240" w:lineRule="auto"/>
        <w:ind w:left="935" w:hanging="226"/>
        <w:rPr>
          <w:rFonts w:asciiTheme="majorHAnsi" w:hAnsiTheme="majorHAnsi" w:cstheme="majorHAnsi"/>
          <w:b/>
          <w:color w:val="000000"/>
          <w:sz w:val="22"/>
          <w:szCs w:val="22"/>
        </w:rPr>
      </w:pPr>
      <w:bookmarkStart w:id="30" w:name="_2yw78gqkmo17" w:colFirst="0" w:colLast="0"/>
      <w:bookmarkEnd w:id="30"/>
      <w:r w:rsidRPr="000501B0">
        <w:rPr>
          <w:rFonts w:asciiTheme="majorHAnsi" w:hAnsiTheme="majorHAnsi" w:cstheme="majorHAnsi"/>
          <w:color w:val="000000"/>
          <w:sz w:val="22"/>
          <w:szCs w:val="22"/>
        </w:rPr>
        <w:t xml:space="preserve">ii. </w:t>
      </w:r>
      <w:r w:rsidRPr="000501B0">
        <w:rPr>
          <w:rFonts w:asciiTheme="majorHAnsi" w:hAnsiTheme="majorHAnsi" w:cstheme="majorHAnsi"/>
          <w:b/>
          <w:color w:val="000000"/>
          <w:sz w:val="22"/>
          <w:szCs w:val="22"/>
        </w:rPr>
        <w:t xml:space="preserve">Does the State measure progress against any of the following SDG3 indicators for persons affected by violence and discrimination based on sexual orientation and gender identity? If so, please </w:t>
      </w:r>
      <w:r w:rsidRPr="000501B0">
        <w:rPr>
          <w:rFonts w:asciiTheme="majorHAnsi" w:hAnsiTheme="majorHAnsi" w:cstheme="majorHAnsi"/>
          <w:b/>
          <w:color w:val="000000"/>
          <w:sz w:val="22"/>
          <w:szCs w:val="22"/>
        </w:rPr>
        <w:t>comment on whether health outcomes are improving or declining:</w:t>
      </w:r>
    </w:p>
    <w:p w14:paraId="1C76CCB4" w14:textId="77777777" w:rsidR="009B0950" w:rsidRPr="000501B0" w:rsidRDefault="00492F84" w:rsidP="000501B0">
      <w:pPr>
        <w:numPr>
          <w:ilvl w:val="2"/>
          <w:numId w:val="8"/>
        </w:numPr>
        <w:spacing w:before="500" w:line="240" w:lineRule="auto"/>
        <w:rPr>
          <w:rFonts w:asciiTheme="majorHAnsi" w:eastAsia="Calibri" w:hAnsiTheme="majorHAnsi" w:cstheme="majorHAnsi"/>
        </w:rPr>
      </w:pPr>
      <w:r w:rsidRPr="000501B0">
        <w:rPr>
          <w:rFonts w:asciiTheme="majorHAnsi" w:eastAsia="Calibri" w:hAnsiTheme="majorHAnsi" w:cstheme="majorHAnsi"/>
        </w:rPr>
        <w:t>Indicator 3.3.1: Number of new HIV infections per 1,000 uninfected population, by sex, age and key populations;</w:t>
      </w:r>
    </w:p>
    <w:p w14:paraId="1497DE86" w14:textId="77777777" w:rsidR="009B0950" w:rsidRPr="000501B0" w:rsidRDefault="00492F84" w:rsidP="000501B0">
      <w:pPr>
        <w:numPr>
          <w:ilvl w:val="2"/>
          <w:numId w:val="8"/>
        </w:numPr>
        <w:spacing w:line="240" w:lineRule="auto"/>
        <w:rPr>
          <w:rFonts w:asciiTheme="majorHAnsi" w:eastAsia="Calibri" w:hAnsiTheme="majorHAnsi" w:cstheme="majorHAnsi"/>
        </w:rPr>
      </w:pPr>
      <w:r w:rsidRPr="000501B0">
        <w:rPr>
          <w:rFonts w:asciiTheme="majorHAnsi" w:eastAsia="Calibri" w:hAnsiTheme="majorHAnsi" w:cstheme="majorHAnsi"/>
        </w:rPr>
        <w:t>Indicator 3.4.2: Suicide mortality rate;</w:t>
      </w:r>
    </w:p>
    <w:p w14:paraId="214078F3" w14:textId="77777777" w:rsidR="009B0950" w:rsidRPr="000501B0" w:rsidRDefault="00492F84" w:rsidP="000501B0">
      <w:pPr>
        <w:numPr>
          <w:ilvl w:val="2"/>
          <w:numId w:val="8"/>
        </w:numPr>
        <w:spacing w:line="240" w:lineRule="auto"/>
        <w:rPr>
          <w:rFonts w:asciiTheme="majorHAnsi" w:eastAsia="Calibri" w:hAnsiTheme="majorHAnsi" w:cstheme="majorHAnsi"/>
        </w:rPr>
      </w:pPr>
      <w:r w:rsidRPr="000501B0">
        <w:rPr>
          <w:rFonts w:asciiTheme="majorHAnsi" w:eastAsia="Calibri" w:hAnsiTheme="majorHAnsi" w:cstheme="majorHAnsi"/>
        </w:rPr>
        <w:t>Indicator 3.5.1: Coverage of treatment interventions (pharmacological, psychosocial and rehabilitation and aftercare services) for substance use disorders;</w:t>
      </w:r>
    </w:p>
    <w:p w14:paraId="416CB395" w14:textId="77777777" w:rsidR="009B0950" w:rsidRPr="000501B0" w:rsidRDefault="00492F84" w:rsidP="000501B0">
      <w:pPr>
        <w:numPr>
          <w:ilvl w:val="2"/>
          <w:numId w:val="8"/>
        </w:numPr>
        <w:spacing w:line="240" w:lineRule="auto"/>
        <w:rPr>
          <w:rFonts w:asciiTheme="majorHAnsi" w:eastAsia="Calibri" w:hAnsiTheme="majorHAnsi" w:cstheme="majorHAnsi"/>
        </w:rPr>
      </w:pPr>
      <w:r w:rsidRPr="000501B0">
        <w:rPr>
          <w:rFonts w:asciiTheme="majorHAnsi" w:eastAsia="Calibri" w:hAnsiTheme="majorHAnsi" w:cstheme="majorHAnsi"/>
        </w:rPr>
        <w:t>Indicator 3.5.2: Harmful use of alcohol, defined according to the national context as alcohol per ca</w:t>
      </w:r>
      <w:r w:rsidRPr="000501B0">
        <w:rPr>
          <w:rFonts w:asciiTheme="majorHAnsi" w:eastAsia="Calibri" w:hAnsiTheme="majorHAnsi" w:cstheme="majorHAnsi"/>
        </w:rPr>
        <w:t>pita consumption (aged 15 years and older) within a calendar year in litres of pure alcohol</w:t>
      </w:r>
    </w:p>
    <w:p w14:paraId="0232228A" w14:textId="77777777" w:rsidR="009B0950" w:rsidRPr="000501B0" w:rsidRDefault="00492F84" w:rsidP="000501B0">
      <w:pPr>
        <w:numPr>
          <w:ilvl w:val="2"/>
          <w:numId w:val="8"/>
        </w:numPr>
        <w:spacing w:line="240" w:lineRule="auto"/>
        <w:rPr>
          <w:rFonts w:asciiTheme="majorHAnsi" w:eastAsia="Calibri" w:hAnsiTheme="majorHAnsi" w:cstheme="majorHAnsi"/>
        </w:rPr>
      </w:pPr>
      <w:r w:rsidRPr="000501B0">
        <w:rPr>
          <w:rFonts w:asciiTheme="majorHAnsi" w:eastAsia="Calibri" w:hAnsiTheme="majorHAnsi" w:cstheme="majorHAnsi"/>
        </w:rPr>
        <w:t>Indicator 3.7.1: Proportion of women of reproductive age (aged 15-49 years) who have their need for family planning satisfied with modern methods, including lesbian</w:t>
      </w:r>
      <w:r w:rsidRPr="000501B0">
        <w:rPr>
          <w:rFonts w:asciiTheme="majorHAnsi" w:eastAsia="Calibri" w:hAnsiTheme="majorHAnsi" w:cstheme="majorHAnsi"/>
        </w:rPr>
        <w:t xml:space="preserve"> and bisexual women, and trans persons;</w:t>
      </w:r>
    </w:p>
    <w:p w14:paraId="5863BF94" w14:textId="77777777" w:rsidR="009B0950" w:rsidRPr="000501B0" w:rsidRDefault="00492F84" w:rsidP="000501B0">
      <w:pPr>
        <w:numPr>
          <w:ilvl w:val="2"/>
          <w:numId w:val="8"/>
        </w:numPr>
        <w:spacing w:line="240" w:lineRule="auto"/>
        <w:rPr>
          <w:rFonts w:asciiTheme="majorHAnsi" w:eastAsia="Calibri" w:hAnsiTheme="majorHAnsi" w:cstheme="majorHAnsi"/>
        </w:rPr>
      </w:pPr>
      <w:r w:rsidRPr="000501B0">
        <w:rPr>
          <w:rFonts w:asciiTheme="majorHAnsi" w:eastAsia="Calibri" w:hAnsiTheme="majorHAnsi" w:cstheme="majorHAnsi"/>
        </w:rPr>
        <w:t>Indicator 3.7.2: Adolescent birth rate (aged 10-14 years; aged 15-19 years) per 1,000 women and trans men in that age group, particularly among LBT and GNC young individuals;</w:t>
      </w:r>
    </w:p>
    <w:p w14:paraId="05B97A7F" w14:textId="6FD1B302" w:rsidR="009B0950" w:rsidRPr="000501B0" w:rsidRDefault="00492F84" w:rsidP="000501B0">
      <w:pPr>
        <w:numPr>
          <w:ilvl w:val="2"/>
          <w:numId w:val="8"/>
        </w:numPr>
        <w:spacing w:line="240" w:lineRule="auto"/>
        <w:rPr>
          <w:rFonts w:asciiTheme="majorHAnsi" w:eastAsia="Calibri" w:hAnsiTheme="majorHAnsi" w:cstheme="majorHAnsi"/>
        </w:rPr>
      </w:pPr>
      <w:r w:rsidRPr="000501B0">
        <w:rPr>
          <w:rFonts w:asciiTheme="majorHAnsi" w:eastAsia="Calibri" w:hAnsiTheme="majorHAnsi" w:cstheme="majorHAnsi"/>
        </w:rPr>
        <w:t>Indicator 3.8.1: Coverage of essential he</w:t>
      </w:r>
      <w:r w:rsidRPr="000501B0">
        <w:rPr>
          <w:rFonts w:asciiTheme="majorHAnsi" w:eastAsia="Calibri" w:hAnsiTheme="majorHAnsi" w:cstheme="majorHAnsi"/>
        </w:rPr>
        <w:t xml:space="preserve">alth services (defined as the average coverage of essential services based on tracer interventions that include reproductive, maternal, </w:t>
      </w:r>
      <w:r w:rsidR="005D7066" w:rsidRPr="000501B0">
        <w:rPr>
          <w:rFonts w:asciiTheme="majorHAnsi" w:eastAsia="Calibri" w:hAnsiTheme="majorHAnsi" w:cstheme="majorHAnsi"/>
        </w:rPr>
        <w:t>new-born</w:t>
      </w:r>
      <w:r w:rsidRPr="000501B0">
        <w:rPr>
          <w:rFonts w:asciiTheme="majorHAnsi" w:eastAsia="Calibri" w:hAnsiTheme="majorHAnsi" w:cstheme="majorHAnsi"/>
        </w:rPr>
        <w:t xml:space="preserve"> and child health, infectious diseases, non-communicable diseases and service capacity and access, among the gene</w:t>
      </w:r>
      <w:r w:rsidRPr="000501B0">
        <w:rPr>
          <w:rFonts w:asciiTheme="majorHAnsi" w:eastAsia="Calibri" w:hAnsiTheme="majorHAnsi" w:cstheme="majorHAnsi"/>
        </w:rPr>
        <w:t>ral and the most disadvantaged population); and</w:t>
      </w:r>
    </w:p>
    <w:p w14:paraId="379D0991" w14:textId="77777777" w:rsidR="009B0950" w:rsidRPr="000501B0" w:rsidRDefault="00492F84" w:rsidP="000501B0">
      <w:pPr>
        <w:numPr>
          <w:ilvl w:val="2"/>
          <w:numId w:val="8"/>
        </w:numPr>
        <w:spacing w:after="500" w:line="240" w:lineRule="auto"/>
        <w:rPr>
          <w:rFonts w:asciiTheme="majorHAnsi" w:eastAsia="Calibri" w:hAnsiTheme="majorHAnsi" w:cstheme="majorHAnsi"/>
        </w:rPr>
      </w:pPr>
      <w:r w:rsidRPr="000501B0">
        <w:rPr>
          <w:rFonts w:asciiTheme="majorHAnsi" w:eastAsia="Calibri" w:hAnsiTheme="majorHAnsi" w:cstheme="majorHAnsi"/>
        </w:rPr>
        <w:t>Indicator 3.8.2: Proportion of population with large household expenditures on health as a share of total household expenditure or income.</w:t>
      </w:r>
    </w:p>
    <w:p w14:paraId="1E84D8B1" w14:textId="0964B433" w:rsidR="009B0950" w:rsidRDefault="00492F84" w:rsidP="000501B0">
      <w:pPr>
        <w:pBdr>
          <w:bottom w:val="single" w:sz="12" w:space="1" w:color="auto"/>
        </w:pBdr>
        <w:spacing w:line="240" w:lineRule="auto"/>
        <w:jc w:val="both"/>
        <w:rPr>
          <w:rFonts w:asciiTheme="majorHAnsi" w:eastAsia="Calibri" w:hAnsiTheme="majorHAnsi" w:cstheme="majorHAnsi"/>
        </w:rPr>
      </w:pPr>
      <w:r w:rsidRPr="000501B0">
        <w:rPr>
          <w:rFonts w:asciiTheme="majorHAnsi" w:eastAsia="Calibri" w:hAnsiTheme="majorHAnsi" w:cstheme="majorHAnsi"/>
        </w:rPr>
        <w:t>Although South Africa measures progress against most of the above SDG</w:t>
      </w:r>
      <w:r w:rsidRPr="000501B0">
        <w:rPr>
          <w:rFonts w:asciiTheme="majorHAnsi" w:eastAsia="Calibri" w:hAnsiTheme="majorHAnsi" w:cstheme="majorHAnsi"/>
        </w:rPr>
        <w:t>3 indicators,</w:t>
      </w:r>
      <w:r w:rsidRPr="000501B0">
        <w:rPr>
          <w:rFonts w:asciiTheme="majorHAnsi" w:eastAsia="Calibri" w:hAnsiTheme="majorHAnsi" w:cstheme="majorHAnsi"/>
          <w:vertAlign w:val="superscript"/>
        </w:rPr>
        <w:footnoteReference w:id="62"/>
      </w:r>
      <w:r w:rsidRPr="000501B0">
        <w:rPr>
          <w:rFonts w:asciiTheme="majorHAnsi" w:eastAsia="Calibri" w:hAnsiTheme="majorHAnsi" w:cstheme="majorHAnsi"/>
        </w:rPr>
        <w:t xml:space="preserve"> it does not currently do so for persons affected by violence and discrimination based on SOGI or diverse sex characteristics. Some government departments seem to be collecting some LGBTI statistics, but it </w:t>
      </w:r>
      <w:proofErr w:type="gramStart"/>
      <w:r w:rsidRPr="000501B0">
        <w:rPr>
          <w:rFonts w:asciiTheme="majorHAnsi" w:eastAsia="Calibri" w:hAnsiTheme="majorHAnsi" w:cstheme="majorHAnsi"/>
        </w:rPr>
        <w:t>is not explicitly reported</w:t>
      </w:r>
      <w:proofErr w:type="gramEnd"/>
      <w:r w:rsidRPr="000501B0">
        <w:rPr>
          <w:rFonts w:asciiTheme="majorHAnsi" w:eastAsia="Calibri" w:hAnsiTheme="majorHAnsi" w:cstheme="majorHAnsi"/>
        </w:rPr>
        <w:t xml:space="preserve"> on in S</w:t>
      </w:r>
      <w:r w:rsidRPr="000501B0">
        <w:rPr>
          <w:rFonts w:asciiTheme="majorHAnsi" w:eastAsia="Calibri" w:hAnsiTheme="majorHAnsi" w:cstheme="majorHAnsi"/>
        </w:rPr>
        <w:t>DG monitoring, nor publicly available.</w:t>
      </w:r>
    </w:p>
    <w:p w14:paraId="7761BB8E" w14:textId="77777777" w:rsidR="00B02AAE" w:rsidRDefault="00B02AAE" w:rsidP="000501B0">
      <w:pPr>
        <w:pBdr>
          <w:bottom w:val="single" w:sz="12" w:space="1" w:color="auto"/>
        </w:pBdr>
        <w:spacing w:line="240" w:lineRule="auto"/>
        <w:jc w:val="both"/>
        <w:rPr>
          <w:rFonts w:asciiTheme="majorHAnsi" w:eastAsia="Calibri" w:hAnsiTheme="majorHAnsi" w:cstheme="majorHAnsi"/>
        </w:rPr>
      </w:pPr>
    </w:p>
    <w:p w14:paraId="7486E165" w14:textId="7581CFEE" w:rsidR="00B02AAE" w:rsidRDefault="00B02AAE" w:rsidP="000501B0">
      <w:pPr>
        <w:spacing w:line="240" w:lineRule="auto"/>
        <w:jc w:val="both"/>
        <w:rPr>
          <w:rFonts w:asciiTheme="majorHAnsi" w:eastAsia="Calibri" w:hAnsiTheme="majorHAnsi" w:cstheme="majorHAnsi"/>
        </w:rPr>
      </w:pPr>
    </w:p>
    <w:p w14:paraId="1012E190" w14:textId="3451C8C5" w:rsidR="00B02AAE" w:rsidRPr="00B02AAE" w:rsidRDefault="00B02AAE" w:rsidP="00B02AAE">
      <w:pPr>
        <w:spacing w:line="240" w:lineRule="auto"/>
        <w:jc w:val="center"/>
        <w:rPr>
          <w:rFonts w:asciiTheme="majorHAnsi" w:eastAsia="Calibri" w:hAnsiTheme="majorHAnsi" w:cstheme="majorHAnsi"/>
          <w:i/>
          <w:iCs/>
        </w:rPr>
      </w:pPr>
      <w:r>
        <w:rPr>
          <w:rFonts w:asciiTheme="majorHAnsi" w:eastAsia="Calibri" w:hAnsiTheme="majorHAnsi" w:cstheme="majorHAnsi"/>
        </w:rPr>
        <w:t>****</w:t>
      </w:r>
      <w:r>
        <w:rPr>
          <w:rFonts w:asciiTheme="majorHAnsi" w:eastAsia="Calibri" w:hAnsiTheme="majorHAnsi" w:cstheme="majorHAnsi"/>
          <w:i/>
          <w:iCs/>
        </w:rPr>
        <w:t>ENDS****</w:t>
      </w:r>
    </w:p>
    <w:sectPr w:rsidR="00B02AAE" w:rsidRPr="00B02AAE" w:rsidSect="000501B0">
      <w:footerReference w:type="default" r:id="rId38"/>
      <w:pgSz w:w="12240" w:h="15840"/>
      <w:pgMar w:top="1440" w:right="1440" w:bottom="1440" w:left="1440" w:header="720" w:footer="720" w:gutter="0"/>
      <w:pgBorders w:display="firstPage" w:offsetFrom="page">
        <w:top w:val="thickThinMediumGap" w:sz="24" w:space="24" w:color="auto"/>
        <w:left w:val="thickThinMediumGap" w:sz="24" w:space="24" w:color="auto"/>
        <w:bottom w:val="thinThickMediumGap" w:sz="24" w:space="24" w:color="auto"/>
        <w:right w:val="thinThickMediumGap" w:sz="2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DE6A8" w14:textId="77777777" w:rsidR="00492F84" w:rsidRDefault="00492F84">
      <w:pPr>
        <w:spacing w:line="240" w:lineRule="auto"/>
      </w:pPr>
      <w:r>
        <w:separator/>
      </w:r>
    </w:p>
  </w:endnote>
  <w:endnote w:type="continuationSeparator" w:id="0">
    <w:p w14:paraId="1D299F43" w14:textId="77777777" w:rsidR="00492F84" w:rsidRDefault="00492F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CE17" w14:textId="77777777" w:rsidR="009B0950" w:rsidRDefault="00492F84">
    <w:pPr>
      <w:jc w:val="right"/>
    </w:pPr>
    <w:r>
      <w:fldChar w:fldCharType="begin"/>
    </w:r>
    <w:r>
      <w:instrText>PAGE</w:instrText>
    </w:r>
    <w:r>
      <w:fldChar w:fldCharType="separate"/>
    </w:r>
    <w:r w:rsidR="000501B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CDFFB" w14:textId="77777777" w:rsidR="00492F84" w:rsidRDefault="00492F84">
      <w:pPr>
        <w:spacing w:line="240" w:lineRule="auto"/>
      </w:pPr>
      <w:r>
        <w:separator/>
      </w:r>
    </w:p>
  </w:footnote>
  <w:footnote w:type="continuationSeparator" w:id="0">
    <w:p w14:paraId="582D8A33" w14:textId="77777777" w:rsidR="00492F84" w:rsidRDefault="00492F84">
      <w:pPr>
        <w:spacing w:line="240" w:lineRule="auto"/>
      </w:pPr>
      <w:r>
        <w:continuationSeparator/>
      </w:r>
    </w:p>
  </w:footnote>
  <w:footnote w:id="1">
    <w:p w14:paraId="4DF1EE7D" w14:textId="029FF2E8"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Call for inputs: Report to the Human Rights Council on the realisation of the right of persons affected by violence and discrimination based on sexual orientation and gender identity to the enjoyment of the highest attainable standard of physical and menta</w:t>
      </w:r>
      <w:r w:rsidRPr="00847CA1">
        <w:rPr>
          <w:rFonts w:asciiTheme="majorHAnsi" w:hAnsiTheme="majorHAnsi" w:cstheme="majorHAnsi"/>
          <w:sz w:val="18"/>
          <w:szCs w:val="18"/>
        </w:rPr>
        <w:t>l health, in relation to SDG3</w:t>
      </w:r>
      <w:r w:rsidR="00B02AAE" w:rsidRPr="00847CA1">
        <w:rPr>
          <w:rFonts w:asciiTheme="majorHAnsi" w:hAnsiTheme="majorHAnsi" w:cstheme="majorHAnsi"/>
          <w:sz w:val="18"/>
          <w:szCs w:val="18"/>
        </w:rPr>
        <w:t xml:space="preserve">. </w:t>
      </w:r>
      <w:hyperlink r:id="rId1">
        <w:r w:rsidRPr="00847CA1">
          <w:rPr>
            <w:rFonts w:asciiTheme="majorHAnsi" w:hAnsiTheme="majorHAnsi" w:cstheme="majorHAnsi"/>
            <w:color w:val="1155CC"/>
            <w:sz w:val="18"/>
            <w:szCs w:val="18"/>
            <w:u w:val="single"/>
          </w:rPr>
          <w:t>https://www.ohchr.org/EN/Issues/SexualOrientationGender/Pages/CFI-IE-SOGI-report-50thsession-HRC.aspx</w:t>
        </w:r>
      </w:hyperlink>
      <w:r w:rsidRPr="00847CA1">
        <w:rPr>
          <w:rFonts w:asciiTheme="majorHAnsi" w:hAnsiTheme="majorHAnsi" w:cstheme="majorHAnsi"/>
          <w:sz w:val="18"/>
          <w:szCs w:val="18"/>
        </w:rPr>
        <w:t xml:space="preserve"> </w:t>
      </w:r>
    </w:p>
  </w:footnote>
  <w:footnote w:id="2">
    <w:p w14:paraId="5557209A"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Stats SA. </w:t>
      </w:r>
      <w:r w:rsidRPr="00847CA1">
        <w:rPr>
          <w:rFonts w:asciiTheme="majorHAnsi" w:hAnsiTheme="majorHAnsi" w:cstheme="majorHAnsi"/>
          <w:sz w:val="18"/>
          <w:szCs w:val="18"/>
        </w:rPr>
        <w:t>Sustainable Development Goals: Country report 2019 - South Africa</w:t>
      </w:r>
      <w:r w:rsidRPr="00847CA1">
        <w:rPr>
          <w:rFonts w:asciiTheme="majorHAnsi" w:hAnsiTheme="majorHAnsi" w:cstheme="majorHAnsi"/>
          <w:sz w:val="18"/>
          <w:szCs w:val="18"/>
        </w:rPr>
        <w:t xml:space="preserve">, pp.65, 74-75. Pretoria: Statistics South Africa. </w:t>
      </w:r>
      <w:hyperlink r:id="rId2">
        <w:r w:rsidRPr="00847CA1">
          <w:rPr>
            <w:rFonts w:asciiTheme="majorHAnsi" w:hAnsiTheme="majorHAnsi" w:cstheme="majorHAnsi"/>
            <w:color w:val="1155CC"/>
            <w:sz w:val="18"/>
            <w:szCs w:val="18"/>
            <w:u w:val="single"/>
          </w:rPr>
          <w:t>http://www.statssa.gov.za/MDG/SDGs_Country_Report_2019_South_Africa.pdf</w:t>
        </w:r>
      </w:hyperlink>
      <w:r w:rsidRPr="00847CA1">
        <w:rPr>
          <w:rFonts w:asciiTheme="majorHAnsi" w:hAnsiTheme="majorHAnsi" w:cstheme="majorHAnsi"/>
          <w:sz w:val="18"/>
          <w:szCs w:val="18"/>
        </w:rPr>
        <w:t xml:space="preserve"> </w:t>
      </w:r>
    </w:p>
  </w:footnote>
  <w:footnote w:id="3">
    <w:p w14:paraId="0A8AA311"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Research suggests HIV prevalence of 25% among trans women in</w:t>
      </w:r>
      <w:r w:rsidRPr="00847CA1">
        <w:rPr>
          <w:rFonts w:asciiTheme="majorHAnsi" w:hAnsiTheme="majorHAnsi" w:cstheme="majorHAnsi"/>
          <w:sz w:val="18"/>
          <w:szCs w:val="18"/>
        </w:rPr>
        <w:t xml:space="preserve"> sub-Saharan Africa (Poteat et al, 2020), and between 45.5%-63.4% in three South African metros (Cloete et al, 2019). </w:t>
      </w:r>
    </w:p>
    <w:p w14:paraId="039E84F8"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rPr>
        <w:t>Poteat, T., Malik, M., van der Merwe, L.L.A., Cloete, A., Adams, D., Bareng, A., Nonyane, S. &amp; Wirtz, A.L., 2020. PrEP awareness and enga</w:t>
      </w:r>
      <w:r w:rsidRPr="00847CA1">
        <w:rPr>
          <w:rFonts w:asciiTheme="majorHAnsi" w:hAnsiTheme="majorHAnsi" w:cstheme="majorHAnsi"/>
          <w:sz w:val="18"/>
          <w:szCs w:val="18"/>
        </w:rPr>
        <w:t>gement among transgender women in South Africa: a cross-sectional, mixed methods study. The Lancet HIV, 7(12), pp.e825-e834</w:t>
      </w:r>
      <w:proofErr w:type="gramStart"/>
      <w:r w:rsidRPr="00847CA1">
        <w:rPr>
          <w:rFonts w:asciiTheme="majorHAnsi" w:hAnsiTheme="majorHAnsi" w:cstheme="majorHAnsi"/>
          <w:sz w:val="18"/>
          <w:szCs w:val="18"/>
        </w:rPr>
        <w:t xml:space="preserve">.  </w:t>
      </w:r>
      <w:proofErr w:type="gramEnd"/>
      <w:r w:rsidRPr="00847CA1">
        <w:rPr>
          <w:rFonts w:asciiTheme="majorHAnsi" w:hAnsiTheme="majorHAnsi" w:cstheme="majorHAnsi"/>
          <w:sz w:val="18"/>
          <w:szCs w:val="18"/>
        </w:rPr>
        <w:fldChar w:fldCharType="begin"/>
      </w:r>
      <w:r w:rsidRPr="00847CA1">
        <w:rPr>
          <w:rFonts w:asciiTheme="majorHAnsi" w:hAnsiTheme="majorHAnsi" w:cstheme="majorHAnsi"/>
          <w:sz w:val="18"/>
          <w:szCs w:val="18"/>
        </w:rPr>
        <w:instrText xml:space="preserve"> HYPERLINK "https://www.thelancet.com/journals/lanhiv/article/PIIS2352-3018(20)30119-3/fulltext" \h </w:instrText>
      </w:r>
      <w:r w:rsidRPr="00847CA1">
        <w:rPr>
          <w:rFonts w:asciiTheme="majorHAnsi" w:hAnsiTheme="majorHAnsi" w:cstheme="majorHAnsi"/>
          <w:sz w:val="18"/>
          <w:szCs w:val="18"/>
        </w:rPr>
        <w:fldChar w:fldCharType="separate"/>
      </w:r>
      <w:r w:rsidRPr="00847CA1">
        <w:rPr>
          <w:rFonts w:asciiTheme="majorHAnsi" w:hAnsiTheme="majorHAnsi" w:cstheme="majorHAnsi"/>
          <w:color w:val="1155CC"/>
          <w:sz w:val="18"/>
          <w:szCs w:val="18"/>
          <w:u w:val="single"/>
        </w:rPr>
        <w:t>https://www.thelancet.com/j</w:t>
      </w:r>
      <w:r w:rsidRPr="00847CA1">
        <w:rPr>
          <w:rFonts w:asciiTheme="majorHAnsi" w:hAnsiTheme="majorHAnsi" w:cstheme="majorHAnsi"/>
          <w:color w:val="1155CC"/>
          <w:sz w:val="18"/>
          <w:szCs w:val="18"/>
          <w:u w:val="single"/>
        </w:rPr>
        <w:t>ournals/lanhiv/article/PIIS2352-3018(20)30119-3/fulltext</w:t>
      </w:r>
      <w:r w:rsidRPr="00847CA1">
        <w:rPr>
          <w:rFonts w:asciiTheme="majorHAnsi" w:hAnsiTheme="majorHAnsi" w:cstheme="majorHAnsi"/>
          <w:color w:val="1155CC"/>
          <w:sz w:val="18"/>
          <w:szCs w:val="18"/>
          <w:u w:val="single"/>
        </w:rPr>
        <w:fldChar w:fldCharType="end"/>
      </w:r>
      <w:r w:rsidRPr="00847CA1">
        <w:rPr>
          <w:rFonts w:asciiTheme="majorHAnsi" w:hAnsiTheme="majorHAnsi" w:cstheme="majorHAnsi"/>
          <w:sz w:val="18"/>
          <w:szCs w:val="18"/>
        </w:rPr>
        <w:t xml:space="preserve">  </w:t>
      </w:r>
    </w:p>
    <w:p w14:paraId="735FBDA3"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rPr>
        <w:t>Cloete, A., Wabiri, N., Savva, H., Van der Merwe, L., Simbayi, L. 2019. The Botshelo Ba Trans study: Results of the first HIV prevalence survey conducted amongst transgender women (TGW) in South Af</w:t>
      </w:r>
      <w:r w:rsidRPr="00847CA1">
        <w:rPr>
          <w:rFonts w:asciiTheme="majorHAnsi" w:hAnsiTheme="majorHAnsi" w:cstheme="majorHAnsi"/>
          <w:sz w:val="18"/>
          <w:szCs w:val="18"/>
        </w:rPr>
        <w:t xml:space="preserve">rica. Paper presented at 9th South Africa AIDS Conference, Durban ICC, Kwazulu-Natal (11–14 June 2019). </w:t>
      </w:r>
      <w:hyperlink r:id="rId3">
        <w:r w:rsidRPr="00847CA1">
          <w:rPr>
            <w:rFonts w:asciiTheme="majorHAnsi" w:hAnsiTheme="majorHAnsi" w:cstheme="majorHAnsi"/>
            <w:color w:val="1155CC"/>
            <w:sz w:val="18"/>
            <w:szCs w:val="18"/>
            <w:u w:val="single"/>
          </w:rPr>
          <w:t>https://repository.hsrc.ac.za/bitstream/handle/20.500.119</w:t>
        </w:r>
        <w:r w:rsidRPr="00847CA1">
          <w:rPr>
            <w:rFonts w:asciiTheme="majorHAnsi" w:hAnsiTheme="majorHAnsi" w:cstheme="majorHAnsi"/>
            <w:color w:val="1155CC"/>
            <w:sz w:val="18"/>
            <w:szCs w:val="18"/>
            <w:u w:val="single"/>
          </w:rPr>
          <w:t>10/14780/10995.pdf</w:t>
        </w:r>
      </w:hyperlink>
      <w:r w:rsidRPr="00847CA1">
        <w:rPr>
          <w:rFonts w:asciiTheme="majorHAnsi" w:hAnsiTheme="majorHAnsi" w:cstheme="majorHAnsi"/>
          <w:sz w:val="18"/>
          <w:szCs w:val="18"/>
        </w:rPr>
        <w:t xml:space="preserve"> </w:t>
      </w:r>
    </w:p>
  </w:footnote>
  <w:footnote w:id="4">
    <w:p w14:paraId="3AFB021D"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SANAC. (2017). </w:t>
      </w:r>
      <w:r w:rsidRPr="00847CA1">
        <w:rPr>
          <w:rFonts w:asciiTheme="majorHAnsi" w:hAnsiTheme="majorHAnsi" w:cstheme="majorHAnsi"/>
          <w:sz w:val="18"/>
          <w:szCs w:val="18"/>
        </w:rPr>
        <w:t>South Africa's National Strategic Plan for HIV, TB and STIs 2017-2022</w:t>
      </w:r>
      <w:r w:rsidRPr="00847CA1">
        <w:rPr>
          <w:rFonts w:asciiTheme="majorHAnsi" w:hAnsiTheme="majorHAnsi" w:cstheme="majorHAnsi"/>
          <w:sz w:val="18"/>
          <w:szCs w:val="18"/>
        </w:rPr>
        <w:t xml:space="preserve">. </w:t>
      </w:r>
      <w:hyperlink r:id="rId4">
        <w:r w:rsidRPr="00847CA1">
          <w:rPr>
            <w:rFonts w:asciiTheme="majorHAnsi" w:hAnsiTheme="majorHAnsi" w:cstheme="majorHAnsi"/>
            <w:color w:val="1155CC"/>
            <w:sz w:val="18"/>
            <w:szCs w:val="18"/>
            <w:u w:val="single"/>
          </w:rPr>
          <w:t>https://sanac.org.za//wp-content/uploads/2017/06/NSP_FullDocument_FINAL.pdf</w:t>
        </w:r>
      </w:hyperlink>
      <w:r w:rsidRPr="00847CA1">
        <w:rPr>
          <w:rFonts w:asciiTheme="majorHAnsi" w:hAnsiTheme="majorHAnsi" w:cstheme="majorHAnsi"/>
          <w:sz w:val="18"/>
          <w:szCs w:val="18"/>
        </w:rPr>
        <w:t xml:space="preserve"> </w:t>
      </w:r>
    </w:p>
  </w:footnote>
  <w:footnote w:id="5">
    <w:p w14:paraId="4A8CDB97"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SANAC. (2017). </w:t>
      </w:r>
      <w:r w:rsidRPr="00847CA1">
        <w:rPr>
          <w:rFonts w:asciiTheme="majorHAnsi" w:hAnsiTheme="majorHAnsi" w:cstheme="majorHAnsi"/>
          <w:sz w:val="18"/>
          <w:szCs w:val="18"/>
        </w:rPr>
        <w:t>South African National LGBTI HIV Plan 2017-2022</w:t>
      </w:r>
      <w:r w:rsidRPr="00847CA1">
        <w:rPr>
          <w:rFonts w:asciiTheme="majorHAnsi" w:hAnsiTheme="majorHAnsi" w:cstheme="majorHAnsi"/>
          <w:sz w:val="18"/>
          <w:szCs w:val="18"/>
        </w:rPr>
        <w:t>.</w:t>
      </w:r>
      <w:hyperlink r:id="rId5">
        <w:r w:rsidRPr="00847CA1">
          <w:rPr>
            <w:rFonts w:asciiTheme="majorHAnsi" w:hAnsiTheme="majorHAnsi" w:cstheme="majorHAnsi"/>
            <w:sz w:val="18"/>
            <w:szCs w:val="18"/>
          </w:rPr>
          <w:t xml:space="preserve"> </w:t>
        </w:r>
      </w:hyperlink>
      <w:hyperlink r:id="rId6">
        <w:r w:rsidRPr="00847CA1">
          <w:rPr>
            <w:rFonts w:asciiTheme="majorHAnsi" w:hAnsiTheme="majorHAnsi" w:cstheme="majorHAnsi"/>
            <w:color w:val="1155CC"/>
            <w:sz w:val="18"/>
            <w:szCs w:val="18"/>
            <w:u w:val="single"/>
          </w:rPr>
          <w:t>https://sanac.org.za/wp-content/uploads/2017/06/LGBTI-HIV-Plan-Final.pdf</w:t>
        </w:r>
      </w:hyperlink>
      <w:r w:rsidRPr="00847CA1">
        <w:rPr>
          <w:rFonts w:asciiTheme="majorHAnsi" w:hAnsiTheme="majorHAnsi" w:cstheme="majorHAnsi"/>
          <w:sz w:val="18"/>
          <w:szCs w:val="18"/>
        </w:rPr>
        <w:t xml:space="preserve"> </w:t>
      </w:r>
    </w:p>
  </w:footnote>
  <w:footnote w:id="6">
    <w:p w14:paraId="18D10D85"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SANAC. 2019. </w:t>
      </w:r>
      <w:r w:rsidRPr="00847CA1">
        <w:rPr>
          <w:rFonts w:asciiTheme="majorHAnsi" w:hAnsiTheme="majorHAnsi" w:cstheme="majorHAnsi"/>
          <w:sz w:val="18"/>
          <w:szCs w:val="18"/>
        </w:rPr>
        <w:t>South Africa’</w:t>
      </w:r>
      <w:r w:rsidRPr="00847CA1">
        <w:rPr>
          <w:rFonts w:asciiTheme="majorHAnsi" w:hAnsiTheme="majorHAnsi" w:cstheme="majorHAnsi"/>
          <w:sz w:val="18"/>
          <w:szCs w:val="18"/>
        </w:rPr>
        <w:t>s National Sex Worker HIV, TB and STI Plan, 2019-2022</w:t>
      </w:r>
      <w:r w:rsidRPr="00847CA1">
        <w:rPr>
          <w:rFonts w:asciiTheme="majorHAnsi" w:hAnsiTheme="majorHAnsi" w:cstheme="majorHAnsi"/>
          <w:sz w:val="18"/>
          <w:szCs w:val="18"/>
        </w:rPr>
        <w:t xml:space="preserve">. Pretoria: South African National AIDS Council Trust. </w:t>
      </w:r>
      <w:hyperlink r:id="rId7">
        <w:r w:rsidRPr="00847CA1">
          <w:rPr>
            <w:rFonts w:asciiTheme="majorHAnsi" w:hAnsiTheme="majorHAnsi" w:cstheme="majorHAnsi"/>
            <w:color w:val="1155CC"/>
            <w:sz w:val="18"/>
            <w:szCs w:val="18"/>
            <w:u w:val="single"/>
          </w:rPr>
          <w:t>https://sanac.org.za/wp-content/uploads/2021/11/NATIONAL-SEX-WORKER-PLAN-WEB-FINAL.pdf</w:t>
        </w:r>
      </w:hyperlink>
      <w:r w:rsidRPr="00847CA1">
        <w:rPr>
          <w:rFonts w:asciiTheme="majorHAnsi" w:hAnsiTheme="majorHAnsi" w:cstheme="majorHAnsi"/>
          <w:sz w:val="18"/>
          <w:szCs w:val="18"/>
        </w:rPr>
        <w:t xml:space="preserve">  </w:t>
      </w:r>
    </w:p>
  </w:footnote>
  <w:footnote w:id="7">
    <w:p w14:paraId="27005CBE"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Stats SA. </w:t>
      </w:r>
      <w:r w:rsidRPr="00847CA1">
        <w:rPr>
          <w:rFonts w:asciiTheme="majorHAnsi" w:hAnsiTheme="majorHAnsi" w:cstheme="majorHAnsi"/>
          <w:sz w:val="18"/>
          <w:szCs w:val="18"/>
        </w:rPr>
        <w:t>Sustainable Development Goals: Country report 2019 - South Africa</w:t>
      </w:r>
      <w:r w:rsidRPr="00847CA1">
        <w:rPr>
          <w:rFonts w:asciiTheme="majorHAnsi" w:hAnsiTheme="majorHAnsi" w:cstheme="majorHAnsi"/>
          <w:sz w:val="18"/>
          <w:szCs w:val="18"/>
        </w:rPr>
        <w:t xml:space="preserve">, pp.69, 75. Pretoria: Statistics South Africa. </w:t>
      </w:r>
      <w:hyperlink r:id="rId8">
        <w:r w:rsidRPr="00847CA1">
          <w:rPr>
            <w:rFonts w:asciiTheme="majorHAnsi" w:hAnsiTheme="majorHAnsi" w:cstheme="majorHAnsi"/>
            <w:color w:val="1155CC"/>
            <w:sz w:val="18"/>
            <w:szCs w:val="18"/>
            <w:u w:val="single"/>
          </w:rPr>
          <w:t>http://www.statssa.gov.za/MDG/SDGs_Country_Report_2019_South_Africa.pdf</w:t>
        </w:r>
      </w:hyperlink>
      <w:r w:rsidRPr="00847CA1">
        <w:rPr>
          <w:rFonts w:asciiTheme="majorHAnsi" w:hAnsiTheme="majorHAnsi" w:cstheme="majorHAnsi"/>
          <w:sz w:val="18"/>
          <w:szCs w:val="18"/>
        </w:rPr>
        <w:t xml:space="preserve"> </w:t>
      </w:r>
    </w:p>
  </w:footnote>
  <w:footnote w:id="8">
    <w:p w14:paraId="53F2AC0E"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WHO. 2021. </w:t>
      </w:r>
      <w:r w:rsidRPr="00847CA1">
        <w:rPr>
          <w:rFonts w:asciiTheme="majorHAnsi" w:hAnsiTheme="majorHAnsi" w:cstheme="majorHAnsi"/>
          <w:sz w:val="18"/>
          <w:szCs w:val="18"/>
        </w:rPr>
        <w:t>Suicide Worldwide in 2019: Global Health Estimates</w:t>
      </w:r>
      <w:r w:rsidRPr="00847CA1">
        <w:rPr>
          <w:rFonts w:asciiTheme="majorHAnsi" w:hAnsiTheme="majorHAnsi" w:cstheme="majorHAnsi"/>
          <w:sz w:val="18"/>
          <w:szCs w:val="18"/>
        </w:rPr>
        <w:t xml:space="preserve">. Geneva: World Health Organisation. </w:t>
      </w:r>
      <w:hyperlink r:id="rId9">
        <w:r w:rsidRPr="00847CA1">
          <w:rPr>
            <w:rFonts w:asciiTheme="majorHAnsi" w:hAnsiTheme="majorHAnsi" w:cstheme="majorHAnsi"/>
            <w:color w:val="1155CC"/>
            <w:sz w:val="18"/>
            <w:szCs w:val="18"/>
            <w:u w:val="single"/>
          </w:rPr>
          <w:t>https://www.who.int/publications/i/item/9789240026643</w:t>
        </w:r>
      </w:hyperlink>
      <w:r w:rsidRPr="00847CA1">
        <w:rPr>
          <w:rFonts w:asciiTheme="majorHAnsi" w:hAnsiTheme="majorHAnsi" w:cstheme="majorHAnsi"/>
          <w:sz w:val="18"/>
          <w:szCs w:val="18"/>
        </w:rPr>
        <w:t xml:space="preserve"> </w:t>
      </w:r>
    </w:p>
  </w:footnote>
  <w:footnote w:id="9">
    <w:p w14:paraId="1FBF766C" w14:textId="5FF164B5"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Stats SA. 2021. </w:t>
      </w:r>
      <w:r w:rsidRPr="00847CA1">
        <w:rPr>
          <w:rFonts w:asciiTheme="majorHAnsi" w:hAnsiTheme="majorHAnsi" w:cstheme="majorHAnsi"/>
          <w:sz w:val="18"/>
          <w:szCs w:val="18"/>
        </w:rPr>
        <w:t>Mortality and causes of death in South Africa: Findings from death notification 2018</w:t>
      </w:r>
      <w:r w:rsidRPr="00847CA1">
        <w:rPr>
          <w:rFonts w:asciiTheme="majorHAnsi" w:hAnsiTheme="majorHAnsi" w:cstheme="majorHAnsi"/>
          <w:sz w:val="18"/>
          <w:szCs w:val="18"/>
        </w:rPr>
        <w:t>. Statistical Release P0309.3, pp.54-55. (See information o</w:t>
      </w:r>
      <w:r w:rsidRPr="00847CA1">
        <w:rPr>
          <w:rFonts w:asciiTheme="majorHAnsi" w:hAnsiTheme="majorHAnsi" w:cstheme="majorHAnsi"/>
          <w:sz w:val="18"/>
          <w:szCs w:val="18"/>
        </w:rPr>
        <w:t>n intentional self-harm under non-natural causes of death by age and sex</w:t>
      </w:r>
      <w:r w:rsidR="005D7066" w:rsidRPr="00847CA1">
        <w:rPr>
          <w:rFonts w:asciiTheme="majorHAnsi" w:hAnsiTheme="majorHAnsi" w:cstheme="majorHAnsi"/>
          <w:sz w:val="18"/>
          <w:szCs w:val="18"/>
        </w:rPr>
        <w:t>).</w:t>
      </w:r>
      <w:r w:rsidRPr="00847CA1">
        <w:rPr>
          <w:rFonts w:asciiTheme="majorHAnsi" w:hAnsiTheme="majorHAnsi" w:cstheme="majorHAnsi"/>
          <w:sz w:val="18"/>
          <w:szCs w:val="18"/>
        </w:rPr>
        <w:t xml:space="preserve"> </w:t>
      </w:r>
      <w:hyperlink r:id="rId10">
        <w:r w:rsidRPr="00847CA1">
          <w:rPr>
            <w:rFonts w:asciiTheme="majorHAnsi" w:hAnsiTheme="majorHAnsi" w:cstheme="majorHAnsi"/>
            <w:color w:val="1155CC"/>
            <w:sz w:val="18"/>
            <w:szCs w:val="18"/>
            <w:u w:val="single"/>
          </w:rPr>
          <w:t>https://www.statssa.gov.za/publications/P03093/P030932018.pdf</w:t>
        </w:r>
      </w:hyperlink>
      <w:r w:rsidRPr="00847CA1">
        <w:rPr>
          <w:rFonts w:asciiTheme="majorHAnsi" w:hAnsiTheme="majorHAnsi" w:cstheme="majorHAnsi"/>
          <w:sz w:val="18"/>
          <w:szCs w:val="18"/>
        </w:rPr>
        <w:t xml:space="preserve"> </w:t>
      </w:r>
    </w:p>
  </w:footnote>
  <w:footnote w:id="10">
    <w:p w14:paraId="56B9E281" w14:textId="660CFCA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Research suggests HIV prevalence of 25% among trans women in sub-Saharan Africa (Poteat e</w:t>
      </w:r>
      <w:r w:rsidRPr="00847CA1">
        <w:rPr>
          <w:rFonts w:asciiTheme="majorHAnsi" w:hAnsiTheme="majorHAnsi" w:cstheme="majorHAnsi"/>
          <w:sz w:val="18"/>
          <w:szCs w:val="18"/>
        </w:rPr>
        <w:t>t al, 2020), and between 45.5%-63.4% in three South African metros (Cloete et al, 2019).</w:t>
      </w:r>
      <w:r w:rsidR="00847CA1" w:rsidRPr="00847CA1">
        <w:rPr>
          <w:rFonts w:asciiTheme="majorHAnsi" w:hAnsiTheme="majorHAnsi" w:cstheme="majorHAnsi"/>
          <w:sz w:val="18"/>
          <w:szCs w:val="18"/>
        </w:rPr>
        <w:t xml:space="preserve"> </w:t>
      </w:r>
      <w:r w:rsidRPr="00847CA1">
        <w:rPr>
          <w:rFonts w:asciiTheme="majorHAnsi" w:hAnsiTheme="majorHAnsi" w:cstheme="majorHAnsi"/>
          <w:sz w:val="18"/>
          <w:szCs w:val="18"/>
        </w:rPr>
        <w:t>Poteat, T., Malik, M., van der Merwe, L.L.A., Cloete, A., Adams, D., Bareng, A., Nonyane, S. &amp; Wirtz, A.L., 2020. PrEP awareness and engagement among transgender wome</w:t>
      </w:r>
      <w:r w:rsidRPr="00847CA1">
        <w:rPr>
          <w:rFonts w:asciiTheme="majorHAnsi" w:hAnsiTheme="majorHAnsi" w:cstheme="majorHAnsi"/>
          <w:sz w:val="18"/>
          <w:szCs w:val="18"/>
        </w:rPr>
        <w:t xml:space="preserve">n in South Africa: a cross-sectional, mixed methods study. The Lancet HIV, 7(12), pp.e825-e834. </w:t>
      </w:r>
      <w:hyperlink r:id="rId11">
        <w:r w:rsidRPr="00847CA1">
          <w:rPr>
            <w:rFonts w:asciiTheme="majorHAnsi" w:hAnsiTheme="majorHAnsi" w:cstheme="majorHAnsi"/>
            <w:color w:val="1155CC"/>
            <w:sz w:val="18"/>
            <w:szCs w:val="18"/>
            <w:u w:val="single"/>
          </w:rPr>
          <w:t>https://www.thelancet.com/journals/lanhiv/article/PIIS235</w:t>
        </w:r>
        <w:r w:rsidRPr="00847CA1">
          <w:rPr>
            <w:rFonts w:asciiTheme="majorHAnsi" w:hAnsiTheme="majorHAnsi" w:cstheme="majorHAnsi"/>
            <w:color w:val="1155CC"/>
            <w:sz w:val="18"/>
            <w:szCs w:val="18"/>
            <w:u w:val="single"/>
          </w:rPr>
          <w:t>2-3018(20)30119-3/fulltext</w:t>
        </w:r>
      </w:hyperlink>
      <w:r w:rsidRPr="00847CA1">
        <w:rPr>
          <w:rFonts w:asciiTheme="majorHAnsi" w:hAnsiTheme="majorHAnsi" w:cstheme="majorHAnsi"/>
          <w:sz w:val="18"/>
          <w:szCs w:val="18"/>
        </w:rPr>
        <w:t xml:space="preserve">   </w:t>
      </w:r>
    </w:p>
    <w:p w14:paraId="34335A16"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rPr>
        <w:t xml:space="preserve">Cloete, A., Wabiri, N., Savva, H., Van der Merwe, L., Simbayi, L. 2019. The Botshelo Ba Trans study: Results of the first HIV prevalence survey conducted amongst transgender women (TGW) in South Africa. Paper presented at 9th </w:t>
      </w:r>
      <w:r w:rsidRPr="00847CA1">
        <w:rPr>
          <w:rFonts w:asciiTheme="majorHAnsi" w:hAnsiTheme="majorHAnsi" w:cstheme="majorHAnsi"/>
          <w:sz w:val="18"/>
          <w:szCs w:val="18"/>
        </w:rPr>
        <w:t xml:space="preserve">South Africa AIDS Conference, Durban ICC, Kwazulu-Natal (11–14 June 2019). </w:t>
      </w:r>
      <w:hyperlink r:id="rId12">
        <w:r w:rsidRPr="00847CA1">
          <w:rPr>
            <w:rFonts w:asciiTheme="majorHAnsi" w:hAnsiTheme="majorHAnsi" w:cstheme="majorHAnsi"/>
            <w:color w:val="1155CC"/>
            <w:sz w:val="18"/>
            <w:szCs w:val="18"/>
            <w:u w:val="single"/>
          </w:rPr>
          <w:t>https://repository.hsrc.ac.za/bitstream/handle/20.500.11910/14780/10995.pdf</w:t>
        </w:r>
      </w:hyperlink>
      <w:r w:rsidRPr="00847CA1">
        <w:rPr>
          <w:rFonts w:asciiTheme="majorHAnsi" w:hAnsiTheme="majorHAnsi" w:cstheme="majorHAnsi"/>
          <w:sz w:val="18"/>
          <w:szCs w:val="18"/>
        </w:rPr>
        <w:t xml:space="preserve"> </w:t>
      </w:r>
    </w:p>
  </w:footnote>
  <w:footnote w:id="11">
    <w:p w14:paraId="3113D50F"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Stats SA. </w:t>
      </w:r>
      <w:r w:rsidRPr="00847CA1">
        <w:rPr>
          <w:rFonts w:asciiTheme="majorHAnsi" w:hAnsiTheme="majorHAnsi" w:cstheme="majorHAnsi"/>
          <w:sz w:val="18"/>
          <w:szCs w:val="18"/>
        </w:rPr>
        <w:t>Sustainable Development Goals: Country report 2019 - South Africa</w:t>
      </w:r>
      <w:r w:rsidRPr="00847CA1">
        <w:rPr>
          <w:rFonts w:asciiTheme="majorHAnsi" w:hAnsiTheme="majorHAnsi" w:cstheme="majorHAnsi"/>
          <w:sz w:val="18"/>
          <w:szCs w:val="18"/>
        </w:rPr>
        <w:t xml:space="preserve">, pp.69, 75. Pretoria: Statistics South Africa. </w:t>
      </w:r>
      <w:hyperlink r:id="rId13">
        <w:r w:rsidRPr="00847CA1">
          <w:rPr>
            <w:rFonts w:asciiTheme="majorHAnsi" w:hAnsiTheme="majorHAnsi" w:cstheme="majorHAnsi"/>
            <w:color w:val="1155CC"/>
            <w:sz w:val="18"/>
            <w:szCs w:val="18"/>
            <w:u w:val="single"/>
          </w:rPr>
          <w:t>http://www.statssa.gov.za/MDG/SDGs_Country_Report_20</w:t>
        </w:r>
        <w:r w:rsidRPr="00847CA1">
          <w:rPr>
            <w:rFonts w:asciiTheme="majorHAnsi" w:hAnsiTheme="majorHAnsi" w:cstheme="majorHAnsi"/>
            <w:color w:val="1155CC"/>
            <w:sz w:val="18"/>
            <w:szCs w:val="18"/>
            <w:u w:val="single"/>
          </w:rPr>
          <w:t>19_South_Africa.pdf</w:t>
        </w:r>
      </w:hyperlink>
      <w:r w:rsidRPr="00847CA1">
        <w:rPr>
          <w:rFonts w:asciiTheme="majorHAnsi" w:hAnsiTheme="majorHAnsi" w:cstheme="majorHAnsi"/>
          <w:sz w:val="18"/>
          <w:szCs w:val="18"/>
        </w:rPr>
        <w:t xml:space="preserve"> </w:t>
      </w:r>
    </w:p>
  </w:footnote>
  <w:footnote w:id="12">
    <w:p w14:paraId="60E17CD6"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National Department of Health (NDoH), Statistics South Africa (Stats SA), South African Medical Research Council (SAMRC), and ICF. 2019. </w:t>
      </w:r>
      <w:r w:rsidRPr="00847CA1">
        <w:rPr>
          <w:rFonts w:asciiTheme="majorHAnsi" w:hAnsiTheme="majorHAnsi" w:cstheme="majorHAnsi"/>
          <w:sz w:val="18"/>
          <w:szCs w:val="18"/>
        </w:rPr>
        <w:t>South Africa Demographic and Health Survey 2016</w:t>
      </w:r>
      <w:r w:rsidRPr="00847CA1">
        <w:rPr>
          <w:rFonts w:asciiTheme="majorHAnsi" w:hAnsiTheme="majorHAnsi" w:cstheme="majorHAnsi"/>
          <w:sz w:val="18"/>
          <w:szCs w:val="18"/>
        </w:rPr>
        <w:t>. Pretoria, South Africa, and Rockville, Maryland</w:t>
      </w:r>
      <w:r w:rsidRPr="00847CA1">
        <w:rPr>
          <w:rFonts w:asciiTheme="majorHAnsi" w:hAnsiTheme="majorHAnsi" w:cstheme="majorHAnsi"/>
          <w:sz w:val="18"/>
          <w:szCs w:val="18"/>
        </w:rPr>
        <w:t xml:space="preserve">, USA: NDoH, Stats SA, SAMRC, and ICF, pp.315-316. </w:t>
      </w:r>
      <w:hyperlink r:id="rId14">
        <w:r w:rsidRPr="00847CA1">
          <w:rPr>
            <w:rFonts w:asciiTheme="majorHAnsi" w:hAnsiTheme="majorHAnsi" w:cstheme="majorHAnsi"/>
            <w:color w:val="1155CC"/>
            <w:sz w:val="18"/>
            <w:szCs w:val="18"/>
            <w:u w:val="single"/>
          </w:rPr>
          <w:t>https://dhsprogram.com/pubs/pdf/FR337/FR337.pdf</w:t>
        </w:r>
      </w:hyperlink>
      <w:r w:rsidRPr="00847CA1">
        <w:rPr>
          <w:rFonts w:asciiTheme="majorHAnsi" w:hAnsiTheme="majorHAnsi" w:cstheme="majorHAnsi"/>
          <w:sz w:val="18"/>
          <w:szCs w:val="18"/>
        </w:rPr>
        <w:t xml:space="preserve"> </w:t>
      </w:r>
    </w:p>
  </w:footnote>
  <w:footnote w:id="13">
    <w:p w14:paraId="457EF628"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Research suggests much higher alcohol use among South African LGBTI people than the gen</w:t>
      </w:r>
      <w:r w:rsidRPr="00847CA1">
        <w:rPr>
          <w:rFonts w:asciiTheme="majorHAnsi" w:hAnsiTheme="majorHAnsi" w:cstheme="majorHAnsi"/>
          <w:sz w:val="18"/>
          <w:szCs w:val="18"/>
        </w:rPr>
        <w:t>eral population  (Muller et al, 2019: 64-67).</w:t>
      </w:r>
    </w:p>
    <w:p w14:paraId="32B64342"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rPr>
        <w:t xml:space="preserve">Müller, A., Daskilewicz, K. &amp; the Southern and East African Research Collective on Health (2019). </w:t>
      </w:r>
      <w:r w:rsidRPr="00847CA1">
        <w:rPr>
          <w:rFonts w:asciiTheme="majorHAnsi" w:hAnsiTheme="majorHAnsi" w:cstheme="majorHAnsi"/>
          <w:sz w:val="18"/>
          <w:szCs w:val="18"/>
        </w:rPr>
        <w:t xml:space="preserve">Are we doing </w:t>
      </w:r>
      <w:proofErr w:type="gramStart"/>
      <w:r w:rsidRPr="00847CA1">
        <w:rPr>
          <w:rFonts w:asciiTheme="majorHAnsi" w:hAnsiTheme="majorHAnsi" w:cstheme="majorHAnsi"/>
          <w:sz w:val="18"/>
          <w:szCs w:val="18"/>
        </w:rPr>
        <w:t>alright</w:t>
      </w:r>
      <w:proofErr w:type="gramEnd"/>
      <w:r w:rsidRPr="00847CA1">
        <w:rPr>
          <w:rFonts w:asciiTheme="majorHAnsi" w:hAnsiTheme="majorHAnsi" w:cstheme="majorHAnsi"/>
          <w:sz w:val="18"/>
          <w:szCs w:val="18"/>
        </w:rPr>
        <w:t>? Realities of violence, mental health, and access to healthcare related to sexual orientati</w:t>
      </w:r>
      <w:r w:rsidRPr="00847CA1">
        <w:rPr>
          <w:rFonts w:asciiTheme="majorHAnsi" w:hAnsiTheme="majorHAnsi" w:cstheme="majorHAnsi"/>
          <w:sz w:val="18"/>
          <w:szCs w:val="18"/>
        </w:rPr>
        <w:t>on and gender identity and expression in South Africa</w:t>
      </w:r>
      <w:r w:rsidRPr="00847CA1">
        <w:rPr>
          <w:rFonts w:asciiTheme="majorHAnsi" w:hAnsiTheme="majorHAnsi" w:cstheme="majorHAnsi"/>
          <w:sz w:val="18"/>
          <w:szCs w:val="18"/>
        </w:rPr>
        <w:t xml:space="preserve">. Research report based on a community-led study in nine countries. Amsterdam: COC Netherlands, pp.64-67. </w:t>
      </w:r>
      <w:hyperlink r:id="rId15">
        <w:r w:rsidRPr="00847CA1">
          <w:rPr>
            <w:rFonts w:asciiTheme="majorHAnsi" w:hAnsiTheme="majorHAnsi" w:cstheme="majorHAnsi"/>
            <w:color w:val="1155CC"/>
            <w:sz w:val="18"/>
            <w:szCs w:val="18"/>
            <w:u w:val="single"/>
          </w:rPr>
          <w:t>http://www.ghjru.uct.ac.za/sites/default/files/image_tool/images/242/PDFs/Dynamic_feature/SOGIE%20and%20wellbeing_07_South%20Africa.pdf</w:t>
        </w:r>
      </w:hyperlink>
      <w:r w:rsidRPr="00847CA1">
        <w:rPr>
          <w:rFonts w:asciiTheme="majorHAnsi" w:hAnsiTheme="majorHAnsi" w:cstheme="majorHAnsi"/>
          <w:sz w:val="18"/>
          <w:szCs w:val="18"/>
        </w:rPr>
        <w:t xml:space="preserve"> </w:t>
      </w:r>
    </w:p>
  </w:footnote>
  <w:footnote w:id="14">
    <w:p w14:paraId="153F15F1"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National Department of Health (NDoH), Statistics South Afri</w:t>
      </w:r>
      <w:r w:rsidRPr="00847CA1">
        <w:rPr>
          <w:rFonts w:asciiTheme="majorHAnsi" w:hAnsiTheme="majorHAnsi" w:cstheme="majorHAnsi"/>
          <w:sz w:val="18"/>
          <w:szCs w:val="18"/>
        </w:rPr>
        <w:t xml:space="preserve">ca (Stats SA), South African Medical Research Council (SAMRC), and ICF. 2019. </w:t>
      </w:r>
      <w:r w:rsidRPr="00847CA1">
        <w:rPr>
          <w:rFonts w:asciiTheme="majorHAnsi" w:hAnsiTheme="majorHAnsi" w:cstheme="majorHAnsi"/>
          <w:sz w:val="18"/>
          <w:szCs w:val="18"/>
        </w:rPr>
        <w:t>South Africa Demographic and Health Survey 2016</w:t>
      </w:r>
      <w:r w:rsidRPr="00847CA1">
        <w:rPr>
          <w:rFonts w:asciiTheme="majorHAnsi" w:hAnsiTheme="majorHAnsi" w:cstheme="majorHAnsi"/>
          <w:sz w:val="18"/>
          <w:szCs w:val="18"/>
        </w:rPr>
        <w:t xml:space="preserve">. Pretoria, South Africa, and Rockville, Maryland, USA: NDoH, Stats SA, SAMRC, and ICF. </w:t>
      </w:r>
      <w:hyperlink r:id="rId16">
        <w:r w:rsidRPr="00847CA1">
          <w:rPr>
            <w:rFonts w:asciiTheme="majorHAnsi" w:hAnsiTheme="majorHAnsi" w:cstheme="majorHAnsi"/>
            <w:color w:val="1155CC"/>
            <w:sz w:val="18"/>
            <w:szCs w:val="18"/>
            <w:u w:val="single"/>
          </w:rPr>
          <w:t>https://dhsprogram.com/pubs/pdf/FR337/FR337.pdf</w:t>
        </w:r>
      </w:hyperlink>
    </w:p>
  </w:footnote>
  <w:footnote w:id="15">
    <w:p w14:paraId="303985A9"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For instance, the Human Sciences Research Council (HSRC, </w:t>
      </w:r>
      <w:hyperlink r:id="rId17">
        <w:r w:rsidRPr="00847CA1">
          <w:rPr>
            <w:rFonts w:asciiTheme="majorHAnsi" w:hAnsiTheme="majorHAnsi" w:cstheme="majorHAnsi"/>
            <w:color w:val="1155CC"/>
            <w:sz w:val="18"/>
            <w:szCs w:val="18"/>
            <w:u w:val="single"/>
          </w:rPr>
          <w:t>http://www.hsrc.ac.za/</w:t>
        </w:r>
      </w:hyperlink>
      <w:r w:rsidRPr="00847CA1">
        <w:rPr>
          <w:rFonts w:asciiTheme="majorHAnsi" w:hAnsiTheme="majorHAnsi" w:cstheme="majorHAnsi"/>
          <w:sz w:val="18"/>
          <w:szCs w:val="18"/>
        </w:rPr>
        <w:t xml:space="preserve">) and South African Medical Research Council (SAMRC, </w:t>
      </w:r>
      <w:hyperlink r:id="rId18">
        <w:r w:rsidRPr="00847CA1">
          <w:rPr>
            <w:rFonts w:asciiTheme="majorHAnsi" w:hAnsiTheme="majorHAnsi" w:cstheme="majorHAnsi"/>
            <w:color w:val="1155CC"/>
            <w:sz w:val="18"/>
            <w:szCs w:val="18"/>
            <w:u w:val="single"/>
          </w:rPr>
          <w:t>https://www.samrc.ac.za/</w:t>
        </w:r>
      </w:hyperlink>
      <w:r w:rsidRPr="00847CA1">
        <w:rPr>
          <w:rFonts w:asciiTheme="majorHAnsi" w:hAnsiTheme="majorHAnsi" w:cstheme="majorHAnsi"/>
          <w:sz w:val="18"/>
          <w:szCs w:val="18"/>
        </w:rPr>
        <w:t>).</w:t>
      </w:r>
    </w:p>
  </w:footnote>
  <w:footnote w:id="16">
    <w:p w14:paraId="29C96655"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For example, the South African National Aids Council (SANAC, </w:t>
      </w:r>
      <w:hyperlink r:id="rId19">
        <w:r w:rsidRPr="00847CA1">
          <w:rPr>
            <w:rFonts w:asciiTheme="majorHAnsi" w:hAnsiTheme="majorHAnsi" w:cstheme="majorHAnsi"/>
            <w:color w:val="1155CC"/>
            <w:sz w:val="18"/>
            <w:szCs w:val="18"/>
            <w:u w:val="single"/>
          </w:rPr>
          <w:t>https://sanac.org.za/</w:t>
        </w:r>
      </w:hyperlink>
      <w:r w:rsidRPr="00847CA1">
        <w:rPr>
          <w:rFonts w:asciiTheme="majorHAnsi" w:hAnsiTheme="majorHAnsi" w:cstheme="majorHAnsi"/>
          <w:sz w:val="18"/>
          <w:szCs w:val="18"/>
        </w:rPr>
        <w:t>) and the Department of Justice and Constitutional Development (DOJCD) LGBTI Rapid Response Team (RR</w:t>
      </w:r>
      <w:r w:rsidRPr="00847CA1">
        <w:rPr>
          <w:rFonts w:asciiTheme="majorHAnsi" w:hAnsiTheme="majorHAnsi" w:cstheme="majorHAnsi"/>
          <w:sz w:val="18"/>
          <w:szCs w:val="18"/>
        </w:rPr>
        <w:t xml:space="preserve">T, </w:t>
      </w:r>
      <w:hyperlink r:id="rId20">
        <w:r w:rsidRPr="00847CA1">
          <w:rPr>
            <w:rFonts w:asciiTheme="majorHAnsi" w:hAnsiTheme="majorHAnsi" w:cstheme="majorHAnsi"/>
            <w:color w:val="1155CC"/>
            <w:sz w:val="18"/>
            <w:szCs w:val="18"/>
            <w:u w:val="single"/>
          </w:rPr>
          <w:t>https://www.justice.gov.za/vg/lgbti/TOR-RRT.pdf</w:t>
        </w:r>
      </w:hyperlink>
      <w:r w:rsidRPr="00847CA1">
        <w:rPr>
          <w:rFonts w:asciiTheme="majorHAnsi" w:hAnsiTheme="majorHAnsi" w:cstheme="majorHAnsi"/>
          <w:sz w:val="18"/>
          <w:szCs w:val="18"/>
        </w:rPr>
        <w:t>).</w:t>
      </w:r>
    </w:p>
  </w:footnote>
  <w:footnote w:id="17">
    <w:p w14:paraId="2E679EBA"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For example, the Department of Health (DOH), Department of Social Development (DSD,) and Department of Justice and Constitutional Development (DOJCD).</w:t>
      </w:r>
    </w:p>
  </w:footnote>
  <w:footnote w:id="18">
    <w:p w14:paraId="584102DC"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Müller, A., Daskilewicz, K. &amp; the Sout</w:t>
      </w:r>
      <w:r w:rsidRPr="00847CA1">
        <w:rPr>
          <w:rFonts w:asciiTheme="majorHAnsi" w:hAnsiTheme="majorHAnsi" w:cstheme="majorHAnsi"/>
          <w:sz w:val="18"/>
          <w:szCs w:val="18"/>
        </w:rPr>
        <w:t xml:space="preserve">hern and East African Research Collective on Health (2019). </w:t>
      </w:r>
      <w:r w:rsidRPr="00847CA1">
        <w:rPr>
          <w:rFonts w:asciiTheme="majorHAnsi" w:hAnsiTheme="majorHAnsi" w:cstheme="majorHAnsi"/>
          <w:sz w:val="18"/>
          <w:szCs w:val="18"/>
        </w:rPr>
        <w:t xml:space="preserve">Are we doing </w:t>
      </w:r>
      <w:proofErr w:type="gramStart"/>
      <w:r w:rsidRPr="00847CA1">
        <w:rPr>
          <w:rFonts w:asciiTheme="majorHAnsi" w:hAnsiTheme="majorHAnsi" w:cstheme="majorHAnsi"/>
          <w:sz w:val="18"/>
          <w:szCs w:val="18"/>
        </w:rPr>
        <w:t>alright</w:t>
      </w:r>
      <w:proofErr w:type="gramEnd"/>
      <w:r w:rsidRPr="00847CA1">
        <w:rPr>
          <w:rFonts w:asciiTheme="majorHAnsi" w:hAnsiTheme="majorHAnsi" w:cstheme="majorHAnsi"/>
          <w:sz w:val="18"/>
          <w:szCs w:val="18"/>
        </w:rPr>
        <w:t>? Realities of violence, mental health, and access to healthcare related to sexual orientation and gender identity and expression in South Africa</w:t>
      </w:r>
      <w:r w:rsidRPr="00847CA1">
        <w:rPr>
          <w:rFonts w:asciiTheme="majorHAnsi" w:hAnsiTheme="majorHAnsi" w:cstheme="majorHAnsi"/>
          <w:sz w:val="18"/>
          <w:szCs w:val="18"/>
        </w:rPr>
        <w:t>. Research report based on a co</w:t>
      </w:r>
      <w:r w:rsidRPr="00847CA1">
        <w:rPr>
          <w:rFonts w:asciiTheme="majorHAnsi" w:hAnsiTheme="majorHAnsi" w:cstheme="majorHAnsi"/>
          <w:sz w:val="18"/>
          <w:szCs w:val="18"/>
        </w:rPr>
        <w:t xml:space="preserve">mmunity-led study in nine countries. Amsterdam: COC Netherlands. </w:t>
      </w:r>
      <w:hyperlink r:id="rId21">
        <w:r w:rsidRPr="00847CA1">
          <w:rPr>
            <w:rFonts w:asciiTheme="majorHAnsi" w:hAnsiTheme="majorHAnsi" w:cstheme="majorHAnsi"/>
            <w:color w:val="1155CC"/>
            <w:sz w:val="18"/>
            <w:szCs w:val="18"/>
            <w:u w:val="single"/>
          </w:rPr>
          <w:t>http://www.ghjru.uct.ac.za/sites/default/files/image_tool/images/242/PDFs/Dynamic_feature/SOGIE%20and%20wellbeing_07_South%20Africa.pdf</w:t>
        </w:r>
      </w:hyperlink>
      <w:r w:rsidRPr="00847CA1">
        <w:rPr>
          <w:rFonts w:asciiTheme="majorHAnsi" w:hAnsiTheme="majorHAnsi" w:cstheme="majorHAnsi"/>
          <w:sz w:val="18"/>
          <w:szCs w:val="18"/>
        </w:rPr>
        <w:t xml:space="preserve"> </w:t>
      </w:r>
    </w:p>
  </w:footnote>
  <w:footnote w:id="19">
    <w:p w14:paraId="5117A217" w14:textId="670C1833"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Müller, A., Meer, T. &amp; Haji, M. (2020). </w:t>
      </w:r>
      <w:r w:rsidRPr="00847CA1">
        <w:rPr>
          <w:rFonts w:asciiTheme="majorHAnsi" w:hAnsiTheme="majorHAnsi" w:cstheme="majorHAnsi"/>
          <w:sz w:val="18"/>
          <w:szCs w:val="18"/>
        </w:rPr>
        <w:t>Quality through Inclusion? Community-led healthcare delivery, training and ad</w:t>
      </w:r>
      <w:r w:rsidRPr="00847CA1">
        <w:rPr>
          <w:rFonts w:asciiTheme="majorHAnsi" w:hAnsiTheme="majorHAnsi" w:cstheme="majorHAnsi"/>
          <w:sz w:val="18"/>
          <w:szCs w:val="18"/>
        </w:rPr>
        <w:t xml:space="preserve">vocacy related to sexual and reproductive health of lesbian, gay, </w:t>
      </w:r>
      <w:r w:rsidR="00B02AAE" w:rsidRPr="00847CA1">
        <w:rPr>
          <w:rFonts w:asciiTheme="majorHAnsi" w:hAnsiTheme="majorHAnsi" w:cstheme="majorHAnsi"/>
          <w:sz w:val="18"/>
          <w:szCs w:val="18"/>
        </w:rPr>
        <w:t>bisexual,</w:t>
      </w:r>
      <w:r w:rsidRPr="00847CA1">
        <w:rPr>
          <w:rFonts w:asciiTheme="majorHAnsi" w:hAnsiTheme="majorHAnsi" w:cstheme="majorHAnsi"/>
          <w:sz w:val="18"/>
          <w:szCs w:val="18"/>
        </w:rPr>
        <w:t xml:space="preserve"> and transgender people in South Africa</w:t>
      </w:r>
      <w:r w:rsidRPr="00847CA1">
        <w:rPr>
          <w:rFonts w:asciiTheme="majorHAnsi" w:hAnsiTheme="majorHAnsi" w:cstheme="majorHAnsi"/>
          <w:sz w:val="18"/>
          <w:szCs w:val="18"/>
        </w:rPr>
        <w:t xml:space="preserve">. Amsterdam: COC Netherlands. </w:t>
      </w:r>
      <w:hyperlink r:id="rId22">
        <w:r w:rsidRPr="00847CA1">
          <w:rPr>
            <w:rFonts w:asciiTheme="majorHAnsi" w:hAnsiTheme="majorHAnsi" w:cstheme="majorHAnsi"/>
            <w:color w:val="1155CC"/>
            <w:sz w:val="18"/>
            <w:szCs w:val="18"/>
            <w:u w:val="single"/>
          </w:rPr>
          <w:t>https://triangle.org.za/wp-content/uploads/2020/10/Muller-Meer-Haji-2020-Quality-Through-Inclusion-community-led-healthcare-delivery-training-advocacy-SRH-of-LG</w:t>
        </w:r>
        <w:r w:rsidRPr="00847CA1">
          <w:rPr>
            <w:rFonts w:asciiTheme="majorHAnsi" w:hAnsiTheme="majorHAnsi" w:cstheme="majorHAnsi"/>
            <w:color w:val="1155CC"/>
            <w:sz w:val="18"/>
            <w:szCs w:val="18"/>
            <w:u w:val="single"/>
          </w:rPr>
          <w:t>BT-people-in-South-Africa.pdf</w:t>
        </w:r>
      </w:hyperlink>
      <w:r w:rsidRPr="00847CA1">
        <w:rPr>
          <w:rFonts w:asciiTheme="majorHAnsi" w:hAnsiTheme="majorHAnsi" w:cstheme="majorHAnsi"/>
          <w:sz w:val="18"/>
          <w:szCs w:val="18"/>
        </w:rPr>
        <w:t xml:space="preserve"> </w:t>
      </w:r>
    </w:p>
  </w:footnote>
  <w:footnote w:id="20">
    <w:p w14:paraId="12B222FA"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The South African National AIDS Council (SANAC) brings together government, civil society and the private sector to create a collective response to HIV, TB and STIs in South Africa (</w:t>
      </w:r>
      <w:hyperlink r:id="rId23">
        <w:r w:rsidRPr="00847CA1">
          <w:rPr>
            <w:rFonts w:asciiTheme="majorHAnsi" w:hAnsiTheme="majorHAnsi" w:cstheme="majorHAnsi"/>
            <w:color w:val="1155CC"/>
            <w:sz w:val="18"/>
            <w:szCs w:val="18"/>
            <w:u w:val="single"/>
          </w:rPr>
          <w:t>https://sanac.org.za/about-sanac/</w:t>
        </w:r>
      </w:hyperlink>
      <w:r w:rsidRPr="00847CA1">
        <w:rPr>
          <w:rFonts w:asciiTheme="majorHAnsi" w:hAnsiTheme="majorHAnsi" w:cstheme="majorHAnsi"/>
          <w:sz w:val="18"/>
          <w:szCs w:val="18"/>
        </w:rPr>
        <w:t>). SANAC includes LGBTQI+ CSOs.</w:t>
      </w:r>
    </w:p>
  </w:footnote>
  <w:footnote w:id="21">
    <w:p w14:paraId="56F48365"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The DOJCD National Task Team on Gender and Sexual Orientation-Based Violence Perpetrated Against LGBTI Persons consists of government departments, Chapter 9 institutions and LGBTI CSOs. </w:t>
      </w:r>
      <w:hyperlink r:id="rId24">
        <w:r w:rsidRPr="00847CA1">
          <w:rPr>
            <w:rFonts w:asciiTheme="majorHAnsi" w:hAnsiTheme="majorHAnsi" w:cstheme="majorHAnsi"/>
            <w:color w:val="1155CC"/>
            <w:sz w:val="18"/>
            <w:szCs w:val="18"/>
            <w:u w:val="single"/>
          </w:rPr>
          <w:t>https://www.nationallgbtitaskteam.co.za/images/Resources/NTT_TOR.pdf</w:t>
        </w:r>
      </w:hyperlink>
      <w:r w:rsidRPr="00847CA1">
        <w:rPr>
          <w:rFonts w:asciiTheme="majorHAnsi" w:hAnsiTheme="majorHAnsi" w:cstheme="majorHAnsi"/>
          <w:sz w:val="18"/>
          <w:szCs w:val="18"/>
        </w:rPr>
        <w:t xml:space="preserve"> </w:t>
      </w:r>
    </w:p>
  </w:footnote>
  <w:footnote w:id="22">
    <w:p w14:paraId="7D61AAD4" w14:textId="15BEACDD"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00B02AAE" w:rsidRPr="00847CA1">
        <w:rPr>
          <w:rFonts w:asciiTheme="majorHAnsi" w:hAnsiTheme="majorHAnsi" w:cstheme="majorHAnsi"/>
          <w:sz w:val="18"/>
          <w:szCs w:val="18"/>
        </w:rPr>
        <w:t>Even though</w:t>
      </w:r>
      <w:r w:rsidRPr="00847CA1">
        <w:rPr>
          <w:rFonts w:asciiTheme="majorHAnsi" w:hAnsiTheme="majorHAnsi" w:cstheme="majorHAnsi"/>
          <w:sz w:val="18"/>
          <w:szCs w:val="18"/>
        </w:rPr>
        <w:t xml:space="preserve"> the UN Committee on Economic, Social and Cultural Rights under General Comment 14 (para. 18) on the right to the highest attainable standard of health, stresses that state parties to the Internatio</w:t>
      </w:r>
      <w:r w:rsidRPr="00847CA1">
        <w:rPr>
          <w:rFonts w:asciiTheme="majorHAnsi" w:hAnsiTheme="majorHAnsi" w:cstheme="majorHAnsi"/>
          <w:sz w:val="18"/>
          <w:szCs w:val="18"/>
        </w:rPr>
        <w:t>nal Covenant on Economic, Social and Cultural Rights, which include South Africa, should develop strategies and programmes designed to eliminate health-related discrimination.</w:t>
      </w:r>
    </w:p>
  </w:footnote>
  <w:footnote w:id="23">
    <w:p w14:paraId="26E391DC"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SANAC. (2017). South Africa's National Strategic Plan for HIV, TB and STIs 201</w:t>
      </w:r>
      <w:r w:rsidRPr="00847CA1">
        <w:rPr>
          <w:rFonts w:asciiTheme="majorHAnsi" w:hAnsiTheme="majorHAnsi" w:cstheme="majorHAnsi"/>
          <w:sz w:val="18"/>
          <w:szCs w:val="18"/>
        </w:rPr>
        <w:t xml:space="preserve">7-2022. </w:t>
      </w:r>
      <w:hyperlink r:id="rId25">
        <w:r w:rsidRPr="00847CA1">
          <w:rPr>
            <w:rFonts w:asciiTheme="majorHAnsi" w:hAnsiTheme="majorHAnsi" w:cstheme="majorHAnsi"/>
            <w:color w:val="1155CC"/>
            <w:sz w:val="18"/>
            <w:szCs w:val="18"/>
            <w:u w:val="single"/>
          </w:rPr>
          <w:t>https://sanac.org.za//wp-content/uploads/2017/06/NSP_FullDocument_FINAL.pdf</w:t>
        </w:r>
      </w:hyperlink>
    </w:p>
  </w:footnote>
  <w:footnote w:id="24">
    <w:p w14:paraId="035F6EBB"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SANAC. (2017). South African National LGBTI HIV Plan 2017-2022. </w:t>
      </w:r>
      <w:hyperlink r:id="rId26">
        <w:r w:rsidRPr="00847CA1">
          <w:rPr>
            <w:rFonts w:asciiTheme="majorHAnsi" w:hAnsiTheme="majorHAnsi" w:cstheme="majorHAnsi"/>
            <w:color w:val="1155CC"/>
            <w:sz w:val="18"/>
            <w:szCs w:val="18"/>
            <w:u w:val="single"/>
          </w:rPr>
          <w:t xml:space="preserve"> https://sanac.org.za/wp-content/uploads/2017/06/LGBTI-HIV-Plan-Final.pdf</w:t>
        </w:r>
      </w:hyperlink>
    </w:p>
  </w:footnote>
  <w:footnote w:id="25">
    <w:p w14:paraId="7F27AC2F"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Mampane, J.N., 2019. Community Participation in the National Development Plan Through</w:t>
      </w:r>
      <w:r w:rsidRPr="00847CA1">
        <w:rPr>
          <w:rFonts w:asciiTheme="majorHAnsi" w:hAnsiTheme="majorHAnsi" w:cstheme="majorHAnsi"/>
          <w:sz w:val="18"/>
          <w:szCs w:val="18"/>
        </w:rPr>
        <w:t xml:space="preserve"> Primary Health Care: The Case of LGBT Organizations in South Africa. In </w:t>
      </w:r>
      <w:r w:rsidRPr="00847CA1">
        <w:rPr>
          <w:rFonts w:asciiTheme="majorHAnsi" w:hAnsiTheme="majorHAnsi" w:cstheme="majorHAnsi"/>
          <w:sz w:val="18"/>
          <w:szCs w:val="18"/>
        </w:rPr>
        <w:t>Human Rights, Public Values, and Leadership in Healthcare Policy</w:t>
      </w:r>
      <w:r w:rsidRPr="00847CA1">
        <w:rPr>
          <w:rFonts w:asciiTheme="majorHAnsi" w:hAnsiTheme="majorHAnsi" w:cstheme="majorHAnsi"/>
          <w:sz w:val="18"/>
          <w:szCs w:val="18"/>
        </w:rPr>
        <w:t xml:space="preserve"> (pp. 160-178). IGI Global. </w:t>
      </w:r>
      <w:hyperlink r:id="rId27">
        <w:r w:rsidRPr="00847CA1">
          <w:rPr>
            <w:rFonts w:asciiTheme="majorHAnsi" w:hAnsiTheme="majorHAnsi" w:cstheme="majorHAnsi"/>
            <w:color w:val="1155CC"/>
            <w:sz w:val="18"/>
            <w:szCs w:val="18"/>
            <w:u w:val="single"/>
          </w:rPr>
          <w:t>https://www.igi-global.com/chapter/community-participation-in-the-national-development-plan-through-primary-health-care/217260</w:t>
        </w:r>
      </w:hyperlink>
      <w:r w:rsidRPr="00847CA1">
        <w:rPr>
          <w:rFonts w:asciiTheme="majorHAnsi" w:hAnsiTheme="majorHAnsi" w:cstheme="majorHAnsi"/>
          <w:sz w:val="18"/>
          <w:szCs w:val="18"/>
        </w:rPr>
        <w:t xml:space="preserve"> .</w:t>
      </w:r>
    </w:p>
  </w:footnote>
  <w:footnote w:id="26">
    <w:p w14:paraId="30058661"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Müller A. (2016). Hea</w:t>
      </w:r>
      <w:r w:rsidRPr="00847CA1">
        <w:rPr>
          <w:rFonts w:asciiTheme="majorHAnsi" w:hAnsiTheme="majorHAnsi" w:cstheme="majorHAnsi"/>
          <w:sz w:val="18"/>
          <w:szCs w:val="18"/>
        </w:rPr>
        <w:t xml:space="preserve">lth for All? Sexual Orientation, Gender Identity, and the Implementation of the Right to Access to Health Care in South Africa. </w:t>
      </w:r>
      <w:r w:rsidRPr="00847CA1">
        <w:rPr>
          <w:rFonts w:asciiTheme="majorHAnsi" w:hAnsiTheme="majorHAnsi" w:cstheme="majorHAnsi"/>
          <w:sz w:val="18"/>
          <w:szCs w:val="18"/>
        </w:rPr>
        <w:t>Health and Human Rights</w:t>
      </w:r>
      <w:r w:rsidRPr="00847CA1">
        <w:rPr>
          <w:rFonts w:asciiTheme="majorHAnsi" w:hAnsiTheme="majorHAnsi" w:cstheme="majorHAnsi"/>
          <w:sz w:val="18"/>
          <w:szCs w:val="18"/>
        </w:rPr>
        <w:t xml:space="preserve">, 18(2), 195-208. </w:t>
      </w:r>
      <w:hyperlink r:id="rId28">
        <w:r w:rsidRPr="00847CA1">
          <w:rPr>
            <w:rFonts w:asciiTheme="majorHAnsi" w:hAnsiTheme="majorHAnsi" w:cstheme="majorHAnsi"/>
            <w:color w:val="1155CC"/>
            <w:sz w:val="18"/>
            <w:szCs w:val="18"/>
            <w:u w:val="single"/>
          </w:rPr>
          <w:t>https://www.nc</w:t>
        </w:r>
        <w:r w:rsidRPr="00847CA1">
          <w:rPr>
            <w:rFonts w:asciiTheme="majorHAnsi" w:hAnsiTheme="majorHAnsi" w:cstheme="majorHAnsi"/>
            <w:color w:val="1155CC"/>
            <w:sz w:val="18"/>
            <w:szCs w:val="18"/>
            <w:u w:val="single"/>
          </w:rPr>
          <w:t>bi.nlm.nih.gov/pmc/articles/PMC5395001/</w:t>
        </w:r>
      </w:hyperlink>
      <w:r w:rsidRPr="00847CA1">
        <w:rPr>
          <w:rFonts w:asciiTheme="majorHAnsi" w:hAnsiTheme="majorHAnsi" w:cstheme="majorHAnsi"/>
          <w:sz w:val="18"/>
          <w:szCs w:val="18"/>
        </w:rPr>
        <w:t xml:space="preserve"> </w:t>
      </w:r>
    </w:p>
  </w:footnote>
  <w:footnote w:id="27">
    <w:p w14:paraId="5F010217"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For example, lesbians and transgender people still find it difficult to access hysterectomy in South Africa, which is a violation of their right to bodily autonomy.</w:t>
      </w:r>
    </w:p>
  </w:footnote>
  <w:footnote w:id="28">
    <w:p w14:paraId="44BA17CD" w14:textId="7967B1E3"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Müller, A. 2014. Public Health Care South African Lesbian, Gay, Bisexual and Transgender people : Health Rights Violation and </w:t>
      </w:r>
      <w:r w:rsidR="005D7066" w:rsidRPr="00847CA1">
        <w:rPr>
          <w:rFonts w:asciiTheme="majorHAnsi" w:hAnsiTheme="majorHAnsi" w:cstheme="majorHAnsi"/>
          <w:sz w:val="18"/>
          <w:szCs w:val="18"/>
        </w:rPr>
        <w:t>Accountability</w:t>
      </w:r>
      <w:r w:rsidRPr="00847CA1">
        <w:rPr>
          <w:rFonts w:asciiTheme="majorHAnsi" w:hAnsiTheme="majorHAnsi" w:cstheme="majorHAnsi"/>
          <w:sz w:val="18"/>
          <w:szCs w:val="18"/>
        </w:rPr>
        <w:t xml:space="preserve"> Mechanisms.</w:t>
      </w:r>
    </w:p>
  </w:footnote>
  <w:footnote w:id="29">
    <w:p w14:paraId="322FFF72" w14:textId="0FACC9E0"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The Combating and Prevention of Hate Crimes and Hate Speech Bill, which is currently before Parliament, would require that the State </w:t>
      </w:r>
      <w:r w:rsidRPr="00847CA1">
        <w:rPr>
          <w:rFonts w:asciiTheme="majorHAnsi" w:hAnsiTheme="majorHAnsi" w:cstheme="majorHAnsi"/>
          <w:sz w:val="18"/>
          <w:szCs w:val="18"/>
        </w:rPr>
        <w:t xml:space="preserve">begin to monitor some of this data in relation to hate crimes and hate </w:t>
      </w:r>
      <w:r w:rsidR="005D7066" w:rsidRPr="00847CA1">
        <w:rPr>
          <w:rFonts w:asciiTheme="majorHAnsi" w:hAnsiTheme="majorHAnsi" w:cstheme="majorHAnsi"/>
          <w:sz w:val="18"/>
          <w:szCs w:val="18"/>
        </w:rPr>
        <w:t>speech.</w:t>
      </w:r>
    </w:p>
    <w:p w14:paraId="7667886F"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rPr>
        <w:t xml:space="preserve">Prevention and Combating of Hate Crimes and Hate Speech Bill, [B 9—2018]. </w:t>
      </w:r>
      <w:hyperlink r:id="rId29">
        <w:r w:rsidRPr="00847CA1">
          <w:rPr>
            <w:rFonts w:asciiTheme="majorHAnsi" w:hAnsiTheme="majorHAnsi" w:cstheme="majorHAnsi"/>
            <w:color w:val="1155CC"/>
            <w:sz w:val="18"/>
            <w:szCs w:val="18"/>
            <w:u w:val="single"/>
          </w:rPr>
          <w:t>https://ww</w:t>
        </w:r>
        <w:r w:rsidRPr="00847CA1">
          <w:rPr>
            <w:rFonts w:asciiTheme="majorHAnsi" w:hAnsiTheme="majorHAnsi" w:cstheme="majorHAnsi"/>
            <w:color w:val="1155CC"/>
            <w:sz w:val="18"/>
            <w:szCs w:val="18"/>
            <w:u w:val="single"/>
          </w:rPr>
          <w:t>w.justice.gov.za/legislation/hcbill/B9-2018-HateCrimesBill.pdf</w:t>
        </w:r>
      </w:hyperlink>
      <w:r w:rsidRPr="00847CA1">
        <w:rPr>
          <w:rFonts w:asciiTheme="majorHAnsi" w:hAnsiTheme="majorHAnsi" w:cstheme="majorHAnsi"/>
          <w:sz w:val="18"/>
          <w:szCs w:val="18"/>
        </w:rPr>
        <w:t xml:space="preserve"> </w:t>
      </w:r>
    </w:p>
    <w:p w14:paraId="7CEA0A39"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rPr>
        <w:t xml:space="preserve">Parliamentary Monitoring Group. Bill History: Prevention and Combating of Hate Crimes and Hate Speech Bill (B9-2018). </w:t>
      </w:r>
      <w:hyperlink r:id="rId30">
        <w:r w:rsidRPr="00847CA1">
          <w:rPr>
            <w:rFonts w:asciiTheme="majorHAnsi" w:hAnsiTheme="majorHAnsi" w:cstheme="majorHAnsi"/>
            <w:color w:val="1155CC"/>
            <w:sz w:val="18"/>
            <w:szCs w:val="18"/>
            <w:u w:val="single"/>
          </w:rPr>
          <w:t>https://pmg.org.za/bill/77</w:t>
        </w:r>
        <w:r w:rsidRPr="00847CA1">
          <w:rPr>
            <w:rFonts w:asciiTheme="majorHAnsi" w:hAnsiTheme="majorHAnsi" w:cstheme="majorHAnsi"/>
            <w:color w:val="1155CC"/>
            <w:sz w:val="18"/>
            <w:szCs w:val="18"/>
            <w:u w:val="single"/>
          </w:rPr>
          <w:t>9/</w:t>
        </w:r>
      </w:hyperlink>
      <w:r w:rsidRPr="00847CA1">
        <w:rPr>
          <w:rFonts w:asciiTheme="majorHAnsi" w:hAnsiTheme="majorHAnsi" w:cstheme="majorHAnsi"/>
          <w:sz w:val="18"/>
          <w:szCs w:val="18"/>
        </w:rPr>
        <w:t xml:space="preserve"> </w:t>
      </w:r>
    </w:p>
  </w:footnote>
  <w:footnote w:id="30">
    <w:p w14:paraId="39972F4F"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Matthyse, L., Payne, A-L, Mudarikwa, M., Smit, E., Camminga, B. &amp; Rossouw, R. (2020). Keeping the Promise of Dignity and Freedom fo</w:t>
      </w:r>
      <w:r w:rsidRPr="00847CA1">
        <w:rPr>
          <w:rFonts w:asciiTheme="majorHAnsi" w:hAnsiTheme="majorHAnsi" w:cstheme="majorHAnsi"/>
          <w:sz w:val="18"/>
          <w:szCs w:val="18"/>
        </w:rPr>
        <w:t xml:space="preserve">r All: A Position Paper on Legal Gender Recognition in South Africa. Gender DynamiX &amp; Legal Resources Centre. </w:t>
      </w:r>
      <w:hyperlink r:id="rId31">
        <w:r w:rsidRPr="00847CA1">
          <w:rPr>
            <w:rFonts w:asciiTheme="majorHAnsi" w:hAnsiTheme="majorHAnsi" w:cstheme="majorHAnsi"/>
            <w:sz w:val="18"/>
            <w:szCs w:val="18"/>
          </w:rPr>
          <w:t>https://drive.google.com/file/d/1Wx7d9o06qec0ka2aJ32G47J</w:t>
        </w:r>
        <w:r w:rsidRPr="00847CA1">
          <w:rPr>
            <w:rFonts w:asciiTheme="majorHAnsi" w:hAnsiTheme="majorHAnsi" w:cstheme="majorHAnsi"/>
            <w:sz w:val="18"/>
            <w:szCs w:val="18"/>
          </w:rPr>
          <w:t>sT1BR2DI0/view</w:t>
        </w:r>
      </w:hyperlink>
      <w:r w:rsidRPr="00847CA1">
        <w:rPr>
          <w:rFonts w:asciiTheme="majorHAnsi" w:hAnsiTheme="majorHAnsi" w:cstheme="majorHAnsi"/>
          <w:sz w:val="18"/>
          <w:szCs w:val="18"/>
        </w:rPr>
        <w:t xml:space="preserve"> </w:t>
      </w:r>
    </w:p>
  </w:footnote>
  <w:footnote w:id="31">
    <w:p w14:paraId="591294AE" w14:textId="7917888C" w:rsidR="009B0950" w:rsidRPr="00847CA1" w:rsidRDefault="00492F84" w:rsidP="00B02AAE">
      <w:pPr>
        <w:pStyle w:val="NoSpacing"/>
        <w:rPr>
          <w:rFonts w:asciiTheme="majorHAnsi" w:hAnsiTheme="majorHAnsi" w:cstheme="majorHAnsi"/>
          <w:color w:val="1155CC"/>
          <w:sz w:val="18"/>
          <w:szCs w:val="18"/>
          <w:u w:val="single"/>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For example, in</w:t>
      </w:r>
      <w:r w:rsidRPr="00847CA1">
        <w:rPr>
          <w:rFonts w:asciiTheme="majorHAnsi" w:hAnsiTheme="majorHAnsi" w:cstheme="majorHAnsi"/>
          <w:sz w:val="18"/>
          <w:szCs w:val="18"/>
        </w:rPr>
        <w:t xml:space="preserve"> Se</w:t>
      </w:r>
      <w:r w:rsidRPr="00847CA1">
        <w:rPr>
          <w:rFonts w:asciiTheme="majorHAnsi" w:hAnsiTheme="majorHAnsi" w:cstheme="majorHAnsi"/>
          <w:sz w:val="18"/>
          <w:szCs w:val="18"/>
        </w:rPr>
        <w:t>ptember V Subramoney NO</w:t>
      </w:r>
      <w:r w:rsidRPr="00847CA1">
        <w:rPr>
          <w:rFonts w:asciiTheme="majorHAnsi" w:hAnsiTheme="majorHAnsi" w:cstheme="majorHAnsi"/>
          <w:sz w:val="18"/>
          <w:szCs w:val="18"/>
        </w:rPr>
        <w:t xml:space="preserve">, the Court had the opportunity to make a judgment (but unfortunately failed to do so) which would confirm that gender affirming surgical procedures should </w:t>
      </w:r>
      <w:proofErr w:type="gramStart"/>
      <w:r w:rsidRPr="00847CA1">
        <w:rPr>
          <w:rFonts w:asciiTheme="majorHAnsi" w:hAnsiTheme="majorHAnsi" w:cstheme="majorHAnsi"/>
          <w:sz w:val="18"/>
          <w:szCs w:val="18"/>
        </w:rPr>
        <w:t>be viewed</w:t>
      </w:r>
      <w:proofErr w:type="gramEnd"/>
      <w:r w:rsidRPr="00847CA1">
        <w:rPr>
          <w:rFonts w:asciiTheme="majorHAnsi" w:hAnsiTheme="majorHAnsi" w:cstheme="majorHAnsi"/>
          <w:sz w:val="18"/>
          <w:szCs w:val="18"/>
        </w:rPr>
        <w:t xml:space="preserve"> as necessary for the health and wellbeing of transgender inmates wh</w:t>
      </w:r>
      <w:r w:rsidRPr="00847CA1">
        <w:rPr>
          <w:rFonts w:asciiTheme="majorHAnsi" w:hAnsiTheme="majorHAnsi" w:cstheme="majorHAnsi"/>
          <w:sz w:val="18"/>
          <w:szCs w:val="18"/>
        </w:rPr>
        <w:t>o require healthcare services to fully attain a healthy sense of self through medical and social transitioning.</w:t>
      </w:r>
      <w:r w:rsidR="00847CA1"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September v Subramoney NO and Others (EC10/2016) [2019] ZAEQC 4; [2019] 4 All SA 927 (WCC). </w:t>
      </w:r>
      <w:hyperlink r:id="rId32">
        <w:r w:rsidRPr="00847CA1">
          <w:rPr>
            <w:rFonts w:asciiTheme="majorHAnsi" w:hAnsiTheme="majorHAnsi" w:cstheme="majorHAnsi"/>
            <w:color w:val="1155CC"/>
            <w:sz w:val="18"/>
            <w:szCs w:val="18"/>
            <w:u w:val="single"/>
          </w:rPr>
          <w:t>http://www.saflii.org/za/cases/ZAEQC/2019/4.html</w:t>
        </w:r>
      </w:hyperlink>
    </w:p>
    <w:p w14:paraId="38DEB3AD" w14:textId="77777777" w:rsidR="009B0950" w:rsidRPr="00847CA1" w:rsidRDefault="00492F84" w:rsidP="00B02AAE">
      <w:pPr>
        <w:pStyle w:val="NoSpacing"/>
        <w:rPr>
          <w:rFonts w:asciiTheme="majorHAnsi" w:hAnsiTheme="majorHAnsi" w:cstheme="majorHAnsi"/>
          <w:sz w:val="18"/>
          <w:szCs w:val="18"/>
          <w:u w:val="single"/>
        </w:rPr>
      </w:pPr>
      <w:r w:rsidRPr="00847CA1">
        <w:rPr>
          <w:rFonts w:asciiTheme="majorHAnsi" w:hAnsiTheme="majorHAnsi" w:cstheme="majorHAnsi"/>
          <w:sz w:val="18"/>
          <w:szCs w:val="18"/>
        </w:rPr>
        <w:t xml:space="preserve">Venter, L. LGBTQIA+ rights in South Africa. </w:t>
      </w:r>
      <w:hyperlink r:id="rId33">
        <w:r w:rsidRPr="00847CA1">
          <w:rPr>
            <w:rFonts w:asciiTheme="majorHAnsi" w:hAnsiTheme="majorHAnsi" w:cstheme="majorHAnsi"/>
            <w:color w:val="1155CC"/>
            <w:sz w:val="18"/>
            <w:szCs w:val="18"/>
            <w:u w:val="single"/>
          </w:rPr>
          <w:t>https://www.ibanet.org/article/854B8E51-E931-403D-BDC3-1386B30F9591</w:t>
        </w:r>
      </w:hyperlink>
      <w:r w:rsidRPr="00847CA1">
        <w:rPr>
          <w:rFonts w:asciiTheme="majorHAnsi" w:hAnsiTheme="majorHAnsi" w:cstheme="majorHAnsi"/>
          <w:sz w:val="18"/>
          <w:szCs w:val="18"/>
        </w:rPr>
        <w:t xml:space="preserve"> (accessed 02 February 2022). </w:t>
      </w:r>
    </w:p>
  </w:footnote>
  <w:footnote w:id="32">
    <w:p w14:paraId="529FB855"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Intersex South Africa, Women’s Legal Centre, Triangle Project &amp; Joshua Sehoole. (2020, 27 November</w:t>
      </w:r>
      <w:r w:rsidRPr="00847CA1">
        <w:rPr>
          <w:rFonts w:asciiTheme="majorHAnsi" w:hAnsiTheme="majorHAnsi" w:cstheme="majorHAnsi"/>
          <w:sz w:val="18"/>
          <w:szCs w:val="18"/>
        </w:rPr>
        <w:t xml:space="preserve">). Submission to the Portfolio Committee on Social Development on the Children’s Amendment Bill [B18-2020]. </w:t>
      </w:r>
      <w:hyperlink r:id="rId34">
        <w:r w:rsidRPr="00847CA1">
          <w:rPr>
            <w:rFonts w:asciiTheme="majorHAnsi" w:hAnsiTheme="majorHAnsi" w:cstheme="majorHAnsi"/>
            <w:color w:val="1155CC"/>
            <w:sz w:val="18"/>
            <w:szCs w:val="18"/>
            <w:u w:val="single"/>
          </w:rPr>
          <w:t>http://triangle.org.za/wp-content/uploads/2020/11/ISSA-WLC-TP-Sehoole-2020-Nov-Intersex-South-Africa-Submission-on-Childrens-Amendment-Bill-regarding-Intersex-Genital-Mutilation.pdf</w:t>
        </w:r>
      </w:hyperlink>
      <w:r w:rsidRPr="00847CA1">
        <w:rPr>
          <w:rFonts w:asciiTheme="majorHAnsi" w:hAnsiTheme="majorHAnsi" w:cstheme="majorHAnsi"/>
          <w:sz w:val="18"/>
          <w:szCs w:val="18"/>
        </w:rPr>
        <w:t xml:space="preserve"> </w:t>
      </w:r>
    </w:p>
  </w:footnote>
  <w:footnote w:id="33">
    <w:p w14:paraId="546F6F77"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National Heal</w:t>
      </w:r>
      <w:r w:rsidRPr="00847CA1">
        <w:rPr>
          <w:rFonts w:asciiTheme="majorHAnsi" w:hAnsiTheme="majorHAnsi" w:cstheme="majorHAnsi"/>
          <w:sz w:val="18"/>
          <w:szCs w:val="18"/>
        </w:rPr>
        <w:t xml:space="preserve">th Act, No. 61 of 2003. </w:t>
      </w:r>
      <w:hyperlink r:id="rId35">
        <w:r w:rsidRPr="00847CA1">
          <w:rPr>
            <w:rFonts w:asciiTheme="majorHAnsi" w:hAnsiTheme="majorHAnsi" w:cstheme="majorHAnsi"/>
            <w:color w:val="1155CC"/>
            <w:sz w:val="18"/>
            <w:szCs w:val="18"/>
            <w:u w:val="single"/>
          </w:rPr>
          <w:t>https://www.saflii.org/za/legis/consol_act/nha2003147/</w:t>
        </w:r>
      </w:hyperlink>
      <w:r w:rsidRPr="00847CA1">
        <w:rPr>
          <w:rFonts w:asciiTheme="majorHAnsi" w:hAnsiTheme="majorHAnsi" w:cstheme="majorHAnsi"/>
          <w:sz w:val="18"/>
          <w:szCs w:val="18"/>
        </w:rPr>
        <w:t xml:space="preserve"> </w:t>
      </w:r>
    </w:p>
  </w:footnote>
  <w:footnote w:id="34">
    <w:p w14:paraId="52141939"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National Department of Health. 2017. National Health Insurance Policy: T</w:t>
      </w:r>
      <w:r w:rsidRPr="00847CA1">
        <w:rPr>
          <w:rFonts w:asciiTheme="majorHAnsi" w:hAnsiTheme="majorHAnsi" w:cstheme="majorHAnsi"/>
          <w:sz w:val="18"/>
          <w:szCs w:val="18"/>
        </w:rPr>
        <w:t xml:space="preserve">owards Universal Health Coverage. Government Notice No. 627 of 2017. Government Gazette, 30 June 2017, No.40955. </w:t>
      </w:r>
      <w:hyperlink r:id="rId36">
        <w:r w:rsidRPr="00847CA1">
          <w:rPr>
            <w:rFonts w:asciiTheme="majorHAnsi" w:hAnsiTheme="majorHAnsi" w:cstheme="majorHAnsi"/>
            <w:color w:val="1155CC"/>
            <w:sz w:val="18"/>
            <w:szCs w:val="18"/>
            <w:u w:val="single"/>
          </w:rPr>
          <w:t>https://www.gov.za/sites/default/files/gcis_docu</w:t>
        </w:r>
        <w:r w:rsidRPr="00847CA1">
          <w:rPr>
            <w:rFonts w:asciiTheme="majorHAnsi" w:hAnsiTheme="majorHAnsi" w:cstheme="majorHAnsi"/>
            <w:color w:val="1155CC"/>
            <w:sz w:val="18"/>
            <w:szCs w:val="18"/>
            <w:u w:val="single"/>
          </w:rPr>
          <w:t>ment/201707/40955gon627.pdf</w:t>
        </w:r>
      </w:hyperlink>
      <w:r w:rsidRPr="00847CA1">
        <w:rPr>
          <w:rFonts w:asciiTheme="majorHAnsi" w:hAnsiTheme="majorHAnsi" w:cstheme="majorHAnsi"/>
          <w:sz w:val="18"/>
          <w:szCs w:val="18"/>
        </w:rPr>
        <w:t xml:space="preserve"> </w:t>
      </w:r>
    </w:p>
  </w:footnote>
  <w:footnote w:id="35">
    <w:p w14:paraId="6818763F"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Deyi, B., Kheswa, S., Theron, L., Mudarikwa, M., May, C. &amp; Rubin, M. (2015). </w:t>
      </w:r>
      <w:r w:rsidRPr="00847CA1">
        <w:rPr>
          <w:rFonts w:asciiTheme="majorHAnsi" w:hAnsiTheme="majorHAnsi" w:cstheme="majorHAnsi"/>
          <w:sz w:val="18"/>
          <w:szCs w:val="18"/>
        </w:rPr>
        <w:t>Briefing Paper: Alteration of Sex Description and Sex Status Act, No. 49 of 2003</w:t>
      </w:r>
      <w:r w:rsidRPr="00847CA1">
        <w:rPr>
          <w:rFonts w:asciiTheme="majorHAnsi" w:hAnsiTheme="majorHAnsi" w:cstheme="majorHAnsi"/>
          <w:sz w:val="18"/>
          <w:szCs w:val="18"/>
        </w:rPr>
        <w:t>. Cape Town: Gender DynamiX &amp; Legal Resources Centre.</w:t>
      </w:r>
      <w:hyperlink r:id="rId37">
        <w:r w:rsidRPr="00847CA1">
          <w:rPr>
            <w:rFonts w:asciiTheme="majorHAnsi" w:hAnsiTheme="majorHAnsi" w:cstheme="majorHAnsi"/>
            <w:color w:val="1155CC"/>
            <w:sz w:val="18"/>
            <w:szCs w:val="18"/>
            <w:u w:val="single"/>
          </w:rPr>
          <w:t xml:space="preserve"> https://drive.google.com/file/d/1xvXcmoa5OZ1gsrzMk-z7JbCvd_T0zz5W/view</w:t>
        </w:r>
      </w:hyperlink>
      <w:r w:rsidRPr="00847CA1">
        <w:rPr>
          <w:rFonts w:asciiTheme="majorHAnsi" w:hAnsiTheme="majorHAnsi" w:cstheme="majorHAnsi"/>
          <w:sz w:val="18"/>
          <w:szCs w:val="18"/>
        </w:rPr>
        <w:t xml:space="preserve"> </w:t>
      </w:r>
    </w:p>
  </w:footnote>
  <w:footnote w:id="36">
    <w:p w14:paraId="0D7D473A"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Gender </w:t>
      </w:r>
      <w:r w:rsidRPr="00847CA1">
        <w:rPr>
          <w:rFonts w:asciiTheme="majorHAnsi" w:hAnsiTheme="majorHAnsi" w:cstheme="majorHAnsi"/>
          <w:sz w:val="18"/>
          <w:szCs w:val="18"/>
        </w:rPr>
        <w:t xml:space="preserve">Diversity Coalition &amp; Minister of Home Affairs Press Statement, 21 September 2020. </w:t>
      </w:r>
      <w:hyperlink r:id="rId38">
        <w:r w:rsidRPr="00847CA1">
          <w:rPr>
            <w:rFonts w:asciiTheme="majorHAnsi" w:hAnsiTheme="majorHAnsi" w:cstheme="majorHAnsi"/>
            <w:color w:val="1155CC"/>
            <w:sz w:val="18"/>
            <w:szCs w:val="18"/>
            <w:u w:val="single"/>
          </w:rPr>
          <w:t>http://triangle.org.za/wp-content/uploads/2020/09/Joint-Statement-by-Home-Affairs-Minister-Motsoaledi-Trans-Activist-Coalition-on-trans-gender-diverse-legal-gender-recognition-21-Sept-2020.pdf</w:t>
        </w:r>
      </w:hyperlink>
      <w:r w:rsidRPr="00847CA1">
        <w:rPr>
          <w:rFonts w:asciiTheme="majorHAnsi" w:hAnsiTheme="majorHAnsi" w:cstheme="majorHAnsi"/>
          <w:sz w:val="18"/>
          <w:szCs w:val="18"/>
        </w:rPr>
        <w:t xml:space="preserve"> </w:t>
      </w:r>
    </w:p>
  </w:footnote>
  <w:footnote w:id="37">
    <w:p w14:paraId="1A22249C"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hyperlink r:id="rId39">
        <w:r w:rsidRPr="00847CA1">
          <w:rPr>
            <w:rFonts w:asciiTheme="majorHAnsi" w:hAnsiTheme="majorHAnsi" w:cstheme="majorHAnsi"/>
            <w:color w:val="1155CC"/>
            <w:sz w:val="18"/>
            <w:szCs w:val="18"/>
            <w:u w:val="single"/>
          </w:rPr>
          <w:t>https://section27.org.za/wp-content/uploads/2010/04/Chapter2.pdf</w:t>
        </w:r>
      </w:hyperlink>
      <w:r w:rsidRPr="00847CA1">
        <w:rPr>
          <w:rFonts w:asciiTheme="majorHAnsi" w:hAnsiTheme="majorHAnsi" w:cstheme="majorHAnsi"/>
          <w:sz w:val="18"/>
          <w:szCs w:val="18"/>
        </w:rPr>
        <w:t xml:space="preserve"> </w:t>
      </w:r>
    </w:p>
  </w:footnote>
  <w:footnote w:id="38">
    <w:p w14:paraId="2AE3326A"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hyperlink r:id="rId40">
        <w:r w:rsidRPr="00847CA1">
          <w:rPr>
            <w:rFonts w:asciiTheme="majorHAnsi" w:hAnsiTheme="majorHAnsi" w:cstheme="majorHAnsi"/>
            <w:color w:val="1155CC"/>
            <w:sz w:val="18"/>
            <w:szCs w:val="18"/>
            <w:u w:val="single"/>
          </w:rPr>
          <w:t>https://www.justice.gov.za/leg</w:t>
        </w:r>
        <w:r w:rsidRPr="00847CA1">
          <w:rPr>
            <w:rFonts w:asciiTheme="majorHAnsi" w:hAnsiTheme="majorHAnsi" w:cstheme="majorHAnsi"/>
            <w:color w:val="1155CC"/>
            <w:sz w:val="18"/>
            <w:szCs w:val="18"/>
            <w:u w:val="single"/>
          </w:rPr>
          <w:t>islation/acts/2000-004.pdf</w:t>
        </w:r>
      </w:hyperlink>
      <w:r w:rsidRPr="00847CA1">
        <w:rPr>
          <w:rFonts w:asciiTheme="majorHAnsi" w:hAnsiTheme="majorHAnsi" w:cstheme="majorHAnsi"/>
          <w:sz w:val="18"/>
          <w:szCs w:val="18"/>
        </w:rPr>
        <w:t xml:space="preserve"> </w:t>
      </w:r>
    </w:p>
  </w:footnote>
  <w:footnote w:id="39">
    <w:p w14:paraId="6911D9C2" w14:textId="0C538330"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Implementation Of The “Batho Pele” (People First) Principles </w:t>
      </w:r>
      <w:r w:rsidR="005D7066" w:rsidRPr="00847CA1">
        <w:rPr>
          <w:rFonts w:asciiTheme="majorHAnsi" w:hAnsiTheme="majorHAnsi" w:cstheme="majorHAnsi"/>
          <w:sz w:val="18"/>
          <w:szCs w:val="18"/>
        </w:rPr>
        <w:t>in</w:t>
      </w:r>
      <w:r w:rsidRPr="00847CA1">
        <w:rPr>
          <w:rFonts w:asciiTheme="majorHAnsi" w:hAnsiTheme="majorHAnsi" w:cstheme="majorHAnsi"/>
          <w:sz w:val="18"/>
          <w:szCs w:val="18"/>
        </w:rPr>
        <w:t xml:space="preserve"> One Public Hospital </w:t>
      </w:r>
      <w:r w:rsidR="005D7066" w:rsidRPr="00847CA1">
        <w:rPr>
          <w:rFonts w:asciiTheme="majorHAnsi" w:hAnsiTheme="majorHAnsi" w:cstheme="majorHAnsi"/>
          <w:sz w:val="18"/>
          <w:szCs w:val="18"/>
        </w:rPr>
        <w:t>in</w:t>
      </w:r>
      <w:r w:rsidRPr="00847CA1">
        <w:rPr>
          <w:rFonts w:asciiTheme="majorHAnsi" w:hAnsiTheme="majorHAnsi" w:cstheme="majorHAnsi"/>
          <w:sz w:val="18"/>
          <w:szCs w:val="18"/>
        </w:rPr>
        <w:t xml:space="preserve"> South Africa:</w:t>
      </w:r>
      <w:r w:rsidRPr="00847CA1">
        <w:rPr>
          <w:rFonts w:asciiTheme="majorHAnsi" w:hAnsiTheme="majorHAnsi" w:cstheme="majorHAnsi"/>
          <w:sz w:val="18"/>
          <w:szCs w:val="18"/>
        </w:rPr>
        <w:t xml:space="preserve"> Patients’ Experiences, Khoza, VL, Du Toit, HS, Roos, JH, Africa Journal of Nursing and Midwifery 12 (2) 2010 pp. 58–68</w:t>
      </w:r>
      <w:r w:rsidRPr="00847CA1">
        <w:rPr>
          <w:rFonts w:asciiTheme="majorHAnsi" w:hAnsiTheme="majorHAnsi" w:cstheme="majorHAnsi"/>
          <w:sz w:val="18"/>
          <w:szCs w:val="18"/>
          <w:u w:val="single"/>
        </w:rPr>
        <w:t>.</w:t>
      </w:r>
    </w:p>
  </w:footnote>
  <w:footnote w:id="40">
    <w:p w14:paraId="4723A01F" w14:textId="1A069BD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State Of Healthcare </w:t>
      </w:r>
      <w:r w:rsidR="005D7066" w:rsidRPr="00847CA1">
        <w:rPr>
          <w:rFonts w:asciiTheme="majorHAnsi" w:hAnsiTheme="majorHAnsi" w:cstheme="majorHAnsi"/>
          <w:sz w:val="18"/>
          <w:szCs w:val="18"/>
        </w:rPr>
        <w:t>for</w:t>
      </w:r>
      <w:r w:rsidRPr="00847CA1">
        <w:rPr>
          <w:rFonts w:asciiTheme="majorHAnsi" w:hAnsiTheme="majorHAnsi" w:cstheme="majorHAnsi"/>
          <w:sz w:val="18"/>
          <w:szCs w:val="18"/>
        </w:rPr>
        <w:t xml:space="preserve"> Key Populations, 2022. </w:t>
      </w:r>
      <w:hyperlink r:id="rId41">
        <w:r w:rsidRPr="00847CA1">
          <w:rPr>
            <w:rFonts w:asciiTheme="majorHAnsi" w:hAnsiTheme="majorHAnsi" w:cstheme="majorHAnsi"/>
            <w:color w:val="1155CC"/>
            <w:sz w:val="18"/>
            <w:szCs w:val="18"/>
            <w:u w:val="single"/>
          </w:rPr>
          <w:t>https://ritshidze.org.za/wp-content/uploads/2022/01/Ritshidze-State-of-Healthcare-for-Key-Populations-2022.pdf</w:t>
        </w:r>
      </w:hyperlink>
      <w:r w:rsidRPr="00847CA1">
        <w:rPr>
          <w:rFonts w:asciiTheme="majorHAnsi" w:hAnsiTheme="majorHAnsi" w:cstheme="majorHAnsi"/>
          <w:sz w:val="18"/>
          <w:szCs w:val="18"/>
        </w:rPr>
        <w:t xml:space="preserve"> </w:t>
      </w:r>
    </w:p>
  </w:footnote>
  <w:footnote w:id="41">
    <w:p w14:paraId="3CC2A159"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hyperlink r:id="rId42">
        <w:r w:rsidRPr="00847CA1">
          <w:rPr>
            <w:rFonts w:asciiTheme="majorHAnsi" w:hAnsiTheme="majorHAnsi" w:cstheme="majorHAnsi"/>
            <w:color w:val="1155CC"/>
            <w:sz w:val="18"/>
            <w:szCs w:val="18"/>
            <w:u w:val="single"/>
          </w:rPr>
          <w:t>https://www.who.int/workforcealliance/031616south_africa_case_studiesweb.pdf</w:t>
        </w:r>
      </w:hyperlink>
      <w:r w:rsidRPr="00847CA1">
        <w:rPr>
          <w:rFonts w:asciiTheme="majorHAnsi" w:hAnsiTheme="majorHAnsi" w:cstheme="majorHAnsi"/>
          <w:sz w:val="18"/>
          <w:szCs w:val="18"/>
        </w:rPr>
        <w:t xml:space="preserve"> </w:t>
      </w:r>
    </w:p>
  </w:footnote>
  <w:footnote w:id="42">
    <w:p w14:paraId="11B4B63E"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hyperlink r:id="rId43">
        <w:r w:rsidRPr="00847CA1">
          <w:rPr>
            <w:rFonts w:asciiTheme="majorHAnsi" w:hAnsiTheme="majorHAnsi" w:cstheme="majorHAnsi"/>
            <w:color w:val="1155CC"/>
            <w:sz w:val="18"/>
            <w:szCs w:val="18"/>
            <w:u w:val="single"/>
          </w:rPr>
          <w:t>https://gbv.org.za/programmes/</w:t>
        </w:r>
      </w:hyperlink>
      <w:r w:rsidRPr="00847CA1">
        <w:rPr>
          <w:rFonts w:asciiTheme="majorHAnsi" w:hAnsiTheme="majorHAnsi" w:cstheme="majorHAnsi"/>
          <w:sz w:val="18"/>
          <w:szCs w:val="18"/>
        </w:rPr>
        <w:t xml:space="preserve"> </w:t>
      </w:r>
    </w:p>
  </w:footnote>
  <w:footnote w:id="43">
    <w:p w14:paraId="5CC01302" w14:textId="09D1F484"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South Africa’s National Human Rights Plan: A Comprehensive Response to Human Rights-Related Barriers </w:t>
      </w:r>
      <w:r w:rsidR="005D7066" w:rsidRPr="00847CA1">
        <w:rPr>
          <w:rFonts w:asciiTheme="majorHAnsi" w:hAnsiTheme="majorHAnsi" w:cstheme="majorHAnsi"/>
          <w:sz w:val="18"/>
          <w:szCs w:val="18"/>
        </w:rPr>
        <w:t>to</w:t>
      </w:r>
      <w:r w:rsidRPr="00847CA1">
        <w:rPr>
          <w:rFonts w:asciiTheme="majorHAnsi" w:hAnsiTheme="majorHAnsi" w:cstheme="majorHAnsi"/>
          <w:sz w:val="18"/>
          <w:szCs w:val="18"/>
        </w:rPr>
        <w:t xml:space="preserve"> HIV and TB Services and Gender Inequality in South Africa. </w:t>
      </w:r>
      <w:hyperlink r:id="rId44">
        <w:r w:rsidRPr="00847CA1">
          <w:rPr>
            <w:rFonts w:asciiTheme="majorHAnsi" w:hAnsiTheme="majorHAnsi" w:cstheme="majorHAnsi"/>
            <w:color w:val="1155CC"/>
            <w:sz w:val="18"/>
            <w:szCs w:val="18"/>
            <w:u w:val="single"/>
          </w:rPr>
          <w:t>https://sanac.org.za/wp-content/uploads/2020/03/HR-STRATEGY-FULL-electronic.pdf</w:t>
        </w:r>
      </w:hyperlink>
      <w:r w:rsidRPr="00847CA1">
        <w:rPr>
          <w:rFonts w:asciiTheme="majorHAnsi" w:hAnsiTheme="majorHAnsi" w:cstheme="majorHAnsi"/>
          <w:sz w:val="18"/>
          <w:szCs w:val="18"/>
        </w:rPr>
        <w:t xml:space="preserve"> </w:t>
      </w:r>
    </w:p>
  </w:footnote>
  <w:footnote w:id="44">
    <w:p w14:paraId="4FA60D31"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The National Task Team (NTT) on Gender and Sexual Orientation-Based Violence Perpetrated Against LGBTI Persons. </w:t>
      </w:r>
      <w:hyperlink r:id="rId45">
        <w:r w:rsidRPr="00847CA1">
          <w:rPr>
            <w:rFonts w:asciiTheme="majorHAnsi" w:hAnsiTheme="majorHAnsi" w:cstheme="majorHAnsi"/>
            <w:color w:val="1155CC"/>
            <w:sz w:val="18"/>
            <w:szCs w:val="18"/>
            <w:u w:val="single"/>
          </w:rPr>
          <w:t>https://www.nationallgbtitaskteam.co.za/images/Resources/NTT_TOR.pdf</w:t>
        </w:r>
      </w:hyperlink>
      <w:r w:rsidRPr="00847CA1">
        <w:rPr>
          <w:rFonts w:asciiTheme="majorHAnsi" w:hAnsiTheme="majorHAnsi" w:cstheme="majorHAnsi"/>
          <w:sz w:val="18"/>
          <w:szCs w:val="18"/>
        </w:rPr>
        <w:t xml:space="preserve"> </w:t>
      </w:r>
    </w:p>
  </w:footnote>
  <w:footnote w:id="45">
    <w:p w14:paraId="44082F45" w14:textId="5ABCDA11"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The </w:t>
      </w:r>
      <w:r w:rsidRPr="00847CA1">
        <w:rPr>
          <w:rFonts w:asciiTheme="majorHAnsi" w:hAnsiTheme="majorHAnsi" w:cstheme="majorHAnsi"/>
          <w:sz w:val="18"/>
          <w:szCs w:val="18"/>
        </w:rPr>
        <w:t xml:space="preserve">National Intervention Strategy (NIS) for Lesbian, Gay, Bisexual, </w:t>
      </w:r>
      <w:r w:rsidR="00B02AAE" w:rsidRPr="00847CA1">
        <w:rPr>
          <w:rFonts w:asciiTheme="majorHAnsi" w:hAnsiTheme="majorHAnsi" w:cstheme="majorHAnsi"/>
          <w:sz w:val="18"/>
          <w:szCs w:val="18"/>
        </w:rPr>
        <w:t>Transgender,</w:t>
      </w:r>
      <w:r w:rsidRPr="00847CA1">
        <w:rPr>
          <w:rFonts w:asciiTheme="majorHAnsi" w:hAnsiTheme="majorHAnsi" w:cstheme="majorHAnsi"/>
          <w:sz w:val="18"/>
          <w:szCs w:val="18"/>
        </w:rPr>
        <w:t xml:space="preserve"> and Intersex (LGB</w:t>
      </w:r>
      <w:r w:rsidRPr="00847CA1">
        <w:rPr>
          <w:rFonts w:asciiTheme="majorHAnsi" w:hAnsiTheme="majorHAnsi" w:cstheme="majorHAnsi"/>
          <w:sz w:val="18"/>
          <w:szCs w:val="18"/>
        </w:rPr>
        <w:t xml:space="preserve">TI) Sector is currently </w:t>
      </w:r>
      <w:proofErr w:type="gramStart"/>
      <w:r w:rsidRPr="00847CA1">
        <w:rPr>
          <w:rFonts w:asciiTheme="majorHAnsi" w:hAnsiTheme="majorHAnsi" w:cstheme="majorHAnsi"/>
          <w:sz w:val="18"/>
          <w:szCs w:val="18"/>
        </w:rPr>
        <w:t>being reviewed</w:t>
      </w:r>
      <w:proofErr w:type="gramEnd"/>
      <w:r w:rsidR="00B02AAE" w:rsidRPr="00847CA1">
        <w:rPr>
          <w:rFonts w:asciiTheme="majorHAnsi" w:hAnsiTheme="majorHAnsi" w:cstheme="majorHAnsi"/>
          <w:sz w:val="18"/>
          <w:szCs w:val="18"/>
        </w:rPr>
        <w:t xml:space="preserve">. </w:t>
      </w:r>
      <w:hyperlink r:id="rId46">
        <w:r w:rsidRPr="00847CA1">
          <w:rPr>
            <w:rFonts w:asciiTheme="majorHAnsi" w:hAnsiTheme="majorHAnsi" w:cstheme="majorHAnsi"/>
            <w:color w:val="1155CC"/>
            <w:sz w:val="18"/>
            <w:szCs w:val="18"/>
            <w:u w:val="single"/>
          </w:rPr>
          <w:t>https://www.gov.za/sites/default/files/gcis_document/201409/2014dojnationalinterventi</w:t>
        </w:r>
        <w:r w:rsidRPr="00847CA1">
          <w:rPr>
            <w:rFonts w:asciiTheme="majorHAnsi" w:hAnsiTheme="majorHAnsi" w:cstheme="majorHAnsi"/>
            <w:color w:val="1155CC"/>
            <w:sz w:val="18"/>
            <w:szCs w:val="18"/>
            <w:u w:val="single"/>
          </w:rPr>
          <w:t>onstrategylgbtisector.pdf</w:t>
        </w:r>
      </w:hyperlink>
      <w:r w:rsidRPr="00847CA1">
        <w:rPr>
          <w:rFonts w:asciiTheme="majorHAnsi" w:hAnsiTheme="majorHAnsi" w:cstheme="majorHAnsi"/>
          <w:sz w:val="18"/>
          <w:szCs w:val="18"/>
        </w:rPr>
        <w:t xml:space="preserve"> </w:t>
      </w:r>
    </w:p>
  </w:footnote>
  <w:footnote w:id="46">
    <w:p w14:paraId="090A366C" w14:textId="011E87AE"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Communication Strategy - National Task Team on Gender and Sexual Orientation-Based Violence Perpetrated on LGBTI Persons</w:t>
      </w:r>
      <w:r w:rsidR="00B02AAE" w:rsidRPr="00847CA1">
        <w:rPr>
          <w:rFonts w:asciiTheme="majorHAnsi" w:hAnsiTheme="majorHAnsi" w:cstheme="majorHAnsi"/>
          <w:sz w:val="18"/>
          <w:szCs w:val="18"/>
        </w:rPr>
        <w:t xml:space="preserve">. </w:t>
      </w:r>
      <w:hyperlink r:id="rId47">
        <w:r w:rsidRPr="00847CA1">
          <w:rPr>
            <w:rFonts w:asciiTheme="majorHAnsi" w:hAnsiTheme="majorHAnsi" w:cstheme="majorHAnsi"/>
            <w:color w:val="1155CC"/>
            <w:sz w:val="18"/>
            <w:szCs w:val="18"/>
            <w:u w:val="single"/>
          </w:rPr>
          <w:t>https://www.gov.za/sites/default/files/gcis_document/201409/2014-lgbti-commstrategya.pdf</w:t>
        </w:r>
      </w:hyperlink>
      <w:r w:rsidRPr="00847CA1">
        <w:rPr>
          <w:rFonts w:asciiTheme="majorHAnsi" w:hAnsiTheme="majorHAnsi" w:cstheme="majorHAnsi"/>
          <w:sz w:val="18"/>
          <w:szCs w:val="18"/>
        </w:rPr>
        <w:t xml:space="preserve"> </w:t>
      </w:r>
    </w:p>
  </w:footnote>
  <w:footnote w:id="47">
    <w:p w14:paraId="67D6843B" w14:textId="5D4F9E1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Gender-Based Violence and Femicide National Strategic Plan</w:t>
      </w:r>
      <w:r w:rsidR="00B02AAE" w:rsidRPr="00847CA1">
        <w:rPr>
          <w:rFonts w:asciiTheme="majorHAnsi" w:hAnsiTheme="majorHAnsi" w:cstheme="majorHAnsi"/>
          <w:sz w:val="18"/>
          <w:szCs w:val="18"/>
        </w:rPr>
        <w:t xml:space="preserve">. </w:t>
      </w:r>
      <w:hyperlink r:id="rId48">
        <w:r w:rsidRPr="00847CA1">
          <w:rPr>
            <w:rFonts w:asciiTheme="majorHAnsi" w:hAnsiTheme="majorHAnsi" w:cstheme="majorHAnsi"/>
            <w:color w:val="1155CC"/>
            <w:sz w:val="18"/>
            <w:szCs w:val="18"/>
            <w:u w:val="single"/>
          </w:rPr>
          <w:t>https://www.justice.gov.za/vg/gbv/NSP-GBVF-FINAL-DOC-04-05.pdf</w:t>
        </w:r>
      </w:hyperlink>
      <w:r w:rsidRPr="00847CA1">
        <w:rPr>
          <w:rFonts w:asciiTheme="majorHAnsi" w:hAnsiTheme="majorHAnsi" w:cstheme="majorHAnsi"/>
          <w:sz w:val="18"/>
          <w:szCs w:val="18"/>
        </w:rPr>
        <w:t xml:space="preserve"> </w:t>
      </w:r>
    </w:p>
  </w:footnote>
  <w:footnote w:id="48">
    <w:p w14:paraId="2B9BB1B6"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Human Rights Watch ‘South Africa Broken Promises to Aid Gender Based Violence Survivors’ accessed  </w:t>
      </w:r>
      <w:hyperlink r:id="rId49">
        <w:r w:rsidRPr="00847CA1">
          <w:rPr>
            <w:rFonts w:asciiTheme="majorHAnsi" w:hAnsiTheme="majorHAnsi" w:cstheme="majorHAnsi"/>
            <w:color w:val="1155CC"/>
            <w:sz w:val="18"/>
            <w:szCs w:val="18"/>
            <w:u w:val="single"/>
          </w:rPr>
          <w:t>https://www.hrw.org/news/2021/11/24/south-africa-broken-promises-aid-gender-based-violence-survivors</w:t>
        </w:r>
      </w:hyperlink>
      <w:r w:rsidRPr="00847CA1">
        <w:rPr>
          <w:rFonts w:asciiTheme="majorHAnsi" w:hAnsiTheme="majorHAnsi" w:cstheme="majorHAnsi"/>
          <w:sz w:val="18"/>
          <w:szCs w:val="18"/>
        </w:rPr>
        <w:t xml:space="preserve"> </w:t>
      </w:r>
    </w:p>
  </w:footnote>
  <w:footnote w:id="49">
    <w:p w14:paraId="0EFD6AA3" w14:textId="77883D1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A Muller “ Teaching lesbian, </w:t>
      </w:r>
      <w:r w:rsidR="005D7066" w:rsidRPr="00847CA1">
        <w:rPr>
          <w:rFonts w:asciiTheme="majorHAnsi" w:hAnsiTheme="majorHAnsi" w:cstheme="majorHAnsi"/>
          <w:sz w:val="18"/>
          <w:szCs w:val="18"/>
        </w:rPr>
        <w:t>gay, bisexual</w:t>
      </w:r>
      <w:r w:rsidRPr="00847CA1">
        <w:rPr>
          <w:rFonts w:asciiTheme="majorHAnsi" w:hAnsiTheme="majorHAnsi" w:cstheme="majorHAnsi"/>
          <w:sz w:val="18"/>
          <w:szCs w:val="18"/>
        </w:rPr>
        <w:t xml:space="preserve"> and transgender health in South African health sciences faculty: addressing the gaps (2013) accessed </w:t>
      </w:r>
      <w:hyperlink r:id="rId50">
        <w:r w:rsidRPr="00847CA1">
          <w:rPr>
            <w:rFonts w:asciiTheme="majorHAnsi" w:hAnsiTheme="majorHAnsi" w:cstheme="majorHAnsi"/>
            <w:color w:val="1155CC"/>
            <w:sz w:val="18"/>
            <w:szCs w:val="18"/>
            <w:u w:val="single"/>
          </w:rPr>
          <w:t>https://bmcmededuc.biomedcentral.com/track/pdf/10.1186/1472-6920-13-174.pdf</w:t>
        </w:r>
      </w:hyperlink>
      <w:r w:rsidRPr="00847CA1">
        <w:rPr>
          <w:rFonts w:asciiTheme="majorHAnsi" w:hAnsiTheme="majorHAnsi" w:cstheme="majorHAnsi"/>
          <w:sz w:val="18"/>
          <w:szCs w:val="18"/>
        </w:rPr>
        <w:t xml:space="preserve">  </w:t>
      </w:r>
    </w:p>
  </w:footnote>
  <w:footnote w:id="50">
    <w:p w14:paraId="6D8427A0" w14:textId="5ED2DEDE"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State Of Healthcare for Key Populations, 2022 </w:t>
      </w:r>
      <w:hyperlink r:id="rId51">
        <w:r w:rsidRPr="00847CA1">
          <w:rPr>
            <w:rFonts w:asciiTheme="majorHAnsi" w:hAnsiTheme="majorHAnsi" w:cstheme="majorHAnsi"/>
            <w:color w:val="1155CC"/>
            <w:sz w:val="18"/>
            <w:szCs w:val="18"/>
            <w:u w:val="single"/>
          </w:rPr>
          <w:t>https://ritshidze.org.za/wp-content/uploads/2022/01/Ritshidze-State-of-Healthc</w:t>
        </w:r>
        <w:r w:rsidRPr="00847CA1">
          <w:rPr>
            <w:rFonts w:asciiTheme="majorHAnsi" w:hAnsiTheme="majorHAnsi" w:cstheme="majorHAnsi"/>
            <w:color w:val="1155CC"/>
            <w:sz w:val="18"/>
            <w:szCs w:val="18"/>
            <w:u w:val="single"/>
          </w:rPr>
          <w:t>are-for-Key-Populations-2022.pdf</w:t>
        </w:r>
      </w:hyperlink>
      <w:r w:rsidRPr="00847CA1">
        <w:rPr>
          <w:rFonts w:asciiTheme="majorHAnsi" w:hAnsiTheme="majorHAnsi" w:cstheme="majorHAnsi"/>
          <w:sz w:val="18"/>
          <w:szCs w:val="18"/>
        </w:rPr>
        <w:t xml:space="preserve"> </w:t>
      </w:r>
    </w:p>
  </w:footnote>
  <w:footnote w:id="51">
    <w:p w14:paraId="01F10E1B"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hyperlink r:id="rId52">
        <w:r w:rsidRPr="00847CA1">
          <w:rPr>
            <w:rFonts w:asciiTheme="majorHAnsi" w:hAnsiTheme="majorHAnsi" w:cstheme="majorHAnsi"/>
            <w:color w:val="1155CC"/>
            <w:sz w:val="18"/>
            <w:szCs w:val="18"/>
            <w:u w:val="single"/>
          </w:rPr>
          <w:t>https://www.education.gov.za/Home/ComprehensiveSexualityEducation.aspx</w:t>
        </w:r>
      </w:hyperlink>
      <w:r w:rsidRPr="00847CA1">
        <w:rPr>
          <w:rFonts w:asciiTheme="majorHAnsi" w:hAnsiTheme="majorHAnsi" w:cstheme="majorHAnsi"/>
          <w:sz w:val="18"/>
          <w:szCs w:val="18"/>
        </w:rPr>
        <w:t xml:space="preserve"> </w:t>
      </w:r>
    </w:p>
  </w:footnote>
  <w:footnote w:id="52">
    <w:p w14:paraId="17B6C15B"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hyperlink r:id="rId53">
        <w:r w:rsidRPr="00847CA1">
          <w:rPr>
            <w:rFonts w:asciiTheme="majorHAnsi" w:hAnsiTheme="majorHAnsi" w:cstheme="majorHAnsi"/>
            <w:color w:val="1155CC"/>
            <w:sz w:val="18"/>
            <w:szCs w:val="18"/>
            <w:u w:val="single"/>
          </w:rPr>
          <w:t>https://www.education.gov.za/Home/ComprehensiveSexualityEducation.aspx</w:t>
        </w:r>
      </w:hyperlink>
      <w:r w:rsidRPr="00847CA1">
        <w:rPr>
          <w:rFonts w:asciiTheme="majorHAnsi" w:hAnsiTheme="majorHAnsi" w:cstheme="majorHAnsi"/>
          <w:sz w:val="18"/>
          <w:szCs w:val="18"/>
        </w:rPr>
        <w:t xml:space="preserve"> </w:t>
      </w:r>
    </w:p>
  </w:footnote>
  <w:footnote w:id="53">
    <w:p w14:paraId="59248598"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Civil society is eagerly awaiting the final approval, release and implementation by the Department of Basic Education of the Guidelines for the Socio-Education</w:t>
      </w:r>
      <w:r w:rsidRPr="00847CA1">
        <w:rPr>
          <w:rFonts w:asciiTheme="majorHAnsi" w:hAnsiTheme="majorHAnsi" w:cstheme="majorHAnsi"/>
          <w:sz w:val="18"/>
          <w:szCs w:val="18"/>
        </w:rPr>
        <w:t>al Inclusion of Diverse Sexual Orientations, Gender Identities, Gender Expressions and Sex Characteristics (SOGIESC) in Schools.</w:t>
      </w:r>
    </w:p>
  </w:footnote>
  <w:footnote w:id="54">
    <w:p w14:paraId="6925F846" w14:textId="4D605109"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Tomson A, McLachlan C, Wattrus C, et al.; for the Southern African HIV Clinicians Society. (2021). </w:t>
      </w:r>
      <w:r w:rsidRPr="00847CA1">
        <w:rPr>
          <w:rFonts w:asciiTheme="majorHAnsi" w:hAnsiTheme="majorHAnsi" w:cstheme="majorHAnsi"/>
          <w:sz w:val="18"/>
          <w:szCs w:val="18"/>
        </w:rPr>
        <w:t>Southern African HIV Clinicians Society Gender-Affirming Healthcare Guideline for South Africa – Expanded Version</w:t>
      </w:r>
      <w:r w:rsidRPr="00847CA1">
        <w:rPr>
          <w:rFonts w:asciiTheme="majorHAnsi" w:hAnsiTheme="majorHAnsi" w:cstheme="majorHAnsi"/>
          <w:sz w:val="18"/>
          <w:szCs w:val="18"/>
        </w:rPr>
        <w:t>. October 2021</w:t>
      </w:r>
      <w:r w:rsidR="00B02AAE" w:rsidRPr="00847CA1">
        <w:rPr>
          <w:rFonts w:asciiTheme="majorHAnsi" w:hAnsiTheme="majorHAnsi" w:cstheme="majorHAnsi"/>
          <w:sz w:val="18"/>
          <w:szCs w:val="18"/>
        </w:rPr>
        <w:t xml:space="preserve">. </w:t>
      </w:r>
      <w:hyperlink r:id="rId54">
        <w:r w:rsidRPr="00847CA1">
          <w:rPr>
            <w:rFonts w:asciiTheme="majorHAnsi" w:hAnsiTheme="majorHAnsi" w:cstheme="majorHAnsi"/>
            <w:color w:val="1155CC"/>
            <w:sz w:val="18"/>
            <w:szCs w:val="18"/>
            <w:u w:val="single"/>
          </w:rPr>
          <w:t>https://sahivsoc.org</w:t>
        </w:r>
        <w:r w:rsidRPr="00847CA1">
          <w:rPr>
            <w:rFonts w:asciiTheme="majorHAnsi" w:hAnsiTheme="majorHAnsi" w:cstheme="majorHAnsi"/>
            <w:color w:val="1155CC"/>
            <w:sz w:val="18"/>
            <w:szCs w:val="18"/>
            <w:u w:val="single"/>
          </w:rPr>
          <w:t>/Files/SAHCS%20GAHC%20guidelines-expanded%20version_Oct%202021.pdf</w:t>
        </w:r>
      </w:hyperlink>
      <w:r w:rsidRPr="00847CA1">
        <w:rPr>
          <w:rFonts w:asciiTheme="majorHAnsi" w:hAnsiTheme="majorHAnsi" w:cstheme="majorHAnsi"/>
          <w:sz w:val="18"/>
          <w:szCs w:val="18"/>
        </w:rPr>
        <w:t xml:space="preserve"> </w:t>
      </w:r>
    </w:p>
  </w:footnote>
  <w:footnote w:id="55">
    <w:p w14:paraId="70B29062"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Psychological Society of South Africa. (2017). Practice Guidelines for Psychology Professionals Working with Sexually and Gen</w:t>
      </w:r>
      <w:r w:rsidRPr="00847CA1">
        <w:rPr>
          <w:rFonts w:asciiTheme="majorHAnsi" w:hAnsiTheme="majorHAnsi" w:cstheme="majorHAnsi"/>
          <w:sz w:val="18"/>
          <w:szCs w:val="18"/>
        </w:rPr>
        <w:t xml:space="preserve">der-Diverse People. Johannesburg: Psychological Society of South Africa. </w:t>
      </w:r>
      <w:hyperlink r:id="rId55">
        <w:r w:rsidRPr="00847CA1">
          <w:rPr>
            <w:rFonts w:asciiTheme="majorHAnsi" w:hAnsiTheme="majorHAnsi" w:cstheme="majorHAnsi"/>
            <w:sz w:val="18"/>
            <w:szCs w:val="18"/>
          </w:rPr>
          <w:t>https://www.psyssa.com/wp-content/uploads/20</w:t>
        </w:r>
        <w:r w:rsidRPr="00847CA1">
          <w:rPr>
            <w:rFonts w:asciiTheme="majorHAnsi" w:hAnsiTheme="majorHAnsi" w:cstheme="majorHAnsi"/>
            <w:sz w:val="18"/>
            <w:szCs w:val="18"/>
          </w:rPr>
          <w:t>18/04/PsySSA-Diversity-Competence-Practice-Guidelines-PRINT-singlesided.pdf</w:t>
        </w:r>
      </w:hyperlink>
      <w:r w:rsidRPr="00847CA1">
        <w:rPr>
          <w:rFonts w:asciiTheme="majorHAnsi" w:hAnsiTheme="majorHAnsi" w:cstheme="majorHAnsi"/>
          <w:sz w:val="18"/>
          <w:szCs w:val="18"/>
        </w:rPr>
        <w:t xml:space="preserve">  </w:t>
      </w:r>
    </w:p>
  </w:footnote>
  <w:footnote w:id="56">
    <w:p w14:paraId="0D5A0294"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Stats SA. </w:t>
      </w:r>
      <w:r w:rsidRPr="00847CA1">
        <w:rPr>
          <w:rFonts w:asciiTheme="majorHAnsi" w:hAnsiTheme="majorHAnsi" w:cstheme="majorHAnsi"/>
          <w:sz w:val="18"/>
          <w:szCs w:val="18"/>
        </w:rPr>
        <w:t xml:space="preserve">Sustainable Development Goals: Country report 2019 </w:t>
      </w:r>
      <w:r w:rsidRPr="00847CA1">
        <w:rPr>
          <w:rFonts w:asciiTheme="majorHAnsi" w:hAnsiTheme="majorHAnsi" w:cstheme="majorHAnsi"/>
          <w:sz w:val="18"/>
          <w:szCs w:val="18"/>
        </w:rPr>
        <w:t>- South Africa</w:t>
      </w:r>
      <w:r w:rsidRPr="00847CA1">
        <w:rPr>
          <w:rFonts w:asciiTheme="majorHAnsi" w:hAnsiTheme="majorHAnsi" w:cstheme="majorHAnsi"/>
          <w:sz w:val="18"/>
          <w:szCs w:val="18"/>
        </w:rPr>
        <w:t xml:space="preserve">, pp.60-76. Pretoria: Statistics South Africa. </w:t>
      </w:r>
      <w:hyperlink r:id="rId56">
        <w:r w:rsidRPr="00847CA1">
          <w:rPr>
            <w:rFonts w:asciiTheme="majorHAnsi" w:hAnsiTheme="majorHAnsi" w:cstheme="majorHAnsi"/>
            <w:color w:val="1155CC"/>
            <w:sz w:val="18"/>
            <w:szCs w:val="18"/>
            <w:u w:val="single"/>
          </w:rPr>
          <w:t>http://www.statssa.gov.za/MDG/SDGs_Country_Report_2019_South_Africa.pdf</w:t>
        </w:r>
      </w:hyperlink>
    </w:p>
  </w:footnote>
  <w:footnote w:id="57">
    <w:p w14:paraId="5121AEB9"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Goal Tracker South Africa. Dat</w:t>
      </w:r>
      <w:r w:rsidRPr="00847CA1">
        <w:rPr>
          <w:rFonts w:asciiTheme="majorHAnsi" w:hAnsiTheme="majorHAnsi" w:cstheme="majorHAnsi"/>
          <w:sz w:val="18"/>
          <w:szCs w:val="18"/>
        </w:rPr>
        <w:t xml:space="preserve">a Download. Accessed 6 February 2022. </w:t>
      </w:r>
      <w:hyperlink r:id="rId57">
        <w:r w:rsidRPr="00847CA1">
          <w:rPr>
            <w:rFonts w:asciiTheme="majorHAnsi" w:hAnsiTheme="majorHAnsi" w:cstheme="majorHAnsi"/>
            <w:color w:val="1155CC"/>
            <w:sz w:val="18"/>
            <w:szCs w:val="18"/>
            <w:u w:val="single"/>
          </w:rPr>
          <w:t>https://south-africa.goaltracker.org/platform/south-africa/data</w:t>
        </w:r>
      </w:hyperlink>
      <w:r w:rsidRPr="00847CA1">
        <w:rPr>
          <w:rFonts w:asciiTheme="majorHAnsi" w:hAnsiTheme="majorHAnsi" w:cstheme="majorHAnsi"/>
          <w:sz w:val="18"/>
          <w:szCs w:val="18"/>
        </w:rPr>
        <w:t xml:space="preserve"> </w:t>
      </w:r>
    </w:p>
  </w:footnote>
  <w:footnote w:id="58">
    <w:p w14:paraId="1438C993"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National Planning Commission. </w:t>
      </w:r>
      <w:r w:rsidRPr="00847CA1">
        <w:rPr>
          <w:rFonts w:asciiTheme="majorHAnsi" w:hAnsiTheme="majorHAnsi" w:cstheme="majorHAnsi"/>
          <w:sz w:val="18"/>
          <w:szCs w:val="18"/>
        </w:rPr>
        <w:t>National Development Plan 2030: Our fu</w:t>
      </w:r>
      <w:r w:rsidRPr="00847CA1">
        <w:rPr>
          <w:rFonts w:asciiTheme="majorHAnsi" w:hAnsiTheme="majorHAnsi" w:cstheme="majorHAnsi"/>
          <w:sz w:val="18"/>
          <w:szCs w:val="18"/>
        </w:rPr>
        <w:t>ture - make it work</w:t>
      </w:r>
      <w:r w:rsidRPr="00847CA1">
        <w:rPr>
          <w:rFonts w:asciiTheme="majorHAnsi" w:hAnsiTheme="majorHAnsi" w:cstheme="majorHAnsi"/>
          <w:sz w:val="18"/>
          <w:szCs w:val="18"/>
        </w:rPr>
        <w:t xml:space="preserve">. </w:t>
      </w:r>
      <w:hyperlink r:id="rId58">
        <w:r w:rsidRPr="00847CA1">
          <w:rPr>
            <w:rFonts w:asciiTheme="majorHAnsi" w:hAnsiTheme="majorHAnsi" w:cstheme="majorHAnsi"/>
            <w:color w:val="1155CC"/>
            <w:sz w:val="18"/>
            <w:szCs w:val="18"/>
            <w:u w:val="single"/>
          </w:rPr>
          <w:t>https://www.gov.za/sites/default/files/gcis_document/201409/ndp-2030-our-future-make-it-workr.pdf</w:t>
        </w:r>
      </w:hyperlink>
      <w:r w:rsidRPr="00847CA1">
        <w:rPr>
          <w:rFonts w:asciiTheme="majorHAnsi" w:hAnsiTheme="majorHAnsi" w:cstheme="majorHAnsi"/>
          <w:sz w:val="18"/>
          <w:szCs w:val="18"/>
        </w:rPr>
        <w:t xml:space="preserve"> </w:t>
      </w:r>
    </w:p>
  </w:footnote>
  <w:footnote w:id="59">
    <w:p w14:paraId="6199C220"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Department of Pla</w:t>
      </w:r>
      <w:r w:rsidRPr="00847CA1">
        <w:rPr>
          <w:rFonts w:asciiTheme="majorHAnsi" w:hAnsiTheme="majorHAnsi" w:cstheme="majorHAnsi"/>
          <w:sz w:val="18"/>
          <w:szCs w:val="18"/>
        </w:rPr>
        <w:t xml:space="preserve">nning, Monitoring and Evaluation (DPME). </w:t>
      </w:r>
      <w:r w:rsidRPr="00847CA1">
        <w:rPr>
          <w:rFonts w:asciiTheme="majorHAnsi" w:hAnsiTheme="majorHAnsi" w:cstheme="majorHAnsi"/>
          <w:sz w:val="18"/>
          <w:szCs w:val="18"/>
        </w:rPr>
        <w:t>Medium-Term Strategic Framework (MTSF) 2019-2024</w:t>
      </w:r>
      <w:r w:rsidRPr="00847CA1">
        <w:rPr>
          <w:rFonts w:asciiTheme="majorHAnsi" w:hAnsiTheme="majorHAnsi" w:cstheme="majorHAnsi"/>
          <w:sz w:val="18"/>
          <w:szCs w:val="18"/>
        </w:rPr>
        <w:t xml:space="preserve">. </w:t>
      </w:r>
      <w:hyperlink r:id="rId59">
        <w:r w:rsidRPr="00847CA1">
          <w:rPr>
            <w:rFonts w:asciiTheme="majorHAnsi" w:hAnsiTheme="majorHAnsi" w:cstheme="majorHAnsi"/>
            <w:color w:val="1155CC"/>
            <w:sz w:val="18"/>
            <w:szCs w:val="18"/>
            <w:u w:val="single"/>
          </w:rPr>
          <w:t>https://www.dpme.gov.za/keyfocus</w:t>
        </w:r>
        <w:r w:rsidRPr="00847CA1">
          <w:rPr>
            <w:rFonts w:asciiTheme="majorHAnsi" w:hAnsiTheme="majorHAnsi" w:cstheme="majorHAnsi"/>
            <w:color w:val="1155CC"/>
            <w:sz w:val="18"/>
            <w:szCs w:val="18"/>
            <w:u w:val="single"/>
          </w:rPr>
          <w:t>areas/outcomesSite/MTSF_2019_2024/2019-2024%20MTSF%20Comprehensive%20Document.pdf</w:t>
        </w:r>
      </w:hyperlink>
      <w:r w:rsidRPr="00847CA1">
        <w:rPr>
          <w:rFonts w:asciiTheme="majorHAnsi" w:hAnsiTheme="majorHAnsi" w:cstheme="majorHAnsi"/>
          <w:sz w:val="18"/>
          <w:szCs w:val="18"/>
        </w:rPr>
        <w:t xml:space="preserve"> </w:t>
      </w:r>
    </w:p>
  </w:footnote>
  <w:footnote w:id="60">
    <w:p w14:paraId="62B92887"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Stats SA. Census 2022. </w:t>
      </w:r>
      <w:hyperlink r:id="rId60">
        <w:r w:rsidRPr="00847CA1">
          <w:rPr>
            <w:rFonts w:asciiTheme="majorHAnsi" w:hAnsiTheme="majorHAnsi" w:cstheme="majorHAnsi"/>
            <w:color w:val="1155CC"/>
            <w:sz w:val="18"/>
            <w:szCs w:val="18"/>
            <w:u w:val="single"/>
          </w:rPr>
          <w:t>http://census.statssa.gov.za/</w:t>
        </w:r>
      </w:hyperlink>
      <w:r w:rsidRPr="00847CA1">
        <w:rPr>
          <w:rFonts w:asciiTheme="majorHAnsi" w:hAnsiTheme="majorHAnsi" w:cstheme="majorHAnsi"/>
          <w:sz w:val="18"/>
          <w:szCs w:val="18"/>
        </w:rPr>
        <w:t xml:space="preserve"> </w:t>
      </w:r>
    </w:p>
  </w:footnote>
  <w:footnote w:id="61">
    <w:p w14:paraId="7454BA40"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Igual, Roberto. 2022. LGBTIQ community excluded from Census 2022. </w:t>
      </w:r>
      <w:r w:rsidRPr="00847CA1">
        <w:rPr>
          <w:rFonts w:asciiTheme="majorHAnsi" w:hAnsiTheme="majorHAnsi" w:cstheme="majorHAnsi"/>
          <w:sz w:val="18"/>
          <w:szCs w:val="18"/>
        </w:rPr>
        <w:t>MambaOnline</w:t>
      </w:r>
      <w:r w:rsidRPr="00847CA1">
        <w:rPr>
          <w:rFonts w:asciiTheme="majorHAnsi" w:hAnsiTheme="majorHAnsi" w:cstheme="majorHAnsi"/>
          <w:sz w:val="18"/>
          <w:szCs w:val="18"/>
        </w:rPr>
        <w:t xml:space="preserve">, 1 February 2022. </w:t>
      </w:r>
      <w:hyperlink r:id="rId61">
        <w:r w:rsidRPr="00847CA1">
          <w:rPr>
            <w:rFonts w:asciiTheme="majorHAnsi" w:hAnsiTheme="majorHAnsi" w:cstheme="majorHAnsi"/>
            <w:color w:val="1155CC"/>
            <w:sz w:val="18"/>
            <w:szCs w:val="18"/>
            <w:u w:val="single"/>
          </w:rPr>
          <w:t>https://www.mambaonline.com/2022/02/01/lgbtiq-community-ex</w:t>
        </w:r>
        <w:r w:rsidRPr="00847CA1">
          <w:rPr>
            <w:rFonts w:asciiTheme="majorHAnsi" w:hAnsiTheme="majorHAnsi" w:cstheme="majorHAnsi"/>
            <w:color w:val="1155CC"/>
            <w:sz w:val="18"/>
            <w:szCs w:val="18"/>
            <w:u w:val="single"/>
          </w:rPr>
          <w:t>cluded-from-census-2022/</w:t>
        </w:r>
      </w:hyperlink>
      <w:r w:rsidRPr="00847CA1">
        <w:rPr>
          <w:rFonts w:asciiTheme="majorHAnsi" w:hAnsiTheme="majorHAnsi" w:cstheme="majorHAnsi"/>
          <w:sz w:val="18"/>
          <w:szCs w:val="18"/>
        </w:rPr>
        <w:t xml:space="preserve"> </w:t>
      </w:r>
    </w:p>
  </w:footnote>
  <w:footnote w:id="62">
    <w:p w14:paraId="717A2913" w14:textId="77777777" w:rsidR="009B0950" w:rsidRPr="00847CA1" w:rsidRDefault="00492F84" w:rsidP="00B02AAE">
      <w:pPr>
        <w:pStyle w:val="NoSpacing"/>
        <w:rPr>
          <w:rFonts w:asciiTheme="majorHAnsi" w:hAnsiTheme="majorHAnsi" w:cstheme="majorHAnsi"/>
          <w:sz w:val="18"/>
          <w:szCs w:val="18"/>
        </w:rPr>
      </w:pPr>
      <w:r w:rsidRPr="00847CA1">
        <w:rPr>
          <w:rFonts w:asciiTheme="majorHAnsi" w:hAnsiTheme="majorHAnsi" w:cstheme="majorHAnsi"/>
          <w:sz w:val="18"/>
          <w:szCs w:val="18"/>
          <w:vertAlign w:val="superscript"/>
        </w:rPr>
        <w:footnoteRef/>
      </w:r>
      <w:r w:rsidRPr="00847CA1">
        <w:rPr>
          <w:rFonts w:asciiTheme="majorHAnsi" w:hAnsiTheme="majorHAnsi" w:cstheme="majorHAnsi"/>
          <w:sz w:val="18"/>
          <w:szCs w:val="18"/>
        </w:rPr>
        <w:t xml:space="preserve"> </w:t>
      </w:r>
      <w:r w:rsidRPr="00847CA1">
        <w:rPr>
          <w:rFonts w:asciiTheme="majorHAnsi" w:hAnsiTheme="majorHAnsi" w:cstheme="majorHAnsi"/>
          <w:sz w:val="18"/>
          <w:szCs w:val="18"/>
        </w:rPr>
        <w:t xml:space="preserve">Stats SA. </w:t>
      </w:r>
      <w:r w:rsidRPr="00847CA1">
        <w:rPr>
          <w:rFonts w:asciiTheme="majorHAnsi" w:hAnsiTheme="majorHAnsi" w:cstheme="majorHAnsi"/>
          <w:sz w:val="18"/>
          <w:szCs w:val="18"/>
        </w:rPr>
        <w:t>Sustainable Development Goals: Country report 2019 - South Africa</w:t>
      </w:r>
      <w:r w:rsidRPr="00847CA1">
        <w:rPr>
          <w:rFonts w:asciiTheme="majorHAnsi" w:hAnsiTheme="majorHAnsi" w:cstheme="majorHAnsi"/>
          <w:sz w:val="18"/>
          <w:szCs w:val="18"/>
        </w:rPr>
        <w:t xml:space="preserve">, pp.60-76. Pretoria: Statistics South Africa. </w:t>
      </w:r>
      <w:hyperlink r:id="rId62">
        <w:r w:rsidRPr="00847CA1">
          <w:rPr>
            <w:rFonts w:asciiTheme="majorHAnsi" w:hAnsiTheme="majorHAnsi" w:cstheme="majorHAnsi"/>
            <w:color w:val="1155CC"/>
            <w:sz w:val="18"/>
            <w:szCs w:val="18"/>
            <w:u w:val="single"/>
          </w:rPr>
          <w:t>http://www.statssa.gov.za/MDG/SDGs_Country_Report_2019_South_Africa.pdf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05F42"/>
    <w:multiLevelType w:val="multilevel"/>
    <w:tmpl w:val="76505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E195DAA"/>
    <w:multiLevelType w:val="multilevel"/>
    <w:tmpl w:val="252A02C6"/>
    <w:lvl w:ilvl="0">
      <w:start w:val="1"/>
      <w:numFmt w:val="decimal"/>
      <w:lvlText w:val="%1."/>
      <w:lvlJc w:val="left"/>
      <w:pPr>
        <w:ind w:left="720" w:hanging="360"/>
      </w:pPr>
      <w:rPr>
        <w:rFonts w:ascii="Verdana" w:eastAsia="Verdana" w:hAnsi="Verdana" w:cs="Verdana"/>
        <w:sz w:val="19"/>
        <w:szCs w:val="19"/>
        <w:u w:val="none"/>
      </w:rPr>
    </w:lvl>
    <w:lvl w:ilvl="1">
      <w:start w:val="1"/>
      <w:numFmt w:val="decimal"/>
      <w:lvlText w:val="%2."/>
      <w:lvlJc w:val="left"/>
      <w:pPr>
        <w:ind w:left="1440" w:hanging="360"/>
      </w:pPr>
      <w:rPr>
        <w:rFonts w:ascii="Verdana" w:eastAsia="Verdana" w:hAnsi="Verdana" w:cs="Verdana"/>
        <w:sz w:val="19"/>
        <w:szCs w:val="19"/>
        <w:u w:val="none"/>
      </w:rPr>
    </w:lvl>
    <w:lvl w:ilvl="2">
      <w:start w:val="1"/>
      <w:numFmt w:val="bullet"/>
      <w:lvlText w:val="■"/>
      <w:lvlJc w:val="left"/>
      <w:pPr>
        <w:ind w:left="2160" w:hanging="360"/>
      </w:pPr>
      <w:rPr>
        <w:rFonts w:ascii="Verdana" w:eastAsia="Verdana" w:hAnsi="Verdana" w:cs="Verdana"/>
        <w:sz w:val="19"/>
        <w:szCs w:val="19"/>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9A3749B"/>
    <w:multiLevelType w:val="multilevel"/>
    <w:tmpl w:val="54B4FE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FD47B0C"/>
    <w:multiLevelType w:val="multilevel"/>
    <w:tmpl w:val="9B302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AA277BB"/>
    <w:multiLevelType w:val="multilevel"/>
    <w:tmpl w:val="4A46E7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96E2B1F"/>
    <w:multiLevelType w:val="multilevel"/>
    <w:tmpl w:val="DE10BC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5BC31017"/>
    <w:multiLevelType w:val="multilevel"/>
    <w:tmpl w:val="035E92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BC62CC5"/>
    <w:multiLevelType w:val="multilevel"/>
    <w:tmpl w:val="8B9448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7"/>
  </w:num>
  <w:num w:numId="2">
    <w:abstractNumId w:val="5"/>
  </w:num>
  <w:num w:numId="3">
    <w:abstractNumId w:val="6"/>
  </w:num>
  <w:num w:numId="4">
    <w:abstractNumId w:val="4"/>
  </w:num>
  <w:num w:numId="5">
    <w:abstractNumId w:val="3"/>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950"/>
    <w:rsid w:val="000501B0"/>
    <w:rsid w:val="001A2B0D"/>
    <w:rsid w:val="00444B27"/>
    <w:rsid w:val="00492F84"/>
    <w:rsid w:val="005D7066"/>
    <w:rsid w:val="00847CA1"/>
    <w:rsid w:val="009B0950"/>
    <w:rsid w:val="009C6FB6"/>
    <w:rsid w:val="00B02AAE"/>
    <w:rsid w:val="00C27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A0CD94"/>
  <w15:docId w15:val="{CC287DE9-89C2-44C4-95C4-7FCB7DC4C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ZA"/>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B02AAE"/>
    <w:pPr>
      <w:spacing w:line="240" w:lineRule="auto"/>
    </w:pPr>
    <w:rPr>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regional@genderdynamix.org.za" TargetMode="External"/><Relationship Id="rId26" Type="http://schemas.openxmlformats.org/officeDocument/2006/relationships/hyperlink" Target="mailto:crystal@iranti.org.za" TargetMode="External"/><Relationship Id="rId39" Type="http://schemas.openxmlformats.org/officeDocument/2006/relationships/fontTable" Target="fontTable.xml"/><Relationship Id="rId21" Type="http://schemas.openxmlformats.org/officeDocument/2006/relationships/hyperlink" Target="mailto:sylvester@iranti.org" TargetMode="External"/><Relationship Id="rId34" Type="http://schemas.openxmlformats.org/officeDocument/2006/relationships/hyperlink" Target="http://triangle.org.za/"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estian@triangle.org.za" TargetMode="External"/><Relationship Id="rId33" Type="http://schemas.openxmlformats.org/officeDocument/2006/relationships/hyperlink" Target="https://www.pflagsouthafrica.org/"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mailto:programmes@genderdynamix.org.za" TargetMode="External"/><Relationship Id="rId29" Type="http://schemas.openxmlformats.org/officeDocument/2006/relationships/hyperlink" Target="mailto:amyleigh@lrc.co.z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health@triangle.org.za" TargetMode="External"/><Relationship Id="rId32" Type="http://schemas.openxmlformats.org/officeDocument/2006/relationships/hyperlink" Target="http://www.lrc.org.za/" TargetMode="External"/><Relationship Id="rId37" Type="http://schemas.openxmlformats.org/officeDocument/2006/relationships/hyperlink" Target="https://www.iranti.org.za/"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thozama@triangle.org.za" TargetMode="External"/><Relationship Id="rId28" Type="http://schemas.openxmlformats.org/officeDocument/2006/relationships/hyperlink" Target="mailto:mandi@wlce.co.za" TargetMode="External"/><Relationship Id="rId36" Type="http://schemas.openxmlformats.org/officeDocument/2006/relationships/hyperlink" Target="https://www.genderdynamix.org.za" TargetMode="External"/><Relationship Id="rId10" Type="http://schemas.openxmlformats.org/officeDocument/2006/relationships/endnotes" Target="endnotes.xml"/><Relationship Id="rId19" Type="http://schemas.openxmlformats.org/officeDocument/2006/relationships/hyperlink" Target="mailto:advocacy1@genderdynamix.org.za" TargetMode="External"/><Relationship Id="rId31" Type="http://schemas.openxmlformats.org/officeDocument/2006/relationships/hyperlink" Target="http://www.wlce.co.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ntuthuzo@iranti.org" TargetMode="External"/><Relationship Id="rId27" Type="http://schemas.openxmlformats.org/officeDocument/2006/relationships/hyperlink" Target="mailto:samelovetoti@gmail.com" TargetMode="External"/><Relationship Id="rId30" Type="http://schemas.openxmlformats.org/officeDocument/2006/relationships/hyperlink" Target="mailto:charlene@lrc.org.za" TargetMode="External"/><Relationship Id="rId35" Type="http://schemas.openxmlformats.org/officeDocument/2006/relationships/hyperlink" Target="https://www.genderdynamix.org.za/"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www.statssa.gov.za/MDG/SDGs_Country_Report_2019_South_Africa.pdf" TargetMode="External"/><Relationship Id="rId18" Type="http://schemas.openxmlformats.org/officeDocument/2006/relationships/hyperlink" Target="https://www.samrc.ac.za/" TargetMode="External"/><Relationship Id="rId26" Type="http://schemas.openxmlformats.org/officeDocument/2006/relationships/hyperlink" Target="https://sanac.org.za/wp-content/uploads/2017/06/LGBTI-HIV-Plan-Final.pdf" TargetMode="External"/><Relationship Id="rId39" Type="http://schemas.openxmlformats.org/officeDocument/2006/relationships/hyperlink" Target="https://section27.org.za/wp-content/uploads/2010/04/Chapter2.pdf" TargetMode="External"/><Relationship Id="rId21" Type="http://schemas.openxmlformats.org/officeDocument/2006/relationships/hyperlink" Target="http://www.ghjru.uct.ac.za/sites/default/files/image_tool/images/242/PDFs/Dynamic_feature/SOGIE%20and%20wellbeing_07_South%20Africa.pdf" TargetMode="External"/><Relationship Id="rId34" Type="http://schemas.openxmlformats.org/officeDocument/2006/relationships/hyperlink" Target="http://triangle.org.za/wp-content/uploads/2020/11/ISSA-WLC-TP-Sehoole-2020-Nov-Intersex-South-Africa-Submission-on-Childrens-Amendment-Bill-regarding-Intersex-Genital-Mutilation.pdf" TargetMode="External"/><Relationship Id="rId42" Type="http://schemas.openxmlformats.org/officeDocument/2006/relationships/hyperlink" Target="https://www.who.int/workforcealliance/031616south_africa_case_studiesweb.pdf" TargetMode="External"/><Relationship Id="rId47" Type="http://schemas.openxmlformats.org/officeDocument/2006/relationships/hyperlink" Target="https://www.gov.za/sites/default/files/gcis_document/201409/2014-lgbti-commstrategya.pdf" TargetMode="External"/><Relationship Id="rId50" Type="http://schemas.openxmlformats.org/officeDocument/2006/relationships/hyperlink" Target="https://bmcmededuc.biomedcentral.com/track/pdf/10.1186/1472-6920-13-174.pdf" TargetMode="External"/><Relationship Id="rId55" Type="http://schemas.openxmlformats.org/officeDocument/2006/relationships/hyperlink" Target="https://www.psyssa.com/wp-content/uploads/2018/04/PsySSA-Diversity-Competence-Practice-Guidelines-PRINT-singlesided.pdf" TargetMode="External"/><Relationship Id="rId7" Type="http://schemas.openxmlformats.org/officeDocument/2006/relationships/hyperlink" Target="https://sanac.org.za/wp-content/uploads/2021/11/NATIONAL-SEX-WORKER-PLAN-WEB-FINAL.pdf" TargetMode="External"/><Relationship Id="rId2" Type="http://schemas.openxmlformats.org/officeDocument/2006/relationships/hyperlink" Target="http://www.statssa.gov.za/MDG/SDGs_Country_Report_2019_South_Africa.pdf" TargetMode="External"/><Relationship Id="rId16" Type="http://schemas.openxmlformats.org/officeDocument/2006/relationships/hyperlink" Target="https://dhsprogram.com/pubs/pdf/FR337/FR337.pdf" TargetMode="External"/><Relationship Id="rId29" Type="http://schemas.openxmlformats.org/officeDocument/2006/relationships/hyperlink" Target="https://www.justice.gov.za/legislation/hcbill/B9-2018-HateCrimesBill.pdf" TargetMode="External"/><Relationship Id="rId11" Type="http://schemas.openxmlformats.org/officeDocument/2006/relationships/hyperlink" Target="https://www.thelancet.com/journals/lanhiv/article/PIIS2352-3018(20)30119-3/fulltext" TargetMode="External"/><Relationship Id="rId24" Type="http://schemas.openxmlformats.org/officeDocument/2006/relationships/hyperlink" Target="https://www.nationallgbtitaskteam.co.za/images/Resources/NTT_TOR.pdf" TargetMode="External"/><Relationship Id="rId32" Type="http://schemas.openxmlformats.org/officeDocument/2006/relationships/hyperlink" Target="http://www.saflii.org/za/cases/ZAEQC/2019/4.html" TargetMode="External"/><Relationship Id="rId37" Type="http://schemas.openxmlformats.org/officeDocument/2006/relationships/hyperlink" Target="https://drive.google.com/file/d/1xvXcmoa5OZ1gsrzMk-z7JbCvd_T0zz5W/view" TargetMode="External"/><Relationship Id="rId40" Type="http://schemas.openxmlformats.org/officeDocument/2006/relationships/hyperlink" Target="https://www.justice.gov.za/legislation/acts/2000-004.pdf" TargetMode="External"/><Relationship Id="rId45" Type="http://schemas.openxmlformats.org/officeDocument/2006/relationships/hyperlink" Target="https://www.nationallgbtitaskteam.co.za/images/Resources/NTT_TOR.pdf" TargetMode="External"/><Relationship Id="rId53" Type="http://schemas.openxmlformats.org/officeDocument/2006/relationships/hyperlink" Target="https://www.education.gov.za/Home/ComprehensiveSexualityEducation.aspx" TargetMode="External"/><Relationship Id="rId58" Type="http://schemas.openxmlformats.org/officeDocument/2006/relationships/hyperlink" Target="https://www.gov.za/sites/default/files/gcis_document/201409/ndp-2030-our-future-make-it-workr.pdf" TargetMode="External"/><Relationship Id="rId5" Type="http://schemas.openxmlformats.org/officeDocument/2006/relationships/hyperlink" Target="https://sanac.org.za/wp-content/uploads/2017/06/LGBTI-HIV-Plan-Final.pdf" TargetMode="External"/><Relationship Id="rId61" Type="http://schemas.openxmlformats.org/officeDocument/2006/relationships/hyperlink" Target="https://www.mambaonline.com/2022/02/01/lgbtiq-community-excluded-from-census-2022/" TargetMode="External"/><Relationship Id="rId19" Type="http://schemas.openxmlformats.org/officeDocument/2006/relationships/hyperlink" Target="https://sanac.org.za/" TargetMode="External"/><Relationship Id="rId14" Type="http://schemas.openxmlformats.org/officeDocument/2006/relationships/hyperlink" Target="https://dhsprogram.com/pubs/pdf/FR337/FR337.pdf" TargetMode="External"/><Relationship Id="rId22" Type="http://schemas.openxmlformats.org/officeDocument/2006/relationships/hyperlink" Target="https://triangle.org.za/wp-content/uploads/2020/10/Muller-Meer-Haji-2020-Quality-Through-Inclusion-community-led-healthcare-delivery-training-advocacy-SRH-of-LGBT-people-in-South-Africa.pdf" TargetMode="External"/><Relationship Id="rId27" Type="http://schemas.openxmlformats.org/officeDocument/2006/relationships/hyperlink" Target="https://www.igi-global.com/chapter/community-participation-in-the-national-development-plan-through-primary-health-care/217260" TargetMode="External"/><Relationship Id="rId30" Type="http://schemas.openxmlformats.org/officeDocument/2006/relationships/hyperlink" Target="https://pmg.org.za/bill/779/" TargetMode="External"/><Relationship Id="rId35" Type="http://schemas.openxmlformats.org/officeDocument/2006/relationships/hyperlink" Target="https://www.saflii.org/za/legis/consol_act/nha2003147/" TargetMode="External"/><Relationship Id="rId43" Type="http://schemas.openxmlformats.org/officeDocument/2006/relationships/hyperlink" Target="https://gbv.org.za/programmes/" TargetMode="External"/><Relationship Id="rId48" Type="http://schemas.openxmlformats.org/officeDocument/2006/relationships/hyperlink" Target="https://www.justice.gov.za/vg/gbv/NSP-GBVF-FINAL-DOC-04-05.pdf" TargetMode="External"/><Relationship Id="rId56" Type="http://schemas.openxmlformats.org/officeDocument/2006/relationships/hyperlink" Target="http://www.statssa.gov.za/MDG/SDGs_Country_Report_2019_South_Africa.pdf" TargetMode="External"/><Relationship Id="rId8" Type="http://schemas.openxmlformats.org/officeDocument/2006/relationships/hyperlink" Target="http://www.statssa.gov.za/MDG/SDGs_Country_Report_2019_South_Africa.pdf" TargetMode="External"/><Relationship Id="rId51" Type="http://schemas.openxmlformats.org/officeDocument/2006/relationships/hyperlink" Target="https://ritshidze.org.za/wp-content/uploads/2022/01/Ritshidze-State-of-Healthcare-for-Key-Populations-2022.pdf" TargetMode="External"/><Relationship Id="rId3" Type="http://schemas.openxmlformats.org/officeDocument/2006/relationships/hyperlink" Target="https://repository.hsrc.ac.za/bitstream/handle/20.500.11910/14780/10995.pdf" TargetMode="External"/><Relationship Id="rId12" Type="http://schemas.openxmlformats.org/officeDocument/2006/relationships/hyperlink" Target="https://repository.hsrc.ac.za/bitstream/handle/20.500.11910/14780/10995.pdf" TargetMode="External"/><Relationship Id="rId17" Type="http://schemas.openxmlformats.org/officeDocument/2006/relationships/hyperlink" Target="http://www.hsrc.ac.za/" TargetMode="External"/><Relationship Id="rId25" Type="http://schemas.openxmlformats.org/officeDocument/2006/relationships/hyperlink" Target="https://sanac.org.za//wp-content/uploads/2017/06/NSP_FullDocument_FINAL.pdf" TargetMode="External"/><Relationship Id="rId33" Type="http://schemas.openxmlformats.org/officeDocument/2006/relationships/hyperlink" Target="https://www.ibanet.org/article/854B8E51-E931-403D-BDC3-1386B30F9591" TargetMode="External"/><Relationship Id="rId38" Type="http://schemas.openxmlformats.org/officeDocument/2006/relationships/hyperlink" Target="http://triangle.org.za/wp-content/uploads/2020/09/Joint-Statement-by-Home-Affairs-Minister-Motsoaledi-Trans-Activist-Coalition-on-trans-gender-diverse-legal-gender-recognition-21-Sept-2020.pdf" TargetMode="External"/><Relationship Id="rId46" Type="http://schemas.openxmlformats.org/officeDocument/2006/relationships/hyperlink" Target="https://www.gov.za/sites/default/files/gcis_document/201409/2014dojnationalinterventionstrategylgbtisector.pdf" TargetMode="External"/><Relationship Id="rId59" Type="http://schemas.openxmlformats.org/officeDocument/2006/relationships/hyperlink" Target="https://www.dpme.gov.za/keyfocusareas/outcomesSite/MTSF_2019_2024/2019-2024%20MTSF%20Comprehensive%20Document.pdf" TargetMode="External"/><Relationship Id="rId20" Type="http://schemas.openxmlformats.org/officeDocument/2006/relationships/hyperlink" Target="https://www.justice.gov.za/vg/lgbti/TOR-RRT.pdf" TargetMode="External"/><Relationship Id="rId41" Type="http://schemas.openxmlformats.org/officeDocument/2006/relationships/hyperlink" Target="https://ritshidze.org.za/wp-content/uploads/2022/01/Ritshidze-State-of-Healthcare-for-Key-Populations-2022.pdf" TargetMode="External"/><Relationship Id="rId54" Type="http://schemas.openxmlformats.org/officeDocument/2006/relationships/hyperlink" Target="https://sahivsoc.org/Files/SAHCS%20GAHC%20guidelines-expanded%20version_Oct%202021.pdf" TargetMode="External"/><Relationship Id="rId62" Type="http://schemas.openxmlformats.org/officeDocument/2006/relationships/hyperlink" Target="http://www.statssa.gov.za/MDG/SDGs_Country_Report_2019_South_Africa.pdf" TargetMode="External"/><Relationship Id="rId1" Type="http://schemas.openxmlformats.org/officeDocument/2006/relationships/hyperlink" Target="https://www.ohchr.org/EN/Issues/SexualOrientationGender/Pages/CFI-IE-SOGI-report-50thsession-HRC.aspx" TargetMode="External"/><Relationship Id="rId6" Type="http://schemas.openxmlformats.org/officeDocument/2006/relationships/hyperlink" Target="https://sanac.org.za/wp-content/uploads/2017/06/LGBTI-HIV-Plan-Final.pdf" TargetMode="External"/><Relationship Id="rId15" Type="http://schemas.openxmlformats.org/officeDocument/2006/relationships/hyperlink" Target="http://www.ghjru.uct.ac.za/sites/default/files/image_tool/images/242/PDFs/Dynamic_feature/SOGIE%20and%20wellbeing_07_South%20Africa.pdf" TargetMode="External"/><Relationship Id="rId23" Type="http://schemas.openxmlformats.org/officeDocument/2006/relationships/hyperlink" Target="https://sanac.org.za/about-sanac/" TargetMode="External"/><Relationship Id="rId28" Type="http://schemas.openxmlformats.org/officeDocument/2006/relationships/hyperlink" Target="https://www.ncbi.nlm.nih.gov/pmc/articles/PMC5395001/" TargetMode="External"/><Relationship Id="rId36" Type="http://schemas.openxmlformats.org/officeDocument/2006/relationships/hyperlink" Target="https://www.gov.za/sites/default/files/gcis_document/201707/40955gon627.pdf" TargetMode="External"/><Relationship Id="rId49" Type="http://schemas.openxmlformats.org/officeDocument/2006/relationships/hyperlink" Target="https://www.hrw.org/news/2021/11/24/south-africa-broken-promises-aid-gender-based-violence-survivors" TargetMode="External"/><Relationship Id="rId57" Type="http://schemas.openxmlformats.org/officeDocument/2006/relationships/hyperlink" Target="https://south-africa.goaltracker.org/platform/south-africa/data" TargetMode="External"/><Relationship Id="rId10" Type="http://schemas.openxmlformats.org/officeDocument/2006/relationships/hyperlink" Target="https://www.statssa.gov.za/publications/P03093/P030932018.pdf" TargetMode="External"/><Relationship Id="rId31" Type="http://schemas.openxmlformats.org/officeDocument/2006/relationships/hyperlink" Target="https://drive.google.com/file/d/1Wx7d9o06qec0ka2aJ32G47JsT1BR2DI0/view" TargetMode="External"/><Relationship Id="rId44" Type="http://schemas.openxmlformats.org/officeDocument/2006/relationships/hyperlink" Target="https://sanac.org.za/wp-content/uploads/2020/03/HR-STRATEGY-FULL-electronic.pdf" TargetMode="External"/><Relationship Id="rId52" Type="http://schemas.openxmlformats.org/officeDocument/2006/relationships/hyperlink" Target="https://www.education.gov.za/Home/ComprehensiveSexualityEducation.aspx" TargetMode="External"/><Relationship Id="rId60" Type="http://schemas.openxmlformats.org/officeDocument/2006/relationships/hyperlink" Target="http://census.statssa.gov.za/" TargetMode="External"/><Relationship Id="rId4" Type="http://schemas.openxmlformats.org/officeDocument/2006/relationships/hyperlink" Target="https://sanac.org.za//wp-content/uploads/2017/06/NSP_FullDocument_FINAL.pdf" TargetMode="External"/><Relationship Id="rId9" Type="http://schemas.openxmlformats.org/officeDocument/2006/relationships/hyperlink" Target="https://www.who.int/publications/i/item/97892400266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8a2eb13a65b4e39aade0e9a12fb96aa2">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146a154732f6d1bf5d08156947e94177"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Type the name of the contributor for this submission"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Women's Legal Center and partners</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334E588C-607F-401C-8A79-77291D3219AF}">
  <ds:schemaRefs>
    <ds:schemaRef ds:uri="http://schemas.openxmlformats.org/officeDocument/2006/bibliography"/>
  </ds:schemaRefs>
</ds:datastoreItem>
</file>

<file path=customXml/itemProps2.xml><?xml version="1.0" encoding="utf-8"?>
<ds:datastoreItem xmlns:ds="http://schemas.openxmlformats.org/officeDocument/2006/customXml" ds:itemID="{9D53F26B-0883-45FC-9C00-C59A7B918A9D}"/>
</file>

<file path=customXml/itemProps3.xml><?xml version="1.0" encoding="utf-8"?>
<ds:datastoreItem xmlns:ds="http://schemas.openxmlformats.org/officeDocument/2006/customXml" ds:itemID="{BD2528E1-989C-4A21-A017-79F1B92854FC}">
  <ds:schemaRefs>
    <ds:schemaRef ds:uri="http://schemas.microsoft.com/sharepoint/v3/contenttype/forms"/>
  </ds:schemaRefs>
</ds:datastoreItem>
</file>

<file path=customXml/itemProps4.xml><?xml version="1.0" encoding="utf-8"?>
<ds:datastoreItem xmlns:ds="http://schemas.openxmlformats.org/officeDocument/2006/customXml" ds:itemID="{219D11E4-6346-4AA8-92C1-62C3394DF38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3935</Words>
  <Characters>23535</Characters>
  <Application>Microsoft Office Word</Application>
  <DocSecurity>0</DocSecurity>
  <Lines>367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Mandi</cp:lastModifiedBy>
  <cp:revision>3</cp:revision>
  <dcterms:created xsi:type="dcterms:W3CDTF">2022-02-07T16:44:00Z</dcterms:created>
  <dcterms:modified xsi:type="dcterms:W3CDTF">2022-02-07T16:45:00Z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