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06F0" w14:textId="0085F063" w:rsidR="00EC47C4" w:rsidRPr="00B003D9" w:rsidRDefault="00A10C78" w:rsidP="00B003D9">
      <w:pPr>
        <w:pStyle w:val="NormalWeb"/>
        <w:shd w:val="clear" w:color="auto" w:fill="FFFFFF"/>
        <w:spacing w:before="240" w:beforeAutospacing="0" w:after="12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Informe sobre la realización del derecho de las personas afectadas por la violencia y la discriminación por orientación sexual e identidad de género al disfrute del más alto nivel posible de salud física y mental, en relación con el ODS 3</w:t>
      </w:r>
    </w:p>
    <w:p w14:paraId="60105FA5" w14:textId="31B6AD4F" w:rsidR="00A10C78" w:rsidRPr="00CC1B61" w:rsidRDefault="00A10C78" w:rsidP="00AE0C15">
      <w:pPr>
        <w:pStyle w:val="Ttulo2"/>
        <w:numPr>
          <w:ilvl w:val="0"/>
          <w:numId w:val="4"/>
        </w:numPr>
        <w:spacing w:before="24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>Investigación: comprender las necesidades de atención médica de las personas LGTBI y GNC</w:t>
      </w:r>
    </w:p>
    <w:p w14:paraId="737CFA8D" w14:textId="49E049A7" w:rsidR="004A7650" w:rsidRDefault="00A10C78" w:rsidP="004A7650">
      <w:pPr>
        <w:pStyle w:val="Ttulo2"/>
        <w:numPr>
          <w:ilvl w:val="1"/>
          <w:numId w:val="4"/>
        </w:numPr>
        <w:spacing w:before="24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¿El Estado (</w:t>
      </w:r>
      <w:r w:rsidR="00DB5549"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y / u otr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as partes interesadas) recopila datos, incluidos datos desglosados ​​por </w:t>
      </w:r>
      <w:r w:rsidR="00FB49D5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OS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 y / o </w:t>
      </w:r>
      <w:r w:rsidR="00FB49D5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OG</w:t>
      </w:r>
      <w:r w:rsidR="00EC47C4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?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, sobre:</w:t>
      </w:r>
    </w:p>
    <w:p w14:paraId="5350DCED" w14:textId="0E0AAC5C" w:rsidR="00450E19" w:rsidRPr="00FB49D5" w:rsidRDefault="005D6895" w:rsidP="00FB49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</w:pPr>
      <w:r w:rsidRPr="00C440A0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>En México, la función de salu</w:t>
      </w:r>
      <w:r w:rsidR="00450E19" w:rsidRPr="00C440A0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 xml:space="preserve">d es coordinada a nivel federal y </w:t>
      </w:r>
      <w:r w:rsidRPr="00C440A0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>cuenta con un</w:t>
      </w:r>
      <w:r w:rsidR="00450E19" w:rsidRPr="00C440A0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 xml:space="preserve"> Sistema de Información en S</w:t>
      </w:r>
      <w:r w:rsidRPr="00C440A0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 xml:space="preserve">alud que </w:t>
      </w:r>
      <w:r w:rsidR="00C440A0" w:rsidRPr="00C440A0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 xml:space="preserve">recopila datos poblacionales y de registros administrativos. </w:t>
      </w:r>
      <w:r w:rsidRPr="00C440A0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 xml:space="preserve">Adicional a lo anterior, el Sistema Nacional de Información </w:t>
      </w:r>
      <w:r w:rsidR="00450E19" w:rsidRPr="00C440A0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 xml:space="preserve">Estadística y Geográfica </w:t>
      </w:r>
      <w:r w:rsidR="00C440A0" w:rsidRPr="00C440A0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 xml:space="preserve">cuenta con un </w:t>
      </w:r>
      <w:r w:rsidR="00450E19" w:rsidRPr="00C440A0">
        <w:rPr>
          <w:rFonts w:ascii="Arial" w:eastAsia="Times New Roman" w:hAnsi="Arial" w:cs="Arial"/>
          <w:color w:val="000000" w:themeColor="text1"/>
          <w:lang w:val="es-ES_tradnl" w:eastAsia="es-ES_tradnl"/>
        </w:rPr>
        <w:t xml:space="preserve">Subsistema Nacional de Información Demográfica y Social encargado de generar información en salud, entre otros rubros. Ninguna de las dos fuentes genera información desagregada por orientación sexual </w:t>
      </w:r>
      <w:r w:rsidR="000C5D73">
        <w:rPr>
          <w:rFonts w:ascii="Arial" w:eastAsia="Times New Roman" w:hAnsi="Arial" w:cs="Arial"/>
          <w:color w:val="000000" w:themeColor="text1"/>
          <w:lang w:val="es-ES_tradnl" w:eastAsia="es-ES_tradnl"/>
        </w:rPr>
        <w:t xml:space="preserve">(OS) </w:t>
      </w:r>
      <w:r w:rsidR="00450E19" w:rsidRPr="00C440A0">
        <w:rPr>
          <w:rFonts w:ascii="Arial" w:eastAsia="Times New Roman" w:hAnsi="Arial" w:cs="Arial"/>
          <w:color w:val="000000" w:themeColor="text1"/>
          <w:lang w:val="es-ES_tradnl" w:eastAsia="es-ES_tradnl"/>
        </w:rPr>
        <w:t>e identidad de género</w:t>
      </w:r>
      <w:r w:rsidR="000C5D73">
        <w:rPr>
          <w:rFonts w:ascii="Arial" w:eastAsia="Times New Roman" w:hAnsi="Arial" w:cs="Arial"/>
          <w:color w:val="000000" w:themeColor="text1"/>
          <w:lang w:val="es-ES_tradnl" w:eastAsia="es-ES_tradnl"/>
        </w:rPr>
        <w:t xml:space="preserve"> (IG)</w:t>
      </w:r>
      <w:r w:rsidR="00450E19" w:rsidRPr="00C440A0">
        <w:rPr>
          <w:rFonts w:ascii="Arial" w:eastAsia="Times New Roman" w:hAnsi="Arial" w:cs="Arial"/>
          <w:color w:val="000000" w:themeColor="text1"/>
          <w:lang w:val="es-ES_tradnl" w:eastAsia="es-ES_tradnl"/>
        </w:rPr>
        <w:t>, salvo ámbitos muy específicos como la información en VIH que también están insuficientemente desagregados.</w:t>
      </w:r>
      <w:r w:rsidR="00450E19" w:rsidRPr="00C440A0">
        <w:rPr>
          <w:rStyle w:val="Refdenotaalpie"/>
          <w:rFonts w:ascii="Arial" w:eastAsia="Times New Roman" w:hAnsi="Arial" w:cs="Arial"/>
          <w:color w:val="000000" w:themeColor="text1"/>
          <w:lang w:val="es-ES_tradnl" w:eastAsia="es-ES_tradnl"/>
        </w:rPr>
        <w:footnoteReference w:id="1"/>
      </w:r>
    </w:p>
    <w:p w14:paraId="6D140542" w14:textId="0BFBD9ED" w:rsidR="00C440A0" w:rsidRPr="00FB49D5" w:rsidRDefault="00C440A0" w:rsidP="00FB49D5">
      <w:pPr>
        <w:pStyle w:val="Ttulo2"/>
        <w:spacing w:before="240" w:beforeAutospacing="0" w:after="120" w:afterAutospacing="0"/>
        <w:contextualSpacing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  <w:r w:rsidRPr="00C440A0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 xml:space="preserve">La información desagregada se reduce a ejercicios de censos y encuestas coordinados por el </w:t>
      </w:r>
      <w:r w:rsidR="00FB49D5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INEGI</w:t>
      </w:r>
      <w:r w:rsidR="0030179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, lo</w:t>
      </w:r>
      <w:r w:rsidR="00FB49D5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 xml:space="preserve"> </w:t>
      </w:r>
      <w:r w:rsidRPr="00FB49D5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ES_tradnl" w:eastAsia="es-ES_tradnl"/>
        </w:rPr>
        <w:t xml:space="preserve">que </w:t>
      </w:r>
      <w:r w:rsidR="0030179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ES_tradnl" w:eastAsia="es-ES_tradnl"/>
        </w:rPr>
        <w:t xml:space="preserve">impide que </w:t>
      </w:r>
      <w:r w:rsidRPr="00FB49D5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ES_tradnl" w:eastAsia="es-ES_tradnl"/>
        </w:rPr>
        <w:t xml:space="preserve">el Estado genere política pública en salud </w:t>
      </w:r>
      <w:r w:rsidR="00FB49D5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ES_tradnl" w:eastAsia="es-ES_tradnl"/>
        </w:rPr>
        <w:t>basado en</w:t>
      </w:r>
      <w:r w:rsidRPr="00FB49D5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ES_tradnl" w:eastAsia="es-ES_tradnl"/>
        </w:rPr>
        <w:t xml:space="preserve"> elementos de accesibilidad en su dimensión de no discriminación, aceptabilidad en su dimensió</w:t>
      </w:r>
      <w:r w:rsidR="00FB49D5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ES_tradnl" w:eastAsia="es-ES_tradnl"/>
        </w:rPr>
        <w:t xml:space="preserve">n de pertinencia de </w:t>
      </w:r>
      <w:r w:rsidRPr="00FB49D5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ES_tradnl" w:eastAsia="es-ES_tradnl"/>
        </w:rPr>
        <w:t>género y adaptabilidad a la población en su contexto</w:t>
      </w:r>
      <w:r w:rsidRPr="00FB49D5">
        <w:rPr>
          <w:rFonts w:ascii="Arial" w:hAnsi="Arial" w:cs="Arial"/>
          <w:b w:val="0"/>
          <w:color w:val="000000" w:themeColor="text1"/>
          <w:shd w:val="clear" w:color="auto" w:fill="FFFFFF"/>
          <w:lang w:val="es-ES_tradnl" w:eastAsia="es-ES_tradnl"/>
        </w:rPr>
        <w:t xml:space="preserve">. </w:t>
      </w:r>
    </w:p>
    <w:p w14:paraId="7976527B" w14:textId="4C03A9F3" w:rsidR="000C5D73" w:rsidRDefault="00301793" w:rsidP="00C440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 xml:space="preserve">Algunas instituciones </w:t>
      </w:r>
      <w:r w:rsidR="000C5D73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>como el Instituto Nacional de Salud Pública, el Hospital Infantil Federico Gómez, entre otras</w:t>
      </w:r>
      <w:r w:rsidR="00FB49D5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>,</w:t>
      </w:r>
      <w:r w:rsidR="000C5D73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 xml:space="preserve"> han generado datos estadísticos con desagregación por las categorías de OS e IG  </w:t>
      </w:r>
      <w:r w:rsidR="00963454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>con motivo de investigaciones, al igual que instituciones</w:t>
      </w:r>
      <w:r w:rsidR="000C5D73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 xml:space="preserve"> académicas públicas como la Universidad Nacional Autónoma de México</w:t>
      </w:r>
      <w:r w:rsidR="00963454"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  <w:t xml:space="preserve"> (UNAM), sin embargo, no tienen un impacto directo en el diseño de política pública. </w:t>
      </w:r>
    </w:p>
    <w:p w14:paraId="081B83D3" w14:textId="77777777" w:rsidR="00963454" w:rsidRDefault="00963454" w:rsidP="00C440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ES_tradnl" w:eastAsia="es-ES_tradnl"/>
        </w:rPr>
      </w:pPr>
    </w:p>
    <w:p w14:paraId="0DA4390E" w14:textId="1EFFF965" w:rsidR="005B7D8E" w:rsidRPr="00FB49D5" w:rsidRDefault="00D723B1" w:rsidP="005E0E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FB49D5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Acceso a y / o prestación de servicios de salud</w:t>
      </w:r>
    </w:p>
    <w:p w14:paraId="59D52936" w14:textId="22A7FC6B" w:rsidR="00C73CAA" w:rsidRPr="00FB49D5" w:rsidRDefault="006A341F" w:rsidP="005E0E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85310D">
        <w:rPr>
          <w:rFonts w:ascii="Arial" w:hAnsi="Arial" w:cs="Arial"/>
          <w:sz w:val="22"/>
          <w:szCs w:val="22"/>
          <w:lang w:val="es-MX"/>
        </w:rPr>
        <w:t xml:space="preserve">La </w:t>
      </w:r>
      <w:hyperlink r:id="rId11" w:history="1">
        <w:r w:rsidR="0090499A" w:rsidRPr="00FB49D5">
          <w:rPr>
            <w:rStyle w:val="Hipervnculo"/>
            <w:rFonts w:ascii="Arial" w:hAnsi="Arial" w:cs="Arial"/>
            <w:i/>
            <w:iCs/>
            <w:sz w:val="22"/>
            <w:szCs w:val="22"/>
            <w:lang w:val="es-ES"/>
          </w:rPr>
          <w:t xml:space="preserve">Encuesta sobre Discriminación por motivos de Orientación Sexual e Identidad de Género </w:t>
        </w:r>
        <w:r w:rsidR="00FA04F9" w:rsidRPr="00FB49D5">
          <w:rPr>
            <w:rStyle w:val="Hipervnculo"/>
            <w:rFonts w:ascii="Arial" w:hAnsi="Arial" w:cs="Arial"/>
            <w:i/>
            <w:iCs/>
            <w:sz w:val="22"/>
            <w:szCs w:val="22"/>
            <w:lang w:val="es-ES"/>
          </w:rPr>
          <w:t xml:space="preserve">(ENDOSIG) </w:t>
        </w:r>
        <w:r w:rsidR="0090499A" w:rsidRPr="00FB49D5">
          <w:rPr>
            <w:rStyle w:val="Hipervnculo"/>
            <w:rFonts w:ascii="Arial" w:hAnsi="Arial" w:cs="Arial"/>
            <w:i/>
            <w:iCs/>
            <w:sz w:val="22"/>
            <w:szCs w:val="22"/>
            <w:lang w:val="es-ES"/>
          </w:rPr>
          <w:t>2018</w:t>
        </w:r>
      </w:hyperlink>
      <w:r w:rsidR="00304E37"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5078D2"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F953EF"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del Consejo Nacional para Prevenir la Discriminación (CONAPRED), </w:t>
      </w:r>
      <w:r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>es un ejercicio de percepció</w:t>
      </w:r>
      <w:r w:rsidR="0030179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 que, en </w:t>
      </w:r>
      <w:r w:rsidR="00C73CAA"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>n materia de salud</w:t>
      </w:r>
      <w:r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C73CAA"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da cuenta de la </w:t>
      </w:r>
      <w:r w:rsidR="005078D2"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>negación injustificada</w:t>
      </w:r>
      <w:r w:rsidR="00F953EF"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005078D2"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>atención médica o medicamentos, discriminación durante la atención médica</w:t>
      </w:r>
      <w:r w:rsidR="00F953EF"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542E44"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tratamiento inadecuado e incluso </w:t>
      </w:r>
      <w:r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>la propuesta de brindar</w:t>
      </w:r>
      <w:r w:rsidR="00542E44" w:rsidRPr="00FB49D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un tratamiento correctivo.  </w:t>
      </w:r>
    </w:p>
    <w:p w14:paraId="2FEB2FD4" w14:textId="3E5392BD" w:rsidR="00304E37" w:rsidRPr="00CC1B61" w:rsidRDefault="00304E37" w:rsidP="005E0EE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22"/>
          <w:szCs w:val="22"/>
          <w:lang w:val="es-ES"/>
        </w:rPr>
      </w:pPr>
    </w:p>
    <w:p w14:paraId="2A2F1494" w14:textId="77CDAB37" w:rsidR="00513768" w:rsidRDefault="006A341F" w:rsidP="00CA038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E</w:t>
      </w:r>
      <w:r w:rsidR="0004618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 informe </w:t>
      </w:r>
      <w:hyperlink r:id="rId12" w:history="1">
        <w:r w:rsidR="005F66E0" w:rsidRPr="002D34B1">
          <w:rPr>
            <w:rStyle w:val="Hipervnculo"/>
            <w:rFonts w:ascii="Arial" w:hAnsi="Arial" w:cs="Arial"/>
            <w:i/>
            <w:sz w:val="22"/>
            <w:szCs w:val="22"/>
            <w:lang w:val="es-ES"/>
          </w:rPr>
          <w:t>Derechos Humanos de personas LGBTTTI. Acercamiento al análisis desde la sociedad civil de las quejas recibidas en la CDH</w:t>
        </w:r>
        <w:r w:rsidR="00AF3A59" w:rsidRPr="002D34B1">
          <w:rPr>
            <w:rStyle w:val="Hipervnculo"/>
            <w:rFonts w:ascii="Arial" w:hAnsi="Arial" w:cs="Arial"/>
            <w:i/>
            <w:sz w:val="22"/>
            <w:szCs w:val="22"/>
            <w:lang w:val="es-ES"/>
          </w:rPr>
          <w:t>CM</w:t>
        </w:r>
        <w:r w:rsidR="005F66E0" w:rsidRPr="002D34B1">
          <w:rPr>
            <w:rStyle w:val="Hipervnculo"/>
            <w:rFonts w:ascii="Arial" w:hAnsi="Arial" w:cs="Arial"/>
            <w:i/>
            <w:sz w:val="22"/>
            <w:szCs w:val="22"/>
            <w:lang w:val="es-ES"/>
          </w:rPr>
          <w:t xml:space="preserve"> por presuntas violaciones a sus derechos humanos 2010-201</w:t>
        </w:r>
        <w:r w:rsidR="00AF3A59" w:rsidRPr="002D34B1">
          <w:rPr>
            <w:rStyle w:val="Hipervnculo"/>
            <w:rFonts w:ascii="Arial" w:hAnsi="Arial" w:cs="Arial"/>
            <w:i/>
            <w:sz w:val="22"/>
            <w:szCs w:val="22"/>
            <w:lang w:val="es-ES"/>
          </w:rPr>
          <w:t>5</w:t>
        </w:r>
      </w:hyperlink>
      <w:r w:rsidR="00020118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</w:t>
      </w:r>
      <w:r w:rsidR="0004618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publicado </w:t>
      </w:r>
      <w:r w:rsidR="005F66E0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por </w:t>
      </w:r>
      <w:r w:rsidR="0004618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esta </w:t>
      </w:r>
      <w:r w:rsidR="00301793">
        <w:rPr>
          <w:rFonts w:ascii="Arial" w:hAnsi="Arial" w:cs="Arial"/>
          <w:color w:val="000000" w:themeColor="text1"/>
          <w:sz w:val="22"/>
          <w:szCs w:val="22"/>
          <w:lang w:val="es-ES"/>
        </w:rPr>
        <w:t>CDHCM</w:t>
      </w:r>
      <w:r w:rsidR="00020118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046182">
        <w:rPr>
          <w:rFonts w:ascii="Arial" w:hAnsi="Arial" w:cs="Arial"/>
          <w:color w:val="000000" w:themeColor="text1"/>
          <w:sz w:val="22"/>
          <w:szCs w:val="22"/>
          <w:lang w:val="es-ES"/>
        </w:rPr>
        <w:t>señal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</w:t>
      </w:r>
      <w:r w:rsidR="00E27FA7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patrones de violación </w:t>
      </w:r>
      <w:r w:rsidR="0004618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al derecho de</w:t>
      </w:r>
      <w:r w:rsidR="0004618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acceso a la salud de personas LGBTTTIQA+. </w:t>
      </w:r>
    </w:p>
    <w:p w14:paraId="5D0F4E8A" w14:textId="77777777" w:rsidR="006A341F" w:rsidRDefault="006A341F" w:rsidP="00CA038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7FCAEDB6" w14:textId="15CDC4FE" w:rsidR="006A341F" w:rsidRDefault="006A341F" w:rsidP="006A341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Finalmente, l</w:t>
      </w:r>
      <w:r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>a</w:t>
      </w:r>
      <w:r w:rsidRPr="00CC1B61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 xml:space="preserve"> </w:t>
      </w:r>
      <w:hyperlink r:id="rId13" w:history="1">
        <w:r w:rsidRPr="00DC6010">
          <w:rPr>
            <w:rStyle w:val="Hipervnculo"/>
            <w:rFonts w:ascii="Arial" w:hAnsi="Arial" w:cs="Arial"/>
            <w:i/>
            <w:sz w:val="22"/>
            <w:szCs w:val="22"/>
            <w:lang w:val="es-ES"/>
          </w:rPr>
          <w:t>Encuesta Impacto Diferenciado de la Covid-19 en la Comunidad LGBTI+ en México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incluyó el acceso a la salud. </w:t>
      </w:r>
    </w:p>
    <w:p w14:paraId="06861F43" w14:textId="77777777" w:rsidR="006A341F" w:rsidRDefault="006A341F" w:rsidP="006A341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626A0708" w14:textId="4D41CAB8" w:rsidR="006A341F" w:rsidRPr="00CC1B61" w:rsidRDefault="006A341F" w:rsidP="006A341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Por su parte, algunos organismos de protección de derechos humanos en el paí</w:t>
      </w:r>
      <w:r w:rsidR="000C5D73">
        <w:rPr>
          <w:rFonts w:ascii="Arial" w:hAnsi="Arial" w:cs="Arial"/>
          <w:color w:val="000000" w:themeColor="text1"/>
          <w:sz w:val="22"/>
          <w:szCs w:val="22"/>
          <w:lang w:val="es-ES"/>
        </w:rPr>
        <w:t>s como la CDHCM, comenz</w:t>
      </w:r>
      <w:r w:rsidR="00301793">
        <w:rPr>
          <w:rFonts w:ascii="Arial" w:hAnsi="Arial" w:cs="Arial"/>
          <w:color w:val="000000" w:themeColor="text1"/>
          <w:sz w:val="22"/>
          <w:szCs w:val="22"/>
          <w:lang w:val="es-ES"/>
        </w:rPr>
        <w:t>aron</w:t>
      </w:r>
      <w:r w:rsidR="000C5D7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hace algunos años a desagregar las quejas recibidas por presunta violación al derecho a la salud en función de la </w:t>
      </w:r>
      <w:r w:rsidR="002E348B">
        <w:rPr>
          <w:rFonts w:ascii="Arial" w:hAnsi="Arial" w:cs="Arial"/>
          <w:color w:val="000000" w:themeColor="text1"/>
          <w:sz w:val="22"/>
          <w:szCs w:val="22"/>
          <w:lang w:val="es-ES"/>
        </w:rPr>
        <w:t>OS</w:t>
      </w:r>
      <w:r w:rsidR="000C5D7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 </w:t>
      </w:r>
      <w:r w:rsidR="002E348B">
        <w:rPr>
          <w:rFonts w:ascii="Arial" w:hAnsi="Arial" w:cs="Arial"/>
          <w:color w:val="000000" w:themeColor="text1"/>
          <w:sz w:val="22"/>
          <w:szCs w:val="22"/>
          <w:lang w:val="es-ES"/>
        </w:rPr>
        <w:t>IG</w:t>
      </w:r>
      <w:r w:rsidR="000C5D7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entre otras categorías, de modo que puedan hacerse análisis interseccionales de los patrones de violación.</w:t>
      </w:r>
    </w:p>
    <w:p w14:paraId="42DB4864" w14:textId="77777777" w:rsidR="003675F8" w:rsidRPr="00CC1B61" w:rsidRDefault="003675F8" w:rsidP="00CA038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275B2CC8" w14:textId="43F143AE" w:rsidR="00795598" w:rsidRDefault="00D723B1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lastRenderedPageBreak/>
        <w:t>El número de nuevas infecciones por el VIH por 1000 habitantes no infectados</w:t>
      </w:r>
    </w:p>
    <w:p w14:paraId="19BE3DFC" w14:textId="77777777" w:rsidR="00046182" w:rsidRPr="00CC1B61" w:rsidRDefault="00046182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</w:p>
    <w:p w14:paraId="5F7C14DC" w14:textId="16996DE8" w:rsidR="00E348BA" w:rsidRPr="002B2E0E" w:rsidRDefault="00E42BC1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>E</w:t>
      </w:r>
      <w:r w:rsidR="00AA2AB8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xiste </w:t>
      </w:r>
      <w:r w:rsidR="004A7650">
        <w:rPr>
          <w:rFonts w:ascii="Arial" w:hAnsi="Arial" w:cs="Arial"/>
          <w:color w:val="000000" w:themeColor="text1"/>
          <w:sz w:val="22"/>
          <w:szCs w:val="22"/>
          <w:lang w:val="es-ES"/>
        </w:rPr>
        <w:t>el</w:t>
      </w:r>
      <w:r w:rsidR="004A7650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hyperlink r:id="rId14" w:history="1">
        <w:r w:rsidRPr="002D34B1">
          <w:rPr>
            <w:rStyle w:val="Hipervnculo"/>
            <w:rFonts w:ascii="Arial" w:hAnsi="Arial" w:cs="Arial"/>
            <w:i/>
            <w:iCs/>
            <w:sz w:val="22"/>
            <w:szCs w:val="22"/>
            <w:lang w:val="es-ES"/>
          </w:rPr>
          <w:t>R</w:t>
        </w:r>
        <w:r w:rsidR="00AA2AB8" w:rsidRPr="002D34B1">
          <w:rPr>
            <w:rStyle w:val="Hipervnculo"/>
            <w:rFonts w:ascii="Arial" w:hAnsi="Arial" w:cs="Arial"/>
            <w:i/>
            <w:iCs/>
            <w:sz w:val="22"/>
            <w:szCs w:val="22"/>
            <w:lang w:val="es-ES"/>
          </w:rPr>
          <w:t xml:space="preserve">egistro Nacional de Casos de VIH y </w:t>
        </w:r>
        <w:r w:rsidR="00862938" w:rsidRPr="002D34B1">
          <w:rPr>
            <w:rStyle w:val="Hipervnculo"/>
            <w:rFonts w:ascii="Arial" w:hAnsi="Arial" w:cs="Arial"/>
            <w:i/>
            <w:iCs/>
            <w:sz w:val="22"/>
            <w:szCs w:val="22"/>
            <w:lang w:val="es-ES"/>
          </w:rPr>
          <w:t>sida</w:t>
        </w:r>
      </w:hyperlink>
      <w:r w:rsidR="00862938" w:rsidRPr="00CC1B61">
        <w:rPr>
          <w:rFonts w:ascii="Arial" w:hAnsi="Arial" w:cs="Arial"/>
          <w:i/>
          <w:iCs/>
          <w:color w:val="000000" w:themeColor="text1"/>
          <w:sz w:val="22"/>
          <w:szCs w:val="22"/>
          <w:lang w:val="es-ES"/>
        </w:rPr>
        <w:t xml:space="preserve"> </w:t>
      </w:r>
      <w:r w:rsidRPr="00CC1B61">
        <w:rPr>
          <w:rFonts w:ascii="Arial" w:hAnsi="Arial" w:cs="Arial"/>
          <w:i/>
          <w:iCs/>
          <w:color w:val="000000" w:themeColor="text1"/>
          <w:sz w:val="22"/>
          <w:szCs w:val="22"/>
          <w:lang w:val="es-ES"/>
        </w:rPr>
        <w:t xml:space="preserve">a cargo del </w:t>
      </w:r>
      <w:hyperlink r:id="rId15" w:history="1">
        <w:r w:rsidRPr="002D34B1">
          <w:rPr>
            <w:rStyle w:val="Hipervnculo"/>
            <w:rFonts w:ascii="Arial" w:hAnsi="Arial" w:cs="Arial"/>
            <w:i/>
            <w:iCs/>
            <w:sz w:val="22"/>
            <w:szCs w:val="22"/>
            <w:lang w:val="es-ES"/>
          </w:rPr>
          <w:t>Centro Nacional para la Prevención y el Control del VIH y el sida</w:t>
        </w:r>
        <w:r w:rsidR="008A61A7" w:rsidRPr="002D34B1">
          <w:rPr>
            <w:rStyle w:val="Hipervnculo"/>
            <w:rFonts w:ascii="Arial" w:hAnsi="Arial" w:cs="Arial"/>
            <w:i/>
            <w:iCs/>
            <w:sz w:val="22"/>
            <w:szCs w:val="22"/>
            <w:lang w:val="es-ES"/>
          </w:rPr>
          <w:t xml:space="preserve"> (CENSIDA</w:t>
        </w:r>
      </w:hyperlink>
      <w:r w:rsidR="008A61A7" w:rsidRPr="00CC1B61">
        <w:rPr>
          <w:rFonts w:ascii="Arial" w:hAnsi="Arial" w:cs="Arial"/>
          <w:i/>
          <w:iCs/>
          <w:color w:val="000000" w:themeColor="text1"/>
          <w:sz w:val="22"/>
          <w:szCs w:val="22"/>
          <w:lang w:val="es-ES"/>
        </w:rPr>
        <w:t>)</w:t>
      </w:r>
      <w:r w:rsidR="00946361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 w:rsidR="00C73CA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D26C60">
        <w:rPr>
          <w:rFonts w:ascii="Arial" w:hAnsi="Arial" w:cs="Arial"/>
          <w:color w:val="000000" w:themeColor="text1"/>
          <w:sz w:val="22"/>
          <w:szCs w:val="22"/>
          <w:lang w:val="es-ES"/>
        </w:rPr>
        <w:t>No obstante</w:t>
      </w:r>
      <w:r w:rsidR="002B2E0E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D26C6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9463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los datos </w:t>
      </w:r>
      <w:r w:rsidR="00D26C6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solamente </w:t>
      </w:r>
      <w:r w:rsidR="00946361">
        <w:rPr>
          <w:rFonts w:ascii="Arial" w:hAnsi="Arial" w:cs="Arial"/>
          <w:color w:val="000000" w:themeColor="text1"/>
          <w:sz w:val="22"/>
          <w:szCs w:val="22"/>
          <w:lang w:val="es-ES"/>
        </w:rPr>
        <w:t>están</w:t>
      </w:r>
      <w:r w:rsidR="00D26C6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desagregad</w:t>
      </w:r>
      <w:r w:rsidR="00946361">
        <w:rPr>
          <w:rFonts w:ascii="Arial" w:hAnsi="Arial" w:cs="Arial"/>
          <w:color w:val="000000" w:themeColor="text1"/>
          <w:sz w:val="22"/>
          <w:szCs w:val="22"/>
          <w:lang w:val="es-ES"/>
        </w:rPr>
        <w:t>os</w:t>
      </w:r>
      <w:r w:rsidR="00D26C6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por “sexo”</w:t>
      </w:r>
      <w:r w:rsidR="002B2E0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301793">
        <w:rPr>
          <w:rFonts w:ascii="Arial" w:hAnsi="Arial" w:cs="Arial"/>
          <w:color w:val="000000" w:themeColor="text1"/>
          <w:sz w:val="22"/>
          <w:szCs w:val="22"/>
          <w:lang w:val="es-ES"/>
        </w:rPr>
        <w:t>binario.</w:t>
      </w:r>
      <w:r w:rsidR="000A0748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C611B5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 nivel local, el programa de VIH de la Ciudad de México </w:t>
      </w:r>
      <w:r w:rsidR="00946361">
        <w:rPr>
          <w:rFonts w:ascii="Arial" w:hAnsi="Arial" w:cs="Arial"/>
          <w:color w:val="000000" w:themeColor="text1"/>
          <w:sz w:val="22"/>
          <w:szCs w:val="22"/>
          <w:lang w:val="es-ES"/>
        </w:rPr>
        <w:t>reporta</w:t>
      </w:r>
      <w:r w:rsidR="006A341F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la información</w:t>
      </w:r>
      <w:r w:rsidR="009463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70007D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>a través del</w:t>
      </w:r>
      <w:r w:rsidR="00021513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hyperlink r:id="rId16" w:history="1">
        <w:r w:rsidR="00021513" w:rsidRPr="00DC6010">
          <w:rPr>
            <w:rStyle w:val="Hipervnculo"/>
            <w:rFonts w:ascii="Arial" w:hAnsi="Arial" w:cs="Arial"/>
            <w:i/>
            <w:sz w:val="22"/>
            <w:szCs w:val="22"/>
            <w:lang w:val="es-ES"/>
          </w:rPr>
          <w:t>Informe de Respuesta Epidemiológica al VIH Sida</w:t>
        </w:r>
        <w:r w:rsidR="007E156D" w:rsidRPr="00DC601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</w:t>
        </w:r>
        <w:r w:rsidR="007E156D" w:rsidRPr="00DC6010">
          <w:rPr>
            <w:rStyle w:val="Hipervnculo"/>
            <w:rFonts w:ascii="Arial" w:hAnsi="Arial" w:cs="Arial"/>
            <w:i/>
            <w:sz w:val="22"/>
            <w:szCs w:val="22"/>
            <w:lang w:val="es-ES"/>
          </w:rPr>
          <w:t>en la Ciudad de México</w:t>
        </w:r>
      </w:hyperlink>
      <w:r w:rsidR="009463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</w:t>
      </w:r>
      <w:r w:rsidR="006A341F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y </w:t>
      </w:r>
      <w:r w:rsidR="00946361">
        <w:rPr>
          <w:rFonts w:ascii="Arial" w:hAnsi="Arial" w:cs="Arial"/>
          <w:color w:val="000000" w:themeColor="text1"/>
          <w:sz w:val="22"/>
          <w:szCs w:val="22"/>
          <w:lang w:val="es-ES"/>
        </w:rPr>
        <w:t>desglosa los datos</w:t>
      </w:r>
      <w:r w:rsidR="00946361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 xml:space="preserve"> </w:t>
      </w:r>
      <w:r w:rsidR="002A3833">
        <w:rPr>
          <w:rFonts w:ascii="Arial" w:hAnsi="Arial" w:cs="Arial"/>
          <w:color w:val="000000" w:themeColor="text1"/>
          <w:sz w:val="22"/>
          <w:szCs w:val="22"/>
          <w:lang w:val="es-ES"/>
        </w:rPr>
        <w:t>en 3 categorías, hombres, mujeres y personas trans</w:t>
      </w:r>
      <w:r w:rsidR="002E348B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.</w:t>
      </w:r>
    </w:p>
    <w:p w14:paraId="38E1B74A" w14:textId="77777777" w:rsidR="00613A6C" w:rsidRDefault="00613A6C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507F88BB" w14:textId="77777777" w:rsidR="00D52BCE" w:rsidRPr="00CC1B61" w:rsidRDefault="00D52BCE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668CD8A7" w14:textId="2F209129" w:rsidR="00FA04F9" w:rsidRPr="00CC1B61" w:rsidRDefault="00FA04F9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La tasa de mortalidad por suicidio</w:t>
      </w:r>
    </w:p>
    <w:p w14:paraId="7FEBF90C" w14:textId="77777777" w:rsidR="00B71C1C" w:rsidRDefault="00B71C1C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000000" w:themeColor="text1"/>
          <w:sz w:val="22"/>
          <w:szCs w:val="22"/>
          <w:lang w:val="es-ES"/>
        </w:rPr>
      </w:pPr>
    </w:p>
    <w:p w14:paraId="07CC859C" w14:textId="3573B2F0" w:rsidR="00BD530D" w:rsidRDefault="002E348B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L</w:t>
      </w:r>
      <w:r w:rsidR="00E27FA7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os </w:t>
      </w:r>
      <w:r w:rsidR="0046580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datos del </w:t>
      </w:r>
      <w:r w:rsidR="00B71C1C">
        <w:rPr>
          <w:rFonts w:ascii="Arial" w:hAnsi="Arial" w:cs="Arial"/>
          <w:color w:val="000000" w:themeColor="text1"/>
          <w:sz w:val="22"/>
          <w:szCs w:val="22"/>
          <w:lang w:val="es-ES"/>
        </w:rPr>
        <w:t>INEGI</w:t>
      </w:r>
      <w:r w:rsidR="0046580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301793">
        <w:rPr>
          <w:rFonts w:ascii="Arial" w:hAnsi="Arial" w:cs="Arial"/>
          <w:color w:val="000000" w:themeColor="text1"/>
          <w:sz w:val="22"/>
          <w:szCs w:val="22"/>
          <w:lang w:val="es-ES"/>
        </w:rPr>
        <w:t>sobre suicidio</w:t>
      </w:r>
      <w:r w:rsidR="00B71C1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solo s</w:t>
      </w:r>
      <w:r w:rsidR="00082B2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 encuentran </w:t>
      </w:r>
      <w:r w:rsidR="00B71C1C">
        <w:rPr>
          <w:rFonts w:ascii="Arial" w:hAnsi="Arial" w:cs="Arial"/>
          <w:color w:val="000000" w:themeColor="text1"/>
          <w:sz w:val="22"/>
          <w:szCs w:val="22"/>
          <w:lang w:val="es-ES"/>
        </w:rPr>
        <w:t>sistematizad</w:t>
      </w:r>
      <w:r w:rsidR="00082B2A">
        <w:rPr>
          <w:rFonts w:ascii="Arial" w:hAnsi="Arial" w:cs="Arial"/>
          <w:color w:val="000000" w:themeColor="text1"/>
          <w:sz w:val="22"/>
          <w:szCs w:val="22"/>
          <w:lang w:val="es-ES"/>
        </w:rPr>
        <w:t>a</w:t>
      </w:r>
      <w:r w:rsidR="00B71C1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 por edad y por sexo, sin tener en cuenta otras como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OS e IG</w:t>
      </w:r>
      <w:r w:rsidR="00301793">
        <w:rPr>
          <w:rFonts w:ascii="Arial" w:hAnsi="Arial" w:cs="Arial"/>
          <w:color w:val="000000" w:themeColor="text1"/>
          <w:sz w:val="22"/>
          <w:szCs w:val="22"/>
          <w:lang w:val="es-ES"/>
        </w:rPr>
        <w:t>, al igual que</w:t>
      </w:r>
      <w:r w:rsidR="0046580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301793">
        <w:rPr>
          <w:rFonts w:ascii="Arial" w:hAnsi="Arial" w:cs="Arial"/>
          <w:color w:val="000000" w:themeColor="text1"/>
          <w:sz w:val="22"/>
          <w:szCs w:val="22"/>
          <w:lang w:val="es-ES"/>
        </w:rPr>
        <w:t>l</w:t>
      </w:r>
      <w:r w:rsidR="006A341F">
        <w:rPr>
          <w:rFonts w:ascii="Arial" w:hAnsi="Arial" w:cs="Arial"/>
          <w:color w:val="000000" w:themeColor="text1"/>
          <w:sz w:val="22"/>
          <w:szCs w:val="22"/>
          <w:lang w:val="es-ES"/>
        </w:rPr>
        <w:t>a información brindada por las autoridades de procuració</w:t>
      </w:r>
      <w:r w:rsidR="00301793">
        <w:rPr>
          <w:rFonts w:ascii="Arial" w:hAnsi="Arial" w:cs="Arial"/>
          <w:color w:val="000000" w:themeColor="text1"/>
          <w:sz w:val="22"/>
          <w:szCs w:val="22"/>
          <w:lang w:val="es-ES"/>
        </w:rPr>
        <w:t>n de justicia.</w:t>
      </w:r>
    </w:p>
    <w:p w14:paraId="72B56F03" w14:textId="77777777" w:rsidR="000C5D73" w:rsidRDefault="000C5D73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0DC28A5B" w14:textId="3570AF11" w:rsidR="00EF6107" w:rsidRPr="000C5D73" w:rsidRDefault="004D1FF8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Cobertura de intervenciones de tratamiento para trastornos por uso de sustancias</w:t>
      </w:r>
    </w:p>
    <w:p w14:paraId="54C47D4B" w14:textId="32A9510B" w:rsidR="004D1FF8" w:rsidRDefault="00BE6751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 nivel nacional</w:t>
      </w:r>
      <w:r w:rsidR="000C5D73">
        <w:rPr>
          <w:rFonts w:ascii="Arial" w:hAnsi="Arial" w:cs="Arial"/>
          <w:color w:val="000000" w:themeColor="text1"/>
          <w:sz w:val="22"/>
          <w:szCs w:val="22"/>
          <w:lang w:val="es-ES"/>
        </w:rPr>
        <w:t>, existe un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Observatorio </w:t>
      </w:r>
      <w:r w:rsidRPr="00BE675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Mexicano de Salud Mental y Consumo de Drogas </w:t>
      </w:r>
      <w:r w:rsidR="000C5D7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dependiente del Gobierno de México.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No obstante</w:t>
      </w:r>
      <w:r w:rsidR="002B2E0E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los informes </w:t>
      </w:r>
      <w:r w:rsidR="00DC247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publicados </w:t>
      </w:r>
      <w:r w:rsidR="00D55CF3">
        <w:rPr>
          <w:rFonts w:ascii="Arial" w:hAnsi="Arial" w:cs="Arial"/>
          <w:color w:val="000000" w:themeColor="text1"/>
          <w:sz w:val="22"/>
          <w:szCs w:val="22"/>
          <w:lang w:val="es-ES"/>
        </w:rPr>
        <w:t>desagregan</w:t>
      </w:r>
      <w:r w:rsidR="000C5D7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información exclusivamente por categorías binarias, al igual que </w:t>
      </w:r>
      <w:r w:rsidR="00EF6107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el </w:t>
      </w:r>
      <w:hyperlink r:id="rId17" w:history="1">
        <w:r w:rsidR="004D1FF8" w:rsidRPr="00EA188A">
          <w:rPr>
            <w:rStyle w:val="Hipervnculo"/>
            <w:rFonts w:ascii="Arial" w:hAnsi="Arial" w:cs="Arial"/>
            <w:i/>
            <w:sz w:val="22"/>
            <w:szCs w:val="22"/>
            <w:lang w:val="es-ES"/>
          </w:rPr>
          <w:t>Instituto para la Atención y Prevención de las Adicciones</w:t>
        </w:r>
      </w:hyperlink>
      <w:r w:rsidR="000C5D73">
        <w:rPr>
          <w:rStyle w:val="Hipervnculo"/>
          <w:rFonts w:ascii="Arial" w:hAnsi="Arial" w:cs="Arial"/>
          <w:i/>
          <w:sz w:val="22"/>
          <w:szCs w:val="22"/>
          <w:lang w:val="es-ES"/>
        </w:rPr>
        <w:t xml:space="preserve">, </w:t>
      </w:r>
      <w:r w:rsidR="00EF6107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 xml:space="preserve"> </w:t>
      </w:r>
      <w:r w:rsidR="000C5D73">
        <w:rPr>
          <w:rFonts w:ascii="Arial" w:hAnsi="Arial" w:cs="Arial"/>
          <w:iCs/>
          <w:color w:val="000000" w:themeColor="text1"/>
          <w:sz w:val="22"/>
          <w:szCs w:val="22"/>
          <w:lang w:val="es-ES"/>
        </w:rPr>
        <w:t xml:space="preserve">organismo local en la Ciudad de México. </w:t>
      </w:r>
    </w:p>
    <w:p w14:paraId="26256C6E" w14:textId="77777777" w:rsidR="000C5D73" w:rsidRPr="00CC1B61" w:rsidRDefault="000C5D73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</w:p>
    <w:p w14:paraId="35B1F7A7" w14:textId="04BD716F" w:rsidR="00EF6107" w:rsidRPr="00CC1B61" w:rsidRDefault="00BD530D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Uso nocivo de alcohol</w:t>
      </w:r>
    </w:p>
    <w:p w14:paraId="739F5053" w14:textId="436418A9" w:rsidR="00BD530D" w:rsidRPr="00CC1B61" w:rsidRDefault="00630C3B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S</w:t>
      </w:r>
      <w:r w:rsidR="00CB442A">
        <w:rPr>
          <w:rFonts w:ascii="Arial" w:hAnsi="Arial" w:cs="Arial"/>
          <w:color w:val="000000" w:themeColor="text1"/>
          <w:sz w:val="22"/>
          <w:szCs w:val="22"/>
          <w:lang w:val="es-ES"/>
        </w:rPr>
        <w:t>e cuenta</w:t>
      </w:r>
      <w:r w:rsidR="00FE4A2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CB442A">
        <w:rPr>
          <w:rFonts w:ascii="Arial" w:hAnsi="Arial" w:cs="Arial"/>
          <w:color w:val="000000" w:themeColor="text1"/>
          <w:sz w:val="22"/>
          <w:szCs w:val="22"/>
          <w:lang w:val="es-ES"/>
        </w:rPr>
        <w:t>con datos de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</w:t>
      </w:r>
      <w:r w:rsidR="005C4977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 </w:t>
      </w:r>
      <w:hyperlink r:id="rId18" w:history="1">
        <w:r w:rsidR="005C4977" w:rsidRPr="00895838">
          <w:rPr>
            <w:rStyle w:val="Hipervnculo"/>
            <w:rFonts w:ascii="Arial" w:hAnsi="Arial" w:cs="Arial"/>
            <w:i/>
            <w:iCs/>
            <w:sz w:val="22"/>
            <w:szCs w:val="22"/>
            <w:lang w:val="es-ES"/>
          </w:rPr>
          <w:t>Encuesta Nacional de Consumo de Drogas, Alcohol y Tabaco (ENCODAT 2016</w:t>
        </w:r>
      </w:hyperlink>
      <w:r w:rsidR="005C4977" w:rsidRPr="00CC1B61">
        <w:rPr>
          <w:rFonts w:ascii="Arial" w:hAnsi="Arial" w:cs="Arial"/>
          <w:i/>
          <w:iCs/>
          <w:color w:val="000000" w:themeColor="text1"/>
          <w:sz w:val="22"/>
          <w:szCs w:val="22"/>
          <w:lang w:val="es-ES"/>
        </w:rPr>
        <w:t>)</w:t>
      </w:r>
      <w:r w:rsidR="005C4977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FE4A2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que </w:t>
      </w:r>
      <w:r w:rsidR="000B3912"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no incluye la identificación </w:t>
      </w:r>
      <w:r w:rsidR="00DC601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por </w:t>
      </w:r>
      <w:r w:rsidR="002E348B">
        <w:rPr>
          <w:rFonts w:ascii="Arial" w:hAnsi="Arial" w:cs="Arial"/>
          <w:color w:val="000000" w:themeColor="text1"/>
          <w:sz w:val="22"/>
          <w:szCs w:val="22"/>
          <w:lang w:val="es-ES"/>
        </w:rPr>
        <w:t>OS e IG</w:t>
      </w:r>
      <w:r w:rsidR="00DC601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</w:t>
      </w:r>
    </w:p>
    <w:p w14:paraId="0F2C4701" w14:textId="77777777" w:rsidR="00580594" w:rsidRDefault="00580594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481EE224" w14:textId="77777777" w:rsidR="00D10AA1" w:rsidRPr="00CC1B61" w:rsidRDefault="00D10AA1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58BB25E0" w14:textId="6D794286" w:rsidR="006C3DBF" w:rsidRPr="00CC1B61" w:rsidRDefault="002E7D3E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Acceso a la atención de la salud sexual y reproductiva</w:t>
      </w:r>
    </w:p>
    <w:p w14:paraId="310639CD" w14:textId="4E17BD43" w:rsidR="00F63F92" w:rsidRPr="00CC1B61" w:rsidRDefault="008471BB" w:rsidP="009D63E3">
      <w:pPr>
        <w:jc w:val="both"/>
        <w:rPr>
          <w:rFonts w:ascii="Arial" w:eastAsia="Times New Roman" w:hAnsi="Arial" w:cs="Arial"/>
          <w:color w:val="000000" w:themeColor="text1"/>
          <w:lang w:val="es-MX" w:eastAsia="es-MX"/>
        </w:rPr>
      </w:pPr>
      <w:r>
        <w:rPr>
          <w:rFonts w:ascii="Arial" w:hAnsi="Arial" w:cs="Arial"/>
          <w:color w:val="000000" w:themeColor="text1"/>
          <w:lang w:val="es-ES"/>
        </w:rPr>
        <w:t xml:space="preserve">No se cuenta con datos </w:t>
      </w:r>
      <w:r w:rsidR="00F56EC1">
        <w:rPr>
          <w:rFonts w:ascii="Arial" w:hAnsi="Arial" w:cs="Arial"/>
          <w:color w:val="000000" w:themeColor="text1"/>
          <w:lang w:val="es-ES"/>
        </w:rPr>
        <w:t>estadísticos</w:t>
      </w:r>
      <w:r w:rsidR="000C5D73">
        <w:rPr>
          <w:rFonts w:ascii="Arial" w:hAnsi="Arial" w:cs="Arial"/>
          <w:color w:val="000000" w:themeColor="text1"/>
          <w:lang w:val="es-ES"/>
        </w:rPr>
        <w:t xml:space="preserve"> oficiales,</w:t>
      </w:r>
      <w:r w:rsidR="00F56EC1">
        <w:rPr>
          <w:rFonts w:ascii="Arial" w:hAnsi="Arial" w:cs="Arial"/>
          <w:color w:val="000000" w:themeColor="text1"/>
          <w:lang w:val="es-ES"/>
        </w:rPr>
        <w:t xml:space="preserve"> </w:t>
      </w:r>
      <w:r w:rsidR="00712EBD">
        <w:rPr>
          <w:rFonts w:ascii="Arial" w:hAnsi="Arial" w:cs="Arial"/>
          <w:color w:val="000000" w:themeColor="text1"/>
          <w:lang w:val="es-ES"/>
        </w:rPr>
        <w:t>nacionales o locales</w:t>
      </w:r>
      <w:r w:rsidR="000C5D73">
        <w:rPr>
          <w:rFonts w:ascii="Arial" w:hAnsi="Arial" w:cs="Arial"/>
          <w:color w:val="000000" w:themeColor="text1"/>
          <w:lang w:val="es-ES"/>
        </w:rPr>
        <w:t>,</w:t>
      </w:r>
      <w:r w:rsidR="00712EBD">
        <w:rPr>
          <w:rFonts w:ascii="Arial" w:hAnsi="Arial" w:cs="Arial"/>
          <w:color w:val="000000" w:themeColor="text1"/>
          <w:lang w:val="es-ES"/>
        </w:rPr>
        <w:t xml:space="preserve"> </w:t>
      </w:r>
      <w:r w:rsidR="006C3DBF">
        <w:rPr>
          <w:rFonts w:ascii="Arial" w:hAnsi="Arial" w:cs="Arial"/>
          <w:color w:val="000000" w:themeColor="text1"/>
          <w:lang w:val="es-ES"/>
        </w:rPr>
        <w:t xml:space="preserve">relacionados </w:t>
      </w:r>
      <w:r w:rsidR="00712EBD">
        <w:rPr>
          <w:rFonts w:ascii="Arial" w:hAnsi="Arial" w:cs="Arial"/>
          <w:color w:val="000000" w:themeColor="text1"/>
          <w:lang w:val="es-ES"/>
        </w:rPr>
        <w:t>con</w:t>
      </w:r>
      <w:r w:rsidR="006C3DBF">
        <w:rPr>
          <w:rFonts w:ascii="Arial" w:hAnsi="Arial" w:cs="Arial"/>
          <w:color w:val="000000" w:themeColor="text1"/>
          <w:lang w:val="es-ES"/>
        </w:rPr>
        <w:t xml:space="preserve"> la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 w:rsidR="00F56EC1">
        <w:rPr>
          <w:rFonts w:ascii="Arial" w:hAnsi="Arial" w:cs="Arial"/>
          <w:color w:val="000000" w:themeColor="text1"/>
          <w:lang w:val="es-ES"/>
        </w:rPr>
        <w:t xml:space="preserve">atención de </w:t>
      </w:r>
      <w:r>
        <w:rPr>
          <w:rFonts w:ascii="Arial" w:hAnsi="Arial" w:cs="Arial"/>
          <w:color w:val="000000" w:themeColor="text1"/>
          <w:lang w:val="es-ES"/>
        </w:rPr>
        <w:t>salud sexual y reproductiva de población LGBTTTIQ</w:t>
      </w:r>
      <w:r w:rsidR="00712EBD">
        <w:rPr>
          <w:rFonts w:ascii="Arial" w:hAnsi="Arial" w:cs="Arial"/>
          <w:color w:val="000000" w:themeColor="text1"/>
          <w:lang w:val="es-ES"/>
        </w:rPr>
        <w:t>A</w:t>
      </w:r>
      <w:r>
        <w:rPr>
          <w:rFonts w:ascii="Arial" w:hAnsi="Arial" w:cs="Arial"/>
          <w:color w:val="000000" w:themeColor="text1"/>
          <w:lang w:val="es-ES"/>
        </w:rPr>
        <w:t>+</w:t>
      </w:r>
      <w:r w:rsidR="00963454">
        <w:rPr>
          <w:rFonts w:ascii="Arial" w:hAnsi="Arial" w:cs="Arial"/>
          <w:color w:val="000000" w:themeColor="text1"/>
          <w:lang w:val="es-ES"/>
        </w:rPr>
        <w:t xml:space="preserve">. </w:t>
      </w:r>
    </w:p>
    <w:p w14:paraId="61406FB3" w14:textId="77777777" w:rsidR="00E12920" w:rsidRPr="00CC1B61" w:rsidRDefault="00E12920" w:rsidP="00AE0C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315CAD93" w14:textId="06024DF5" w:rsidR="005027C5" w:rsidRPr="00CC1B61" w:rsidRDefault="00A10C78" w:rsidP="00AE0C15">
      <w:pPr>
        <w:pStyle w:val="Ttulo2"/>
        <w:numPr>
          <w:ilvl w:val="1"/>
          <w:numId w:val="4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¿Qué medidas se han tomado para investigar y comprender las necesidades de atención médica de las personas LGTBI y GNC de todas las edades a nivel nacional?</w:t>
      </w:r>
    </w:p>
    <w:p w14:paraId="7FFF28F6" w14:textId="4517FC56" w:rsidR="007D2133" w:rsidRDefault="00963454" w:rsidP="007D2133">
      <w:pPr>
        <w:pStyle w:val="Ttulo2"/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La </w:t>
      </w:r>
      <w:hyperlink r:id="rId19" w:history="1">
        <w:r w:rsidR="007D2133" w:rsidRPr="00C512ED">
          <w:rPr>
            <w:rStyle w:val="Hipervnculo"/>
            <w:rFonts w:ascii="Arial" w:hAnsi="Arial" w:cs="Arial"/>
            <w:b w:val="0"/>
            <w:i/>
            <w:sz w:val="22"/>
            <w:szCs w:val="22"/>
            <w:lang w:val="es-ES"/>
          </w:rPr>
          <w:t>Encuesta sobre Discriminación por Motivos de Orientación Sexual e Identidad de Género</w:t>
        </w:r>
      </w:hyperlink>
      <w:r w:rsidR="007D2133" w:rsidRPr="00CC1B61">
        <w:rPr>
          <w:rFonts w:ascii="Arial" w:hAnsi="Arial" w:cs="Arial"/>
          <w:b w:val="0"/>
          <w:i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ha sido el único ejercicio nacional sobre</w:t>
      </w:r>
      <w:r w:rsidR="007D2133" w:rsidRPr="00CC1B61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discrimin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ación en los servicios de salud a la población LGBTTTIQA+ en el paí</w:t>
      </w:r>
      <w:r w:rsidR="00301793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s. </w:t>
      </w:r>
      <w:r w:rsidR="003E06C4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Actualmente se levanta la </w:t>
      </w:r>
      <w:r w:rsidR="00665B84" w:rsidRPr="003E06C4">
        <w:rPr>
          <w:rFonts w:ascii="Arial" w:hAnsi="Arial" w:cs="Arial"/>
          <w:b w:val="0"/>
          <w:sz w:val="22"/>
          <w:szCs w:val="22"/>
          <w:lang w:val="es-ES"/>
        </w:rPr>
        <w:t>Encuesta Nacional sobre Diversidad Sex</w:t>
      </w:r>
      <w:r w:rsidR="003E06C4">
        <w:rPr>
          <w:rFonts w:ascii="Arial" w:hAnsi="Arial" w:cs="Arial"/>
          <w:b w:val="0"/>
          <w:sz w:val="22"/>
          <w:szCs w:val="22"/>
          <w:lang w:val="es-ES"/>
        </w:rPr>
        <w:t>ual y de Género (ENDISEG)</w:t>
      </w:r>
      <w:r w:rsidR="00665B84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.</w:t>
      </w:r>
    </w:p>
    <w:p w14:paraId="63D13A21" w14:textId="77777777" w:rsidR="00DA4C30" w:rsidRPr="00CC1B61" w:rsidRDefault="00DA4C30" w:rsidP="00AE0C15">
      <w:pPr>
        <w:pStyle w:val="Ttulo2"/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</w:p>
    <w:p w14:paraId="4B71B78A" w14:textId="102FCD68" w:rsidR="00A10C78" w:rsidRPr="00C16A56" w:rsidRDefault="00A10C78" w:rsidP="00AE0C15">
      <w:pPr>
        <w:pStyle w:val="Ttulo2"/>
        <w:numPr>
          <w:ilvl w:val="1"/>
          <w:numId w:val="4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¿Se analizan estos datos a través de una lente interseccional, como desglosando los datos por </w:t>
      </w:r>
      <w:r w:rsidR="002E348B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OS o IG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, así como identidades que se cruzan, incluido el origen social o geográfico, la etnia, el estado socioeconómico, la nacionalidad o el estado migratorio, las minorías, la discapacidad, e identidad o estatus indígena o de otro tipo?</w:t>
      </w:r>
    </w:p>
    <w:p w14:paraId="7B9D52A6" w14:textId="77777777" w:rsidR="00301793" w:rsidRDefault="00454D58" w:rsidP="00301793">
      <w:pPr>
        <w:pStyle w:val="Ttulo2"/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 w:rsidRPr="00454D58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No</w:t>
      </w:r>
      <w:r w:rsidR="00301793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.</w:t>
      </w:r>
    </w:p>
    <w:p w14:paraId="10244886" w14:textId="5D789CF2" w:rsidR="004D1FF8" w:rsidRPr="00CC1B61" w:rsidRDefault="004D1FF8" w:rsidP="00301793">
      <w:pPr>
        <w:pStyle w:val="Ttulo2"/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>Inclusión: personas LGTBI y GNC en el proceso de toma de decisiones</w:t>
      </w:r>
    </w:p>
    <w:p w14:paraId="31AF684B" w14:textId="1A940038" w:rsidR="00EC2BBA" w:rsidRPr="00C16A56" w:rsidRDefault="00EC2BBA" w:rsidP="00EC2BBA">
      <w:pPr>
        <w:pStyle w:val="Ttulo2"/>
        <w:numPr>
          <w:ilvl w:val="1"/>
          <w:numId w:val="4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¿Qué medidas se han adoptado para consultar e incluir a las personas afectadas por la violencia y la discriminación por motivos de </w:t>
      </w:r>
      <w:r w:rsidR="002E348B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OS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 e </w:t>
      </w:r>
      <w:r w:rsidR="002E348B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IG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 en la legislación y la formulación de políticas en relación con el derecho de toda persona al disfrute del más alto nivel posible de salud física y mental, y en relación con la realización de los ODS?</w:t>
      </w:r>
    </w:p>
    <w:p w14:paraId="158AB783" w14:textId="77777777" w:rsidR="00C16A56" w:rsidRPr="00CC1B61" w:rsidRDefault="00C16A56" w:rsidP="00095F93">
      <w:pPr>
        <w:pStyle w:val="Ttulo2"/>
        <w:spacing w:before="0" w:beforeAutospacing="0" w:after="80" w:afterAutospacing="0"/>
        <w:ind w:left="792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05AEC940" w14:textId="66C8946A" w:rsidR="00C16A56" w:rsidRPr="00454D58" w:rsidRDefault="00454D58" w:rsidP="00CB7A04">
      <w:pPr>
        <w:pStyle w:val="Ttulo2"/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lastRenderedPageBreak/>
        <w:t xml:space="preserve">La Ciudad de México cuenta con una legislación más progresista en esta materia que el resto del país. </w:t>
      </w:r>
      <w:r w:rsidR="002E348B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E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l proceso constituyente para la primera Constitución</w:t>
      </w:r>
      <w:r w:rsidR="00645CA6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local </w:t>
      </w:r>
      <w:r w:rsidR="00BB27AA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>tuvo un</w:t>
      </w:r>
      <w:r w:rsidR="00C16A56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 xml:space="preserve"> </w:t>
      </w:r>
      <w:r w:rsidR="00EC2BBA" w:rsidRPr="00CC1B61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>proceso</w:t>
      </w:r>
      <w:r w:rsidR="00665B84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 xml:space="preserve"> de participación abierta</w:t>
      </w:r>
      <w:r w:rsidR="00EC2BBA" w:rsidRPr="00CC1B61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 xml:space="preserve"> </w:t>
      </w:r>
      <w:r w:rsidR="00665B84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>con</w:t>
      </w:r>
      <w:r w:rsidR="00EC2BBA" w:rsidRPr="00CC1B61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 xml:space="preserve"> personas LGBTTTTIQ</w:t>
      </w:r>
      <w:r w:rsidR="00025C9D" w:rsidRPr="00CC1B61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>A</w:t>
      </w:r>
      <w:r w:rsidR="00EC2BBA" w:rsidRPr="00CC1B61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>+</w:t>
      </w:r>
      <w:r w:rsidR="00665B84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 xml:space="preserve"> </w:t>
      </w:r>
      <w:r w:rsidR="00645CA6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 xml:space="preserve">que resultó en el reconocimiento de este grupo como de </w:t>
      </w:r>
      <w:r w:rsidR="00665B84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>atención prioritaria</w:t>
      </w:r>
      <w:r w:rsidR="00EC2BBA" w:rsidRPr="00CC1B61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 xml:space="preserve">. </w:t>
      </w:r>
      <w:r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MX"/>
        </w:rPr>
        <w:t>Este m</w:t>
      </w:r>
      <w:r w:rsidR="00665B84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MX"/>
        </w:rPr>
        <w:t xml:space="preserve">ismo proceso </w:t>
      </w:r>
      <w:r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MX"/>
        </w:rPr>
        <w:t xml:space="preserve">se llevó a cabo para la </w:t>
      </w:r>
      <w:r w:rsidR="00FC7B1E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MX"/>
        </w:rPr>
        <w:t>elaboración de la</w:t>
      </w:r>
      <w:r w:rsidR="00EC2BBA" w:rsidRPr="00CC1B61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MX"/>
        </w:rPr>
        <w:t xml:space="preserve"> </w:t>
      </w:r>
      <w:hyperlink r:id="rId20" w:history="1">
        <w:r w:rsidR="00EC2BBA" w:rsidRPr="00BD14B0">
          <w:rPr>
            <w:rStyle w:val="Hipervnculo"/>
            <w:rFonts w:ascii="Arial" w:hAnsi="Arial" w:cs="Arial"/>
            <w:b w:val="0"/>
            <w:sz w:val="22"/>
            <w:szCs w:val="22"/>
            <w:shd w:val="clear" w:color="auto" w:fill="FFFFFF"/>
            <w:lang w:val="es-MX"/>
          </w:rPr>
          <w:t>Ley para el Reconocimiento y la Atención de Personas LGBTTTI de la Ciudad de México</w:t>
        </w:r>
      </w:hyperlink>
      <w:r w:rsidR="002E348B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MX"/>
        </w:rPr>
        <w:t xml:space="preserve"> que contempla el derecho a la salud.</w:t>
      </w:r>
    </w:p>
    <w:p w14:paraId="488285DA" w14:textId="6F3B4089" w:rsidR="00EC2BBA" w:rsidRPr="00CC1B61" w:rsidRDefault="00454D58" w:rsidP="00CB7A04">
      <w:pPr>
        <w:pStyle w:val="Ttulo2"/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 xml:space="preserve">El </w:t>
      </w:r>
      <w:r w:rsidR="00EC2BBA" w:rsidRPr="00CC1B61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>Gobierno de la Ciudad de México inauguró la</w:t>
      </w:r>
      <w:r w:rsidR="00EC2BBA" w:rsidRPr="00CC1B61">
        <w:rPr>
          <w:rFonts w:ascii="Arial" w:hAnsi="Arial" w:cs="Arial"/>
          <w:b w:val="0"/>
          <w:i/>
          <w:color w:val="000000" w:themeColor="text1"/>
          <w:sz w:val="22"/>
          <w:szCs w:val="22"/>
          <w:lang w:val="es-MX"/>
        </w:rPr>
        <w:t xml:space="preserve"> </w:t>
      </w:r>
      <w:r w:rsidR="00EC2BBA" w:rsidRPr="00CC1B61">
        <w:rPr>
          <w:rFonts w:ascii="Arial" w:hAnsi="Arial" w:cs="Arial"/>
          <w:b w:val="0"/>
          <w:i/>
          <w:color w:val="000000" w:themeColor="text1"/>
          <w:sz w:val="22"/>
          <w:szCs w:val="22"/>
          <w:shd w:val="clear" w:color="auto" w:fill="FFFFFF"/>
          <w:lang w:val="es-MX"/>
        </w:rPr>
        <w:t>Unidad de Salud Integral para Personas Tran</w:t>
      </w:r>
      <w:r>
        <w:rPr>
          <w:rFonts w:ascii="Arial" w:hAnsi="Arial" w:cs="Arial"/>
          <w:b w:val="0"/>
          <w:i/>
          <w:color w:val="000000" w:themeColor="text1"/>
          <w:sz w:val="22"/>
          <w:szCs w:val="22"/>
          <w:shd w:val="clear" w:color="auto" w:fill="FFFFFF"/>
          <w:lang w:val="es-MX"/>
        </w:rPr>
        <w:t xml:space="preserve">s </w:t>
      </w:r>
      <w:r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MX"/>
        </w:rPr>
        <w:t>como un centro de salud independiente de la atención que s</w:t>
      </w:r>
      <w:r w:rsidR="00C174CE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MX"/>
        </w:rPr>
        <w:t>e brinda a las personas con VIH en las Clínicas Especializadas Condesa e Iztapalapa.</w:t>
      </w:r>
      <w:r w:rsidR="00025C9D" w:rsidRPr="00CC1B61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MX"/>
        </w:rPr>
        <w:t xml:space="preserve"> </w:t>
      </w:r>
    </w:p>
    <w:p w14:paraId="12F8C801" w14:textId="77777777" w:rsidR="00EC2BBA" w:rsidRPr="00CC1B61" w:rsidRDefault="00EC2BBA" w:rsidP="00EC2BBA">
      <w:pPr>
        <w:pStyle w:val="Ttulo2"/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33CA1F7E" w14:textId="7E31F14D" w:rsidR="00EC2BBA" w:rsidRPr="007A4A8C" w:rsidRDefault="00EC2BBA" w:rsidP="00EC2BBA">
      <w:pPr>
        <w:pStyle w:val="Ttulo2"/>
        <w:numPr>
          <w:ilvl w:val="1"/>
          <w:numId w:val="4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MX"/>
        </w:rPr>
        <w:t>¿En qué medida se incluyen las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 personas afectadas por la violencia y la discriminación por orientación sexual e identidad de género en las políticas y prácticas en torno a la atención de la salud sexual y reproductiva?</w:t>
      </w:r>
    </w:p>
    <w:p w14:paraId="45439824" w14:textId="650CDDED" w:rsidR="00E8119C" w:rsidRPr="00694BEA" w:rsidRDefault="00C174CE" w:rsidP="00AF3A59">
      <w:pPr>
        <w:pStyle w:val="Ttulo2"/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El activismo de personas y grupos de población LGBTTTIQA+ de la Ciudad de México ha tenido impacto en el diseño de la política pública local en salud. Ejemplo de ello es la frecuente adaptación de procedimientos de atención den las </w:t>
      </w:r>
      <w:r w:rsidR="0085310D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Clínicas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Especializadas Condesa e Iztapalapa, así como también la reciente creació</w:t>
      </w:r>
      <w:r w:rsidR="00645CA6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n de la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</w:t>
      </w:r>
      <w:r w:rsidRPr="00CC1B61">
        <w:rPr>
          <w:rFonts w:ascii="Arial" w:hAnsi="Arial" w:cs="Arial"/>
          <w:b w:val="0"/>
          <w:i/>
          <w:color w:val="000000" w:themeColor="text1"/>
          <w:sz w:val="22"/>
          <w:szCs w:val="22"/>
          <w:shd w:val="clear" w:color="auto" w:fill="FFFFFF"/>
          <w:lang w:val="es-MX"/>
        </w:rPr>
        <w:t>Unidad de Salud Integral para Personas Tran</w:t>
      </w:r>
      <w:r>
        <w:rPr>
          <w:rFonts w:ascii="Arial" w:hAnsi="Arial" w:cs="Arial"/>
          <w:b w:val="0"/>
          <w:i/>
          <w:color w:val="000000" w:themeColor="text1"/>
          <w:sz w:val="22"/>
          <w:szCs w:val="22"/>
          <w:shd w:val="clear" w:color="auto" w:fill="FFFFFF"/>
          <w:lang w:val="es-MX"/>
        </w:rPr>
        <w:t>s</w:t>
      </w:r>
      <w:r w:rsidR="00694BEA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MX"/>
        </w:rPr>
        <w:t>.</w:t>
      </w:r>
    </w:p>
    <w:p w14:paraId="5D0790BA" w14:textId="2AC64A35" w:rsidR="007A4A8C" w:rsidRPr="00694BEA" w:rsidRDefault="00694BEA" w:rsidP="00665D03">
      <w:pPr>
        <w:pStyle w:val="Ttulo2"/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es-MX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Ejercicios ciudadanos de litigio estratégico han tenido algunos logros, como el reconocimiento de </w:t>
      </w:r>
      <w:r w:rsidR="007A4A8C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la Suprema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Corte de Justicia de la Nación, </w:t>
      </w:r>
      <w:r w:rsidR="007A4A8C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a nivel </w:t>
      </w:r>
      <w:hyperlink r:id="rId21" w:history="1">
        <w:r w:rsidR="007A4A8C" w:rsidRPr="00665B84">
          <w:rPr>
            <w:rStyle w:val="Hipervnculo"/>
            <w:rFonts w:ascii="Arial" w:hAnsi="Arial" w:cs="Arial"/>
            <w:b w:val="0"/>
            <w:sz w:val="22"/>
            <w:szCs w:val="22"/>
            <w:lang w:val="es-ES"/>
          </w:rPr>
          <w:t>jurisprudencia</w:t>
        </w:r>
      </w:hyperlink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, sobre </w:t>
      </w:r>
      <w:r w:rsidR="007A4A8C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la posibilidad de que personas gestantes puedan decidir sobre la interrupción legal de su embarazo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.</w:t>
      </w:r>
    </w:p>
    <w:p w14:paraId="064820CA" w14:textId="77777777" w:rsidR="007A4A8C" w:rsidRPr="00CC1B61" w:rsidRDefault="007A4A8C">
      <w:pPr>
        <w:pStyle w:val="Ttulo2"/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</w:p>
    <w:p w14:paraId="2C41DCFB" w14:textId="2A822A64" w:rsidR="00EC2BBA" w:rsidRPr="007A4A8C" w:rsidRDefault="00EC2BBA" w:rsidP="00EC2BBA">
      <w:pPr>
        <w:pStyle w:val="Ttulo2"/>
        <w:numPr>
          <w:ilvl w:val="1"/>
          <w:numId w:val="4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¿Qué apoyo o asistencia técnica se necesita para asegurar que las necesidades de atención médica de las personas afectadas por la violencia y la discriminación por orientación sexual e identidad de género se aborden de manera integral e incluyan en las leyes, políticas y prácticas pertinentes?</w:t>
      </w:r>
    </w:p>
    <w:p w14:paraId="4A2045AB" w14:textId="77777777" w:rsidR="007A4A8C" w:rsidRPr="00AF7DC5" w:rsidRDefault="007A4A8C" w:rsidP="00F63F92">
      <w:pPr>
        <w:pStyle w:val="Ttulo2"/>
        <w:spacing w:before="0" w:beforeAutospacing="0" w:after="80" w:afterAutospacing="0"/>
        <w:ind w:left="792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045C8D84" w14:textId="129006A8" w:rsidR="00694BEA" w:rsidRPr="00AF7DC5" w:rsidRDefault="00694BEA" w:rsidP="00694BEA">
      <w:pPr>
        <w:pStyle w:val="Ttulo2"/>
        <w:numPr>
          <w:ilvl w:val="0"/>
          <w:numId w:val="18"/>
        </w:numPr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Formación </w:t>
      </w:r>
      <w:r w:rsidR="00645CA6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académica y profesional </w:t>
      </w:r>
      <w:r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de personal de salud con el conocimiento técnico necesario para atender la salud integral de todas las personas</w:t>
      </w:r>
      <w:r w:rsidR="00645CA6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en todas las especialidades médicas</w:t>
      </w:r>
      <w:r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. Existe un desconocimiento generalizado de las condiciones de intersexualidad, la transexualidad y la atención pertinente al género </w:t>
      </w:r>
    </w:p>
    <w:p w14:paraId="2D1D0E07" w14:textId="3A5C1AB9" w:rsidR="00694BEA" w:rsidRPr="00AF7DC5" w:rsidRDefault="00694BEA" w:rsidP="00694BEA">
      <w:pPr>
        <w:pStyle w:val="Ttulo2"/>
        <w:numPr>
          <w:ilvl w:val="0"/>
          <w:numId w:val="18"/>
        </w:numPr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Incorporación de categorías relevantes para la generación y procesamiento de información estadística en los formularios para pacientes que permitan la auto identificación, así como en los formularios que llena el personal de salud en el país. </w:t>
      </w:r>
    </w:p>
    <w:p w14:paraId="431A7A1E" w14:textId="0A6A9720" w:rsidR="00694BEA" w:rsidRPr="00AF7DC5" w:rsidRDefault="00694BEA" w:rsidP="00694BEA">
      <w:pPr>
        <w:pStyle w:val="Ttulo2"/>
        <w:numPr>
          <w:ilvl w:val="0"/>
          <w:numId w:val="18"/>
        </w:numPr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Difusión amplia del </w:t>
      </w:r>
      <w:r w:rsidRPr="0085310D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 xml:space="preserve">Protocolo para el Acceso sin Discriminación a la Prestación de Servicios de Atención Médica de las personas LGBTTTI, así como del contenido de elementos del derecho a la salud tales como la accesibilidad en su </w:t>
      </w:r>
      <w:proofErr w:type="spellStart"/>
      <w:r w:rsidRPr="0085310D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>dimension</w:t>
      </w:r>
      <w:proofErr w:type="spellEnd"/>
      <w:r w:rsidRPr="0085310D">
        <w:rPr>
          <w:rFonts w:ascii="Arial" w:hAnsi="Arial" w:cs="Arial"/>
          <w:b w:val="0"/>
          <w:color w:val="000000" w:themeColor="text1"/>
          <w:sz w:val="22"/>
          <w:szCs w:val="22"/>
          <w:lang w:val="es-MX"/>
        </w:rPr>
        <w:t xml:space="preserve"> de no discriminación y aceptabilidad en cuanto a pertinencia cultural y de género.</w:t>
      </w:r>
    </w:p>
    <w:p w14:paraId="0E65C293" w14:textId="601D21CA" w:rsidR="00AF7DC5" w:rsidRPr="00AF7DC5" w:rsidRDefault="00694BEA" w:rsidP="00EC2BBA">
      <w:pPr>
        <w:pStyle w:val="Ttulo2"/>
        <w:numPr>
          <w:ilvl w:val="0"/>
          <w:numId w:val="18"/>
        </w:numPr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Guías de atención que permitan la </w:t>
      </w:r>
      <w:r w:rsidR="009C4934"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identificación </w:t>
      </w:r>
      <w:r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previa </w:t>
      </w:r>
      <w:r w:rsidR="009C4934"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de sesgos de género y estereotipos por la </w:t>
      </w:r>
      <w:r w:rsidR="002E348B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OS</w:t>
      </w:r>
      <w:r w:rsidR="009C4934"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</w:t>
      </w:r>
      <w:r w:rsidR="00AF7DC5"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e </w:t>
      </w:r>
      <w:r w:rsidR="002E348B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IG</w:t>
      </w:r>
      <w:r w:rsidR="00AF7DC5"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</w:t>
      </w:r>
      <w:r w:rsidR="009C4934"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en las personas </w:t>
      </w:r>
      <w:r w:rsidR="00AF7DC5"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que prestan el servicio médico, así como fortalecimiento del esquema de responsabilidad administrativa por casos de discriminación.</w:t>
      </w:r>
    </w:p>
    <w:p w14:paraId="7D093994" w14:textId="58A63D0A" w:rsidR="00AF7DC5" w:rsidRPr="00AF7DC5" w:rsidRDefault="00AF7DC5" w:rsidP="00EC2BBA">
      <w:pPr>
        <w:pStyle w:val="Ttulo2"/>
        <w:numPr>
          <w:ilvl w:val="0"/>
          <w:numId w:val="18"/>
        </w:numPr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Generación de investigación pertinente para el diseño de políticas públicas que identifique y prevenga el impacto de la discriminación y violencia en la salud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integra</w:t>
      </w:r>
      <w:r w:rsidR="002E348B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l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, incluida la</w:t>
      </w:r>
      <w:r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mental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,</w:t>
      </w:r>
      <w:r w:rsidRP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de las personas LGBTTTIQA+ con un enfoque diferencial etario, de género y derechos humanos.</w:t>
      </w:r>
    </w:p>
    <w:p w14:paraId="7DCC6981" w14:textId="77777777" w:rsidR="006C1052" w:rsidRPr="00AF7DC5" w:rsidRDefault="006C1052" w:rsidP="00EC2BBA">
      <w:pPr>
        <w:pStyle w:val="Ttulo2"/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</w:p>
    <w:p w14:paraId="5B1FFC3A" w14:textId="1172D802" w:rsidR="00EC2BBA" w:rsidRPr="00F63F92" w:rsidRDefault="00EC2BBA" w:rsidP="00EC2BBA">
      <w:pPr>
        <w:pStyle w:val="Ttulo2"/>
        <w:numPr>
          <w:ilvl w:val="1"/>
          <w:numId w:val="4"/>
        </w:numPr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¿Cuáles son las principales barreras, en la ley o en la práctica, para que las personas afectadas por la violencia y la discriminación por orientación sexual 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lastRenderedPageBreak/>
        <w:t>e identidad de género reciban atención que satisfaga sus necesidades y derechos de salud física y mental?</w:t>
      </w:r>
    </w:p>
    <w:p w14:paraId="13E6E718" w14:textId="76B5751A" w:rsidR="00AF7DC5" w:rsidRDefault="00AF7DC5" w:rsidP="00AF7DC5">
      <w:pPr>
        <w:pStyle w:val="Ttulo2"/>
        <w:numPr>
          <w:ilvl w:val="0"/>
          <w:numId w:val="19"/>
        </w:numPr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La ausencia de disposiciones normativas en la Ley del Sistema Nacional de Información Estadística y Geográfica para generar informació</w:t>
      </w:r>
      <w:r w:rsidR="00645CA6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n desagregada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.</w:t>
      </w:r>
    </w:p>
    <w:p w14:paraId="43A1C243" w14:textId="77777777" w:rsidR="00645CA6" w:rsidRPr="00645CA6" w:rsidRDefault="00AF7DC5" w:rsidP="00645CA6">
      <w:pPr>
        <w:pStyle w:val="Ttulo2"/>
        <w:numPr>
          <w:ilvl w:val="0"/>
          <w:numId w:val="19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45CA6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Desconocimiento generalizado de las necesidades de salud de la población LGBTTTIQA+ en su diversidad, por ciclo de vida, determinantes de salud, entre otras dimensiones, por el servicio público y privado de salud. </w:t>
      </w:r>
    </w:p>
    <w:p w14:paraId="10F9D673" w14:textId="2FA65BB5" w:rsidR="004D1FF8" w:rsidRPr="00645CA6" w:rsidRDefault="004D1FF8" w:rsidP="000B066B">
      <w:pPr>
        <w:pStyle w:val="Ttulo2"/>
        <w:numPr>
          <w:ilvl w:val="0"/>
          <w:numId w:val="4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45CA6">
        <w:rPr>
          <w:rFonts w:ascii="Arial" w:hAnsi="Arial" w:cs="Arial"/>
          <w:color w:val="000000" w:themeColor="text1"/>
          <w:sz w:val="22"/>
          <w:szCs w:val="22"/>
          <w:lang w:val="es-ES"/>
        </w:rPr>
        <w:t>Acceso: garantizar que las personas LGTBI y GNC tengan acceso a la atención médica</w:t>
      </w:r>
    </w:p>
    <w:p w14:paraId="5BA4BA97" w14:textId="37D0D5A4" w:rsidR="004D1FF8" w:rsidRPr="00C16A56" w:rsidRDefault="004D1FF8" w:rsidP="00252449">
      <w:pPr>
        <w:pStyle w:val="Ttulo2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¿Qué medidas se han adoptado para garantizar el acceso a servicios de salud asequibles y no discriminatorios para las personas afectadas por la violencia y la discriminación por motivos de </w:t>
      </w:r>
      <w:r w:rsidR="00645CA6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OS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 e </w:t>
      </w:r>
      <w:r w:rsidR="00645CA6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IG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?</w:t>
      </w:r>
    </w:p>
    <w:p w14:paraId="1D6B599E" w14:textId="77777777" w:rsidR="00C16A56" w:rsidRPr="00CC1B61" w:rsidRDefault="00C16A56" w:rsidP="00F63F92">
      <w:pPr>
        <w:pStyle w:val="Ttulo2"/>
        <w:spacing w:before="0" w:beforeAutospacing="0" w:after="0" w:afterAutospacing="0"/>
        <w:ind w:left="792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3C2C7F78" w14:textId="0E683234" w:rsidR="00554541" w:rsidRDefault="002E348B" w:rsidP="00252449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E</w:t>
      </w:r>
      <w:r w:rsidR="00513768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n</w:t>
      </w:r>
      <w:r w:rsidR="005F5D86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junio de 2017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se implementó </w:t>
      </w:r>
      <w:r w:rsidR="004D1FF8" w:rsidRPr="00CC1B61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el </w:t>
      </w:r>
      <w:hyperlink r:id="rId22" w:history="1">
        <w:r w:rsidR="004D1FF8" w:rsidRPr="00F8708A">
          <w:rPr>
            <w:rStyle w:val="Hipervnculo"/>
            <w:rFonts w:ascii="Arial" w:hAnsi="Arial" w:cs="Arial"/>
            <w:b w:val="0"/>
            <w:i/>
            <w:sz w:val="22"/>
            <w:szCs w:val="22"/>
            <w:lang w:val="es-ES"/>
          </w:rPr>
          <w:t>Protocolo para el acceso sin discriminación a la prestación de servicios d</w:t>
        </w:r>
        <w:r w:rsidR="007F2F9B" w:rsidRPr="00F8708A">
          <w:rPr>
            <w:rStyle w:val="Hipervnculo"/>
            <w:rFonts w:ascii="Arial" w:hAnsi="Arial" w:cs="Arial"/>
            <w:b w:val="0"/>
            <w:i/>
            <w:sz w:val="22"/>
            <w:szCs w:val="22"/>
            <w:lang w:val="es-ES"/>
          </w:rPr>
          <w:t>e</w:t>
        </w:r>
        <w:r w:rsidR="004D1FF8" w:rsidRPr="00F8708A">
          <w:rPr>
            <w:rStyle w:val="Hipervnculo"/>
            <w:rFonts w:ascii="Arial" w:hAnsi="Arial" w:cs="Arial"/>
            <w:b w:val="0"/>
            <w:i/>
            <w:sz w:val="22"/>
            <w:szCs w:val="22"/>
            <w:lang w:val="es-ES"/>
          </w:rPr>
          <w:t xml:space="preserve"> atención médica de las personas lésbico, gay, transexual, travesti, transgénero e intersexual</w:t>
        </w:r>
      </w:hyperlink>
      <w:r w:rsidR="00A94B49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y </w:t>
      </w:r>
      <w:r w:rsid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debe de </w:t>
      </w:r>
      <w:r w:rsidR="00A94B49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aplica</w:t>
      </w:r>
      <w:r w:rsid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rse</w:t>
      </w:r>
      <w:r w:rsidR="00A94B49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</w:t>
      </w:r>
      <w:r w:rsidR="00AF7DC5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en</w:t>
      </w:r>
      <w:r w:rsidR="00A94B49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todos los establecimientos del Sistema Nacional de Salud</w:t>
      </w:r>
      <w:r w:rsidR="00554541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.</w:t>
      </w:r>
      <w:r w:rsidR="00C16A56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</w:t>
      </w:r>
    </w:p>
    <w:p w14:paraId="47B46A15" w14:textId="77777777" w:rsidR="00252449" w:rsidRPr="00CC1B61" w:rsidRDefault="00252449" w:rsidP="00252449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</w:p>
    <w:p w14:paraId="59971144" w14:textId="443E034B" w:rsidR="004D1FF8" w:rsidRPr="00CC1B61" w:rsidRDefault="004D1FF8" w:rsidP="00252449">
      <w:pPr>
        <w:pStyle w:val="Ttulo2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¿Qué políticas o programas existen para abordar las necesidades de atención de salud mental de las personas afectadas por la violencia y la discriminación basada en la </w:t>
      </w:r>
      <w:r w:rsidR="002E348B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OS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 y la </w:t>
      </w:r>
      <w:r w:rsidR="002E348B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IG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, específicamente en torno a la depresión y la ansiedad, la ideación suicida y el abuso de sustancias?</w:t>
      </w:r>
    </w:p>
    <w:p w14:paraId="71B5856A" w14:textId="77777777" w:rsidR="006F322F" w:rsidRDefault="006F322F" w:rsidP="00CC1B61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i/>
          <w:iCs/>
          <w:color w:val="000000" w:themeColor="text1"/>
          <w:sz w:val="22"/>
          <w:szCs w:val="22"/>
          <w:lang w:val="es-ES"/>
        </w:rPr>
      </w:pPr>
    </w:p>
    <w:p w14:paraId="5F3ADBFF" w14:textId="61A0CEB7" w:rsidR="00252449" w:rsidRDefault="00554541" w:rsidP="00CC1B61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lang w:val="es-ES"/>
        </w:rPr>
        <w:t xml:space="preserve">Algunos ejemplos de los programas existentes son la </w:t>
      </w:r>
      <w:hyperlink r:id="rId23" w:history="1">
        <w:r w:rsidR="004D1FF8" w:rsidRPr="00E479CB">
          <w:rPr>
            <w:rStyle w:val="Hipervnculo"/>
            <w:rFonts w:ascii="Arial" w:hAnsi="Arial" w:cs="Arial"/>
            <w:b w:val="0"/>
            <w:i/>
            <w:iCs/>
            <w:sz w:val="22"/>
            <w:szCs w:val="22"/>
            <w:lang w:val="es-ES"/>
          </w:rPr>
          <w:t xml:space="preserve">Línea de la vida del </w:t>
        </w:r>
        <w:r w:rsidR="00CB154F" w:rsidRPr="00E479CB">
          <w:rPr>
            <w:rStyle w:val="Hipervnculo"/>
            <w:rFonts w:ascii="Arial" w:hAnsi="Arial" w:cs="Arial"/>
            <w:b w:val="0"/>
            <w:i/>
            <w:iCs/>
            <w:sz w:val="22"/>
            <w:szCs w:val="22"/>
            <w:lang w:val="es-ES"/>
          </w:rPr>
          <w:t>C</w:t>
        </w:r>
        <w:r w:rsidR="004D1FF8" w:rsidRPr="00E479CB">
          <w:rPr>
            <w:rStyle w:val="Hipervnculo"/>
            <w:rFonts w:ascii="Arial" w:hAnsi="Arial" w:cs="Arial"/>
            <w:b w:val="0"/>
            <w:i/>
            <w:iCs/>
            <w:sz w:val="22"/>
            <w:szCs w:val="22"/>
            <w:lang w:val="es-ES"/>
          </w:rPr>
          <w:t xml:space="preserve">entro de </w:t>
        </w:r>
        <w:r w:rsidR="00CB154F" w:rsidRPr="00E479CB">
          <w:rPr>
            <w:rStyle w:val="Hipervnculo"/>
            <w:rFonts w:ascii="Arial" w:hAnsi="Arial" w:cs="Arial"/>
            <w:b w:val="0"/>
            <w:i/>
            <w:iCs/>
            <w:sz w:val="22"/>
            <w:szCs w:val="22"/>
            <w:lang w:val="es-ES"/>
          </w:rPr>
          <w:t>A</w:t>
        </w:r>
        <w:r w:rsidR="004D1FF8" w:rsidRPr="00E479CB">
          <w:rPr>
            <w:rStyle w:val="Hipervnculo"/>
            <w:rFonts w:ascii="Arial" w:hAnsi="Arial" w:cs="Arial"/>
            <w:b w:val="0"/>
            <w:i/>
            <w:iCs/>
            <w:sz w:val="22"/>
            <w:szCs w:val="22"/>
            <w:lang w:val="es-ES"/>
          </w:rPr>
          <w:t xml:space="preserve">tención </w:t>
        </w:r>
        <w:r w:rsidR="00CB154F" w:rsidRPr="00E479CB">
          <w:rPr>
            <w:rStyle w:val="Hipervnculo"/>
            <w:rFonts w:ascii="Arial" w:hAnsi="Arial" w:cs="Arial"/>
            <w:b w:val="0"/>
            <w:i/>
            <w:iCs/>
            <w:sz w:val="22"/>
            <w:szCs w:val="22"/>
            <w:lang w:val="es-ES"/>
          </w:rPr>
          <w:t>C</w:t>
        </w:r>
        <w:r w:rsidR="004D1FF8" w:rsidRPr="00E479CB">
          <w:rPr>
            <w:rStyle w:val="Hipervnculo"/>
            <w:rFonts w:ascii="Arial" w:hAnsi="Arial" w:cs="Arial"/>
            <w:b w:val="0"/>
            <w:i/>
            <w:iCs/>
            <w:sz w:val="22"/>
            <w:szCs w:val="22"/>
            <w:lang w:val="es-ES"/>
          </w:rPr>
          <w:t>iudadana</w:t>
        </w:r>
      </w:hyperlink>
      <w:r w:rsidR="00E9339E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y la línea del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</w:t>
      </w:r>
      <w:r w:rsidR="006F7629" w:rsidRPr="00E9339E">
        <w:rPr>
          <w:rFonts w:ascii="Arial" w:hAnsi="Arial" w:cs="Arial"/>
          <w:b w:val="0"/>
          <w:i/>
          <w:iCs/>
          <w:sz w:val="22"/>
          <w:szCs w:val="22"/>
          <w:lang w:val="es-ES"/>
        </w:rPr>
        <w:t>Consejo Ciudadano para la Seguridad y Justicia de la Ciudad de México</w:t>
      </w:r>
      <w:r>
        <w:rPr>
          <w:rFonts w:ascii="Arial" w:hAnsi="Arial" w:cs="Arial"/>
          <w:b w:val="0"/>
          <w:i/>
          <w:iCs/>
          <w:color w:val="000000" w:themeColor="text1"/>
          <w:sz w:val="22"/>
          <w:szCs w:val="22"/>
          <w:lang w:val="es-ES"/>
        </w:rPr>
        <w:t xml:space="preserve">; así como </w:t>
      </w:r>
      <w:r w:rsidR="002E348B">
        <w:rPr>
          <w:rFonts w:ascii="Arial" w:hAnsi="Arial" w:cs="Arial"/>
          <w:b w:val="0"/>
          <w:i/>
          <w:iCs/>
          <w:color w:val="000000" w:themeColor="text1"/>
          <w:sz w:val="22"/>
          <w:szCs w:val="22"/>
          <w:lang w:val="es-ES"/>
        </w:rPr>
        <w:t>d</w:t>
      </w:r>
      <w:r>
        <w:rPr>
          <w:rFonts w:ascii="Arial" w:hAnsi="Arial" w:cs="Arial"/>
          <w:b w:val="0"/>
          <w:i/>
          <w:iCs/>
          <w:color w:val="000000" w:themeColor="text1"/>
          <w:sz w:val="22"/>
          <w:szCs w:val="22"/>
          <w:lang w:val="es-ES"/>
        </w:rPr>
        <w:t xml:space="preserve">el </w:t>
      </w:r>
      <w:hyperlink r:id="rId24" w:history="1">
        <w:r w:rsidR="00AD4294" w:rsidRPr="00ED4302">
          <w:rPr>
            <w:rStyle w:val="Hipervnculo"/>
            <w:rFonts w:ascii="Arial" w:hAnsi="Arial" w:cs="Arial"/>
            <w:b w:val="0"/>
            <w:bCs w:val="0"/>
            <w:i/>
            <w:iCs/>
            <w:sz w:val="22"/>
            <w:szCs w:val="22"/>
            <w:lang w:val="es-ES"/>
          </w:rPr>
          <w:t>Centro Comunitario de Atención a la Diversidad Sexual en la Ciudad de México</w:t>
        </w:r>
      </w:hyperlink>
      <w:r w:rsidR="002E348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.</w:t>
      </w:r>
    </w:p>
    <w:p w14:paraId="2767DBDA" w14:textId="77777777" w:rsidR="00C16A56" w:rsidRDefault="00C16A56" w:rsidP="00CC1B61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</w:p>
    <w:p w14:paraId="61CBE0EA" w14:textId="076A4574" w:rsidR="00E9339E" w:rsidRDefault="003D3985" w:rsidP="00E9339E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Así mismo dentro de la</w:t>
      </w:r>
      <w:r w:rsidR="00513768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s ya citadas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Clínica</w:t>
      </w:r>
      <w:r w:rsidR="00513768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s</w:t>
      </w:r>
      <w:r w:rsidR="00E9339E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Condesa e Iztapalapa, así como en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 la Unidad de Salud Integral para Personas Trans, se brinda acompañamiento </w:t>
      </w:r>
      <w:r w:rsidR="00645CA6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 xml:space="preserve">integral. </w:t>
      </w:r>
    </w:p>
    <w:p w14:paraId="077EE497" w14:textId="77777777" w:rsidR="00E9339E" w:rsidRDefault="00E9339E" w:rsidP="00E9339E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</w:p>
    <w:p w14:paraId="137E3273" w14:textId="70B69545" w:rsidR="004D1FF8" w:rsidRPr="00F63F92" w:rsidRDefault="004D1FF8" w:rsidP="00E9339E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55454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¿Qué políticas o programas existen para atender las necesidades de atención de la salud de las personas afectadas por la violencia y la discriminación por </w:t>
      </w:r>
      <w:r w:rsidR="002E348B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OS</w:t>
      </w:r>
      <w:r w:rsidRPr="0055454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 e </w:t>
      </w:r>
      <w:r w:rsidR="002E348B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IGÇ</w:t>
      </w:r>
      <w:r w:rsidR="002E348B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br/>
      </w:r>
      <w:r w:rsidRPr="0055454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 después de la experiencia de agresión o violencia de género?</w:t>
      </w:r>
    </w:p>
    <w:p w14:paraId="14114D2C" w14:textId="77777777" w:rsidR="009C1A65" w:rsidRDefault="009C1A65" w:rsidP="00E73D4F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iCs/>
          <w:color w:val="000000" w:themeColor="text1"/>
          <w:sz w:val="22"/>
          <w:szCs w:val="22"/>
          <w:lang w:val="es-ES"/>
        </w:rPr>
      </w:pPr>
    </w:p>
    <w:p w14:paraId="7ADC5971" w14:textId="4E1EF106" w:rsidR="007257BB" w:rsidRDefault="007257BB" w:rsidP="00E73D4F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iCs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lang w:val="es-ES"/>
        </w:rPr>
        <w:t>No se tiene registro de una política, programa o acción en el campo de la salud para atender a una persona LGBTTTIQ+ después de una experiencia de agresión o violencia de género.</w:t>
      </w:r>
    </w:p>
    <w:p w14:paraId="733B36F1" w14:textId="77777777" w:rsidR="007257BB" w:rsidRDefault="007257BB" w:rsidP="00E73D4F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iCs/>
          <w:color w:val="000000" w:themeColor="text1"/>
          <w:sz w:val="22"/>
          <w:szCs w:val="22"/>
          <w:lang w:val="es-ES"/>
        </w:rPr>
      </w:pPr>
    </w:p>
    <w:p w14:paraId="37776966" w14:textId="64EB7910" w:rsidR="00E73D4F" w:rsidRPr="00CC1B61" w:rsidRDefault="00554541" w:rsidP="00E73D4F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lang w:val="es-MX" w:eastAsia="es-MX"/>
        </w:rPr>
      </w:pPr>
      <w:r>
        <w:rPr>
          <w:rFonts w:ascii="Arial" w:eastAsia="Times New Roman" w:hAnsi="Arial" w:cs="Arial"/>
          <w:bCs/>
          <w:color w:val="000000" w:themeColor="text1"/>
          <w:lang w:val="es-MX" w:eastAsia="es-MX"/>
        </w:rPr>
        <w:t>S</w:t>
      </w:r>
      <w:r w:rsidR="00184A5F">
        <w:rPr>
          <w:rFonts w:ascii="Arial" w:eastAsia="Times New Roman" w:hAnsi="Arial" w:cs="Arial"/>
          <w:bCs/>
          <w:color w:val="000000" w:themeColor="text1"/>
          <w:lang w:val="es-MX" w:eastAsia="es-MX"/>
        </w:rPr>
        <w:t xml:space="preserve">e podrá acudir a instancias </w:t>
      </w:r>
      <w:r>
        <w:rPr>
          <w:rFonts w:ascii="Arial" w:eastAsia="Times New Roman" w:hAnsi="Arial" w:cs="Arial"/>
          <w:bCs/>
          <w:color w:val="000000" w:themeColor="text1"/>
          <w:lang w:val="es-MX" w:eastAsia="es-MX"/>
        </w:rPr>
        <w:t xml:space="preserve">no jurisdiccionales </w:t>
      </w:r>
      <w:r w:rsidR="00184A5F">
        <w:rPr>
          <w:rFonts w:ascii="Arial" w:eastAsia="Times New Roman" w:hAnsi="Arial" w:cs="Arial"/>
          <w:bCs/>
          <w:color w:val="000000" w:themeColor="text1"/>
          <w:lang w:val="es-MX" w:eastAsia="es-MX"/>
        </w:rPr>
        <w:t xml:space="preserve">como </w:t>
      </w:r>
      <w:r w:rsidR="0088247D">
        <w:rPr>
          <w:rFonts w:ascii="Arial" w:eastAsia="Times New Roman" w:hAnsi="Arial" w:cs="Arial"/>
          <w:bCs/>
          <w:color w:val="000000" w:themeColor="text1"/>
          <w:lang w:val="es-MX" w:eastAsia="es-MX"/>
        </w:rPr>
        <w:t>CONAPRED,</w:t>
      </w:r>
      <w:r w:rsidR="00513768">
        <w:rPr>
          <w:rFonts w:ascii="Arial" w:eastAsia="Times New Roman" w:hAnsi="Arial" w:cs="Arial"/>
          <w:bCs/>
          <w:color w:val="000000" w:themeColor="text1"/>
          <w:lang w:val="es-MX" w:eastAsia="es-MX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lang w:val="es-MX" w:eastAsia="es-MX"/>
        </w:rPr>
        <w:t>COPRED,</w:t>
      </w:r>
      <w:r w:rsidR="0088247D">
        <w:rPr>
          <w:rFonts w:ascii="Arial" w:eastAsia="Times New Roman" w:hAnsi="Arial" w:cs="Arial"/>
          <w:bCs/>
          <w:color w:val="000000" w:themeColor="text1"/>
          <w:lang w:val="es-MX" w:eastAsia="es-MX"/>
        </w:rPr>
        <w:t xml:space="preserve"> la </w:t>
      </w:r>
      <w:r w:rsidR="00E9339E">
        <w:rPr>
          <w:rFonts w:ascii="Arial" w:eastAsia="Times New Roman" w:hAnsi="Arial" w:cs="Arial"/>
          <w:bCs/>
          <w:color w:val="000000" w:themeColor="text1"/>
          <w:lang w:val="es-MX" w:eastAsia="es-MX"/>
        </w:rPr>
        <w:t>CDHCM</w:t>
      </w:r>
      <w:r w:rsidR="0088247D">
        <w:rPr>
          <w:rFonts w:ascii="Arial" w:eastAsia="Times New Roman" w:hAnsi="Arial" w:cs="Arial"/>
          <w:bCs/>
          <w:color w:val="000000" w:themeColor="text1"/>
          <w:lang w:val="es-MX" w:eastAsia="es-MX"/>
        </w:rPr>
        <w:t xml:space="preserve">, y las Comisiones </w:t>
      </w:r>
      <w:r>
        <w:rPr>
          <w:rFonts w:ascii="Arial" w:eastAsia="Times New Roman" w:hAnsi="Arial" w:cs="Arial"/>
          <w:bCs/>
          <w:color w:val="000000" w:themeColor="text1"/>
          <w:lang w:val="es-MX" w:eastAsia="es-MX"/>
        </w:rPr>
        <w:t>l</w:t>
      </w:r>
      <w:r w:rsidR="0088247D">
        <w:rPr>
          <w:rFonts w:ascii="Arial" w:eastAsia="Times New Roman" w:hAnsi="Arial" w:cs="Arial"/>
          <w:bCs/>
          <w:color w:val="000000" w:themeColor="text1"/>
          <w:lang w:val="es-MX" w:eastAsia="es-MX"/>
        </w:rPr>
        <w:t>ocales de Derechos Humanos.</w:t>
      </w:r>
    </w:p>
    <w:p w14:paraId="4B509FC9" w14:textId="77777777" w:rsidR="00252449" w:rsidRPr="00CC1B61" w:rsidRDefault="00252449" w:rsidP="00252449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 w:themeColor="text1"/>
          <w:sz w:val="22"/>
          <w:szCs w:val="22"/>
          <w:lang w:val="es-ES"/>
        </w:rPr>
      </w:pPr>
    </w:p>
    <w:p w14:paraId="6B6229F6" w14:textId="28ABBBBD" w:rsidR="004D1FF8" w:rsidRPr="00FD4962" w:rsidRDefault="004D1FF8" w:rsidP="00252449">
      <w:pPr>
        <w:pStyle w:val="Ttulo2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¿Se han asignado los recursos humanos y financieros adecuados para implementar esas políticas y / o programas?</w:t>
      </w:r>
    </w:p>
    <w:p w14:paraId="52B7151D" w14:textId="389047AF" w:rsidR="00FD4962" w:rsidRPr="00E9339E" w:rsidRDefault="00E9339E" w:rsidP="00E9339E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  <w:r w:rsidRPr="00E9339E"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  <w:t>No.</w:t>
      </w:r>
    </w:p>
    <w:p w14:paraId="6E394211" w14:textId="77777777" w:rsidR="000F3482" w:rsidRPr="00CC1B61" w:rsidRDefault="000F3482" w:rsidP="00252449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</w:p>
    <w:p w14:paraId="3E549B9A" w14:textId="77777777" w:rsidR="004D1FF8" w:rsidRPr="00CC1B61" w:rsidRDefault="004D1FF8" w:rsidP="00AE0C15">
      <w:pPr>
        <w:pStyle w:val="Ttulo2"/>
        <w:numPr>
          <w:ilvl w:val="0"/>
          <w:numId w:val="4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>Formación y educación: profesionales de la salud e instituciones educativas</w:t>
      </w:r>
    </w:p>
    <w:p w14:paraId="2F55C9EA" w14:textId="0B58141D" w:rsidR="00787E0D" w:rsidRPr="00F63F92" w:rsidRDefault="004D1FF8" w:rsidP="00F63F92">
      <w:pPr>
        <w:pStyle w:val="Ttulo2"/>
        <w:numPr>
          <w:ilvl w:val="1"/>
          <w:numId w:val="4"/>
        </w:numPr>
        <w:spacing w:before="0" w:beforeAutospacing="0" w:after="80" w:afterAutospacing="0"/>
        <w:jc w:val="both"/>
        <w:rPr>
          <w:rFonts w:ascii="Arial" w:hAnsi="Arial" w:cs="Arial"/>
          <w:i/>
          <w:color w:val="000000" w:themeColor="text1"/>
          <w:lang w:val="es-MX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¿Se incluyen la orientación sexual, la identidad de género y las necesidades específicas de salud de las personas afectadas por la violencia y la discriminación por </w:t>
      </w:r>
      <w:r w:rsidR="002E348B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OS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 e </w:t>
      </w:r>
      <w:r w:rsidR="002E348B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IG</w:t>
      </w: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 xml:space="preserve"> en la formación y educación de los profesionales de la salud?</w:t>
      </w:r>
      <w:hyperlink r:id="rId25" w:history="1"/>
    </w:p>
    <w:p w14:paraId="2803AF80" w14:textId="3807B66C" w:rsidR="00645618" w:rsidRPr="00CC1B61" w:rsidRDefault="00645618" w:rsidP="00605106">
      <w:pPr>
        <w:spacing w:line="240" w:lineRule="auto"/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>No, en los planes de estudios actuales no se tienen materias que aborden la atención integral de la salud de personas LGBTTTIQ</w:t>
      </w:r>
      <w:r w:rsidR="00513768">
        <w:rPr>
          <w:rFonts w:ascii="Arial" w:hAnsi="Arial" w:cs="Arial"/>
          <w:color w:val="000000" w:themeColor="text1"/>
          <w:lang w:val="es-MX"/>
        </w:rPr>
        <w:t>A</w:t>
      </w:r>
      <w:r>
        <w:rPr>
          <w:rFonts w:ascii="Arial" w:hAnsi="Arial" w:cs="Arial"/>
          <w:color w:val="000000" w:themeColor="text1"/>
          <w:lang w:val="es-MX"/>
        </w:rPr>
        <w:t>+</w:t>
      </w:r>
      <w:r w:rsidR="00E9339E">
        <w:rPr>
          <w:rFonts w:ascii="Arial" w:hAnsi="Arial" w:cs="Arial"/>
          <w:color w:val="000000" w:themeColor="text1"/>
          <w:lang w:val="es-MX"/>
        </w:rPr>
        <w:t xml:space="preserve"> o constancia de la transversalización de este </w:t>
      </w:r>
      <w:r w:rsidR="00E9339E">
        <w:rPr>
          <w:rFonts w:ascii="Arial" w:hAnsi="Arial" w:cs="Arial"/>
          <w:color w:val="000000" w:themeColor="text1"/>
          <w:lang w:val="es-MX"/>
        </w:rPr>
        <w:lastRenderedPageBreak/>
        <w:t>conocimiento</w:t>
      </w:r>
      <w:r>
        <w:rPr>
          <w:rFonts w:ascii="Arial" w:hAnsi="Arial" w:cs="Arial"/>
          <w:color w:val="000000" w:themeColor="text1"/>
          <w:lang w:val="es-MX"/>
        </w:rPr>
        <w:t>.</w:t>
      </w:r>
      <w:r w:rsidR="00E9339E">
        <w:rPr>
          <w:rFonts w:ascii="Arial" w:hAnsi="Arial" w:cs="Arial"/>
          <w:color w:val="000000" w:themeColor="text1"/>
          <w:lang w:val="es-MX"/>
        </w:rPr>
        <w:t xml:space="preserve"> </w:t>
      </w:r>
      <w:r w:rsidR="00301793">
        <w:rPr>
          <w:rFonts w:ascii="Arial" w:hAnsi="Arial" w:cs="Arial"/>
          <w:color w:val="000000" w:themeColor="text1"/>
          <w:lang w:val="es-MX"/>
        </w:rPr>
        <w:t>E</w:t>
      </w:r>
      <w:r w:rsidR="00E9339E">
        <w:rPr>
          <w:rFonts w:ascii="Arial" w:hAnsi="Arial" w:cs="Arial"/>
          <w:color w:val="000000" w:themeColor="text1"/>
          <w:lang w:val="es-MX"/>
        </w:rPr>
        <w:t xml:space="preserve">xiste un desconocimiento </w:t>
      </w:r>
      <w:r w:rsidR="00301793">
        <w:rPr>
          <w:rFonts w:ascii="Arial" w:hAnsi="Arial" w:cs="Arial"/>
          <w:color w:val="000000" w:themeColor="text1"/>
          <w:lang w:val="es-MX"/>
        </w:rPr>
        <w:t xml:space="preserve">generalizado </w:t>
      </w:r>
      <w:r w:rsidR="00E9339E">
        <w:rPr>
          <w:rFonts w:ascii="Arial" w:hAnsi="Arial" w:cs="Arial"/>
          <w:color w:val="000000" w:themeColor="text1"/>
          <w:lang w:val="es-MX"/>
        </w:rPr>
        <w:t>del derecho a la salud como tal, mismo que sería necesario que se brindara como antesala a la necesidad de adaptar los contenidos en función de los enfoques diferencial e interseccional.</w:t>
      </w:r>
      <w:r w:rsidR="00F62515">
        <w:rPr>
          <w:rFonts w:ascii="Arial" w:hAnsi="Arial" w:cs="Arial"/>
          <w:color w:val="000000" w:themeColor="text1"/>
          <w:lang w:val="es-MX"/>
        </w:rPr>
        <w:t xml:space="preserve"> Hay </w:t>
      </w:r>
      <w:r w:rsidR="00E9339E">
        <w:rPr>
          <w:rFonts w:ascii="Arial" w:hAnsi="Arial" w:cs="Arial"/>
          <w:color w:val="000000" w:themeColor="text1"/>
          <w:lang w:val="es-MX"/>
        </w:rPr>
        <w:t xml:space="preserve">algunos </w:t>
      </w:r>
      <w:r>
        <w:rPr>
          <w:rFonts w:ascii="Arial" w:hAnsi="Arial" w:cs="Arial"/>
          <w:color w:val="000000" w:themeColor="text1"/>
          <w:lang w:val="es-MX"/>
        </w:rPr>
        <w:t xml:space="preserve">esfuerzos para incorporar esta perspectiva </w:t>
      </w:r>
      <w:r w:rsidR="00F62515">
        <w:rPr>
          <w:rFonts w:ascii="Arial" w:hAnsi="Arial" w:cs="Arial"/>
          <w:color w:val="000000" w:themeColor="text1"/>
          <w:lang w:val="es-MX"/>
        </w:rPr>
        <w:t>dentro de</w:t>
      </w:r>
      <w:r>
        <w:rPr>
          <w:rFonts w:ascii="Arial" w:hAnsi="Arial" w:cs="Arial"/>
          <w:color w:val="000000" w:themeColor="text1"/>
          <w:lang w:val="es-MX"/>
        </w:rPr>
        <w:t xml:space="preserve"> las </w:t>
      </w:r>
      <w:r w:rsidR="0057361A">
        <w:rPr>
          <w:rFonts w:ascii="Arial" w:hAnsi="Arial" w:cs="Arial"/>
          <w:color w:val="000000" w:themeColor="text1"/>
          <w:lang w:val="es-MX"/>
        </w:rPr>
        <w:t>u</w:t>
      </w:r>
      <w:r>
        <w:rPr>
          <w:rFonts w:ascii="Arial" w:hAnsi="Arial" w:cs="Arial"/>
          <w:color w:val="000000" w:themeColor="text1"/>
          <w:lang w:val="es-MX"/>
        </w:rPr>
        <w:t>niversidades</w:t>
      </w:r>
      <w:r w:rsidR="00F62515">
        <w:rPr>
          <w:rFonts w:ascii="Arial" w:hAnsi="Arial" w:cs="Arial"/>
          <w:color w:val="000000" w:themeColor="text1"/>
          <w:lang w:val="es-MX"/>
        </w:rPr>
        <w:t>,</w:t>
      </w:r>
      <w:r w:rsidR="00E9339E">
        <w:rPr>
          <w:rFonts w:ascii="Arial" w:hAnsi="Arial" w:cs="Arial"/>
          <w:color w:val="000000" w:themeColor="text1"/>
          <w:lang w:val="es-MX"/>
        </w:rPr>
        <w:t xml:space="preserve"> sin embargo, parten de iniciativas individuales en la academia que buscan influir en los planes curriculares y que se topan también con resistencias para ello. </w:t>
      </w:r>
      <w:r w:rsidR="00F62515">
        <w:rPr>
          <w:rFonts w:ascii="Arial" w:hAnsi="Arial" w:cs="Arial"/>
          <w:color w:val="000000" w:themeColor="text1"/>
          <w:lang w:val="es-MX"/>
        </w:rPr>
        <w:t xml:space="preserve"> </w:t>
      </w:r>
    </w:p>
    <w:p w14:paraId="31542D39" w14:textId="0D6C4AF2" w:rsidR="00AE0C15" w:rsidRPr="00CC1B61" w:rsidRDefault="00AE0C15" w:rsidP="00AE0C15">
      <w:pPr>
        <w:pStyle w:val="Ttulo2"/>
        <w:numPr>
          <w:ilvl w:val="1"/>
          <w:numId w:val="4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¿Qué medidas se están tomando para brindar educación sexual integral apropiada para la edad que incluya la diversidad sexual y de género en las instituciones educativas?</w:t>
      </w:r>
    </w:p>
    <w:p w14:paraId="337386C7" w14:textId="2DA6F2B8" w:rsidR="00E9339E" w:rsidRDefault="00E9339E" w:rsidP="00DE0270">
      <w:pPr>
        <w:spacing w:line="240" w:lineRule="auto"/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 xml:space="preserve">La Ley General de Educación contempla la educación sexual integral para la población en su diversidad y sin discriminación por </w:t>
      </w:r>
      <w:r w:rsidR="00301793">
        <w:rPr>
          <w:rFonts w:ascii="Arial" w:hAnsi="Arial" w:cs="Arial"/>
          <w:color w:val="000000" w:themeColor="text1"/>
          <w:lang w:val="es-MX"/>
        </w:rPr>
        <w:t>OS</w:t>
      </w:r>
      <w:r>
        <w:rPr>
          <w:rFonts w:ascii="Arial" w:hAnsi="Arial" w:cs="Arial"/>
          <w:color w:val="000000" w:themeColor="text1"/>
          <w:lang w:val="es-MX"/>
        </w:rPr>
        <w:t xml:space="preserve"> o </w:t>
      </w:r>
      <w:r w:rsidR="00301793">
        <w:rPr>
          <w:rFonts w:ascii="Arial" w:hAnsi="Arial" w:cs="Arial"/>
          <w:color w:val="000000" w:themeColor="text1"/>
          <w:lang w:val="es-MX"/>
        </w:rPr>
        <w:t>IG</w:t>
      </w:r>
      <w:r>
        <w:rPr>
          <w:rFonts w:ascii="Arial" w:hAnsi="Arial" w:cs="Arial"/>
          <w:color w:val="000000" w:themeColor="text1"/>
          <w:lang w:val="es-MX"/>
        </w:rPr>
        <w:t xml:space="preserve">. </w:t>
      </w:r>
      <w:r w:rsidR="006B7F65">
        <w:rPr>
          <w:rFonts w:ascii="Arial" w:hAnsi="Arial" w:cs="Arial"/>
          <w:color w:val="000000" w:themeColor="text1"/>
          <w:lang w:val="es-MX"/>
        </w:rPr>
        <w:t>En armonía con lo anterior, la Ley General de los Derechos de Niñas, Niños y Adolescentes también incluye apartados que mandatan una educación sexual amplia.</w:t>
      </w:r>
      <w:r w:rsidR="00301793">
        <w:rPr>
          <w:rFonts w:ascii="Arial" w:hAnsi="Arial" w:cs="Arial"/>
          <w:color w:val="000000" w:themeColor="text1"/>
          <w:lang w:val="es-MX"/>
        </w:rPr>
        <w:t xml:space="preserve"> </w:t>
      </w:r>
      <w:r>
        <w:rPr>
          <w:rFonts w:ascii="Arial" w:hAnsi="Arial" w:cs="Arial"/>
          <w:color w:val="000000" w:themeColor="text1"/>
          <w:lang w:val="es-MX"/>
        </w:rPr>
        <w:t>Si bien el lenguaje normativo</w:t>
      </w:r>
      <w:r w:rsidR="00301793">
        <w:rPr>
          <w:rFonts w:ascii="Arial" w:hAnsi="Arial" w:cs="Arial"/>
          <w:color w:val="000000" w:themeColor="text1"/>
          <w:lang w:val="es-MX"/>
        </w:rPr>
        <w:t xml:space="preserve"> </w:t>
      </w:r>
      <w:r>
        <w:rPr>
          <w:rFonts w:ascii="Arial" w:hAnsi="Arial" w:cs="Arial"/>
          <w:color w:val="000000" w:themeColor="text1"/>
          <w:lang w:val="es-MX"/>
        </w:rPr>
        <w:t>podría mejorarse, no se identifica que los principales obstáculos se encuentren a nivel legislativo sino en la</w:t>
      </w:r>
      <w:r w:rsidR="006B7F65">
        <w:rPr>
          <w:rFonts w:ascii="Arial" w:hAnsi="Arial" w:cs="Arial"/>
          <w:color w:val="000000" w:themeColor="text1"/>
          <w:lang w:val="es-MX"/>
        </w:rPr>
        <w:t xml:space="preserve"> omisión de establecer las rutas a nivel reglamentario, de protocolos y circulares dirigidas a personal en las instituciones de salud y educativas. </w:t>
      </w:r>
    </w:p>
    <w:p w14:paraId="1B188F52" w14:textId="445E1B40" w:rsidR="006B7F65" w:rsidRDefault="00E9339E" w:rsidP="00DE0270">
      <w:pPr>
        <w:spacing w:line="240" w:lineRule="auto"/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 xml:space="preserve">Algunos de los esfuerzos por implementar una educación sexual alineada a la autonomía progresiva se han visto afectados por campañas </w:t>
      </w:r>
      <w:r w:rsidR="00301793">
        <w:rPr>
          <w:rFonts w:ascii="Arial" w:hAnsi="Arial" w:cs="Arial"/>
          <w:color w:val="000000" w:themeColor="text1"/>
          <w:lang w:val="es-MX"/>
        </w:rPr>
        <w:t>como el</w:t>
      </w:r>
      <w:r w:rsidR="006B7F65">
        <w:rPr>
          <w:rFonts w:ascii="Arial" w:hAnsi="Arial" w:cs="Arial"/>
          <w:color w:val="000000" w:themeColor="text1"/>
          <w:lang w:val="es-MX"/>
        </w:rPr>
        <w:t xml:space="preserve"> “</w:t>
      </w:r>
      <w:hyperlink r:id="rId26" w:history="1">
        <w:r w:rsidR="006B7F65" w:rsidRPr="00DE64CA">
          <w:rPr>
            <w:rStyle w:val="Hipervnculo"/>
            <w:rFonts w:ascii="Arial" w:hAnsi="Arial" w:cs="Arial"/>
            <w:lang w:val="es-MX"/>
          </w:rPr>
          <w:t>PIN Parental</w:t>
        </w:r>
      </w:hyperlink>
      <w:r w:rsidR="006B7F65">
        <w:rPr>
          <w:rFonts w:ascii="Arial" w:hAnsi="Arial" w:cs="Arial"/>
          <w:color w:val="000000" w:themeColor="text1"/>
          <w:lang w:val="es-MX"/>
        </w:rPr>
        <w:t xml:space="preserve">” y desplegadas en sede jurisdiccional </w:t>
      </w:r>
      <w:r>
        <w:rPr>
          <w:rFonts w:ascii="Arial" w:hAnsi="Arial" w:cs="Arial"/>
          <w:color w:val="000000" w:themeColor="text1"/>
          <w:lang w:val="es-MX"/>
        </w:rPr>
        <w:t>y mediá</w:t>
      </w:r>
      <w:r w:rsidR="006B7F65">
        <w:rPr>
          <w:rFonts w:ascii="Arial" w:hAnsi="Arial" w:cs="Arial"/>
          <w:color w:val="000000" w:themeColor="text1"/>
          <w:lang w:val="es-MX"/>
        </w:rPr>
        <w:t xml:space="preserve">tico. </w:t>
      </w:r>
    </w:p>
    <w:p w14:paraId="778913E7" w14:textId="68C5B544" w:rsidR="006B7F65" w:rsidRDefault="006B7F65" w:rsidP="00DE0270">
      <w:pPr>
        <w:spacing w:line="240" w:lineRule="auto"/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>Ante tal escenario, aún son insuficientes los esfuerzos por mejorar la calidad de la eduación sexual a niños, niñas y adolescentes, así como la vinculación con el sector salud y otros para brindar información amplia, accesible, de calidad, y adaptada a la autonomía progresiva de niñas, niños y adolescentes. En particular, es necesario visibilizar a las infancias LGBTTTIQA+ como parte de la población y prevenir la violencia hacia ellas en el ámbito escolar. Lo anterior cruza por esfuerzos significativos para realizar cambios estructurales en la cultura y sociedad.</w:t>
      </w:r>
    </w:p>
    <w:p w14:paraId="05579E9B" w14:textId="77777777" w:rsidR="00AE0C15" w:rsidRPr="00FD4962" w:rsidRDefault="00AE0C15" w:rsidP="00AE0C15">
      <w:pPr>
        <w:pStyle w:val="Ttulo2"/>
        <w:numPr>
          <w:ilvl w:val="1"/>
          <w:numId w:val="4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bCs w:val="0"/>
          <w:color w:val="000000" w:themeColor="text1"/>
          <w:sz w:val="22"/>
          <w:szCs w:val="22"/>
          <w:lang w:val="es-ES"/>
        </w:rPr>
        <w:t>¿Se encuentran disponibles pautas basadas en evidencia y actualizadas que incluyan cuestiones de SOGI? ¿Cómo se utilizan para influir en las decisiones relacionadas con la salud sobre políticas, programación, servicios, incluidos manuales de diagnóstico y prácticas dentro de las instituciones de atención de la salud?</w:t>
      </w:r>
    </w:p>
    <w:p w14:paraId="0AD343E0" w14:textId="66D07849" w:rsidR="00FD4962" w:rsidRDefault="00301793" w:rsidP="006C040F">
      <w:pPr>
        <w:spacing w:line="240" w:lineRule="auto"/>
        <w:jc w:val="both"/>
        <w:rPr>
          <w:rFonts w:ascii="Arial" w:hAnsi="Arial" w:cs="Arial"/>
          <w:color w:val="000000" w:themeColor="text1"/>
          <w:shd w:val="clear" w:color="auto" w:fill="FFFFFF"/>
          <w:lang w:val="es-MX"/>
        </w:rPr>
      </w:pPr>
      <w:r>
        <w:rPr>
          <w:rFonts w:ascii="Arial" w:eastAsia="Times New Roman" w:hAnsi="Arial" w:cs="Arial"/>
          <w:bCs/>
          <w:color w:val="000000" w:themeColor="text1"/>
          <w:lang w:val="es-ES" w:eastAsia="en-GB"/>
        </w:rPr>
        <w:t>E</w:t>
      </w:r>
      <w:r w:rsidR="00D965F6">
        <w:rPr>
          <w:rFonts w:ascii="Arial" w:eastAsia="Times New Roman" w:hAnsi="Arial" w:cs="Arial"/>
          <w:bCs/>
          <w:color w:val="000000" w:themeColor="text1"/>
          <w:lang w:val="es-ES" w:eastAsia="en-GB"/>
        </w:rPr>
        <w:t>l</w:t>
      </w:r>
      <w:r w:rsidR="00D965F6">
        <w:rPr>
          <w:rFonts w:ascii="Arial" w:eastAsia="Times New Roman" w:hAnsi="Arial" w:cs="Arial"/>
          <w:b/>
          <w:bCs/>
          <w:color w:val="000000" w:themeColor="text1"/>
          <w:lang w:val="es-ES" w:eastAsia="en-GB"/>
        </w:rPr>
        <w:t xml:space="preserve"> </w:t>
      </w:r>
      <w:hyperlink r:id="rId27" w:history="1">
        <w:r w:rsidR="00AE0C15" w:rsidRPr="00CB6CF5">
          <w:rPr>
            <w:rStyle w:val="Hipervnculo"/>
            <w:rFonts w:ascii="Arial" w:hAnsi="Arial" w:cs="Arial"/>
            <w:i/>
            <w:lang w:val="es-MX"/>
          </w:rPr>
          <w:t xml:space="preserve">Protocolo para el acceso sin discriminación a la prestación de servicios de atención médica de las personas </w:t>
        </w:r>
        <w:r w:rsidR="00AD290E" w:rsidRPr="00CB6CF5">
          <w:rPr>
            <w:rStyle w:val="Hipervnculo"/>
            <w:rFonts w:ascii="Arial" w:hAnsi="Arial" w:cs="Arial"/>
            <w:i/>
            <w:lang w:val="es-MX"/>
          </w:rPr>
          <w:t>LGBTTTIQ+</w:t>
        </w:r>
        <w:r w:rsidR="00AE0C15" w:rsidRPr="00CB6CF5">
          <w:rPr>
            <w:rStyle w:val="Hipervnculo"/>
            <w:rFonts w:ascii="Arial" w:hAnsi="Arial" w:cs="Arial"/>
            <w:lang w:val="es-MX"/>
          </w:rPr>
          <w:t>,</w:t>
        </w:r>
      </w:hyperlink>
      <w:r w:rsidR="00CB6CF5">
        <w:rPr>
          <w:rFonts w:ascii="Arial" w:hAnsi="Arial" w:cs="Arial"/>
          <w:i/>
          <w:color w:val="000000" w:themeColor="text1"/>
          <w:lang w:val="es-MX"/>
        </w:rPr>
        <w:t xml:space="preserve"> </w:t>
      </w:r>
      <w:r>
        <w:rPr>
          <w:rFonts w:ascii="Arial" w:hAnsi="Arial" w:cs="Arial"/>
          <w:color w:val="000000" w:themeColor="text1"/>
          <w:lang w:val="es-MX"/>
        </w:rPr>
        <w:t>incluy</w:t>
      </w:r>
      <w:r w:rsidR="00FD4962">
        <w:rPr>
          <w:rFonts w:ascii="Arial" w:hAnsi="Arial" w:cs="Arial"/>
          <w:color w:val="000000" w:themeColor="text1"/>
          <w:lang w:val="es-MX"/>
        </w:rPr>
        <w:t>e</w:t>
      </w:r>
      <w:r w:rsidR="005D60F7">
        <w:rPr>
          <w:rFonts w:ascii="Arial" w:hAnsi="Arial" w:cs="Arial"/>
          <w:color w:val="000000" w:themeColor="text1"/>
          <w:lang w:val="es-MX"/>
        </w:rPr>
        <w:t xml:space="preserve"> una Guía de recomendaciones para la Atención de Intersexualidad y Variación en la Diferenciación Sexual; una Guía protocolizada para la Atención de Mujeres Lesbianas y Bisexuales; una Guía protocolizada para la Atención de los Hombres Gay y Bisexuales; y una Guía protocolizada para la Atención de Personas Transgénero</w:t>
      </w:r>
      <w:r w:rsidR="00513768">
        <w:rPr>
          <w:rFonts w:ascii="Arial" w:hAnsi="Arial" w:cs="Arial"/>
          <w:color w:val="000000" w:themeColor="text1"/>
          <w:lang w:val="es-MX"/>
        </w:rPr>
        <w:t xml:space="preserve">. </w:t>
      </w:r>
      <w:r w:rsidR="00FB49D5">
        <w:rPr>
          <w:rFonts w:ascii="Arial" w:hAnsi="Arial" w:cs="Arial"/>
          <w:color w:val="000000" w:themeColor="text1"/>
          <w:lang w:val="es-MX"/>
        </w:rPr>
        <w:t>Sin embargo, la generación de información por parte del sector salud es insuficiente para generar evidencia sobre el acceso diferenciado a la salud, en sus diversos elementos, por lo que es necesario que se implementen medidas para generarla</w:t>
      </w:r>
      <w:r>
        <w:rPr>
          <w:rFonts w:ascii="Arial" w:hAnsi="Arial" w:cs="Arial"/>
          <w:color w:val="000000" w:themeColor="text1"/>
          <w:lang w:val="es-MX"/>
        </w:rPr>
        <w:t>.</w:t>
      </w:r>
    </w:p>
    <w:p w14:paraId="7E960EB1" w14:textId="39BB5940" w:rsidR="006C1052" w:rsidRPr="006C1052" w:rsidRDefault="006C1052" w:rsidP="006C040F">
      <w:pPr>
        <w:spacing w:line="240" w:lineRule="auto"/>
        <w:jc w:val="both"/>
        <w:rPr>
          <w:rFonts w:ascii="Arial" w:hAnsi="Arial" w:cs="Arial"/>
          <w:color w:val="000000" w:themeColor="text1"/>
          <w:shd w:val="clear" w:color="auto" w:fill="FFFFFF"/>
          <w:lang w:val="es-MX"/>
        </w:rPr>
      </w:pPr>
    </w:p>
    <w:p w14:paraId="23553380" w14:textId="524CFBA2" w:rsidR="004D1FF8" w:rsidRPr="00CC1B61" w:rsidRDefault="00301793" w:rsidP="00AE0C15">
      <w:pPr>
        <w:pStyle w:val="Ttulo2"/>
        <w:numPr>
          <w:ilvl w:val="0"/>
          <w:numId w:val="4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ODS</w:t>
      </w:r>
    </w:p>
    <w:p w14:paraId="3F57140F" w14:textId="77777777" w:rsidR="00A367B4" w:rsidRPr="00CC1B61" w:rsidRDefault="004D1FF8" w:rsidP="00AE0C15">
      <w:pPr>
        <w:pStyle w:val="Ttulo2"/>
        <w:numPr>
          <w:ilvl w:val="1"/>
          <w:numId w:val="4"/>
        </w:numPr>
        <w:spacing w:before="0" w:beforeAutospacing="0" w:after="8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Cuando el Estado evalúa su avance frente al ODS 3, </w:t>
      </w:r>
    </w:p>
    <w:p w14:paraId="7C628547" w14:textId="7AD720A4" w:rsidR="00A367B4" w:rsidRPr="00CC1B61" w:rsidRDefault="004D1FF8" w:rsidP="00A367B4">
      <w:pPr>
        <w:pStyle w:val="Ttulo2"/>
        <w:spacing w:before="0" w:beforeAutospacing="0" w:after="80" w:afterAutospacing="0"/>
        <w:ind w:left="792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¿hace referencia a los resultados y necesidades de salud de las personas afectadas por la violencia y la discriminación por </w:t>
      </w:r>
      <w:r w:rsidR="00FB49D5">
        <w:rPr>
          <w:rFonts w:ascii="Arial" w:hAnsi="Arial" w:cs="Arial"/>
          <w:color w:val="000000" w:themeColor="text1"/>
          <w:sz w:val="22"/>
          <w:szCs w:val="22"/>
          <w:lang w:val="es-ES"/>
        </w:rPr>
        <w:t>OS</w:t>
      </w:r>
      <w:r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 </w:t>
      </w:r>
      <w:r w:rsidR="00FB49D5">
        <w:rPr>
          <w:rFonts w:ascii="Arial" w:hAnsi="Arial" w:cs="Arial"/>
          <w:color w:val="000000" w:themeColor="text1"/>
          <w:sz w:val="22"/>
          <w:szCs w:val="22"/>
          <w:lang w:val="es-ES"/>
        </w:rPr>
        <w:t>IG</w:t>
      </w:r>
      <w:r w:rsidRPr="00CC1B61">
        <w:rPr>
          <w:rFonts w:ascii="Arial" w:hAnsi="Arial" w:cs="Arial"/>
          <w:color w:val="000000" w:themeColor="text1"/>
          <w:sz w:val="22"/>
          <w:szCs w:val="22"/>
          <w:lang w:val="es-ES"/>
        </w:rPr>
        <w:t>?</w:t>
      </w:r>
    </w:p>
    <w:p w14:paraId="1CF82C25" w14:textId="590F8C1B" w:rsidR="00C14E41" w:rsidRPr="00CC1B61" w:rsidRDefault="008C50A2" w:rsidP="00C14E41">
      <w:pPr>
        <w:pStyle w:val="Ttulo2"/>
        <w:spacing w:before="0" w:beforeAutospacing="0" w:after="80" w:afterAutospacing="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 xml:space="preserve">No se hace referencia de resultados, datos o necesidades de las personas LGBTTTIQ+ dentro del Informe Nacional Voluntario 2021, Agenda 2030 </w:t>
      </w:r>
      <w:r w:rsidR="00FD4962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presentado por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 xml:space="preserve"> México</w:t>
      </w:r>
      <w:r w:rsidR="0030179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.</w:t>
      </w:r>
    </w:p>
    <w:p w14:paraId="4B2B2129" w14:textId="77777777" w:rsidR="00605106" w:rsidRPr="00CC1B61" w:rsidRDefault="00605106" w:rsidP="00AE0C15">
      <w:pPr>
        <w:pStyle w:val="Ttulo2"/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s-ES"/>
        </w:rPr>
      </w:pPr>
    </w:p>
    <w:sectPr w:rsidR="00605106" w:rsidRPr="00CC1B61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1B2" w14:textId="77777777" w:rsidR="00173856" w:rsidRDefault="00173856" w:rsidP="007F3940">
      <w:pPr>
        <w:spacing w:after="0" w:line="240" w:lineRule="auto"/>
      </w:pPr>
      <w:r>
        <w:separator/>
      </w:r>
    </w:p>
  </w:endnote>
  <w:endnote w:type="continuationSeparator" w:id="0">
    <w:p w14:paraId="7FA36774" w14:textId="77777777" w:rsidR="00173856" w:rsidRDefault="00173856" w:rsidP="007F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70137"/>
      <w:docPartObj>
        <w:docPartGallery w:val="Page Numbers (Bottom of Page)"/>
        <w:docPartUnique/>
      </w:docPartObj>
    </w:sdtPr>
    <w:sdtEndPr/>
    <w:sdtContent>
      <w:p w14:paraId="32A08F14" w14:textId="43EE4204" w:rsidR="00EA3089" w:rsidRDefault="00EA30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CA6" w:rsidRPr="00645CA6">
          <w:rPr>
            <w:noProof/>
            <w:lang w:val="es-ES"/>
          </w:rPr>
          <w:t>4</w:t>
        </w:r>
        <w:r>
          <w:fldChar w:fldCharType="end"/>
        </w:r>
      </w:p>
    </w:sdtContent>
  </w:sdt>
  <w:p w14:paraId="145242B8" w14:textId="77777777" w:rsidR="00EA3089" w:rsidRDefault="00EA30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A298" w14:textId="77777777" w:rsidR="00173856" w:rsidRDefault="00173856" w:rsidP="007F3940">
      <w:pPr>
        <w:spacing w:after="0" w:line="240" w:lineRule="auto"/>
      </w:pPr>
      <w:r>
        <w:separator/>
      </w:r>
    </w:p>
  </w:footnote>
  <w:footnote w:type="continuationSeparator" w:id="0">
    <w:p w14:paraId="168D1E8E" w14:textId="77777777" w:rsidR="00173856" w:rsidRDefault="00173856" w:rsidP="007F3940">
      <w:pPr>
        <w:spacing w:after="0" w:line="240" w:lineRule="auto"/>
      </w:pPr>
      <w:r>
        <w:continuationSeparator/>
      </w:r>
    </w:p>
  </w:footnote>
  <w:footnote w:id="1">
    <w:p w14:paraId="03921899" w14:textId="41D008D5" w:rsidR="00450E19" w:rsidRPr="00450E19" w:rsidRDefault="00450E19" w:rsidP="00450E19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Style w:val="Refdenotaalpie"/>
        </w:rPr>
        <w:footnoteRef/>
      </w:r>
      <w:r w:rsidRPr="0085310D">
        <w:rPr>
          <w:lang w:val="es-MX"/>
        </w:rPr>
        <w:t xml:space="preserve"> Ejemplo de formato </w:t>
      </w:r>
      <w:r w:rsidR="00C440A0" w:rsidRPr="0085310D">
        <w:rPr>
          <w:lang w:val="es-MX"/>
        </w:rPr>
        <w:t xml:space="preserve">para refistro de casos VIH </w:t>
      </w:r>
      <w:r w:rsidRPr="0085310D">
        <w:rPr>
          <w:lang w:val="es-MX"/>
        </w:rPr>
        <w:t xml:space="preserve"> </w:t>
      </w:r>
      <w:hyperlink r:id="rId1" w:history="1">
        <w:r w:rsidRPr="00497488">
          <w:rPr>
            <w:rStyle w:val="Hipervnculo"/>
            <w:rFonts w:ascii="Arial" w:hAnsi="Arial" w:cs="Arial"/>
            <w:lang w:val="es-ES"/>
          </w:rPr>
          <w:t>http://www.dgis.salud.gob.mx/contenidos/sis/formatos2022.html</w:t>
        </w:r>
      </w:hyperlink>
    </w:p>
    <w:p w14:paraId="633BF036" w14:textId="4829B264" w:rsidR="00450E19" w:rsidRPr="00450E19" w:rsidRDefault="00450E19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69C7" w14:textId="77777777" w:rsidR="00EA3089" w:rsidRPr="00EC2BBA" w:rsidRDefault="00EA3089" w:rsidP="00082726">
    <w:pPr>
      <w:spacing w:after="0" w:line="240" w:lineRule="auto"/>
      <w:jc w:val="right"/>
      <w:rPr>
        <w:rFonts w:ascii="Arial Narrow" w:eastAsia="Times New Roman" w:hAnsi="Arial Narrow"/>
        <w:b/>
        <w:bCs/>
        <w:color w:val="000000"/>
        <w:sz w:val="24"/>
        <w:szCs w:val="24"/>
        <w:lang w:val="es-MX" w:eastAsia="es-E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29E919BE" wp14:editId="503AD175">
          <wp:simplePos x="0" y="0"/>
          <wp:positionH relativeFrom="column">
            <wp:posOffset>-167869</wp:posOffset>
          </wp:positionH>
          <wp:positionV relativeFrom="paragraph">
            <wp:posOffset>-383133</wp:posOffset>
          </wp:positionV>
          <wp:extent cx="746150" cy="775412"/>
          <wp:effectExtent l="0" t="0" r="0" b="5715"/>
          <wp:wrapNone/>
          <wp:docPr id="1" name="Imagen 1" descr="https://lh4.googleusercontent.com/tyVqHpiw1e1BNZ3F-R8wLXOwgE3iwqAhz9XEBdflXY-B-F26cZ1dVWd4gZqlAQbtLFMVFcoALOBz4FCoRtUa2z7ZUfW_EVqhvZ_tCbbli_dy3Kh5Wka7vse06T2fqGcxALKdkwmvODqAS0CSy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lh4.googleusercontent.com/tyVqHpiw1e1BNZ3F-R8wLXOwgE3iwqAhz9XEBdflXY-B-F26cZ1dVWd4gZqlAQbtLFMVFcoALOBz4FCoRtUa2z7ZUfW_EVqhvZ_tCbbli_dy3Kh5Wka7vse06T2fqGcxALKdkwmvODqAS0CSy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0" cy="775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2BBA">
      <w:rPr>
        <w:rFonts w:ascii="Arial Narrow" w:eastAsia="Times New Roman" w:hAnsi="Arial Narrow"/>
        <w:b/>
        <w:bCs/>
        <w:color w:val="000000"/>
        <w:sz w:val="24"/>
        <w:szCs w:val="24"/>
        <w:lang w:val="es-MX" w:eastAsia="es-ES"/>
      </w:rPr>
      <w:t>COMISIÓN DE DERECHOS HUMANOS DE LA CIUDAD DE MÉXICO</w:t>
    </w:r>
  </w:p>
  <w:p w14:paraId="39ABC7F5" w14:textId="00997645" w:rsidR="00EA3089" w:rsidRDefault="00EA3089">
    <w:pPr>
      <w:pStyle w:val="Encabezado"/>
      <w:rPr>
        <w:lang w:val="es-MX"/>
      </w:rPr>
    </w:pPr>
  </w:p>
  <w:p w14:paraId="1A5AE985" w14:textId="77777777" w:rsidR="00EA3089" w:rsidRPr="00EC2BBA" w:rsidRDefault="00EA3089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9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8543A"/>
    <w:multiLevelType w:val="hybridMultilevel"/>
    <w:tmpl w:val="38300C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3A94"/>
    <w:multiLevelType w:val="multilevel"/>
    <w:tmpl w:val="095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D1B36"/>
    <w:multiLevelType w:val="hybridMultilevel"/>
    <w:tmpl w:val="4900D23A"/>
    <w:lvl w:ilvl="0" w:tplc="602A86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6972"/>
    <w:multiLevelType w:val="multilevel"/>
    <w:tmpl w:val="EB88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5726B"/>
    <w:multiLevelType w:val="multilevel"/>
    <w:tmpl w:val="93C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71401"/>
    <w:multiLevelType w:val="multilevel"/>
    <w:tmpl w:val="5D64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86AEB"/>
    <w:multiLevelType w:val="multilevel"/>
    <w:tmpl w:val="146C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35B59"/>
    <w:multiLevelType w:val="hybridMultilevel"/>
    <w:tmpl w:val="72441F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E2BDE"/>
    <w:multiLevelType w:val="hybridMultilevel"/>
    <w:tmpl w:val="4210D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5775C"/>
    <w:multiLevelType w:val="multilevel"/>
    <w:tmpl w:val="3640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6A5F5B"/>
    <w:multiLevelType w:val="hybridMultilevel"/>
    <w:tmpl w:val="00284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64EB9"/>
    <w:multiLevelType w:val="multilevel"/>
    <w:tmpl w:val="BFD8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A57680"/>
    <w:multiLevelType w:val="hybridMultilevel"/>
    <w:tmpl w:val="AEAEB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960C8"/>
    <w:multiLevelType w:val="multilevel"/>
    <w:tmpl w:val="2434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5E1559"/>
    <w:multiLevelType w:val="multilevel"/>
    <w:tmpl w:val="7B1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936BAA"/>
    <w:multiLevelType w:val="multilevel"/>
    <w:tmpl w:val="64825B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2307EC"/>
    <w:multiLevelType w:val="hybridMultilevel"/>
    <w:tmpl w:val="146A7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22421"/>
    <w:multiLevelType w:val="multilevel"/>
    <w:tmpl w:val="6D9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4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9"/>
  </w:num>
  <w:num w:numId="10">
    <w:abstractNumId w:val="15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 w:numId="15">
    <w:abstractNumId w:val="5"/>
  </w:num>
  <w:num w:numId="16">
    <w:abstractNumId w:val="16"/>
  </w:num>
  <w:num w:numId="17">
    <w:abstractNumId w:val="3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22"/>
    <w:rsid w:val="000001EA"/>
    <w:rsid w:val="00002C2C"/>
    <w:rsid w:val="00004CD7"/>
    <w:rsid w:val="00013514"/>
    <w:rsid w:val="00020118"/>
    <w:rsid w:val="00021513"/>
    <w:rsid w:val="00023F33"/>
    <w:rsid w:val="00025C9D"/>
    <w:rsid w:val="00032048"/>
    <w:rsid w:val="00034480"/>
    <w:rsid w:val="000359E3"/>
    <w:rsid w:val="000444CD"/>
    <w:rsid w:val="00046182"/>
    <w:rsid w:val="0006100C"/>
    <w:rsid w:val="00070402"/>
    <w:rsid w:val="00075E79"/>
    <w:rsid w:val="00082726"/>
    <w:rsid w:val="00082B2A"/>
    <w:rsid w:val="00095F93"/>
    <w:rsid w:val="000A0748"/>
    <w:rsid w:val="000A2F2E"/>
    <w:rsid w:val="000A2FC8"/>
    <w:rsid w:val="000B3912"/>
    <w:rsid w:val="000B4913"/>
    <w:rsid w:val="000C5D73"/>
    <w:rsid w:val="000D1263"/>
    <w:rsid w:val="000F0BFF"/>
    <w:rsid w:val="000F3482"/>
    <w:rsid w:val="001018EC"/>
    <w:rsid w:val="00105CB3"/>
    <w:rsid w:val="00110793"/>
    <w:rsid w:val="001113B1"/>
    <w:rsid w:val="001171D7"/>
    <w:rsid w:val="00117278"/>
    <w:rsid w:val="00122CD7"/>
    <w:rsid w:val="00123230"/>
    <w:rsid w:val="001415C5"/>
    <w:rsid w:val="00151659"/>
    <w:rsid w:val="0015399E"/>
    <w:rsid w:val="001548A0"/>
    <w:rsid w:val="00155301"/>
    <w:rsid w:val="00156E0E"/>
    <w:rsid w:val="001630E1"/>
    <w:rsid w:val="0016335A"/>
    <w:rsid w:val="00173856"/>
    <w:rsid w:val="00184796"/>
    <w:rsid w:val="00184A5F"/>
    <w:rsid w:val="00186CB4"/>
    <w:rsid w:val="00190FCE"/>
    <w:rsid w:val="00193F20"/>
    <w:rsid w:val="00194A0B"/>
    <w:rsid w:val="001A7B37"/>
    <w:rsid w:val="001B7E6E"/>
    <w:rsid w:val="001C5AE1"/>
    <w:rsid w:val="001E0414"/>
    <w:rsid w:val="0020700C"/>
    <w:rsid w:val="002120CB"/>
    <w:rsid w:val="002155BD"/>
    <w:rsid w:val="00216AAB"/>
    <w:rsid w:val="0022153D"/>
    <w:rsid w:val="002261DD"/>
    <w:rsid w:val="002303F1"/>
    <w:rsid w:val="00232A82"/>
    <w:rsid w:val="00236CF1"/>
    <w:rsid w:val="002519D8"/>
    <w:rsid w:val="00252449"/>
    <w:rsid w:val="00256385"/>
    <w:rsid w:val="0026395A"/>
    <w:rsid w:val="00280012"/>
    <w:rsid w:val="0028148D"/>
    <w:rsid w:val="0028176C"/>
    <w:rsid w:val="0029005C"/>
    <w:rsid w:val="00290C6D"/>
    <w:rsid w:val="002950CF"/>
    <w:rsid w:val="002A3833"/>
    <w:rsid w:val="002B2E0E"/>
    <w:rsid w:val="002B38F8"/>
    <w:rsid w:val="002C4F3F"/>
    <w:rsid w:val="002C77CE"/>
    <w:rsid w:val="002D34B1"/>
    <w:rsid w:val="002E1F1C"/>
    <w:rsid w:val="002E2641"/>
    <w:rsid w:val="002E348B"/>
    <w:rsid w:val="002E56B6"/>
    <w:rsid w:val="002E7D3E"/>
    <w:rsid w:val="002F2F6B"/>
    <w:rsid w:val="002F39D4"/>
    <w:rsid w:val="002F5A94"/>
    <w:rsid w:val="00301793"/>
    <w:rsid w:val="0030239A"/>
    <w:rsid w:val="00302DBB"/>
    <w:rsid w:val="00304E37"/>
    <w:rsid w:val="00320A9A"/>
    <w:rsid w:val="00322AFA"/>
    <w:rsid w:val="00325129"/>
    <w:rsid w:val="003265F5"/>
    <w:rsid w:val="00327158"/>
    <w:rsid w:val="00327470"/>
    <w:rsid w:val="00327C9A"/>
    <w:rsid w:val="00333023"/>
    <w:rsid w:val="0033490A"/>
    <w:rsid w:val="00334F10"/>
    <w:rsid w:val="0034232D"/>
    <w:rsid w:val="0035642E"/>
    <w:rsid w:val="0036070C"/>
    <w:rsid w:val="003675F8"/>
    <w:rsid w:val="00371AF6"/>
    <w:rsid w:val="0037474A"/>
    <w:rsid w:val="00375FEE"/>
    <w:rsid w:val="00381DCD"/>
    <w:rsid w:val="003828E4"/>
    <w:rsid w:val="003945DC"/>
    <w:rsid w:val="003A592A"/>
    <w:rsid w:val="003A7636"/>
    <w:rsid w:val="003B0858"/>
    <w:rsid w:val="003B209E"/>
    <w:rsid w:val="003B4AB7"/>
    <w:rsid w:val="003B589D"/>
    <w:rsid w:val="003C1622"/>
    <w:rsid w:val="003C1F3A"/>
    <w:rsid w:val="003D1127"/>
    <w:rsid w:val="003D3985"/>
    <w:rsid w:val="003D68C9"/>
    <w:rsid w:val="003E0029"/>
    <w:rsid w:val="003E06C4"/>
    <w:rsid w:val="003E0D19"/>
    <w:rsid w:val="003E5C40"/>
    <w:rsid w:val="003F0DC2"/>
    <w:rsid w:val="003F1157"/>
    <w:rsid w:val="003F49DA"/>
    <w:rsid w:val="00411FAB"/>
    <w:rsid w:val="00421466"/>
    <w:rsid w:val="004301C8"/>
    <w:rsid w:val="004337ED"/>
    <w:rsid w:val="004374D4"/>
    <w:rsid w:val="0044030E"/>
    <w:rsid w:val="00441E0D"/>
    <w:rsid w:val="00443D63"/>
    <w:rsid w:val="004444FE"/>
    <w:rsid w:val="00450E19"/>
    <w:rsid w:val="00451564"/>
    <w:rsid w:val="00454D58"/>
    <w:rsid w:val="00465802"/>
    <w:rsid w:val="00480B55"/>
    <w:rsid w:val="004824F5"/>
    <w:rsid w:val="004842FB"/>
    <w:rsid w:val="004925E2"/>
    <w:rsid w:val="00493A61"/>
    <w:rsid w:val="004956E5"/>
    <w:rsid w:val="004A7650"/>
    <w:rsid w:val="004A7FE5"/>
    <w:rsid w:val="004C2A36"/>
    <w:rsid w:val="004C73E4"/>
    <w:rsid w:val="004D1FF8"/>
    <w:rsid w:val="004D3B59"/>
    <w:rsid w:val="004E141D"/>
    <w:rsid w:val="004F107C"/>
    <w:rsid w:val="004F2D07"/>
    <w:rsid w:val="004F6D4D"/>
    <w:rsid w:val="004F6F88"/>
    <w:rsid w:val="005027C5"/>
    <w:rsid w:val="0050656B"/>
    <w:rsid w:val="005078D2"/>
    <w:rsid w:val="00513768"/>
    <w:rsid w:val="005214DA"/>
    <w:rsid w:val="00527E3A"/>
    <w:rsid w:val="0053254E"/>
    <w:rsid w:val="00537576"/>
    <w:rsid w:val="005378C2"/>
    <w:rsid w:val="00542E44"/>
    <w:rsid w:val="00554541"/>
    <w:rsid w:val="00556ADF"/>
    <w:rsid w:val="00561BCD"/>
    <w:rsid w:val="005622A7"/>
    <w:rsid w:val="0057161C"/>
    <w:rsid w:val="00572D83"/>
    <w:rsid w:val="0057361A"/>
    <w:rsid w:val="00574ED0"/>
    <w:rsid w:val="00576153"/>
    <w:rsid w:val="00580594"/>
    <w:rsid w:val="00584984"/>
    <w:rsid w:val="0058752B"/>
    <w:rsid w:val="00593DE5"/>
    <w:rsid w:val="00593F3F"/>
    <w:rsid w:val="005B456A"/>
    <w:rsid w:val="005B7D8E"/>
    <w:rsid w:val="005C4977"/>
    <w:rsid w:val="005C4EAB"/>
    <w:rsid w:val="005C652B"/>
    <w:rsid w:val="005D0DD3"/>
    <w:rsid w:val="005D60F7"/>
    <w:rsid w:val="005D6895"/>
    <w:rsid w:val="005D75B2"/>
    <w:rsid w:val="005E0EE9"/>
    <w:rsid w:val="005E2901"/>
    <w:rsid w:val="005E4AFF"/>
    <w:rsid w:val="005F5D86"/>
    <w:rsid w:val="005F66E0"/>
    <w:rsid w:val="00603620"/>
    <w:rsid w:val="00603FEB"/>
    <w:rsid w:val="00605106"/>
    <w:rsid w:val="006072F0"/>
    <w:rsid w:val="00607768"/>
    <w:rsid w:val="00613A6C"/>
    <w:rsid w:val="00614944"/>
    <w:rsid w:val="00617B49"/>
    <w:rsid w:val="00621734"/>
    <w:rsid w:val="00626E36"/>
    <w:rsid w:val="00630671"/>
    <w:rsid w:val="00630C3B"/>
    <w:rsid w:val="00637078"/>
    <w:rsid w:val="00640575"/>
    <w:rsid w:val="00642829"/>
    <w:rsid w:val="00645618"/>
    <w:rsid w:val="00645CA6"/>
    <w:rsid w:val="00651D04"/>
    <w:rsid w:val="006573D1"/>
    <w:rsid w:val="00665B84"/>
    <w:rsid w:val="00665D03"/>
    <w:rsid w:val="00672B54"/>
    <w:rsid w:val="0067561D"/>
    <w:rsid w:val="00676413"/>
    <w:rsid w:val="00676B23"/>
    <w:rsid w:val="00677253"/>
    <w:rsid w:val="00684E9E"/>
    <w:rsid w:val="00685794"/>
    <w:rsid w:val="00685FA7"/>
    <w:rsid w:val="00690161"/>
    <w:rsid w:val="00693627"/>
    <w:rsid w:val="00694BEA"/>
    <w:rsid w:val="006A341F"/>
    <w:rsid w:val="006B33C0"/>
    <w:rsid w:val="006B39CD"/>
    <w:rsid w:val="006B3E0A"/>
    <w:rsid w:val="006B7F65"/>
    <w:rsid w:val="006C040F"/>
    <w:rsid w:val="006C0671"/>
    <w:rsid w:val="006C1052"/>
    <w:rsid w:val="006C3DBF"/>
    <w:rsid w:val="006C4394"/>
    <w:rsid w:val="006C43D5"/>
    <w:rsid w:val="006C5CFC"/>
    <w:rsid w:val="006C6367"/>
    <w:rsid w:val="006D17EA"/>
    <w:rsid w:val="006E3D1A"/>
    <w:rsid w:val="006E45F9"/>
    <w:rsid w:val="006F1665"/>
    <w:rsid w:val="006F20CB"/>
    <w:rsid w:val="006F322F"/>
    <w:rsid w:val="006F7629"/>
    <w:rsid w:val="0070007D"/>
    <w:rsid w:val="007005FE"/>
    <w:rsid w:val="00701353"/>
    <w:rsid w:val="00704418"/>
    <w:rsid w:val="00705029"/>
    <w:rsid w:val="00712EBD"/>
    <w:rsid w:val="007130A2"/>
    <w:rsid w:val="007143E6"/>
    <w:rsid w:val="00715B23"/>
    <w:rsid w:val="007250E5"/>
    <w:rsid w:val="007257BB"/>
    <w:rsid w:val="00725ED5"/>
    <w:rsid w:val="00735FDA"/>
    <w:rsid w:val="00742BEF"/>
    <w:rsid w:val="00756936"/>
    <w:rsid w:val="00762A8B"/>
    <w:rsid w:val="00766D45"/>
    <w:rsid w:val="007758BD"/>
    <w:rsid w:val="007813B7"/>
    <w:rsid w:val="00785B83"/>
    <w:rsid w:val="00787E0D"/>
    <w:rsid w:val="00793816"/>
    <w:rsid w:val="0079403B"/>
    <w:rsid w:val="00795598"/>
    <w:rsid w:val="0079758B"/>
    <w:rsid w:val="007A13E9"/>
    <w:rsid w:val="007A4A8C"/>
    <w:rsid w:val="007B3D87"/>
    <w:rsid w:val="007B58D5"/>
    <w:rsid w:val="007C020C"/>
    <w:rsid w:val="007D07FE"/>
    <w:rsid w:val="007D1619"/>
    <w:rsid w:val="007D2133"/>
    <w:rsid w:val="007D7E59"/>
    <w:rsid w:val="007E156D"/>
    <w:rsid w:val="007E252F"/>
    <w:rsid w:val="007E49A7"/>
    <w:rsid w:val="007F1313"/>
    <w:rsid w:val="007F2F9B"/>
    <w:rsid w:val="007F3940"/>
    <w:rsid w:val="007F7047"/>
    <w:rsid w:val="00807E6C"/>
    <w:rsid w:val="00812FB5"/>
    <w:rsid w:val="00815EFA"/>
    <w:rsid w:val="008166E8"/>
    <w:rsid w:val="0081679E"/>
    <w:rsid w:val="00817EF5"/>
    <w:rsid w:val="008221F8"/>
    <w:rsid w:val="00823ACE"/>
    <w:rsid w:val="008260D1"/>
    <w:rsid w:val="00846DED"/>
    <w:rsid w:val="008471BB"/>
    <w:rsid w:val="00847743"/>
    <w:rsid w:val="0085310D"/>
    <w:rsid w:val="00856883"/>
    <w:rsid w:val="00861DEF"/>
    <w:rsid w:val="0086263E"/>
    <w:rsid w:val="00862938"/>
    <w:rsid w:val="00874706"/>
    <w:rsid w:val="00874AB9"/>
    <w:rsid w:val="0088247D"/>
    <w:rsid w:val="00884CE2"/>
    <w:rsid w:val="00886399"/>
    <w:rsid w:val="008903B1"/>
    <w:rsid w:val="008914D7"/>
    <w:rsid w:val="008920B5"/>
    <w:rsid w:val="00892835"/>
    <w:rsid w:val="00893515"/>
    <w:rsid w:val="00895838"/>
    <w:rsid w:val="008A52E8"/>
    <w:rsid w:val="008A5449"/>
    <w:rsid w:val="008A61A7"/>
    <w:rsid w:val="008B2AD6"/>
    <w:rsid w:val="008B6EFB"/>
    <w:rsid w:val="008C064F"/>
    <w:rsid w:val="008C50A2"/>
    <w:rsid w:val="008E134E"/>
    <w:rsid w:val="008E44A3"/>
    <w:rsid w:val="008E74DD"/>
    <w:rsid w:val="008F7640"/>
    <w:rsid w:val="00900554"/>
    <w:rsid w:val="0090499A"/>
    <w:rsid w:val="0090545B"/>
    <w:rsid w:val="009200F4"/>
    <w:rsid w:val="00923323"/>
    <w:rsid w:val="00924B4E"/>
    <w:rsid w:val="009311F7"/>
    <w:rsid w:val="00946361"/>
    <w:rsid w:val="009540C9"/>
    <w:rsid w:val="009616AF"/>
    <w:rsid w:val="00963454"/>
    <w:rsid w:val="009656BE"/>
    <w:rsid w:val="00982AFF"/>
    <w:rsid w:val="00995007"/>
    <w:rsid w:val="009A23C1"/>
    <w:rsid w:val="009A5C81"/>
    <w:rsid w:val="009C1A65"/>
    <w:rsid w:val="009C4934"/>
    <w:rsid w:val="009C4B06"/>
    <w:rsid w:val="009D40AA"/>
    <w:rsid w:val="009D63E3"/>
    <w:rsid w:val="009E3911"/>
    <w:rsid w:val="00A01202"/>
    <w:rsid w:val="00A01356"/>
    <w:rsid w:val="00A03B4A"/>
    <w:rsid w:val="00A05911"/>
    <w:rsid w:val="00A07CCF"/>
    <w:rsid w:val="00A10C78"/>
    <w:rsid w:val="00A32C22"/>
    <w:rsid w:val="00A367B4"/>
    <w:rsid w:val="00A40CCA"/>
    <w:rsid w:val="00A4709A"/>
    <w:rsid w:val="00A52CAD"/>
    <w:rsid w:val="00A5507E"/>
    <w:rsid w:val="00A55667"/>
    <w:rsid w:val="00A560E8"/>
    <w:rsid w:val="00A6658A"/>
    <w:rsid w:val="00A8720B"/>
    <w:rsid w:val="00A9031F"/>
    <w:rsid w:val="00A90901"/>
    <w:rsid w:val="00A94B49"/>
    <w:rsid w:val="00A97B19"/>
    <w:rsid w:val="00AA2AB8"/>
    <w:rsid w:val="00AA3250"/>
    <w:rsid w:val="00AB00CE"/>
    <w:rsid w:val="00AB47F1"/>
    <w:rsid w:val="00AC105A"/>
    <w:rsid w:val="00AC46BB"/>
    <w:rsid w:val="00AC6FA8"/>
    <w:rsid w:val="00AC7284"/>
    <w:rsid w:val="00AD0B08"/>
    <w:rsid w:val="00AD290E"/>
    <w:rsid w:val="00AD3E7D"/>
    <w:rsid w:val="00AD4294"/>
    <w:rsid w:val="00AE0C15"/>
    <w:rsid w:val="00AE5B3C"/>
    <w:rsid w:val="00AF11F0"/>
    <w:rsid w:val="00AF2BE0"/>
    <w:rsid w:val="00AF3A59"/>
    <w:rsid w:val="00AF7DC5"/>
    <w:rsid w:val="00B002CD"/>
    <w:rsid w:val="00B003D9"/>
    <w:rsid w:val="00B06BC4"/>
    <w:rsid w:val="00B1090A"/>
    <w:rsid w:val="00B17B91"/>
    <w:rsid w:val="00B204E7"/>
    <w:rsid w:val="00B301C9"/>
    <w:rsid w:val="00B31C55"/>
    <w:rsid w:val="00B33D91"/>
    <w:rsid w:val="00B340FC"/>
    <w:rsid w:val="00B40AA3"/>
    <w:rsid w:val="00B44AA3"/>
    <w:rsid w:val="00B50385"/>
    <w:rsid w:val="00B572CD"/>
    <w:rsid w:val="00B704C7"/>
    <w:rsid w:val="00B71C1C"/>
    <w:rsid w:val="00B7438E"/>
    <w:rsid w:val="00B800D0"/>
    <w:rsid w:val="00B8075B"/>
    <w:rsid w:val="00B86A1B"/>
    <w:rsid w:val="00B974F5"/>
    <w:rsid w:val="00B97D47"/>
    <w:rsid w:val="00BA0567"/>
    <w:rsid w:val="00BA120D"/>
    <w:rsid w:val="00BA39A6"/>
    <w:rsid w:val="00BA713C"/>
    <w:rsid w:val="00BB27AA"/>
    <w:rsid w:val="00BD14B0"/>
    <w:rsid w:val="00BD241A"/>
    <w:rsid w:val="00BD530D"/>
    <w:rsid w:val="00BD5BFD"/>
    <w:rsid w:val="00BE06EB"/>
    <w:rsid w:val="00BE6235"/>
    <w:rsid w:val="00BE670F"/>
    <w:rsid w:val="00BE6751"/>
    <w:rsid w:val="00C013ED"/>
    <w:rsid w:val="00C03D81"/>
    <w:rsid w:val="00C0514C"/>
    <w:rsid w:val="00C14E41"/>
    <w:rsid w:val="00C16A56"/>
    <w:rsid w:val="00C174CE"/>
    <w:rsid w:val="00C179E0"/>
    <w:rsid w:val="00C215F8"/>
    <w:rsid w:val="00C24C0A"/>
    <w:rsid w:val="00C30C9F"/>
    <w:rsid w:val="00C40D6C"/>
    <w:rsid w:val="00C440A0"/>
    <w:rsid w:val="00C459AE"/>
    <w:rsid w:val="00C512ED"/>
    <w:rsid w:val="00C57F68"/>
    <w:rsid w:val="00C60CC2"/>
    <w:rsid w:val="00C611B5"/>
    <w:rsid w:val="00C6752E"/>
    <w:rsid w:val="00C67836"/>
    <w:rsid w:val="00C703AA"/>
    <w:rsid w:val="00C71E4E"/>
    <w:rsid w:val="00C73CAA"/>
    <w:rsid w:val="00C84906"/>
    <w:rsid w:val="00C8629E"/>
    <w:rsid w:val="00C8770B"/>
    <w:rsid w:val="00C87B8F"/>
    <w:rsid w:val="00C960F7"/>
    <w:rsid w:val="00CA0384"/>
    <w:rsid w:val="00CB0767"/>
    <w:rsid w:val="00CB154F"/>
    <w:rsid w:val="00CB442A"/>
    <w:rsid w:val="00CB6CF5"/>
    <w:rsid w:val="00CB7A04"/>
    <w:rsid w:val="00CC1B61"/>
    <w:rsid w:val="00CC5C60"/>
    <w:rsid w:val="00CC60F0"/>
    <w:rsid w:val="00CC68B9"/>
    <w:rsid w:val="00CD08FE"/>
    <w:rsid w:val="00CD113D"/>
    <w:rsid w:val="00CE5929"/>
    <w:rsid w:val="00CF14B3"/>
    <w:rsid w:val="00D05959"/>
    <w:rsid w:val="00D10AA1"/>
    <w:rsid w:val="00D1447B"/>
    <w:rsid w:val="00D14C62"/>
    <w:rsid w:val="00D15DCC"/>
    <w:rsid w:val="00D15EDF"/>
    <w:rsid w:val="00D26C60"/>
    <w:rsid w:val="00D31192"/>
    <w:rsid w:val="00D37819"/>
    <w:rsid w:val="00D41897"/>
    <w:rsid w:val="00D5026B"/>
    <w:rsid w:val="00D52BCE"/>
    <w:rsid w:val="00D530DB"/>
    <w:rsid w:val="00D55CF3"/>
    <w:rsid w:val="00D56116"/>
    <w:rsid w:val="00D60184"/>
    <w:rsid w:val="00D704FB"/>
    <w:rsid w:val="00D723B1"/>
    <w:rsid w:val="00D75F4E"/>
    <w:rsid w:val="00D84733"/>
    <w:rsid w:val="00D84B3D"/>
    <w:rsid w:val="00D92577"/>
    <w:rsid w:val="00D965F6"/>
    <w:rsid w:val="00DA18A1"/>
    <w:rsid w:val="00DA2511"/>
    <w:rsid w:val="00DA41AC"/>
    <w:rsid w:val="00DA4C30"/>
    <w:rsid w:val="00DA7F43"/>
    <w:rsid w:val="00DB33F5"/>
    <w:rsid w:val="00DB3C2D"/>
    <w:rsid w:val="00DB5549"/>
    <w:rsid w:val="00DB6B52"/>
    <w:rsid w:val="00DB78C6"/>
    <w:rsid w:val="00DC2472"/>
    <w:rsid w:val="00DC35CC"/>
    <w:rsid w:val="00DC6010"/>
    <w:rsid w:val="00DD2C7F"/>
    <w:rsid w:val="00DD6A79"/>
    <w:rsid w:val="00DD77B7"/>
    <w:rsid w:val="00DE0270"/>
    <w:rsid w:val="00DE5092"/>
    <w:rsid w:val="00DE64CA"/>
    <w:rsid w:val="00DF3A2E"/>
    <w:rsid w:val="00E05702"/>
    <w:rsid w:val="00E10C23"/>
    <w:rsid w:val="00E12920"/>
    <w:rsid w:val="00E23560"/>
    <w:rsid w:val="00E27FA7"/>
    <w:rsid w:val="00E337FD"/>
    <w:rsid w:val="00E348BA"/>
    <w:rsid w:val="00E40929"/>
    <w:rsid w:val="00E42BC1"/>
    <w:rsid w:val="00E44117"/>
    <w:rsid w:val="00E479BF"/>
    <w:rsid w:val="00E479CB"/>
    <w:rsid w:val="00E5722F"/>
    <w:rsid w:val="00E623DD"/>
    <w:rsid w:val="00E625E2"/>
    <w:rsid w:val="00E73D4F"/>
    <w:rsid w:val="00E7523A"/>
    <w:rsid w:val="00E8119C"/>
    <w:rsid w:val="00E915B8"/>
    <w:rsid w:val="00E9339E"/>
    <w:rsid w:val="00E95CAC"/>
    <w:rsid w:val="00E97C56"/>
    <w:rsid w:val="00EA188A"/>
    <w:rsid w:val="00EA3089"/>
    <w:rsid w:val="00EA7DB9"/>
    <w:rsid w:val="00EB6C8F"/>
    <w:rsid w:val="00EC0F91"/>
    <w:rsid w:val="00EC2BBA"/>
    <w:rsid w:val="00EC34B7"/>
    <w:rsid w:val="00EC47C4"/>
    <w:rsid w:val="00ED0D5D"/>
    <w:rsid w:val="00ED3CF4"/>
    <w:rsid w:val="00ED4302"/>
    <w:rsid w:val="00ED45C6"/>
    <w:rsid w:val="00ED5769"/>
    <w:rsid w:val="00ED7222"/>
    <w:rsid w:val="00EE17ED"/>
    <w:rsid w:val="00EF04BB"/>
    <w:rsid w:val="00EF41F9"/>
    <w:rsid w:val="00EF5A53"/>
    <w:rsid w:val="00EF6107"/>
    <w:rsid w:val="00EF770D"/>
    <w:rsid w:val="00F0247B"/>
    <w:rsid w:val="00F156E9"/>
    <w:rsid w:val="00F21556"/>
    <w:rsid w:val="00F27798"/>
    <w:rsid w:val="00F30B67"/>
    <w:rsid w:val="00F31D33"/>
    <w:rsid w:val="00F435E4"/>
    <w:rsid w:val="00F44442"/>
    <w:rsid w:val="00F4673B"/>
    <w:rsid w:val="00F51031"/>
    <w:rsid w:val="00F51792"/>
    <w:rsid w:val="00F521C3"/>
    <w:rsid w:val="00F56AC9"/>
    <w:rsid w:val="00F56EC1"/>
    <w:rsid w:val="00F62515"/>
    <w:rsid w:val="00F63F92"/>
    <w:rsid w:val="00F66A14"/>
    <w:rsid w:val="00F715F0"/>
    <w:rsid w:val="00F77EC0"/>
    <w:rsid w:val="00F8708A"/>
    <w:rsid w:val="00F91B10"/>
    <w:rsid w:val="00F93ACD"/>
    <w:rsid w:val="00F94DC5"/>
    <w:rsid w:val="00F953EF"/>
    <w:rsid w:val="00F9641B"/>
    <w:rsid w:val="00FA04F9"/>
    <w:rsid w:val="00FA4E26"/>
    <w:rsid w:val="00FB3048"/>
    <w:rsid w:val="00FB49D5"/>
    <w:rsid w:val="00FB5500"/>
    <w:rsid w:val="00FB5BAA"/>
    <w:rsid w:val="00FC0C7C"/>
    <w:rsid w:val="00FC13E1"/>
    <w:rsid w:val="00FC3E1F"/>
    <w:rsid w:val="00FC6561"/>
    <w:rsid w:val="00FC7A44"/>
    <w:rsid w:val="00FC7B1E"/>
    <w:rsid w:val="00FD48DC"/>
    <w:rsid w:val="00FD4962"/>
    <w:rsid w:val="00FD7B66"/>
    <w:rsid w:val="00FE4A23"/>
    <w:rsid w:val="00FF2D57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D161A"/>
  <w15:chartTrackingRefBased/>
  <w15:docId w15:val="{723665E7-D5D1-4480-9A3F-D3580FD6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2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tulo2">
    <w:name w:val="heading 2"/>
    <w:basedOn w:val="Normal"/>
    <w:link w:val="Ttulo2Car"/>
    <w:uiPriority w:val="9"/>
    <w:qFormat/>
    <w:rsid w:val="00A32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C2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A32C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A3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vnculo">
    <w:name w:val="Hyperlink"/>
    <w:basedOn w:val="Fuentedeprrafopredeter"/>
    <w:uiPriority w:val="99"/>
    <w:unhideWhenUsed/>
    <w:rsid w:val="00A32C22"/>
    <w:rPr>
      <w:color w:val="0000FF"/>
      <w:u w:val="single"/>
    </w:rPr>
  </w:style>
  <w:style w:type="character" w:customStyle="1" w:styleId="activity-link">
    <w:name w:val="activity-link"/>
    <w:basedOn w:val="Fuentedeprrafopredeter"/>
    <w:rsid w:val="00A32C22"/>
  </w:style>
  <w:style w:type="paragraph" w:styleId="Textonotapie">
    <w:name w:val="footnote text"/>
    <w:basedOn w:val="Normal"/>
    <w:link w:val="TextonotapieCar"/>
    <w:uiPriority w:val="99"/>
    <w:unhideWhenUsed/>
    <w:rsid w:val="007F3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39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7F394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7F39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F39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F3940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438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82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726"/>
  </w:style>
  <w:style w:type="paragraph" w:styleId="Piedepgina">
    <w:name w:val="footer"/>
    <w:basedOn w:val="Normal"/>
    <w:link w:val="PiedepginaCar"/>
    <w:uiPriority w:val="99"/>
    <w:unhideWhenUsed/>
    <w:rsid w:val="00082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726"/>
  </w:style>
  <w:style w:type="paragraph" w:styleId="Prrafodelista">
    <w:name w:val="List Paragraph"/>
    <w:basedOn w:val="Normal"/>
    <w:uiPriority w:val="34"/>
    <w:qFormat/>
    <w:rsid w:val="00AE0C15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6C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4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4F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4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4F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4F10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04E3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B5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950CF"/>
    <w:pPr>
      <w:spacing w:after="0" w:line="240" w:lineRule="auto"/>
    </w:pPr>
  </w:style>
  <w:style w:type="character" w:customStyle="1" w:styleId="markedcontent">
    <w:name w:val="markedcontent"/>
    <w:basedOn w:val="Fuentedeprrafopredeter"/>
    <w:rsid w:val="005078D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7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0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  <w:div w:id="13605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129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  <w:div w:id="15249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pred.cdmx.gob.mx/storage/app/media/Encuesta-Impacto-diferenciado-de-la-covid19-en-la-comunidad-lgbttti-en-Mexico.pdf" TargetMode="External"/><Relationship Id="rId18" Type="http://schemas.openxmlformats.org/officeDocument/2006/relationships/hyperlink" Target="http://inprf.gob.mx/psicosociales/encodat.html" TargetMode="External"/><Relationship Id="rId26" Type="http://schemas.openxmlformats.org/officeDocument/2006/relationships/hyperlink" Target="https://www.sitios.scjn.gob.mx/cec/blog-cec/el-pin-parental-una-amenaza-al-derecho-la-educacion-sexual-en-mexic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cjn.gob.mx/sites/default/files/proyectos_resolucion_scjn/documento/2021-08/AI%20148.2017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dhcm.org.mx/wp-content/uploads/2019/05/DH_Personas_LGBTTTI.pdf" TargetMode="External"/><Relationship Id="rId17" Type="http://schemas.openxmlformats.org/officeDocument/2006/relationships/hyperlink" Target="https://www.iapa.cdmx.gob.mx/" TargetMode="External"/><Relationship Id="rId25" Type="http://schemas.openxmlformats.org/officeDocument/2006/relationships/hyperlink" Target="https://www.proudclinic.com.mx/sobre-proud-clinic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desacdmx.mx/pdf/RespuestaCDMXvFin.pdf" TargetMode="External"/><Relationship Id="rId20" Type="http://schemas.openxmlformats.org/officeDocument/2006/relationships/hyperlink" Target="https://paot.org.mx/centro/leyes/df/pdf/2021/Ley_reconcocimiento_atencion_LGBTTTI_CDMX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apred.org.mx/userfiles/files/Presentacioon_ENDOSIG_16_05_2019.pdf" TargetMode="External"/><Relationship Id="rId24" Type="http://schemas.openxmlformats.org/officeDocument/2006/relationships/hyperlink" Target="https://www.facebook.com/CentroComunitarioLGBTTT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b.mx/censida" TargetMode="External"/><Relationship Id="rId23" Type="http://schemas.openxmlformats.org/officeDocument/2006/relationships/hyperlink" Target="https://www.gob.mx/salud/conadic/acciones-y-programas/centro-de-atencion-ciudadana-contra-las-adicciones-134381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conapred.org.mx/userfiles/files/Presentacioon_ENDOSIG_16_05_2019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b.mx/censida/documentos/epidemiologia-registro-nacional-de-casos-de-sida" TargetMode="External"/><Relationship Id="rId22" Type="http://schemas.openxmlformats.org/officeDocument/2006/relationships/hyperlink" Target="https://www.gob.mx/cms/uploads/attachment/file/558167/Versi_n_15_DE_JUNIO_2020_Protocolo_Comunidad_LGBTTI_DT_Versi_n_V_20.pdf" TargetMode="External"/><Relationship Id="rId27" Type="http://schemas.openxmlformats.org/officeDocument/2006/relationships/hyperlink" Target="https://www.gob.mx/cms/uploads/attachment/file/558167/Versi_n_15_DE_JUNIO_2020_Protocolo_Comunidad_LGBTTI_DT_Versi_n_V_20.pdf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is.salud.gob.mx/contenidos/sis/formatos202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NHRIs</Category>
    <Doctype xmlns="d42e65b2-cf21-49c1-b27d-d23f90380c0e">input</Doctype>
    <Contributor xmlns="d42e65b2-cf21-49c1-b27d-d23f90380c0e">Mexico - Comisión de Derechos Humanos de la Ciudad de Mexico</Contributor>
    <Postingdate xmlns="d42e65b2-cf21-49c1-b27d-d23f90380c0e" xsi:nil="true"/>
    <Postedonline xmlns="d42e65b2-cf21-49c1-b27d-d23f90380c0e">false</Postedonlin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8a2eb13a65b4e39aade0e9a12fb96aa2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146a154732f6d1bf5d08156947e941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C9AA6-D52E-40C2-90D1-88E9388C48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816E5B-29DF-4156-B296-693444120C55}"/>
</file>

<file path=customXml/itemProps3.xml><?xml version="1.0" encoding="utf-8"?>
<ds:datastoreItem xmlns:ds="http://schemas.openxmlformats.org/officeDocument/2006/customXml" ds:itemID="{163F1608-9A59-B847-B776-7C222C93EF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3A954-7367-4800-AE1E-0155ED06F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2650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cdhcm</dc:creator>
  <cp:keywords/>
  <dc:description/>
  <cp:lastModifiedBy>Areli Barranco</cp:lastModifiedBy>
  <cp:revision>4</cp:revision>
  <dcterms:created xsi:type="dcterms:W3CDTF">2022-02-08T03:09:00Z</dcterms:created>
  <dcterms:modified xsi:type="dcterms:W3CDTF">2022-02-08T04:05:00Z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