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E5CAC" w14:textId="77777777" w:rsidR="00B13208" w:rsidRDefault="00B13208" w:rsidP="001E4941">
      <w:pPr>
        <w:spacing w:line="240" w:lineRule="auto"/>
        <w:jc w:val="center"/>
        <w:rPr>
          <w:rFonts w:asciiTheme="majorHAnsi" w:hAnsiTheme="majorHAnsi" w:cstheme="majorHAnsi"/>
          <w:b/>
          <w:bCs/>
          <w:sz w:val="28"/>
          <w:szCs w:val="28"/>
        </w:rPr>
      </w:pPr>
    </w:p>
    <w:p w14:paraId="63264E0C" w14:textId="77777777" w:rsidR="00B13208" w:rsidRDefault="00B13208" w:rsidP="00B13208">
      <w:pPr>
        <w:pStyle w:val="Header"/>
        <w:jc w:val="center"/>
        <w:rPr>
          <w:rFonts w:ascii="Monotype Corsiva" w:hAnsi="Monotype Corsiva"/>
          <w:b/>
          <w:sz w:val="32"/>
          <w:lang w:val="es-MX"/>
        </w:rPr>
      </w:pPr>
      <w:r w:rsidRPr="007900E9">
        <w:rPr>
          <w:rFonts w:ascii="Monotype Corsiva" w:hAnsi="Monotype Corsiva"/>
          <w:b/>
          <w:sz w:val="32"/>
          <w:lang w:val="es-MX"/>
        </w:rPr>
        <w:t>Dirección General de Política Exterior</w:t>
      </w:r>
    </w:p>
    <w:p w14:paraId="4F8D118D" w14:textId="77777777" w:rsidR="00B13208" w:rsidRPr="007900E9" w:rsidRDefault="00B13208" w:rsidP="00B13208">
      <w:pPr>
        <w:pStyle w:val="Header"/>
        <w:jc w:val="center"/>
        <w:rPr>
          <w:rFonts w:ascii="Monotype Corsiva" w:hAnsi="Monotype Corsiva"/>
          <w:b/>
          <w:sz w:val="32"/>
          <w:lang w:val="es-MX"/>
        </w:rPr>
      </w:pPr>
      <w:r>
        <w:rPr>
          <w:rFonts w:ascii="Monotype Corsiva" w:hAnsi="Monotype Corsiva"/>
          <w:b/>
          <w:sz w:val="32"/>
          <w:lang w:val="es-MX"/>
        </w:rPr>
        <w:t>Ministerio de Relaciones Exteriores y Culto</w:t>
      </w:r>
    </w:p>
    <w:p w14:paraId="46F61491" w14:textId="77777777" w:rsidR="00B13208" w:rsidRDefault="00B13208" w:rsidP="001E4941">
      <w:pPr>
        <w:spacing w:line="240" w:lineRule="auto"/>
        <w:jc w:val="center"/>
        <w:rPr>
          <w:rFonts w:asciiTheme="majorHAnsi" w:hAnsiTheme="majorHAnsi" w:cstheme="majorHAnsi"/>
          <w:b/>
          <w:bCs/>
          <w:sz w:val="28"/>
          <w:szCs w:val="28"/>
        </w:rPr>
      </w:pPr>
    </w:p>
    <w:p w14:paraId="4F291AC1" w14:textId="77777777" w:rsidR="00B13208" w:rsidRDefault="00B13208" w:rsidP="001E4941">
      <w:pPr>
        <w:spacing w:line="240" w:lineRule="auto"/>
        <w:jc w:val="center"/>
        <w:rPr>
          <w:rFonts w:asciiTheme="majorHAnsi" w:hAnsiTheme="majorHAnsi" w:cstheme="majorHAnsi"/>
          <w:b/>
          <w:bCs/>
          <w:sz w:val="28"/>
          <w:szCs w:val="28"/>
        </w:rPr>
      </w:pPr>
    </w:p>
    <w:p w14:paraId="76F44A88" w14:textId="6B88E0F6" w:rsidR="00B13208" w:rsidRPr="00CE46FE" w:rsidRDefault="00B13208" w:rsidP="00B13208">
      <w:pPr>
        <w:spacing w:line="240" w:lineRule="auto"/>
        <w:jc w:val="both"/>
        <w:rPr>
          <w:rFonts w:asciiTheme="majorHAnsi" w:hAnsiTheme="majorHAnsi" w:cstheme="majorHAnsi"/>
          <w:b/>
          <w:i/>
          <w:color w:val="000000"/>
          <w:sz w:val="24"/>
          <w:szCs w:val="24"/>
          <w:bdr w:val="none" w:sz="0" w:space="0" w:color="auto" w:frame="1"/>
        </w:rPr>
      </w:pPr>
      <w:r w:rsidRPr="00CE46FE">
        <w:rPr>
          <w:rFonts w:asciiTheme="majorHAnsi" w:hAnsiTheme="majorHAnsi" w:cstheme="majorHAnsi"/>
          <w:b/>
          <w:i/>
          <w:color w:val="000000"/>
          <w:sz w:val="24"/>
          <w:szCs w:val="24"/>
          <w:bdr w:val="none" w:sz="0" w:space="0" w:color="auto" w:frame="1"/>
        </w:rPr>
        <w:t>Insumos de Costa Rica relativos a la</w:t>
      </w:r>
      <w:r w:rsidR="0094302F">
        <w:rPr>
          <w:rFonts w:asciiTheme="majorHAnsi" w:hAnsiTheme="majorHAnsi" w:cstheme="majorHAnsi"/>
          <w:b/>
          <w:i/>
          <w:color w:val="000000"/>
          <w:sz w:val="24"/>
          <w:szCs w:val="24"/>
          <w:bdr w:val="none" w:sz="0" w:space="0" w:color="auto" w:frame="1"/>
        </w:rPr>
        <w:t xml:space="preserve"> solicitud de la</w:t>
      </w:r>
      <w:r w:rsidR="0094302F" w:rsidRPr="0094302F">
        <w:rPr>
          <w:rFonts w:asciiTheme="majorHAnsi" w:hAnsiTheme="majorHAnsi" w:cstheme="majorHAnsi"/>
          <w:b/>
          <w:i/>
          <w:color w:val="000000"/>
          <w:sz w:val="24"/>
          <w:szCs w:val="24"/>
          <w:bdr w:val="none" w:sz="0" w:space="0" w:color="auto" w:frame="1"/>
        </w:rPr>
        <w:t xml:space="preserve"> Oficina del Alto Comisionado para los Derechos Humanos </w:t>
      </w:r>
      <w:r w:rsidR="0094302F" w:rsidRPr="00CE46FE">
        <w:rPr>
          <w:rFonts w:asciiTheme="majorHAnsi" w:hAnsiTheme="majorHAnsi" w:cstheme="majorHAnsi"/>
          <w:b/>
          <w:i/>
          <w:color w:val="000000"/>
          <w:sz w:val="24"/>
          <w:szCs w:val="24"/>
          <w:bdr w:val="none" w:sz="0" w:space="0" w:color="auto" w:frame="1"/>
        </w:rPr>
        <w:t xml:space="preserve"> </w:t>
      </w:r>
      <w:r w:rsidRPr="00CE46FE">
        <w:rPr>
          <w:rFonts w:asciiTheme="majorHAnsi" w:hAnsiTheme="majorHAnsi" w:cstheme="majorHAnsi"/>
          <w:b/>
          <w:i/>
          <w:color w:val="000000"/>
          <w:sz w:val="24"/>
          <w:szCs w:val="24"/>
          <w:bdr w:val="none" w:sz="0" w:space="0" w:color="auto" w:frame="1"/>
        </w:rPr>
        <w:t xml:space="preserve">en la que solicita a los Estados información sobre </w:t>
      </w:r>
      <w:r w:rsidR="00E00B2E" w:rsidRPr="0094302F">
        <w:rPr>
          <w:rFonts w:asciiTheme="majorHAnsi" w:hAnsiTheme="majorHAnsi" w:cstheme="majorHAnsi"/>
          <w:b/>
          <w:i/>
          <w:color w:val="000000"/>
          <w:sz w:val="24"/>
          <w:szCs w:val="24"/>
          <w:bdr w:val="none" w:sz="0" w:space="0" w:color="auto" w:frame="1"/>
        </w:rPr>
        <w:t>el derecho de las personas afectadas por la violencia y la discriminación</w:t>
      </w:r>
      <w:r w:rsidR="00E00B2E" w:rsidRPr="00CE46FE">
        <w:rPr>
          <w:rFonts w:asciiTheme="majorHAnsi" w:hAnsiTheme="majorHAnsi" w:cstheme="majorHAnsi"/>
          <w:b/>
          <w:color w:val="000000"/>
          <w:sz w:val="24"/>
          <w:szCs w:val="24"/>
          <w:bdr w:val="none" w:sz="0" w:space="0" w:color="auto" w:frame="1"/>
          <w:shd w:val="clear" w:color="auto" w:fill="FFFFFF"/>
          <w:lang w:val="es-ES"/>
        </w:rPr>
        <w:t xml:space="preserve"> por orientación sexual e identidad de género al disfrute del más alto novel posible de salud física y mental, en relación con el ODS 3.</w:t>
      </w:r>
      <w:r w:rsidR="00E00B2E" w:rsidRPr="00CE46FE">
        <w:rPr>
          <w:rFonts w:asciiTheme="majorHAnsi" w:hAnsiTheme="majorHAnsi" w:cstheme="majorHAnsi"/>
          <w:b/>
          <w:i/>
          <w:color w:val="000000"/>
          <w:sz w:val="24"/>
          <w:szCs w:val="24"/>
          <w:bdr w:val="none" w:sz="0" w:space="0" w:color="auto" w:frame="1"/>
        </w:rPr>
        <w:t> </w:t>
      </w:r>
    </w:p>
    <w:p w14:paraId="36CA1AC7" w14:textId="027222EE" w:rsidR="00901AB9" w:rsidRPr="00651F87" w:rsidRDefault="00901AB9" w:rsidP="001E4941">
      <w:pPr>
        <w:spacing w:line="240" w:lineRule="auto"/>
        <w:jc w:val="both"/>
        <w:rPr>
          <w:rFonts w:asciiTheme="majorHAnsi" w:hAnsiTheme="majorHAnsi" w:cstheme="majorHAnsi"/>
          <w:sz w:val="24"/>
          <w:szCs w:val="24"/>
        </w:rPr>
      </w:pPr>
    </w:p>
    <w:p w14:paraId="6972032E" w14:textId="33C831C0" w:rsidR="00651F87" w:rsidRDefault="00901AB9" w:rsidP="001E4941">
      <w:pPr>
        <w:pStyle w:val="ListParagraph"/>
        <w:numPr>
          <w:ilvl w:val="0"/>
          <w:numId w:val="3"/>
        </w:numPr>
        <w:shd w:val="clear" w:color="auto" w:fill="C6D9F1" w:themeFill="text2" w:themeFillTint="33"/>
        <w:spacing w:line="240" w:lineRule="auto"/>
        <w:jc w:val="both"/>
        <w:rPr>
          <w:rFonts w:asciiTheme="majorHAnsi" w:hAnsiTheme="majorHAnsi" w:cstheme="majorHAnsi"/>
          <w:b/>
          <w:bCs/>
          <w:sz w:val="24"/>
          <w:szCs w:val="24"/>
        </w:rPr>
      </w:pPr>
      <w:r w:rsidRPr="00651F87">
        <w:rPr>
          <w:rFonts w:asciiTheme="majorHAnsi" w:hAnsiTheme="majorHAnsi" w:cstheme="majorHAnsi"/>
          <w:b/>
          <w:bCs/>
          <w:sz w:val="24"/>
          <w:szCs w:val="24"/>
        </w:rPr>
        <w:t>Investigación: comprender las necesidades de atención médica de las personas</w:t>
      </w:r>
      <w:r w:rsidR="00651F87" w:rsidRPr="00651F87">
        <w:rPr>
          <w:rFonts w:asciiTheme="majorHAnsi" w:hAnsiTheme="majorHAnsi" w:cstheme="majorHAnsi"/>
          <w:b/>
          <w:bCs/>
          <w:sz w:val="24"/>
          <w:szCs w:val="24"/>
        </w:rPr>
        <w:t xml:space="preserve"> </w:t>
      </w:r>
      <w:r w:rsidRPr="00651F87">
        <w:rPr>
          <w:rFonts w:asciiTheme="majorHAnsi" w:hAnsiTheme="majorHAnsi" w:cstheme="majorHAnsi"/>
          <w:b/>
          <w:bCs/>
          <w:sz w:val="24"/>
          <w:szCs w:val="24"/>
        </w:rPr>
        <w:t>LGTBI y GNC</w:t>
      </w:r>
    </w:p>
    <w:p w14:paraId="22296579" w14:textId="77777777" w:rsidR="00781166" w:rsidRPr="00651F87" w:rsidRDefault="00781166" w:rsidP="001E4941">
      <w:pPr>
        <w:pStyle w:val="ListParagraph"/>
        <w:spacing w:line="240" w:lineRule="auto"/>
        <w:ind w:left="480"/>
        <w:jc w:val="both"/>
        <w:rPr>
          <w:rFonts w:asciiTheme="majorHAnsi" w:hAnsiTheme="majorHAnsi" w:cstheme="majorHAnsi"/>
          <w:b/>
          <w:bCs/>
          <w:sz w:val="24"/>
          <w:szCs w:val="24"/>
        </w:rPr>
      </w:pPr>
    </w:p>
    <w:p w14:paraId="1D974A93" w14:textId="1CF23D98" w:rsidR="003D7956" w:rsidRPr="00651F87" w:rsidRDefault="00901AB9" w:rsidP="001E4941">
      <w:pPr>
        <w:pStyle w:val="ListParagraph"/>
        <w:numPr>
          <w:ilvl w:val="1"/>
          <w:numId w:val="3"/>
        </w:numPr>
        <w:spacing w:line="240" w:lineRule="auto"/>
        <w:ind w:left="1134" w:hanging="567"/>
        <w:jc w:val="both"/>
        <w:rPr>
          <w:rFonts w:asciiTheme="majorHAnsi" w:hAnsiTheme="majorHAnsi" w:cstheme="majorHAnsi"/>
          <w:b/>
          <w:bCs/>
          <w:sz w:val="24"/>
          <w:szCs w:val="24"/>
        </w:rPr>
      </w:pPr>
      <w:r w:rsidRPr="00651F87">
        <w:rPr>
          <w:rFonts w:asciiTheme="majorHAnsi" w:hAnsiTheme="majorHAnsi" w:cstheme="majorHAnsi"/>
          <w:b/>
          <w:bCs/>
          <w:sz w:val="24"/>
          <w:szCs w:val="24"/>
        </w:rPr>
        <w:t>¿El Estado (y/u otras partes interesadas) recopila datos, incluidos datos desglosados por</w:t>
      </w:r>
      <w:r w:rsidR="00DB3B5F" w:rsidRPr="00651F87">
        <w:rPr>
          <w:rFonts w:asciiTheme="majorHAnsi" w:hAnsiTheme="majorHAnsi" w:cstheme="majorHAnsi"/>
          <w:b/>
          <w:bCs/>
          <w:sz w:val="24"/>
          <w:szCs w:val="24"/>
        </w:rPr>
        <w:t xml:space="preserve"> </w:t>
      </w:r>
      <w:r w:rsidRPr="00651F87">
        <w:rPr>
          <w:rFonts w:asciiTheme="majorHAnsi" w:hAnsiTheme="majorHAnsi" w:cstheme="majorHAnsi"/>
          <w:b/>
          <w:bCs/>
          <w:sz w:val="24"/>
          <w:szCs w:val="24"/>
        </w:rPr>
        <w:t>orientación sexual y / o identidad de género, sobre:</w:t>
      </w:r>
    </w:p>
    <w:p w14:paraId="7047ABBB" w14:textId="4684E5D6" w:rsidR="00901AB9" w:rsidRPr="00651F87" w:rsidRDefault="00901AB9" w:rsidP="001E4941">
      <w:pPr>
        <w:pStyle w:val="ListParagraph"/>
        <w:numPr>
          <w:ilvl w:val="0"/>
          <w:numId w:val="8"/>
        </w:numPr>
        <w:spacing w:line="240" w:lineRule="auto"/>
        <w:ind w:left="1701"/>
        <w:jc w:val="both"/>
        <w:rPr>
          <w:rFonts w:asciiTheme="majorHAnsi" w:hAnsiTheme="majorHAnsi" w:cstheme="majorHAnsi"/>
          <w:b/>
          <w:bCs/>
          <w:sz w:val="24"/>
          <w:szCs w:val="24"/>
        </w:rPr>
      </w:pPr>
      <w:r w:rsidRPr="00651F87">
        <w:rPr>
          <w:rFonts w:asciiTheme="majorHAnsi" w:hAnsiTheme="majorHAnsi" w:cstheme="majorHAnsi"/>
          <w:b/>
          <w:bCs/>
          <w:sz w:val="24"/>
          <w:szCs w:val="24"/>
        </w:rPr>
        <w:t>¿acceso a y / o prestación de servicios de salud?</w:t>
      </w:r>
    </w:p>
    <w:p w14:paraId="08941BEC" w14:textId="4CB775BC" w:rsidR="00901AB9" w:rsidRPr="00651F87" w:rsidRDefault="00901AB9" w:rsidP="001E4941">
      <w:pPr>
        <w:pStyle w:val="ListParagraph"/>
        <w:numPr>
          <w:ilvl w:val="0"/>
          <w:numId w:val="8"/>
        </w:numPr>
        <w:spacing w:line="240" w:lineRule="auto"/>
        <w:ind w:left="1701"/>
        <w:jc w:val="both"/>
        <w:rPr>
          <w:rFonts w:asciiTheme="majorHAnsi" w:hAnsiTheme="majorHAnsi" w:cstheme="majorHAnsi"/>
          <w:b/>
          <w:bCs/>
          <w:sz w:val="24"/>
          <w:szCs w:val="24"/>
        </w:rPr>
      </w:pPr>
      <w:r w:rsidRPr="00651F87">
        <w:rPr>
          <w:rFonts w:asciiTheme="majorHAnsi" w:hAnsiTheme="majorHAnsi" w:cstheme="majorHAnsi"/>
          <w:b/>
          <w:bCs/>
          <w:sz w:val="24"/>
          <w:szCs w:val="24"/>
        </w:rPr>
        <w:t>¿el número de nuevas infecciones por el VIH por 1000 habitantes no infectados?</w:t>
      </w:r>
    </w:p>
    <w:p w14:paraId="34FFF14B" w14:textId="7AA80975" w:rsidR="00901AB9" w:rsidRPr="00651F87" w:rsidRDefault="00901AB9" w:rsidP="001E4941">
      <w:pPr>
        <w:pStyle w:val="ListParagraph"/>
        <w:numPr>
          <w:ilvl w:val="0"/>
          <w:numId w:val="8"/>
        </w:numPr>
        <w:spacing w:line="240" w:lineRule="auto"/>
        <w:ind w:left="1701"/>
        <w:jc w:val="both"/>
        <w:rPr>
          <w:rFonts w:asciiTheme="majorHAnsi" w:hAnsiTheme="majorHAnsi" w:cstheme="majorHAnsi"/>
          <w:b/>
          <w:bCs/>
          <w:sz w:val="24"/>
          <w:szCs w:val="24"/>
        </w:rPr>
      </w:pPr>
      <w:r w:rsidRPr="00651F87">
        <w:rPr>
          <w:rFonts w:asciiTheme="majorHAnsi" w:hAnsiTheme="majorHAnsi" w:cstheme="majorHAnsi"/>
          <w:b/>
          <w:bCs/>
          <w:sz w:val="24"/>
          <w:szCs w:val="24"/>
        </w:rPr>
        <w:t>¿La tasa de mortalidad por suicidio?</w:t>
      </w:r>
    </w:p>
    <w:p w14:paraId="4F201715" w14:textId="77777777" w:rsidR="00651F87" w:rsidRDefault="00651F87" w:rsidP="001E4941">
      <w:pPr>
        <w:spacing w:line="240" w:lineRule="auto"/>
        <w:jc w:val="both"/>
        <w:rPr>
          <w:rFonts w:asciiTheme="majorHAnsi" w:hAnsiTheme="majorHAnsi" w:cstheme="majorHAnsi"/>
          <w:sz w:val="24"/>
          <w:szCs w:val="24"/>
        </w:rPr>
      </w:pPr>
    </w:p>
    <w:p w14:paraId="722418EC" w14:textId="4D9E951B" w:rsidR="00DB3B5F" w:rsidRPr="00651F87" w:rsidRDefault="00DB3B5F" w:rsidP="001E4941">
      <w:pPr>
        <w:spacing w:line="240" w:lineRule="auto"/>
        <w:jc w:val="both"/>
        <w:rPr>
          <w:rFonts w:asciiTheme="majorHAnsi" w:hAnsiTheme="majorHAnsi" w:cstheme="majorHAnsi"/>
          <w:sz w:val="24"/>
          <w:szCs w:val="24"/>
        </w:rPr>
      </w:pPr>
      <w:r w:rsidRPr="00651F87">
        <w:rPr>
          <w:rFonts w:asciiTheme="majorHAnsi" w:hAnsiTheme="majorHAnsi" w:cstheme="majorHAnsi"/>
          <w:sz w:val="24"/>
          <w:szCs w:val="24"/>
        </w:rPr>
        <w:t>Los datos que se reciben de mortalidad por suicidio se desglosan por sexo masculino y femenino, no por orientación sexual y/o identidad de género.</w:t>
      </w:r>
      <w:r w:rsidR="00651F87">
        <w:rPr>
          <w:rFonts w:asciiTheme="majorHAnsi" w:hAnsiTheme="majorHAnsi" w:cstheme="majorHAnsi"/>
          <w:sz w:val="24"/>
          <w:szCs w:val="24"/>
        </w:rPr>
        <w:t xml:space="preserve"> </w:t>
      </w:r>
      <w:r w:rsidRPr="00651F87">
        <w:rPr>
          <w:rFonts w:asciiTheme="majorHAnsi" w:hAnsiTheme="majorHAnsi" w:cstheme="majorHAnsi"/>
          <w:sz w:val="24"/>
          <w:szCs w:val="24"/>
        </w:rPr>
        <w:t>Para el año 2020, las tasas fueron las siguientes:</w:t>
      </w:r>
    </w:p>
    <w:p w14:paraId="4B1454CE" w14:textId="2A89D7E7" w:rsidR="00DB3B5F" w:rsidRPr="00651F87" w:rsidRDefault="00DB3B5F" w:rsidP="001E4941">
      <w:pPr>
        <w:spacing w:line="240" w:lineRule="auto"/>
        <w:jc w:val="both"/>
        <w:rPr>
          <w:rFonts w:asciiTheme="majorHAnsi" w:hAnsiTheme="majorHAnsi" w:cstheme="majorHAnsi"/>
          <w:sz w:val="24"/>
          <w:szCs w:val="24"/>
        </w:rPr>
      </w:pPr>
    </w:p>
    <w:tbl>
      <w:tblPr>
        <w:tblStyle w:val="TableGrid"/>
        <w:tblW w:w="0" w:type="auto"/>
        <w:jc w:val="center"/>
        <w:tblLook w:val="04A0" w:firstRow="1" w:lastRow="0" w:firstColumn="1" w:lastColumn="0" w:noHBand="0" w:noVBand="1"/>
      </w:tblPr>
      <w:tblGrid>
        <w:gridCol w:w="2645"/>
        <w:gridCol w:w="2515"/>
      </w:tblGrid>
      <w:tr w:rsidR="0087640B" w:rsidRPr="00651F87" w14:paraId="15ACEEBD" w14:textId="77777777" w:rsidTr="00651F87">
        <w:trPr>
          <w:jc w:val="center"/>
        </w:trPr>
        <w:tc>
          <w:tcPr>
            <w:tcW w:w="2645" w:type="dxa"/>
            <w:vAlign w:val="center"/>
          </w:tcPr>
          <w:p w14:paraId="04B6DCF6" w14:textId="246E55AE" w:rsidR="0087640B" w:rsidRPr="00651F87" w:rsidRDefault="0087640B" w:rsidP="001E4941">
            <w:pPr>
              <w:jc w:val="center"/>
              <w:rPr>
                <w:rFonts w:asciiTheme="majorHAnsi" w:hAnsiTheme="majorHAnsi" w:cstheme="majorHAnsi"/>
                <w:b/>
                <w:bCs/>
              </w:rPr>
            </w:pPr>
            <w:r w:rsidRPr="00651F87">
              <w:rPr>
                <w:rFonts w:asciiTheme="majorHAnsi" w:hAnsiTheme="majorHAnsi" w:cstheme="majorHAnsi"/>
                <w:b/>
                <w:bCs/>
              </w:rPr>
              <w:t>Año 2020 *</w:t>
            </w:r>
          </w:p>
        </w:tc>
        <w:tc>
          <w:tcPr>
            <w:tcW w:w="2515" w:type="dxa"/>
            <w:vAlign w:val="center"/>
          </w:tcPr>
          <w:p w14:paraId="76476F0E" w14:textId="6DAC5786" w:rsidR="0087640B" w:rsidRPr="00651F87" w:rsidRDefault="0087640B" w:rsidP="001E4941">
            <w:pPr>
              <w:jc w:val="center"/>
              <w:rPr>
                <w:rFonts w:asciiTheme="majorHAnsi" w:hAnsiTheme="majorHAnsi" w:cstheme="majorHAnsi"/>
                <w:b/>
                <w:bCs/>
              </w:rPr>
            </w:pPr>
            <w:r w:rsidRPr="00651F87">
              <w:rPr>
                <w:rFonts w:asciiTheme="majorHAnsi" w:hAnsiTheme="majorHAnsi" w:cstheme="majorHAnsi"/>
                <w:b/>
                <w:bCs/>
              </w:rPr>
              <w:t>Tasa (p/100.000 habitantes)</w:t>
            </w:r>
          </w:p>
        </w:tc>
      </w:tr>
      <w:tr w:rsidR="0087640B" w:rsidRPr="00651F87" w14:paraId="60CD4BA8" w14:textId="77777777" w:rsidTr="0087640B">
        <w:trPr>
          <w:jc w:val="center"/>
        </w:trPr>
        <w:tc>
          <w:tcPr>
            <w:tcW w:w="2645" w:type="dxa"/>
          </w:tcPr>
          <w:p w14:paraId="264F8641" w14:textId="12380BC1" w:rsidR="0087640B" w:rsidRPr="00651F87" w:rsidRDefault="0087640B" w:rsidP="001E4941">
            <w:pPr>
              <w:jc w:val="center"/>
              <w:rPr>
                <w:rFonts w:asciiTheme="majorHAnsi" w:hAnsiTheme="majorHAnsi" w:cstheme="majorHAnsi"/>
              </w:rPr>
            </w:pPr>
            <w:r w:rsidRPr="00651F87">
              <w:rPr>
                <w:rFonts w:asciiTheme="majorHAnsi" w:hAnsiTheme="majorHAnsi" w:cstheme="majorHAnsi"/>
              </w:rPr>
              <w:t>Nacional</w:t>
            </w:r>
          </w:p>
        </w:tc>
        <w:tc>
          <w:tcPr>
            <w:tcW w:w="2515" w:type="dxa"/>
          </w:tcPr>
          <w:p w14:paraId="53DE2AED" w14:textId="66CAAA85" w:rsidR="0087640B" w:rsidRPr="00651F87" w:rsidRDefault="0087640B" w:rsidP="001E4941">
            <w:pPr>
              <w:jc w:val="center"/>
              <w:rPr>
                <w:rFonts w:asciiTheme="majorHAnsi" w:hAnsiTheme="majorHAnsi" w:cstheme="majorHAnsi"/>
              </w:rPr>
            </w:pPr>
            <w:r w:rsidRPr="00651F87">
              <w:rPr>
                <w:rFonts w:asciiTheme="majorHAnsi" w:hAnsiTheme="majorHAnsi" w:cstheme="majorHAnsi"/>
              </w:rPr>
              <w:t>6,9</w:t>
            </w:r>
          </w:p>
        </w:tc>
      </w:tr>
      <w:tr w:rsidR="0087640B" w:rsidRPr="00651F87" w14:paraId="478859E5" w14:textId="77777777" w:rsidTr="0087640B">
        <w:trPr>
          <w:jc w:val="center"/>
        </w:trPr>
        <w:tc>
          <w:tcPr>
            <w:tcW w:w="2645" w:type="dxa"/>
          </w:tcPr>
          <w:p w14:paraId="3EDC4F16" w14:textId="0B279E98" w:rsidR="0087640B" w:rsidRPr="00651F87" w:rsidRDefault="0087640B" w:rsidP="001E4941">
            <w:pPr>
              <w:jc w:val="center"/>
              <w:rPr>
                <w:rFonts w:asciiTheme="majorHAnsi" w:hAnsiTheme="majorHAnsi" w:cstheme="majorHAnsi"/>
              </w:rPr>
            </w:pPr>
            <w:r w:rsidRPr="00651F87">
              <w:rPr>
                <w:rFonts w:asciiTheme="majorHAnsi" w:hAnsiTheme="majorHAnsi" w:cstheme="majorHAnsi"/>
              </w:rPr>
              <w:t>Masculino</w:t>
            </w:r>
          </w:p>
        </w:tc>
        <w:tc>
          <w:tcPr>
            <w:tcW w:w="2515" w:type="dxa"/>
          </w:tcPr>
          <w:p w14:paraId="24D2DDC7" w14:textId="3A7BE16C" w:rsidR="0087640B" w:rsidRPr="00651F87" w:rsidRDefault="0087640B" w:rsidP="001E4941">
            <w:pPr>
              <w:jc w:val="center"/>
              <w:rPr>
                <w:rFonts w:asciiTheme="majorHAnsi" w:hAnsiTheme="majorHAnsi" w:cstheme="majorHAnsi"/>
              </w:rPr>
            </w:pPr>
            <w:r w:rsidRPr="00651F87">
              <w:rPr>
                <w:rFonts w:asciiTheme="majorHAnsi" w:hAnsiTheme="majorHAnsi" w:cstheme="majorHAnsi"/>
              </w:rPr>
              <w:t>10,8</w:t>
            </w:r>
          </w:p>
        </w:tc>
      </w:tr>
      <w:tr w:rsidR="0087640B" w:rsidRPr="00651F87" w14:paraId="3299CF3E" w14:textId="77777777" w:rsidTr="0087640B">
        <w:trPr>
          <w:jc w:val="center"/>
        </w:trPr>
        <w:tc>
          <w:tcPr>
            <w:tcW w:w="2645" w:type="dxa"/>
          </w:tcPr>
          <w:p w14:paraId="54ED8D24" w14:textId="09FBD888" w:rsidR="0087640B" w:rsidRPr="00651F87" w:rsidRDefault="0087640B" w:rsidP="001E4941">
            <w:pPr>
              <w:jc w:val="center"/>
              <w:rPr>
                <w:rFonts w:asciiTheme="majorHAnsi" w:hAnsiTheme="majorHAnsi" w:cstheme="majorHAnsi"/>
              </w:rPr>
            </w:pPr>
            <w:r w:rsidRPr="00651F87">
              <w:rPr>
                <w:rFonts w:asciiTheme="majorHAnsi" w:hAnsiTheme="majorHAnsi" w:cstheme="majorHAnsi"/>
              </w:rPr>
              <w:t>Femenino</w:t>
            </w:r>
          </w:p>
        </w:tc>
        <w:tc>
          <w:tcPr>
            <w:tcW w:w="2515" w:type="dxa"/>
          </w:tcPr>
          <w:p w14:paraId="384C8DF2" w14:textId="1DAE8C6F" w:rsidR="0087640B" w:rsidRPr="00651F87" w:rsidRDefault="0087640B" w:rsidP="001E4941">
            <w:pPr>
              <w:jc w:val="center"/>
              <w:rPr>
                <w:rFonts w:asciiTheme="majorHAnsi" w:hAnsiTheme="majorHAnsi" w:cstheme="majorHAnsi"/>
              </w:rPr>
            </w:pPr>
            <w:r w:rsidRPr="00651F87">
              <w:rPr>
                <w:rFonts w:asciiTheme="majorHAnsi" w:hAnsiTheme="majorHAnsi" w:cstheme="majorHAnsi"/>
              </w:rPr>
              <w:t>3,0</w:t>
            </w:r>
          </w:p>
        </w:tc>
      </w:tr>
    </w:tbl>
    <w:p w14:paraId="052C8D11" w14:textId="3F22E067" w:rsidR="00DB3B5F" w:rsidRPr="00651F87" w:rsidRDefault="0087640B" w:rsidP="001E4941">
      <w:pPr>
        <w:spacing w:line="240" w:lineRule="auto"/>
        <w:ind w:left="1843"/>
        <w:jc w:val="both"/>
        <w:rPr>
          <w:rFonts w:asciiTheme="majorHAnsi" w:hAnsiTheme="majorHAnsi" w:cstheme="majorHAnsi"/>
          <w:i/>
          <w:iCs/>
        </w:rPr>
      </w:pPr>
      <w:r w:rsidRPr="00651F87">
        <w:rPr>
          <w:rFonts w:asciiTheme="majorHAnsi" w:hAnsiTheme="majorHAnsi" w:cstheme="majorHAnsi"/>
          <w:i/>
          <w:iCs/>
          <w:sz w:val="24"/>
          <w:szCs w:val="24"/>
        </w:rPr>
        <w:t>*</w:t>
      </w:r>
      <w:r w:rsidRPr="00651F87">
        <w:rPr>
          <w:rFonts w:asciiTheme="majorHAnsi" w:hAnsiTheme="majorHAnsi" w:cstheme="majorHAnsi"/>
          <w:i/>
          <w:iCs/>
        </w:rPr>
        <w:t>Cifras preliminares año 2020</w:t>
      </w:r>
    </w:p>
    <w:p w14:paraId="6458A9F7" w14:textId="1F686A7C" w:rsidR="0087640B" w:rsidRPr="00651F87" w:rsidRDefault="0087640B" w:rsidP="001E4941">
      <w:pPr>
        <w:spacing w:line="240" w:lineRule="auto"/>
        <w:ind w:left="1843"/>
        <w:jc w:val="both"/>
        <w:rPr>
          <w:rFonts w:asciiTheme="majorHAnsi" w:hAnsiTheme="majorHAnsi" w:cstheme="majorHAnsi"/>
          <w:i/>
          <w:iCs/>
        </w:rPr>
      </w:pPr>
      <w:r w:rsidRPr="00651F87">
        <w:rPr>
          <w:rFonts w:asciiTheme="majorHAnsi" w:hAnsiTheme="majorHAnsi" w:cstheme="majorHAnsi"/>
          <w:i/>
          <w:iCs/>
        </w:rPr>
        <w:t>Fuente: I.N.E.C.-Ministerio de Salud, Dirección Vigilancia de la Salud, Unidad de Indicadores de Salud</w:t>
      </w:r>
    </w:p>
    <w:p w14:paraId="797A62BA" w14:textId="77777777" w:rsidR="0087640B" w:rsidRPr="00651F87" w:rsidRDefault="0087640B" w:rsidP="001E4941">
      <w:pPr>
        <w:spacing w:line="240" w:lineRule="auto"/>
        <w:jc w:val="both"/>
        <w:rPr>
          <w:rFonts w:asciiTheme="majorHAnsi" w:hAnsiTheme="majorHAnsi" w:cstheme="majorHAnsi"/>
          <w:sz w:val="24"/>
          <w:szCs w:val="24"/>
        </w:rPr>
      </w:pPr>
    </w:p>
    <w:p w14:paraId="0BC8E8F0" w14:textId="77777777" w:rsidR="00901AB9" w:rsidRPr="00651F87" w:rsidRDefault="00901AB9" w:rsidP="001E4941">
      <w:pPr>
        <w:spacing w:line="240" w:lineRule="auto"/>
        <w:jc w:val="both"/>
        <w:rPr>
          <w:rFonts w:asciiTheme="majorHAnsi" w:hAnsiTheme="majorHAnsi" w:cstheme="majorHAnsi"/>
          <w:sz w:val="24"/>
          <w:szCs w:val="24"/>
        </w:rPr>
      </w:pPr>
    </w:p>
    <w:p w14:paraId="7E0889B1" w14:textId="45F2188F" w:rsidR="00901AB9" w:rsidRDefault="00901AB9" w:rsidP="001E4941">
      <w:pPr>
        <w:pStyle w:val="ListParagraph"/>
        <w:numPr>
          <w:ilvl w:val="1"/>
          <w:numId w:val="3"/>
        </w:numPr>
        <w:spacing w:line="240" w:lineRule="auto"/>
        <w:ind w:left="1134" w:hanging="567"/>
        <w:jc w:val="both"/>
        <w:rPr>
          <w:rFonts w:asciiTheme="majorHAnsi" w:hAnsiTheme="majorHAnsi" w:cstheme="majorHAnsi"/>
          <w:b/>
          <w:bCs/>
          <w:sz w:val="24"/>
          <w:szCs w:val="24"/>
        </w:rPr>
      </w:pPr>
      <w:r w:rsidRPr="00651F87">
        <w:rPr>
          <w:rFonts w:asciiTheme="majorHAnsi" w:hAnsiTheme="majorHAnsi" w:cstheme="majorHAnsi"/>
          <w:b/>
          <w:bCs/>
          <w:sz w:val="24"/>
          <w:szCs w:val="24"/>
        </w:rPr>
        <w:t>¿Qué medidas se han tomado para investigar y comprender las necesidades de atención médica de las personas LGTBI y GNC de todas las edades a nivel nacional?</w:t>
      </w:r>
    </w:p>
    <w:p w14:paraId="64AC11EB" w14:textId="77777777" w:rsidR="00711826" w:rsidRDefault="00711826" w:rsidP="001E4941">
      <w:pPr>
        <w:spacing w:line="240" w:lineRule="auto"/>
        <w:jc w:val="both"/>
        <w:rPr>
          <w:rFonts w:asciiTheme="majorHAnsi" w:hAnsiTheme="majorHAnsi" w:cstheme="majorHAnsi"/>
          <w:sz w:val="24"/>
          <w:szCs w:val="24"/>
        </w:rPr>
      </w:pPr>
    </w:p>
    <w:p w14:paraId="73A511D8" w14:textId="31AD6ACF" w:rsidR="00651F87" w:rsidRDefault="00711826" w:rsidP="001E4941">
      <w:pPr>
        <w:spacing w:line="240" w:lineRule="auto"/>
        <w:jc w:val="both"/>
        <w:rPr>
          <w:rFonts w:asciiTheme="majorHAnsi" w:hAnsiTheme="majorHAnsi" w:cstheme="majorHAnsi"/>
          <w:sz w:val="24"/>
          <w:szCs w:val="24"/>
        </w:rPr>
      </w:pPr>
      <w:r w:rsidRPr="00711826">
        <w:rPr>
          <w:rFonts w:asciiTheme="majorHAnsi" w:hAnsiTheme="majorHAnsi" w:cstheme="majorHAnsi"/>
          <w:sz w:val="24"/>
          <w:szCs w:val="24"/>
        </w:rPr>
        <w:t>No existe una investigación espec</w:t>
      </w:r>
      <w:r>
        <w:rPr>
          <w:rFonts w:asciiTheme="majorHAnsi" w:hAnsiTheme="majorHAnsi" w:cstheme="majorHAnsi"/>
          <w:sz w:val="24"/>
          <w:szCs w:val="24"/>
        </w:rPr>
        <w:t>í</w:t>
      </w:r>
      <w:r w:rsidRPr="00711826">
        <w:rPr>
          <w:rFonts w:asciiTheme="majorHAnsi" w:hAnsiTheme="majorHAnsi" w:cstheme="majorHAnsi"/>
          <w:sz w:val="24"/>
          <w:szCs w:val="24"/>
        </w:rPr>
        <w:t>fica que identifique en el país las necesidades de atención médica de las personas LGTBI y GNC de todas las edades. Lo que se conoce es por las demandas o denuncias de algunos grupos de activistas LGTBIQ+, o el mismo testimonio de usuarias y usuarios LGTBIQ que denuncian que muchos trabajadores/as de salud no identifican ni reconocen sus diferencias</w:t>
      </w:r>
      <w:r>
        <w:rPr>
          <w:rFonts w:asciiTheme="majorHAnsi" w:hAnsiTheme="majorHAnsi" w:cstheme="majorHAnsi"/>
          <w:sz w:val="24"/>
          <w:szCs w:val="24"/>
        </w:rPr>
        <w:t>.</w:t>
      </w:r>
    </w:p>
    <w:p w14:paraId="2759B754" w14:textId="77777777" w:rsidR="00711826" w:rsidRPr="00651F87" w:rsidRDefault="00711826" w:rsidP="001E4941">
      <w:pPr>
        <w:spacing w:line="240" w:lineRule="auto"/>
        <w:jc w:val="both"/>
        <w:rPr>
          <w:rFonts w:asciiTheme="majorHAnsi" w:hAnsiTheme="majorHAnsi" w:cstheme="majorHAnsi"/>
          <w:sz w:val="24"/>
          <w:szCs w:val="24"/>
        </w:rPr>
      </w:pPr>
    </w:p>
    <w:p w14:paraId="7CB8076C" w14:textId="7A631EBD" w:rsidR="00901AB9" w:rsidRPr="00651F87" w:rsidRDefault="00901AB9" w:rsidP="001E4941">
      <w:pPr>
        <w:pStyle w:val="ListParagraph"/>
        <w:numPr>
          <w:ilvl w:val="1"/>
          <w:numId w:val="3"/>
        </w:numPr>
        <w:spacing w:line="240" w:lineRule="auto"/>
        <w:ind w:left="1134" w:hanging="567"/>
        <w:jc w:val="both"/>
        <w:rPr>
          <w:rFonts w:asciiTheme="majorHAnsi" w:hAnsiTheme="majorHAnsi" w:cstheme="majorHAnsi"/>
          <w:b/>
          <w:bCs/>
          <w:sz w:val="24"/>
          <w:szCs w:val="24"/>
        </w:rPr>
      </w:pPr>
      <w:r w:rsidRPr="00651F87">
        <w:rPr>
          <w:rFonts w:asciiTheme="majorHAnsi" w:hAnsiTheme="majorHAnsi" w:cstheme="majorHAnsi"/>
          <w:b/>
          <w:bCs/>
          <w:sz w:val="24"/>
          <w:szCs w:val="24"/>
        </w:rPr>
        <w:t xml:space="preserve">¿Se analizan estos datos a través de una lente interseccional, como desglosando los datos por orientación sexual y / o identidad de género, así como identidades que se cruzan, incluido el origen social </w:t>
      </w:r>
      <w:r w:rsidRPr="00711826">
        <w:rPr>
          <w:rFonts w:asciiTheme="majorHAnsi" w:hAnsiTheme="majorHAnsi" w:cstheme="majorHAnsi"/>
          <w:b/>
          <w:bCs/>
          <w:sz w:val="24"/>
          <w:szCs w:val="24"/>
        </w:rPr>
        <w:t>o geográfico, la etnia, el estado socioeconómico, la nacionalidad o el estado migratorio, las minorías, la discapacidad, e identidad o estatus indígena o de otro tipo?</w:t>
      </w:r>
    </w:p>
    <w:p w14:paraId="4690B345" w14:textId="63804F37" w:rsidR="00901AB9" w:rsidRDefault="00901AB9" w:rsidP="001E4941">
      <w:pPr>
        <w:spacing w:line="240" w:lineRule="auto"/>
        <w:jc w:val="both"/>
        <w:rPr>
          <w:rFonts w:asciiTheme="majorHAnsi" w:hAnsiTheme="majorHAnsi" w:cstheme="majorHAnsi"/>
          <w:sz w:val="24"/>
          <w:szCs w:val="24"/>
        </w:rPr>
      </w:pPr>
    </w:p>
    <w:p w14:paraId="4C6BD828" w14:textId="03B8D8C0" w:rsidR="00711826" w:rsidRDefault="00711826" w:rsidP="001E4941">
      <w:pPr>
        <w:spacing w:line="240" w:lineRule="auto"/>
        <w:jc w:val="both"/>
        <w:rPr>
          <w:rFonts w:asciiTheme="majorHAnsi" w:hAnsiTheme="majorHAnsi" w:cstheme="majorHAnsi"/>
          <w:sz w:val="24"/>
          <w:szCs w:val="24"/>
        </w:rPr>
      </w:pPr>
      <w:r w:rsidRPr="00711826">
        <w:rPr>
          <w:rFonts w:asciiTheme="majorHAnsi" w:hAnsiTheme="majorHAnsi" w:cstheme="majorHAnsi"/>
          <w:sz w:val="24"/>
          <w:szCs w:val="24"/>
        </w:rPr>
        <w:lastRenderedPageBreak/>
        <w:t>N</w:t>
      </w:r>
      <w:r>
        <w:rPr>
          <w:rFonts w:asciiTheme="majorHAnsi" w:hAnsiTheme="majorHAnsi" w:cstheme="majorHAnsi"/>
          <w:sz w:val="24"/>
          <w:szCs w:val="24"/>
        </w:rPr>
        <w:t>o</w:t>
      </w:r>
      <w:r w:rsidRPr="00711826">
        <w:rPr>
          <w:rFonts w:asciiTheme="majorHAnsi" w:hAnsiTheme="majorHAnsi" w:cstheme="majorHAnsi"/>
          <w:sz w:val="24"/>
          <w:szCs w:val="24"/>
        </w:rPr>
        <w:t xml:space="preserve"> se han realizado estudios a nivel nacional</w:t>
      </w:r>
      <w:r>
        <w:rPr>
          <w:rFonts w:asciiTheme="majorHAnsi" w:hAnsiTheme="majorHAnsi" w:cstheme="majorHAnsi"/>
          <w:sz w:val="24"/>
          <w:szCs w:val="24"/>
        </w:rPr>
        <w:t>.</w:t>
      </w:r>
    </w:p>
    <w:p w14:paraId="04D7764C" w14:textId="77777777" w:rsidR="00711826" w:rsidRPr="00651F87" w:rsidRDefault="00711826" w:rsidP="001E4941">
      <w:pPr>
        <w:spacing w:line="240" w:lineRule="auto"/>
        <w:jc w:val="both"/>
        <w:rPr>
          <w:rFonts w:asciiTheme="majorHAnsi" w:hAnsiTheme="majorHAnsi" w:cstheme="majorHAnsi"/>
          <w:sz w:val="24"/>
          <w:szCs w:val="24"/>
        </w:rPr>
      </w:pPr>
    </w:p>
    <w:p w14:paraId="3B01AC80" w14:textId="6042DAD0" w:rsidR="00901AB9" w:rsidRPr="00651F87" w:rsidRDefault="00901AB9" w:rsidP="001E4941">
      <w:pPr>
        <w:pStyle w:val="ListParagraph"/>
        <w:numPr>
          <w:ilvl w:val="0"/>
          <w:numId w:val="3"/>
        </w:numPr>
        <w:shd w:val="clear" w:color="auto" w:fill="C6D9F1" w:themeFill="text2" w:themeFillTint="33"/>
        <w:spacing w:line="240" w:lineRule="auto"/>
        <w:jc w:val="both"/>
        <w:rPr>
          <w:rFonts w:asciiTheme="majorHAnsi" w:hAnsiTheme="majorHAnsi" w:cstheme="majorHAnsi"/>
          <w:b/>
          <w:bCs/>
          <w:sz w:val="24"/>
          <w:szCs w:val="24"/>
        </w:rPr>
      </w:pPr>
      <w:r w:rsidRPr="00651F87">
        <w:rPr>
          <w:rFonts w:asciiTheme="majorHAnsi" w:hAnsiTheme="majorHAnsi" w:cstheme="majorHAnsi"/>
          <w:b/>
          <w:bCs/>
          <w:sz w:val="24"/>
          <w:szCs w:val="24"/>
        </w:rPr>
        <w:t>Inclusión: personas LGTBI y GNC en el proceso de toma de decisiones</w:t>
      </w:r>
    </w:p>
    <w:p w14:paraId="315430D2" w14:textId="77777777" w:rsidR="0087640B" w:rsidRPr="00651F87" w:rsidRDefault="0087640B" w:rsidP="001E4941">
      <w:pPr>
        <w:spacing w:line="240" w:lineRule="auto"/>
        <w:jc w:val="both"/>
        <w:rPr>
          <w:rFonts w:asciiTheme="majorHAnsi" w:hAnsiTheme="majorHAnsi" w:cstheme="majorHAnsi"/>
          <w:sz w:val="24"/>
          <w:szCs w:val="24"/>
        </w:rPr>
      </w:pPr>
    </w:p>
    <w:p w14:paraId="4445DCE9" w14:textId="0173F16E" w:rsidR="002C759E" w:rsidRPr="00651F87" w:rsidRDefault="00901AB9" w:rsidP="001E4941">
      <w:pPr>
        <w:pStyle w:val="ListParagraph"/>
        <w:numPr>
          <w:ilvl w:val="1"/>
          <w:numId w:val="3"/>
        </w:numPr>
        <w:spacing w:line="240" w:lineRule="auto"/>
        <w:ind w:left="1134" w:hanging="567"/>
        <w:jc w:val="both"/>
        <w:rPr>
          <w:rFonts w:asciiTheme="majorHAnsi" w:hAnsiTheme="majorHAnsi" w:cstheme="majorHAnsi"/>
          <w:b/>
          <w:bCs/>
          <w:sz w:val="24"/>
          <w:szCs w:val="24"/>
        </w:rPr>
      </w:pPr>
      <w:r w:rsidRPr="00651F87">
        <w:rPr>
          <w:rFonts w:asciiTheme="majorHAnsi" w:hAnsiTheme="majorHAnsi" w:cstheme="majorHAnsi"/>
          <w:b/>
          <w:bCs/>
          <w:sz w:val="24"/>
          <w:szCs w:val="24"/>
        </w:rPr>
        <w:t xml:space="preserve"> ¿Qué medidas se han adoptado para consultar e incluir a las personas afectadas por la violencia y la discriminación por motivos de orientación sexual e identidad de género en la legislación y la formulación de políticas en relación con el derecho de toda persona al disfrute del más alto nivel posible de salud física y mental, y en relación con la realización de los ODS?</w:t>
      </w:r>
      <w:r w:rsidR="002C759E" w:rsidRPr="00651F87">
        <w:rPr>
          <w:rFonts w:asciiTheme="majorHAnsi" w:hAnsiTheme="majorHAnsi" w:cstheme="majorHAnsi"/>
          <w:b/>
          <w:bCs/>
          <w:sz w:val="24"/>
          <w:szCs w:val="24"/>
        </w:rPr>
        <w:t xml:space="preserve">  </w:t>
      </w:r>
    </w:p>
    <w:p w14:paraId="6264B2E9" w14:textId="77777777" w:rsidR="002C759E" w:rsidRPr="00651F87" w:rsidRDefault="002C759E" w:rsidP="001E4941">
      <w:pPr>
        <w:spacing w:line="240" w:lineRule="auto"/>
        <w:jc w:val="both"/>
        <w:rPr>
          <w:rFonts w:asciiTheme="majorHAnsi" w:hAnsiTheme="majorHAnsi" w:cstheme="majorHAnsi"/>
          <w:sz w:val="24"/>
          <w:szCs w:val="24"/>
        </w:rPr>
      </w:pPr>
    </w:p>
    <w:p w14:paraId="4BFD346B" w14:textId="748615C6" w:rsidR="003D7956" w:rsidRPr="00651F87" w:rsidRDefault="002C759E" w:rsidP="001E4941">
      <w:pPr>
        <w:spacing w:line="240" w:lineRule="auto"/>
        <w:jc w:val="both"/>
        <w:rPr>
          <w:rFonts w:asciiTheme="majorHAnsi" w:hAnsiTheme="majorHAnsi" w:cstheme="majorHAnsi"/>
          <w:sz w:val="24"/>
          <w:szCs w:val="24"/>
        </w:rPr>
      </w:pPr>
      <w:r w:rsidRPr="00651F87">
        <w:rPr>
          <w:rFonts w:asciiTheme="majorHAnsi" w:hAnsiTheme="majorHAnsi" w:cstheme="majorHAnsi"/>
          <w:sz w:val="24"/>
          <w:szCs w:val="24"/>
        </w:rPr>
        <w:t>La Política Nacional de Salud Mental 2012-2021, promueve la Salud Mental de las personas que pertenecen a distintos grupos o minorías mediante la protección de sus derechos humanos y la no discriminación, lo cual garantiza el bienestar y desarrollo integral de la Salud Mental. Se caracteriza por ser universal porque va dirigida a la totalidad de la población que habita en el territorio nacional; la Salud Mental es un derecho humano. También es inclusiva ya que orienta el diseño e implementación de estrategias para impulsar el desarrollo de factores salutogénicos con atención integral, adecuada rehabilitación y acceso a empleo digno para todas aquellas personas con alguna enfermedad mental.</w:t>
      </w:r>
      <w:r w:rsidR="003E5CAC" w:rsidRPr="00651F87">
        <w:rPr>
          <w:rFonts w:asciiTheme="majorHAnsi" w:hAnsiTheme="majorHAnsi" w:cstheme="majorHAnsi"/>
          <w:sz w:val="24"/>
          <w:szCs w:val="24"/>
        </w:rPr>
        <w:t xml:space="preserve"> </w:t>
      </w:r>
    </w:p>
    <w:p w14:paraId="31A91078" w14:textId="77777777" w:rsidR="00901AB9" w:rsidRPr="00651F87" w:rsidRDefault="00901AB9" w:rsidP="001E4941">
      <w:pPr>
        <w:spacing w:line="240" w:lineRule="auto"/>
        <w:jc w:val="both"/>
        <w:rPr>
          <w:rFonts w:asciiTheme="majorHAnsi" w:hAnsiTheme="majorHAnsi" w:cstheme="majorHAnsi"/>
          <w:sz w:val="24"/>
          <w:szCs w:val="24"/>
        </w:rPr>
      </w:pPr>
    </w:p>
    <w:p w14:paraId="77F03B63" w14:textId="4B48FECE" w:rsidR="00901AB9" w:rsidRPr="00651F87" w:rsidRDefault="00901AB9" w:rsidP="001E4941">
      <w:pPr>
        <w:pStyle w:val="ListParagraph"/>
        <w:numPr>
          <w:ilvl w:val="1"/>
          <w:numId w:val="3"/>
        </w:numPr>
        <w:spacing w:line="240" w:lineRule="auto"/>
        <w:ind w:left="1134" w:hanging="567"/>
        <w:jc w:val="both"/>
        <w:rPr>
          <w:rFonts w:asciiTheme="majorHAnsi" w:hAnsiTheme="majorHAnsi" w:cstheme="majorHAnsi"/>
          <w:b/>
          <w:bCs/>
          <w:sz w:val="24"/>
          <w:szCs w:val="24"/>
        </w:rPr>
      </w:pPr>
      <w:r w:rsidRPr="00651F87">
        <w:rPr>
          <w:rFonts w:asciiTheme="majorHAnsi" w:hAnsiTheme="majorHAnsi" w:cstheme="majorHAnsi"/>
          <w:b/>
          <w:bCs/>
          <w:sz w:val="24"/>
          <w:szCs w:val="24"/>
        </w:rPr>
        <w:t>¿En qué medida se incluyen las personas afectadas por la violencia y la</w:t>
      </w:r>
      <w:r w:rsidR="00651F87" w:rsidRPr="00651F87">
        <w:rPr>
          <w:rFonts w:asciiTheme="majorHAnsi" w:hAnsiTheme="majorHAnsi" w:cstheme="majorHAnsi"/>
          <w:b/>
          <w:bCs/>
          <w:sz w:val="24"/>
          <w:szCs w:val="24"/>
        </w:rPr>
        <w:t xml:space="preserve"> </w:t>
      </w:r>
      <w:r w:rsidRPr="00651F87">
        <w:rPr>
          <w:rFonts w:asciiTheme="majorHAnsi" w:hAnsiTheme="majorHAnsi" w:cstheme="majorHAnsi"/>
          <w:b/>
          <w:bCs/>
          <w:sz w:val="24"/>
          <w:szCs w:val="24"/>
        </w:rPr>
        <w:t>discriminación por orientación sexual e identidad de género en las políticas y prácticas en torno a la atención de la salud sexual y reproductiva?</w:t>
      </w:r>
    </w:p>
    <w:p w14:paraId="278DD23C" w14:textId="697BD77D" w:rsidR="0038670B" w:rsidRDefault="0038670B" w:rsidP="001E4941">
      <w:pPr>
        <w:spacing w:line="240" w:lineRule="auto"/>
        <w:jc w:val="both"/>
        <w:rPr>
          <w:rFonts w:asciiTheme="majorHAnsi" w:hAnsiTheme="majorHAnsi" w:cstheme="majorHAnsi"/>
          <w:sz w:val="24"/>
          <w:szCs w:val="24"/>
        </w:rPr>
      </w:pPr>
    </w:p>
    <w:p w14:paraId="4F06B5B8" w14:textId="06166220" w:rsidR="00711826" w:rsidRDefault="00711826" w:rsidP="001E4941">
      <w:pPr>
        <w:spacing w:line="240" w:lineRule="auto"/>
        <w:jc w:val="both"/>
        <w:rPr>
          <w:rFonts w:asciiTheme="majorHAnsi" w:hAnsiTheme="majorHAnsi" w:cstheme="majorHAnsi"/>
          <w:sz w:val="24"/>
          <w:szCs w:val="24"/>
        </w:rPr>
      </w:pPr>
      <w:r w:rsidRPr="00711826">
        <w:rPr>
          <w:rFonts w:asciiTheme="majorHAnsi" w:hAnsiTheme="majorHAnsi" w:cstheme="majorHAnsi"/>
          <w:sz w:val="24"/>
          <w:szCs w:val="24"/>
        </w:rPr>
        <w:t>El Ministerio de Salud integra a diferentes actores sociales en los procesos de elaboración de sus políticas, planes, directrices o lineamientos. Los grupos de personas LGTBIQ+ son convocados como un grupo más estratégico para integrar sus necesidades y observaciones.</w:t>
      </w:r>
    </w:p>
    <w:p w14:paraId="4F50240E" w14:textId="77777777" w:rsidR="00711826" w:rsidRPr="00651F87" w:rsidRDefault="00711826" w:rsidP="001E4941">
      <w:pPr>
        <w:spacing w:line="240" w:lineRule="auto"/>
        <w:jc w:val="both"/>
        <w:rPr>
          <w:rFonts w:asciiTheme="majorHAnsi" w:hAnsiTheme="majorHAnsi" w:cstheme="majorHAnsi"/>
          <w:sz w:val="24"/>
          <w:szCs w:val="24"/>
        </w:rPr>
      </w:pPr>
    </w:p>
    <w:p w14:paraId="5C498573" w14:textId="705D2A2F" w:rsidR="00901AB9" w:rsidRPr="00651F87" w:rsidRDefault="00901AB9" w:rsidP="001E4941">
      <w:pPr>
        <w:pStyle w:val="ListParagraph"/>
        <w:numPr>
          <w:ilvl w:val="1"/>
          <w:numId w:val="3"/>
        </w:numPr>
        <w:spacing w:line="240" w:lineRule="auto"/>
        <w:ind w:left="1134" w:hanging="567"/>
        <w:jc w:val="both"/>
        <w:rPr>
          <w:rFonts w:asciiTheme="majorHAnsi" w:hAnsiTheme="majorHAnsi" w:cstheme="majorHAnsi"/>
          <w:b/>
          <w:bCs/>
          <w:sz w:val="24"/>
          <w:szCs w:val="24"/>
        </w:rPr>
      </w:pPr>
      <w:r w:rsidRPr="00651F87">
        <w:rPr>
          <w:rFonts w:asciiTheme="majorHAnsi" w:hAnsiTheme="majorHAnsi" w:cstheme="majorHAnsi"/>
          <w:b/>
          <w:bCs/>
          <w:sz w:val="24"/>
          <w:szCs w:val="24"/>
        </w:rPr>
        <w:t>¿Qué apoyo o asistencia técnica se necesita para asegurar que las necesidades de atención médica de las personas afectadas por la violencia y la discriminación por orientación sexual e identidad de género se aborden de manera integral e incluyan en las leyes, políticas y prácticas pertinentes?</w:t>
      </w:r>
    </w:p>
    <w:p w14:paraId="24F76DB4" w14:textId="3F45D638" w:rsidR="00901AB9" w:rsidRDefault="00901AB9" w:rsidP="001E4941">
      <w:pPr>
        <w:spacing w:line="240" w:lineRule="auto"/>
        <w:jc w:val="both"/>
        <w:rPr>
          <w:rFonts w:asciiTheme="majorHAnsi" w:hAnsiTheme="majorHAnsi" w:cstheme="majorHAnsi"/>
          <w:sz w:val="24"/>
          <w:szCs w:val="24"/>
        </w:rPr>
      </w:pPr>
    </w:p>
    <w:p w14:paraId="2070A0D0" w14:textId="4E020D06" w:rsidR="00711826" w:rsidRDefault="001E4941" w:rsidP="001E4941">
      <w:pPr>
        <w:spacing w:line="240" w:lineRule="auto"/>
        <w:jc w:val="both"/>
        <w:rPr>
          <w:rFonts w:asciiTheme="majorHAnsi" w:hAnsiTheme="majorHAnsi" w:cstheme="majorHAnsi"/>
          <w:sz w:val="24"/>
          <w:szCs w:val="24"/>
        </w:rPr>
      </w:pPr>
      <w:r>
        <w:rPr>
          <w:rFonts w:asciiTheme="majorHAnsi" w:hAnsiTheme="majorHAnsi" w:cstheme="majorHAnsi"/>
          <w:sz w:val="24"/>
          <w:szCs w:val="24"/>
        </w:rPr>
        <w:t xml:space="preserve">Se cuenta </w:t>
      </w:r>
      <w:r w:rsidR="00711826" w:rsidRPr="00711826">
        <w:rPr>
          <w:rFonts w:asciiTheme="majorHAnsi" w:hAnsiTheme="majorHAnsi" w:cstheme="majorHAnsi"/>
          <w:sz w:val="24"/>
          <w:szCs w:val="24"/>
        </w:rPr>
        <w:t xml:space="preserve">con varios instrumentos que marcan la ruta de atención a personas LGTBIQ+ pero </w:t>
      </w:r>
      <w:r>
        <w:rPr>
          <w:rFonts w:asciiTheme="majorHAnsi" w:hAnsiTheme="majorHAnsi" w:cstheme="majorHAnsi"/>
          <w:sz w:val="24"/>
          <w:szCs w:val="24"/>
        </w:rPr>
        <w:t xml:space="preserve">se </w:t>
      </w:r>
      <w:r w:rsidR="00711826" w:rsidRPr="00711826">
        <w:rPr>
          <w:rFonts w:asciiTheme="majorHAnsi" w:hAnsiTheme="majorHAnsi" w:cstheme="majorHAnsi"/>
          <w:sz w:val="24"/>
          <w:szCs w:val="24"/>
        </w:rPr>
        <w:t xml:space="preserve">necesita más apoyo para divulgar estos instrumentos y vigilar su cumplimiento. </w:t>
      </w:r>
      <w:r w:rsidR="000D786F">
        <w:rPr>
          <w:rFonts w:asciiTheme="majorHAnsi" w:hAnsiTheme="majorHAnsi" w:cstheme="majorHAnsi"/>
          <w:sz w:val="24"/>
          <w:szCs w:val="24"/>
        </w:rPr>
        <w:t>Se necesita recurso que apoye có</w:t>
      </w:r>
      <w:r w:rsidR="00711826" w:rsidRPr="00711826">
        <w:rPr>
          <w:rFonts w:asciiTheme="majorHAnsi" w:hAnsiTheme="majorHAnsi" w:cstheme="majorHAnsi"/>
          <w:sz w:val="24"/>
          <w:szCs w:val="24"/>
        </w:rPr>
        <w:t>mo diseñar estrategias de comunicación de estos instrumentos y apoyo para encontrar formas resumidas y amigables para diagramarlos y divulgarlos.</w:t>
      </w:r>
      <w:r w:rsidR="00711826">
        <w:rPr>
          <w:rFonts w:asciiTheme="majorHAnsi" w:hAnsiTheme="majorHAnsi" w:cstheme="majorHAnsi"/>
          <w:sz w:val="24"/>
          <w:szCs w:val="24"/>
        </w:rPr>
        <w:t xml:space="preserve"> </w:t>
      </w:r>
      <w:r w:rsidR="00711826" w:rsidRPr="00711826">
        <w:rPr>
          <w:rFonts w:asciiTheme="majorHAnsi" w:hAnsiTheme="majorHAnsi" w:cstheme="majorHAnsi"/>
          <w:sz w:val="24"/>
          <w:szCs w:val="24"/>
        </w:rPr>
        <w:t>Estos instrumentos son:</w:t>
      </w:r>
    </w:p>
    <w:p w14:paraId="3FBA8CA6" w14:textId="77777777" w:rsidR="000D786F" w:rsidRPr="00711826" w:rsidRDefault="000D786F" w:rsidP="001E4941">
      <w:pPr>
        <w:spacing w:line="240" w:lineRule="auto"/>
        <w:jc w:val="both"/>
        <w:rPr>
          <w:rFonts w:asciiTheme="majorHAnsi" w:hAnsiTheme="majorHAnsi" w:cstheme="majorHAnsi"/>
          <w:sz w:val="24"/>
          <w:szCs w:val="24"/>
        </w:rPr>
      </w:pPr>
    </w:p>
    <w:p w14:paraId="1BD60C27" w14:textId="4A61A227" w:rsidR="00711826" w:rsidRPr="001E4941" w:rsidRDefault="00711826" w:rsidP="001E4941">
      <w:pPr>
        <w:pStyle w:val="ListParagraph"/>
        <w:numPr>
          <w:ilvl w:val="0"/>
          <w:numId w:val="10"/>
        </w:numPr>
        <w:spacing w:line="240" w:lineRule="auto"/>
        <w:jc w:val="both"/>
        <w:rPr>
          <w:rFonts w:asciiTheme="majorHAnsi" w:hAnsiTheme="majorHAnsi" w:cstheme="majorHAnsi"/>
          <w:sz w:val="24"/>
          <w:szCs w:val="24"/>
        </w:rPr>
      </w:pPr>
      <w:r w:rsidRPr="001E4941">
        <w:rPr>
          <w:rFonts w:asciiTheme="majorHAnsi" w:hAnsiTheme="majorHAnsi" w:cstheme="majorHAnsi"/>
          <w:sz w:val="24"/>
          <w:szCs w:val="24"/>
        </w:rPr>
        <w:t>Directrices para la garantía del derecho a la Salud de personas LGTBI elaboradas por el M</w:t>
      </w:r>
      <w:r w:rsidR="000D786F">
        <w:rPr>
          <w:rFonts w:asciiTheme="majorHAnsi" w:hAnsiTheme="majorHAnsi" w:cstheme="majorHAnsi"/>
          <w:sz w:val="24"/>
          <w:szCs w:val="24"/>
        </w:rPr>
        <w:t xml:space="preserve">inisterio de </w:t>
      </w:r>
      <w:r w:rsidRPr="001E4941">
        <w:rPr>
          <w:rFonts w:asciiTheme="majorHAnsi" w:hAnsiTheme="majorHAnsi" w:cstheme="majorHAnsi"/>
          <w:sz w:val="24"/>
          <w:szCs w:val="24"/>
        </w:rPr>
        <w:t>S</w:t>
      </w:r>
      <w:r w:rsidR="000D786F">
        <w:rPr>
          <w:rFonts w:asciiTheme="majorHAnsi" w:hAnsiTheme="majorHAnsi" w:cstheme="majorHAnsi"/>
          <w:sz w:val="24"/>
          <w:szCs w:val="24"/>
        </w:rPr>
        <w:t>alud</w:t>
      </w:r>
      <w:r w:rsidRPr="001E4941">
        <w:rPr>
          <w:rFonts w:asciiTheme="majorHAnsi" w:hAnsiTheme="majorHAnsi" w:cstheme="majorHAnsi"/>
          <w:sz w:val="24"/>
          <w:szCs w:val="24"/>
        </w:rPr>
        <w:t xml:space="preserve"> que tienen por objetivo: </w:t>
      </w:r>
    </w:p>
    <w:p w14:paraId="7D9CFDAB" w14:textId="2C231EB1" w:rsidR="00711826" w:rsidRPr="001E4941" w:rsidRDefault="00711826" w:rsidP="001E4941">
      <w:pPr>
        <w:pStyle w:val="ListParagraph"/>
        <w:numPr>
          <w:ilvl w:val="0"/>
          <w:numId w:val="11"/>
        </w:numPr>
        <w:spacing w:line="240" w:lineRule="auto"/>
        <w:ind w:left="1134"/>
        <w:jc w:val="both"/>
        <w:rPr>
          <w:rFonts w:asciiTheme="majorHAnsi" w:hAnsiTheme="majorHAnsi" w:cstheme="majorHAnsi"/>
          <w:sz w:val="24"/>
          <w:szCs w:val="24"/>
        </w:rPr>
      </w:pPr>
      <w:r w:rsidRPr="001E4941">
        <w:rPr>
          <w:rFonts w:asciiTheme="majorHAnsi" w:hAnsiTheme="majorHAnsi" w:cstheme="majorHAnsi"/>
          <w:sz w:val="24"/>
          <w:szCs w:val="24"/>
        </w:rPr>
        <w:t>Contribuir a la promoción de una cultura que reconoce como valores centrales, el respeto, la solidaridad y el reconocimiento y valoración de las diferencias</w:t>
      </w:r>
      <w:r w:rsidR="001E4941">
        <w:rPr>
          <w:rFonts w:asciiTheme="majorHAnsi" w:hAnsiTheme="majorHAnsi" w:cstheme="majorHAnsi"/>
          <w:sz w:val="24"/>
          <w:szCs w:val="24"/>
        </w:rPr>
        <w:t>.</w:t>
      </w:r>
    </w:p>
    <w:p w14:paraId="0ABC9098" w14:textId="5A5D24A5" w:rsidR="00711826" w:rsidRPr="001E4941" w:rsidRDefault="00711826" w:rsidP="001E4941">
      <w:pPr>
        <w:pStyle w:val="ListParagraph"/>
        <w:numPr>
          <w:ilvl w:val="0"/>
          <w:numId w:val="11"/>
        </w:numPr>
        <w:spacing w:line="240" w:lineRule="auto"/>
        <w:ind w:left="1134"/>
        <w:jc w:val="both"/>
        <w:rPr>
          <w:rFonts w:asciiTheme="majorHAnsi" w:hAnsiTheme="majorHAnsi" w:cstheme="majorHAnsi"/>
          <w:sz w:val="24"/>
          <w:szCs w:val="24"/>
        </w:rPr>
      </w:pPr>
      <w:r w:rsidRPr="001E4941">
        <w:rPr>
          <w:rFonts w:asciiTheme="majorHAnsi" w:hAnsiTheme="majorHAnsi" w:cstheme="majorHAnsi"/>
          <w:sz w:val="24"/>
          <w:szCs w:val="24"/>
        </w:rPr>
        <w:t>Garantizar una atención en salud oportuna, con equidad, calidad, calidez, seguridad, universalidad, solidaridad, accesibilidad e inclusión que responda a información actualizada y laica para las personas LGTBI</w:t>
      </w:r>
      <w:r w:rsidR="001E4941">
        <w:rPr>
          <w:rFonts w:asciiTheme="majorHAnsi" w:hAnsiTheme="majorHAnsi" w:cstheme="majorHAnsi"/>
          <w:sz w:val="24"/>
          <w:szCs w:val="24"/>
        </w:rPr>
        <w:t>.</w:t>
      </w:r>
    </w:p>
    <w:p w14:paraId="7F03DA47" w14:textId="4253BE8F" w:rsidR="00711826" w:rsidRPr="001E4941" w:rsidRDefault="00711826" w:rsidP="001E4941">
      <w:pPr>
        <w:pStyle w:val="ListParagraph"/>
        <w:numPr>
          <w:ilvl w:val="0"/>
          <w:numId w:val="11"/>
        </w:numPr>
        <w:spacing w:line="240" w:lineRule="auto"/>
        <w:ind w:left="1134"/>
        <w:jc w:val="both"/>
        <w:rPr>
          <w:rFonts w:asciiTheme="majorHAnsi" w:hAnsiTheme="majorHAnsi" w:cstheme="majorHAnsi"/>
          <w:sz w:val="24"/>
          <w:szCs w:val="24"/>
        </w:rPr>
      </w:pPr>
      <w:r w:rsidRPr="001E4941">
        <w:rPr>
          <w:rFonts w:asciiTheme="majorHAnsi" w:hAnsiTheme="majorHAnsi" w:cstheme="majorHAnsi"/>
          <w:sz w:val="24"/>
          <w:szCs w:val="24"/>
        </w:rPr>
        <w:t>Protección frente las diferentes formas de violencia que produce la discriminación</w:t>
      </w:r>
      <w:r w:rsidR="001E4941">
        <w:rPr>
          <w:rFonts w:asciiTheme="majorHAnsi" w:hAnsiTheme="majorHAnsi" w:cstheme="majorHAnsi"/>
          <w:sz w:val="24"/>
          <w:szCs w:val="24"/>
        </w:rPr>
        <w:t>.</w:t>
      </w:r>
    </w:p>
    <w:p w14:paraId="51D9C56F" w14:textId="6B218127" w:rsidR="00711826" w:rsidRPr="001E4941" w:rsidRDefault="00711826" w:rsidP="001E4941">
      <w:pPr>
        <w:pStyle w:val="ListParagraph"/>
        <w:numPr>
          <w:ilvl w:val="0"/>
          <w:numId w:val="11"/>
        </w:numPr>
        <w:spacing w:line="240" w:lineRule="auto"/>
        <w:ind w:left="1134"/>
        <w:jc w:val="both"/>
        <w:rPr>
          <w:rFonts w:asciiTheme="majorHAnsi" w:hAnsiTheme="majorHAnsi" w:cstheme="majorHAnsi"/>
          <w:sz w:val="24"/>
          <w:szCs w:val="24"/>
        </w:rPr>
      </w:pPr>
      <w:r w:rsidRPr="001E4941">
        <w:rPr>
          <w:rFonts w:asciiTheme="majorHAnsi" w:hAnsiTheme="majorHAnsi" w:cstheme="majorHAnsi"/>
          <w:sz w:val="24"/>
          <w:szCs w:val="24"/>
        </w:rPr>
        <w:t>Fortalecer la participación activa de las personas LGTBI en la defensa y vigilancia del cumplimiento del derecho a la salud</w:t>
      </w:r>
      <w:r w:rsidR="001E4941">
        <w:rPr>
          <w:rFonts w:asciiTheme="majorHAnsi" w:hAnsiTheme="majorHAnsi" w:cstheme="majorHAnsi"/>
          <w:sz w:val="24"/>
          <w:szCs w:val="24"/>
        </w:rPr>
        <w:t>.</w:t>
      </w:r>
    </w:p>
    <w:p w14:paraId="5E582AFE" w14:textId="7F649CB7" w:rsidR="00711826" w:rsidRPr="00711826" w:rsidRDefault="00711826" w:rsidP="001E4941">
      <w:pPr>
        <w:pStyle w:val="ListParagraph"/>
        <w:numPr>
          <w:ilvl w:val="0"/>
          <w:numId w:val="10"/>
        </w:numPr>
        <w:spacing w:line="240" w:lineRule="auto"/>
        <w:jc w:val="both"/>
        <w:rPr>
          <w:rFonts w:asciiTheme="majorHAnsi" w:hAnsiTheme="majorHAnsi" w:cstheme="majorHAnsi"/>
          <w:sz w:val="24"/>
          <w:szCs w:val="24"/>
        </w:rPr>
      </w:pPr>
      <w:r w:rsidRPr="00711826">
        <w:rPr>
          <w:rFonts w:asciiTheme="majorHAnsi" w:hAnsiTheme="majorHAnsi" w:cstheme="majorHAnsi"/>
          <w:sz w:val="24"/>
          <w:szCs w:val="24"/>
        </w:rPr>
        <w:t>Acciones en el marco de la rectoría en salud para la garantía del derecho a la Salud de personas LGTBI que define la ruta a seguir para que el Ministerio de Salud contribuya a la garantía del derecho a la Salud de personas LGTBI</w:t>
      </w:r>
      <w:r w:rsidR="001E4941">
        <w:rPr>
          <w:rFonts w:asciiTheme="majorHAnsi" w:hAnsiTheme="majorHAnsi" w:cstheme="majorHAnsi"/>
          <w:sz w:val="24"/>
          <w:szCs w:val="24"/>
        </w:rPr>
        <w:t>.</w:t>
      </w:r>
    </w:p>
    <w:p w14:paraId="5C7A427E" w14:textId="26B9E430" w:rsidR="00711826" w:rsidRPr="001E4941" w:rsidRDefault="00711826" w:rsidP="001E4941">
      <w:pPr>
        <w:pStyle w:val="ListParagraph"/>
        <w:numPr>
          <w:ilvl w:val="0"/>
          <w:numId w:val="10"/>
        </w:numPr>
        <w:spacing w:line="240" w:lineRule="auto"/>
        <w:jc w:val="both"/>
        <w:rPr>
          <w:rFonts w:asciiTheme="majorHAnsi" w:hAnsiTheme="majorHAnsi" w:cstheme="majorHAnsi"/>
          <w:sz w:val="24"/>
          <w:szCs w:val="24"/>
        </w:rPr>
      </w:pPr>
      <w:r w:rsidRPr="001E4941">
        <w:rPr>
          <w:rFonts w:asciiTheme="majorHAnsi" w:hAnsiTheme="majorHAnsi" w:cstheme="majorHAnsi"/>
          <w:sz w:val="24"/>
          <w:szCs w:val="24"/>
        </w:rPr>
        <w:t>Norma nacional para la atención en salud libre de estigma y discriminación a</w:t>
      </w:r>
      <w:r w:rsidR="001E4941" w:rsidRPr="001E4941">
        <w:rPr>
          <w:rFonts w:asciiTheme="majorHAnsi" w:hAnsiTheme="majorHAnsi" w:cstheme="majorHAnsi"/>
          <w:sz w:val="24"/>
          <w:szCs w:val="24"/>
        </w:rPr>
        <w:t xml:space="preserve"> </w:t>
      </w:r>
      <w:r w:rsidRPr="001E4941">
        <w:rPr>
          <w:rFonts w:asciiTheme="majorHAnsi" w:hAnsiTheme="majorHAnsi" w:cstheme="majorHAnsi"/>
          <w:sz w:val="24"/>
          <w:szCs w:val="24"/>
        </w:rPr>
        <w:t>personas lesbianas, gais, bisexuales, trans, intersex (LGTBI) y otros hombres que tienen sexo con hombres (HSH)”</w:t>
      </w:r>
      <w:r w:rsidR="001E4941">
        <w:rPr>
          <w:rFonts w:asciiTheme="majorHAnsi" w:hAnsiTheme="majorHAnsi" w:cstheme="majorHAnsi"/>
          <w:sz w:val="24"/>
          <w:szCs w:val="24"/>
        </w:rPr>
        <w:t>.</w:t>
      </w:r>
    </w:p>
    <w:p w14:paraId="49F9A4A0" w14:textId="4473DFBA" w:rsidR="00711826" w:rsidRPr="00711826" w:rsidRDefault="00711826" w:rsidP="001E4941">
      <w:pPr>
        <w:pStyle w:val="ListParagraph"/>
        <w:numPr>
          <w:ilvl w:val="0"/>
          <w:numId w:val="10"/>
        </w:numPr>
        <w:spacing w:line="240" w:lineRule="auto"/>
        <w:jc w:val="both"/>
        <w:rPr>
          <w:rFonts w:asciiTheme="majorHAnsi" w:hAnsiTheme="majorHAnsi" w:cstheme="majorHAnsi"/>
          <w:sz w:val="24"/>
          <w:szCs w:val="24"/>
        </w:rPr>
      </w:pPr>
      <w:r w:rsidRPr="00711826">
        <w:rPr>
          <w:rFonts w:asciiTheme="majorHAnsi" w:hAnsiTheme="majorHAnsi" w:cstheme="majorHAnsi"/>
          <w:sz w:val="24"/>
          <w:szCs w:val="24"/>
        </w:rPr>
        <w:t>Atención integral de personas trans para la hormonización en la red de servicios de salud</w:t>
      </w:r>
      <w:r w:rsidR="001E4941">
        <w:rPr>
          <w:rFonts w:asciiTheme="majorHAnsi" w:hAnsiTheme="majorHAnsi" w:cstheme="majorHAnsi"/>
          <w:sz w:val="24"/>
          <w:szCs w:val="24"/>
        </w:rPr>
        <w:t>.</w:t>
      </w:r>
    </w:p>
    <w:p w14:paraId="7537F07E" w14:textId="2C5AB7B1" w:rsidR="00711826" w:rsidRDefault="00711826" w:rsidP="001E4941">
      <w:pPr>
        <w:pStyle w:val="ListParagraph"/>
        <w:numPr>
          <w:ilvl w:val="0"/>
          <w:numId w:val="10"/>
        </w:numPr>
        <w:spacing w:line="240" w:lineRule="auto"/>
        <w:jc w:val="both"/>
        <w:rPr>
          <w:rFonts w:asciiTheme="majorHAnsi" w:hAnsiTheme="majorHAnsi" w:cstheme="majorHAnsi"/>
          <w:sz w:val="24"/>
          <w:szCs w:val="24"/>
        </w:rPr>
      </w:pPr>
      <w:r w:rsidRPr="00711826">
        <w:rPr>
          <w:rFonts w:asciiTheme="majorHAnsi" w:hAnsiTheme="majorHAnsi" w:cstheme="majorHAnsi"/>
          <w:sz w:val="24"/>
          <w:szCs w:val="24"/>
        </w:rPr>
        <w:t>Lineamiento Técnico LT.GM.DDSS. AAIP. 010218 Trato digno e igualitario cuando se brinda atención a las mujeres lesbianas y bisexuales en los servicios de salud de la Caja Costarricense de Seguro Social</w:t>
      </w:r>
      <w:r w:rsidR="001E4941">
        <w:rPr>
          <w:rFonts w:asciiTheme="majorHAnsi" w:hAnsiTheme="majorHAnsi" w:cstheme="majorHAnsi"/>
          <w:sz w:val="24"/>
          <w:szCs w:val="24"/>
        </w:rPr>
        <w:t>.</w:t>
      </w:r>
    </w:p>
    <w:p w14:paraId="1320B9FC" w14:textId="77777777" w:rsidR="00711826" w:rsidRPr="00651F87" w:rsidRDefault="00711826" w:rsidP="001E4941">
      <w:pPr>
        <w:spacing w:line="240" w:lineRule="auto"/>
        <w:jc w:val="both"/>
        <w:rPr>
          <w:rFonts w:asciiTheme="majorHAnsi" w:hAnsiTheme="majorHAnsi" w:cstheme="majorHAnsi"/>
          <w:sz w:val="24"/>
          <w:szCs w:val="24"/>
        </w:rPr>
      </w:pPr>
    </w:p>
    <w:p w14:paraId="618AC03E" w14:textId="4E0DB9F3" w:rsidR="00901AB9" w:rsidRPr="00651F87" w:rsidRDefault="00901AB9" w:rsidP="001E4941">
      <w:pPr>
        <w:pStyle w:val="ListParagraph"/>
        <w:numPr>
          <w:ilvl w:val="1"/>
          <w:numId w:val="3"/>
        </w:numPr>
        <w:spacing w:line="240" w:lineRule="auto"/>
        <w:ind w:left="1134" w:hanging="567"/>
        <w:jc w:val="both"/>
        <w:rPr>
          <w:rFonts w:asciiTheme="majorHAnsi" w:hAnsiTheme="majorHAnsi" w:cstheme="majorHAnsi"/>
          <w:b/>
          <w:bCs/>
          <w:sz w:val="24"/>
          <w:szCs w:val="24"/>
        </w:rPr>
      </w:pPr>
      <w:r w:rsidRPr="00651F87">
        <w:rPr>
          <w:rFonts w:asciiTheme="majorHAnsi" w:hAnsiTheme="majorHAnsi" w:cstheme="majorHAnsi"/>
          <w:b/>
          <w:bCs/>
          <w:sz w:val="24"/>
          <w:szCs w:val="24"/>
        </w:rPr>
        <w:t>¿Cuáles son las principales barreras, en la ley o en la práctica, para que las personas afectadas por la violencia y la discriminación por orientación sexual e identidad de género reciban atención que satisfaga sus necesidades y derechos de salud física y mental?</w:t>
      </w:r>
    </w:p>
    <w:p w14:paraId="76CB7B86" w14:textId="66E466E1" w:rsidR="00901AB9" w:rsidRDefault="00901AB9" w:rsidP="001E4941">
      <w:pPr>
        <w:spacing w:line="240" w:lineRule="auto"/>
        <w:jc w:val="both"/>
        <w:rPr>
          <w:rFonts w:asciiTheme="majorHAnsi" w:hAnsiTheme="majorHAnsi" w:cstheme="majorHAnsi"/>
          <w:sz w:val="24"/>
          <w:szCs w:val="24"/>
        </w:rPr>
      </w:pPr>
    </w:p>
    <w:p w14:paraId="523EF122" w14:textId="77777777" w:rsidR="00711826" w:rsidRPr="00711826" w:rsidRDefault="00711826" w:rsidP="001E4941">
      <w:pPr>
        <w:spacing w:line="240" w:lineRule="auto"/>
        <w:jc w:val="both"/>
        <w:rPr>
          <w:rFonts w:asciiTheme="majorHAnsi" w:hAnsiTheme="majorHAnsi" w:cstheme="majorHAnsi"/>
          <w:sz w:val="24"/>
          <w:szCs w:val="24"/>
        </w:rPr>
      </w:pPr>
      <w:r w:rsidRPr="00711826">
        <w:rPr>
          <w:rFonts w:asciiTheme="majorHAnsi" w:hAnsiTheme="majorHAnsi" w:cstheme="majorHAnsi"/>
          <w:sz w:val="24"/>
          <w:szCs w:val="24"/>
        </w:rPr>
        <w:t>Legalmente no existe ningún impedimento, lo que existe es:</w:t>
      </w:r>
    </w:p>
    <w:p w14:paraId="53B5949F" w14:textId="731B5D72" w:rsidR="00711826" w:rsidRPr="001E4941" w:rsidRDefault="00711826" w:rsidP="001E4941">
      <w:pPr>
        <w:pStyle w:val="ListParagraph"/>
        <w:numPr>
          <w:ilvl w:val="0"/>
          <w:numId w:val="11"/>
        </w:numPr>
        <w:spacing w:line="240" w:lineRule="auto"/>
        <w:jc w:val="both"/>
        <w:rPr>
          <w:rFonts w:asciiTheme="majorHAnsi" w:hAnsiTheme="majorHAnsi" w:cstheme="majorHAnsi"/>
          <w:sz w:val="24"/>
          <w:szCs w:val="24"/>
        </w:rPr>
      </w:pPr>
      <w:r w:rsidRPr="001E4941">
        <w:rPr>
          <w:rFonts w:asciiTheme="majorHAnsi" w:hAnsiTheme="majorHAnsi" w:cstheme="majorHAnsi"/>
          <w:sz w:val="24"/>
          <w:szCs w:val="24"/>
        </w:rPr>
        <w:t xml:space="preserve">un importante problema de desconocimiento de la legislación que protege el derecho de las personas LGTBIQ a contar con servicios de salud que respondan a sus necesidades </w:t>
      </w:r>
      <w:r w:rsidR="001E4941" w:rsidRPr="001E4941">
        <w:rPr>
          <w:rFonts w:asciiTheme="majorHAnsi" w:hAnsiTheme="majorHAnsi" w:cstheme="majorHAnsi"/>
          <w:sz w:val="24"/>
          <w:szCs w:val="24"/>
        </w:rPr>
        <w:t>específicas</w:t>
      </w:r>
      <w:r w:rsidRPr="001E4941">
        <w:rPr>
          <w:rFonts w:asciiTheme="majorHAnsi" w:hAnsiTheme="majorHAnsi" w:cstheme="majorHAnsi"/>
          <w:sz w:val="24"/>
          <w:szCs w:val="24"/>
        </w:rPr>
        <w:t xml:space="preserve"> y al impacto de la discriminación que enfrentan</w:t>
      </w:r>
      <w:r w:rsidR="001E4941">
        <w:rPr>
          <w:rFonts w:asciiTheme="majorHAnsi" w:hAnsiTheme="majorHAnsi" w:cstheme="majorHAnsi"/>
          <w:sz w:val="24"/>
          <w:szCs w:val="24"/>
        </w:rPr>
        <w:t>.</w:t>
      </w:r>
    </w:p>
    <w:p w14:paraId="7813677B" w14:textId="5FAF6654" w:rsidR="00711826" w:rsidRPr="001E4941" w:rsidRDefault="00711826" w:rsidP="001E4941">
      <w:pPr>
        <w:pStyle w:val="ListParagraph"/>
        <w:numPr>
          <w:ilvl w:val="0"/>
          <w:numId w:val="12"/>
        </w:numPr>
        <w:spacing w:line="240" w:lineRule="auto"/>
        <w:jc w:val="both"/>
        <w:rPr>
          <w:rFonts w:asciiTheme="majorHAnsi" w:hAnsiTheme="majorHAnsi" w:cstheme="majorHAnsi"/>
          <w:sz w:val="24"/>
          <w:szCs w:val="24"/>
        </w:rPr>
      </w:pPr>
      <w:r w:rsidRPr="001E4941">
        <w:rPr>
          <w:rFonts w:asciiTheme="majorHAnsi" w:hAnsiTheme="majorHAnsi" w:cstheme="majorHAnsi"/>
          <w:sz w:val="24"/>
          <w:szCs w:val="24"/>
        </w:rPr>
        <w:t xml:space="preserve">alta rotación de funcionarias/os de salud que fueron sensibilizados y luego los cambian </w:t>
      </w:r>
      <w:r w:rsidR="001E4941" w:rsidRPr="001E4941">
        <w:rPr>
          <w:rFonts w:asciiTheme="majorHAnsi" w:hAnsiTheme="majorHAnsi" w:cstheme="majorHAnsi"/>
          <w:sz w:val="24"/>
          <w:szCs w:val="24"/>
        </w:rPr>
        <w:t>de turnos o de servicios y hay que volver a capacitar al nuevo personal</w:t>
      </w:r>
      <w:r w:rsidR="001E4941">
        <w:rPr>
          <w:rFonts w:asciiTheme="majorHAnsi" w:hAnsiTheme="majorHAnsi" w:cstheme="majorHAnsi"/>
          <w:sz w:val="24"/>
          <w:szCs w:val="24"/>
        </w:rPr>
        <w:t>.</w:t>
      </w:r>
    </w:p>
    <w:p w14:paraId="1B75E414" w14:textId="185067EB" w:rsidR="00711826" w:rsidRPr="001E4941" w:rsidRDefault="001E4941" w:rsidP="001E4941">
      <w:pPr>
        <w:pStyle w:val="ListParagraph"/>
        <w:numPr>
          <w:ilvl w:val="0"/>
          <w:numId w:val="12"/>
        </w:numPr>
        <w:spacing w:line="240" w:lineRule="auto"/>
        <w:jc w:val="both"/>
        <w:rPr>
          <w:rFonts w:asciiTheme="majorHAnsi" w:hAnsiTheme="majorHAnsi" w:cstheme="majorHAnsi"/>
          <w:sz w:val="24"/>
          <w:szCs w:val="24"/>
        </w:rPr>
      </w:pPr>
      <w:r w:rsidRPr="001E4941">
        <w:rPr>
          <w:rFonts w:asciiTheme="majorHAnsi" w:hAnsiTheme="majorHAnsi" w:cstheme="majorHAnsi"/>
          <w:sz w:val="24"/>
          <w:szCs w:val="24"/>
        </w:rPr>
        <w:t>falta de vigilancia del cumplimiento de la norma o lineamientos</w:t>
      </w:r>
      <w:r>
        <w:rPr>
          <w:rFonts w:asciiTheme="majorHAnsi" w:hAnsiTheme="majorHAnsi" w:cstheme="majorHAnsi"/>
          <w:sz w:val="24"/>
          <w:szCs w:val="24"/>
        </w:rPr>
        <w:t>.</w:t>
      </w:r>
    </w:p>
    <w:p w14:paraId="14BB99A0" w14:textId="6BE7024E" w:rsidR="00711826" w:rsidRPr="001E4941" w:rsidRDefault="001E4941" w:rsidP="001E4941">
      <w:pPr>
        <w:pStyle w:val="ListParagraph"/>
        <w:numPr>
          <w:ilvl w:val="0"/>
          <w:numId w:val="12"/>
        </w:numPr>
        <w:spacing w:line="240" w:lineRule="auto"/>
        <w:jc w:val="both"/>
        <w:rPr>
          <w:rFonts w:asciiTheme="majorHAnsi" w:hAnsiTheme="majorHAnsi" w:cstheme="majorHAnsi"/>
          <w:sz w:val="24"/>
          <w:szCs w:val="24"/>
        </w:rPr>
      </w:pPr>
      <w:r w:rsidRPr="001E4941">
        <w:rPr>
          <w:rFonts w:asciiTheme="majorHAnsi" w:hAnsiTheme="majorHAnsi" w:cstheme="majorHAnsi"/>
          <w:sz w:val="24"/>
          <w:szCs w:val="24"/>
        </w:rPr>
        <w:t>saturación de trabajo por la pandemia</w:t>
      </w:r>
      <w:r>
        <w:rPr>
          <w:rFonts w:asciiTheme="majorHAnsi" w:hAnsiTheme="majorHAnsi" w:cstheme="majorHAnsi"/>
          <w:sz w:val="24"/>
          <w:szCs w:val="24"/>
        </w:rPr>
        <w:t>.</w:t>
      </w:r>
    </w:p>
    <w:p w14:paraId="7C01581A" w14:textId="7EC7FD5E" w:rsidR="00711826" w:rsidRPr="001E4941" w:rsidRDefault="001E4941" w:rsidP="001E4941">
      <w:pPr>
        <w:pStyle w:val="ListParagraph"/>
        <w:numPr>
          <w:ilvl w:val="0"/>
          <w:numId w:val="12"/>
        </w:numPr>
        <w:spacing w:line="240" w:lineRule="auto"/>
        <w:jc w:val="both"/>
        <w:rPr>
          <w:rFonts w:asciiTheme="majorHAnsi" w:hAnsiTheme="majorHAnsi" w:cstheme="majorHAnsi"/>
          <w:sz w:val="24"/>
          <w:szCs w:val="24"/>
        </w:rPr>
      </w:pPr>
      <w:r w:rsidRPr="001E4941">
        <w:rPr>
          <w:rFonts w:asciiTheme="majorHAnsi" w:hAnsiTheme="majorHAnsi" w:cstheme="majorHAnsi"/>
          <w:sz w:val="24"/>
          <w:szCs w:val="24"/>
        </w:rPr>
        <w:t xml:space="preserve">poca divulgación </w:t>
      </w:r>
      <w:r w:rsidR="00711826" w:rsidRPr="001E4941">
        <w:rPr>
          <w:rFonts w:asciiTheme="majorHAnsi" w:hAnsiTheme="majorHAnsi" w:cstheme="majorHAnsi"/>
          <w:sz w:val="24"/>
          <w:szCs w:val="24"/>
        </w:rPr>
        <w:t>de esos instrumentos no solo por parte de personal de salud sino de las propias personas LGTBIQ+ que le dificultan exigir sus derechos</w:t>
      </w:r>
      <w:r>
        <w:rPr>
          <w:rFonts w:asciiTheme="majorHAnsi" w:hAnsiTheme="majorHAnsi" w:cstheme="majorHAnsi"/>
          <w:sz w:val="24"/>
          <w:szCs w:val="24"/>
        </w:rPr>
        <w:t>.</w:t>
      </w:r>
    </w:p>
    <w:p w14:paraId="5A9DDA80" w14:textId="06A4E3E8" w:rsidR="00711826" w:rsidRPr="001E4941" w:rsidRDefault="001E4941" w:rsidP="001E4941">
      <w:pPr>
        <w:pStyle w:val="ListParagraph"/>
        <w:numPr>
          <w:ilvl w:val="0"/>
          <w:numId w:val="12"/>
        </w:numPr>
        <w:spacing w:line="240" w:lineRule="auto"/>
        <w:jc w:val="both"/>
        <w:rPr>
          <w:rFonts w:asciiTheme="majorHAnsi" w:hAnsiTheme="majorHAnsi" w:cstheme="majorHAnsi"/>
          <w:sz w:val="24"/>
          <w:szCs w:val="24"/>
        </w:rPr>
      </w:pPr>
      <w:r w:rsidRPr="001E4941">
        <w:rPr>
          <w:rFonts w:asciiTheme="majorHAnsi" w:hAnsiTheme="majorHAnsi" w:cstheme="majorHAnsi"/>
          <w:sz w:val="24"/>
          <w:szCs w:val="24"/>
        </w:rPr>
        <w:t>prejuicios relacionados con la diversidad sexual</w:t>
      </w:r>
      <w:r>
        <w:rPr>
          <w:rFonts w:asciiTheme="majorHAnsi" w:hAnsiTheme="majorHAnsi" w:cstheme="majorHAnsi"/>
          <w:sz w:val="24"/>
          <w:szCs w:val="24"/>
        </w:rPr>
        <w:t>.</w:t>
      </w:r>
    </w:p>
    <w:p w14:paraId="634BB202" w14:textId="030F8D1B" w:rsidR="00711826" w:rsidRPr="001E4941" w:rsidRDefault="001E4941" w:rsidP="001E4941">
      <w:pPr>
        <w:pStyle w:val="ListParagraph"/>
        <w:numPr>
          <w:ilvl w:val="0"/>
          <w:numId w:val="12"/>
        </w:numPr>
        <w:spacing w:line="240" w:lineRule="auto"/>
        <w:jc w:val="both"/>
        <w:rPr>
          <w:rFonts w:asciiTheme="majorHAnsi" w:hAnsiTheme="majorHAnsi" w:cstheme="majorHAnsi"/>
          <w:sz w:val="24"/>
          <w:szCs w:val="24"/>
        </w:rPr>
      </w:pPr>
      <w:r w:rsidRPr="001E4941">
        <w:rPr>
          <w:rFonts w:asciiTheme="majorHAnsi" w:hAnsiTheme="majorHAnsi" w:cstheme="majorHAnsi"/>
          <w:sz w:val="24"/>
          <w:szCs w:val="24"/>
        </w:rPr>
        <w:t>te</w:t>
      </w:r>
      <w:r w:rsidR="00711826" w:rsidRPr="001E4941">
        <w:rPr>
          <w:rFonts w:asciiTheme="majorHAnsi" w:hAnsiTheme="majorHAnsi" w:cstheme="majorHAnsi"/>
          <w:sz w:val="24"/>
          <w:szCs w:val="24"/>
        </w:rPr>
        <w:t>mor y falta de conocimiento de la realidad LGTBIQ. Muchas veces el personal de salud no tiene claro como preguntar, que preguntar sobre la vida y salud de las personas LGTBIQ+ y les da temor “ofender” o “incomodar”.</w:t>
      </w:r>
    </w:p>
    <w:p w14:paraId="0C1ADD2F" w14:textId="77777777" w:rsidR="00711826" w:rsidRPr="00651F87" w:rsidRDefault="00711826" w:rsidP="001E4941">
      <w:pPr>
        <w:spacing w:line="240" w:lineRule="auto"/>
        <w:jc w:val="both"/>
        <w:rPr>
          <w:rFonts w:asciiTheme="majorHAnsi" w:hAnsiTheme="majorHAnsi" w:cstheme="majorHAnsi"/>
          <w:sz w:val="24"/>
          <w:szCs w:val="24"/>
        </w:rPr>
      </w:pPr>
    </w:p>
    <w:p w14:paraId="05F43E7F" w14:textId="5890A81D" w:rsidR="00901AB9" w:rsidRPr="00651F87" w:rsidRDefault="00901AB9" w:rsidP="001E4941">
      <w:pPr>
        <w:pStyle w:val="ListParagraph"/>
        <w:numPr>
          <w:ilvl w:val="0"/>
          <w:numId w:val="3"/>
        </w:numPr>
        <w:shd w:val="clear" w:color="auto" w:fill="C6D9F1" w:themeFill="text2" w:themeFillTint="33"/>
        <w:spacing w:line="240" w:lineRule="auto"/>
        <w:jc w:val="both"/>
        <w:rPr>
          <w:rFonts w:asciiTheme="majorHAnsi" w:hAnsiTheme="majorHAnsi" w:cstheme="majorHAnsi"/>
          <w:b/>
          <w:bCs/>
          <w:sz w:val="24"/>
          <w:szCs w:val="24"/>
        </w:rPr>
      </w:pPr>
      <w:r w:rsidRPr="00651F87">
        <w:rPr>
          <w:rFonts w:asciiTheme="majorHAnsi" w:hAnsiTheme="majorHAnsi" w:cstheme="majorHAnsi"/>
          <w:b/>
          <w:bCs/>
          <w:sz w:val="24"/>
          <w:szCs w:val="24"/>
        </w:rPr>
        <w:t>Acceso: garantizar que las personas LGTBI y GNC tengan acceso a la atención</w:t>
      </w:r>
      <w:r w:rsidR="00651F87" w:rsidRPr="00651F87">
        <w:rPr>
          <w:rFonts w:asciiTheme="majorHAnsi" w:hAnsiTheme="majorHAnsi" w:cstheme="majorHAnsi"/>
          <w:b/>
          <w:bCs/>
          <w:sz w:val="24"/>
          <w:szCs w:val="24"/>
        </w:rPr>
        <w:t xml:space="preserve"> </w:t>
      </w:r>
      <w:r w:rsidR="00F56220" w:rsidRPr="00651F87">
        <w:rPr>
          <w:rFonts w:asciiTheme="majorHAnsi" w:hAnsiTheme="majorHAnsi" w:cstheme="majorHAnsi"/>
          <w:b/>
          <w:bCs/>
          <w:sz w:val="24"/>
          <w:szCs w:val="24"/>
        </w:rPr>
        <w:t>M</w:t>
      </w:r>
      <w:r w:rsidRPr="00651F87">
        <w:rPr>
          <w:rFonts w:asciiTheme="majorHAnsi" w:hAnsiTheme="majorHAnsi" w:cstheme="majorHAnsi"/>
          <w:b/>
          <w:bCs/>
          <w:sz w:val="24"/>
          <w:szCs w:val="24"/>
        </w:rPr>
        <w:t>édica</w:t>
      </w:r>
    </w:p>
    <w:p w14:paraId="0FB0D36C" w14:textId="77777777" w:rsidR="00F56220" w:rsidRPr="00651F87" w:rsidRDefault="00F56220" w:rsidP="001E4941">
      <w:pPr>
        <w:spacing w:line="240" w:lineRule="auto"/>
        <w:jc w:val="both"/>
        <w:rPr>
          <w:rFonts w:asciiTheme="majorHAnsi" w:hAnsiTheme="majorHAnsi" w:cstheme="majorHAnsi"/>
          <w:sz w:val="24"/>
          <w:szCs w:val="24"/>
        </w:rPr>
      </w:pPr>
    </w:p>
    <w:p w14:paraId="4BA2B572" w14:textId="1D453397" w:rsidR="00901AB9" w:rsidRPr="00651F87" w:rsidRDefault="00901AB9" w:rsidP="001E4941">
      <w:pPr>
        <w:pStyle w:val="ListParagraph"/>
        <w:numPr>
          <w:ilvl w:val="1"/>
          <w:numId w:val="3"/>
        </w:numPr>
        <w:spacing w:line="240" w:lineRule="auto"/>
        <w:ind w:left="1134" w:hanging="567"/>
        <w:jc w:val="both"/>
        <w:rPr>
          <w:rFonts w:asciiTheme="majorHAnsi" w:hAnsiTheme="majorHAnsi" w:cstheme="majorHAnsi"/>
          <w:b/>
          <w:bCs/>
          <w:sz w:val="24"/>
          <w:szCs w:val="24"/>
        </w:rPr>
      </w:pPr>
      <w:r w:rsidRPr="00651F87">
        <w:rPr>
          <w:rFonts w:asciiTheme="majorHAnsi" w:hAnsiTheme="majorHAnsi" w:cstheme="majorHAnsi"/>
          <w:b/>
          <w:bCs/>
          <w:sz w:val="24"/>
          <w:szCs w:val="24"/>
        </w:rPr>
        <w:t>¿Qué medidas se han adoptado para garantizar el acceso a servicios de salud asequibles y no discriminatorios para las personas afectadas por la violencia y la discriminación por motivos de orientación sexual e identidad de género?</w:t>
      </w:r>
    </w:p>
    <w:p w14:paraId="36BDA461" w14:textId="3B55831D" w:rsidR="000141D9" w:rsidRDefault="000141D9" w:rsidP="001E4941">
      <w:pPr>
        <w:spacing w:line="240" w:lineRule="auto"/>
        <w:jc w:val="both"/>
        <w:rPr>
          <w:rFonts w:asciiTheme="majorHAnsi" w:hAnsiTheme="majorHAnsi" w:cstheme="majorHAnsi"/>
          <w:sz w:val="24"/>
          <w:szCs w:val="24"/>
        </w:rPr>
      </w:pPr>
    </w:p>
    <w:p w14:paraId="63FD6A18" w14:textId="5C35670D" w:rsidR="00711826" w:rsidRPr="00711826" w:rsidRDefault="00711826" w:rsidP="001E4941">
      <w:pPr>
        <w:spacing w:line="240" w:lineRule="auto"/>
        <w:jc w:val="both"/>
        <w:rPr>
          <w:rFonts w:asciiTheme="majorHAnsi" w:hAnsiTheme="majorHAnsi" w:cstheme="majorHAnsi"/>
          <w:sz w:val="24"/>
          <w:szCs w:val="24"/>
        </w:rPr>
      </w:pPr>
      <w:r w:rsidRPr="00711826">
        <w:rPr>
          <w:rFonts w:asciiTheme="majorHAnsi" w:hAnsiTheme="majorHAnsi" w:cstheme="majorHAnsi"/>
          <w:sz w:val="24"/>
          <w:szCs w:val="24"/>
        </w:rPr>
        <w:t>Se ha divulgado y aclarado que la ley contra la violencia intrafamiliar incluye a todas las personas en su diversidad y no solo a las mujeres</w:t>
      </w:r>
      <w:r w:rsidR="001E4941">
        <w:rPr>
          <w:rFonts w:asciiTheme="majorHAnsi" w:hAnsiTheme="majorHAnsi" w:cstheme="majorHAnsi"/>
          <w:sz w:val="24"/>
          <w:szCs w:val="24"/>
        </w:rPr>
        <w:t xml:space="preserve">. </w:t>
      </w:r>
      <w:r w:rsidRPr="00711826">
        <w:rPr>
          <w:rFonts w:asciiTheme="majorHAnsi" w:hAnsiTheme="majorHAnsi" w:cstheme="majorHAnsi"/>
          <w:sz w:val="24"/>
          <w:szCs w:val="24"/>
        </w:rPr>
        <w:t>Se ha divulgado que la Ley de penalización de la violencia contra las mujeres debe proteger a las mujeres en toda su diversidad independiente de su orientación y expresión de su identidad</w:t>
      </w:r>
      <w:r w:rsidR="001E4941">
        <w:rPr>
          <w:rFonts w:asciiTheme="majorHAnsi" w:hAnsiTheme="majorHAnsi" w:cstheme="majorHAnsi"/>
          <w:sz w:val="24"/>
          <w:szCs w:val="24"/>
        </w:rPr>
        <w:t xml:space="preserve">. </w:t>
      </w:r>
      <w:r w:rsidRPr="00711826">
        <w:rPr>
          <w:rFonts w:asciiTheme="majorHAnsi" w:hAnsiTheme="majorHAnsi" w:cstheme="majorHAnsi"/>
          <w:sz w:val="24"/>
          <w:szCs w:val="24"/>
        </w:rPr>
        <w:t>Se ha luchado para que cuando se registra un caso de femicidio pueda incluirse e identificarse como víctima de femicidio las mujeres trans.</w:t>
      </w:r>
    </w:p>
    <w:p w14:paraId="0BDC12D5" w14:textId="07BF4474" w:rsidR="00711826" w:rsidRPr="00711826" w:rsidRDefault="00711826" w:rsidP="001E4941">
      <w:pPr>
        <w:spacing w:line="240" w:lineRule="auto"/>
        <w:jc w:val="both"/>
        <w:rPr>
          <w:rFonts w:asciiTheme="majorHAnsi" w:hAnsiTheme="majorHAnsi" w:cstheme="majorHAnsi"/>
          <w:sz w:val="24"/>
          <w:szCs w:val="24"/>
        </w:rPr>
      </w:pPr>
    </w:p>
    <w:p w14:paraId="14CB2F60" w14:textId="4FB1CABD" w:rsidR="00711826" w:rsidRPr="00711826" w:rsidRDefault="00711826" w:rsidP="001E4941">
      <w:pPr>
        <w:spacing w:line="240" w:lineRule="auto"/>
        <w:jc w:val="both"/>
        <w:rPr>
          <w:rFonts w:asciiTheme="majorHAnsi" w:hAnsiTheme="majorHAnsi" w:cstheme="majorHAnsi"/>
          <w:sz w:val="24"/>
          <w:szCs w:val="24"/>
        </w:rPr>
      </w:pPr>
      <w:r w:rsidRPr="00711826">
        <w:rPr>
          <w:rFonts w:asciiTheme="majorHAnsi" w:hAnsiTheme="majorHAnsi" w:cstheme="majorHAnsi"/>
          <w:sz w:val="24"/>
          <w:szCs w:val="24"/>
        </w:rPr>
        <w:t>Se han elaborado importantes instrumentos que definen las tareas y ruta que debe seguir una atención de calidad y calidez a las personas LGTBIQ+:</w:t>
      </w:r>
    </w:p>
    <w:p w14:paraId="51E53FFA" w14:textId="29813D5F" w:rsidR="00711826" w:rsidRPr="001E4941" w:rsidRDefault="00711826" w:rsidP="001E4941">
      <w:pPr>
        <w:pStyle w:val="ListParagraph"/>
        <w:numPr>
          <w:ilvl w:val="0"/>
          <w:numId w:val="13"/>
        </w:numPr>
        <w:spacing w:line="240" w:lineRule="auto"/>
        <w:jc w:val="both"/>
        <w:rPr>
          <w:rFonts w:asciiTheme="majorHAnsi" w:hAnsiTheme="majorHAnsi" w:cstheme="majorHAnsi"/>
          <w:sz w:val="24"/>
          <w:szCs w:val="24"/>
        </w:rPr>
      </w:pPr>
      <w:r w:rsidRPr="001E4941">
        <w:rPr>
          <w:rFonts w:asciiTheme="majorHAnsi" w:hAnsiTheme="majorHAnsi" w:cstheme="majorHAnsi"/>
          <w:sz w:val="24"/>
          <w:szCs w:val="24"/>
        </w:rPr>
        <w:t xml:space="preserve">Directrices para la garantía del derecho a la Salud de personas LGTBI elaboradas por el MS que tienen por objetivo: </w:t>
      </w:r>
    </w:p>
    <w:p w14:paraId="62D44C4F" w14:textId="0CA3D2EB" w:rsidR="00711826" w:rsidRPr="001E4941" w:rsidRDefault="00711826" w:rsidP="001E4941">
      <w:pPr>
        <w:pStyle w:val="ListParagraph"/>
        <w:numPr>
          <w:ilvl w:val="0"/>
          <w:numId w:val="14"/>
        </w:numPr>
        <w:spacing w:line="240" w:lineRule="auto"/>
        <w:ind w:left="1134"/>
        <w:jc w:val="both"/>
        <w:rPr>
          <w:rFonts w:asciiTheme="majorHAnsi" w:hAnsiTheme="majorHAnsi" w:cstheme="majorHAnsi"/>
          <w:sz w:val="24"/>
          <w:szCs w:val="24"/>
        </w:rPr>
      </w:pPr>
      <w:r w:rsidRPr="001E4941">
        <w:rPr>
          <w:rFonts w:asciiTheme="majorHAnsi" w:hAnsiTheme="majorHAnsi" w:cstheme="majorHAnsi"/>
          <w:sz w:val="24"/>
          <w:szCs w:val="24"/>
        </w:rPr>
        <w:t>Contribuir a la promoción de una cultura que reconoce como valores centrales, el respeto, la solidaridad y el reconocimiento y valoración de las diferencias</w:t>
      </w:r>
      <w:r w:rsidR="001E4941">
        <w:rPr>
          <w:rFonts w:asciiTheme="majorHAnsi" w:hAnsiTheme="majorHAnsi" w:cstheme="majorHAnsi"/>
          <w:sz w:val="24"/>
          <w:szCs w:val="24"/>
        </w:rPr>
        <w:t>.</w:t>
      </w:r>
    </w:p>
    <w:p w14:paraId="05806186" w14:textId="03DF38E6" w:rsidR="00711826" w:rsidRPr="001E4941" w:rsidRDefault="00711826" w:rsidP="001E4941">
      <w:pPr>
        <w:pStyle w:val="ListParagraph"/>
        <w:numPr>
          <w:ilvl w:val="0"/>
          <w:numId w:val="14"/>
        </w:numPr>
        <w:spacing w:line="240" w:lineRule="auto"/>
        <w:ind w:left="1134"/>
        <w:jc w:val="both"/>
        <w:rPr>
          <w:rFonts w:asciiTheme="majorHAnsi" w:hAnsiTheme="majorHAnsi" w:cstheme="majorHAnsi"/>
          <w:sz w:val="24"/>
          <w:szCs w:val="24"/>
        </w:rPr>
      </w:pPr>
      <w:r w:rsidRPr="001E4941">
        <w:rPr>
          <w:rFonts w:asciiTheme="majorHAnsi" w:hAnsiTheme="majorHAnsi" w:cstheme="majorHAnsi"/>
          <w:sz w:val="24"/>
          <w:szCs w:val="24"/>
        </w:rPr>
        <w:t>Garantizar una atención en salud oportuna, con equidad, calidad, calidez, seguridad, universalidad, solidaridad, accesibilidad e inclusión que responda a información actualizada y laica para las personas LGTBI</w:t>
      </w:r>
      <w:r w:rsidR="001E4941">
        <w:rPr>
          <w:rFonts w:asciiTheme="majorHAnsi" w:hAnsiTheme="majorHAnsi" w:cstheme="majorHAnsi"/>
          <w:sz w:val="24"/>
          <w:szCs w:val="24"/>
        </w:rPr>
        <w:t>.</w:t>
      </w:r>
    </w:p>
    <w:p w14:paraId="2929F798" w14:textId="25967F06" w:rsidR="00711826" w:rsidRPr="001E4941" w:rsidRDefault="00711826" w:rsidP="001E4941">
      <w:pPr>
        <w:pStyle w:val="ListParagraph"/>
        <w:numPr>
          <w:ilvl w:val="0"/>
          <w:numId w:val="14"/>
        </w:numPr>
        <w:spacing w:line="240" w:lineRule="auto"/>
        <w:ind w:left="1134"/>
        <w:jc w:val="both"/>
        <w:rPr>
          <w:rFonts w:asciiTheme="majorHAnsi" w:hAnsiTheme="majorHAnsi" w:cstheme="majorHAnsi"/>
          <w:sz w:val="24"/>
          <w:szCs w:val="24"/>
        </w:rPr>
      </w:pPr>
      <w:r w:rsidRPr="001E4941">
        <w:rPr>
          <w:rFonts w:asciiTheme="majorHAnsi" w:hAnsiTheme="majorHAnsi" w:cstheme="majorHAnsi"/>
          <w:sz w:val="24"/>
          <w:szCs w:val="24"/>
        </w:rPr>
        <w:t>Protección frente las diferentes formas de violencia que produce la discriminación</w:t>
      </w:r>
      <w:r w:rsidR="001E4941">
        <w:rPr>
          <w:rFonts w:asciiTheme="majorHAnsi" w:hAnsiTheme="majorHAnsi" w:cstheme="majorHAnsi"/>
          <w:sz w:val="24"/>
          <w:szCs w:val="24"/>
        </w:rPr>
        <w:t>.</w:t>
      </w:r>
    </w:p>
    <w:p w14:paraId="4A0C589C" w14:textId="1993D280" w:rsidR="00711826" w:rsidRPr="001E4941" w:rsidRDefault="00711826" w:rsidP="001E4941">
      <w:pPr>
        <w:pStyle w:val="ListParagraph"/>
        <w:numPr>
          <w:ilvl w:val="0"/>
          <w:numId w:val="14"/>
        </w:numPr>
        <w:spacing w:line="240" w:lineRule="auto"/>
        <w:ind w:left="1134"/>
        <w:jc w:val="both"/>
        <w:rPr>
          <w:rFonts w:asciiTheme="majorHAnsi" w:hAnsiTheme="majorHAnsi" w:cstheme="majorHAnsi"/>
          <w:sz w:val="24"/>
          <w:szCs w:val="24"/>
        </w:rPr>
      </w:pPr>
      <w:r w:rsidRPr="001E4941">
        <w:rPr>
          <w:rFonts w:asciiTheme="majorHAnsi" w:hAnsiTheme="majorHAnsi" w:cstheme="majorHAnsi"/>
          <w:sz w:val="24"/>
          <w:szCs w:val="24"/>
        </w:rPr>
        <w:t>Fortalecer la participación activa de las personas LGTBI en la defensa y vigilancia del cumplimiento del derecho a la salud</w:t>
      </w:r>
      <w:r w:rsidR="001E4941">
        <w:rPr>
          <w:rFonts w:asciiTheme="majorHAnsi" w:hAnsiTheme="majorHAnsi" w:cstheme="majorHAnsi"/>
          <w:sz w:val="24"/>
          <w:szCs w:val="24"/>
        </w:rPr>
        <w:t>.</w:t>
      </w:r>
    </w:p>
    <w:p w14:paraId="4309E0AE" w14:textId="56FF3501" w:rsidR="00711826" w:rsidRPr="00711826" w:rsidRDefault="00711826" w:rsidP="001E4941">
      <w:pPr>
        <w:pStyle w:val="ListParagraph"/>
        <w:numPr>
          <w:ilvl w:val="0"/>
          <w:numId w:val="13"/>
        </w:numPr>
        <w:spacing w:line="240" w:lineRule="auto"/>
        <w:jc w:val="both"/>
        <w:rPr>
          <w:rFonts w:asciiTheme="majorHAnsi" w:hAnsiTheme="majorHAnsi" w:cstheme="majorHAnsi"/>
          <w:sz w:val="24"/>
          <w:szCs w:val="24"/>
        </w:rPr>
      </w:pPr>
      <w:r w:rsidRPr="00711826">
        <w:rPr>
          <w:rFonts w:asciiTheme="majorHAnsi" w:hAnsiTheme="majorHAnsi" w:cstheme="majorHAnsi"/>
          <w:sz w:val="24"/>
          <w:szCs w:val="24"/>
        </w:rPr>
        <w:t>Acciones en el marco de la rectoría en salud para la garantía del derecho a la Salud de personas LGTBI que define la ruta a seguir para que el Ministerio de Salud contribuya a la garantía del derecho a la Salud de personas LGTBI</w:t>
      </w:r>
      <w:r w:rsidR="001E4941">
        <w:rPr>
          <w:rFonts w:asciiTheme="majorHAnsi" w:hAnsiTheme="majorHAnsi" w:cstheme="majorHAnsi"/>
          <w:sz w:val="24"/>
          <w:szCs w:val="24"/>
        </w:rPr>
        <w:t>.</w:t>
      </w:r>
    </w:p>
    <w:p w14:paraId="1BE78E7B" w14:textId="17A147E9" w:rsidR="00711826" w:rsidRPr="001E4941" w:rsidRDefault="00711826" w:rsidP="001E4941">
      <w:pPr>
        <w:pStyle w:val="ListParagraph"/>
        <w:numPr>
          <w:ilvl w:val="0"/>
          <w:numId w:val="13"/>
        </w:numPr>
        <w:spacing w:line="240" w:lineRule="auto"/>
        <w:jc w:val="both"/>
        <w:rPr>
          <w:rFonts w:asciiTheme="majorHAnsi" w:hAnsiTheme="majorHAnsi" w:cstheme="majorHAnsi"/>
          <w:sz w:val="24"/>
          <w:szCs w:val="24"/>
        </w:rPr>
      </w:pPr>
      <w:r w:rsidRPr="001E4941">
        <w:rPr>
          <w:rFonts w:asciiTheme="majorHAnsi" w:hAnsiTheme="majorHAnsi" w:cstheme="majorHAnsi"/>
          <w:sz w:val="24"/>
          <w:szCs w:val="24"/>
        </w:rPr>
        <w:t>Norma nacional para la atención en salud libre de estigma y discriminación a</w:t>
      </w:r>
      <w:r w:rsidR="001E4941" w:rsidRPr="001E4941">
        <w:rPr>
          <w:rFonts w:asciiTheme="majorHAnsi" w:hAnsiTheme="majorHAnsi" w:cstheme="majorHAnsi"/>
          <w:sz w:val="24"/>
          <w:szCs w:val="24"/>
        </w:rPr>
        <w:t xml:space="preserve"> </w:t>
      </w:r>
      <w:r w:rsidRPr="001E4941">
        <w:rPr>
          <w:rFonts w:asciiTheme="majorHAnsi" w:hAnsiTheme="majorHAnsi" w:cstheme="majorHAnsi"/>
          <w:sz w:val="24"/>
          <w:szCs w:val="24"/>
        </w:rPr>
        <w:t>personas lesbianas, gais, bisexuales, trans, intersex (LGTBI) y otros hombres que tienen sexo con hombres (HSH)”</w:t>
      </w:r>
      <w:r w:rsidR="001E4941">
        <w:rPr>
          <w:rFonts w:asciiTheme="majorHAnsi" w:hAnsiTheme="majorHAnsi" w:cstheme="majorHAnsi"/>
          <w:sz w:val="24"/>
          <w:szCs w:val="24"/>
        </w:rPr>
        <w:t>.</w:t>
      </w:r>
    </w:p>
    <w:p w14:paraId="1D51B311" w14:textId="21507E07" w:rsidR="00711826" w:rsidRPr="00711826" w:rsidRDefault="00711826" w:rsidP="001E4941">
      <w:pPr>
        <w:pStyle w:val="ListParagraph"/>
        <w:numPr>
          <w:ilvl w:val="0"/>
          <w:numId w:val="13"/>
        </w:numPr>
        <w:spacing w:line="240" w:lineRule="auto"/>
        <w:jc w:val="both"/>
        <w:rPr>
          <w:rFonts w:asciiTheme="majorHAnsi" w:hAnsiTheme="majorHAnsi" w:cstheme="majorHAnsi"/>
          <w:sz w:val="24"/>
          <w:szCs w:val="24"/>
        </w:rPr>
      </w:pPr>
      <w:r w:rsidRPr="00711826">
        <w:rPr>
          <w:rFonts w:asciiTheme="majorHAnsi" w:hAnsiTheme="majorHAnsi" w:cstheme="majorHAnsi"/>
          <w:sz w:val="24"/>
          <w:szCs w:val="24"/>
        </w:rPr>
        <w:t>Atención integral de personas trans para la hormonización en la red de servicios de salud</w:t>
      </w:r>
      <w:r w:rsidR="001E4941">
        <w:rPr>
          <w:rFonts w:asciiTheme="majorHAnsi" w:hAnsiTheme="majorHAnsi" w:cstheme="majorHAnsi"/>
          <w:sz w:val="24"/>
          <w:szCs w:val="24"/>
        </w:rPr>
        <w:t>.</w:t>
      </w:r>
    </w:p>
    <w:p w14:paraId="5A93B571" w14:textId="08BAE6AE" w:rsidR="00711826" w:rsidRDefault="00711826" w:rsidP="001E4941">
      <w:pPr>
        <w:pStyle w:val="ListParagraph"/>
        <w:numPr>
          <w:ilvl w:val="0"/>
          <w:numId w:val="13"/>
        </w:numPr>
        <w:spacing w:line="240" w:lineRule="auto"/>
        <w:jc w:val="both"/>
        <w:rPr>
          <w:rFonts w:asciiTheme="majorHAnsi" w:hAnsiTheme="majorHAnsi" w:cstheme="majorHAnsi"/>
          <w:sz w:val="24"/>
          <w:szCs w:val="24"/>
        </w:rPr>
      </w:pPr>
      <w:r w:rsidRPr="00711826">
        <w:rPr>
          <w:rFonts w:asciiTheme="majorHAnsi" w:hAnsiTheme="majorHAnsi" w:cstheme="majorHAnsi"/>
          <w:sz w:val="24"/>
          <w:szCs w:val="24"/>
        </w:rPr>
        <w:t>Lineamiento Técnico LT.GM.DDSS. AAIP. 010218 Trato digno e igualitario cuando se brinda atención a las mujeres lesbianas y bisexuales en los servicios de salud de la Caja Costarricense de Seguro Social</w:t>
      </w:r>
    </w:p>
    <w:p w14:paraId="18FF8256" w14:textId="77777777" w:rsidR="00711826" w:rsidRPr="00651F87" w:rsidRDefault="00711826" w:rsidP="001E4941">
      <w:pPr>
        <w:spacing w:line="240" w:lineRule="auto"/>
        <w:jc w:val="both"/>
        <w:rPr>
          <w:rFonts w:asciiTheme="majorHAnsi" w:hAnsiTheme="majorHAnsi" w:cstheme="majorHAnsi"/>
          <w:sz w:val="24"/>
          <w:szCs w:val="24"/>
        </w:rPr>
      </w:pPr>
    </w:p>
    <w:p w14:paraId="41F45B11" w14:textId="7F46B920" w:rsidR="00901AB9" w:rsidRPr="00651F87" w:rsidRDefault="00901AB9" w:rsidP="001E4941">
      <w:pPr>
        <w:pStyle w:val="ListParagraph"/>
        <w:numPr>
          <w:ilvl w:val="1"/>
          <w:numId w:val="3"/>
        </w:numPr>
        <w:spacing w:line="240" w:lineRule="auto"/>
        <w:ind w:left="1134" w:hanging="567"/>
        <w:jc w:val="both"/>
        <w:rPr>
          <w:rFonts w:asciiTheme="majorHAnsi" w:hAnsiTheme="majorHAnsi" w:cstheme="majorHAnsi"/>
          <w:b/>
          <w:bCs/>
          <w:sz w:val="24"/>
          <w:szCs w:val="24"/>
        </w:rPr>
      </w:pPr>
      <w:r w:rsidRPr="00651F87">
        <w:rPr>
          <w:rFonts w:asciiTheme="majorHAnsi" w:hAnsiTheme="majorHAnsi" w:cstheme="majorHAnsi"/>
          <w:b/>
          <w:bCs/>
          <w:sz w:val="24"/>
          <w:szCs w:val="24"/>
        </w:rPr>
        <w:t>¿Qué políticas o programas existen para abordar las necesidades de atención de</w:t>
      </w:r>
      <w:r w:rsidR="000141D9" w:rsidRPr="00651F87">
        <w:rPr>
          <w:rFonts w:asciiTheme="majorHAnsi" w:hAnsiTheme="majorHAnsi" w:cstheme="majorHAnsi"/>
          <w:b/>
          <w:bCs/>
          <w:sz w:val="24"/>
          <w:szCs w:val="24"/>
        </w:rPr>
        <w:t xml:space="preserve"> </w:t>
      </w:r>
      <w:r w:rsidRPr="00651F87">
        <w:rPr>
          <w:rFonts w:asciiTheme="majorHAnsi" w:hAnsiTheme="majorHAnsi" w:cstheme="majorHAnsi"/>
          <w:b/>
          <w:bCs/>
          <w:sz w:val="24"/>
          <w:szCs w:val="24"/>
        </w:rPr>
        <w:t>salud mental de las personas afectadas por la violencia y la discriminación basada en la</w:t>
      </w:r>
      <w:r w:rsidR="000141D9" w:rsidRPr="00651F87">
        <w:rPr>
          <w:rFonts w:asciiTheme="majorHAnsi" w:hAnsiTheme="majorHAnsi" w:cstheme="majorHAnsi"/>
          <w:b/>
          <w:bCs/>
          <w:sz w:val="24"/>
          <w:szCs w:val="24"/>
        </w:rPr>
        <w:t xml:space="preserve"> </w:t>
      </w:r>
      <w:r w:rsidRPr="00651F87">
        <w:rPr>
          <w:rFonts w:asciiTheme="majorHAnsi" w:hAnsiTheme="majorHAnsi" w:cstheme="majorHAnsi"/>
          <w:b/>
          <w:bCs/>
          <w:sz w:val="24"/>
          <w:szCs w:val="24"/>
        </w:rPr>
        <w:t>orientación sexual y la identidad de género, específicamente en torno a la depresión y la</w:t>
      </w:r>
      <w:r w:rsidR="000141D9" w:rsidRPr="00651F87">
        <w:rPr>
          <w:rFonts w:asciiTheme="majorHAnsi" w:hAnsiTheme="majorHAnsi" w:cstheme="majorHAnsi"/>
          <w:b/>
          <w:bCs/>
          <w:sz w:val="24"/>
          <w:szCs w:val="24"/>
        </w:rPr>
        <w:t xml:space="preserve"> </w:t>
      </w:r>
      <w:r w:rsidRPr="00651F87">
        <w:rPr>
          <w:rFonts w:asciiTheme="majorHAnsi" w:hAnsiTheme="majorHAnsi" w:cstheme="majorHAnsi"/>
          <w:b/>
          <w:bCs/>
          <w:sz w:val="24"/>
          <w:szCs w:val="24"/>
        </w:rPr>
        <w:t>ansiedad, la ideación suicida y el abuso de sustancias?</w:t>
      </w:r>
    </w:p>
    <w:p w14:paraId="6C3AE0AB" w14:textId="566623F5" w:rsidR="00276C9C" w:rsidRDefault="00276C9C" w:rsidP="001E4941">
      <w:pPr>
        <w:spacing w:line="240" w:lineRule="auto"/>
        <w:jc w:val="both"/>
        <w:rPr>
          <w:rFonts w:asciiTheme="majorHAnsi" w:hAnsiTheme="majorHAnsi" w:cstheme="majorHAnsi"/>
          <w:sz w:val="24"/>
          <w:szCs w:val="24"/>
        </w:rPr>
      </w:pPr>
    </w:p>
    <w:p w14:paraId="3B30FCA6" w14:textId="07E4A8D0" w:rsidR="00711826" w:rsidRPr="001E4941" w:rsidRDefault="00711826" w:rsidP="001E4941">
      <w:pPr>
        <w:spacing w:line="240" w:lineRule="auto"/>
        <w:jc w:val="both"/>
        <w:rPr>
          <w:rFonts w:asciiTheme="majorHAnsi" w:hAnsiTheme="majorHAnsi" w:cstheme="majorHAnsi"/>
          <w:sz w:val="24"/>
          <w:szCs w:val="24"/>
        </w:rPr>
      </w:pPr>
      <w:r w:rsidRPr="001E4941">
        <w:rPr>
          <w:rFonts w:asciiTheme="majorHAnsi" w:hAnsiTheme="majorHAnsi" w:cstheme="majorHAnsi"/>
          <w:sz w:val="24"/>
          <w:szCs w:val="24"/>
        </w:rPr>
        <w:t>No existen protocolos o lineamientos específicos, s</w:t>
      </w:r>
      <w:r w:rsidR="001E4941">
        <w:rPr>
          <w:rFonts w:asciiTheme="majorHAnsi" w:hAnsiTheme="majorHAnsi" w:cstheme="majorHAnsi"/>
          <w:sz w:val="24"/>
          <w:szCs w:val="24"/>
        </w:rPr>
        <w:t xml:space="preserve">ino que se utilizan </w:t>
      </w:r>
      <w:r w:rsidRPr="001E4941">
        <w:rPr>
          <w:rFonts w:asciiTheme="majorHAnsi" w:hAnsiTheme="majorHAnsi" w:cstheme="majorHAnsi"/>
          <w:sz w:val="24"/>
          <w:szCs w:val="24"/>
        </w:rPr>
        <w:t>los mismos que existen tanto para atención de la violencia contra las mujeres como los de atención general en atención a la salud mental y prevención del suicidio.</w:t>
      </w:r>
      <w:r w:rsidR="001E4941">
        <w:rPr>
          <w:rFonts w:asciiTheme="majorHAnsi" w:hAnsiTheme="majorHAnsi" w:cstheme="majorHAnsi"/>
          <w:sz w:val="24"/>
          <w:szCs w:val="24"/>
        </w:rPr>
        <w:t xml:space="preserve"> D</w:t>
      </w:r>
      <w:r w:rsidRPr="001E4941">
        <w:rPr>
          <w:rFonts w:asciiTheme="majorHAnsi" w:hAnsiTheme="majorHAnsi" w:cstheme="majorHAnsi"/>
          <w:sz w:val="24"/>
          <w:szCs w:val="24"/>
        </w:rPr>
        <w:t xml:space="preserve">esde el Ministerio de Salud </w:t>
      </w:r>
      <w:r w:rsidR="001E4941">
        <w:rPr>
          <w:rFonts w:asciiTheme="majorHAnsi" w:hAnsiTheme="majorHAnsi" w:cstheme="majorHAnsi"/>
          <w:sz w:val="24"/>
          <w:szCs w:val="24"/>
        </w:rPr>
        <w:t>se p</w:t>
      </w:r>
      <w:r w:rsidRPr="001E4941">
        <w:rPr>
          <w:rFonts w:asciiTheme="majorHAnsi" w:hAnsiTheme="majorHAnsi" w:cstheme="majorHAnsi"/>
          <w:sz w:val="24"/>
          <w:szCs w:val="24"/>
        </w:rPr>
        <w:t>rom</w:t>
      </w:r>
      <w:r w:rsidR="001E4941">
        <w:rPr>
          <w:rFonts w:asciiTheme="majorHAnsi" w:hAnsiTheme="majorHAnsi" w:cstheme="majorHAnsi"/>
          <w:sz w:val="24"/>
          <w:szCs w:val="24"/>
        </w:rPr>
        <w:t xml:space="preserve">ueven </w:t>
      </w:r>
      <w:r w:rsidRPr="001E4941">
        <w:rPr>
          <w:rFonts w:asciiTheme="majorHAnsi" w:hAnsiTheme="majorHAnsi" w:cstheme="majorHAnsi"/>
          <w:sz w:val="24"/>
          <w:szCs w:val="24"/>
        </w:rPr>
        <w:t>espacios de sensibilización sobre estos temas y su relación con la diversidad sexual</w:t>
      </w:r>
      <w:r w:rsidR="001E4941">
        <w:rPr>
          <w:rFonts w:asciiTheme="majorHAnsi" w:hAnsiTheme="majorHAnsi" w:cstheme="majorHAnsi"/>
          <w:sz w:val="24"/>
          <w:szCs w:val="24"/>
        </w:rPr>
        <w:t xml:space="preserve">, haciendo </w:t>
      </w:r>
      <w:r w:rsidRPr="001E4941">
        <w:rPr>
          <w:rFonts w:asciiTheme="majorHAnsi" w:hAnsiTheme="majorHAnsi" w:cstheme="majorHAnsi"/>
          <w:sz w:val="24"/>
          <w:szCs w:val="24"/>
        </w:rPr>
        <w:t xml:space="preserve">énfasis en la necesidad de contextualizar estos problemas desde la realidad de las personas LGTBIQ+ y el </w:t>
      </w:r>
      <w:r w:rsidR="001E4941" w:rsidRPr="001E4941">
        <w:rPr>
          <w:rFonts w:asciiTheme="majorHAnsi" w:hAnsiTheme="majorHAnsi" w:cstheme="majorHAnsi"/>
          <w:sz w:val="24"/>
          <w:szCs w:val="24"/>
        </w:rPr>
        <w:t>impacto</w:t>
      </w:r>
      <w:r w:rsidRPr="001E4941">
        <w:rPr>
          <w:rFonts w:asciiTheme="majorHAnsi" w:hAnsiTheme="majorHAnsi" w:cstheme="majorHAnsi"/>
          <w:sz w:val="24"/>
          <w:szCs w:val="24"/>
        </w:rPr>
        <w:t xml:space="preserve"> de la discriminación en sus vidas.</w:t>
      </w:r>
    </w:p>
    <w:p w14:paraId="277E485F" w14:textId="32AB1A3D" w:rsidR="00711826" w:rsidRDefault="00711826" w:rsidP="001E4941">
      <w:pPr>
        <w:spacing w:line="240" w:lineRule="auto"/>
        <w:jc w:val="both"/>
        <w:rPr>
          <w:rFonts w:asciiTheme="majorHAnsi" w:hAnsiTheme="majorHAnsi" w:cstheme="majorHAnsi"/>
          <w:sz w:val="24"/>
          <w:szCs w:val="24"/>
        </w:rPr>
      </w:pPr>
    </w:p>
    <w:p w14:paraId="4583E196" w14:textId="5AAF50E1" w:rsidR="00276C9C" w:rsidRPr="00781166" w:rsidRDefault="001E4941" w:rsidP="001E4941">
      <w:pPr>
        <w:spacing w:line="240" w:lineRule="auto"/>
        <w:jc w:val="both"/>
        <w:rPr>
          <w:rFonts w:asciiTheme="majorHAnsi" w:hAnsiTheme="majorHAnsi" w:cstheme="majorHAnsi"/>
          <w:sz w:val="24"/>
          <w:szCs w:val="24"/>
        </w:rPr>
      </w:pPr>
      <w:r>
        <w:rPr>
          <w:rFonts w:asciiTheme="majorHAnsi" w:hAnsiTheme="majorHAnsi" w:cstheme="majorHAnsi"/>
          <w:sz w:val="24"/>
          <w:szCs w:val="24"/>
        </w:rPr>
        <w:t>Por otra parte, e</w:t>
      </w:r>
      <w:r w:rsidR="00276C9C" w:rsidRPr="00781166">
        <w:rPr>
          <w:rFonts w:asciiTheme="majorHAnsi" w:hAnsiTheme="majorHAnsi" w:cstheme="majorHAnsi"/>
          <w:sz w:val="24"/>
          <w:szCs w:val="24"/>
        </w:rPr>
        <w:t>n el país se cuenta con la Política Nacional de Salud Mental 2012-2021, en la cual se fundamenta en una serie de principios y enfoques, congruentes con la dignidad y los derechos humanos:</w:t>
      </w:r>
    </w:p>
    <w:p w14:paraId="68995BCC" w14:textId="03C1DB71" w:rsidR="006270A5" w:rsidRPr="00781166" w:rsidRDefault="006270A5" w:rsidP="001E4941">
      <w:pPr>
        <w:pStyle w:val="ListParagraph"/>
        <w:numPr>
          <w:ilvl w:val="0"/>
          <w:numId w:val="9"/>
        </w:numPr>
        <w:spacing w:line="240" w:lineRule="auto"/>
        <w:jc w:val="both"/>
        <w:rPr>
          <w:rFonts w:asciiTheme="majorHAnsi" w:hAnsiTheme="majorHAnsi" w:cstheme="majorHAnsi"/>
          <w:sz w:val="24"/>
          <w:szCs w:val="24"/>
        </w:rPr>
      </w:pPr>
      <w:r w:rsidRPr="00781166">
        <w:rPr>
          <w:rFonts w:asciiTheme="majorHAnsi" w:hAnsiTheme="majorHAnsi" w:cstheme="majorHAnsi"/>
          <w:sz w:val="24"/>
          <w:szCs w:val="24"/>
        </w:rPr>
        <w:t xml:space="preserve">Principios: </w:t>
      </w:r>
    </w:p>
    <w:p w14:paraId="7616ADF2" w14:textId="4BE91057" w:rsidR="00276C9C" w:rsidRPr="00781166" w:rsidRDefault="00276C9C" w:rsidP="001E4941">
      <w:pPr>
        <w:pStyle w:val="ListParagraph"/>
        <w:numPr>
          <w:ilvl w:val="1"/>
          <w:numId w:val="9"/>
        </w:numPr>
        <w:spacing w:line="240" w:lineRule="auto"/>
        <w:jc w:val="both"/>
        <w:rPr>
          <w:rFonts w:asciiTheme="majorHAnsi" w:hAnsiTheme="majorHAnsi" w:cstheme="majorHAnsi"/>
          <w:sz w:val="24"/>
          <w:szCs w:val="24"/>
        </w:rPr>
      </w:pPr>
      <w:r w:rsidRPr="00781166">
        <w:rPr>
          <w:rFonts w:asciiTheme="majorHAnsi" w:hAnsiTheme="majorHAnsi" w:cstheme="majorHAnsi"/>
          <w:sz w:val="24"/>
          <w:szCs w:val="24"/>
        </w:rPr>
        <w:t xml:space="preserve">Equidad </w:t>
      </w:r>
    </w:p>
    <w:p w14:paraId="4724C8A6" w14:textId="56AB6C8D" w:rsidR="00276C9C" w:rsidRPr="00781166" w:rsidRDefault="00276C9C" w:rsidP="001E4941">
      <w:pPr>
        <w:pStyle w:val="ListParagraph"/>
        <w:numPr>
          <w:ilvl w:val="1"/>
          <w:numId w:val="9"/>
        </w:numPr>
        <w:spacing w:line="240" w:lineRule="auto"/>
        <w:jc w:val="both"/>
        <w:rPr>
          <w:rFonts w:asciiTheme="majorHAnsi" w:hAnsiTheme="majorHAnsi" w:cstheme="majorHAnsi"/>
          <w:sz w:val="24"/>
          <w:szCs w:val="24"/>
        </w:rPr>
      </w:pPr>
      <w:r w:rsidRPr="00781166">
        <w:rPr>
          <w:rFonts w:asciiTheme="majorHAnsi" w:hAnsiTheme="majorHAnsi" w:cstheme="majorHAnsi"/>
          <w:sz w:val="24"/>
          <w:szCs w:val="24"/>
        </w:rPr>
        <w:t>Universalidad</w:t>
      </w:r>
    </w:p>
    <w:p w14:paraId="0970356B" w14:textId="142E5D62" w:rsidR="00276C9C" w:rsidRPr="00781166" w:rsidRDefault="00276C9C" w:rsidP="001E4941">
      <w:pPr>
        <w:pStyle w:val="ListParagraph"/>
        <w:numPr>
          <w:ilvl w:val="1"/>
          <w:numId w:val="9"/>
        </w:numPr>
        <w:spacing w:line="240" w:lineRule="auto"/>
        <w:jc w:val="both"/>
        <w:rPr>
          <w:rFonts w:asciiTheme="majorHAnsi" w:hAnsiTheme="majorHAnsi" w:cstheme="majorHAnsi"/>
          <w:sz w:val="24"/>
          <w:szCs w:val="24"/>
        </w:rPr>
      </w:pPr>
      <w:r w:rsidRPr="00781166">
        <w:rPr>
          <w:rFonts w:asciiTheme="majorHAnsi" w:hAnsiTheme="majorHAnsi" w:cstheme="majorHAnsi"/>
          <w:sz w:val="24"/>
          <w:szCs w:val="24"/>
        </w:rPr>
        <w:t>Solidaridad</w:t>
      </w:r>
    </w:p>
    <w:p w14:paraId="10B545ED" w14:textId="00B3E150" w:rsidR="00276C9C" w:rsidRPr="00781166" w:rsidRDefault="00276C9C" w:rsidP="001E4941">
      <w:pPr>
        <w:pStyle w:val="ListParagraph"/>
        <w:numPr>
          <w:ilvl w:val="1"/>
          <w:numId w:val="9"/>
        </w:numPr>
        <w:spacing w:line="240" w:lineRule="auto"/>
        <w:jc w:val="both"/>
        <w:rPr>
          <w:rFonts w:asciiTheme="majorHAnsi" w:hAnsiTheme="majorHAnsi" w:cstheme="majorHAnsi"/>
          <w:sz w:val="24"/>
          <w:szCs w:val="24"/>
        </w:rPr>
      </w:pPr>
      <w:r w:rsidRPr="00781166">
        <w:rPr>
          <w:rFonts w:asciiTheme="majorHAnsi" w:hAnsiTheme="majorHAnsi" w:cstheme="majorHAnsi"/>
          <w:sz w:val="24"/>
          <w:szCs w:val="24"/>
        </w:rPr>
        <w:t>Igualdad sustantiva</w:t>
      </w:r>
    </w:p>
    <w:p w14:paraId="0FD77B54" w14:textId="2218B344" w:rsidR="00276C9C" w:rsidRPr="00781166" w:rsidRDefault="00276C9C" w:rsidP="001E4941">
      <w:pPr>
        <w:pStyle w:val="ListParagraph"/>
        <w:numPr>
          <w:ilvl w:val="1"/>
          <w:numId w:val="9"/>
        </w:numPr>
        <w:spacing w:line="240" w:lineRule="auto"/>
        <w:jc w:val="both"/>
        <w:rPr>
          <w:rFonts w:asciiTheme="majorHAnsi" w:hAnsiTheme="majorHAnsi" w:cstheme="majorHAnsi"/>
          <w:sz w:val="24"/>
          <w:szCs w:val="24"/>
        </w:rPr>
      </w:pPr>
      <w:r w:rsidRPr="00781166">
        <w:rPr>
          <w:rFonts w:asciiTheme="majorHAnsi" w:hAnsiTheme="majorHAnsi" w:cstheme="majorHAnsi"/>
          <w:sz w:val="24"/>
          <w:szCs w:val="24"/>
        </w:rPr>
        <w:t>Ética</w:t>
      </w:r>
    </w:p>
    <w:p w14:paraId="28A1FBAA" w14:textId="50BD550C" w:rsidR="00276C9C" w:rsidRPr="00781166" w:rsidRDefault="006270A5" w:rsidP="001E4941">
      <w:pPr>
        <w:pStyle w:val="ListParagraph"/>
        <w:numPr>
          <w:ilvl w:val="1"/>
          <w:numId w:val="9"/>
        </w:numPr>
        <w:spacing w:line="240" w:lineRule="auto"/>
        <w:jc w:val="both"/>
        <w:rPr>
          <w:rFonts w:asciiTheme="majorHAnsi" w:hAnsiTheme="majorHAnsi" w:cstheme="majorHAnsi"/>
          <w:sz w:val="24"/>
          <w:szCs w:val="24"/>
        </w:rPr>
      </w:pPr>
      <w:r w:rsidRPr="00781166">
        <w:rPr>
          <w:rFonts w:asciiTheme="majorHAnsi" w:hAnsiTheme="majorHAnsi" w:cstheme="majorHAnsi"/>
          <w:sz w:val="24"/>
          <w:szCs w:val="24"/>
        </w:rPr>
        <w:t>Calidad y calidez</w:t>
      </w:r>
    </w:p>
    <w:p w14:paraId="0A749510" w14:textId="7DD60FA8" w:rsidR="006270A5" w:rsidRPr="00781166" w:rsidRDefault="006270A5" w:rsidP="001E4941">
      <w:pPr>
        <w:pStyle w:val="ListParagraph"/>
        <w:numPr>
          <w:ilvl w:val="1"/>
          <w:numId w:val="9"/>
        </w:numPr>
        <w:spacing w:line="240" w:lineRule="auto"/>
        <w:jc w:val="both"/>
        <w:rPr>
          <w:rFonts w:asciiTheme="majorHAnsi" w:hAnsiTheme="majorHAnsi" w:cstheme="majorHAnsi"/>
          <w:sz w:val="24"/>
          <w:szCs w:val="24"/>
        </w:rPr>
      </w:pPr>
      <w:r w:rsidRPr="00781166">
        <w:rPr>
          <w:rFonts w:asciiTheme="majorHAnsi" w:hAnsiTheme="majorHAnsi" w:cstheme="majorHAnsi"/>
          <w:sz w:val="24"/>
          <w:szCs w:val="24"/>
        </w:rPr>
        <w:t xml:space="preserve">Autonomía </w:t>
      </w:r>
    </w:p>
    <w:p w14:paraId="2010295E" w14:textId="5A38FB95" w:rsidR="006270A5" w:rsidRPr="00781166" w:rsidRDefault="006270A5" w:rsidP="001E4941">
      <w:pPr>
        <w:pStyle w:val="ListParagraph"/>
        <w:numPr>
          <w:ilvl w:val="0"/>
          <w:numId w:val="9"/>
        </w:numPr>
        <w:spacing w:line="240" w:lineRule="auto"/>
        <w:jc w:val="both"/>
        <w:rPr>
          <w:rFonts w:asciiTheme="majorHAnsi" w:hAnsiTheme="majorHAnsi" w:cstheme="majorHAnsi"/>
          <w:sz w:val="24"/>
          <w:szCs w:val="24"/>
        </w:rPr>
      </w:pPr>
      <w:r w:rsidRPr="00781166">
        <w:rPr>
          <w:rFonts w:asciiTheme="majorHAnsi" w:hAnsiTheme="majorHAnsi" w:cstheme="majorHAnsi"/>
          <w:sz w:val="24"/>
          <w:szCs w:val="24"/>
        </w:rPr>
        <w:t>Enfoques:</w:t>
      </w:r>
    </w:p>
    <w:p w14:paraId="57186296" w14:textId="0B3934D7" w:rsidR="006270A5" w:rsidRPr="00781166" w:rsidRDefault="006270A5" w:rsidP="001E4941">
      <w:pPr>
        <w:pStyle w:val="ListParagraph"/>
        <w:numPr>
          <w:ilvl w:val="1"/>
          <w:numId w:val="9"/>
        </w:numPr>
        <w:spacing w:line="240" w:lineRule="auto"/>
        <w:jc w:val="both"/>
        <w:rPr>
          <w:rFonts w:asciiTheme="majorHAnsi" w:hAnsiTheme="majorHAnsi" w:cstheme="majorHAnsi"/>
          <w:sz w:val="24"/>
          <w:szCs w:val="24"/>
        </w:rPr>
      </w:pPr>
      <w:r w:rsidRPr="00781166">
        <w:rPr>
          <w:rFonts w:asciiTheme="majorHAnsi" w:hAnsiTheme="majorHAnsi" w:cstheme="majorHAnsi"/>
          <w:sz w:val="24"/>
          <w:szCs w:val="24"/>
        </w:rPr>
        <w:t>Derechos humanos</w:t>
      </w:r>
    </w:p>
    <w:p w14:paraId="2CACDE58" w14:textId="6E402366" w:rsidR="006270A5" w:rsidRPr="00781166" w:rsidRDefault="006270A5" w:rsidP="001E4941">
      <w:pPr>
        <w:pStyle w:val="ListParagraph"/>
        <w:numPr>
          <w:ilvl w:val="1"/>
          <w:numId w:val="9"/>
        </w:numPr>
        <w:spacing w:line="240" w:lineRule="auto"/>
        <w:jc w:val="both"/>
        <w:rPr>
          <w:rFonts w:asciiTheme="majorHAnsi" w:hAnsiTheme="majorHAnsi" w:cstheme="majorHAnsi"/>
          <w:sz w:val="24"/>
          <w:szCs w:val="24"/>
        </w:rPr>
      </w:pPr>
      <w:r w:rsidRPr="00781166">
        <w:rPr>
          <w:rFonts w:asciiTheme="majorHAnsi" w:hAnsiTheme="majorHAnsi" w:cstheme="majorHAnsi"/>
          <w:sz w:val="24"/>
          <w:szCs w:val="24"/>
        </w:rPr>
        <w:t>Género: Reconoce la existencia de brechas de oportunidad que socialmente se han construido entre hombres y mujeres, se toma en cuenta las particularidades de cada género y las implicaciones sociales que estas particularidades conllevan. Por lo tanto, las acciones las tomadas a partir de la política tenderán a reducir las dichas brechas, promoviendo ambientes no discriminativos.</w:t>
      </w:r>
    </w:p>
    <w:p w14:paraId="7241C121" w14:textId="094C0FB4" w:rsidR="006270A5" w:rsidRPr="00781166" w:rsidRDefault="006270A5" w:rsidP="001E4941">
      <w:pPr>
        <w:pStyle w:val="ListParagraph"/>
        <w:numPr>
          <w:ilvl w:val="1"/>
          <w:numId w:val="9"/>
        </w:numPr>
        <w:spacing w:line="240" w:lineRule="auto"/>
        <w:jc w:val="both"/>
        <w:rPr>
          <w:rFonts w:asciiTheme="majorHAnsi" w:hAnsiTheme="majorHAnsi" w:cstheme="majorHAnsi"/>
          <w:sz w:val="24"/>
          <w:szCs w:val="24"/>
        </w:rPr>
      </w:pPr>
      <w:r w:rsidRPr="00781166">
        <w:rPr>
          <w:rFonts w:asciiTheme="majorHAnsi" w:hAnsiTheme="majorHAnsi" w:cstheme="majorHAnsi"/>
          <w:sz w:val="24"/>
          <w:szCs w:val="24"/>
        </w:rPr>
        <w:t>Diversidad, el reconocimiento de la especificidad de necesidades de todas las personas. El respeto de la diversidad permite la valoración integral de la persona independientemente del sexo, edad, etnia, nacionalidad, orientación sexual e identidad de género, entre otras características, contribuyendo así a la conservación de su Salud Mental.</w:t>
      </w:r>
    </w:p>
    <w:p w14:paraId="72941D3E" w14:textId="512D289B" w:rsidR="006270A5" w:rsidRPr="00781166" w:rsidRDefault="006270A5" w:rsidP="001E4941">
      <w:pPr>
        <w:pStyle w:val="ListParagraph"/>
        <w:numPr>
          <w:ilvl w:val="1"/>
          <w:numId w:val="9"/>
        </w:numPr>
        <w:spacing w:line="240" w:lineRule="auto"/>
        <w:jc w:val="both"/>
        <w:rPr>
          <w:rFonts w:asciiTheme="majorHAnsi" w:hAnsiTheme="majorHAnsi" w:cstheme="majorHAnsi"/>
          <w:sz w:val="24"/>
          <w:szCs w:val="24"/>
        </w:rPr>
      </w:pPr>
      <w:r w:rsidRPr="00781166">
        <w:rPr>
          <w:rFonts w:asciiTheme="majorHAnsi" w:hAnsiTheme="majorHAnsi" w:cstheme="majorHAnsi"/>
          <w:sz w:val="24"/>
          <w:szCs w:val="24"/>
        </w:rPr>
        <w:t>Integración, es la posibilidad real de involucrar a todos los actores sociales en un espacio geográfico poblacional determinando, para desarrollar alianzas estratégicas que les permitan solucionar los problemas de desarrollo y bienestar.</w:t>
      </w:r>
    </w:p>
    <w:p w14:paraId="41B08E28" w14:textId="5BB1D8FD" w:rsidR="006270A5" w:rsidRPr="00781166" w:rsidRDefault="006270A5" w:rsidP="001E4941">
      <w:pPr>
        <w:pStyle w:val="ListParagraph"/>
        <w:numPr>
          <w:ilvl w:val="1"/>
          <w:numId w:val="9"/>
        </w:numPr>
        <w:spacing w:line="240" w:lineRule="auto"/>
        <w:jc w:val="both"/>
        <w:rPr>
          <w:rFonts w:asciiTheme="majorHAnsi" w:hAnsiTheme="majorHAnsi" w:cstheme="majorHAnsi"/>
          <w:sz w:val="24"/>
          <w:szCs w:val="24"/>
        </w:rPr>
      </w:pPr>
      <w:r w:rsidRPr="00781166">
        <w:rPr>
          <w:rFonts w:asciiTheme="majorHAnsi" w:hAnsiTheme="majorHAnsi" w:cstheme="majorHAnsi"/>
          <w:sz w:val="24"/>
          <w:szCs w:val="24"/>
        </w:rPr>
        <w:t>Inclusión Social, condición en la que se reconocen los derechos, deberes, igualdades y equidad en el acceso a bienes y servicios, a las personas y grupos sociales en situación de desventaja y vulnerabilidad, sin distinción alguna. Una persona o grupo social incluido, significa que está integrado social e institucionalmente en las redes creadas por la sociedad, abarcando las dimensiones: política, económica, laboral, social y cultural.</w:t>
      </w:r>
    </w:p>
    <w:p w14:paraId="2D9ADFBD" w14:textId="3406A1FB" w:rsidR="006270A5" w:rsidRPr="00781166" w:rsidRDefault="006270A5" w:rsidP="001E4941">
      <w:pPr>
        <w:pStyle w:val="ListParagraph"/>
        <w:numPr>
          <w:ilvl w:val="1"/>
          <w:numId w:val="9"/>
        </w:numPr>
        <w:spacing w:line="240" w:lineRule="auto"/>
        <w:jc w:val="both"/>
        <w:rPr>
          <w:rFonts w:asciiTheme="majorHAnsi" w:hAnsiTheme="majorHAnsi" w:cstheme="majorHAnsi"/>
          <w:sz w:val="24"/>
          <w:szCs w:val="24"/>
        </w:rPr>
      </w:pPr>
      <w:r w:rsidRPr="00781166">
        <w:rPr>
          <w:rFonts w:asciiTheme="majorHAnsi" w:hAnsiTheme="majorHAnsi" w:cstheme="majorHAnsi"/>
          <w:sz w:val="24"/>
          <w:szCs w:val="24"/>
        </w:rPr>
        <w:t>Participación activa, es evidente de que la Salud Mental de la población no se produce solamente desde los servicios de salud asistenciales. Si no que es el resultado de las acciones conjuntas de los actores sociales en interacción con su medio ambiente, resulta entonces que el estado de Salud Mental de una población sólo puede ser protegido y mejorado mediante la movilización sinérgica de los actores sociales hacia ese fin, para lo cual se requiere una acción concreta y eficaz en el establecimiento de prioridades la adopción de decisiones, la planificación de estrategias y su implantación, con el fin de mejorar la Salud Mental.</w:t>
      </w:r>
    </w:p>
    <w:p w14:paraId="70C43B84" w14:textId="235BFB9A" w:rsidR="00172EE8" w:rsidRPr="00781166" w:rsidRDefault="00172EE8" w:rsidP="001E4941">
      <w:pPr>
        <w:pStyle w:val="ListParagraph"/>
        <w:numPr>
          <w:ilvl w:val="1"/>
          <w:numId w:val="9"/>
        </w:numPr>
        <w:spacing w:line="240" w:lineRule="auto"/>
        <w:jc w:val="both"/>
        <w:rPr>
          <w:rFonts w:asciiTheme="majorHAnsi" w:hAnsiTheme="majorHAnsi" w:cstheme="majorHAnsi"/>
          <w:sz w:val="24"/>
          <w:szCs w:val="24"/>
        </w:rPr>
      </w:pPr>
      <w:r w:rsidRPr="00781166">
        <w:rPr>
          <w:rFonts w:asciiTheme="majorHAnsi" w:hAnsiTheme="majorHAnsi" w:cstheme="majorHAnsi"/>
          <w:sz w:val="24"/>
          <w:szCs w:val="24"/>
        </w:rPr>
        <w:t>Desarrollo humano sostenible</w:t>
      </w:r>
      <w:r w:rsidR="00781166">
        <w:rPr>
          <w:rFonts w:asciiTheme="majorHAnsi" w:hAnsiTheme="majorHAnsi" w:cstheme="majorHAnsi"/>
          <w:sz w:val="24"/>
          <w:szCs w:val="24"/>
        </w:rPr>
        <w:t>.</w:t>
      </w:r>
    </w:p>
    <w:p w14:paraId="00646599" w14:textId="1AD0051C" w:rsidR="00172EE8" w:rsidRPr="00781166" w:rsidRDefault="00172EE8" w:rsidP="001E4941">
      <w:pPr>
        <w:pStyle w:val="ListParagraph"/>
        <w:numPr>
          <w:ilvl w:val="1"/>
          <w:numId w:val="9"/>
        </w:numPr>
        <w:spacing w:line="240" w:lineRule="auto"/>
        <w:jc w:val="both"/>
        <w:rPr>
          <w:rFonts w:asciiTheme="majorHAnsi" w:hAnsiTheme="majorHAnsi" w:cstheme="majorHAnsi"/>
          <w:sz w:val="24"/>
          <w:szCs w:val="24"/>
        </w:rPr>
      </w:pPr>
      <w:r w:rsidRPr="00781166">
        <w:rPr>
          <w:rFonts w:asciiTheme="majorHAnsi" w:hAnsiTheme="majorHAnsi" w:cstheme="majorHAnsi"/>
          <w:sz w:val="24"/>
          <w:szCs w:val="24"/>
        </w:rPr>
        <w:t>Evidencias científica y buenas prácticas en Salud Mental</w:t>
      </w:r>
      <w:r w:rsidR="00781166">
        <w:rPr>
          <w:rFonts w:asciiTheme="majorHAnsi" w:hAnsiTheme="majorHAnsi" w:cstheme="majorHAnsi"/>
          <w:sz w:val="24"/>
          <w:szCs w:val="24"/>
        </w:rPr>
        <w:t>.</w:t>
      </w:r>
    </w:p>
    <w:p w14:paraId="60D3BB73" w14:textId="77777777" w:rsidR="00954037" w:rsidRDefault="00954037" w:rsidP="001E4941">
      <w:pPr>
        <w:spacing w:line="240" w:lineRule="auto"/>
        <w:jc w:val="both"/>
        <w:rPr>
          <w:rFonts w:asciiTheme="majorHAnsi" w:hAnsiTheme="majorHAnsi" w:cstheme="majorHAnsi"/>
          <w:sz w:val="24"/>
          <w:szCs w:val="24"/>
        </w:rPr>
      </w:pPr>
    </w:p>
    <w:p w14:paraId="5C94D89C" w14:textId="1E42A5AA" w:rsidR="000141D9" w:rsidRDefault="00954037" w:rsidP="001E4941">
      <w:pPr>
        <w:spacing w:line="240" w:lineRule="auto"/>
        <w:jc w:val="both"/>
        <w:rPr>
          <w:rFonts w:asciiTheme="majorHAnsi" w:hAnsiTheme="majorHAnsi" w:cstheme="majorHAnsi"/>
          <w:sz w:val="24"/>
          <w:szCs w:val="24"/>
        </w:rPr>
      </w:pPr>
      <w:r>
        <w:rPr>
          <w:rFonts w:asciiTheme="majorHAnsi" w:hAnsiTheme="majorHAnsi" w:cstheme="majorHAnsi"/>
          <w:sz w:val="24"/>
          <w:szCs w:val="24"/>
        </w:rPr>
        <w:t>Desde el enfoque educativo existen:</w:t>
      </w:r>
    </w:p>
    <w:p w14:paraId="34E90868" w14:textId="77777777" w:rsidR="00954037" w:rsidRPr="00954037" w:rsidRDefault="00954037" w:rsidP="00954037">
      <w:pPr>
        <w:pStyle w:val="paragraph"/>
        <w:numPr>
          <w:ilvl w:val="0"/>
          <w:numId w:val="16"/>
        </w:numPr>
        <w:shd w:val="clear" w:color="auto" w:fill="FFFFFF"/>
        <w:spacing w:before="0" w:beforeAutospacing="0" w:after="0" w:afterAutospacing="0"/>
        <w:ind w:right="758"/>
        <w:jc w:val="both"/>
        <w:textAlignment w:val="baseline"/>
        <w:rPr>
          <w:rFonts w:asciiTheme="majorHAnsi" w:hAnsiTheme="majorHAnsi" w:cstheme="majorHAnsi"/>
          <w:color w:val="000000" w:themeColor="text1"/>
          <w:lang w:val="es-ES"/>
        </w:rPr>
      </w:pPr>
      <w:r w:rsidRPr="00954037">
        <w:rPr>
          <w:rFonts w:asciiTheme="majorHAnsi" w:hAnsiTheme="majorHAnsi" w:cstheme="majorHAnsi"/>
          <w:color w:val="000000" w:themeColor="text1"/>
          <w:lang w:val="es-ES"/>
        </w:rPr>
        <w:t>Circular DM 24-05-2015: Declaración del Ministerio de Educación Pública (MEP), como espacio libre de discriminación por orientación sexual e identidad de género.</w:t>
      </w:r>
    </w:p>
    <w:p w14:paraId="6AF45D03" w14:textId="77777777" w:rsidR="00954037" w:rsidRPr="00954037" w:rsidRDefault="00954037" w:rsidP="00954037">
      <w:pPr>
        <w:pStyle w:val="ListParagraph"/>
        <w:numPr>
          <w:ilvl w:val="0"/>
          <w:numId w:val="16"/>
        </w:numPr>
        <w:shd w:val="clear" w:color="auto" w:fill="FFFFFF"/>
        <w:spacing w:line="240" w:lineRule="auto"/>
        <w:ind w:right="758"/>
        <w:jc w:val="both"/>
        <w:textAlignment w:val="baseline"/>
        <w:rPr>
          <w:rFonts w:asciiTheme="majorHAnsi" w:hAnsiTheme="majorHAnsi" w:cstheme="majorHAnsi"/>
          <w:color w:val="000000" w:themeColor="text1"/>
        </w:rPr>
      </w:pPr>
      <w:r w:rsidRPr="00954037">
        <w:rPr>
          <w:rFonts w:asciiTheme="majorHAnsi" w:hAnsiTheme="majorHAnsi" w:cstheme="majorHAnsi"/>
          <w:color w:val="000000" w:themeColor="text1"/>
        </w:rPr>
        <w:t>Circular DM-040-07-2018: Adecuación de trámites, documentos y registros en respeto a la identidad de género. </w:t>
      </w:r>
    </w:p>
    <w:p w14:paraId="3BA1371F" w14:textId="77777777" w:rsidR="00954037" w:rsidRPr="00954037" w:rsidRDefault="00954037" w:rsidP="00954037">
      <w:pPr>
        <w:pStyle w:val="ListParagraph"/>
        <w:numPr>
          <w:ilvl w:val="0"/>
          <w:numId w:val="16"/>
        </w:numPr>
        <w:shd w:val="clear" w:color="auto" w:fill="FFFFFF"/>
        <w:spacing w:line="240" w:lineRule="auto"/>
        <w:ind w:right="758"/>
        <w:jc w:val="both"/>
        <w:textAlignment w:val="baseline"/>
        <w:rPr>
          <w:rFonts w:asciiTheme="majorHAnsi" w:hAnsiTheme="majorHAnsi" w:cstheme="majorHAnsi"/>
          <w:color w:val="000000" w:themeColor="text1"/>
        </w:rPr>
      </w:pPr>
      <w:r w:rsidRPr="00954037">
        <w:rPr>
          <w:rFonts w:asciiTheme="majorHAnsi" w:hAnsiTheme="majorHAnsi" w:cstheme="majorHAnsi"/>
          <w:color w:val="000000" w:themeColor="text1"/>
        </w:rPr>
        <w:t>Circular DM-0030-07-2020: Revisión y corrección de los Reglamentos Internos de los Centros Educativos.</w:t>
      </w:r>
    </w:p>
    <w:p w14:paraId="32CC83FE" w14:textId="77777777" w:rsidR="00954037" w:rsidRPr="00954037" w:rsidRDefault="00954037" w:rsidP="00954037">
      <w:pPr>
        <w:pStyle w:val="ListParagraph"/>
        <w:numPr>
          <w:ilvl w:val="0"/>
          <w:numId w:val="16"/>
        </w:numPr>
        <w:shd w:val="clear" w:color="auto" w:fill="FFFFFF"/>
        <w:spacing w:line="240" w:lineRule="auto"/>
        <w:ind w:right="758"/>
        <w:jc w:val="both"/>
        <w:textAlignment w:val="baseline"/>
        <w:rPr>
          <w:rFonts w:asciiTheme="majorHAnsi" w:hAnsiTheme="majorHAnsi" w:cstheme="majorHAnsi"/>
          <w:color w:val="000000" w:themeColor="text1"/>
        </w:rPr>
      </w:pPr>
      <w:r w:rsidRPr="00954037">
        <w:rPr>
          <w:rFonts w:asciiTheme="majorHAnsi" w:hAnsiTheme="majorHAnsi" w:cstheme="majorHAnsi"/>
          <w:color w:val="000000" w:themeColor="text1"/>
        </w:rPr>
        <w:t>Circular DM-047-10-2020: Reposición de títulos.</w:t>
      </w:r>
    </w:p>
    <w:p w14:paraId="6AF0780B" w14:textId="77777777" w:rsidR="00954037" w:rsidRPr="00954037" w:rsidRDefault="00954037" w:rsidP="00954037">
      <w:pPr>
        <w:pStyle w:val="paragraph"/>
        <w:numPr>
          <w:ilvl w:val="0"/>
          <w:numId w:val="16"/>
        </w:numPr>
        <w:shd w:val="clear" w:color="auto" w:fill="FFFFFF"/>
        <w:spacing w:before="0" w:beforeAutospacing="0" w:after="0" w:afterAutospacing="0"/>
        <w:ind w:right="758"/>
        <w:jc w:val="both"/>
        <w:textAlignment w:val="baseline"/>
        <w:rPr>
          <w:rFonts w:asciiTheme="majorHAnsi" w:hAnsiTheme="majorHAnsi" w:cstheme="majorHAnsi"/>
          <w:color w:val="000000" w:themeColor="text1"/>
          <w:lang w:val="es-ES"/>
        </w:rPr>
      </w:pPr>
      <w:r w:rsidRPr="00954037">
        <w:rPr>
          <w:rFonts w:asciiTheme="majorHAnsi" w:hAnsiTheme="majorHAnsi" w:cstheme="majorHAnsi"/>
          <w:color w:val="000000" w:themeColor="text1"/>
          <w:lang w:val="es-ES"/>
        </w:rPr>
        <w:t>Implementación del curso virtual denominado: “Caminando hacia la igualdad”.</w:t>
      </w:r>
    </w:p>
    <w:p w14:paraId="05A47DF2" w14:textId="77777777" w:rsidR="00954037" w:rsidRDefault="00954037" w:rsidP="00954037">
      <w:pPr>
        <w:pStyle w:val="paragraph"/>
        <w:numPr>
          <w:ilvl w:val="0"/>
          <w:numId w:val="16"/>
        </w:numPr>
        <w:shd w:val="clear" w:color="auto" w:fill="FFFFFF"/>
        <w:spacing w:before="0" w:beforeAutospacing="0" w:after="0" w:afterAutospacing="0"/>
        <w:ind w:right="758"/>
        <w:jc w:val="both"/>
        <w:textAlignment w:val="baseline"/>
        <w:rPr>
          <w:rFonts w:asciiTheme="majorHAnsi" w:hAnsiTheme="majorHAnsi" w:cstheme="majorHAnsi"/>
          <w:color w:val="000000" w:themeColor="text1"/>
          <w:lang w:val="es-ES"/>
        </w:rPr>
      </w:pPr>
      <w:r w:rsidRPr="00954037">
        <w:rPr>
          <w:rFonts w:asciiTheme="majorHAnsi" w:hAnsiTheme="majorHAnsi" w:cstheme="majorHAnsi"/>
          <w:color w:val="000000" w:themeColor="text1"/>
          <w:lang w:val="es-ES"/>
        </w:rPr>
        <w:t>Protocolo de atención a la población estudiantil que presenta lesiones autoinfligidas y/o en riesgo por tentativa de suicido.</w:t>
      </w:r>
    </w:p>
    <w:p w14:paraId="1569FE04" w14:textId="1280589A" w:rsidR="00954037" w:rsidRPr="00954037" w:rsidRDefault="00954037" w:rsidP="00954037">
      <w:pPr>
        <w:pStyle w:val="paragraph"/>
        <w:numPr>
          <w:ilvl w:val="0"/>
          <w:numId w:val="16"/>
        </w:numPr>
        <w:shd w:val="clear" w:color="auto" w:fill="FFFFFF"/>
        <w:spacing w:before="0" w:beforeAutospacing="0" w:after="0" w:afterAutospacing="0"/>
        <w:ind w:right="758"/>
        <w:jc w:val="both"/>
        <w:textAlignment w:val="baseline"/>
        <w:rPr>
          <w:rFonts w:asciiTheme="majorHAnsi" w:hAnsiTheme="majorHAnsi" w:cstheme="majorHAnsi"/>
          <w:color w:val="000000" w:themeColor="text1"/>
          <w:lang w:val="es-ES"/>
        </w:rPr>
      </w:pPr>
      <w:r w:rsidRPr="00954037">
        <w:rPr>
          <w:rFonts w:asciiTheme="majorHAnsi" w:hAnsiTheme="majorHAnsi" w:cstheme="majorHAnsi"/>
          <w:color w:val="000000" w:themeColor="text1"/>
          <w:lang w:val="es-ES"/>
        </w:rPr>
        <w:t xml:space="preserve">Protocolo de atención del </w:t>
      </w:r>
      <w:proofErr w:type="spellStart"/>
      <w:r w:rsidRPr="00954037">
        <w:rPr>
          <w:rFonts w:asciiTheme="majorHAnsi" w:hAnsiTheme="majorHAnsi" w:cstheme="majorHAnsi"/>
          <w:color w:val="000000" w:themeColor="text1"/>
          <w:lang w:val="es-ES"/>
        </w:rPr>
        <w:t>bullying</w:t>
      </w:r>
      <w:proofErr w:type="spellEnd"/>
      <w:r w:rsidRPr="00954037">
        <w:rPr>
          <w:rFonts w:asciiTheme="majorHAnsi" w:hAnsiTheme="majorHAnsi" w:cstheme="majorHAnsi"/>
          <w:color w:val="000000" w:themeColor="text1"/>
          <w:lang w:val="es-ES"/>
        </w:rPr>
        <w:t xml:space="preserve"> contra población estudiantil LGTB </w:t>
      </w:r>
      <w:r w:rsidRPr="00954037">
        <w:rPr>
          <w:rFonts w:asciiTheme="majorHAnsi" w:eastAsiaTheme="minorHAnsi" w:hAnsiTheme="majorHAnsi" w:cstheme="majorHAnsi"/>
          <w:lang w:eastAsia="en-US"/>
        </w:rPr>
        <w:t xml:space="preserve">(Lesbianas, Gay, Bisexuales y Personas Trans)  </w:t>
      </w:r>
      <w:r w:rsidRPr="00954037">
        <w:rPr>
          <w:rFonts w:asciiTheme="majorHAnsi" w:hAnsiTheme="majorHAnsi" w:cstheme="majorHAnsi"/>
          <w:color w:val="000000" w:themeColor="text1"/>
          <w:lang w:val="es-ES"/>
        </w:rPr>
        <w:t>inserta en los centros educativos del Ministerio de Educación Pública.</w:t>
      </w:r>
    </w:p>
    <w:p w14:paraId="7DDA25CC" w14:textId="77777777" w:rsidR="00954037" w:rsidRPr="00651F87" w:rsidRDefault="00954037" w:rsidP="001E4941">
      <w:pPr>
        <w:spacing w:line="240" w:lineRule="auto"/>
        <w:jc w:val="both"/>
        <w:rPr>
          <w:rFonts w:asciiTheme="majorHAnsi" w:hAnsiTheme="majorHAnsi" w:cstheme="majorHAnsi"/>
          <w:sz w:val="24"/>
          <w:szCs w:val="24"/>
        </w:rPr>
      </w:pPr>
    </w:p>
    <w:p w14:paraId="0DA67BD6" w14:textId="233314C8" w:rsidR="00901AB9" w:rsidRPr="00EA28C7" w:rsidRDefault="00901AB9" w:rsidP="001E4941">
      <w:pPr>
        <w:pStyle w:val="ListParagraph"/>
        <w:numPr>
          <w:ilvl w:val="1"/>
          <w:numId w:val="3"/>
        </w:numPr>
        <w:spacing w:line="240" w:lineRule="auto"/>
        <w:ind w:left="1134" w:hanging="567"/>
        <w:jc w:val="both"/>
        <w:rPr>
          <w:rFonts w:asciiTheme="majorHAnsi" w:hAnsiTheme="majorHAnsi" w:cstheme="majorHAnsi"/>
          <w:b/>
          <w:bCs/>
          <w:sz w:val="24"/>
          <w:szCs w:val="24"/>
        </w:rPr>
      </w:pPr>
      <w:r w:rsidRPr="00EA28C7">
        <w:rPr>
          <w:rFonts w:asciiTheme="majorHAnsi" w:hAnsiTheme="majorHAnsi" w:cstheme="majorHAnsi"/>
          <w:b/>
          <w:bCs/>
          <w:sz w:val="24"/>
          <w:szCs w:val="24"/>
        </w:rPr>
        <w:t>¿Qué políticas o programas existen para atender las necesidades de atención de</w:t>
      </w:r>
      <w:r w:rsidR="000141D9" w:rsidRPr="00EA28C7">
        <w:rPr>
          <w:rFonts w:asciiTheme="majorHAnsi" w:hAnsiTheme="majorHAnsi" w:cstheme="majorHAnsi"/>
          <w:b/>
          <w:bCs/>
          <w:sz w:val="24"/>
          <w:szCs w:val="24"/>
        </w:rPr>
        <w:t xml:space="preserve"> </w:t>
      </w:r>
      <w:r w:rsidRPr="00EA28C7">
        <w:rPr>
          <w:rFonts w:asciiTheme="majorHAnsi" w:hAnsiTheme="majorHAnsi" w:cstheme="majorHAnsi"/>
          <w:b/>
          <w:bCs/>
          <w:sz w:val="24"/>
          <w:szCs w:val="24"/>
        </w:rPr>
        <w:t>la salud de las personas afectadas por la violencia y la discriminación por orientación sexual</w:t>
      </w:r>
      <w:r w:rsidR="000141D9" w:rsidRPr="00EA28C7">
        <w:rPr>
          <w:rFonts w:asciiTheme="majorHAnsi" w:hAnsiTheme="majorHAnsi" w:cstheme="majorHAnsi"/>
          <w:b/>
          <w:bCs/>
          <w:sz w:val="24"/>
          <w:szCs w:val="24"/>
        </w:rPr>
        <w:t xml:space="preserve"> </w:t>
      </w:r>
      <w:r w:rsidRPr="00EA28C7">
        <w:rPr>
          <w:rFonts w:asciiTheme="majorHAnsi" w:hAnsiTheme="majorHAnsi" w:cstheme="majorHAnsi"/>
          <w:b/>
          <w:bCs/>
          <w:sz w:val="24"/>
          <w:szCs w:val="24"/>
        </w:rPr>
        <w:t>e identidad de género después de la experiencia de agresión o violencia de género?</w:t>
      </w:r>
    </w:p>
    <w:p w14:paraId="7C666B94" w14:textId="75F1F48A" w:rsidR="000141D9" w:rsidRDefault="000141D9" w:rsidP="001E4941">
      <w:pPr>
        <w:spacing w:line="240" w:lineRule="auto"/>
        <w:jc w:val="both"/>
        <w:rPr>
          <w:rFonts w:asciiTheme="majorHAnsi" w:hAnsiTheme="majorHAnsi" w:cstheme="majorHAnsi"/>
          <w:sz w:val="24"/>
          <w:szCs w:val="24"/>
        </w:rPr>
      </w:pPr>
    </w:p>
    <w:p w14:paraId="62AE17AA" w14:textId="566C621E" w:rsidR="00711826" w:rsidRPr="00711826" w:rsidRDefault="00711826" w:rsidP="001E4941">
      <w:pPr>
        <w:spacing w:line="240" w:lineRule="auto"/>
        <w:jc w:val="both"/>
        <w:rPr>
          <w:rFonts w:asciiTheme="majorHAnsi" w:hAnsiTheme="majorHAnsi" w:cstheme="majorHAnsi"/>
          <w:sz w:val="24"/>
          <w:szCs w:val="24"/>
        </w:rPr>
      </w:pPr>
      <w:r w:rsidRPr="00711826">
        <w:rPr>
          <w:rFonts w:asciiTheme="majorHAnsi" w:hAnsiTheme="majorHAnsi" w:cstheme="majorHAnsi"/>
          <w:sz w:val="24"/>
          <w:szCs w:val="24"/>
        </w:rPr>
        <w:t>El INAMU</w:t>
      </w:r>
      <w:r w:rsidR="001E4941">
        <w:rPr>
          <w:rFonts w:asciiTheme="majorHAnsi" w:hAnsiTheme="majorHAnsi" w:cstheme="majorHAnsi"/>
          <w:sz w:val="24"/>
          <w:szCs w:val="24"/>
        </w:rPr>
        <w:t>,</w:t>
      </w:r>
      <w:r w:rsidRPr="00711826">
        <w:rPr>
          <w:rFonts w:asciiTheme="majorHAnsi" w:hAnsiTheme="majorHAnsi" w:cstheme="majorHAnsi"/>
          <w:sz w:val="24"/>
          <w:szCs w:val="24"/>
        </w:rPr>
        <w:t xml:space="preserve"> ente rector de la atención de la violencia contra las mujeres</w:t>
      </w:r>
      <w:r w:rsidR="001E4941">
        <w:rPr>
          <w:rFonts w:asciiTheme="majorHAnsi" w:hAnsiTheme="majorHAnsi" w:cstheme="majorHAnsi"/>
          <w:sz w:val="24"/>
          <w:szCs w:val="24"/>
        </w:rPr>
        <w:t>,</w:t>
      </w:r>
      <w:r w:rsidRPr="00711826">
        <w:rPr>
          <w:rFonts w:asciiTheme="majorHAnsi" w:hAnsiTheme="majorHAnsi" w:cstheme="majorHAnsi"/>
          <w:sz w:val="24"/>
          <w:szCs w:val="24"/>
        </w:rPr>
        <w:t xml:space="preserve"> no cuenta con espacios o programas específicos de atención</w:t>
      </w:r>
      <w:r w:rsidR="001E4941">
        <w:rPr>
          <w:rFonts w:asciiTheme="majorHAnsi" w:hAnsiTheme="majorHAnsi" w:cstheme="majorHAnsi"/>
          <w:sz w:val="24"/>
          <w:szCs w:val="24"/>
        </w:rPr>
        <w:t xml:space="preserve"> diferenciada:</w:t>
      </w:r>
      <w:r w:rsidRPr="00711826">
        <w:rPr>
          <w:rFonts w:asciiTheme="majorHAnsi" w:hAnsiTheme="majorHAnsi" w:cstheme="majorHAnsi"/>
          <w:sz w:val="24"/>
          <w:szCs w:val="24"/>
        </w:rPr>
        <w:t xml:space="preserve"> las mujeres son atendidas </w:t>
      </w:r>
      <w:r w:rsidR="001E4941" w:rsidRPr="00711826">
        <w:rPr>
          <w:rFonts w:asciiTheme="majorHAnsi" w:hAnsiTheme="majorHAnsi" w:cstheme="majorHAnsi"/>
          <w:sz w:val="24"/>
          <w:szCs w:val="24"/>
        </w:rPr>
        <w:t xml:space="preserve">todas </w:t>
      </w:r>
      <w:r w:rsidRPr="00711826">
        <w:rPr>
          <w:rFonts w:asciiTheme="majorHAnsi" w:hAnsiTheme="majorHAnsi" w:cstheme="majorHAnsi"/>
          <w:sz w:val="24"/>
          <w:szCs w:val="24"/>
        </w:rPr>
        <w:t xml:space="preserve">sin importar su orientación sexual o expresión de la identidad de </w:t>
      </w:r>
      <w:r w:rsidR="001E4941" w:rsidRPr="00711826">
        <w:rPr>
          <w:rFonts w:asciiTheme="majorHAnsi" w:hAnsiTheme="majorHAnsi" w:cstheme="majorHAnsi"/>
          <w:sz w:val="24"/>
          <w:szCs w:val="24"/>
        </w:rPr>
        <w:t>género</w:t>
      </w:r>
      <w:r w:rsidR="001E4941">
        <w:rPr>
          <w:rFonts w:asciiTheme="majorHAnsi" w:hAnsiTheme="majorHAnsi" w:cstheme="majorHAnsi"/>
          <w:sz w:val="24"/>
          <w:szCs w:val="24"/>
        </w:rPr>
        <w:t xml:space="preserve">, </w:t>
      </w:r>
      <w:r w:rsidRPr="00711826">
        <w:rPr>
          <w:rFonts w:asciiTheme="majorHAnsi" w:hAnsiTheme="majorHAnsi" w:cstheme="majorHAnsi"/>
          <w:sz w:val="24"/>
          <w:szCs w:val="24"/>
        </w:rPr>
        <w:t>con los mismos instrumentos y legislación de protección.</w:t>
      </w:r>
      <w:r w:rsidR="001E4941">
        <w:rPr>
          <w:rFonts w:asciiTheme="majorHAnsi" w:hAnsiTheme="majorHAnsi" w:cstheme="majorHAnsi"/>
          <w:sz w:val="24"/>
          <w:szCs w:val="24"/>
        </w:rPr>
        <w:t xml:space="preserve"> </w:t>
      </w:r>
    </w:p>
    <w:p w14:paraId="4BCEC021" w14:textId="77777777" w:rsidR="00711826" w:rsidRPr="00711826" w:rsidRDefault="00711826" w:rsidP="001E4941">
      <w:pPr>
        <w:spacing w:line="240" w:lineRule="auto"/>
        <w:jc w:val="both"/>
        <w:rPr>
          <w:rFonts w:asciiTheme="majorHAnsi" w:hAnsiTheme="majorHAnsi" w:cstheme="majorHAnsi"/>
          <w:sz w:val="24"/>
          <w:szCs w:val="24"/>
        </w:rPr>
      </w:pPr>
    </w:p>
    <w:p w14:paraId="5E3F5BED" w14:textId="500043E9" w:rsidR="00711826" w:rsidRDefault="00711826" w:rsidP="001E4941">
      <w:pPr>
        <w:spacing w:line="240" w:lineRule="auto"/>
        <w:jc w:val="both"/>
        <w:rPr>
          <w:rFonts w:asciiTheme="majorHAnsi" w:hAnsiTheme="majorHAnsi" w:cstheme="majorHAnsi"/>
          <w:sz w:val="24"/>
          <w:szCs w:val="24"/>
        </w:rPr>
      </w:pPr>
      <w:r w:rsidRPr="00711826">
        <w:rPr>
          <w:rFonts w:asciiTheme="majorHAnsi" w:hAnsiTheme="majorHAnsi" w:cstheme="majorHAnsi"/>
          <w:sz w:val="24"/>
          <w:szCs w:val="24"/>
        </w:rPr>
        <w:t xml:space="preserve">La </w:t>
      </w:r>
      <w:r w:rsidR="00447632">
        <w:rPr>
          <w:rFonts w:asciiTheme="majorHAnsi" w:hAnsiTheme="majorHAnsi" w:cstheme="majorHAnsi"/>
          <w:sz w:val="24"/>
          <w:szCs w:val="24"/>
        </w:rPr>
        <w:t>Caja Costarricense de Seguro Social (</w:t>
      </w:r>
      <w:r w:rsidRPr="00711826">
        <w:rPr>
          <w:rFonts w:asciiTheme="majorHAnsi" w:hAnsiTheme="majorHAnsi" w:cstheme="majorHAnsi"/>
          <w:sz w:val="24"/>
          <w:szCs w:val="24"/>
        </w:rPr>
        <w:t>CCSS</w:t>
      </w:r>
      <w:r w:rsidR="00447632">
        <w:rPr>
          <w:rFonts w:asciiTheme="majorHAnsi" w:hAnsiTheme="majorHAnsi" w:cstheme="majorHAnsi"/>
          <w:sz w:val="24"/>
          <w:szCs w:val="24"/>
        </w:rPr>
        <w:t>)</w:t>
      </w:r>
      <w:r w:rsidRPr="00711826">
        <w:rPr>
          <w:rFonts w:asciiTheme="majorHAnsi" w:hAnsiTheme="majorHAnsi" w:cstheme="majorHAnsi"/>
          <w:sz w:val="24"/>
          <w:szCs w:val="24"/>
        </w:rPr>
        <w:t xml:space="preserve"> tampoco hace una diferenciación de la atención. No cuenta con programas específicos de atención a la violencia ni discriminación de personas LGTBIQ+</w:t>
      </w:r>
    </w:p>
    <w:p w14:paraId="54B78246" w14:textId="77777777" w:rsidR="00711826" w:rsidRPr="00EA28C7" w:rsidRDefault="00711826" w:rsidP="001E4941">
      <w:pPr>
        <w:spacing w:line="240" w:lineRule="auto"/>
        <w:jc w:val="both"/>
        <w:rPr>
          <w:rFonts w:asciiTheme="majorHAnsi" w:hAnsiTheme="majorHAnsi" w:cstheme="majorHAnsi"/>
          <w:sz w:val="24"/>
          <w:szCs w:val="24"/>
        </w:rPr>
      </w:pPr>
    </w:p>
    <w:p w14:paraId="07DF7A35" w14:textId="387097AB" w:rsidR="00901AB9" w:rsidRPr="00EA28C7" w:rsidRDefault="00901AB9" w:rsidP="001E4941">
      <w:pPr>
        <w:pStyle w:val="ListParagraph"/>
        <w:numPr>
          <w:ilvl w:val="1"/>
          <w:numId w:val="3"/>
        </w:numPr>
        <w:spacing w:line="240" w:lineRule="auto"/>
        <w:ind w:left="1134" w:hanging="567"/>
        <w:jc w:val="both"/>
        <w:rPr>
          <w:rFonts w:asciiTheme="majorHAnsi" w:hAnsiTheme="majorHAnsi" w:cstheme="majorHAnsi"/>
          <w:b/>
          <w:bCs/>
          <w:sz w:val="24"/>
          <w:szCs w:val="24"/>
        </w:rPr>
      </w:pPr>
      <w:r w:rsidRPr="00EA28C7">
        <w:rPr>
          <w:rFonts w:asciiTheme="majorHAnsi" w:hAnsiTheme="majorHAnsi" w:cstheme="majorHAnsi"/>
          <w:b/>
          <w:bCs/>
          <w:sz w:val="24"/>
          <w:szCs w:val="24"/>
        </w:rPr>
        <w:t>¿Se han asignado los recursos humanos y financieros adecuados para</w:t>
      </w:r>
      <w:r w:rsidR="00EA28C7" w:rsidRPr="00EA28C7">
        <w:rPr>
          <w:rFonts w:asciiTheme="majorHAnsi" w:hAnsiTheme="majorHAnsi" w:cstheme="majorHAnsi"/>
          <w:b/>
          <w:bCs/>
          <w:sz w:val="24"/>
          <w:szCs w:val="24"/>
        </w:rPr>
        <w:t xml:space="preserve"> </w:t>
      </w:r>
      <w:r w:rsidRPr="00EA28C7">
        <w:rPr>
          <w:rFonts w:asciiTheme="majorHAnsi" w:hAnsiTheme="majorHAnsi" w:cstheme="majorHAnsi"/>
          <w:b/>
          <w:bCs/>
          <w:sz w:val="24"/>
          <w:szCs w:val="24"/>
        </w:rPr>
        <w:t>implementar esas políticas y / o programas?</w:t>
      </w:r>
    </w:p>
    <w:p w14:paraId="1E264120" w14:textId="45BCDA71" w:rsidR="0038670B" w:rsidRDefault="0038670B" w:rsidP="001E4941">
      <w:pPr>
        <w:spacing w:line="240" w:lineRule="auto"/>
        <w:jc w:val="both"/>
        <w:rPr>
          <w:rFonts w:asciiTheme="majorHAnsi" w:hAnsiTheme="majorHAnsi" w:cstheme="majorHAnsi"/>
          <w:sz w:val="24"/>
          <w:szCs w:val="24"/>
        </w:rPr>
      </w:pPr>
    </w:p>
    <w:p w14:paraId="4830E252" w14:textId="01D66461" w:rsidR="00711826" w:rsidRPr="00711826" w:rsidRDefault="00711826" w:rsidP="001E4941">
      <w:pPr>
        <w:spacing w:line="240" w:lineRule="auto"/>
        <w:jc w:val="both"/>
        <w:rPr>
          <w:rFonts w:asciiTheme="majorHAnsi" w:hAnsiTheme="majorHAnsi" w:cstheme="majorHAnsi"/>
          <w:sz w:val="24"/>
          <w:szCs w:val="24"/>
        </w:rPr>
      </w:pPr>
      <w:r w:rsidRPr="00711826">
        <w:rPr>
          <w:rFonts w:asciiTheme="majorHAnsi" w:hAnsiTheme="majorHAnsi" w:cstheme="majorHAnsi"/>
          <w:sz w:val="24"/>
          <w:szCs w:val="24"/>
        </w:rPr>
        <w:t xml:space="preserve">No se cuenta con presupuesto etiquetado específico ni en el Ministerio de Salud, ni en la CCSS ni en el INAMU, ni en el Poder </w:t>
      </w:r>
      <w:r w:rsidR="001E4941" w:rsidRPr="00711826">
        <w:rPr>
          <w:rFonts w:asciiTheme="majorHAnsi" w:hAnsiTheme="majorHAnsi" w:cstheme="majorHAnsi"/>
          <w:sz w:val="24"/>
          <w:szCs w:val="24"/>
        </w:rPr>
        <w:t>Judicial</w:t>
      </w:r>
      <w:r w:rsidRPr="00711826">
        <w:rPr>
          <w:rFonts w:asciiTheme="majorHAnsi" w:hAnsiTheme="majorHAnsi" w:cstheme="majorHAnsi"/>
          <w:sz w:val="24"/>
          <w:szCs w:val="24"/>
        </w:rPr>
        <w:t xml:space="preserve"> para organizar programas o atenciones especificas a personas LGTBIQ+, por esta razón son desafíos:</w:t>
      </w:r>
    </w:p>
    <w:p w14:paraId="1177BDE1" w14:textId="16716332" w:rsidR="00711826" w:rsidRPr="001E4941" w:rsidRDefault="00711826" w:rsidP="001E4941">
      <w:pPr>
        <w:pStyle w:val="ListParagraph"/>
        <w:numPr>
          <w:ilvl w:val="0"/>
          <w:numId w:val="15"/>
        </w:numPr>
        <w:spacing w:line="240" w:lineRule="auto"/>
        <w:jc w:val="both"/>
        <w:rPr>
          <w:rFonts w:asciiTheme="majorHAnsi" w:hAnsiTheme="majorHAnsi" w:cstheme="majorHAnsi"/>
          <w:sz w:val="24"/>
          <w:szCs w:val="24"/>
        </w:rPr>
      </w:pPr>
      <w:r w:rsidRPr="001E4941">
        <w:rPr>
          <w:rFonts w:asciiTheme="majorHAnsi" w:hAnsiTheme="majorHAnsi" w:cstheme="majorHAnsi"/>
          <w:sz w:val="24"/>
          <w:szCs w:val="24"/>
        </w:rPr>
        <w:t>Contar con contenido presupuestario y más recursos humanos a nivel central, regional y local de estas instituciones</w:t>
      </w:r>
    </w:p>
    <w:p w14:paraId="00C7A37E" w14:textId="4375BA1A" w:rsidR="00711826" w:rsidRPr="001E4941" w:rsidRDefault="00711826" w:rsidP="001E4941">
      <w:pPr>
        <w:pStyle w:val="ListParagraph"/>
        <w:numPr>
          <w:ilvl w:val="0"/>
          <w:numId w:val="15"/>
        </w:numPr>
        <w:spacing w:line="240" w:lineRule="auto"/>
        <w:jc w:val="both"/>
        <w:rPr>
          <w:rFonts w:asciiTheme="majorHAnsi" w:hAnsiTheme="majorHAnsi" w:cstheme="majorHAnsi"/>
          <w:sz w:val="24"/>
          <w:szCs w:val="24"/>
        </w:rPr>
      </w:pPr>
      <w:r w:rsidRPr="001E4941">
        <w:rPr>
          <w:rFonts w:asciiTheme="majorHAnsi" w:hAnsiTheme="majorHAnsi" w:cstheme="majorHAnsi"/>
          <w:sz w:val="24"/>
          <w:szCs w:val="24"/>
        </w:rPr>
        <w:t xml:space="preserve">Contar con un mayor equipo profesional específico asignado para dar seguimiento, capacitación, desarrollo metodologías y elaborar material de apoyo en este tema. </w:t>
      </w:r>
    </w:p>
    <w:p w14:paraId="7914FE55" w14:textId="56DEFBFB" w:rsidR="00711826" w:rsidRPr="001E4941" w:rsidRDefault="00711826" w:rsidP="001E4941">
      <w:pPr>
        <w:pStyle w:val="ListParagraph"/>
        <w:numPr>
          <w:ilvl w:val="0"/>
          <w:numId w:val="15"/>
        </w:numPr>
        <w:spacing w:line="240" w:lineRule="auto"/>
        <w:jc w:val="both"/>
        <w:rPr>
          <w:rFonts w:asciiTheme="majorHAnsi" w:hAnsiTheme="majorHAnsi" w:cstheme="majorHAnsi"/>
          <w:sz w:val="24"/>
          <w:szCs w:val="24"/>
        </w:rPr>
      </w:pPr>
      <w:r w:rsidRPr="001E4941">
        <w:rPr>
          <w:rFonts w:asciiTheme="majorHAnsi" w:hAnsiTheme="majorHAnsi" w:cstheme="majorHAnsi"/>
          <w:sz w:val="24"/>
          <w:szCs w:val="24"/>
        </w:rPr>
        <w:t>Fortalecer el trabajo de las Comisión institucionales para la igualdad, no discriminación y prevención de la violencia y asignarle recursos económicos para su trabajo</w:t>
      </w:r>
    </w:p>
    <w:p w14:paraId="7B3576F1" w14:textId="77777777" w:rsidR="009C03AE" w:rsidRDefault="009C03AE" w:rsidP="001E4941">
      <w:pPr>
        <w:spacing w:line="240" w:lineRule="auto"/>
        <w:jc w:val="both"/>
        <w:rPr>
          <w:rFonts w:asciiTheme="majorHAnsi" w:hAnsiTheme="majorHAnsi" w:cstheme="majorHAnsi"/>
          <w:sz w:val="24"/>
          <w:szCs w:val="24"/>
        </w:rPr>
      </w:pPr>
    </w:p>
    <w:p w14:paraId="28240B0E" w14:textId="59C7E9D7" w:rsidR="009C03AE" w:rsidRPr="009C03AE" w:rsidRDefault="009C03AE" w:rsidP="009C03AE">
      <w:pPr>
        <w:spacing w:line="240" w:lineRule="auto"/>
        <w:jc w:val="both"/>
        <w:rPr>
          <w:rFonts w:asciiTheme="majorHAnsi" w:hAnsiTheme="majorHAnsi" w:cstheme="majorHAnsi"/>
          <w:sz w:val="24"/>
          <w:szCs w:val="24"/>
        </w:rPr>
      </w:pPr>
      <w:r>
        <w:rPr>
          <w:rFonts w:asciiTheme="majorHAnsi" w:hAnsiTheme="majorHAnsi" w:cstheme="majorHAnsi"/>
          <w:sz w:val="24"/>
          <w:szCs w:val="24"/>
        </w:rPr>
        <w:t>Desde el ámbito del Ministerio de Educación existe l</w:t>
      </w:r>
      <w:r w:rsidRPr="009C03AE">
        <w:rPr>
          <w:rFonts w:asciiTheme="majorHAnsi" w:hAnsiTheme="majorHAnsi" w:cstheme="majorHAnsi"/>
          <w:sz w:val="24"/>
          <w:szCs w:val="24"/>
        </w:rPr>
        <w:t xml:space="preserve">a RESOLUCIÓN Nº0147-MEP-2019, establece la estructura para la administración de la Comisión Institucional para la Igualdad y la no Discriminación hacia la población LGBTI, </w:t>
      </w:r>
      <w:r w:rsidR="002D2696">
        <w:rPr>
          <w:rFonts w:asciiTheme="majorHAnsi" w:hAnsiTheme="majorHAnsi" w:cstheme="majorHAnsi"/>
          <w:sz w:val="24"/>
          <w:szCs w:val="24"/>
        </w:rPr>
        <w:t>é</w:t>
      </w:r>
      <w:r w:rsidRPr="009C03AE">
        <w:rPr>
          <w:rFonts w:asciiTheme="majorHAnsi" w:hAnsiTheme="majorHAnsi" w:cstheme="majorHAnsi"/>
          <w:sz w:val="24"/>
          <w:szCs w:val="24"/>
        </w:rPr>
        <w:t xml:space="preserve">sta se conforma con la participación colegiada de las diferentes dependencias encargadas de garantizar los recursos humanos, materiales y técnicos necesarios para la erradicación de la homofobia, la lesbofobia y la transfobia. </w:t>
      </w:r>
    </w:p>
    <w:p w14:paraId="2E5258C3" w14:textId="77777777" w:rsidR="009C03AE" w:rsidRPr="009C03AE" w:rsidRDefault="009C03AE" w:rsidP="001E4941">
      <w:pPr>
        <w:spacing w:line="240" w:lineRule="auto"/>
        <w:jc w:val="both"/>
        <w:rPr>
          <w:rFonts w:asciiTheme="majorHAnsi" w:hAnsiTheme="majorHAnsi" w:cstheme="majorHAnsi"/>
          <w:sz w:val="24"/>
          <w:szCs w:val="24"/>
          <w:lang w:val="es-ES"/>
        </w:rPr>
      </w:pPr>
    </w:p>
    <w:p w14:paraId="235FE5F3" w14:textId="589F74EF" w:rsidR="00901AB9" w:rsidRPr="00EA28C7" w:rsidRDefault="00901AB9" w:rsidP="001E4941">
      <w:pPr>
        <w:pStyle w:val="ListParagraph"/>
        <w:numPr>
          <w:ilvl w:val="0"/>
          <w:numId w:val="3"/>
        </w:numPr>
        <w:shd w:val="clear" w:color="auto" w:fill="C6D9F1" w:themeFill="text2" w:themeFillTint="33"/>
        <w:spacing w:line="240" w:lineRule="auto"/>
        <w:jc w:val="both"/>
        <w:rPr>
          <w:rFonts w:asciiTheme="majorHAnsi" w:hAnsiTheme="majorHAnsi" w:cstheme="majorHAnsi"/>
          <w:b/>
          <w:bCs/>
          <w:sz w:val="24"/>
          <w:szCs w:val="24"/>
        </w:rPr>
      </w:pPr>
      <w:r w:rsidRPr="00EA28C7">
        <w:rPr>
          <w:rFonts w:asciiTheme="majorHAnsi" w:hAnsiTheme="majorHAnsi" w:cstheme="majorHAnsi"/>
          <w:b/>
          <w:bCs/>
          <w:sz w:val="24"/>
          <w:szCs w:val="24"/>
        </w:rPr>
        <w:t>Formación y educación: profesionales de la salud e instituciones educativas</w:t>
      </w:r>
    </w:p>
    <w:p w14:paraId="7B0308B8" w14:textId="77777777" w:rsidR="0038670B" w:rsidRPr="00651F87" w:rsidRDefault="0038670B" w:rsidP="001E4941">
      <w:pPr>
        <w:spacing w:line="240" w:lineRule="auto"/>
        <w:jc w:val="both"/>
        <w:rPr>
          <w:rFonts w:asciiTheme="majorHAnsi" w:hAnsiTheme="majorHAnsi" w:cstheme="majorHAnsi"/>
          <w:sz w:val="24"/>
          <w:szCs w:val="24"/>
        </w:rPr>
      </w:pPr>
    </w:p>
    <w:p w14:paraId="0E1587B7" w14:textId="787B3338" w:rsidR="00901AB9" w:rsidRPr="00EA28C7" w:rsidRDefault="00901AB9" w:rsidP="001E4941">
      <w:pPr>
        <w:pStyle w:val="ListParagraph"/>
        <w:numPr>
          <w:ilvl w:val="1"/>
          <w:numId w:val="3"/>
        </w:numPr>
        <w:spacing w:line="240" w:lineRule="auto"/>
        <w:ind w:left="1134" w:hanging="567"/>
        <w:jc w:val="both"/>
        <w:rPr>
          <w:rFonts w:asciiTheme="majorHAnsi" w:hAnsiTheme="majorHAnsi" w:cstheme="majorHAnsi"/>
          <w:b/>
          <w:bCs/>
          <w:sz w:val="24"/>
          <w:szCs w:val="24"/>
        </w:rPr>
      </w:pPr>
      <w:r w:rsidRPr="00EA28C7">
        <w:rPr>
          <w:rFonts w:asciiTheme="majorHAnsi" w:hAnsiTheme="majorHAnsi" w:cstheme="majorHAnsi"/>
          <w:b/>
          <w:bCs/>
          <w:sz w:val="24"/>
          <w:szCs w:val="24"/>
        </w:rPr>
        <w:t>¿Se incluyen la orientación sexual, la identidad de género y las necesidades</w:t>
      </w:r>
      <w:r w:rsidR="000141D9" w:rsidRPr="00EA28C7">
        <w:rPr>
          <w:rFonts w:asciiTheme="majorHAnsi" w:hAnsiTheme="majorHAnsi" w:cstheme="majorHAnsi"/>
          <w:b/>
          <w:bCs/>
          <w:sz w:val="24"/>
          <w:szCs w:val="24"/>
        </w:rPr>
        <w:t xml:space="preserve"> </w:t>
      </w:r>
      <w:r w:rsidRPr="00EA28C7">
        <w:rPr>
          <w:rFonts w:asciiTheme="majorHAnsi" w:hAnsiTheme="majorHAnsi" w:cstheme="majorHAnsi"/>
          <w:b/>
          <w:bCs/>
          <w:sz w:val="24"/>
          <w:szCs w:val="24"/>
        </w:rPr>
        <w:t>específicas de salud de las personas afectadas por la violencia y la discriminación por</w:t>
      </w:r>
      <w:r w:rsidR="000141D9" w:rsidRPr="00EA28C7">
        <w:rPr>
          <w:rFonts w:asciiTheme="majorHAnsi" w:hAnsiTheme="majorHAnsi" w:cstheme="majorHAnsi"/>
          <w:b/>
          <w:bCs/>
          <w:sz w:val="24"/>
          <w:szCs w:val="24"/>
        </w:rPr>
        <w:t xml:space="preserve"> </w:t>
      </w:r>
      <w:r w:rsidRPr="00EA28C7">
        <w:rPr>
          <w:rFonts w:asciiTheme="majorHAnsi" w:hAnsiTheme="majorHAnsi" w:cstheme="majorHAnsi"/>
          <w:b/>
          <w:bCs/>
          <w:sz w:val="24"/>
          <w:szCs w:val="24"/>
        </w:rPr>
        <w:t>orientación sexual e identidad de género en la formación y educación de los profesionales de</w:t>
      </w:r>
      <w:r w:rsidR="000141D9" w:rsidRPr="00EA28C7">
        <w:rPr>
          <w:rFonts w:asciiTheme="majorHAnsi" w:hAnsiTheme="majorHAnsi" w:cstheme="majorHAnsi"/>
          <w:b/>
          <w:bCs/>
          <w:sz w:val="24"/>
          <w:szCs w:val="24"/>
        </w:rPr>
        <w:t xml:space="preserve"> </w:t>
      </w:r>
      <w:r w:rsidRPr="00EA28C7">
        <w:rPr>
          <w:rFonts w:asciiTheme="majorHAnsi" w:hAnsiTheme="majorHAnsi" w:cstheme="majorHAnsi"/>
          <w:b/>
          <w:bCs/>
          <w:sz w:val="24"/>
          <w:szCs w:val="24"/>
        </w:rPr>
        <w:t>la salud?</w:t>
      </w:r>
    </w:p>
    <w:p w14:paraId="353ED6D3" w14:textId="25A7828F" w:rsidR="000141D9" w:rsidRDefault="000141D9" w:rsidP="001E4941">
      <w:pPr>
        <w:spacing w:line="240" w:lineRule="auto"/>
        <w:jc w:val="both"/>
        <w:rPr>
          <w:rFonts w:asciiTheme="majorHAnsi" w:hAnsiTheme="majorHAnsi" w:cstheme="majorHAnsi"/>
          <w:sz w:val="24"/>
          <w:szCs w:val="24"/>
        </w:rPr>
      </w:pPr>
    </w:p>
    <w:p w14:paraId="4C546A4F" w14:textId="00EFFC94" w:rsidR="00711826" w:rsidRDefault="00711826" w:rsidP="001E4941">
      <w:pPr>
        <w:spacing w:line="240" w:lineRule="auto"/>
        <w:jc w:val="both"/>
        <w:rPr>
          <w:rFonts w:asciiTheme="majorHAnsi" w:hAnsiTheme="majorHAnsi" w:cstheme="majorHAnsi"/>
          <w:sz w:val="24"/>
          <w:szCs w:val="24"/>
        </w:rPr>
      </w:pPr>
      <w:r w:rsidRPr="00711826">
        <w:rPr>
          <w:rFonts w:asciiTheme="majorHAnsi" w:hAnsiTheme="majorHAnsi" w:cstheme="majorHAnsi"/>
          <w:sz w:val="24"/>
          <w:szCs w:val="24"/>
        </w:rPr>
        <w:t>S</w:t>
      </w:r>
      <w:r w:rsidR="001E4941">
        <w:rPr>
          <w:rFonts w:asciiTheme="majorHAnsi" w:hAnsiTheme="majorHAnsi" w:cstheme="majorHAnsi"/>
          <w:sz w:val="24"/>
          <w:szCs w:val="24"/>
        </w:rPr>
        <w:t>í, e</w:t>
      </w:r>
      <w:r w:rsidRPr="00711826">
        <w:rPr>
          <w:rFonts w:asciiTheme="majorHAnsi" w:hAnsiTheme="majorHAnsi" w:cstheme="majorHAnsi"/>
          <w:sz w:val="24"/>
          <w:szCs w:val="24"/>
        </w:rPr>
        <w:t xml:space="preserve">n el Ministerio de Salud </w:t>
      </w:r>
      <w:r w:rsidR="001E4941">
        <w:rPr>
          <w:rFonts w:asciiTheme="majorHAnsi" w:hAnsiTheme="majorHAnsi" w:cstheme="majorHAnsi"/>
          <w:sz w:val="24"/>
          <w:szCs w:val="24"/>
        </w:rPr>
        <w:t xml:space="preserve">se </w:t>
      </w:r>
      <w:r w:rsidRPr="00711826">
        <w:rPr>
          <w:rFonts w:asciiTheme="majorHAnsi" w:hAnsiTheme="majorHAnsi" w:cstheme="majorHAnsi"/>
          <w:sz w:val="24"/>
          <w:szCs w:val="24"/>
        </w:rPr>
        <w:t>inclu</w:t>
      </w:r>
      <w:r w:rsidR="001E4941">
        <w:rPr>
          <w:rFonts w:asciiTheme="majorHAnsi" w:hAnsiTheme="majorHAnsi" w:cstheme="majorHAnsi"/>
          <w:sz w:val="24"/>
          <w:szCs w:val="24"/>
        </w:rPr>
        <w:t xml:space="preserve">ye </w:t>
      </w:r>
      <w:r w:rsidRPr="00711826">
        <w:rPr>
          <w:rFonts w:asciiTheme="majorHAnsi" w:hAnsiTheme="majorHAnsi" w:cstheme="majorHAnsi"/>
          <w:sz w:val="24"/>
          <w:szCs w:val="24"/>
        </w:rPr>
        <w:t xml:space="preserve">este eje de trabajo estratégico por el impacto en la construcción de la salud. </w:t>
      </w:r>
      <w:r w:rsidR="001E4941">
        <w:rPr>
          <w:rFonts w:asciiTheme="majorHAnsi" w:hAnsiTheme="majorHAnsi" w:cstheme="majorHAnsi"/>
          <w:sz w:val="24"/>
          <w:szCs w:val="24"/>
        </w:rPr>
        <w:t xml:space="preserve">Se cuenta con </w:t>
      </w:r>
      <w:r w:rsidRPr="00711826">
        <w:rPr>
          <w:rFonts w:asciiTheme="majorHAnsi" w:hAnsiTheme="majorHAnsi" w:cstheme="majorHAnsi"/>
          <w:sz w:val="24"/>
          <w:szCs w:val="24"/>
        </w:rPr>
        <w:t>espacios específicos de sensibilización para los niveles regionales y locales sobre derechos en salud de las personas LGTBIQ+</w:t>
      </w:r>
      <w:r w:rsidR="001E4941">
        <w:rPr>
          <w:rFonts w:asciiTheme="majorHAnsi" w:hAnsiTheme="majorHAnsi" w:cstheme="majorHAnsi"/>
          <w:sz w:val="24"/>
          <w:szCs w:val="24"/>
        </w:rPr>
        <w:t>,</w:t>
      </w:r>
      <w:r w:rsidRPr="00711826">
        <w:rPr>
          <w:rFonts w:asciiTheme="majorHAnsi" w:hAnsiTheme="majorHAnsi" w:cstheme="majorHAnsi"/>
          <w:sz w:val="24"/>
          <w:szCs w:val="24"/>
        </w:rPr>
        <w:t xml:space="preserve"> así como </w:t>
      </w:r>
      <w:r w:rsidR="001E4941">
        <w:rPr>
          <w:rFonts w:asciiTheme="majorHAnsi" w:hAnsiTheme="majorHAnsi" w:cstheme="majorHAnsi"/>
          <w:sz w:val="24"/>
          <w:szCs w:val="24"/>
        </w:rPr>
        <w:t xml:space="preserve">sobre </w:t>
      </w:r>
      <w:r w:rsidRPr="00711826">
        <w:rPr>
          <w:rFonts w:asciiTheme="majorHAnsi" w:hAnsiTheme="majorHAnsi" w:cstheme="majorHAnsi"/>
          <w:sz w:val="24"/>
          <w:szCs w:val="24"/>
        </w:rPr>
        <w:t>el impacto de la discriminación en la salud</w:t>
      </w:r>
      <w:r w:rsidR="001E4941">
        <w:rPr>
          <w:rFonts w:asciiTheme="majorHAnsi" w:hAnsiTheme="majorHAnsi" w:cstheme="majorHAnsi"/>
          <w:sz w:val="24"/>
          <w:szCs w:val="24"/>
        </w:rPr>
        <w:t xml:space="preserve">. </w:t>
      </w:r>
    </w:p>
    <w:p w14:paraId="7707242B" w14:textId="77777777" w:rsidR="00711826" w:rsidRPr="00651F87" w:rsidRDefault="00711826" w:rsidP="001E4941">
      <w:pPr>
        <w:spacing w:line="240" w:lineRule="auto"/>
        <w:jc w:val="both"/>
        <w:rPr>
          <w:rFonts w:asciiTheme="majorHAnsi" w:hAnsiTheme="majorHAnsi" w:cstheme="majorHAnsi"/>
          <w:sz w:val="24"/>
          <w:szCs w:val="24"/>
        </w:rPr>
      </w:pPr>
    </w:p>
    <w:p w14:paraId="19A8EDE9" w14:textId="24140B84" w:rsidR="00901AB9" w:rsidRPr="00EA28C7" w:rsidRDefault="00901AB9" w:rsidP="001E4941">
      <w:pPr>
        <w:pStyle w:val="ListParagraph"/>
        <w:numPr>
          <w:ilvl w:val="1"/>
          <w:numId w:val="3"/>
        </w:numPr>
        <w:spacing w:line="240" w:lineRule="auto"/>
        <w:ind w:left="1134" w:hanging="567"/>
        <w:jc w:val="both"/>
        <w:rPr>
          <w:rFonts w:asciiTheme="majorHAnsi" w:hAnsiTheme="majorHAnsi" w:cstheme="majorHAnsi"/>
          <w:b/>
          <w:bCs/>
          <w:sz w:val="24"/>
          <w:szCs w:val="24"/>
        </w:rPr>
      </w:pPr>
      <w:r w:rsidRPr="00EA28C7">
        <w:rPr>
          <w:rFonts w:asciiTheme="majorHAnsi" w:hAnsiTheme="majorHAnsi" w:cstheme="majorHAnsi"/>
          <w:b/>
          <w:bCs/>
          <w:sz w:val="24"/>
          <w:szCs w:val="24"/>
        </w:rPr>
        <w:t>¿Qué medidas se están tomando para brindar educación sexual integral apropiada</w:t>
      </w:r>
      <w:r w:rsidR="000141D9" w:rsidRPr="00EA28C7">
        <w:rPr>
          <w:rFonts w:asciiTheme="majorHAnsi" w:hAnsiTheme="majorHAnsi" w:cstheme="majorHAnsi"/>
          <w:b/>
          <w:bCs/>
          <w:sz w:val="24"/>
          <w:szCs w:val="24"/>
        </w:rPr>
        <w:t xml:space="preserve"> </w:t>
      </w:r>
      <w:r w:rsidRPr="00EA28C7">
        <w:rPr>
          <w:rFonts w:asciiTheme="majorHAnsi" w:hAnsiTheme="majorHAnsi" w:cstheme="majorHAnsi"/>
          <w:b/>
          <w:bCs/>
          <w:sz w:val="24"/>
          <w:szCs w:val="24"/>
        </w:rPr>
        <w:t>para la edad que incluya la diversidad sexual y de género en las instituciones educativas?</w:t>
      </w:r>
    </w:p>
    <w:p w14:paraId="24FAF9E1" w14:textId="77777777" w:rsidR="00711826" w:rsidRPr="00711826" w:rsidRDefault="00711826" w:rsidP="001E4941">
      <w:pPr>
        <w:spacing w:line="240" w:lineRule="auto"/>
        <w:jc w:val="both"/>
        <w:rPr>
          <w:rFonts w:asciiTheme="majorHAnsi" w:hAnsiTheme="majorHAnsi" w:cstheme="majorHAnsi"/>
          <w:sz w:val="24"/>
          <w:szCs w:val="24"/>
        </w:rPr>
      </w:pPr>
    </w:p>
    <w:p w14:paraId="7950B663" w14:textId="15BCAB26" w:rsidR="00711826" w:rsidRDefault="00711826" w:rsidP="001E4941">
      <w:pPr>
        <w:spacing w:line="240" w:lineRule="auto"/>
        <w:jc w:val="both"/>
        <w:rPr>
          <w:rFonts w:asciiTheme="majorHAnsi" w:hAnsiTheme="majorHAnsi" w:cstheme="majorHAnsi"/>
          <w:sz w:val="24"/>
          <w:szCs w:val="24"/>
        </w:rPr>
      </w:pPr>
      <w:r w:rsidRPr="00711826">
        <w:rPr>
          <w:rFonts w:asciiTheme="majorHAnsi" w:hAnsiTheme="majorHAnsi" w:cstheme="majorHAnsi"/>
          <w:sz w:val="24"/>
          <w:szCs w:val="24"/>
        </w:rPr>
        <w:t xml:space="preserve">Desde el Ministerio de </w:t>
      </w:r>
      <w:r w:rsidR="001E4941">
        <w:rPr>
          <w:rFonts w:asciiTheme="majorHAnsi" w:hAnsiTheme="majorHAnsi" w:cstheme="majorHAnsi"/>
          <w:sz w:val="24"/>
          <w:szCs w:val="24"/>
        </w:rPr>
        <w:t>S</w:t>
      </w:r>
      <w:r w:rsidRPr="00711826">
        <w:rPr>
          <w:rFonts w:asciiTheme="majorHAnsi" w:hAnsiTheme="majorHAnsi" w:cstheme="majorHAnsi"/>
          <w:sz w:val="24"/>
          <w:szCs w:val="24"/>
        </w:rPr>
        <w:t xml:space="preserve">alud </w:t>
      </w:r>
      <w:r w:rsidR="00EE2D83">
        <w:rPr>
          <w:rFonts w:asciiTheme="majorHAnsi" w:hAnsiTheme="majorHAnsi" w:cstheme="majorHAnsi"/>
          <w:sz w:val="24"/>
          <w:szCs w:val="24"/>
        </w:rPr>
        <w:t xml:space="preserve">se </w:t>
      </w:r>
      <w:r w:rsidRPr="00711826">
        <w:rPr>
          <w:rFonts w:asciiTheme="majorHAnsi" w:hAnsiTheme="majorHAnsi" w:cstheme="majorHAnsi"/>
          <w:sz w:val="24"/>
          <w:szCs w:val="24"/>
        </w:rPr>
        <w:t>realiza</w:t>
      </w:r>
      <w:r w:rsidR="00EE2D83">
        <w:rPr>
          <w:rFonts w:asciiTheme="majorHAnsi" w:hAnsiTheme="majorHAnsi" w:cstheme="majorHAnsi"/>
          <w:sz w:val="24"/>
          <w:szCs w:val="24"/>
        </w:rPr>
        <w:t>n</w:t>
      </w:r>
      <w:r w:rsidRPr="00711826">
        <w:rPr>
          <w:rFonts w:asciiTheme="majorHAnsi" w:hAnsiTheme="majorHAnsi" w:cstheme="majorHAnsi"/>
          <w:sz w:val="24"/>
          <w:szCs w:val="24"/>
        </w:rPr>
        <w:t xml:space="preserve"> </w:t>
      </w:r>
      <w:r w:rsidR="001E4941">
        <w:rPr>
          <w:rFonts w:asciiTheme="majorHAnsi" w:hAnsiTheme="majorHAnsi" w:cstheme="majorHAnsi"/>
          <w:sz w:val="24"/>
          <w:szCs w:val="24"/>
        </w:rPr>
        <w:t xml:space="preserve">procesos de </w:t>
      </w:r>
      <w:r w:rsidRPr="00711826">
        <w:rPr>
          <w:rFonts w:asciiTheme="majorHAnsi" w:hAnsiTheme="majorHAnsi" w:cstheme="majorHAnsi"/>
          <w:sz w:val="24"/>
          <w:szCs w:val="24"/>
        </w:rPr>
        <w:t>sensibilizaci</w:t>
      </w:r>
      <w:r w:rsidR="001E4941">
        <w:rPr>
          <w:rFonts w:asciiTheme="majorHAnsi" w:hAnsiTheme="majorHAnsi" w:cstheme="majorHAnsi"/>
          <w:sz w:val="24"/>
          <w:szCs w:val="24"/>
        </w:rPr>
        <w:t xml:space="preserve">ón </w:t>
      </w:r>
      <w:r w:rsidRPr="00711826">
        <w:rPr>
          <w:rFonts w:asciiTheme="majorHAnsi" w:hAnsiTheme="majorHAnsi" w:cstheme="majorHAnsi"/>
          <w:sz w:val="24"/>
          <w:szCs w:val="24"/>
        </w:rPr>
        <w:t>relacionad</w:t>
      </w:r>
      <w:r w:rsidR="001E4941">
        <w:rPr>
          <w:rFonts w:asciiTheme="majorHAnsi" w:hAnsiTheme="majorHAnsi" w:cstheme="majorHAnsi"/>
          <w:sz w:val="24"/>
          <w:szCs w:val="24"/>
        </w:rPr>
        <w:t>o</w:t>
      </w:r>
      <w:r w:rsidRPr="00711826">
        <w:rPr>
          <w:rFonts w:asciiTheme="majorHAnsi" w:hAnsiTheme="majorHAnsi" w:cstheme="majorHAnsi"/>
          <w:sz w:val="24"/>
          <w:szCs w:val="24"/>
        </w:rPr>
        <w:t xml:space="preserve">s con el derecho a una sexualidad segura, informada y en corresponsabilidad a </w:t>
      </w:r>
      <w:r w:rsidR="00EE2D83">
        <w:rPr>
          <w:rFonts w:asciiTheme="majorHAnsi" w:hAnsiTheme="majorHAnsi" w:cstheme="majorHAnsi"/>
          <w:sz w:val="24"/>
          <w:szCs w:val="24"/>
        </w:rPr>
        <w:t>sus</w:t>
      </w:r>
      <w:r w:rsidRPr="00711826">
        <w:rPr>
          <w:rFonts w:asciiTheme="majorHAnsi" w:hAnsiTheme="majorHAnsi" w:cstheme="majorHAnsi"/>
          <w:sz w:val="24"/>
          <w:szCs w:val="24"/>
        </w:rPr>
        <w:t xml:space="preserve"> funcionarias/os de los niveles locales y regionales de salud</w:t>
      </w:r>
      <w:r w:rsidR="001E4941">
        <w:rPr>
          <w:rFonts w:asciiTheme="majorHAnsi" w:hAnsiTheme="majorHAnsi" w:cstheme="majorHAnsi"/>
          <w:sz w:val="24"/>
          <w:szCs w:val="24"/>
        </w:rPr>
        <w:t>,</w:t>
      </w:r>
      <w:r w:rsidRPr="00711826">
        <w:rPr>
          <w:rFonts w:asciiTheme="majorHAnsi" w:hAnsiTheme="majorHAnsi" w:cstheme="majorHAnsi"/>
          <w:sz w:val="24"/>
          <w:szCs w:val="24"/>
        </w:rPr>
        <w:t xml:space="preserve"> donde el valor y respeto a las diferencias y diversidad es un eje central de reflexión, así como la reflexión sobre las diversidades sexuales y el impacto de la discriminación.</w:t>
      </w:r>
    </w:p>
    <w:p w14:paraId="3321B071" w14:textId="77777777" w:rsidR="00711826" w:rsidRDefault="00711826" w:rsidP="001E4941">
      <w:pPr>
        <w:spacing w:line="240" w:lineRule="auto"/>
        <w:jc w:val="both"/>
        <w:rPr>
          <w:rFonts w:asciiTheme="majorHAnsi" w:hAnsiTheme="majorHAnsi" w:cstheme="majorHAnsi"/>
          <w:sz w:val="24"/>
          <w:szCs w:val="24"/>
        </w:rPr>
      </w:pPr>
    </w:p>
    <w:p w14:paraId="0E387C5E" w14:textId="77777777" w:rsidR="00EC4FFB" w:rsidRDefault="00EC4FFB" w:rsidP="00575386">
      <w:pPr>
        <w:spacing w:line="240" w:lineRule="auto"/>
        <w:jc w:val="both"/>
        <w:rPr>
          <w:rFonts w:asciiTheme="majorHAnsi" w:hAnsiTheme="majorHAnsi" w:cstheme="majorHAnsi"/>
          <w:sz w:val="24"/>
          <w:szCs w:val="24"/>
        </w:rPr>
      </w:pPr>
    </w:p>
    <w:p w14:paraId="03157EB3" w14:textId="48981A5F" w:rsidR="00575386" w:rsidRPr="00711826" w:rsidRDefault="00575386" w:rsidP="00575386">
      <w:pPr>
        <w:spacing w:line="240" w:lineRule="auto"/>
        <w:jc w:val="both"/>
        <w:rPr>
          <w:rFonts w:asciiTheme="majorHAnsi" w:hAnsiTheme="majorHAnsi" w:cstheme="majorHAnsi"/>
          <w:sz w:val="24"/>
          <w:szCs w:val="24"/>
        </w:rPr>
      </w:pPr>
      <w:r w:rsidRPr="00711826">
        <w:rPr>
          <w:rFonts w:asciiTheme="majorHAnsi" w:hAnsiTheme="majorHAnsi" w:cstheme="majorHAnsi"/>
          <w:sz w:val="24"/>
          <w:szCs w:val="24"/>
        </w:rPr>
        <w:t xml:space="preserve">El Ministerio de Educación </w:t>
      </w:r>
      <w:r w:rsidR="00EC4FFB">
        <w:rPr>
          <w:rFonts w:asciiTheme="majorHAnsi" w:hAnsiTheme="majorHAnsi" w:cstheme="majorHAnsi"/>
          <w:sz w:val="24"/>
          <w:szCs w:val="24"/>
        </w:rPr>
        <w:t xml:space="preserve">trabaja con </w:t>
      </w:r>
      <w:r w:rsidRPr="00711826">
        <w:rPr>
          <w:rFonts w:asciiTheme="majorHAnsi" w:hAnsiTheme="majorHAnsi" w:cstheme="majorHAnsi"/>
          <w:sz w:val="24"/>
          <w:szCs w:val="24"/>
        </w:rPr>
        <w:t>el Programa de Sexualidad y afectividad</w:t>
      </w:r>
      <w:r w:rsidR="00EC4FFB">
        <w:rPr>
          <w:rFonts w:asciiTheme="majorHAnsi" w:hAnsiTheme="majorHAnsi" w:cstheme="majorHAnsi"/>
          <w:sz w:val="24"/>
          <w:szCs w:val="24"/>
        </w:rPr>
        <w:t>.</w:t>
      </w:r>
      <w:r w:rsidRPr="00711826">
        <w:rPr>
          <w:rFonts w:asciiTheme="majorHAnsi" w:hAnsiTheme="majorHAnsi" w:cstheme="majorHAnsi"/>
          <w:sz w:val="24"/>
          <w:szCs w:val="24"/>
        </w:rPr>
        <w:t xml:space="preserve"> </w:t>
      </w:r>
    </w:p>
    <w:p w14:paraId="6AAA435C" w14:textId="77777777" w:rsidR="00575386" w:rsidRDefault="00575386" w:rsidP="00996E69">
      <w:pPr>
        <w:spacing w:line="240" w:lineRule="auto"/>
        <w:jc w:val="both"/>
        <w:rPr>
          <w:rFonts w:asciiTheme="majorHAnsi" w:hAnsiTheme="majorHAnsi" w:cstheme="majorHAnsi"/>
        </w:rPr>
      </w:pPr>
    </w:p>
    <w:p w14:paraId="01C37BD6" w14:textId="77777777" w:rsidR="00996E69" w:rsidRPr="003D52D0" w:rsidRDefault="00996E69" w:rsidP="00996E69">
      <w:pPr>
        <w:spacing w:line="240" w:lineRule="auto"/>
        <w:jc w:val="both"/>
        <w:rPr>
          <w:rFonts w:asciiTheme="majorHAnsi" w:hAnsiTheme="majorHAnsi" w:cstheme="majorHAnsi"/>
        </w:rPr>
      </w:pPr>
      <w:r w:rsidRPr="003D52D0">
        <w:rPr>
          <w:rFonts w:asciiTheme="majorHAnsi" w:hAnsiTheme="majorHAnsi" w:cstheme="majorHAnsi"/>
        </w:rPr>
        <w:t xml:space="preserve">La implementación del Programa de Estudio de Educación para la Afectividad y Sexualidad Integral, en los cuales se aborda, entre otros ejes temáticos, la orientación sexual y las identidades de género. Es importante indicar que, desde el Departamento de Gestión Disciplinaria del Ministerio de Educación Pública, entidad responsable de desarrollar los procedimientos disciplinarios que se originan contra personas funcionarias de la institución, han atendido sanciones de discriminación y violencia por orientación sexual e identidad de género durante el año 2020 y 2021, las cuales se detallan a continuación: </w:t>
      </w:r>
    </w:p>
    <w:p w14:paraId="4372726B" w14:textId="77777777" w:rsidR="00996E69" w:rsidRPr="003D52D0" w:rsidRDefault="00996E69" w:rsidP="00996E69">
      <w:pPr>
        <w:spacing w:line="240" w:lineRule="auto"/>
        <w:jc w:val="both"/>
        <w:rPr>
          <w:rFonts w:asciiTheme="majorHAnsi" w:hAnsiTheme="majorHAnsi" w:cstheme="majorHAnsi"/>
        </w:rPr>
      </w:pPr>
    </w:p>
    <w:p w14:paraId="189C5D20" w14:textId="77777777" w:rsidR="00996E69" w:rsidRPr="003D52D0" w:rsidRDefault="00996E69" w:rsidP="00996E69">
      <w:pPr>
        <w:jc w:val="both"/>
        <w:rPr>
          <w:rFonts w:asciiTheme="majorHAnsi" w:hAnsiTheme="majorHAnsi" w:cstheme="majorHAnsi"/>
        </w:rPr>
      </w:pPr>
      <w:r w:rsidRPr="003D52D0">
        <w:rPr>
          <w:rFonts w:asciiTheme="majorHAnsi" w:hAnsiTheme="majorHAnsi" w:cstheme="majorHAnsi"/>
        </w:rPr>
        <w:t>Discriminación por orientación sexual (año 2020):</w:t>
      </w:r>
    </w:p>
    <w:p w14:paraId="41AD4E78" w14:textId="77777777" w:rsidR="00996E69" w:rsidRPr="003D52D0" w:rsidRDefault="00996E69" w:rsidP="00996E69">
      <w:pPr>
        <w:jc w:val="both"/>
        <w:rPr>
          <w:rFonts w:asciiTheme="majorHAnsi" w:hAnsiTheme="majorHAnsi" w:cstheme="majorHAnsi"/>
        </w:rPr>
      </w:pPr>
      <w:r w:rsidRPr="003D52D0">
        <w:rPr>
          <w:rFonts w:asciiTheme="majorHAnsi" w:hAnsiTheme="majorHAnsi" w:cstheme="majorHAnsi"/>
        </w:rPr>
        <w:t>2 absolutorias</w:t>
      </w:r>
    </w:p>
    <w:p w14:paraId="30A83420" w14:textId="77777777" w:rsidR="00996E69" w:rsidRPr="003D52D0" w:rsidRDefault="00996E69" w:rsidP="00996E69">
      <w:pPr>
        <w:jc w:val="both"/>
        <w:rPr>
          <w:rFonts w:asciiTheme="majorHAnsi" w:hAnsiTheme="majorHAnsi" w:cstheme="majorHAnsi"/>
        </w:rPr>
      </w:pPr>
      <w:r w:rsidRPr="003D52D0">
        <w:rPr>
          <w:rFonts w:asciiTheme="majorHAnsi" w:hAnsiTheme="majorHAnsi" w:cstheme="majorHAnsi"/>
        </w:rPr>
        <w:t>1 suspensión sin goce</w:t>
      </w:r>
    </w:p>
    <w:p w14:paraId="3FE483FF" w14:textId="77777777" w:rsidR="00996E69" w:rsidRPr="003D52D0" w:rsidRDefault="00996E69" w:rsidP="00996E69">
      <w:pPr>
        <w:spacing w:line="240" w:lineRule="auto"/>
        <w:jc w:val="both"/>
        <w:rPr>
          <w:rFonts w:asciiTheme="majorHAnsi" w:hAnsiTheme="majorHAnsi" w:cstheme="majorHAnsi"/>
        </w:rPr>
      </w:pPr>
    </w:p>
    <w:p w14:paraId="3CA89558" w14:textId="77777777" w:rsidR="00996E69" w:rsidRPr="003D52D0" w:rsidRDefault="00996E69" w:rsidP="00996E69">
      <w:pPr>
        <w:jc w:val="both"/>
        <w:rPr>
          <w:rFonts w:asciiTheme="majorHAnsi" w:hAnsiTheme="majorHAnsi" w:cstheme="majorHAnsi"/>
        </w:rPr>
      </w:pPr>
      <w:r w:rsidRPr="003D52D0">
        <w:rPr>
          <w:rFonts w:asciiTheme="majorHAnsi" w:hAnsiTheme="majorHAnsi" w:cstheme="majorHAnsi"/>
        </w:rPr>
        <w:t>Discriminación por identidad sexual (año 2020):</w:t>
      </w:r>
    </w:p>
    <w:p w14:paraId="2006AC49" w14:textId="2A76244A" w:rsidR="00996E69" w:rsidRDefault="00996E69" w:rsidP="00996E69">
      <w:pPr>
        <w:spacing w:line="240" w:lineRule="auto"/>
        <w:jc w:val="both"/>
        <w:rPr>
          <w:rFonts w:asciiTheme="majorHAnsi" w:hAnsiTheme="majorHAnsi" w:cstheme="majorHAnsi"/>
        </w:rPr>
      </w:pPr>
      <w:r w:rsidRPr="003D52D0">
        <w:rPr>
          <w:rFonts w:asciiTheme="majorHAnsi" w:hAnsiTheme="majorHAnsi" w:cstheme="majorHAnsi"/>
        </w:rPr>
        <w:t>1 absolutoria</w:t>
      </w:r>
    </w:p>
    <w:p w14:paraId="2B78FAAC" w14:textId="77777777" w:rsidR="00996E69" w:rsidRPr="003D52D0" w:rsidRDefault="00996E69" w:rsidP="00996E69">
      <w:pPr>
        <w:jc w:val="both"/>
        <w:rPr>
          <w:rFonts w:asciiTheme="majorHAnsi" w:hAnsiTheme="majorHAnsi" w:cstheme="majorHAnsi"/>
        </w:rPr>
      </w:pPr>
      <w:r w:rsidRPr="003D52D0">
        <w:rPr>
          <w:rFonts w:asciiTheme="majorHAnsi" w:hAnsiTheme="majorHAnsi" w:cstheme="majorHAnsi"/>
        </w:rPr>
        <w:t>Discriminación por orientación sexual (año 2021):</w:t>
      </w:r>
    </w:p>
    <w:p w14:paraId="5B3552A1" w14:textId="77777777" w:rsidR="00996E69" w:rsidRPr="003D52D0" w:rsidRDefault="00996E69" w:rsidP="00996E69">
      <w:pPr>
        <w:jc w:val="both"/>
        <w:rPr>
          <w:rFonts w:asciiTheme="majorHAnsi" w:hAnsiTheme="majorHAnsi" w:cstheme="majorHAnsi"/>
        </w:rPr>
      </w:pPr>
      <w:r w:rsidRPr="003D52D0">
        <w:rPr>
          <w:rFonts w:asciiTheme="majorHAnsi" w:hAnsiTheme="majorHAnsi" w:cstheme="majorHAnsi"/>
        </w:rPr>
        <w:t>1 archivo</w:t>
      </w:r>
    </w:p>
    <w:p w14:paraId="27AFC288" w14:textId="77777777" w:rsidR="00996E69" w:rsidRPr="003D52D0" w:rsidRDefault="00996E69" w:rsidP="00996E69">
      <w:pPr>
        <w:jc w:val="both"/>
        <w:rPr>
          <w:rFonts w:asciiTheme="majorHAnsi" w:hAnsiTheme="majorHAnsi" w:cstheme="majorHAnsi"/>
        </w:rPr>
      </w:pPr>
      <w:r w:rsidRPr="003D52D0">
        <w:rPr>
          <w:rFonts w:asciiTheme="majorHAnsi" w:hAnsiTheme="majorHAnsi" w:cstheme="majorHAnsi"/>
        </w:rPr>
        <w:t>1 Despido</w:t>
      </w:r>
    </w:p>
    <w:p w14:paraId="1CC69F4B" w14:textId="77777777" w:rsidR="00996E69" w:rsidRPr="003D52D0" w:rsidRDefault="00996E69" w:rsidP="00996E69">
      <w:pPr>
        <w:jc w:val="both"/>
        <w:rPr>
          <w:rFonts w:asciiTheme="majorHAnsi" w:hAnsiTheme="majorHAnsi" w:cstheme="majorHAnsi"/>
        </w:rPr>
      </w:pPr>
      <w:r w:rsidRPr="003D52D0">
        <w:rPr>
          <w:rFonts w:asciiTheme="majorHAnsi" w:hAnsiTheme="majorHAnsi" w:cstheme="majorHAnsi"/>
        </w:rPr>
        <w:t>1 trámite Gestión Despido</w:t>
      </w:r>
    </w:p>
    <w:p w14:paraId="0AD9C974" w14:textId="77777777" w:rsidR="00996E69" w:rsidRPr="003D52D0" w:rsidRDefault="00996E69" w:rsidP="00996E69">
      <w:pPr>
        <w:jc w:val="both"/>
        <w:rPr>
          <w:rFonts w:asciiTheme="majorHAnsi" w:hAnsiTheme="majorHAnsi" w:cstheme="majorHAnsi"/>
        </w:rPr>
      </w:pPr>
      <w:r w:rsidRPr="003D52D0">
        <w:rPr>
          <w:rFonts w:asciiTheme="majorHAnsi" w:hAnsiTheme="majorHAnsi" w:cstheme="majorHAnsi"/>
        </w:rPr>
        <w:t>1 absolutoria</w:t>
      </w:r>
    </w:p>
    <w:p w14:paraId="60122C5F" w14:textId="77777777" w:rsidR="00996E69" w:rsidRPr="003D52D0" w:rsidRDefault="00996E69" w:rsidP="00996E69">
      <w:pPr>
        <w:spacing w:line="240" w:lineRule="auto"/>
        <w:jc w:val="both"/>
        <w:rPr>
          <w:rFonts w:asciiTheme="majorHAnsi" w:hAnsiTheme="majorHAnsi" w:cstheme="majorHAnsi"/>
        </w:rPr>
      </w:pPr>
    </w:p>
    <w:p w14:paraId="343D326C" w14:textId="77777777" w:rsidR="00996E69" w:rsidRPr="003D52D0" w:rsidRDefault="00996E69" w:rsidP="00996E69">
      <w:pPr>
        <w:spacing w:line="240" w:lineRule="auto"/>
        <w:jc w:val="both"/>
        <w:rPr>
          <w:rFonts w:asciiTheme="majorHAnsi" w:hAnsiTheme="majorHAnsi" w:cstheme="majorHAnsi"/>
        </w:rPr>
      </w:pPr>
      <w:r w:rsidRPr="003D52D0">
        <w:rPr>
          <w:rFonts w:asciiTheme="majorHAnsi" w:hAnsiTheme="majorHAnsi" w:cstheme="majorHAnsi"/>
        </w:rPr>
        <w:t>Otras acciones</w:t>
      </w:r>
    </w:p>
    <w:p w14:paraId="2AC42104" w14:textId="77777777" w:rsidR="00996E69" w:rsidRPr="003D52D0" w:rsidRDefault="00996E69" w:rsidP="00996E69">
      <w:pPr>
        <w:spacing w:line="240" w:lineRule="auto"/>
        <w:jc w:val="both"/>
        <w:rPr>
          <w:rFonts w:asciiTheme="majorHAnsi" w:hAnsiTheme="majorHAnsi" w:cstheme="majorHAnsi"/>
        </w:rPr>
      </w:pPr>
    </w:p>
    <w:p w14:paraId="413370BE" w14:textId="77777777" w:rsidR="00996E69" w:rsidRPr="003D52D0" w:rsidRDefault="00996E69" w:rsidP="00996E69">
      <w:pPr>
        <w:jc w:val="both"/>
        <w:rPr>
          <w:rFonts w:asciiTheme="majorHAnsi" w:hAnsiTheme="majorHAnsi" w:cstheme="majorHAnsi"/>
        </w:rPr>
      </w:pPr>
      <w:r w:rsidRPr="003D52D0">
        <w:rPr>
          <w:rFonts w:asciiTheme="majorHAnsi" w:hAnsiTheme="majorHAnsi" w:cstheme="majorHAnsi"/>
        </w:rPr>
        <w:t xml:space="preserve">Convenio con el Colegio de Profesionales en Psicología e implementación de la Línea Aquí Estoy: Para desarrollar este proyecto se contó con el apoyo de 150 profesionales en psicología del MEP, ampliando el apoyo que brindan en muchas escuelas del país, a un apoyo nacional y a distancia para beneficiar a más familias costarricenses en medio de la crisis y la emergencia nacional, mediante turnos de atención a la línea telefónica, referencias y/o seguimiento en los casos requeridos. </w:t>
      </w:r>
    </w:p>
    <w:p w14:paraId="6D78FE24" w14:textId="77777777" w:rsidR="00996E69" w:rsidRPr="003D52D0" w:rsidRDefault="00996E69" w:rsidP="00996E69">
      <w:pPr>
        <w:jc w:val="both"/>
        <w:rPr>
          <w:rFonts w:asciiTheme="majorHAnsi" w:hAnsiTheme="majorHAnsi" w:cstheme="majorHAnsi"/>
        </w:rPr>
      </w:pPr>
    </w:p>
    <w:p w14:paraId="55BA921B" w14:textId="7EB50658" w:rsidR="00996E69" w:rsidRDefault="00996E69" w:rsidP="00996E69">
      <w:pPr>
        <w:jc w:val="both"/>
        <w:rPr>
          <w:rFonts w:asciiTheme="majorHAnsi" w:hAnsiTheme="majorHAnsi" w:cstheme="majorHAnsi"/>
        </w:rPr>
      </w:pPr>
      <w:r w:rsidRPr="003D52D0">
        <w:rPr>
          <w:rFonts w:asciiTheme="majorHAnsi" w:hAnsiTheme="majorHAnsi" w:cstheme="majorHAnsi"/>
        </w:rPr>
        <w:t xml:space="preserve">Esta iniciativa permitió fortalecer y visibilizar el aporte de nuestros profesionales MEP a estudiantes y familias de todo el país.  Durante el segundo semestre 2020 (la línea dio inicio el día 28 de julio 2020) se registraron un total de 832 llamadas, y durante el año 2021 se registraron un total de 1353 llamadas.  Dentro de los motivos de consulta que más ingresan a la línea, se encuentra en primer lugar las dificultades emocionales, seguido de solicitud de información, asuntos académicos y riesgo suicida,  lo cual visualiza una vez más la necesidad de establecer estrategias de atención en salud mental para la población costarricense y para el sistema educativo. En cuanto a las dificultades emocionales la sintomatología depresiva, sintomatología ansiosa y problemas familiares y de convivencia son los principales motivos de consulta. </w:t>
      </w:r>
    </w:p>
    <w:p w14:paraId="01C15BA1" w14:textId="77777777" w:rsidR="00EE2D83" w:rsidRPr="003D52D0" w:rsidRDefault="00EE2D83" w:rsidP="00996E69">
      <w:pPr>
        <w:jc w:val="both"/>
        <w:rPr>
          <w:rFonts w:asciiTheme="majorHAnsi" w:hAnsiTheme="majorHAnsi" w:cstheme="majorHAnsi"/>
        </w:rPr>
      </w:pPr>
    </w:p>
    <w:p w14:paraId="7183E65B" w14:textId="77777777" w:rsidR="00996E69" w:rsidRPr="003D52D0" w:rsidRDefault="00996E69" w:rsidP="00996E69">
      <w:pPr>
        <w:jc w:val="both"/>
        <w:rPr>
          <w:rFonts w:asciiTheme="majorHAnsi" w:hAnsiTheme="majorHAnsi" w:cstheme="majorHAnsi"/>
        </w:rPr>
      </w:pPr>
      <w:r w:rsidRPr="003D52D0">
        <w:rPr>
          <w:rFonts w:asciiTheme="majorHAnsi" w:hAnsiTheme="majorHAnsi" w:cstheme="majorHAnsi"/>
        </w:rPr>
        <w:t>Asesoría especializada para conocer, comprender y abordar de forma preventiva situaciones de discriminación y violencia contra la población estudiantil pertenecientes a la comunidad LGBT (Lesbianas, Gay, Bisexuales y Personas Trans)  como parte del fortalecimiento de las acciones inmersas en la aplicación del Protocolo de atención del bullying contra población estudiantil LGTB inserta en los centros educativos del Ministerio de Educación Pública.</w:t>
      </w:r>
    </w:p>
    <w:p w14:paraId="6C291503" w14:textId="77777777" w:rsidR="00996E69" w:rsidRDefault="00996E69" w:rsidP="00996E69">
      <w:pPr>
        <w:jc w:val="both"/>
        <w:rPr>
          <w:rFonts w:asciiTheme="majorHAnsi" w:hAnsiTheme="majorHAnsi" w:cstheme="majorHAnsi"/>
        </w:rPr>
      </w:pPr>
    </w:p>
    <w:p w14:paraId="7F17F9EA" w14:textId="77777777" w:rsidR="00996E69" w:rsidRDefault="00996E69" w:rsidP="00996E69">
      <w:pPr>
        <w:jc w:val="both"/>
        <w:rPr>
          <w:rFonts w:asciiTheme="majorHAnsi" w:hAnsiTheme="majorHAnsi" w:cstheme="majorHAnsi"/>
        </w:rPr>
      </w:pPr>
      <w:r w:rsidRPr="003D52D0">
        <w:rPr>
          <w:rFonts w:asciiTheme="majorHAnsi" w:hAnsiTheme="majorHAnsi" w:cstheme="majorHAnsi"/>
        </w:rPr>
        <w:t xml:space="preserve"> A continuación se detallan los centros  educativos y espacios regionales donde se ha desarrollado esta acción:</w:t>
      </w:r>
    </w:p>
    <w:p w14:paraId="010849E2" w14:textId="77777777" w:rsidR="009146D4" w:rsidRPr="003D52D0" w:rsidRDefault="009146D4" w:rsidP="00996E69">
      <w:pPr>
        <w:jc w:val="both"/>
        <w:rPr>
          <w:rFonts w:asciiTheme="majorHAnsi" w:hAnsiTheme="majorHAnsi" w:cstheme="majorHAnsi"/>
        </w:rPr>
      </w:pPr>
    </w:p>
    <w:tbl>
      <w:tblPr>
        <w:tblW w:w="836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68"/>
        <w:gridCol w:w="6093"/>
      </w:tblGrid>
      <w:tr w:rsidR="00996E69" w:rsidRPr="003D52D0" w14:paraId="5713C22B" w14:textId="77777777" w:rsidTr="00B30175">
        <w:trPr>
          <w:trHeight w:val="591"/>
        </w:trPr>
        <w:tc>
          <w:tcPr>
            <w:tcW w:w="2268" w:type="dxa"/>
            <w:shd w:val="clear" w:color="auto" w:fill="215868" w:themeFill="accent5" w:themeFillShade="80"/>
            <w:vAlign w:val="center"/>
            <w:hideMark/>
          </w:tcPr>
          <w:p w14:paraId="7EB8979D" w14:textId="77777777" w:rsidR="00996E69" w:rsidRPr="003D52D0" w:rsidRDefault="00996E69" w:rsidP="00B30175">
            <w:pPr>
              <w:jc w:val="both"/>
              <w:rPr>
                <w:rFonts w:asciiTheme="majorHAnsi" w:hAnsiTheme="majorHAnsi" w:cstheme="majorHAnsi"/>
              </w:rPr>
            </w:pPr>
            <w:r w:rsidRPr="003D52D0">
              <w:rPr>
                <w:rFonts w:asciiTheme="majorHAnsi" w:hAnsiTheme="majorHAnsi" w:cstheme="majorHAnsi"/>
              </w:rPr>
              <w:t>Mes</w:t>
            </w:r>
          </w:p>
        </w:tc>
        <w:tc>
          <w:tcPr>
            <w:tcW w:w="6093" w:type="dxa"/>
            <w:shd w:val="clear" w:color="auto" w:fill="215868" w:themeFill="accent5" w:themeFillShade="80"/>
            <w:vAlign w:val="center"/>
            <w:hideMark/>
          </w:tcPr>
          <w:p w14:paraId="0A9D4CD0" w14:textId="77777777" w:rsidR="00996E69" w:rsidRPr="003D52D0" w:rsidRDefault="00996E69" w:rsidP="00B30175">
            <w:pPr>
              <w:jc w:val="both"/>
              <w:rPr>
                <w:rFonts w:asciiTheme="majorHAnsi" w:hAnsiTheme="majorHAnsi" w:cstheme="majorHAnsi"/>
              </w:rPr>
            </w:pPr>
            <w:r w:rsidRPr="003D52D0">
              <w:rPr>
                <w:rFonts w:asciiTheme="majorHAnsi" w:hAnsiTheme="majorHAnsi" w:cstheme="majorHAnsi"/>
              </w:rPr>
              <w:t>Instancia que solicita</w:t>
            </w:r>
          </w:p>
          <w:tbl>
            <w:tblPr>
              <w:tblW w:w="5860" w:type="dxa"/>
              <w:tblLayout w:type="fixed"/>
              <w:tblCellMar>
                <w:top w:w="15" w:type="dxa"/>
                <w:left w:w="15" w:type="dxa"/>
                <w:bottom w:w="15" w:type="dxa"/>
                <w:right w:w="15" w:type="dxa"/>
              </w:tblCellMar>
              <w:tblLook w:val="04A0" w:firstRow="1" w:lastRow="0" w:firstColumn="1" w:lastColumn="0" w:noHBand="0" w:noVBand="1"/>
            </w:tblPr>
            <w:tblGrid>
              <w:gridCol w:w="5860"/>
            </w:tblGrid>
            <w:tr w:rsidR="00996E69" w:rsidRPr="003D52D0" w14:paraId="26C94AE9" w14:textId="77777777" w:rsidTr="00B30175">
              <w:tc>
                <w:tcPr>
                  <w:tcW w:w="5860" w:type="dxa"/>
                  <w:vAlign w:val="center"/>
                  <w:hideMark/>
                </w:tcPr>
                <w:p w14:paraId="4F9874E5" w14:textId="77777777" w:rsidR="00996E69" w:rsidRPr="003D52D0" w:rsidRDefault="00996E69" w:rsidP="00B30175">
                  <w:pPr>
                    <w:jc w:val="both"/>
                    <w:rPr>
                      <w:rFonts w:asciiTheme="majorHAnsi" w:hAnsiTheme="majorHAnsi" w:cstheme="majorHAnsi"/>
                    </w:rPr>
                  </w:pPr>
                </w:p>
              </w:tc>
            </w:tr>
          </w:tbl>
          <w:p w14:paraId="134B9EB2" w14:textId="77777777" w:rsidR="00996E69" w:rsidRPr="003D52D0" w:rsidRDefault="00996E69" w:rsidP="00B30175">
            <w:pPr>
              <w:jc w:val="both"/>
              <w:rPr>
                <w:rFonts w:asciiTheme="majorHAnsi" w:hAnsiTheme="majorHAnsi" w:cstheme="majorHAnsi"/>
              </w:rPr>
            </w:pPr>
          </w:p>
        </w:tc>
      </w:tr>
      <w:tr w:rsidR="00996E69" w:rsidRPr="003D52D0" w14:paraId="0364F78A" w14:textId="77777777" w:rsidTr="00B30175">
        <w:trPr>
          <w:trHeight w:val="474"/>
        </w:trPr>
        <w:tc>
          <w:tcPr>
            <w:tcW w:w="2268" w:type="dxa"/>
            <w:shd w:val="clear" w:color="auto" w:fill="auto"/>
            <w:vAlign w:val="center"/>
            <w:hideMark/>
          </w:tcPr>
          <w:p w14:paraId="2C0CCB9B" w14:textId="77777777" w:rsidR="00996E69" w:rsidRPr="003D52D0" w:rsidRDefault="00996E69" w:rsidP="00B30175">
            <w:pPr>
              <w:jc w:val="both"/>
              <w:rPr>
                <w:rFonts w:asciiTheme="majorHAnsi" w:hAnsiTheme="majorHAnsi" w:cstheme="majorHAnsi"/>
              </w:rPr>
            </w:pPr>
            <w:r w:rsidRPr="003D52D0">
              <w:rPr>
                <w:rFonts w:asciiTheme="majorHAnsi" w:hAnsiTheme="majorHAnsi" w:cstheme="majorHAnsi"/>
              </w:rPr>
              <w:t>Febrero</w:t>
            </w:r>
          </w:p>
        </w:tc>
        <w:tc>
          <w:tcPr>
            <w:tcW w:w="6093" w:type="dxa"/>
            <w:shd w:val="clear" w:color="auto" w:fill="auto"/>
            <w:vAlign w:val="center"/>
            <w:hideMark/>
          </w:tcPr>
          <w:p w14:paraId="01EBC6F0" w14:textId="77777777" w:rsidR="00996E69" w:rsidRPr="003D52D0" w:rsidRDefault="00996E69" w:rsidP="00B30175">
            <w:pPr>
              <w:jc w:val="both"/>
              <w:rPr>
                <w:rFonts w:asciiTheme="majorHAnsi" w:hAnsiTheme="majorHAnsi" w:cstheme="majorHAnsi"/>
              </w:rPr>
            </w:pPr>
            <w:r w:rsidRPr="003D52D0">
              <w:rPr>
                <w:rFonts w:asciiTheme="majorHAnsi" w:hAnsiTheme="majorHAnsi" w:cstheme="majorHAnsi"/>
              </w:rPr>
              <w:t>​Espacio de instrumentación socioeducativa (sensibilización  e información) sobe el abordaje educativo de la población estudiantil que forma parte de la comunidad LGBT en el Colegio Técnico Profesional  CIT, ubicado en la Dirección Regional de Educación de Heredia  (centro educativo privado).</w:t>
            </w:r>
          </w:p>
          <w:p w14:paraId="4D3B9F8E" w14:textId="77777777" w:rsidR="00996E69" w:rsidRPr="003D52D0" w:rsidRDefault="00996E69" w:rsidP="00B30175">
            <w:pPr>
              <w:jc w:val="both"/>
              <w:rPr>
                <w:rFonts w:asciiTheme="majorHAnsi" w:hAnsiTheme="majorHAnsi" w:cstheme="majorHAnsi"/>
              </w:rPr>
            </w:pPr>
          </w:p>
        </w:tc>
      </w:tr>
      <w:tr w:rsidR="00996E69" w:rsidRPr="003D52D0" w14:paraId="4DB43C28" w14:textId="77777777" w:rsidTr="00B30175">
        <w:trPr>
          <w:trHeight w:val="679"/>
        </w:trPr>
        <w:tc>
          <w:tcPr>
            <w:tcW w:w="2268" w:type="dxa"/>
            <w:shd w:val="clear" w:color="auto" w:fill="auto"/>
            <w:vAlign w:val="center"/>
            <w:hideMark/>
          </w:tcPr>
          <w:p w14:paraId="5379114B" w14:textId="77777777" w:rsidR="00996E69" w:rsidRPr="003D52D0" w:rsidRDefault="00996E69" w:rsidP="00B30175">
            <w:pPr>
              <w:jc w:val="both"/>
              <w:rPr>
                <w:rFonts w:asciiTheme="majorHAnsi" w:hAnsiTheme="majorHAnsi" w:cstheme="majorHAnsi"/>
              </w:rPr>
            </w:pPr>
            <w:r w:rsidRPr="003D52D0">
              <w:rPr>
                <w:rFonts w:asciiTheme="majorHAnsi" w:hAnsiTheme="majorHAnsi" w:cstheme="majorHAnsi"/>
              </w:rPr>
              <w:t>Marzo</w:t>
            </w:r>
          </w:p>
        </w:tc>
        <w:tc>
          <w:tcPr>
            <w:tcW w:w="6093" w:type="dxa"/>
            <w:shd w:val="clear" w:color="auto" w:fill="auto"/>
            <w:vAlign w:val="center"/>
            <w:hideMark/>
          </w:tcPr>
          <w:p w14:paraId="669951DF" w14:textId="77777777" w:rsidR="00996E69" w:rsidRPr="003D52D0" w:rsidRDefault="00996E69" w:rsidP="00B30175">
            <w:pPr>
              <w:jc w:val="both"/>
              <w:rPr>
                <w:rFonts w:asciiTheme="majorHAnsi" w:hAnsiTheme="majorHAnsi" w:cstheme="majorHAnsi"/>
              </w:rPr>
            </w:pPr>
            <w:r w:rsidRPr="003D52D0">
              <w:rPr>
                <w:rFonts w:asciiTheme="majorHAnsi" w:hAnsiTheme="majorHAnsi" w:cstheme="majorHAnsi"/>
              </w:rPr>
              <w:t>Espacio de instrumentación socioeducativa (sensibilización  e información) sobre el abordaje educativo de la población estudiantil que forma parte de la comunidad LGBT en:</w:t>
            </w:r>
          </w:p>
          <w:p w14:paraId="22E6B9DF" w14:textId="77777777" w:rsidR="00996E69" w:rsidRPr="003D52D0" w:rsidRDefault="00996E69" w:rsidP="00B30175">
            <w:pPr>
              <w:jc w:val="both"/>
              <w:rPr>
                <w:rFonts w:asciiTheme="majorHAnsi" w:hAnsiTheme="majorHAnsi" w:cstheme="majorHAnsi"/>
              </w:rPr>
            </w:pPr>
          </w:p>
          <w:p w14:paraId="08755C08" w14:textId="77777777" w:rsidR="00996E69" w:rsidRPr="003D52D0" w:rsidRDefault="00996E69" w:rsidP="00B30175">
            <w:pPr>
              <w:jc w:val="both"/>
              <w:rPr>
                <w:rFonts w:asciiTheme="majorHAnsi" w:hAnsiTheme="majorHAnsi" w:cstheme="majorHAnsi"/>
              </w:rPr>
            </w:pPr>
            <w:r w:rsidRPr="003D52D0">
              <w:rPr>
                <w:rFonts w:asciiTheme="majorHAnsi" w:hAnsiTheme="majorHAnsi" w:cstheme="majorHAnsi"/>
              </w:rPr>
              <w:t>Escuela Juana Dennis, ubicada en la Dirección Regional de Educación de Turrialba.</w:t>
            </w:r>
          </w:p>
          <w:p w14:paraId="19586557" w14:textId="77777777" w:rsidR="00996E69" w:rsidRPr="003D52D0" w:rsidRDefault="00996E69" w:rsidP="00B30175">
            <w:pPr>
              <w:jc w:val="both"/>
              <w:rPr>
                <w:rFonts w:asciiTheme="majorHAnsi" w:hAnsiTheme="majorHAnsi" w:cstheme="majorHAnsi"/>
              </w:rPr>
            </w:pPr>
            <w:r w:rsidRPr="003D52D0">
              <w:rPr>
                <w:rFonts w:asciiTheme="majorHAnsi" w:hAnsiTheme="majorHAnsi" w:cstheme="majorHAnsi"/>
              </w:rPr>
              <w:t xml:space="preserve">Dirección Regional de Educación de Turrialba, solicitado por la Asesoría Regional. </w:t>
            </w:r>
          </w:p>
          <w:p w14:paraId="6F348A8D" w14:textId="77777777" w:rsidR="00996E69" w:rsidRPr="003D52D0" w:rsidRDefault="00996E69" w:rsidP="00B30175">
            <w:pPr>
              <w:jc w:val="both"/>
              <w:rPr>
                <w:rFonts w:asciiTheme="majorHAnsi" w:hAnsiTheme="majorHAnsi" w:cstheme="majorHAnsi"/>
              </w:rPr>
            </w:pPr>
            <w:r w:rsidRPr="003D52D0">
              <w:rPr>
                <w:rFonts w:asciiTheme="majorHAnsi" w:hAnsiTheme="majorHAnsi" w:cstheme="majorHAnsi"/>
              </w:rPr>
              <w:t>Escuela Tejarcillos, ubicada en la Dirección Regional de Educación de San José Central.</w:t>
            </w:r>
          </w:p>
        </w:tc>
      </w:tr>
      <w:tr w:rsidR="00996E69" w:rsidRPr="003D52D0" w14:paraId="01589A96" w14:textId="77777777" w:rsidTr="00B30175">
        <w:trPr>
          <w:trHeight w:val="1079"/>
        </w:trPr>
        <w:tc>
          <w:tcPr>
            <w:tcW w:w="2268" w:type="dxa"/>
            <w:shd w:val="clear" w:color="auto" w:fill="auto"/>
            <w:vAlign w:val="center"/>
          </w:tcPr>
          <w:p w14:paraId="1674AAF8" w14:textId="77777777" w:rsidR="00996E69" w:rsidRPr="003D52D0" w:rsidRDefault="00996E69" w:rsidP="00B30175">
            <w:pPr>
              <w:jc w:val="both"/>
              <w:rPr>
                <w:rFonts w:asciiTheme="majorHAnsi" w:hAnsiTheme="majorHAnsi" w:cstheme="majorHAnsi"/>
              </w:rPr>
            </w:pPr>
            <w:r w:rsidRPr="003D52D0">
              <w:rPr>
                <w:rFonts w:asciiTheme="majorHAnsi" w:hAnsiTheme="majorHAnsi" w:cstheme="majorHAnsi"/>
              </w:rPr>
              <w:t>Mayo</w:t>
            </w:r>
          </w:p>
        </w:tc>
        <w:tc>
          <w:tcPr>
            <w:tcW w:w="6093" w:type="dxa"/>
            <w:shd w:val="clear" w:color="auto" w:fill="auto"/>
            <w:vAlign w:val="center"/>
          </w:tcPr>
          <w:p w14:paraId="14CF96CE" w14:textId="77777777" w:rsidR="00996E69" w:rsidRPr="003D52D0" w:rsidRDefault="00996E69" w:rsidP="00B30175">
            <w:pPr>
              <w:jc w:val="both"/>
              <w:rPr>
                <w:rFonts w:asciiTheme="majorHAnsi" w:hAnsiTheme="majorHAnsi" w:cstheme="majorHAnsi"/>
              </w:rPr>
            </w:pPr>
          </w:p>
          <w:p w14:paraId="7AD924D7" w14:textId="77777777" w:rsidR="00996E69" w:rsidRPr="003D52D0" w:rsidRDefault="00996E69" w:rsidP="00B30175">
            <w:pPr>
              <w:jc w:val="both"/>
              <w:rPr>
                <w:rFonts w:asciiTheme="majorHAnsi" w:hAnsiTheme="majorHAnsi" w:cstheme="majorHAnsi"/>
              </w:rPr>
            </w:pPr>
            <w:r w:rsidRPr="003D52D0">
              <w:rPr>
                <w:rFonts w:asciiTheme="majorHAnsi" w:hAnsiTheme="majorHAnsi" w:cstheme="majorHAnsi"/>
              </w:rPr>
              <w:t>Se participó en un Facebook live en conjunto con el Patronato Nacional de la Infancia sobre el abordaje desde el Enfoque de Derechos Humanos de la población menor de edad perteneciente a la comunidad LGBT.</w:t>
            </w:r>
          </w:p>
          <w:p w14:paraId="77673B4C" w14:textId="77777777" w:rsidR="00996E69" w:rsidRPr="003D52D0" w:rsidRDefault="00996E69" w:rsidP="00B30175">
            <w:pPr>
              <w:jc w:val="both"/>
              <w:rPr>
                <w:rFonts w:asciiTheme="majorHAnsi" w:hAnsiTheme="majorHAnsi" w:cstheme="majorHAnsi"/>
              </w:rPr>
            </w:pPr>
          </w:p>
          <w:p w14:paraId="4E5AC1BA" w14:textId="77777777" w:rsidR="00996E69" w:rsidRPr="003D52D0" w:rsidRDefault="00996E69" w:rsidP="00B30175">
            <w:pPr>
              <w:jc w:val="both"/>
              <w:rPr>
                <w:rFonts w:asciiTheme="majorHAnsi" w:hAnsiTheme="majorHAnsi" w:cstheme="majorHAnsi"/>
              </w:rPr>
            </w:pPr>
            <w:r w:rsidRPr="003D52D0">
              <w:rPr>
                <w:rFonts w:asciiTheme="majorHAnsi" w:hAnsiTheme="majorHAnsi" w:cstheme="majorHAnsi"/>
              </w:rPr>
              <w:t>Taller con docentes sobre herramientas para el trabajo en prevención de las situaciones de discriminación y violencia contra la población estudiantil perteneciente a la comunidad LGBT.</w:t>
            </w:r>
          </w:p>
          <w:p w14:paraId="0AC6E4CD" w14:textId="77777777" w:rsidR="00996E69" w:rsidRPr="003D52D0" w:rsidRDefault="00996E69" w:rsidP="00B30175">
            <w:pPr>
              <w:jc w:val="both"/>
              <w:rPr>
                <w:rFonts w:asciiTheme="majorHAnsi" w:hAnsiTheme="majorHAnsi" w:cstheme="majorHAnsi"/>
              </w:rPr>
            </w:pPr>
          </w:p>
          <w:p w14:paraId="0B4432FD" w14:textId="77777777" w:rsidR="00996E69" w:rsidRPr="003D52D0" w:rsidRDefault="00996E69" w:rsidP="00B30175">
            <w:pPr>
              <w:jc w:val="both"/>
              <w:rPr>
                <w:rFonts w:asciiTheme="majorHAnsi" w:hAnsiTheme="majorHAnsi" w:cstheme="majorHAnsi"/>
              </w:rPr>
            </w:pPr>
            <w:r w:rsidRPr="003D52D0">
              <w:rPr>
                <w:rFonts w:asciiTheme="majorHAnsi" w:hAnsiTheme="majorHAnsi" w:cstheme="majorHAnsi"/>
              </w:rPr>
              <w:t>Participación en conversatorio organizado por la Universidad Estatal a Distancia, sobre el abordaje desde el Enfoque de Derechos Humanos de la población menor de edad perteneciente a la comunidad LGBT.</w:t>
            </w:r>
          </w:p>
          <w:p w14:paraId="5264D552" w14:textId="77777777" w:rsidR="00996E69" w:rsidRPr="003D52D0" w:rsidRDefault="00996E69" w:rsidP="00B30175">
            <w:pPr>
              <w:jc w:val="both"/>
              <w:rPr>
                <w:rFonts w:asciiTheme="majorHAnsi" w:hAnsiTheme="majorHAnsi" w:cstheme="majorHAnsi"/>
              </w:rPr>
            </w:pPr>
          </w:p>
        </w:tc>
      </w:tr>
      <w:tr w:rsidR="00996E69" w:rsidRPr="003D52D0" w14:paraId="39080521" w14:textId="77777777" w:rsidTr="00B30175">
        <w:trPr>
          <w:trHeight w:val="199"/>
        </w:trPr>
        <w:tc>
          <w:tcPr>
            <w:tcW w:w="2268" w:type="dxa"/>
            <w:shd w:val="clear" w:color="auto" w:fill="auto"/>
            <w:vAlign w:val="center"/>
            <w:hideMark/>
          </w:tcPr>
          <w:p w14:paraId="3F2F2045" w14:textId="77777777" w:rsidR="00996E69" w:rsidRPr="003D52D0" w:rsidRDefault="00996E69" w:rsidP="00B30175">
            <w:pPr>
              <w:jc w:val="both"/>
              <w:rPr>
                <w:rFonts w:asciiTheme="majorHAnsi" w:hAnsiTheme="majorHAnsi" w:cstheme="majorHAnsi"/>
              </w:rPr>
            </w:pPr>
            <w:r w:rsidRPr="003D52D0">
              <w:rPr>
                <w:rFonts w:asciiTheme="majorHAnsi" w:hAnsiTheme="majorHAnsi" w:cstheme="majorHAnsi"/>
              </w:rPr>
              <w:t>Octubre</w:t>
            </w:r>
          </w:p>
        </w:tc>
        <w:tc>
          <w:tcPr>
            <w:tcW w:w="6093" w:type="dxa"/>
            <w:shd w:val="clear" w:color="auto" w:fill="auto"/>
            <w:vAlign w:val="center"/>
            <w:hideMark/>
          </w:tcPr>
          <w:p w14:paraId="0DF5BE41" w14:textId="77777777" w:rsidR="00996E69" w:rsidRPr="003D52D0" w:rsidRDefault="00996E69" w:rsidP="00B30175">
            <w:pPr>
              <w:jc w:val="both"/>
              <w:rPr>
                <w:rFonts w:asciiTheme="majorHAnsi" w:hAnsiTheme="majorHAnsi" w:cstheme="majorHAnsi"/>
              </w:rPr>
            </w:pPr>
            <w:r w:rsidRPr="003D52D0">
              <w:rPr>
                <w:rFonts w:asciiTheme="majorHAnsi" w:hAnsiTheme="majorHAnsi" w:cstheme="majorHAnsi"/>
              </w:rPr>
              <w:t>Espacio de instrumentación socioeducativa (sensibilización  e información) sobre el abordaje educativo de la población estudiantil que forma parte de la comunidad LGBT en:</w:t>
            </w:r>
          </w:p>
          <w:p w14:paraId="2790719F" w14:textId="77777777" w:rsidR="00996E69" w:rsidRPr="003D52D0" w:rsidRDefault="00996E69" w:rsidP="00B30175">
            <w:pPr>
              <w:jc w:val="both"/>
              <w:rPr>
                <w:rFonts w:asciiTheme="majorHAnsi" w:hAnsiTheme="majorHAnsi" w:cstheme="majorHAnsi"/>
              </w:rPr>
            </w:pPr>
          </w:p>
          <w:p w14:paraId="6B63A877" w14:textId="77777777" w:rsidR="00996E69" w:rsidRPr="003D52D0" w:rsidRDefault="00996E69" w:rsidP="00B30175">
            <w:pPr>
              <w:jc w:val="both"/>
              <w:rPr>
                <w:rFonts w:asciiTheme="majorHAnsi" w:hAnsiTheme="majorHAnsi" w:cstheme="majorHAnsi"/>
              </w:rPr>
            </w:pPr>
            <w:r w:rsidRPr="003D52D0">
              <w:rPr>
                <w:rFonts w:asciiTheme="majorHAnsi" w:hAnsiTheme="majorHAnsi" w:cstheme="majorHAnsi"/>
              </w:rPr>
              <w:t>Escuela San Jerónimo, ubicada en la Dirección Regional de Educación Desamparados.</w:t>
            </w:r>
          </w:p>
          <w:p w14:paraId="6942D6E9" w14:textId="77777777" w:rsidR="00996E69" w:rsidRPr="003D52D0" w:rsidRDefault="00996E69" w:rsidP="00B30175">
            <w:pPr>
              <w:jc w:val="both"/>
              <w:rPr>
                <w:rFonts w:asciiTheme="majorHAnsi" w:hAnsiTheme="majorHAnsi" w:cstheme="majorHAnsi"/>
              </w:rPr>
            </w:pPr>
            <w:r w:rsidRPr="003D52D0">
              <w:rPr>
                <w:rFonts w:asciiTheme="majorHAnsi" w:hAnsiTheme="majorHAnsi" w:cstheme="majorHAnsi"/>
              </w:rPr>
              <w:t>Liceo San Antonio de Coronado, ubicado en la Dirección Regional de Educación San José Norte.</w:t>
            </w:r>
          </w:p>
          <w:p w14:paraId="443BA83F" w14:textId="77777777" w:rsidR="00996E69" w:rsidRPr="003D52D0" w:rsidRDefault="00996E69" w:rsidP="00B30175">
            <w:pPr>
              <w:jc w:val="both"/>
              <w:rPr>
                <w:rFonts w:asciiTheme="majorHAnsi" w:hAnsiTheme="majorHAnsi" w:cstheme="majorHAnsi"/>
              </w:rPr>
            </w:pPr>
            <w:r w:rsidRPr="003D52D0">
              <w:rPr>
                <w:rFonts w:asciiTheme="majorHAnsi" w:hAnsiTheme="majorHAnsi" w:cstheme="majorHAnsi"/>
              </w:rPr>
              <w:t>Equipos Interdisciplinarios de la Escuelas de la Dirección Regional de Educación Puntarenas.</w:t>
            </w:r>
          </w:p>
          <w:p w14:paraId="3FB25F8A" w14:textId="77777777" w:rsidR="00996E69" w:rsidRPr="003D52D0" w:rsidRDefault="00996E69" w:rsidP="00B30175">
            <w:pPr>
              <w:jc w:val="both"/>
              <w:rPr>
                <w:rFonts w:asciiTheme="majorHAnsi" w:hAnsiTheme="majorHAnsi" w:cstheme="majorHAnsi"/>
              </w:rPr>
            </w:pPr>
            <w:r w:rsidRPr="003D52D0">
              <w:rPr>
                <w:rFonts w:asciiTheme="majorHAnsi" w:hAnsiTheme="majorHAnsi" w:cstheme="majorHAnsi"/>
              </w:rPr>
              <w:t>Colegio Técnico Profesional de Pavas sección diurna y nocturna, ubicado en la Dirección Regional de Educación San José Oeste.</w:t>
            </w:r>
          </w:p>
        </w:tc>
      </w:tr>
    </w:tbl>
    <w:p w14:paraId="2D4AD924" w14:textId="77777777" w:rsidR="00996E69" w:rsidRDefault="00996E69" w:rsidP="00996E69">
      <w:pPr>
        <w:spacing w:line="240" w:lineRule="auto"/>
        <w:jc w:val="both"/>
        <w:rPr>
          <w:rFonts w:asciiTheme="majorHAnsi" w:hAnsiTheme="majorHAnsi" w:cstheme="majorHAnsi"/>
          <w:sz w:val="24"/>
          <w:szCs w:val="24"/>
        </w:rPr>
      </w:pPr>
    </w:p>
    <w:p w14:paraId="3B0C314E" w14:textId="36070DD0" w:rsidR="00996E69" w:rsidRPr="009146D4" w:rsidRDefault="00996E69" w:rsidP="009146D4">
      <w:pPr>
        <w:jc w:val="both"/>
        <w:rPr>
          <w:rFonts w:asciiTheme="majorHAnsi" w:hAnsiTheme="majorHAnsi" w:cstheme="majorHAnsi"/>
        </w:rPr>
      </w:pPr>
      <w:r w:rsidRPr="003D52D0">
        <w:rPr>
          <w:rFonts w:asciiTheme="majorHAnsi" w:hAnsiTheme="majorHAnsi" w:cstheme="majorHAnsi"/>
        </w:rPr>
        <w:t xml:space="preserve">Los procesos de asesorías y acompañamiento de situaciones específicas, se han realizado  con el objetivo de facilitar  los procesos de adaptación a nuevos espacios educativos o bien como parte de la comprensión de la transición libre de violencia  que requieren estas poblaciones  dentro de las dinámicas educativas.  Lo anterior ha facilitado la comprensión de las problemáticas asociadas a la discriminación y violencia  que afrontan las personas estudiantes  parte de la comunidad LGBT y el rol de los centros educativos como espacios protectores garantes de derechos humanos. Estas acciones se han desarrollado desde el Departamento de Salud y Ambiente de la Dirección de Vida Estudiantil del Ministerio de Educación Pública, en donde se cuenta con un equipo especializado en el tema.  </w:t>
      </w:r>
    </w:p>
    <w:p w14:paraId="5DCC4D6F" w14:textId="77777777" w:rsidR="00996E69" w:rsidRPr="00651F87" w:rsidRDefault="00996E69" w:rsidP="001E4941">
      <w:pPr>
        <w:spacing w:line="240" w:lineRule="auto"/>
        <w:jc w:val="both"/>
        <w:rPr>
          <w:rFonts w:asciiTheme="majorHAnsi" w:hAnsiTheme="majorHAnsi" w:cstheme="majorHAnsi"/>
          <w:sz w:val="24"/>
          <w:szCs w:val="24"/>
        </w:rPr>
      </w:pPr>
    </w:p>
    <w:p w14:paraId="589978D3" w14:textId="7737BCAF" w:rsidR="00901AB9" w:rsidRPr="00EA28C7" w:rsidRDefault="00901AB9" w:rsidP="001E4941">
      <w:pPr>
        <w:pStyle w:val="ListParagraph"/>
        <w:numPr>
          <w:ilvl w:val="1"/>
          <w:numId w:val="3"/>
        </w:numPr>
        <w:spacing w:line="240" w:lineRule="auto"/>
        <w:ind w:left="1134" w:hanging="567"/>
        <w:jc w:val="both"/>
        <w:rPr>
          <w:rFonts w:asciiTheme="majorHAnsi" w:hAnsiTheme="majorHAnsi" w:cstheme="majorHAnsi"/>
          <w:b/>
          <w:bCs/>
          <w:sz w:val="24"/>
          <w:szCs w:val="24"/>
        </w:rPr>
      </w:pPr>
      <w:r w:rsidRPr="00EA28C7">
        <w:rPr>
          <w:rFonts w:asciiTheme="majorHAnsi" w:hAnsiTheme="majorHAnsi" w:cstheme="majorHAnsi"/>
          <w:b/>
          <w:bCs/>
          <w:sz w:val="24"/>
          <w:szCs w:val="24"/>
        </w:rPr>
        <w:t>¿Se encuentran disponibles pautas basadas en evidencia y actualizadas que</w:t>
      </w:r>
      <w:r w:rsidR="000141D9" w:rsidRPr="00EA28C7">
        <w:rPr>
          <w:rFonts w:asciiTheme="majorHAnsi" w:hAnsiTheme="majorHAnsi" w:cstheme="majorHAnsi"/>
          <w:b/>
          <w:bCs/>
          <w:sz w:val="24"/>
          <w:szCs w:val="24"/>
        </w:rPr>
        <w:t xml:space="preserve"> </w:t>
      </w:r>
      <w:r w:rsidRPr="00EA28C7">
        <w:rPr>
          <w:rFonts w:asciiTheme="majorHAnsi" w:hAnsiTheme="majorHAnsi" w:cstheme="majorHAnsi"/>
          <w:b/>
          <w:bCs/>
          <w:sz w:val="24"/>
          <w:szCs w:val="24"/>
        </w:rPr>
        <w:t>incluyan cuestiones de SOGI? ¿Cómo se utilizan para influir en las decisiones relacionadas</w:t>
      </w:r>
      <w:r w:rsidR="000141D9" w:rsidRPr="00EA28C7">
        <w:rPr>
          <w:rFonts w:asciiTheme="majorHAnsi" w:hAnsiTheme="majorHAnsi" w:cstheme="majorHAnsi"/>
          <w:b/>
          <w:bCs/>
          <w:sz w:val="24"/>
          <w:szCs w:val="24"/>
        </w:rPr>
        <w:t xml:space="preserve"> </w:t>
      </w:r>
      <w:r w:rsidRPr="00EA28C7">
        <w:rPr>
          <w:rFonts w:asciiTheme="majorHAnsi" w:hAnsiTheme="majorHAnsi" w:cstheme="majorHAnsi"/>
          <w:b/>
          <w:bCs/>
          <w:sz w:val="24"/>
          <w:szCs w:val="24"/>
        </w:rPr>
        <w:t>con la salud sobre políticas, programación, servicios, incluidos manuales de diagnóstico y</w:t>
      </w:r>
      <w:r w:rsidR="000141D9" w:rsidRPr="00EA28C7">
        <w:rPr>
          <w:rFonts w:asciiTheme="majorHAnsi" w:hAnsiTheme="majorHAnsi" w:cstheme="majorHAnsi"/>
          <w:b/>
          <w:bCs/>
          <w:sz w:val="24"/>
          <w:szCs w:val="24"/>
        </w:rPr>
        <w:t xml:space="preserve"> </w:t>
      </w:r>
      <w:r w:rsidRPr="00EA28C7">
        <w:rPr>
          <w:rFonts w:asciiTheme="majorHAnsi" w:hAnsiTheme="majorHAnsi" w:cstheme="majorHAnsi"/>
          <w:b/>
          <w:bCs/>
          <w:sz w:val="24"/>
          <w:szCs w:val="24"/>
        </w:rPr>
        <w:t>prácticas dentro de las instituciones de atención de la salud?</w:t>
      </w:r>
    </w:p>
    <w:p w14:paraId="5F5390A4" w14:textId="74209A9B" w:rsidR="000141D9" w:rsidRDefault="000141D9" w:rsidP="001E4941">
      <w:pPr>
        <w:spacing w:line="240" w:lineRule="auto"/>
        <w:jc w:val="both"/>
        <w:rPr>
          <w:rFonts w:asciiTheme="majorHAnsi" w:hAnsiTheme="majorHAnsi" w:cstheme="majorHAnsi"/>
          <w:sz w:val="24"/>
          <w:szCs w:val="24"/>
        </w:rPr>
      </w:pPr>
    </w:p>
    <w:p w14:paraId="21D810A4" w14:textId="7CC0777E" w:rsidR="00711826" w:rsidRDefault="00711826" w:rsidP="001E4941">
      <w:pPr>
        <w:spacing w:line="240" w:lineRule="auto"/>
        <w:jc w:val="both"/>
        <w:rPr>
          <w:rFonts w:asciiTheme="majorHAnsi" w:hAnsiTheme="majorHAnsi" w:cstheme="majorHAnsi"/>
          <w:sz w:val="24"/>
          <w:szCs w:val="24"/>
        </w:rPr>
      </w:pPr>
      <w:r w:rsidRPr="00711826">
        <w:rPr>
          <w:rFonts w:asciiTheme="majorHAnsi" w:hAnsiTheme="majorHAnsi" w:cstheme="majorHAnsi"/>
          <w:sz w:val="24"/>
          <w:szCs w:val="24"/>
        </w:rPr>
        <w:t xml:space="preserve">No </w:t>
      </w:r>
      <w:r w:rsidR="00EE2D83">
        <w:rPr>
          <w:rFonts w:asciiTheme="majorHAnsi" w:hAnsiTheme="majorHAnsi" w:cstheme="majorHAnsi"/>
          <w:sz w:val="24"/>
          <w:szCs w:val="24"/>
        </w:rPr>
        <w:t>se cuenta</w:t>
      </w:r>
      <w:r w:rsidRPr="00711826">
        <w:rPr>
          <w:rFonts w:asciiTheme="majorHAnsi" w:hAnsiTheme="majorHAnsi" w:cstheme="majorHAnsi"/>
          <w:sz w:val="24"/>
          <w:szCs w:val="24"/>
        </w:rPr>
        <w:t xml:space="preserve"> con mucha información ni con un canal o instancia permanente con la que </w:t>
      </w:r>
      <w:r w:rsidR="00EE2D83">
        <w:rPr>
          <w:rFonts w:asciiTheme="majorHAnsi" w:hAnsiTheme="majorHAnsi" w:cstheme="majorHAnsi"/>
          <w:sz w:val="24"/>
          <w:szCs w:val="24"/>
        </w:rPr>
        <w:t>se</w:t>
      </w:r>
      <w:r w:rsidRPr="00711826">
        <w:rPr>
          <w:rFonts w:asciiTheme="majorHAnsi" w:hAnsiTheme="majorHAnsi" w:cstheme="majorHAnsi"/>
          <w:sz w:val="24"/>
          <w:szCs w:val="24"/>
        </w:rPr>
        <w:t xml:space="preserve"> vincule</w:t>
      </w:r>
      <w:r w:rsidR="00EE2D83">
        <w:rPr>
          <w:rFonts w:asciiTheme="majorHAnsi" w:hAnsiTheme="majorHAnsi" w:cstheme="majorHAnsi"/>
          <w:sz w:val="24"/>
          <w:szCs w:val="24"/>
        </w:rPr>
        <w:t xml:space="preserve"> </w:t>
      </w:r>
      <w:r w:rsidRPr="00711826">
        <w:rPr>
          <w:rFonts w:asciiTheme="majorHAnsi" w:hAnsiTheme="majorHAnsi" w:cstheme="majorHAnsi"/>
          <w:sz w:val="24"/>
          <w:szCs w:val="24"/>
        </w:rPr>
        <w:t>y brind</w:t>
      </w:r>
      <w:r w:rsidR="00EE2D83">
        <w:rPr>
          <w:rFonts w:asciiTheme="majorHAnsi" w:hAnsiTheme="majorHAnsi" w:cstheme="majorHAnsi"/>
          <w:sz w:val="24"/>
          <w:szCs w:val="24"/>
        </w:rPr>
        <w:t>e</w:t>
      </w:r>
      <w:r w:rsidRPr="00711826">
        <w:rPr>
          <w:rFonts w:asciiTheme="majorHAnsi" w:hAnsiTheme="majorHAnsi" w:cstheme="majorHAnsi"/>
          <w:sz w:val="24"/>
          <w:szCs w:val="24"/>
        </w:rPr>
        <w:t xml:space="preserve"> pautas basadas en evidencia y actualizadas que incluyan cuestiones de SOGI para </w:t>
      </w:r>
      <w:r w:rsidR="00EE2D83">
        <w:rPr>
          <w:rFonts w:asciiTheme="majorHAnsi" w:hAnsiTheme="majorHAnsi" w:cstheme="majorHAnsi"/>
          <w:sz w:val="24"/>
          <w:szCs w:val="24"/>
        </w:rPr>
        <w:t xml:space="preserve">la </w:t>
      </w:r>
      <w:r w:rsidRPr="00711826">
        <w:rPr>
          <w:rFonts w:asciiTheme="majorHAnsi" w:hAnsiTheme="majorHAnsi" w:cstheme="majorHAnsi"/>
          <w:sz w:val="24"/>
          <w:szCs w:val="24"/>
        </w:rPr>
        <w:t>toma de decisiones</w:t>
      </w:r>
      <w:r w:rsidR="00EE2D83">
        <w:rPr>
          <w:rFonts w:asciiTheme="majorHAnsi" w:hAnsiTheme="majorHAnsi" w:cstheme="majorHAnsi"/>
          <w:sz w:val="24"/>
          <w:szCs w:val="24"/>
        </w:rPr>
        <w:t>.</w:t>
      </w:r>
    </w:p>
    <w:p w14:paraId="07DA3747" w14:textId="77777777" w:rsidR="00711826" w:rsidRPr="00651F87" w:rsidRDefault="00711826" w:rsidP="001E4941">
      <w:pPr>
        <w:spacing w:line="240" w:lineRule="auto"/>
        <w:jc w:val="both"/>
        <w:rPr>
          <w:rFonts w:asciiTheme="majorHAnsi" w:hAnsiTheme="majorHAnsi" w:cstheme="majorHAnsi"/>
          <w:sz w:val="24"/>
          <w:szCs w:val="24"/>
        </w:rPr>
      </w:pPr>
    </w:p>
    <w:p w14:paraId="2258EDDD" w14:textId="79216ECE" w:rsidR="00F666E5" w:rsidRPr="00651F87" w:rsidRDefault="00901AB9" w:rsidP="002151F2">
      <w:pPr>
        <w:pStyle w:val="ListParagraph"/>
        <w:spacing w:line="240" w:lineRule="auto"/>
        <w:ind w:left="1134"/>
        <w:jc w:val="both"/>
        <w:rPr>
          <w:rFonts w:asciiTheme="majorHAnsi" w:hAnsiTheme="majorHAnsi" w:cstheme="majorHAnsi"/>
          <w:sz w:val="24"/>
          <w:szCs w:val="24"/>
        </w:rPr>
      </w:pPr>
      <w:r w:rsidRPr="00EA28C7">
        <w:rPr>
          <w:rFonts w:asciiTheme="majorHAnsi" w:hAnsiTheme="majorHAnsi" w:cstheme="majorHAnsi"/>
          <w:b/>
          <w:bCs/>
          <w:sz w:val="24"/>
          <w:szCs w:val="24"/>
        </w:rPr>
        <w:t xml:space="preserve"> </w:t>
      </w:r>
    </w:p>
    <w:sectPr w:rsidR="00F666E5" w:rsidRPr="00651F87">
      <w:headerReference w:type="default" r:id="rId9"/>
      <w:footerReference w:type="default" r:id="rId10"/>
      <w:pgSz w:w="11909" w:h="16834"/>
      <w:pgMar w:top="992" w:right="1440" w:bottom="0" w:left="1440" w:header="705" w:footer="4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BC316" w14:textId="77777777" w:rsidR="000C1EEA" w:rsidRDefault="000C1EEA">
      <w:pPr>
        <w:spacing w:line="240" w:lineRule="auto"/>
      </w:pPr>
      <w:r>
        <w:separator/>
      </w:r>
    </w:p>
  </w:endnote>
  <w:endnote w:type="continuationSeparator" w:id="0">
    <w:p w14:paraId="3E691112" w14:textId="77777777" w:rsidR="000C1EEA" w:rsidRDefault="000C1E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3BA6" w14:textId="2EEA334A" w:rsidR="00F666E5" w:rsidRDefault="00F666E5">
    <w:pPr>
      <w:ind w:right="-40"/>
      <w:jc w:val="center"/>
      <w:rPr>
        <w:color w:val="1C4587"/>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7E5F5" w14:textId="77777777" w:rsidR="000C1EEA" w:rsidRDefault="000C1EEA">
      <w:pPr>
        <w:spacing w:line="240" w:lineRule="auto"/>
      </w:pPr>
      <w:r>
        <w:separator/>
      </w:r>
    </w:p>
  </w:footnote>
  <w:footnote w:type="continuationSeparator" w:id="0">
    <w:p w14:paraId="1818CB7A" w14:textId="77777777" w:rsidR="000C1EEA" w:rsidRDefault="000C1E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9E4D" w14:textId="77777777" w:rsidR="00B13208" w:rsidRDefault="00B13208">
    <w:pPr>
      <w:ind w:left="-708"/>
      <w:rPr>
        <w:sz w:val="2"/>
        <w:szCs w:val="2"/>
      </w:rPr>
    </w:pPr>
  </w:p>
  <w:p w14:paraId="175CA121" w14:textId="77777777" w:rsidR="00B13208" w:rsidRDefault="00B13208">
    <w:pPr>
      <w:ind w:left="-708"/>
      <w:rPr>
        <w:sz w:val="2"/>
        <w:szCs w:val="2"/>
      </w:rPr>
    </w:pPr>
  </w:p>
  <w:p w14:paraId="579E2875" w14:textId="77777777" w:rsidR="00B13208" w:rsidRDefault="00B13208">
    <w:pPr>
      <w:ind w:left="-708"/>
      <w:rPr>
        <w:sz w:val="2"/>
        <w:szCs w:val="2"/>
      </w:rPr>
    </w:pPr>
  </w:p>
  <w:p w14:paraId="6982F68E" w14:textId="77777777" w:rsidR="00B13208" w:rsidRDefault="00B13208">
    <w:pPr>
      <w:ind w:left="-708"/>
      <w:rPr>
        <w:sz w:val="2"/>
        <w:szCs w:val="2"/>
      </w:rPr>
    </w:pPr>
  </w:p>
  <w:p w14:paraId="006F95AD" w14:textId="43EAAF5F" w:rsidR="00F666E5" w:rsidRPr="00781166" w:rsidRDefault="00B13208">
    <w:pPr>
      <w:ind w:left="-708"/>
      <w:rPr>
        <w:sz w:val="2"/>
        <w:szCs w:val="2"/>
      </w:rPr>
    </w:pPr>
    <w:r>
      <w:rPr>
        <w:noProof/>
        <w:lang w:val="en-US"/>
      </w:rPr>
      <w:drawing>
        <wp:anchor distT="0" distB="0" distL="114300" distR="114300" simplePos="0" relativeHeight="251663360" behindDoc="0" locked="0" layoutInCell="1" allowOverlap="1" wp14:anchorId="1D56A4B5" wp14:editId="1DDF6DCA">
          <wp:simplePos x="0" y="0"/>
          <wp:positionH relativeFrom="column">
            <wp:posOffset>2150110</wp:posOffset>
          </wp:positionH>
          <wp:positionV relativeFrom="paragraph">
            <wp:posOffset>-457200</wp:posOffset>
          </wp:positionV>
          <wp:extent cx="1238250" cy="52387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tlook-kafpqipv.png"/>
                  <pic:cNvPicPr/>
                </pic:nvPicPr>
                <pic:blipFill>
                  <a:blip r:embed="rId1">
                    <a:extLst>
                      <a:ext uri="{28A0092B-C50C-407E-A947-70E740481C1C}">
                        <a14:useLocalDpi xmlns:a14="http://schemas.microsoft.com/office/drawing/2010/main" val="0"/>
                      </a:ext>
                    </a:extLst>
                  </a:blip>
                  <a:stretch>
                    <a:fillRect/>
                  </a:stretch>
                </pic:blipFill>
                <pic:spPr>
                  <a:xfrm>
                    <a:off x="0" y="0"/>
                    <a:ext cx="1238250" cy="523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229F"/>
    <w:multiLevelType w:val="hybridMultilevel"/>
    <w:tmpl w:val="D896B288"/>
    <w:lvl w:ilvl="0" w:tplc="4618696A">
      <w:start w:val="1"/>
      <w:numFmt w:val="bullet"/>
      <w:lvlText w:val="-"/>
      <w:lvlJc w:val="left"/>
      <w:pPr>
        <w:ind w:left="720" w:hanging="360"/>
      </w:pPr>
      <w:rPr>
        <w:rFonts w:ascii="Calibri" w:eastAsia="Arial"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D5B64"/>
    <w:multiLevelType w:val="hybridMultilevel"/>
    <w:tmpl w:val="986E25B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80F697E"/>
    <w:multiLevelType w:val="hybridMultilevel"/>
    <w:tmpl w:val="9910A84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A2A1ABD"/>
    <w:multiLevelType w:val="hybridMultilevel"/>
    <w:tmpl w:val="100AD68A"/>
    <w:lvl w:ilvl="0" w:tplc="4618696A">
      <w:start w:val="1"/>
      <w:numFmt w:val="bullet"/>
      <w:lvlText w:val="-"/>
      <w:lvlJc w:val="left"/>
      <w:pPr>
        <w:ind w:left="720" w:hanging="360"/>
      </w:pPr>
      <w:rPr>
        <w:rFonts w:ascii="Calibri" w:eastAsia="Arial"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F875CBC"/>
    <w:multiLevelType w:val="hybridMultilevel"/>
    <w:tmpl w:val="337EC156"/>
    <w:lvl w:ilvl="0" w:tplc="4618696A">
      <w:start w:val="1"/>
      <w:numFmt w:val="bullet"/>
      <w:lvlText w:val="-"/>
      <w:lvlJc w:val="left"/>
      <w:pPr>
        <w:ind w:left="720" w:hanging="360"/>
      </w:pPr>
      <w:rPr>
        <w:rFonts w:ascii="Calibri" w:eastAsia="Arial" w:hAnsi="Calibri" w:cs="Calibri"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8D5527C"/>
    <w:multiLevelType w:val="hybridMultilevel"/>
    <w:tmpl w:val="2E0256EA"/>
    <w:lvl w:ilvl="0" w:tplc="4618696A">
      <w:start w:val="1"/>
      <w:numFmt w:val="bullet"/>
      <w:lvlText w:val="-"/>
      <w:lvlJc w:val="left"/>
      <w:pPr>
        <w:ind w:left="720" w:hanging="360"/>
      </w:pPr>
      <w:rPr>
        <w:rFonts w:ascii="Calibri" w:eastAsia="Arial"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3F793A6D"/>
    <w:multiLevelType w:val="hybridMultilevel"/>
    <w:tmpl w:val="2CAC1AC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42E05C8E"/>
    <w:multiLevelType w:val="multilevel"/>
    <w:tmpl w:val="2138BFEA"/>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47FB2676"/>
    <w:multiLevelType w:val="hybridMultilevel"/>
    <w:tmpl w:val="7B3C1DA8"/>
    <w:lvl w:ilvl="0" w:tplc="4618696A">
      <w:start w:val="1"/>
      <w:numFmt w:val="bullet"/>
      <w:lvlText w:val="-"/>
      <w:lvlJc w:val="left"/>
      <w:pPr>
        <w:ind w:left="720" w:hanging="360"/>
      </w:pPr>
      <w:rPr>
        <w:rFonts w:ascii="Calibri" w:eastAsia="Arial"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5D8A3841"/>
    <w:multiLevelType w:val="hybridMultilevel"/>
    <w:tmpl w:val="9416A97C"/>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0" w15:restartNumberingAfterBreak="0">
    <w:nsid w:val="5F1B5065"/>
    <w:multiLevelType w:val="hybridMultilevel"/>
    <w:tmpl w:val="CE6A3D1C"/>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1" w15:restartNumberingAfterBreak="0">
    <w:nsid w:val="60ED41B1"/>
    <w:multiLevelType w:val="hybridMultilevel"/>
    <w:tmpl w:val="A6F467C2"/>
    <w:lvl w:ilvl="0" w:tplc="4618696A">
      <w:start w:val="1"/>
      <w:numFmt w:val="bullet"/>
      <w:lvlText w:val="-"/>
      <w:lvlJc w:val="left"/>
      <w:pPr>
        <w:ind w:left="720" w:hanging="360"/>
      </w:pPr>
      <w:rPr>
        <w:rFonts w:ascii="Calibri" w:eastAsia="Arial"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62180349"/>
    <w:multiLevelType w:val="hybridMultilevel"/>
    <w:tmpl w:val="6C2AEB5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4E91226"/>
    <w:multiLevelType w:val="hybridMultilevel"/>
    <w:tmpl w:val="89142D9A"/>
    <w:lvl w:ilvl="0" w:tplc="140A0001">
      <w:start w:val="1"/>
      <w:numFmt w:val="bullet"/>
      <w:lvlText w:val=""/>
      <w:lvlJc w:val="left"/>
      <w:pPr>
        <w:ind w:left="1429" w:hanging="360"/>
      </w:pPr>
      <w:rPr>
        <w:rFonts w:ascii="Symbol" w:hAnsi="Symbol"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14" w15:restartNumberingAfterBreak="0">
    <w:nsid w:val="73717E61"/>
    <w:multiLevelType w:val="hybridMultilevel"/>
    <w:tmpl w:val="8924CE10"/>
    <w:lvl w:ilvl="0" w:tplc="4618696A">
      <w:start w:val="1"/>
      <w:numFmt w:val="bullet"/>
      <w:lvlText w:val="-"/>
      <w:lvlJc w:val="left"/>
      <w:pPr>
        <w:ind w:left="720" w:hanging="360"/>
      </w:pPr>
      <w:rPr>
        <w:rFonts w:ascii="Calibri" w:eastAsia="Arial"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B554175"/>
    <w:multiLevelType w:val="hybridMultilevel"/>
    <w:tmpl w:val="F35A697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2"/>
  </w:num>
  <w:num w:numId="5">
    <w:abstractNumId w:val="6"/>
  </w:num>
  <w:num w:numId="6">
    <w:abstractNumId w:val="15"/>
  </w:num>
  <w:num w:numId="7">
    <w:abstractNumId w:val="14"/>
  </w:num>
  <w:num w:numId="8">
    <w:abstractNumId w:val="8"/>
  </w:num>
  <w:num w:numId="9">
    <w:abstractNumId w:val="4"/>
  </w:num>
  <w:num w:numId="10">
    <w:abstractNumId w:val="1"/>
  </w:num>
  <w:num w:numId="11">
    <w:abstractNumId w:val="11"/>
  </w:num>
  <w:num w:numId="12">
    <w:abstractNumId w:val="3"/>
  </w:num>
  <w:num w:numId="13">
    <w:abstractNumId w:val="12"/>
  </w:num>
  <w:num w:numId="14">
    <w:abstractNumId w:val="0"/>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E5"/>
    <w:rsid w:val="000141D9"/>
    <w:rsid w:val="000C1EEA"/>
    <w:rsid w:val="000D1F99"/>
    <w:rsid w:val="000D786F"/>
    <w:rsid w:val="000D7D0C"/>
    <w:rsid w:val="00132183"/>
    <w:rsid w:val="00172EE8"/>
    <w:rsid w:val="001C1D2A"/>
    <w:rsid w:val="001E4941"/>
    <w:rsid w:val="002151F2"/>
    <w:rsid w:val="00276C9C"/>
    <w:rsid w:val="002A2B1C"/>
    <w:rsid w:val="002C759E"/>
    <w:rsid w:val="002D2696"/>
    <w:rsid w:val="0038670B"/>
    <w:rsid w:val="003D7956"/>
    <w:rsid w:val="003E5CAC"/>
    <w:rsid w:val="00402908"/>
    <w:rsid w:val="00447632"/>
    <w:rsid w:val="004E2850"/>
    <w:rsid w:val="00575386"/>
    <w:rsid w:val="005F0FC6"/>
    <w:rsid w:val="006270A5"/>
    <w:rsid w:val="00651F87"/>
    <w:rsid w:val="00711826"/>
    <w:rsid w:val="00781166"/>
    <w:rsid w:val="007915AB"/>
    <w:rsid w:val="008152B1"/>
    <w:rsid w:val="0087640B"/>
    <w:rsid w:val="00901AB9"/>
    <w:rsid w:val="00903FC1"/>
    <w:rsid w:val="009146D4"/>
    <w:rsid w:val="0094302F"/>
    <w:rsid w:val="00954037"/>
    <w:rsid w:val="00996E69"/>
    <w:rsid w:val="009C03AE"/>
    <w:rsid w:val="009D7595"/>
    <w:rsid w:val="00A23CD0"/>
    <w:rsid w:val="00B13208"/>
    <w:rsid w:val="00B94CA6"/>
    <w:rsid w:val="00C0033C"/>
    <w:rsid w:val="00C2705D"/>
    <w:rsid w:val="00C4177C"/>
    <w:rsid w:val="00C4182D"/>
    <w:rsid w:val="00CE46FE"/>
    <w:rsid w:val="00DB3B5F"/>
    <w:rsid w:val="00E00B2E"/>
    <w:rsid w:val="00EA28C7"/>
    <w:rsid w:val="00EC4FFB"/>
    <w:rsid w:val="00EE20D1"/>
    <w:rsid w:val="00EE2D83"/>
    <w:rsid w:val="00F56220"/>
    <w:rsid w:val="00F666E5"/>
    <w:rsid w:val="00FC572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AAE66"/>
  <w15:docId w15:val="{78EC0BEF-CE5D-45E6-ABF4-B79ACB8C7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C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after="320"/>
    </w:pPr>
    <w:rPr>
      <w:color w:val="666666"/>
      <w:sz w:val="30"/>
      <w:szCs w:val="30"/>
    </w:rPr>
  </w:style>
  <w:style w:type="paragraph" w:styleId="NoSpacing">
    <w:name w:val="No Spacing"/>
    <w:uiPriority w:val="1"/>
    <w:qFormat/>
    <w:rsid w:val="00A23CD0"/>
    <w:pPr>
      <w:spacing w:line="240" w:lineRule="auto"/>
    </w:pPr>
    <w:rPr>
      <w:lang w:val="es-CR"/>
    </w:rPr>
  </w:style>
  <w:style w:type="table" w:styleId="TableGrid">
    <w:name w:val="Table Grid"/>
    <w:basedOn w:val="TableNormal"/>
    <w:uiPriority w:val="39"/>
    <w:rsid w:val="00DB3B5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6C9C"/>
    <w:pPr>
      <w:ind w:left="720"/>
      <w:contextualSpacing/>
    </w:pPr>
  </w:style>
  <w:style w:type="paragraph" w:styleId="Header">
    <w:name w:val="header"/>
    <w:basedOn w:val="Normal"/>
    <w:link w:val="HeaderChar"/>
    <w:uiPriority w:val="99"/>
    <w:unhideWhenUsed/>
    <w:rsid w:val="00781166"/>
    <w:pPr>
      <w:tabs>
        <w:tab w:val="center" w:pos="4419"/>
        <w:tab w:val="right" w:pos="8838"/>
      </w:tabs>
      <w:spacing w:line="240" w:lineRule="auto"/>
    </w:pPr>
  </w:style>
  <w:style w:type="character" w:customStyle="1" w:styleId="HeaderChar">
    <w:name w:val="Header Char"/>
    <w:basedOn w:val="DefaultParagraphFont"/>
    <w:link w:val="Header"/>
    <w:uiPriority w:val="99"/>
    <w:rsid w:val="00781166"/>
  </w:style>
  <w:style w:type="paragraph" w:styleId="Footer">
    <w:name w:val="footer"/>
    <w:basedOn w:val="Normal"/>
    <w:link w:val="FooterChar"/>
    <w:uiPriority w:val="99"/>
    <w:unhideWhenUsed/>
    <w:rsid w:val="00781166"/>
    <w:pPr>
      <w:tabs>
        <w:tab w:val="center" w:pos="4419"/>
        <w:tab w:val="right" w:pos="8838"/>
      </w:tabs>
      <w:spacing w:line="240" w:lineRule="auto"/>
    </w:pPr>
  </w:style>
  <w:style w:type="character" w:customStyle="1" w:styleId="FooterChar">
    <w:name w:val="Footer Char"/>
    <w:basedOn w:val="DefaultParagraphFont"/>
    <w:link w:val="Footer"/>
    <w:uiPriority w:val="99"/>
    <w:rsid w:val="00781166"/>
  </w:style>
  <w:style w:type="paragraph" w:customStyle="1" w:styleId="paragraph">
    <w:name w:val="paragraph"/>
    <w:basedOn w:val="Normal"/>
    <w:rsid w:val="00954037"/>
    <w:pPr>
      <w:spacing w:before="100" w:beforeAutospacing="1" w:after="100" w:afterAutospacing="1" w:line="240" w:lineRule="auto"/>
    </w:pPr>
    <w:rPr>
      <w:rFonts w:ascii="Times New Roman" w:eastAsia="Times New Roman" w:hAnsi="Times New Roman" w:cs="Times New Roman"/>
      <w:sz w:val="24"/>
      <w:szCs w:val="24"/>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AYe6LdTVR67IuIhDKnEsyl53Vaw==">AMUW2mXp+KCu7D0UrdvSmqVptNxgjR82ZjwnpZJL66Up40QUQn8hN5++bvigTX5PgpgP1n43PKVpGp8bEuFz5Y7u9UJ3ZtBawi/D9uppKfrThWfTMahQg9s=</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Costa Rica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0D850ED7-A076-4410-9C62-D9C7B9C7CE7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7920C78-BCB6-417E-A6F2-0193C9A94FA9}"/>
</file>

<file path=customXml/itemProps4.xml><?xml version="1.0" encoding="utf-8"?>
<ds:datastoreItem xmlns:ds="http://schemas.openxmlformats.org/officeDocument/2006/customXml" ds:itemID="{469E6251-76F8-42EB-B1B9-E7D291EFFE52}"/>
</file>

<file path=customXml/itemProps5.xml><?xml version="1.0" encoding="utf-8"?>
<ds:datastoreItem xmlns:ds="http://schemas.openxmlformats.org/officeDocument/2006/customXml" ds:itemID="{A3206F3F-DA0D-45AC-99B9-1A9AD6578407}"/>
</file>

<file path=docProps/app.xml><?xml version="1.0" encoding="utf-8"?>
<Properties xmlns="http://schemas.openxmlformats.org/officeDocument/2006/extended-properties" xmlns:vt="http://schemas.openxmlformats.org/officeDocument/2006/docPropsVTypes">
  <Template>Normal</Template>
  <TotalTime>15</TotalTime>
  <Pages>9</Pages>
  <Words>3449</Words>
  <Characters>19662</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Chaves</dc:creator>
  <cp:lastModifiedBy>Linyi Baidal</cp:lastModifiedBy>
  <cp:revision>2</cp:revision>
  <dcterms:created xsi:type="dcterms:W3CDTF">2022-02-16T20:22:00Z</dcterms:created>
  <dcterms:modified xsi:type="dcterms:W3CDTF">2022-02-16T20:22:00Z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