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255" w:rsidRPr="00E154BA" w:rsidRDefault="003D6255" w:rsidP="003D6255">
      <w:pPr>
        <w:spacing w:after="0" w:line="240" w:lineRule="auto"/>
        <w:jc w:val="center"/>
        <w:rPr>
          <w:rFonts w:ascii="Times New Roman" w:eastAsiaTheme="minorHAnsi" w:hAnsi="Times New Roman" w:cs="Times New Roman"/>
          <w:b/>
          <w:sz w:val="24"/>
          <w:szCs w:val="24"/>
          <w:lang w:val="en-GB"/>
        </w:rPr>
      </w:pPr>
      <w:r w:rsidRPr="00E154BA">
        <w:rPr>
          <w:rFonts w:ascii="Times New Roman" w:eastAsiaTheme="minorHAnsi" w:hAnsi="Times New Roman" w:cs="Times New Roman"/>
          <w:b/>
          <w:sz w:val="24"/>
          <w:szCs w:val="24"/>
          <w:lang w:val="en-GB"/>
        </w:rPr>
        <w:t xml:space="preserve">MINISTRY </w:t>
      </w:r>
      <w:bookmarkStart w:id="0" w:name="_GoBack"/>
      <w:bookmarkEnd w:id="0"/>
      <w:r w:rsidRPr="00E154BA">
        <w:rPr>
          <w:rFonts w:ascii="Times New Roman" w:eastAsiaTheme="minorHAnsi" w:hAnsi="Times New Roman" w:cs="Times New Roman"/>
          <w:b/>
          <w:sz w:val="24"/>
          <w:szCs w:val="24"/>
          <w:lang w:val="en-GB"/>
        </w:rPr>
        <w:t>OF FOREIGN AFFAIRS, REGIONAL INTEGRATION AND   INTERNATIONAL TRADE</w:t>
      </w:r>
    </w:p>
    <w:p w:rsidR="003D6255" w:rsidRPr="00E154BA" w:rsidRDefault="003D6255" w:rsidP="003D6255">
      <w:pPr>
        <w:spacing w:line="240" w:lineRule="auto"/>
        <w:jc w:val="center"/>
        <w:rPr>
          <w:rFonts w:ascii="Times New Roman" w:eastAsiaTheme="minorHAnsi" w:hAnsi="Times New Roman" w:cs="Times New Roman"/>
          <w:b/>
          <w:sz w:val="24"/>
          <w:szCs w:val="24"/>
          <w:lang w:val="en-GB"/>
        </w:rPr>
      </w:pPr>
      <w:r w:rsidRPr="00E154BA">
        <w:rPr>
          <w:rFonts w:ascii="Times New Roman" w:eastAsiaTheme="minorHAnsi" w:hAnsi="Times New Roman" w:cs="Times New Roman"/>
          <w:b/>
          <w:sz w:val="24"/>
          <w:szCs w:val="24"/>
          <w:lang w:val="en-GB"/>
        </w:rPr>
        <w:t>(HUMAN RIGHTS DIVISION)</w:t>
      </w:r>
    </w:p>
    <w:p w:rsidR="003D6255" w:rsidRPr="00E154BA" w:rsidRDefault="003D6255" w:rsidP="003D6255">
      <w:pPr>
        <w:jc w:val="both"/>
        <w:rPr>
          <w:rFonts w:ascii="Times New Roman" w:eastAsiaTheme="minorHAnsi" w:hAnsi="Times New Roman" w:cs="Times New Roman"/>
          <w:b/>
          <w:sz w:val="24"/>
          <w:szCs w:val="24"/>
          <w:lang w:val="en-GB"/>
        </w:rPr>
      </w:pPr>
    </w:p>
    <w:p w:rsidR="003D6255" w:rsidRPr="00E154BA" w:rsidRDefault="003D6255" w:rsidP="003D6255">
      <w:pPr>
        <w:spacing w:line="259" w:lineRule="auto"/>
        <w:jc w:val="center"/>
        <w:rPr>
          <w:rFonts w:ascii="Times New Roman" w:eastAsiaTheme="minorHAnsi" w:hAnsi="Times New Roman" w:cs="Times New Roman"/>
          <w:b/>
          <w:bCs/>
          <w:sz w:val="24"/>
          <w:szCs w:val="24"/>
          <w:u w:val="single"/>
        </w:rPr>
      </w:pPr>
      <w:r w:rsidRPr="00E154BA">
        <w:rPr>
          <w:rFonts w:ascii="Times New Roman" w:eastAsiaTheme="minorHAnsi" w:hAnsi="Times New Roman" w:cs="Times New Roman"/>
          <w:b/>
          <w:bCs/>
          <w:sz w:val="24"/>
          <w:szCs w:val="24"/>
          <w:u w:val="single"/>
        </w:rPr>
        <w:t>Independent Expert on protection against violence and discrimination based on sexual orientation and gender identity</w:t>
      </w:r>
    </w:p>
    <w:p w:rsidR="00290EDB" w:rsidRPr="00E154BA" w:rsidRDefault="00290EDB" w:rsidP="003D6255">
      <w:pPr>
        <w:spacing w:line="259" w:lineRule="auto"/>
        <w:jc w:val="center"/>
        <w:rPr>
          <w:rFonts w:ascii="Times New Roman" w:eastAsiaTheme="minorHAnsi" w:hAnsi="Times New Roman" w:cs="Times New Roman"/>
          <w:b/>
          <w:bCs/>
          <w:sz w:val="24"/>
          <w:szCs w:val="24"/>
          <w:u w:val="single"/>
        </w:rPr>
      </w:pPr>
    </w:p>
    <w:p w:rsidR="005E6123" w:rsidRPr="00E154BA" w:rsidRDefault="005E6123" w:rsidP="005E6123">
      <w:pPr>
        <w:spacing w:line="276" w:lineRule="auto"/>
        <w:ind w:left="-360"/>
        <w:contextualSpacing/>
        <w:jc w:val="both"/>
        <w:rPr>
          <w:rFonts w:ascii="Times New Roman" w:eastAsiaTheme="minorHAnsi" w:hAnsi="Times New Roman" w:cs="Times New Roman"/>
          <w:b/>
          <w:sz w:val="24"/>
          <w:szCs w:val="24"/>
        </w:rPr>
      </w:pPr>
      <w:r w:rsidRPr="00E154BA">
        <w:rPr>
          <w:rFonts w:ascii="Times New Roman" w:eastAsiaTheme="minorHAnsi" w:hAnsi="Times New Roman" w:cs="Times New Roman"/>
          <w:b/>
          <w:sz w:val="24"/>
          <w:szCs w:val="24"/>
        </w:rPr>
        <w:t xml:space="preserve">1.0 </w:t>
      </w:r>
      <w:r w:rsidRPr="00E154BA">
        <w:rPr>
          <w:rFonts w:ascii="Times New Roman" w:eastAsiaTheme="minorHAnsi" w:hAnsi="Times New Roman" w:cs="Times New Roman"/>
          <w:b/>
          <w:sz w:val="24"/>
          <w:szCs w:val="24"/>
          <w:u w:val="single"/>
        </w:rPr>
        <w:t>Introduction</w:t>
      </w:r>
    </w:p>
    <w:p w:rsidR="005E6123" w:rsidRPr="00E154BA" w:rsidRDefault="005E6123" w:rsidP="00B135D6">
      <w:pPr>
        <w:spacing w:line="276" w:lineRule="auto"/>
        <w:contextualSpacing/>
        <w:jc w:val="both"/>
        <w:rPr>
          <w:rFonts w:ascii="Times New Roman" w:eastAsiaTheme="minorHAnsi" w:hAnsi="Times New Roman" w:cs="Times New Roman"/>
          <w:sz w:val="24"/>
          <w:szCs w:val="24"/>
        </w:rPr>
      </w:pPr>
    </w:p>
    <w:p w:rsidR="00903EFA" w:rsidRDefault="00F32F22" w:rsidP="00903EFA">
      <w:pPr>
        <w:spacing w:before="240" w:line="276" w:lineRule="auto"/>
        <w:contextualSpacing/>
        <w:jc w:val="both"/>
        <w:rPr>
          <w:rFonts w:ascii="Times New Roman" w:eastAsiaTheme="minorHAnsi" w:hAnsi="Times New Roman" w:cs="Times New Roman"/>
          <w:sz w:val="24"/>
          <w:szCs w:val="24"/>
        </w:rPr>
      </w:pPr>
      <w:r w:rsidRPr="00E154BA">
        <w:rPr>
          <w:rFonts w:ascii="Times New Roman" w:eastAsiaTheme="minorHAnsi" w:hAnsi="Times New Roman" w:cs="Times New Roman"/>
          <w:sz w:val="24"/>
          <w:szCs w:val="24"/>
        </w:rPr>
        <w:t>LGBTQI rights and discrimination based on sexual orientation are emerging human rights concerns that are attracting much attention these days throughout the world.  The Republic of Mauritius is no exception to that. There are a few non</w:t>
      </w:r>
      <w:r w:rsidR="00005995">
        <w:rPr>
          <w:rFonts w:ascii="Times New Roman" w:eastAsiaTheme="minorHAnsi" w:hAnsi="Times New Roman" w:cs="Times New Roman"/>
          <w:sz w:val="24"/>
          <w:szCs w:val="24"/>
        </w:rPr>
        <w:t>-</w:t>
      </w:r>
      <w:r w:rsidRPr="00E154BA">
        <w:rPr>
          <w:rFonts w:ascii="Times New Roman" w:eastAsiaTheme="minorHAnsi" w:hAnsi="Times New Roman" w:cs="Times New Roman"/>
          <w:sz w:val="24"/>
          <w:szCs w:val="24"/>
        </w:rPr>
        <w:t>governmental organizations which are advocating actively for recognition of rights of LGBTQI</w:t>
      </w:r>
      <w:r w:rsidR="00005995">
        <w:rPr>
          <w:rFonts w:ascii="Times New Roman" w:eastAsiaTheme="minorHAnsi" w:hAnsi="Times New Roman" w:cs="Times New Roman"/>
          <w:sz w:val="24"/>
          <w:szCs w:val="24"/>
        </w:rPr>
        <w:t xml:space="preserve"> persons</w:t>
      </w:r>
      <w:r w:rsidRPr="00E154BA">
        <w:rPr>
          <w:rFonts w:ascii="Times New Roman" w:eastAsiaTheme="minorHAnsi" w:hAnsi="Times New Roman" w:cs="Times New Roman"/>
          <w:sz w:val="24"/>
          <w:szCs w:val="24"/>
        </w:rPr>
        <w:t xml:space="preserve">. However, in view of the particular social fabric in Mauritius, LGBTQI or sexual orientation is still a subject of taboo to some extent. </w:t>
      </w:r>
    </w:p>
    <w:p w:rsidR="00F32F22" w:rsidRPr="00E154BA" w:rsidRDefault="00F32F22" w:rsidP="00903EFA">
      <w:pPr>
        <w:spacing w:before="240" w:line="276" w:lineRule="auto"/>
        <w:contextualSpacing/>
        <w:jc w:val="both"/>
        <w:rPr>
          <w:rFonts w:ascii="Times New Roman" w:eastAsiaTheme="minorHAnsi" w:hAnsi="Times New Roman" w:cs="Times New Roman"/>
          <w:sz w:val="24"/>
          <w:szCs w:val="24"/>
        </w:rPr>
      </w:pPr>
      <w:r w:rsidRPr="00E154BA">
        <w:rPr>
          <w:rFonts w:ascii="Times New Roman" w:eastAsiaTheme="minorHAnsi" w:hAnsi="Times New Roman" w:cs="Times New Roman"/>
          <w:sz w:val="24"/>
          <w:szCs w:val="24"/>
        </w:rPr>
        <w:t xml:space="preserve"> </w:t>
      </w:r>
    </w:p>
    <w:p w:rsidR="005E6123" w:rsidRPr="00E154BA" w:rsidRDefault="005E6123" w:rsidP="00903EFA">
      <w:pPr>
        <w:spacing w:line="259" w:lineRule="auto"/>
        <w:jc w:val="both"/>
        <w:rPr>
          <w:rFonts w:ascii="Times New Roman" w:eastAsiaTheme="minorHAnsi" w:hAnsi="Times New Roman" w:cs="Times New Roman"/>
          <w:sz w:val="24"/>
          <w:szCs w:val="24"/>
        </w:rPr>
      </w:pPr>
      <w:r w:rsidRPr="00E154BA">
        <w:rPr>
          <w:rFonts w:ascii="Times New Roman" w:eastAsiaTheme="minorHAnsi" w:hAnsi="Times New Roman" w:cs="Times New Roman"/>
          <w:sz w:val="24"/>
          <w:szCs w:val="24"/>
        </w:rPr>
        <w:t>The State of Mauritius has indicated at various human rights fora that it has a fragile social fabric and amendments will be brought to relevant legislations for LGBTQI rights only once a consensus is reached in the population.</w:t>
      </w:r>
    </w:p>
    <w:p w:rsidR="005E6123" w:rsidRPr="00E154BA" w:rsidRDefault="005E6123" w:rsidP="00B135D6">
      <w:pPr>
        <w:spacing w:line="276" w:lineRule="auto"/>
        <w:contextualSpacing/>
        <w:jc w:val="both"/>
        <w:rPr>
          <w:rFonts w:ascii="Times New Roman" w:eastAsiaTheme="minorHAnsi" w:hAnsi="Times New Roman" w:cs="Times New Roman"/>
          <w:sz w:val="24"/>
          <w:szCs w:val="24"/>
        </w:rPr>
      </w:pPr>
    </w:p>
    <w:p w:rsidR="005E6123" w:rsidRPr="00E154BA" w:rsidRDefault="005E6123" w:rsidP="005E6123">
      <w:pPr>
        <w:spacing w:line="276" w:lineRule="auto"/>
        <w:ind w:left="-360"/>
        <w:contextualSpacing/>
        <w:jc w:val="both"/>
        <w:rPr>
          <w:rFonts w:ascii="Times New Roman" w:eastAsiaTheme="minorHAnsi" w:hAnsi="Times New Roman" w:cs="Times New Roman"/>
          <w:b/>
          <w:sz w:val="24"/>
          <w:szCs w:val="24"/>
        </w:rPr>
      </w:pPr>
      <w:r w:rsidRPr="00E154BA">
        <w:rPr>
          <w:rFonts w:ascii="Times New Roman" w:eastAsiaTheme="minorHAnsi" w:hAnsi="Times New Roman" w:cs="Times New Roman"/>
          <w:b/>
          <w:sz w:val="24"/>
          <w:szCs w:val="24"/>
        </w:rPr>
        <w:t xml:space="preserve">2.0 </w:t>
      </w:r>
      <w:r w:rsidRPr="00E154BA">
        <w:rPr>
          <w:rFonts w:ascii="Times New Roman" w:eastAsiaTheme="minorHAnsi" w:hAnsi="Times New Roman" w:cs="Times New Roman"/>
          <w:b/>
          <w:sz w:val="24"/>
          <w:szCs w:val="24"/>
          <w:u w:val="single"/>
        </w:rPr>
        <w:t>Legal Framework</w:t>
      </w:r>
    </w:p>
    <w:p w:rsidR="005E6123" w:rsidRPr="00E154BA" w:rsidRDefault="005E6123" w:rsidP="00B135D6">
      <w:pPr>
        <w:spacing w:line="276" w:lineRule="auto"/>
        <w:contextualSpacing/>
        <w:jc w:val="both"/>
        <w:rPr>
          <w:rFonts w:ascii="Times New Roman" w:eastAsiaTheme="minorHAnsi" w:hAnsi="Times New Roman" w:cs="Times New Roman"/>
          <w:sz w:val="24"/>
          <w:szCs w:val="24"/>
        </w:rPr>
      </w:pPr>
    </w:p>
    <w:p w:rsidR="00792BC9" w:rsidRDefault="00792BC9" w:rsidP="00792BC9">
      <w:pPr>
        <w:spacing w:line="276" w:lineRule="auto"/>
        <w:ind w:left="-360"/>
        <w:contextualSpacing/>
        <w:jc w:val="both"/>
        <w:rPr>
          <w:rFonts w:ascii="Times New Roman" w:eastAsiaTheme="minorHAnsi" w:hAnsi="Times New Roman" w:cs="Times New Roman"/>
          <w:sz w:val="24"/>
          <w:szCs w:val="24"/>
          <w:u w:val="single"/>
        </w:rPr>
      </w:pPr>
      <w:r w:rsidRPr="00E154BA">
        <w:rPr>
          <w:rFonts w:ascii="Times New Roman" w:eastAsiaTheme="minorHAnsi" w:hAnsi="Times New Roman" w:cs="Times New Roman"/>
          <w:sz w:val="24"/>
          <w:szCs w:val="24"/>
        </w:rPr>
        <w:t xml:space="preserve">2.1 </w:t>
      </w:r>
      <w:r w:rsidRPr="00E154BA">
        <w:rPr>
          <w:rFonts w:ascii="Times New Roman" w:eastAsiaTheme="minorHAnsi" w:hAnsi="Times New Roman" w:cs="Times New Roman"/>
          <w:sz w:val="24"/>
          <w:szCs w:val="24"/>
          <w:u w:val="single"/>
        </w:rPr>
        <w:t>Constitution</w:t>
      </w:r>
    </w:p>
    <w:p w:rsidR="000D6910" w:rsidRDefault="000D6910" w:rsidP="006C2226">
      <w:pPr>
        <w:spacing w:before="240" w:line="276" w:lineRule="auto"/>
        <w:contextualSpacing/>
        <w:jc w:val="both"/>
        <w:rPr>
          <w:rFonts w:ascii="Times New Roman" w:eastAsiaTheme="minorHAnsi" w:hAnsi="Times New Roman" w:cs="Times New Roman"/>
          <w:sz w:val="24"/>
          <w:szCs w:val="24"/>
        </w:rPr>
      </w:pPr>
    </w:p>
    <w:p w:rsidR="00F32F22" w:rsidRPr="00E154BA" w:rsidRDefault="00F32F22" w:rsidP="006C2226">
      <w:pPr>
        <w:spacing w:before="240" w:line="276" w:lineRule="auto"/>
        <w:contextualSpacing/>
        <w:jc w:val="both"/>
        <w:rPr>
          <w:rFonts w:ascii="Times New Roman" w:eastAsiaTheme="minorHAnsi" w:hAnsi="Times New Roman" w:cs="Times New Roman"/>
          <w:sz w:val="24"/>
          <w:szCs w:val="24"/>
        </w:rPr>
      </w:pPr>
      <w:r w:rsidRPr="00E154BA">
        <w:rPr>
          <w:rFonts w:ascii="Times New Roman" w:eastAsiaTheme="minorHAnsi" w:hAnsi="Times New Roman" w:cs="Times New Roman"/>
          <w:sz w:val="24"/>
          <w:szCs w:val="24"/>
        </w:rPr>
        <w:t>Protection of Fundamental Rights and Freedoms of the Individual is enshrined in Chapter II, Section 3 of the Constitution. All individuals are equally protected, be it if they are lesbians, gays, bisexuals, transgender, Queer and Intersex.</w:t>
      </w:r>
    </w:p>
    <w:p w:rsidR="00F32F22" w:rsidRPr="00E154BA" w:rsidRDefault="00F32F22" w:rsidP="00982C56">
      <w:pPr>
        <w:spacing w:line="276" w:lineRule="auto"/>
        <w:ind w:left="436"/>
        <w:contextualSpacing/>
        <w:jc w:val="both"/>
        <w:rPr>
          <w:rFonts w:ascii="Times New Roman" w:eastAsiaTheme="minorHAnsi" w:hAnsi="Times New Roman" w:cs="Times New Roman"/>
          <w:sz w:val="24"/>
          <w:szCs w:val="24"/>
        </w:rPr>
      </w:pPr>
    </w:p>
    <w:p w:rsidR="001F2B44" w:rsidRPr="001F2B44" w:rsidRDefault="001F2B44" w:rsidP="001F2B44">
      <w:pPr>
        <w:spacing w:line="276" w:lineRule="auto"/>
        <w:jc w:val="both"/>
        <w:rPr>
          <w:rFonts w:ascii="Times New Roman" w:eastAsiaTheme="minorHAnsi" w:hAnsi="Times New Roman" w:cs="Times New Roman"/>
          <w:sz w:val="24"/>
          <w:szCs w:val="24"/>
          <w:lang w:val="en-GB"/>
        </w:rPr>
      </w:pPr>
      <w:r w:rsidRPr="001F2B44">
        <w:rPr>
          <w:rFonts w:ascii="Times New Roman" w:eastAsiaTheme="minorHAnsi" w:hAnsi="Times New Roman" w:cs="Times New Roman"/>
          <w:sz w:val="24"/>
          <w:szCs w:val="24"/>
          <w:lang w:val="en-GB"/>
        </w:rPr>
        <w:t xml:space="preserve">The </w:t>
      </w:r>
      <w:bookmarkStart w:id="1" w:name="_Hlk88953444"/>
      <w:r w:rsidRPr="001F2B44">
        <w:rPr>
          <w:rFonts w:ascii="Times New Roman" w:eastAsiaTheme="minorHAnsi" w:hAnsi="Times New Roman" w:cs="Times New Roman"/>
          <w:sz w:val="24"/>
          <w:szCs w:val="24"/>
          <w:lang w:val="en-GB"/>
        </w:rPr>
        <w:t>Constitution</w:t>
      </w:r>
      <w:bookmarkEnd w:id="1"/>
      <w:r w:rsidRPr="001F2B44">
        <w:rPr>
          <w:rFonts w:ascii="Times New Roman" w:eastAsiaTheme="minorHAnsi" w:hAnsi="Times New Roman" w:cs="Times New Roman"/>
          <w:sz w:val="24"/>
          <w:szCs w:val="24"/>
          <w:lang w:val="en-GB"/>
        </w:rPr>
        <w:t xml:space="preserve"> is the supreme law of the Republic of Mauritius. Section 3 of the Constitution provides for the fundamental rights and freedoms of all individuals without discrimination. Section 16 (3) of the Constitution defines “discriminatory” as “affording different treatment to different persons attributable wholly or mainly to their respective descriptions by race, caste, place of origin, political opinions, colour, creed or sex”. Therefore, both Sections 3 and 16 of the Constitution guarantee protection from discrimination. </w:t>
      </w:r>
    </w:p>
    <w:p w:rsidR="000B0B30" w:rsidRPr="00E154BA" w:rsidRDefault="000B0B30" w:rsidP="00982C56">
      <w:pPr>
        <w:spacing w:line="276" w:lineRule="auto"/>
        <w:ind w:left="360"/>
        <w:contextualSpacing/>
        <w:jc w:val="both"/>
        <w:rPr>
          <w:rFonts w:ascii="Times New Roman" w:eastAsiaTheme="minorHAnsi" w:hAnsi="Times New Roman" w:cs="Times New Roman"/>
          <w:sz w:val="24"/>
          <w:szCs w:val="24"/>
        </w:rPr>
      </w:pPr>
    </w:p>
    <w:p w:rsidR="00792BC9" w:rsidRPr="00E154BA" w:rsidRDefault="00792BC9" w:rsidP="00792BC9">
      <w:pPr>
        <w:spacing w:line="276" w:lineRule="auto"/>
        <w:ind w:left="-360"/>
        <w:contextualSpacing/>
        <w:jc w:val="both"/>
        <w:rPr>
          <w:rFonts w:ascii="Times New Roman" w:eastAsiaTheme="minorHAnsi" w:hAnsi="Times New Roman" w:cs="Times New Roman"/>
          <w:sz w:val="24"/>
          <w:szCs w:val="24"/>
          <w:u w:val="single"/>
        </w:rPr>
      </w:pPr>
      <w:r w:rsidRPr="00E154BA">
        <w:rPr>
          <w:rFonts w:ascii="Times New Roman" w:eastAsiaTheme="minorHAnsi" w:hAnsi="Times New Roman" w:cs="Times New Roman"/>
          <w:sz w:val="24"/>
          <w:szCs w:val="24"/>
        </w:rPr>
        <w:t xml:space="preserve">2.2 </w:t>
      </w:r>
      <w:r w:rsidRPr="00E154BA">
        <w:rPr>
          <w:rFonts w:ascii="Times New Roman" w:eastAsiaTheme="minorHAnsi" w:hAnsi="Times New Roman" w:cs="Times New Roman"/>
          <w:sz w:val="24"/>
          <w:szCs w:val="24"/>
          <w:u w:val="single"/>
        </w:rPr>
        <w:t>Criminal Code</w:t>
      </w:r>
    </w:p>
    <w:p w:rsidR="000D6910" w:rsidRDefault="000D6910" w:rsidP="006C2226">
      <w:pPr>
        <w:spacing w:line="276" w:lineRule="auto"/>
        <w:contextualSpacing/>
        <w:jc w:val="both"/>
        <w:rPr>
          <w:rFonts w:ascii="Times New Roman" w:eastAsiaTheme="minorHAnsi" w:hAnsi="Times New Roman" w:cs="Times New Roman"/>
          <w:sz w:val="24"/>
          <w:szCs w:val="24"/>
        </w:rPr>
      </w:pPr>
    </w:p>
    <w:p w:rsidR="00F32F22" w:rsidRPr="00E154BA" w:rsidRDefault="00F32F22" w:rsidP="006C2226">
      <w:pPr>
        <w:spacing w:line="276" w:lineRule="auto"/>
        <w:contextualSpacing/>
        <w:jc w:val="both"/>
        <w:rPr>
          <w:rFonts w:ascii="Times New Roman" w:eastAsiaTheme="minorHAnsi" w:hAnsi="Times New Roman" w:cs="Times New Roman"/>
          <w:sz w:val="24"/>
          <w:szCs w:val="24"/>
        </w:rPr>
      </w:pPr>
      <w:r w:rsidRPr="00E154BA">
        <w:rPr>
          <w:rFonts w:ascii="Times New Roman" w:eastAsiaTheme="minorHAnsi" w:hAnsi="Times New Roman" w:cs="Times New Roman"/>
          <w:sz w:val="24"/>
          <w:szCs w:val="24"/>
        </w:rPr>
        <w:lastRenderedPageBreak/>
        <w:t>In o</w:t>
      </w:r>
      <w:r w:rsidRPr="00E154BA">
        <w:rPr>
          <w:rFonts w:ascii="Times New Roman" w:eastAsiaTheme="minorHAnsi" w:hAnsi="Times New Roman" w:cs="Times New Roman"/>
          <w:bCs/>
          <w:sz w:val="24"/>
          <w:szCs w:val="24"/>
        </w:rPr>
        <w:t xml:space="preserve">ur Criminal code and specific legislations (Domestic Violence Act, Child Protection Act, the Protection of Elderly Persons Act, </w:t>
      </w:r>
      <w:r w:rsidR="004D67E5">
        <w:rPr>
          <w:rFonts w:ascii="Times New Roman" w:eastAsiaTheme="minorHAnsi" w:hAnsi="Times New Roman" w:cs="Times New Roman"/>
          <w:sz w:val="24"/>
          <w:szCs w:val="24"/>
        </w:rPr>
        <w:t>t</w:t>
      </w:r>
      <w:r w:rsidRPr="00E154BA">
        <w:rPr>
          <w:rFonts w:ascii="Times New Roman" w:eastAsiaTheme="minorHAnsi" w:hAnsi="Times New Roman" w:cs="Times New Roman"/>
          <w:sz w:val="24"/>
          <w:szCs w:val="24"/>
        </w:rPr>
        <w:t>he Protection of Human Rights Act 1998,</w:t>
      </w:r>
      <w:r w:rsidRPr="00E154BA">
        <w:rPr>
          <w:rFonts w:ascii="Times New Roman" w:eastAsiaTheme="minorHAnsi" w:hAnsi="Times New Roman" w:cs="Times New Roman"/>
          <w:bCs/>
          <w:sz w:val="24"/>
          <w:szCs w:val="24"/>
        </w:rPr>
        <w:t xml:space="preserve"> etc.)</w:t>
      </w:r>
      <w:r w:rsidR="004D67E5">
        <w:rPr>
          <w:rFonts w:ascii="Times New Roman" w:eastAsiaTheme="minorHAnsi" w:hAnsi="Times New Roman" w:cs="Times New Roman"/>
          <w:bCs/>
          <w:sz w:val="24"/>
          <w:szCs w:val="24"/>
        </w:rPr>
        <w:t>,</w:t>
      </w:r>
      <w:r w:rsidRPr="00E154BA">
        <w:rPr>
          <w:rFonts w:ascii="Times New Roman" w:eastAsiaTheme="minorHAnsi" w:hAnsi="Times New Roman" w:cs="Times New Roman"/>
          <w:bCs/>
          <w:sz w:val="24"/>
          <w:szCs w:val="24"/>
        </w:rPr>
        <w:t xml:space="preserve">  any act of violence or discrimination, simple and aggravating assaults, sexual offences, sexual harassment, acts of domestic violence, inciting racial hatred etc., is an offence under the different legislations.  </w:t>
      </w:r>
      <w:r w:rsidRPr="00E154BA">
        <w:rPr>
          <w:rFonts w:ascii="Times New Roman" w:eastAsiaTheme="minorHAnsi" w:hAnsi="Times New Roman" w:cs="Times New Roman"/>
          <w:sz w:val="24"/>
          <w:szCs w:val="24"/>
        </w:rPr>
        <w:t xml:space="preserve">Specific rights of LGBTQIs </w:t>
      </w:r>
      <w:r w:rsidR="002954AE">
        <w:rPr>
          <w:rFonts w:ascii="Times New Roman" w:eastAsiaTheme="minorHAnsi" w:hAnsi="Times New Roman" w:cs="Times New Roman"/>
          <w:sz w:val="24"/>
          <w:szCs w:val="24"/>
        </w:rPr>
        <w:t xml:space="preserve">persons </w:t>
      </w:r>
      <w:r w:rsidRPr="00E154BA">
        <w:rPr>
          <w:rFonts w:ascii="Times New Roman" w:eastAsiaTheme="minorHAnsi" w:hAnsi="Times New Roman" w:cs="Times New Roman"/>
          <w:sz w:val="24"/>
          <w:szCs w:val="24"/>
        </w:rPr>
        <w:t>are not specified in domestic law but the legislations afford the same protection to all individual irrespective of their gender identity of sexual orientation.</w:t>
      </w:r>
    </w:p>
    <w:p w:rsidR="00F32F22" w:rsidRPr="00E154BA" w:rsidRDefault="00F32F22" w:rsidP="00982C56">
      <w:pPr>
        <w:spacing w:line="276" w:lineRule="auto"/>
        <w:ind w:left="720"/>
        <w:contextualSpacing/>
        <w:jc w:val="both"/>
        <w:rPr>
          <w:rFonts w:ascii="Times New Roman" w:eastAsiaTheme="minorHAnsi" w:hAnsi="Times New Roman" w:cs="Times New Roman"/>
          <w:sz w:val="24"/>
          <w:szCs w:val="24"/>
        </w:rPr>
      </w:pPr>
    </w:p>
    <w:p w:rsidR="00792BC9" w:rsidRPr="00E154BA" w:rsidRDefault="006E781D" w:rsidP="006E781D">
      <w:pPr>
        <w:spacing w:line="276" w:lineRule="auto"/>
        <w:ind w:left="-360"/>
        <w:contextualSpacing/>
        <w:jc w:val="both"/>
        <w:rPr>
          <w:rFonts w:ascii="Times New Roman" w:eastAsiaTheme="minorHAnsi" w:hAnsi="Times New Roman" w:cs="Times New Roman"/>
          <w:sz w:val="24"/>
          <w:szCs w:val="24"/>
          <w:u w:val="single"/>
        </w:rPr>
      </w:pPr>
      <w:r w:rsidRPr="00E154BA">
        <w:rPr>
          <w:rFonts w:ascii="Times New Roman" w:eastAsiaTheme="minorHAnsi" w:hAnsi="Times New Roman" w:cs="Times New Roman"/>
          <w:sz w:val="24"/>
          <w:szCs w:val="24"/>
        </w:rPr>
        <w:t xml:space="preserve">2.3 </w:t>
      </w:r>
      <w:r w:rsidRPr="00E154BA">
        <w:rPr>
          <w:rFonts w:ascii="Times New Roman" w:eastAsiaTheme="minorHAnsi" w:hAnsi="Times New Roman" w:cs="Times New Roman"/>
          <w:sz w:val="24"/>
          <w:szCs w:val="24"/>
          <w:u w:val="single"/>
        </w:rPr>
        <w:t>Equal Opportunities Act</w:t>
      </w:r>
    </w:p>
    <w:p w:rsidR="000D6910" w:rsidRDefault="000D6910" w:rsidP="00B135D6">
      <w:pPr>
        <w:spacing w:line="276" w:lineRule="auto"/>
        <w:contextualSpacing/>
        <w:jc w:val="both"/>
        <w:rPr>
          <w:rFonts w:ascii="Times New Roman" w:eastAsiaTheme="minorHAnsi" w:hAnsi="Times New Roman" w:cs="Times New Roman"/>
          <w:sz w:val="24"/>
          <w:szCs w:val="24"/>
        </w:rPr>
      </w:pPr>
    </w:p>
    <w:p w:rsidR="00F32F22" w:rsidRPr="00E154BA" w:rsidRDefault="00F32F22" w:rsidP="00B135D6">
      <w:pPr>
        <w:spacing w:line="276" w:lineRule="auto"/>
        <w:contextualSpacing/>
        <w:jc w:val="both"/>
        <w:rPr>
          <w:rFonts w:ascii="Times New Roman" w:eastAsiaTheme="minorHAnsi" w:hAnsi="Times New Roman" w:cs="Times New Roman"/>
          <w:sz w:val="24"/>
          <w:szCs w:val="24"/>
        </w:rPr>
      </w:pPr>
      <w:r w:rsidRPr="00E154BA">
        <w:rPr>
          <w:rFonts w:ascii="Times New Roman" w:eastAsiaTheme="minorHAnsi" w:hAnsi="Times New Roman" w:cs="Times New Roman"/>
          <w:sz w:val="24"/>
          <w:szCs w:val="24"/>
        </w:rPr>
        <w:t>The Equal Opportunities Act which was passed in the year 2008, aims at protecting likely victims of discrimination and sexual harassment.  Discrimination on the basis of “status” is also forbidden (section 5 of the Equal Opportunities Act).  “Status”, under section 2 of the Equal Opportunities Act, includes sexual orientation of a person (whether he/she is gay, lesbian, bisexual, transgender, Queer or Intersex).</w:t>
      </w:r>
    </w:p>
    <w:p w:rsidR="00F32F22" w:rsidRPr="00E154BA" w:rsidRDefault="00A4439D" w:rsidP="00982C56">
      <w:pPr>
        <w:spacing w:line="276" w:lineRule="auto"/>
        <w:ind w:left="993" w:hanging="993"/>
        <w:jc w:val="both"/>
        <w:rPr>
          <w:rFonts w:ascii="Times New Roman" w:eastAsiaTheme="minorHAnsi" w:hAnsi="Times New Roman" w:cs="Times New Roman"/>
          <w:sz w:val="24"/>
          <w:szCs w:val="24"/>
        </w:rPr>
      </w:pPr>
      <w:r w:rsidRPr="00E154BA">
        <w:rPr>
          <w:rFonts w:ascii="Times New Roman" w:eastAsiaTheme="minorHAnsi" w:hAnsi="Times New Roman" w:cs="Times New Roman"/>
          <w:sz w:val="24"/>
          <w:szCs w:val="24"/>
        </w:rPr>
        <w:br/>
      </w:r>
      <w:r w:rsidR="00F32F22" w:rsidRPr="00E154BA">
        <w:rPr>
          <w:rFonts w:ascii="Times New Roman" w:eastAsiaTheme="minorHAnsi" w:hAnsi="Times New Roman" w:cs="Times New Roman"/>
          <w:sz w:val="24"/>
          <w:szCs w:val="24"/>
        </w:rPr>
        <w:t>"Status"-</w:t>
      </w:r>
      <w:r w:rsidRPr="00E154BA">
        <w:rPr>
          <w:rFonts w:ascii="Times New Roman" w:eastAsiaTheme="minorHAnsi" w:hAnsi="Times New Roman" w:cs="Times New Roman"/>
          <w:sz w:val="24"/>
          <w:szCs w:val="24"/>
        </w:rPr>
        <w:t xml:space="preserve"> </w:t>
      </w:r>
      <w:r w:rsidR="00F32F22" w:rsidRPr="00E154BA">
        <w:rPr>
          <w:rFonts w:ascii="Times New Roman" w:eastAsiaTheme="minorHAnsi" w:hAnsi="Times New Roman" w:cs="Times New Roman"/>
          <w:sz w:val="24"/>
          <w:szCs w:val="24"/>
        </w:rPr>
        <w:t>means age, caste, colour, creed, ethnic origin, impairment, marital status, place</w:t>
      </w:r>
      <w:r w:rsidRPr="00E154BA">
        <w:rPr>
          <w:rFonts w:ascii="Times New Roman" w:eastAsiaTheme="minorHAnsi" w:hAnsi="Times New Roman" w:cs="Times New Roman"/>
          <w:sz w:val="24"/>
          <w:szCs w:val="24"/>
        </w:rPr>
        <w:t xml:space="preserve"> </w:t>
      </w:r>
      <w:r w:rsidR="00F32F22" w:rsidRPr="00E154BA">
        <w:rPr>
          <w:rFonts w:ascii="Times New Roman" w:eastAsiaTheme="minorHAnsi" w:hAnsi="Times New Roman" w:cs="Times New Roman"/>
          <w:sz w:val="24"/>
          <w:szCs w:val="24"/>
        </w:rPr>
        <w:t>of</w:t>
      </w:r>
      <w:r w:rsidRPr="00E154BA">
        <w:rPr>
          <w:rFonts w:ascii="Times New Roman" w:eastAsiaTheme="minorHAnsi" w:hAnsi="Times New Roman" w:cs="Times New Roman"/>
          <w:sz w:val="24"/>
          <w:szCs w:val="24"/>
        </w:rPr>
        <w:t xml:space="preserve"> </w:t>
      </w:r>
      <w:r w:rsidR="00F32F22" w:rsidRPr="00E154BA">
        <w:rPr>
          <w:rFonts w:ascii="Times New Roman" w:eastAsiaTheme="minorHAnsi" w:hAnsi="Times New Roman" w:cs="Times New Roman"/>
          <w:sz w:val="24"/>
          <w:szCs w:val="24"/>
        </w:rPr>
        <w:t>origin, political opinion, r</w:t>
      </w:r>
      <w:r w:rsidRPr="00E154BA">
        <w:rPr>
          <w:rFonts w:ascii="Times New Roman" w:eastAsiaTheme="minorHAnsi" w:hAnsi="Times New Roman" w:cs="Times New Roman"/>
          <w:sz w:val="24"/>
          <w:szCs w:val="24"/>
        </w:rPr>
        <w:t>ace, sex or sexual orientation.</w:t>
      </w:r>
    </w:p>
    <w:p w:rsidR="00B525A0" w:rsidRDefault="00B525A0" w:rsidP="001A1AB1">
      <w:pPr>
        <w:spacing w:before="240" w:line="276" w:lineRule="auto"/>
        <w:ind w:left="-360"/>
        <w:contextualSpacing/>
        <w:jc w:val="both"/>
        <w:rPr>
          <w:rFonts w:ascii="Times New Roman" w:eastAsiaTheme="minorHAnsi" w:hAnsi="Times New Roman" w:cs="Times New Roman"/>
          <w:bCs/>
          <w:sz w:val="24"/>
          <w:szCs w:val="24"/>
        </w:rPr>
      </w:pPr>
    </w:p>
    <w:p w:rsidR="006E781D" w:rsidRPr="00E154BA" w:rsidRDefault="006E781D" w:rsidP="001A1AB1">
      <w:pPr>
        <w:spacing w:before="240" w:line="276" w:lineRule="auto"/>
        <w:ind w:left="-360"/>
        <w:contextualSpacing/>
        <w:jc w:val="both"/>
        <w:rPr>
          <w:rFonts w:ascii="Times New Roman" w:eastAsiaTheme="minorHAnsi" w:hAnsi="Times New Roman" w:cs="Times New Roman"/>
          <w:color w:val="000000" w:themeColor="text1"/>
          <w:sz w:val="24"/>
          <w:szCs w:val="24"/>
          <w:u w:val="single"/>
          <w:shd w:val="clear" w:color="auto" w:fill="FFFFFF"/>
          <w:lang w:val="en-GB"/>
        </w:rPr>
      </w:pPr>
      <w:r w:rsidRPr="00E154BA">
        <w:rPr>
          <w:rFonts w:ascii="Times New Roman" w:eastAsiaTheme="minorHAnsi" w:hAnsi="Times New Roman" w:cs="Times New Roman"/>
          <w:bCs/>
          <w:sz w:val="24"/>
          <w:szCs w:val="24"/>
        </w:rPr>
        <w:t xml:space="preserve">2.4 </w:t>
      </w:r>
      <w:r w:rsidRPr="00E154BA">
        <w:rPr>
          <w:rFonts w:ascii="Times New Roman" w:eastAsiaTheme="minorHAnsi" w:hAnsi="Times New Roman" w:cs="Times New Roman"/>
          <w:color w:val="000000" w:themeColor="text1"/>
          <w:sz w:val="24"/>
          <w:szCs w:val="24"/>
          <w:u w:val="single"/>
          <w:shd w:val="clear" w:color="auto" w:fill="FFFFFF"/>
          <w:lang w:val="en-GB"/>
        </w:rPr>
        <w:t>Worker’s Rights Act</w:t>
      </w:r>
    </w:p>
    <w:p w:rsidR="000D6910" w:rsidRDefault="000D6910" w:rsidP="00162B9D">
      <w:pPr>
        <w:spacing w:before="240" w:line="276" w:lineRule="auto"/>
        <w:contextualSpacing/>
        <w:jc w:val="both"/>
        <w:rPr>
          <w:rFonts w:ascii="Times New Roman" w:eastAsiaTheme="minorHAnsi" w:hAnsi="Times New Roman" w:cs="Times New Roman"/>
          <w:bCs/>
          <w:sz w:val="24"/>
          <w:szCs w:val="24"/>
        </w:rPr>
      </w:pPr>
    </w:p>
    <w:p w:rsidR="00480132" w:rsidRDefault="00480132" w:rsidP="00480132">
      <w:pPr>
        <w:spacing w:after="0" w:line="276" w:lineRule="auto"/>
        <w:jc w:val="both"/>
        <w:rPr>
          <w:rFonts w:ascii="Times New Roman" w:eastAsia="Calibri" w:hAnsi="Times New Roman" w:cs="Times New Roman"/>
          <w:i/>
          <w:sz w:val="24"/>
          <w:szCs w:val="24"/>
          <w:lang w:val="en-GB"/>
        </w:rPr>
      </w:pPr>
      <w:r w:rsidRPr="00994B1C">
        <w:rPr>
          <w:rFonts w:ascii="Times New Roman" w:eastAsia="Calibri" w:hAnsi="Times New Roman" w:cs="Times New Roman"/>
          <w:sz w:val="24"/>
          <w:szCs w:val="24"/>
          <w:lang w:val="en-GB"/>
        </w:rPr>
        <w:t xml:space="preserve">According to section 64 of the Workers’ Rights Act an agreement shall not be terminated </w:t>
      </w:r>
      <w:r w:rsidRPr="00994B1C">
        <w:rPr>
          <w:rFonts w:ascii="Times New Roman" w:eastAsia="Calibri" w:hAnsi="Times New Roman" w:cs="Times New Roman"/>
          <w:i/>
          <w:iCs/>
          <w:sz w:val="24"/>
          <w:szCs w:val="24"/>
          <w:lang w:val="en-GB"/>
        </w:rPr>
        <w:t>inter alia</w:t>
      </w:r>
      <w:r w:rsidRPr="00994B1C">
        <w:rPr>
          <w:rFonts w:ascii="Times New Roman" w:eastAsia="Calibri" w:hAnsi="Times New Roman" w:cs="Times New Roman"/>
          <w:sz w:val="24"/>
          <w:szCs w:val="24"/>
          <w:lang w:val="en-GB"/>
        </w:rPr>
        <w:t xml:space="preserve"> by an employer by reason of </w:t>
      </w:r>
      <w:r w:rsidRPr="00994B1C">
        <w:rPr>
          <w:rFonts w:ascii="Times New Roman" w:eastAsia="Calibri" w:hAnsi="Times New Roman" w:cs="Times New Roman"/>
          <w:iCs/>
          <w:sz w:val="24"/>
          <w:szCs w:val="24"/>
          <w:lang w:val="en-GB"/>
        </w:rPr>
        <w:t>a worker’s race, colour, caste, national extraction, social origin, place of his origin, age, pregnancy, religion, political opinion, sex, sexual orientation, HIV status, impairment, marital status or family responsibilities</w:t>
      </w:r>
      <w:r w:rsidRPr="00994B1C">
        <w:rPr>
          <w:rFonts w:ascii="Times New Roman" w:eastAsia="Calibri" w:hAnsi="Times New Roman" w:cs="Times New Roman"/>
          <w:i/>
          <w:sz w:val="24"/>
          <w:szCs w:val="24"/>
          <w:lang w:val="en-GB"/>
        </w:rPr>
        <w:t>.</w:t>
      </w:r>
    </w:p>
    <w:p w:rsidR="00217350" w:rsidRPr="009C534B" w:rsidRDefault="00217350" w:rsidP="00480132">
      <w:pPr>
        <w:spacing w:after="0" w:line="276" w:lineRule="auto"/>
        <w:jc w:val="both"/>
        <w:rPr>
          <w:rFonts w:ascii="Times New Roman" w:eastAsia="Calibri" w:hAnsi="Times New Roman" w:cs="Times New Roman"/>
          <w:sz w:val="24"/>
          <w:szCs w:val="24"/>
          <w:lang w:val="en-GB"/>
        </w:rPr>
      </w:pPr>
    </w:p>
    <w:p w:rsidR="008F608F" w:rsidRPr="00E154BA" w:rsidRDefault="00C00885" w:rsidP="00217350">
      <w:pPr>
        <w:spacing w:after="0"/>
        <w:ind w:left="-360"/>
        <w:jc w:val="both"/>
        <w:rPr>
          <w:rFonts w:ascii="Times New Roman" w:hAnsi="Times New Roman" w:cs="Times New Roman"/>
          <w:bCs/>
          <w:sz w:val="24"/>
          <w:szCs w:val="24"/>
          <w:u w:val="single"/>
        </w:rPr>
      </w:pPr>
      <w:r w:rsidRPr="00E154BA">
        <w:rPr>
          <w:rFonts w:ascii="Times New Roman" w:hAnsi="Times New Roman" w:cs="Times New Roman"/>
          <w:bCs/>
          <w:sz w:val="24"/>
          <w:szCs w:val="24"/>
        </w:rPr>
        <w:t xml:space="preserve">2.5 </w:t>
      </w:r>
      <w:r w:rsidR="008F608F" w:rsidRPr="00E154BA">
        <w:rPr>
          <w:rFonts w:ascii="Times New Roman" w:hAnsi="Times New Roman" w:cs="Times New Roman"/>
          <w:bCs/>
          <w:sz w:val="24"/>
          <w:szCs w:val="24"/>
          <w:u w:val="single"/>
        </w:rPr>
        <w:t>The Employment Relations Act</w:t>
      </w:r>
    </w:p>
    <w:p w:rsidR="000D6910" w:rsidRDefault="000D6910" w:rsidP="00E154BA">
      <w:pPr>
        <w:pStyle w:val="ListParagraph"/>
        <w:spacing w:line="276" w:lineRule="auto"/>
        <w:ind w:left="0" w:right="-22"/>
        <w:jc w:val="both"/>
        <w:rPr>
          <w:rFonts w:ascii="Times New Roman" w:hAnsi="Times New Roman" w:cs="Times New Roman"/>
          <w:sz w:val="24"/>
          <w:szCs w:val="24"/>
        </w:rPr>
      </w:pPr>
    </w:p>
    <w:p w:rsidR="008F608F" w:rsidRDefault="008F608F" w:rsidP="00E154BA">
      <w:pPr>
        <w:pStyle w:val="ListParagraph"/>
        <w:spacing w:line="276" w:lineRule="auto"/>
        <w:ind w:left="0" w:right="-22"/>
        <w:jc w:val="both"/>
        <w:rPr>
          <w:rFonts w:ascii="Times New Roman" w:hAnsi="Times New Roman" w:cs="Times New Roman"/>
          <w:bCs/>
          <w:sz w:val="24"/>
          <w:szCs w:val="24"/>
        </w:rPr>
      </w:pPr>
      <w:r w:rsidRPr="00E154BA">
        <w:rPr>
          <w:rFonts w:ascii="Times New Roman" w:hAnsi="Times New Roman" w:cs="Times New Roman"/>
          <w:sz w:val="24"/>
          <w:szCs w:val="24"/>
        </w:rPr>
        <w:t>The</w:t>
      </w:r>
      <w:r w:rsidRPr="00E154BA">
        <w:rPr>
          <w:rFonts w:ascii="Times New Roman" w:hAnsi="Times New Roman" w:cs="Times New Roman"/>
          <w:bCs/>
          <w:sz w:val="24"/>
          <w:szCs w:val="24"/>
        </w:rPr>
        <w:t xml:space="preserve"> Employment Relations Act (ERA)</w:t>
      </w:r>
      <w:r w:rsidRPr="00E154BA">
        <w:rPr>
          <w:rFonts w:ascii="Times New Roman" w:hAnsi="Times New Roman" w:cs="Times New Roman"/>
          <w:b/>
          <w:bCs/>
          <w:sz w:val="24"/>
          <w:szCs w:val="24"/>
        </w:rPr>
        <w:t xml:space="preserve"> </w:t>
      </w:r>
      <w:r w:rsidRPr="00E154BA">
        <w:rPr>
          <w:rFonts w:ascii="Times New Roman" w:hAnsi="Times New Roman" w:cs="Times New Roman"/>
          <w:bCs/>
          <w:sz w:val="24"/>
          <w:szCs w:val="24"/>
        </w:rPr>
        <w:t>2008 as at 01 March 2021 provides for the protection of the fundamental rights of workers to freedom of association and protects their right to organise and engage in collective bargaining. Every worker shall according to Section 29, have the right, subject to certain conditions, to establish or join, as a member, a trade union of his own choice, without previous authorisation and without distinction whatsoever or discrimination of any kind including discrimination as to occupation, age, marital status, sex, sexual orientation, colour, race, religion, HIV status, national extraction, social origin, political opinion or affiliation.</w:t>
      </w:r>
    </w:p>
    <w:p w:rsidR="00974CC8" w:rsidRPr="00974CC8" w:rsidRDefault="00974CC8" w:rsidP="00974CC8">
      <w:pPr>
        <w:spacing w:before="240" w:after="0"/>
        <w:ind w:left="-360"/>
        <w:jc w:val="both"/>
        <w:rPr>
          <w:rFonts w:ascii="Times New Roman" w:eastAsia="Calibri" w:hAnsi="Times New Roman" w:cs="Times New Roman"/>
          <w:sz w:val="24"/>
          <w:szCs w:val="24"/>
          <w:lang w:val="en-GB"/>
        </w:rPr>
      </w:pPr>
      <w:r w:rsidRPr="00974CC8">
        <w:rPr>
          <w:rFonts w:ascii="Times New Roman" w:eastAsia="Calibri" w:hAnsi="Times New Roman" w:cs="Times New Roman"/>
          <w:sz w:val="24"/>
          <w:szCs w:val="24"/>
          <w:lang w:val="en-GB"/>
        </w:rPr>
        <w:t xml:space="preserve">2.6 </w:t>
      </w:r>
      <w:r w:rsidRPr="00974CC8">
        <w:rPr>
          <w:rFonts w:ascii="Times New Roman" w:eastAsia="Calibri" w:hAnsi="Times New Roman" w:cs="Times New Roman"/>
          <w:sz w:val="24"/>
          <w:szCs w:val="24"/>
          <w:u w:val="single"/>
          <w:lang w:val="en-GB"/>
        </w:rPr>
        <w:t>Protection from Domestic Violence Act</w:t>
      </w:r>
    </w:p>
    <w:p w:rsidR="00974CC8" w:rsidRPr="00974CC8" w:rsidRDefault="00974CC8" w:rsidP="00974CC8">
      <w:pPr>
        <w:spacing w:before="240" w:after="0"/>
        <w:jc w:val="both"/>
        <w:rPr>
          <w:rFonts w:ascii="Times New Roman" w:eastAsia="Calibri" w:hAnsi="Times New Roman" w:cs="Times New Roman"/>
          <w:sz w:val="24"/>
          <w:szCs w:val="24"/>
          <w:lang w:val="en-GB"/>
        </w:rPr>
      </w:pPr>
      <w:r w:rsidRPr="00974CC8">
        <w:rPr>
          <w:rFonts w:ascii="Times New Roman" w:eastAsia="Calibri" w:hAnsi="Times New Roman" w:cs="Times New Roman"/>
          <w:sz w:val="24"/>
          <w:szCs w:val="24"/>
          <w:lang w:val="en-GB"/>
        </w:rPr>
        <w:t xml:space="preserve">In 1997, the Government of Mauritius passed the Protection from Domestic Violence </w:t>
      </w:r>
      <w:r w:rsidR="008E4150" w:rsidRPr="00974CC8">
        <w:rPr>
          <w:rFonts w:ascii="Times New Roman" w:eastAsia="Calibri" w:hAnsi="Times New Roman" w:cs="Times New Roman"/>
          <w:sz w:val="24"/>
          <w:szCs w:val="24"/>
          <w:lang w:val="en-GB"/>
        </w:rPr>
        <w:t>Act (</w:t>
      </w:r>
      <w:r w:rsidRPr="00974CC8">
        <w:rPr>
          <w:rFonts w:ascii="Times New Roman" w:eastAsia="Calibri" w:hAnsi="Times New Roman" w:cs="Times New Roman"/>
          <w:sz w:val="24"/>
          <w:szCs w:val="24"/>
          <w:lang w:val="en-GB"/>
        </w:rPr>
        <w:t>PDVA) to protect spouses from domestic violence.</w:t>
      </w:r>
    </w:p>
    <w:p w:rsidR="00974CC8" w:rsidRPr="00974CC8" w:rsidRDefault="00974CC8" w:rsidP="00974CC8">
      <w:pPr>
        <w:spacing w:after="0"/>
        <w:jc w:val="both"/>
        <w:rPr>
          <w:rFonts w:ascii="Times New Roman" w:eastAsia="Calibri" w:hAnsi="Times New Roman" w:cs="Times New Roman"/>
          <w:sz w:val="24"/>
          <w:szCs w:val="24"/>
          <w:lang w:val="en-GB"/>
        </w:rPr>
      </w:pPr>
    </w:p>
    <w:p w:rsidR="00974CC8" w:rsidRPr="00974CC8" w:rsidRDefault="00974CC8" w:rsidP="00974CC8">
      <w:pPr>
        <w:spacing w:after="0"/>
        <w:jc w:val="both"/>
        <w:rPr>
          <w:rFonts w:ascii="Times New Roman" w:eastAsia="Calibri" w:hAnsi="Times New Roman" w:cs="Times New Roman"/>
          <w:sz w:val="24"/>
          <w:szCs w:val="24"/>
          <w:lang w:val="en-GB"/>
        </w:rPr>
      </w:pPr>
      <w:r w:rsidRPr="00974CC8">
        <w:rPr>
          <w:rFonts w:ascii="Times New Roman" w:eastAsia="Calibri" w:hAnsi="Times New Roman" w:cs="Times New Roman"/>
          <w:sz w:val="24"/>
          <w:szCs w:val="24"/>
          <w:lang w:val="en-GB"/>
        </w:rPr>
        <w:lastRenderedPageBreak/>
        <w:t>The Act provides for the issue of:</w:t>
      </w:r>
    </w:p>
    <w:p w:rsidR="00974CC8" w:rsidRPr="00974CC8" w:rsidRDefault="00974CC8" w:rsidP="00974CC8">
      <w:pPr>
        <w:numPr>
          <w:ilvl w:val="0"/>
          <w:numId w:val="11"/>
        </w:numPr>
        <w:spacing w:line="276" w:lineRule="auto"/>
        <w:contextualSpacing/>
        <w:jc w:val="both"/>
        <w:rPr>
          <w:rFonts w:ascii="Times New Roman" w:eastAsia="Calibri" w:hAnsi="Times New Roman" w:cs="Calibri"/>
          <w:sz w:val="24"/>
          <w:szCs w:val="24"/>
          <w:lang w:val="en-GB"/>
        </w:rPr>
      </w:pPr>
      <w:r w:rsidRPr="00974CC8">
        <w:rPr>
          <w:rFonts w:ascii="Times New Roman" w:eastAsia="Calibri" w:hAnsi="Times New Roman" w:cs="Calibri"/>
          <w:bCs/>
          <w:sz w:val="24"/>
          <w:szCs w:val="24"/>
          <w:lang w:val="en-GB"/>
        </w:rPr>
        <w:t>Protection Order</w:t>
      </w:r>
      <w:r w:rsidRPr="00974CC8">
        <w:rPr>
          <w:rFonts w:ascii="Times New Roman" w:eastAsia="Calibri" w:hAnsi="Times New Roman" w:cs="Calibri"/>
          <w:sz w:val="24"/>
          <w:szCs w:val="24"/>
          <w:lang w:val="en-GB"/>
        </w:rPr>
        <w:t xml:space="preserve"> which restrains the abuser from further acts of violence and ordering the latter to be of good conduct. The Order can last for a period not exceeding 2 years.</w:t>
      </w:r>
    </w:p>
    <w:p w:rsidR="00974CC8" w:rsidRPr="00974CC8" w:rsidRDefault="00974CC8" w:rsidP="00974CC8">
      <w:pPr>
        <w:numPr>
          <w:ilvl w:val="0"/>
          <w:numId w:val="11"/>
        </w:numPr>
        <w:spacing w:line="276" w:lineRule="auto"/>
        <w:contextualSpacing/>
        <w:jc w:val="both"/>
        <w:rPr>
          <w:rFonts w:ascii="Times New Roman" w:eastAsia="Calibri" w:hAnsi="Times New Roman" w:cs="Calibri"/>
          <w:sz w:val="24"/>
          <w:szCs w:val="24"/>
          <w:lang w:val="en-GB"/>
        </w:rPr>
      </w:pPr>
      <w:r w:rsidRPr="00974CC8">
        <w:rPr>
          <w:rFonts w:ascii="Times New Roman" w:eastAsia="Calibri" w:hAnsi="Times New Roman" w:cs="Calibri"/>
          <w:bCs/>
          <w:sz w:val="24"/>
          <w:szCs w:val="24"/>
          <w:lang w:val="en-GB"/>
        </w:rPr>
        <w:t xml:space="preserve">Occupation Order </w:t>
      </w:r>
      <w:r w:rsidRPr="00974CC8">
        <w:rPr>
          <w:rFonts w:ascii="Times New Roman" w:eastAsia="Calibri" w:hAnsi="Times New Roman" w:cs="Calibri"/>
          <w:sz w:val="24"/>
          <w:szCs w:val="24"/>
          <w:lang w:val="en-GB"/>
        </w:rPr>
        <w:t>which grants exclusive rights to the victim to live in the residence which may belong to the victim, the abuser or both.</w:t>
      </w:r>
    </w:p>
    <w:p w:rsidR="00974CC8" w:rsidRPr="00974CC8" w:rsidRDefault="00974CC8" w:rsidP="00974CC8">
      <w:pPr>
        <w:numPr>
          <w:ilvl w:val="0"/>
          <w:numId w:val="11"/>
        </w:numPr>
        <w:spacing w:line="276" w:lineRule="auto"/>
        <w:contextualSpacing/>
        <w:jc w:val="both"/>
        <w:rPr>
          <w:rFonts w:ascii="Times New Roman" w:eastAsia="Calibri" w:hAnsi="Times New Roman" w:cs="Calibri"/>
          <w:sz w:val="24"/>
          <w:szCs w:val="24"/>
          <w:lang w:val="en-GB"/>
        </w:rPr>
      </w:pPr>
      <w:r w:rsidRPr="00974CC8">
        <w:rPr>
          <w:rFonts w:ascii="Times New Roman" w:eastAsia="Calibri" w:hAnsi="Times New Roman" w:cs="Calibri"/>
          <w:bCs/>
          <w:sz w:val="24"/>
          <w:szCs w:val="24"/>
          <w:lang w:val="en-GB"/>
        </w:rPr>
        <w:t xml:space="preserve">Tenancy Order </w:t>
      </w:r>
      <w:r w:rsidRPr="00974CC8">
        <w:rPr>
          <w:rFonts w:ascii="Times New Roman" w:eastAsia="Calibri" w:hAnsi="Times New Roman" w:cs="Calibri"/>
          <w:sz w:val="24"/>
          <w:szCs w:val="24"/>
          <w:lang w:val="en-GB"/>
        </w:rPr>
        <w:t xml:space="preserve">which gives the victim exclusive right to occupy a rented house and the spouse who rented the house would continue to pay the rent. </w:t>
      </w:r>
    </w:p>
    <w:p w:rsidR="00974CC8" w:rsidRDefault="00974CC8" w:rsidP="00974CC8">
      <w:pPr>
        <w:contextualSpacing/>
        <w:jc w:val="both"/>
        <w:rPr>
          <w:rFonts w:ascii="Times New Roman" w:eastAsia="Calibri" w:hAnsi="Times New Roman" w:cs="Times New Roman"/>
          <w:color w:val="000000"/>
          <w:sz w:val="24"/>
          <w:szCs w:val="24"/>
          <w:lang w:val="en-GB"/>
        </w:rPr>
      </w:pPr>
    </w:p>
    <w:p w:rsidR="00974CC8" w:rsidRPr="00974CC8" w:rsidRDefault="00974CC8" w:rsidP="00974CC8">
      <w:pPr>
        <w:jc w:val="both"/>
        <w:rPr>
          <w:rFonts w:ascii="Times New Roman" w:eastAsiaTheme="minorHAnsi" w:hAnsi="Times New Roman" w:cs="Times New Roman"/>
          <w:b/>
          <w:sz w:val="24"/>
          <w:szCs w:val="24"/>
          <w:lang w:val="en-GB"/>
        </w:rPr>
      </w:pPr>
      <w:r w:rsidRPr="00974CC8">
        <w:rPr>
          <w:rFonts w:ascii="Times New Roman" w:eastAsiaTheme="minorHAnsi" w:hAnsi="Times New Roman" w:cs="Times New Roman"/>
          <w:sz w:val="24"/>
          <w:szCs w:val="24"/>
          <w:lang w:val="en-GB"/>
        </w:rPr>
        <w:t>Gender Based Violence (GBV) is a human rights violation that disproportionately affects women. Encompassing a range of behaviour including sexual, physical, mental and economic harm inflicted in public or in private, GBV also includes threats of violence, coercion and manipulation, and can take many forms, such as ‘</w:t>
      </w:r>
      <w:r w:rsidRPr="00974CC8">
        <w:rPr>
          <w:rFonts w:ascii="Times New Roman" w:eastAsiaTheme="minorHAnsi" w:hAnsi="Times New Roman" w:cs="Times New Roman"/>
          <w:i/>
          <w:sz w:val="24"/>
          <w:szCs w:val="24"/>
          <w:lang w:val="en-GB"/>
        </w:rPr>
        <w:t>inter alia’</w:t>
      </w:r>
      <w:r w:rsidRPr="00974CC8">
        <w:rPr>
          <w:rFonts w:ascii="Times New Roman" w:eastAsiaTheme="minorHAnsi" w:hAnsi="Times New Roman" w:cs="Times New Roman"/>
          <w:sz w:val="24"/>
          <w:szCs w:val="24"/>
          <w:lang w:val="en-GB"/>
        </w:rPr>
        <w:t>, intimate partner violence, sexual violence, and sexual assault.</w:t>
      </w:r>
    </w:p>
    <w:p w:rsidR="00974CC8" w:rsidRDefault="000B29B4" w:rsidP="00974CC8">
      <w:pPr>
        <w:contextualSpacing/>
        <w:jc w:val="both"/>
        <w:rPr>
          <w:rFonts w:ascii="Times New Roman" w:eastAsia="Calibri" w:hAnsi="Times New Roman" w:cs="Times New Roman"/>
          <w:color w:val="000000"/>
          <w:sz w:val="24"/>
          <w:szCs w:val="24"/>
          <w:lang w:val="en-GB"/>
        </w:rPr>
      </w:pPr>
      <w:r>
        <w:rPr>
          <w:rFonts w:ascii="Times New Roman" w:eastAsia="Calibri" w:hAnsi="Times New Roman" w:cs="Times New Roman"/>
          <w:color w:val="000000"/>
          <w:sz w:val="24"/>
          <w:szCs w:val="24"/>
          <w:lang w:val="en-GB"/>
        </w:rPr>
        <w:t>The</w:t>
      </w:r>
      <w:r w:rsidR="00974CC8" w:rsidRPr="00974CC8">
        <w:rPr>
          <w:rFonts w:ascii="Times New Roman" w:eastAsia="Calibri" w:hAnsi="Times New Roman" w:cs="Times New Roman"/>
          <w:color w:val="000000"/>
          <w:sz w:val="24"/>
          <w:szCs w:val="24"/>
          <w:lang w:val="en-GB"/>
        </w:rPr>
        <w:t xml:space="preserve"> Ministry of Gender Equality and Family Welfare is in the process of amending the Protection from Domestic Act in order to reinforce the protective legal framework and make perpetrators accountable of their acts through the Perpetrator`s Rehabilitation Programme. </w:t>
      </w:r>
    </w:p>
    <w:p w:rsidR="0081464D" w:rsidRPr="00E154BA" w:rsidRDefault="0081464D" w:rsidP="00B135D6">
      <w:pPr>
        <w:pStyle w:val="ListParagraph"/>
        <w:spacing w:after="0" w:line="276" w:lineRule="auto"/>
        <w:ind w:left="360" w:right="-22"/>
        <w:jc w:val="both"/>
        <w:rPr>
          <w:rFonts w:ascii="Times New Roman" w:hAnsi="Times New Roman" w:cs="Times New Roman"/>
          <w:bCs/>
          <w:sz w:val="24"/>
          <w:szCs w:val="24"/>
        </w:rPr>
      </w:pPr>
    </w:p>
    <w:p w:rsidR="00F32F22" w:rsidRDefault="00BC6998" w:rsidP="000D6910">
      <w:pPr>
        <w:spacing w:after="0" w:line="259" w:lineRule="auto"/>
        <w:ind w:left="-360"/>
        <w:jc w:val="both"/>
        <w:rPr>
          <w:rFonts w:ascii="Times New Roman" w:eastAsiaTheme="minorHAnsi" w:hAnsi="Times New Roman" w:cs="Times New Roman"/>
          <w:b/>
          <w:sz w:val="24"/>
          <w:szCs w:val="24"/>
        </w:rPr>
      </w:pPr>
      <w:r>
        <w:rPr>
          <w:rFonts w:ascii="Times New Roman" w:eastAsiaTheme="minorHAnsi" w:hAnsi="Times New Roman" w:cs="Times New Roman"/>
          <w:b/>
          <w:sz w:val="24"/>
          <w:szCs w:val="24"/>
        </w:rPr>
        <w:t xml:space="preserve">3.0 </w:t>
      </w:r>
      <w:r w:rsidR="0081464D" w:rsidRPr="00363F26">
        <w:rPr>
          <w:rFonts w:ascii="Times New Roman" w:eastAsiaTheme="minorHAnsi" w:hAnsi="Times New Roman" w:cs="Times New Roman"/>
          <w:b/>
          <w:sz w:val="24"/>
          <w:szCs w:val="24"/>
          <w:u w:val="single"/>
        </w:rPr>
        <w:t xml:space="preserve">Ensuring that LGTBI and </w:t>
      </w:r>
      <w:r w:rsidR="0058407E">
        <w:rPr>
          <w:rFonts w:ascii="Times New Roman" w:eastAsiaTheme="minorHAnsi" w:hAnsi="Times New Roman" w:cs="Times New Roman"/>
          <w:b/>
          <w:sz w:val="24"/>
          <w:szCs w:val="24"/>
          <w:u w:val="single"/>
        </w:rPr>
        <w:t>gender non-conforming (</w:t>
      </w:r>
      <w:r w:rsidR="0081464D" w:rsidRPr="00363F26">
        <w:rPr>
          <w:rFonts w:ascii="Times New Roman" w:eastAsiaTheme="minorHAnsi" w:hAnsi="Times New Roman" w:cs="Times New Roman"/>
          <w:b/>
          <w:sz w:val="24"/>
          <w:szCs w:val="24"/>
          <w:u w:val="single"/>
        </w:rPr>
        <w:t>GNC</w:t>
      </w:r>
      <w:r w:rsidR="0058407E">
        <w:rPr>
          <w:rFonts w:ascii="Times New Roman" w:eastAsiaTheme="minorHAnsi" w:hAnsi="Times New Roman" w:cs="Times New Roman"/>
          <w:b/>
          <w:sz w:val="24"/>
          <w:szCs w:val="24"/>
          <w:u w:val="single"/>
        </w:rPr>
        <w:t>)</w:t>
      </w:r>
      <w:r w:rsidR="0081464D" w:rsidRPr="00363F26">
        <w:rPr>
          <w:rFonts w:ascii="Times New Roman" w:eastAsiaTheme="minorHAnsi" w:hAnsi="Times New Roman" w:cs="Times New Roman"/>
          <w:b/>
          <w:sz w:val="24"/>
          <w:szCs w:val="24"/>
          <w:u w:val="single"/>
        </w:rPr>
        <w:t xml:space="preserve"> people have access to health care</w:t>
      </w:r>
    </w:p>
    <w:p w:rsidR="000D6910" w:rsidRDefault="000D6910" w:rsidP="000D6910">
      <w:pPr>
        <w:spacing w:after="0" w:line="259" w:lineRule="auto"/>
        <w:ind w:left="-360"/>
        <w:jc w:val="both"/>
        <w:rPr>
          <w:rFonts w:ascii="Times New Roman" w:eastAsiaTheme="minorHAnsi" w:hAnsi="Times New Roman" w:cs="Times New Roman"/>
          <w:b/>
          <w:sz w:val="24"/>
          <w:szCs w:val="24"/>
        </w:rPr>
      </w:pPr>
    </w:p>
    <w:p w:rsidR="00E95629" w:rsidRPr="00E154BA" w:rsidRDefault="00E95629" w:rsidP="00E95629">
      <w:pPr>
        <w:spacing w:line="259" w:lineRule="auto"/>
        <w:jc w:val="both"/>
        <w:rPr>
          <w:rFonts w:ascii="Times New Roman" w:hAnsi="Times New Roman" w:cs="Times New Roman"/>
          <w:sz w:val="24"/>
          <w:szCs w:val="24"/>
        </w:rPr>
      </w:pPr>
      <w:r w:rsidRPr="00E154BA">
        <w:rPr>
          <w:rFonts w:ascii="Times New Roman" w:hAnsi="Times New Roman" w:cs="Times New Roman"/>
          <w:sz w:val="24"/>
          <w:szCs w:val="24"/>
        </w:rPr>
        <w:t xml:space="preserve">Mauritius is a welfare state and health services are provided free of charge at the public health institutions. Moreover, it aims at Universal Health Coverage – UHC </w:t>
      </w:r>
      <w:r w:rsidR="002954AE">
        <w:rPr>
          <w:rFonts w:ascii="Times New Roman" w:hAnsi="Times New Roman" w:cs="Times New Roman"/>
          <w:sz w:val="24"/>
          <w:szCs w:val="24"/>
        </w:rPr>
        <w:t xml:space="preserve">which </w:t>
      </w:r>
      <w:r w:rsidRPr="00E154BA">
        <w:rPr>
          <w:rFonts w:ascii="Times New Roman" w:hAnsi="Times New Roman" w:cs="Times New Roman"/>
          <w:sz w:val="24"/>
          <w:szCs w:val="24"/>
        </w:rPr>
        <w:t>is a mechanism for improving the health and welfare of all the citizens and lay the foundation for economic growth grounded on the principles of equity and sustainability.</w:t>
      </w:r>
    </w:p>
    <w:p w:rsidR="00D5292A" w:rsidRDefault="00D5292A" w:rsidP="000D6910">
      <w:pPr>
        <w:spacing w:after="0" w:line="259" w:lineRule="auto"/>
        <w:jc w:val="both"/>
        <w:rPr>
          <w:rFonts w:ascii="Times New Roman" w:hAnsi="Times New Roman" w:cs="Times New Roman"/>
          <w:sz w:val="24"/>
          <w:szCs w:val="24"/>
          <w:lang w:val="en-GB"/>
        </w:rPr>
      </w:pPr>
      <w:r w:rsidRPr="00E154BA">
        <w:rPr>
          <w:rFonts w:ascii="Times New Roman" w:hAnsi="Times New Roman" w:cs="Times New Roman"/>
          <w:sz w:val="24"/>
          <w:szCs w:val="24"/>
          <w:lang w:val="en-GB"/>
        </w:rPr>
        <w:t xml:space="preserve">Government spending on health has increased from Rs 7.56 billion in 2010 to reach Rs 14.5 billion in the </w:t>
      </w:r>
      <w:r w:rsidR="00C75A4C" w:rsidRPr="00E154BA">
        <w:rPr>
          <w:rFonts w:ascii="Times New Roman" w:hAnsi="Times New Roman" w:cs="Times New Roman"/>
          <w:sz w:val="24"/>
          <w:szCs w:val="24"/>
          <w:lang w:val="en-GB"/>
        </w:rPr>
        <w:t>financial year</w:t>
      </w:r>
      <w:r w:rsidRPr="00E154BA">
        <w:rPr>
          <w:rFonts w:ascii="Times New Roman" w:hAnsi="Times New Roman" w:cs="Times New Roman"/>
          <w:sz w:val="24"/>
          <w:szCs w:val="24"/>
          <w:lang w:val="en-GB"/>
        </w:rPr>
        <w:t xml:space="preserve"> 2021/2022, representing an increase of 91.8 %. This allocation to the Ministry of Health and Wellness (MOHW) also includes financial coverage for provision of services to those affected by gender based violence. No specific budget has been allocated for gender based violence but services are being provided to those affected under the overall budget of the MOHW. </w:t>
      </w:r>
    </w:p>
    <w:p w:rsidR="000D6910" w:rsidRPr="00E154BA" w:rsidRDefault="000D6910" w:rsidP="000D6910">
      <w:pPr>
        <w:spacing w:after="0" w:line="259" w:lineRule="auto"/>
        <w:jc w:val="both"/>
        <w:rPr>
          <w:rFonts w:ascii="Times New Roman" w:hAnsi="Times New Roman" w:cs="Times New Roman"/>
          <w:sz w:val="24"/>
          <w:szCs w:val="24"/>
          <w:lang w:val="en-GB"/>
        </w:rPr>
      </w:pPr>
    </w:p>
    <w:p w:rsidR="008E673A" w:rsidRPr="00E154BA" w:rsidRDefault="00290D8E" w:rsidP="00B31E82">
      <w:pPr>
        <w:jc w:val="both"/>
        <w:rPr>
          <w:rFonts w:ascii="Times New Roman" w:eastAsia="Times New Roman" w:hAnsi="Times New Roman" w:cs="Times New Roman"/>
          <w:sz w:val="24"/>
          <w:szCs w:val="24"/>
        </w:rPr>
      </w:pPr>
      <w:r w:rsidRPr="00E154BA">
        <w:rPr>
          <w:rFonts w:ascii="Times New Roman" w:hAnsi="Times New Roman" w:cs="Times New Roman"/>
          <w:sz w:val="24"/>
          <w:szCs w:val="24"/>
        </w:rPr>
        <w:t xml:space="preserve">There is no barrier to access health services. </w:t>
      </w:r>
      <w:r w:rsidR="00026356" w:rsidRPr="00E154BA">
        <w:rPr>
          <w:rFonts w:ascii="Times New Roman" w:eastAsia="Times New Roman" w:hAnsi="Times New Roman" w:cs="Times New Roman"/>
          <w:sz w:val="24"/>
          <w:szCs w:val="24"/>
        </w:rPr>
        <w:t>A</w:t>
      </w:r>
      <w:r w:rsidR="008E673A" w:rsidRPr="00E154BA">
        <w:rPr>
          <w:rFonts w:ascii="Times New Roman" w:eastAsia="Times New Roman" w:hAnsi="Times New Roman" w:cs="Times New Roman"/>
          <w:sz w:val="24"/>
          <w:szCs w:val="24"/>
        </w:rPr>
        <w:t xml:space="preserve">ll citizens including victims of violence have access to health services including management of both short and long-term post-trauma health complications i.e physical injuries, psychological and mental health trauma, sexual assault as well as its direct and indirect consequences. First aid for survivors, admission in health settings, access to support services including socioeconomic and legal aid are available and accessible according to protocols. </w:t>
      </w:r>
    </w:p>
    <w:p w:rsidR="009C534B" w:rsidRDefault="009C534B" w:rsidP="00BC6998">
      <w:pPr>
        <w:spacing w:after="0" w:line="276" w:lineRule="auto"/>
        <w:ind w:left="-360"/>
        <w:rPr>
          <w:rFonts w:ascii="Times New Roman" w:hAnsi="Times New Roman" w:cs="Times New Roman"/>
          <w:sz w:val="24"/>
          <w:szCs w:val="24"/>
        </w:rPr>
      </w:pPr>
    </w:p>
    <w:p w:rsidR="00837550" w:rsidRPr="00BC6998" w:rsidRDefault="00BC6998" w:rsidP="00BC6998">
      <w:pPr>
        <w:spacing w:after="0" w:line="276" w:lineRule="auto"/>
        <w:ind w:left="-360"/>
        <w:rPr>
          <w:rFonts w:ascii="Times New Roman" w:hAnsi="Times New Roman" w:cs="Times New Roman"/>
          <w:sz w:val="24"/>
          <w:szCs w:val="24"/>
          <w:u w:val="single"/>
        </w:rPr>
      </w:pPr>
      <w:r w:rsidRPr="00BC6998">
        <w:rPr>
          <w:rFonts w:ascii="Times New Roman" w:hAnsi="Times New Roman" w:cs="Times New Roman"/>
          <w:sz w:val="24"/>
          <w:szCs w:val="24"/>
        </w:rPr>
        <w:t xml:space="preserve">3.1 </w:t>
      </w:r>
      <w:r w:rsidR="00837550" w:rsidRPr="00BC6998">
        <w:rPr>
          <w:rFonts w:ascii="Times New Roman" w:hAnsi="Times New Roman" w:cs="Times New Roman"/>
          <w:sz w:val="24"/>
          <w:szCs w:val="24"/>
          <w:u w:val="single"/>
        </w:rPr>
        <w:t>Human Immunodeficiency Virus (HIV)</w:t>
      </w:r>
    </w:p>
    <w:p w:rsidR="000D6910" w:rsidRDefault="000D6910" w:rsidP="00BC6998">
      <w:pPr>
        <w:pStyle w:val="Header"/>
        <w:spacing w:line="276" w:lineRule="auto"/>
        <w:rPr>
          <w:rFonts w:cs="Times New Roman"/>
          <w:szCs w:val="24"/>
        </w:rPr>
      </w:pPr>
    </w:p>
    <w:p w:rsidR="00837550" w:rsidRPr="00E154BA" w:rsidRDefault="00837550" w:rsidP="00BC6998">
      <w:pPr>
        <w:pStyle w:val="Header"/>
        <w:spacing w:line="276" w:lineRule="auto"/>
        <w:rPr>
          <w:rFonts w:cs="Times New Roman"/>
          <w:szCs w:val="24"/>
        </w:rPr>
      </w:pPr>
      <w:r w:rsidRPr="00E154BA">
        <w:rPr>
          <w:rFonts w:cs="Times New Roman"/>
          <w:szCs w:val="24"/>
        </w:rPr>
        <w:lastRenderedPageBreak/>
        <w:t>In the National Action Plan (NAP) 2017-2021, the country's vision is to achieve "Zero new HIV infections. Zero AIDS-related deaths. Zero discrimination" while the mission is to provide high-quality HIV prevention, treatment and care services available and accessible to all Mauritians including the Key Populations - sex workers, transgender, men having sex with men, people who inject drugs who are most at risk of HIV infection.</w:t>
      </w:r>
    </w:p>
    <w:p w:rsidR="00837550" w:rsidRPr="00E154BA" w:rsidRDefault="00837550" w:rsidP="00837550">
      <w:pPr>
        <w:pStyle w:val="Header"/>
        <w:spacing w:line="276" w:lineRule="auto"/>
        <w:rPr>
          <w:rFonts w:cs="Times New Roman"/>
          <w:szCs w:val="24"/>
        </w:rPr>
      </w:pPr>
    </w:p>
    <w:p w:rsidR="00837550" w:rsidRPr="00E154BA" w:rsidRDefault="00837550" w:rsidP="00BC6998">
      <w:pPr>
        <w:pStyle w:val="Header"/>
        <w:spacing w:line="276" w:lineRule="auto"/>
        <w:rPr>
          <w:rFonts w:cs="Times New Roman"/>
          <w:szCs w:val="24"/>
        </w:rPr>
      </w:pPr>
      <w:r w:rsidRPr="00E154BA">
        <w:rPr>
          <w:rFonts w:cs="Times New Roman"/>
          <w:szCs w:val="24"/>
        </w:rPr>
        <w:t>The NAP 2017-2021 promotes the following: a comprehensive sexuality and gender transformative intervention to prevent new HIV infections through risky sexual behaviour, support services utilization, enhanced retention in care and adherence to antiretroviral therapy. The NAP makes provision for tailored interventions in hard to reach areas/hot spots for Key Affected Populations through community mobilisation, and collaboration of NGOs.</w:t>
      </w:r>
    </w:p>
    <w:p w:rsidR="00837550" w:rsidRPr="00E154BA" w:rsidRDefault="00837550" w:rsidP="00837550">
      <w:pPr>
        <w:pStyle w:val="Header"/>
        <w:spacing w:line="276" w:lineRule="auto"/>
        <w:rPr>
          <w:rFonts w:cs="Times New Roman"/>
          <w:szCs w:val="24"/>
        </w:rPr>
      </w:pPr>
    </w:p>
    <w:p w:rsidR="00137BEF" w:rsidRPr="00E154BA" w:rsidRDefault="00137BEF" w:rsidP="00137BEF">
      <w:pPr>
        <w:spacing w:line="259" w:lineRule="auto"/>
        <w:jc w:val="both"/>
        <w:rPr>
          <w:rFonts w:ascii="Times New Roman" w:eastAsiaTheme="minorHAnsi" w:hAnsi="Times New Roman" w:cs="Times New Roman"/>
          <w:sz w:val="24"/>
          <w:szCs w:val="24"/>
        </w:rPr>
      </w:pPr>
      <w:r w:rsidRPr="00E154BA">
        <w:rPr>
          <w:rFonts w:ascii="Times New Roman" w:eastAsiaTheme="minorHAnsi" w:hAnsi="Times New Roman" w:cs="Times New Roman"/>
          <w:sz w:val="24"/>
          <w:szCs w:val="24"/>
        </w:rPr>
        <w:t xml:space="preserve">Pre-Exposure Prophylaxis (PrEP) was introduced in 2018 and as at date, 73 persons, of which 70 are </w:t>
      </w:r>
      <w:r w:rsidR="006B74B8">
        <w:rPr>
          <w:rFonts w:ascii="Times New Roman" w:eastAsiaTheme="minorHAnsi" w:hAnsi="Times New Roman" w:cs="Times New Roman"/>
          <w:sz w:val="24"/>
          <w:szCs w:val="24"/>
        </w:rPr>
        <w:t>g</w:t>
      </w:r>
      <w:r w:rsidRPr="00E154BA">
        <w:rPr>
          <w:rFonts w:ascii="Times New Roman" w:eastAsiaTheme="minorHAnsi" w:hAnsi="Times New Roman" w:cs="Times New Roman"/>
          <w:sz w:val="24"/>
          <w:szCs w:val="24"/>
        </w:rPr>
        <w:t xml:space="preserve">ay and </w:t>
      </w:r>
      <w:r w:rsidR="006B74B8">
        <w:rPr>
          <w:rFonts w:ascii="Times New Roman" w:eastAsiaTheme="minorHAnsi" w:hAnsi="Times New Roman" w:cs="Times New Roman"/>
          <w:sz w:val="24"/>
          <w:szCs w:val="24"/>
        </w:rPr>
        <w:t>b</w:t>
      </w:r>
      <w:r w:rsidRPr="00E154BA">
        <w:rPr>
          <w:rFonts w:ascii="Times New Roman" w:eastAsiaTheme="minorHAnsi" w:hAnsi="Times New Roman" w:cs="Times New Roman"/>
          <w:sz w:val="24"/>
          <w:szCs w:val="24"/>
        </w:rPr>
        <w:t xml:space="preserve">isexual men and other </w:t>
      </w:r>
      <w:r w:rsidR="006B74B8">
        <w:rPr>
          <w:rFonts w:ascii="Times New Roman" w:eastAsiaTheme="minorHAnsi" w:hAnsi="Times New Roman" w:cs="Times New Roman"/>
          <w:sz w:val="24"/>
          <w:szCs w:val="24"/>
        </w:rPr>
        <w:t>m</w:t>
      </w:r>
      <w:r w:rsidRPr="00E154BA">
        <w:rPr>
          <w:rFonts w:ascii="Times New Roman" w:eastAsiaTheme="minorHAnsi" w:hAnsi="Times New Roman" w:cs="Times New Roman"/>
          <w:sz w:val="24"/>
          <w:szCs w:val="24"/>
        </w:rPr>
        <w:t xml:space="preserve">en having </w:t>
      </w:r>
      <w:r w:rsidR="006B74B8">
        <w:rPr>
          <w:rFonts w:ascii="Times New Roman" w:eastAsiaTheme="minorHAnsi" w:hAnsi="Times New Roman" w:cs="Times New Roman"/>
          <w:sz w:val="24"/>
          <w:szCs w:val="24"/>
        </w:rPr>
        <w:t>s</w:t>
      </w:r>
      <w:r w:rsidRPr="00E154BA">
        <w:rPr>
          <w:rFonts w:ascii="Times New Roman" w:eastAsiaTheme="minorHAnsi" w:hAnsi="Times New Roman" w:cs="Times New Roman"/>
          <w:sz w:val="24"/>
          <w:szCs w:val="24"/>
        </w:rPr>
        <w:t xml:space="preserve">ex with </w:t>
      </w:r>
      <w:r w:rsidR="006B74B8">
        <w:rPr>
          <w:rFonts w:ascii="Times New Roman" w:eastAsiaTheme="minorHAnsi" w:hAnsi="Times New Roman" w:cs="Times New Roman"/>
          <w:sz w:val="24"/>
          <w:szCs w:val="24"/>
        </w:rPr>
        <w:t>m</w:t>
      </w:r>
      <w:r w:rsidRPr="00E154BA">
        <w:rPr>
          <w:rFonts w:ascii="Times New Roman" w:eastAsiaTheme="minorHAnsi" w:hAnsi="Times New Roman" w:cs="Times New Roman"/>
          <w:sz w:val="24"/>
          <w:szCs w:val="24"/>
        </w:rPr>
        <w:t xml:space="preserve">en and 3 </w:t>
      </w:r>
      <w:r w:rsidR="006B74B8">
        <w:rPr>
          <w:rFonts w:ascii="Times New Roman" w:eastAsiaTheme="minorHAnsi" w:hAnsi="Times New Roman" w:cs="Times New Roman"/>
          <w:sz w:val="24"/>
          <w:szCs w:val="24"/>
        </w:rPr>
        <w:t>t</w:t>
      </w:r>
      <w:r w:rsidRPr="00E154BA">
        <w:rPr>
          <w:rFonts w:ascii="Times New Roman" w:eastAsiaTheme="minorHAnsi" w:hAnsi="Times New Roman" w:cs="Times New Roman"/>
          <w:sz w:val="24"/>
          <w:szCs w:val="24"/>
        </w:rPr>
        <w:t xml:space="preserve">rans people, </w:t>
      </w:r>
      <w:r w:rsidR="00F25049">
        <w:rPr>
          <w:rFonts w:ascii="Times New Roman" w:eastAsiaTheme="minorHAnsi" w:hAnsi="Times New Roman" w:cs="Times New Roman"/>
          <w:sz w:val="24"/>
          <w:szCs w:val="24"/>
        </w:rPr>
        <w:t>were</w:t>
      </w:r>
      <w:r w:rsidRPr="00E154BA">
        <w:rPr>
          <w:rFonts w:ascii="Times New Roman" w:eastAsiaTheme="minorHAnsi" w:hAnsi="Times New Roman" w:cs="Times New Roman"/>
          <w:sz w:val="24"/>
          <w:szCs w:val="24"/>
        </w:rPr>
        <w:t xml:space="preserve"> enrolled on the service. </w:t>
      </w:r>
    </w:p>
    <w:p w:rsidR="00137BEF" w:rsidRPr="00E154BA" w:rsidRDefault="00137BEF" w:rsidP="00137BEF">
      <w:pPr>
        <w:spacing w:line="259" w:lineRule="auto"/>
        <w:jc w:val="both"/>
        <w:rPr>
          <w:rFonts w:ascii="Times New Roman" w:eastAsiaTheme="minorHAnsi" w:hAnsi="Times New Roman" w:cs="Times New Roman"/>
          <w:sz w:val="24"/>
          <w:szCs w:val="24"/>
        </w:rPr>
      </w:pPr>
      <w:r w:rsidRPr="00E154BA">
        <w:rPr>
          <w:rFonts w:ascii="Times New Roman" w:eastAsiaTheme="minorHAnsi" w:hAnsi="Times New Roman" w:cs="Times New Roman"/>
          <w:sz w:val="24"/>
          <w:szCs w:val="24"/>
        </w:rPr>
        <w:t xml:space="preserve">Since 2019, Hormonal Therapy is available to </w:t>
      </w:r>
      <w:r w:rsidR="006B74B8">
        <w:rPr>
          <w:rFonts w:ascii="Times New Roman" w:eastAsiaTheme="minorHAnsi" w:hAnsi="Times New Roman" w:cs="Times New Roman"/>
          <w:sz w:val="24"/>
          <w:szCs w:val="24"/>
        </w:rPr>
        <w:t>t</w:t>
      </w:r>
      <w:r w:rsidRPr="00E154BA">
        <w:rPr>
          <w:rFonts w:ascii="Times New Roman" w:eastAsiaTheme="minorHAnsi" w:hAnsi="Times New Roman" w:cs="Times New Roman"/>
          <w:sz w:val="24"/>
          <w:szCs w:val="24"/>
        </w:rPr>
        <w:t xml:space="preserve">rans people in all </w:t>
      </w:r>
      <w:r w:rsidR="006B74B8">
        <w:rPr>
          <w:rFonts w:ascii="Times New Roman" w:eastAsiaTheme="minorHAnsi" w:hAnsi="Times New Roman" w:cs="Times New Roman"/>
          <w:sz w:val="24"/>
          <w:szCs w:val="24"/>
        </w:rPr>
        <w:t>r</w:t>
      </w:r>
      <w:r w:rsidRPr="00E154BA">
        <w:rPr>
          <w:rFonts w:ascii="Times New Roman" w:eastAsiaTheme="minorHAnsi" w:hAnsi="Times New Roman" w:cs="Times New Roman"/>
          <w:sz w:val="24"/>
          <w:szCs w:val="24"/>
        </w:rPr>
        <w:t xml:space="preserve">egional </w:t>
      </w:r>
      <w:r w:rsidR="006B74B8">
        <w:rPr>
          <w:rFonts w:ascii="Times New Roman" w:eastAsiaTheme="minorHAnsi" w:hAnsi="Times New Roman" w:cs="Times New Roman"/>
          <w:sz w:val="24"/>
          <w:szCs w:val="24"/>
        </w:rPr>
        <w:t>h</w:t>
      </w:r>
      <w:r w:rsidRPr="00E154BA">
        <w:rPr>
          <w:rFonts w:ascii="Times New Roman" w:eastAsiaTheme="minorHAnsi" w:hAnsi="Times New Roman" w:cs="Times New Roman"/>
          <w:sz w:val="24"/>
          <w:szCs w:val="24"/>
        </w:rPr>
        <w:t>ospital and are followed by an endocrinologist. The service is available at each hospital once weekly.</w:t>
      </w:r>
    </w:p>
    <w:p w:rsidR="00137BEF" w:rsidRPr="00E154BA" w:rsidRDefault="00137BEF" w:rsidP="00137BEF">
      <w:pPr>
        <w:spacing w:line="259" w:lineRule="auto"/>
        <w:jc w:val="both"/>
        <w:rPr>
          <w:rFonts w:ascii="Times New Roman" w:eastAsiaTheme="minorHAnsi" w:hAnsi="Times New Roman" w:cs="Times New Roman"/>
          <w:sz w:val="24"/>
          <w:szCs w:val="24"/>
        </w:rPr>
      </w:pPr>
      <w:r w:rsidRPr="00E154BA">
        <w:rPr>
          <w:rFonts w:ascii="Times New Roman" w:eastAsiaTheme="minorHAnsi" w:hAnsi="Times New Roman" w:cs="Times New Roman"/>
          <w:sz w:val="24"/>
          <w:szCs w:val="24"/>
        </w:rPr>
        <w:t xml:space="preserve">5,514 </w:t>
      </w:r>
      <w:r w:rsidR="006B74B8">
        <w:rPr>
          <w:rFonts w:ascii="Times New Roman" w:eastAsiaTheme="minorHAnsi" w:hAnsi="Times New Roman" w:cs="Times New Roman"/>
          <w:sz w:val="24"/>
          <w:szCs w:val="24"/>
        </w:rPr>
        <w:t>g</w:t>
      </w:r>
      <w:r w:rsidRPr="00E154BA">
        <w:rPr>
          <w:rFonts w:ascii="Times New Roman" w:eastAsiaTheme="minorHAnsi" w:hAnsi="Times New Roman" w:cs="Times New Roman"/>
          <w:sz w:val="24"/>
          <w:szCs w:val="24"/>
        </w:rPr>
        <w:t xml:space="preserve">ay and </w:t>
      </w:r>
      <w:r w:rsidR="006B74B8">
        <w:rPr>
          <w:rFonts w:ascii="Times New Roman" w:eastAsiaTheme="minorHAnsi" w:hAnsi="Times New Roman" w:cs="Times New Roman"/>
          <w:sz w:val="24"/>
          <w:szCs w:val="24"/>
        </w:rPr>
        <w:t>b</w:t>
      </w:r>
      <w:r w:rsidRPr="00E154BA">
        <w:rPr>
          <w:rFonts w:ascii="Times New Roman" w:eastAsiaTheme="minorHAnsi" w:hAnsi="Times New Roman" w:cs="Times New Roman"/>
          <w:sz w:val="24"/>
          <w:szCs w:val="24"/>
        </w:rPr>
        <w:t xml:space="preserve">isexual </w:t>
      </w:r>
      <w:r w:rsidR="006B74B8">
        <w:rPr>
          <w:rFonts w:ascii="Times New Roman" w:eastAsiaTheme="minorHAnsi" w:hAnsi="Times New Roman" w:cs="Times New Roman"/>
          <w:sz w:val="24"/>
          <w:szCs w:val="24"/>
        </w:rPr>
        <w:t>m</w:t>
      </w:r>
      <w:r w:rsidRPr="00E154BA">
        <w:rPr>
          <w:rFonts w:ascii="Times New Roman" w:eastAsiaTheme="minorHAnsi" w:hAnsi="Times New Roman" w:cs="Times New Roman"/>
          <w:sz w:val="24"/>
          <w:szCs w:val="24"/>
        </w:rPr>
        <w:t xml:space="preserve">en and other </w:t>
      </w:r>
      <w:r w:rsidR="006B74B8">
        <w:rPr>
          <w:rFonts w:ascii="Times New Roman" w:eastAsiaTheme="minorHAnsi" w:hAnsi="Times New Roman" w:cs="Times New Roman"/>
          <w:sz w:val="24"/>
          <w:szCs w:val="24"/>
        </w:rPr>
        <w:t>m</w:t>
      </w:r>
      <w:r w:rsidRPr="00E154BA">
        <w:rPr>
          <w:rFonts w:ascii="Times New Roman" w:eastAsiaTheme="minorHAnsi" w:hAnsi="Times New Roman" w:cs="Times New Roman"/>
          <w:sz w:val="24"/>
          <w:szCs w:val="24"/>
        </w:rPr>
        <w:t xml:space="preserve">en having </w:t>
      </w:r>
      <w:r w:rsidR="006B74B8">
        <w:rPr>
          <w:rFonts w:ascii="Times New Roman" w:eastAsiaTheme="minorHAnsi" w:hAnsi="Times New Roman" w:cs="Times New Roman"/>
          <w:sz w:val="24"/>
          <w:szCs w:val="24"/>
        </w:rPr>
        <w:t>s</w:t>
      </w:r>
      <w:r w:rsidRPr="00E154BA">
        <w:rPr>
          <w:rFonts w:ascii="Times New Roman" w:eastAsiaTheme="minorHAnsi" w:hAnsi="Times New Roman" w:cs="Times New Roman"/>
          <w:sz w:val="24"/>
          <w:szCs w:val="24"/>
        </w:rPr>
        <w:t xml:space="preserve">ex with </w:t>
      </w:r>
      <w:r w:rsidR="006B74B8">
        <w:rPr>
          <w:rFonts w:ascii="Times New Roman" w:eastAsiaTheme="minorHAnsi" w:hAnsi="Times New Roman" w:cs="Times New Roman"/>
          <w:sz w:val="24"/>
          <w:szCs w:val="24"/>
        </w:rPr>
        <w:t>m</w:t>
      </w:r>
      <w:r w:rsidRPr="00E154BA">
        <w:rPr>
          <w:rFonts w:ascii="Times New Roman" w:eastAsiaTheme="minorHAnsi" w:hAnsi="Times New Roman" w:cs="Times New Roman"/>
          <w:sz w:val="24"/>
          <w:szCs w:val="24"/>
        </w:rPr>
        <w:t xml:space="preserve">en </w:t>
      </w:r>
      <w:r w:rsidR="006B74B8">
        <w:rPr>
          <w:rFonts w:ascii="Times New Roman" w:eastAsiaTheme="minorHAnsi" w:hAnsi="Times New Roman" w:cs="Times New Roman"/>
          <w:sz w:val="24"/>
          <w:szCs w:val="24"/>
        </w:rPr>
        <w:t>were</w:t>
      </w:r>
      <w:r w:rsidRPr="00E154BA">
        <w:rPr>
          <w:rFonts w:ascii="Times New Roman" w:eastAsiaTheme="minorHAnsi" w:hAnsi="Times New Roman" w:cs="Times New Roman"/>
          <w:sz w:val="24"/>
          <w:szCs w:val="24"/>
        </w:rPr>
        <w:t xml:space="preserve"> reached through 349 awareness sessions related to HIV and 2,786 </w:t>
      </w:r>
      <w:r w:rsidR="006B74B8">
        <w:rPr>
          <w:rFonts w:ascii="Times New Roman" w:eastAsiaTheme="minorHAnsi" w:hAnsi="Times New Roman" w:cs="Times New Roman"/>
          <w:sz w:val="24"/>
          <w:szCs w:val="24"/>
        </w:rPr>
        <w:t>t</w:t>
      </w:r>
      <w:r w:rsidRPr="00E154BA">
        <w:rPr>
          <w:rFonts w:ascii="Times New Roman" w:eastAsiaTheme="minorHAnsi" w:hAnsi="Times New Roman" w:cs="Times New Roman"/>
          <w:sz w:val="24"/>
          <w:szCs w:val="24"/>
        </w:rPr>
        <w:t xml:space="preserve">rans people </w:t>
      </w:r>
      <w:r w:rsidR="006B74B8">
        <w:rPr>
          <w:rFonts w:ascii="Times New Roman" w:eastAsiaTheme="minorHAnsi" w:hAnsi="Times New Roman" w:cs="Times New Roman"/>
          <w:sz w:val="24"/>
          <w:szCs w:val="24"/>
        </w:rPr>
        <w:t>were</w:t>
      </w:r>
      <w:r w:rsidRPr="00E154BA">
        <w:rPr>
          <w:rFonts w:ascii="Times New Roman" w:eastAsiaTheme="minorHAnsi" w:hAnsi="Times New Roman" w:cs="Times New Roman"/>
          <w:sz w:val="24"/>
          <w:szCs w:val="24"/>
        </w:rPr>
        <w:t xml:space="preserve"> reached through 257 such sessions.</w:t>
      </w:r>
    </w:p>
    <w:p w:rsidR="00837550" w:rsidRPr="00E154BA" w:rsidRDefault="00A75C09" w:rsidP="0066588B">
      <w:pPr>
        <w:pStyle w:val="Header"/>
        <w:spacing w:before="240" w:line="276" w:lineRule="auto"/>
        <w:rPr>
          <w:rFonts w:cs="Times New Roman"/>
          <w:szCs w:val="24"/>
        </w:rPr>
      </w:pPr>
      <w:r>
        <w:rPr>
          <w:rFonts w:cs="Times New Roman"/>
          <w:szCs w:val="24"/>
        </w:rPr>
        <w:t>The</w:t>
      </w:r>
      <w:r w:rsidR="00837550" w:rsidRPr="00E154BA">
        <w:rPr>
          <w:rFonts w:cs="Times New Roman"/>
          <w:szCs w:val="24"/>
        </w:rPr>
        <w:t xml:space="preserve"> country is aiming towards elimination of </w:t>
      </w:r>
      <w:r w:rsidR="00C13481">
        <w:rPr>
          <w:rFonts w:cs="Times New Roman"/>
          <w:szCs w:val="24"/>
        </w:rPr>
        <w:t>m</w:t>
      </w:r>
      <w:r w:rsidR="00837550" w:rsidRPr="00E154BA">
        <w:rPr>
          <w:rFonts w:cs="Times New Roman"/>
          <w:szCs w:val="24"/>
        </w:rPr>
        <w:t xml:space="preserve">other to child transmission of HIV. Consistent aid </w:t>
      </w:r>
      <w:r w:rsidR="00837550" w:rsidRPr="00C13481">
        <w:rPr>
          <w:rFonts w:cs="Times New Roman"/>
          <w:szCs w:val="24"/>
        </w:rPr>
        <w:t>correct</w:t>
      </w:r>
      <w:r w:rsidR="00837550" w:rsidRPr="00E154BA">
        <w:rPr>
          <w:rFonts w:cs="Times New Roman"/>
          <w:szCs w:val="24"/>
        </w:rPr>
        <w:t xml:space="preserve"> condom use as primary and secondary prevention is being promoted among the Mauritian population in addition to targeted preventive measures, namely: HIV testing and counselling, universal access to antiretroviral treatment (Prevention of </w:t>
      </w:r>
      <w:r w:rsidR="00835A01">
        <w:rPr>
          <w:rFonts w:cs="Times New Roman"/>
          <w:szCs w:val="24"/>
        </w:rPr>
        <w:t>m</w:t>
      </w:r>
      <w:r w:rsidR="00837550" w:rsidRPr="00E154BA">
        <w:rPr>
          <w:rFonts w:cs="Times New Roman"/>
          <w:szCs w:val="24"/>
        </w:rPr>
        <w:t xml:space="preserve">other-to-child </w:t>
      </w:r>
      <w:r w:rsidR="00835A01">
        <w:rPr>
          <w:rFonts w:cs="Times New Roman"/>
          <w:szCs w:val="24"/>
        </w:rPr>
        <w:t>t</w:t>
      </w:r>
      <w:r w:rsidR="00837550" w:rsidRPr="00E154BA">
        <w:rPr>
          <w:rFonts w:cs="Times New Roman"/>
          <w:szCs w:val="24"/>
        </w:rPr>
        <w:t>ransmission. Post Exposure Prophylaxis, Pre-Exposure Prophylaxis), harm reduction measures, distribution of Information, Education and Communication materials for adoption of safe behaviours.</w:t>
      </w:r>
      <w:r w:rsidR="00D63C81">
        <w:rPr>
          <w:rFonts w:cs="Times New Roman"/>
          <w:szCs w:val="24"/>
        </w:rPr>
        <w:t xml:space="preserve"> Moreover, m</w:t>
      </w:r>
      <w:r w:rsidR="00837550" w:rsidRPr="00E154BA">
        <w:rPr>
          <w:rFonts w:cs="Times New Roman"/>
          <w:szCs w:val="24"/>
        </w:rPr>
        <w:t xml:space="preserve">ale, female condoms and gels are available/accessible to all </w:t>
      </w:r>
      <w:r w:rsidR="00D63C81">
        <w:rPr>
          <w:rFonts w:cs="Times New Roman"/>
          <w:szCs w:val="24"/>
        </w:rPr>
        <w:t>at the Family Planning Clinics.</w:t>
      </w:r>
    </w:p>
    <w:p w:rsidR="004A5BBA" w:rsidRPr="00E154BA" w:rsidRDefault="004A5BBA" w:rsidP="0066588B">
      <w:pPr>
        <w:spacing w:before="240" w:line="259"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Furthermore, d</w:t>
      </w:r>
      <w:r w:rsidRPr="00E154BA">
        <w:rPr>
          <w:rFonts w:ascii="Times New Roman" w:eastAsiaTheme="minorHAnsi" w:hAnsi="Times New Roman" w:cs="Times New Roman"/>
          <w:sz w:val="24"/>
          <w:szCs w:val="24"/>
        </w:rPr>
        <w:t xml:space="preserve">uring awareness sessions targeting Key Populations (People </w:t>
      </w:r>
      <w:r w:rsidR="00492170">
        <w:rPr>
          <w:rFonts w:ascii="Times New Roman" w:eastAsiaTheme="minorHAnsi" w:hAnsi="Times New Roman" w:cs="Times New Roman"/>
          <w:sz w:val="24"/>
          <w:szCs w:val="24"/>
        </w:rPr>
        <w:t>w</w:t>
      </w:r>
      <w:r w:rsidRPr="00E154BA">
        <w:rPr>
          <w:rFonts w:ascii="Times New Roman" w:eastAsiaTheme="minorHAnsi" w:hAnsi="Times New Roman" w:cs="Times New Roman"/>
          <w:sz w:val="24"/>
          <w:szCs w:val="24"/>
        </w:rPr>
        <w:t xml:space="preserve">ho </w:t>
      </w:r>
      <w:r w:rsidR="00492170">
        <w:rPr>
          <w:rFonts w:ascii="Times New Roman" w:eastAsiaTheme="minorHAnsi" w:hAnsi="Times New Roman" w:cs="Times New Roman"/>
          <w:sz w:val="24"/>
          <w:szCs w:val="24"/>
        </w:rPr>
        <w:t>i</w:t>
      </w:r>
      <w:r w:rsidRPr="00E154BA">
        <w:rPr>
          <w:rFonts w:ascii="Times New Roman" w:eastAsiaTheme="minorHAnsi" w:hAnsi="Times New Roman" w:cs="Times New Roman"/>
          <w:sz w:val="24"/>
          <w:szCs w:val="24"/>
        </w:rPr>
        <w:t xml:space="preserve">nject </w:t>
      </w:r>
      <w:r w:rsidR="00492170">
        <w:rPr>
          <w:rFonts w:ascii="Times New Roman" w:eastAsiaTheme="minorHAnsi" w:hAnsi="Times New Roman" w:cs="Times New Roman"/>
          <w:sz w:val="24"/>
          <w:szCs w:val="24"/>
        </w:rPr>
        <w:t>d</w:t>
      </w:r>
      <w:r w:rsidRPr="00E154BA">
        <w:rPr>
          <w:rFonts w:ascii="Times New Roman" w:eastAsiaTheme="minorHAnsi" w:hAnsi="Times New Roman" w:cs="Times New Roman"/>
          <w:sz w:val="24"/>
          <w:szCs w:val="24"/>
        </w:rPr>
        <w:t xml:space="preserve">rugs, </w:t>
      </w:r>
      <w:r w:rsidR="00492170">
        <w:rPr>
          <w:rFonts w:ascii="Times New Roman" w:eastAsiaTheme="minorHAnsi" w:hAnsi="Times New Roman" w:cs="Times New Roman"/>
          <w:sz w:val="24"/>
          <w:szCs w:val="24"/>
        </w:rPr>
        <w:t>f</w:t>
      </w:r>
      <w:r w:rsidRPr="00E154BA">
        <w:rPr>
          <w:rFonts w:ascii="Times New Roman" w:eastAsiaTheme="minorHAnsi" w:hAnsi="Times New Roman" w:cs="Times New Roman"/>
          <w:sz w:val="24"/>
          <w:szCs w:val="24"/>
        </w:rPr>
        <w:t xml:space="preserve">emale </w:t>
      </w:r>
      <w:r w:rsidR="00492170">
        <w:rPr>
          <w:rFonts w:ascii="Times New Roman" w:eastAsiaTheme="minorHAnsi" w:hAnsi="Times New Roman" w:cs="Times New Roman"/>
          <w:sz w:val="24"/>
          <w:szCs w:val="24"/>
        </w:rPr>
        <w:t>s</w:t>
      </w:r>
      <w:r w:rsidRPr="00E154BA">
        <w:rPr>
          <w:rFonts w:ascii="Times New Roman" w:eastAsiaTheme="minorHAnsi" w:hAnsi="Times New Roman" w:cs="Times New Roman"/>
          <w:sz w:val="24"/>
          <w:szCs w:val="24"/>
        </w:rPr>
        <w:t xml:space="preserve">ex </w:t>
      </w:r>
      <w:r w:rsidR="00492170">
        <w:rPr>
          <w:rFonts w:ascii="Times New Roman" w:eastAsiaTheme="minorHAnsi" w:hAnsi="Times New Roman" w:cs="Times New Roman"/>
          <w:sz w:val="24"/>
          <w:szCs w:val="24"/>
        </w:rPr>
        <w:t>w</w:t>
      </w:r>
      <w:r w:rsidRPr="00E154BA">
        <w:rPr>
          <w:rFonts w:ascii="Times New Roman" w:eastAsiaTheme="minorHAnsi" w:hAnsi="Times New Roman" w:cs="Times New Roman"/>
          <w:sz w:val="24"/>
          <w:szCs w:val="24"/>
        </w:rPr>
        <w:t xml:space="preserve">orkers, </w:t>
      </w:r>
      <w:r w:rsidR="00492170">
        <w:rPr>
          <w:rFonts w:ascii="Times New Roman" w:eastAsiaTheme="minorHAnsi" w:hAnsi="Times New Roman" w:cs="Times New Roman"/>
          <w:sz w:val="24"/>
          <w:szCs w:val="24"/>
        </w:rPr>
        <w:t>g</w:t>
      </w:r>
      <w:r w:rsidRPr="00E154BA">
        <w:rPr>
          <w:rFonts w:ascii="Times New Roman" w:eastAsiaTheme="minorHAnsi" w:hAnsi="Times New Roman" w:cs="Times New Roman"/>
          <w:sz w:val="24"/>
          <w:szCs w:val="24"/>
        </w:rPr>
        <w:t xml:space="preserve">ay and </w:t>
      </w:r>
      <w:r w:rsidR="00492170">
        <w:rPr>
          <w:rFonts w:ascii="Times New Roman" w:eastAsiaTheme="minorHAnsi" w:hAnsi="Times New Roman" w:cs="Times New Roman"/>
          <w:sz w:val="24"/>
          <w:szCs w:val="24"/>
        </w:rPr>
        <w:t>b</w:t>
      </w:r>
      <w:r w:rsidRPr="00E154BA">
        <w:rPr>
          <w:rFonts w:ascii="Times New Roman" w:eastAsiaTheme="minorHAnsi" w:hAnsi="Times New Roman" w:cs="Times New Roman"/>
          <w:sz w:val="24"/>
          <w:szCs w:val="24"/>
        </w:rPr>
        <w:t xml:space="preserve">isexual men and other </w:t>
      </w:r>
      <w:r w:rsidR="00492170">
        <w:rPr>
          <w:rFonts w:ascii="Times New Roman" w:eastAsiaTheme="minorHAnsi" w:hAnsi="Times New Roman" w:cs="Times New Roman"/>
          <w:sz w:val="24"/>
          <w:szCs w:val="24"/>
        </w:rPr>
        <w:t>m</w:t>
      </w:r>
      <w:r w:rsidRPr="00E154BA">
        <w:rPr>
          <w:rFonts w:ascii="Times New Roman" w:eastAsiaTheme="minorHAnsi" w:hAnsi="Times New Roman" w:cs="Times New Roman"/>
          <w:sz w:val="24"/>
          <w:szCs w:val="24"/>
        </w:rPr>
        <w:t xml:space="preserve">en who have </w:t>
      </w:r>
      <w:r w:rsidR="00492170">
        <w:rPr>
          <w:rFonts w:ascii="Times New Roman" w:eastAsiaTheme="minorHAnsi" w:hAnsi="Times New Roman" w:cs="Times New Roman"/>
          <w:sz w:val="24"/>
          <w:szCs w:val="24"/>
        </w:rPr>
        <w:t>s</w:t>
      </w:r>
      <w:r w:rsidRPr="00E154BA">
        <w:rPr>
          <w:rFonts w:ascii="Times New Roman" w:eastAsiaTheme="minorHAnsi" w:hAnsi="Times New Roman" w:cs="Times New Roman"/>
          <w:sz w:val="24"/>
          <w:szCs w:val="24"/>
        </w:rPr>
        <w:t xml:space="preserve">ex with </w:t>
      </w:r>
      <w:r w:rsidR="00492170">
        <w:rPr>
          <w:rFonts w:ascii="Times New Roman" w:eastAsiaTheme="minorHAnsi" w:hAnsi="Times New Roman" w:cs="Times New Roman"/>
          <w:sz w:val="24"/>
          <w:szCs w:val="24"/>
        </w:rPr>
        <w:t>m</w:t>
      </w:r>
      <w:r w:rsidRPr="00E154BA">
        <w:rPr>
          <w:rFonts w:ascii="Times New Roman" w:eastAsiaTheme="minorHAnsi" w:hAnsi="Times New Roman" w:cs="Times New Roman"/>
          <w:sz w:val="24"/>
          <w:szCs w:val="24"/>
        </w:rPr>
        <w:t xml:space="preserve">en and </w:t>
      </w:r>
      <w:r w:rsidR="00492170">
        <w:rPr>
          <w:rFonts w:ascii="Times New Roman" w:eastAsiaTheme="minorHAnsi" w:hAnsi="Times New Roman" w:cs="Times New Roman"/>
          <w:sz w:val="24"/>
          <w:szCs w:val="24"/>
        </w:rPr>
        <w:t>t</w:t>
      </w:r>
      <w:r w:rsidRPr="00E154BA">
        <w:rPr>
          <w:rFonts w:ascii="Times New Roman" w:eastAsiaTheme="minorHAnsi" w:hAnsi="Times New Roman" w:cs="Times New Roman"/>
          <w:sz w:val="24"/>
          <w:szCs w:val="24"/>
        </w:rPr>
        <w:t>rans persons) and the population in general</w:t>
      </w:r>
      <w:r w:rsidR="00827CB8">
        <w:rPr>
          <w:rFonts w:ascii="Times New Roman" w:eastAsiaTheme="minorHAnsi" w:hAnsi="Times New Roman" w:cs="Times New Roman"/>
          <w:sz w:val="24"/>
          <w:szCs w:val="24"/>
        </w:rPr>
        <w:t>,</w:t>
      </w:r>
      <w:r w:rsidRPr="00E154BA">
        <w:rPr>
          <w:rFonts w:ascii="Times New Roman" w:eastAsiaTheme="minorHAnsi" w:hAnsi="Times New Roman" w:cs="Times New Roman"/>
          <w:sz w:val="24"/>
          <w:szCs w:val="24"/>
        </w:rPr>
        <w:t xml:space="preserve"> condoms are distributed. </w:t>
      </w:r>
    </w:p>
    <w:p w:rsidR="004A5BBA" w:rsidRPr="00500B3D" w:rsidRDefault="004A5BBA" w:rsidP="004A5BBA">
      <w:pPr>
        <w:spacing w:line="259" w:lineRule="auto"/>
        <w:jc w:val="both"/>
        <w:rPr>
          <w:rFonts w:ascii="Times New Roman" w:eastAsiaTheme="minorHAnsi" w:hAnsi="Times New Roman" w:cs="Times New Roman"/>
          <w:sz w:val="24"/>
          <w:szCs w:val="24"/>
        </w:rPr>
      </w:pPr>
      <w:r w:rsidRPr="00500B3D">
        <w:rPr>
          <w:rFonts w:ascii="Times New Roman" w:eastAsiaTheme="minorHAnsi" w:hAnsi="Times New Roman" w:cs="Times New Roman"/>
          <w:sz w:val="24"/>
          <w:szCs w:val="24"/>
        </w:rPr>
        <w:t xml:space="preserve">With regard to </w:t>
      </w:r>
      <w:r w:rsidR="00D63C81" w:rsidRPr="00500B3D">
        <w:rPr>
          <w:rFonts w:ascii="Times New Roman" w:eastAsiaTheme="minorHAnsi" w:hAnsi="Times New Roman" w:cs="Times New Roman"/>
          <w:sz w:val="24"/>
          <w:szCs w:val="24"/>
        </w:rPr>
        <w:t>g</w:t>
      </w:r>
      <w:r w:rsidRPr="00500B3D">
        <w:rPr>
          <w:rFonts w:ascii="Times New Roman" w:eastAsiaTheme="minorHAnsi" w:hAnsi="Times New Roman" w:cs="Times New Roman"/>
          <w:sz w:val="24"/>
          <w:szCs w:val="24"/>
        </w:rPr>
        <w:t xml:space="preserve">ay and </w:t>
      </w:r>
      <w:r w:rsidR="00D63C81" w:rsidRPr="00500B3D">
        <w:rPr>
          <w:rFonts w:ascii="Times New Roman" w:eastAsiaTheme="minorHAnsi" w:hAnsi="Times New Roman" w:cs="Times New Roman"/>
          <w:sz w:val="24"/>
          <w:szCs w:val="24"/>
        </w:rPr>
        <w:t>b</w:t>
      </w:r>
      <w:r w:rsidRPr="00500B3D">
        <w:rPr>
          <w:rFonts w:ascii="Times New Roman" w:eastAsiaTheme="minorHAnsi" w:hAnsi="Times New Roman" w:cs="Times New Roman"/>
          <w:sz w:val="24"/>
          <w:szCs w:val="24"/>
        </w:rPr>
        <w:t xml:space="preserve">isexual men and other </w:t>
      </w:r>
      <w:r w:rsidR="00D63C81" w:rsidRPr="00500B3D">
        <w:rPr>
          <w:rFonts w:ascii="Times New Roman" w:eastAsiaTheme="minorHAnsi" w:hAnsi="Times New Roman" w:cs="Times New Roman"/>
          <w:sz w:val="24"/>
          <w:szCs w:val="24"/>
        </w:rPr>
        <w:t>m</w:t>
      </w:r>
      <w:r w:rsidRPr="00500B3D">
        <w:rPr>
          <w:rFonts w:ascii="Times New Roman" w:eastAsiaTheme="minorHAnsi" w:hAnsi="Times New Roman" w:cs="Times New Roman"/>
          <w:sz w:val="24"/>
          <w:szCs w:val="24"/>
        </w:rPr>
        <w:t xml:space="preserve">en who have </w:t>
      </w:r>
      <w:r w:rsidR="00D63C81" w:rsidRPr="00500B3D">
        <w:rPr>
          <w:rFonts w:ascii="Times New Roman" w:eastAsiaTheme="minorHAnsi" w:hAnsi="Times New Roman" w:cs="Times New Roman"/>
          <w:sz w:val="24"/>
          <w:szCs w:val="24"/>
        </w:rPr>
        <w:t>s</w:t>
      </w:r>
      <w:r w:rsidRPr="00500B3D">
        <w:rPr>
          <w:rFonts w:ascii="Times New Roman" w:eastAsiaTheme="minorHAnsi" w:hAnsi="Times New Roman" w:cs="Times New Roman"/>
          <w:sz w:val="24"/>
          <w:szCs w:val="24"/>
        </w:rPr>
        <w:t xml:space="preserve">ex with </w:t>
      </w:r>
      <w:r w:rsidR="00D63C81" w:rsidRPr="00500B3D">
        <w:rPr>
          <w:rFonts w:ascii="Times New Roman" w:eastAsiaTheme="minorHAnsi" w:hAnsi="Times New Roman" w:cs="Times New Roman"/>
          <w:sz w:val="24"/>
          <w:szCs w:val="24"/>
        </w:rPr>
        <w:t>m</w:t>
      </w:r>
      <w:r w:rsidRPr="00500B3D">
        <w:rPr>
          <w:rFonts w:ascii="Times New Roman" w:eastAsiaTheme="minorHAnsi" w:hAnsi="Times New Roman" w:cs="Times New Roman"/>
          <w:sz w:val="24"/>
          <w:szCs w:val="24"/>
        </w:rPr>
        <w:t>en, during 2017-2020, 101,900 male condoms, 6,879 female condoms and 33,244 condom-compatible lubricants were provided. Not all bisexual men disclose their status.</w:t>
      </w:r>
    </w:p>
    <w:p w:rsidR="004A5BBA" w:rsidRPr="00E154BA" w:rsidRDefault="004A5BBA" w:rsidP="004A5BBA">
      <w:pPr>
        <w:spacing w:line="259" w:lineRule="auto"/>
        <w:jc w:val="both"/>
        <w:rPr>
          <w:rFonts w:ascii="Times New Roman" w:eastAsiaTheme="minorHAnsi" w:hAnsi="Times New Roman" w:cs="Times New Roman"/>
          <w:sz w:val="24"/>
          <w:szCs w:val="24"/>
        </w:rPr>
      </w:pPr>
      <w:r w:rsidRPr="00500B3D">
        <w:rPr>
          <w:rFonts w:ascii="Times New Roman" w:eastAsiaTheme="minorHAnsi" w:hAnsi="Times New Roman" w:cs="Times New Roman"/>
          <w:sz w:val="24"/>
          <w:szCs w:val="24"/>
        </w:rPr>
        <w:t xml:space="preserve">With regard to </w:t>
      </w:r>
      <w:r w:rsidR="00D63C81" w:rsidRPr="00500B3D">
        <w:rPr>
          <w:rFonts w:ascii="Times New Roman" w:eastAsiaTheme="minorHAnsi" w:hAnsi="Times New Roman" w:cs="Times New Roman"/>
          <w:sz w:val="24"/>
          <w:szCs w:val="24"/>
        </w:rPr>
        <w:t>t</w:t>
      </w:r>
      <w:r w:rsidRPr="00500B3D">
        <w:rPr>
          <w:rFonts w:ascii="Times New Roman" w:eastAsiaTheme="minorHAnsi" w:hAnsi="Times New Roman" w:cs="Times New Roman"/>
          <w:sz w:val="24"/>
          <w:szCs w:val="24"/>
        </w:rPr>
        <w:t>rans people, during 2017-2020, 65,034 male condoms, 2,157 female condoms and 17,641 condom-compatible lubricants were provided.</w:t>
      </w:r>
      <w:r w:rsidRPr="00E154BA">
        <w:rPr>
          <w:rFonts w:ascii="Times New Roman" w:eastAsiaTheme="minorHAnsi" w:hAnsi="Times New Roman" w:cs="Times New Roman"/>
          <w:sz w:val="24"/>
          <w:szCs w:val="24"/>
        </w:rPr>
        <w:t xml:space="preserve"> </w:t>
      </w:r>
    </w:p>
    <w:p w:rsidR="0039212C" w:rsidRPr="00E154BA" w:rsidRDefault="0039212C" w:rsidP="00EA68A8">
      <w:pPr>
        <w:pStyle w:val="Header"/>
        <w:spacing w:before="240" w:line="276" w:lineRule="auto"/>
        <w:rPr>
          <w:rFonts w:cs="Times New Roman"/>
          <w:szCs w:val="24"/>
        </w:rPr>
      </w:pPr>
      <w:r w:rsidRPr="00E154BA">
        <w:rPr>
          <w:rFonts w:cs="Times New Roman"/>
          <w:szCs w:val="24"/>
        </w:rPr>
        <w:lastRenderedPageBreak/>
        <w:t xml:space="preserve">HIV services have been decentralized to facilitate accessibility to all those in need. Transport costs are refunded to </w:t>
      </w:r>
      <w:r w:rsidR="00380A42">
        <w:rPr>
          <w:rFonts w:cs="Times New Roman"/>
          <w:szCs w:val="24"/>
        </w:rPr>
        <w:t>p</w:t>
      </w:r>
      <w:r w:rsidRPr="00E154BA">
        <w:rPr>
          <w:rFonts w:cs="Times New Roman"/>
          <w:szCs w:val="24"/>
        </w:rPr>
        <w:t xml:space="preserve">eople </w:t>
      </w:r>
      <w:r w:rsidR="00380A42">
        <w:rPr>
          <w:rFonts w:cs="Times New Roman"/>
          <w:szCs w:val="24"/>
        </w:rPr>
        <w:t>l</w:t>
      </w:r>
      <w:r w:rsidRPr="00E154BA">
        <w:rPr>
          <w:rFonts w:cs="Times New Roman"/>
          <w:szCs w:val="24"/>
        </w:rPr>
        <w:t>iving with HIV attending appointments to ensure that there is no financial barrier.</w:t>
      </w:r>
    </w:p>
    <w:p w:rsidR="0066588B" w:rsidRDefault="0066588B" w:rsidP="00094A49">
      <w:pPr>
        <w:spacing w:after="0" w:line="276" w:lineRule="auto"/>
        <w:ind w:left="-360"/>
        <w:rPr>
          <w:rFonts w:ascii="Times New Roman" w:hAnsi="Times New Roman" w:cs="Times New Roman"/>
          <w:sz w:val="24"/>
          <w:szCs w:val="24"/>
        </w:rPr>
      </w:pPr>
    </w:p>
    <w:p w:rsidR="00837550" w:rsidRPr="00094A49" w:rsidRDefault="00094A49" w:rsidP="00094A49">
      <w:pPr>
        <w:spacing w:after="0" w:line="276" w:lineRule="auto"/>
        <w:ind w:left="-360"/>
        <w:rPr>
          <w:rFonts w:ascii="Times New Roman" w:hAnsi="Times New Roman" w:cs="Times New Roman"/>
          <w:sz w:val="24"/>
          <w:szCs w:val="24"/>
          <w:u w:val="single"/>
        </w:rPr>
      </w:pPr>
      <w:r w:rsidRPr="00094A49">
        <w:rPr>
          <w:rFonts w:ascii="Times New Roman" w:hAnsi="Times New Roman" w:cs="Times New Roman"/>
          <w:sz w:val="24"/>
          <w:szCs w:val="24"/>
        </w:rPr>
        <w:t xml:space="preserve">3.2 </w:t>
      </w:r>
      <w:r w:rsidR="00837550" w:rsidRPr="00094A49">
        <w:rPr>
          <w:rFonts w:ascii="Times New Roman" w:hAnsi="Times New Roman" w:cs="Times New Roman"/>
          <w:sz w:val="24"/>
          <w:szCs w:val="24"/>
          <w:u w:val="single"/>
        </w:rPr>
        <w:t>Needle Exchange Programme</w:t>
      </w:r>
    </w:p>
    <w:p w:rsidR="000D6910" w:rsidRDefault="000D6910" w:rsidP="00094A49">
      <w:pPr>
        <w:pStyle w:val="Header"/>
        <w:spacing w:line="276" w:lineRule="auto"/>
        <w:rPr>
          <w:rFonts w:cs="Times New Roman"/>
          <w:szCs w:val="24"/>
        </w:rPr>
      </w:pPr>
    </w:p>
    <w:p w:rsidR="00837550" w:rsidRPr="00E154BA" w:rsidRDefault="00837550" w:rsidP="00094A49">
      <w:pPr>
        <w:pStyle w:val="Header"/>
        <w:spacing w:line="276" w:lineRule="auto"/>
        <w:rPr>
          <w:rFonts w:cs="Times New Roman"/>
          <w:szCs w:val="24"/>
        </w:rPr>
      </w:pPr>
      <w:r w:rsidRPr="00E154BA">
        <w:rPr>
          <w:rFonts w:cs="Times New Roman"/>
          <w:szCs w:val="24"/>
        </w:rPr>
        <w:t>The Needle Exchange Programme is a Government-led outreach programme, which involves distribution of syringes and needles to people who inject drugs in exchange of used ones.  The aim of the programme is to prevent spread of blood borne diseases.  These services are provided in mobile caravans and as at date 46 sites are operational throughout the island out of which 35 are covered by caravans of the M</w:t>
      </w:r>
      <w:r w:rsidR="00A631C8">
        <w:rPr>
          <w:rFonts w:cs="Times New Roman"/>
          <w:szCs w:val="24"/>
        </w:rPr>
        <w:t>O</w:t>
      </w:r>
      <w:r w:rsidRPr="00E154BA">
        <w:rPr>
          <w:rFonts w:cs="Times New Roman"/>
          <w:szCs w:val="24"/>
        </w:rPr>
        <w:t>HW and 11 by the NGO Collectif Urgence Toxida.</w:t>
      </w:r>
    </w:p>
    <w:p w:rsidR="00837550" w:rsidRPr="00E154BA" w:rsidRDefault="00837550" w:rsidP="00837550">
      <w:pPr>
        <w:spacing w:after="0" w:line="276" w:lineRule="auto"/>
        <w:rPr>
          <w:rFonts w:ascii="Times New Roman" w:hAnsi="Times New Roman" w:cs="Times New Roman"/>
          <w:sz w:val="24"/>
          <w:szCs w:val="24"/>
        </w:rPr>
      </w:pPr>
    </w:p>
    <w:p w:rsidR="00837550" w:rsidRPr="00E154BA" w:rsidRDefault="00837550" w:rsidP="00094A49">
      <w:pPr>
        <w:pStyle w:val="Header"/>
        <w:spacing w:line="276" w:lineRule="auto"/>
        <w:rPr>
          <w:rFonts w:cs="Times New Roman"/>
          <w:szCs w:val="24"/>
        </w:rPr>
      </w:pPr>
      <w:r w:rsidRPr="00E154BA">
        <w:rPr>
          <w:rFonts w:cs="Times New Roman"/>
          <w:szCs w:val="24"/>
        </w:rPr>
        <w:t xml:space="preserve">Comprehensive package of services includes needles, syringes, alcohol swab, condoms, voluntary testing and referral, counselling and </w:t>
      </w:r>
      <w:r w:rsidR="00A631C8">
        <w:rPr>
          <w:rFonts w:cs="Times New Roman"/>
          <w:szCs w:val="24"/>
        </w:rPr>
        <w:t>HIV</w:t>
      </w:r>
      <w:r w:rsidRPr="00E154BA">
        <w:rPr>
          <w:rFonts w:cs="Times New Roman"/>
          <w:szCs w:val="24"/>
        </w:rPr>
        <w:t xml:space="preserve"> /Hepatitis C (HCV) testing.</w:t>
      </w:r>
    </w:p>
    <w:p w:rsidR="00837550" w:rsidRPr="00E154BA" w:rsidRDefault="00837550" w:rsidP="00837550">
      <w:pPr>
        <w:pStyle w:val="Header"/>
        <w:spacing w:line="276" w:lineRule="auto"/>
        <w:rPr>
          <w:rFonts w:cs="Times New Roman"/>
          <w:szCs w:val="24"/>
        </w:rPr>
      </w:pPr>
    </w:p>
    <w:p w:rsidR="00837550" w:rsidRPr="00E154BA" w:rsidRDefault="00837550" w:rsidP="00094A49">
      <w:pPr>
        <w:pStyle w:val="Header"/>
        <w:spacing w:line="276" w:lineRule="auto"/>
        <w:rPr>
          <w:rFonts w:cs="Times New Roman"/>
          <w:szCs w:val="24"/>
        </w:rPr>
      </w:pPr>
      <w:r w:rsidRPr="00E154BA">
        <w:rPr>
          <w:rFonts w:cs="Times New Roman"/>
          <w:szCs w:val="24"/>
        </w:rPr>
        <w:t>For the year 2020, the total distribution of materials for the M</w:t>
      </w:r>
      <w:r w:rsidR="00094A49">
        <w:rPr>
          <w:rFonts w:cs="Times New Roman"/>
          <w:szCs w:val="24"/>
        </w:rPr>
        <w:t>O</w:t>
      </w:r>
      <w:r w:rsidRPr="00E154BA">
        <w:rPr>
          <w:rFonts w:cs="Times New Roman"/>
          <w:szCs w:val="24"/>
        </w:rPr>
        <w:t>HW and the NGO were as follows:</w:t>
      </w:r>
    </w:p>
    <w:p w:rsidR="00837550" w:rsidRPr="00B8149D" w:rsidRDefault="00837550" w:rsidP="00837550">
      <w:pPr>
        <w:pStyle w:val="Header"/>
        <w:spacing w:line="276" w:lineRule="auto"/>
        <w:ind w:left="450"/>
        <w:rPr>
          <w:rFonts w:cs="Times New Roman"/>
          <w:sz w:val="14"/>
          <w:szCs w:val="24"/>
        </w:rPr>
      </w:pPr>
    </w:p>
    <w:p w:rsidR="00837550" w:rsidRPr="00E154BA" w:rsidRDefault="00837550" w:rsidP="00837550">
      <w:pPr>
        <w:numPr>
          <w:ilvl w:val="0"/>
          <w:numId w:val="9"/>
        </w:numPr>
        <w:spacing w:after="0" w:line="276" w:lineRule="auto"/>
        <w:ind w:left="1080"/>
        <w:contextualSpacing/>
        <w:jc w:val="both"/>
        <w:rPr>
          <w:rFonts w:ascii="Times New Roman" w:hAnsi="Times New Roman" w:cs="Times New Roman"/>
          <w:sz w:val="24"/>
          <w:szCs w:val="24"/>
        </w:rPr>
      </w:pPr>
      <w:r w:rsidRPr="00E154BA">
        <w:rPr>
          <w:rFonts w:ascii="Times New Roman" w:hAnsi="Times New Roman" w:cs="Times New Roman"/>
          <w:sz w:val="24"/>
          <w:szCs w:val="24"/>
        </w:rPr>
        <w:t>Syringes: 687,402; and</w:t>
      </w:r>
    </w:p>
    <w:p w:rsidR="00837550" w:rsidRPr="00B8149D" w:rsidRDefault="00837550" w:rsidP="00837550">
      <w:pPr>
        <w:spacing w:after="0" w:line="276" w:lineRule="auto"/>
        <w:ind w:left="1080"/>
        <w:contextualSpacing/>
        <w:rPr>
          <w:rFonts w:ascii="Times New Roman" w:hAnsi="Times New Roman" w:cs="Times New Roman"/>
          <w:sz w:val="16"/>
          <w:szCs w:val="24"/>
        </w:rPr>
      </w:pPr>
    </w:p>
    <w:p w:rsidR="00837550" w:rsidRDefault="00837550" w:rsidP="00837550">
      <w:pPr>
        <w:numPr>
          <w:ilvl w:val="0"/>
          <w:numId w:val="9"/>
        </w:numPr>
        <w:spacing w:after="0" w:line="276" w:lineRule="auto"/>
        <w:ind w:left="1080"/>
        <w:contextualSpacing/>
        <w:jc w:val="both"/>
        <w:rPr>
          <w:rFonts w:ascii="Times New Roman" w:hAnsi="Times New Roman" w:cs="Times New Roman"/>
          <w:sz w:val="24"/>
          <w:szCs w:val="24"/>
        </w:rPr>
      </w:pPr>
      <w:r w:rsidRPr="00E154BA">
        <w:rPr>
          <w:rFonts w:ascii="Times New Roman" w:hAnsi="Times New Roman" w:cs="Times New Roman"/>
          <w:sz w:val="24"/>
          <w:szCs w:val="24"/>
        </w:rPr>
        <w:t>Needles: 707,041</w:t>
      </w:r>
    </w:p>
    <w:p w:rsidR="0066588B" w:rsidRDefault="0066588B" w:rsidP="00385668">
      <w:pPr>
        <w:spacing w:after="0" w:line="276" w:lineRule="auto"/>
        <w:ind w:left="-360"/>
        <w:rPr>
          <w:rFonts w:ascii="Times New Roman" w:hAnsi="Times New Roman" w:cs="Times New Roman"/>
          <w:sz w:val="24"/>
          <w:szCs w:val="24"/>
        </w:rPr>
      </w:pPr>
    </w:p>
    <w:p w:rsidR="00837550" w:rsidRPr="00385668" w:rsidRDefault="00385668" w:rsidP="00385668">
      <w:pPr>
        <w:spacing w:after="0" w:line="276" w:lineRule="auto"/>
        <w:ind w:left="-360"/>
        <w:rPr>
          <w:rFonts w:ascii="Times New Roman" w:hAnsi="Times New Roman" w:cs="Times New Roman"/>
          <w:sz w:val="24"/>
          <w:szCs w:val="24"/>
          <w:u w:val="single"/>
        </w:rPr>
      </w:pPr>
      <w:r w:rsidRPr="00385668">
        <w:rPr>
          <w:rFonts w:ascii="Times New Roman" w:hAnsi="Times New Roman" w:cs="Times New Roman"/>
          <w:sz w:val="24"/>
          <w:szCs w:val="24"/>
        </w:rPr>
        <w:t xml:space="preserve">3.3 </w:t>
      </w:r>
      <w:r w:rsidR="00837550" w:rsidRPr="00385668">
        <w:rPr>
          <w:rFonts w:ascii="Times New Roman" w:hAnsi="Times New Roman" w:cs="Times New Roman"/>
          <w:sz w:val="24"/>
          <w:szCs w:val="24"/>
          <w:u w:val="single"/>
        </w:rPr>
        <w:t>Drugs</w:t>
      </w:r>
    </w:p>
    <w:p w:rsidR="000D6910" w:rsidRDefault="000D6910" w:rsidP="00385668">
      <w:pPr>
        <w:pStyle w:val="Header"/>
        <w:spacing w:line="276" w:lineRule="auto"/>
        <w:rPr>
          <w:rFonts w:cs="Times New Roman"/>
          <w:szCs w:val="24"/>
        </w:rPr>
      </w:pPr>
    </w:p>
    <w:p w:rsidR="00837550" w:rsidRPr="00E154BA" w:rsidRDefault="00837550" w:rsidP="00385668">
      <w:pPr>
        <w:pStyle w:val="Header"/>
        <w:spacing w:line="276" w:lineRule="auto"/>
        <w:rPr>
          <w:rFonts w:cs="Times New Roman"/>
          <w:szCs w:val="24"/>
        </w:rPr>
      </w:pPr>
      <w:r w:rsidRPr="00E154BA">
        <w:rPr>
          <w:rFonts w:cs="Times New Roman"/>
          <w:szCs w:val="24"/>
        </w:rPr>
        <w:t>Since September 2016, a Drug Addiction Unit has been set up in each regional hospital and is operational under the direct supervision of psychiatrists of the regions for treatment counselling and referral services.</w:t>
      </w:r>
    </w:p>
    <w:p w:rsidR="00837550" w:rsidRPr="00E154BA" w:rsidRDefault="00837550" w:rsidP="00837550">
      <w:pPr>
        <w:pStyle w:val="Header"/>
        <w:spacing w:line="276" w:lineRule="auto"/>
        <w:rPr>
          <w:rFonts w:cs="Times New Roman"/>
          <w:szCs w:val="24"/>
        </w:rPr>
      </w:pPr>
    </w:p>
    <w:p w:rsidR="00837550" w:rsidRDefault="00837550" w:rsidP="00385668">
      <w:pPr>
        <w:pStyle w:val="Header"/>
        <w:spacing w:line="276" w:lineRule="auto"/>
        <w:rPr>
          <w:rFonts w:cs="Times New Roman"/>
          <w:szCs w:val="24"/>
        </w:rPr>
      </w:pPr>
      <w:r w:rsidRPr="00E154BA">
        <w:rPr>
          <w:rFonts w:cs="Times New Roman"/>
          <w:szCs w:val="24"/>
        </w:rPr>
        <w:t>In order to facilitate rehabilitation and reintegration of methadone beneficiaries in the mainstream society, a project with regard to methadone dispensing at primary health care settings has started since June 2018.</w:t>
      </w:r>
    </w:p>
    <w:p w:rsidR="006D1C28" w:rsidRPr="00E154BA" w:rsidRDefault="006D1C28" w:rsidP="00385668">
      <w:pPr>
        <w:pStyle w:val="Header"/>
        <w:spacing w:line="276" w:lineRule="auto"/>
        <w:rPr>
          <w:rFonts w:cs="Times New Roman"/>
          <w:szCs w:val="24"/>
        </w:rPr>
      </w:pPr>
    </w:p>
    <w:p w:rsidR="00837550" w:rsidRPr="00E154BA" w:rsidRDefault="00837550" w:rsidP="00385668">
      <w:pPr>
        <w:pStyle w:val="Header"/>
        <w:spacing w:line="276" w:lineRule="auto"/>
        <w:rPr>
          <w:rFonts w:cs="Times New Roman"/>
          <w:szCs w:val="24"/>
        </w:rPr>
      </w:pPr>
      <w:r w:rsidRPr="00E154BA">
        <w:rPr>
          <w:rFonts w:cs="Times New Roman"/>
          <w:szCs w:val="24"/>
        </w:rPr>
        <w:t>Since April 2016, the M</w:t>
      </w:r>
      <w:r w:rsidR="00385668">
        <w:rPr>
          <w:rFonts w:cs="Times New Roman"/>
          <w:szCs w:val="24"/>
        </w:rPr>
        <w:t>O</w:t>
      </w:r>
      <w:r w:rsidRPr="00E154BA">
        <w:rPr>
          <w:rFonts w:cs="Times New Roman"/>
          <w:szCs w:val="24"/>
        </w:rPr>
        <w:t>HW is conducting extensive national sensitization campaigns on substance abuse.  The objective is to create awareness among the population at large, and in particular, the youth, with a view to empower them with the right knowledge about ill effects of drugs.</w:t>
      </w:r>
    </w:p>
    <w:p w:rsidR="00837550" w:rsidRPr="00E154BA" w:rsidRDefault="00837550" w:rsidP="00837550">
      <w:pPr>
        <w:spacing w:after="0" w:line="276" w:lineRule="auto"/>
        <w:rPr>
          <w:rFonts w:ascii="Times New Roman" w:hAnsi="Times New Roman" w:cs="Times New Roman"/>
          <w:sz w:val="24"/>
          <w:szCs w:val="24"/>
        </w:rPr>
      </w:pPr>
    </w:p>
    <w:p w:rsidR="00837550" w:rsidRPr="00385668" w:rsidRDefault="00385668" w:rsidP="00385668">
      <w:pPr>
        <w:spacing w:after="0" w:line="276" w:lineRule="auto"/>
        <w:ind w:left="-360"/>
        <w:rPr>
          <w:rFonts w:ascii="Times New Roman" w:hAnsi="Times New Roman" w:cs="Times New Roman"/>
          <w:sz w:val="24"/>
          <w:szCs w:val="24"/>
          <w:u w:val="single"/>
        </w:rPr>
      </w:pPr>
      <w:r w:rsidRPr="00385668">
        <w:rPr>
          <w:rFonts w:ascii="Times New Roman" w:hAnsi="Times New Roman" w:cs="Times New Roman"/>
          <w:sz w:val="24"/>
          <w:szCs w:val="24"/>
        </w:rPr>
        <w:t xml:space="preserve">3.4 </w:t>
      </w:r>
      <w:r w:rsidR="00837550" w:rsidRPr="00385668">
        <w:rPr>
          <w:rFonts w:ascii="Times New Roman" w:hAnsi="Times New Roman" w:cs="Times New Roman"/>
          <w:sz w:val="24"/>
          <w:szCs w:val="24"/>
          <w:u w:val="single"/>
        </w:rPr>
        <w:t xml:space="preserve">Methadone Programme </w:t>
      </w:r>
    </w:p>
    <w:p w:rsidR="00837550" w:rsidRPr="00E154BA" w:rsidRDefault="00837550" w:rsidP="00837550">
      <w:pPr>
        <w:pStyle w:val="ListParagraph"/>
        <w:spacing w:after="0" w:line="276" w:lineRule="auto"/>
        <w:rPr>
          <w:rFonts w:ascii="Times New Roman" w:hAnsi="Times New Roman" w:cs="Times New Roman"/>
          <w:sz w:val="24"/>
          <w:szCs w:val="24"/>
        </w:rPr>
      </w:pPr>
    </w:p>
    <w:p w:rsidR="00837550" w:rsidRPr="00E154BA" w:rsidRDefault="00837550" w:rsidP="0091620D">
      <w:pPr>
        <w:pStyle w:val="Header"/>
        <w:spacing w:line="276" w:lineRule="auto"/>
        <w:rPr>
          <w:rFonts w:cs="Times New Roman"/>
          <w:szCs w:val="24"/>
        </w:rPr>
      </w:pPr>
      <w:r w:rsidRPr="00E154BA">
        <w:rPr>
          <w:rFonts w:cs="Times New Roman"/>
          <w:szCs w:val="24"/>
        </w:rPr>
        <w:t xml:space="preserve">Over 6,000 </w:t>
      </w:r>
      <w:r w:rsidR="004A2EBD">
        <w:rPr>
          <w:rFonts w:cs="Times New Roman"/>
          <w:szCs w:val="24"/>
        </w:rPr>
        <w:t>p</w:t>
      </w:r>
      <w:r w:rsidRPr="00E154BA">
        <w:rPr>
          <w:rFonts w:cs="Times New Roman"/>
          <w:szCs w:val="24"/>
        </w:rPr>
        <w:t xml:space="preserve">eople </w:t>
      </w:r>
      <w:r w:rsidR="004A2EBD">
        <w:rPr>
          <w:rFonts w:cs="Times New Roman"/>
          <w:szCs w:val="24"/>
        </w:rPr>
        <w:t>w</w:t>
      </w:r>
      <w:r w:rsidRPr="00E154BA">
        <w:rPr>
          <w:rFonts w:cs="Times New Roman"/>
          <w:szCs w:val="24"/>
        </w:rPr>
        <w:t xml:space="preserve">ho </w:t>
      </w:r>
      <w:r w:rsidR="004A2EBD">
        <w:rPr>
          <w:rFonts w:cs="Times New Roman"/>
          <w:szCs w:val="24"/>
        </w:rPr>
        <w:t>i</w:t>
      </w:r>
      <w:r w:rsidRPr="00E154BA">
        <w:rPr>
          <w:rFonts w:cs="Times New Roman"/>
          <w:szCs w:val="24"/>
        </w:rPr>
        <w:t xml:space="preserve">nject </w:t>
      </w:r>
      <w:r w:rsidR="004A2EBD">
        <w:rPr>
          <w:rFonts w:cs="Times New Roman"/>
          <w:szCs w:val="24"/>
        </w:rPr>
        <w:t>d</w:t>
      </w:r>
      <w:r w:rsidRPr="00E154BA">
        <w:rPr>
          <w:rFonts w:cs="Times New Roman"/>
          <w:szCs w:val="24"/>
        </w:rPr>
        <w:t xml:space="preserve">rugs were induced on methadone between 2006-2015 and the programme was reviewed and put on hold in July 2015. As at July 2015, some 8,400 injecting drug </w:t>
      </w:r>
      <w:r w:rsidRPr="00E154BA">
        <w:rPr>
          <w:rFonts w:cs="Times New Roman"/>
          <w:szCs w:val="24"/>
        </w:rPr>
        <w:lastRenderedPageBreak/>
        <w:t xml:space="preserve">users were induced on methadone and around 5000 beneficiaries are on the maintenance programme and accessing their daily doses at 42 dispensing points throughout the country including in the Prisons. </w:t>
      </w:r>
    </w:p>
    <w:p w:rsidR="00837550" w:rsidRPr="00E154BA" w:rsidRDefault="00837550" w:rsidP="00837550">
      <w:pPr>
        <w:pStyle w:val="Header"/>
        <w:spacing w:line="276" w:lineRule="auto"/>
        <w:rPr>
          <w:rFonts w:cs="Times New Roman"/>
          <w:szCs w:val="24"/>
        </w:rPr>
      </w:pPr>
    </w:p>
    <w:p w:rsidR="00837550" w:rsidRPr="00E154BA" w:rsidRDefault="00837550" w:rsidP="0091620D">
      <w:pPr>
        <w:pStyle w:val="Header"/>
        <w:spacing w:line="276" w:lineRule="auto"/>
        <w:rPr>
          <w:rFonts w:cs="Times New Roman"/>
          <w:szCs w:val="24"/>
        </w:rPr>
      </w:pPr>
      <w:r w:rsidRPr="00E154BA">
        <w:rPr>
          <w:rFonts w:cs="Times New Roman"/>
          <w:szCs w:val="24"/>
        </w:rPr>
        <w:t>In 2015, the number of Methadone dispensing sites was increased from 17 sites to 42 sites, bringing this service closer to users and last year, government has embarked on a pilot project to integrate Methadone dispensing within primary Health care settings. A dedicated centre set up in 2018 has greatly facilitated the induction of female injecting drug users onto Methadone.</w:t>
      </w:r>
    </w:p>
    <w:p w:rsidR="0066588B" w:rsidRDefault="0066588B" w:rsidP="000A70BD">
      <w:pPr>
        <w:spacing w:line="259" w:lineRule="auto"/>
        <w:ind w:left="-360"/>
        <w:jc w:val="both"/>
        <w:rPr>
          <w:rFonts w:ascii="Times New Roman" w:hAnsi="Times New Roman" w:cs="Times New Roman"/>
          <w:sz w:val="24"/>
          <w:szCs w:val="24"/>
          <w:lang w:val="en-GB"/>
        </w:rPr>
      </w:pPr>
    </w:p>
    <w:p w:rsidR="00016617" w:rsidRDefault="00016617" w:rsidP="000A70BD">
      <w:pPr>
        <w:spacing w:line="259" w:lineRule="auto"/>
        <w:ind w:left="-360"/>
        <w:jc w:val="both"/>
        <w:rPr>
          <w:rFonts w:ascii="Times New Roman" w:hAnsi="Times New Roman" w:cs="Times New Roman"/>
          <w:sz w:val="24"/>
          <w:szCs w:val="24"/>
          <w:lang w:val="en-GB"/>
        </w:rPr>
      </w:pPr>
    </w:p>
    <w:p w:rsidR="000D6910" w:rsidRDefault="000A70BD" w:rsidP="000A70BD">
      <w:pPr>
        <w:spacing w:line="259" w:lineRule="auto"/>
        <w:ind w:left="-3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3.5 </w:t>
      </w:r>
      <w:r w:rsidRPr="000A70BD">
        <w:rPr>
          <w:rFonts w:ascii="Times New Roman" w:hAnsi="Times New Roman" w:cs="Times New Roman"/>
          <w:sz w:val="24"/>
          <w:szCs w:val="24"/>
          <w:u w:val="single"/>
          <w:lang w:val="en-GB"/>
        </w:rPr>
        <w:t>Alcohol</w:t>
      </w:r>
    </w:p>
    <w:p w:rsidR="000A70BD" w:rsidRDefault="000A70BD" w:rsidP="000A70BD">
      <w:pPr>
        <w:pStyle w:val="Header"/>
        <w:spacing w:line="276" w:lineRule="auto"/>
      </w:pPr>
      <w:r>
        <w:rPr>
          <w:rFonts w:cs="Times New Roman"/>
          <w:szCs w:val="24"/>
        </w:rPr>
        <w:tab/>
      </w:r>
      <w:r w:rsidRPr="005B72D1">
        <w:t>An Acti</w:t>
      </w:r>
      <w:r>
        <w:t>on Plan for the period of 2020-</w:t>
      </w:r>
      <w:r w:rsidRPr="005B72D1">
        <w:t>2024 aims, inter alia, at reducing the harmful use of alcohol by at least 10 percent by year 2025 and to address alcohol related harmful effects through awareness campaigns. One of the recommendations of the National Action Plan is to strengthen and enforce the Public Health (Prohibition on Advertisement, Sponsorship and Restriction on Sale and Consumption in Public Places of Alcoholic Drinks) Regulations 2008.</w:t>
      </w:r>
    </w:p>
    <w:p w:rsidR="00EE3709" w:rsidRDefault="00EE3709" w:rsidP="000B7DC7">
      <w:pPr>
        <w:spacing w:line="259" w:lineRule="auto"/>
        <w:ind w:left="-360"/>
        <w:jc w:val="both"/>
        <w:rPr>
          <w:rFonts w:ascii="Times New Roman" w:hAnsi="Times New Roman" w:cs="Times New Roman"/>
          <w:b/>
          <w:sz w:val="24"/>
          <w:szCs w:val="24"/>
          <w:lang w:val="en-GB"/>
        </w:rPr>
      </w:pPr>
    </w:p>
    <w:p w:rsidR="000B7DC7" w:rsidRDefault="000B7DC7" w:rsidP="000B7DC7">
      <w:pPr>
        <w:spacing w:line="259" w:lineRule="auto"/>
        <w:ind w:left="-360"/>
        <w:jc w:val="both"/>
        <w:rPr>
          <w:rFonts w:ascii="Times New Roman" w:hAnsi="Times New Roman" w:cs="Times New Roman"/>
          <w:b/>
          <w:sz w:val="24"/>
          <w:szCs w:val="24"/>
          <w:u w:val="single"/>
          <w:lang w:val="en-GB"/>
        </w:rPr>
      </w:pPr>
      <w:r w:rsidRPr="000B7DC7">
        <w:rPr>
          <w:rFonts w:ascii="Times New Roman" w:hAnsi="Times New Roman" w:cs="Times New Roman"/>
          <w:b/>
          <w:sz w:val="24"/>
          <w:szCs w:val="24"/>
          <w:lang w:val="en-GB"/>
        </w:rPr>
        <w:t xml:space="preserve">4.0 </w:t>
      </w:r>
      <w:r w:rsidRPr="000B7DC7">
        <w:rPr>
          <w:rFonts w:ascii="Times New Roman" w:hAnsi="Times New Roman" w:cs="Times New Roman"/>
          <w:b/>
          <w:sz w:val="24"/>
          <w:szCs w:val="24"/>
          <w:u w:val="single"/>
          <w:lang w:val="en-GB"/>
        </w:rPr>
        <w:t>Training and Education: Health care professionals and educational institutions</w:t>
      </w:r>
    </w:p>
    <w:p w:rsidR="005A4DA8" w:rsidRDefault="005A4DA8" w:rsidP="0072048D">
      <w:pPr>
        <w:pStyle w:val="Header"/>
        <w:spacing w:line="276" w:lineRule="auto"/>
      </w:pPr>
    </w:p>
    <w:p w:rsidR="005A4DA8" w:rsidRDefault="005A4DA8" w:rsidP="005A4DA8">
      <w:pPr>
        <w:pStyle w:val="Header"/>
        <w:spacing w:line="276" w:lineRule="auto"/>
        <w:ind w:left="-360"/>
        <w:rPr>
          <w:u w:val="single"/>
        </w:rPr>
      </w:pPr>
      <w:r>
        <w:t xml:space="preserve">4.1 </w:t>
      </w:r>
      <w:r w:rsidR="00A20618">
        <w:rPr>
          <w:u w:val="single"/>
        </w:rPr>
        <w:t>Health</w:t>
      </w:r>
      <w:r w:rsidRPr="005A4DA8">
        <w:rPr>
          <w:u w:val="single"/>
        </w:rPr>
        <w:t>care professionals</w:t>
      </w:r>
    </w:p>
    <w:p w:rsidR="005A4DA8" w:rsidRPr="005A4DA8" w:rsidRDefault="005A4DA8" w:rsidP="005A4DA8">
      <w:pPr>
        <w:pStyle w:val="Header"/>
        <w:spacing w:line="276" w:lineRule="auto"/>
        <w:ind w:left="-360"/>
      </w:pPr>
    </w:p>
    <w:p w:rsidR="0072048D" w:rsidRDefault="0072048D" w:rsidP="0072048D">
      <w:pPr>
        <w:pStyle w:val="Header"/>
        <w:spacing w:line="276" w:lineRule="auto"/>
      </w:pPr>
      <w:r w:rsidRPr="007555B4">
        <w:t xml:space="preserve">One of the priorities of the Government is to enhance the quality of patient-centred services and upgrade the public health infrastructure. Government is investing massively to expand and modernise public hospitals with the construction of </w:t>
      </w:r>
      <w:r>
        <w:t xml:space="preserve">new </w:t>
      </w:r>
      <w:r w:rsidR="00F815E2">
        <w:t>h</w:t>
      </w:r>
      <w:r>
        <w:t>ospitals.</w:t>
      </w:r>
      <w:r w:rsidRPr="007555B4">
        <w:t xml:space="preserve"> In addition, Government is investing heavily in high-tech medical equipment as well as recruiting and training health personnel.</w:t>
      </w:r>
    </w:p>
    <w:p w:rsidR="009D1974" w:rsidRPr="007555B4" w:rsidRDefault="009D1974" w:rsidP="0072048D">
      <w:pPr>
        <w:pStyle w:val="Header"/>
        <w:spacing w:line="276" w:lineRule="auto"/>
      </w:pPr>
    </w:p>
    <w:p w:rsidR="005A4DA8" w:rsidRDefault="005A4DA8" w:rsidP="005A4DA8">
      <w:pPr>
        <w:pStyle w:val="Header"/>
        <w:spacing w:line="276" w:lineRule="auto"/>
        <w:ind w:left="-360"/>
        <w:rPr>
          <w:lang w:val="en-US"/>
        </w:rPr>
      </w:pPr>
      <w:r>
        <w:rPr>
          <w:lang w:val="en-US"/>
        </w:rPr>
        <w:t xml:space="preserve">4.2 </w:t>
      </w:r>
      <w:r w:rsidRPr="005A4DA8">
        <w:rPr>
          <w:u w:val="single"/>
          <w:lang w:val="en-US"/>
        </w:rPr>
        <w:t>Educational institutions</w:t>
      </w:r>
    </w:p>
    <w:p w:rsidR="005A4DA8" w:rsidRDefault="005A4DA8" w:rsidP="00E36C26">
      <w:pPr>
        <w:pStyle w:val="Header"/>
        <w:spacing w:line="276" w:lineRule="auto"/>
        <w:rPr>
          <w:lang w:val="en-US"/>
        </w:rPr>
      </w:pPr>
    </w:p>
    <w:p w:rsidR="00AD5A53" w:rsidRPr="009F2898" w:rsidRDefault="00AD5A53" w:rsidP="00E36C26">
      <w:pPr>
        <w:pStyle w:val="Header"/>
        <w:spacing w:line="276" w:lineRule="auto"/>
        <w:rPr>
          <w:lang w:val="en-US"/>
        </w:rPr>
      </w:pPr>
      <w:r w:rsidRPr="009F2898">
        <w:rPr>
          <w:lang w:val="en-US"/>
        </w:rPr>
        <w:t xml:space="preserve">The Mauritius Institute of Education reviewed the National Curriculum Framework for the primary and secondary sectors.  New subjects were introduced at secondary level like </w:t>
      </w:r>
      <w:r w:rsidR="009F2898" w:rsidRPr="00F245CF">
        <w:t>Drug Education and Sexual and Reproductive Health</w:t>
      </w:r>
      <w:r w:rsidR="009F2898">
        <w:t>.</w:t>
      </w:r>
    </w:p>
    <w:p w:rsidR="00AD5A53" w:rsidRPr="00AD5A53" w:rsidRDefault="001174A0" w:rsidP="00AD5A53">
      <w:pPr>
        <w:pStyle w:val="Header"/>
        <w:spacing w:line="276" w:lineRule="auto"/>
      </w:pPr>
      <w:r>
        <w:rPr>
          <w:rFonts w:cs="Times New Roman"/>
          <w:szCs w:val="24"/>
        </w:rPr>
        <w:tab/>
      </w:r>
    </w:p>
    <w:p w:rsidR="001174A0" w:rsidRPr="005B72D1" w:rsidRDefault="00E36C26" w:rsidP="00E36C26">
      <w:pPr>
        <w:pStyle w:val="Header"/>
        <w:spacing w:line="276" w:lineRule="auto"/>
      </w:pPr>
      <w:r>
        <w:t>Furthermore, t</w:t>
      </w:r>
      <w:r w:rsidR="001174A0" w:rsidRPr="005B72D1">
        <w:t xml:space="preserve">he </w:t>
      </w:r>
      <w:r>
        <w:t xml:space="preserve">following </w:t>
      </w:r>
      <w:r w:rsidR="001174A0" w:rsidRPr="005B72D1">
        <w:t xml:space="preserve">programmes </w:t>
      </w:r>
      <w:r>
        <w:t xml:space="preserve">were </w:t>
      </w:r>
      <w:r w:rsidR="001174A0" w:rsidRPr="005B72D1">
        <w:t xml:space="preserve">implemented in </w:t>
      </w:r>
      <w:r w:rsidR="00071D32" w:rsidRPr="005B72D1">
        <w:t>collaboration of Youth clubs, Colleges and Non-Governmental Organisations</w:t>
      </w:r>
      <w:r w:rsidR="00071D32">
        <w:t xml:space="preserve"> in</w:t>
      </w:r>
      <w:r w:rsidR="00071D32" w:rsidRPr="005B72D1">
        <w:t xml:space="preserve"> </w:t>
      </w:r>
      <w:r w:rsidR="001174A0" w:rsidRPr="005B72D1">
        <w:t>2018</w:t>
      </w:r>
      <w:r w:rsidR="001174A0">
        <w:t>-</w:t>
      </w:r>
      <w:r>
        <w:t xml:space="preserve">2019: </w:t>
      </w:r>
      <w:r w:rsidR="001174A0" w:rsidRPr="005B72D1">
        <w:t xml:space="preserve">Youth leadership training courses, </w:t>
      </w:r>
      <w:r w:rsidR="00445DF7">
        <w:t>l</w:t>
      </w:r>
      <w:r w:rsidR="001174A0" w:rsidRPr="005B72D1">
        <w:t xml:space="preserve">ife </w:t>
      </w:r>
      <w:r w:rsidR="00445DF7">
        <w:t>s</w:t>
      </w:r>
      <w:r w:rsidR="001174A0" w:rsidRPr="005B72D1">
        <w:t xml:space="preserve">kills </w:t>
      </w:r>
      <w:r w:rsidR="00445DF7">
        <w:t>e</w:t>
      </w:r>
      <w:r w:rsidR="001174A0" w:rsidRPr="005B72D1">
        <w:t xml:space="preserve">ducation programme, </w:t>
      </w:r>
      <w:r w:rsidR="00445DF7">
        <w:t>a</w:t>
      </w:r>
      <w:r w:rsidR="001174A0" w:rsidRPr="005B72D1">
        <w:t xml:space="preserve">dolescent </w:t>
      </w:r>
      <w:r w:rsidR="00445DF7">
        <w:t>r</w:t>
      </w:r>
      <w:r w:rsidR="001174A0" w:rsidRPr="005B72D1">
        <w:t xml:space="preserve">eproductive </w:t>
      </w:r>
      <w:r w:rsidR="00445DF7">
        <w:t>h</w:t>
      </w:r>
      <w:r w:rsidR="001174A0" w:rsidRPr="005B72D1">
        <w:t xml:space="preserve">ealth </w:t>
      </w:r>
      <w:r w:rsidR="00445DF7">
        <w:t>p</w:t>
      </w:r>
      <w:r w:rsidR="001174A0" w:rsidRPr="005B72D1">
        <w:t xml:space="preserve">rogramme, </w:t>
      </w:r>
      <w:r w:rsidR="00445DF7">
        <w:t>and s</w:t>
      </w:r>
      <w:r w:rsidR="001174A0" w:rsidRPr="005B72D1">
        <w:t xml:space="preserve">ensitisation programme on substance abuse, suicide, </w:t>
      </w:r>
      <w:r w:rsidR="00445DF7">
        <w:t>h</w:t>
      </w:r>
      <w:r w:rsidR="001174A0" w:rsidRPr="005B72D1">
        <w:t xml:space="preserve">uman </w:t>
      </w:r>
      <w:r w:rsidR="00445DF7">
        <w:t>r</w:t>
      </w:r>
      <w:r w:rsidR="001174A0" w:rsidRPr="005B72D1">
        <w:t xml:space="preserve">ights, gender-based violence, HIV&amp; AIDS and </w:t>
      </w:r>
      <w:r w:rsidR="001174A0" w:rsidRPr="005B72D1">
        <w:lastRenderedPageBreak/>
        <w:t>other youth-related issues. The actions targeted 20,00</w:t>
      </w:r>
      <w:r w:rsidR="0031242F">
        <w:t>0 youth from all walks of life-</w:t>
      </w:r>
      <w:r w:rsidR="001174A0" w:rsidRPr="005B72D1">
        <w:t xml:space="preserve">including students and out of school youth. </w:t>
      </w:r>
    </w:p>
    <w:p w:rsidR="009C534B" w:rsidRPr="003458A0" w:rsidRDefault="009C534B" w:rsidP="003458A0">
      <w:pPr>
        <w:spacing w:line="276" w:lineRule="auto"/>
        <w:jc w:val="both"/>
        <w:rPr>
          <w:rFonts w:ascii="Times New Roman" w:hAnsi="Times New Roman" w:cs="Times New Roman"/>
          <w:sz w:val="24"/>
          <w:szCs w:val="24"/>
        </w:rPr>
      </w:pPr>
    </w:p>
    <w:p w:rsidR="00E30087" w:rsidRDefault="000B7DC7" w:rsidP="00841AE5">
      <w:pPr>
        <w:spacing w:after="0"/>
        <w:ind w:left="-360"/>
        <w:jc w:val="both"/>
        <w:rPr>
          <w:rFonts w:ascii="Times New Roman" w:hAnsi="Times New Roman" w:cs="Times New Roman"/>
          <w:b/>
          <w:sz w:val="24"/>
          <w:szCs w:val="24"/>
        </w:rPr>
      </w:pPr>
      <w:r>
        <w:rPr>
          <w:rFonts w:ascii="Times New Roman" w:hAnsi="Times New Roman" w:cs="Times New Roman"/>
          <w:b/>
          <w:sz w:val="24"/>
          <w:szCs w:val="24"/>
        </w:rPr>
        <w:t>5</w:t>
      </w:r>
      <w:r w:rsidR="00756DD2">
        <w:rPr>
          <w:rFonts w:ascii="Times New Roman" w:hAnsi="Times New Roman" w:cs="Times New Roman"/>
          <w:b/>
          <w:sz w:val="24"/>
          <w:szCs w:val="24"/>
        </w:rPr>
        <w:t xml:space="preserve">.0 </w:t>
      </w:r>
      <w:r w:rsidR="00E7792D" w:rsidRPr="00756DD2">
        <w:rPr>
          <w:rFonts w:ascii="Times New Roman" w:hAnsi="Times New Roman" w:cs="Times New Roman"/>
          <w:b/>
          <w:sz w:val="24"/>
          <w:szCs w:val="24"/>
          <w:u w:val="single"/>
        </w:rPr>
        <w:t>Health Statistics</w:t>
      </w:r>
      <w:r w:rsidR="00E7792D" w:rsidRPr="00E154BA">
        <w:rPr>
          <w:rFonts w:ascii="Times New Roman" w:hAnsi="Times New Roman" w:cs="Times New Roman"/>
          <w:b/>
          <w:sz w:val="24"/>
          <w:szCs w:val="24"/>
        </w:rPr>
        <w:t xml:space="preserve"> </w:t>
      </w:r>
    </w:p>
    <w:p w:rsidR="00841AE5" w:rsidRDefault="00841AE5" w:rsidP="00841AE5">
      <w:pPr>
        <w:spacing w:after="0"/>
        <w:ind w:left="-360"/>
        <w:jc w:val="both"/>
        <w:rPr>
          <w:rFonts w:ascii="Times New Roman" w:hAnsi="Times New Roman" w:cs="Times New Roman"/>
          <w:b/>
          <w:sz w:val="24"/>
          <w:szCs w:val="24"/>
        </w:rPr>
      </w:pPr>
    </w:p>
    <w:p w:rsidR="00E30087" w:rsidRPr="00E154BA" w:rsidRDefault="00E30087" w:rsidP="00E30087">
      <w:pPr>
        <w:jc w:val="both"/>
        <w:rPr>
          <w:rFonts w:ascii="Times New Roman" w:eastAsia="Times New Roman" w:hAnsi="Times New Roman" w:cs="Times New Roman"/>
          <w:i/>
          <w:color w:val="000000"/>
          <w:sz w:val="24"/>
          <w:szCs w:val="24"/>
        </w:rPr>
      </w:pPr>
      <w:r w:rsidRPr="00E154BA">
        <w:rPr>
          <w:rFonts w:ascii="Times New Roman" w:hAnsi="Times New Roman" w:cs="Times New Roman"/>
          <w:sz w:val="24"/>
          <w:szCs w:val="24"/>
        </w:rPr>
        <w:t>The implementation of the National e-Health Project</w:t>
      </w:r>
      <w:r w:rsidR="00A20618">
        <w:rPr>
          <w:rFonts w:ascii="Times New Roman" w:hAnsi="Times New Roman" w:cs="Times New Roman"/>
          <w:sz w:val="24"/>
          <w:szCs w:val="24"/>
        </w:rPr>
        <w:t>,</w:t>
      </w:r>
      <w:r w:rsidRPr="00E154BA">
        <w:rPr>
          <w:rFonts w:ascii="Times New Roman" w:hAnsi="Times New Roman" w:cs="Times New Roman"/>
          <w:sz w:val="24"/>
          <w:szCs w:val="24"/>
        </w:rPr>
        <w:t xml:space="preserve"> which was announced in the Government Programme 2019 – 2024 and is budgeted under the vote of the Ministry of Health and Wellness is expected to provide for more disaggregated data to improve health services.  </w:t>
      </w:r>
    </w:p>
    <w:p w:rsidR="00171500" w:rsidRPr="00E154BA" w:rsidRDefault="00171500" w:rsidP="00982C56">
      <w:pPr>
        <w:spacing w:line="276" w:lineRule="auto"/>
        <w:jc w:val="both"/>
        <w:rPr>
          <w:rFonts w:ascii="Times New Roman" w:hAnsi="Times New Roman" w:cs="Times New Roman"/>
          <w:sz w:val="24"/>
          <w:szCs w:val="24"/>
        </w:rPr>
      </w:pPr>
      <w:r w:rsidRPr="00E154BA">
        <w:rPr>
          <w:rFonts w:ascii="Times New Roman" w:hAnsi="Times New Roman" w:cs="Times New Roman"/>
          <w:sz w:val="24"/>
          <w:szCs w:val="24"/>
        </w:rPr>
        <w:t xml:space="preserve">The Ministry of Health and Wellness publishes the Health Statistics Report on an Annual basis. The report provides for health statistics disaggregated by sex. Copies of the different Health Statistics Reports, the Health Sector Strategic Plan 2020-2024 and the National Health Accounts are accessible on the website of the Ministry of Health and Wellness: </w:t>
      </w:r>
      <w:hyperlink r:id="rId11" w:history="1">
        <w:r w:rsidRPr="00E154BA">
          <w:rPr>
            <w:rStyle w:val="Hyperlink"/>
            <w:rFonts w:ascii="Times New Roman" w:hAnsi="Times New Roman" w:cs="Times New Roman"/>
            <w:sz w:val="24"/>
            <w:szCs w:val="24"/>
          </w:rPr>
          <w:t>https://health.govmu.org/Pages/default.aspx</w:t>
        </w:r>
      </w:hyperlink>
      <w:r w:rsidRPr="00E154BA">
        <w:rPr>
          <w:rFonts w:ascii="Times New Roman" w:hAnsi="Times New Roman" w:cs="Times New Roman"/>
          <w:sz w:val="24"/>
          <w:szCs w:val="24"/>
        </w:rPr>
        <w:t xml:space="preserve"> </w:t>
      </w:r>
    </w:p>
    <w:p w:rsidR="00D1452C" w:rsidRPr="00E154BA" w:rsidRDefault="00B95B30" w:rsidP="00CA5198">
      <w:pPr>
        <w:jc w:val="both"/>
        <w:rPr>
          <w:rFonts w:ascii="Times New Roman" w:eastAsia="Times New Roman" w:hAnsi="Times New Roman" w:cs="Times New Roman"/>
          <w:color w:val="000000"/>
          <w:sz w:val="24"/>
          <w:szCs w:val="24"/>
        </w:rPr>
      </w:pPr>
      <w:r w:rsidRPr="00E154BA">
        <w:rPr>
          <w:rFonts w:ascii="Times New Roman" w:eastAsia="Times New Roman" w:hAnsi="Times New Roman" w:cs="Times New Roman"/>
          <w:color w:val="000000"/>
          <w:sz w:val="24"/>
          <w:szCs w:val="24"/>
        </w:rPr>
        <w:t>I</w:t>
      </w:r>
      <w:r w:rsidR="00D1452C" w:rsidRPr="00E154BA">
        <w:rPr>
          <w:rFonts w:ascii="Times New Roman" w:eastAsia="Times New Roman" w:hAnsi="Times New Roman" w:cs="Times New Roman"/>
          <w:color w:val="000000"/>
          <w:sz w:val="24"/>
          <w:szCs w:val="24"/>
        </w:rPr>
        <w:t>ntegrated Biological and Behavioral Surveillance Survey</w:t>
      </w:r>
      <w:r w:rsidR="003B3F83" w:rsidRPr="00E154BA">
        <w:rPr>
          <w:rFonts w:ascii="Times New Roman" w:eastAsia="Times New Roman" w:hAnsi="Times New Roman" w:cs="Times New Roman"/>
          <w:color w:val="000000"/>
          <w:sz w:val="24"/>
          <w:szCs w:val="24"/>
        </w:rPr>
        <w:t xml:space="preserve"> </w:t>
      </w:r>
      <w:r w:rsidRPr="00E154BA">
        <w:rPr>
          <w:rFonts w:ascii="Times New Roman" w:eastAsia="Times New Roman" w:hAnsi="Times New Roman" w:cs="Times New Roman"/>
          <w:color w:val="000000"/>
          <w:sz w:val="24"/>
          <w:szCs w:val="24"/>
        </w:rPr>
        <w:t xml:space="preserve">(IBBS) </w:t>
      </w:r>
      <w:r w:rsidR="00D1452C" w:rsidRPr="00E154BA">
        <w:rPr>
          <w:rFonts w:ascii="Times New Roman" w:eastAsia="Times New Roman" w:hAnsi="Times New Roman" w:cs="Times New Roman"/>
          <w:color w:val="000000"/>
          <w:sz w:val="24"/>
          <w:szCs w:val="24"/>
        </w:rPr>
        <w:t xml:space="preserve">2017 among </w:t>
      </w:r>
      <w:r w:rsidR="003A1B9C">
        <w:rPr>
          <w:rFonts w:ascii="Times New Roman" w:eastAsia="Times New Roman" w:hAnsi="Times New Roman" w:cs="Times New Roman"/>
          <w:color w:val="000000"/>
          <w:sz w:val="24"/>
          <w:szCs w:val="24"/>
        </w:rPr>
        <w:t>t</w:t>
      </w:r>
      <w:r w:rsidR="00D1452C" w:rsidRPr="00E154BA">
        <w:rPr>
          <w:rFonts w:ascii="Times New Roman" w:eastAsia="Times New Roman" w:hAnsi="Times New Roman" w:cs="Times New Roman"/>
          <w:color w:val="000000"/>
          <w:sz w:val="24"/>
          <w:szCs w:val="24"/>
        </w:rPr>
        <w:t xml:space="preserve">ransgender </w:t>
      </w:r>
      <w:r w:rsidR="003A1B9C">
        <w:rPr>
          <w:rFonts w:ascii="Times New Roman" w:eastAsia="Times New Roman" w:hAnsi="Times New Roman" w:cs="Times New Roman"/>
          <w:color w:val="000000"/>
          <w:sz w:val="24"/>
          <w:szCs w:val="24"/>
        </w:rPr>
        <w:t>p</w:t>
      </w:r>
      <w:r w:rsidR="00D1452C" w:rsidRPr="00E154BA">
        <w:rPr>
          <w:rFonts w:ascii="Times New Roman" w:eastAsia="Times New Roman" w:hAnsi="Times New Roman" w:cs="Times New Roman"/>
          <w:color w:val="000000"/>
          <w:sz w:val="24"/>
          <w:szCs w:val="24"/>
        </w:rPr>
        <w:t>ersons indicated that 55% of the participants reported having a very supportive community regarding their transgender identity. 3% reported having been denied HIV-related services.</w:t>
      </w:r>
      <w:r w:rsidR="00CA5198">
        <w:rPr>
          <w:rFonts w:ascii="Times New Roman" w:eastAsia="Times New Roman" w:hAnsi="Times New Roman" w:cs="Times New Roman"/>
          <w:color w:val="000000"/>
          <w:sz w:val="24"/>
          <w:szCs w:val="24"/>
        </w:rPr>
        <w:t xml:space="preserve"> </w:t>
      </w:r>
      <w:r w:rsidR="00D1452C" w:rsidRPr="00E154BA">
        <w:rPr>
          <w:rFonts w:ascii="Times New Roman" w:eastAsia="Times New Roman" w:hAnsi="Times New Roman" w:cs="Times New Roman"/>
          <w:color w:val="000000"/>
          <w:sz w:val="24"/>
          <w:szCs w:val="24"/>
        </w:rPr>
        <w:t xml:space="preserve">30% of </w:t>
      </w:r>
      <w:r w:rsidR="001E4483">
        <w:rPr>
          <w:rFonts w:ascii="Times New Roman" w:eastAsia="Times New Roman" w:hAnsi="Times New Roman" w:cs="Times New Roman"/>
          <w:color w:val="000000"/>
          <w:sz w:val="24"/>
          <w:szCs w:val="24"/>
        </w:rPr>
        <w:t>t</w:t>
      </w:r>
      <w:r w:rsidR="001E4483" w:rsidRPr="00E154BA">
        <w:rPr>
          <w:rFonts w:ascii="Times New Roman" w:eastAsia="Times New Roman" w:hAnsi="Times New Roman" w:cs="Times New Roman"/>
          <w:color w:val="000000"/>
          <w:sz w:val="24"/>
          <w:szCs w:val="24"/>
        </w:rPr>
        <w:t xml:space="preserve">ransgender </w:t>
      </w:r>
      <w:r w:rsidR="005E6732">
        <w:rPr>
          <w:rFonts w:ascii="Times New Roman" w:eastAsia="Times New Roman" w:hAnsi="Times New Roman" w:cs="Times New Roman"/>
          <w:color w:val="000000"/>
          <w:sz w:val="24"/>
          <w:szCs w:val="24"/>
        </w:rPr>
        <w:t>p</w:t>
      </w:r>
      <w:r w:rsidR="005E6732" w:rsidRPr="00E154BA">
        <w:rPr>
          <w:rFonts w:ascii="Times New Roman" w:eastAsia="Times New Roman" w:hAnsi="Times New Roman" w:cs="Times New Roman"/>
          <w:color w:val="000000"/>
          <w:sz w:val="24"/>
          <w:szCs w:val="24"/>
        </w:rPr>
        <w:t>ersons perceived</w:t>
      </w:r>
      <w:r w:rsidR="00D1452C" w:rsidRPr="00E154BA">
        <w:rPr>
          <w:rFonts w:ascii="Times New Roman" w:eastAsia="Times New Roman" w:hAnsi="Times New Roman" w:cs="Times New Roman"/>
          <w:color w:val="000000"/>
          <w:sz w:val="24"/>
          <w:szCs w:val="24"/>
        </w:rPr>
        <w:t xml:space="preserve"> themselves to have been physically abused </w:t>
      </w:r>
      <w:r w:rsidR="00CA5198">
        <w:rPr>
          <w:rFonts w:ascii="Times New Roman" w:eastAsia="Times New Roman" w:hAnsi="Times New Roman" w:cs="Times New Roman"/>
          <w:color w:val="000000"/>
          <w:sz w:val="24"/>
          <w:szCs w:val="24"/>
        </w:rPr>
        <w:t xml:space="preserve">and </w:t>
      </w:r>
      <w:r w:rsidR="00CA5198" w:rsidRPr="00E154BA">
        <w:rPr>
          <w:rFonts w:ascii="Times New Roman" w:eastAsia="Times New Roman" w:hAnsi="Times New Roman" w:cs="Times New Roman"/>
          <w:color w:val="000000"/>
          <w:sz w:val="24"/>
          <w:szCs w:val="24"/>
        </w:rPr>
        <w:t>21%</w:t>
      </w:r>
      <w:r w:rsidR="00CA5198" w:rsidRPr="00CA5198">
        <w:rPr>
          <w:rFonts w:ascii="Times New Roman" w:eastAsia="Times New Roman" w:hAnsi="Times New Roman" w:cs="Times New Roman"/>
          <w:color w:val="000000"/>
          <w:sz w:val="24"/>
          <w:szCs w:val="24"/>
        </w:rPr>
        <w:t xml:space="preserve"> </w:t>
      </w:r>
      <w:r w:rsidR="00CA5198" w:rsidRPr="00E154BA">
        <w:rPr>
          <w:rFonts w:ascii="Times New Roman" w:eastAsia="Times New Roman" w:hAnsi="Times New Roman" w:cs="Times New Roman"/>
          <w:color w:val="000000"/>
          <w:sz w:val="24"/>
          <w:szCs w:val="24"/>
        </w:rPr>
        <w:t xml:space="preserve">perceived themselves to have been sexually abused </w:t>
      </w:r>
      <w:r w:rsidR="00D1452C" w:rsidRPr="00E154BA">
        <w:rPr>
          <w:rFonts w:ascii="Times New Roman" w:eastAsia="Times New Roman" w:hAnsi="Times New Roman" w:cs="Times New Roman"/>
          <w:color w:val="000000"/>
          <w:sz w:val="24"/>
          <w:szCs w:val="24"/>
        </w:rPr>
        <w:t xml:space="preserve">because of the </w:t>
      </w:r>
      <w:r w:rsidR="005E6732">
        <w:rPr>
          <w:rFonts w:ascii="Times New Roman" w:eastAsia="Times New Roman" w:hAnsi="Times New Roman" w:cs="Times New Roman"/>
          <w:color w:val="000000"/>
          <w:sz w:val="24"/>
          <w:szCs w:val="24"/>
        </w:rPr>
        <w:t>t</w:t>
      </w:r>
      <w:r w:rsidR="00CA5198">
        <w:rPr>
          <w:rFonts w:ascii="Times New Roman" w:eastAsia="Times New Roman" w:hAnsi="Times New Roman" w:cs="Times New Roman"/>
          <w:color w:val="000000"/>
          <w:sz w:val="24"/>
          <w:szCs w:val="24"/>
        </w:rPr>
        <w:t xml:space="preserve">ransgender identity. </w:t>
      </w:r>
    </w:p>
    <w:p w:rsidR="000E4E8A" w:rsidRPr="00E154BA" w:rsidRDefault="000E4E8A" w:rsidP="00982C56">
      <w:pPr>
        <w:jc w:val="both"/>
        <w:rPr>
          <w:rFonts w:ascii="Times New Roman" w:hAnsi="Times New Roman" w:cs="Times New Roman"/>
          <w:sz w:val="24"/>
          <w:szCs w:val="24"/>
        </w:rPr>
      </w:pPr>
    </w:p>
    <w:p w:rsidR="00B00B97" w:rsidRPr="00B00B97" w:rsidRDefault="009C534B" w:rsidP="00B00B97">
      <w:pPr>
        <w:jc w:val="right"/>
        <w:rPr>
          <w:rFonts w:ascii="Times New Roman" w:hAnsi="Times New Roman" w:cs="Times New Roman"/>
          <w:b/>
          <w:sz w:val="24"/>
          <w:szCs w:val="24"/>
        </w:rPr>
      </w:pPr>
      <w:r>
        <w:rPr>
          <w:rFonts w:ascii="Times New Roman" w:hAnsi="Times New Roman" w:cs="Times New Roman"/>
          <w:b/>
          <w:sz w:val="24"/>
          <w:szCs w:val="24"/>
        </w:rPr>
        <w:t>31</w:t>
      </w:r>
      <w:r w:rsidR="00B00B97" w:rsidRPr="00B00B97">
        <w:rPr>
          <w:rFonts w:ascii="Times New Roman" w:hAnsi="Times New Roman" w:cs="Times New Roman"/>
          <w:b/>
          <w:sz w:val="24"/>
          <w:szCs w:val="24"/>
        </w:rPr>
        <w:t>.01.202</w:t>
      </w:r>
      <w:r>
        <w:rPr>
          <w:rFonts w:ascii="Times New Roman" w:hAnsi="Times New Roman" w:cs="Times New Roman"/>
          <w:b/>
          <w:sz w:val="24"/>
          <w:szCs w:val="24"/>
        </w:rPr>
        <w:t>2</w:t>
      </w:r>
    </w:p>
    <w:sectPr w:rsidR="00B00B97" w:rsidRPr="00B00B97" w:rsidSect="00C701C0">
      <w:headerReference w:type="default" r:id="rId12"/>
      <w:footerReference w:type="default" r:id="rId13"/>
      <w:pgSz w:w="12240" w:h="15840"/>
      <w:pgMar w:top="1080"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307" w:rsidRDefault="00E10307" w:rsidP="0008711C">
      <w:pPr>
        <w:spacing w:after="0" w:line="240" w:lineRule="auto"/>
      </w:pPr>
      <w:r>
        <w:separator/>
      </w:r>
    </w:p>
  </w:endnote>
  <w:endnote w:type="continuationSeparator" w:id="0">
    <w:p w:rsidR="00E10307" w:rsidRDefault="00E10307" w:rsidP="0008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3719222"/>
      <w:docPartObj>
        <w:docPartGallery w:val="Page Numbers (Bottom of Page)"/>
        <w:docPartUnique/>
      </w:docPartObj>
    </w:sdtPr>
    <w:sdtEndPr/>
    <w:sdtContent>
      <w:sdt>
        <w:sdtPr>
          <w:id w:val="1558744379"/>
          <w:docPartObj>
            <w:docPartGallery w:val="Page Numbers (Top of Page)"/>
            <w:docPartUnique/>
          </w:docPartObj>
        </w:sdtPr>
        <w:sdtEndPr/>
        <w:sdtContent>
          <w:p w:rsidR="0008711C" w:rsidRDefault="0008711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4416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44165">
              <w:rPr>
                <w:b/>
                <w:bCs/>
                <w:noProof/>
              </w:rPr>
              <w:t>7</w:t>
            </w:r>
            <w:r>
              <w:rPr>
                <w:b/>
                <w:bCs/>
                <w:sz w:val="24"/>
                <w:szCs w:val="24"/>
              </w:rPr>
              <w:fldChar w:fldCharType="end"/>
            </w:r>
          </w:p>
        </w:sdtContent>
      </w:sdt>
    </w:sdtContent>
  </w:sdt>
  <w:p w:rsidR="0008711C" w:rsidRDefault="0008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307" w:rsidRDefault="00E10307" w:rsidP="0008711C">
      <w:pPr>
        <w:spacing w:after="0" w:line="240" w:lineRule="auto"/>
      </w:pPr>
      <w:r>
        <w:separator/>
      </w:r>
    </w:p>
  </w:footnote>
  <w:footnote w:type="continuationSeparator" w:id="0">
    <w:p w:rsidR="00E10307" w:rsidRDefault="00E10307" w:rsidP="00087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9AA" w:rsidRDefault="000709AA">
    <w:pPr>
      <w:pStyle w:val="Header"/>
      <w:rPr>
        <w:i/>
        <w:lang w:val="fr-CH"/>
      </w:rPr>
    </w:pPr>
    <w:r w:rsidRPr="000709AA">
      <w:rPr>
        <w:i/>
        <w:lang w:val="fr-CH"/>
      </w:rPr>
      <w:t>Mauritius</w:t>
    </w:r>
  </w:p>
  <w:p w:rsidR="000709AA" w:rsidRDefault="000709AA">
    <w:pPr>
      <w:pStyle w:val="Header"/>
      <w:rPr>
        <w:i/>
        <w:lang w:val="fr-CH"/>
      </w:rPr>
    </w:pPr>
  </w:p>
  <w:p w:rsidR="000709AA" w:rsidRPr="000709AA" w:rsidRDefault="000709AA">
    <w:pPr>
      <w:pStyle w:val="Header"/>
      <w:rPr>
        <w:i/>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0EDA"/>
    <w:multiLevelType w:val="multilevel"/>
    <w:tmpl w:val="030F0E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0D0BFB"/>
    <w:multiLevelType w:val="hybridMultilevel"/>
    <w:tmpl w:val="7FC8BFA2"/>
    <w:lvl w:ilvl="0" w:tplc="CB04EE92">
      <w:start w:val="1"/>
      <w:numFmt w:val="lowerLetter"/>
      <w:lvlText w:val="(%1)"/>
      <w:lvlJc w:val="right"/>
      <w:pPr>
        <w:ind w:left="1440" w:hanging="360"/>
      </w:pPr>
      <w:rPr>
        <w:rFonts w:hint="default"/>
        <w:b w:val="0"/>
        <w:i w:val="0"/>
        <w:color w:val="000000" w:themeColor="text1"/>
        <w:sz w:val="23"/>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9975C2"/>
    <w:multiLevelType w:val="multilevel"/>
    <w:tmpl w:val="139975C2"/>
    <w:lvl w:ilvl="0">
      <w:start w:val="1"/>
      <w:numFmt w:val="bullet"/>
      <w:lvlText w:val=""/>
      <w:lvlJc w:val="left"/>
      <w:pPr>
        <w:ind w:left="630" w:hanging="360"/>
      </w:pPr>
      <w:rPr>
        <w:rFonts w:ascii="Symbol" w:hAnsi="Symbol"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3" w15:restartNumberingAfterBreak="0">
    <w:nsid w:val="1D3E1B05"/>
    <w:multiLevelType w:val="multilevel"/>
    <w:tmpl w:val="1D3E1B05"/>
    <w:lvl w:ilvl="0">
      <w:start w:val="1"/>
      <w:numFmt w:val="decimal"/>
      <w:lvlText w:val="%1."/>
      <w:lvlJc w:val="left"/>
      <w:pPr>
        <w:ind w:left="360" w:hanging="360"/>
      </w:pPr>
      <w:rPr>
        <w:rFonts w:hint="default"/>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4" w15:restartNumberingAfterBreak="0">
    <w:nsid w:val="454F225A"/>
    <w:multiLevelType w:val="multilevel"/>
    <w:tmpl w:val="454F225A"/>
    <w:lvl w:ilvl="0">
      <w:start w:val="1"/>
      <w:numFmt w:val="lowerLetter"/>
      <w:lvlText w:val="(%1)"/>
      <w:lvlJc w:val="left"/>
      <w:pPr>
        <w:ind w:left="1080" w:hanging="360"/>
      </w:pPr>
      <w:rPr>
        <w:rFonts w:hint="default"/>
        <w:b w:val="0"/>
        <w:i w:val="0"/>
        <w:color w:val="000000" w:themeColor="text1"/>
        <w:sz w:val="23"/>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32870A4"/>
    <w:multiLevelType w:val="hybridMultilevel"/>
    <w:tmpl w:val="08B8FD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2C0283"/>
    <w:multiLevelType w:val="multilevel"/>
    <w:tmpl w:val="622C0283"/>
    <w:lvl w:ilvl="0">
      <w:start w:val="1"/>
      <w:numFmt w:val="lowerLetter"/>
      <w:lvlText w:val="%1)"/>
      <w:lvlJc w:val="left"/>
      <w:pPr>
        <w:ind w:left="2520" w:hanging="360"/>
      </w:pPr>
      <w:rPr>
        <w:b w:val="0"/>
        <w:i w:val="0"/>
        <w:sz w:val="24"/>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15:restartNumberingAfterBreak="0">
    <w:nsid w:val="63C67BC3"/>
    <w:multiLevelType w:val="multilevel"/>
    <w:tmpl w:val="63C67BC3"/>
    <w:lvl w:ilvl="0">
      <w:start w:val="1"/>
      <w:numFmt w:val="lowerLetter"/>
      <w:lvlText w:val="(%1)"/>
      <w:lvlJc w:val="left"/>
      <w:pPr>
        <w:ind w:left="1800" w:hanging="360"/>
      </w:pPr>
      <w:rPr>
        <w:rFonts w:hint="default"/>
        <w:b w:val="0"/>
        <w:i w:val="0"/>
        <w:color w:val="000000" w:themeColor="text1"/>
        <w:sz w:val="23"/>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660A5A5C"/>
    <w:multiLevelType w:val="hybridMultilevel"/>
    <w:tmpl w:val="AAE6C990"/>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6633E0C"/>
    <w:multiLevelType w:val="multilevel"/>
    <w:tmpl w:val="66633E0C"/>
    <w:lvl w:ilvl="0">
      <w:start w:val="1"/>
      <w:numFmt w:val="lowerRoman"/>
      <w:lvlText w:val="(%1)"/>
      <w:lvlJc w:val="left"/>
      <w:pPr>
        <w:ind w:left="1800" w:hanging="360"/>
      </w:pPr>
      <w:rPr>
        <w:rFonts w:hint="default"/>
        <w:b w:val="0"/>
        <w:i/>
        <w:color w:val="201F1E"/>
        <w:sz w:val="23"/>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705A737F"/>
    <w:multiLevelType w:val="hybridMultilevel"/>
    <w:tmpl w:val="93D014E2"/>
    <w:lvl w:ilvl="0" w:tplc="E2800BBA">
      <w:start w:val="1"/>
      <w:numFmt w:val="decimal"/>
      <w:lvlText w:val="%1."/>
      <w:lvlJc w:val="left"/>
      <w:pPr>
        <w:ind w:left="720" w:hanging="360"/>
      </w:pPr>
      <w:rPr>
        <w:b w:val="0"/>
        <w:i w:val="0"/>
        <w:color w:val="000000" w:themeColor="text1"/>
      </w:rPr>
    </w:lvl>
    <w:lvl w:ilvl="1" w:tplc="BA5879F4">
      <w:numFmt w:val="bullet"/>
      <w:lvlText w:val="-"/>
      <w:lvlJc w:val="left"/>
      <w:pPr>
        <w:ind w:left="1710" w:hanging="720"/>
      </w:pPr>
      <w:rPr>
        <w:rFonts w:ascii="Times New Roman" w:eastAsiaTheme="minorHAnsi" w:hAnsi="Times New Roman" w:cs="Times New Roman" w:hint="default"/>
      </w:rPr>
    </w:lvl>
    <w:lvl w:ilvl="2" w:tplc="E38E8416">
      <w:start w:val="4"/>
      <w:numFmt w:val="bullet"/>
      <w:lvlText w:val="•"/>
      <w:lvlJc w:val="left"/>
      <w:pPr>
        <w:ind w:left="2610" w:hanging="720"/>
      </w:pPr>
      <w:rPr>
        <w:rFonts w:ascii="Times New Roman" w:eastAsiaTheme="minorHAnsi" w:hAnsi="Times New Roman" w:cs="Times New Roman"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
  </w:num>
  <w:num w:numId="2">
    <w:abstractNumId w:val="9"/>
  </w:num>
  <w:num w:numId="3">
    <w:abstractNumId w:val="7"/>
  </w:num>
  <w:num w:numId="4">
    <w:abstractNumId w:val="6"/>
  </w:num>
  <w:num w:numId="5">
    <w:abstractNumId w:val="4"/>
  </w:num>
  <w:num w:numId="6">
    <w:abstractNumId w:val="2"/>
  </w:num>
  <w:num w:numId="7">
    <w:abstractNumId w:val="1"/>
  </w:num>
  <w:num w:numId="8">
    <w:abstractNumId w:val="10"/>
  </w:num>
  <w:num w:numId="9">
    <w:abstractNumId w:val="5"/>
  </w:num>
  <w:num w:numId="10">
    <w:abstractNumId w:va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7B7"/>
    <w:rsid w:val="00002479"/>
    <w:rsid w:val="00005995"/>
    <w:rsid w:val="00015832"/>
    <w:rsid w:val="00016617"/>
    <w:rsid w:val="00024A18"/>
    <w:rsid w:val="00026356"/>
    <w:rsid w:val="00043155"/>
    <w:rsid w:val="000512D7"/>
    <w:rsid w:val="00054E1E"/>
    <w:rsid w:val="00063FD7"/>
    <w:rsid w:val="000707E6"/>
    <w:rsid w:val="000709AA"/>
    <w:rsid w:val="00070E9C"/>
    <w:rsid w:val="00071D32"/>
    <w:rsid w:val="00081BB2"/>
    <w:rsid w:val="00083AD5"/>
    <w:rsid w:val="0008711C"/>
    <w:rsid w:val="00094A49"/>
    <w:rsid w:val="000A70BD"/>
    <w:rsid w:val="000B0B30"/>
    <w:rsid w:val="000B29B4"/>
    <w:rsid w:val="000B6FFD"/>
    <w:rsid w:val="000B7DC7"/>
    <w:rsid w:val="000D6910"/>
    <w:rsid w:val="000E4E8A"/>
    <w:rsid w:val="000E4FF2"/>
    <w:rsid w:val="000F782E"/>
    <w:rsid w:val="0010436B"/>
    <w:rsid w:val="001174A0"/>
    <w:rsid w:val="00137BEF"/>
    <w:rsid w:val="00143031"/>
    <w:rsid w:val="0014527A"/>
    <w:rsid w:val="001611F4"/>
    <w:rsid w:val="00162A14"/>
    <w:rsid w:val="00162B9D"/>
    <w:rsid w:val="001700CE"/>
    <w:rsid w:val="00171500"/>
    <w:rsid w:val="00186FB7"/>
    <w:rsid w:val="001A1AB1"/>
    <w:rsid w:val="001A2413"/>
    <w:rsid w:val="001E4483"/>
    <w:rsid w:val="001F2B44"/>
    <w:rsid w:val="001F6043"/>
    <w:rsid w:val="00207812"/>
    <w:rsid w:val="00212016"/>
    <w:rsid w:val="00217350"/>
    <w:rsid w:val="00290D8E"/>
    <w:rsid w:val="00290EDB"/>
    <w:rsid w:val="002954AE"/>
    <w:rsid w:val="002C270E"/>
    <w:rsid w:val="002D6782"/>
    <w:rsid w:val="003020BC"/>
    <w:rsid w:val="0031242F"/>
    <w:rsid w:val="003458A0"/>
    <w:rsid w:val="00351D8F"/>
    <w:rsid w:val="00361828"/>
    <w:rsid w:val="00363F26"/>
    <w:rsid w:val="00380A42"/>
    <w:rsid w:val="00385668"/>
    <w:rsid w:val="00385F1D"/>
    <w:rsid w:val="0039212C"/>
    <w:rsid w:val="003932DE"/>
    <w:rsid w:val="003A1B9C"/>
    <w:rsid w:val="003A2904"/>
    <w:rsid w:val="003B3F83"/>
    <w:rsid w:val="003B464E"/>
    <w:rsid w:val="003D51F1"/>
    <w:rsid w:val="003D6255"/>
    <w:rsid w:val="003E32F4"/>
    <w:rsid w:val="003E5D44"/>
    <w:rsid w:val="003E6BEF"/>
    <w:rsid w:val="003F687B"/>
    <w:rsid w:val="00403B0F"/>
    <w:rsid w:val="00411ED3"/>
    <w:rsid w:val="004343CE"/>
    <w:rsid w:val="00445DF7"/>
    <w:rsid w:val="00447113"/>
    <w:rsid w:val="0047082E"/>
    <w:rsid w:val="00480132"/>
    <w:rsid w:val="00492170"/>
    <w:rsid w:val="004A2EBD"/>
    <w:rsid w:val="004A5BBA"/>
    <w:rsid w:val="004D1882"/>
    <w:rsid w:val="004D67E5"/>
    <w:rsid w:val="004E4AD7"/>
    <w:rsid w:val="004F5C8F"/>
    <w:rsid w:val="004F6AFE"/>
    <w:rsid w:val="00500B3D"/>
    <w:rsid w:val="00506BE1"/>
    <w:rsid w:val="00510DD4"/>
    <w:rsid w:val="0051179C"/>
    <w:rsid w:val="0053053D"/>
    <w:rsid w:val="00562186"/>
    <w:rsid w:val="0058407E"/>
    <w:rsid w:val="005A0866"/>
    <w:rsid w:val="005A1F7C"/>
    <w:rsid w:val="005A4DA8"/>
    <w:rsid w:val="005D0CB4"/>
    <w:rsid w:val="005D4349"/>
    <w:rsid w:val="005E6123"/>
    <w:rsid w:val="005E6732"/>
    <w:rsid w:val="005F2A4B"/>
    <w:rsid w:val="00617B91"/>
    <w:rsid w:val="00647FAC"/>
    <w:rsid w:val="0066588B"/>
    <w:rsid w:val="00676DB0"/>
    <w:rsid w:val="0068051E"/>
    <w:rsid w:val="006B74B8"/>
    <w:rsid w:val="006C2226"/>
    <w:rsid w:val="006D0AA3"/>
    <w:rsid w:val="006D1C28"/>
    <w:rsid w:val="006E15E2"/>
    <w:rsid w:val="006E1EF9"/>
    <w:rsid w:val="006E781D"/>
    <w:rsid w:val="0070317D"/>
    <w:rsid w:val="00714B1B"/>
    <w:rsid w:val="00715B8A"/>
    <w:rsid w:val="0072048D"/>
    <w:rsid w:val="007249DC"/>
    <w:rsid w:val="00744DCB"/>
    <w:rsid w:val="00756DD2"/>
    <w:rsid w:val="0077546A"/>
    <w:rsid w:val="00792BC9"/>
    <w:rsid w:val="00795620"/>
    <w:rsid w:val="007E1033"/>
    <w:rsid w:val="007E3F5A"/>
    <w:rsid w:val="007E6346"/>
    <w:rsid w:val="008027B4"/>
    <w:rsid w:val="0081464D"/>
    <w:rsid w:val="00827CB8"/>
    <w:rsid w:val="00835A01"/>
    <w:rsid w:val="00837550"/>
    <w:rsid w:val="00841AE5"/>
    <w:rsid w:val="00842049"/>
    <w:rsid w:val="00872FAE"/>
    <w:rsid w:val="00880C97"/>
    <w:rsid w:val="008A3DC0"/>
    <w:rsid w:val="008E4150"/>
    <w:rsid w:val="008E673A"/>
    <w:rsid w:val="008F5F15"/>
    <w:rsid w:val="008F608F"/>
    <w:rsid w:val="00903EFA"/>
    <w:rsid w:val="0091620D"/>
    <w:rsid w:val="00934A63"/>
    <w:rsid w:val="00974CC8"/>
    <w:rsid w:val="00981987"/>
    <w:rsid w:val="00982C56"/>
    <w:rsid w:val="009B2805"/>
    <w:rsid w:val="009C534B"/>
    <w:rsid w:val="009D1974"/>
    <w:rsid w:val="009F2898"/>
    <w:rsid w:val="00A0343A"/>
    <w:rsid w:val="00A20618"/>
    <w:rsid w:val="00A40925"/>
    <w:rsid w:val="00A4439D"/>
    <w:rsid w:val="00A47D71"/>
    <w:rsid w:val="00A62B7D"/>
    <w:rsid w:val="00A631C8"/>
    <w:rsid w:val="00A75C09"/>
    <w:rsid w:val="00A822A9"/>
    <w:rsid w:val="00A860C1"/>
    <w:rsid w:val="00AD5A53"/>
    <w:rsid w:val="00AE543D"/>
    <w:rsid w:val="00B00B97"/>
    <w:rsid w:val="00B135D6"/>
    <w:rsid w:val="00B153E9"/>
    <w:rsid w:val="00B31E82"/>
    <w:rsid w:val="00B525A0"/>
    <w:rsid w:val="00B61872"/>
    <w:rsid w:val="00B67EB6"/>
    <w:rsid w:val="00B71CE1"/>
    <w:rsid w:val="00B7758D"/>
    <w:rsid w:val="00B8149D"/>
    <w:rsid w:val="00B843E2"/>
    <w:rsid w:val="00B95B30"/>
    <w:rsid w:val="00BC10D9"/>
    <w:rsid w:val="00BC6998"/>
    <w:rsid w:val="00BE3402"/>
    <w:rsid w:val="00C00885"/>
    <w:rsid w:val="00C13481"/>
    <w:rsid w:val="00C61C4E"/>
    <w:rsid w:val="00C701C0"/>
    <w:rsid w:val="00C719A7"/>
    <w:rsid w:val="00C75A4C"/>
    <w:rsid w:val="00C84D98"/>
    <w:rsid w:val="00CA5198"/>
    <w:rsid w:val="00CB01C0"/>
    <w:rsid w:val="00CF0269"/>
    <w:rsid w:val="00CF2E9B"/>
    <w:rsid w:val="00D048A4"/>
    <w:rsid w:val="00D12F63"/>
    <w:rsid w:val="00D1452C"/>
    <w:rsid w:val="00D23A30"/>
    <w:rsid w:val="00D44165"/>
    <w:rsid w:val="00D51578"/>
    <w:rsid w:val="00D5292A"/>
    <w:rsid w:val="00D530E1"/>
    <w:rsid w:val="00D63C81"/>
    <w:rsid w:val="00D668D8"/>
    <w:rsid w:val="00D719D8"/>
    <w:rsid w:val="00DA4DBE"/>
    <w:rsid w:val="00DC370E"/>
    <w:rsid w:val="00DE6506"/>
    <w:rsid w:val="00DF2776"/>
    <w:rsid w:val="00DF7AF0"/>
    <w:rsid w:val="00E0069F"/>
    <w:rsid w:val="00E10307"/>
    <w:rsid w:val="00E154BA"/>
    <w:rsid w:val="00E30087"/>
    <w:rsid w:val="00E33F09"/>
    <w:rsid w:val="00E36C26"/>
    <w:rsid w:val="00E627B7"/>
    <w:rsid w:val="00E7136A"/>
    <w:rsid w:val="00E7792D"/>
    <w:rsid w:val="00E95629"/>
    <w:rsid w:val="00EA12F0"/>
    <w:rsid w:val="00EA68A8"/>
    <w:rsid w:val="00EC302C"/>
    <w:rsid w:val="00EC7A8B"/>
    <w:rsid w:val="00EE3709"/>
    <w:rsid w:val="00F0532E"/>
    <w:rsid w:val="00F1348B"/>
    <w:rsid w:val="00F14B56"/>
    <w:rsid w:val="00F24290"/>
    <w:rsid w:val="00F25049"/>
    <w:rsid w:val="00F32F22"/>
    <w:rsid w:val="00F815E2"/>
    <w:rsid w:val="00F82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27BA6"/>
  <w15:chartTrackingRefBased/>
  <w15:docId w15:val="{901F0525-3919-405E-A18F-512433D8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255"/>
    <w:pPr>
      <w:spacing w:line="256" w:lineRule="auto"/>
    </w:pPr>
    <w:rPr>
      <w:rFonts w:eastAsia="SimSun"/>
    </w:rPr>
  </w:style>
  <w:style w:type="paragraph" w:styleId="Heading4">
    <w:name w:val="heading 4"/>
    <w:aliases w:val="Table Title"/>
    <w:basedOn w:val="Normal"/>
    <w:next w:val="Normal"/>
    <w:link w:val="Heading4Char"/>
    <w:uiPriority w:val="9"/>
    <w:unhideWhenUsed/>
    <w:qFormat/>
    <w:rsid w:val="00837550"/>
    <w:pPr>
      <w:keepNext/>
      <w:keepLines/>
      <w:spacing w:before="40" w:after="0" w:line="259" w:lineRule="auto"/>
      <w:jc w:val="center"/>
      <w:outlineLvl w:val="3"/>
    </w:pPr>
    <w:rPr>
      <w:rFonts w:ascii="Times New Roman" w:eastAsiaTheme="majorEastAsia" w:hAnsi="Times New Roman" w:cstheme="majorBidi"/>
      <w:b/>
      <w:iCs/>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6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List Paragraph Char Char Char,Indicator Text,Numbered Para 1,Bullet 1,List Paragraph12,Bullet Points,MAIN CONTENT,Colorful List - Accent 11,List Paragraph11,List Paragraph2,OBC Bullet,No Spacing1,l"/>
    <w:basedOn w:val="Normal"/>
    <w:link w:val="ListParagraphChar"/>
    <w:uiPriority w:val="34"/>
    <w:qFormat/>
    <w:rsid w:val="008F608F"/>
    <w:pPr>
      <w:ind w:left="720"/>
      <w:contextualSpacing/>
    </w:pPr>
  </w:style>
  <w:style w:type="paragraph" w:customStyle="1" w:styleId="Default">
    <w:name w:val="Default"/>
    <w:rsid w:val="00D1452C"/>
    <w:pPr>
      <w:autoSpaceDE w:val="0"/>
      <w:autoSpaceDN w:val="0"/>
      <w:adjustRightInd w:val="0"/>
      <w:spacing w:after="0" w:line="240" w:lineRule="auto"/>
    </w:pPr>
    <w:rPr>
      <w:rFonts w:ascii="Segoe UI" w:hAnsi="Segoe UI" w:cs="Segoe UI"/>
      <w:color w:val="000000"/>
      <w:sz w:val="24"/>
      <w:szCs w:val="24"/>
    </w:rPr>
  </w:style>
  <w:style w:type="character" w:styleId="Hyperlink">
    <w:name w:val="Hyperlink"/>
    <w:basedOn w:val="DefaultParagraphFont"/>
    <w:uiPriority w:val="99"/>
    <w:unhideWhenUsed/>
    <w:rsid w:val="005A1F7C"/>
    <w:rPr>
      <w:color w:val="0563C1" w:themeColor="hyperlink"/>
      <w:u w:val="single"/>
    </w:rPr>
  </w:style>
  <w:style w:type="character" w:customStyle="1" w:styleId="Heading4Char">
    <w:name w:val="Heading 4 Char"/>
    <w:aliases w:val="Table Title Char"/>
    <w:basedOn w:val="DefaultParagraphFont"/>
    <w:link w:val="Heading4"/>
    <w:uiPriority w:val="9"/>
    <w:rsid w:val="00837550"/>
    <w:rPr>
      <w:rFonts w:ascii="Times New Roman" w:eastAsiaTheme="majorEastAsia" w:hAnsi="Times New Roman" w:cstheme="majorBidi"/>
      <w:b/>
      <w:iCs/>
      <w:sz w:val="24"/>
      <w:lang w:val="en-GB"/>
    </w:rPr>
  </w:style>
  <w:style w:type="paragraph" w:styleId="Header">
    <w:name w:val="header"/>
    <w:basedOn w:val="Normal"/>
    <w:link w:val="HeaderChar"/>
    <w:uiPriority w:val="99"/>
    <w:unhideWhenUsed/>
    <w:rsid w:val="00837550"/>
    <w:pPr>
      <w:tabs>
        <w:tab w:val="center" w:pos="4680"/>
        <w:tab w:val="right" w:pos="9360"/>
      </w:tabs>
      <w:spacing w:after="0" w:line="240" w:lineRule="auto"/>
      <w:jc w:val="both"/>
    </w:pPr>
    <w:rPr>
      <w:rFonts w:ascii="Times New Roman" w:eastAsiaTheme="minorHAnsi" w:hAnsi="Times New Roman"/>
      <w:sz w:val="24"/>
      <w:lang w:val="en-GB"/>
    </w:rPr>
  </w:style>
  <w:style w:type="character" w:customStyle="1" w:styleId="HeaderChar">
    <w:name w:val="Header Char"/>
    <w:basedOn w:val="DefaultParagraphFont"/>
    <w:link w:val="Header"/>
    <w:uiPriority w:val="99"/>
    <w:rsid w:val="00837550"/>
    <w:rPr>
      <w:rFonts w:ascii="Times New Roman" w:hAnsi="Times New Roman"/>
      <w:sz w:val="24"/>
      <w:lang w:val="en-GB"/>
    </w:rPr>
  </w:style>
  <w:style w:type="character" w:customStyle="1" w:styleId="ListParagraphChar">
    <w:name w:val="List Paragraph Char"/>
    <w:aliases w:val="Dot pt Char,F5 List Paragraph Char,List Paragraph1 Char,List Paragraph Char Char Char Char,Indicator Text Char,Numbered Para 1 Char,Bullet 1 Char,List Paragraph12 Char,Bullet Points Char,MAIN CONTENT Char,List Paragraph11 Char,l Char"/>
    <w:link w:val="ListParagraph"/>
    <w:uiPriority w:val="34"/>
    <w:qFormat/>
    <w:locked/>
    <w:rsid w:val="00837550"/>
    <w:rPr>
      <w:rFonts w:eastAsia="SimSun"/>
    </w:rPr>
  </w:style>
  <w:style w:type="table" w:styleId="ListTable3-Accent4">
    <w:name w:val="List Table 3 Accent 4"/>
    <w:basedOn w:val="TableNormal"/>
    <w:uiPriority w:val="48"/>
    <w:rsid w:val="00837550"/>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paragraph" w:styleId="Footer">
    <w:name w:val="footer"/>
    <w:basedOn w:val="Normal"/>
    <w:link w:val="FooterChar"/>
    <w:uiPriority w:val="99"/>
    <w:unhideWhenUsed/>
    <w:rsid w:val="0008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11C"/>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93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alth.govmu.org/Pages/default.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Mauritius</Contributor>
    <Postingdate xmlns="d42e65b2-cf21-49c1-b27d-d23f90380c0e" xsi:nil="true"/>
    <Postedonline xmlns="d42e65b2-cf21-49c1-b27d-d23f90380c0e">false</Postedonlin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A6F73-6B86-4F59-B8DC-B8FB3A34BE61}">
  <ds:schemaRefs>
    <ds:schemaRef ds:uri="http://schemas.microsoft.com/sharepoint/v3/contenttype/forms"/>
  </ds:schemaRefs>
</ds:datastoreItem>
</file>

<file path=customXml/itemProps2.xml><?xml version="1.0" encoding="utf-8"?>
<ds:datastoreItem xmlns:ds="http://schemas.openxmlformats.org/officeDocument/2006/customXml" ds:itemID="{8089991B-58F2-412A-AA74-4C41DA3529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1D6AB9-DA13-4B6D-AED2-2C55EF0312BB}"/>
</file>

<file path=customXml/itemProps4.xml><?xml version="1.0" encoding="utf-8"?>
<ds:datastoreItem xmlns:ds="http://schemas.openxmlformats.org/officeDocument/2006/customXml" ds:itemID="{DD384091-E443-46A1-85A4-D881464D2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2242</Words>
  <Characters>12786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FORCIGNANO Veronica</cp:lastModifiedBy>
  <cp:revision>2</cp:revision>
  <dcterms:created xsi:type="dcterms:W3CDTF">2022-02-14T14:35:00Z</dcterms:created>
  <dcterms:modified xsi:type="dcterms:W3CDTF">2022-02-14T14:35:00Z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