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6C4C9" w14:textId="77777777" w:rsidR="003B196F" w:rsidRPr="0084208F" w:rsidRDefault="001D0649" w:rsidP="003B196F">
      <w:pPr>
        <w:pStyle w:val="Heading2"/>
        <w:jc w:val="center"/>
        <w:rPr>
          <w:rFonts w:ascii="Arial" w:hAnsi="Arial" w:cs="Arial"/>
          <w:b/>
          <w:bCs/>
          <w:sz w:val="22"/>
          <w:szCs w:val="22"/>
        </w:rPr>
      </w:pPr>
      <w:bookmarkStart w:id="0" w:name="_GoBack"/>
      <w:bookmarkEnd w:id="0"/>
      <w:r w:rsidRPr="0084208F">
        <w:rPr>
          <w:rFonts w:ascii="Arial" w:hAnsi="Arial" w:cs="Arial"/>
          <w:b/>
          <w:bCs/>
          <w:sz w:val="22"/>
          <w:szCs w:val="22"/>
        </w:rPr>
        <w:t>CONTRIBUTION FROM THE REPUBLIC OF THE PHILIPPINES</w:t>
      </w:r>
      <w:r w:rsidR="003B196F" w:rsidRPr="0084208F">
        <w:rPr>
          <w:rFonts w:ascii="Arial" w:hAnsi="Arial" w:cs="Arial"/>
          <w:b/>
          <w:bCs/>
          <w:sz w:val="22"/>
          <w:szCs w:val="22"/>
        </w:rPr>
        <w:t xml:space="preserve"> </w:t>
      </w:r>
    </w:p>
    <w:p w14:paraId="05AC9D40" w14:textId="43193754" w:rsidR="00E64D10" w:rsidRPr="003668A0" w:rsidRDefault="001D0649" w:rsidP="003668A0">
      <w:pPr>
        <w:pStyle w:val="Heading2"/>
        <w:jc w:val="center"/>
        <w:rPr>
          <w:rFonts w:ascii="Arial" w:hAnsi="Arial" w:cs="Arial"/>
          <w:b/>
          <w:bCs/>
          <w:sz w:val="22"/>
          <w:szCs w:val="22"/>
        </w:rPr>
      </w:pPr>
      <w:r w:rsidRPr="0084208F">
        <w:rPr>
          <w:rFonts w:ascii="Arial" w:hAnsi="Arial" w:cs="Arial"/>
          <w:b/>
          <w:bCs/>
          <w:sz w:val="22"/>
          <w:szCs w:val="22"/>
        </w:rPr>
        <w:t xml:space="preserve">TO </w:t>
      </w:r>
      <w:r w:rsidR="00345348">
        <w:rPr>
          <w:rFonts w:ascii="Arial" w:hAnsi="Arial" w:cs="Arial"/>
          <w:b/>
          <w:bCs/>
          <w:sz w:val="22"/>
          <w:szCs w:val="22"/>
        </w:rPr>
        <w:t xml:space="preserve">THE </w:t>
      </w:r>
      <w:r w:rsidR="00964A83" w:rsidRPr="0084208F">
        <w:rPr>
          <w:rFonts w:ascii="Arial" w:hAnsi="Arial" w:cs="Arial"/>
          <w:b/>
          <w:bCs/>
          <w:sz w:val="22"/>
          <w:szCs w:val="22"/>
        </w:rPr>
        <w:t xml:space="preserve">THEMATIC REPORT </w:t>
      </w:r>
      <w:r w:rsidR="00345348">
        <w:rPr>
          <w:rFonts w:ascii="Arial" w:hAnsi="Arial" w:cs="Arial"/>
          <w:b/>
          <w:bCs/>
          <w:sz w:val="22"/>
          <w:szCs w:val="22"/>
        </w:rPr>
        <w:t xml:space="preserve">OF THE INDEPENDENT </w:t>
      </w:r>
      <w:r w:rsidR="003668A0">
        <w:rPr>
          <w:rFonts w:ascii="Arial" w:hAnsi="Arial" w:cs="Arial"/>
          <w:b/>
          <w:bCs/>
          <w:sz w:val="22"/>
          <w:szCs w:val="22"/>
        </w:rPr>
        <w:t xml:space="preserve">EXPERT </w:t>
      </w:r>
      <w:r w:rsidR="00345348">
        <w:rPr>
          <w:rFonts w:ascii="Arial" w:hAnsi="Arial" w:cs="Arial"/>
          <w:b/>
          <w:bCs/>
          <w:sz w:val="22"/>
          <w:szCs w:val="22"/>
        </w:rPr>
        <w:t xml:space="preserve">ON </w:t>
      </w:r>
      <w:r w:rsidR="00FE3801">
        <w:rPr>
          <w:rFonts w:ascii="Arial" w:hAnsi="Arial" w:cs="Arial"/>
          <w:b/>
          <w:bCs/>
          <w:sz w:val="22"/>
          <w:szCs w:val="22"/>
        </w:rPr>
        <w:br/>
      </w:r>
      <w:r w:rsidR="003668A0">
        <w:rPr>
          <w:rFonts w:ascii="Arial" w:hAnsi="Arial" w:cs="Arial"/>
          <w:b/>
          <w:bCs/>
          <w:sz w:val="22"/>
          <w:szCs w:val="22"/>
        </w:rPr>
        <w:t xml:space="preserve">SEXUAL ORIENTATION AND GENDER ORIENTATION (IE ON SOGI) </w:t>
      </w:r>
      <w:r w:rsidR="00FA405C">
        <w:rPr>
          <w:rFonts w:ascii="Arial" w:hAnsi="Arial" w:cs="Arial"/>
          <w:b/>
          <w:bCs/>
          <w:sz w:val="22"/>
          <w:szCs w:val="22"/>
        </w:rPr>
        <w:t xml:space="preserve">ON </w:t>
      </w:r>
      <w:r w:rsidR="003668A0">
        <w:rPr>
          <w:rFonts w:ascii="Arial" w:hAnsi="Arial" w:cs="Arial"/>
          <w:b/>
          <w:bCs/>
          <w:sz w:val="22"/>
          <w:szCs w:val="22"/>
        </w:rPr>
        <w:t xml:space="preserve">THE </w:t>
      </w:r>
      <w:r w:rsidR="008F0D28">
        <w:rPr>
          <w:rFonts w:ascii="Arial" w:hAnsi="Arial" w:cs="Arial"/>
          <w:b/>
          <w:bCs/>
          <w:sz w:val="22"/>
          <w:szCs w:val="22"/>
        </w:rPr>
        <w:br/>
      </w:r>
      <w:r w:rsidR="00FA405C">
        <w:rPr>
          <w:rFonts w:ascii="Arial" w:hAnsi="Arial" w:cs="Arial"/>
          <w:b/>
          <w:bCs/>
          <w:sz w:val="22"/>
          <w:szCs w:val="22"/>
        </w:rPr>
        <w:t>“</w:t>
      </w:r>
      <w:r w:rsidR="003668A0">
        <w:rPr>
          <w:rFonts w:ascii="Arial" w:hAnsi="Arial" w:cs="Arial"/>
          <w:b/>
          <w:bCs/>
          <w:sz w:val="22"/>
          <w:szCs w:val="22"/>
        </w:rPr>
        <w:t xml:space="preserve">PROTECTION AGAINST VIOLENCE AND DISCRIMINATION AGAISNT SOGI </w:t>
      </w:r>
      <w:r w:rsidR="00345348">
        <w:rPr>
          <w:rFonts w:ascii="Arial" w:hAnsi="Arial" w:cs="Arial"/>
          <w:b/>
          <w:bCs/>
          <w:sz w:val="22"/>
          <w:szCs w:val="22"/>
        </w:rPr>
        <w:t>IN THE CONTEXT OF SDG 3</w:t>
      </w:r>
      <w:r w:rsidR="00FA405C">
        <w:rPr>
          <w:rFonts w:ascii="Arial" w:hAnsi="Arial" w:cs="Arial"/>
          <w:b/>
          <w:bCs/>
          <w:sz w:val="22"/>
          <w:szCs w:val="22"/>
        </w:rPr>
        <w:t>”</w:t>
      </w:r>
    </w:p>
    <w:p w14:paraId="1FD7F569" w14:textId="528E8284" w:rsidR="001D0649" w:rsidRPr="0084208F" w:rsidRDefault="001D0649" w:rsidP="001D0649">
      <w:pPr>
        <w:pStyle w:val="Heading2"/>
        <w:jc w:val="center"/>
        <w:rPr>
          <w:rFonts w:ascii="Arial" w:hAnsi="Arial" w:cs="Arial"/>
          <w:b/>
          <w:bCs/>
          <w:sz w:val="22"/>
          <w:szCs w:val="22"/>
        </w:rPr>
      </w:pPr>
      <w:r w:rsidRPr="0084208F">
        <w:rPr>
          <w:rFonts w:ascii="Arial" w:hAnsi="Arial" w:cs="Arial"/>
          <w:b/>
          <w:bCs/>
          <w:sz w:val="22"/>
          <w:szCs w:val="22"/>
        </w:rPr>
        <w:t>(Pursuant to HRC Resolution</w:t>
      </w:r>
      <w:r w:rsidR="00DF15CD">
        <w:rPr>
          <w:rFonts w:ascii="Arial" w:hAnsi="Arial" w:cs="Arial"/>
          <w:b/>
          <w:bCs/>
          <w:sz w:val="22"/>
          <w:szCs w:val="22"/>
        </w:rPr>
        <w:t xml:space="preserve">s </w:t>
      </w:r>
      <w:r w:rsidR="00DF15CD" w:rsidRPr="00DF15CD">
        <w:rPr>
          <w:rFonts w:ascii="Arial" w:hAnsi="Arial" w:cs="Arial"/>
          <w:b/>
          <w:bCs/>
          <w:sz w:val="22"/>
          <w:szCs w:val="22"/>
        </w:rPr>
        <w:t>32/2 and 41/18</w:t>
      </w:r>
      <w:r w:rsidR="00DF15CD">
        <w:rPr>
          <w:rFonts w:ascii="Arial" w:hAnsi="Arial" w:cs="Arial"/>
          <w:b/>
          <w:bCs/>
          <w:sz w:val="22"/>
          <w:szCs w:val="22"/>
        </w:rPr>
        <w:t xml:space="preserve"> </w:t>
      </w:r>
      <w:r w:rsidRPr="00DF15CD">
        <w:rPr>
          <w:rFonts w:ascii="Arial" w:hAnsi="Arial" w:cs="Arial"/>
          <w:b/>
          <w:bCs/>
          <w:sz w:val="22"/>
          <w:szCs w:val="22"/>
        </w:rPr>
        <w:t>)</w:t>
      </w:r>
    </w:p>
    <w:p w14:paraId="5170771F" w14:textId="2C6B74F3" w:rsidR="002E3223" w:rsidRDefault="002E3223" w:rsidP="0005364C">
      <w:pPr>
        <w:jc w:val="both"/>
        <w:rPr>
          <w:rFonts w:ascii="Arial" w:hAnsi="Arial" w:cs="Arial"/>
          <w:b/>
          <w:bCs/>
        </w:rPr>
      </w:pPr>
    </w:p>
    <w:p w14:paraId="31724A99" w14:textId="77777777" w:rsidR="00410D5C" w:rsidRDefault="00410D5C" w:rsidP="0005364C">
      <w:pPr>
        <w:jc w:val="both"/>
        <w:rPr>
          <w:rFonts w:ascii="Arial" w:hAnsi="Arial" w:cs="Arial"/>
        </w:rPr>
      </w:pPr>
    </w:p>
    <w:p w14:paraId="1253B613" w14:textId="22F6ADD9" w:rsidR="00D408E0" w:rsidRDefault="008A4AD7" w:rsidP="00D408E0">
      <w:pPr>
        <w:jc w:val="both"/>
        <w:rPr>
          <w:rFonts w:ascii="Arial" w:hAnsi="Arial" w:cs="Arial"/>
        </w:rPr>
      </w:pPr>
      <w:r>
        <w:rPr>
          <w:rFonts w:ascii="Arial" w:hAnsi="Arial" w:cs="Arial"/>
        </w:rPr>
        <w:t>T</w:t>
      </w:r>
      <w:r w:rsidRPr="00DD5BBB">
        <w:rPr>
          <w:rFonts w:ascii="Arial" w:hAnsi="Arial" w:cs="Arial"/>
        </w:rPr>
        <w:t xml:space="preserve">he Philippines </w:t>
      </w:r>
      <w:r w:rsidR="00685726">
        <w:rPr>
          <w:rFonts w:ascii="Arial" w:hAnsi="Arial" w:cs="Arial"/>
        </w:rPr>
        <w:t xml:space="preserve">takes this opportunity to </w:t>
      </w:r>
      <w:r w:rsidR="004E4799">
        <w:rPr>
          <w:rFonts w:ascii="Arial" w:hAnsi="Arial" w:cs="Arial"/>
        </w:rPr>
        <w:t>emphasiz</w:t>
      </w:r>
      <w:r w:rsidR="00685726">
        <w:rPr>
          <w:rFonts w:ascii="Arial" w:hAnsi="Arial" w:cs="Arial"/>
        </w:rPr>
        <w:t xml:space="preserve">e the government’s </w:t>
      </w:r>
      <w:r>
        <w:rPr>
          <w:rFonts w:ascii="Arial" w:hAnsi="Arial" w:cs="Arial"/>
        </w:rPr>
        <w:t xml:space="preserve">commitment to the global effort in the multilateral sphere by responding to </w:t>
      </w:r>
      <w:r w:rsidRPr="00DD5BBB">
        <w:rPr>
          <w:rFonts w:ascii="Arial" w:hAnsi="Arial" w:cs="Arial"/>
        </w:rPr>
        <w:t>the 2015 U</w:t>
      </w:r>
      <w:r w:rsidR="009E5358">
        <w:rPr>
          <w:rFonts w:ascii="Arial" w:hAnsi="Arial" w:cs="Arial"/>
        </w:rPr>
        <w:t xml:space="preserve">nited </w:t>
      </w:r>
      <w:r w:rsidRPr="00DD5BBB">
        <w:rPr>
          <w:rFonts w:ascii="Arial" w:hAnsi="Arial" w:cs="Arial"/>
        </w:rPr>
        <w:t>N</w:t>
      </w:r>
      <w:r w:rsidR="009E5358">
        <w:rPr>
          <w:rFonts w:ascii="Arial" w:hAnsi="Arial" w:cs="Arial"/>
        </w:rPr>
        <w:t>ation</w:t>
      </w:r>
      <w:r w:rsidRPr="00DD5BBB">
        <w:rPr>
          <w:rFonts w:ascii="Arial" w:hAnsi="Arial" w:cs="Arial"/>
        </w:rPr>
        <w:t>'s universal call to action to end poverty, protect the planet, and improve the lives and prospects of everyone in the form of the 2030 Agenda for Sustainable Development</w:t>
      </w:r>
      <w:r>
        <w:rPr>
          <w:rStyle w:val="FootnoteReference"/>
          <w:rFonts w:ascii="Arial" w:hAnsi="Arial" w:cs="Arial"/>
        </w:rPr>
        <w:footnoteReference w:id="1"/>
      </w:r>
      <w:r w:rsidRPr="00DD5BBB">
        <w:rPr>
          <w:rFonts w:ascii="Arial" w:hAnsi="Arial" w:cs="Arial"/>
        </w:rPr>
        <w:t xml:space="preserve">.  </w:t>
      </w:r>
      <w:r w:rsidR="00D408E0" w:rsidRPr="00DD5BBB">
        <w:rPr>
          <w:rFonts w:ascii="Arial" w:hAnsi="Arial" w:cs="Arial"/>
        </w:rPr>
        <w:t xml:space="preserve">Through </w:t>
      </w:r>
      <w:r w:rsidR="0076624C">
        <w:rPr>
          <w:rFonts w:ascii="Arial" w:hAnsi="Arial" w:cs="Arial"/>
        </w:rPr>
        <w:t xml:space="preserve">the </w:t>
      </w:r>
      <w:r w:rsidR="00D408E0" w:rsidRPr="00DD5BBB">
        <w:rPr>
          <w:rFonts w:ascii="Arial" w:hAnsi="Arial" w:cs="Arial"/>
        </w:rPr>
        <w:t>adoption of the 2030 Agenda, the State affirms its commitment to eradicating poverty, fighting inequalities, such as pertaining to sexual orientation and gender, curbing climate change, and protecting the environment, among others, while ensuring that no one is left behind over the next fifteen (15) years</w:t>
      </w:r>
      <w:r w:rsidR="00D408E0">
        <w:rPr>
          <w:rStyle w:val="FootnoteReference"/>
          <w:rFonts w:ascii="Arial" w:hAnsi="Arial" w:cs="Arial"/>
        </w:rPr>
        <w:footnoteReference w:id="2"/>
      </w:r>
      <w:r w:rsidR="00D408E0" w:rsidRPr="00DD5BBB">
        <w:rPr>
          <w:rFonts w:ascii="Arial" w:hAnsi="Arial" w:cs="Arial"/>
        </w:rPr>
        <w:t xml:space="preserve">. </w:t>
      </w:r>
    </w:p>
    <w:p w14:paraId="626C59FA" w14:textId="71C4AB6D" w:rsidR="00637030" w:rsidRDefault="00637030" w:rsidP="00D408E0">
      <w:pPr>
        <w:jc w:val="both"/>
        <w:rPr>
          <w:rFonts w:ascii="Arial" w:hAnsi="Arial" w:cs="Arial"/>
        </w:rPr>
      </w:pPr>
    </w:p>
    <w:p w14:paraId="5DF41EEC" w14:textId="342DC013" w:rsidR="00627B32" w:rsidRDefault="00637030" w:rsidP="00627B32">
      <w:pPr>
        <w:jc w:val="both"/>
        <w:rPr>
          <w:rFonts w:ascii="Arial" w:hAnsi="Arial" w:cs="Arial"/>
        </w:rPr>
      </w:pPr>
      <w:r>
        <w:rPr>
          <w:rFonts w:ascii="Arial" w:hAnsi="Arial" w:cs="Arial"/>
        </w:rPr>
        <w:t>T</w:t>
      </w:r>
      <w:r w:rsidRPr="00DD5BBB">
        <w:rPr>
          <w:rFonts w:ascii="Arial" w:hAnsi="Arial" w:cs="Arial"/>
        </w:rPr>
        <w:t>he Philippines adopted and integrated the Sustainable Development Goals (SDG) in the development and implementation of the Philippine Development Plan 2017-2022</w:t>
      </w:r>
      <w:r>
        <w:rPr>
          <w:rFonts w:ascii="Arial" w:hAnsi="Arial" w:cs="Arial"/>
        </w:rPr>
        <w:t xml:space="preserve"> (PDP 2017-2020).</w:t>
      </w:r>
      <w:r w:rsidR="001C4A8F">
        <w:rPr>
          <w:rFonts w:ascii="Arial" w:hAnsi="Arial" w:cs="Arial"/>
        </w:rPr>
        <w:t xml:space="preserve">  </w:t>
      </w:r>
      <w:r w:rsidR="00627B32">
        <w:rPr>
          <w:rFonts w:ascii="Arial" w:hAnsi="Arial" w:cs="Arial"/>
        </w:rPr>
        <w:t xml:space="preserve">The PDP 2017-2020, </w:t>
      </w:r>
      <w:r w:rsidR="00627B32" w:rsidRPr="00DD5BBB">
        <w:rPr>
          <w:rFonts w:ascii="Arial" w:hAnsi="Arial" w:cs="Arial"/>
        </w:rPr>
        <w:t>the country's medium-term national roadmap for development</w:t>
      </w:r>
      <w:r w:rsidR="00627B32">
        <w:rPr>
          <w:rStyle w:val="FootnoteReference"/>
          <w:rFonts w:ascii="Arial" w:hAnsi="Arial" w:cs="Arial"/>
        </w:rPr>
        <w:footnoteReference w:id="3"/>
      </w:r>
      <w:r w:rsidR="00627B32" w:rsidRPr="00DD5BBB">
        <w:rPr>
          <w:rFonts w:ascii="Arial" w:hAnsi="Arial" w:cs="Arial"/>
        </w:rPr>
        <w:t xml:space="preserve">, </w:t>
      </w:r>
      <w:r w:rsidR="00627B32">
        <w:rPr>
          <w:rFonts w:ascii="Arial" w:hAnsi="Arial" w:cs="Arial"/>
        </w:rPr>
        <w:t xml:space="preserve">and </w:t>
      </w:r>
      <w:r w:rsidR="00627B32" w:rsidRPr="00DD5BBB">
        <w:rPr>
          <w:rFonts w:ascii="Arial" w:hAnsi="Arial" w:cs="Arial"/>
        </w:rPr>
        <w:t xml:space="preserve">the </w:t>
      </w:r>
      <w:r w:rsidR="00627B32" w:rsidRPr="0030796C">
        <w:rPr>
          <w:rFonts w:ascii="Arial" w:hAnsi="Arial" w:cs="Arial"/>
          <w:i/>
          <w:iCs/>
        </w:rPr>
        <w:t>AmBisyon Natin 2040</w:t>
      </w:r>
      <w:r w:rsidR="00627B32">
        <w:rPr>
          <w:rFonts w:ascii="Arial" w:hAnsi="Arial" w:cs="Arial"/>
        </w:rPr>
        <w:t xml:space="preserve"> </w:t>
      </w:r>
      <w:r w:rsidR="00627B32" w:rsidRPr="00DD5BBB">
        <w:rPr>
          <w:rFonts w:ascii="Arial" w:hAnsi="Arial" w:cs="Arial"/>
        </w:rPr>
        <w:t>represents the collective long-term vision and aspirations of the Filipino people for themselves and the country in the next twenty-five (25) years</w:t>
      </w:r>
      <w:r w:rsidR="00627B32">
        <w:rPr>
          <w:rStyle w:val="FootnoteReference"/>
          <w:rFonts w:ascii="Arial" w:hAnsi="Arial" w:cs="Arial"/>
        </w:rPr>
        <w:footnoteReference w:id="4"/>
      </w:r>
      <w:r w:rsidR="00627B32" w:rsidRPr="00DD5BBB">
        <w:rPr>
          <w:rFonts w:ascii="Arial" w:hAnsi="Arial" w:cs="Arial"/>
        </w:rPr>
        <w:t xml:space="preserve">. </w:t>
      </w:r>
    </w:p>
    <w:p w14:paraId="351EC3E8" w14:textId="77777777" w:rsidR="008A4AD7" w:rsidRPr="0084208F" w:rsidRDefault="008A4AD7" w:rsidP="0005364C">
      <w:pPr>
        <w:jc w:val="both"/>
        <w:rPr>
          <w:rFonts w:ascii="Arial" w:hAnsi="Arial" w:cs="Arial"/>
        </w:rPr>
      </w:pPr>
    </w:p>
    <w:p w14:paraId="691263C2" w14:textId="6AE36863" w:rsidR="001C4A8F" w:rsidRPr="00744731" w:rsidRDefault="001C4A8F" w:rsidP="001C4A8F">
      <w:pPr>
        <w:jc w:val="both"/>
        <w:rPr>
          <w:rFonts w:ascii="Arial" w:hAnsi="Arial" w:cs="Arial"/>
        </w:rPr>
      </w:pPr>
      <w:r>
        <w:rPr>
          <w:rFonts w:ascii="Arial" w:hAnsi="Arial" w:cs="Arial"/>
        </w:rPr>
        <w:t xml:space="preserve">The government of the Philippines is pleased to provide its </w:t>
      </w:r>
      <w:r w:rsidR="00D71C86" w:rsidRPr="0084208F">
        <w:rPr>
          <w:rFonts w:ascii="Arial" w:hAnsi="Arial" w:cs="Arial"/>
        </w:rPr>
        <w:t>response to the</w:t>
      </w:r>
      <w:r w:rsidR="00ED3424">
        <w:rPr>
          <w:rFonts w:ascii="Arial" w:hAnsi="Arial" w:cs="Arial"/>
        </w:rPr>
        <w:t xml:space="preserve"> letter</w:t>
      </w:r>
      <w:r w:rsidR="00D71C86" w:rsidRPr="0084208F">
        <w:rPr>
          <w:rFonts w:ascii="Arial" w:hAnsi="Arial" w:cs="Arial"/>
        </w:rPr>
        <w:t xml:space="preserve"> dated </w:t>
      </w:r>
      <w:r w:rsidR="00744731" w:rsidRPr="00744731">
        <w:rPr>
          <w:rFonts w:ascii="Arial" w:hAnsi="Arial" w:cs="Arial"/>
        </w:rPr>
        <w:t xml:space="preserve">7 January 2022 from Ms. Beatriz Balbin, Chief of the OHCHR-Special Procedures Branch, </w:t>
      </w:r>
      <w:r w:rsidR="00796D5F">
        <w:rPr>
          <w:rFonts w:ascii="Arial" w:hAnsi="Arial" w:cs="Arial"/>
        </w:rPr>
        <w:t xml:space="preserve">requesting contribution to inform the preparation of the upcoming thematic report by the </w:t>
      </w:r>
      <w:r w:rsidRPr="00744731">
        <w:rPr>
          <w:rFonts w:ascii="Arial" w:hAnsi="Arial" w:cs="Arial"/>
        </w:rPr>
        <w:t>Independent Expert on the Protection against Violence and Discrimination based on Sexual Orientation and Gender Identity</w:t>
      </w:r>
      <w:r w:rsidR="00450035">
        <w:rPr>
          <w:rFonts w:ascii="Arial" w:hAnsi="Arial" w:cs="Arial"/>
        </w:rPr>
        <w:t xml:space="preserve"> </w:t>
      </w:r>
      <w:r>
        <w:rPr>
          <w:rFonts w:ascii="Arial" w:hAnsi="Arial" w:cs="Arial"/>
        </w:rPr>
        <w:t>(IE on SOGI)</w:t>
      </w:r>
      <w:r w:rsidR="00450035">
        <w:rPr>
          <w:rFonts w:ascii="Arial" w:hAnsi="Arial" w:cs="Arial"/>
        </w:rPr>
        <w:t xml:space="preserve">, </w:t>
      </w:r>
      <w:r w:rsidRPr="00744731">
        <w:rPr>
          <w:rFonts w:ascii="Arial" w:hAnsi="Arial" w:cs="Arial"/>
        </w:rPr>
        <w:t>Mr. Victor Madrigal-Borloz,</w:t>
      </w:r>
      <w:r>
        <w:rPr>
          <w:rFonts w:ascii="Arial" w:hAnsi="Arial" w:cs="Arial"/>
        </w:rPr>
        <w:t xml:space="preserve"> </w:t>
      </w:r>
      <w:r w:rsidR="00796D5F">
        <w:rPr>
          <w:rFonts w:ascii="Arial" w:hAnsi="Arial" w:cs="Arial"/>
        </w:rPr>
        <w:t xml:space="preserve">on </w:t>
      </w:r>
      <w:r w:rsidR="00796D5F" w:rsidRPr="00744731">
        <w:rPr>
          <w:rFonts w:ascii="Arial" w:hAnsi="Arial" w:cs="Arial"/>
        </w:rPr>
        <w:t xml:space="preserve">the question of health and sexual orientation and gender identity including in the context of sustainable development in particular SDG 3 to ensure the health and well-being for all. </w:t>
      </w:r>
    </w:p>
    <w:p w14:paraId="540B398F" w14:textId="4DABF8E4" w:rsidR="00744731" w:rsidRDefault="00744731" w:rsidP="00EA1F6A">
      <w:pPr>
        <w:jc w:val="both"/>
        <w:rPr>
          <w:rFonts w:ascii="Arial" w:hAnsi="Arial" w:cs="Arial"/>
        </w:rPr>
      </w:pPr>
    </w:p>
    <w:p w14:paraId="5F04B100" w14:textId="187B1B12" w:rsidR="00744731" w:rsidRDefault="00E963CF" w:rsidP="00EA1F6A">
      <w:pPr>
        <w:jc w:val="both"/>
        <w:rPr>
          <w:rFonts w:ascii="Arial" w:hAnsi="Arial" w:cs="Arial"/>
        </w:rPr>
      </w:pPr>
      <w:r w:rsidRPr="00744731">
        <w:rPr>
          <w:rFonts w:ascii="Arial" w:hAnsi="Arial" w:cs="Arial"/>
        </w:rPr>
        <w:t>The contribution was provided by the Presidential Human Rights Committee Secretariat (PHRCS)</w:t>
      </w:r>
      <w:r>
        <w:rPr>
          <w:rFonts w:ascii="Arial" w:hAnsi="Arial" w:cs="Arial"/>
        </w:rPr>
        <w:t>, as follow:</w:t>
      </w:r>
    </w:p>
    <w:p w14:paraId="16D601C1" w14:textId="2B0E1458" w:rsidR="00444AA3" w:rsidRDefault="00444AA3" w:rsidP="00EA1F6A">
      <w:pPr>
        <w:jc w:val="both"/>
        <w:rPr>
          <w:rFonts w:ascii="Arial" w:hAnsi="Arial" w:cs="Arial"/>
        </w:rPr>
      </w:pPr>
    </w:p>
    <w:p w14:paraId="07124814" w14:textId="77777777" w:rsidR="005D1F51" w:rsidRDefault="00444AA3" w:rsidP="00B357B1">
      <w:pPr>
        <w:ind w:left="284" w:right="396"/>
        <w:jc w:val="both"/>
        <w:rPr>
          <w:rFonts w:ascii="Arial" w:hAnsi="Arial" w:cs="Arial"/>
          <w:b/>
          <w:bCs/>
          <w:i/>
          <w:iCs/>
        </w:rPr>
      </w:pPr>
      <w:r w:rsidRPr="005F0F2F">
        <w:rPr>
          <w:rFonts w:ascii="Arial" w:hAnsi="Arial" w:cs="Arial"/>
          <w:b/>
          <w:bCs/>
          <w:i/>
          <w:iCs/>
        </w:rPr>
        <w:t>On item 1.1 whether the State (or other stakeholders) gather data, including data</w:t>
      </w:r>
      <w:r w:rsidR="005F0F2F" w:rsidRPr="005F0F2F">
        <w:rPr>
          <w:rFonts w:ascii="Arial" w:hAnsi="Arial" w:cs="Arial"/>
          <w:b/>
          <w:bCs/>
          <w:i/>
          <w:iCs/>
        </w:rPr>
        <w:t xml:space="preserve"> </w:t>
      </w:r>
      <w:r w:rsidRPr="005F0F2F">
        <w:rPr>
          <w:rFonts w:ascii="Arial" w:hAnsi="Arial" w:cs="Arial"/>
          <w:b/>
          <w:bCs/>
          <w:i/>
          <w:iCs/>
        </w:rPr>
        <w:t>disaggregated</w:t>
      </w:r>
      <w:r w:rsidR="005F0F2F" w:rsidRPr="005F0F2F">
        <w:rPr>
          <w:rFonts w:ascii="Arial" w:hAnsi="Arial" w:cs="Arial"/>
          <w:b/>
          <w:bCs/>
          <w:i/>
          <w:iCs/>
        </w:rPr>
        <w:t xml:space="preserve"> </w:t>
      </w:r>
      <w:r w:rsidRPr="005F0F2F">
        <w:rPr>
          <w:rFonts w:ascii="Arial" w:hAnsi="Arial" w:cs="Arial"/>
          <w:b/>
          <w:bCs/>
          <w:i/>
          <w:iCs/>
        </w:rPr>
        <w:t xml:space="preserve">by SOGI. </w:t>
      </w:r>
    </w:p>
    <w:p w14:paraId="08D41C50" w14:textId="77777777" w:rsidR="005D1F51" w:rsidRDefault="005D1F51" w:rsidP="005D1F51">
      <w:pPr>
        <w:jc w:val="both"/>
        <w:rPr>
          <w:rFonts w:ascii="Arial" w:hAnsi="Arial" w:cs="Arial"/>
          <w:b/>
          <w:bCs/>
          <w:i/>
          <w:iCs/>
        </w:rPr>
      </w:pPr>
    </w:p>
    <w:p w14:paraId="562F3588" w14:textId="2E55D8CF" w:rsidR="00444AA3" w:rsidRDefault="00444AA3" w:rsidP="005D1F51">
      <w:pPr>
        <w:ind w:left="284" w:right="396"/>
        <w:jc w:val="both"/>
        <w:rPr>
          <w:rFonts w:ascii="Arial" w:hAnsi="Arial" w:cs="Arial"/>
        </w:rPr>
      </w:pPr>
      <w:r w:rsidRPr="00444AA3">
        <w:rPr>
          <w:rFonts w:ascii="Arial" w:hAnsi="Arial" w:cs="Arial"/>
        </w:rPr>
        <w:t>By virtue of Executive Order No. 27 (s. 2017), government</w:t>
      </w:r>
      <w:r w:rsidR="005F0F2F">
        <w:rPr>
          <w:rFonts w:ascii="Arial" w:hAnsi="Arial" w:cs="Arial"/>
        </w:rPr>
        <w:t xml:space="preserve"> </w:t>
      </w:r>
      <w:r w:rsidRPr="00444AA3">
        <w:rPr>
          <w:rFonts w:ascii="Arial" w:hAnsi="Arial" w:cs="Arial"/>
        </w:rPr>
        <w:t>agencies</w:t>
      </w:r>
      <w:r w:rsidR="00C22447">
        <w:rPr>
          <w:rFonts w:ascii="Arial" w:hAnsi="Arial" w:cs="Arial"/>
        </w:rPr>
        <w:t xml:space="preserve">, </w:t>
      </w:r>
      <w:r w:rsidRPr="00444AA3">
        <w:rPr>
          <w:rFonts w:ascii="Arial" w:hAnsi="Arial" w:cs="Arial"/>
        </w:rPr>
        <w:t>including local government units, are enjoined to implement the SDGs</w:t>
      </w:r>
      <w:r w:rsidR="0003730C">
        <w:rPr>
          <w:rStyle w:val="FootnoteReference"/>
          <w:rFonts w:ascii="Arial" w:hAnsi="Arial" w:cs="Arial"/>
        </w:rPr>
        <w:footnoteReference w:id="5"/>
      </w:r>
      <w:r w:rsidRPr="00444AA3">
        <w:rPr>
          <w:rFonts w:ascii="Arial" w:hAnsi="Arial" w:cs="Arial"/>
        </w:rPr>
        <w:t>. Data is</w:t>
      </w:r>
      <w:r w:rsidR="005F0F2F">
        <w:rPr>
          <w:rFonts w:ascii="Arial" w:hAnsi="Arial" w:cs="Arial"/>
        </w:rPr>
        <w:t xml:space="preserve"> </w:t>
      </w:r>
      <w:r w:rsidRPr="00444AA3">
        <w:rPr>
          <w:rFonts w:ascii="Arial" w:hAnsi="Arial" w:cs="Arial"/>
        </w:rPr>
        <w:t>submitted to the Philippine Statistics Authority (PSA), as the official repository of Philippine</w:t>
      </w:r>
      <w:r w:rsidR="005F0F2F">
        <w:rPr>
          <w:rFonts w:ascii="Arial" w:hAnsi="Arial" w:cs="Arial"/>
        </w:rPr>
        <w:t xml:space="preserve"> </w:t>
      </w:r>
      <w:r w:rsidRPr="00444AA3">
        <w:rPr>
          <w:rFonts w:ascii="Arial" w:hAnsi="Arial" w:cs="Arial"/>
        </w:rPr>
        <w:t>SDG indicators, to track the progress made in achieving the SDGs</w:t>
      </w:r>
      <w:r w:rsidR="008B791E">
        <w:rPr>
          <w:rStyle w:val="FootnoteReference"/>
          <w:rFonts w:ascii="Arial" w:hAnsi="Arial" w:cs="Arial"/>
        </w:rPr>
        <w:footnoteReference w:id="6"/>
      </w:r>
      <w:r w:rsidRPr="00444AA3">
        <w:rPr>
          <w:rFonts w:ascii="Arial" w:hAnsi="Arial" w:cs="Arial"/>
        </w:rPr>
        <w:t>.</w:t>
      </w:r>
    </w:p>
    <w:p w14:paraId="2E6B504C" w14:textId="65F437F1" w:rsidR="00A9150C" w:rsidRDefault="00A9150C" w:rsidP="005D1F51">
      <w:pPr>
        <w:ind w:left="284" w:right="396"/>
        <w:jc w:val="both"/>
        <w:rPr>
          <w:rFonts w:ascii="Arial" w:hAnsi="Arial" w:cs="Arial"/>
        </w:rPr>
      </w:pPr>
    </w:p>
    <w:p w14:paraId="65130B90" w14:textId="2D8664E8" w:rsidR="00A9150C" w:rsidRDefault="00A9150C" w:rsidP="00A9150C">
      <w:pPr>
        <w:ind w:left="284" w:right="396"/>
        <w:jc w:val="both"/>
        <w:rPr>
          <w:rFonts w:ascii="Arial" w:hAnsi="Arial" w:cs="Arial"/>
        </w:rPr>
      </w:pPr>
      <w:r w:rsidRPr="00A9150C">
        <w:rPr>
          <w:rFonts w:ascii="Arial" w:hAnsi="Arial" w:cs="Arial"/>
        </w:rPr>
        <w:lastRenderedPageBreak/>
        <w:t>While data disaggregation remains a challenge, the PSA and the rest of the</w:t>
      </w:r>
      <w:r>
        <w:rPr>
          <w:rFonts w:ascii="Arial" w:hAnsi="Arial" w:cs="Arial"/>
        </w:rPr>
        <w:t xml:space="preserve"> </w:t>
      </w:r>
      <w:r w:rsidRPr="00A9150C">
        <w:rPr>
          <w:rFonts w:ascii="Arial" w:hAnsi="Arial" w:cs="Arial"/>
        </w:rPr>
        <w:t>government agencies concerned, are fully committed to achieve the SDGs by adopting</w:t>
      </w:r>
      <w:r>
        <w:rPr>
          <w:rFonts w:ascii="Arial" w:hAnsi="Arial" w:cs="Arial"/>
        </w:rPr>
        <w:t xml:space="preserve"> </w:t>
      </w:r>
      <w:r w:rsidRPr="00A9150C">
        <w:rPr>
          <w:rFonts w:ascii="Arial" w:hAnsi="Arial" w:cs="Arial"/>
        </w:rPr>
        <w:t>appropriate measures and mechanisms for the implementation and monitoring of the country's</w:t>
      </w:r>
      <w:r>
        <w:rPr>
          <w:rFonts w:ascii="Arial" w:hAnsi="Arial" w:cs="Arial"/>
        </w:rPr>
        <w:t xml:space="preserve"> </w:t>
      </w:r>
      <w:r w:rsidRPr="00A9150C">
        <w:rPr>
          <w:rFonts w:ascii="Arial" w:hAnsi="Arial" w:cs="Arial"/>
        </w:rPr>
        <w:t>performance of the SDGs.</w:t>
      </w:r>
    </w:p>
    <w:p w14:paraId="17D9DF2B" w14:textId="1C5321A8" w:rsidR="00E910B9" w:rsidRDefault="00E910B9" w:rsidP="00A9150C">
      <w:pPr>
        <w:ind w:left="284" w:right="396"/>
        <w:jc w:val="both"/>
        <w:rPr>
          <w:rFonts w:ascii="Arial" w:hAnsi="Arial" w:cs="Arial"/>
        </w:rPr>
      </w:pPr>
    </w:p>
    <w:p w14:paraId="18F5945F" w14:textId="115223E3" w:rsidR="00444AA3" w:rsidRDefault="00E910B9" w:rsidP="003A1345">
      <w:pPr>
        <w:ind w:left="284" w:right="396"/>
        <w:jc w:val="both"/>
        <w:rPr>
          <w:rFonts w:ascii="Arial" w:hAnsi="Arial" w:cs="Arial"/>
          <w:b/>
          <w:bCs/>
          <w:i/>
          <w:iCs/>
        </w:rPr>
      </w:pPr>
      <w:r w:rsidRPr="00F16AD5">
        <w:rPr>
          <w:rFonts w:ascii="Arial" w:hAnsi="Arial" w:cs="Arial"/>
          <w:b/>
          <w:bCs/>
          <w:i/>
          <w:iCs/>
        </w:rPr>
        <w:t>On item 5.2. (indicator 3.3.1.) whether the State measures progress of SOG 3 indicators for persons affected by violence and discrimination based on SOGI, i.e., number of new HIV infections per 1,000 uninfected population, by sex, age. and key populations.</w:t>
      </w:r>
    </w:p>
    <w:p w14:paraId="173766B4" w14:textId="436BCA74" w:rsidR="003A1345" w:rsidRDefault="003A1345" w:rsidP="003A1345">
      <w:pPr>
        <w:ind w:left="284" w:right="396"/>
        <w:jc w:val="both"/>
        <w:rPr>
          <w:rFonts w:ascii="Arial" w:hAnsi="Arial" w:cs="Arial"/>
          <w:b/>
          <w:bCs/>
          <w:i/>
          <w:iCs/>
        </w:rPr>
      </w:pPr>
    </w:p>
    <w:p w14:paraId="55339385" w14:textId="4C04F6CA" w:rsidR="003A1345" w:rsidRPr="003A1345" w:rsidRDefault="003A1345" w:rsidP="003A1345">
      <w:pPr>
        <w:ind w:left="284" w:right="396"/>
        <w:jc w:val="both"/>
        <w:rPr>
          <w:rFonts w:ascii="Arial" w:hAnsi="Arial" w:cs="Arial"/>
        </w:rPr>
      </w:pPr>
      <w:r w:rsidRPr="003A1345">
        <w:rPr>
          <w:rFonts w:ascii="Arial" w:hAnsi="Arial" w:cs="Arial"/>
        </w:rPr>
        <w:t>The Department of Health (DOH), through its Epidemiology Bureau, tracks and</w:t>
      </w:r>
      <w:r>
        <w:rPr>
          <w:rFonts w:ascii="Arial" w:hAnsi="Arial" w:cs="Arial"/>
        </w:rPr>
        <w:t xml:space="preserve"> </w:t>
      </w:r>
      <w:r w:rsidRPr="003A1345">
        <w:rPr>
          <w:rFonts w:ascii="Arial" w:hAnsi="Arial" w:cs="Arial"/>
        </w:rPr>
        <w:t>monitors</w:t>
      </w:r>
      <w:r>
        <w:rPr>
          <w:rFonts w:ascii="Arial" w:hAnsi="Arial" w:cs="Arial"/>
        </w:rPr>
        <w:t xml:space="preserve"> </w:t>
      </w:r>
      <w:r w:rsidRPr="003A1345">
        <w:rPr>
          <w:rFonts w:ascii="Arial" w:hAnsi="Arial" w:cs="Arial"/>
        </w:rPr>
        <w:t>HIV/AIDS statistics in the country</w:t>
      </w:r>
      <w:r w:rsidR="00457A25">
        <w:rPr>
          <w:rStyle w:val="FootnoteReference"/>
          <w:rFonts w:ascii="Arial" w:hAnsi="Arial" w:cs="Arial"/>
        </w:rPr>
        <w:footnoteReference w:id="7"/>
      </w:r>
      <w:r w:rsidR="00002BC5">
        <w:rPr>
          <w:rFonts w:ascii="Arial" w:hAnsi="Arial" w:cs="Arial"/>
        </w:rPr>
        <w:t xml:space="preserve">. </w:t>
      </w:r>
      <w:r w:rsidRPr="003A1345">
        <w:rPr>
          <w:rFonts w:ascii="Arial" w:hAnsi="Arial" w:cs="Arial"/>
        </w:rPr>
        <w:t>The Epidemiology Bureau's monthly publication</w:t>
      </w:r>
      <w:r>
        <w:rPr>
          <w:rFonts w:ascii="Arial" w:hAnsi="Arial" w:cs="Arial"/>
        </w:rPr>
        <w:t xml:space="preserve"> </w:t>
      </w:r>
      <w:r w:rsidRPr="003A1345">
        <w:rPr>
          <w:rFonts w:ascii="Arial" w:hAnsi="Arial" w:cs="Arial"/>
        </w:rPr>
        <w:t>of its HIV/AIDS and Anti-Retroviral Therapy Registry tallied a total of laboratory-confirmed</w:t>
      </w:r>
      <w:r>
        <w:rPr>
          <w:rFonts w:ascii="Arial" w:hAnsi="Arial" w:cs="Arial"/>
        </w:rPr>
        <w:t xml:space="preserve"> </w:t>
      </w:r>
      <w:r w:rsidRPr="003A1345">
        <w:rPr>
          <w:rFonts w:ascii="Arial" w:hAnsi="Arial" w:cs="Arial"/>
        </w:rPr>
        <w:t>93,364 cases as of November 2021, disaggregated by sex, age, specific populations, as well</w:t>
      </w:r>
      <w:r>
        <w:rPr>
          <w:rFonts w:ascii="Arial" w:hAnsi="Arial" w:cs="Arial"/>
        </w:rPr>
        <w:t xml:space="preserve"> </w:t>
      </w:r>
      <w:r w:rsidRPr="003A1345">
        <w:rPr>
          <w:rFonts w:ascii="Arial" w:hAnsi="Arial" w:cs="Arial"/>
        </w:rPr>
        <w:t>as gender. It has been noted that cases have risen remarkably among males who have sex</w:t>
      </w:r>
      <w:r>
        <w:rPr>
          <w:rFonts w:ascii="Arial" w:hAnsi="Arial" w:cs="Arial"/>
        </w:rPr>
        <w:t xml:space="preserve"> </w:t>
      </w:r>
      <w:r w:rsidRPr="003A1345">
        <w:rPr>
          <w:rFonts w:ascii="Arial" w:hAnsi="Arial" w:cs="Arial"/>
        </w:rPr>
        <w:t>with other males</w:t>
      </w:r>
      <w:r w:rsidR="003C101D">
        <w:rPr>
          <w:rStyle w:val="FootnoteReference"/>
          <w:rFonts w:ascii="Arial" w:hAnsi="Arial" w:cs="Arial"/>
        </w:rPr>
        <w:footnoteReference w:id="8"/>
      </w:r>
      <w:r w:rsidRPr="003A1345">
        <w:rPr>
          <w:rFonts w:ascii="Arial" w:hAnsi="Arial" w:cs="Arial"/>
        </w:rPr>
        <w:t xml:space="preserve">. </w:t>
      </w:r>
      <w:r w:rsidR="00BB219A">
        <w:rPr>
          <w:rFonts w:ascii="Arial" w:hAnsi="Arial" w:cs="Arial"/>
        </w:rPr>
        <w:t xml:space="preserve"> </w:t>
      </w:r>
      <w:r w:rsidRPr="003A1345">
        <w:rPr>
          <w:rFonts w:ascii="Arial" w:hAnsi="Arial" w:cs="Arial"/>
        </w:rPr>
        <w:t>However, the self-identification of individuals in reporting HIV/AIDS limits</w:t>
      </w:r>
    </w:p>
    <w:p w14:paraId="7CC47FC4" w14:textId="79E72924" w:rsidR="003A1345" w:rsidRPr="003A1345" w:rsidRDefault="003A1345" w:rsidP="003A1345">
      <w:pPr>
        <w:ind w:left="284" w:right="396"/>
        <w:jc w:val="both"/>
        <w:rPr>
          <w:rFonts w:ascii="Arial" w:hAnsi="Arial" w:cs="Arial"/>
        </w:rPr>
      </w:pPr>
      <w:r w:rsidRPr="003A1345">
        <w:rPr>
          <w:rFonts w:ascii="Arial" w:hAnsi="Arial" w:cs="Arial"/>
        </w:rPr>
        <w:t>the availability of actual data disaggregated by SOGI</w:t>
      </w:r>
      <w:r w:rsidR="00327BD9">
        <w:rPr>
          <w:rStyle w:val="FootnoteReference"/>
          <w:rFonts w:ascii="Arial" w:hAnsi="Arial" w:cs="Arial"/>
        </w:rPr>
        <w:footnoteReference w:id="9"/>
      </w:r>
      <w:r w:rsidRPr="003A1345">
        <w:rPr>
          <w:rFonts w:ascii="Arial" w:hAnsi="Arial" w:cs="Arial"/>
        </w:rPr>
        <w:t>, which can be observed in data</w:t>
      </w:r>
      <w:r>
        <w:rPr>
          <w:rFonts w:ascii="Arial" w:hAnsi="Arial" w:cs="Arial"/>
        </w:rPr>
        <w:t xml:space="preserve"> </w:t>
      </w:r>
      <w:r w:rsidRPr="003A1345">
        <w:rPr>
          <w:rFonts w:ascii="Arial" w:hAnsi="Arial" w:cs="Arial"/>
        </w:rPr>
        <w:t>gathered</w:t>
      </w:r>
      <w:r>
        <w:rPr>
          <w:rFonts w:ascii="Arial" w:hAnsi="Arial" w:cs="Arial"/>
        </w:rPr>
        <w:t xml:space="preserve"> </w:t>
      </w:r>
      <w:r w:rsidRPr="003A1345">
        <w:rPr>
          <w:rFonts w:ascii="Arial" w:hAnsi="Arial" w:cs="Arial"/>
        </w:rPr>
        <w:t>on other indicators under Goal 3.</w:t>
      </w:r>
    </w:p>
    <w:p w14:paraId="4329D50B" w14:textId="77777777" w:rsidR="003A1345" w:rsidRDefault="003A1345" w:rsidP="003A1345">
      <w:pPr>
        <w:ind w:left="284" w:right="396"/>
        <w:jc w:val="both"/>
        <w:rPr>
          <w:rFonts w:ascii="Arial" w:hAnsi="Arial" w:cs="Arial"/>
        </w:rPr>
      </w:pPr>
    </w:p>
    <w:p w14:paraId="4516034B" w14:textId="3B49D32E" w:rsidR="003A1345" w:rsidRPr="003A1345" w:rsidRDefault="003A1345" w:rsidP="003A1345">
      <w:pPr>
        <w:ind w:left="284" w:right="396"/>
        <w:jc w:val="both"/>
        <w:rPr>
          <w:rFonts w:ascii="Arial" w:hAnsi="Arial" w:cs="Arial"/>
        </w:rPr>
      </w:pPr>
      <w:r w:rsidRPr="003A1345">
        <w:rPr>
          <w:rFonts w:ascii="Arial" w:hAnsi="Arial" w:cs="Arial"/>
        </w:rPr>
        <w:t>Moreover, the DOH's HIV, AIDS, and STI Prevention and Control Program caters to</w:t>
      </w:r>
      <w:r>
        <w:rPr>
          <w:rFonts w:ascii="Arial" w:hAnsi="Arial" w:cs="Arial"/>
        </w:rPr>
        <w:t xml:space="preserve"> </w:t>
      </w:r>
      <w:r w:rsidRPr="003A1345">
        <w:rPr>
          <w:rFonts w:ascii="Arial" w:hAnsi="Arial" w:cs="Arial"/>
        </w:rPr>
        <w:t>all Filipinos, making no distinction among individuals of differing SOGI. It focuses on</w:t>
      </w:r>
      <w:r>
        <w:rPr>
          <w:rFonts w:ascii="Arial" w:hAnsi="Arial" w:cs="Arial"/>
        </w:rPr>
        <w:t xml:space="preserve"> </w:t>
      </w:r>
      <w:r w:rsidRPr="003A1345">
        <w:rPr>
          <w:rFonts w:ascii="Arial" w:hAnsi="Arial" w:cs="Arial"/>
        </w:rPr>
        <w:t>eliminating stigma, empowering and educating communities, and providing free resources,</w:t>
      </w:r>
      <w:r>
        <w:rPr>
          <w:rFonts w:ascii="Arial" w:hAnsi="Arial" w:cs="Arial"/>
        </w:rPr>
        <w:t xml:space="preserve"> </w:t>
      </w:r>
      <w:r w:rsidRPr="003A1345">
        <w:rPr>
          <w:rFonts w:ascii="Arial" w:hAnsi="Arial" w:cs="Arial"/>
        </w:rPr>
        <w:t>such as contraceptives, and services where possible</w:t>
      </w:r>
      <w:r w:rsidR="00302C0A">
        <w:rPr>
          <w:rStyle w:val="FootnoteReference"/>
          <w:rFonts w:ascii="Arial" w:hAnsi="Arial" w:cs="Arial"/>
        </w:rPr>
        <w:footnoteReference w:id="10"/>
      </w:r>
    </w:p>
    <w:p w14:paraId="083D005B" w14:textId="77777777" w:rsidR="003A1345" w:rsidRDefault="003A1345" w:rsidP="003A1345">
      <w:pPr>
        <w:ind w:left="284" w:right="396"/>
        <w:jc w:val="both"/>
        <w:rPr>
          <w:rFonts w:ascii="Arial" w:hAnsi="Arial" w:cs="Arial"/>
        </w:rPr>
      </w:pPr>
    </w:p>
    <w:p w14:paraId="19428D6C" w14:textId="75D280A5" w:rsidR="003A1345" w:rsidRDefault="003A1345" w:rsidP="003A1345">
      <w:pPr>
        <w:ind w:left="284" w:right="396"/>
        <w:jc w:val="both"/>
        <w:rPr>
          <w:rFonts w:ascii="Arial" w:hAnsi="Arial" w:cs="Arial"/>
        </w:rPr>
      </w:pPr>
      <w:r w:rsidRPr="003A1345">
        <w:rPr>
          <w:rFonts w:ascii="Arial" w:hAnsi="Arial" w:cs="Arial"/>
        </w:rPr>
        <w:t>In 2018, Republic Act (RA) No. 11166 or the Philippine HIV and AIDS Policy Act</w:t>
      </w:r>
      <w:r w:rsidR="00157248">
        <w:rPr>
          <w:rStyle w:val="FootnoteReference"/>
          <w:rFonts w:ascii="Arial" w:hAnsi="Arial" w:cs="Arial"/>
        </w:rPr>
        <w:footnoteReference w:id="11"/>
      </w:r>
      <w:r w:rsidRPr="003A1345">
        <w:rPr>
          <w:rFonts w:ascii="Arial" w:hAnsi="Arial" w:cs="Arial"/>
        </w:rPr>
        <w:t>, was</w:t>
      </w:r>
      <w:r>
        <w:rPr>
          <w:rFonts w:ascii="Arial" w:hAnsi="Arial" w:cs="Arial"/>
        </w:rPr>
        <w:t xml:space="preserve"> </w:t>
      </w:r>
      <w:r w:rsidRPr="003A1345">
        <w:rPr>
          <w:rFonts w:ascii="Arial" w:hAnsi="Arial" w:cs="Arial"/>
        </w:rPr>
        <w:t>signed into law by President Rodrigo Duterte enabling minors as young as 15, to avail</w:t>
      </w:r>
      <w:r>
        <w:rPr>
          <w:rFonts w:ascii="Arial" w:hAnsi="Arial" w:cs="Arial"/>
        </w:rPr>
        <w:t xml:space="preserve"> </w:t>
      </w:r>
      <w:r w:rsidRPr="003A1345">
        <w:rPr>
          <w:rFonts w:ascii="Arial" w:hAnsi="Arial" w:cs="Arial"/>
        </w:rPr>
        <w:t>diagnostic and therapeutic interventions without their primary guardian's consent. Further,</w:t>
      </w:r>
      <w:r>
        <w:rPr>
          <w:rFonts w:ascii="Arial" w:hAnsi="Arial" w:cs="Arial"/>
        </w:rPr>
        <w:t xml:space="preserve"> </w:t>
      </w:r>
      <w:r w:rsidRPr="003A1345">
        <w:rPr>
          <w:rFonts w:ascii="Arial" w:hAnsi="Arial" w:cs="Arial"/>
        </w:rPr>
        <w:t>the</w:t>
      </w:r>
      <w:r>
        <w:rPr>
          <w:rFonts w:ascii="Arial" w:hAnsi="Arial" w:cs="Arial"/>
        </w:rPr>
        <w:t xml:space="preserve"> </w:t>
      </w:r>
      <w:r w:rsidRPr="003A1345">
        <w:rPr>
          <w:rFonts w:ascii="Arial" w:hAnsi="Arial" w:cs="Arial"/>
        </w:rPr>
        <w:t>law not only strengthens the educational institutions in terms of addressing the stigma and</w:t>
      </w:r>
      <w:r>
        <w:rPr>
          <w:rFonts w:ascii="Arial" w:hAnsi="Arial" w:cs="Arial"/>
        </w:rPr>
        <w:t xml:space="preserve"> </w:t>
      </w:r>
      <w:r w:rsidRPr="003A1345">
        <w:rPr>
          <w:rFonts w:ascii="Arial" w:hAnsi="Arial" w:cs="Arial"/>
        </w:rPr>
        <w:t>misinformation surrounding HIV/AIDS through a human rights-based approach, especially in</w:t>
      </w:r>
      <w:r>
        <w:rPr>
          <w:rFonts w:ascii="Arial" w:hAnsi="Arial" w:cs="Arial"/>
        </w:rPr>
        <w:t xml:space="preserve"> </w:t>
      </w:r>
      <w:r w:rsidRPr="003A1345">
        <w:rPr>
          <w:rFonts w:ascii="Arial" w:hAnsi="Arial" w:cs="Arial"/>
        </w:rPr>
        <w:t>disadvantaged and/ or isolated areas, but also targets to bolster delivery of comprehensive</w:t>
      </w:r>
      <w:r>
        <w:rPr>
          <w:rFonts w:ascii="Arial" w:hAnsi="Arial" w:cs="Arial"/>
        </w:rPr>
        <w:t xml:space="preserve"> </w:t>
      </w:r>
      <w:r w:rsidRPr="003A1345">
        <w:rPr>
          <w:rFonts w:ascii="Arial" w:hAnsi="Arial" w:cs="Arial"/>
        </w:rPr>
        <w:t>interventions to key populations</w:t>
      </w:r>
      <w:r w:rsidR="0060428E">
        <w:rPr>
          <w:rStyle w:val="FootnoteReference"/>
          <w:rFonts w:ascii="Arial" w:hAnsi="Arial" w:cs="Arial"/>
        </w:rPr>
        <w:footnoteReference w:id="12"/>
      </w:r>
      <w:r w:rsidR="009D64A3">
        <w:rPr>
          <w:rFonts w:ascii="Arial" w:hAnsi="Arial" w:cs="Arial"/>
        </w:rPr>
        <w:t xml:space="preserve">. </w:t>
      </w:r>
    </w:p>
    <w:p w14:paraId="279E28A6" w14:textId="69343416" w:rsidR="00571F32" w:rsidRDefault="00571F32" w:rsidP="003A1345">
      <w:pPr>
        <w:ind w:left="284" w:right="396"/>
        <w:jc w:val="both"/>
        <w:rPr>
          <w:rFonts w:ascii="Arial" w:hAnsi="Arial" w:cs="Arial"/>
        </w:rPr>
      </w:pPr>
    </w:p>
    <w:p w14:paraId="3392152B" w14:textId="77777777" w:rsidR="00C340D7" w:rsidRPr="00C340D7" w:rsidRDefault="00571F32" w:rsidP="00571F32">
      <w:pPr>
        <w:ind w:left="284" w:right="396"/>
        <w:jc w:val="both"/>
        <w:rPr>
          <w:rFonts w:ascii="Arial" w:hAnsi="Arial" w:cs="Arial"/>
          <w:b/>
          <w:bCs/>
          <w:i/>
          <w:iCs/>
        </w:rPr>
      </w:pPr>
      <w:r w:rsidRPr="00C340D7">
        <w:rPr>
          <w:rFonts w:ascii="Arial" w:hAnsi="Arial" w:cs="Arial"/>
          <w:b/>
          <w:bCs/>
          <w:i/>
          <w:iCs/>
        </w:rPr>
        <w:t xml:space="preserve">On item 5.2 (indicator 3.4.2.) on suicide mortality rate. </w:t>
      </w:r>
    </w:p>
    <w:p w14:paraId="512594A6" w14:textId="77777777" w:rsidR="00C340D7" w:rsidRDefault="00C340D7" w:rsidP="00571F32">
      <w:pPr>
        <w:ind w:left="284" w:right="396"/>
        <w:jc w:val="both"/>
        <w:rPr>
          <w:rFonts w:ascii="Arial" w:hAnsi="Arial" w:cs="Arial"/>
        </w:rPr>
      </w:pPr>
    </w:p>
    <w:p w14:paraId="070CD35E" w14:textId="77777777" w:rsidR="005F5CCA" w:rsidRDefault="00571F32" w:rsidP="005F5CCA">
      <w:pPr>
        <w:ind w:left="284" w:right="396"/>
        <w:jc w:val="both"/>
        <w:rPr>
          <w:rFonts w:ascii="Arial" w:hAnsi="Arial" w:cs="Arial"/>
        </w:rPr>
      </w:pPr>
      <w:r w:rsidRPr="00571F32">
        <w:rPr>
          <w:rFonts w:ascii="Arial" w:hAnsi="Arial" w:cs="Arial"/>
        </w:rPr>
        <w:lastRenderedPageBreak/>
        <w:t>According to the PSA,</w:t>
      </w:r>
      <w:r>
        <w:rPr>
          <w:rFonts w:ascii="Arial" w:hAnsi="Arial" w:cs="Arial"/>
        </w:rPr>
        <w:t xml:space="preserve"> </w:t>
      </w:r>
      <w:r w:rsidRPr="00571F32">
        <w:rPr>
          <w:rFonts w:ascii="Arial" w:hAnsi="Arial" w:cs="Arial"/>
        </w:rPr>
        <w:t xml:space="preserve">3,081 registered deaths were induced by self-harm within the period of January </w:t>
      </w:r>
      <w:r>
        <w:rPr>
          <w:rFonts w:ascii="Arial" w:hAnsi="Arial" w:cs="Arial"/>
        </w:rPr>
        <w:t>–</w:t>
      </w:r>
      <w:r w:rsidRPr="00571F32">
        <w:rPr>
          <w:rFonts w:ascii="Arial" w:hAnsi="Arial" w:cs="Arial"/>
        </w:rPr>
        <w:t xml:space="preserve"> October</w:t>
      </w:r>
      <w:r>
        <w:rPr>
          <w:rFonts w:ascii="Arial" w:hAnsi="Arial" w:cs="Arial"/>
        </w:rPr>
        <w:t xml:space="preserve"> </w:t>
      </w:r>
      <w:r w:rsidRPr="00571F32">
        <w:rPr>
          <w:rFonts w:ascii="Arial" w:hAnsi="Arial" w:cs="Arial"/>
        </w:rPr>
        <w:t>2021, a drop of 24% from the 4,060 reported in 2020</w:t>
      </w:r>
      <w:r w:rsidR="003A3D90">
        <w:rPr>
          <w:rStyle w:val="FootnoteReference"/>
          <w:rFonts w:ascii="Arial" w:hAnsi="Arial" w:cs="Arial"/>
        </w:rPr>
        <w:footnoteReference w:id="13"/>
      </w:r>
      <w:r w:rsidRPr="00571F32">
        <w:rPr>
          <w:rFonts w:ascii="Arial" w:hAnsi="Arial" w:cs="Arial"/>
        </w:rPr>
        <w:t>. The LGBTQI youth in particular is at</w:t>
      </w:r>
      <w:r>
        <w:rPr>
          <w:rFonts w:ascii="Arial" w:hAnsi="Arial" w:cs="Arial"/>
        </w:rPr>
        <w:t xml:space="preserve"> </w:t>
      </w:r>
      <w:r w:rsidRPr="00571F32">
        <w:rPr>
          <w:rFonts w:ascii="Arial" w:hAnsi="Arial" w:cs="Arial"/>
        </w:rPr>
        <w:t>much higher risk of suicidal ideation and/or self-harming behavior than their heterosexual</w:t>
      </w:r>
      <w:r>
        <w:rPr>
          <w:rFonts w:ascii="Arial" w:hAnsi="Arial" w:cs="Arial"/>
        </w:rPr>
        <w:t xml:space="preserve"> </w:t>
      </w:r>
      <w:r w:rsidRPr="00571F32">
        <w:rPr>
          <w:rFonts w:ascii="Arial" w:hAnsi="Arial" w:cs="Arial"/>
        </w:rPr>
        <w:t>peers</w:t>
      </w:r>
      <w:r w:rsidR="00746B22">
        <w:rPr>
          <w:rStyle w:val="FootnoteReference"/>
          <w:rFonts w:ascii="Arial" w:hAnsi="Arial" w:cs="Arial"/>
        </w:rPr>
        <w:footnoteReference w:id="14"/>
      </w:r>
      <w:r w:rsidR="0001446B">
        <w:rPr>
          <w:rFonts w:ascii="Arial" w:hAnsi="Arial" w:cs="Arial"/>
        </w:rPr>
        <w:t xml:space="preserve">. </w:t>
      </w:r>
    </w:p>
    <w:p w14:paraId="5C4393A6" w14:textId="77777777" w:rsidR="005F5CCA" w:rsidRDefault="005F5CCA" w:rsidP="005F5CCA">
      <w:pPr>
        <w:ind w:left="284" w:right="396"/>
        <w:jc w:val="both"/>
        <w:rPr>
          <w:rFonts w:ascii="Arial" w:hAnsi="Arial" w:cs="Arial"/>
        </w:rPr>
      </w:pPr>
    </w:p>
    <w:p w14:paraId="21490586" w14:textId="77777777" w:rsidR="00C803D3" w:rsidRPr="00592F32" w:rsidRDefault="005F5CCA" w:rsidP="00C803D3">
      <w:pPr>
        <w:ind w:left="284" w:right="396"/>
        <w:jc w:val="both"/>
        <w:rPr>
          <w:rFonts w:ascii="Arial" w:hAnsi="Arial" w:cs="Arial"/>
        </w:rPr>
      </w:pPr>
      <w:r w:rsidRPr="00592F32">
        <w:rPr>
          <w:rFonts w:ascii="Arial" w:hAnsi="Arial" w:cs="Arial"/>
        </w:rPr>
        <w:t>It is noteworthy to mention that with the enactment of RA No. 11036 (s. 2012) or the Mental Health Act</w:t>
      </w:r>
      <w:r w:rsidR="00A119B9" w:rsidRPr="00592F32">
        <w:rPr>
          <w:rStyle w:val="FootnoteReference"/>
          <w:rFonts w:ascii="Arial" w:hAnsi="Arial" w:cs="Arial"/>
        </w:rPr>
        <w:footnoteReference w:id="15"/>
      </w:r>
      <w:r w:rsidR="003B2BBE" w:rsidRPr="00592F32">
        <w:rPr>
          <w:rFonts w:ascii="Arial" w:hAnsi="Arial" w:cs="Arial"/>
        </w:rPr>
        <w:t>,</w:t>
      </w:r>
      <w:r w:rsidR="00476FF6" w:rsidRPr="00592F32">
        <w:rPr>
          <w:rFonts w:ascii="Arial" w:hAnsi="Arial" w:cs="Arial"/>
        </w:rPr>
        <w:t xml:space="preserve">  Filipinos are</w:t>
      </w:r>
      <w:r w:rsidRPr="00592F32">
        <w:rPr>
          <w:rFonts w:ascii="Arial" w:hAnsi="Arial" w:cs="Arial"/>
        </w:rPr>
        <w:t xml:space="preserve"> afforded the opportunity to access much needed mental health-related services, especially in the midst of the COVID-19 pandemic</w:t>
      </w:r>
      <w:r w:rsidR="005D75A0" w:rsidRPr="00592F32">
        <w:rPr>
          <w:rStyle w:val="FootnoteReference"/>
          <w:rFonts w:ascii="Arial" w:hAnsi="Arial" w:cs="Arial"/>
        </w:rPr>
        <w:footnoteReference w:id="16"/>
      </w:r>
      <w:r w:rsidR="006F4830" w:rsidRPr="00592F32">
        <w:rPr>
          <w:rFonts w:ascii="Arial" w:hAnsi="Arial" w:cs="Arial"/>
        </w:rPr>
        <w:t xml:space="preserve">. </w:t>
      </w:r>
    </w:p>
    <w:p w14:paraId="1B3B3EFD" w14:textId="77777777" w:rsidR="00C803D3" w:rsidRDefault="00C803D3" w:rsidP="00C803D3">
      <w:pPr>
        <w:ind w:left="284" w:right="396"/>
        <w:jc w:val="both"/>
        <w:rPr>
          <w:rFonts w:ascii="Arial" w:hAnsi="Arial" w:cs="Arial"/>
          <w:sz w:val="21"/>
          <w:szCs w:val="21"/>
        </w:rPr>
      </w:pPr>
    </w:p>
    <w:p w14:paraId="64CB7121" w14:textId="3D73598E" w:rsidR="00476FF6" w:rsidRPr="003B5F4D" w:rsidRDefault="00476FF6" w:rsidP="00C803D3">
      <w:pPr>
        <w:ind w:left="284" w:right="396"/>
        <w:jc w:val="both"/>
        <w:rPr>
          <w:rFonts w:ascii="Arial" w:hAnsi="Arial" w:cs="Arial"/>
        </w:rPr>
      </w:pPr>
      <w:r w:rsidRPr="00592F32">
        <w:rPr>
          <w:rFonts w:ascii="Arial" w:hAnsi="Arial" w:cs="Arial"/>
        </w:rPr>
        <w:t>Finally, in recognizing the need to specifically address the psychological distress</w:t>
      </w:r>
      <w:r w:rsidR="00C803D3" w:rsidRPr="00592F32">
        <w:rPr>
          <w:rFonts w:ascii="Arial" w:hAnsi="Arial" w:cs="Arial"/>
        </w:rPr>
        <w:t xml:space="preserve"> </w:t>
      </w:r>
      <w:r w:rsidRPr="00592F32">
        <w:rPr>
          <w:rFonts w:ascii="Arial" w:hAnsi="Arial" w:cs="Arial"/>
        </w:rPr>
        <w:t>caused by the pandemic which accompanies the scourge of COVID-19, the DOH is poised to</w:t>
      </w:r>
      <w:r w:rsidR="00C803D3" w:rsidRPr="00592F32">
        <w:rPr>
          <w:rFonts w:ascii="Arial" w:hAnsi="Arial" w:cs="Arial"/>
        </w:rPr>
        <w:t xml:space="preserve"> </w:t>
      </w:r>
      <w:r w:rsidRPr="00592F32">
        <w:rPr>
          <w:rFonts w:ascii="Arial" w:hAnsi="Arial" w:cs="Arial"/>
        </w:rPr>
        <w:t>prioritize mental health interventions and augmenting the capacity of psychological service</w:t>
      </w:r>
      <w:r w:rsidR="00C803D3" w:rsidRPr="00592F32">
        <w:rPr>
          <w:rFonts w:ascii="Arial" w:hAnsi="Arial" w:cs="Arial"/>
        </w:rPr>
        <w:t xml:space="preserve"> </w:t>
      </w:r>
      <w:r w:rsidRPr="00592F32">
        <w:rPr>
          <w:rFonts w:ascii="Arial" w:hAnsi="Arial" w:cs="Arial"/>
        </w:rPr>
        <w:t>providers</w:t>
      </w:r>
      <w:r w:rsidR="000C38BD">
        <w:rPr>
          <w:rStyle w:val="FootnoteReference"/>
          <w:rFonts w:ascii="Arial" w:hAnsi="Arial" w:cs="Arial"/>
        </w:rPr>
        <w:footnoteReference w:id="17"/>
      </w:r>
      <w:r w:rsidR="003B5F4D">
        <w:rPr>
          <w:rFonts w:ascii="Arial" w:hAnsi="Arial" w:cs="Arial"/>
        </w:rPr>
        <w:t xml:space="preserve">. </w:t>
      </w:r>
    </w:p>
    <w:p w14:paraId="1412DB14" w14:textId="326B4E55" w:rsidR="00745562" w:rsidRDefault="00745562" w:rsidP="00C74EE7">
      <w:pPr>
        <w:jc w:val="both"/>
        <w:rPr>
          <w:rFonts w:ascii="Arial" w:hAnsi="Arial" w:cs="Arial"/>
        </w:rPr>
      </w:pPr>
    </w:p>
    <w:p w14:paraId="5B826712" w14:textId="77777777" w:rsidR="00E93A1D" w:rsidRDefault="00E93A1D" w:rsidP="00057CD0">
      <w:pPr>
        <w:jc w:val="both"/>
        <w:rPr>
          <w:rFonts w:ascii="Arial" w:hAnsi="Arial" w:cs="Arial"/>
        </w:rPr>
      </w:pPr>
    </w:p>
    <w:p w14:paraId="00194319" w14:textId="796361C0" w:rsidR="00E93A1D" w:rsidRDefault="009B0712" w:rsidP="00057CD0">
      <w:pPr>
        <w:jc w:val="both"/>
        <w:rPr>
          <w:rFonts w:ascii="Arial" w:hAnsi="Arial" w:cs="Arial"/>
        </w:rPr>
      </w:pPr>
      <w:r>
        <w:rPr>
          <w:rFonts w:ascii="Arial" w:hAnsi="Arial" w:cs="Arial"/>
        </w:rPr>
        <w:t xml:space="preserve">The </w:t>
      </w:r>
      <w:r w:rsidR="00E93A1D">
        <w:rPr>
          <w:rFonts w:ascii="Arial" w:hAnsi="Arial" w:cs="Arial"/>
        </w:rPr>
        <w:t xml:space="preserve">Philippines invites the </w:t>
      </w:r>
      <w:r>
        <w:rPr>
          <w:rFonts w:ascii="Arial" w:hAnsi="Arial" w:cs="Arial"/>
        </w:rPr>
        <w:t xml:space="preserve">Independent Expert to </w:t>
      </w:r>
      <w:r w:rsidR="00E93A1D">
        <w:rPr>
          <w:rFonts w:ascii="Arial" w:hAnsi="Arial" w:cs="Arial"/>
        </w:rPr>
        <w:t xml:space="preserve">visit </w:t>
      </w:r>
      <w:r>
        <w:rPr>
          <w:rFonts w:ascii="Arial" w:hAnsi="Arial" w:cs="Arial"/>
        </w:rPr>
        <w:t>the websites provided in the footnotes</w:t>
      </w:r>
      <w:r w:rsidR="00EF292C">
        <w:rPr>
          <w:rFonts w:ascii="Arial" w:hAnsi="Arial" w:cs="Arial"/>
        </w:rPr>
        <w:t>.</w:t>
      </w:r>
      <w:r w:rsidR="009249FA">
        <w:rPr>
          <w:rFonts w:ascii="Arial" w:hAnsi="Arial" w:cs="Arial"/>
        </w:rPr>
        <w:t xml:space="preserve"> </w:t>
      </w:r>
    </w:p>
    <w:p w14:paraId="159CA3EC" w14:textId="77777777" w:rsidR="00E93A1D" w:rsidRDefault="00E93A1D" w:rsidP="00057CD0">
      <w:pPr>
        <w:jc w:val="both"/>
        <w:rPr>
          <w:rFonts w:ascii="Arial" w:hAnsi="Arial" w:cs="Arial"/>
        </w:rPr>
      </w:pPr>
    </w:p>
    <w:p w14:paraId="0F1D76FF" w14:textId="642FB76C" w:rsidR="0093303F" w:rsidRPr="009249FA" w:rsidRDefault="00C2105F" w:rsidP="00057CD0">
      <w:pPr>
        <w:jc w:val="both"/>
        <w:rPr>
          <w:rFonts w:ascii="Arial" w:hAnsi="Arial" w:cs="Arial"/>
        </w:rPr>
      </w:pPr>
      <w:r>
        <w:rPr>
          <w:rFonts w:ascii="Arial" w:hAnsi="Arial" w:cs="Arial"/>
        </w:rPr>
        <w:t xml:space="preserve">The government of the Philippines </w:t>
      </w:r>
      <w:r w:rsidR="00C74EE7" w:rsidRPr="0084208F">
        <w:rPr>
          <w:rFonts w:ascii="Arial" w:hAnsi="Arial" w:cs="Arial"/>
        </w:rPr>
        <w:t>hope</w:t>
      </w:r>
      <w:r>
        <w:rPr>
          <w:rFonts w:ascii="Arial" w:hAnsi="Arial" w:cs="Arial"/>
        </w:rPr>
        <w:t xml:space="preserve">s </w:t>
      </w:r>
      <w:r w:rsidR="00C74EE7" w:rsidRPr="0084208F">
        <w:rPr>
          <w:rFonts w:ascii="Arial" w:hAnsi="Arial" w:cs="Arial"/>
        </w:rPr>
        <w:t xml:space="preserve">that </w:t>
      </w:r>
      <w:r w:rsidR="00745562">
        <w:rPr>
          <w:rFonts w:ascii="Arial" w:hAnsi="Arial" w:cs="Arial"/>
        </w:rPr>
        <w:t xml:space="preserve">the </w:t>
      </w:r>
      <w:r w:rsidR="009249FA">
        <w:rPr>
          <w:rFonts w:ascii="Arial" w:hAnsi="Arial" w:cs="Arial"/>
        </w:rPr>
        <w:t xml:space="preserve">above </w:t>
      </w:r>
      <w:r w:rsidR="00745562">
        <w:rPr>
          <w:rFonts w:ascii="Arial" w:hAnsi="Arial" w:cs="Arial"/>
        </w:rPr>
        <w:t xml:space="preserve">contribution would </w:t>
      </w:r>
      <w:r w:rsidR="00057CD0">
        <w:rPr>
          <w:rFonts w:ascii="Arial" w:hAnsi="Arial" w:cs="Arial"/>
        </w:rPr>
        <w:t>be useful</w:t>
      </w:r>
      <w:r w:rsidR="00C74EE7" w:rsidRPr="0084208F">
        <w:rPr>
          <w:rFonts w:ascii="Arial" w:hAnsi="Arial" w:cs="Arial"/>
        </w:rPr>
        <w:t xml:space="preserve"> in the preparation of the </w:t>
      </w:r>
      <w:r w:rsidR="00A77A00">
        <w:rPr>
          <w:rFonts w:ascii="Arial" w:hAnsi="Arial" w:cs="Arial"/>
        </w:rPr>
        <w:t xml:space="preserve">IE’s </w:t>
      </w:r>
      <w:r>
        <w:rPr>
          <w:rFonts w:ascii="Arial" w:hAnsi="Arial" w:cs="Arial"/>
        </w:rPr>
        <w:t xml:space="preserve">upcoming </w:t>
      </w:r>
      <w:r w:rsidR="00C74EE7" w:rsidRPr="0084208F">
        <w:rPr>
          <w:rFonts w:ascii="Arial" w:hAnsi="Arial" w:cs="Arial"/>
        </w:rPr>
        <w:t>thematic report to be presented at the 50th Regular Session of the Human Rights Council in June 2022 (pursuant to HRC resolution</w:t>
      </w:r>
      <w:r w:rsidR="00CA7EB6">
        <w:rPr>
          <w:rFonts w:ascii="Arial" w:hAnsi="Arial" w:cs="Arial"/>
        </w:rPr>
        <w:t>s 32/2 and 41/18</w:t>
      </w:r>
      <w:r w:rsidR="00C74EE7" w:rsidRPr="0084208F">
        <w:rPr>
          <w:rFonts w:ascii="Arial" w:hAnsi="Arial" w:cs="Arial"/>
        </w:rPr>
        <w:t>).  #</w:t>
      </w:r>
      <w:r w:rsidRPr="0084208F">
        <w:rPr>
          <w:rFonts w:ascii="Arial" w:hAnsi="Arial" w:cs="Arial"/>
        </w:rPr>
        <w:t>##</w:t>
      </w:r>
    </w:p>
    <w:sectPr w:rsidR="0093303F" w:rsidRPr="009249FA" w:rsidSect="00124143">
      <w:headerReference w:type="default" r:id="rId11"/>
      <w:footerReference w:type="default" r:id="rId12"/>
      <w:footerReference w:type="first" r:id="rId13"/>
      <w:pgSz w:w="11906" w:h="16838" w:code="9"/>
      <w:pgMar w:top="851" w:right="1247" w:bottom="56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9ED09" w14:textId="77777777" w:rsidR="00470370" w:rsidRDefault="00470370" w:rsidP="00D0409D">
      <w:r>
        <w:separator/>
      </w:r>
    </w:p>
  </w:endnote>
  <w:endnote w:type="continuationSeparator" w:id="0">
    <w:p w14:paraId="185D82D2" w14:textId="77777777" w:rsidR="00470370" w:rsidRDefault="00470370" w:rsidP="00D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268168"/>
      <w:docPartObj>
        <w:docPartGallery w:val="Page Numbers (Bottom of Page)"/>
        <w:docPartUnique/>
      </w:docPartObj>
    </w:sdtPr>
    <w:sdtEndPr>
      <w:rPr>
        <w:noProof/>
      </w:rPr>
    </w:sdtEndPr>
    <w:sdtContent>
      <w:p w14:paraId="5AEF3DCC" w14:textId="57170EB0" w:rsidR="008333D4" w:rsidRDefault="008333D4">
        <w:pPr>
          <w:pStyle w:val="Footer"/>
          <w:jc w:val="right"/>
        </w:pPr>
        <w:r>
          <w:fldChar w:fldCharType="begin"/>
        </w:r>
        <w:r>
          <w:instrText xml:space="preserve"> PAGE   \* MERGEFORMAT </w:instrText>
        </w:r>
        <w:r>
          <w:fldChar w:fldCharType="separate"/>
        </w:r>
        <w:r w:rsidR="00503B49">
          <w:rPr>
            <w:noProof/>
          </w:rPr>
          <w:t>2</w:t>
        </w:r>
        <w:r>
          <w:rPr>
            <w:noProof/>
          </w:rPr>
          <w:fldChar w:fldCharType="end"/>
        </w:r>
      </w:p>
    </w:sdtContent>
  </w:sdt>
  <w:p w14:paraId="4A06C483" w14:textId="77777777" w:rsidR="00D0409D" w:rsidRDefault="00D040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483324"/>
      <w:docPartObj>
        <w:docPartGallery w:val="Page Numbers (Bottom of Page)"/>
        <w:docPartUnique/>
      </w:docPartObj>
    </w:sdtPr>
    <w:sdtEndPr>
      <w:rPr>
        <w:noProof/>
        <w:sz w:val="16"/>
        <w:szCs w:val="16"/>
      </w:rPr>
    </w:sdtEndPr>
    <w:sdtContent>
      <w:p w14:paraId="44A91CFE" w14:textId="2D1D7C4B" w:rsidR="00F07B4D" w:rsidRPr="00C02012" w:rsidRDefault="00F07B4D">
        <w:pPr>
          <w:pStyle w:val="Footer"/>
          <w:jc w:val="right"/>
          <w:rPr>
            <w:sz w:val="16"/>
            <w:szCs w:val="16"/>
          </w:rPr>
        </w:pPr>
        <w:r w:rsidRPr="00C02012">
          <w:rPr>
            <w:sz w:val="16"/>
            <w:szCs w:val="16"/>
          </w:rPr>
          <w:fldChar w:fldCharType="begin"/>
        </w:r>
        <w:r w:rsidRPr="00C02012">
          <w:rPr>
            <w:sz w:val="16"/>
            <w:szCs w:val="16"/>
          </w:rPr>
          <w:instrText xml:space="preserve"> PAGE   \* MERGEFORMAT </w:instrText>
        </w:r>
        <w:r w:rsidRPr="00C02012">
          <w:rPr>
            <w:sz w:val="16"/>
            <w:szCs w:val="16"/>
          </w:rPr>
          <w:fldChar w:fldCharType="separate"/>
        </w:r>
        <w:r w:rsidR="00503B49">
          <w:rPr>
            <w:noProof/>
            <w:sz w:val="16"/>
            <w:szCs w:val="16"/>
          </w:rPr>
          <w:t>1</w:t>
        </w:r>
        <w:r w:rsidRPr="00C02012">
          <w:rPr>
            <w:noProof/>
            <w:sz w:val="16"/>
            <w:szCs w:val="16"/>
          </w:rPr>
          <w:fldChar w:fldCharType="end"/>
        </w:r>
      </w:p>
    </w:sdtContent>
  </w:sdt>
  <w:p w14:paraId="1F2E0CAD" w14:textId="77777777" w:rsidR="00F07B4D" w:rsidRDefault="00F07B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27044" w14:textId="77777777" w:rsidR="00470370" w:rsidRDefault="00470370" w:rsidP="00D0409D">
      <w:r>
        <w:separator/>
      </w:r>
    </w:p>
  </w:footnote>
  <w:footnote w:type="continuationSeparator" w:id="0">
    <w:p w14:paraId="7D453F68" w14:textId="77777777" w:rsidR="00470370" w:rsidRDefault="00470370" w:rsidP="00D0409D">
      <w:r>
        <w:continuationSeparator/>
      </w:r>
    </w:p>
  </w:footnote>
  <w:footnote w:id="1">
    <w:p w14:paraId="1D00D8BF" w14:textId="77777777" w:rsidR="008A4AD7" w:rsidRDefault="008A4AD7" w:rsidP="008A4AD7">
      <w:pPr>
        <w:pStyle w:val="FootnoteText"/>
        <w:rPr>
          <w:rFonts w:cstheme="minorHAnsi"/>
        </w:rPr>
      </w:pPr>
      <w:r>
        <w:rPr>
          <w:rStyle w:val="FootnoteReference"/>
        </w:rPr>
        <w:footnoteRef/>
      </w:r>
      <w:r>
        <w:t xml:space="preserve"> </w:t>
      </w:r>
      <w:r w:rsidRPr="002608F9">
        <w:rPr>
          <w:rFonts w:cstheme="minorHAnsi"/>
        </w:rPr>
        <w:t xml:space="preserve">Philippine Statistics Authority. Sustainable Development Goals. </w:t>
      </w:r>
      <w:hyperlink r:id="rId1" w:history="1">
        <w:r w:rsidRPr="002608F9">
          <w:rPr>
            <w:rStyle w:val="Hyperlink"/>
            <w:rFonts w:cstheme="minorHAnsi"/>
          </w:rPr>
          <w:t>https://psa.gov.ph/sdg</w:t>
        </w:r>
      </w:hyperlink>
      <w:r w:rsidRPr="002608F9">
        <w:rPr>
          <w:rFonts w:cstheme="minorHAnsi"/>
        </w:rPr>
        <w:t xml:space="preserve"> </w:t>
      </w:r>
    </w:p>
    <w:p w14:paraId="4487EB28" w14:textId="77777777" w:rsidR="008A4AD7" w:rsidRPr="00DD5BBB" w:rsidRDefault="008A4AD7" w:rsidP="008A4AD7">
      <w:pPr>
        <w:pStyle w:val="FootnoteText"/>
      </w:pPr>
    </w:p>
  </w:footnote>
  <w:footnote w:id="2">
    <w:p w14:paraId="307CC355" w14:textId="77777777" w:rsidR="00D408E0" w:rsidRDefault="00D408E0" w:rsidP="00D408E0">
      <w:pPr>
        <w:autoSpaceDE w:val="0"/>
        <w:autoSpaceDN w:val="0"/>
        <w:adjustRightInd w:val="0"/>
        <w:rPr>
          <w:rFonts w:cstheme="minorHAnsi"/>
          <w:sz w:val="20"/>
          <w:szCs w:val="20"/>
        </w:rPr>
      </w:pPr>
      <w:r>
        <w:rPr>
          <w:rStyle w:val="FootnoteReference"/>
        </w:rPr>
        <w:footnoteRef/>
      </w:r>
      <w:r>
        <w:t xml:space="preserve"> </w:t>
      </w:r>
      <w:r w:rsidRPr="002608F9">
        <w:rPr>
          <w:rFonts w:cstheme="minorHAnsi"/>
          <w:sz w:val="20"/>
          <w:szCs w:val="20"/>
        </w:rPr>
        <w:t xml:space="preserve">United Nations Development Programme. What are the Sustainable Development Goals? UNDP. </w:t>
      </w:r>
      <w:hyperlink r:id="rId2" w:history="1">
        <w:r w:rsidRPr="002608F9">
          <w:rPr>
            <w:rStyle w:val="Hyperlink"/>
            <w:rFonts w:cstheme="minorHAnsi"/>
            <w:sz w:val="20"/>
            <w:szCs w:val="20"/>
          </w:rPr>
          <w:t>https://www.undp.org/sustainable-development-goals</w:t>
        </w:r>
      </w:hyperlink>
      <w:r w:rsidRPr="002608F9">
        <w:rPr>
          <w:rFonts w:cstheme="minorHAnsi"/>
          <w:sz w:val="20"/>
          <w:szCs w:val="20"/>
        </w:rPr>
        <w:t xml:space="preserve"> </w:t>
      </w:r>
    </w:p>
    <w:p w14:paraId="3D5E51D8" w14:textId="77777777" w:rsidR="00D408E0" w:rsidRPr="009202CC" w:rsidRDefault="00D408E0" w:rsidP="00D408E0">
      <w:pPr>
        <w:pStyle w:val="FootnoteText"/>
      </w:pPr>
    </w:p>
  </w:footnote>
  <w:footnote w:id="3">
    <w:p w14:paraId="79531DCC" w14:textId="77777777" w:rsidR="00627B32" w:rsidRDefault="00627B32" w:rsidP="00627B32">
      <w:pPr>
        <w:pStyle w:val="FootnoteText"/>
      </w:pPr>
      <w:r>
        <w:rPr>
          <w:rStyle w:val="FootnoteReference"/>
        </w:rPr>
        <w:footnoteRef/>
      </w:r>
      <w:r>
        <w:t xml:space="preserve"> National Economic Development Authority. The PDP as the Implementation Mechanism for SDGs. </w:t>
      </w:r>
      <w:hyperlink r:id="rId3" w:history="1">
        <w:r w:rsidRPr="00E963CF">
          <w:rPr>
            <w:rStyle w:val="Hyperlink"/>
          </w:rPr>
          <w:t>https://sdg.neda.gov.ph/the-pdp-as-the-implementation-mechanism-for-the-sdgs/</w:t>
        </w:r>
      </w:hyperlink>
      <w:r w:rsidRPr="00E963CF">
        <w:t xml:space="preserve"> </w:t>
      </w:r>
    </w:p>
    <w:p w14:paraId="04AB01B1" w14:textId="77777777" w:rsidR="00627B32" w:rsidRPr="005E2B75" w:rsidRDefault="00627B32" w:rsidP="00627B32">
      <w:pPr>
        <w:pStyle w:val="FootnoteText"/>
      </w:pPr>
    </w:p>
  </w:footnote>
  <w:footnote w:id="4">
    <w:p w14:paraId="2F6C8A0A" w14:textId="3558BC24" w:rsidR="00627B32" w:rsidRDefault="00627B32" w:rsidP="00627B32">
      <w:pPr>
        <w:pStyle w:val="FootnoteText"/>
      </w:pPr>
      <w:r>
        <w:rPr>
          <w:rStyle w:val="FootnoteReference"/>
        </w:rPr>
        <w:footnoteRef/>
      </w:r>
      <w:r>
        <w:t xml:space="preserve"> </w:t>
      </w:r>
      <w:r w:rsidRPr="00F27106">
        <w:t>NEDA. About AmBisyon Natin 2040</w:t>
      </w:r>
      <w:r>
        <w:t xml:space="preserve"> </w:t>
      </w:r>
      <w:hyperlink r:id="rId4" w:history="1">
        <w:r w:rsidRPr="00274316">
          <w:rPr>
            <w:rStyle w:val="Hyperlink"/>
          </w:rPr>
          <w:t>https://2040.neda.gov.ph/about-ambisyon-natin-2040/</w:t>
        </w:r>
      </w:hyperlink>
    </w:p>
    <w:p w14:paraId="28367710" w14:textId="77777777" w:rsidR="00FB3DA3" w:rsidRPr="00010DD7" w:rsidRDefault="00FB3DA3" w:rsidP="00627B32">
      <w:pPr>
        <w:pStyle w:val="FootnoteText"/>
      </w:pPr>
    </w:p>
  </w:footnote>
  <w:footnote w:id="5">
    <w:p w14:paraId="67CC3791" w14:textId="7D232B90" w:rsidR="0003730C" w:rsidRDefault="0003730C">
      <w:pPr>
        <w:pStyle w:val="FootnoteText"/>
      </w:pPr>
      <w:r>
        <w:rPr>
          <w:rStyle w:val="FootnoteReference"/>
        </w:rPr>
        <w:footnoteRef/>
      </w:r>
      <w:r>
        <w:t xml:space="preserve"> </w:t>
      </w:r>
      <w:r w:rsidR="00611925" w:rsidRPr="00611925">
        <w:t>The Official Gazette. (2017, June 1). EO No. 27, s. 2017</w:t>
      </w:r>
      <w:r w:rsidR="00611925">
        <w:t xml:space="preserve"> </w:t>
      </w:r>
      <w:hyperlink r:id="rId5" w:history="1">
        <w:r w:rsidRPr="00274316">
          <w:rPr>
            <w:rStyle w:val="Hyperlink"/>
          </w:rPr>
          <w:t>https://www.officialgazette.gov.ph/downloads/2017/06jun/20170601-EO-27-RRD.pdf</w:t>
        </w:r>
      </w:hyperlink>
      <w:r w:rsidRPr="00FB3DA3">
        <w:t xml:space="preserve"> </w:t>
      </w:r>
    </w:p>
    <w:p w14:paraId="494B32FD" w14:textId="77777777" w:rsidR="008B791E" w:rsidRPr="00FB3DA3" w:rsidRDefault="008B791E">
      <w:pPr>
        <w:pStyle w:val="FootnoteText"/>
      </w:pPr>
    </w:p>
  </w:footnote>
  <w:footnote w:id="6">
    <w:p w14:paraId="68B1470C" w14:textId="4919C83A" w:rsidR="008B791E" w:rsidRPr="008B791E" w:rsidRDefault="008B791E">
      <w:pPr>
        <w:pStyle w:val="FootnoteText"/>
      </w:pPr>
      <w:r>
        <w:rPr>
          <w:rStyle w:val="FootnoteReference"/>
        </w:rPr>
        <w:footnoteRef/>
      </w:r>
      <w:r>
        <w:t xml:space="preserve"> </w:t>
      </w:r>
      <w:r w:rsidRPr="008B791E">
        <w:t>PSA. (2021, May 12). PSA Tracks the Philippine Sustainable Development Goals (SDG) Progress [Press Release)</w:t>
      </w:r>
      <w:r>
        <w:t xml:space="preserve"> </w:t>
      </w:r>
      <w:hyperlink r:id="rId6" w:history="1">
        <w:r w:rsidRPr="00274316">
          <w:rPr>
            <w:rStyle w:val="Hyperlink"/>
          </w:rPr>
          <w:t>https://psa.gov.ph/sdg/press-release-id/164429</w:t>
        </w:r>
      </w:hyperlink>
      <w:r>
        <w:t xml:space="preserve"> </w:t>
      </w:r>
    </w:p>
  </w:footnote>
  <w:footnote w:id="7">
    <w:p w14:paraId="7D544112" w14:textId="67DB8422" w:rsidR="00457A25" w:rsidRPr="00F07599" w:rsidRDefault="00457A25" w:rsidP="00F07599">
      <w:pPr>
        <w:pStyle w:val="FootnoteText"/>
        <w:rPr>
          <w:rFonts w:cstheme="minorHAnsi"/>
        </w:rPr>
      </w:pPr>
      <w:r>
        <w:rPr>
          <w:rStyle w:val="FootnoteReference"/>
        </w:rPr>
        <w:footnoteRef/>
      </w:r>
      <w:r>
        <w:t xml:space="preserve"> </w:t>
      </w:r>
      <w:r w:rsidRPr="00F07599">
        <w:rPr>
          <w:rFonts w:cstheme="minorHAnsi"/>
        </w:rPr>
        <w:t xml:space="preserve">Department of Health. (2017, September 5). Epidemiology Bureau. DOH. </w:t>
      </w:r>
      <w:hyperlink r:id="rId7" w:history="1">
        <w:r w:rsidRPr="00F07599">
          <w:rPr>
            <w:rStyle w:val="Hyperlink"/>
            <w:rFonts w:cstheme="minorHAnsi"/>
          </w:rPr>
          <w:t>https://doh.gov.ph/nec-orgchart</w:t>
        </w:r>
      </w:hyperlink>
      <w:r w:rsidRPr="00F07599">
        <w:rPr>
          <w:rFonts w:cstheme="minorHAnsi"/>
        </w:rPr>
        <w:t xml:space="preserve"> </w:t>
      </w:r>
    </w:p>
    <w:p w14:paraId="6B6902D0" w14:textId="77777777" w:rsidR="00C35927" w:rsidRPr="00F07599" w:rsidRDefault="00C35927" w:rsidP="00F07599">
      <w:pPr>
        <w:pStyle w:val="FootnoteText"/>
        <w:jc w:val="both"/>
        <w:rPr>
          <w:rFonts w:cstheme="minorHAnsi"/>
        </w:rPr>
      </w:pPr>
    </w:p>
  </w:footnote>
  <w:footnote w:id="8">
    <w:p w14:paraId="11B38225" w14:textId="0586B322" w:rsidR="003C101D" w:rsidRPr="00F07599" w:rsidRDefault="003C101D" w:rsidP="00F07599">
      <w:pPr>
        <w:pStyle w:val="FootnoteText"/>
        <w:rPr>
          <w:rFonts w:cstheme="minorHAnsi"/>
        </w:rPr>
      </w:pPr>
      <w:r w:rsidRPr="00F07599">
        <w:rPr>
          <w:rStyle w:val="FootnoteReference"/>
          <w:rFonts w:cstheme="minorHAnsi"/>
        </w:rPr>
        <w:footnoteRef/>
      </w:r>
      <w:r w:rsidRPr="00F07599">
        <w:rPr>
          <w:rFonts w:cstheme="minorHAnsi"/>
        </w:rPr>
        <w:t xml:space="preserve"> DOH-EB. (2020). A Briefer on the Philippine HIV Estimates 2020. DOH-EB. </w:t>
      </w:r>
      <w:hyperlink r:id="rId8" w:history="1">
        <w:r w:rsidRPr="00F07599">
          <w:rPr>
            <w:rStyle w:val="Hyperlink"/>
            <w:rFonts w:cstheme="minorHAnsi"/>
          </w:rPr>
          <w:t>https://doh.gov.ph/sites/default/files/publications/A%20Briefer%20on%20the%20PH%20Estimates%202020_08232021.pdf</w:t>
        </w:r>
      </w:hyperlink>
      <w:r w:rsidRPr="00F07599">
        <w:rPr>
          <w:rFonts w:cstheme="minorHAnsi"/>
        </w:rPr>
        <w:t xml:space="preserve"> </w:t>
      </w:r>
    </w:p>
    <w:p w14:paraId="1B92CCFC" w14:textId="77777777" w:rsidR="009D3E19" w:rsidRPr="00F07599" w:rsidRDefault="009D3E19" w:rsidP="00F07599">
      <w:pPr>
        <w:pStyle w:val="FootnoteText"/>
        <w:jc w:val="both"/>
        <w:rPr>
          <w:rFonts w:cstheme="minorHAnsi"/>
        </w:rPr>
      </w:pPr>
    </w:p>
  </w:footnote>
  <w:footnote w:id="9">
    <w:p w14:paraId="3422330E" w14:textId="7EC5E855" w:rsidR="00327BD9" w:rsidRPr="00F07599" w:rsidRDefault="00327BD9" w:rsidP="00F07599">
      <w:pPr>
        <w:autoSpaceDE w:val="0"/>
        <w:autoSpaceDN w:val="0"/>
        <w:adjustRightInd w:val="0"/>
        <w:jc w:val="both"/>
        <w:rPr>
          <w:rFonts w:cstheme="minorHAnsi"/>
          <w:sz w:val="20"/>
          <w:szCs w:val="20"/>
        </w:rPr>
      </w:pPr>
      <w:r w:rsidRPr="00F07599">
        <w:rPr>
          <w:rStyle w:val="FootnoteReference"/>
          <w:rFonts w:cstheme="minorHAnsi"/>
          <w:sz w:val="20"/>
          <w:szCs w:val="20"/>
        </w:rPr>
        <w:footnoteRef/>
      </w:r>
      <w:r w:rsidRPr="00F07599">
        <w:rPr>
          <w:rFonts w:cstheme="minorHAnsi"/>
          <w:sz w:val="20"/>
          <w:szCs w:val="20"/>
        </w:rPr>
        <w:t xml:space="preserve"> DOH. (2021, November). November 2021 HIV/AIDS &amp;ART Registry of the Philippines. National HIV/AIDS and STI Surveillance</w:t>
      </w:r>
      <w:r w:rsidR="00A07E3B" w:rsidRPr="00F07599">
        <w:rPr>
          <w:rFonts w:cstheme="minorHAnsi"/>
          <w:sz w:val="20"/>
          <w:szCs w:val="20"/>
        </w:rPr>
        <w:t xml:space="preserve"> </w:t>
      </w:r>
      <w:r w:rsidRPr="00F07599">
        <w:rPr>
          <w:rFonts w:cstheme="minorHAnsi"/>
          <w:sz w:val="20"/>
          <w:szCs w:val="20"/>
        </w:rPr>
        <w:t xml:space="preserve">and Strategic Information Unit, Surveys Monitoring and Evaluation Division, Epidemiology Bureau. </w:t>
      </w:r>
      <w:hyperlink r:id="rId9" w:history="1">
        <w:r w:rsidRPr="00F07599">
          <w:rPr>
            <w:rStyle w:val="Hyperlink"/>
            <w:rFonts w:cstheme="minorHAnsi"/>
            <w:sz w:val="20"/>
            <w:szCs w:val="20"/>
          </w:rPr>
          <w:t>https://doh.gov.ph/sites/default/files/statistics/EB_HARP_November_AIDSreg2021.pdf</w:t>
        </w:r>
      </w:hyperlink>
      <w:r w:rsidRPr="00F07599">
        <w:rPr>
          <w:rFonts w:cstheme="minorHAnsi"/>
          <w:sz w:val="20"/>
          <w:szCs w:val="20"/>
        </w:rPr>
        <w:t xml:space="preserve"> </w:t>
      </w:r>
    </w:p>
    <w:p w14:paraId="504B4582" w14:textId="77777777" w:rsidR="00327BD9" w:rsidRPr="00F07599" w:rsidRDefault="00327BD9" w:rsidP="00F07599">
      <w:pPr>
        <w:pStyle w:val="FootnoteText"/>
        <w:jc w:val="both"/>
        <w:rPr>
          <w:rFonts w:cstheme="minorHAnsi"/>
        </w:rPr>
      </w:pPr>
    </w:p>
  </w:footnote>
  <w:footnote w:id="10">
    <w:p w14:paraId="1A37518C" w14:textId="5D50AB85" w:rsidR="00302C0A" w:rsidRPr="00F07599" w:rsidRDefault="00302C0A" w:rsidP="00F07599">
      <w:pPr>
        <w:pStyle w:val="FootnoteText"/>
        <w:jc w:val="both"/>
        <w:rPr>
          <w:rFonts w:cstheme="minorHAnsi"/>
        </w:rPr>
      </w:pPr>
      <w:r w:rsidRPr="00F07599">
        <w:rPr>
          <w:rStyle w:val="FootnoteReference"/>
          <w:rFonts w:cstheme="minorHAnsi"/>
        </w:rPr>
        <w:footnoteRef/>
      </w:r>
      <w:r w:rsidRPr="00F07599">
        <w:rPr>
          <w:rFonts w:cstheme="minorHAnsi"/>
        </w:rPr>
        <w:t xml:space="preserve"> </w:t>
      </w:r>
      <w:r w:rsidR="008C5947" w:rsidRPr="00F07599">
        <w:rPr>
          <w:rFonts w:cstheme="minorHAnsi"/>
        </w:rPr>
        <w:t xml:space="preserve">DOH. HIV, AIDS and STI Prevention and Control Program. </w:t>
      </w:r>
      <w:hyperlink r:id="rId10" w:history="1">
        <w:r w:rsidR="008C5947" w:rsidRPr="00F07599">
          <w:rPr>
            <w:rStyle w:val="Hyperlink"/>
            <w:rFonts w:cstheme="minorHAnsi"/>
          </w:rPr>
          <w:t>https://doh.gov.ph/national-hiv/sti-prevention-program</w:t>
        </w:r>
      </w:hyperlink>
      <w:r w:rsidRPr="00F07599">
        <w:rPr>
          <w:rFonts w:cstheme="minorHAnsi"/>
        </w:rPr>
        <w:t xml:space="preserve"> </w:t>
      </w:r>
    </w:p>
    <w:p w14:paraId="7AD0F264" w14:textId="77777777" w:rsidR="008C5947" w:rsidRPr="00F07599" w:rsidRDefault="008C5947" w:rsidP="00F07599">
      <w:pPr>
        <w:pStyle w:val="FootnoteText"/>
        <w:jc w:val="both"/>
        <w:rPr>
          <w:rFonts w:cstheme="minorHAnsi"/>
        </w:rPr>
      </w:pPr>
    </w:p>
  </w:footnote>
  <w:footnote w:id="11">
    <w:p w14:paraId="4D44BED7" w14:textId="71D7E558" w:rsidR="00157248" w:rsidRPr="00F07599" w:rsidRDefault="00157248" w:rsidP="00F07599">
      <w:pPr>
        <w:pStyle w:val="FootnoteText"/>
        <w:rPr>
          <w:rFonts w:cstheme="minorHAnsi"/>
        </w:rPr>
      </w:pPr>
      <w:r w:rsidRPr="00F07599">
        <w:rPr>
          <w:rStyle w:val="FootnoteReference"/>
          <w:rFonts w:cstheme="minorHAnsi"/>
        </w:rPr>
        <w:footnoteRef/>
      </w:r>
      <w:r w:rsidRPr="00F07599">
        <w:rPr>
          <w:rFonts w:cstheme="minorHAnsi"/>
        </w:rPr>
        <w:t xml:space="preserve"> The Official Gazette. (2018, July 23). RA No. 11166. </w:t>
      </w:r>
      <w:hyperlink r:id="rId11" w:history="1">
        <w:r w:rsidRPr="00F07599">
          <w:rPr>
            <w:rStyle w:val="Hyperlink"/>
            <w:rFonts w:cstheme="minorHAnsi"/>
          </w:rPr>
          <w:t>https://www.officialgazette.gov.ph/downloads/2018/12dec/20181220-RA-11166-RRD.pdf</w:t>
        </w:r>
      </w:hyperlink>
      <w:r w:rsidRPr="00F07599">
        <w:rPr>
          <w:rFonts w:cstheme="minorHAnsi"/>
        </w:rPr>
        <w:t xml:space="preserve"> </w:t>
      </w:r>
    </w:p>
    <w:p w14:paraId="028654E3" w14:textId="77777777" w:rsidR="0060428E" w:rsidRPr="00F07599" w:rsidRDefault="0060428E" w:rsidP="00F07599">
      <w:pPr>
        <w:pStyle w:val="FootnoteText"/>
        <w:jc w:val="both"/>
        <w:rPr>
          <w:rFonts w:cstheme="minorHAnsi"/>
        </w:rPr>
      </w:pPr>
    </w:p>
  </w:footnote>
  <w:footnote w:id="12">
    <w:p w14:paraId="7D300A40" w14:textId="223ECADD" w:rsidR="0060428E" w:rsidRPr="00F07599" w:rsidRDefault="0060428E" w:rsidP="00F07599">
      <w:pPr>
        <w:autoSpaceDE w:val="0"/>
        <w:autoSpaceDN w:val="0"/>
        <w:adjustRightInd w:val="0"/>
        <w:jc w:val="both"/>
        <w:rPr>
          <w:rFonts w:cstheme="minorHAnsi"/>
          <w:sz w:val="20"/>
          <w:szCs w:val="20"/>
        </w:rPr>
      </w:pPr>
      <w:r w:rsidRPr="00F07599">
        <w:rPr>
          <w:rStyle w:val="FootnoteReference"/>
          <w:rFonts w:cstheme="minorHAnsi"/>
          <w:sz w:val="20"/>
          <w:szCs w:val="20"/>
        </w:rPr>
        <w:footnoteRef/>
      </w:r>
      <w:r w:rsidRPr="00F07599">
        <w:rPr>
          <w:rFonts w:cstheme="minorHAnsi"/>
          <w:sz w:val="20"/>
          <w:szCs w:val="20"/>
        </w:rPr>
        <w:t xml:space="preserve"> DOH. (2019, July 12). Philippine National AIDS Council Chair Sec. Duque Signs IRR of New HIV Law, More Support for PLHIV</w:t>
      </w:r>
      <w:r w:rsidR="00F07599">
        <w:rPr>
          <w:rFonts w:cstheme="minorHAnsi"/>
          <w:sz w:val="20"/>
          <w:szCs w:val="20"/>
        </w:rPr>
        <w:t xml:space="preserve"> </w:t>
      </w:r>
      <w:r w:rsidRPr="00F07599">
        <w:rPr>
          <w:rFonts w:cstheme="minorHAnsi"/>
          <w:sz w:val="20"/>
          <w:szCs w:val="20"/>
        </w:rPr>
        <w:t xml:space="preserve">[Press Release].  </w:t>
      </w:r>
      <w:hyperlink r:id="rId12" w:history="1">
        <w:r w:rsidRPr="00F07599">
          <w:rPr>
            <w:rStyle w:val="Hyperlink"/>
            <w:rFonts w:cstheme="minorHAnsi"/>
            <w:sz w:val="20"/>
            <w:szCs w:val="20"/>
          </w:rPr>
          <w:t>https://doh.gov.ph/press-release/PNAC-chair-sec-Duque-signs-IRR-of-new-HIV-Law-more-support-for-PLHIV</w:t>
        </w:r>
      </w:hyperlink>
      <w:r w:rsidRPr="00F07599">
        <w:rPr>
          <w:rFonts w:cstheme="minorHAnsi"/>
          <w:sz w:val="20"/>
          <w:szCs w:val="20"/>
        </w:rPr>
        <w:t xml:space="preserve"> </w:t>
      </w:r>
    </w:p>
    <w:p w14:paraId="0D141D47" w14:textId="77777777" w:rsidR="003A3D90" w:rsidRPr="00F07599" w:rsidRDefault="003A3D90" w:rsidP="00F07599">
      <w:pPr>
        <w:pStyle w:val="FootnoteText"/>
        <w:jc w:val="both"/>
        <w:rPr>
          <w:rFonts w:cstheme="minorHAnsi"/>
        </w:rPr>
      </w:pPr>
    </w:p>
  </w:footnote>
  <w:footnote w:id="13">
    <w:p w14:paraId="104CFFDF" w14:textId="1667330A" w:rsidR="003A3D90" w:rsidRPr="009529F7" w:rsidRDefault="003A3D90" w:rsidP="009529F7">
      <w:pPr>
        <w:autoSpaceDE w:val="0"/>
        <w:autoSpaceDN w:val="0"/>
        <w:adjustRightInd w:val="0"/>
        <w:jc w:val="both"/>
        <w:rPr>
          <w:rFonts w:cstheme="minorHAnsi"/>
          <w:sz w:val="20"/>
          <w:szCs w:val="20"/>
        </w:rPr>
      </w:pPr>
      <w:r w:rsidRPr="00F07599">
        <w:rPr>
          <w:rStyle w:val="FootnoteReference"/>
          <w:rFonts w:cstheme="minorHAnsi"/>
          <w:sz w:val="20"/>
          <w:szCs w:val="20"/>
        </w:rPr>
        <w:footnoteRef/>
      </w:r>
      <w:r w:rsidRPr="00F07599">
        <w:rPr>
          <w:rFonts w:cstheme="minorHAnsi"/>
          <w:sz w:val="20"/>
          <w:szCs w:val="20"/>
        </w:rPr>
        <w:t xml:space="preserve"> Philippine Statistics Authority. (2022, January 17). Page 7 of 9 Table 1. Number of Registered Deaths, Percent Shares, and</w:t>
      </w:r>
      <w:r w:rsidR="009529F7">
        <w:rPr>
          <w:rFonts w:cstheme="minorHAnsi"/>
          <w:sz w:val="20"/>
          <w:szCs w:val="20"/>
        </w:rPr>
        <w:t xml:space="preserve"> </w:t>
      </w:r>
      <w:r w:rsidRPr="00F07599">
        <w:rPr>
          <w:rFonts w:cstheme="minorHAnsi"/>
          <w:sz w:val="20"/>
          <w:szCs w:val="20"/>
        </w:rPr>
        <w:t>Ranks by Cause of Death (Top 50), Philippines: January to October, 2020(p) and 2021(p) (as of 29 November 2021), Causes of</w:t>
      </w:r>
      <w:r w:rsidR="009529F7">
        <w:rPr>
          <w:rFonts w:cstheme="minorHAnsi"/>
          <w:sz w:val="20"/>
          <w:szCs w:val="20"/>
        </w:rPr>
        <w:t xml:space="preserve"> </w:t>
      </w:r>
      <w:r w:rsidRPr="00F07599">
        <w:rPr>
          <w:rFonts w:cstheme="minorHAnsi"/>
          <w:sz w:val="20"/>
          <w:szCs w:val="20"/>
        </w:rPr>
        <w:t xml:space="preserve">Deaths in the Philippines (Preliminary): January to October 2021. </w:t>
      </w:r>
      <w:r w:rsidRPr="00F07599">
        <w:rPr>
          <w:rFonts w:cstheme="minorHAnsi"/>
          <w:i/>
          <w:iCs/>
          <w:sz w:val="20"/>
          <w:szCs w:val="20"/>
        </w:rPr>
        <w:t>PSA.</w:t>
      </w:r>
      <w:r w:rsidRPr="00503B49">
        <w:rPr>
          <w:rFonts w:cstheme="minorHAnsi"/>
          <w:i/>
          <w:iCs/>
          <w:sz w:val="20"/>
          <w:szCs w:val="20"/>
        </w:rPr>
        <w:t xml:space="preserve"> </w:t>
      </w:r>
      <w:r w:rsidR="005650FF" w:rsidRPr="00503B49">
        <w:rPr>
          <w:rFonts w:cstheme="minorHAnsi"/>
          <w:i/>
          <w:iCs/>
          <w:sz w:val="20"/>
          <w:szCs w:val="20"/>
        </w:rPr>
        <w:t xml:space="preserve"> </w:t>
      </w:r>
      <w:hyperlink r:id="rId13" w:history="1">
        <w:r w:rsidR="005650FF" w:rsidRPr="00503B49">
          <w:rPr>
            <w:rStyle w:val="Hyperlink"/>
            <w:rFonts w:cstheme="minorHAnsi"/>
            <w:sz w:val="20"/>
            <w:szCs w:val="20"/>
          </w:rPr>
          <w:t>https://psa.gov.ph/sites/default/files/attachments/crd/pressrelease/COD_Jan-Oct2021_Tab1.pdf</w:t>
        </w:r>
      </w:hyperlink>
      <w:r w:rsidR="005650FF" w:rsidRPr="00503B49">
        <w:rPr>
          <w:rFonts w:cstheme="minorHAnsi"/>
          <w:sz w:val="20"/>
          <w:szCs w:val="20"/>
        </w:rPr>
        <w:t xml:space="preserve"> </w:t>
      </w:r>
    </w:p>
  </w:footnote>
  <w:footnote w:id="14">
    <w:p w14:paraId="59203BFA" w14:textId="34630ECB" w:rsidR="00746B22" w:rsidRPr="00F07599" w:rsidRDefault="00746B22" w:rsidP="00F07599">
      <w:pPr>
        <w:autoSpaceDE w:val="0"/>
        <w:autoSpaceDN w:val="0"/>
        <w:adjustRightInd w:val="0"/>
        <w:jc w:val="both"/>
        <w:rPr>
          <w:rFonts w:cstheme="minorHAnsi"/>
          <w:sz w:val="20"/>
          <w:szCs w:val="20"/>
        </w:rPr>
      </w:pPr>
      <w:r>
        <w:rPr>
          <w:rStyle w:val="FootnoteReference"/>
        </w:rPr>
        <w:footnoteRef/>
      </w:r>
      <w:r>
        <w:t xml:space="preserve"> </w:t>
      </w:r>
      <w:r w:rsidR="006F6757" w:rsidRPr="00F07599">
        <w:rPr>
          <w:rFonts w:cstheme="minorHAnsi"/>
          <w:sz w:val="20"/>
          <w:szCs w:val="20"/>
        </w:rPr>
        <w:t>Manalastas, E.J. (2013).Sexual Orientation and Suicide Risk in the Philippines : Evidence from a Nationally Representative</w:t>
      </w:r>
      <w:r w:rsidR="00F07599">
        <w:rPr>
          <w:rFonts w:cstheme="minorHAnsi"/>
          <w:sz w:val="20"/>
          <w:szCs w:val="20"/>
        </w:rPr>
        <w:t xml:space="preserve"> </w:t>
      </w:r>
      <w:r w:rsidR="006F6757" w:rsidRPr="00F07599">
        <w:rPr>
          <w:rFonts w:cstheme="minorHAnsi"/>
          <w:sz w:val="20"/>
          <w:szCs w:val="20"/>
        </w:rPr>
        <w:t xml:space="preserve">Sample of Young Filipino Men. </w:t>
      </w:r>
      <w:r w:rsidR="006F6757" w:rsidRPr="00F07599">
        <w:rPr>
          <w:rFonts w:cstheme="minorHAnsi"/>
          <w:i/>
          <w:iCs/>
          <w:sz w:val="20"/>
          <w:szCs w:val="20"/>
        </w:rPr>
        <w:t xml:space="preserve">Philippine Journal of Psychology, </w:t>
      </w:r>
      <w:r w:rsidR="006F6757" w:rsidRPr="00F07599">
        <w:rPr>
          <w:rFonts w:cstheme="minorHAnsi"/>
          <w:sz w:val="20"/>
          <w:szCs w:val="20"/>
        </w:rPr>
        <w:t xml:space="preserve">46 (1), 1-13. </w:t>
      </w:r>
      <w:hyperlink r:id="rId14" w:history="1">
        <w:r w:rsidR="00EA6978" w:rsidRPr="00F07599">
          <w:rPr>
            <w:rStyle w:val="Hyperlink"/>
            <w:rFonts w:cstheme="minorHAnsi"/>
            <w:sz w:val="20"/>
            <w:szCs w:val="20"/>
          </w:rPr>
          <w:t>https://pages.upd.edu.ph/sites/default/files/ejmanalastas/files/manalastas_2013_fil_gay_suicide_risk.pdf</w:t>
        </w:r>
      </w:hyperlink>
      <w:r w:rsidR="00EA6978" w:rsidRPr="00F07599">
        <w:rPr>
          <w:rFonts w:cstheme="minorHAnsi"/>
          <w:sz w:val="20"/>
          <w:szCs w:val="20"/>
        </w:rPr>
        <w:t xml:space="preserve"> </w:t>
      </w:r>
    </w:p>
    <w:p w14:paraId="5012B736" w14:textId="77777777" w:rsidR="00A119B9" w:rsidRPr="00F07599" w:rsidRDefault="00A119B9" w:rsidP="006F6757">
      <w:pPr>
        <w:pStyle w:val="FootnoteText"/>
        <w:rPr>
          <w:rFonts w:cstheme="minorHAnsi"/>
        </w:rPr>
      </w:pPr>
    </w:p>
  </w:footnote>
  <w:footnote w:id="15">
    <w:p w14:paraId="78001463" w14:textId="573B49E7" w:rsidR="00A119B9" w:rsidRDefault="00A119B9" w:rsidP="00F07599">
      <w:pPr>
        <w:pStyle w:val="FootnoteText"/>
        <w:jc w:val="both"/>
        <w:rPr>
          <w:rFonts w:cstheme="minorHAnsi"/>
        </w:rPr>
      </w:pPr>
      <w:r w:rsidRPr="00F07599">
        <w:rPr>
          <w:rStyle w:val="FootnoteReference"/>
          <w:rFonts w:cstheme="minorHAnsi"/>
        </w:rPr>
        <w:footnoteRef/>
      </w:r>
      <w:r w:rsidRPr="00F07599">
        <w:rPr>
          <w:rFonts w:cstheme="minorHAnsi"/>
        </w:rPr>
        <w:t xml:space="preserve"> The Official Gazette. (2019, November 25). Implementing Rules and Regulations of Republic Act No. 11036. </w:t>
      </w:r>
      <w:hyperlink r:id="rId15" w:history="1">
        <w:r w:rsidRPr="00F07599">
          <w:rPr>
            <w:rStyle w:val="Hyperlink"/>
            <w:rFonts w:cstheme="minorHAnsi"/>
          </w:rPr>
          <w:t>https://www.officialgazette.gov.ph/2019/01/22/implementing-rules-and-regulations-of-republic-act-no-11036/</w:t>
        </w:r>
      </w:hyperlink>
      <w:r w:rsidRPr="00F07599">
        <w:rPr>
          <w:rFonts w:cstheme="minorHAnsi"/>
        </w:rPr>
        <w:t xml:space="preserve"> </w:t>
      </w:r>
    </w:p>
    <w:p w14:paraId="188EF9B0" w14:textId="77777777" w:rsidR="00F07599" w:rsidRPr="00F07599" w:rsidRDefault="00F07599">
      <w:pPr>
        <w:pStyle w:val="FootnoteText"/>
        <w:rPr>
          <w:rFonts w:cstheme="minorHAnsi"/>
        </w:rPr>
      </w:pPr>
    </w:p>
  </w:footnote>
  <w:footnote w:id="16">
    <w:p w14:paraId="59E9AA83" w14:textId="4A400BF3" w:rsidR="005D75A0" w:rsidRDefault="005D75A0" w:rsidP="00F07599">
      <w:pPr>
        <w:autoSpaceDE w:val="0"/>
        <w:autoSpaceDN w:val="0"/>
        <w:adjustRightInd w:val="0"/>
        <w:jc w:val="both"/>
        <w:rPr>
          <w:rFonts w:cstheme="minorHAnsi"/>
          <w:sz w:val="20"/>
          <w:szCs w:val="20"/>
        </w:rPr>
      </w:pPr>
      <w:r w:rsidRPr="00F07599">
        <w:rPr>
          <w:rStyle w:val="FootnoteReference"/>
          <w:rFonts w:cstheme="minorHAnsi"/>
          <w:sz w:val="20"/>
          <w:szCs w:val="20"/>
        </w:rPr>
        <w:footnoteRef/>
      </w:r>
      <w:r w:rsidRPr="00F07599">
        <w:rPr>
          <w:rFonts w:cstheme="minorHAnsi"/>
          <w:sz w:val="20"/>
          <w:szCs w:val="20"/>
        </w:rPr>
        <w:t xml:space="preserve"> WHO. (2020, September 10). DOH and WHO promote holistic mental health wellness in light of World Suicide Prevention Day:</w:t>
      </w:r>
      <w:r w:rsidR="00F07599">
        <w:rPr>
          <w:rFonts w:cstheme="minorHAnsi"/>
          <w:sz w:val="20"/>
          <w:szCs w:val="20"/>
        </w:rPr>
        <w:t xml:space="preserve"> </w:t>
      </w:r>
      <w:r w:rsidRPr="00F07599">
        <w:rPr>
          <w:rFonts w:cstheme="minorHAnsi"/>
          <w:sz w:val="20"/>
          <w:szCs w:val="20"/>
        </w:rPr>
        <w:t xml:space="preserve">Mental health hotlines bolstered amidst a surge of calls during COVID-19 pandemic . </w:t>
      </w:r>
      <w:r w:rsidRPr="00F07599">
        <w:rPr>
          <w:rFonts w:cstheme="minorHAnsi"/>
          <w:i/>
          <w:iCs/>
          <w:sz w:val="20"/>
          <w:szCs w:val="20"/>
        </w:rPr>
        <w:t xml:space="preserve">WHO Philippines. </w:t>
      </w:r>
      <w:hyperlink r:id="rId16" w:history="1">
        <w:r w:rsidR="00F07599" w:rsidRPr="00F07599">
          <w:rPr>
            <w:rStyle w:val="Hyperlink"/>
            <w:rFonts w:cstheme="minorHAnsi"/>
            <w:sz w:val="20"/>
            <w:szCs w:val="20"/>
          </w:rPr>
          <w:t>https://www.who.int/philippines/news/detail/10-09-2020-doh-and-who-promote-holistic-mental-health-wellness-in-light-of-world-suicide-prevention-day</w:t>
        </w:r>
      </w:hyperlink>
      <w:r w:rsidR="00F07599" w:rsidRPr="00F07599">
        <w:rPr>
          <w:rFonts w:cstheme="minorHAnsi"/>
          <w:sz w:val="20"/>
          <w:szCs w:val="20"/>
        </w:rPr>
        <w:t xml:space="preserve"> </w:t>
      </w:r>
    </w:p>
    <w:p w14:paraId="1617369B" w14:textId="77777777" w:rsidR="000C38BD" w:rsidRPr="00F07599" w:rsidRDefault="000C38BD" w:rsidP="00F07599">
      <w:pPr>
        <w:autoSpaceDE w:val="0"/>
        <w:autoSpaceDN w:val="0"/>
        <w:adjustRightInd w:val="0"/>
        <w:jc w:val="both"/>
        <w:rPr>
          <w:rFonts w:cstheme="minorHAnsi"/>
          <w:sz w:val="20"/>
          <w:szCs w:val="20"/>
        </w:rPr>
      </w:pPr>
    </w:p>
  </w:footnote>
  <w:footnote w:id="17">
    <w:p w14:paraId="7526AD91" w14:textId="77777777" w:rsidR="000C38BD" w:rsidRPr="000C38BD" w:rsidRDefault="000C38BD" w:rsidP="000C38BD">
      <w:pPr>
        <w:autoSpaceDE w:val="0"/>
        <w:autoSpaceDN w:val="0"/>
        <w:adjustRightInd w:val="0"/>
        <w:rPr>
          <w:rFonts w:cstheme="minorHAnsi"/>
          <w:sz w:val="20"/>
          <w:szCs w:val="20"/>
        </w:rPr>
      </w:pPr>
      <w:r>
        <w:rPr>
          <w:rStyle w:val="FootnoteReference"/>
        </w:rPr>
        <w:footnoteRef/>
      </w:r>
      <w:r>
        <w:t xml:space="preserve"> </w:t>
      </w:r>
      <w:r w:rsidRPr="000C38BD">
        <w:rPr>
          <w:rFonts w:cstheme="minorHAnsi"/>
          <w:sz w:val="20"/>
          <w:szCs w:val="20"/>
        </w:rPr>
        <w:t>DOH. (2021, November 22). ICYMI: INVESTING IN MENTAL HEALTH BENEFITS PEOPLE AND THE ECONOMY DOH,</w:t>
      </w:r>
    </w:p>
    <w:p w14:paraId="11B6ADD8" w14:textId="3D7F80F8" w:rsidR="000C38BD" w:rsidRPr="000C38BD" w:rsidRDefault="000C38BD" w:rsidP="000C38BD">
      <w:pPr>
        <w:autoSpaceDE w:val="0"/>
        <w:autoSpaceDN w:val="0"/>
        <w:adjustRightInd w:val="0"/>
        <w:rPr>
          <w:rFonts w:cstheme="minorHAnsi"/>
          <w:sz w:val="20"/>
          <w:szCs w:val="20"/>
        </w:rPr>
      </w:pPr>
      <w:r w:rsidRPr="000C38BD">
        <w:rPr>
          <w:rFonts w:cstheme="minorHAnsi"/>
          <w:sz w:val="20"/>
          <w:szCs w:val="20"/>
        </w:rPr>
        <w:t>WHO, UNDP, and UN NCD Task Force share important findings from Investment Case Report on Mental Health in the Philippines</w:t>
      </w:r>
      <w:r>
        <w:rPr>
          <w:rFonts w:cstheme="minorHAnsi"/>
          <w:sz w:val="20"/>
          <w:szCs w:val="20"/>
        </w:rPr>
        <w:t xml:space="preserve"> </w:t>
      </w:r>
      <w:r w:rsidRPr="000C38BD">
        <w:rPr>
          <w:rFonts w:cstheme="minorHAnsi"/>
          <w:sz w:val="20"/>
          <w:szCs w:val="20"/>
        </w:rPr>
        <w:t xml:space="preserve">[Press Release). </w:t>
      </w:r>
      <w:hyperlink r:id="rId17" w:history="1">
        <w:r w:rsidRPr="000C38BD">
          <w:rPr>
            <w:rStyle w:val="Hyperlink"/>
            <w:rFonts w:cstheme="minorHAnsi"/>
            <w:sz w:val="20"/>
            <w:szCs w:val="20"/>
          </w:rPr>
          <w:t>https://doh.gov.ph/press-release/ICYMI-INVESTING-IN-MENTAL-HEALTH-BENEFITS-PEOPLE-AND-THE-ECONOMY-DOH-WHO-UNDP-and-UN-NCD-Task%20Force-share-important-findings-from-Investment-Case-Report-on-Mental-Health-in-the-Philippines</w:t>
        </w:r>
      </w:hyperlink>
      <w:r w:rsidRPr="000C38BD">
        <w:rPr>
          <w:rFonts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82B7" w14:textId="72BE4DB8" w:rsidR="00444AA3" w:rsidRPr="007D0852" w:rsidRDefault="00057CD0" w:rsidP="00444AA3">
    <w:pPr>
      <w:jc w:val="both"/>
      <w:rPr>
        <w:i/>
        <w:iCs/>
        <w:color w:val="4472C4" w:themeColor="accent1"/>
      </w:rPr>
    </w:pPr>
    <w:r>
      <w:rPr>
        <w:i/>
        <w:iCs/>
        <w:color w:val="4472C4" w:themeColor="accent1"/>
      </w:rPr>
      <w:t>The</w:t>
    </w:r>
    <w:r w:rsidR="00A50E08">
      <w:rPr>
        <w:i/>
        <w:iCs/>
        <w:color w:val="4472C4" w:themeColor="accent1"/>
      </w:rPr>
      <w:t xml:space="preserve"> </w:t>
    </w:r>
    <w:r w:rsidR="00916B77" w:rsidRPr="00916B77">
      <w:rPr>
        <w:i/>
        <w:iCs/>
        <w:color w:val="4472C4" w:themeColor="accent1"/>
      </w:rPr>
      <w:t xml:space="preserve">Philippines’ Contribution </w:t>
    </w:r>
    <w:r>
      <w:rPr>
        <w:i/>
        <w:iCs/>
        <w:color w:val="4472C4" w:themeColor="accent1"/>
        <w:lang w:val="en-US"/>
      </w:rPr>
      <w:t>to</w:t>
    </w:r>
    <w:r w:rsidR="00916B77" w:rsidRPr="00916B77">
      <w:rPr>
        <w:i/>
        <w:iCs/>
        <w:color w:val="4472C4" w:themeColor="accent1"/>
      </w:rPr>
      <w:t xml:space="preserve"> </w:t>
    </w:r>
    <w:r w:rsidR="00444AA3">
      <w:rPr>
        <w:i/>
        <w:iCs/>
        <w:color w:val="4472C4" w:themeColor="accent1"/>
      </w:rPr>
      <w:t xml:space="preserve">the </w:t>
    </w:r>
    <w:r w:rsidR="00444AA3" w:rsidRPr="00444AA3">
      <w:rPr>
        <w:i/>
        <w:iCs/>
        <w:color w:val="4472C4" w:themeColor="accent1"/>
      </w:rPr>
      <w:t xml:space="preserve">IE on SOGI’s thematic report on the </w:t>
    </w:r>
    <w:r w:rsidR="007D0852">
      <w:rPr>
        <w:i/>
        <w:iCs/>
        <w:color w:val="4472C4" w:themeColor="accent1"/>
      </w:rPr>
      <w:t>protection against violence and discrimination against SOGI in the context of SDG 3</w:t>
    </w:r>
  </w:p>
  <w:p w14:paraId="7173DBEA" w14:textId="77777777" w:rsidR="00CB6207" w:rsidRPr="00916B77" w:rsidRDefault="00CB6207" w:rsidP="00916B77">
    <w:pPr>
      <w:rPr>
        <w:i/>
        <w:iCs/>
        <w:color w:val="4472C4" w:themeColor="accen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789"/>
    <w:multiLevelType w:val="hybridMultilevel"/>
    <w:tmpl w:val="23E8E62E"/>
    <w:lvl w:ilvl="0" w:tplc="D31EE0F2">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15:restartNumberingAfterBreak="0">
    <w:nsid w:val="089310A8"/>
    <w:multiLevelType w:val="multilevel"/>
    <w:tmpl w:val="81C6FA34"/>
    <w:lvl w:ilvl="0">
      <w:start w:val="1"/>
      <w:numFmt w:val="bullet"/>
      <w:lvlText w:val="●"/>
      <w:lvlJc w:val="left"/>
      <w:pPr>
        <w:ind w:left="1800" w:hanging="360"/>
      </w:pPr>
      <w:rPr>
        <w:rFonts w:ascii="Noto Sans Symbols" w:eastAsia="Times New Roman" w:hAnsi="Noto Sans Symbols"/>
      </w:rPr>
    </w:lvl>
    <w:lvl w:ilvl="1">
      <w:start w:val="1"/>
      <w:numFmt w:val="bullet"/>
      <w:lvlText w:val="o"/>
      <w:lvlJc w:val="left"/>
      <w:pPr>
        <w:ind w:left="2520" w:hanging="360"/>
      </w:pPr>
      <w:rPr>
        <w:rFonts w:ascii="Courier New" w:eastAsia="Times New Roman" w:hAnsi="Courier New"/>
      </w:rPr>
    </w:lvl>
    <w:lvl w:ilvl="2">
      <w:start w:val="1"/>
      <w:numFmt w:val="bullet"/>
      <w:lvlText w:val="▪"/>
      <w:lvlJc w:val="left"/>
      <w:pPr>
        <w:ind w:left="3240" w:hanging="360"/>
      </w:pPr>
      <w:rPr>
        <w:rFonts w:ascii="Noto Sans Symbols" w:eastAsia="Times New Roman" w:hAnsi="Noto Sans Symbols"/>
      </w:rPr>
    </w:lvl>
    <w:lvl w:ilvl="3">
      <w:start w:val="1"/>
      <w:numFmt w:val="bullet"/>
      <w:lvlText w:val="●"/>
      <w:lvlJc w:val="left"/>
      <w:pPr>
        <w:ind w:left="3960" w:hanging="360"/>
      </w:pPr>
      <w:rPr>
        <w:rFonts w:ascii="Noto Sans Symbols" w:eastAsia="Times New Roman" w:hAnsi="Noto Sans Symbols"/>
      </w:rPr>
    </w:lvl>
    <w:lvl w:ilvl="4">
      <w:start w:val="1"/>
      <w:numFmt w:val="bullet"/>
      <w:lvlText w:val="o"/>
      <w:lvlJc w:val="left"/>
      <w:pPr>
        <w:ind w:left="4680" w:hanging="360"/>
      </w:pPr>
      <w:rPr>
        <w:rFonts w:ascii="Courier New" w:eastAsia="Times New Roman" w:hAnsi="Courier New"/>
      </w:rPr>
    </w:lvl>
    <w:lvl w:ilvl="5">
      <w:start w:val="1"/>
      <w:numFmt w:val="bullet"/>
      <w:lvlText w:val="▪"/>
      <w:lvlJc w:val="left"/>
      <w:pPr>
        <w:ind w:left="5400" w:hanging="360"/>
      </w:pPr>
      <w:rPr>
        <w:rFonts w:ascii="Noto Sans Symbols" w:eastAsia="Times New Roman" w:hAnsi="Noto Sans Symbols"/>
      </w:rPr>
    </w:lvl>
    <w:lvl w:ilvl="6">
      <w:start w:val="1"/>
      <w:numFmt w:val="bullet"/>
      <w:lvlText w:val="●"/>
      <w:lvlJc w:val="left"/>
      <w:pPr>
        <w:ind w:left="6120" w:hanging="360"/>
      </w:pPr>
      <w:rPr>
        <w:rFonts w:ascii="Noto Sans Symbols" w:eastAsia="Times New Roman" w:hAnsi="Noto Sans Symbols"/>
      </w:rPr>
    </w:lvl>
    <w:lvl w:ilvl="7">
      <w:start w:val="1"/>
      <w:numFmt w:val="bullet"/>
      <w:lvlText w:val="o"/>
      <w:lvlJc w:val="left"/>
      <w:pPr>
        <w:ind w:left="6840" w:hanging="360"/>
      </w:pPr>
      <w:rPr>
        <w:rFonts w:ascii="Courier New" w:eastAsia="Times New Roman" w:hAnsi="Courier New"/>
      </w:rPr>
    </w:lvl>
    <w:lvl w:ilvl="8">
      <w:start w:val="1"/>
      <w:numFmt w:val="bullet"/>
      <w:lvlText w:val="▪"/>
      <w:lvlJc w:val="left"/>
      <w:pPr>
        <w:ind w:left="7560" w:hanging="360"/>
      </w:pPr>
      <w:rPr>
        <w:rFonts w:ascii="Noto Sans Symbols" w:eastAsia="Times New Roman" w:hAnsi="Noto Sans Symbols"/>
      </w:rPr>
    </w:lvl>
  </w:abstractNum>
  <w:abstractNum w:abstractNumId="2" w15:restartNumberingAfterBreak="0">
    <w:nsid w:val="0D5247A3"/>
    <w:multiLevelType w:val="hybridMultilevel"/>
    <w:tmpl w:val="E81039C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0F1B3F08"/>
    <w:multiLevelType w:val="hybridMultilevel"/>
    <w:tmpl w:val="F1E6C84A"/>
    <w:lvl w:ilvl="0" w:tplc="F482E4E6">
      <w:start w:val="1"/>
      <w:numFmt w:val="bullet"/>
      <w:lvlText w:val="-"/>
      <w:lvlJc w:val="left"/>
      <w:pPr>
        <w:ind w:left="1211" w:hanging="360"/>
      </w:pPr>
      <w:rPr>
        <w:rFonts w:ascii="Arial" w:eastAsiaTheme="minorHAnsi" w:hAnsi="Arial" w:cs="Arial" w:hint="default"/>
        <w:b w:val="0"/>
        <w:sz w:val="23"/>
      </w:rPr>
    </w:lvl>
    <w:lvl w:ilvl="1" w:tplc="20000003">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4" w15:restartNumberingAfterBreak="0">
    <w:nsid w:val="14B1781A"/>
    <w:multiLevelType w:val="hybridMultilevel"/>
    <w:tmpl w:val="2C5A089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7046A3"/>
    <w:multiLevelType w:val="hybridMultilevel"/>
    <w:tmpl w:val="37F4F7B8"/>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6" w15:restartNumberingAfterBreak="0">
    <w:nsid w:val="192E20F8"/>
    <w:multiLevelType w:val="hybridMultilevel"/>
    <w:tmpl w:val="E4F2CCCE"/>
    <w:lvl w:ilvl="0" w:tplc="20000005">
      <w:start w:val="1"/>
      <w:numFmt w:val="bullet"/>
      <w:lvlText w:val=""/>
      <w:lvlJc w:val="left"/>
      <w:pPr>
        <w:ind w:left="1931" w:hanging="360"/>
      </w:pPr>
      <w:rPr>
        <w:rFonts w:ascii="Wingdings" w:hAnsi="Wingdings" w:hint="default"/>
      </w:rPr>
    </w:lvl>
    <w:lvl w:ilvl="1" w:tplc="20000003" w:tentative="1">
      <w:start w:val="1"/>
      <w:numFmt w:val="bullet"/>
      <w:lvlText w:val="o"/>
      <w:lvlJc w:val="left"/>
      <w:pPr>
        <w:ind w:left="2651" w:hanging="360"/>
      </w:pPr>
      <w:rPr>
        <w:rFonts w:ascii="Courier New" w:hAnsi="Courier New" w:cs="Courier New" w:hint="default"/>
      </w:rPr>
    </w:lvl>
    <w:lvl w:ilvl="2" w:tplc="20000005" w:tentative="1">
      <w:start w:val="1"/>
      <w:numFmt w:val="bullet"/>
      <w:lvlText w:val=""/>
      <w:lvlJc w:val="left"/>
      <w:pPr>
        <w:ind w:left="3371" w:hanging="360"/>
      </w:pPr>
      <w:rPr>
        <w:rFonts w:ascii="Wingdings" w:hAnsi="Wingdings" w:hint="default"/>
      </w:rPr>
    </w:lvl>
    <w:lvl w:ilvl="3" w:tplc="20000001" w:tentative="1">
      <w:start w:val="1"/>
      <w:numFmt w:val="bullet"/>
      <w:lvlText w:val=""/>
      <w:lvlJc w:val="left"/>
      <w:pPr>
        <w:ind w:left="4091" w:hanging="360"/>
      </w:pPr>
      <w:rPr>
        <w:rFonts w:ascii="Symbol" w:hAnsi="Symbol" w:hint="default"/>
      </w:rPr>
    </w:lvl>
    <w:lvl w:ilvl="4" w:tplc="20000003" w:tentative="1">
      <w:start w:val="1"/>
      <w:numFmt w:val="bullet"/>
      <w:lvlText w:val="o"/>
      <w:lvlJc w:val="left"/>
      <w:pPr>
        <w:ind w:left="4811" w:hanging="360"/>
      </w:pPr>
      <w:rPr>
        <w:rFonts w:ascii="Courier New" w:hAnsi="Courier New" w:cs="Courier New" w:hint="default"/>
      </w:rPr>
    </w:lvl>
    <w:lvl w:ilvl="5" w:tplc="20000005" w:tentative="1">
      <w:start w:val="1"/>
      <w:numFmt w:val="bullet"/>
      <w:lvlText w:val=""/>
      <w:lvlJc w:val="left"/>
      <w:pPr>
        <w:ind w:left="5531" w:hanging="360"/>
      </w:pPr>
      <w:rPr>
        <w:rFonts w:ascii="Wingdings" w:hAnsi="Wingdings" w:hint="default"/>
      </w:rPr>
    </w:lvl>
    <w:lvl w:ilvl="6" w:tplc="20000001" w:tentative="1">
      <w:start w:val="1"/>
      <w:numFmt w:val="bullet"/>
      <w:lvlText w:val=""/>
      <w:lvlJc w:val="left"/>
      <w:pPr>
        <w:ind w:left="6251" w:hanging="360"/>
      </w:pPr>
      <w:rPr>
        <w:rFonts w:ascii="Symbol" w:hAnsi="Symbol" w:hint="default"/>
      </w:rPr>
    </w:lvl>
    <w:lvl w:ilvl="7" w:tplc="20000003" w:tentative="1">
      <w:start w:val="1"/>
      <w:numFmt w:val="bullet"/>
      <w:lvlText w:val="o"/>
      <w:lvlJc w:val="left"/>
      <w:pPr>
        <w:ind w:left="6971" w:hanging="360"/>
      </w:pPr>
      <w:rPr>
        <w:rFonts w:ascii="Courier New" w:hAnsi="Courier New" w:cs="Courier New" w:hint="default"/>
      </w:rPr>
    </w:lvl>
    <w:lvl w:ilvl="8" w:tplc="20000005" w:tentative="1">
      <w:start w:val="1"/>
      <w:numFmt w:val="bullet"/>
      <w:lvlText w:val=""/>
      <w:lvlJc w:val="left"/>
      <w:pPr>
        <w:ind w:left="7691" w:hanging="360"/>
      </w:pPr>
      <w:rPr>
        <w:rFonts w:ascii="Wingdings" w:hAnsi="Wingdings" w:hint="default"/>
      </w:rPr>
    </w:lvl>
  </w:abstractNum>
  <w:abstractNum w:abstractNumId="7" w15:restartNumberingAfterBreak="0">
    <w:nsid w:val="29544244"/>
    <w:multiLevelType w:val="hybridMultilevel"/>
    <w:tmpl w:val="E40C2CBA"/>
    <w:lvl w:ilvl="0" w:tplc="84ECDAD6">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2B4D738B"/>
    <w:multiLevelType w:val="hybridMultilevel"/>
    <w:tmpl w:val="E8DCBE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CCC4035"/>
    <w:multiLevelType w:val="hybridMultilevel"/>
    <w:tmpl w:val="23E8E62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7296084"/>
    <w:multiLevelType w:val="hybridMultilevel"/>
    <w:tmpl w:val="261452D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44400D87"/>
    <w:multiLevelType w:val="hybridMultilevel"/>
    <w:tmpl w:val="532E79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B51D84"/>
    <w:multiLevelType w:val="hybridMultilevel"/>
    <w:tmpl w:val="E0F6C75A"/>
    <w:lvl w:ilvl="0" w:tplc="F06AAF40">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500051B9"/>
    <w:multiLevelType w:val="hybridMultilevel"/>
    <w:tmpl w:val="C900BB7C"/>
    <w:lvl w:ilvl="0" w:tplc="F482E4E6">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4313012"/>
    <w:multiLevelType w:val="hybridMultilevel"/>
    <w:tmpl w:val="F9A6EE74"/>
    <w:lvl w:ilvl="0" w:tplc="20000005">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5" w15:restartNumberingAfterBreak="0">
    <w:nsid w:val="726564D8"/>
    <w:multiLevelType w:val="hybridMultilevel"/>
    <w:tmpl w:val="C9E4DDA8"/>
    <w:lvl w:ilvl="0" w:tplc="4F9A2458">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7430192D"/>
    <w:multiLevelType w:val="hybridMultilevel"/>
    <w:tmpl w:val="9DFC6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45708FF"/>
    <w:multiLevelType w:val="multilevel"/>
    <w:tmpl w:val="793C87D8"/>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8" w15:restartNumberingAfterBreak="0">
    <w:nsid w:val="777E7ABD"/>
    <w:multiLevelType w:val="hybridMultilevel"/>
    <w:tmpl w:val="CE32CE56"/>
    <w:lvl w:ilvl="0" w:tplc="F482E4E6">
      <w:start w:val="1"/>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E4F7041"/>
    <w:multiLevelType w:val="multilevel"/>
    <w:tmpl w:val="58D42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
  </w:num>
  <w:num w:numId="3">
    <w:abstractNumId w:val="14"/>
  </w:num>
  <w:num w:numId="4">
    <w:abstractNumId w:val="10"/>
  </w:num>
  <w:num w:numId="5">
    <w:abstractNumId w:val="3"/>
  </w:num>
  <w:num w:numId="6">
    <w:abstractNumId w:val="18"/>
  </w:num>
  <w:num w:numId="7">
    <w:abstractNumId w:val="6"/>
  </w:num>
  <w:num w:numId="8">
    <w:abstractNumId w:val="13"/>
  </w:num>
  <w:num w:numId="9">
    <w:abstractNumId w:val="8"/>
  </w:num>
  <w:num w:numId="10">
    <w:abstractNumId w:val="19"/>
  </w:num>
  <w:num w:numId="11">
    <w:abstractNumId w:val="16"/>
  </w:num>
  <w:num w:numId="12">
    <w:abstractNumId w:val="12"/>
  </w:num>
  <w:num w:numId="13">
    <w:abstractNumId w:val="0"/>
  </w:num>
  <w:num w:numId="14">
    <w:abstractNumId w:val="9"/>
  </w:num>
  <w:num w:numId="15">
    <w:abstractNumId w:val="4"/>
  </w:num>
  <w:num w:numId="16">
    <w:abstractNumId w:val="15"/>
  </w:num>
  <w:num w:numId="17">
    <w:abstractNumId w:val="7"/>
  </w:num>
  <w:num w:numId="18">
    <w:abstractNumId w:val="17"/>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10"/>
    <w:rsid w:val="00002BC5"/>
    <w:rsid w:val="00005C86"/>
    <w:rsid w:val="00006C96"/>
    <w:rsid w:val="000071D5"/>
    <w:rsid w:val="00007973"/>
    <w:rsid w:val="00010DD7"/>
    <w:rsid w:val="0001446B"/>
    <w:rsid w:val="000240A2"/>
    <w:rsid w:val="00025AB0"/>
    <w:rsid w:val="0003730C"/>
    <w:rsid w:val="00043D83"/>
    <w:rsid w:val="000520B6"/>
    <w:rsid w:val="0005364C"/>
    <w:rsid w:val="00057CD0"/>
    <w:rsid w:val="000626F7"/>
    <w:rsid w:val="00071EBC"/>
    <w:rsid w:val="00072A6E"/>
    <w:rsid w:val="000737AF"/>
    <w:rsid w:val="000826F8"/>
    <w:rsid w:val="00084713"/>
    <w:rsid w:val="00084E53"/>
    <w:rsid w:val="000879EA"/>
    <w:rsid w:val="00091145"/>
    <w:rsid w:val="00097645"/>
    <w:rsid w:val="000A0518"/>
    <w:rsid w:val="000A4910"/>
    <w:rsid w:val="000B12DB"/>
    <w:rsid w:val="000B1CBB"/>
    <w:rsid w:val="000B45C2"/>
    <w:rsid w:val="000C38BD"/>
    <w:rsid w:val="000D62BF"/>
    <w:rsid w:val="000D666F"/>
    <w:rsid w:val="000D6DBB"/>
    <w:rsid w:val="000F171F"/>
    <w:rsid w:val="000F3901"/>
    <w:rsid w:val="00105F89"/>
    <w:rsid w:val="00107DA9"/>
    <w:rsid w:val="00115995"/>
    <w:rsid w:val="001165BB"/>
    <w:rsid w:val="001216D0"/>
    <w:rsid w:val="00124143"/>
    <w:rsid w:val="00127A81"/>
    <w:rsid w:val="00133B67"/>
    <w:rsid w:val="0013414B"/>
    <w:rsid w:val="001409F4"/>
    <w:rsid w:val="00151358"/>
    <w:rsid w:val="00157248"/>
    <w:rsid w:val="001607A7"/>
    <w:rsid w:val="0016091B"/>
    <w:rsid w:val="00165E03"/>
    <w:rsid w:val="001759EE"/>
    <w:rsid w:val="0017652C"/>
    <w:rsid w:val="00181AFB"/>
    <w:rsid w:val="00187EB2"/>
    <w:rsid w:val="00187FDD"/>
    <w:rsid w:val="00196C51"/>
    <w:rsid w:val="00197D5B"/>
    <w:rsid w:val="001A20EA"/>
    <w:rsid w:val="001A6D81"/>
    <w:rsid w:val="001C2040"/>
    <w:rsid w:val="001C4A8F"/>
    <w:rsid w:val="001C7E35"/>
    <w:rsid w:val="001D0649"/>
    <w:rsid w:val="001D0B2A"/>
    <w:rsid w:val="001D7990"/>
    <w:rsid w:val="001F4FEA"/>
    <w:rsid w:val="00223328"/>
    <w:rsid w:val="00250D76"/>
    <w:rsid w:val="00252F2F"/>
    <w:rsid w:val="002608F9"/>
    <w:rsid w:val="00263B72"/>
    <w:rsid w:val="00264A7B"/>
    <w:rsid w:val="00267E3D"/>
    <w:rsid w:val="00283ABE"/>
    <w:rsid w:val="002A2C2D"/>
    <w:rsid w:val="002A2D04"/>
    <w:rsid w:val="002B1F7A"/>
    <w:rsid w:val="002B5D02"/>
    <w:rsid w:val="002B6271"/>
    <w:rsid w:val="002C3011"/>
    <w:rsid w:val="002C3F22"/>
    <w:rsid w:val="002C74E4"/>
    <w:rsid w:val="002D0598"/>
    <w:rsid w:val="002E02BB"/>
    <w:rsid w:val="002E3223"/>
    <w:rsid w:val="002E34C7"/>
    <w:rsid w:val="002F4975"/>
    <w:rsid w:val="00302C0A"/>
    <w:rsid w:val="00303536"/>
    <w:rsid w:val="00304CE5"/>
    <w:rsid w:val="0030796C"/>
    <w:rsid w:val="003079DE"/>
    <w:rsid w:val="003210DD"/>
    <w:rsid w:val="00323F54"/>
    <w:rsid w:val="00324965"/>
    <w:rsid w:val="00324FAF"/>
    <w:rsid w:val="00327BD9"/>
    <w:rsid w:val="003315CC"/>
    <w:rsid w:val="003359AD"/>
    <w:rsid w:val="00340B3F"/>
    <w:rsid w:val="00345348"/>
    <w:rsid w:val="00345407"/>
    <w:rsid w:val="003572E1"/>
    <w:rsid w:val="003668A0"/>
    <w:rsid w:val="00366BBC"/>
    <w:rsid w:val="00375D8B"/>
    <w:rsid w:val="00381056"/>
    <w:rsid w:val="00383128"/>
    <w:rsid w:val="00383E38"/>
    <w:rsid w:val="003967E7"/>
    <w:rsid w:val="003A1345"/>
    <w:rsid w:val="003A3D90"/>
    <w:rsid w:val="003A4235"/>
    <w:rsid w:val="003B196F"/>
    <w:rsid w:val="003B2BBE"/>
    <w:rsid w:val="003B4F81"/>
    <w:rsid w:val="003B57CA"/>
    <w:rsid w:val="003B5F4D"/>
    <w:rsid w:val="003C101D"/>
    <w:rsid w:val="003C46CA"/>
    <w:rsid w:val="003C74B9"/>
    <w:rsid w:val="003D4999"/>
    <w:rsid w:val="003D4AD2"/>
    <w:rsid w:val="003D4C60"/>
    <w:rsid w:val="003D70E0"/>
    <w:rsid w:val="003E3C00"/>
    <w:rsid w:val="003E3D40"/>
    <w:rsid w:val="003E6C88"/>
    <w:rsid w:val="003E782C"/>
    <w:rsid w:val="003F508F"/>
    <w:rsid w:val="003F54DD"/>
    <w:rsid w:val="004052BE"/>
    <w:rsid w:val="004052C4"/>
    <w:rsid w:val="00410D5C"/>
    <w:rsid w:val="00416747"/>
    <w:rsid w:val="00420B0E"/>
    <w:rsid w:val="00424CD6"/>
    <w:rsid w:val="004261EF"/>
    <w:rsid w:val="00444AA3"/>
    <w:rsid w:val="00450035"/>
    <w:rsid w:val="00451A67"/>
    <w:rsid w:val="00452428"/>
    <w:rsid w:val="00455A8F"/>
    <w:rsid w:val="00457A25"/>
    <w:rsid w:val="00460E60"/>
    <w:rsid w:val="00470370"/>
    <w:rsid w:val="00476FF6"/>
    <w:rsid w:val="00481768"/>
    <w:rsid w:val="00490126"/>
    <w:rsid w:val="00491DB7"/>
    <w:rsid w:val="00495D36"/>
    <w:rsid w:val="00495E33"/>
    <w:rsid w:val="00496D62"/>
    <w:rsid w:val="004A2947"/>
    <w:rsid w:val="004A3530"/>
    <w:rsid w:val="004A452D"/>
    <w:rsid w:val="004A563D"/>
    <w:rsid w:val="004B37AA"/>
    <w:rsid w:val="004B3F6A"/>
    <w:rsid w:val="004B5B81"/>
    <w:rsid w:val="004B749D"/>
    <w:rsid w:val="004C4115"/>
    <w:rsid w:val="004C4776"/>
    <w:rsid w:val="004C4791"/>
    <w:rsid w:val="004C4C93"/>
    <w:rsid w:val="004C7ACB"/>
    <w:rsid w:val="004D3C85"/>
    <w:rsid w:val="004D4BAC"/>
    <w:rsid w:val="004D63CF"/>
    <w:rsid w:val="004E0AD3"/>
    <w:rsid w:val="004E3C4E"/>
    <w:rsid w:val="004E4799"/>
    <w:rsid w:val="004E6446"/>
    <w:rsid w:val="004F1190"/>
    <w:rsid w:val="004F1AD1"/>
    <w:rsid w:val="004F3EB5"/>
    <w:rsid w:val="00503B49"/>
    <w:rsid w:val="00503D8D"/>
    <w:rsid w:val="005128C0"/>
    <w:rsid w:val="0051341A"/>
    <w:rsid w:val="005269D4"/>
    <w:rsid w:val="00533AC7"/>
    <w:rsid w:val="00537356"/>
    <w:rsid w:val="00541EB1"/>
    <w:rsid w:val="00544CAE"/>
    <w:rsid w:val="005504BB"/>
    <w:rsid w:val="0055388B"/>
    <w:rsid w:val="0055474E"/>
    <w:rsid w:val="0055478E"/>
    <w:rsid w:val="00557C1C"/>
    <w:rsid w:val="005650FF"/>
    <w:rsid w:val="00566999"/>
    <w:rsid w:val="00571F32"/>
    <w:rsid w:val="00575C2B"/>
    <w:rsid w:val="00576776"/>
    <w:rsid w:val="00576A62"/>
    <w:rsid w:val="00580AAF"/>
    <w:rsid w:val="00591AFB"/>
    <w:rsid w:val="00591E0E"/>
    <w:rsid w:val="00592DD4"/>
    <w:rsid w:val="00592F32"/>
    <w:rsid w:val="005930FB"/>
    <w:rsid w:val="005A5941"/>
    <w:rsid w:val="005B0B32"/>
    <w:rsid w:val="005B4875"/>
    <w:rsid w:val="005B50F9"/>
    <w:rsid w:val="005C0381"/>
    <w:rsid w:val="005C2D3D"/>
    <w:rsid w:val="005C57C9"/>
    <w:rsid w:val="005D1F51"/>
    <w:rsid w:val="005D75A0"/>
    <w:rsid w:val="005E0AA4"/>
    <w:rsid w:val="005E0ABF"/>
    <w:rsid w:val="005E2B75"/>
    <w:rsid w:val="005E4280"/>
    <w:rsid w:val="005F0F2F"/>
    <w:rsid w:val="005F2A09"/>
    <w:rsid w:val="005F3D0C"/>
    <w:rsid w:val="005F5CCA"/>
    <w:rsid w:val="00602914"/>
    <w:rsid w:val="0060428E"/>
    <w:rsid w:val="006058F8"/>
    <w:rsid w:val="00611925"/>
    <w:rsid w:val="00614C33"/>
    <w:rsid w:val="00615298"/>
    <w:rsid w:val="00620A70"/>
    <w:rsid w:val="00627B32"/>
    <w:rsid w:val="006331CE"/>
    <w:rsid w:val="00637030"/>
    <w:rsid w:val="00640BEF"/>
    <w:rsid w:val="00640C8A"/>
    <w:rsid w:val="00642BA1"/>
    <w:rsid w:val="00646568"/>
    <w:rsid w:val="00661EE7"/>
    <w:rsid w:val="00662997"/>
    <w:rsid w:val="006643FA"/>
    <w:rsid w:val="00664C18"/>
    <w:rsid w:val="00677338"/>
    <w:rsid w:val="0067799A"/>
    <w:rsid w:val="0068065B"/>
    <w:rsid w:val="00681364"/>
    <w:rsid w:val="00684582"/>
    <w:rsid w:val="00685726"/>
    <w:rsid w:val="006947B3"/>
    <w:rsid w:val="00694CF2"/>
    <w:rsid w:val="006B37F9"/>
    <w:rsid w:val="006C4436"/>
    <w:rsid w:val="006C4AFC"/>
    <w:rsid w:val="006D0C21"/>
    <w:rsid w:val="006D3741"/>
    <w:rsid w:val="006D3DD3"/>
    <w:rsid w:val="006E01F7"/>
    <w:rsid w:val="006E16E4"/>
    <w:rsid w:val="006E4B43"/>
    <w:rsid w:val="006F4830"/>
    <w:rsid w:val="006F56CD"/>
    <w:rsid w:val="006F6757"/>
    <w:rsid w:val="00700C53"/>
    <w:rsid w:val="0070355A"/>
    <w:rsid w:val="00707986"/>
    <w:rsid w:val="00707B21"/>
    <w:rsid w:val="0071581B"/>
    <w:rsid w:val="00715F23"/>
    <w:rsid w:val="00717603"/>
    <w:rsid w:val="0072008D"/>
    <w:rsid w:val="0072121C"/>
    <w:rsid w:val="0072731F"/>
    <w:rsid w:val="007328AA"/>
    <w:rsid w:val="00733F43"/>
    <w:rsid w:val="00737E4C"/>
    <w:rsid w:val="0074405B"/>
    <w:rsid w:val="007446E4"/>
    <w:rsid w:val="00744731"/>
    <w:rsid w:val="00745562"/>
    <w:rsid w:val="00746B22"/>
    <w:rsid w:val="00747F51"/>
    <w:rsid w:val="007514AD"/>
    <w:rsid w:val="00752CD3"/>
    <w:rsid w:val="007541DA"/>
    <w:rsid w:val="00764C07"/>
    <w:rsid w:val="0076624C"/>
    <w:rsid w:val="0078412A"/>
    <w:rsid w:val="007861EC"/>
    <w:rsid w:val="00794C9E"/>
    <w:rsid w:val="00794CD0"/>
    <w:rsid w:val="00795118"/>
    <w:rsid w:val="00795919"/>
    <w:rsid w:val="00796D5F"/>
    <w:rsid w:val="007A016F"/>
    <w:rsid w:val="007A0343"/>
    <w:rsid w:val="007A2A31"/>
    <w:rsid w:val="007C1E61"/>
    <w:rsid w:val="007D0852"/>
    <w:rsid w:val="007D1493"/>
    <w:rsid w:val="007E3960"/>
    <w:rsid w:val="007F4517"/>
    <w:rsid w:val="00810138"/>
    <w:rsid w:val="008243F8"/>
    <w:rsid w:val="008333D4"/>
    <w:rsid w:val="00841CE4"/>
    <w:rsid w:val="0084208F"/>
    <w:rsid w:val="00846CAE"/>
    <w:rsid w:val="0085047A"/>
    <w:rsid w:val="0085078B"/>
    <w:rsid w:val="008631EE"/>
    <w:rsid w:val="00863944"/>
    <w:rsid w:val="00872E5A"/>
    <w:rsid w:val="00881B14"/>
    <w:rsid w:val="008924D5"/>
    <w:rsid w:val="00893B6A"/>
    <w:rsid w:val="00895AEE"/>
    <w:rsid w:val="008A0991"/>
    <w:rsid w:val="008A4AD7"/>
    <w:rsid w:val="008A6706"/>
    <w:rsid w:val="008A7E20"/>
    <w:rsid w:val="008B006D"/>
    <w:rsid w:val="008B61E0"/>
    <w:rsid w:val="008B791E"/>
    <w:rsid w:val="008C00A8"/>
    <w:rsid w:val="008C3403"/>
    <w:rsid w:val="008C5947"/>
    <w:rsid w:val="008D1872"/>
    <w:rsid w:val="008D1D42"/>
    <w:rsid w:val="008D23F2"/>
    <w:rsid w:val="008D3910"/>
    <w:rsid w:val="008D5C09"/>
    <w:rsid w:val="008E354B"/>
    <w:rsid w:val="008E3DC1"/>
    <w:rsid w:val="008F0D28"/>
    <w:rsid w:val="008F2E56"/>
    <w:rsid w:val="00906F96"/>
    <w:rsid w:val="0090770E"/>
    <w:rsid w:val="0091038D"/>
    <w:rsid w:val="0091110A"/>
    <w:rsid w:val="00911E79"/>
    <w:rsid w:val="00912AD8"/>
    <w:rsid w:val="00916B77"/>
    <w:rsid w:val="009202CC"/>
    <w:rsid w:val="009212C5"/>
    <w:rsid w:val="00921453"/>
    <w:rsid w:val="00922E14"/>
    <w:rsid w:val="009249FA"/>
    <w:rsid w:val="009269FD"/>
    <w:rsid w:val="009276E0"/>
    <w:rsid w:val="0093303F"/>
    <w:rsid w:val="00934B4E"/>
    <w:rsid w:val="00942066"/>
    <w:rsid w:val="009424FE"/>
    <w:rsid w:val="009442CD"/>
    <w:rsid w:val="0094664F"/>
    <w:rsid w:val="0095297A"/>
    <w:rsid w:val="009529F7"/>
    <w:rsid w:val="00953BBF"/>
    <w:rsid w:val="0095502D"/>
    <w:rsid w:val="009561D3"/>
    <w:rsid w:val="0096308C"/>
    <w:rsid w:val="00964A83"/>
    <w:rsid w:val="00965E10"/>
    <w:rsid w:val="00966339"/>
    <w:rsid w:val="00966912"/>
    <w:rsid w:val="009758E0"/>
    <w:rsid w:val="009806D4"/>
    <w:rsid w:val="00991F1B"/>
    <w:rsid w:val="009A4D8B"/>
    <w:rsid w:val="009A644E"/>
    <w:rsid w:val="009B0152"/>
    <w:rsid w:val="009B0712"/>
    <w:rsid w:val="009B7B71"/>
    <w:rsid w:val="009C0B60"/>
    <w:rsid w:val="009C706F"/>
    <w:rsid w:val="009D22B5"/>
    <w:rsid w:val="009D3E19"/>
    <w:rsid w:val="009D3F63"/>
    <w:rsid w:val="009D439D"/>
    <w:rsid w:val="009D4A5C"/>
    <w:rsid w:val="009D5AD5"/>
    <w:rsid w:val="009D64A3"/>
    <w:rsid w:val="009E38DE"/>
    <w:rsid w:val="009E43D5"/>
    <w:rsid w:val="009E5358"/>
    <w:rsid w:val="009E6C04"/>
    <w:rsid w:val="009F265A"/>
    <w:rsid w:val="009F7603"/>
    <w:rsid w:val="00A07E3B"/>
    <w:rsid w:val="00A119B9"/>
    <w:rsid w:val="00A335E0"/>
    <w:rsid w:val="00A340D8"/>
    <w:rsid w:val="00A346D2"/>
    <w:rsid w:val="00A44669"/>
    <w:rsid w:val="00A50E08"/>
    <w:rsid w:val="00A530AC"/>
    <w:rsid w:val="00A5506D"/>
    <w:rsid w:val="00A57B95"/>
    <w:rsid w:val="00A607C9"/>
    <w:rsid w:val="00A669D9"/>
    <w:rsid w:val="00A67BB8"/>
    <w:rsid w:val="00A72D86"/>
    <w:rsid w:val="00A74320"/>
    <w:rsid w:val="00A755C6"/>
    <w:rsid w:val="00A77A00"/>
    <w:rsid w:val="00A81C36"/>
    <w:rsid w:val="00A90739"/>
    <w:rsid w:val="00A90F85"/>
    <w:rsid w:val="00A9150C"/>
    <w:rsid w:val="00A95669"/>
    <w:rsid w:val="00AA743C"/>
    <w:rsid w:val="00AB2A71"/>
    <w:rsid w:val="00AB49B2"/>
    <w:rsid w:val="00AB4D6B"/>
    <w:rsid w:val="00AC0248"/>
    <w:rsid w:val="00AD0FF6"/>
    <w:rsid w:val="00AD185A"/>
    <w:rsid w:val="00AE403A"/>
    <w:rsid w:val="00AE6739"/>
    <w:rsid w:val="00AF0DC1"/>
    <w:rsid w:val="00AF3028"/>
    <w:rsid w:val="00AF38F0"/>
    <w:rsid w:val="00AF4762"/>
    <w:rsid w:val="00AF4F6C"/>
    <w:rsid w:val="00AF7875"/>
    <w:rsid w:val="00B07017"/>
    <w:rsid w:val="00B11895"/>
    <w:rsid w:val="00B150E4"/>
    <w:rsid w:val="00B16A4F"/>
    <w:rsid w:val="00B1741B"/>
    <w:rsid w:val="00B20103"/>
    <w:rsid w:val="00B20528"/>
    <w:rsid w:val="00B357B1"/>
    <w:rsid w:val="00B41367"/>
    <w:rsid w:val="00B45971"/>
    <w:rsid w:val="00B474F2"/>
    <w:rsid w:val="00B5169A"/>
    <w:rsid w:val="00B56803"/>
    <w:rsid w:val="00B56B6B"/>
    <w:rsid w:val="00B70179"/>
    <w:rsid w:val="00B70DB7"/>
    <w:rsid w:val="00B832DE"/>
    <w:rsid w:val="00B87B73"/>
    <w:rsid w:val="00B935CC"/>
    <w:rsid w:val="00B94DD3"/>
    <w:rsid w:val="00BA0036"/>
    <w:rsid w:val="00BB219A"/>
    <w:rsid w:val="00BB58BB"/>
    <w:rsid w:val="00BC01F7"/>
    <w:rsid w:val="00BC2CBC"/>
    <w:rsid w:val="00BC6D79"/>
    <w:rsid w:val="00BD0184"/>
    <w:rsid w:val="00BD3952"/>
    <w:rsid w:val="00BE4116"/>
    <w:rsid w:val="00BF3815"/>
    <w:rsid w:val="00BF7ED8"/>
    <w:rsid w:val="00C00A19"/>
    <w:rsid w:val="00C02012"/>
    <w:rsid w:val="00C023FF"/>
    <w:rsid w:val="00C02E47"/>
    <w:rsid w:val="00C03A22"/>
    <w:rsid w:val="00C05753"/>
    <w:rsid w:val="00C117EE"/>
    <w:rsid w:val="00C12782"/>
    <w:rsid w:val="00C15AD4"/>
    <w:rsid w:val="00C2105F"/>
    <w:rsid w:val="00C22447"/>
    <w:rsid w:val="00C22C3B"/>
    <w:rsid w:val="00C340D7"/>
    <w:rsid w:val="00C35927"/>
    <w:rsid w:val="00C359BA"/>
    <w:rsid w:val="00C422EE"/>
    <w:rsid w:val="00C45576"/>
    <w:rsid w:val="00C54633"/>
    <w:rsid w:val="00C54FCC"/>
    <w:rsid w:val="00C6147C"/>
    <w:rsid w:val="00C716D4"/>
    <w:rsid w:val="00C74EE7"/>
    <w:rsid w:val="00C778B7"/>
    <w:rsid w:val="00C803D3"/>
    <w:rsid w:val="00C849E7"/>
    <w:rsid w:val="00C86B24"/>
    <w:rsid w:val="00C926B2"/>
    <w:rsid w:val="00C952B6"/>
    <w:rsid w:val="00CA27BA"/>
    <w:rsid w:val="00CA325F"/>
    <w:rsid w:val="00CA6B8B"/>
    <w:rsid w:val="00CA6BCC"/>
    <w:rsid w:val="00CA7EB6"/>
    <w:rsid w:val="00CB27E8"/>
    <w:rsid w:val="00CB36BB"/>
    <w:rsid w:val="00CB48F3"/>
    <w:rsid w:val="00CB5273"/>
    <w:rsid w:val="00CB6207"/>
    <w:rsid w:val="00CC0192"/>
    <w:rsid w:val="00CC16AF"/>
    <w:rsid w:val="00CC3927"/>
    <w:rsid w:val="00CC71F5"/>
    <w:rsid w:val="00CD2BFB"/>
    <w:rsid w:val="00CD7EE2"/>
    <w:rsid w:val="00CE1F7F"/>
    <w:rsid w:val="00CF1799"/>
    <w:rsid w:val="00CF17E2"/>
    <w:rsid w:val="00CF3FDF"/>
    <w:rsid w:val="00D03E39"/>
    <w:rsid w:val="00D0409D"/>
    <w:rsid w:val="00D10EBE"/>
    <w:rsid w:val="00D1318D"/>
    <w:rsid w:val="00D15EFF"/>
    <w:rsid w:val="00D21D1B"/>
    <w:rsid w:val="00D30E76"/>
    <w:rsid w:val="00D31B67"/>
    <w:rsid w:val="00D408E0"/>
    <w:rsid w:val="00D451B0"/>
    <w:rsid w:val="00D548C6"/>
    <w:rsid w:val="00D54E86"/>
    <w:rsid w:val="00D65C59"/>
    <w:rsid w:val="00D71C86"/>
    <w:rsid w:val="00D71E10"/>
    <w:rsid w:val="00D73119"/>
    <w:rsid w:val="00D84E7E"/>
    <w:rsid w:val="00D9293C"/>
    <w:rsid w:val="00D92B9F"/>
    <w:rsid w:val="00DA3528"/>
    <w:rsid w:val="00DB0FAF"/>
    <w:rsid w:val="00DC00E4"/>
    <w:rsid w:val="00DC2EEF"/>
    <w:rsid w:val="00DC51E3"/>
    <w:rsid w:val="00DC5C63"/>
    <w:rsid w:val="00DD3BB9"/>
    <w:rsid w:val="00DD5BBB"/>
    <w:rsid w:val="00DD65F4"/>
    <w:rsid w:val="00DE0630"/>
    <w:rsid w:val="00DF15CD"/>
    <w:rsid w:val="00DF6A26"/>
    <w:rsid w:val="00E029F9"/>
    <w:rsid w:val="00E03F57"/>
    <w:rsid w:val="00E105BF"/>
    <w:rsid w:val="00E10B78"/>
    <w:rsid w:val="00E10C95"/>
    <w:rsid w:val="00E20A3C"/>
    <w:rsid w:val="00E23743"/>
    <w:rsid w:val="00E249EE"/>
    <w:rsid w:val="00E318CA"/>
    <w:rsid w:val="00E31D38"/>
    <w:rsid w:val="00E334BB"/>
    <w:rsid w:val="00E3367C"/>
    <w:rsid w:val="00E378C4"/>
    <w:rsid w:val="00E40996"/>
    <w:rsid w:val="00E409F3"/>
    <w:rsid w:val="00E43AE8"/>
    <w:rsid w:val="00E44A06"/>
    <w:rsid w:val="00E53109"/>
    <w:rsid w:val="00E54C3C"/>
    <w:rsid w:val="00E564DF"/>
    <w:rsid w:val="00E64D10"/>
    <w:rsid w:val="00E67D0D"/>
    <w:rsid w:val="00E7114C"/>
    <w:rsid w:val="00E7243A"/>
    <w:rsid w:val="00E73014"/>
    <w:rsid w:val="00E81A4C"/>
    <w:rsid w:val="00E82C4B"/>
    <w:rsid w:val="00E8308F"/>
    <w:rsid w:val="00E83480"/>
    <w:rsid w:val="00E910B9"/>
    <w:rsid w:val="00E93A1D"/>
    <w:rsid w:val="00E94464"/>
    <w:rsid w:val="00E963CF"/>
    <w:rsid w:val="00E96678"/>
    <w:rsid w:val="00EA1F6A"/>
    <w:rsid w:val="00EA6978"/>
    <w:rsid w:val="00EB731B"/>
    <w:rsid w:val="00EC1742"/>
    <w:rsid w:val="00ED0BFE"/>
    <w:rsid w:val="00ED2B36"/>
    <w:rsid w:val="00ED3424"/>
    <w:rsid w:val="00EE15E9"/>
    <w:rsid w:val="00EE2B3B"/>
    <w:rsid w:val="00EE2FF8"/>
    <w:rsid w:val="00EE34FF"/>
    <w:rsid w:val="00EF12F8"/>
    <w:rsid w:val="00EF23E2"/>
    <w:rsid w:val="00EF292C"/>
    <w:rsid w:val="00EF4117"/>
    <w:rsid w:val="00EF63E4"/>
    <w:rsid w:val="00EF7FE7"/>
    <w:rsid w:val="00F00BF4"/>
    <w:rsid w:val="00F05CF5"/>
    <w:rsid w:val="00F07599"/>
    <w:rsid w:val="00F07B4D"/>
    <w:rsid w:val="00F16AD5"/>
    <w:rsid w:val="00F175DA"/>
    <w:rsid w:val="00F26A16"/>
    <w:rsid w:val="00F27106"/>
    <w:rsid w:val="00F30991"/>
    <w:rsid w:val="00F32403"/>
    <w:rsid w:val="00F379BC"/>
    <w:rsid w:val="00F462F4"/>
    <w:rsid w:val="00F46E62"/>
    <w:rsid w:val="00F53128"/>
    <w:rsid w:val="00F54FDB"/>
    <w:rsid w:val="00F55EF4"/>
    <w:rsid w:val="00F562A7"/>
    <w:rsid w:val="00F629A4"/>
    <w:rsid w:val="00F67FBA"/>
    <w:rsid w:val="00F71E7E"/>
    <w:rsid w:val="00F832BF"/>
    <w:rsid w:val="00F83F98"/>
    <w:rsid w:val="00F86B48"/>
    <w:rsid w:val="00F921E6"/>
    <w:rsid w:val="00F922E9"/>
    <w:rsid w:val="00F97237"/>
    <w:rsid w:val="00FA2233"/>
    <w:rsid w:val="00FA3DB5"/>
    <w:rsid w:val="00FA405C"/>
    <w:rsid w:val="00FA71B6"/>
    <w:rsid w:val="00FB1B34"/>
    <w:rsid w:val="00FB3DA3"/>
    <w:rsid w:val="00FC5CE7"/>
    <w:rsid w:val="00FD1DA1"/>
    <w:rsid w:val="00FD34B6"/>
    <w:rsid w:val="00FD482F"/>
    <w:rsid w:val="00FD708F"/>
    <w:rsid w:val="00FD77CB"/>
    <w:rsid w:val="00FE188E"/>
    <w:rsid w:val="00FE20F0"/>
    <w:rsid w:val="00FE281C"/>
    <w:rsid w:val="00FE3801"/>
    <w:rsid w:val="00FE773E"/>
    <w:rsid w:val="00FF1EEA"/>
    <w:rsid w:val="00FF6B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E68B"/>
  <w15:chartTrackingRefBased/>
  <w15:docId w15:val="{F6933C04-9B36-4814-AC7D-81DBB0B7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D06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6B2"/>
    <w:pPr>
      <w:ind w:left="720"/>
      <w:contextualSpacing/>
    </w:pPr>
  </w:style>
  <w:style w:type="paragraph" w:styleId="Header">
    <w:name w:val="header"/>
    <w:basedOn w:val="Normal"/>
    <w:link w:val="HeaderChar"/>
    <w:uiPriority w:val="99"/>
    <w:unhideWhenUsed/>
    <w:rsid w:val="00D0409D"/>
    <w:pPr>
      <w:tabs>
        <w:tab w:val="center" w:pos="4513"/>
        <w:tab w:val="right" w:pos="9026"/>
      </w:tabs>
    </w:pPr>
  </w:style>
  <w:style w:type="character" w:customStyle="1" w:styleId="HeaderChar">
    <w:name w:val="Header Char"/>
    <w:basedOn w:val="DefaultParagraphFont"/>
    <w:link w:val="Header"/>
    <w:uiPriority w:val="99"/>
    <w:rsid w:val="00D0409D"/>
  </w:style>
  <w:style w:type="paragraph" w:styleId="Footer">
    <w:name w:val="footer"/>
    <w:basedOn w:val="Normal"/>
    <w:link w:val="FooterChar"/>
    <w:uiPriority w:val="99"/>
    <w:unhideWhenUsed/>
    <w:rsid w:val="00D0409D"/>
    <w:pPr>
      <w:tabs>
        <w:tab w:val="center" w:pos="4513"/>
        <w:tab w:val="right" w:pos="9026"/>
      </w:tabs>
    </w:pPr>
  </w:style>
  <w:style w:type="character" w:customStyle="1" w:styleId="FooterChar">
    <w:name w:val="Footer Char"/>
    <w:basedOn w:val="DefaultParagraphFont"/>
    <w:link w:val="Footer"/>
    <w:uiPriority w:val="99"/>
    <w:rsid w:val="00D0409D"/>
  </w:style>
  <w:style w:type="table" w:styleId="TableGrid">
    <w:name w:val="Table Grid"/>
    <w:basedOn w:val="TableNormal"/>
    <w:uiPriority w:val="39"/>
    <w:rsid w:val="0064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EBE"/>
    <w:rPr>
      <w:color w:val="0563C1" w:themeColor="hyperlink"/>
      <w:u w:val="single"/>
    </w:rPr>
  </w:style>
  <w:style w:type="character" w:customStyle="1" w:styleId="UnresolvedMention">
    <w:name w:val="Unresolved Mention"/>
    <w:basedOn w:val="DefaultParagraphFont"/>
    <w:uiPriority w:val="99"/>
    <w:semiHidden/>
    <w:unhideWhenUsed/>
    <w:rsid w:val="00D10EBE"/>
    <w:rPr>
      <w:color w:val="605E5C"/>
      <w:shd w:val="clear" w:color="auto" w:fill="E1DFDD"/>
    </w:rPr>
  </w:style>
  <w:style w:type="character" w:customStyle="1" w:styleId="Heading2Char">
    <w:name w:val="Heading 2 Char"/>
    <w:basedOn w:val="DefaultParagraphFont"/>
    <w:link w:val="Heading2"/>
    <w:uiPriority w:val="9"/>
    <w:rsid w:val="001D064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05C86"/>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0179"/>
    <w:rPr>
      <w:sz w:val="20"/>
      <w:szCs w:val="20"/>
    </w:rPr>
  </w:style>
  <w:style w:type="character" w:customStyle="1" w:styleId="FootnoteTextChar">
    <w:name w:val="Footnote Text Char"/>
    <w:basedOn w:val="DefaultParagraphFont"/>
    <w:link w:val="FootnoteText"/>
    <w:uiPriority w:val="99"/>
    <w:semiHidden/>
    <w:rsid w:val="00B70179"/>
    <w:rPr>
      <w:sz w:val="20"/>
      <w:szCs w:val="20"/>
    </w:rPr>
  </w:style>
  <w:style w:type="character" w:styleId="FootnoteReference">
    <w:name w:val="footnote reference"/>
    <w:basedOn w:val="DefaultParagraphFont"/>
    <w:uiPriority w:val="99"/>
    <w:semiHidden/>
    <w:unhideWhenUsed/>
    <w:rsid w:val="00B70179"/>
    <w:rPr>
      <w:vertAlign w:val="superscript"/>
    </w:rPr>
  </w:style>
  <w:style w:type="character" w:styleId="CommentReference">
    <w:name w:val="annotation reference"/>
    <w:basedOn w:val="DefaultParagraphFont"/>
    <w:uiPriority w:val="99"/>
    <w:semiHidden/>
    <w:unhideWhenUsed/>
    <w:rsid w:val="00AE403A"/>
    <w:rPr>
      <w:sz w:val="16"/>
      <w:szCs w:val="16"/>
    </w:rPr>
  </w:style>
  <w:style w:type="paragraph" w:styleId="CommentText">
    <w:name w:val="annotation text"/>
    <w:basedOn w:val="Normal"/>
    <w:link w:val="CommentTextChar"/>
    <w:uiPriority w:val="99"/>
    <w:semiHidden/>
    <w:unhideWhenUsed/>
    <w:rsid w:val="00AE403A"/>
    <w:rPr>
      <w:sz w:val="20"/>
      <w:szCs w:val="20"/>
    </w:rPr>
  </w:style>
  <w:style w:type="character" w:customStyle="1" w:styleId="CommentTextChar">
    <w:name w:val="Comment Text Char"/>
    <w:basedOn w:val="DefaultParagraphFont"/>
    <w:link w:val="CommentText"/>
    <w:uiPriority w:val="99"/>
    <w:semiHidden/>
    <w:rsid w:val="00AE403A"/>
    <w:rPr>
      <w:sz w:val="20"/>
      <w:szCs w:val="20"/>
    </w:rPr>
  </w:style>
  <w:style w:type="paragraph" w:styleId="CommentSubject">
    <w:name w:val="annotation subject"/>
    <w:basedOn w:val="CommentText"/>
    <w:next w:val="CommentText"/>
    <w:link w:val="CommentSubjectChar"/>
    <w:uiPriority w:val="99"/>
    <w:semiHidden/>
    <w:unhideWhenUsed/>
    <w:rsid w:val="00AE403A"/>
    <w:rPr>
      <w:b/>
      <w:bCs/>
    </w:rPr>
  </w:style>
  <w:style w:type="character" w:customStyle="1" w:styleId="CommentSubjectChar">
    <w:name w:val="Comment Subject Char"/>
    <w:basedOn w:val="CommentTextChar"/>
    <w:link w:val="CommentSubject"/>
    <w:uiPriority w:val="99"/>
    <w:semiHidden/>
    <w:rsid w:val="00AE403A"/>
    <w:rPr>
      <w:b/>
      <w:bCs/>
      <w:sz w:val="20"/>
      <w:szCs w:val="20"/>
    </w:rPr>
  </w:style>
  <w:style w:type="paragraph" w:styleId="NoSpacing">
    <w:name w:val="No Spacing"/>
    <w:link w:val="NoSpacingChar"/>
    <w:uiPriority w:val="1"/>
    <w:qFormat/>
    <w:rsid w:val="004F1AD1"/>
    <w:rPr>
      <w:rFonts w:ascii="Arial" w:eastAsia="Calibri" w:hAnsi="Arial" w:cs="Times New Roman"/>
      <w:sz w:val="24"/>
      <w:lang w:val="en-US"/>
    </w:rPr>
  </w:style>
  <w:style w:type="character" w:customStyle="1" w:styleId="NoSpacingChar">
    <w:name w:val="No Spacing Char"/>
    <w:link w:val="NoSpacing"/>
    <w:uiPriority w:val="1"/>
    <w:rsid w:val="004F1AD1"/>
    <w:rPr>
      <w:rFonts w:ascii="Arial" w:eastAsia="Calibri" w:hAnsi="Arial" w:cs="Times New Roman"/>
      <w:sz w:val="24"/>
      <w:lang w:val="en-US"/>
    </w:rPr>
  </w:style>
  <w:style w:type="character" w:customStyle="1" w:styleId="yiv8692860459">
    <w:name w:val="yiv8692860459"/>
    <w:basedOn w:val="DefaultParagraphFont"/>
    <w:rsid w:val="00366BBC"/>
  </w:style>
  <w:style w:type="character" w:styleId="FollowedHyperlink">
    <w:name w:val="FollowedHyperlink"/>
    <w:basedOn w:val="DefaultParagraphFont"/>
    <w:uiPriority w:val="99"/>
    <w:semiHidden/>
    <w:unhideWhenUsed/>
    <w:rsid w:val="005650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Philippines</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A05C-C085-4E5E-958F-94609ADAFB66}">
  <ds:schemaRefs>
    <ds:schemaRef ds:uri="http://schemas.microsoft.com/sharepoint/v3/contenttype/forms"/>
  </ds:schemaRefs>
</ds:datastoreItem>
</file>

<file path=customXml/itemProps2.xml><?xml version="1.0" encoding="utf-8"?>
<ds:datastoreItem xmlns:ds="http://schemas.openxmlformats.org/officeDocument/2006/customXml" ds:itemID="{FAECE2E4-260F-4788-9E8D-5D22C8D05A5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9FBCFF4-857D-4F99-A16C-352A3A1EA4D7}"/>
</file>

<file path=customXml/itemProps4.xml><?xml version="1.0" encoding="utf-8"?>
<ds:datastoreItem xmlns:ds="http://schemas.openxmlformats.org/officeDocument/2006/customXml" ds:itemID="{53E7EBFB-0ABB-4A0B-8699-0873A122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Chona Idul-Desimpele</dc:creator>
  <cp:keywords/>
  <dc:description/>
  <cp:lastModifiedBy>Manon Julie Betty Beury</cp:lastModifiedBy>
  <cp:revision>2</cp:revision>
  <dcterms:created xsi:type="dcterms:W3CDTF">2022-03-03T10:54:00Z</dcterms:created>
  <dcterms:modified xsi:type="dcterms:W3CDTF">2022-03-03T10:54:00Z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