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9EFCC" w14:textId="30D4A1F6" w:rsidR="00F91D86" w:rsidRPr="00F91D86" w:rsidRDefault="00F91D86" w:rsidP="00F91D86">
      <w:pPr>
        <w:pStyle w:val="Subttulo"/>
        <w:spacing w:before="0" w:line="320" w:lineRule="atLeast"/>
        <w:jc w:val="center"/>
        <w:rPr>
          <w:rFonts w:asciiTheme="majorHAnsi" w:hAnsiTheme="majorHAnsi" w:cstheme="majorHAnsi"/>
          <w:szCs w:val="24"/>
          <w:lang w:val="pt-PT"/>
        </w:rPr>
      </w:pPr>
      <w:r w:rsidRPr="00F91D86">
        <w:rPr>
          <w:rFonts w:asciiTheme="majorHAnsi" w:hAnsiTheme="majorHAnsi" w:cstheme="majorHAnsi"/>
          <w:szCs w:val="24"/>
          <w:lang w:val="pt-PT"/>
        </w:rPr>
        <w:t>Questionário - direito à saúde das pessoas afetadas pela violência e discriminação com base na orientação sexual e identidade de género</w:t>
      </w:r>
    </w:p>
    <w:p w14:paraId="68562418" w14:textId="77777777" w:rsidR="00F91D86" w:rsidRPr="00F91D86" w:rsidRDefault="00F91D86" w:rsidP="00F91D86">
      <w:pPr>
        <w:rPr>
          <w:lang w:val="pt-PT"/>
        </w:rPr>
      </w:pPr>
    </w:p>
    <w:p w14:paraId="7F19009C" w14:textId="48A1F111" w:rsidR="001A0258" w:rsidRPr="00381E8D" w:rsidRDefault="001A0258" w:rsidP="00635A1B">
      <w:pPr>
        <w:pStyle w:val="Subttulo"/>
        <w:spacing w:before="0" w:line="320" w:lineRule="atLeast"/>
        <w:jc w:val="both"/>
        <w:rPr>
          <w:rFonts w:asciiTheme="majorHAnsi" w:hAnsiTheme="majorHAnsi" w:cstheme="majorHAnsi"/>
          <w:sz w:val="22"/>
          <w:lang w:val="en-GB"/>
        </w:rPr>
      </w:pPr>
      <w:r w:rsidRPr="00381E8D">
        <w:rPr>
          <w:rFonts w:asciiTheme="majorHAnsi" w:hAnsiTheme="majorHAnsi" w:cstheme="majorHAnsi"/>
          <w:sz w:val="22"/>
          <w:lang w:val="en-GB"/>
        </w:rPr>
        <w:t>R</w:t>
      </w:r>
      <w:r w:rsidR="00022A1E" w:rsidRPr="00381E8D">
        <w:rPr>
          <w:rFonts w:asciiTheme="majorHAnsi" w:hAnsiTheme="majorHAnsi" w:cstheme="majorHAnsi"/>
          <w:sz w:val="22"/>
          <w:lang w:val="en-GB"/>
        </w:rPr>
        <w:t xml:space="preserve">eport to the UN </w:t>
      </w:r>
      <w:r w:rsidR="00274C5E" w:rsidRPr="00381E8D">
        <w:rPr>
          <w:rFonts w:asciiTheme="majorHAnsi" w:hAnsiTheme="majorHAnsi" w:cstheme="majorHAnsi"/>
          <w:sz w:val="22"/>
          <w:lang w:val="en-GB"/>
        </w:rPr>
        <w:t>Human Rights Council</w:t>
      </w:r>
      <w:r w:rsidR="00022A1E" w:rsidRPr="00381E8D">
        <w:rPr>
          <w:rFonts w:asciiTheme="majorHAnsi" w:hAnsiTheme="majorHAnsi" w:cstheme="majorHAnsi"/>
          <w:sz w:val="22"/>
          <w:lang w:val="en-GB"/>
        </w:rPr>
        <w:t xml:space="preserve"> on the realisation of </w:t>
      </w:r>
      <w:r w:rsidR="0031121F" w:rsidRPr="00381E8D">
        <w:rPr>
          <w:rFonts w:asciiTheme="majorHAnsi" w:hAnsiTheme="majorHAnsi" w:cstheme="majorHAnsi"/>
          <w:sz w:val="22"/>
          <w:lang w:val="en-GB"/>
        </w:rPr>
        <w:t xml:space="preserve">the right of </w:t>
      </w:r>
      <w:r w:rsidR="009329C8" w:rsidRPr="00381E8D">
        <w:rPr>
          <w:rFonts w:asciiTheme="majorHAnsi" w:hAnsiTheme="majorHAnsi" w:cstheme="majorHAnsi"/>
          <w:sz w:val="22"/>
          <w:lang w:val="en-GB"/>
        </w:rPr>
        <w:t xml:space="preserve">persons affected by violence and discrimination based on sexual orientation and gender identity </w:t>
      </w:r>
      <w:r w:rsidR="0031121F" w:rsidRPr="00381E8D">
        <w:rPr>
          <w:rFonts w:asciiTheme="majorHAnsi" w:hAnsiTheme="majorHAnsi" w:cstheme="majorHAnsi"/>
          <w:sz w:val="22"/>
          <w:lang w:val="en-GB"/>
        </w:rPr>
        <w:t xml:space="preserve">to the enjoyment of the highest attainable standard of physical and mental health, </w:t>
      </w:r>
      <w:r w:rsidR="00022A1E" w:rsidRPr="00381E8D">
        <w:rPr>
          <w:rFonts w:asciiTheme="majorHAnsi" w:hAnsiTheme="majorHAnsi" w:cstheme="majorHAnsi"/>
          <w:sz w:val="22"/>
          <w:lang w:val="en-GB"/>
        </w:rPr>
        <w:t>in relation to SDG3</w:t>
      </w:r>
      <w:r w:rsidR="009329C8" w:rsidRPr="00381E8D">
        <w:rPr>
          <w:rFonts w:asciiTheme="majorHAnsi" w:hAnsiTheme="majorHAnsi" w:cstheme="majorHAnsi"/>
          <w:sz w:val="22"/>
          <w:lang w:val="en-GB"/>
        </w:rPr>
        <w:t>.</w:t>
      </w:r>
    </w:p>
    <w:p w14:paraId="00000003" w14:textId="000C9E13" w:rsidR="00FB2D8E" w:rsidRPr="00381E8D" w:rsidRDefault="00022A1E" w:rsidP="00635A1B">
      <w:pPr>
        <w:pStyle w:val="Cabealho1"/>
        <w:spacing w:before="0" w:line="320" w:lineRule="atLeast"/>
        <w:jc w:val="both"/>
        <w:rPr>
          <w:rFonts w:asciiTheme="majorHAnsi" w:hAnsiTheme="majorHAnsi" w:cstheme="majorHAnsi"/>
          <w:sz w:val="22"/>
          <w:lang w:val="en-GB"/>
        </w:rPr>
      </w:pPr>
      <w:r w:rsidRPr="00381E8D">
        <w:rPr>
          <w:rFonts w:asciiTheme="majorHAnsi" w:hAnsiTheme="majorHAnsi" w:cstheme="majorHAnsi"/>
          <w:sz w:val="22"/>
          <w:lang w:val="en-GB"/>
        </w:rPr>
        <w:t>Deadline</w:t>
      </w:r>
      <w:r w:rsidR="00C71BC8" w:rsidRPr="00381E8D">
        <w:rPr>
          <w:rFonts w:asciiTheme="majorHAnsi" w:hAnsiTheme="majorHAnsi" w:cstheme="majorHAnsi"/>
          <w:sz w:val="22"/>
          <w:lang w:val="en-GB"/>
        </w:rPr>
        <w:t xml:space="preserve"> for inputs</w:t>
      </w:r>
      <w:r w:rsidRPr="00381E8D">
        <w:rPr>
          <w:rFonts w:asciiTheme="majorHAnsi" w:hAnsiTheme="majorHAnsi" w:cstheme="majorHAnsi"/>
          <w:sz w:val="22"/>
          <w:lang w:val="en-GB"/>
        </w:rPr>
        <w:t>:</w:t>
      </w:r>
    </w:p>
    <w:p w14:paraId="59F026BE" w14:textId="16DA08D0" w:rsidR="001A0258" w:rsidRPr="00381E8D" w:rsidRDefault="00987915" w:rsidP="00635A1B">
      <w:pPr>
        <w:shd w:val="clear" w:color="auto" w:fill="FFFFFF"/>
        <w:spacing w:after="120" w:line="320" w:lineRule="atLeast"/>
        <w:jc w:val="both"/>
        <w:rPr>
          <w:rFonts w:asciiTheme="majorHAnsi" w:eastAsia="Calibri" w:hAnsiTheme="majorHAnsi" w:cstheme="majorHAnsi"/>
          <w:lang w:val="en-GB"/>
        </w:rPr>
      </w:pPr>
      <w:r w:rsidRPr="00381E8D">
        <w:rPr>
          <w:rFonts w:asciiTheme="majorHAnsi" w:eastAsia="Calibri" w:hAnsiTheme="majorHAnsi" w:cstheme="majorHAnsi"/>
          <w:lang w:val="en-GB"/>
        </w:rPr>
        <w:t>31</w:t>
      </w:r>
      <w:r w:rsidR="001B4F70" w:rsidRPr="00381E8D">
        <w:rPr>
          <w:rFonts w:asciiTheme="majorHAnsi" w:eastAsia="Calibri" w:hAnsiTheme="majorHAnsi" w:cstheme="majorHAnsi"/>
          <w:lang w:val="en-GB"/>
        </w:rPr>
        <w:t xml:space="preserve"> January </w:t>
      </w:r>
      <w:r w:rsidR="00274C5E" w:rsidRPr="00381E8D">
        <w:rPr>
          <w:rFonts w:asciiTheme="majorHAnsi" w:eastAsia="Calibri" w:hAnsiTheme="majorHAnsi" w:cstheme="majorHAnsi"/>
          <w:lang w:val="en-GB"/>
        </w:rPr>
        <w:t>2022</w:t>
      </w:r>
    </w:p>
    <w:p w14:paraId="00000005" w14:textId="0FDF9B15" w:rsidR="00FB2D8E" w:rsidRPr="00381E8D" w:rsidRDefault="00022A1E" w:rsidP="00635A1B">
      <w:pPr>
        <w:pStyle w:val="Cabealho1"/>
        <w:spacing w:before="0" w:line="320" w:lineRule="atLeast"/>
        <w:jc w:val="both"/>
        <w:rPr>
          <w:rFonts w:asciiTheme="majorHAnsi" w:hAnsiTheme="majorHAnsi" w:cstheme="majorHAnsi"/>
          <w:sz w:val="22"/>
          <w:lang w:val="en-GB"/>
        </w:rPr>
      </w:pPr>
      <w:r w:rsidRPr="00381E8D">
        <w:rPr>
          <w:rFonts w:asciiTheme="majorHAnsi" w:hAnsiTheme="majorHAnsi" w:cstheme="majorHAnsi"/>
          <w:sz w:val="22"/>
          <w:lang w:val="en-GB"/>
        </w:rPr>
        <w:t>Iss</w:t>
      </w:r>
      <w:r w:rsidR="00751ADA" w:rsidRPr="00381E8D">
        <w:rPr>
          <w:rFonts w:asciiTheme="majorHAnsi" w:hAnsiTheme="majorHAnsi" w:cstheme="majorHAnsi"/>
          <w:sz w:val="22"/>
          <w:lang w:val="en-GB"/>
        </w:rPr>
        <w:t>u</w:t>
      </w:r>
      <w:r w:rsidRPr="00381E8D">
        <w:rPr>
          <w:rFonts w:asciiTheme="majorHAnsi" w:hAnsiTheme="majorHAnsi" w:cstheme="majorHAnsi"/>
          <w:sz w:val="22"/>
          <w:lang w:val="en-GB"/>
        </w:rPr>
        <w:t>ed by:</w:t>
      </w:r>
    </w:p>
    <w:p w14:paraId="53A0D7B0" w14:textId="07DB1C08" w:rsidR="001A0258" w:rsidRPr="00381E8D" w:rsidRDefault="00022A1E" w:rsidP="00635A1B">
      <w:pPr>
        <w:shd w:val="clear" w:color="auto" w:fill="FFFFFF"/>
        <w:spacing w:after="120" w:line="320" w:lineRule="atLeast"/>
        <w:jc w:val="both"/>
        <w:rPr>
          <w:rFonts w:asciiTheme="majorHAnsi" w:eastAsia="Calibri" w:hAnsiTheme="majorHAnsi" w:cstheme="majorHAnsi"/>
          <w:lang w:val="en-GB"/>
        </w:rPr>
      </w:pPr>
      <w:r w:rsidRPr="00381E8D">
        <w:rPr>
          <w:rFonts w:asciiTheme="majorHAnsi" w:eastAsia="Calibri" w:hAnsiTheme="majorHAnsi" w:cstheme="majorHAnsi"/>
          <w:lang w:val="en-GB"/>
        </w:rPr>
        <w:t>The Independent Expert on protection against violence and discrimination based on sexual orientation and gender identity</w:t>
      </w:r>
      <w:r w:rsidR="00635A1B" w:rsidRPr="00381E8D">
        <w:rPr>
          <w:rFonts w:asciiTheme="majorHAnsi" w:eastAsia="Calibri" w:hAnsiTheme="majorHAnsi" w:cstheme="majorHAnsi"/>
          <w:lang w:val="en-GB"/>
        </w:rPr>
        <w:t>.</w:t>
      </w:r>
    </w:p>
    <w:p w14:paraId="00000007" w14:textId="77A0170A" w:rsidR="00FB2D8E" w:rsidRPr="00381E8D" w:rsidRDefault="00022A1E" w:rsidP="00635A1B">
      <w:pPr>
        <w:pStyle w:val="Cabealho1"/>
        <w:spacing w:before="0" w:line="320" w:lineRule="atLeast"/>
        <w:jc w:val="both"/>
        <w:rPr>
          <w:rFonts w:asciiTheme="majorHAnsi" w:hAnsiTheme="majorHAnsi" w:cstheme="majorHAnsi"/>
          <w:sz w:val="22"/>
          <w:lang w:val="en-GB"/>
        </w:rPr>
      </w:pPr>
      <w:r w:rsidRPr="00381E8D">
        <w:rPr>
          <w:rFonts w:asciiTheme="majorHAnsi" w:hAnsiTheme="majorHAnsi" w:cstheme="majorHAnsi"/>
          <w:sz w:val="22"/>
          <w:lang w:val="en-GB"/>
        </w:rPr>
        <w:t>Purpose:</w:t>
      </w:r>
    </w:p>
    <w:p w14:paraId="00000008" w14:textId="6436EAE9" w:rsidR="00FB2D8E" w:rsidRPr="00381E8D" w:rsidRDefault="00022A1E" w:rsidP="00635A1B">
      <w:pPr>
        <w:shd w:val="clear" w:color="auto" w:fill="FFFFFF"/>
        <w:spacing w:after="120" w:line="320" w:lineRule="atLeast"/>
        <w:jc w:val="both"/>
        <w:rPr>
          <w:rFonts w:asciiTheme="majorHAnsi" w:eastAsia="Calibri" w:hAnsiTheme="majorHAnsi" w:cstheme="majorHAnsi"/>
          <w:lang w:val="en-GB"/>
        </w:rPr>
      </w:pPr>
      <w:r w:rsidRPr="00381E8D">
        <w:rPr>
          <w:rFonts w:asciiTheme="majorHAnsi" w:eastAsia="Calibri" w:hAnsiTheme="majorHAnsi" w:cstheme="majorHAnsi"/>
          <w:lang w:val="en-GB"/>
        </w:rPr>
        <w:t>To inform the Independent Expert's report to be presented to the</w:t>
      </w:r>
      <w:r w:rsidR="00274C5E" w:rsidRPr="00381E8D">
        <w:rPr>
          <w:rFonts w:asciiTheme="majorHAnsi" w:eastAsia="Calibri" w:hAnsiTheme="majorHAnsi" w:cstheme="majorHAnsi"/>
          <w:lang w:val="en-GB"/>
        </w:rPr>
        <w:t xml:space="preserve"> 50th Session of the United Nations Human Rights Council.</w:t>
      </w:r>
    </w:p>
    <w:p w14:paraId="00000014" w14:textId="70B18741" w:rsidR="00FB2D8E" w:rsidRPr="00381E8D" w:rsidRDefault="00010324" w:rsidP="00635A1B">
      <w:pPr>
        <w:shd w:val="clear" w:color="auto" w:fill="FFFFFF"/>
        <w:spacing w:after="120" w:line="320" w:lineRule="atLeast"/>
        <w:jc w:val="both"/>
        <w:rPr>
          <w:rFonts w:asciiTheme="majorHAnsi" w:eastAsia="Calibri" w:hAnsiTheme="majorHAnsi" w:cstheme="majorHAnsi"/>
          <w:lang w:val="en-GB"/>
        </w:rPr>
      </w:pPr>
      <w:r w:rsidRPr="00381E8D">
        <w:rPr>
          <w:rFonts w:asciiTheme="majorHAnsi" w:eastAsia="Calibri" w:hAnsiTheme="majorHAnsi" w:cstheme="majorHAnsi"/>
          <w:lang w:val="en-GB"/>
        </w:rPr>
        <w:t>Inputs are welcome in response to the following questions:</w:t>
      </w:r>
    </w:p>
    <w:p w14:paraId="3C525BFC" w14:textId="43497090" w:rsidR="004B7A71" w:rsidRPr="00381E8D" w:rsidRDefault="00022A1E" w:rsidP="00635A1B">
      <w:pPr>
        <w:pStyle w:val="Cabealho2"/>
        <w:numPr>
          <w:ilvl w:val="0"/>
          <w:numId w:val="8"/>
        </w:numPr>
        <w:spacing w:before="0" w:line="320" w:lineRule="atLeast"/>
        <w:jc w:val="both"/>
        <w:rPr>
          <w:rFonts w:asciiTheme="majorHAnsi" w:hAnsiTheme="majorHAnsi" w:cstheme="majorHAnsi"/>
          <w:lang w:val="en-GB"/>
        </w:rPr>
      </w:pPr>
      <w:r w:rsidRPr="00381E8D">
        <w:rPr>
          <w:rFonts w:asciiTheme="majorHAnsi" w:hAnsiTheme="majorHAnsi" w:cstheme="majorHAnsi"/>
          <w:lang w:val="en-GB"/>
        </w:rPr>
        <w:t>Research: understanding the health care needs of LGT</w:t>
      </w:r>
      <w:r w:rsidR="009E1B4A" w:rsidRPr="00381E8D">
        <w:rPr>
          <w:rFonts w:asciiTheme="majorHAnsi" w:hAnsiTheme="majorHAnsi" w:cstheme="majorHAnsi"/>
          <w:lang w:val="en-GB"/>
        </w:rPr>
        <w:t>BI</w:t>
      </w:r>
      <w:r w:rsidRPr="00381E8D">
        <w:rPr>
          <w:rFonts w:asciiTheme="majorHAnsi" w:hAnsiTheme="majorHAnsi" w:cstheme="majorHAnsi"/>
          <w:lang w:val="en-GB"/>
        </w:rPr>
        <w:t xml:space="preserve"> and GNC people</w:t>
      </w:r>
      <w:r w:rsidR="00A244CE" w:rsidRPr="00381E8D">
        <w:rPr>
          <w:rFonts w:asciiTheme="majorHAnsi" w:hAnsiTheme="majorHAnsi" w:cstheme="majorHAnsi"/>
          <w:lang w:val="en-GB"/>
        </w:rPr>
        <w:t>.</w:t>
      </w:r>
    </w:p>
    <w:p w14:paraId="197C9F70" w14:textId="77777777" w:rsidR="004B7A71" w:rsidRPr="00381E8D" w:rsidRDefault="00022A1E" w:rsidP="00635A1B">
      <w:pPr>
        <w:pStyle w:val="Cabealho2"/>
        <w:numPr>
          <w:ilvl w:val="1"/>
          <w:numId w:val="8"/>
        </w:numPr>
        <w:spacing w:before="0" w:line="320" w:lineRule="atLeast"/>
        <w:jc w:val="both"/>
        <w:rPr>
          <w:rFonts w:asciiTheme="majorHAnsi" w:hAnsiTheme="majorHAnsi" w:cstheme="majorHAnsi"/>
          <w:bCs/>
          <w:lang w:val="en-GB"/>
        </w:rPr>
      </w:pPr>
      <w:r w:rsidRPr="00381E8D">
        <w:rPr>
          <w:rFonts w:asciiTheme="majorHAnsi" w:hAnsiTheme="majorHAnsi" w:cstheme="majorHAnsi"/>
          <w:bCs/>
          <w:lang w:val="en-GB"/>
        </w:rPr>
        <w:t>Does the State (or other stakeholders) gather data, including data disaggregated by sexual orientation and/or gender identity, on:</w:t>
      </w:r>
    </w:p>
    <w:p w14:paraId="48613A9A" w14:textId="77777777" w:rsidR="004B7A71" w:rsidRPr="00381E8D" w:rsidRDefault="00C71BC8" w:rsidP="00635A1B">
      <w:pPr>
        <w:pStyle w:val="Cabealho2"/>
        <w:numPr>
          <w:ilvl w:val="2"/>
          <w:numId w:val="8"/>
        </w:numPr>
        <w:spacing w:before="0" w:after="0" w:line="320" w:lineRule="atLeast"/>
        <w:ind w:left="1225" w:hanging="505"/>
        <w:jc w:val="both"/>
        <w:rPr>
          <w:rFonts w:asciiTheme="majorHAnsi" w:hAnsiTheme="majorHAnsi" w:cstheme="majorHAnsi"/>
          <w:bCs/>
          <w:lang w:val="en-GB"/>
        </w:rPr>
      </w:pPr>
      <w:r w:rsidRPr="00381E8D">
        <w:rPr>
          <w:rFonts w:asciiTheme="majorHAnsi" w:hAnsiTheme="majorHAnsi" w:cstheme="majorHAnsi"/>
          <w:bCs/>
          <w:lang w:val="en-GB"/>
        </w:rPr>
        <w:t>access to</w:t>
      </w:r>
      <w:r w:rsidR="00277D66" w:rsidRPr="00381E8D">
        <w:rPr>
          <w:rFonts w:asciiTheme="majorHAnsi" w:hAnsiTheme="majorHAnsi" w:cstheme="majorHAnsi"/>
          <w:bCs/>
          <w:lang w:val="en-GB"/>
        </w:rPr>
        <w:t xml:space="preserve"> and</w:t>
      </w:r>
      <w:r w:rsidRPr="00381E8D">
        <w:rPr>
          <w:rFonts w:asciiTheme="majorHAnsi" w:hAnsiTheme="majorHAnsi" w:cstheme="majorHAnsi"/>
          <w:bCs/>
          <w:lang w:val="en-GB"/>
        </w:rPr>
        <w:t>/</w:t>
      </w:r>
      <w:r w:rsidR="00277D66" w:rsidRPr="00381E8D">
        <w:rPr>
          <w:rFonts w:asciiTheme="majorHAnsi" w:hAnsiTheme="majorHAnsi" w:cstheme="majorHAnsi"/>
          <w:bCs/>
          <w:lang w:val="en-GB"/>
        </w:rPr>
        <w:t xml:space="preserve">or </w:t>
      </w:r>
      <w:r w:rsidRPr="00381E8D">
        <w:rPr>
          <w:rFonts w:asciiTheme="majorHAnsi" w:hAnsiTheme="majorHAnsi" w:cstheme="majorHAnsi"/>
          <w:bCs/>
          <w:lang w:val="en-GB"/>
        </w:rPr>
        <w:t>delivery of health services</w:t>
      </w:r>
    </w:p>
    <w:p w14:paraId="7F1E4BF1" w14:textId="77777777" w:rsidR="004B7A71" w:rsidRPr="00381E8D" w:rsidRDefault="00022A1E" w:rsidP="00635A1B">
      <w:pPr>
        <w:pStyle w:val="Cabealho2"/>
        <w:numPr>
          <w:ilvl w:val="2"/>
          <w:numId w:val="8"/>
        </w:numPr>
        <w:spacing w:before="0" w:after="0" w:line="320" w:lineRule="atLeast"/>
        <w:ind w:left="1225" w:hanging="505"/>
        <w:jc w:val="both"/>
        <w:rPr>
          <w:rFonts w:asciiTheme="majorHAnsi" w:hAnsiTheme="majorHAnsi" w:cstheme="majorHAnsi"/>
          <w:bCs/>
          <w:lang w:val="en-GB"/>
        </w:rPr>
      </w:pPr>
      <w:r w:rsidRPr="00381E8D">
        <w:rPr>
          <w:rFonts w:asciiTheme="majorHAnsi" w:hAnsiTheme="majorHAnsi" w:cstheme="majorHAnsi"/>
          <w:bCs/>
          <w:lang w:val="en-GB"/>
        </w:rPr>
        <w:t>the number of new HIV infections per 1000 uninfected population?</w:t>
      </w:r>
    </w:p>
    <w:p w14:paraId="2736347F" w14:textId="77777777" w:rsidR="004B7A71" w:rsidRPr="00381E8D" w:rsidRDefault="00022A1E" w:rsidP="00635A1B">
      <w:pPr>
        <w:pStyle w:val="Cabealho2"/>
        <w:numPr>
          <w:ilvl w:val="2"/>
          <w:numId w:val="8"/>
        </w:numPr>
        <w:spacing w:before="0" w:after="0" w:line="320" w:lineRule="atLeast"/>
        <w:ind w:left="1225" w:hanging="505"/>
        <w:jc w:val="both"/>
        <w:rPr>
          <w:rFonts w:asciiTheme="majorHAnsi" w:hAnsiTheme="majorHAnsi" w:cstheme="majorHAnsi"/>
          <w:bCs/>
          <w:lang w:val="en-GB"/>
        </w:rPr>
      </w:pPr>
      <w:r w:rsidRPr="00381E8D">
        <w:rPr>
          <w:rFonts w:asciiTheme="majorHAnsi" w:hAnsiTheme="majorHAnsi" w:cstheme="majorHAnsi"/>
          <w:bCs/>
          <w:lang w:val="en-GB"/>
        </w:rPr>
        <w:t>The suicide mortality rate?</w:t>
      </w:r>
    </w:p>
    <w:p w14:paraId="04C846F5" w14:textId="77777777" w:rsidR="004B7A71" w:rsidRPr="00381E8D" w:rsidRDefault="00022A1E" w:rsidP="00635A1B">
      <w:pPr>
        <w:pStyle w:val="Cabealho2"/>
        <w:numPr>
          <w:ilvl w:val="2"/>
          <w:numId w:val="8"/>
        </w:numPr>
        <w:spacing w:before="0" w:after="0" w:line="320" w:lineRule="atLeast"/>
        <w:ind w:left="1225" w:hanging="505"/>
        <w:jc w:val="both"/>
        <w:rPr>
          <w:rFonts w:asciiTheme="majorHAnsi" w:hAnsiTheme="majorHAnsi" w:cstheme="majorHAnsi"/>
          <w:bCs/>
          <w:lang w:val="en-GB"/>
        </w:rPr>
      </w:pPr>
      <w:r w:rsidRPr="00381E8D">
        <w:rPr>
          <w:rFonts w:asciiTheme="majorHAnsi" w:hAnsiTheme="majorHAnsi" w:cstheme="majorHAnsi"/>
          <w:bCs/>
          <w:lang w:val="en-GB"/>
        </w:rPr>
        <w:t>Coverage of treatment interventi</w:t>
      </w:r>
      <w:r w:rsidR="004B7A71" w:rsidRPr="00381E8D">
        <w:rPr>
          <w:rFonts w:asciiTheme="majorHAnsi" w:hAnsiTheme="majorHAnsi" w:cstheme="majorHAnsi"/>
          <w:bCs/>
          <w:lang w:val="en-GB"/>
        </w:rPr>
        <w:t>ons for substance use disorders?</w:t>
      </w:r>
    </w:p>
    <w:p w14:paraId="6353F1B5" w14:textId="77777777" w:rsidR="004B7A71" w:rsidRPr="00381E8D" w:rsidRDefault="00022A1E" w:rsidP="00635A1B">
      <w:pPr>
        <w:pStyle w:val="Cabealho2"/>
        <w:numPr>
          <w:ilvl w:val="2"/>
          <w:numId w:val="8"/>
        </w:numPr>
        <w:spacing w:before="0" w:after="0" w:line="320" w:lineRule="atLeast"/>
        <w:ind w:left="1225" w:hanging="505"/>
        <w:jc w:val="both"/>
        <w:rPr>
          <w:rFonts w:asciiTheme="majorHAnsi" w:hAnsiTheme="majorHAnsi" w:cstheme="majorHAnsi"/>
          <w:bCs/>
          <w:lang w:val="en-GB"/>
        </w:rPr>
      </w:pPr>
      <w:r w:rsidRPr="00381E8D">
        <w:rPr>
          <w:rFonts w:asciiTheme="majorHAnsi" w:hAnsiTheme="majorHAnsi" w:cstheme="majorHAnsi"/>
          <w:bCs/>
          <w:lang w:val="en-GB"/>
        </w:rPr>
        <w:t>Harmful use of alcohol?</w:t>
      </w:r>
    </w:p>
    <w:p w14:paraId="042A34C8" w14:textId="77777777" w:rsidR="004B7A71" w:rsidRPr="00381E8D" w:rsidRDefault="00022A1E" w:rsidP="00635A1B">
      <w:pPr>
        <w:pStyle w:val="Cabealho2"/>
        <w:numPr>
          <w:ilvl w:val="2"/>
          <w:numId w:val="8"/>
        </w:numPr>
        <w:spacing w:before="0" w:after="0" w:line="320" w:lineRule="atLeast"/>
        <w:ind w:left="1225" w:hanging="505"/>
        <w:jc w:val="both"/>
        <w:rPr>
          <w:rFonts w:asciiTheme="majorHAnsi" w:hAnsiTheme="majorHAnsi" w:cstheme="majorHAnsi"/>
          <w:bCs/>
          <w:lang w:val="en-GB"/>
        </w:rPr>
      </w:pPr>
      <w:r w:rsidRPr="00381E8D">
        <w:rPr>
          <w:rFonts w:asciiTheme="majorHAnsi" w:hAnsiTheme="majorHAnsi" w:cstheme="majorHAnsi"/>
          <w:bCs/>
          <w:lang w:val="en-GB"/>
        </w:rPr>
        <w:t>Access to sexual and reproductive health care?</w:t>
      </w:r>
    </w:p>
    <w:p w14:paraId="1F1F54A1" w14:textId="719EC695" w:rsidR="004B7A71" w:rsidRPr="00381E8D" w:rsidRDefault="00022A1E" w:rsidP="00635A1B">
      <w:pPr>
        <w:pStyle w:val="Cabealho2"/>
        <w:numPr>
          <w:ilvl w:val="2"/>
          <w:numId w:val="8"/>
        </w:numPr>
        <w:spacing w:before="0" w:after="0" w:line="320" w:lineRule="atLeast"/>
        <w:ind w:left="1225" w:hanging="505"/>
        <w:jc w:val="both"/>
        <w:rPr>
          <w:rFonts w:asciiTheme="majorHAnsi" w:hAnsiTheme="majorHAnsi" w:cstheme="majorHAnsi"/>
          <w:bCs/>
          <w:lang w:val="en-GB"/>
        </w:rPr>
      </w:pPr>
      <w:r w:rsidRPr="00381E8D">
        <w:rPr>
          <w:rFonts w:asciiTheme="majorHAnsi" w:hAnsiTheme="majorHAnsi" w:cstheme="majorHAnsi"/>
          <w:bCs/>
          <w:lang w:val="en-GB"/>
        </w:rPr>
        <w:t>Coverage of essential health services?</w:t>
      </w:r>
    </w:p>
    <w:p w14:paraId="77D5FF14" w14:textId="67A78971" w:rsidR="00635A1B" w:rsidRPr="00381E8D" w:rsidRDefault="00A244CE" w:rsidP="00635A1B">
      <w:pPr>
        <w:spacing w:after="120" w:line="320" w:lineRule="atLeast"/>
        <w:jc w:val="both"/>
        <w:rPr>
          <w:rFonts w:asciiTheme="majorHAnsi" w:hAnsiTheme="majorHAnsi" w:cstheme="majorHAnsi"/>
          <w:lang w:val="en-GB"/>
        </w:rPr>
      </w:pPr>
      <w:r w:rsidRPr="00381E8D">
        <w:rPr>
          <w:rFonts w:asciiTheme="majorHAnsi" w:hAnsiTheme="majorHAnsi" w:cstheme="majorHAnsi"/>
          <w:lang w:val="en-GB"/>
        </w:rPr>
        <w:t>N/A.</w:t>
      </w:r>
    </w:p>
    <w:p w14:paraId="3396A4C1" w14:textId="474F237F" w:rsidR="004B7A71" w:rsidRPr="00381E8D" w:rsidRDefault="00C71BC8" w:rsidP="00635A1B">
      <w:pPr>
        <w:pStyle w:val="Cabealho2"/>
        <w:numPr>
          <w:ilvl w:val="1"/>
          <w:numId w:val="8"/>
        </w:numPr>
        <w:spacing w:before="0" w:line="320" w:lineRule="atLeast"/>
        <w:jc w:val="both"/>
        <w:rPr>
          <w:rFonts w:asciiTheme="majorHAnsi" w:hAnsiTheme="majorHAnsi" w:cstheme="majorHAnsi"/>
          <w:bCs/>
          <w:lang w:val="en-GB"/>
        </w:rPr>
      </w:pPr>
      <w:r w:rsidRPr="00381E8D">
        <w:rPr>
          <w:rFonts w:asciiTheme="majorHAnsi" w:hAnsiTheme="majorHAnsi" w:cstheme="majorHAnsi"/>
          <w:bCs/>
          <w:lang w:val="en-GB"/>
        </w:rPr>
        <w:t>What steps have been taken to research and understand the health care needs of LGT</w:t>
      </w:r>
      <w:r w:rsidR="009E1B4A" w:rsidRPr="00381E8D">
        <w:rPr>
          <w:rFonts w:asciiTheme="majorHAnsi" w:hAnsiTheme="majorHAnsi" w:cstheme="majorHAnsi"/>
          <w:bCs/>
          <w:lang w:val="en-GB"/>
        </w:rPr>
        <w:t>B</w:t>
      </w:r>
      <w:r w:rsidR="009329C8" w:rsidRPr="00381E8D">
        <w:rPr>
          <w:rFonts w:asciiTheme="majorHAnsi" w:hAnsiTheme="majorHAnsi" w:cstheme="majorHAnsi"/>
          <w:bCs/>
          <w:lang w:val="en-GB"/>
        </w:rPr>
        <w:t>I</w:t>
      </w:r>
      <w:r w:rsidRPr="00381E8D">
        <w:rPr>
          <w:rFonts w:asciiTheme="majorHAnsi" w:hAnsiTheme="majorHAnsi" w:cstheme="majorHAnsi"/>
          <w:bCs/>
          <w:lang w:val="en-GB"/>
        </w:rPr>
        <w:t xml:space="preserve"> and GNC people of all ages at the national level?</w:t>
      </w:r>
    </w:p>
    <w:p w14:paraId="5BCE54E1" w14:textId="47D89485" w:rsidR="0040265C" w:rsidRPr="00381E8D" w:rsidRDefault="002A012A" w:rsidP="00635A1B">
      <w:pPr>
        <w:spacing w:after="120" w:line="320" w:lineRule="atLeast"/>
        <w:jc w:val="both"/>
        <w:rPr>
          <w:rFonts w:asciiTheme="majorHAnsi" w:hAnsiTheme="majorHAnsi" w:cstheme="majorHAnsi"/>
          <w:lang w:val="en-GB"/>
        </w:rPr>
      </w:pPr>
      <w:r w:rsidRPr="00381E8D">
        <w:rPr>
          <w:rFonts w:asciiTheme="majorHAnsi" w:hAnsiTheme="majorHAnsi" w:cstheme="majorHAnsi"/>
          <w:lang w:val="en-GB"/>
        </w:rPr>
        <w:t>In 2018, the Portuguese Government approved the 1</w:t>
      </w:r>
      <w:r w:rsidRPr="00381E8D">
        <w:rPr>
          <w:rFonts w:asciiTheme="majorHAnsi" w:hAnsiTheme="majorHAnsi" w:cstheme="majorHAnsi"/>
          <w:vertAlign w:val="superscript"/>
          <w:lang w:val="en-GB"/>
        </w:rPr>
        <w:t>st</w:t>
      </w:r>
      <w:r w:rsidRPr="00381E8D">
        <w:rPr>
          <w:rFonts w:asciiTheme="majorHAnsi" w:hAnsiTheme="majorHAnsi" w:cstheme="majorHAnsi"/>
          <w:lang w:val="en-GB"/>
        </w:rPr>
        <w:t xml:space="preserve"> </w:t>
      </w:r>
      <w:r w:rsidR="00A244CE" w:rsidRPr="00381E8D">
        <w:rPr>
          <w:rFonts w:asciiTheme="majorHAnsi" w:hAnsiTheme="majorHAnsi" w:cstheme="majorHAnsi"/>
          <w:lang w:val="en-GB"/>
        </w:rPr>
        <w:t>A</w:t>
      </w:r>
      <w:r w:rsidRPr="00381E8D">
        <w:rPr>
          <w:rFonts w:asciiTheme="majorHAnsi" w:hAnsiTheme="majorHAnsi" w:cstheme="majorHAnsi"/>
          <w:lang w:val="en-GB"/>
        </w:rPr>
        <w:t xml:space="preserve">ction </w:t>
      </w:r>
      <w:r w:rsidR="00A244CE" w:rsidRPr="00381E8D">
        <w:rPr>
          <w:rFonts w:asciiTheme="majorHAnsi" w:hAnsiTheme="majorHAnsi" w:cstheme="majorHAnsi"/>
          <w:lang w:val="en-GB"/>
        </w:rPr>
        <w:t>P</w:t>
      </w:r>
      <w:r w:rsidRPr="00381E8D">
        <w:rPr>
          <w:rFonts w:asciiTheme="majorHAnsi" w:hAnsiTheme="majorHAnsi" w:cstheme="majorHAnsi"/>
          <w:lang w:val="en-GB"/>
        </w:rPr>
        <w:t xml:space="preserve">lan to </w:t>
      </w:r>
      <w:r w:rsidR="00A244CE" w:rsidRPr="00381E8D">
        <w:rPr>
          <w:rFonts w:asciiTheme="majorHAnsi" w:hAnsiTheme="majorHAnsi" w:cstheme="majorHAnsi"/>
          <w:lang w:val="en-GB"/>
        </w:rPr>
        <w:t>C</w:t>
      </w:r>
      <w:r w:rsidRPr="00381E8D">
        <w:rPr>
          <w:rFonts w:asciiTheme="majorHAnsi" w:hAnsiTheme="majorHAnsi" w:cstheme="majorHAnsi"/>
          <w:lang w:val="en-GB"/>
        </w:rPr>
        <w:t xml:space="preserve">ombat SOGIESC </w:t>
      </w:r>
      <w:r w:rsidR="00A244CE" w:rsidRPr="00381E8D">
        <w:rPr>
          <w:rFonts w:asciiTheme="majorHAnsi" w:hAnsiTheme="majorHAnsi" w:cstheme="majorHAnsi"/>
          <w:lang w:val="en-GB"/>
        </w:rPr>
        <w:t>D</w:t>
      </w:r>
      <w:r w:rsidRPr="00381E8D">
        <w:rPr>
          <w:rFonts w:asciiTheme="majorHAnsi" w:hAnsiTheme="majorHAnsi" w:cstheme="majorHAnsi"/>
          <w:lang w:val="en-GB"/>
        </w:rPr>
        <w:t xml:space="preserve">iscrimination, integrated in the </w:t>
      </w:r>
      <w:r w:rsidRPr="00381E8D">
        <w:rPr>
          <w:rFonts w:asciiTheme="majorHAnsi" w:hAnsiTheme="majorHAnsi" w:cstheme="majorHAnsi"/>
          <w:b/>
          <w:bCs/>
          <w:lang w:val="en-GB"/>
        </w:rPr>
        <w:t>National Equality and Non-Discrimination Strategy 2018-2030</w:t>
      </w:r>
      <w:r w:rsidRPr="00381E8D">
        <w:rPr>
          <w:rFonts w:asciiTheme="majorHAnsi" w:hAnsiTheme="majorHAnsi" w:cstheme="majorHAnsi"/>
          <w:lang w:val="en-GB"/>
        </w:rPr>
        <w:t xml:space="preserve"> (Council of Ministers Resolution 61/2018, of 21 May), </w:t>
      </w:r>
      <w:r w:rsidR="00A244CE" w:rsidRPr="00381E8D">
        <w:rPr>
          <w:rFonts w:asciiTheme="majorHAnsi" w:hAnsiTheme="majorHAnsi" w:cstheme="majorHAnsi"/>
          <w:lang w:val="en-GB"/>
        </w:rPr>
        <w:t xml:space="preserve">in </w:t>
      </w:r>
      <w:r w:rsidRPr="00381E8D">
        <w:rPr>
          <w:rFonts w:asciiTheme="majorHAnsi" w:hAnsiTheme="majorHAnsi" w:cstheme="majorHAnsi"/>
          <w:lang w:val="en-GB"/>
        </w:rPr>
        <w:t xml:space="preserve">which </w:t>
      </w:r>
      <w:r w:rsidR="00A244CE" w:rsidRPr="00381E8D">
        <w:rPr>
          <w:rFonts w:asciiTheme="majorHAnsi" w:hAnsiTheme="majorHAnsi" w:cstheme="majorHAnsi"/>
          <w:lang w:val="en-GB"/>
        </w:rPr>
        <w:t xml:space="preserve">the </w:t>
      </w:r>
      <w:r w:rsidRPr="00381E8D">
        <w:rPr>
          <w:rFonts w:asciiTheme="majorHAnsi" w:hAnsiTheme="majorHAnsi" w:cstheme="majorHAnsi"/>
          <w:lang w:val="en-GB"/>
        </w:rPr>
        <w:t xml:space="preserve">first strategic objective is to promote knowledge on the real situation of the needs of LGBTI people and </w:t>
      </w:r>
      <w:r w:rsidR="00E51E8F" w:rsidRPr="00381E8D">
        <w:rPr>
          <w:rFonts w:asciiTheme="majorHAnsi" w:hAnsiTheme="majorHAnsi" w:cstheme="majorHAnsi"/>
          <w:lang w:val="en-GB"/>
        </w:rPr>
        <w:t xml:space="preserve">SOGIESC discrimination. As such, </w:t>
      </w:r>
      <w:r w:rsidR="00615633" w:rsidRPr="00381E8D">
        <w:rPr>
          <w:rFonts w:asciiTheme="majorHAnsi" w:hAnsiTheme="majorHAnsi" w:cstheme="majorHAnsi"/>
          <w:lang w:val="en-GB"/>
        </w:rPr>
        <w:t>the State Secretary for Citizenship and Equality, through the Commission for Citizenship and Gender Equality</w:t>
      </w:r>
      <w:r w:rsidRPr="00381E8D">
        <w:rPr>
          <w:rFonts w:asciiTheme="majorHAnsi" w:hAnsiTheme="majorHAnsi" w:cstheme="majorHAnsi"/>
          <w:lang w:val="en-GB"/>
        </w:rPr>
        <w:t xml:space="preserve"> (CIG)</w:t>
      </w:r>
      <w:r w:rsidR="00615633" w:rsidRPr="00381E8D">
        <w:rPr>
          <w:rFonts w:asciiTheme="majorHAnsi" w:hAnsiTheme="majorHAnsi" w:cstheme="majorHAnsi"/>
          <w:lang w:val="en-GB"/>
        </w:rPr>
        <w:t>, is promoting the development of</w:t>
      </w:r>
      <w:r w:rsidR="009725E3" w:rsidRPr="00381E8D">
        <w:rPr>
          <w:rFonts w:asciiTheme="majorHAnsi" w:hAnsiTheme="majorHAnsi" w:cstheme="majorHAnsi"/>
          <w:lang w:val="en-GB"/>
        </w:rPr>
        <w:t xml:space="preserve"> </w:t>
      </w:r>
      <w:r w:rsidR="0040265C" w:rsidRPr="00381E8D">
        <w:rPr>
          <w:rFonts w:asciiTheme="majorHAnsi" w:hAnsiTheme="majorHAnsi" w:cstheme="majorHAnsi"/>
          <w:lang w:val="en-GB"/>
        </w:rPr>
        <w:t xml:space="preserve">a study </w:t>
      </w:r>
      <w:r w:rsidR="00615633" w:rsidRPr="00381E8D">
        <w:rPr>
          <w:rFonts w:asciiTheme="majorHAnsi" w:hAnsiTheme="majorHAnsi" w:cstheme="majorHAnsi"/>
          <w:lang w:val="en-GB"/>
        </w:rPr>
        <w:t xml:space="preserve">aiming </w:t>
      </w:r>
      <w:r w:rsidR="009725E3" w:rsidRPr="00381E8D">
        <w:rPr>
          <w:rFonts w:asciiTheme="majorHAnsi" w:hAnsiTheme="majorHAnsi" w:cstheme="majorHAnsi"/>
          <w:lang w:val="en-GB"/>
        </w:rPr>
        <w:t>to</w:t>
      </w:r>
      <w:r w:rsidR="0040265C" w:rsidRPr="00381E8D">
        <w:rPr>
          <w:rFonts w:asciiTheme="majorHAnsi" w:hAnsiTheme="majorHAnsi" w:cstheme="majorHAnsi"/>
          <w:lang w:val="en-GB"/>
        </w:rPr>
        <w:t xml:space="preserve"> produce national data in the areas of SOGIE</w:t>
      </w:r>
      <w:r w:rsidR="009725E3" w:rsidRPr="00381E8D">
        <w:rPr>
          <w:rFonts w:asciiTheme="majorHAnsi" w:hAnsiTheme="majorHAnsi" w:cstheme="majorHAnsi"/>
          <w:lang w:val="en-GB"/>
        </w:rPr>
        <w:t>SC</w:t>
      </w:r>
      <w:r w:rsidR="0040265C" w:rsidRPr="00381E8D">
        <w:rPr>
          <w:rFonts w:asciiTheme="majorHAnsi" w:hAnsiTheme="majorHAnsi" w:cstheme="majorHAnsi"/>
          <w:lang w:val="en-GB"/>
        </w:rPr>
        <w:t xml:space="preserve">. </w:t>
      </w:r>
      <w:r w:rsidR="009725E3" w:rsidRPr="00381E8D">
        <w:rPr>
          <w:rFonts w:asciiTheme="majorHAnsi" w:hAnsiTheme="majorHAnsi" w:cstheme="majorHAnsi"/>
          <w:lang w:val="en-GB"/>
        </w:rPr>
        <w:t>This study aims to i</w:t>
      </w:r>
      <w:r w:rsidR="0040265C" w:rsidRPr="00381E8D">
        <w:rPr>
          <w:rFonts w:asciiTheme="majorHAnsi" w:hAnsiTheme="majorHAnsi" w:cstheme="majorHAnsi"/>
          <w:lang w:val="en-GB"/>
        </w:rPr>
        <w:t xml:space="preserve">dentify the main sectors and contexts in which disadvantages and discrimination against LGBTIQ people </w:t>
      </w:r>
      <w:r w:rsidR="0040265C" w:rsidRPr="00381E8D">
        <w:rPr>
          <w:rFonts w:asciiTheme="majorHAnsi" w:hAnsiTheme="majorHAnsi" w:cstheme="majorHAnsi"/>
          <w:lang w:val="en-GB"/>
        </w:rPr>
        <w:lastRenderedPageBreak/>
        <w:t>occur, including disaggregation by the most affected geographical areas</w:t>
      </w:r>
      <w:r w:rsidR="009725E3" w:rsidRPr="00381E8D">
        <w:rPr>
          <w:rFonts w:asciiTheme="majorHAnsi" w:hAnsiTheme="majorHAnsi" w:cstheme="majorHAnsi"/>
          <w:lang w:val="en-GB"/>
        </w:rPr>
        <w:t>;</w:t>
      </w:r>
      <w:r w:rsidR="0040265C" w:rsidRPr="00381E8D">
        <w:rPr>
          <w:rFonts w:asciiTheme="majorHAnsi" w:hAnsiTheme="majorHAnsi" w:cstheme="majorHAnsi"/>
          <w:lang w:val="en-GB"/>
        </w:rPr>
        <w:t xml:space="preserve"> </w:t>
      </w:r>
      <w:r w:rsidR="009725E3" w:rsidRPr="00381E8D">
        <w:rPr>
          <w:rFonts w:asciiTheme="majorHAnsi" w:hAnsiTheme="majorHAnsi" w:cstheme="majorHAnsi"/>
          <w:lang w:val="en-GB"/>
        </w:rPr>
        <w:t>i</w:t>
      </w:r>
      <w:r w:rsidR="0040265C" w:rsidRPr="00381E8D">
        <w:rPr>
          <w:rFonts w:asciiTheme="majorHAnsi" w:hAnsiTheme="majorHAnsi" w:cstheme="majorHAnsi"/>
          <w:lang w:val="en-GB"/>
        </w:rPr>
        <w:t xml:space="preserve">dentify priority needs and areas of intervention, </w:t>
      </w:r>
      <w:r w:rsidR="00635A1B" w:rsidRPr="00381E8D">
        <w:rPr>
          <w:rFonts w:asciiTheme="majorHAnsi" w:hAnsiTheme="majorHAnsi" w:cstheme="majorHAnsi"/>
          <w:lang w:val="en-GB"/>
        </w:rPr>
        <w:t>including</w:t>
      </w:r>
      <w:r w:rsidR="0040265C" w:rsidRPr="00381E8D">
        <w:rPr>
          <w:rFonts w:asciiTheme="majorHAnsi" w:hAnsiTheme="majorHAnsi" w:cstheme="majorHAnsi"/>
          <w:lang w:val="en-GB"/>
        </w:rPr>
        <w:t xml:space="preserve"> health, employment, housing, security and protection against violence, education, justice, access to goods and services</w:t>
      </w:r>
      <w:r w:rsidR="009725E3" w:rsidRPr="00381E8D">
        <w:rPr>
          <w:rFonts w:asciiTheme="majorHAnsi" w:hAnsiTheme="majorHAnsi" w:cstheme="majorHAnsi"/>
          <w:lang w:val="en-GB"/>
        </w:rPr>
        <w:t>.</w:t>
      </w:r>
      <w:r w:rsidR="00615633" w:rsidRPr="00381E8D">
        <w:rPr>
          <w:rFonts w:asciiTheme="majorHAnsi" w:hAnsiTheme="majorHAnsi" w:cstheme="majorHAnsi"/>
          <w:lang w:val="en-GB"/>
        </w:rPr>
        <w:t xml:space="preserve"> Final report is expected before the end of March 2022. </w:t>
      </w:r>
    </w:p>
    <w:p w14:paraId="5800B452" w14:textId="14A982F7" w:rsidR="009725E3" w:rsidRPr="00381E8D" w:rsidRDefault="009725E3" w:rsidP="00635A1B">
      <w:pPr>
        <w:spacing w:after="120" w:line="320" w:lineRule="atLeast"/>
        <w:jc w:val="both"/>
        <w:rPr>
          <w:rFonts w:asciiTheme="majorHAnsi" w:hAnsiTheme="majorHAnsi" w:cstheme="majorHAnsi"/>
          <w:lang w:val="en-GB"/>
        </w:rPr>
      </w:pPr>
      <w:r w:rsidRPr="00381E8D">
        <w:rPr>
          <w:rFonts w:asciiTheme="majorHAnsi" w:hAnsiTheme="majorHAnsi" w:cstheme="majorHAnsi"/>
          <w:lang w:val="en-GB"/>
        </w:rPr>
        <w:t xml:space="preserve">There is also a </w:t>
      </w:r>
      <w:r w:rsidRPr="00381E8D">
        <w:rPr>
          <w:rFonts w:asciiTheme="majorHAnsi" w:hAnsiTheme="majorHAnsi" w:cstheme="majorHAnsi"/>
          <w:b/>
          <w:bCs/>
          <w:lang w:val="en-GB"/>
        </w:rPr>
        <w:t>National Health Strategy</w:t>
      </w:r>
      <w:r w:rsidR="00A244CE" w:rsidRPr="00381E8D">
        <w:rPr>
          <w:rFonts w:asciiTheme="majorHAnsi" w:hAnsiTheme="majorHAnsi" w:cstheme="majorHAnsi"/>
          <w:lang w:val="en-GB"/>
        </w:rPr>
        <w:t>.</w:t>
      </w:r>
      <w:r w:rsidR="00635A1B" w:rsidRPr="00381E8D">
        <w:rPr>
          <w:rFonts w:asciiTheme="majorHAnsi" w:hAnsiTheme="majorHAnsi" w:cstheme="majorHAnsi"/>
          <w:lang w:val="en-GB"/>
        </w:rPr>
        <w:t xml:space="preserve"> </w:t>
      </w:r>
      <w:hyperlink r:id="rId11" w:history="1">
        <w:r w:rsidR="00635A1B" w:rsidRPr="00381E8D">
          <w:rPr>
            <w:rStyle w:val="Hiperligao"/>
            <w:rFonts w:asciiTheme="majorHAnsi" w:hAnsiTheme="majorHAnsi" w:cstheme="majorHAnsi"/>
            <w:lang w:val="en-GB"/>
          </w:rPr>
          <w:t>T</w:t>
        </w:r>
        <w:r w:rsidR="00A244CE" w:rsidRPr="00381E8D">
          <w:rPr>
            <w:rStyle w:val="Hiperligao"/>
            <w:rFonts w:asciiTheme="majorHAnsi" w:hAnsiTheme="majorHAnsi" w:cstheme="majorHAnsi"/>
            <w:lang w:val="en-GB"/>
          </w:rPr>
          <w:t xml:space="preserve">he Health Strategy for Lesbian, Gay, Bisexual, </w:t>
        </w:r>
        <w:r w:rsidR="00635A1B" w:rsidRPr="00381E8D">
          <w:rPr>
            <w:rStyle w:val="Hiperligao"/>
            <w:rFonts w:asciiTheme="majorHAnsi" w:hAnsiTheme="majorHAnsi" w:cstheme="majorHAnsi"/>
            <w:lang w:val="en-GB"/>
          </w:rPr>
          <w:t>Trans,</w:t>
        </w:r>
        <w:r w:rsidR="00A244CE" w:rsidRPr="00381E8D">
          <w:rPr>
            <w:rStyle w:val="Hiperligao"/>
            <w:rFonts w:asciiTheme="majorHAnsi" w:hAnsiTheme="majorHAnsi" w:cstheme="majorHAnsi"/>
            <w:lang w:val="en-GB"/>
          </w:rPr>
          <w:t xml:space="preserve"> and Intersex people</w:t>
        </w:r>
      </w:hyperlink>
      <w:r w:rsidR="00A244CE" w:rsidRPr="00381E8D">
        <w:rPr>
          <w:rFonts w:asciiTheme="majorHAnsi" w:hAnsiTheme="majorHAnsi" w:cstheme="majorHAnsi"/>
          <w:lang w:val="en-GB"/>
        </w:rPr>
        <w:t xml:space="preserve"> - LGBTI, Volume 1 - Health Promotion for Trans and Intersex People was published</w:t>
      </w:r>
      <w:r w:rsidR="00635A1B" w:rsidRPr="00381E8D">
        <w:rPr>
          <w:rFonts w:asciiTheme="majorHAnsi" w:hAnsiTheme="majorHAnsi" w:cstheme="majorHAnsi"/>
          <w:lang w:val="en-GB"/>
        </w:rPr>
        <w:t xml:space="preserve"> in July 2019</w:t>
      </w:r>
      <w:r w:rsidR="00A244CE" w:rsidRPr="00381E8D">
        <w:rPr>
          <w:rFonts w:asciiTheme="majorHAnsi" w:hAnsiTheme="majorHAnsi" w:cstheme="majorHAnsi"/>
          <w:lang w:val="en-GB"/>
        </w:rPr>
        <w:t>. The strategy establishes a model for intervention by defining a set of guidelines both from an organizational and clinical good practices point of view.</w:t>
      </w:r>
      <w:r w:rsidR="00635A1B" w:rsidRPr="00381E8D">
        <w:rPr>
          <w:rFonts w:asciiTheme="majorHAnsi" w:hAnsiTheme="majorHAnsi" w:cstheme="majorHAnsi"/>
          <w:lang w:val="en-GB"/>
        </w:rPr>
        <w:t xml:space="preserve"> It </w:t>
      </w:r>
      <w:r w:rsidR="002C2BF1" w:rsidRPr="00381E8D">
        <w:rPr>
          <w:rFonts w:asciiTheme="majorHAnsi" w:hAnsiTheme="majorHAnsi" w:cstheme="majorHAnsi"/>
          <w:lang w:val="en-GB"/>
        </w:rPr>
        <w:t xml:space="preserve">resulted from the </w:t>
      </w:r>
      <w:r w:rsidR="00635A1B" w:rsidRPr="00381E8D">
        <w:rPr>
          <w:rFonts w:asciiTheme="majorHAnsi" w:hAnsiTheme="majorHAnsi" w:cstheme="majorHAnsi"/>
          <w:lang w:val="en-GB"/>
        </w:rPr>
        <w:t>collaboration</w:t>
      </w:r>
      <w:r w:rsidR="002C2BF1" w:rsidRPr="00381E8D">
        <w:rPr>
          <w:rFonts w:asciiTheme="majorHAnsi" w:hAnsiTheme="majorHAnsi" w:cstheme="majorHAnsi"/>
          <w:lang w:val="en-GB"/>
        </w:rPr>
        <w:t xml:space="preserve"> between </w:t>
      </w:r>
      <w:r w:rsidR="00A244CE" w:rsidRPr="00381E8D">
        <w:rPr>
          <w:rFonts w:asciiTheme="majorHAnsi" w:hAnsiTheme="majorHAnsi" w:cstheme="majorHAnsi"/>
          <w:lang w:val="en-GB"/>
        </w:rPr>
        <w:t>the G</w:t>
      </w:r>
      <w:r w:rsidR="002C2BF1" w:rsidRPr="00381E8D">
        <w:rPr>
          <w:rFonts w:asciiTheme="majorHAnsi" w:hAnsiTheme="majorHAnsi" w:cstheme="majorHAnsi"/>
          <w:lang w:val="en-GB"/>
        </w:rPr>
        <w:t>overnment (</w:t>
      </w:r>
      <w:r w:rsidR="00635A1B" w:rsidRPr="00381E8D">
        <w:rPr>
          <w:rFonts w:asciiTheme="majorHAnsi" w:hAnsiTheme="majorHAnsi" w:cstheme="majorHAnsi"/>
          <w:lang w:val="en-GB"/>
        </w:rPr>
        <w:t>H</w:t>
      </w:r>
      <w:r w:rsidR="002C2BF1" w:rsidRPr="00381E8D">
        <w:rPr>
          <w:rFonts w:asciiTheme="majorHAnsi" w:hAnsiTheme="majorHAnsi" w:cstheme="majorHAnsi"/>
          <w:lang w:val="en-GB"/>
        </w:rPr>
        <w:t xml:space="preserve">ealth and </w:t>
      </w:r>
      <w:r w:rsidR="00635A1B" w:rsidRPr="00381E8D">
        <w:rPr>
          <w:rFonts w:asciiTheme="majorHAnsi" w:hAnsiTheme="majorHAnsi" w:cstheme="majorHAnsi"/>
          <w:lang w:val="en-GB"/>
        </w:rPr>
        <w:t>C</w:t>
      </w:r>
      <w:r w:rsidR="002C2BF1" w:rsidRPr="00381E8D">
        <w:rPr>
          <w:rFonts w:asciiTheme="majorHAnsi" w:hAnsiTheme="majorHAnsi" w:cstheme="majorHAnsi"/>
          <w:lang w:val="en-GB"/>
        </w:rPr>
        <w:t xml:space="preserve">itizenship and </w:t>
      </w:r>
      <w:r w:rsidR="00635A1B" w:rsidRPr="00381E8D">
        <w:rPr>
          <w:rFonts w:asciiTheme="majorHAnsi" w:hAnsiTheme="majorHAnsi" w:cstheme="majorHAnsi"/>
          <w:lang w:val="en-GB"/>
        </w:rPr>
        <w:t>E</w:t>
      </w:r>
      <w:r w:rsidR="002C2BF1" w:rsidRPr="00381E8D">
        <w:rPr>
          <w:rFonts w:asciiTheme="majorHAnsi" w:hAnsiTheme="majorHAnsi" w:cstheme="majorHAnsi"/>
          <w:lang w:val="en-GB"/>
        </w:rPr>
        <w:t>quality)</w:t>
      </w:r>
      <w:r w:rsidR="00635A1B" w:rsidRPr="00381E8D">
        <w:rPr>
          <w:rFonts w:asciiTheme="majorHAnsi" w:hAnsiTheme="majorHAnsi" w:cstheme="majorHAnsi"/>
          <w:lang w:val="en-GB"/>
        </w:rPr>
        <w:t xml:space="preserve"> </w:t>
      </w:r>
      <w:r w:rsidR="002C2BF1" w:rsidRPr="00381E8D">
        <w:rPr>
          <w:rFonts w:asciiTheme="majorHAnsi" w:hAnsiTheme="majorHAnsi" w:cstheme="majorHAnsi"/>
          <w:lang w:val="en-GB"/>
        </w:rPr>
        <w:t>and several LGBTI NGOs.</w:t>
      </w:r>
    </w:p>
    <w:p w14:paraId="5F3E1267" w14:textId="14FC4DA2" w:rsidR="0056703D" w:rsidRPr="00381E8D" w:rsidRDefault="65259E8C" w:rsidP="00635A1B">
      <w:pPr>
        <w:pStyle w:val="Cabealho2"/>
        <w:numPr>
          <w:ilvl w:val="1"/>
          <w:numId w:val="8"/>
        </w:numPr>
        <w:spacing w:before="0" w:line="320" w:lineRule="atLeast"/>
        <w:jc w:val="both"/>
        <w:rPr>
          <w:rFonts w:asciiTheme="majorHAnsi" w:hAnsiTheme="majorHAnsi" w:cstheme="majorHAnsi"/>
          <w:bCs/>
          <w:lang w:val="en-GB"/>
        </w:rPr>
      </w:pPr>
      <w:r w:rsidRPr="00381E8D">
        <w:rPr>
          <w:rFonts w:asciiTheme="majorHAnsi" w:hAnsiTheme="majorHAnsi" w:cstheme="majorHAnsi"/>
          <w:bCs/>
          <w:lang w:val="en-GB"/>
        </w:rPr>
        <w:t xml:space="preserve">Is this data analyzed through an intersectional lens, such as by disaggregating data by sexual orientation and/or gender identity, as well as intersecting identities </w:t>
      </w:r>
      <w:r w:rsidR="000335E7" w:rsidRPr="00381E8D">
        <w:rPr>
          <w:rFonts w:asciiTheme="majorHAnsi" w:hAnsiTheme="majorHAnsi" w:cstheme="majorHAnsi"/>
          <w:bCs/>
          <w:lang w:val="en-GB"/>
        </w:rPr>
        <w:t xml:space="preserve">including </w:t>
      </w:r>
      <w:r w:rsidR="00C71BC8" w:rsidRPr="00381E8D">
        <w:rPr>
          <w:rFonts w:asciiTheme="majorHAnsi" w:hAnsiTheme="majorHAnsi" w:cstheme="majorHAnsi"/>
          <w:bCs/>
          <w:lang w:val="en-GB"/>
        </w:rPr>
        <w:t xml:space="preserve">social or geographic origin, </w:t>
      </w:r>
      <w:r w:rsidR="00277D66" w:rsidRPr="00381E8D">
        <w:rPr>
          <w:rFonts w:asciiTheme="majorHAnsi" w:hAnsiTheme="majorHAnsi" w:cstheme="majorHAnsi"/>
          <w:bCs/>
          <w:lang w:val="en-GB"/>
        </w:rPr>
        <w:t>ethnicity,</w:t>
      </w:r>
      <w:r w:rsidR="000335E7" w:rsidRPr="00381E8D">
        <w:rPr>
          <w:rFonts w:asciiTheme="majorHAnsi" w:hAnsiTheme="majorHAnsi" w:cstheme="majorHAnsi"/>
          <w:bCs/>
          <w:lang w:val="en-GB"/>
        </w:rPr>
        <w:t xml:space="preserve"> socio-economic status, </w:t>
      </w:r>
      <w:r w:rsidRPr="00381E8D">
        <w:rPr>
          <w:rFonts w:asciiTheme="majorHAnsi" w:hAnsiTheme="majorHAnsi" w:cstheme="majorHAnsi"/>
          <w:bCs/>
          <w:lang w:val="en-GB"/>
        </w:rPr>
        <w:t>nationality</w:t>
      </w:r>
      <w:r w:rsidR="00C71BC8" w:rsidRPr="00381E8D">
        <w:rPr>
          <w:rFonts w:asciiTheme="majorHAnsi" w:hAnsiTheme="majorHAnsi" w:cstheme="majorHAnsi"/>
          <w:bCs/>
          <w:lang w:val="en-GB"/>
        </w:rPr>
        <w:t xml:space="preserve"> or migration status</w:t>
      </w:r>
      <w:r w:rsidR="68F1E988" w:rsidRPr="00381E8D">
        <w:rPr>
          <w:rFonts w:asciiTheme="majorHAnsi" w:hAnsiTheme="majorHAnsi" w:cstheme="majorHAnsi"/>
          <w:bCs/>
          <w:lang w:val="en-GB"/>
        </w:rPr>
        <w:t xml:space="preserve">, </w:t>
      </w:r>
      <w:r w:rsidR="00C71BC8" w:rsidRPr="00381E8D">
        <w:rPr>
          <w:rFonts w:asciiTheme="majorHAnsi" w:hAnsiTheme="majorHAnsi" w:cstheme="majorHAnsi"/>
          <w:bCs/>
          <w:lang w:val="en-GB"/>
        </w:rPr>
        <w:t xml:space="preserve">minority, </w:t>
      </w:r>
      <w:r w:rsidR="68F1E988" w:rsidRPr="00381E8D">
        <w:rPr>
          <w:rFonts w:asciiTheme="majorHAnsi" w:hAnsiTheme="majorHAnsi" w:cstheme="majorHAnsi"/>
          <w:bCs/>
          <w:lang w:val="en-GB"/>
        </w:rPr>
        <w:t>disability, and indigenous</w:t>
      </w:r>
      <w:r w:rsidR="00277D66" w:rsidRPr="00381E8D">
        <w:rPr>
          <w:rFonts w:asciiTheme="majorHAnsi" w:hAnsiTheme="majorHAnsi" w:cstheme="majorHAnsi"/>
          <w:bCs/>
          <w:lang w:val="en-GB"/>
        </w:rPr>
        <w:t xml:space="preserve"> </w:t>
      </w:r>
      <w:r w:rsidR="00C71BC8" w:rsidRPr="00381E8D">
        <w:rPr>
          <w:rFonts w:asciiTheme="majorHAnsi" w:hAnsiTheme="majorHAnsi" w:cstheme="majorHAnsi"/>
          <w:bCs/>
          <w:lang w:val="en-GB"/>
        </w:rPr>
        <w:t xml:space="preserve">or </w:t>
      </w:r>
      <w:r w:rsidR="68F1E988" w:rsidRPr="00381E8D">
        <w:rPr>
          <w:rFonts w:asciiTheme="majorHAnsi" w:hAnsiTheme="majorHAnsi" w:cstheme="majorHAnsi"/>
          <w:bCs/>
          <w:lang w:val="en-GB"/>
        </w:rPr>
        <w:t xml:space="preserve">other </w:t>
      </w:r>
      <w:r w:rsidR="00C71BC8" w:rsidRPr="00381E8D">
        <w:rPr>
          <w:rFonts w:asciiTheme="majorHAnsi" w:hAnsiTheme="majorHAnsi" w:cstheme="majorHAnsi"/>
          <w:bCs/>
          <w:lang w:val="en-GB"/>
        </w:rPr>
        <w:t xml:space="preserve">identity or </w:t>
      </w:r>
      <w:r w:rsidR="68F1E988" w:rsidRPr="00381E8D">
        <w:rPr>
          <w:rFonts w:asciiTheme="majorHAnsi" w:hAnsiTheme="majorHAnsi" w:cstheme="majorHAnsi"/>
          <w:bCs/>
          <w:lang w:val="en-GB"/>
        </w:rPr>
        <w:t>status</w:t>
      </w:r>
      <w:r w:rsidRPr="00381E8D">
        <w:rPr>
          <w:rFonts w:asciiTheme="majorHAnsi" w:hAnsiTheme="majorHAnsi" w:cstheme="majorHAnsi"/>
          <w:bCs/>
          <w:lang w:val="en-GB"/>
        </w:rPr>
        <w:t>?</w:t>
      </w:r>
      <w:r w:rsidR="004E5197" w:rsidRPr="00381E8D">
        <w:rPr>
          <w:rFonts w:asciiTheme="majorHAnsi" w:hAnsiTheme="majorHAnsi" w:cstheme="majorHAnsi"/>
          <w:bCs/>
          <w:lang w:val="en-GB"/>
        </w:rPr>
        <w:t xml:space="preserve"> </w:t>
      </w:r>
    </w:p>
    <w:p w14:paraId="4741504A" w14:textId="48759B78" w:rsidR="004E5197" w:rsidRPr="00381E8D" w:rsidRDefault="00012C76" w:rsidP="00635A1B">
      <w:pPr>
        <w:spacing w:after="120" w:line="320" w:lineRule="atLeast"/>
        <w:jc w:val="both"/>
        <w:rPr>
          <w:rFonts w:asciiTheme="majorHAnsi" w:hAnsiTheme="majorHAnsi" w:cstheme="majorHAnsi"/>
          <w:lang w:val="en-GB"/>
        </w:rPr>
      </w:pPr>
      <w:r w:rsidRPr="00381E8D">
        <w:rPr>
          <w:rFonts w:asciiTheme="majorHAnsi" w:hAnsiTheme="majorHAnsi" w:cstheme="majorHAnsi"/>
          <w:lang w:val="en-GB"/>
        </w:rPr>
        <w:t>The study referred to above in question 1.2 will look for</w:t>
      </w:r>
      <w:r w:rsidR="004E5197" w:rsidRPr="00381E8D">
        <w:rPr>
          <w:rFonts w:asciiTheme="majorHAnsi" w:hAnsiTheme="majorHAnsi" w:cstheme="majorHAnsi"/>
          <w:lang w:val="en-GB"/>
        </w:rPr>
        <w:t xml:space="preserve"> the identification of groups particularly vulnerable to intersectional and multiple </w:t>
      </w:r>
      <w:r w:rsidR="00D27C47">
        <w:rPr>
          <w:rFonts w:asciiTheme="majorHAnsi" w:hAnsiTheme="majorHAnsi" w:cstheme="majorHAnsi"/>
          <w:lang w:val="en-GB"/>
        </w:rPr>
        <w:t xml:space="preserve">forms of </w:t>
      </w:r>
      <w:r w:rsidR="004E5197" w:rsidRPr="00381E8D">
        <w:rPr>
          <w:rFonts w:asciiTheme="majorHAnsi" w:hAnsiTheme="majorHAnsi" w:cstheme="majorHAnsi"/>
          <w:lang w:val="en-GB"/>
        </w:rPr>
        <w:t>discrimination</w:t>
      </w:r>
      <w:r w:rsidRPr="00381E8D">
        <w:rPr>
          <w:rFonts w:asciiTheme="majorHAnsi" w:hAnsiTheme="majorHAnsi" w:cstheme="majorHAnsi"/>
          <w:lang w:val="en-GB"/>
        </w:rPr>
        <w:t>.</w:t>
      </w:r>
      <w:r w:rsidR="00BB5676" w:rsidRPr="00381E8D">
        <w:rPr>
          <w:rFonts w:asciiTheme="majorHAnsi" w:hAnsiTheme="majorHAnsi" w:cstheme="majorHAnsi"/>
          <w:lang w:val="en-GB"/>
        </w:rPr>
        <w:t xml:space="preserve"> Moreover, in 2021, CIG launched a funding line under EEAGrants to support the production of a white paper on the legal framework for protection against multiple and intersectional </w:t>
      </w:r>
      <w:r w:rsidR="00D27C47">
        <w:rPr>
          <w:rFonts w:asciiTheme="majorHAnsi" w:hAnsiTheme="majorHAnsi" w:cstheme="majorHAnsi"/>
          <w:lang w:val="en-GB"/>
        </w:rPr>
        <w:t xml:space="preserve">forms of </w:t>
      </w:r>
      <w:r w:rsidR="00BB5676" w:rsidRPr="00381E8D">
        <w:rPr>
          <w:rFonts w:asciiTheme="majorHAnsi" w:hAnsiTheme="majorHAnsi" w:cstheme="majorHAnsi"/>
          <w:lang w:val="en-GB"/>
        </w:rPr>
        <w:t>discrimination (currently under evaluation).</w:t>
      </w:r>
    </w:p>
    <w:p w14:paraId="7DBF4912" w14:textId="02595B97" w:rsidR="004B7A71" w:rsidRPr="00381E8D" w:rsidRDefault="00022A1E" w:rsidP="00635A1B">
      <w:pPr>
        <w:pStyle w:val="Cabealho2"/>
        <w:numPr>
          <w:ilvl w:val="0"/>
          <w:numId w:val="8"/>
        </w:numPr>
        <w:spacing w:before="0" w:line="320" w:lineRule="atLeast"/>
        <w:jc w:val="both"/>
        <w:rPr>
          <w:rFonts w:asciiTheme="majorHAnsi" w:hAnsiTheme="majorHAnsi" w:cstheme="majorHAnsi"/>
          <w:lang w:val="en-GB"/>
        </w:rPr>
      </w:pPr>
      <w:r w:rsidRPr="00381E8D">
        <w:rPr>
          <w:rFonts w:asciiTheme="majorHAnsi" w:hAnsiTheme="majorHAnsi" w:cstheme="majorHAnsi"/>
          <w:lang w:val="en-GB"/>
        </w:rPr>
        <w:t>Inclusion: LGT</w:t>
      </w:r>
      <w:r w:rsidR="009E1B4A" w:rsidRPr="00381E8D">
        <w:rPr>
          <w:rFonts w:asciiTheme="majorHAnsi" w:hAnsiTheme="majorHAnsi" w:cstheme="majorHAnsi"/>
          <w:lang w:val="en-GB"/>
        </w:rPr>
        <w:t>BI</w:t>
      </w:r>
      <w:r w:rsidRPr="00381E8D">
        <w:rPr>
          <w:rFonts w:asciiTheme="majorHAnsi" w:hAnsiTheme="majorHAnsi" w:cstheme="majorHAnsi"/>
          <w:lang w:val="en-GB"/>
        </w:rPr>
        <w:t xml:space="preserve"> and GNC people in the decision-making process</w:t>
      </w:r>
    </w:p>
    <w:p w14:paraId="6381AD13" w14:textId="1154031B" w:rsidR="004B7A71" w:rsidRPr="00381E8D" w:rsidRDefault="00022A1E" w:rsidP="00635A1B">
      <w:pPr>
        <w:pStyle w:val="Cabealho2"/>
        <w:numPr>
          <w:ilvl w:val="1"/>
          <w:numId w:val="8"/>
        </w:numPr>
        <w:spacing w:before="0" w:line="320" w:lineRule="atLeast"/>
        <w:jc w:val="both"/>
        <w:rPr>
          <w:rFonts w:asciiTheme="majorHAnsi" w:hAnsiTheme="majorHAnsi" w:cstheme="majorHAnsi"/>
          <w:bCs/>
          <w:lang w:val="en-GB"/>
        </w:rPr>
      </w:pPr>
      <w:r w:rsidRPr="00381E8D">
        <w:rPr>
          <w:rFonts w:asciiTheme="majorHAnsi" w:hAnsiTheme="majorHAnsi" w:cstheme="majorHAnsi"/>
          <w:bCs/>
          <w:lang w:val="en-GB"/>
        </w:rPr>
        <w:t xml:space="preserve">What measures have been put in place to consult with and include </w:t>
      </w:r>
      <w:r w:rsidR="009329C8" w:rsidRPr="00381E8D">
        <w:rPr>
          <w:rFonts w:asciiTheme="majorHAnsi" w:hAnsiTheme="majorHAnsi" w:cstheme="majorHAnsi"/>
          <w:bCs/>
          <w:lang w:val="en-GB"/>
        </w:rPr>
        <w:t>persons affected by violence and discrimination based on sexual orientation and gender identity</w:t>
      </w:r>
      <w:r w:rsidRPr="00381E8D">
        <w:rPr>
          <w:rFonts w:asciiTheme="majorHAnsi" w:hAnsiTheme="majorHAnsi" w:cstheme="majorHAnsi"/>
          <w:bCs/>
          <w:lang w:val="en-GB"/>
        </w:rPr>
        <w:t xml:space="preserve"> in law and policy making in relation to </w:t>
      </w:r>
      <w:r w:rsidR="00987915" w:rsidRPr="00381E8D">
        <w:rPr>
          <w:rFonts w:asciiTheme="majorHAnsi" w:hAnsiTheme="majorHAnsi" w:cstheme="majorHAnsi"/>
          <w:bCs/>
          <w:lang w:val="en-GB"/>
        </w:rPr>
        <w:t xml:space="preserve">the right of everyone to the enjoyment of the highest attainable standard of physical and mental health, </w:t>
      </w:r>
      <w:r w:rsidRPr="00381E8D">
        <w:rPr>
          <w:rFonts w:asciiTheme="majorHAnsi" w:hAnsiTheme="majorHAnsi" w:cstheme="majorHAnsi"/>
          <w:bCs/>
          <w:lang w:val="en-GB"/>
        </w:rPr>
        <w:t>and in relation to realising the SDGs?</w:t>
      </w:r>
    </w:p>
    <w:p w14:paraId="296EBDD7" w14:textId="017A1441" w:rsidR="0039359C" w:rsidRPr="00381E8D" w:rsidRDefault="0039359C" w:rsidP="00CD2793">
      <w:pPr>
        <w:spacing w:after="120" w:line="320" w:lineRule="atLeast"/>
        <w:jc w:val="both"/>
        <w:rPr>
          <w:rFonts w:asciiTheme="majorHAnsi" w:hAnsiTheme="majorHAnsi" w:cstheme="majorHAnsi"/>
          <w:lang w:val="en-GB"/>
        </w:rPr>
      </w:pPr>
      <w:r w:rsidRPr="00381E8D">
        <w:rPr>
          <w:rFonts w:asciiTheme="majorHAnsi" w:hAnsiTheme="majorHAnsi" w:cstheme="majorHAnsi"/>
          <w:lang w:val="en-GB"/>
        </w:rPr>
        <w:t xml:space="preserve">As </w:t>
      </w:r>
      <w:r w:rsidR="00B74C9B">
        <w:rPr>
          <w:rFonts w:asciiTheme="majorHAnsi" w:hAnsiTheme="majorHAnsi" w:cstheme="majorHAnsi"/>
          <w:lang w:val="en-GB"/>
        </w:rPr>
        <w:t>indicated above</w:t>
      </w:r>
      <w:r w:rsidRPr="00381E8D">
        <w:rPr>
          <w:rFonts w:asciiTheme="majorHAnsi" w:hAnsiTheme="majorHAnsi" w:cstheme="majorHAnsi"/>
          <w:lang w:val="en-GB"/>
        </w:rPr>
        <w:t>, t</w:t>
      </w:r>
      <w:r w:rsidR="00F14FE4" w:rsidRPr="00381E8D">
        <w:rPr>
          <w:rFonts w:asciiTheme="majorHAnsi" w:hAnsiTheme="majorHAnsi" w:cstheme="majorHAnsi"/>
          <w:lang w:val="en-GB"/>
        </w:rPr>
        <w:t>he 1</w:t>
      </w:r>
      <w:r w:rsidR="00F14FE4" w:rsidRPr="00381E8D">
        <w:rPr>
          <w:rFonts w:asciiTheme="majorHAnsi" w:hAnsiTheme="majorHAnsi" w:cstheme="majorHAnsi"/>
          <w:vertAlign w:val="superscript"/>
          <w:lang w:val="en-GB"/>
        </w:rPr>
        <w:t>st</w:t>
      </w:r>
      <w:r w:rsidR="00F14FE4" w:rsidRPr="00381E8D">
        <w:rPr>
          <w:rFonts w:asciiTheme="majorHAnsi" w:hAnsiTheme="majorHAnsi" w:cstheme="majorHAnsi"/>
          <w:lang w:val="en-GB"/>
        </w:rPr>
        <w:t xml:space="preserve"> Health Strategy for LGBTI p</w:t>
      </w:r>
      <w:r w:rsidRPr="00381E8D">
        <w:rPr>
          <w:rFonts w:asciiTheme="majorHAnsi" w:hAnsiTheme="majorHAnsi" w:cstheme="majorHAnsi"/>
          <w:lang w:val="en-GB"/>
        </w:rPr>
        <w:t>ersons</w:t>
      </w:r>
      <w:r w:rsidR="00F14FE4" w:rsidRPr="00381E8D">
        <w:rPr>
          <w:rFonts w:asciiTheme="majorHAnsi" w:hAnsiTheme="majorHAnsi" w:cstheme="majorHAnsi"/>
          <w:lang w:val="en-GB"/>
        </w:rPr>
        <w:t xml:space="preserve"> </w:t>
      </w:r>
      <w:r w:rsidR="00482ED5" w:rsidRPr="00381E8D">
        <w:rPr>
          <w:rFonts w:asciiTheme="majorHAnsi" w:hAnsiTheme="majorHAnsi" w:cstheme="majorHAnsi"/>
          <w:lang w:val="en-GB"/>
        </w:rPr>
        <w:t>results from the</w:t>
      </w:r>
      <w:r w:rsidRPr="00381E8D">
        <w:rPr>
          <w:rFonts w:asciiTheme="majorHAnsi" w:hAnsiTheme="majorHAnsi" w:cstheme="majorHAnsi"/>
          <w:lang w:val="en-GB"/>
        </w:rPr>
        <w:t xml:space="preserve"> work and</w:t>
      </w:r>
      <w:r w:rsidR="00F14FE4" w:rsidRPr="00381E8D">
        <w:rPr>
          <w:rFonts w:asciiTheme="majorHAnsi" w:hAnsiTheme="majorHAnsi" w:cstheme="majorHAnsi"/>
          <w:lang w:val="en-GB"/>
        </w:rPr>
        <w:t xml:space="preserve"> coordination between the Directorate-General for Health </w:t>
      </w:r>
      <w:r w:rsidR="00D27C47">
        <w:rPr>
          <w:rFonts w:asciiTheme="majorHAnsi" w:hAnsiTheme="majorHAnsi" w:cstheme="majorHAnsi"/>
          <w:lang w:val="en-GB"/>
        </w:rPr>
        <w:t>(</w:t>
      </w:r>
      <w:r w:rsidR="00F14FE4" w:rsidRPr="00381E8D">
        <w:rPr>
          <w:rFonts w:asciiTheme="majorHAnsi" w:hAnsiTheme="majorHAnsi" w:cstheme="majorHAnsi"/>
          <w:lang w:val="en-GB"/>
        </w:rPr>
        <w:t>DGS</w:t>
      </w:r>
      <w:r w:rsidR="00D27C47">
        <w:rPr>
          <w:rFonts w:asciiTheme="majorHAnsi" w:hAnsiTheme="majorHAnsi" w:cstheme="majorHAnsi"/>
          <w:lang w:val="en-GB"/>
        </w:rPr>
        <w:t>)</w:t>
      </w:r>
      <w:r w:rsidR="00F14FE4" w:rsidRPr="00381E8D">
        <w:rPr>
          <w:rFonts w:asciiTheme="majorHAnsi" w:hAnsiTheme="majorHAnsi" w:cstheme="majorHAnsi"/>
          <w:lang w:val="en-GB"/>
        </w:rPr>
        <w:t xml:space="preserve">, in collaboration with health units, the Secretary of State for Citizenship and Equality and </w:t>
      </w:r>
      <w:r w:rsidRPr="00381E8D">
        <w:rPr>
          <w:rFonts w:asciiTheme="majorHAnsi" w:hAnsiTheme="majorHAnsi" w:cstheme="majorHAnsi"/>
          <w:lang w:val="en-GB"/>
        </w:rPr>
        <w:t xml:space="preserve">LGBTI </w:t>
      </w:r>
      <w:r w:rsidR="00F14FE4" w:rsidRPr="00381E8D">
        <w:rPr>
          <w:rFonts w:asciiTheme="majorHAnsi" w:hAnsiTheme="majorHAnsi" w:cstheme="majorHAnsi"/>
          <w:lang w:val="en-GB"/>
        </w:rPr>
        <w:t xml:space="preserve">civil society </w:t>
      </w:r>
      <w:r w:rsidRPr="00381E8D">
        <w:rPr>
          <w:rFonts w:asciiTheme="majorHAnsi" w:hAnsiTheme="majorHAnsi" w:cstheme="majorHAnsi"/>
          <w:lang w:val="en-GB"/>
        </w:rPr>
        <w:t>organizations.</w:t>
      </w:r>
    </w:p>
    <w:p w14:paraId="701B2A49" w14:textId="51A66111" w:rsidR="00482ED5" w:rsidRPr="00381E8D" w:rsidRDefault="00482ED5" w:rsidP="00CD2793">
      <w:pPr>
        <w:spacing w:after="120" w:line="320" w:lineRule="atLeast"/>
        <w:jc w:val="both"/>
        <w:rPr>
          <w:rFonts w:asciiTheme="majorHAnsi" w:hAnsiTheme="majorHAnsi" w:cstheme="majorHAnsi"/>
          <w:lang w:val="en-GB"/>
        </w:rPr>
      </w:pPr>
      <w:r w:rsidRPr="00381E8D">
        <w:rPr>
          <w:rFonts w:asciiTheme="majorHAnsi" w:hAnsiTheme="majorHAnsi" w:cstheme="majorHAnsi"/>
          <w:lang w:val="en-GB"/>
        </w:rPr>
        <w:t>In result of this close cooperation, in 2021, the blood donation standard was updated to become non-discriminatory and the Law No. 85/2021</w:t>
      </w:r>
      <w:r w:rsidR="00CD2793" w:rsidRPr="00381E8D">
        <w:rPr>
          <w:rFonts w:asciiTheme="majorHAnsi" w:hAnsiTheme="majorHAnsi" w:cstheme="majorHAnsi"/>
          <w:lang w:val="en-GB"/>
        </w:rPr>
        <w:t>,</w:t>
      </w:r>
      <w:r w:rsidRPr="00381E8D">
        <w:rPr>
          <w:rFonts w:asciiTheme="majorHAnsi" w:hAnsiTheme="majorHAnsi" w:cstheme="majorHAnsi"/>
          <w:lang w:val="en-GB"/>
        </w:rPr>
        <w:t xml:space="preserve"> of 15 December, was approved, which prohibits discrimination on grounds of gender identity or sexual orientation in eligibility to donate blood</w:t>
      </w:r>
      <w:r w:rsidR="00D27C47">
        <w:rPr>
          <w:rFonts w:asciiTheme="majorHAnsi" w:hAnsiTheme="majorHAnsi" w:cstheme="majorHAnsi"/>
          <w:lang w:val="en-GB"/>
        </w:rPr>
        <w:t>,</w:t>
      </w:r>
      <w:r w:rsidRPr="00381E8D">
        <w:rPr>
          <w:rFonts w:asciiTheme="majorHAnsi" w:hAnsiTheme="majorHAnsi" w:cstheme="majorHAnsi"/>
          <w:lang w:val="en-GB"/>
        </w:rPr>
        <w:t xml:space="preserve"> amending Law No. 37/2012 of 27 August, which approve</w:t>
      </w:r>
      <w:r w:rsidR="00D27C47">
        <w:rPr>
          <w:rFonts w:asciiTheme="majorHAnsi" w:hAnsiTheme="majorHAnsi" w:cstheme="majorHAnsi"/>
          <w:lang w:val="en-GB"/>
        </w:rPr>
        <w:t>d</w:t>
      </w:r>
      <w:r w:rsidRPr="00381E8D">
        <w:rPr>
          <w:rFonts w:asciiTheme="majorHAnsi" w:hAnsiTheme="majorHAnsi" w:cstheme="majorHAnsi"/>
          <w:lang w:val="en-GB"/>
        </w:rPr>
        <w:t xml:space="preserve"> the Blood Donor Status. </w:t>
      </w:r>
    </w:p>
    <w:p w14:paraId="3E76044E" w14:textId="316E46A4" w:rsidR="002A012A" w:rsidRPr="00381E8D" w:rsidRDefault="002A012A" w:rsidP="00CD2793">
      <w:pPr>
        <w:spacing w:after="120" w:line="320" w:lineRule="atLeast"/>
        <w:jc w:val="both"/>
        <w:rPr>
          <w:rFonts w:asciiTheme="majorHAnsi" w:hAnsiTheme="majorHAnsi" w:cstheme="majorHAnsi"/>
          <w:lang w:val="en-GB"/>
        </w:rPr>
      </w:pPr>
      <w:r w:rsidRPr="00381E8D">
        <w:rPr>
          <w:rFonts w:asciiTheme="majorHAnsi" w:hAnsiTheme="majorHAnsi" w:cstheme="majorHAnsi"/>
          <w:lang w:val="en-GB"/>
        </w:rPr>
        <w:t xml:space="preserve">Moreover, LGBTI civil society organizations have a seat in CIG’s Consultative Council as well as in the Follow-up Technical Committee that monitors the </w:t>
      </w:r>
      <w:r w:rsidR="00800BB6" w:rsidRPr="00381E8D">
        <w:rPr>
          <w:rFonts w:asciiTheme="majorHAnsi" w:hAnsiTheme="majorHAnsi" w:cstheme="majorHAnsi"/>
          <w:lang w:val="en-GB"/>
        </w:rPr>
        <w:t>Action Plan to Combat SOGIESC Discrimination</w:t>
      </w:r>
      <w:r w:rsidRPr="00381E8D">
        <w:rPr>
          <w:rFonts w:asciiTheme="majorHAnsi" w:hAnsiTheme="majorHAnsi" w:cstheme="majorHAnsi"/>
          <w:lang w:val="en-GB"/>
        </w:rPr>
        <w:t>. Finally, this action plan is currently being revised for the period 2022-2025 through a participatory process, including NGO in CIG’s Consultative Council. CIG recently launched a public consultation on the preliminary version of the revised action plan, between 17 January and 7 February</w:t>
      </w:r>
      <w:r w:rsidR="00D27C47">
        <w:rPr>
          <w:rFonts w:asciiTheme="majorHAnsi" w:hAnsiTheme="majorHAnsi" w:cstheme="majorHAnsi"/>
          <w:lang w:val="en-GB"/>
        </w:rPr>
        <w:t xml:space="preserve"> 2022</w:t>
      </w:r>
      <w:r w:rsidRPr="00381E8D">
        <w:rPr>
          <w:rFonts w:asciiTheme="majorHAnsi" w:hAnsiTheme="majorHAnsi" w:cstheme="majorHAnsi"/>
          <w:lang w:val="en-GB"/>
        </w:rPr>
        <w:t xml:space="preserve">. </w:t>
      </w:r>
    </w:p>
    <w:p w14:paraId="523D6DD2" w14:textId="7E0CC2E2" w:rsidR="005E2F1B" w:rsidRPr="00381E8D" w:rsidRDefault="0090121C" w:rsidP="00CD2793">
      <w:pPr>
        <w:spacing w:after="120" w:line="320" w:lineRule="atLeast"/>
        <w:jc w:val="both"/>
        <w:rPr>
          <w:rFonts w:asciiTheme="majorHAnsi" w:hAnsiTheme="majorHAnsi" w:cstheme="majorHAnsi"/>
          <w:lang w:val="en-GB"/>
        </w:rPr>
      </w:pPr>
      <w:r w:rsidRPr="00381E8D">
        <w:rPr>
          <w:rFonts w:asciiTheme="majorHAnsi" w:hAnsiTheme="majorHAnsi" w:cstheme="majorHAnsi"/>
          <w:lang w:val="en-GB"/>
        </w:rPr>
        <w:t>The State Secretary for Citizenship and Equality, through CIG, regularly launches funding lines to support NGO and their action in the areas of gender equality, namely LGBTI NGO</w:t>
      </w:r>
      <w:r w:rsidR="00D27C47">
        <w:rPr>
          <w:rFonts w:asciiTheme="majorHAnsi" w:hAnsiTheme="majorHAnsi" w:cstheme="majorHAnsi"/>
          <w:lang w:val="en-GB"/>
        </w:rPr>
        <w:t>s</w:t>
      </w:r>
      <w:r w:rsidRPr="00381E8D">
        <w:rPr>
          <w:rFonts w:asciiTheme="majorHAnsi" w:hAnsiTheme="majorHAnsi" w:cstheme="majorHAnsi"/>
          <w:lang w:val="en-GB"/>
        </w:rPr>
        <w:t xml:space="preserve">, chiefly within the </w:t>
      </w:r>
      <w:r w:rsidR="00CD2793" w:rsidRPr="00381E8D">
        <w:rPr>
          <w:rFonts w:asciiTheme="majorHAnsi" w:hAnsiTheme="majorHAnsi" w:cstheme="majorHAnsi"/>
          <w:lang w:val="en-GB"/>
        </w:rPr>
        <w:t xml:space="preserve">EU </w:t>
      </w:r>
      <w:r w:rsidRPr="00381E8D">
        <w:rPr>
          <w:rFonts w:asciiTheme="majorHAnsi" w:hAnsiTheme="majorHAnsi" w:cstheme="majorHAnsi"/>
          <w:lang w:val="en-GB"/>
        </w:rPr>
        <w:t>M</w:t>
      </w:r>
      <w:r w:rsidR="00CD2793" w:rsidRPr="00381E8D">
        <w:rPr>
          <w:rFonts w:asciiTheme="majorHAnsi" w:hAnsiTheme="majorHAnsi" w:cstheme="majorHAnsi"/>
          <w:lang w:val="en-GB"/>
        </w:rPr>
        <w:t xml:space="preserve">ultiannual </w:t>
      </w:r>
      <w:r w:rsidRPr="00381E8D">
        <w:rPr>
          <w:rFonts w:asciiTheme="majorHAnsi" w:hAnsiTheme="majorHAnsi" w:cstheme="majorHAnsi"/>
          <w:lang w:val="en-GB"/>
        </w:rPr>
        <w:t>F</w:t>
      </w:r>
      <w:r w:rsidR="00CD2793" w:rsidRPr="00381E8D">
        <w:rPr>
          <w:rFonts w:asciiTheme="majorHAnsi" w:hAnsiTheme="majorHAnsi" w:cstheme="majorHAnsi"/>
          <w:lang w:val="en-GB"/>
        </w:rPr>
        <w:t xml:space="preserve">inancial </w:t>
      </w:r>
      <w:r w:rsidRPr="00381E8D">
        <w:rPr>
          <w:rFonts w:asciiTheme="majorHAnsi" w:hAnsiTheme="majorHAnsi" w:cstheme="majorHAnsi"/>
          <w:lang w:val="en-GB"/>
        </w:rPr>
        <w:t>F</w:t>
      </w:r>
      <w:r w:rsidR="00CD2793" w:rsidRPr="00381E8D">
        <w:rPr>
          <w:rFonts w:asciiTheme="majorHAnsi" w:hAnsiTheme="majorHAnsi" w:cstheme="majorHAnsi"/>
          <w:lang w:val="en-GB"/>
        </w:rPr>
        <w:t>ramework</w:t>
      </w:r>
      <w:r w:rsidRPr="00381E8D">
        <w:rPr>
          <w:rFonts w:asciiTheme="majorHAnsi" w:hAnsiTheme="majorHAnsi" w:cstheme="majorHAnsi"/>
          <w:lang w:val="en-GB"/>
        </w:rPr>
        <w:t xml:space="preserve"> 2014-2020. In addition, a funding line was created in 2018 and </w:t>
      </w:r>
      <w:r w:rsidR="00CD2793" w:rsidRPr="00381E8D">
        <w:rPr>
          <w:rFonts w:asciiTheme="majorHAnsi" w:hAnsiTheme="majorHAnsi" w:cstheme="majorHAnsi"/>
          <w:lang w:val="en-GB"/>
        </w:rPr>
        <w:t xml:space="preserve">it’s </w:t>
      </w:r>
      <w:r w:rsidRPr="00381E8D">
        <w:rPr>
          <w:rFonts w:asciiTheme="majorHAnsi" w:hAnsiTheme="majorHAnsi" w:cstheme="majorHAnsi"/>
          <w:lang w:val="en-GB"/>
        </w:rPr>
        <w:t>launched every two years, targeting specifically LGBTI NGO</w:t>
      </w:r>
      <w:r w:rsidR="00D27C47">
        <w:rPr>
          <w:rFonts w:asciiTheme="majorHAnsi" w:hAnsiTheme="majorHAnsi" w:cstheme="majorHAnsi"/>
          <w:lang w:val="en-GB"/>
        </w:rPr>
        <w:t>s</w:t>
      </w:r>
      <w:r w:rsidRPr="00381E8D">
        <w:rPr>
          <w:rFonts w:asciiTheme="majorHAnsi" w:hAnsiTheme="majorHAnsi" w:cstheme="majorHAnsi"/>
          <w:lang w:val="en-GB"/>
        </w:rPr>
        <w:t xml:space="preserve">, to support the development of projects, measures or actions that promote the rights of LGBTI </w:t>
      </w:r>
      <w:r w:rsidR="00D27C47">
        <w:rPr>
          <w:rFonts w:asciiTheme="majorHAnsi" w:hAnsiTheme="majorHAnsi" w:cstheme="majorHAnsi"/>
          <w:lang w:val="en-GB"/>
        </w:rPr>
        <w:t>persons</w:t>
      </w:r>
      <w:r w:rsidRPr="00381E8D">
        <w:rPr>
          <w:rFonts w:asciiTheme="majorHAnsi" w:hAnsiTheme="majorHAnsi" w:cstheme="majorHAnsi"/>
          <w:lang w:val="en-GB"/>
        </w:rPr>
        <w:t xml:space="preserve">. </w:t>
      </w:r>
    </w:p>
    <w:p w14:paraId="0058DA18" w14:textId="4A9D4113" w:rsidR="00CD2793" w:rsidRPr="00381E8D" w:rsidRDefault="00CD2793" w:rsidP="00CD2793">
      <w:pPr>
        <w:spacing w:after="120" w:line="320" w:lineRule="atLeast"/>
        <w:jc w:val="both"/>
        <w:rPr>
          <w:rFonts w:asciiTheme="majorHAnsi" w:hAnsiTheme="majorHAnsi" w:cstheme="majorHAnsi"/>
          <w:lang w:val="en-GB"/>
        </w:rPr>
      </w:pPr>
      <w:r w:rsidRPr="00381E8D">
        <w:rPr>
          <w:rFonts w:asciiTheme="majorHAnsi" w:hAnsiTheme="majorHAnsi" w:cstheme="majorHAnsi"/>
          <w:lang w:val="en-GB"/>
        </w:rPr>
        <w:t xml:space="preserve">In the </w:t>
      </w:r>
      <w:r w:rsidRPr="00381E8D">
        <w:rPr>
          <w:rFonts w:asciiTheme="majorHAnsi" w:hAnsiTheme="majorHAnsi" w:cstheme="majorHAnsi"/>
          <w:b/>
          <w:bCs/>
          <w:lang w:val="en-GB"/>
        </w:rPr>
        <w:t>National Health Service</w:t>
      </w:r>
      <w:r w:rsidR="00800BB6" w:rsidRPr="00381E8D">
        <w:rPr>
          <w:rFonts w:asciiTheme="majorHAnsi" w:hAnsiTheme="majorHAnsi" w:cstheme="majorHAnsi"/>
          <w:b/>
          <w:bCs/>
          <w:lang w:val="en-GB"/>
        </w:rPr>
        <w:t xml:space="preserve"> (NHS)</w:t>
      </w:r>
      <w:r w:rsidRPr="00381E8D">
        <w:rPr>
          <w:rFonts w:asciiTheme="majorHAnsi" w:hAnsiTheme="majorHAnsi" w:cstheme="majorHAnsi"/>
          <w:lang w:val="en-GB"/>
        </w:rPr>
        <w:t>, there is a health model of integrated response on child and youth abuse and interpersonal violence prevention, including violence and discrimination based on sexual orientation and gender identity. This health policy model is operationalized by the National Program for the Prevention of Violence in the Lifecycle (</w:t>
      </w:r>
      <w:hyperlink r:id="rId12" w:history="1">
        <w:r w:rsidRPr="00381E8D">
          <w:rPr>
            <w:rStyle w:val="Hiperligao"/>
            <w:rFonts w:asciiTheme="majorHAnsi" w:hAnsiTheme="majorHAnsi" w:cstheme="majorHAnsi"/>
            <w:lang w:val="en-GB"/>
          </w:rPr>
          <w:t>Order No. 9494/2019 of October 21th</w:t>
        </w:r>
      </w:hyperlink>
      <w:r w:rsidRPr="00381E8D">
        <w:rPr>
          <w:rFonts w:asciiTheme="majorHAnsi" w:hAnsiTheme="majorHAnsi" w:cstheme="majorHAnsi"/>
          <w:lang w:val="en-GB"/>
        </w:rPr>
        <w:t xml:space="preserve">) coordinated by Directorate-General of Health, which integrates different areas: Health Action for Children and Youth at Risk (HACYR - </w:t>
      </w:r>
      <w:hyperlink r:id="rId13" w:history="1">
        <w:r w:rsidRPr="00381E8D">
          <w:rPr>
            <w:rStyle w:val="Hiperligao"/>
            <w:rFonts w:asciiTheme="majorHAnsi" w:hAnsiTheme="majorHAnsi" w:cstheme="majorHAnsi"/>
            <w:lang w:val="en-GB"/>
          </w:rPr>
          <w:t>Dispatch No. 31292/2008, December 5th</w:t>
        </w:r>
      </w:hyperlink>
      <w:r w:rsidRPr="00381E8D">
        <w:rPr>
          <w:rFonts w:asciiTheme="majorHAnsi" w:hAnsiTheme="majorHAnsi" w:cstheme="majorHAnsi"/>
          <w:lang w:val="en-GB"/>
        </w:rPr>
        <w:t xml:space="preserve">), Health Action for Gender, Violence and Lifecycle directed to adults (HAGVL - </w:t>
      </w:r>
      <w:hyperlink r:id="rId14" w:history="1">
        <w:r w:rsidRPr="00381E8D">
          <w:rPr>
            <w:rStyle w:val="Hiperligao"/>
            <w:rFonts w:asciiTheme="majorHAnsi" w:hAnsiTheme="majorHAnsi" w:cstheme="majorHAnsi"/>
            <w:lang w:val="en-GB"/>
          </w:rPr>
          <w:t>Dispatch No. 6378/2013, May 16th</w:t>
        </w:r>
      </w:hyperlink>
      <w:r w:rsidRPr="00381E8D">
        <w:rPr>
          <w:rFonts w:asciiTheme="majorHAnsi" w:hAnsiTheme="majorHAnsi" w:cstheme="majorHAnsi"/>
          <w:lang w:val="en-GB"/>
        </w:rPr>
        <w:t>) and Action Plan for the Prevention of Violence in the Health Sector (</w:t>
      </w:r>
      <w:hyperlink r:id="rId15" w:history="1">
        <w:r w:rsidRPr="00381E8D">
          <w:rPr>
            <w:rStyle w:val="Hiperligao"/>
            <w:rFonts w:asciiTheme="majorHAnsi" w:hAnsiTheme="majorHAnsi" w:cstheme="majorHAnsi"/>
            <w:lang w:val="en-GB"/>
          </w:rPr>
          <w:t>Resolution of the Council of Ministers No. 1/2022 of 5 January</w:t>
        </w:r>
      </w:hyperlink>
      <w:r w:rsidRPr="00381E8D">
        <w:rPr>
          <w:rFonts w:asciiTheme="majorHAnsi" w:hAnsiTheme="majorHAnsi" w:cstheme="majorHAnsi"/>
          <w:lang w:val="en-GB"/>
        </w:rPr>
        <w:t xml:space="preserve">). Through its implementation and profiting from existing good practices, it was possible, for the first time in Portugal, to develop uniform mechanisms for intervention in health services, in search for a paradigm shift with a special focus on a holistic and preventive approach to violence, considering the life cycle and all forms of violence and discrimination prevention, </w:t>
      </w:r>
      <w:r w:rsidR="00D27C47">
        <w:rPr>
          <w:rFonts w:asciiTheme="majorHAnsi" w:hAnsiTheme="majorHAnsi" w:cstheme="majorHAnsi"/>
          <w:lang w:val="en-GB"/>
        </w:rPr>
        <w:t>e</w:t>
      </w:r>
      <w:r w:rsidRPr="00381E8D">
        <w:rPr>
          <w:rFonts w:asciiTheme="majorHAnsi" w:hAnsiTheme="majorHAnsi" w:cstheme="majorHAnsi"/>
          <w:lang w:val="en-GB"/>
        </w:rPr>
        <w:t xml:space="preserve">specially to populations with increased vulnerability. </w:t>
      </w:r>
    </w:p>
    <w:p w14:paraId="6BB37F05" w14:textId="77777777" w:rsidR="00CD2793" w:rsidRPr="00381E8D" w:rsidRDefault="00CD2793" w:rsidP="00CD2793">
      <w:pPr>
        <w:spacing w:after="120" w:line="320" w:lineRule="atLeast"/>
        <w:jc w:val="both"/>
        <w:rPr>
          <w:rFonts w:asciiTheme="majorHAnsi" w:hAnsiTheme="majorHAnsi" w:cstheme="majorHAnsi"/>
          <w:lang w:val="en-GB"/>
        </w:rPr>
      </w:pPr>
      <w:r w:rsidRPr="00381E8D">
        <w:rPr>
          <w:rFonts w:asciiTheme="majorHAnsi" w:hAnsiTheme="majorHAnsi" w:cstheme="majorHAnsi"/>
          <w:lang w:val="en-GB"/>
        </w:rPr>
        <w:t xml:space="preserve">The Program has technical consultancy and training support by professionals from different areas and sectors, including experts and Associations in the LGBTI area. </w:t>
      </w:r>
    </w:p>
    <w:p w14:paraId="01DC6D46" w14:textId="528D034F" w:rsidR="00CD2793" w:rsidRPr="00381E8D" w:rsidRDefault="00CD2793" w:rsidP="00CD2793">
      <w:pPr>
        <w:spacing w:after="120" w:line="320" w:lineRule="atLeast"/>
        <w:jc w:val="both"/>
        <w:rPr>
          <w:rFonts w:asciiTheme="majorHAnsi" w:hAnsiTheme="majorHAnsi" w:cstheme="majorHAnsi"/>
          <w:lang w:val="en-GB"/>
        </w:rPr>
      </w:pPr>
      <w:r w:rsidRPr="00381E8D">
        <w:rPr>
          <w:rFonts w:asciiTheme="majorHAnsi" w:hAnsiTheme="majorHAnsi" w:cstheme="majorHAnsi"/>
          <w:lang w:val="en-GB"/>
        </w:rPr>
        <w:t>Program contents, good practices implemented at national level for all services providing care (primary and hospital health care), which include action protocols, registration systems, technical documentation, training programs, are properly aligned with national and international normative</w:t>
      </w:r>
      <w:r w:rsidR="00D27C47">
        <w:rPr>
          <w:rFonts w:asciiTheme="majorHAnsi" w:hAnsiTheme="majorHAnsi" w:cstheme="majorHAnsi"/>
          <w:lang w:val="en-GB"/>
        </w:rPr>
        <w:t>s</w:t>
      </w:r>
      <w:r w:rsidRPr="00381E8D">
        <w:rPr>
          <w:rFonts w:asciiTheme="majorHAnsi" w:hAnsiTheme="majorHAnsi" w:cstheme="majorHAnsi"/>
          <w:lang w:val="en-GB"/>
        </w:rPr>
        <w:t xml:space="preserve">, including Sustainable Development Goals, from an inclusive and non-discriminatory approach, focusing </w:t>
      </w:r>
      <w:r w:rsidR="00D27C47">
        <w:rPr>
          <w:rFonts w:asciiTheme="majorHAnsi" w:hAnsiTheme="majorHAnsi" w:cstheme="majorHAnsi"/>
          <w:lang w:val="en-GB"/>
        </w:rPr>
        <w:t xml:space="preserve">on </w:t>
      </w:r>
      <w:r w:rsidRPr="00381E8D">
        <w:rPr>
          <w:rFonts w:asciiTheme="majorHAnsi" w:hAnsiTheme="majorHAnsi" w:cstheme="majorHAnsi"/>
          <w:lang w:val="en-GB"/>
        </w:rPr>
        <w:t>Human Rights promotion</w:t>
      </w:r>
      <w:r w:rsidR="00D27C47">
        <w:rPr>
          <w:rFonts w:asciiTheme="majorHAnsi" w:hAnsiTheme="majorHAnsi" w:cstheme="majorHAnsi"/>
          <w:lang w:val="en-GB"/>
        </w:rPr>
        <w:t xml:space="preserve"> and protection</w:t>
      </w:r>
      <w:r w:rsidRPr="00381E8D">
        <w:rPr>
          <w:rFonts w:asciiTheme="majorHAnsi" w:hAnsiTheme="majorHAnsi" w:cstheme="majorHAnsi"/>
          <w:lang w:val="en-GB"/>
        </w:rPr>
        <w:t>.</w:t>
      </w:r>
    </w:p>
    <w:p w14:paraId="50D53FDB" w14:textId="6909C579" w:rsidR="00CD2793" w:rsidRPr="00381E8D" w:rsidRDefault="00022A1E" w:rsidP="00CD2793">
      <w:pPr>
        <w:pStyle w:val="Cabealho2"/>
        <w:numPr>
          <w:ilvl w:val="1"/>
          <w:numId w:val="8"/>
        </w:numPr>
        <w:spacing w:before="0" w:line="320" w:lineRule="atLeast"/>
        <w:jc w:val="both"/>
        <w:rPr>
          <w:rFonts w:asciiTheme="majorHAnsi" w:hAnsiTheme="majorHAnsi" w:cstheme="majorHAnsi"/>
          <w:bCs/>
          <w:lang w:val="en-GB"/>
        </w:rPr>
      </w:pPr>
      <w:r w:rsidRPr="00381E8D">
        <w:rPr>
          <w:rFonts w:asciiTheme="majorHAnsi" w:hAnsiTheme="majorHAnsi" w:cstheme="majorHAnsi"/>
          <w:bCs/>
          <w:lang w:val="en-GB"/>
        </w:rPr>
        <w:t xml:space="preserve">To what extent are </w:t>
      </w:r>
      <w:r w:rsidR="009329C8" w:rsidRPr="00381E8D">
        <w:rPr>
          <w:rFonts w:asciiTheme="majorHAnsi" w:hAnsiTheme="majorHAnsi" w:cstheme="majorHAnsi"/>
          <w:bCs/>
          <w:lang w:val="en-GB"/>
        </w:rPr>
        <w:t xml:space="preserve">persons affected by violence and discrimination based on sexual orientation and gender identity </w:t>
      </w:r>
      <w:r w:rsidRPr="00381E8D">
        <w:rPr>
          <w:rFonts w:asciiTheme="majorHAnsi" w:hAnsiTheme="majorHAnsi" w:cstheme="majorHAnsi"/>
          <w:bCs/>
          <w:lang w:val="en-GB"/>
        </w:rPr>
        <w:t>included in policies and practice around sexual and reproductive health care?</w:t>
      </w:r>
    </w:p>
    <w:p w14:paraId="456B4FBC" w14:textId="157DD8F2" w:rsidR="00800BB6" w:rsidRPr="00381E8D" w:rsidRDefault="00800BB6" w:rsidP="00800BB6">
      <w:pPr>
        <w:spacing w:after="120" w:line="320" w:lineRule="atLeast"/>
        <w:jc w:val="both"/>
        <w:rPr>
          <w:rFonts w:asciiTheme="majorHAnsi" w:hAnsiTheme="majorHAnsi" w:cstheme="majorHAnsi"/>
          <w:lang w:val="en-GB"/>
        </w:rPr>
      </w:pPr>
      <w:r w:rsidRPr="00381E8D">
        <w:rPr>
          <w:rFonts w:asciiTheme="majorHAnsi" w:hAnsiTheme="majorHAnsi" w:cstheme="majorHAnsi"/>
          <w:lang w:val="en-GB"/>
        </w:rPr>
        <w:t xml:space="preserve">In the NHS, the health care needs of </w:t>
      </w:r>
      <w:r w:rsidR="00D27C47">
        <w:rPr>
          <w:rFonts w:asciiTheme="majorHAnsi" w:hAnsiTheme="majorHAnsi" w:cstheme="majorHAnsi"/>
          <w:lang w:val="en-GB"/>
        </w:rPr>
        <w:t>persons</w:t>
      </w:r>
      <w:r w:rsidRPr="00381E8D">
        <w:rPr>
          <w:rFonts w:asciiTheme="majorHAnsi" w:hAnsiTheme="majorHAnsi" w:cstheme="majorHAnsi"/>
          <w:lang w:val="en-GB"/>
        </w:rPr>
        <w:t xml:space="preserve"> affected by violence and discrimination, including based on sexual orientation and gender identity, are addressed globally and comprehensively at the national level in all Health Programs and Strategies. At regional and local levels, health practices address inclusive measures for particularly vulnerable groups.</w:t>
      </w:r>
    </w:p>
    <w:p w14:paraId="5C22FDB1" w14:textId="392ABEB7" w:rsidR="00800BB6" w:rsidRPr="00381E8D" w:rsidRDefault="00800BB6" w:rsidP="00F520E7">
      <w:pPr>
        <w:spacing w:after="120" w:line="320" w:lineRule="atLeast"/>
        <w:jc w:val="both"/>
        <w:rPr>
          <w:rFonts w:asciiTheme="majorHAnsi" w:hAnsiTheme="majorHAnsi" w:cstheme="majorHAnsi"/>
          <w:lang w:val="en-GB"/>
        </w:rPr>
      </w:pPr>
      <w:r w:rsidRPr="00381E8D">
        <w:rPr>
          <w:rFonts w:asciiTheme="majorHAnsi" w:hAnsiTheme="majorHAnsi" w:cstheme="majorHAnsi"/>
          <w:lang w:val="en-GB"/>
        </w:rPr>
        <w:t xml:space="preserve">Locally, in the NHS, multidisciplinary teams specialized in responding to the area of ​​violence in the lifecycle (in primary and hospital health care), intervene and refer the person according to the identified needs. In the case of identification of needs </w:t>
      </w:r>
      <w:r w:rsidR="00225072" w:rsidRPr="00381E8D">
        <w:rPr>
          <w:rFonts w:asciiTheme="majorHAnsi" w:hAnsiTheme="majorHAnsi" w:cstheme="majorHAnsi"/>
          <w:lang w:val="en-GB"/>
        </w:rPr>
        <w:t>in</w:t>
      </w:r>
      <w:r w:rsidRPr="00381E8D">
        <w:rPr>
          <w:rFonts w:asciiTheme="majorHAnsi" w:hAnsiTheme="majorHAnsi" w:cstheme="majorHAnsi"/>
          <w:lang w:val="en-GB"/>
        </w:rPr>
        <w:t xml:space="preserve"> ​​sexual and reproductive health, the response in the NHS is universal and free of charge (</w:t>
      </w:r>
      <w:r w:rsidR="00225072" w:rsidRPr="00381E8D">
        <w:rPr>
          <w:rFonts w:asciiTheme="majorHAnsi" w:hAnsiTheme="majorHAnsi" w:cstheme="majorHAnsi"/>
          <w:i/>
          <w:iCs/>
          <w:lang w:val="en-GB"/>
        </w:rPr>
        <w:t>a</w:t>
      </w:r>
      <w:r w:rsidRPr="00381E8D">
        <w:rPr>
          <w:rFonts w:asciiTheme="majorHAnsi" w:hAnsiTheme="majorHAnsi" w:cstheme="majorHAnsi"/>
          <w:i/>
          <w:iCs/>
          <w:lang w:val="en-GB"/>
        </w:rPr>
        <w:t>lso see answer to questions 2.1.; 5.2. - Indicator 3.8.1</w:t>
      </w:r>
      <w:r w:rsidRPr="00381E8D">
        <w:rPr>
          <w:rFonts w:asciiTheme="majorHAnsi" w:hAnsiTheme="majorHAnsi" w:cstheme="majorHAnsi"/>
          <w:lang w:val="en-GB"/>
        </w:rPr>
        <w:t>)</w:t>
      </w:r>
      <w:r w:rsidR="00225072" w:rsidRPr="00381E8D">
        <w:rPr>
          <w:rFonts w:asciiTheme="majorHAnsi" w:hAnsiTheme="majorHAnsi" w:cstheme="majorHAnsi"/>
          <w:lang w:val="en-GB"/>
        </w:rPr>
        <w:t>.</w:t>
      </w:r>
    </w:p>
    <w:p w14:paraId="65A79479" w14:textId="1FFFA2C8" w:rsidR="004B7A71" w:rsidRPr="00381E8D" w:rsidRDefault="00022A1E" w:rsidP="00635A1B">
      <w:pPr>
        <w:pStyle w:val="Cabealho2"/>
        <w:numPr>
          <w:ilvl w:val="1"/>
          <w:numId w:val="8"/>
        </w:numPr>
        <w:spacing w:before="0" w:line="320" w:lineRule="atLeast"/>
        <w:jc w:val="both"/>
        <w:rPr>
          <w:rFonts w:asciiTheme="majorHAnsi" w:hAnsiTheme="majorHAnsi" w:cstheme="majorHAnsi"/>
          <w:bCs/>
          <w:lang w:val="en-GB"/>
        </w:rPr>
      </w:pPr>
      <w:r w:rsidRPr="00381E8D">
        <w:rPr>
          <w:rFonts w:asciiTheme="majorHAnsi" w:hAnsiTheme="majorHAnsi" w:cstheme="majorHAnsi"/>
          <w:bCs/>
          <w:lang w:val="en-GB"/>
        </w:rPr>
        <w:t xml:space="preserve">What support or technical assistance is needed to ensure that the health care needs of </w:t>
      </w:r>
      <w:r w:rsidR="009329C8" w:rsidRPr="00381E8D">
        <w:rPr>
          <w:rFonts w:asciiTheme="majorHAnsi" w:hAnsiTheme="majorHAnsi" w:cstheme="majorHAnsi"/>
          <w:bCs/>
          <w:lang w:val="en-GB"/>
        </w:rPr>
        <w:t xml:space="preserve">persons affected by violence and discrimination based on sexual orientation and gender identity </w:t>
      </w:r>
      <w:r w:rsidRPr="00381E8D">
        <w:rPr>
          <w:rFonts w:asciiTheme="majorHAnsi" w:hAnsiTheme="majorHAnsi" w:cstheme="majorHAnsi"/>
          <w:bCs/>
          <w:lang w:val="en-GB"/>
        </w:rPr>
        <w:t>people are comprehensively addressed and included in relevant laws, policies, and practices?</w:t>
      </w:r>
    </w:p>
    <w:p w14:paraId="15B40F7D" w14:textId="30BBD085" w:rsidR="00F520E7" w:rsidRPr="00381E8D" w:rsidRDefault="00F520E7" w:rsidP="00F520E7">
      <w:pPr>
        <w:spacing w:after="120" w:line="320" w:lineRule="atLeast"/>
        <w:jc w:val="both"/>
        <w:rPr>
          <w:rFonts w:asciiTheme="majorHAnsi" w:hAnsiTheme="majorHAnsi" w:cstheme="majorHAnsi"/>
          <w:lang w:val="en-GB"/>
        </w:rPr>
      </w:pPr>
      <w:r w:rsidRPr="00381E8D">
        <w:rPr>
          <w:rFonts w:asciiTheme="majorHAnsi" w:hAnsiTheme="majorHAnsi" w:cstheme="majorHAnsi"/>
          <w:lang w:val="en-GB"/>
        </w:rPr>
        <w:t>As said before, in the NHS, the health care needs of people affected by violence and discrimination, including based on sexual orientation and gender identity, are addressed globally and comprehensively at the national level in all Health Programs and Strategies. At regional and local levels, health practices address inclusive measures for particularly vulnerable groups.</w:t>
      </w:r>
    </w:p>
    <w:p w14:paraId="42932DEC" w14:textId="27C8DF44" w:rsidR="00F520E7" w:rsidRPr="00381E8D" w:rsidRDefault="00F520E7" w:rsidP="00F520E7">
      <w:pPr>
        <w:spacing w:after="120" w:line="320" w:lineRule="atLeast"/>
        <w:jc w:val="both"/>
        <w:rPr>
          <w:rFonts w:asciiTheme="majorHAnsi" w:hAnsiTheme="majorHAnsi" w:cstheme="majorHAnsi"/>
          <w:lang w:val="en-GB"/>
        </w:rPr>
      </w:pPr>
      <w:r w:rsidRPr="00381E8D">
        <w:rPr>
          <w:rFonts w:asciiTheme="majorHAnsi" w:hAnsiTheme="majorHAnsi" w:cstheme="majorHAnsi"/>
          <w:lang w:val="en-GB"/>
        </w:rPr>
        <w:t xml:space="preserve">Literacy and training activities, with special </w:t>
      </w:r>
      <w:r w:rsidR="00D27C47">
        <w:rPr>
          <w:rFonts w:asciiTheme="majorHAnsi" w:hAnsiTheme="majorHAnsi" w:cstheme="majorHAnsi"/>
          <w:lang w:val="en-GB"/>
        </w:rPr>
        <w:t>attention</w:t>
      </w:r>
      <w:r w:rsidRPr="00381E8D">
        <w:rPr>
          <w:rFonts w:asciiTheme="majorHAnsi" w:hAnsiTheme="majorHAnsi" w:cstheme="majorHAnsi"/>
          <w:lang w:val="en-GB"/>
        </w:rPr>
        <w:t xml:space="preserve"> to gender inequalities and LGBTI discrimination and a comprehensive approach, including graphic and content aspects in the information produced, have been developed by Programs and the various Regional Health Administrations and Health Services both in ​​access and quality of health care and in the prevention of discrimination in health professionals’ practices. Locally, these activities are also promoted by the Support Centers for Children and Youth at Risk and Teams for the Prevention of Violence in Adults of the National Program for the Prevention of Violence in the Lifecycle. These multidisciplinary teams existing in primary and hospital health care intervene in the field of human rights promotion, violence, and non-discrimination prevention, not only in health services but also in the communities collaborating with other community projects and resources.</w:t>
      </w:r>
    </w:p>
    <w:p w14:paraId="7D82ED6A" w14:textId="20CDF5F8" w:rsidR="00F520E7" w:rsidRPr="00381E8D" w:rsidRDefault="00F520E7" w:rsidP="00F520E7">
      <w:pPr>
        <w:spacing w:after="120" w:line="320" w:lineRule="atLeast"/>
        <w:jc w:val="both"/>
        <w:rPr>
          <w:rFonts w:asciiTheme="majorHAnsi" w:hAnsiTheme="majorHAnsi" w:cstheme="majorHAnsi"/>
          <w:i/>
          <w:iCs/>
          <w:lang w:val="en-GB"/>
        </w:rPr>
      </w:pPr>
      <w:r w:rsidRPr="00381E8D">
        <w:rPr>
          <w:rFonts w:asciiTheme="majorHAnsi" w:hAnsiTheme="majorHAnsi" w:cstheme="majorHAnsi"/>
          <w:i/>
          <w:iCs/>
          <w:lang w:val="en-GB"/>
        </w:rPr>
        <w:t>Also see answer 2.1.</w:t>
      </w:r>
    </w:p>
    <w:p w14:paraId="4491EABF" w14:textId="3C5430F1" w:rsidR="00CD2793" w:rsidRPr="00381E8D" w:rsidRDefault="24626FB8" w:rsidP="00CD2793">
      <w:pPr>
        <w:pStyle w:val="Cabealho2"/>
        <w:numPr>
          <w:ilvl w:val="1"/>
          <w:numId w:val="8"/>
        </w:numPr>
        <w:spacing w:before="0" w:line="320" w:lineRule="atLeast"/>
        <w:jc w:val="both"/>
        <w:rPr>
          <w:rFonts w:asciiTheme="majorHAnsi" w:hAnsiTheme="majorHAnsi" w:cstheme="majorHAnsi"/>
          <w:bCs/>
          <w:lang w:val="en-GB"/>
        </w:rPr>
      </w:pPr>
      <w:r w:rsidRPr="00381E8D">
        <w:rPr>
          <w:rFonts w:asciiTheme="majorHAnsi" w:hAnsiTheme="majorHAnsi" w:cstheme="majorHAnsi"/>
          <w:bCs/>
          <w:lang w:val="en-GB"/>
        </w:rPr>
        <w:t xml:space="preserve">What are the main barriers, in law or practice, for </w:t>
      </w:r>
      <w:r w:rsidR="009329C8" w:rsidRPr="00381E8D">
        <w:rPr>
          <w:rFonts w:asciiTheme="majorHAnsi" w:hAnsiTheme="majorHAnsi" w:cstheme="majorHAnsi"/>
          <w:bCs/>
          <w:lang w:val="en-GB"/>
        </w:rPr>
        <w:t xml:space="preserve">persons affected by violence and discrimination based on sexual orientation and gender identity </w:t>
      </w:r>
      <w:r w:rsidRPr="00381E8D">
        <w:rPr>
          <w:rFonts w:asciiTheme="majorHAnsi" w:hAnsiTheme="majorHAnsi" w:cstheme="majorHAnsi"/>
          <w:bCs/>
          <w:lang w:val="en-GB"/>
        </w:rPr>
        <w:t>to receive care that meets their physical and mental health needs</w:t>
      </w:r>
      <w:r w:rsidR="4079AA8E" w:rsidRPr="00381E8D">
        <w:rPr>
          <w:rFonts w:asciiTheme="majorHAnsi" w:hAnsiTheme="majorHAnsi" w:cstheme="majorHAnsi"/>
          <w:bCs/>
          <w:lang w:val="en-GB"/>
        </w:rPr>
        <w:t xml:space="preserve"> and rights</w:t>
      </w:r>
      <w:r w:rsidRPr="00381E8D">
        <w:rPr>
          <w:rFonts w:asciiTheme="majorHAnsi" w:hAnsiTheme="majorHAnsi" w:cstheme="majorHAnsi"/>
          <w:bCs/>
          <w:lang w:val="en-GB"/>
        </w:rPr>
        <w:t>?</w:t>
      </w:r>
    </w:p>
    <w:p w14:paraId="1937998A" w14:textId="2849070B" w:rsidR="00F520E7" w:rsidRPr="00381E8D" w:rsidRDefault="00F520E7" w:rsidP="00F520E7">
      <w:pPr>
        <w:spacing w:after="120" w:line="320" w:lineRule="atLeast"/>
        <w:jc w:val="both"/>
        <w:rPr>
          <w:rFonts w:asciiTheme="majorHAnsi" w:hAnsiTheme="majorHAnsi" w:cstheme="majorHAnsi"/>
          <w:lang w:val="en-GB"/>
        </w:rPr>
      </w:pPr>
      <w:r w:rsidRPr="00381E8D">
        <w:rPr>
          <w:rFonts w:asciiTheme="majorHAnsi" w:hAnsiTheme="majorHAnsi" w:cstheme="majorHAnsi"/>
          <w:lang w:val="en-GB"/>
        </w:rPr>
        <w:t xml:space="preserve">Even though the NHS has come a long way in specific legislation and normative documents promoting inclusion and non-discrimination health practices, cultural barriers and stereotypes need to be </w:t>
      </w:r>
      <w:r w:rsidR="00B74C9B">
        <w:rPr>
          <w:rFonts w:asciiTheme="majorHAnsi" w:hAnsiTheme="majorHAnsi" w:cstheme="majorHAnsi"/>
          <w:lang w:val="en-GB"/>
        </w:rPr>
        <w:t>continuously</w:t>
      </w:r>
      <w:bookmarkStart w:id="0" w:name="_GoBack"/>
      <w:bookmarkEnd w:id="0"/>
      <w:r w:rsidRPr="00381E8D">
        <w:rPr>
          <w:rFonts w:asciiTheme="majorHAnsi" w:hAnsiTheme="majorHAnsi" w:cstheme="majorHAnsi"/>
          <w:lang w:val="en-GB"/>
        </w:rPr>
        <w:t xml:space="preserve"> addressed.</w:t>
      </w:r>
    </w:p>
    <w:p w14:paraId="78425E6D" w14:textId="77777777" w:rsidR="004B7A71" w:rsidRPr="00381E8D" w:rsidRDefault="00022A1E" w:rsidP="00635A1B">
      <w:pPr>
        <w:pStyle w:val="Cabealho2"/>
        <w:numPr>
          <w:ilvl w:val="0"/>
          <w:numId w:val="8"/>
        </w:numPr>
        <w:spacing w:before="0" w:line="320" w:lineRule="atLeast"/>
        <w:jc w:val="both"/>
        <w:rPr>
          <w:rFonts w:asciiTheme="majorHAnsi" w:hAnsiTheme="majorHAnsi" w:cstheme="majorHAnsi"/>
          <w:lang w:val="en-GB"/>
        </w:rPr>
      </w:pPr>
      <w:r w:rsidRPr="00381E8D">
        <w:rPr>
          <w:rFonts w:asciiTheme="majorHAnsi" w:hAnsiTheme="majorHAnsi" w:cstheme="majorHAnsi"/>
          <w:lang w:val="en-GB"/>
        </w:rPr>
        <w:t>Acc</w:t>
      </w:r>
      <w:r w:rsidR="004B7A71" w:rsidRPr="00381E8D">
        <w:rPr>
          <w:rFonts w:asciiTheme="majorHAnsi" w:hAnsiTheme="majorHAnsi" w:cstheme="majorHAnsi"/>
          <w:lang w:val="en-GB"/>
        </w:rPr>
        <w:t>e</w:t>
      </w:r>
      <w:r w:rsidRPr="00381E8D">
        <w:rPr>
          <w:rFonts w:asciiTheme="majorHAnsi" w:hAnsiTheme="majorHAnsi" w:cstheme="majorHAnsi"/>
          <w:lang w:val="en-GB"/>
        </w:rPr>
        <w:t>ss: ensuring that LGT</w:t>
      </w:r>
      <w:r w:rsidR="009E1B4A" w:rsidRPr="00381E8D">
        <w:rPr>
          <w:rFonts w:asciiTheme="majorHAnsi" w:hAnsiTheme="majorHAnsi" w:cstheme="majorHAnsi"/>
          <w:lang w:val="en-GB"/>
        </w:rPr>
        <w:t>BI</w:t>
      </w:r>
      <w:r w:rsidRPr="00381E8D">
        <w:rPr>
          <w:rFonts w:asciiTheme="majorHAnsi" w:hAnsiTheme="majorHAnsi" w:cstheme="majorHAnsi"/>
          <w:lang w:val="en-GB"/>
        </w:rPr>
        <w:t xml:space="preserve"> and GNC people have access to health care</w:t>
      </w:r>
    </w:p>
    <w:p w14:paraId="0CE9ACC5" w14:textId="096189F8" w:rsidR="004B7A71" w:rsidRPr="00381E8D" w:rsidRDefault="004B7A71" w:rsidP="00635A1B">
      <w:pPr>
        <w:pStyle w:val="Cabealho2"/>
        <w:numPr>
          <w:ilvl w:val="1"/>
          <w:numId w:val="8"/>
        </w:numPr>
        <w:spacing w:before="0" w:line="320" w:lineRule="atLeast"/>
        <w:jc w:val="both"/>
        <w:rPr>
          <w:rFonts w:asciiTheme="majorHAnsi" w:hAnsiTheme="majorHAnsi" w:cstheme="majorHAnsi"/>
          <w:bCs/>
          <w:lang w:val="en-GB"/>
        </w:rPr>
      </w:pPr>
      <w:r w:rsidRPr="00381E8D">
        <w:rPr>
          <w:rFonts w:asciiTheme="majorHAnsi" w:hAnsiTheme="majorHAnsi" w:cstheme="majorHAnsi"/>
          <w:bCs/>
          <w:lang w:val="en-GB"/>
        </w:rPr>
        <w:t>W</w:t>
      </w:r>
      <w:r w:rsidR="00022A1E" w:rsidRPr="00381E8D">
        <w:rPr>
          <w:rFonts w:asciiTheme="majorHAnsi" w:hAnsiTheme="majorHAnsi" w:cstheme="majorHAnsi"/>
          <w:bCs/>
          <w:lang w:val="en-GB"/>
        </w:rPr>
        <w:t xml:space="preserve">hat measures have been taken to ensure access to affordable non-discriminatory health care services for </w:t>
      </w:r>
      <w:r w:rsidR="009329C8" w:rsidRPr="00381E8D">
        <w:rPr>
          <w:rFonts w:asciiTheme="majorHAnsi" w:hAnsiTheme="majorHAnsi" w:cstheme="majorHAnsi"/>
          <w:bCs/>
          <w:lang w:val="en-GB"/>
        </w:rPr>
        <w:t>persons affected by violence and discrimination based on sexual orientation and gender identity</w:t>
      </w:r>
      <w:r w:rsidR="00022A1E" w:rsidRPr="00381E8D">
        <w:rPr>
          <w:rFonts w:asciiTheme="majorHAnsi" w:hAnsiTheme="majorHAnsi" w:cstheme="majorHAnsi"/>
          <w:bCs/>
          <w:lang w:val="en-GB"/>
        </w:rPr>
        <w:t>?</w:t>
      </w:r>
    </w:p>
    <w:p w14:paraId="72B1D06E" w14:textId="1D76238A" w:rsidR="0019129C" w:rsidRPr="00381E8D" w:rsidRDefault="0019129C" w:rsidP="0019129C">
      <w:pPr>
        <w:spacing w:after="120" w:line="320" w:lineRule="atLeast"/>
        <w:jc w:val="both"/>
        <w:rPr>
          <w:rFonts w:asciiTheme="majorHAnsi" w:hAnsiTheme="majorHAnsi" w:cstheme="majorHAnsi"/>
          <w:lang w:val="en-GB"/>
        </w:rPr>
      </w:pPr>
      <w:r w:rsidRPr="00381E8D">
        <w:rPr>
          <w:rFonts w:asciiTheme="majorHAnsi" w:hAnsiTheme="majorHAnsi" w:cstheme="majorHAnsi"/>
          <w:lang w:val="en-GB"/>
        </w:rPr>
        <w:t xml:space="preserve">The Constitution of the Portuguese Republic establishes that the right to health is achieved through a national universal and </w:t>
      </w:r>
      <w:r w:rsidR="00D27C47">
        <w:rPr>
          <w:rFonts w:asciiTheme="majorHAnsi" w:hAnsiTheme="majorHAnsi" w:cstheme="majorHAnsi"/>
          <w:lang w:val="en-GB"/>
        </w:rPr>
        <w:t>tendentially free</w:t>
      </w:r>
      <w:r w:rsidRPr="00381E8D">
        <w:rPr>
          <w:rFonts w:asciiTheme="majorHAnsi" w:hAnsiTheme="majorHAnsi" w:cstheme="majorHAnsi"/>
          <w:lang w:val="en-GB"/>
        </w:rPr>
        <w:t xml:space="preserve"> health service - National Health Service (NHS). The Basic Health Law establishes the universality of coverage of health care services as one of the basic characteristics of the Portuguese NHS, determining that public health services </w:t>
      </w:r>
      <w:r w:rsidR="00D27C47">
        <w:rPr>
          <w:rFonts w:asciiTheme="majorHAnsi" w:hAnsiTheme="majorHAnsi" w:cstheme="majorHAnsi"/>
          <w:lang w:val="en-GB"/>
        </w:rPr>
        <w:t>are available</w:t>
      </w:r>
      <w:r w:rsidRPr="00381E8D">
        <w:rPr>
          <w:rFonts w:asciiTheme="majorHAnsi" w:hAnsiTheme="majorHAnsi" w:cstheme="majorHAnsi"/>
          <w:lang w:val="en-GB"/>
        </w:rPr>
        <w:t xml:space="preserve"> to the entire population. It also establishes equity as a general principle of the health system, understood as the guarantee that access to health care provision takes place under conditions of effective equality. This implies a comprehensive </w:t>
      </w:r>
      <w:r w:rsidR="00D27C47">
        <w:rPr>
          <w:rFonts w:asciiTheme="majorHAnsi" w:hAnsiTheme="majorHAnsi" w:cstheme="majorHAnsi"/>
          <w:lang w:val="en-GB"/>
        </w:rPr>
        <w:t>concept</w:t>
      </w:r>
      <w:r w:rsidRPr="00381E8D">
        <w:rPr>
          <w:rFonts w:asciiTheme="majorHAnsi" w:hAnsiTheme="majorHAnsi" w:cstheme="majorHAnsi"/>
          <w:lang w:val="en-GB"/>
        </w:rPr>
        <w:t xml:space="preserve"> of health and imposes the challenge, for health care services, to incorporate the operationalization of strategies that can contribute to the reduction of health inequalities, improvement of equity in access to health care, namely considering the needs of particularly vulnerable groups and gender perspective, including persons affected by violence and discrimination based on sexual orientation and gender identity.</w:t>
      </w:r>
    </w:p>
    <w:p w14:paraId="50616D3A" w14:textId="60A7B153" w:rsidR="00482ED5" w:rsidRPr="00381E8D" w:rsidRDefault="0019129C" w:rsidP="0019129C">
      <w:pPr>
        <w:spacing w:after="120" w:line="320" w:lineRule="atLeast"/>
        <w:jc w:val="both"/>
        <w:rPr>
          <w:rFonts w:asciiTheme="majorHAnsi" w:hAnsiTheme="majorHAnsi" w:cstheme="majorHAnsi"/>
          <w:lang w:val="en-GB"/>
        </w:rPr>
      </w:pPr>
      <w:r w:rsidRPr="00381E8D">
        <w:rPr>
          <w:rFonts w:asciiTheme="majorHAnsi" w:hAnsiTheme="majorHAnsi" w:cstheme="majorHAnsi"/>
          <w:lang w:val="en-GB"/>
        </w:rPr>
        <w:t>That being said, and d</w:t>
      </w:r>
      <w:r w:rsidR="00B55470" w:rsidRPr="00381E8D">
        <w:rPr>
          <w:rFonts w:asciiTheme="majorHAnsi" w:hAnsiTheme="majorHAnsi" w:cstheme="majorHAnsi"/>
          <w:lang w:val="en-GB"/>
        </w:rPr>
        <w:t xml:space="preserve">espite of the </w:t>
      </w:r>
      <w:r w:rsidRPr="00381E8D">
        <w:rPr>
          <w:rFonts w:asciiTheme="majorHAnsi" w:hAnsiTheme="majorHAnsi" w:cstheme="majorHAnsi"/>
          <w:lang w:val="en-GB"/>
        </w:rPr>
        <w:t xml:space="preserve">COVID-19 </w:t>
      </w:r>
      <w:r w:rsidR="00B55470" w:rsidRPr="00381E8D">
        <w:rPr>
          <w:rFonts w:asciiTheme="majorHAnsi" w:hAnsiTheme="majorHAnsi" w:cstheme="majorHAnsi"/>
          <w:lang w:val="en-GB"/>
        </w:rPr>
        <w:t>pandemic</w:t>
      </w:r>
      <w:r w:rsidR="00BB2493" w:rsidRPr="00381E8D">
        <w:rPr>
          <w:rFonts w:asciiTheme="majorHAnsi" w:hAnsiTheme="majorHAnsi" w:cstheme="majorHAnsi"/>
          <w:lang w:val="en-GB"/>
        </w:rPr>
        <w:t xml:space="preserve">, </w:t>
      </w:r>
      <w:r w:rsidR="00B55470" w:rsidRPr="00381E8D">
        <w:rPr>
          <w:rFonts w:asciiTheme="majorHAnsi" w:hAnsiTheme="majorHAnsi" w:cstheme="majorHAnsi"/>
          <w:lang w:val="en-GB"/>
        </w:rPr>
        <w:t xml:space="preserve">a new health response was created </w:t>
      </w:r>
      <w:r w:rsidR="00BB2493" w:rsidRPr="00381E8D">
        <w:rPr>
          <w:rFonts w:asciiTheme="majorHAnsi" w:hAnsiTheme="majorHAnsi" w:cstheme="majorHAnsi"/>
          <w:lang w:val="en-GB"/>
        </w:rPr>
        <w:t xml:space="preserve">in 2021 </w:t>
      </w:r>
      <w:r w:rsidR="00B55470" w:rsidRPr="00381E8D">
        <w:rPr>
          <w:rFonts w:asciiTheme="majorHAnsi" w:hAnsiTheme="majorHAnsi" w:cstheme="majorHAnsi"/>
          <w:lang w:val="en-GB"/>
        </w:rPr>
        <w:t>for trans pe</w:t>
      </w:r>
      <w:r w:rsidR="00482ED5" w:rsidRPr="00381E8D">
        <w:rPr>
          <w:rFonts w:asciiTheme="majorHAnsi" w:hAnsiTheme="majorHAnsi" w:cstheme="majorHAnsi"/>
          <w:lang w:val="en-GB"/>
        </w:rPr>
        <w:t>rsons</w:t>
      </w:r>
      <w:r w:rsidR="00B55470" w:rsidRPr="00381E8D">
        <w:rPr>
          <w:rFonts w:asciiTheme="majorHAnsi" w:hAnsiTheme="majorHAnsi" w:cstheme="majorHAnsi"/>
          <w:lang w:val="en-GB"/>
        </w:rPr>
        <w:t>, the 1</w:t>
      </w:r>
      <w:r w:rsidR="00B55470" w:rsidRPr="00381E8D">
        <w:rPr>
          <w:rFonts w:asciiTheme="majorHAnsi" w:hAnsiTheme="majorHAnsi" w:cstheme="majorHAnsi"/>
          <w:vertAlign w:val="superscript"/>
          <w:lang w:val="en-GB"/>
        </w:rPr>
        <w:t>st</w:t>
      </w:r>
      <w:r w:rsidR="00B55470" w:rsidRPr="00381E8D">
        <w:rPr>
          <w:rFonts w:asciiTheme="majorHAnsi" w:hAnsiTheme="majorHAnsi" w:cstheme="majorHAnsi"/>
          <w:lang w:val="en-GB"/>
        </w:rPr>
        <w:t xml:space="preserve"> ever in the </w:t>
      </w:r>
      <w:r w:rsidR="00D27C47">
        <w:rPr>
          <w:rFonts w:asciiTheme="majorHAnsi" w:hAnsiTheme="majorHAnsi" w:cstheme="majorHAnsi"/>
          <w:lang w:val="en-GB"/>
        </w:rPr>
        <w:t>N</w:t>
      </w:r>
      <w:r w:rsidR="00B55470" w:rsidRPr="00381E8D">
        <w:rPr>
          <w:rFonts w:asciiTheme="majorHAnsi" w:hAnsiTheme="majorHAnsi" w:cstheme="majorHAnsi"/>
          <w:lang w:val="en-GB"/>
        </w:rPr>
        <w:t>orth of the country</w:t>
      </w:r>
      <w:r w:rsidR="00BB2493" w:rsidRPr="00381E8D">
        <w:rPr>
          <w:rFonts w:asciiTheme="majorHAnsi" w:hAnsiTheme="majorHAnsi" w:cstheme="majorHAnsi"/>
          <w:lang w:val="en-GB"/>
        </w:rPr>
        <w:t xml:space="preserve"> which </w:t>
      </w:r>
      <w:r w:rsidR="00B55470" w:rsidRPr="00381E8D">
        <w:rPr>
          <w:rFonts w:asciiTheme="majorHAnsi" w:hAnsiTheme="majorHAnsi" w:cstheme="majorHAnsi"/>
          <w:lang w:val="en-GB"/>
        </w:rPr>
        <w:t>combine</w:t>
      </w:r>
      <w:r w:rsidR="00482ED5" w:rsidRPr="00381E8D">
        <w:rPr>
          <w:rFonts w:asciiTheme="majorHAnsi" w:hAnsiTheme="majorHAnsi" w:cstheme="majorHAnsi"/>
          <w:lang w:val="en-GB"/>
        </w:rPr>
        <w:t>s</w:t>
      </w:r>
      <w:r w:rsidR="00B55470" w:rsidRPr="00381E8D">
        <w:rPr>
          <w:rFonts w:asciiTheme="majorHAnsi" w:hAnsiTheme="majorHAnsi" w:cstheme="majorHAnsi"/>
          <w:lang w:val="en-GB"/>
        </w:rPr>
        <w:t xml:space="preserve"> 10 medical specialties.</w:t>
      </w:r>
    </w:p>
    <w:p w14:paraId="72ED8540" w14:textId="537E66BD" w:rsidR="00F975CC" w:rsidRPr="00381E8D" w:rsidRDefault="00F975CC" w:rsidP="0019129C">
      <w:pPr>
        <w:spacing w:after="120" w:line="320" w:lineRule="atLeast"/>
        <w:jc w:val="both"/>
        <w:rPr>
          <w:rFonts w:asciiTheme="majorHAnsi" w:hAnsiTheme="majorHAnsi" w:cstheme="majorHAnsi"/>
          <w:lang w:val="en-GB"/>
        </w:rPr>
      </w:pPr>
      <w:r w:rsidRPr="00381E8D">
        <w:rPr>
          <w:rFonts w:asciiTheme="majorHAnsi" w:hAnsiTheme="majorHAnsi" w:cstheme="majorHAnsi"/>
          <w:lang w:val="en-GB"/>
        </w:rPr>
        <w:t xml:space="preserve">Also, in response to the pandemic, several actions were developed, namely: </w:t>
      </w:r>
    </w:p>
    <w:p w14:paraId="011C516E" w14:textId="1C4AB544" w:rsidR="0019129C" w:rsidRPr="00381E8D" w:rsidRDefault="00F975CC" w:rsidP="0019129C">
      <w:pPr>
        <w:pStyle w:val="PargrafodaLista"/>
        <w:numPr>
          <w:ilvl w:val="0"/>
          <w:numId w:val="16"/>
        </w:numPr>
        <w:spacing w:after="120" w:line="320" w:lineRule="atLeast"/>
        <w:jc w:val="both"/>
        <w:rPr>
          <w:rFonts w:asciiTheme="majorHAnsi" w:hAnsiTheme="majorHAnsi" w:cstheme="majorHAnsi"/>
          <w:lang w:val="en-GB"/>
        </w:rPr>
      </w:pPr>
      <w:r w:rsidRPr="00381E8D">
        <w:rPr>
          <w:rFonts w:asciiTheme="majorHAnsi" w:hAnsiTheme="majorHAnsi" w:cstheme="majorHAnsi"/>
          <w:lang w:val="en-GB"/>
        </w:rPr>
        <w:t xml:space="preserve">Issuance, by DGS, of specific guidelines to the Regional Health Administrations to guarantee the access of </w:t>
      </w:r>
      <w:r w:rsidR="0019129C" w:rsidRPr="00381E8D">
        <w:rPr>
          <w:rFonts w:asciiTheme="majorHAnsi" w:hAnsiTheme="majorHAnsi" w:cstheme="majorHAnsi"/>
          <w:lang w:val="en-GB"/>
        </w:rPr>
        <w:t>t</w:t>
      </w:r>
      <w:r w:rsidRPr="00381E8D">
        <w:rPr>
          <w:rFonts w:asciiTheme="majorHAnsi" w:hAnsiTheme="majorHAnsi" w:cstheme="majorHAnsi"/>
          <w:lang w:val="en-GB"/>
        </w:rPr>
        <w:t xml:space="preserve">rans </w:t>
      </w:r>
      <w:r w:rsidR="0019129C" w:rsidRPr="00381E8D">
        <w:rPr>
          <w:rFonts w:asciiTheme="majorHAnsi" w:hAnsiTheme="majorHAnsi" w:cstheme="majorHAnsi"/>
          <w:lang w:val="en-GB"/>
        </w:rPr>
        <w:t>persons</w:t>
      </w:r>
      <w:r w:rsidRPr="00381E8D">
        <w:rPr>
          <w:rFonts w:asciiTheme="majorHAnsi" w:hAnsiTheme="majorHAnsi" w:cstheme="majorHAnsi"/>
          <w:lang w:val="en-GB"/>
        </w:rPr>
        <w:t xml:space="preserve"> to clinical follow-up and drugs associated with specific hormonal </w:t>
      </w:r>
      <w:r w:rsidR="0019129C" w:rsidRPr="00381E8D">
        <w:rPr>
          <w:rFonts w:asciiTheme="majorHAnsi" w:hAnsiTheme="majorHAnsi" w:cstheme="majorHAnsi"/>
          <w:lang w:val="en-GB"/>
        </w:rPr>
        <w:t>therapy.</w:t>
      </w:r>
    </w:p>
    <w:p w14:paraId="34DCE435" w14:textId="7E8AA27F" w:rsidR="0019129C" w:rsidRPr="00381E8D" w:rsidRDefault="00F975CC" w:rsidP="0019129C">
      <w:pPr>
        <w:pStyle w:val="PargrafodaLista"/>
        <w:numPr>
          <w:ilvl w:val="0"/>
          <w:numId w:val="16"/>
        </w:numPr>
        <w:spacing w:after="120" w:line="320" w:lineRule="atLeast"/>
        <w:jc w:val="both"/>
        <w:rPr>
          <w:rFonts w:asciiTheme="majorHAnsi" w:hAnsiTheme="majorHAnsi" w:cstheme="majorHAnsi"/>
          <w:lang w:val="en-GB"/>
        </w:rPr>
      </w:pPr>
      <w:r w:rsidRPr="00381E8D">
        <w:rPr>
          <w:rFonts w:asciiTheme="majorHAnsi" w:hAnsiTheme="majorHAnsi" w:cstheme="majorHAnsi"/>
          <w:lang w:val="en-GB"/>
        </w:rPr>
        <w:t xml:space="preserve">Creation, through a partnership between the Secretary of State for Citizenship and Equality and the National Pharmacy Association (ANF), of a direct and privileged communication channel between ANF and LGBTI associations and groups to identify and respond to needs related to access to pharmacies and the administration of injectables associated with specific hormonal </w:t>
      </w:r>
      <w:r w:rsidR="0019129C" w:rsidRPr="00381E8D">
        <w:rPr>
          <w:rFonts w:asciiTheme="majorHAnsi" w:hAnsiTheme="majorHAnsi" w:cstheme="majorHAnsi"/>
          <w:lang w:val="en-GB"/>
        </w:rPr>
        <w:t>therapy.</w:t>
      </w:r>
    </w:p>
    <w:p w14:paraId="0BDFEFE9" w14:textId="7918ABB2" w:rsidR="0019129C" w:rsidRPr="00381E8D" w:rsidRDefault="00F975CC" w:rsidP="0019129C">
      <w:pPr>
        <w:pStyle w:val="PargrafodaLista"/>
        <w:numPr>
          <w:ilvl w:val="0"/>
          <w:numId w:val="16"/>
        </w:numPr>
        <w:spacing w:after="120" w:line="320" w:lineRule="atLeast"/>
        <w:jc w:val="both"/>
        <w:rPr>
          <w:rFonts w:asciiTheme="majorHAnsi" w:hAnsiTheme="majorHAnsi" w:cstheme="majorHAnsi"/>
          <w:lang w:val="en-GB"/>
        </w:rPr>
      </w:pPr>
      <w:r w:rsidRPr="00381E8D">
        <w:rPr>
          <w:rFonts w:asciiTheme="majorHAnsi" w:hAnsiTheme="majorHAnsi" w:cstheme="majorHAnsi"/>
          <w:lang w:val="en-GB"/>
        </w:rPr>
        <w:t xml:space="preserve">Holding of a meeting of the Secretary of State for Citizenship and Equality with </w:t>
      </w:r>
      <w:r w:rsidR="0019129C" w:rsidRPr="00381E8D">
        <w:rPr>
          <w:rFonts w:asciiTheme="majorHAnsi" w:hAnsiTheme="majorHAnsi" w:cstheme="majorHAnsi"/>
          <w:lang w:val="en-GB"/>
        </w:rPr>
        <w:t>several</w:t>
      </w:r>
      <w:r w:rsidRPr="00381E8D">
        <w:rPr>
          <w:rFonts w:asciiTheme="majorHAnsi" w:hAnsiTheme="majorHAnsi" w:cstheme="majorHAnsi"/>
          <w:lang w:val="en-GB"/>
        </w:rPr>
        <w:t xml:space="preserve"> associations and LGBTI groups to identify needs and responses, during the pandemic and </w:t>
      </w:r>
      <w:r w:rsidR="0019129C" w:rsidRPr="00381E8D">
        <w:rPr>
          <w:rFonts w:asciiTheme="majorHAnsi" w:hAnsiTheme="majorHAnsi" w:cstheme="majorHAnsi"/>
          <w:lang w:val="en-GB"/>
        </w:rPr>
        <w:t>post pandemic</w:t>
      </w:r>
      <w:r w:rsidRPr="00381E8D">
        <w:rPr>
          <w:rFonts w:asciiTheme="majorHAnsi" w:hAnsiTheme="majorHAnsi" w:cstheme="majorHAnsi"/>
          <w:lang w:val="en-GB"/>
        </w:rPr>
        <w:t xml:space="preserve">, and to disseminate resources and services. In addition, new focal points were established between formal and informal support </w:t>
      </w:r>
      <w:r w:rsidR="0019129C" w:rsidRPr="00381E8D">
        <w:rPr>
          <w:rFonts w:asciiTheme="majorHAnsi" w:hAnsiTheme="majorHAnsi" w:cstheme="majorHAnsi"/>
          <w:lang w:val="en-GB"/>
        </w:rPr>
        <w:t>networks.</w:t>
      </w:r>
    </w:p>
    <w:p w14:paraId="76CAEBF7" w14:textId="6369578C" w:rsidR="0019129C" w:rsidRPr="00381E8D" w:rsidRDefault="00822A52" w:rsidP="0019129C">
      <w:pPr>
        <w:pStyle w:val="PargrafodaLista"/>
        <w:numPr>
          <w:ilvl w:val="0"/>
          <w:numId w:val="16"/>
        </w:numPr>
        <w:spacing w:after="120" w:line="320" w:lineRule="atLeast"/>
        <w:jc w:val="both"/>
        <w:rPr>
          <w:rFonts w:asciiTheme="majorHAnsi" w:hAnsiTheme="majorHAnsi" w:cstheme="majorHAnsi"/>
          <w:lang w:val="en-GB"/>
        </w:rPr>
      </w:pPr>
      <w:r w:rsidRPr="00381E8D">
        <w:rPr>
          <w:rFonts w:asciiTheme="majorHAnsi" w:hAnsiTheme="majorHAnsi" w:cstheme="majorHAnsi"/>
          <w:lang w:val="en-GB"/>
        </w:rPr>
        <w:t xml:space="preserve">Development of a </w:t>
      </w:r>
      <w:r w:rsidR="00F975CC" w:rsidRPr="00381E8D">
        <w:rPr>
          <w:rFonts w:asciiTheme="majorHAnsi" w:hAnsiTheme="majorHAnsi" w:cstheme="majorHAnsi"/>
          <w:lang w:val="en-GB"/>
        </w:rPr>
        <w:t>guide with resources and support services available to LGBTI people, which was widely</w:t>
      </w:r>
      <w:r w:rsidRPr="00381E8D">
        <w:rPr>
          <w:rFonts w:asciiTheme="majorHAnsi" w:hAnsiTheme="majorHAnsi" w:cstheme="majorHAnsi"/>
          <w:lang w:val="en-GB"/>
        </w:rPr>
        <w:t xml:space="preserve"> </w:t>
      </w:r>
      <w:r w:rsidR="00F975CC" w:rsidRPr="00381E8D">
        <w:rPr>
          <w:rFonts w:asciiTheme="majorHAnsi" w:hAnsiTheme="majorHAnsi" w:cstheme="majorHAnsi"/>
          <w:lang w:val="en-GB"/>
        </w:rPr>
        <w:t>disseminated</w:t>
      </w:r>
      <w:r w:rsidRPr="00381E8D">
        <w:rPr>
          <w:rFonts w:asciiTheme="majorHAnsi" w:hAnsiTheme="majorHAnsi" w:cstheme="majorHAnsi"/>
          <w:lang w:val="en-GB"/>
        </w:rPr>
        <w:t>.</w:t>
      </w:r>
    </w:p>
    <w:p w14:paraId="66A40AD0" w14:textId="5B5087C0" w:rsidR="004B7A71" w:rsidRPr="00381E8D" w:rsidRDefault="00022A1E" w:rsidP="00635A1B">
      <w:pPr>
        <w:pStyle w:val="Cabealho2"/>
        <w:numPr>
          <w:ilvl w:val="1"/>
          <w:numId w:val="8"/>
        </w:numPr>
        <w:spacing w:before="0" w:line="320" w:lineRule="atLeast"/>
        <w:jc w:val="both"/>
        <w:rPr>
          <w:rFonts w:asciiTheme="majorHAnsi" w:hAnsiTheme="majorHAnsi" w:cstheme="majorHAnsi"/>
          <w:bCs/>
          <w:lang w:val="en-GB"/>
        </w:rPr>
      </w:pPr>
      <w:r w:rsidRPr="00381E8D">
        <w:rPr>
          <w:rFonts w:asciiTheme="majorHAnsi" w:hAnsiTheme="majorHAnsi" w:cstheme="majorHAnsi"/>
          <w:bCs/>
          <w:lang w:val="en-GB"/>
        </w:rPr>
        <w:t xml:space="preserve">What policies or programmes exist to address the mental health care needs of </w:t>
      </w:r>
      <w:r w:rsidR="009329C8" w:rsidRPr="00381E8D">
        <w:rPr>
          <w:rFonts w:asciiTheme="majorHAnsi" w:hAnsiTheme="majorHAnsi" w:cstheme="majorHAnsi"/>
          <w:bCs/>
          <w:lang w:val="en-GB"/>
        </w:rPr>
        <w:t>persons affected by violence and discrimination based on sexual orientation and gender identity</w:t>
      </w:r>
      <w:r w:rsidRPr="00381E8D">
        <w:rPr>
          <w:rFonts w:asciiTheme="majorHAnsi" w:hAnsiTheme="majorHAnsi" w:cstheme="majorHAnsi"/>
          <w:bCs/>
          <w:lang w:val="en-GB"/>
        </w:rPr>
        <w:t>, specifically around depression</w:t>
      </w:r>
      <w:r w:rsidR="008D1DDB" w:rsidRPr="00381E8D">
        <w:rPr>
          <w:rFonts w:asciiTheme="majorHAnsi" w:hAnsiTheme="majorHAnsi" w:cstheme="majorHAnsi"/>
          <w:bCs/>
          <w:lang w:val="en-GB"/>
        </w:rPr>
        <w:t xml:space="preserve"> and anxiety</w:t>
      </w:r>
      <w:r w:rsidRPr="00381E8D">
        <w:rPr>
          <w:rFonts w:asciiTheme="majorHAnsi" w:hAnsiTheme="majorHAnsi" w:cstheme="majorHAnsi"/>
          <w:bCs/>
          <w:lang w:val="en-GB"/>
        </w:rPr>
        <w:t>, suicidal ideation, and substance abuse?</w:t>
      </w:r>
    </w:p>
    <w:p w14:paraId="3B74AE30" w14:textId="1FBEB6B0" w:rsidR="00381E8D" w:rsidRPr="00381E8D" w:rsidRDefault="00381E8D" w:rsidP="00381E8D">
      <w:pPr>
        <w:rPr>
          <w:rFonts w:asciiTheme="majorHAnsi" w:hAnsiTheme="majorHAnsi" w:cstheme="majorHAnsi"/>
          <w:lang w:val="en-GB"/>
        </w:rPr>
      </w:pPr>
      <w:r w:rsidRPr="00381E8D">
        <w:rPr>
          <w:rFonts w:asciiTheme="majorHAnsi" w:hAnsiTheme="majorHAnsi" w:cstheme="majorHAnsi"/>
          <w:lang w:val="en-GB"/>
        </w:rPr>
        <w:t>N/A.</w:t>
      </w:r>
    </w:p>
    <w:p w14:paraId="5AEA9CD5" w14:textId="11B3FF2D" w:rsidR="00BE760E" w:rsidRPr="00381E8D" w:rsidRDefault="00022A1E" w:rsidP="00635A1B">
      <w:pPr>
        <w:pStyle w:val="Cabealho2"/>
        <w:numPr>
          <w:ilvl w:val="1"/>
          <w:numId w:val="8"/>
        </w:numPr>
        <w:spacing w:before="0" w:line="320" w:lineRule="atLeast"/>
        <w:jc w:val="both"/>
        <w:rPr>
          <w:rFonts w:asciiTheme="majorHAnsi" w:hAnsiTheme="majorHAnsi" w:cstheme="majorHAnsi"/>
          <w:bCs/>
          <w:lang w:val="en-GB"/>
        </w:rPr>
      </w:pPr>
      <w:r w:rsidRPr="00381E8D">
        <w:rPr>
          <w:rFonts w:asciiTheme="majorHAnsi" w:hAnsiTheme="majorHAnsi" w:cstheme="majorHAnsi"/>
          <w:bCs/>
          <w:lang w:val="en-GB"/>
        </w:rPr>
        <w:t xml:space="preserve">What policies or programmes exist to assist the health care needs of </w:t>
      </w:r>
      <w:r w:rsidR="009329C8" w:rsidRPr="00381E8D">
        <w:rPr>
          <w:rFonts w:asciiTheme="majorHAnsi" w:hAnsiTheme="majorHAnsi" w:cstheme="majorHAnsi"/>
          <w:bCs/>
          <w:lang w:val="en-GB"/>
        </w:rPr>
        <w:t xml:space="preserve">persons affected by violence and discrimination based on sexual orientation and gender identity </w:t>
      </w:r>
      <w:r w:rsidRPr="00381E8D">
        <w:rPr>
          <w:rFonts w:asciiTheme="majorHAnsi" w:hAnsiTheme="majorHAnsi" w:cstheme="majorHAnsi"/>
          <w:bCs/>
          <w:lang w:val="en-GB"/>
        </w:rPr>
        <w:t>following the experience of assault or gender-based violence</w:t>
      </w:r>
      <w:r w:rsidR="004B7A71" w:rsidRPr="00381E8D">
        <w:rPr>
          <w:rFonts w:asciiTheme="majorHAnsi" w:hAnsiTheme="majorHAnsi" w:cstheme="majorHAnsi"/>
          <w:bCs/>
          <w:lang w:val="en-GB"/>
        </w:rPr>
        <w:t>?</w:t>
      </w:r>
    </w:p>
    <w:p w14:paraId="369FC7FF" w14:textId="462D0B6B" w:rsidR="005F3A98" w:rsidRPr="00381E8D" w:rsidRDefault="00AC1BA1" w:rsidP="00381E8D">
      <w:pPr>
        <w:spacing w:after="120" w:line="320" w:lineRule="atLeast"/>
        <w:jc w:val="both"/>
        <w:rPr>
          <w:rFonts w:asciiTheme="majorHAnsi" w:hAnsiTheme="majorHAnsi" w:cstheme="majorHAnsi"/>
          <w:lang w:val="en-GB"/>
        </w:rPr>
      </w:pPr>
      <w:bookmarkStart w:id="1" w:name="_Hlk93934570"/>
      <w:r w:rsidRPr="00381E8D">
        <w:rPr>
          <w:rFonts w:asciiTheme="majorHAnsi" w:hAnsiTheme="majorHAnsi" w:cstheme="majorHAnsi"/>
          <w:lang w:val="en-GB"/>
        </w:rPr>
        <w:t>Since 2019 (under Council of Ministers Resolution 139/2019, of 19 August), the Government has been developing intense intersectoral work in the areas of violence against women and domestic violence. In this context, the 1</w:t>
      </w:r>
      <w:r w:rsidRPr="00381E8D">
        <w:rPr>
          <w:rFonts w:asciiTheme="majorHAnsi" w:hAnsiTheme="majorHAnsi" w:cstheme="majorHAnsi"/>
          <w:vertAlign w:val="superscript"/>
          <w:lang w:val="en-GB"/>
        </w:rPr>
        <w:t>st</w:t>
      </w:r>
      <w:r w:rsidRPr="00381E8D">
        <w:rPr>
          <w:rFonts w:asciiTheme="majorHAnsi" w:hAnsiTheme="majorHAnsi" w:cstheme="majorHAnsi"/>
          <w:lang w:val="en-GB"/>
        </w:rPr>
        <w:t xml:space="preserve"> ever </w:t>
      </w:r>
      <w:r w:rsidRPr="00381E8D">
        <w:rPr>
          <w:rFonts w:asciiTheme="majorHAnsi" w:hAnsiTheme="majorHAnsi" w:cstheme="majorHAnsi"/>
          <w:b/>
          <w:bCs/>
          <w:lang w:val="en-GB"/>
        </w:rPr>
        <w:t xml:space="preserve">Common </w:t>
      </w:r>
      <w:r w:rsidR="005F3A98" w:rsidRPr="00381E8D">
        <w:rPr>
          <w:rFonts w:asciiTheme="majorHAnsi" w:hAnsiTheme="majorHAnsi" w:cstheme="majorHAnsi"/>
          <w:b/>
          <w:bCs/>
          <w:lang w:val="en-GB"/>
        </w:rPr>
        <w:t>Training Plan on Violence against Women and Domestic Violence</w:t>
      </w:r>
      <w:r w:rsidR="005F3A98" w:rsidRPr="00381E8D">
        <w:rPr>
          <w:rFonts w:asciiTheme="majorHAnsi" w:hAnsiTheme="majorHAnsi" w:cstheme="majorHAnsi"/>
          <w:lang w:val="en-GB"/>
        </w:rPr>
        <w:t xml:space="preserve"> </w:t>
      </w:r>
      <w:r w:rsidRPr="00381E8D">
        <w:rPr>
          <w:rFonts w:asciiTheme="majorHAnsi" w:hAnsiTheme="majorHAnsi" w:cstheme="majorHAnsi"/>
          <w:lang w:val="en-GB"/>
        </w:rPr>
        <w:t xml:space="preserve">was produced in 2020 - this is the first common training plan for the various sectors intervening in this area, and therefore it is based on the standardisation of concepts, the definition of contents and training methodologies based on the analysis of specific cases and the identification of a pool of specialised trainers. This plan </w:t>
      </w:r>
      <w:r w:rsidR="005F3A98" w:rsidRPr="00381E8D">
        <w:rPr>
          <w:rFonts w:asciiTheme="majorHAnsi" w:hAnsiTheme="majorHAnsi" w:cstheme="majorHAnsi"/>
          <w:lang w:val="en-GB"/>
        </w:rPr>
        <w:t xml:space="preserve">includes a module </w:t>
      </w:r>
      <w:r w:rsidRPr="00381E8D">
        <w:rPr>
          <w:rFonts w:asciiTheme="majorHAnsi" w:hAnsiTheme="majorHAnsi" w:cstheme="majorHAnsi"/>
          <w:lang w:val="en-GB"/>
        </w:rPr>
        <w:t xml:space="preserve">on the </w:t>
      </w:r>
      <w:r w:rsidR="005F3A98" w:rsidRPr="00381E8D">
        <w:rPr>
          <w:rFonts w:asciiTheme="majorHAnsi" w:hAnsiTheme="majorHAnsi" w:cstheme="majorHAnsi"/>
          <w:lang w:val="en-GB"/>
        </w:rPr>
        <w:t>intervention with victims in situations of increased vulnerability, namely LGBTI pe</w:t>
      </w:r>
      <w:r w:rsidR="001528A3" w:rsidRPr="00381E8D">
        <w:rPr>
          <w:rFonts w:asciiTheme="majorHAnsi" w:hAnsiTheme="majorHAnsi" w:cstheme="majorHAnsi"/>
          <w:lang w:val="en-GB"/>
        </w:rPr>
        <w:t>rsons</w:t>
      </w:r>
      <w:r w:rsidR="005F3A98" w:rsidRPr="00381E8D">
        <w:rPr>
          <w:rFonts w:asciiTheme="majorHAnsi" w:hAnsiTheme="majorHAnsi" w:cstheme="majorHAnsi"/>
          <w:lang w:val="en-GB"/>
        </w:rPr>
        <w:t xml:space="preserve"> and involves 5 areas of </w:t>
      </w:r>
      <w:r w:rsidR="00381E8D">
        <w:rPr>
          <w:rFonts w:asciiTheme="majorHAnsi" w:hAnsiTheme="majorHAnsi" w:cstheme="majorHAnsi"/>
          <w:lang w:val="en-GB"/>
        </w:rPr>
        <w:t>g</w:t>
      </w:r>
      <w:r w:rsidR="005F3A98" w:rsidRPr="00381E8D">
        <w:rPr>
          <w:rFonts w:asciiTheme="majorHAnsi" w:hAnsiTheme="majorHAnsi" w:cstheme="majorHAnsi"/>
          <w:lang w:val="en-GB"/>
        </w:rPr>
        <w:t>overnment</w:t>
      </w:r>
      <w:bookmarkEnd w:id="1"/>
      <w:r w:rsidR="0056703D" w:rsidRPr="00381E8D">
        <w:rPr>
          <w:rFonts w:asciiTheme="majorHAnsi" w:hAnsiTheme="majorHAnsi" w:cstheme="majorHAnsi"/>
          <w:lang w:val="en-GB"/>
        </w:rPr>
        <w:t xml:space="preserve">, such as Health. </w:t>
      </w:r>
    </w:p>
    <w:p w14:paraId="16AF5A3C" w14:textId="7B2611D1" w:rsidR="00AC1BA1" w:rsidRPr="00381E8D" w:rsidRDefault="00AC1BA1" w:rsidP="00381E8D">
      <w:pPr>
        <w:spacing w:after="120" w:line="320" w:lineRule="atLeast"/>
        <w:jc w:val="both"/>
        <w:rPr>
          <w:rFonts w:asciiTheme="majorHAnsi" w:hAnsiTheme="majorHAnsi" w:cstheme="majorHAnsi"/>
          <w:lang w:val="en-GB"/>
        </w:rPr>
      </w:pPr>
      <w:r w:rsidRPr="00381E8D">
        <w:rPr>
          <w:rFonts w:asciiTheme="majorHAnsi" w:hAnsiTheme="majorHAnsi" w:cstheme="majorHAnsi"/>
          <w:lang w:val="en-GB"/>
        </w:rPr>
        <w:t xml:space="preserve">In 2020, the Government </w:t>
      </w:r>
      <w:r w:rsidR="00D27C47">
        <w:rPr>
          <w:rFonts w:asciiTheme="majorHAnsi" w:hAnsiTheme="majorHAnsi" w:cstheme="majorHAnsi"/>
          <w:lang w:val="en-GB"/>
        </w:rPr>
        <w:t>approved</w:t>
      </w:r>
      <w:r w:rsidRPr="00381E8D">
        <w:rPr>
          <w:rFonts w:asciiTheme="majorHAnsi" w:hAnsiTheme="majorHAnsi" w:cstheme="majorHAnsi"/>
          <w:lang w:val="en-GB"/>
        </w:rPr>
        <w:t xml:space="preserve"> Regulatory Decree 3/2020, 14 August (amending Regulatory Decree 2/2018, 24 January) which increased the maximum duration of emergency sheltering </w:t>
      </w:r>
      <w:r w:rsidR="00D27C47">
        <w:rPr>
          <w:rFonts w:asciiTheme="majorHAnsi" w:hAnsiTheme="majorHAnsi" w:cstheme="majorHAnsi"/>
          <w:lang w:val="en-GB"/>
        </w:rPr>
        <w:t>for</w:t>
      </w:r>
      <w:r w:rsidRPr="00381E8D">
        <w:rPr>
          <w:rFonts w:asciiTheme="majorHAnsi" w:hAnsiTheme="majorHAnsi" w:cstheme="majorHAnsi"/>
          <w:lang w:val="en-GB"/>
        </w:rPr>
        <w:t xml:space="preserve"> victims of domestic violence in situations of increased vulnerability, namely </w:t>
      </w:r>
      <w:r w:rsidR="00D27C47">
        <w:rPr>
          <w:rFonts w:asciiTheme="majorHAnsi" w:hAnsiTheme="majorHAnsi" w:cstheme="majorHAnsi"/>
          <w:lang w:val="en-GB"/>
        </w:rPr>
        <w:t>on the grounds</w:t>
      </w:r>
      <w:r w:rsidRPr="00381E8D">
        <w:rPr>
          <w:rFonts w:asciiTheme="majorHAnsi" w:hAnsiTheme="majorHAnsi" w:cstheme="majorHAnsi"/>
          <w:lang w:val="en-GB"/>
        </w:rPr>
        <w:t xml:space="preserve"> of disability, mental </w:t>
      </w:r>
      <w:r w:rsidR="00D27C47">
        <w:rPr>
          <w:rFonts w:asciiTheme="majorHAnsi" w:hAnsiTheme="majorHAnsi" w:cstheme="majorHAnsi"/>
          <w:lang w:val="en-GB"/>
        </w:rPr>
        <w:t>health condition</w:t>
      </w:r>
      <w:r w:rsidRPr="00381E8D">
        <w:rPr>
          <w:rFonts w:asciiTheme="majorHAnsi" w:hAnsiTheme="majorHAnsi" w:cstheme="majorHAnsi"/>
          <w:lang w:val="en-GB"/>
        </w:rPr>
        <w:t>, sexual orientation, gender identity and expression, and age.</w:t>
      </w:r>
    </w:p>
    <w:p w14:paraId="0CC628C9" w14:textId="5C033623" w:rsidR="0056703D" w:rsidRPr="00381E8D" w:rsidRDefault="00517582" w:rsidP="00381E8D">
      <w:pPr>
        <w:spacing w:after="120" w:line="320" w:lineRule="atLeast"/>
        <w:jc w:val="both"/>
        <w:rPr>
          <w:rFonts w:asciiTheme="majorHAnsi" w:hAnsiTheme="majorHAnsi" w:cstheme="majorHAnsi"/>
          <w:lang w:val="en-GB"/>
        </w:rPr>
      </w:pPr>
      <w:r w:rsidRPr="00381E8D">
        <w:rPr>
          <w:rFonts w:asciiTheme="majorHAnsi" w:hAnsiTheme="majorHAnsi" w:cstheme="majorHAnsi"/>
          <w:lang w:val="en-GB"/>
        </w:rPr>
        <w:t>Since 2017,</w:t>
      </w:r>
      <w:r w:rsidR="0056703D" w:rsidRPr="00381E8D">
        <w:rPr>
          <w:rFonts w:asciiTheme="majorHAnsi" w:hAnsiTheme="majorHAnsi" w:cstheme="majorHAnsi"/>
          <w:lang w:val="en-GB"/>
        </w:rPr>
        <w:t xml:space="preserve"> there are</w:t>
      </w:r>
      <w:r w:rsidRPr="00381E8D">
        <w:rPr>
          <w:rFonts w:asciiTheme="majorHAnsi" w:hAnsiTheme="majorHAnsi" w:cstheme="majorHAnsi"/>
          <w:lang w:val="en-GB"/>
        </w:rPr>
        <w:t xml:space="preserve"> three specific and specialized </w:t>
      </w:r>
      <w:r w:rsidR="00AC1BA1" w:rsidRPr="00381E8D">
        <w:rPr>
          <w:rFonts w:asciiTheme="majorHAnsi" w:hAnsiTheme="majorHAnsi" w:cstheme="majorHAnsi"/>
          <w:lang w:val="en-GB"/>
        </w:rPr>
        <w:t xml:space="preserve">support services </w:t>
      </w:r>
      <w:r w:rsidRPr="00381E8D">
        <w:rPr>
          <w:rFonts w:asciiTheme="majorHAnsi" w:hAnsiTheme="majorHAnsi" w:cstheme="majorHAnsi"/>
          <w:lang w:val="en-GB"/>
        </w:rPr>
        <w:t>for LGBTI pe</w:t>
      </w:r>
      <w:r w:rsidR="001528A3" w:rsidRPr="00381E8D">
        <w:rPr>
          <w:rFonts w:asciiTheme="majorHAnsi" w:hAnsiTheme="majorHAnsi" w:cstheme="majorHAnsi"/>
          <w:lang w:val="en-GB"/>
        </w:rPr>
        <w:t>rsons</w:t>
      </w:r>
      <w:r w:rsidR="0056703D" w:rsidRPr="00381E8D">
        <w:rPr>
          <w:rFonts w:asciiTheme="majorHAnsi" w:hAnsiTheme="majorHAnsi" w:cstheme="majorHAnsi"/>
          <w:lang w:val="en-GB"/>
        </w:rPr>
        <w:t xml:space="preserve"> who are victims of violence, financed by public funds</w:t>
      </w:r>
      <w:r w:rsidR="00F37176" w:rsidRPr="00381E8D">
        <w:rPr>
          <w:rFonts w:asciiTheme="majorHAnsi" w:hAnsiTheme="majorHAnsi" w:cstheme="majorHAnsi"/>
          <w:lang w:val="en-GB"/>
        </w:rPr>
        <w:t>.</w:t>
      </w:r>
    </w:p>
    <w:p w14:paraId="4214DBC0" w14:textId="77777777" w:rsidR="00381E8D" w:rsidRPr="00381E8D" w:rsidRDefault="00517582" w:rsidP="00381E8D">
      <w:pPr>
        <w:spacing w:after="120" w:line="320" w:lineRule="atLeast"/>
        <w:jc w:val="both"/>
        <w:rPr>
          <w:rFonts w:asciiTheme="majorHAnsi" w:hAnsiTheme="majorHAnsi" w:cstheme="majorHAnsi"/>
          <w:lang w:val="en-GB"/>
        </w:rPr>
      </w:pPr>
      <w:r w:rsidRPr="00381E8D">
        <w:rPr>
          <w:rFonts w:asciiTheme="majorHAnsi" w:hAnsiTheme="majorHAnsi" w:cstheme="majorHAnsi"/>
          <w:lang w:val="en-GB"/>
        </w:rPr>
        <w:t>The organizations responsible for these responses are:</w:t>
      </w:r>
    </w:p>
    <w:p w14:paraId="5C05B780" w14:textId="77777777" w:rsidR="00381E8D" w:rsidRPr="00381E8D" w:rsidRDefault="00517582" w:rsidP="00381E8D">
      <w:pPr>
        <w:pStyle w:val="PargrafodaLista"/>
        <w:numPr>
          <w:ilvl w:val="0"/>
          <w:numId w:val="17"/>
        </w:numPr>
        <w:spacing w:after="120" w:line="320" w:lineRule="atLeast"/>
        <w:jc w:val="both"/>
        <w:rPr>
          <w:rFonts w:asciiTheme="majorHAnsi" w:hAnsiTheme="majorHAnsi" w:cstheme="majorHAnsi"/>
          <w:lang w:val="en-GB"/>
        </w:rPr>
      </w:pPr>
      <w:r w:rsidRPr="00381E8D">
        <w:rPr>
          <w:rFonts w:asciiTheme="majorHAnsi" w:hAnsiTheme="majorHAnsi" w:cstheme="majorHAnsi"/>
          <w:lang w:val="en-GB"/>
        </w:rPr>
        <w:t>Casa Qui Association (Lisbon)</w:t>
      </w:r>
    </w:p>
    <w:p w14:paraId="16A13F6C" w14:textId="77777777" w:rsidR="00381E8D" w:rsidRPr="00381E8D" w:rsidRDefault="00517582" w:rsidP="00381E8D">
      <w:pPr>
        <w:pStyle w:val="PargrafodaLista"/>
        <w:numPr>
          <w:ilvl w:val="0"/>
          <w:numId w:val="17"/>
        </w:numPr>
        <w:spacing w:after="120" w:line="320" w:lineRule="atLeast"/>
        <w:jc w:val="both"/>
        <w:rPr>
          <w:rFonts w:asciiTheme="majorHAnsi" w:hAnsiTheme="majorHAnsi" w:cstheme="majorHAnsi"/>
          <w:lang w:val="en-GB"/>
        </w:rPr>
      </w:pPr>
      <w:r w:rsidRPr="00381E8D">
        <w:rPr>
          <w:rFonts w:asciiTheme="majorHAnsi" w:hAnsiTheme="majorHAnsi" w:cstheme="majorHAnsi"/>
          <w:lang w:val="en-GB"/>
        </w:rPr>
        <w:t>ILGA Portugal Association (Lisbon)</w:t>
      </w:r>
    </w:p>
    <w:p w14:paraId="1BA8DD85" w14:textId="2935F914" w:rsidR="00517582" w:rsidRPr="00381E8D" w:rsidRDefault="00517582" w:rsidP="00381E8D">
      <w:pPr>
        <w:pStyle w:val="PargrafodaLista"/>
        <w:numPr>
          <w:ilvl w:val="0"/>
          <w:numId w:val="17"/>
        </w:numPr>
        <w:spacing w:after="120" w:line="320" w:lineRule="atLeast"/>
        <w:jc w:val="both"/>
        <w:rPr>
          <w:rFonts w:asciiTheme="majorHAnsi" w:hAnsiTheme="majorHAnsi" w:cstheme="majorHAnsi"/>
          <w:lang w:val="en-GB"/>
        </w:rPr>
      </w:pPr>
      <w:r w:rsidRPr="00381E8D">
        <w:rPr>
          <w:rFonts w:asciiTheme="majorHAnsi" w:hAnsiTheme="majorHAnsi" w:cstheme="majorHAnsi"/>
          <w:lang w:val="en-GB"/>
        </w:rPr>
        <w:t>Plano I Association (Porto)</w:t>
      </w:r>
    </w:p>
    <w:p w14:paraId="5DFA3F46" w14:textId="7F61F2AD" w:rsidR="00517582" w:rsidRPr="00381E8D" w:rsidRDefault="00517582" w:rsidP="00381E8D">
      <w:pPr>
        <w:spacing w:after="120" w:line="320" w:lineRule="atLeast"/>
        <w:jc w:val="both"/>
        <w:rPr>
          <w:rFonts w:asciiTheme="majorHAnsi" w:hAnsiTheme="majorHAnsi" w:cstheme="majorHAnsi"/>
          <w:lang w:val="en-GB"/>
        </w:rPr>
      </w:pPr>
      <w:r w:rsidRPr="00381E8D">
        <w:rPr>
          <w:rFonts w:asciiTheme="majorHAnsi" w:hAnsiTheme="majorHAnsi" w:cstheme="majorHAnsi"/>
          <w:lang w:val="en-GB"/>
        </w:rPr>
        <w:t xml:space="preserve">In 2018, </w:t>
      </w:r>
      <w:r w:rsidR="0056703D" w:rsidRPr="00381E8D">
        <w:rPr>
          <w:rFonts w:asciiTheme="majorHAnsi" w:hAnsiTheme="majorHAnsi" w:cstheme="majorHAnsi"/>
          <w:lang w:val="en-GB"/>
        </w:rPr>
        <w:t>a</w:t>
      </w:r>
      <w:r w:rsidRPr="00381E8D">
        <w:rPr>
          <w:rFonts w:asciiTheme="majorHAnsi" w:hAnsiTheme="majorHAnsi" w:cstheme="majorHAnsi"/>
          <w:lang w:val="en-GB"/>
        </w:rPr>
        <w:t xml:space="preserve"> </w:t>
      </w:r>
      <w:r w:rsidR="0056703D" w:rsidRPr="00381E8D">
        <w:rPr>
          <w:rFonts w:asciiTheme="majorHAnsi" w:hAnsiTheme="majorHAnsi" w:cstheme="majorHAnsi"/>
          <w:lang w:val="en-GB"/>
        </w:rPr>
        <w:t xml:space="preserve">Specialized Emergency Shelter response opened in </w:t>
      </w:r>
      <w:r w:rsidR="00BE760E" w:rsidRPr="00381E8D">
        <w:rPr>
          <w:rFonts w:asciiTheme="majorHAnsi" w:hAnsiTheme="majorHAnsi" w:cstheme="majorHAnsi"/>
          <w:lang w:val="en-GB"/>
        </w:rPr>
        <w:t>Porto,</w:t>
      </w:r>
      <w:r w:rsidR="00381E8D">
        <w:rPr>
          <w:rFonts w:asciiTheme="majorHAnsi" w:hAnsiTheme="majorHAnsi" w:cstheme="majorHAnsi"/>
          <w:lang w:val="en-GB"/>
        </w:rPr>
        <w:t xml:space="preserve"> </w:t>
      </w:r>
      <w:r w:rsidRPr="00381E8D">
        <w:rPr>
          <w:rFonts w:asciiTheme="majorHAnsi" w:hAnsiTheme="majorHAnsi" w:cstheme="majorHAnsi"/>
          <w:i/>
          <w:iCs/>
          <w:lang w:val="en-GB"/>
        </w:rPr>
        <w:t>“Casa Arco</w:t>
      </w:r>
      <w:r w:rsidR="00381E8D">
        <w:rPr>
          <w:rFonts w:asciiTheme="majorHAnsi" w:hAnsiTheme="majorHAnsi" w:cstheme="majorHAnsi"/>
          <w:i/>
          <w:iCs/>
          <w:lang w:val="en-GB"/>
        </w:rPr>
        <w:t>-</w:t>
      </w:r>
      <w:r w:rsidRPr="00381E8D">
        <w:rPr>
          <w:rFonts w:asciiTheme="majorHAnsi" w:hAnsiTheme="majorHAnsi" w:cstheme="majorHAnsi"/>
          <w:i/>
          <w:iCs/>
          <w:lang w:val="en-GB"/>
        </w:rPr>
        <w:t>Íris”</w:t>
      </w:r>
      <w:r w:rsidR="00BE760E" w:rsidRPr="00381E8D">
        <w:rPr>
          <w:rFonts w:asciiTheme="majorHAnsi" w:hAnsiTheme="majorHAnsi" w:cstheme="majorHAnsi"/>
          <w:lang w:val="en-GB"/>
        </w:rPr>
        <w:t>,</w:t>
      </w:r>
      <w:r w:rsidRPr="00381E8D">
        <w:rPr>
          <w:rFonts w:asciiTheme="majorHAnsi" w:hAnsiTheme="majorHAnsi" w:cstheme="majorHAnsi"/>
          <w:lang w:val="en-GB"/>
        </w:rPr>
        <w:t xml:space="preserve"> for LGBTI pe</w:t>
      </w:r>
      <w:r w:rsidR="001528A3" w:rsidRPr="00381E8D">
        <w:rPr>
          <w:rFonts w:asciiTheme="majorHAnsi" w:hAnsiTheme="majorHAnsi" w:cstheme="majorHAnsi"/>
          <w:lang w:val="en-GB"/>
        </w:rPr>
        <w:t xml:space="preserve">rsons </w:t>
      </w:r>
      <w:r w:rsidRPr="00381E8D">
        <w:rPr>
          <w:rFonts w:asciiTheme="majorHAnsi" w:hAnsiTheme="majorHAnsi" w:cstheme="majorHAnsi"/>
          <w:lang w:val="en-GB"/>
        </w:rPr>
        <w:t>who are victims of violence</w:t>
      </w:r>
      <w:r w:rsidR="00BE760E" w:rsidRPr="00381E8D">
        <w:rPr>
          <w:rFonts w:asciiTheme="majorHAnsi" w:hAnsiTheme="majorHAnsi" w:cstheme="majorHAnsi"/>
          <w:lang w:val="en-GB"/>
        </w:rPr>
        <w:t xml:space="preserve">, </w:t>
      </w:r>
      <w:r w:rsidRPr="00381E8D">
        <w:rPr>
          <w:rFonts w:asciiTheme="majorHAnsi" w:hAnsiTheme="majorHAnsi" w:cstheme="majorHAnsi"/>
          <w:lang w:val="en-GB"/>
        </w:rPr>
        <w:t>managed by the Plano I Association</w:t>
      </w:r>
      <w:r w:rsidR="005129AA" w:rsidRPr="00381E8D">
        <w:rPr>
          <w:rFonts w:asciiTheme="majorHAnsi" w:hAnsiTheme="majorHAnsi" w:cstheme="majorHAnsi"/>
          <w:lang w:val="en-GB"/>
        </w:rPr>
        <w:t>.</w:t>
      </w:r>
    </w:p>
    <w:p w14:paraId="74F04EF0" w14:textId="1551727E" w:rsidR="0039359C" w:rsidRPr="00381E8D" w:rsidRDefault="0039359C" w:rsidP="00381E8D">
      <w:pPr>
        <w:spacing w:after="120" w:line="320" w:lineRule="atLeast"/>
        <w:jc w:val="both"/>
        <w:rPr>
          <w:rFonts w:asciiTheme="majorHAnsi" w:hAnsiTheme="majorHAnsi" w:cstheme="majorHAnsi"/>
          <w:lang w:val="en-GB"/>
        </w:rPr>
      </w:pPr>
      <w:r w:rsidRPr="00381E8D">
        <w:rPr>
          <w:rFonts w:asciiTheme="majorHAnsi" w:hAnsiTheme="majorHAnsi" w:cstheme="majorHAnsi"/>
          <w:lang w:val="en-GB"/>
        </w:rPr>
        <w:t xml:space="preserve">These responses integrate the </w:t>
      </w:r>
      <w:r w:rsidRPr="00381E8D">
        <w:rPr>
          <w:rFonts w:asciiTheme="majorHAnsi" w:hAnsiTheme="majorHAnsi" w:cstheme="majorHAnsi"/>
          <w:b/>
          <w:bCs/>
          <w:lang w:val="en-GB"/>
        </w:rPr>
        <w:t>National Support Network for Domestic Violence Victims</w:t>
      </w:r>
      <w:r w:rsidRPr="00381E8D">
        <w:rPr>
          <w:rFonts w:asciiTheme="majorHAnsi" w:hAnsiTheme="majorHAnsi" w:cstheme="majorHAnsi"/>
          <w:lang w:val="en-GB"/>
        </w:rPr>
        <w:t xml:space="preserve">. </w:t>
      </w:r>
    </w:p>
    <w:p w14:paraId="4D9092C8" w14:textId="7950CCA2" w:rsidR="004B7A71" w:rsidRPr="00381E8D" w:rsidRDefault="000335E7" w:rsidP="00635A1B">
      <w:pPr>
        <w:pStyle w:val="Cabealho2"/>
        <w:numPr>
          <w:ilvl w:val="1"/>
          <w:numId w:val="8"/>
        </w:numPr>
        <w:spacing w:before="0" w:line="320" w:lineRule="atLeast"/>
        <w:jc w:val="both"/>
        <w:rPr>
          <w:rFonts w:asciiTheme="majorHAnsi" w:hAnsiTheme="majorHAnsi" w:cstheme="majorHAnsi"/>
          <w:bCs/>
          <w:lang w:val="en-GB"/>
        </w:rPr>
      </w:pPr>
      <w:r w:rsidRPr="00381E8D">
        <w:rPr>
          <w:rFonts w:asciiTheme="majorHAnsi" w:hAnsiTheme="majorHAnsi" w:cstheme="majorHAnsi"/>
          <w:bCs/>
          <w:lang w:val="en-GB"/>
        </w:rPr>
        <w:t xml:space="preserve">Have adequate human and financial resources been allocated to implement those policies and/or programmes? </w:t>
      </w:r>
    </w:p>
    <w:p w14:paraId="30EB374E" w14:textId="4E82E9D8" w:rsidR="00AC1BA1" w:rsidRDefault="001528A3" w:rsidP="00381E8D">
      <w:pPr>
        <w:spacing w:after="120" w:line="320" w:lineRule="atLeast"/>
        <w:jc w:val="both"/>
        <w:rPr>
          <w:rFonts w:asciiTheme="majorHAnsi" w:hAnsiTheme="majorHAnsi" w:cstheme="majorHAnsi"/>
          <w:lang w:val="en-GB"/>
        </w:rPr>
      </w:pPr>
      <w:r w:rsidRPr="00381E8D">
        <w:rPr>
          <w:rFonts w:asciiTheme="majorHAnsi" w:hAnsiTheme="majorHAnsi" w:cstheme="majorHAnsi"/>
          <w:lang w:val="en-GB"/>
        </w:rPr>
        <w:t>Yes.</w:t>
      </w:r>
      <w:r w:rsidR="00AC1BA1" w:rsidRPr="00381E8D">
        <w:rPr>
          <w:rFonts w:asciiTheme="majorHAnsi" w:hAnsiTheme="majorHAnsi" w:cstheme="majorHAnsi"/>
          <w:lang w:val="en-GB"/>
        </w:rPr>
        <w:t xml:space="preserve"> The </w:t>
      </w:r>
      <w:r w:rsidR="00381E8D">
        <w:rPr>
          <w:rFonts w:asciiTheme="majorHAnsi" w:hAnsiTheme="majorHAnsi" w:cstheme="majorHAnsi"/>
          <w:lang w:val="en-GB"/>
        </w:rPr>
        <w:t>A</w:t>
      </w:r>
      <w:r w:rsidR="00AC1BA1" w:rsidRPr="00381E8D">
        <w:rPr>
          <w:rFonts w:asciiTheme="majorHAnsi" w:hAnsiTheme="majorHAnsi" w:cstheme="majorHAnsi"/>
          <w:lang w:val="en-GB"/>
        </w:rPr>
        <w:t xml:space="preserve">ction </w:t>
      </w:r>
      <w:r w:rsidR="00381E8D">
        <w:rPr>
          <w:rFonts w:asciiTheme="majorHAnsi" w:hAnsiTheme="majorHAnsi" w:cstheme="majorHAnsi"/>
          <w:lang w:val="en-GB"/>
        </w:rPr>
        <w:t>P</w:t>
      </w:r>
      <w:r w:rsidR="00AC1BA1" w:rsidRPr="00381E8D">
        <w:rPr>
          <w:rFonts w:asciiTheme="majorHAnsi" w:hAnsiTheme="majorHAnsi" w:cstheme="majorHAnsi"/>
          <w:lang w:val="en-GB"/>
        </w:rPr>
        <w:t xml:space="preserve">lan to </w:t>
      </w:r>
      <w:r w:rsidR="00381E8D">
        <w:rPr>
          <w:rFonts w:asciiTheme="majorHAnsi" w:hAnsiTheme="majorHAnsi" w:cstheme="majorHAnsi"/>
          <w:lang w:val="en-GB"/>
        </w:rPr>
        <w:t>C</w:t>
      </w:r>
      <w:r w:rsidR="00AC1BA1" w:rsidRPr="00381E8D">
        <w:rPr>
          <w:rFonts w:asciiTheme="majorHAnsi" w:hAnsiTheme="majorHAnsi" w:cstheme="majorHAnsi"/>
          <w:lang w:val="en-GB"/>
        </w:rPr>
        <w:t xml:space="preserve">ombat SOGIESC </w:t>
      </w:r>
      <w:r w:rsidR="00381E8D">
        <w:rPr>
          <w:rFonts w:asciiTheme="majorHAnsi" w:hAnsiTheme="majorHAnsi" w:cstheme="majorHAnsi"/>
          <w:lang w:val="en-GB"/>
        </w:rPr>
        <w:t>D</w:t>
      </w:r>
      <w:r w:rsidR="00AC1BA1" w:rsidRPr="00381E8D">
        <w:rPr>
          <w:rFonts w:asciiTheme="majorHAnsi" w:hAnsiTheme="majorHAnsi" w:cstheme="majorHAnsi"/>
          <w:lang w:val="en-GB"/>
        </w:rPr>
        <w:t xml:space="preserve">iscrimination, integrated in the National Equality and Non-Discrimination Strategy 2018-2030, is coordinated by CIG. Between 2015 and 2021, CIG’s budget had a significant increase, going from </w:t>
      </w:r>
      <w:r w:rsidR="00381E8D">
        <w:rPr>
          <w:rFonts w:asciiTheme="majorHAnsi" w:hAnsiTheme="majorHAnsi" w:cstheme="majorHAnsi"/>
          <w:lang w:val="en-GB"/>
        </w:rPr>
        <w:t xml:space="preserve">EUR </w:t>
      </w:r>
      <w:r w:rsidR="00AC1BA1" w:rsidRPr="00381E8D">
        <w:rPr>
          <w:rFonts w:asciiTheme="majorHAnsi" w:hAnsiTheme="majorHAnsi" w:cstheme="majorHAnsi"/>
          <w:lang w:val="en-GB"/>
        </w:rPr>
        <w:t>3 499 068 in 2015 to</w:t>
      </w:r>
      <w:r w:rsidR="00381E8D">
        <w:rPr>
          <w:rFonts w:asciiTheme="majorHAnsi" w:hAnsiTheme="majorHAnsi" w:cstheme="majorHAnsi"/>
          <w:lang w:val="en-GB"/>
        </w:rPr>
        <w:t xml:space="preserve"> EUR</w:t>
      </w:r>
      <w:r w:rsidR="00AC1BA1" w:rsidRPr="00381E8D">
        <w:rPr>
          <w:rFonts w:asciiTheme="majorHAnsi" w:hAnsiTheme="majorHAnsi" w:cstheme="majorHAnsi"/>
          <w:lang w:val="en-GB"/>
        </w:rPr>
        <w:t xml:space="preserve"> 6 719 469 in 2021. Regarding CIG’s human resources (headcount): 63 professionals in 2019, 66 professionals in 2020, 68 professionals in 2021.</w:t>
      </w:r>
    </w:p>
    <w:p w14:paraId="54C823A7" w14:textId="305D442C" w:rsidR="00381E8D" w:rsidRPr="00381E8D" w:rsidRDefault="00D27C47" w:rsidP="00381E8D">
      <w:pPr>
        <w:spacing w:after="120" w:line="320" w:lineRule="atLeast"/>
        <w:jc w:val="both"/>
      </w:pPr>
      <w:r>
        <w:rPr>
          <w:rFonts w:asciiTheme="majorHAnsi" w:hAnsiTheme="majorHAnsi" w:cstheme="majorHAnsi"/>
          <w:lang w:val="en-GB"/>
        </w:rPr>
        <w:t>There is also</w:t>
      </w:r>
      <w:r w:rsidR="00381E8D" w:rsidRPr="00381E8D">
        <w:rPr>
          <w:rFonts w:asciiTheme="majorHAnsi" w:hAnsiTheme="majorHAnsi" w:cstheme="majorHAnsi"/>
          <w:lang w:val="en-GB"/>
        </w:rPr>
        <w:t xml:space="preserve"> the state budged for the health sector.</w:t>
      </w:r>
    </w:p>
    <w:p w14:paraId="5334867F" w14:textId="77777777" w:rsidR="004B7A71" w:rsidRPr="00381E8D" w:rsidRDefault="00022A1E" w:rsidP="00635A1B">
      <w:pPr>
        <w:pStyle w:val="Cabealho2"/>
        <w:numPr>
          <w:ilvl w:val="0"/>
          <w:numId w:val="8"/>
        </w:numPr>
        <w:spacing w:before="0" w:line="320" w:lineRule="atLeast"/>
        <w:jc w:val="both"/>
        <w:rPr>
          <w:rFonts w:asciiTheme="majorHAnsi" w:hAnsiTheme="majorHAnsi" w:cstheme="majorHAnsi"/>
          <w:lang w:val="en-GB"/>
        </w:rPr>
      </w:pPr>
      <w:r w:rsidRPr="00381E8D">
        <w:rPr>
          <w:rFonts w:asciiTheme="majorHAnsi" w:hAnsiTheme="majorHAnsi" w:cstheme="majorHAnsi"/>
          <w:lang w:val="en-GB"/>
        </w:rPr>
        <w:t>Training and Education: health care professionals and educational institutions</w:t>
      </w:r>
    </w:p>
    <w:p w14:paraId="280E0249" w14:textId="7CA40DC0" w:rsidR="00BE760E" w:rsidRPr="00381E8D" w:rsidRDefault="00022A1E" w:rsidP="00635A1B">
      <w:pPr>
        <w:pStyle w:val="Cabealho2"/>
        <w:numPr>
          <w:ilvl w:val="1"/>
          <w:numId w:val="8"/>
        </w:numPr>
        <w:spacing w:before="0" w:line="320" w:lineRule="atLeast"/>
        <w:jc w:val="both"/>
        <w:rPr>
          <w:rFonts w:asciiTheme="majorHAnsi" w:hAnsiTheme="majorHAnsi" w:cstheme="majorHAnsi"/>
          <w:bCs/>
          <w:lang w:val="en-GB"/>
        </w:rPr>
      </w:pPr>
      <w:r w:rsidRPr="00381E8D">
        <w:rPr>
          <w:rFonts w:asciiTheme="majorHAnsi" w:hAnsiTheme="majorHAnsi" w:cstheme="majorHAnsi"/>
          <w:bCs/>
          <w:lang w:val="en-GB"/>
        </w:rPr>
        <w:t xml:space="preserve">Are sexual orientation and gender identity, and the specific health needs of </w:t>
      </w:r>
      <w:r w:rsidR="009329C8" w:rsidRPr="00381E8D">
        <w:rPr>
          <w:rFonts w:asciiTheme="majorHAnsi" w:hAnsiTheme="majorHAnsi" w:cstheme="majorHAnsi"/>
          <w:bCs/>
          <w:lang w:val="en-GB"/>
        </w:rPr>
        <w:t xml:space="preserve">persons affected by violence and discrimination based on sexual orientation and gender </w:t>
      </w:r>
      <w:r w:rsidR="001528A3" w:rsidRPr="00381E8D">
        <w:rPr>
          <w:rFonts w:asciiTheme="majorHAnsi" w:hAnsiTheme="majorHAnsi" w:cstheme="majorHAnsi"/>
          <w:bCs/>
          <w:lang w:val="en-GB"/>
        </w:rPr>
        <w:t>identity,</w:t>
      </w:r>
      <w:r w:rsidRPr="00381E8D">
        <w:rPr>
          <w:rFonts w:asciiTheme="majorHAnsi" w:hAnsiTheme="majorHAnsi" w:cstheme="majorHAnsi"/>
          <w:bCs/>
          <w:lang w:val="en-GB"/>
        </w:rPr>
        <w:t xml:space="preserve"> included in training and education of health care professionals?</w:t>
      </w:r>
    </w:p>
    <w:p w14:paraId="241554B3" w14:textId="5A324B1C" w:rsidR="00C51FC9" w:rsidRPr="00381E8D" w:rsidRDefault="00C51FC9" w:rsidP="00381E8D">
      <w:pPr>
        <w:spacing w:after="120" w:line="320" w:lineRule="atLeast"/>
        <w:jc w:val="both"/>
        <w:rPr>
          <w:rFonts w:asciiTheme="majorHAnsi" w:hAnsiTheme="majorHAnsi" w:cstheme="majorHAnsi"/>
          <w:lang w:val="en-GB"/>
        </w:rPr>
      </w:pPr>
      <w:r w:rsidRPr="00381E8D">
        <w:rPr>
          <w:rFonts w:asciiTheme="majorHAnsi" w:hAnsiTheme="majorHAnsi" w:cstheme="majorHAnsi"/>
          <w:lang w:val="en-GB"/>
        </w:rPr>
        <w:t xml:space="preserve">As part of the amendment to the legislation on blood donation, training is scheduled for blood services professionals of the Portuguese Blood and Transplantation Institute with the aim of empowering and/or update knowledge for the Eligibility of Persons Applying for Blood Donation, in the harmonization of eligibility criteria in the context of risk concepts for the person applying for blood donation, receiving person, quality and safety of the product.  People applying for donation will also have access to awareness-raising training on values of equality, </w:t>
      </w:r>
      <w:r w:rsidR="009D6ABD" w:rsidRPr="00381E8D">
        <w:rPr>
          <w:rFonts w:asciiTheme="majorHAnsi" w:hAnsiTheme="majorHAnsi" w:cstheme="majorHAnsi"/>
          <w:lang w:val="en-GB"/>
        </w:rPr>
        <w:t>inclusion,</w:t>
      </w:r>
      <w:r w:rsidRPr="00381E8D">
        <w:rPr>
          <w:rFonts w:asciiTheme="majorHAnsi" w:hAnsiTheme="majorHAnsi" w:cstheme="majorHAnsi"/>
          <w:lang w:val="en-GB"/>
        </w:rPr>
        <w:t xml:space="preserve"> and non-discrimination.</w:t>
      </w:r>
    </w:p>
    <w:p w14:paraId="160610B5" w14:textId="5519750C" w:rsidR="001528A3" w:rsidRPr="00381E8D" w:rsidRDefault="001528A3" w:rsidP="00381E8D">
      <w:pPr>
        <w:spacing w:after="120" w:line="320" w:lineRule="atLeast"/>
        <w:jc w:val="both"/>
        <w:rPr>
          <w:rFonts w:asciiTheme="majorHAnsi" w:hAnsiTheme="majorHAnsi" w:cstheme="majorHAnsi"/>
          <w:lang w:val="en-GB"/>
        </w:rPr>
      </w:pPr>
      <w:r w:rsidRPr="00381E8D">
        <w:rPr>
          <w:rFonts w:asciiTheme="majorHAnsi" w:hAnsiTheme="majorHAnsi" w:cstheme="majorHAnsi"/>
          <w:lang w:val="en-GB"/>
        </w:rPr>
        <w:t xml:space="preserve">The Health Strategy for LGBTI persons also addresses this issue and proposes a training program. </w:t>
      </w:r>
    </w:p>
    <w:p w14:paraId="772D0300" w14:textId="6C4F841C" w:rsidR="00381E8D" w:rsidRPr="009D6ABD" w:rsidRDefault="00381E8D" w:rsidP="009D6ABD">
      <w:pPr>
        <w:spacing w:after="120" w:line="320" w:lineRule="atLeast"/>
        <w:jc w:val="both"/>
        <w:rPr>
          <w:rFonts w:asciiTheme="majorHAnsi" w:hAnsiTheme="majorHAnsi" w:cstheme="majorHAnsi"/>
          <w:lang w:val="en-GB"/>
        </w:rPr>
      </w:pPr>
      <w:r w:rsidRPr="009D6ABD">
        <w:rPr>
          <w:rFonts w:asciiTheme="majorHAnsi" w:hAnsiTheme="majorHAnsi" w:cstheme="majorHAnsi"/>
          <w:lang w:val="en-GB"/>
        </w:rPr>
        <w:t>The regional coordination of the National Program for the Prevention of Violence in the Lifecycle ensures the development of training and awareness sessions in specific areas such as the area of LGBTI people.</w:t>
      </w:r>
    </w:p>
    <w:p w14:paraId="1D43B141" w14:textId="4B8321E1" w:rsidR="004B7A71" w:rsidRPr="009D6ABD" w:rsidRDefault="00022A1E" w:rsidP="00635A1B">
      <w:pPr>
        <w:pStyle w:val="Cabealho2"/>
        <w:numPr>
          <w:ilvl w:val="1"/>
          <w:numId w:val="8"/>
        </w:numPr>
        <w:spacing w:before="0" w:line="320" w:lineRule="atLeast"/>
        <w:jc w:val="both"/>
        <w:rPr>
          <w:rFonts w:asciiTheme="majorHAnsi" w:hAnsiTheme="majorHAnsi" w:cstheme="majorHAnsi"/>
          <w:bCs/>
          <w:lang w:val="en-GB"/>
        </w:rPr>
      </w:pPr>
      <w:r w:rsidRPr="009D6ABD">
        <w:rPr>
          <w:rFonts w:asciiTheme="majorHAnsi" w:hAnsiTheme="majorHAnsi" w:cstheme="majorHAnsi"/>
          <w:bCs/>
          <w:lang w:val="en-GB"/>
        </w:rPr>
        <w:t>What measures are being taken to provide age-appropriate comprehensive sexuality education inclusive of sexual and gender diversity in educational institutions?</w:t>
      </w:r>
    </w:p>
    <w:p w14:paraId="6EA5047D" w14:textId="53F5D641" w:rsidR="00F03CED" w:rsidRPr="009D6ABD" w:rsidRDefault="00F03CED" w:rsidP="009D6ABD">
      <w:pPr>
        <w:spacing w:after="120" w:line="320" w:lineRule="atLeast"/>
        <w:jc w:val="both"/>
        <w:rPr>
          <w:rFonts w:asciiTheme="majorHAnsi" w:hAnsiTheme="majorHAnsi" w:cstheme="majorHAnsi"/>
          <w:lang w:val="en-GB"/>
        </w:rPr>
      </w:pPr>
      <w:r w:rsidRPr="009D6ABD">
        <w:rPr>
          <w:rFonts w:asciiTheme="majorHAnsi" w:hAnsiTheme="majorHAnsi" w:cstheme="majorHAnsi"/>
          <w:lang w:val="en-GB"/>
        </w:rPr>
        <w:t xml:space="preserve">Since 2017, the National Education Strategy for Citizenship was launched to be implemented in </w:t>
      </w:r>
      <w:r w:rsidR="005D03DB" w:rsidRPr="009D6ABD">
        <w:rPr>
          <w:rFonts w:asciiTheme="majorHAnsi" w:hAnsiTheme="majorHAnsi" w:cstheme="majorHAnsi"/>
          <w:lang w:val="en-GB"/>
        </w:rPr>
        <w:t>all</w:t>
      </w:r>
      <w:r w:rsidRPr="009D6ABD">
        <w:rPr>
          <w:rFonts w:asciiTheme="majorHAnsi" w:hAnsiTheme="majorHAnsi" w:cstheme="majorHAnsi"/>
          <w:lang w:val="en-GB"/>
        </w:rPr>
        <w:t xml:space="preserve"> public and private schools. It is intended that students develop and actively participate in projects that promote the construction </w:t>
      </w:r>
      <w:r w:rsidR="0049720F" w:rsidRPr="009D6ABD">
        <w:rPr>
          <w:rFonts w:asciiTheme="majorHAnsi" w:hAnsiTheme="majorHAnsi" w:cstheme="majorHAnsi"/>
          <w:lang w:val="en-GB"/>
        </w:rPr>
        <w:t xml:space="preserve">of </w:t>
      </w:r>
      <w:r w:rsidRPr="009D6ABD">
        <w:rPr>
          <w:rFonts w:asciiTheme="majorHAnsi" w:hAnsiTheme="majorHAnsi" w:cstheme="majorHAnsi"/>
          <w:lang w:val="en-GB"/>
        </w:rPr>
        <w:t>more inclusive societies, within the framework of Democracy, respect for diversity and human rights</w:t>
      </w:r>
      <w:r w:rsidR="00D27C47">
        <w:rPr>
          <w:rFonts w:asciiTheme="majorHAnsi" w:hAnsiTheme="majorHAnsi" w:cstheme="majorHAnsi"/>
          <w:lang w:val="en-GB"/>
        </w:rPr>
        <w:t xml:space="preserve"> protection</w:t>
      </w:r>
      <w:r w:rsidRPr="009D6ABD">
        <w:rPr>
          <w:rFonts w:asciiTheme="majorHAnsi" w:hAnsiTheme="majorHAnsi" w:cstheme="majorHAnsi"/>
          <w:lang w:val="en-GB"/>
        </w:rPr>
        <w:t>.</w:t>
      </w:r>
    </w:p>
    <w:p w14:paraId="3F0A96FA" w14:textId="39A15917" w:rsidR="00517582" w:rsidRPr="009D6ABD" w:rsidRDefault="00B55470" w:rsidP="009D6ABD">
      <w:pPr>
        <w:spacing w:after="120" w:line="320" w:lineRule="atLeast"/>
        <w:jc w:val="both"/>
        <w:rPr>
          <w:rFonts w:asciiTheme="majorHAnsi" w:hAnsiTheme="majorHAnsi" w:cstheme="majorHAnsi"/>
          <w:lang w:val="en-GB"/>
        </w:rPr>
      </w:pPr>
      <w:r w:rsidRPr="009D6ABD">
        <w:rPr>
          <w:rFonts w:asciiTheme="majorHAnsi" w:hAnsiTheme="majorHAnsi" w:cstheme="majorHAnsi"/>
          <w:lang w:val="en-GB"/>
        </w:rPr>
        <w:t xml:space="preserve">CIG provides training on non-discrimination, gender equality and SOGIESC issues to key professionals, including teachers, and there are also some </w:t>
      </w:r>
      <w:r w:rsidR="00B33EE3" w:rsidRPr="009D6ABD">
        <w:rPr>
          <w:rFonts w:asciiTheme="majorHAnsi" w:hAnsiTheme="majorHAnsi" w:cstheme="majorHAnsi"/>
          <w:lang w:val="en-GB"/>
        </w:rPr>
        <w:t>projects from LGBTI NGOs</w:t>
      </w:r>
      <w:r w:rsidRPr="009D6ABD">
        <w:rPr>
          <w:rFonts w:asciiTheme="majorHAnsi" w:hAnsiTheme="majorHAnsi" w:cstheme="majorHAnsi"/>
          <w:lang w:val="en-GB"/>
        </w:rPr>
        <w:t xml:space="preserve">, supported by public funds, that aim to raise awareness and provide training and non-discrimination and SOGIESC issues within </w:t>
      </w:r>
      <w:r w:rsidR="00B33EE3" w:rsidRPr="009D6ABD">
        <w:rPr>
          <w:rFonts w:asciiTheme="majorHAnsi" w:hAnsiTheme="majorHAnsi" w:cstheme="majorHAnsi"/>
          <w:lang w:val="en-GB"/>
        </w:rPr>
        <w:t>the school community</w:t>
      </w:r>
      <w:r w:rsidRPr="009D6ABD">
        <w:rPr>
          <w:rFonts w:asciiTheme="majorHAnsi" w:hAnsiTheme="majorHAnsi" w:cstheme="majorHAnsi"/>
          <w:lang w:val="en-GB"/>
        </w:rPr>
        <w:t xml:space="preserve">. </w:t>
      </w:r>
    </w:p>
    <w:p w14:paraId="2F282C05" w14:textId="77777777" w:rsidR="005D03DB" w:rsidRPr="009D6ABD" w:rsidRDefault="00BC11E0" w:rsidP="00635A1B">
      <w:pPr>
        <w:pStyle w:val="Cabealho2"/>
        <w:numPr>
          <w:ilvl w:val="1"/>
          <w:numId w:val="8"/>
        </w:numPr>
        <w:spacing w:before="0" w:line="320" w:lineRule="atLeast"/>
        <w:jc w:val="both"/>
        <w:rPr>
          <w:rFonts w:asciiTheme="majorHAnsi" w:hAnsiTheme="majorHAnsi" w:cstheme="majorHAnsi"/>
          <w:bCs/>
          <w:lang w:val="en-GB"/>
        </w:rPr>
      </w:pPr>
      <w:r w:rsidRPr="009D6ABD">
        <w:rPr>
          <w:rFonts w:asciiTheme="majorHAnsi" w:hAnsiTheme="majorHAnsi" w:cstheme="majorHAnsi"/>
          <w:bCs/>
          <w:lang w:val="en-GB"/>
        </w:rPr>
        <w:t>Are evidence-based and up-to-date guidelines that include SOGI issues available? How are they used to influence health related decisions on policy, programming, services including diagnostic manuals, and practices within the health care institutions?</w:t>
      </w:r>
      <w:r w:rsidRPr="009D6ABD" w:rsidDel="00BC11E0">
        <w:rPr>
          <w:rFonts w:asciiTheme="majorHAnsi" w:hAnsiTheme="majorHAnsi" w:cstheme="majorHAnsi"/>
          <w:bCs/>
          <w:lang w:val="en-GB"/>
        </w:rPr>
        <w:t xml:space="preserve"> </w:t>
      </w:r>
    </w:p>
    <w:p w14:paraId="2DFDF45A" w14:textId="192967BD" w:rsidR="005D03DB" w:rsidRPr="009D6ABD" w:rsidRDefault="005D03DB" w:rsidP="009D6ABD">
      <w:pPr>
        <w:spacing w:after="120" w:line="320" w:lineRule="atLeast"/>
        <w:jc w:val="both"/>
        <w:rPr>
          <w:rFonts w:asciiTheme="majorHAnsi" w:hAnsiTheme="majorHAnsi" w:cstheme="majorHAnsi"/>
          <w:lang w:val="en-GB"/>
        </w:rPr>
      </w:pPr>
      <w:r w:rsidRPr="009D6ABD">
        <w:rPr>
          <w:rFonts w:asciiTheme="majorHAnsi" w:hAnsiTheme="majorHAnsi" w:cstheme="majorHAnsi"/>
          <w:lang w:val="en-GB"/>
        </w:rPr>
        <w:t>The already mentioned 1</w:t>
      </w:r>
      <w:r w:rsidRPr="009D6ABD">
        <w:rPr>
          <w:rFonts w:asciiTheme="majorHAnsi" w:hAnsiTheme="majorHAnsi" w:cstheme="majorHAnsi"/>
          <w:vertAlign w:val="superscript"/>
          <w:lang w:val="en-GB"/>
        </w:rPr>
        <w:t>st</w:t>
      </w:r>
      <w:r w:rsidRPr="009D6ABD">
        <w:rPr>
          <w:rFonts w:asciiTheme="majorHAnsi" w:hAnsiTheme="majorHAnsi" w:cstheme="majorHAnsi"/>
          <w:lang w:val="en-GB"/>
        </w:rPr>
        <w:t xml:space="preserve"> Health Strategy for LGBTI and the blood donation standard</w:t>
      </w:r>
      <w:r w:rsidR="00DC4252" w:rsidRPr="009D6ABD">
        <w:rPr>
          <w:rFonts w:asciiTheme="majorHAnsi" w:hAnsiTheme="majorHAnsi" w:cstheme="majorHAnsi"/>
          <w:lang w:val="en-GB"/>
        </w:rPr>
        <w:t xml:space="preserve"> updated in 2021</w:t>
      </w:r>
      <w:r w:rsidRPr="009D6ABD">
        <w:rPr>
          <w:rFonts w:asciiTheme="majorHAnsi" w:hAnsiTheme="majorHAnsi" w:cstheme="majorHAnsi"/>
          <w:lang w:val="en-GB"/>
        </w:rPr>
        <w:t>.</w:t>
      </w:r>
    </w:p>
    <w:p w14:paraId="17E08701" w14:textId="04A3CD2A" w:rsidR="009D6ABD" w:rsidRPr="009D6ABD" w:rsidRDefault="009D6ABD" w:rsidP="009D6ABD">
      <w:pPr>
        <w:spacing w:after="120" w:line="320" w:lineRule="atLeast"/>
        <w:jc w:val="both"/>
        <w:rPr>
          <w:rFonts w:asciiTheme="majorHAnsi" w:hAnsiTheme="majorHAnsi" w:cstheme="majorHAnsi"/>
          <w:lang w:val="en-GB"/>
        </w:rPr>
      </w:pPr>
      <w:r w:rsidRPr="009D6ABD">
        <w:rPr>
          <w:rFonts w:asciiTheme="majorHAnsi" w:hAnsiTheme="majorHAnsi" w:cstheme="majorHAnsi"/>
          <w:lang w:val="en-GB"/>
        </w:rPr>
        <w:t xml:space="preserve">Program contents, good practices implemented at national level for all services providing care (primary and hospital health care), which include action protocols, registration systems, technical documentation, training programs, are properly aligned with national and international normative, including Sustainable Development Goals, from an inclusive and non-discriminatory approach, focusing </w:t>
      </w:r>
      <w:r w:rsidR="00D27C47">
        <w:rPr>
          <w:rFonts w:asciiTheme="majorHAnsi" w:hAnsiTheme="majorHAnsi" w:cstheme="majorHAnsi"/>
          <w:lang w:val="en-GB"/>
        </w:rPr>
        <w:t>on h</w:t>
      </w:r>
      <w:r w:rsidRPr="009D6ABD">
        <w:rPr>
          <w:rFonts w:asciiTheme="majorHAnsi" w:hAnsiTheme="majorHAnsi" w:cstheme="majorHAnsi"/>
          <w:lang w:val="en-GB"/>
        </w:rPr>
        <w:t xml:space="preserve">uman </w:t>
      </w:r>
      <w:r w:rsidR="00D27C47">
        <w:rPr>
          <w:rFonts w:asciiTheme="majorHAnsi" w:hAnsiTheme="majorHAnsi" w:cstheme="majorHAnsi"/>
          <w:lang w:val="en-GB"/>
        </w:rPr>
        <w:t>r</w:t>
      </w:r>
      <w:r w:rsidRPr="009D6ABD">
        <w:rPr>
          <w:rFonts w:asciiTheme="majorHAnsi" w:hAnsiTheme="majorHAnsi" w:cstheme="majorHAnsi"/>
          <w:lang w:val="en-GB"/>
        </w:rPr>
        <w:t>ights promotion.</w:t>
      </w:r>
    </w:p>
    <w:p w14:paraId="77E3CFD0" w14:textId="77777777" w:rsidR="004B7A71" w:rsidRPr="00381E8D" w:rsidRDefault="00022A1E" w:rsidP="00635A1B">
      <w:pPr>
        <w:pStyle w:val="Cabealho2"/>
        <w:numPr>
          <w:ilvl w:val="0"/>
          <w:numId w:val="8"/>
        </w:numPr>
        <w:spacing w:before="0" w:line="320" w:lineRule="atLeast"/>
        <w:jc w:val="both"/>
        <w:rPr>
          <w:rFonts w:asciiTheme="majorHAnsi" w:hAnsiTheme="majorHAnsi" w:cstheme="majorHAnsi"/>
          <w:lang w:val="en-GB"/>
        </w:rPr>
      </w:pPr>
      <w:r w:rsidRPr="00381E8D">
        <w:rPr>
          <w:rFonts w:asciiTheme="majorHAnsi" w:hAnsiTheme="majorHAnsi" w:cstheme="majorHAnsi"/>
          <w:lang w:val="en-GB"/>
        </w:rPr>
        <w:t>Sustainable Development Goals</w:t>
      </w:r>
    </w:p>
    <w:p w14:paraId="06BEC18C" w14:textId="23BDBB33" w:rsidR="004B7A71" w:rsidRPr="009D6ABD" w:rsidRDefault="24626FB8" w:rsidP="00635A1B">
      <w:pPr>
        <w:pStyle w:val="Cabealho2"/>
        <w:numPr>
          <w:ilvl w:val="1"/>
          <w:numId w:val="8"/>
        </w:numPr>
        <w:spacing w:before="0" w:line="320" w:lineRule="atLeast"/>
        <w:jc w:val="both"/>
        <w:rPr>
          <w:rFonts w:asciiTheme="majorHAnsi" w:hAnsiTheme="majorHAnsi" w:cstheme="majorHAnsi"/>
          <w:bCs/>
          <w:lang w:val="en-GB"/>
        </w:rPr>
      </w:pPr>
      <w:r w:rsidRPr="009D6ABD">
        <w:rPr>
          <w:rFonts w:asciiTheme="majorHAnsi" w:hAnsiTheme="majorHAnsi" w:cstheme="majorHAnsi"/>
          <w:bCs/>
          <w:lang w:val="en-GB"/>
        </w:rPr>
        <w:t xml:space="preserve">Where the State measures its progress against SDG3, does it make reference to the health outcomes and needs of </w:t>
      </w:r>
      <w:r w:rsidR="009329C8" w:rsidRPr="009D6ABD">
        <w:rPr>
          <w:rFonts w:asciiTheme="majorHAnsi" w:hAnsiTheme="majorHAnsi" w:cstheme="majorHAnsi"/>
          <w:bCs/>
          <w:lang w:val="en-GB"/>
        </w:rPr>
        <w:t>persons affected by violence and discrimination based on sexual orientation and gender identity</w:t>
      </w:r>
      <w:r w:rsidRPr="009D6ABD">
        <w:rPr>
          <w:rFonts w:asciiTheme="majorHAnsi" w:hAnsiTheme="majorHAnsi" w:cstheme="majorHAnsi"/>
          <w:bCs/>
          <w:lang w:val="en-GB"/>
        </w:rPr>
        <w:t>?</w:t>
      </w:r>
    </w:p>
    <w:p w14:paraId="40C3626D" w14:textId="726410D4" w:rsidR="009D6ABD" w:rsidRPr="009D6ABD" w:rsidRDefault="009D6ABD" w:rsidP="009D6ABD">
      <w:pPr>
        <w:rPr>
          <w:rFonts w:asciiTheme="majorHAnsi" w:hAnsiTheme="majorHAnsi" w:cstheme="majorHAnsi"/>
          <w:lang w:val="en-GB"/>
        </w:rPr>
      </w:pPr>
      <w:r w:rsidRPr="009D6ABD">
        <w:rPr>
          <w:rFonts w:asciiTheme="majorHAnsi" w:hAnsiTheme="majorHAnsi" w:cstheme="majorHAnsi"/>
          <w:lang w:val="en-GB"/>
        </w:rPr>
        <w:t>N/A</w:t>
      </w:r>
    </w:p>
    <w:p w14:paraId="3682F888" w14:textId="6EFD4EA3" w:rsidR="001A0258" w:rsidRPr="009D6ABD" w:rsidRDefault="00022A1E" w:rsidP="00635A1B">
      <w:pPr>
        <w:pStyle w:val="Cabealho2"/>
        <w:numPr>
          <w:ilvl w:val="1"/>
          <w:numId w:val="8"/>
        </w:numPr>
        <w:spacing w:before="0" w:line="320" w:lineRule="atLeast"/>
        <w:jc w:val="both"/>
        <w:rPr>
          <w:rFonts w:asciiTheme="majorHAnsi" w:hAnsiTheme="majorHAnsi" w:cstheme="majorHAnsi"/>
          <w:bCs/>
          <w:lang w:val="en-GB"/>
        </w:rPr>
      </w:pPr>
      <w:r w:rsidRPr="009D6ABD">
        <w:rPr>
          <w:rFonts w:asciiTheme="majorHAnsi" w:hAnsiTheme="majorHAnsi" w:cstheme="majorHAnsi"/>
          <w:bCs/>
          <w:lang w:val="en-GB"/>
        </w:rPr>
        <w:t xml:space="preserve">Does the State measure progress against any of the following SDG3 indicators for </w:t>
      </w:r>
      <w:r w:rsidR="009329C8" w:rsidRPr="009D6ABD">
        <w:rPr>
          <w:rFonts w:asciiTheme="majorHAnsi" w:hAnsiTheme="majorHAnsi" w:cstheme="majorHAnsi"/>
          <w:bCs/>
          <w:lang w:val="en-GB"/>
        </w:rPr>
        <w:t>persons affected by violence and discrimination based on sexual orientation and gender identity</w:t>
      </w:r>
      <w:r w:rsidRPr="009D6ABD">
        <w:rPr>
          <w:rFonts w:asciiTheme="majorHAnsi" w:hAnsiTheme="majorHAnsi" w:cstheme="majorHAnsi"/>
          <w:bCs/>
          <w:lang w:val="en-GB"/>
        </w:rPr>
        <w:t>? If so, please comment on whether health outcomes are improving or declining:</w:t>
      </w:r>
    </w:p>
    <w:p w14:paraId="25C66AF2" w14:textId="45888B2C" w:rsidR="006D1396" w:rsidRPr="006D1396" w:rsidRDefault="00022A1E" w:rsidP="006D1396">
      <w:pPr>
        <w:pStyle w:val="PargrafodaLista"/>
        <w:numPr>
          <w:ilvl w:val="2"/>
          <w:numId w:val="8"/>
        </w:numPr>
        <w:spacing w:after="120" w:line="320" w:lineRule="atLeast"/>
        <w:ind w:left="1418" w:hanging="284"/>
        <w:contextualSpacing w:val="0"/>
        <w:jc w:val="both"/>
        <w:rPr>
          <w:rFonts w:asciiTheme="majorHAnsi" w:eastAsia="Calibri" w:hAnsiTheme="majorHAnsi" w:cstheme="majorHAnsi"/>
          <w:b/>
          <w:bCs/>
          <w:lang w:val="en-GB"/>
        </w:rPr>
      </w:pPr>
      <w:r w:rsidRPr="006D1396">
        <w:rPr>
          <w:rFonts w:asciiTheme="majorHAnsi" w:eastAsia="Calibri" w:hAnsiTheme="majorHAnsi" w:cstheme="majorHAnsi"/>
          <w:b/>
          <w:bCs/>
          <w:lang w:val="en-GB"/>
        </w:rPr>
        <w:t>Indicator 3.3.1: Number of new HIV infections per 1,000 uninfected population, by sex, age and key populations;</w:t>
      </w:r>
    </w:p>
    <w:p w14:paraId="3DEB9A60" w14:textId="0B693EF3" w:rsidR="006D1396" w:rsidRPr="006D1396" w:rsidRDefault="006D1396" w:rsidP="006D1396">
      <w:pPr>
        <w:ind w:left="982" w:firstLine="436"/>
        <w:rPr>
          <w:rFonts w:asciiTheme="majorHAnsi" w:hAnsiTheme="majorHAnsi" w:cstheme="majorHAnsi"/>
          <w:lang w:val="en-GB"/>
        </w:rPr>
      </w:pPr>
      <w:r w:rsidRPr="009D6ABD">
        <w:rPr>
          <w:rFonts w:asciiTheme="majorHAnsi" w:hAnsiTheme="majorHAnsi" w:cstheme="majorHAnsi"/>
          <w:lang w:val="en-GB"/>
        </w:rPr>
        <w:t>N/A</w:t>
      </w:r>
    </w:p>
    <w:p w14:paraId="03D14E29" w14:textId="32B69DC4" w:rsidR="004B7A71" w:rsidRDefault="00022A1E" w:rsidP="00635A1B">
      <w:pPr>
        <w:pStyle w:val="PargrafodaLista"/>
        <w:numPr>
          <w:ilvl w:val="2"/>
          <w:numId w:val="8"/>
        </w:numPr>
        <w:spacing w:after="120" w:line="320" w:lineRule="atLeast"/>
        <w:ind w:left="1418" w:hanging="284"/>
        <w:contextualSpacing w:val="0"/>
        <w:jc w:val="both"/>
        <w:rPr>
          <w:rFonts w:asciiTheme="majorHAnsi" w:eastAsia="Calibri" w:hAnsiTheme="majorHAnsi" w:cstheme="majorHAnsi"/>
          <w:b/>
          <w:bCs/>
          <w:lang w:val="en-GB"/>
        </w:rPr>
      </w:pPr>
      <w:r w:rsidRPr="006D1396">
        <w:rPr>
          <w:rFonts w:asciiTheme="majorHAnsi" w:eastAsia="Calibri" w:hAnsiTheme="majorHAnsi" w:cstheme="majorHAnsi"/>
          <w:b/>
          <w:bCs/>
          <w:lang w:val="en-GB"/>
        </w:rPr>
        <w:t>Indicator 3.4.2: Suicide mortality rate;</w:t>
      </w:r>
    </w:p>
    <w:p w14:paraId="22CF3CF3" w14:textId="342372B5" w:rsidR="006D1396" w:rsidRPr="006D1396" w:rsidRDefault="006D1396" w:rsidP="006D1396">
      <w:pPr>
        <w:pStyle w:val="PargrafodaLista"/>
        <w:spacing w:after="120" w:line="320" w:lineRule="atLeast"/>
        <w:ind w:left="1418"/>
        <w:contextualSpacing w:val="0"/>
        <w:jc w:val="both"/>
        <w:rPr>
          <w:rFonts w:asciiTheme="majorHAnsi" w:eastAsia="Calibri" w:hAnsiTheme="majorHAnsi" w:cstheme="majorHAnsi"/>
          <w:b/>
          <w:bCs/>
          <w:lang w:val="en-GB"/>
        </w:rPr>
      </w:pPr>
      <w:r w:rsidRPr="009D6ABD">
        <w:rPr>
          <w:rFonts w:asciiTheme="majorHAnsi" w:hAnsiTheme="majorHAnsi" w:cstheme="majorHAnsi"/>
          <w:lang w:val="en-GB"/>
        </w:rPr>
        <w:t>N/A</w:t>
      </w:r>
    </w:p>
    <w:p w14:paraId="7D49A74A" w14:textId="4EF466E4" w:rsidR="004B7A71" w:rsidRDefault="00022A1E" w:rsidP="00635A1B">
      <w:pPr>
        <w:pStyle w:val="PargrafodaLista"/>
        <w:numPr>
          <w:ilvl w:val="2"/>
          <w:numId w:val="8"/>
        </w:numPr>
        <w:spacing w:after="120" w:line="320" w:lineRule="atLeast"/>
        <w:ind w:left="1418" w:hanging="284"/>
        <w:contextualSpacing w:val="0"/>
        <w:jc w:val="both"/>
        <w:rPr>
          <w:rFonts w:asciiTheme="majorHAnsi" w:eastAsia="Calibri" w:hAnsiTheme="majorHAnsi" w:cstheme="majorHAnsi"/>
          <w:b/>
          <w:bCs/>
          <w:lang w:val="en-GB"/>
        </w:rPr>
      </w:pPr>
      <w:r w:rsidRPr="006D1396">
        <w:rPr>
          <w:rFonts w:asciiTheme="majorHAnsi" w:eastAsia="Calibri" w:hAnsiTheme="majorHAnsi" w:cstheme="majorHAnsi"/>
          <w:b/>
          <w:bCs/>
          <w:lang w:val="en-GB"/>
        </w:rPr>
        <w:t>Indicator 3.5.1: Coverage of treatment interventions (pharmacological, psychosocial and rehabilitation and aftercare services) for substance use disorders;</w:t>
      </w:r>
    </w:p>
    <w:p w14:paraId="111C0A34" w14:textId="7BC02A67" w:rsidR="006D1396" w:rsidRPr="006D1396" w:rsidRDefault="006D1396" w:rsidP="006D1396">
      <w:pPr>
        <w:pStyle w:val="PargrafodaLista"/>
        <w:spacing w:after="120" w:line="320" w:lineRule="atLeast"/>
        <w:ind w:left="1418"/>
        <w:contextualSpacing w:val="0"/>
        <w:jc w:val="both"/>
        <w:rPr>
          <w:rFonts w:asciiTheme="majorHAnsi" w:eastAsia="Calibri" w:hAnsiTheme="majorHAnsi" w:cstheme="majorHAnsi"/>
          <w:b/>
          <w:bCs/>
          <w:lang w:val="en-GB"/>
        </w:rPr>
      </w:pPr>
      <w:r w:rsidRPr="009D6ABD">
        <w:rPr>
          <w:rFonts w:asciiTheme="majorHAnsi" w:hAnsiTheme="majorHAnsi" w:cstheme="majorHAnsi"/>
          <w:lang w:val="en-GB"/>
        </w:rPr>
        <w:t>N/A</w:t>
      </w:r>
    </w:p>
    <w:p w14:paraId="49E1C782" w14:textId="1627B67E" w:rsidR="004B7A71" w:rsidRDefault="00022A1E" w:rsidP="00635A1B">
      <w:pPr>
        <w:pStyle w:val="PargrafodaLista"/>
        <w:numPr>
          <w:ilvl w:val="2"/>
          <w:numId w:val="8"/>
        </w:numPr>
        <w:spacing w:after="120" w:line="320" w:lineRule="atLeast"/>
        <w:ind w:left="1418" w:hanging="284"/>
        <w:contextualSpacing w:val="0"/>
        <w:jc w:val="both"/>
        <w:rPr>
          <w:rFonts w:asciiTheme="majorHAnsi" w:eastAsia="Calibri" w:hAnsiTheme="majorHAnsi" w:cstheme="majorHAnsi"/>
          <w:b/>
          <w:bCs/>
          <w:lang w:val="en-GB"/>
        </w:rPr>
      </w:pPr>
      <w:r w:rsidRPr="006D1396">
        <w:rPr>
          <w:rFonts w:asciiTheme="majorHAnsi" w:eastAsia="Calibri" w:hAnsiTheme="majorHAnsi" w:cstheme="majorHAnsi"/>
          <w:b/>
          <w:bCs/>
          <w:lang w:val="en-GB"/>
        </w:rPr>
        <w:t>Indicator 3.5.2: Harmful use of alcohol, defined according to the national context as alcohol per capita consumption (aged 15 years and older) within a calendar year in litres of pure alcohol</w:t>
      </w:r>
    </w:p>
    <w:p w14:paraId="0C90CA08" w14:textId="29A3489C" w:rsidR="006D1396" w:rsidRPr="006D1396" w:rsidRDefault="006D1396" w:rsidP="006D1396">
      <w:pPr>
        <w:pStyle w:val="PargrafodaLista"/>
        <w:spacing w:after="120" w:line="320" w:lineRule="atLeast"/>
        <w:ind w:left="1418"/>
        <w:contextualSpacing w:val="0"/>
        <w:jc w:val="both"/>
        <w:rPr>
          <w:rFonts w:asciiTheme="majorHAnsi" w:eastAsia="Calibri" w:hAnsiTheme="majorHAnsi" w:cstheme="majorHAnsi"/>
          <w:b/>
          <w:bCs/>
          <w:lang w:val="en-GB"/>
        </w:rPr>
      </w:pPr>
      <w:r w:rsidRPr="009D6ABD">
        <w:rPr>
          <w:rFonts w:asciiTheme="majorHAnsi" w:hAnsiTheme="majorHAnsi" w:cstheme="majorHAnsi"/>
          <w:lang w:val="en-GB"/>
        </w:rPr>
        <w:t>N/A</w:t>
      </w:r>
    </w:p>
    <w:p w14:paraId="2548BC7F" w14:textId="782548E2" w:rsidR="004B7A71" w:rsidRDefault="24626FB8" w:rsidP="00635A1B">
      <w:pPr>
        <w:pStyle w:val="PargrafodaLista"/>
        <w:numPr>
          <w:ilvl w:val="2"/>
          <w:numId w:val="8"/>
        </w:numPr>
        <w:spacing w:after="120" w:line="320" w:lineRule="atLeast"/>
        <w:ind w:left="1418" w:hanging="284"/>
        <w:contextualSpacing w:val="0"/>
        <w:jc w:val="both"/>
        <w:rPr>
          <w:rFonts w:asciiTheme="majorHAnsi" w:eastAsia="Calibri" w:hAnsiTheme="majorHAnsi" w:cstheme="majorHAnsi"/>
          <w:b/>
          <w:bCs/>
          <w:lang w:val="en-GB"/>
        </w:rPr>
      </w:pPr>
      <w:r w:rsidRPr="006D1396">
        <w:rPr>
          <w:rFonts w:asciiTheme="majorHAnsi" w:eastAsia="Calibri" w:hAnsiTheme="majorHAnsi" w:cstheme="majorHAnsi"/>
          <w:b/>
          <w:bCs/>
          <w:lang w:val="en-GB"/>
        </w:rPr>
        <w:t xml:space="preserve">Indicator 3.7.1: Proportion of women of reproductive age (aged 15-49 years) who have their need for family planning satisfied with modern methods, including lesbian and bisexual women, and trans </w:t>
      </w:r>
      <w:r w:rsidR="75EE2B4C" w:rsidRPr="006D1396">
        <w:rPr>
          <w:rFonts w:asciiTheme="majorHAnsi" w:eastAsia="Calibri" w:hAnsiTheme="majorHAnsi" w:cstheme="majorHAnsi"/>
          <w:b/>
          <w:bCs/>
          <w:lang w:val="en-GB"/>
        </w:rPr>
        <w:t>persons</w:t>
      </w:r>
      <w:r w:rsidRPr="006D1396">
        <w:rPr>
          <w:rFonts w:asciiTheme="majorHAnsi" w:eastAsia="Calibri" w:hAnsiTheme="majorHAnsi" w:cstheme="majorHAnsi"/>
          <w:b/>
          <w:bCs/>
          <w:lang w:val="en-GB"/>
        </w:rPr>
        <w:t>;</w:t>
      </w:r>
    </w:p>
    <w:p w14:paraId="4969F97E" w14:textId="01952620" w:rsidR="006D1396" w:rsidRPr="006D1396" w:rsidRDefault="006D1396" w:rsidP="006D1396">
      <w:pPr>
        <w:pStyle w:val="PargrafodaLista"/>
        <w:spacing w:after="120" w:line="320" w:lineRule="atLeast"/>
        <w:ind w:left="1418"/>
        <w:contextualSpacing w:val="0"/>
        <w:jc w:val="both"/>
        <w:rPr>
          <w:rFonts w:asciiTheme="majorHAnsi" w:eastAsia="Calibri" w:hAnsiTheme="majorHAnsi" w:cstheme="majorHAnsi"/>
          <w:b/>
          <w:bCs/>
          <w:lang w:val="en-GB"/>
        </w:rPr>
      </w:pPr>
      <w:r w:rsidRPr="009D6ABD">
        <w:rPr>
          <w:rFonts w:asciiTheme="majorHAnsi" w:hAnsiTheme="majorHAnsi" w:cstheme="majorHAnsi"/>
          <w:lang w:val="en-GB"/>
        </w:rPr>
        <w:t>N/A</w:t>
      </w:r>
    </w:p>
    <w:p w14:paraId="5E620F84" w14:textId="51E45AD0" w:rsidR="004B7A71" w:rsidRDefault="525DB160" w:rsidP="00635A1B">
      <w:pPr>
        <w:pStyle w:val="PargrafodaLista"/>
        <w:numPr>
          <w:ilvl w:val="2"/>
          <w:numId w:val="8"/>
        </w:numPr>
        <w:spacing w:after="120" w:line="320" w:lineRule="atLeast"/>
        <w:ind w:left="1418" w:hanging="284"/>
        <w:contextualSpacing w:val="0"/>
        <w:jc w:val="both"/>
        <w:rPr>
          <w:rFonts w:asciiTheme="majorHAnsi" w:eastAsia="Calibri" w:hAnsiTheme="majorHAnsi" w:cstheme="majorHAnsi"/>
          <w:b/>
          <w:bCs/>
          <w:lang w:val="en-GB"/>
        </w:rPr>
      </w:pPr>
      <w:r w:rsidRPr="006D1396">
        <w:rPr>
          <w:rFonts w:asciiTheme="majorHAnsi" w:eastAsia="Calibri" w:hAnsiTheme="majorHAnsi" w:cstheme="majorHAnsi"/>
          <w:b/>
          <w:bCs/>
          <w:lang w:val="en-GB"/>
        </w:rPr>
        <w:t xml:space="preserve">Indicator 3.7.2: Adolescent birth rate (aged 10-14 years; aged 15-19 years) per 1,000 women </w:t>
      </w:r>
      <w:r w:rsidR="00A465D9" w:rsidRPr="006D1396">
        <w:rPr>
          <w:rFonts w:asciiTheme="majorHAnsi" w:eastAsia="Calibri" w:hAnsiTheme="majorHAnsi" w:cstheme="majorHAnsi"/>
          <w:b/>
          <w:bCs/>
          <w:lang w:val="en-GB"/>
        </w:rPr>
        <w:t xml:space="preserve">and trans men </w:t>
      </w:r>
      <w:r w:rsidRPr="006D1396">
        <w:rPr>
          <w:rFonts w:asciiTheme="majorHAnsi" w:eastAsia="Calibri" w:hAnsiTheme="majorHAnsi" w:cstheme="majorHAnsi"/>
          <w:b/>
          <w:bCs/>
          <w:lang w:val="en-GB"/>
        </w:rPr>
        <w:t xml:space="preserve">in that age group, particularly among </w:t>
      </w:r>
      <w:r w:rsidR="00A465D9" w:rsidRPr="006D1396">
        <w:rPr>
          <w:rFonts w:asciiTheme="majorHAnsi" w:eastAsia="Calibri" w:hAnsiTheme="majorHAnsi" w:cstheme="majorHAnsi"/>
          <w:b/>
          <w:bCs/>
          <w:lang w:val="en-GB"/>
        </w:rPr>
        <w:t>LBT and GNC young individuals</w:t>
      </w:r>
      <w:r w:rsidRPr="006D1396">
        <w:rPr>
          <w:rFonts w:asciiTheme="majorHAnsi" w:eastAsia="Calibri" w:hAnsiTheme="majorHAnsi" w:cstheme="majorHAnsi"/>
          <w:b/>
          <w:bCs/>
          <w:lang w:val="en-GB"/>
        </w:rPr>
        <w:t>;</w:t>
      </w:r>
    </w:p>
    <w:p w14:paraId="407CB874" w14:textId="0BBD05BF" w:rsidR="006D1396" w:rsidRPr="006D1396" w:rsidRDefault="006D1396" w:rsidP="006D1396">
      <w:pPr>
        <w:pStyle w:val="PargrafodaLista"/>
        <w:spacing w:after="120" w:line="320" w:lineRule="atLeast"/>
        <w:ind w:left="1418"/>
        <w:contextualSpacing w:val="0"/>
        <w:jc w:val="both"/>
        <w:rPr>
          <w:rFonts w:asciiTheme="majorHAnsi" w:eastAsia="Calibri" w:hAnsiTheme="majorHAnsi" w:cstheme="majorHAnsi"/>
          <w:b/>
          <w:bCs/>
          <w:lang w:val="en-GB"/>
        </w:rPr>
      </w:pPr>
      <w:r w:rsidRPr="009D6ABD">
        <w:rPr>
          <w:rFonts w:asciiTheme="majorHAnsi" w:hAnsiTheme="majorHAnsi" w:cstheme="majorHAnsi"/>
          <w:lang w:val="en-GB"/>
        </w:rPr>
        <w:t>N/A</w:t>
      </w:r>
    </w:p>
    <w:p w14:paraId="523380DE" w14:textId="2F142D66" w:rsidR="004B7A71" w:rsidRPr="006D1396" w:rsidRDefault="00022A1E" w:rsidP="00635A1B">
      <w:pPr>
        <w:pStyle w:val="PargrafodaLista"/>
        <w:numPr>
          <w:ilvl w:val="2"/>
          <w:numId w:val="8"/>
        </w:numPr>
        <w:spacing w:after="120" w:line="320" w:lineRule="atLeast"/>
        <w:ind w:left="1418" w:hanging="284"/>
        <w:contextualSpacing w:val="0"/>
        <w:jc w:val="both"/>
        <w:rPr>
          <w:rFonts w:asciiTheme="majorHAnsi" w:eastAsia="Calibri" w:hAnsiTheme="majorHAnsi" w:cstheme="majorHAnsi"/>
          <w:b/>
          <w:bCs/>
          <w:lang w:val="en-GB"/>
        </w:rPr>
      </w:pPr>
      <w:r w:rsidRPr="006D1396">
        <w:rPr>
          <w:rFonts w:asciiTheme="majorHAnsi" w:eastAsia="Calibri" w:hAnsiTheme="majorHAnsi" w:cstheme="majorHAnsi"/>
          <w:b/>
          <w:bCs/>
          <w:lang w:val="en-GB"/>
        </w:rPr>
        <w:t xml:space="preserve">Indicator 3.8.1: Coverage of essential health services (defined as the average coverage of essential services based on tracer interventions that include reproductive, maternal, </w:t>
      </w:r>
      <w:r w:rsidR="006D1396" w:rsidRPr="006D1396">
        <w:rPr>
          <w:rFonts w:asciiTheme="majorHAnsi" w:eastAsia="Calibri" w:hAnsiTheme="majorHAnsi" w:cstheme="majorHAnsi"/>
          <w:b/>
          <w:bCs/>
          <w:lang w:val="en-GB"/>
        </w:rPr>
        <w:t>new-born</w:t>
      </w:r>
      <w:r w:rsidRPr="006D1396">
        <w:rPr>
          <w:rFonts w:asciiTheme="majorHAnsi" w:eastAsia="Calibri" w:hAnsiTheme="majorHAnsi" w:cstheme="majorHAnsi"/>
          <w:b/>
          <w:bCs/>
          <w:lang w:val="en-GB"/>
        </w:rPr>
        <w:t xml:space="preserve"> and child health, infectious diseases, non-communicable diseases and service capacity and access, among the general and the most disadvantaged population); and</w:t>
      </w:r>
    </w:p>
    <w:p w14:paraId="3E8E690B" w14:textId="40FC973B" w:rsidR="006D1396" w:rsidRPr="006D1396" w:rsidRDefault="006D1396" w:rsidP="006D1396">
      <w:pPr>
        <w:spacing w:after="120" w:line="320" w:lineRule="atLeast"/>
        <w:ind w:left="1418"/>
        <w:jc w:val="both"/>
        <w:rPr>
          <w:rFonts w:asciiTheme="majorHAnsi" w:hAnsiTheme="majorHAnsi" w:cstheme="majorHAnsi"/>
          <w:lang w:val="en-GB"/>
        </w:rPr>
      </w:pPr>
      <w:r w:rsidRPr="006D1396">
        <w:rPr>
          <w:rFonts w:asciiTheme="majorHAnsi" w:hAnsiTheme="majorHAnsi" w:cstheme="majorHAnsi"/>
          <w:lang w:val="en-GB"/>
        </w:rPr>
        <w:t xml:space="preserve">No data available. </w:t>
      </w:r>
    </w:p>
    <w:p w14:paraId="00000045" w14:textId="2A94E00F" w:rsidR="00FB2D8E" w:rsidRPr="006D1396" w:rsidRDefault="00022A1E" w:rsidP="00635A1B">
      <w:pPr>
        <w:pStyle w:val="PargrafodaLista"/>
        <w:numPr>
          <w:ilvl w:val="2"/>
          <w:numId w:val="8"/>
        </w:numPr>
        <w:spacing w:after="120" w:line="320" w:lineRule="atLeast"/>
        <w:ind w:left="1418" w:hanging="284"/>
        <w:contextualSpacing w:val="0"/>
        <w:jc w:val="both"/>
        <w:rPr>
          <w:rFonts w:asciiTheme="majorHAnsi" w:eastAsia="Calibri" w:hAnsiTheme="majorHAnsi" w:cstheme="majorHAnsi"/>
          <w:b/>
          <w:bCs/>
          <w:lang w:val="en-GB"/>
        </w:rPr>
      </w:pPr>
      <w:r w:rsidRPr="006D1396">
        <w:rPr>
          <w:rFonts w:asciiTheme="majorHAnsi" w:eastAsia="Calibri" w:hAnsiTheme="majorHAnsi" w:cstheme="majorHAnsi"/>
          <w:b/>
          <w:bCs/>
          <w:lang w:val="en-GB"/>
        </w:rPr>
        <w:t>Indicator 3.8.2: Proportion of population with large household expenditures on health as a share of total household expenditure or income.</w:t>
      </w:r>
    </w:p>
    <w:p w14:paraId="0000004A" w14:textId="0470FC50" w:rsidR="00FB2D8E" w:rsidRPr="00381E8D" w:rsidRDefault="002A0633" w:rsidP="00635A1B">
      <w:pPr>
        <w:spacing w:after="120" w:line="320" w:lineRule="atLeast"/>
        <w:jc w:val="both"/>
        <w:rPr>
          <w:rFonts w:asciiTheme="majorHAnsi" w:eastAsia="Times New Roman" w:hAnsiTheme="majorHAnsi" w:cstheme="majorHAnsi"/>
          <w:b/>
          <w:lang w:val="en-GB"/>
        </w:rPr>
      </w:pPr>
      <w:r w:rsidRPr="00381E8D">
        <w:rPr>
          <w:rFonts w:asciiTheme="majorHAnsi" w:hAnsiTheme="majorHAnsi" w:cstheme="majorHAnsi"/>
          <w:lang w:val="en-GB"/>
        </w:rPr>
        <w:t xml:space="preserve"> </w:t>
      </w:r>
    </w:p>
    <w:sectPr w:rsidR="00FB2D8E" w:rsidRPr="00381E8D">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9C6F6" w14:textId="77777777" w:rsidR="00B56670" w:rsidRDefault="00B56670" w:rsidP="00A465D9">
      <w:pPr>
        <w:spacing w:line="240" w:lineRule="auto"/>
      </w:pPr>
      <w:r>
        <w:separator/>
      </w:r>
    </w:p>
  </w:endnote>
  <w:endnote w:type="continuationSeparator" w:id="0">
    <w:p w14:paraId="3C6A01F4" w14:textId="77777777" w:rsidR="00B56670" w:rsidRDefault="00B56670" w:rsidP="00A465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326763"/>
      <w:docPartObj>
        <w:docPartGallery w:val="Page Numbers (Bottom of Page)"/>
        <w:docPartUnique/>
      </w:docPartObj>
    </w:sdtPr>
    <w:sdtEndPr/>
    <w:sdtContent>
      <w:p w14:paraId="3D8D2E28" w14:textId="56AD07CD" w:rsidR="0019129C" w:rsidRDefault="0019129C">
        <w:pPr>
          <w:pStyle w:val="Rodap"/>
          <w:jc w:val="right"/>
        </w:pPr>
        <w:r>
          <w:fldChar w:fldCharType="begin"/>
        </w:r>
        <w:r>
          <w:instrText>PAGE   \* MERGEFORMAT</w:instrText>
        </w:r>
        <w:r>
          <w:fldChar w:fldCharType="separate"/>
        </w:r>
        <w:r w:rsidR="00B56670" w:rsidRPr="00B56670">
          <w:rPr>
            <w:noProof/>
            <w:lang w:val="pt-PT"/>
          </w:rPr>
          <w:t>1</w:t>
        </w:r>
        <w:r>
          <w:fldChar w:fldCharType="end"/>
        </w:r>
      </w:p>
    </w:sdtContent>
  </w:sdt>
  <w:p w14:paraId="47A309A8" w14:textId="77777777" w:rsidR="0019129C" w:rsidRDefault="0019129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187DC" w14:textId="77777777" w:rsidR="00B56670" w:rsidRDefault="00B56670" w:rsidP="00A465D9">
      <w:pPr>
        <w:spacing w:line="240" w:lineRule="auto"/>
      </w:pPr>
      <w:r>
        <w:separator/>
      </w:r>
    </w:p>
  </w:footnote>
  <w:footnote w:type="continuationSeparator" w:id="0">
    <w:p w14:paraId="1D474745" w14:textId="77777777" w:rsidR="00B56670" w:rsidRDefault="00B56670" w:rsidP="00A465D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3016A"/>
    <w:multiLevelType w:val="multilevel"/>
    <w:tmpl w:val="DDDA70F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4E26E9"/>
    <w:multiLevelType w:val="hybridMultilevel"/>
    <w:tmpl w:val="43821E30"/>
    <w:lvl w:ilvl="0" w:tplc="7CD2EEA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EF562F2"/>
    <w:multiLevelType w:val="multilevel"/>
    <w:tmpl w:val="4364E78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F1C1BDC"/>
    <w:multiLevelType w:val="hybridMultilevel"/>
    <w:tmpl w:val="F1307940"/>
    <w:lvl w:ilvl="0" w:tplc="73B0AE3A">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C53A84"/>
    <w:multiLevelType w:val="hybridMultilevel"/>
    <w:tmpl w:val="30907264"/>
    <w:lvl w:ilvl="0" w:tplc="BD364DC2">
      <w:start w:val="2"/>
      <w:numFmt w:val="bullet"/>
      <w:lvlText w:val="-"/>
      <w:lvlJc w:val="left"/>
      <w:pPr>
        <w:ind w:left="644" w:hanging="360"/>
      </w:pPr>
      <w:rPr>
        <w:rFonts w:ascii="Calibri" w:eastAsiaTheme="minorHAnsi" w:hAnsi="Calibri" w:cs="Tahoma" w:hint="default"/>
      </w:rPr>
    </w:lvl>
    <w:lvl w:ilvl="1" w:tplc="08160003" w:tentative="1">
      <w:start w:val="1"/>
      <w:numFmt w:val="bullet"/>
      <w:lvlText w:val="o"/>
      <w:lvlJc w:val="left"/>
      <w:pPr>
        <w:ind w:left="1364" w:hanging="360"/>
      </w:pPr>
      <w:rPr>
        <w:rFonts w:ascii="Courier New" w:hAnsi="Courier New" w:cs="Courier New" w:hint="default"/>
      </w:rPr>
    </w:lvl>
    <w:lvl w:ilvl="2" w:tplc="08160005" w:tentative="1">
      <w:start w:val="1"/>
      <w:numFmt w:val="bullet"/>
      <w:lvlText w:val=""/>
      <w:lvlJc w:val="left"/>
      <w:pPr>
        <w:ind w:left="2084" w:hanging="360"/>
      </w:pPr>
      <w:rPr>
        <w:rFonts w:ascii="Wingdings" w:hAnsi="Wingdings" w:hint="default"/>
      </w:rPr>
    </w:lvl>
    <w:lvl w:ilvl="3" w:tplc="08160001" w:tentative="1">
      <w:start w:val="1"/>
      <w:numFmt w:val="bullet"/>
      <w:lvlText w:val=""/>
      <w:lvlJc w:val="left"/>
      <w:pPr>
        <w:ind w:left="2804" w:hanging="360"/>
      </w:pPr>
      <w:rPr>
        <w:rFonts w:ascii="Symbol" w:hAnsi="Symbol" w:hint="default"/>
      </w:rPr>
    </w:lvl>
    <w:lvl w:ilvl="4" w:tplc="08160003" w:tentative="1">
      <w:start w:val="1"/>
      <w:numFmt w:val="bullet"/>
      <w:lvlText w:val="o"/>
      <w:lvlJc w:val="left"/>
      <w:pPr>
        <w:ind w:left="3524" w:hanging="360"/>
      </w:pPr>
      <w:rPr>
        <w:rFonts w:ascii="Courier New" w:hAnsi="Courier New" w:cs="Courier New" w:hint="default"/>
      </w:rPr>
    </w:lvl>
    <w:lvl w:ilvl="5" w:tplc="08160005" w:tentative="1">
      <w:start w:val="1"/>
      <w:numFmt w:val="bullet"/>
      <w:lvlText w:val=""/>
      <w:lvlJc w:val="left"/>
      <w:pPr>
        <w:ind w:left="4244" w:hanging="360"/>
      </w:pPr>
      <w:rPr>
        <w:rFonts w:ascii="Wingdings" w:hAnsi="Wingdings" w:hint="default"/>
      </w:rPr>
    </w:lvl>
    <w:lvl w:ilvl="6" w:tplc="08160001" w:tentative="1">
      <w:start w:val="1"/>
      <w:numFmt w:val="bullet"/>
      <w:lvlText w:val=""/>
      <w:lvlJc w:val="left"/>
      <w:pPr>
        <w:ind w:left="4964" w:hanging="360"/>
      </w:pPr>
      <w:rPr>
        <w:rFonts w:ascii="Symbol" w:hAnsi="Symbol" w:hint="default"/>
      </w:rPr>
    </w:lvl>
    <w:lvl w:ilvl="7" w:tplc="08160003" w:tentative="1">
      <w:start w:val="1"/>
      <w:numFmt w:val="bullet"/>
      <w:lvlText w:val="o"/>
      <w:lvlJc w:val="left"/>
      <w:pPr>
        <w:ind w:left="5684" w:hanging="360"/>
      </w:pPr>
      <w:rPr>
        <w:rFonts w:ascii="Courier New" w:hAnsi="Courier New" w:cs="Courier New" w:hint="default"/>
      </w:rPr>
    </w:lvl>
    <w:lvl w:ilvl="8" w:tplc="08160005" w:tentative="1">
      <w:start w:val="1"/>
      <w:numFmt w:val="bullet"/>
      <w:lvlText w:val=""/>
      <w:lvlJc w:val="left"/>
      <w:pPr>
        <w:ind w:left="6404" w:hanging="360"/>
      </w:pPr>
      <w:rPr>
        <w:rFonts w:ascii="Wingdings" w:hAnsi="Wingdings" w:hint="default"/>
      </w:rPr>
    </w:lvl>
  </w:abstractNum>
  <w:abstractNum w:abstractNumId="5" w15:restartNumberingAfterBreak="0">
    <w:nsid w:val="2B273E4E"/>
    <w:multiLevelType w:val="multilevel"/>
    <w:tmpl w:val="BCB066A8"/>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bullet"/>
      <w:lvlText w:val="-"/>
      <w:lvlJc w:val="left"/>
      <w:pPr>
        <w:ind w:left="1224" w:hanging="504"/>
      </w:pPr>
      <w:rPr>
        <w:rFonts w:ascii="Calibri" w:eastAsiaTheme="minorHAnsi" w:hAnsi="Calibri" w:cs="Calibr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A42BBC"/>
    <w:multiLevelType w:val="hybridMultilevel"/>
    <w:tmpl w:val="1C2E7C8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2F493741"/>
    <w:multiLevelType w:val="hybridMultilevel"/>
    <w:tmpl w:val="102CBDE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353E533E"/>
    <w:multiLevelType w:val="hybridMultilevel"/>
    <w:tmpl w:val="4DFAE2C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35734231"/>
    <w:multiLevelType w:val="hybridMultilevel"/>
    <w:tmpl w:val="38B6087E"/>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0" w15:restartNumberingAfterBreak="0">
    <w:nsid w:val="44885278"/>
    <w:multiLevelType w:val="multilevel"/>
    <w:tmpl w:val="F4669DA8"/>
    <w:lvl w:ilvl="0">
      <w:start w:val="1"/>
      <w:numFmt w:val="decimal"/>
      <w:lvlText w:val="%1"/>
      <w:lvlJc w:val="left"/>
      <w:pPr>
        <w:ind w:left="360" w:hanging="360"/>
      </w:pPr>
      <w:rPr>
        <w:rFonts w:eastAsia="Arial" w:hint="default"/>
      </w:rPr>
    </w:lvl>
    <w:lvl w:ilvl="1">
      <w:start w:val="2"/>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1" w15:restartNumberingAfterBreak="0">
    <w:nsid w:val="489E0FBD"/>
    <w:multiLevelType w:val="hybridMultilevel"/>
    <w:tmpl w:val="1E26FA8E"/>
    <w:lvl w:ilvl="0" w:tplc="7C343700">
      <w:start w:val="1"/>
      <w:numFmt w:val="decimal"/>
      <w:lvlText w:val="%1."/>
      <w:lvlJc w:val="left"/>
      <w:pPr>
        <w:ind w:left="720" w:hanging="720"/>
      </w:pPr>
      <w:rPr>
        <w:rFonts w:hint="default"/>
      </w:rPr>
    </w:lvl>
    <w:lvl w:ilvl="1" w:tplc="BE6255D4">
      <w:start w:val="1"/>
      <w:numFmt w:val="decimal"/>
      <w:lvlText w:val="4.%2"/>
      <w:lvlJc w:val="left"/>
      <w:pPr>
        <w:ind w:left="1080" w:hanging="360"/>
      </w:pPr>
      <w:rPr>
        <w:rFonts w:hint="default"/>
      </w:rPr>
    </w:lvl>
    <w:lvl w:ilvl="2" w:tplc="08090001">
      <w:start w:val="1"/>
      <w:numFmt w:val="bullet"/>
      <w:lvlText w:val=""/>
      <w:lvlJc w:val="left"/>
      <w:pPr>
        <w:ind w:left="1800" w:hanging="180"/>
      </w:pPr>
      <w:rPr>
        <w:rFonts w:ascii="Symbol" w:hAnsi="Symbol"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8B92FDE"/>
    <w:multiLevelType w:val="hybridMultilevel"/>
    <w:tmpl w:val="695C5222"/>
    <w:lvl w:ilvl="0" w:tplc="73B0AE3A">
      <w:start w:val="1"/>
      <w:numFmt w:val="decimal"/>
      <w:lvlText w:val="6.%1"/>
      <w:lvlJc w:val="left"/>
      <w:pPr>
        <w:ind w:left="1080" w:hanging="360"/>
      </w:pPr>
      <w:rPr>
        <w:rFonts w:hint="default"/>
      </w:rPr>
    </w:lvl>
    <w:lvl w:ilvl="1" w:tplc="73B0AE3A">
      <w:start w:val="1"/>
      <w:numFmt w:val="decimal"/>
      <w:lvlText w:val="6.%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9F1752"/>
    <w:multiLevelType w:val="hybridMultilevel"/>
    <w:tmpl w:val="B44A09F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542E230B"/>
    <w:multiLevelType w:val="multilevel"/>
    <w:tmpl w:val="1D9C5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5E32F0A"/>
    <w:multiLevelType w:val="hybridMultilevel"/>
    <w:tmpl w:val="9B70B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5E4B85"/>
    <w:multiLevelType w:val="multilevel"/>
    <w:tmpl w:val="A82C0E7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Calibri" w:eastAsiaTheme="minorHAnsi" w:hAnsi="Calibri" w:cs="Calibr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0"/>
  </w:num>
  <w:num w:numId="3">
    <w:abstractNumId w:val="15"/>
  </w:num>
  <w:num w:numId="4">
    <w:abstractNumId w:val="11"/>
  </w:num>
  <w:num w:numId="5">
    <w:abstractNumId w:val="12"/>
  </w:num>
  <w:num w:numId="6">
    <w:abstractNumId w:val="3"/>
  </w:num>
  <w:num w:numId="7">
    <w:abstractNumId w:val="2"/>
  </w:num>
  <w:num w:numId="8">
    <w:abstractNumId w:val="5"/>
  </w:num>
  <w:num w:numId="9">
    <w:abstractNumId w:val="1"/>
  </w:num>
  <w:num w:numId="10">
    <w:abstractNumId w:val="10"/>
  </w:num>
  <w:num w:numId="11">
    <w:abstractNumId w:val="7"/>
  </w:num>
  <w:num w:numId="12">
    <w:abstractNumId w:val="16"/>
  </w:num>
  <w:num w:numId="13">
    <w:abstractNumId w:val="4"/>
  </w:num>
  <w:num w:numId="14">
    <w:abstractNumId w:val="6"/>
  </w:num>
  <w:num w:numId="15">
    <w:abstractNumId w:val="9"/>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D8E"/>
    <w:rsid w:val="00002C52"/>
    <w:rsid w:val="00010324"/>
    <w:rsid w:val="00012C76"/>
    <w:rsid w:val="00022A1E"/>
    <w:rsid w:val="000335E7"/>
    <w:rsid w:val="00071901"/>
    <w:rsid w:val="0008409E"/>
    <w:rsid w:val="001528A3"/>
    <w:rsid w:val="001908A2"/>
    <w:rsid w:val="0019129C"/>
    <w:rsid w:val="001A0258"/>
    <w:rsid w:val="001B4F70"/>
    <w:rsid w:val="00225072"/>
    <w:rsid w:val="0023658A"/>
    <w:rsid w:val="00270C1F"/>
    <w:rsid w:val="0027302E"/>
    <w:rsid w:val="00274C5E"/>
    <w:rsid w:val="00277D66"/>
    <w:rsid w:val="002A012A"/>
    <w:rsid w:val="002A0633"/>
    <w:rsid w:val="002C2BF1"/>
    <w:rsid w:val="0031121F"/>
    <w:rsid w:val="00381E8D"/>
    <w:rsid w:val="0039359C"/>
    <w:rsid w:val="003A2FB7"/>
    <w:rsid w:val="003A56D8"/>
    <w:rsid w:val="003C5ADC"/>
    <w:rsid w:val="00401984"/>
    <w:rsid w:val="0040265C"/>
    <w:rsid w:val="00482ED5"/>
    <w:rsid w:val="0049720F"/>
    <w:rsid w:val="004B7A71"/>
    <w:rsid w:val="004E34AC"/>
    <w:rsid w:val="004E5197"/>
    <w:rsid w:val="005129AA"/>
    <w:rsid w:val="00517582"/>
    <w:rsid w:val="00543171"/>
    <w:rsid w:val="00562CC1"/>
    <w:rsid w:val="0056703D"/>
    <w:rsid w:val="005C3CD5"/>
    <w:rsid w:val="005D03DB"/>
    <w:rsid w:val="005D0E9E"/>
    <w:rsid w:val="005E2F1B"/>
    <w:rsid w:val="005F3A98"/>
    <w:rsid w:val="00615633"/>
    <w:rsid w:val="00635A1B"/>
    <w:rsid w:val="00675780"/>
    <w:rsid w:val="00691F08"/>
    <w:rsid w:val="006930ED"/>
    <w:rsid w:val="006D1396"/>
    <w:rsid w:val="006D1D9F"/>
    <w:rsid w:val="006D5805"/>
    <w:rsid w:val="007123BE"/>
    <w:rsid w:val="007450D7"/>
    <w:rsid w:val="00751ADA"/>
    <w:rsid w:val="007E6BD2"/>
    <w:rsid w:val="00800BB6"/>
    <w:rsid w:val="00822A52"/>
    <w:rsid w:val="00836167"/>
    <w:rsid w:val="0084785A"/>
    <w:rsid w:val="00854D8B"/>
    <w:rsid w:val="008A3B9E"/>
    <w:rsid w:val="008D1DDB"/>
    <w:rsid w:val="0090121C"/>
    <w:rsid w:val="0092174A"/>
    <w:rsid w:val="009329C8"/>
    <w:rsid w:val="009402AB"/>
    <w:rsid w:val="009725E3"/>
    <w:rsid w:val="00987915"/>
    <w:rsid w:val="00990959"/>
    <w:rsid w:val="009D6ABD"/>
    <w:rsid w:val="009E1B4A"/>
    <w:rsid w:val="00A234EC"/>
    <w:rsid w:val="00A244CE"/>
    <w:rsid w:val="00A447F4"/>
    <w:rsid w:val="00A463C4"/>
    <w:rsid w:val="00A465D9"/>
    <w:rsid w:val="00A52F36"/>
    <w:rsid w:val="00AA2472"/>
    <w:rsid w:val="00AC1BA1"/>
    <w:rsid w:val="00B33EE3"/>
    <w:rsid w:val="00B51D13"/>
    <w:rsid w:val="00B55470"/>
    <w:rsid w:val="00B56670"/>
    <w:rsid w:val="00B74C9B"/>
    <w:rsid w:val="00B97063"/>
    <w:rsid w:val="00BB2493"/>
    <w:rsid w:val="00BB314E"/>
    <w:rsid w:val="00BB5676"/>
    <w:rsid w:val="00BC11E0"/>
    <w:rsid w:val="00BE760E"/>
    <w:rsid w:val="00C142B9"/>
    <w:rsid w:val="00C51FC9"/>
    <w:rsid w:val="00C56F3E"/>
    <w:rsid w:val="00C71BC8"/>
    <w:rsid w:val="00C95A3B"/>
    <w:rsid w:val="00CA2C02"/>
    <w:rsid w:val="00CD2793"/>
    <w:rsid w:val="00D27C47"/>
    <w:rsid w:val="00D70502"/>
    <w:rsid w:val="00DB4D93"/>
    <w:rsid w:val="00DC4252"/>
    <w:rsid w:val="00DC4544"/>
    <w:rsid w:val="00E35C68"/>
    <w:rsid w:val="00E51E8F"/>
    <w:rsid w:val="00E86631"/>
    <w:rsid w:val="00EA3E85"/>
    <w:rsid w:val="00EB4FE7"/>
    <w:rsid w:val="00EC78B9"/>
    <w:rsid w:val="00EE6645"/>
    <w:rsid w:val="00F03CED"/>
    <w:rsid w:val="00F1376F"/>
    <w:rsid w:val="00F14FE4"/>
    <w:rsid w:val="00F32EC2"/>
    <w:rsid w:val="00F3576A"/>
    <w:rsid w:val="00F37176"/>
    <w:rsid w:val="00F43F37"/>
    <w:rsid w:val="00F520E7"/>
    <w:rsid w:val="00F91D86"/>
    <w:rsid w:val="00F975CC"/>
    <w:rsid w:val="00FB2D8E"/>
    <w:rsid w:val="00FC4DD4"/>
    <w:rsid w:val="00FF0C9C"/>
    <w:rsid w:val="01374ACD"/>
    <w:rsid w:val="04861AB3"/>
    <w:rsid w:val="06E1C019"/>
    <w:rsid w:val="08896191"/>
    <w:rsid w:val="0BDF4D64"/>
    <w:rsid w:val="0BE59355"/>
    <w:rsid w:val="181C08EF"/>
    <w:rsid w:val="190521CD"/>
    <w:rsid w:val="1BDB9E56"/>
    <w:rsid w:val="24626FB8"/>
    <w:rsid w:val="250C555B"/>
    <w:rsid w:val="2892499A"/>
    <w:rsid w:val="2A86A5B2"/>
    <w:rsid w:val="2BF454F3"/>
    <w:rsid w:val="2D899672"/>
    <w:rsid w:val="2F2C8A10"/>
    <w:rsid w:val="3A753104"/>
    <w:rsid w:val="3C569A64"/>
    <w:rsid w:val="3C5E17B0"/>
    <w:rsid w:val="3DCDA654"/>
    <w:rsid w:val="4079AA8E"/>
    <w:rsid w:val="41FAFADE"/>
    <w:rsid w:val="44ACC64B"/>
    <w:rsid w:val="4821F584"/>
    <w:rsid w:val="525DB160"/>
    <w:rsid w:val="5CEFAC65"/>
    <w:rsid w:val="64ECAD50"/>
    <w:rsid w:val="65259E8C"/>
    <w:rsid w:val="6633128A"/>
    <w:rsid w:val="666171CD"/>
    <w:rsid w:val="68F1E988"/>
    <w:rsid w:val="70A1838F"/>
    <w:rsid w:val="718903D9"/>
    <w:rsid w:val="75EE2B4C"/>
    <w:rsid w:val="78AC9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5EC51"/>
  <w15:docId w15:val="{2B180FD0-485B-442D-9A4C-3D2803FF8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uiPriority w:val="9"/>
    <w:qFormat/>
    <w:rsid w:val="001A0258"/>
    <w:pPr>
      <w:shd w:val="clear" w:color="auto" w:fill="FFFFFF"/>
      <w:spacing w:before="240" w:after="120"/>
      <w:outlineLvl w:val="0"/>
    </w:pPr>
    <w:rPr>
      <w:rFonts w:eastAsia="Calibri"/>
      <w:b/>
      <w:sz w:val="24"/>
    </w:rPr>
  </w:style>
  <w:style w:type="paragraph" w:styleId="Cabealho2">
    <w:name w:val="heading 2"/>
    <w:basedOn w:val="Normal"/>
    <w:next w:val="Normal"/>
    <w:uiPriority w:val="9"/>
    <w:unhideWhenUsed/>
    <w:qFormat/>
    <w:rsid w:val="001A0258"/>
    <w:pPr>
      <w:spacing w:before="240" w:after="120"/>
      <w:outlineLvl w:val="1"/>
    </w:pPr>
    <w:rPr>
      <w:rFonts w:asciiTheme="minorHAnsi" w:eastAsia="Calibri" w:hAnsiTheme="minorHAnsi" w:cs="Calibri"/>
      <w:b/>
    </w:rPr>
  </w:style>
  <w:style w:type="paragraph" w:styleId="Cabealh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Cabealh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Cabealho5">
    <w:name w:val="heading 5"/>
    <w:basedOn w:val="Normal"/>
    <w:next w:val="Normal"/>
    <w:uiPriority w:val="9"/>
    <w:semiHidden/>
    <w:unhideWhenUsed/>
    <w:qFormat/>
    <w:pPr>
      <w:keepNext/>
      <w:keepLines/>
      <w:spacing w:before="240" w:after="80"/>
      <w:outlineLvl w:val="4"/>
    </w:pPr>
    <w:rPr>
      <w:color w:val="666666"/>
    </w:rPr>
  </w:style>
  <w:style w:type="paragraph" w:styleId="Cabealho6">
    <w:name w:val="heading 6"/>
    <w:basedOn w:val="Normal"/>
    <w:next w:val="Normal"/>
    <w:uiPriority w:val="9"/>
    <w:semiHidden/>
    <w:unhideWhenUsed/>
    <w:qFormat/>
    <w:pPr>
      <w:keepNext/>
      <w:keepLines/>
      <w:spacing w:before="240" w:after="80"/>
      <w:outlineLvl w:val="5"/>
    </w:pPr>
    <w:rPr>
      <w:i/>
      <w:color w:val="66666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Cabealho1"/>
    <w:next w:val="Normal"/>
    <w:uiPriority w:val="10"/>
    <w:qFormat/>
    <w:rsid w:val="001A0258"/>
  </w:style>
  <w:style w:type="paragraph" w:styleId="Subttulo">
    <w:name w:val="Subtitle"/>
    <w:basedOn w:val="Cabealho1"/>
    <w:next w:val="Normal"/>
    <w:uiPriority w:val="11"/>
    <w:qFormat/>
    <w:rsid w:val="001A0258"/>
  </w:style>
  <w:style w:type="paragraph" w:styleId="Textodecomentrio">
    <w:name w:val="annotation text"/>
    <w:basedOn w:val="Normal"/>
    <w:link w:val="TextodecomentrioCarter"/>
    <w:uiPriority w:val="99"/>
    <w:unhideWhenUsed/>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Pr>
      <w:sz w:val="20"/>
      <w:szCs w:val="20"/>
    </w:rPr>
  </w:style>
  <w:style w:type="character" w:styleId="Refdecomentrio">
    <w:name w:val="annotation reference"/>
    <w:basedOn w:val="Tipodeletrapredefinidodopargrafo"/>
    <w:uiPriority w:val="99"/>
    <w:semiHidden/>
    <w:unhideWhenUsed/>
    <w:rPr>
      <w:sz w:val="16"/>
      <w:szCs w:val="16"/>
    </w:rPr>
  </w:style>
  <w:style w:type="paragraph" w:styleId="Assuntodecomentrio">
    <w:name w:val="annotation subject"/>
    <w:basedOn w:val="Textodecomentrio"/>
    <w:next w:val="Textodecomentrio"/>
    <w:link w:val="AssuntodecomentrioCarter"/>
    <w:uiPriority w:val="99"/>
    <w:semiHidden/>
    <w:unhideWhenUsed/>
    <w:rsid w:val="001B4F70"/>
    <w:rPr>
      <w:b/>
      <w:bCs/>
    </w:rPr>
  </w:style>
  <w:style w:type="character" w:customStyle="1" w:styleId="AssuntodecomentrioCarter">
    <w:name w:val="Assunto de comentário Caráter"/>
    <w:basedOn w:val="TextodecomentrioCarter"/>
    <w:link w:val="Assuntodecomentrio"/>
    <w:uiPriority w:val="99"/>
    <w:semiHidden/>
    <w:rsid w:val="001B4F70"/>
    <w:rPr>
      <w:b/>
      <w:bCs/>
      <w:sz w:val="20"/>
      <w:szCs w:val="20"/>
    </w:rPr>
  </w:style>
  <w:style w:type="paragraph" w:styleId="Textodebalo">
    <w:name w:val="Balloon Text"/>
    <w:basedOn w:val="Normal"/>
    <w:link w:val="TextodebaloCarter"/>
    <w:uiPriority w:val="99"/>
    <w:semiHidden/>
    <w:unhideWhenUsed/>
    <w:rsid w:val="001B4F70"/>
    <w:pPr>
      <w:spacing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1B4F70"/>
    <w:rPr>
      <w:rFonts w:ascii="Segoe UI" w:hAnsi="Segoe UI" w:cs="Segoe UI"/>
      <w:sz w:val="18"/>
      <w:szCs w:val="18"/>
    </w:rPr>
  </w:style>
  <w:style w:type="character" w:styleId="Hiperligao">
    <w:name w:val="Hyperlink"/>
    <w:basedOn w:val="Tipodeletrapredefinidodopargrafo"/>
    <w:uiPriority w:val="99"/>
    <w:unhideWhenUsed/>
    <w:rPr>
      <w:color w:val="0000FF" w:themeColor="hyperlink"/>
      <w:u w:val="single"/>
    </w:rPr>
  </w:style>
  <w:style w:type="paragraph" w:styleId="Reviso">
    <w:name w:val="Revision"/>
    <w:hidden/>
    <w:uiPriority w:val="99"/>
    <w:semiHidden/>
    <w:rsid w:val="00987915"/>
    <w:pPr>
      <w:spacing w:line="240" w:lineRule="auto"/>
    </w:pPr>
  </w:style>
  <w:style w:type="paragraph" w:styleId="Textodenotaderodap">
    <w:name w:val="footnote text"/>
    <w:basedOn w:val="Normal"/>
    <w:link w:val="TextodenotaderodapCarter"/>
    <w:uiPriority w:val="99"/>
    <w:semiHidden/>
    <w:unhideWhenUsed/>
    <w:rsid w:val="00A465D9"/>
    <w:pPr>
      <w:spacing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A465D9"/>
    <w:rPr>
      <w:sz w:val="20"/>
      <w:szCs w:val="20"/>
    </w:rPr>
  </w:style>
  <w:style w:type="character" w:styleId="Refdenotaderodap">
    <w:name w:val="footnote reference"/>
    <w:basedOn w:val="Tipodeletrapredefinidodopargrafo"/>
    <w:uiPriority w:val="99"/>
    <w:semiHidden/>
    <w:unhideWhenUsed/>
    <w:rsid w:val="00A465D9"/>
    <w:rPr>
      <w:vertAlign w:val="superscript"/>
    </w:rPr>
  </w:style>
  <w:style w:type="paragraph" w:styleId="PargrafodaLista">
    <w:name w:val="List Paragraph"/>
    <w:basedOn w:val="Normal"/>
    <w:uiPriority w:val="34"/>
    <w:qFormat/>
    <w:rsid w:val="00277D66"/>
    <w:pPr>
      <w:ind w:left="720"/>
      <w:contextualSpacing/>
    </w:pPr>
  </w:style>
  <w:style w:type="paragraph" w:styleId="NormalWeb">
    <w:name w:val="Normal (Web)"/>
    <w:basedOn w:val="Normal"/>
    <w:uiPriority w:val="99"/>
    <w:unhideWhenUsed/>
    <w:rsid w:val="002A063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TMLpr-formatado">
    <w:name w:val="HTML Preformatted"/>
    <w:basedOn w:val="Normal"/>
    <w:link w:val="HTMLpr-formatadoCarter"/>
    <w:uiPriority w:val="99"/>
    <w:unhideWhenUsed/>
    <w:rsid w:val="00012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pt-PT" w:eastAsia="pt-PT"/>
    </w:rPr>
  </w:style>
  <w:style w:type="character" w:customStyle="1" w:styleId="HTMLpr-formatadoCarter">
    <w:name w:val="HTML pré-formatado Caráter"/>
    <w:basedOn w:val="Tipodeletrapredefinidodopargrafo"/>
    <w:link w:val="HTMLpr-formatado"/>
    <w:uiPriority w:val="99"/>
    <w:rsid w:val="00012C76"/>
    <w:rPr>
      <w:rFonts w:ascii="Courier New" w:eastAsia="Times New Roman" w:hAnsi="Courier New" w:cs="Courier New"/>
      <w:sz w:val="20"/>
      <w:szCs w:val="20"/>
      <w:lang w:val="pt-PT" w:eastAsia="pt-PT"/>
    </w:rPr>
  </w:style>
  <w:style w:type="character" w:customStyle="1" w:styleId="y2iqfc">
    <w:name w:val="y2iqfc"/>
    <w:basedOn w:val="Tipodeletrapredefinidodopargrafo"/>
    <w:rsid w:val="00012C76"/>
  </w:style>
  <w:style w:type="character" w:customStyle="1" w:styleId="UnresolvedMention">
    <w:name w:val="Unresolved Mention"/>
    <w:basedOn w:val="Tipodeletrapredefinidodopargrafo"/>
    <w:uiPriority w:val="99"/>
    <w:semiHidden/>
    <w:unhideWhenUsed/>
    <w:rsid w:val="00635A1B"/>
    <w:rPr>
      <w:color w:val="605E5C"/>
      <w:shd w:val="clear" w:color="auto" w:fill="E1DFDD"/>
    </w:rPr>
  </w:style>
  <w:style w:type="paragraph" w:styleId="SemEspaamento">
    <w:name w:val="No Spacing"/>
    <w:uiPriority w:val="1"/>
    <w:qFormat/>
    <w:rsid w:val="00635A1B"/>
    <w:pPr>
      <w:spacing w:line="240" w:lineRule="auto"/>
    </w:pPr>
  </w:style>
  <w:style w:type="paragraph" w:styleId="Cabealho">
    <w:name w:val="header"/>
    <w:basedOn w:val="Normal"/>
    <w:link w:val="CabealhoCarter"/>
    <w:uiPriority w:val="99"/>
    <w:unhideWhenUsed/>
    <w:rsid w:val="0019129C"/>
    <w:pPr>
      <w:tabs>
        <w:tab w:val="center" w:pos="4252"/>
        <w:tab w:val="right" w:pos="8504"/>
      </w:tabs>
      <w:spacing w:line="240" w:lineRule="auto"/>
    </w:pPr>
  </w:style>
  <w:style w:type="character" w:customStyle="1" w:styleId="CabealhoCarter">
    <w:name w:val="Cabeçalho Caráter"/>
    <w:basedOn w:val="Tipodeletrapredefinidodopargrafo"/>
    <w:link w:val="Cabealho"/>
    <w:uiPriority w:val="99"/>
    <w:rsid w:val="0019129C"/>
  </w:style>
  <w:style w:type="paragraph" w:styleId="Rodap">
    <w:name w:val="footer"/>
    <w:basedOn w:val="Normal"/>
    <w:link w:val="RodapCarter"/>
    <w:uiPriority w:val="99"/>
    <w:unhideWhenUsed/>
    <w:rsid w:val="0019129C"/>
    <w:pPr>
      <w:tabs>
        <w:tab w:val="center" w:pos="4252"/>
        <w:tab w:val="right" w:pos="8504"/>
      </w:tabs>
      <w:spacing w:line="240" w:lineRule="auto"/>
    </w:pPr>
  </w:style>
  <w:style w:type="character" w:customStyle="1" w:styleId="RodapCarter">
    <w:name w:val="Rodapé Caráter"/>
    <w:basedOn w:val="Tipodeletrapredefinidodopargrafo"/>
    <w:link w:val="Rodap"/>
    <w:uiPriority w:val="99"/>
    <w:rsid w:val="00191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533979">
      <w:bodyDiv w:val="1"/>
      <w:marLeft w:val="0"/>
      <w:marRight w:val="0"/>
      <w:marTop w:val="0"/>
      <w:marBottom w:val="0"/>
      <w:divBdr>
        <w:top w:val="none" w:sz="0" w:space="0" w:color="auto"/>
        <w:left w:val="none" w:sz="0" w:space="0" w:color="auto"/>
        <w:bottom w:val="none" w:sz="0" w:space="0" w:color="auto"/>
        <w:right w:val="none" w:sz="0" w:space="0" w:color="auto"/>
      </w:divBdr>
    </w:div>
    <w:div w:id="530000188">
      <w:bodyDiv w:val="1"/>
      <w:marLeft w:val="0"/>
      <w:marRight w:val="0"/>
      <w:marTop w:val="0"/>
      <w:marBottom w:val="0"/>
      <w:divBdr>
        <w:top w:val="none" w:sz="0" w:space="0" w:color="auto"/>
        <w:left w:val="none" w:sz="0" w:space="0" w:color="auto"/>
        <w:bottom w:val="none" w:sz="0" w:space="0" w:color="auto"/>
        <w:right w:val="none" w:sz="0" w:space="0" w:color="auto"/>
      </w:divBdr>
    </w:div>
    <w:div w:id="685330122">
      <w:bodyDiv w:val="1"/>
      <w:marLeft w:val="0"/>
      <w:marRight w:val="0"/>
      <w:marTop w:val="0"/>
      <w:marBottom w:val="0"/>
      <w:divBdr>
        <w:top w:val="none" w:sz="0" w:space="0" w:color="auto"/>
        <w:left w:val="none" w:sz="0" w:space="0" w:color="auto"/>
        <w:bottom w:val="none" w:sz="0" w:space="0" w:color="auto"/>
        <w:right w:val="none" w:sz="0" w:space="0" w:color="auto"/>
      </w:divBdr>
    </w:div>
    <w:div w:id="1038697227">
      <w:bodyDiv w:val="1"/>
      <w:marLeft w:val="0"/>
      <w:marRight w:val="0"/>
      <w:marTop w:val="0"/>
      <w:marBottom w:val="0"/>
      <w:divBdr>
        <w:top w:val="none" w:sz="0" w:space="0" w:color="auto"/>
        <w:left w:val="none" w:sz="0" w:space="0" w:color="auto"/>
        <w:bottom w:val="none" w:sz="0" w:space="0" w:color="auto"/>
        <w:right w:val="none" w:sz="0" w:space="0" w:color="auto"/>
      </w:divBdr>
    </w:div>
    <w:div w:id="1248925316">
      <w:bodyDiv w:val="1"/>
      <w:marLeft w:val="0"/>
      <w:marRight w:val="0"/>
      <w:marTop w:val="0"/>
      <w:marBottom w:val="0"/>
      <w:divBdr>
        <w:top w:val="none" w:sz="0" w:space="0" w:color="auto"/>
        <w:left w:val="none" w:sz="0" w:space="0" w:color="auto"/>
        <w:bottom w:val="none" w:sz="0" w:space="0" w:color="auto"/>
        <w:right w:val="none" w:sz="0" w:space="0" w:color="auto"/>
      </w:divBdr>
    </w:div>
    <w:div w:id="1860124314">
      <w:bodyDiv w:val="1"/>
      <w:marLeft w:val="0"/>
      <w:marRight w:val="0"/>
      <w:marTop w:val="0"/>
      <w:marBottom w:val="0"/>
      <w:divBdr>
        <w:top w:val="none" w:sz="0" w:space="0" w:color="auto"/>
        <w:left w:val="none" w:sz="0" w:space="0" w:color="auto"/>
        <w:bottom w:val="none" w:sz="0" w:space="0" w:color="auto"/>
        <w:right w:val="none" w:sz="0" w:space="0" w:color="auto"/>
      </w:divBdr>
    </w:div>
    <w:div w:id="1996571773">
      <w:bodyDiv w:val="1"/>
      <w:marLeft w:val="0"/>
      <w:marRight w:val="0"/>
      <w:marTop w:val="0"/>
      <w:marBottom w:val="0"/>
      <w:divBdr>
        <w:top w:val="none" w:sz="0" w:space="0" w:color="auto"/>
        <w:left w:val="none" w:sz="0" w:space="0" w:color="auto"/>
        <w:bottom w:val="none" w:sz="0" w:space="0" w:color="auto"/>
        <w:right w:val="none" w:sz="0" w:space="0" w:color="auto"/>
      </w:divBdr>
    </w:div>
    <w:div w:id="2017884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re.pt/web/guest/pesquisa/-/search/975648/details/normal?q=31292%2F200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ns.gov.pt/noticias/2019/10/21/prevencao-da-violencia-no-ciclo-de-vid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gs.pt/documentos-e-publicacoes/estrategia-de-saude-para-as-pessoas-lesbicas-gays-bissexuais-trans-e-intersexo-lgbti-pdf.aspx" TargetMode="External"/><Relationship Id="rId5" Type="http://schemas.openxmlformats.org/officeDocument/2006/relationships/numbering" Target="numbering.xml"/><Relationship Id="rId15" Type="http://schemas.openxmlformats.org/officeDocument/2006/relationships/hyperlink" Target="https://dre.pt/dre/detalhe/resolucao-conselho-ministros/1-2022-177088074"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gle.com/url?sa=t&amp;rct=j&amp;q=&amp;esrc=s&amp;source=web&amp;cd=&amp;cad=rja&amp;uact=8&amp;ved=2ahUKEwjB6M_p_L_0AhXzAWMBHW3ZCqAQFnoECAcQAQ&amp;url=https%3A%2F%2Fwww.dgs.pt%2Faccao-de-saude-para-criancas-e-jovens-em-risco%2Flegislacao-relacionada%2Fdespacho-n-63782008-de-16-de-maio-pdf.aspx&amp;usg=AOvVaw2j4Q4GKDPZI0tsnvZ8Iu1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Portugal</Contributor>
    <Postingdate xmlns="d42e65b2-cf21-49c1-b27d-d23f90380c0e" xsi:nil="true"/>
    <Postedonline xmlns="d42e65b2-cf21-49c1-b27d-d23f90380c0e">false</Postedonlin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4B948-3E06-4F3D-9F0A-BAECFC1EAB32}"/>
</file>

<file path=customXml/itemProps2.xml><?xml version="1.0" encoding="utf-8"?>
<ds:datastoreItem xmlns:ds="http://schemas.openxmlformats.org/officeDocument/2006/customXml" ds:itemID="{617813B1-A7C6-416C-A585-25F68B1A9AF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03DE074-F21B-4802-BAE5-1EB7F69FBF2C}">
  <ds:schemaRefs>
    <ds:schemaRef ds:uri="http://schemas.microsoft.com/sharepoint/v3/contenttype/forms"/>
  </ds:schemaRefs>
</ds:datastoreItem>
</file>

<file path=customXml/itemProps4.xml><?xml version="1.0" encoding="utf-8"?>
<ds:datastoreItem xmlns:ds="http://schemas.openxmlformats.org/officeDocument/2006/customXml" ds:itemID="{5FA66141-DAA4-4C58-BD1F-E104DD08A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3348</Words>
  <Characters>18081</Characters>
  <Application>Microsoft Office Word</Application>
  <DocSecurity>0</DocSecurity>
  <Lines>150</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Gonçalo Motta</cp:lastModifiedBy>
  <cp:revision>3</cp:revision>
  <dcterms:created xsi:type="dcterms:W3CDTF">2022-02-14T12:03:00Z</dcterms:created>
  <dcterms:modified xsi:type="dcterms:W3CDTF">2022-02-17T14:05:00Z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