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BFF6" w14:textId="3F10335F" w:rsidR="00802174" w:rsidRPr="005878C0" w:rsidRDefault="00652412" w:rsidP="005878C0">
      <w:pPr>
        <w:pStyle w:val="Heading1"/>
      </w:pPr>
      <w:r w:rsidRPr="005878C0">
        <w:t>Submission to the call for inputs on violence against older persons – 2023 HRC report</w:t>
      </w:r>
    </w:p>
    <w:p w14:paraId="6B8F873F" w14:textId="0ADBF4B2" w:rsidR="00652412" w:rsidRPr="005878C0" w:rsidRDefault="00652412" w:rsidP="00FC48A4">
      <w:pPr>
        <w:jc w:val="both"/>
        <w:rPr>
          <w:rFonts w:cstheme="minorHAnsi"/>
          <w:sz w:val="24"/>
          <w:szCs w:val="24"/>
        </w:rPr>
      </w:pPr>
      <w:r w:rsidRPr="005878C0">
        <w:rPr>
          <w:rFonts w:cstheme="minorHAnsi"/>
          <w:sz w:val="24"/>
          <w:szCs w:val="24"/>
        </w:rPr>
        <w:t xml:space="preserve">Kirsty Keywood, Centre for Social Ethics and Policy, University of Manchester; Laura Pritchard-Jones, University of Keele, Margaret Flynn, Chair, National Mental Capacity Forum; </w:t>
      </w:r>
      <w:r w:rsidR="004A7697" w:rsidRPr="005878C0">
        <w:rPr>
          <w:rFonts w:cstheme="minorHAnsi"/>
          <w:sz w:val="24"/>
          <w:szCs w:val="24"/>
        </w:rPr>
        <w:t xml:space="preserve">and </w:t>
      </w:r>
      <w:r w:rsidRPr="005878C0">
        <w:rPr>
          <w:rFonts w:cstheme="minorHAnsi"/>
          <w:sz w:val="24"/>
          <w:szCs w:val="24"/>
        </w:rPr>
        <w:t>Aled Griffiths, University of Bangor.</w:t>
      </w:r>
    </w:p>
    <w:p w14:paraId="64F25319" w14:textId="77777777" w:rsidR="00802174" w:rsidRPr="005878C0" w:rsidRDefault="00802174" w:rsidP="00FC48A4">
      <w:pPr>
        <w:pStyle w:val="Heading2"/>
        <w:jc w:val="both"/>
        <w:rPr>
          <w:rFonts w:asciiTheme="minorHAnsi" w:hAnsiTheme="minorHAnsi" w:cstheme="minorHAnsi"/>
          <w:color w:val="auto"/>
          <w:sz w:val="24"/>
          <w:szCs w:val="24"/>
        </w:rPr>
      </w:pPr>
    </w:p>
    <w:p w14:paraId="0A3458AA" w14:textId="1B354059" w:rsidR="00257917" w:rsidRPr="005878C0" w:rsidRDefault="00802174" w:rsidP="005878C0">
      <w:pPr>
        <w:pStyle w:val="Heading2"/>
      </w:pPr>
      <w:r w:rsidRPr="005878C0">
        <w:t>Introduction</w:t>
      </w:r>
    </w:p>
    <w:p w14:paraId="7917F2DC" w14:textId="2C060069" w:rsidR="00C049C9" w:rsidRPr="005878C0" w:rsidRDefault="00BB2103" w:rsidP="00FC48A4">
      <w:pPr>
        <w:jc w:val="both"/>
        <w:rPr>
          <w:rFonts w:cstheme="minorHAnsi"/>
          <w:sz w:val="24"/>
          <w:szCs w:val="24"/>
        </w:rPr>
      </w:pPr>
      <w:r w:rsidRPr="005878C0">
        <w:rPr>
          <w:sz w:val="24"/>
          <w:szCs w:val="24"/>
        </w:rPr>
        <w:t>T</w:t>
      </w:r>
      <w:r w:rsidR="008978E3" w:rsidRPr="005878C0">
        <w:rPr>
          <w:sz w:val="24"/>
          <w:szCs w:val="24"/>
        </w:rPr>
        <w:t>h</w:t>
      </w:r>
      <w:r w:rsidRPr="005878C0">
        <w:rPr>
          <w:sz w:val="24"/>
          <w:szCs w:val="24"/>
        </w:rPr>
        <w:t>e</w:t>
      </w:r>
      <w:r w:rsidR="008978E3" w:rsidRPr="005878C0">
        <w:rPr>
          <w:sz w:val="24"/>
          <w:szCs w:val="24"/>
        </w:rPr>
        <w:t xml:space="preserve"> ab</w:t>
      </w:r>
      <w:r w:rsidR="004E7CF7" w:rsidRPr="005878C0">
        <w:rPr>
          <w:rFonts w:cstheme="minorHAnsi"/>
          <w:sz w:val="24"/>
          <w:szCs w:val="24"/>
        </w:rPr>
        <w:t>use and n</w:t>
      </w:r>
      <w:r w:rsidR="0076279E" w:rsidRPr="005878C0">
        <w:rPr>
          <w:rFonts w:cstheme="minorHAnsi"/>
          <w:sz w:val="24"/>
          <w:szCs w:val="24"/>
        </w:rPr>
        <w:t xml:space="preserve">eglect of older people is </w:t>
      </w:r>
      <w:r w:rsidR="00905CF4" w:rsidRPr="005878C0">
        <w:rPr>
          <w:rFonts w:cstheme="minorHAnsi"/>
          <w:sz w:val="24"/>
          <w:szCs w:val="24"/>
        </w:rPr>
        <w:t>a</w:t>
      </w:r>
      <w:r w:rsidR="0076279E" w:rsidRPr="005878C0">
        <w:rPr>
          <w:rFonts w:cstheme="minorHAnsi"/>
          <w:sz w:val="24"/>
          <w:szCs w:val="24"/>
        </w:rPr>
        <w:t xml:space="preserve"> common feature identified by staff in </w:t>
      </w:r>
      <w:r w:rsidR="007D53A6" w:rsidRPr="005878C0">
        <w:rPr>
          <w:rFonts w:cstheme="minorHAnsi"/>
          <w:sz w:val="24"/>
          <w:szCs w:val="24"/>
        </w:rPr>
        <w:t xml:space="preserve">English </w:t>
      </w:r>
      <w:r w:rsidR="0076279E" w:rsidRPr="005878C0">
        <w:rPr>
          <w:rFonts w:cstheme="minorHAnsi"/>
          <w:sz w:val="24"/>
          <w:szCs w:val="24"/>
        </w:rPr>
        <w:t>care homes</w:t>
      </w:r>
      <w:r w:rsidR="0011097D" w:rsidRPr="005878C0">
        <w:rPr>
          <w:rFonts w:cstheme="minorHAnsi"/>
          <w:sz w:val="24"/>
          <w:szCs w:val="24"/>
        </w:rPr>
        <w:t>.</w:t>
      </w:r>
      <w:r w:rsidR="005A2751" w:rsidRPr="005878C0">
        <w:rPr>
          <w:rStyle w:val="FootnoteReference"/>
          <w:rFonts w:cstheme="minorHAnsi"/>
          <w:sz w:val="24"/>
          <w:szCs w:val="24"/>
        </w:rPr>
        <w:footnoteReference w:id="1"/>
      </w:r>
      <w:r w:rsidR="00B50EC5" w:rsidRPr="005878C0">
        <w:rPr>
          <w:rFonts w:cstheme="minorHAnsi"/>
          <w:sz w:val="24"/>
          <w:szCs w:val="24"/>
        </w:rPr>
        <w:t xml:space="preserve"> Their </w:t>
      </w:r>
      <w:r w:rsidR="00C5137B" w:rsidRPr="005878C0">
        <w:rPr>
          <w:sz w:val="24"/>
          <w:szCs w:val="24"/>
        </w:rPr>
        <w:t xml:space="preserve">prevention is </w:t>
      </w:r>
      <w:r w:rsidR="008F668B" w:rsidRPr="005878C0">
        <w:rPr>
          <w:sz w:val="24"/>
          <w:szCs w:val="24"/>
        </w:rPr>
        <w:t xml:space="preserve">purportedly </w:t>
      </w:r>
      <w:r w:rsidR="00BF71DD" w:rsidRPr="005878C0">
        <w:rPr>
          <w:sz w:val="24"/>
          <w:szCs w:val="24"/>
        </w:rPr>
        <w:t xml:space="preserve">assured through </w:t>
      </w:r>
      <w:r w:rsidR="00751620" w:rsidRPr="005878C0">
        <w:rPr>
          <w:sz w:val="24"/>
          <w:szCs w:val="24"/>
        </w:rPr>
        <w:t xml:space="preserve">regulation, </w:t>
      </w:r>
      <w:r w:rsidR="00C5137B" w:rsidRPr="005878C0">
        <w:rPr>
          <w:sz w:val="24"/>
          <w:szCs w:val="24"/>
        </w:rPr>
        <w:t>public law</w:t>
      </w:r>
      <w:r w:rsidR="0074592A" w:rsidRPr="005878C0">
        <w:rPr>
          <w:sz w:val="24"/>
          <w:szCs w:val="24"/>
        </w:rPr>
        <w:t xml:space="preserve"> duties</w:t>
      </w:r>
      <w:r w:rsidR="00751620" w:rsidRPr="005878C0">
        <w:rPr>
          <w:sz w:val="24"/>
          <w:szCs w:val="24"/>
        </w:rPr>
        <w:t xml:space="preserve"> and criminal </w:t>
      </w:r>
      <w:r w:rsidR="00005B56" w:rsidRPr="005878C0">
        <w:rPr>
          <w:sz w:val="24"/>
          <w:szCs w:val="24"/>
        </w:rPr>
        <w:t xml:space="preserve">legal </w:t>
      </w:r>
      <w:r w:rsidR="00751620" w:rsidRPr="005878C0">
        <w:rPr>
          <w:sz w:val="24"/>
          <w:szCs w:val="24"/>
        </w:rPr>
        <w:t>sanction.</w:t>
      </w:r>
      <w:r w:rsidR="00A874E1">
        <w:rPr>
          <w:sz w:val="24"/>
          <w:szCs w:val="24"/>
        </w:rPr>
        <w:t xml:space="preserve"> </w:t>
      </w:r>
      <w:r w:rsidR="00C049C9" w:rsidRPr="005878C0">
        <w:rPr>
          <w:rFonts w:cstheme="minorHAnsi"/>
          <w:sz w:val="24"/>
          <w:szCs w:val="24"/>
        </w:rPr>
        <w:t xml:space="preserve">Despite the pressing human rights issues raised </w:t>
      </w:r>
      <w:r w:rsidR="002006F8" w:rsidRPr="005878C0">
        <w:rPr>
          <w:sz w:val="24"/>
          <w:szCs w:val="24"/>
        </w:rPr>
        <w:t>and</w:t>
      </w:r>
      <w:r w:rsidR="00281217" w:rsidRPr="005878C0">
        <w:rPr>
          <w:sz w:val="24"/>
          <w:szCs w:val="24"/>
        </w:rPr>
        <w:t xml:space="preserve"> the</w:t>
      </w:r>
      <w:r w:rsidR="00C049C9" w:rsidRPr="005878C0">
        <w:rPr>
          <w:sz w:val="24"/>
          <w:szCs w:val="24"/>
        </w:rPr>
        <w:t xml:space="preserve"> significant </w:t>
      </w:r>
      <w:proofErr w:type="gramStart"/>
      <w:r w:rsidR="00C049C9" w:rsidRPr="005878C0">
        <w:rPr>
          <w:sz w:val="24"/>
          <w:szCs w:val="24"/>
        </w:rPr>
        <w:t>amount</w:t>
      </w:r>
      <w:proofErr w:type="gramEnd"/>
      <w:r w:rsidR="00C049C9" w:rsidRPr="005878C0">
        <w:rPr>
          <w:sz w:val="24"/>
          <w:szCs w:val="24"/>
        </w:rPr>
        <w:t xml:space="preserve"> </w:t>
      </w:r>
      <w:r w:rsidR="00704DC1" w:rsidRPr="005878C0">
        <w:rPr>
          <w:sz w:val="24"/>
          <w:szCs w:val="24"/>
        </w:rPr>
        <w:t xml:space="preserve">of </w:t>
      </w:r>
      <w:r w:rsidR="00C049C9" w:rsidRPr="005878C0">
        <w:rPr>
          <w:sz w:val="24"/>
          <w:szCs w:val="24"/>
        </w:rPr>
        <w:t>public mon</w:t>
      </w:r>
      <w:r w:rsidR="00945FCF" w:rsidRPr="005878C0">
        <w:rPr>
          <w:sz w:val="24"/>
          <w:szCs w:val="24"/>
        </w:rPr>
        <w:t>ie</w:t>
      </w:r>
      <w:r w:rsidR="00C049C9" w:rsidRPr="005878C0">
        <w:rPr>
          <w:sz w:val="24"/>
          <w:szCs w:val="24"/>
        </w:rPr>
        <w:t>s involved in brokering arrangements</w:t>
      </w:r>
      <w:r w:rsidR="00843044" w:rsidRPr="005878C0">
        <w:rPr>
          <w:sz w:val="24"/>
          <w:szCs w:val="24"/>
        </w:rPr>
        <w:t xml:space="preserve"> for</w:t>
      </w:r>
      <w:r w:rsidR="005C2B2A" w:rsidRPr="005878C0">
        <w:rPr>
          <w:sz w:val="24"/>
          <w:szCs w:val="24"/>
        </w:rPr>
        <w:t xml:space="preserve"> older people’s</w:t>
      </w:r>
      <w:r w:rsidR="00843044" w:rsidRPr="005878C0">
        <w:rPr>
          <w:sz w:val="24"/>
          <w:szCs w:val="24"/>
        </w:rPr>
        <w:t xml:space="preserve"> care and support, </w:t>
      </w:r>
      <w:r w:rsidR="00704DC1" w:rsidRPr="005878C0">
        <w:rPr>
          <w:sz w:val="24"/>
          <w:szCs w:val="24"/>
        </w:rPr>
        <w:t xml:space="preserve">the </w:t>
      </w:r>
      <w:r w:rsidR="00843044" w:rsidRPr="005878C0">
        <w:rPr>
          <w:sz w:val="24"/>
          <w:szCs w:val="24"/>
        </w:rPr>
        <w:t xml:space="preserve">legal </w:t>
      </w:r>
      <w:r w:rsidR="00C049C9" w:rsidRPr="005878C0">
        <w:rPr>
          <w:sz w:val="24"/>
          <w:szCs w:val="24"/>
        </w:rPr>
        <w:t>surveillance of this expanding milieu is clumsy and underdeveloped. </w:t>
      </w:r>
    </w:p>
    <w:p w14:paraId="311BF28E" w14:textId="77777777" w:rsidR="00FC48A4" w:rsidRPr="005878C0" w:rsidRDefault="00FC48A4" w:rsidP="00FC48A4"/>
    <w:p w14:paraId="5598CAA7" w14:textId="7B75D964" w:rsidR="006D6C5E" w:rsidRPr="005878C0" w:rsidRDefault="006D6C5E" w:rsidP="00FC48A4">
      <w:pPr>
        <w:pStyle w:val="Heading2"/>
        <w:numPr>
          <w:ilvl w:val="0"/>
          <w:numId w:val="2"/>
        </w:numPr>
        <w:rPr>
          <w:rFonts w:asciiTheme="minorHAnsi" w:hAnsiTheme="minorHAnsi"/>
          <w:color w:val="44546A" w:themeColor="text2"/>
        </w:rPr>
      </w:pPr>
      <w:r w:rsidRPr="005878C0">
        <w:rPr>
          <w:rFonts w:asciiTheme="minorHAnsi" w:hAnsiTheme="minorHAnsi"/>
          <w:color w:val="44546A" w:themeColor="text2"/>
        </w:rPr>
        <w:t>Meeting Older People’s Care Needs – the ‘</w:t>
      </w:r>
      <w:r w:rsidR="00652412" w:rsidRPr="005878C0">
        <w:rPr>
          <w:rFonts w:asciiTheme="minorHAnsi" w:hAnsiTheme="minorHAnsi"/>
          <w:color w:val="44546A" w:themeColor="text2"/>
        </w:rPr>
        <w:t>Levelling Down</w:t>
      </w:r>
      <w:r w:rsidRPr="005878C0">
        <w:rPr>
          <w:rFonts w:asciiTheme="minorHAnsi" w:hAnsiTheme="minorHAnsi"/>
          <w:color w:val="44546A" w:themeColor="text2"/>
        </w:rPr>
        <w:t>’ of</w:t>
      </w:r>
      <w:r w:rsidR="00652412" w:rsidRPr="005878C0">
        <w:rPr>
          <w:rFonts w:asciiTheme="minorHAnsi" w:hAnsiTheme="minorHAnsi"/>
          <w:color w:val="44546A" w:themeColor="text2"/>
        </w:rPr>
        <w:t xml:space="preserve"> Care for Older People in the Aftermath </w:t>
      </w:r>
      <w:proofErr w:type="gramStart"/>
      <w:r w:rsidR="00652412" w:rsidRPr="005878C0">
        <w:rPr>
          <w:rFonts w:asciiTheme="minorHAnsi" w:hAnsiTheme="minorHAnsi"/>
          <w:color w:val="44546A" w:themeColor="text2"/>
        </w:rPr>
        <w:t xml:space="preserve">of </w:t>
      </w:r>
      <w:r w:rsidRPr="005878C0">
        <w:rPr>
          <w:rFonts w:asciiTheme="minorHAnsi" w:hAnsiTheme="minorHAnsi"/>
          <w:color w:val="44546A" w:themeColor="text2"/>
        </w:rPr>
        <w:t xml:space="preserve"> Covid</w:t>
      </w:r>
      <w:proofErr w:type="gramEnd"/>
      <w:r w:rsidRPr="005878C0">
        <w:rPr>
          <w:rFonts w:asciiTheme="minorHAnsi" w:hAnsiTheme="minorHAnsi"/>
          <w:color w:val="44546A" w:themeColor="text2"/>
        </w:rPr>
        <w:t xml:space="preserve">-19 </w:t>
      </w:r>
    </w:p>
    <w:p w14:paraId="1E90D708" w14:textId="2B693116" w:rsidR="005878C0" w:rsidRPr="005878C0" w:rsidRDefault="005878C0" w:rsidP="005878C0">
      <w:pPr>
        <w:pStyle w:val="xmsolistparagraph"/>
        <w:shd w:val="clear" w:color="auto" w:fill="FFFFFF"/>
        <w:spacing w:line="233" w:lineRule="atLeast"/>
        <w:jc w:val="both"/>
        <w:rPr>
          <w:rFonts w:asciiTheme="minorHAnsi" w:hAnsiTheme="minorHAnsi" w:cstheme="minorHAnsi"/>
        </w:rPr>
      </w:pPr>
      <w:r w:rsidRPr="005878C0">
        <w:rPr>
          <w:rFonts w:asciiTheme="minorHAnsi" w:hAnsiTheme="minorHAnsi" w:cstheme="minorHAnsi"/>
        </w:rPr>
        <w:t>COVID-19 presented widespread challenges to the delivery of social care for older people, leading to concerns that older adults living in care homes would be even more vulnerable to abuse or neglect. Restrictions imposed such as suspension of visits by families, professionals, and the regulator, meant an inability to effectively monitor care homes. Visitors to care homes are an important source of ‘natural surveillance’ against such institutional failings, and statistics reveal a marked decrease during the pandemic in safeguarding referrals in relation to abuse or neglect in care homes.</w:t>
      </w:r>
      <w:r w:rsidRPr="005878C0">
        <w:rPr>
          <w:rStyle w:val="FootnoteReference"/>
          <w:rFonts w:asciiTheme="minorHAnsi" w:hAnsiTheme="minorHAnsi" w:cstheme="minorHAnsi"/>
        </w:rPr>
        <w:footnoteReference w:id="2"/>
      </w:r>
      <w:r w:rsidRPr="005878C0">
        <w:rPr>
          <w:rFonts w:asciiTheme="minorHAnsi" w:hAnsiTheme="minorHAnsi" w:cstheme="minorHAnsi"/>
        </w:rPr>
        <w:t xml:space="preserve">  Moreover, family members have- and continue to be – routinely denied access to their loved ones in care settings, itself a form of abuse and arguably a violation of rights guaranteed under domestic law. Evidence also shows that this enforced separation has led to significant levels of deterioration in cognition among those who have dementia living in these settings, for example.</w:t>
      </w:r>
      <w:r w:rsidRPr="005878C0">
        <w:rPr>
          <w:rStyle w:val="FootnoteReference"/>
          <w:rFonts w:asciiTheme="minorHAnsi" w:hAnsiTheme="minorHAnsi" w:cstheme="minorHAnsi"/>
        </w:rPr>
        <w:footnoteReference w:id="3"/>
      </w:r>
      <w:r w:rsidRPr="005878C0">
        <w:rPr>
          <w:rFonts w:asciiTheme="minorHAnsi" w:hAnsiTheme="minorHAnsi" w:cstheme="minorHAnsi"/>
        </w:rPr>
        <w:t xml:space="preserve"> These concerns have often led families and carers struggling to continue to provide care at home rather than risk moving to a care setting.</w:t>
      </w:r>
      <w:r w:rsidRPr="005878C0">
        <w:rPr>
          <w:rStyle w:val="FootnoteReference"/>
          <w:rFonts w:asciiTheme="minorHAnsi" w:hAnsiTheme="minorHAnsi" w:cstheme="minorHAnsi"/>
        </w:rPr>
        <w:footnoteReference w:id="4"/>
      </w:r>
      <w:r w:rsidRPr="005878C0">
        <w:rPr>
          <w:rFonts w:asciiTheme="minorHAnsi" w:hAnsiTheme="minorHAnsi" w:cstheme="minorHAnsi"/>
        </w:rPr>
        <w:t xml:space="preserve"> Combined, these factors have subsequently led to more complex cases of abuse and neglect being uncovered by professionals.</w:t>
      </w:r>
      <w:r w:rsidRPr="005878C0">
        <w:rPr>
          <w:rStyle w:val="FootnoteReference"/>
          <w:rFonts w:asciiTheme="minorHAnsi" w:hAnsiTheme="minorHAnsi" w:cstheme="minorHAnsi"/>
        </w:rPr>
        <w:footnoteReference w:id="5"/>
      </w:r>
      <w:r w:rsidRPr="005878C0">
        <w:rPr>
          <w:rFonts w:asciiTheme="minorHAnsi" w:hAnsiTheme="minorHAnsi" w:cstheme="minorHAnsi"/>
        </w:rPr>
        <w:t xml:space="preserve"> Notwithstanding, there is some evidence of good </w:t>
      </w:r>
      <w:r w:rsidRPr="005878C0">
        <w:rPr>
          <w:rFonts w:asciiTheme="minorHAnsi" w:hAnsiTheme="minorHAnsi" w:cstheme="minorHAnsi"/>
        </w:rPr>
        <w:lastRenderedPageBreak/>
        <w:t>practice which promotes better outcomes for older adults living in care homes against abuse and neglect. For example, where there are specific safeguarding teams in local authorities and where different agencies with responsibility for safeguarding (such as social work, police, fire etc) are based in the same physical location, and where there are positive existing relationships between the care providers and local safeguarding teams.</w:t>
      </w:r>
      <w:r w:rsidRPr="005878C0">
        <w:rPr>
          <w:rStyle w:val="FootnoteReference"/>
          <w:rFonts w:asciiTheme="minorHAnsi" w:hAnsiTheme="minorHAnsi" w:cstheme="minorHAnsi"/>
        </w:rPr>
        <w:footnoteReference w:id="6"/>
      </w:r>
    </w:p>
    <w:p w14:paraId="0DF06DA3" w14:textId="77777777" w:rsidR="006D6C5E" w:rsidRPr="005878C0" w:rsidRDefault="006D6C5E" w:rsidP="00FC48A4">
      <w:pPr>
        <w:pStyle w:val="xmsolistparagraph"/>
        <w:shd w:val="clear" w:color="auto" w:fill="FFFFFF"/>
        <w:spacing w:before="0" w:beforeAutospacing="0" w:after="0" w:afterAutospacing="0" w:line="233" w:lineRule="atLeast"/>
        <w:jc w:val="both"/>
        <w:rPr>
          <w:rFonts w:asciiTheme="minorHAnsi" w:hAnsiTheme="minorHAnsi" w:cstheme="minorHAnsi"/>
        </w:rPr>
      </w:pPr>
    </w:p>
    <w:p w14:paraId="7C38D2A9" w14:textId="2913E8AE" w:rsidR="006D6C5E" w:rsidRPr="005878C0" w:rsidRDefault="006D6C5E" w:rsidP="00707085">
      <w:pPr>
        <w:pStyle w:val="Heading2"/>
        <w:numPr>
          <w:ilvl w:val="0"/>
          <w:numId w:val="2"/>
        </w:numPr>
        <w:rPr>
          <w:color w:val="44546A" w:themeColor="text2"/>
        </w:rPr>
      </w:pPr>
      <w:r w:rsidRPr="005878C0">
        <w:rPr>
          <w:rStyle w:val="Heading2Char"/>
          <w:color w:val="44546A" w:themeColor="text2"/>
        </w:rPr>
        <w:t>Regulation of care provision is failing to detect and prevent abuse and neglect of older people</w:t>
      </w:r>
      <w:r w:rsidRPr="005878C0">
        <w:rPr>
          <w:color w:val="44546A" w:themeColor="text2"/>
        </w:rPr>
        <w:t>.</w:t>
      </w:r>
    </w:p>
    <w:p w14:paraId="4A1DF791" w14:textId="2F40127D" w:rsidR="00362488" w:rsidRPr="005878C0" w:rsidRDefault="004E7CF7" w:rsidP="00FC48A4">
      <w:pPr>
        <w:pStyle w:val="ListParagraph"/>
        <w:ind w:left="0"/>
        <w:jc w:val="both"/>
        <w:rPr>
          <w:rFonts w:cstheme="minorHAnsi"/>
          <w:sz w:val="24"/>
          <w:szCs w:val="24"/>
        </w:rPr>
      </w:pPr>
      <w:r w:rsidRPr="005878C0">
        <w:rPr>
          <w:rFonts w:cstheme="minorHAnsi"/>
          <w:sz w:val="24"/>
          <w:szCs w:val="24"/>
        </w:rPr>
        <w:t>Over the past forty years, t</w:t>
      </w:r>
      <w:r w:rsidR="009E3B17" w:rsidRPr="005878C0">
        <w:rPr>
          <w:rFonts w:cstheme="minorHAnsi"/>
          <w:sz w:val="24"/>
          <w:szCs w:val="24"/>
        </w:rPr>
        <w:t>he United Kingdom has experienced a</w:t>
      </w:r>
      <w:r w:rsidRPr="005878C0">
        <w:rPr>
          <w:rFonts w:cstheme="minorHAnsi"/>
          <w:sz w:val="24"/>
          <w:szCs w:val="24"/>
        </w:rPr>
        <w:t xml:space="preserve"> shift from state provision of care to state-sanctioned</w:t>
      </w:r>
      <w:r w:rsidR="009E3B17" w:rsidRPr="005878C0">
        <w:rPr>
          <w:rFonts w:cstheme="minorHAnsi"/>
          <w:sz w:val="24"/>
          <w:szCs w:val="24"/>
        </w:rPr>
        <w:t xml:space="preserve"> </w:t>
      </w:r>
      <w:r w:rsidR="00757F33" w:rsidRPr="005878C0">
        <w:rPr>
          <w:rFonts w:cstheme="minorHAnsi"/>
          <w:sz w:val="24"/>
          <w:szCs w:val="24"/>
        </w:rPr>
        <w:t>provision</w:t>
      </w:r>
      <w:r w:rsidR="000E5F59" w:rsidRPr="005878C0">
        <w:rPr>
          <w:rFonts w:cstheme="minorHAnsi"/>
          <w:sz w:val="24"/>
          <w:szCs w:val="24"/>
        </w:rPr>
        <w:t>,</w:t>
      </w:r>
      <w:r w:rsidR="003E68A2" w:rsidRPr="005878C0">
        <w:rPr>
          <w:rFonts w:cstheme="minorHAnsi"/>
          <w:sz w:val="24"/>
          <w:szCs w:val="24"/>
        </w:rPr>
        <w:t xml:space="preserve"> to manage</w:t>
      </w:r>
      <w:r w:rsidR="009E3B17" w:rsidRPr="005878C0">
        <w:rPr>
          <w:rFonts w:cstheme="minorHAnsi"/>
          <w:sz w:val="24"/>
          <w:szCs w:val="24"/>
        </w:rPr>
        <w:t xml:space="preserve"> the</w:t>
      </w:r>
      <w:r w:rsidRPr="005878C0">
        <w:rPr>
          <w:rFonts w:cstheme="minorHAnsi"/>
          <w:sz w:val="24"/>
          <w:szCs w:val="24"/>
        </w:rPr>
        <w:t xml:space="preserve"> </w:t>
      </w:r>
      <w:r w:rsidR="009E3B17" w:rsidRPr="005878C0">
        <w:rPr>
          <w:rFonts w:cstheme="minorHAnsi"/>
          <w:sz w:val="24"/>
          <w:szCs w:val="24"/>
        </w:rPr>
        <w:t xml:space="preserve">care </w:t>
      </w:r>
      <w:r w:rsidRPr="005878C0">
        <w:rPr>
          <w:rFonts w:cstheme="minorHAnsi"/>
          <w:sz w:val="24"/>
          <w:szCs w:val="24"/>
        </w:rPr>
        <w:t xml:space="preserve">of older people by a </w:t>
      </w:r>
      <w:r w:rsidR="009E3B17" w:rsidRPr="005878C0">
        <w:rPr>
          <w:rFonts w:cstheme="minorHAnsi"/>
          <w:sz w:val="24"/>
          <w:szCs w:val="24"/>
        </w:rPr>
        <w:t>range of state</w:t>
      </w:r>
      <w:r w:rsidR="002B6F3A" w:rsidRPr="005878C0">
        <w:rPr>
          <w:rFonts w:cstheme="minorHAnsi"/>
          <w:sz w:val="24"/>
          <w:szCs w:val="24"/>
        </w:rPr>
        <w:t>, voluntary and</w:t>
      </w:r>
      <w:r w:rsidR="009E3B17" w:rsidRPr="005878C0">
        <w:rPr>
          <w:rFonts w:cstheme="minorHAnsi"/>
          <w:sz w:val="24"/>
          <w:szCs w:val="24"/>
        </w:rPr>
        <w:t xml:space="preserve"> private-</w:t>
      </w:r>
      <w:r w:rsidR="00F323DA" w:rsidRPr="005878C0">
        <w:rPr>
          <w:rFonts w:cstheme="minorHAnsi"/>
          <w:sz w:val="24"/>
          <w:szCs w:val="24"/>
        </w:rPr>
        <w:t>sector</w:t>
      </w:r>
      <w:r w:rsidR="00EC09D5" w:rsidRPr="005878C0">
        <w:rPr>
          <w:rFonts w:cstheme="minorHAnsi"/>
          <w:sz w:val="24"/>
          <w:szCs w:val="24"/>
        </w:rPr>
        <w:t xml:space="preserve"> or</w:t>
      </w:r>
      <w:r w:rsidR="009E3B17" w:rsidRPr="005878C0">
        <w:rPr>
          <w:rFonts w:cstheme="minorHAnsi"/>
          <w:sz w:val="24"/>
          <w:szCs w:val="24"/>
        </w:rPr>
        <w:t>ganisations</w:t>
      </w:r>
      <w:r w:rsidR="00DA5DE8" w:rsidRPr="005878C0">
        <w:rPr>
          <w:rFonts w:cstheme="minorHAnsi"/>
          <w:sz w:val="24"/>
          <w:szCs w:val="24"/>
        </w:rPr>
        <w:t xml:space="preserve">.  In consequence, </w:t>
      </w:r>
      <w:r w:rsidR="009E3B17" w:rsidRPr="005878C0">
        <w:rPr>
          <w:rFonts w:cstheme="minorHAnsi"/>
          <w:sz w:val="24"/>
          <w:szCs w:val="24"/>
        </w:rPr>
        <w:t xml:space="preserve">accountability for failures in care has </w:t>
      </w:r>
      <w:r w:rsidR="00C9235E" w:rsidRPr="005878C0">
        <w:rPr>
          <w:rFonts w:cstheme="minorHAnsi"/>
          <w:sz w:val="24"/>
          <w:szCs w:val="24"/>
        </w:rPr>
        <w:t xml:space="preserve">in large part </w:t>
      </w:r>
      <w:r w:rsidR="009E3B17" w:rsidRPr="005878C0">
        <w:rPr>
          <w:rFonts w:cstheme="minorHAnsi"/>
          <w:sz w:val="24"/>
          <w:szCs w:val="24"/>
        </w:rPr>
        <w:t xml:space="preserve">been diverted </w:t>
      </w:r>
      <w:r w:rsidRPr="005878C0">
        <w:rPr>
          <w:rFonts w:cstheme="minorHAnsi"/>
          <w:sz w:val="24"/>
          <w:szCs w:val="24"/>
        </w:rPr>
        <w:t xml:space="preserve">away from </w:t>
      </w:r>
      <w:r w:rsidR="00180D99" w:rsidRPr="005878C0">
        <w:rPr>
          <w:rFonts w:cstheme="minorHAnsi"/>
          <w:sz w:val="24"/>
          <w:szCs w:val="24"/>
        </w:rPr>
        <w:t>g</w:t>
      </w:r>
      <w:r w:rsidRPr="005878C0">
        <w:rPr>
          <w:rFonts w:cstheme="minorHAnsi"/>
          <w:sz w:val="24"/>
          <w:szCs w:val="24"/>
        </w:rPr>
        <w:t>overnment</w:t>
      </w:r>
      <w:r w:rsidR="00180D99" w:rsidRPr="005878C0">
        <w:rPr>
          <w:rFonts w:cstheme="minorHAnsi"/>
          <w:sz w:val="24"/>
          <w:szCs w:val="24"/>
        </w:rPr>
        <w:t xml:space="preserve">. </w:t>
      </w:r>
      <w:r w:rsidR="00182328" w:rsidRPr="005878C0">
        <w:rPr>
          <w:rFonts w:cstheme="minorHAnsi"/>
          <w:sz w:val="24"/>
          <w:szCs w:val="24"/>
        </w:rPr>
        <w:t>This is despite</w:t>
      </w:r>
      <w:r w:rsidR="00DA5DE8" w:rsidRPr="005878C0">
        <w:rPr>
          <w:rFonts w:cstheme="minorHAnsi"/>
          <w:sz w:val="24"/>
          <w:szCs w:val="24"/>
        </w:rPr>
        <w:t xml:space="preserve"> its significant under-resourcing of health and social care and</w:t>
      </w:r>
      <w:r w:rsidR="004C709C" w:rsidRPr="005878C0">
        <w:rPr>
          <w:rFonts w:cstheme="minorHAnsi"/>
          <w:sz w:val="24"/>
          <w:szCs w:val="24"/>
        </w:rPr>
        <w:t xml:space="preserve"> its</w:t>
      </w:r>
      <w:r w:rsidR="00DA5DE8" w:rsidRPr="005878C0">
        <w:rPr>
          <w:rFonts w:cstheme="minorHAnsi"/>
          <w:sz w:val="24"/>
          <w:szCs w:val="24"/>
        </w:rPr>
        <w:t xml:space="preserve"> inadequate investment in the care workforce; both have emerged in tandem with a substantial growth of private sector, profit-driven providers</w:t>
      </w:r>
      <w:r w:rsidR="00987634" w:rsidRPr="005878C0">
        <w:rPr>
          <w:rFonts w:cstheme="minorHAnsi"/>
          <w:sz w:val="24"/>
          <w:szCs w:val="24"/>
        </w:rPr>
        <w:t>.</w:t>
      </w:r>
      <w:r w:rsidRPr="005878C0">
        <w:rPr>
          <w:rFonts w:cstheme="minorHAnsi"/>
          <w:sz w:val="24"/>
          <w:szCs w:val="24"/>
        </w:rPr>
        <w:t xml:space="preserve">  Instead, </w:t>
      </w:r>
      <w:r w:rsidR="00F108AE" w:rsidRPr="005878C0">
        <w:rPr>
          <w:rFonts w:cstheme="minorHAnsi"/>
          <w:sz w:val="24"/>
          <w:szCs w:val="24"/>
        </w:rPr>
        <w:t>the regulator</w:t>
      </w:r>
      <w:r w:rsidR="005F35A8" w:rsidRPr="005878C0">
        <w:rPr>
          <w:rFonts w:cstheme="minorHAnsi"/>
          <w:sz w:val="24"/>
          <w:szCs w:val="24"/>
        </w:rPr>
        <w:t>s are</w:t>
      </w:r>
      <w:r w:rsidR="00F108AE" w:rsidRPr="005878C0">
        <w:rPr>
          <w:rFonts w:cstheme="minorHAnsi"/>
          <w:sz w:val="24"/>
          <w:szCs w:val="24"/>
        </w:rPr>
        <w:t xml:space="preserve"> held </w:t>
      </w:r>
      <w:r w:rsidRPr="005878C0">
        <w:rPr>
          <w:rFonts w:cstheme="minorHAnsi"/>
          <w:sz w:val="24"/>
          <w:szCs w:val="24"/>
        </w:rPr>
        <w:t>responsib</w:t>
      </w:r>
      <w:r w:rsidR="00B55299" w:rsidRPr="005878C0">
        <w:rPr>
          <w:rFonts w:cstheme="minorHAnsi"/>
          <w:sz w:val="24"/>
          <w:szCs w:val="24"/>
        </w:rPr>
        <w:t>le</w:t>
      </w:r>
      <w:r w:rsidR="009E3B17" w:rsidRPr="005878C0">
        <w:rPr>
          <w:rFonts w:cstheme="minorHAnsi"/>
          <w:sz w:val="24"/>
          <w:szCs w:val="24"/>
        </w:rPr>
        <w:t xml:space="preserve"> </w:t>
      </w:r>
      <w:r w:rsidR="00DA5DE8" w:rsidRPr="005878C0">
        <w:rPr>
          <w:rFonts w:cstheme="minorHAnsi"/>
          <w:sz w:val="24"/>
          <w:szCs w:val="24"/>
        </w:rPr>
        <w:t>for failing to identify and respond effectively to abuse and neglect.</w:t>
      </w:r>
      <w:r w:rsidR="00C9235E" w:rsidRPr="005878C0">
        <w:rPr>
          <w:rFonts w:cstheme="minorHAnsi"/>
          <w:sz w:val="24"/>
          <w:szCs w:val="24"/>
        </w:rPr>
        <w:t xml:space="preserve"> </w:t>
      </w:r>
      <w:r w:rsidR="004D74EC" w:rsidRPr="005878C0">
        <w:rPr>
          <w:rFonts w:cstheme="minorHAnsi"/>
          <w:sz w:val="24"/>
          <w:szCs w:val="24"/>
        </w:rPr>
        <w:t>Many</w:t>
      </w:r>
      <w:r w:rsidR="00EE5A3A" w:rsidRPr="005878C0">
        <w:rPr>
          <w:rFonts w:cstheme="minorHAnsi"/>
          <w:sz w:val="24"/>
          <w:szCs w:val="24"/>
        </w:rPr>
        <w:t xml:space="preserve"> care scandals</w:t>
      </w:r>
      <w:r w:rsidR="00C9235E" w:rsidRPr="005878C0">
        <w:rPr>
          <w:rFonts w:cstheme="minorHAnsi"/>
          <w:sz w:val="24"/>
          <w:szCs w:val="24"/>
        </w:rPr>
        <w:t xml:space="preserve"> in the past 10 years have</w:t>
      </w:r>
      <w:r w:rsidR="00EE5A3A" w:rsidRPr="005878C0">
        <w:rPr>
          <w:rFonts w:cstheme="minorHAnsi"/>
          <w:sz w:val="24"/>
          <w:szCs w:val="24"/>
        </w:rPr>
        <w:t xml:space="preserve"> be</w:t>
      </w:r>
      <w:r w:rsidR="00681B20" w:rsidRPr="005878C0">
        <w:rPr>
          <w:rFonts w:cstheme="minorHAnsi"/>
          <w:sz w:val="24"/>
          <w:szCs w:val="24"/>
        </w:rPr>
        <w:t>en</w:t>
      </w:r>
      <w:r w:rsidR="00EE5A3A" w:rsidRPr="005878C0">
        <w:rPr>
          <w:rFonts w:cstheme="minorHAnsi"/>
          <w:sz w:val="24"/>
          <w:szCs w:val="24"/>
        </w:rPr>
        <w:t xml:space="preserve"> </w:t>
      </w:r>
      <w:r w:rsidR="00681B20" w:rsidRPr="005878C0">
        <w:rPr>
          <w:rFonts w:cstheme="minorHAnsi"/>
          <w:sz w:val="24"/>
          <w:szCs w:val="24"/>
        </w:rPr>
        <w:t>exposed</w:t>
      </w:r>
      <w:r w:rsidR="00F323DA" w:rsidRPr="005878C0">
        <w:rPr>
          <w:rFonts w:cstheme="minorHAnsi"/>
          <w:sz w:val="24"/>
          <w:szCs w:val="24"/>
        </w:rPr>
        <w:t xml:space="preserve"> by</w:t>
      </w:r>
      <w:r w:rsidR="00EE5A3A" w:rsidRPr="005878C0">
        <w:rPr>
          <w:rFonts w:cstheme="minorHAnsi"/>
          <w:sz w:val="24"/>
          <w:szCs w:val="24"/>
        </w:rPr>
        <w:t xml:space="preserve"> </w:t>
      </w:r>
      <w:r w:rsidR="00FE535F" w:rsidRPr="005878C0">
        <w:rPr>
          <w:rFonts w:cstheme="minorHAnsi"/>
          <w:sz w:val="24"/>
          <w:szCs w:val="24"/>
        </w:rPr>
        <w:t xml:space="preserve">investigative </w:t>
      </w:r>
      <w:r w:rsidR="00F323DA" w:rsidRPr="005878C0">
        <w:rPr>
          <w:rFonts w:cstheme="minorHAnsi"/>
          <w:sz w:val="24"/>
          <w:szCs w:val="24"/>
        </w:rPr>
        <w:t>journalists</w:t>
      </w:r>
      <w:r w:rsidR="00EE5A3A" w:rsidRPr="005878C0">
        <w:rPr>
          <w:rFonts w:cstheme="minorHAnsi"/>
          <w:sz w:val="24"/>
          <w:szCs w:val="24"/>
        </w:rPr>
        <w:t xml:space="preserve"> rather than</w:t>
      </w:r>
      <w:r w:rsidR="00681B20" w:rsidRPr="005878C0">
        <w:rPr>
          <w:rFonts w:cstheme="minorHAnsi"/>
          <w:sz w:val="24"/>
          <w:szCs w:val="24"/>
        </w:rPr>
        <w:t xml:space="preserve"> by the regulator</w:t>
      </w:r>
      <w:r w:rsidR="003C1DAF" w:rsidRPr="005878C0">
        <w:rPr>
          <w:rFonts w:cstheme="minorHAnsi"/>
          <w:sz w:val="24"/>
          <w:szCs w:val="24"/>
        </w:rPr>
        <w:t>s</w:t>
      </w:r>
      <w:r w:rsidR="00681B20" w:rsidRPr="005878C0">
        <w:rPr>
          <w:rFonts w:cstheme="minorHAnsi"/>
          <w:sz w:val="24"/>
          <w:szCs w:val="24"/>
        </w:rPr>
        <w:t xml:space="preserve"> through the exercise of </w:t>
      </w:r>
      <w:r w:rsidR="003C1DAF" w:rsidRPr="005878C0">
        <w:rPr>
          <w:rFonts w:cstheme="minorHAnsi"/>
          <w:sz w:val="24"/>
          <w:szCs w:val="24"/>
        </w:rPr>
        <w:t>their</w:t>
      </w:r>
      <w:r w:rsidR="00681B20" w:rsidRPr="005878C0">
        <w:rPr>
          <w:rFonts w:cstheme="minorHAnsi"/>
          <w:sz w:val="24"/>
          <w:szCs w:val="24"/>
        </w:rPr>
        <w:t xml:space="preserve"> statutory functions</w:t>
      </w:r>
      <w:r w:rsidR="00E24255" w:rsidRPr="005878C0">
        <w:rPr>
          <w:rFonts w:cstheme="minorHAnsi"/>
          <w:sz w:val="24"/>
          <w:szCs w:val="24"/>
        </w:rPr>
        <w:t>.</w:t>
      </w:r>
      <w:r w:rsidR="005A2751" w:rsidRPr="005878C0">
        <w:rPr>
          <w:rStyle w:val="FootnoteReference"/>
          <w:rFonts w:cstheme="minorHAnsi"/>
          <w:sz w:val="24"/>
          <w:szCs w:val="24"/>
        </w:rPr>
        <w:footnoteReference w:id="7"/>
      </w:r>
      <w:r w:rsidR="00EE5A3A" w:rsidRPr="005878C0">
        <w:rPr>
          <w:rFonts w:cstheme="minorHAnsi"/>
          <w:sz w:val="24"/>
          <w:szCs w:val="24"/>
        </w:rPr>
        <w:t xml:space="preserve">  </w:t>
      </w:r>
      <w:r w:rsidR="009E3B17" w:rsidRPr="005878C0">
        <w:rPr>
          <w:rFonts w:cstheme="minorHAnsi"/>
          <w:sz w:val="24"/>
          <w:szCs w:val="24"/>
        </w:rPr>
        <w:t xml:space="preserve">Even if a care home is identified </w:t>
      </w:r>
      <w:r w:rsidR="00DA5DE8" w:rsidRPr="005878C0">
        <w:rPr>
          <w:rFonts w:cstheme="minorHAnsi"/>
          <w:sz w:val="24"/>
          <w:szCs w:val="24"/>
        </w:rPr>
        <w:t xml:space="preserve">by </w:t>
      </w:r>
      <w:r w:rsidR="003C1DAF" w:rsidRPr="005878C0">
        <w:rPr>
          <w:rFonts w:cstheme="minorHAnsi"/>
          <w:sz w:val="24"/>
          <w:szCs w:val="24"/>
        </w:rPr>
        <w:t>a</w:t>
      </w:r>
      <w:r w:rsidR="00DA5DE8" w:rsidRPr="005878C0">
        <w:rPr>
          <w:rFonts w:cstheme="minorHAnsi"/>
          <w:sz w:val="24"/>
          <w:szCs w:val="24"/>
        </w:rPr>
        <w:t xml:space="preserve"> regulator </w:t>
      </w:r>
      <w:r w:rsidR="009E3B17" w:rsidRPr="005878C0">
        <w:rPr>
          <w:rFonts w:cstheme="minorHAnsi"/>
          <w:sz w:val="24"/>
          <w:szCs w:val="24"/>
        </w:rPr>
        <w:t xml:space="preserve">as </w:t>
      </w:r>
      <w:r w:rsidR="00F323DA" w:rsidRPr="005878C0">
        <w:rPr>
          <w:rFonts w:cstheme="minorHAnsi"/>
          <w:sz w:val="24"/>
          <w:szCs w:val="24"/>
        </w:rPr>
        <w:t xml:space="preserve">providing </w:t>
      </w:r>
      <w:r w:rsidR="009E3B17" w:rsidRPr="005878C0">
        <w:rPr>
          <w:rFonts w:cstheme="minorHAnsi"/>
          <w:sz w:val="24"/>
          <w:szCs w:val="24"/>
        </w:rPr>
        <w:t>inadequate</w:t>
      </w:r>
      <w:r w:rsidR="00F323DA" w:rsidRPr="005878C0">
        <w:rPr>
          <w:rFonts w:cstheme="minorHAnsi"/>
          <w:sz w:val="24"/>
          <w:szCs w:val="24"/>
        </w:rPr>
        <w:t xml:space="preserve"> care,</w:t>
      </w:r>
      <w:r w:rsidR="009E3B17" w:rsidRPr="005878C0">
        <w:rPr>
          <w:rFonts w:cstheme="minorHAnsi"/>
          <w:sz w:val="24"/>
          <w:szCs w:val="24"/>
        </w:rPr>
        <w:t xml:space="preserve"> there is no bar in law or policy to </w:t>
      </w:r>
      <w:r w:rsidR="00C9235E" w:rsidRPr="005878C0">
        <w:rPr>
          <w:rFonts w:cstheme="minorHAnsi"/>
          <w:sz w:val="24"/>
          <w:szCs w:val="24"/>
        </w:rPr>
        <w:t>plac</w:t>
      </w:r>
      <w:r w:rsidR="00AC19E8" w:rsidRPr="005878C0">
        <w:rPr>
          <w:rFonts w:cstheme="minorHAnsi"/>
          <w:sz w:val="24"/>
          <w:szCs w:val="24"/>
        </w:rPr>
        <w:t>ing</w:t>
      </w:r>
      <w:r w:rsidR="009E3B17" w:rsidRPr="005878C0">
        <w:rPr>
          <w:rFonts w:cstheme="minorHAnsi"/>
          <w:sz w:val="24"/>
          <w:szCs w:val="24"/>
        </w:rPr>
        <w:t xml:space="preserve"> older people in such settings.  The regulatory process through which a care home is de-registered</w:t>
      </w:r>
      <w:r w:rsidR="000B2D29" w:rsidRPr="005878C0">
        <w:rPr>
          <w:rFonts w:cstheme="minorHAnsi"/>
          <w:sz w:val="24"/>
          <w:szCs w:val="24"/>
        </w:rPr>
        <w:t xml:space="preserve"> can be </w:t>
      </w:r>
      <w:r w:rsidR="009E3B17" w:rsidRPr="005878C0">
        <w:rPr>
          <w:rFonts w:cstheme="minorHAnsi"/>
          <w:sz w:val="24"/>
          <w:szCs w:val="24"/>
        </w:rPr>
        <w:t>lengthy and cumbersome and leaves older people at</w:t>
      </w:r>
      <w:r w:rsidR="00F323DA" w:rsidRPr="005878C0">
        <w:rPr>
          <w:rFonts w:cstheme="minorHAnsi"/>
          <w:sz w:val="24"/>
          <w:szCs w:val="24"/>
        </w:rPr>
        <w:t xml:space="preserve"> ongoing </w:t>
      </w:r>
      <w:r w:rsidR="009E3B17" w:rsidRPr="005878C0">
        <w:rPr>
          <w:rFonts w:cstheme="minorHAnsi"/>
          <w:sz w:val="24"/>
          <w:szCs w:val="24"/>
        </w:rPr>
        <w:t>risk of neglect</w:t>
      </w:r>
      <w:r w:rsidR="004206DF" w:rsidRPr="005878C0">
        <w:rPr>
          <w:rFonts w:cstheme="minorHAnsi"/>
          <w:sz w:val="24"/>
          <w:szCs w:val="24"/>
        </w:rPr>
        <w:t>,</w:t>
      </w:r>
      <w:r w:rsidR="00F323DA" w:rsidRPr="005878C0">
        <w:rPr>
          <w:rFonts w:cstheme="minorHAnsi"/>
          <w:sz w:val="24"/>
          <w:szCs w:val="24"/>
        </w:rPr>
        <w:t xml:space="preserve"> even after </w:t>
      </w:r>
      <w:r w:rsidR="004206DF" w:rsidRPr="005878C0">
        <w:rPr>
          <w:rFonts w:cstheme="minorHAnsi"/>
          <w:sz w:val="24"/>
          <w:szCs w:val="24"/>
        </w:rPr>
        <w:t>harmful</w:t>
      </w:r>
      <w:r w:rsidR="00F323DA" w:rsidRPr="005878C0">
        <w:rPr>
          <w:rFonts w:cstheme="minorHAnsi"/>
          <w:sz w:val="24"/>
          <w:szCs w:val="24"/>
        </w:rPr>
        <w:t xml:space="preserve"> care has been identified and investigated</w:t>
      </w:r>
      <w:r w:rsidR="009E3B17" w:rsidRPr="005878C0">
        <w:rPr>
          <w:rFonts w:cstheme="minorHAnsi"/>
          <w:sz w:val="24"/>
          <w:szCs w:val="24"/>
        </w:rPr>
        <w:t>.</w:t>
      </w:r>
      <w:r w:rsidR="00F323DA" w:rsidRPr="005878C0">
        <w:rPr>
          <w:rFonts w:cstheme="minorHAnsi"/>
          <w:sz w:val="24"/>
          <w:szCs w:val="24"/>
        </w:rPr>
        <w:t xml:space="preserve"> </w:t>
      </w:r>
      <w:r w:rsidR="009E3B17" w:rsidRPr="005878C0">
        <w:rPr>
          <w:rFonts w:cstheme="minorHAnsi"/>
          <w:sz w:val="24"/>
          <w:szCs w:val="24"/>
        </w:rPr>
        <w:t xml:space="preserve"> </w:t>
      </w:r>
    </w:p>
    <w:p w14:paraId="311A5D2E" w14:textId="77777777" w:rsidR="00362488" w:rsidRPr="005878C0" w:rsidRDefault="00362488" w:rsidP="00FC48A4">
      <w:pPr>
        <w:pStyle w:val="ListParagraph"/>
        <w:ind w:left="0"/>
        <w:jc w:val="both"/>
        <w:rPr>
          <w:rFonts w:cstheme="minorHAnsi"/>
          <w:sz w:val="24"/>
          <w:szCs w:val="24"/>
        </w:rPr>
      </w:pPr>
    </w:p>
    <w:p w14:paraId="2DE54C19" w14:textId="714A12A4" w:rsidR="00A915A3" w:rsidRPr="005878C0" w:rsidRDefault="001537E7" w:rsidP="00FC48A4">
      <w:pPr>
        <w:pStyle w:val="ListParagraph"/>
        <w:ind w:left="0"/>
        <w:jc w:val="both"/>
        <w:rPr>
          <w:rFonts w:cstheme="minorHAnsi"/>
          <w:sz w:val="24"/>
          <w:szCs w:val="24"/>
        </w:rPr>
      </w:pPr>
      <w:r w:rsidRPr="005878C0">
        <w:rPr>
          <w:rFonts w:cstheme="minorHAnsi"/>
          <w:sz w:val="24"/>
          <w:szCs w:val="24"/>
        </w:rPr>
        <w:t xml:space="preserve">Of concern is the ‘blanket’ use of </w:t>
      </w:r>
      <w:r w:rsidRPr="005878C0">
        <w:rPr>
          <w:rFonts w:cstheme="minorHAnsi"/>
          <w:i/>
          <w:iCs/>
          <w:sz w:val="24"/>
          <w:szCs w:val="24"/>
        </w:rPr>
        <w:t xml:space="preserve">Do Not </w:t>
      </w:r>
      <w:r w:rsidR="00E913CD" w:rsidRPr="005878C0">
        <w:rPr>
          <w:rFonts w:cstheme="minorHAnsi"/>
          <w:i/>
          <w:iCs/>
          <w:sz w:val="24"/>
          <w:szCs w:val="24"/>
        </w:rPr>
        <w:t xml:space="preserve">Attempt </w:t>
      </w:r>
      <w:r w:rsidRPr="005878C0">
        <w:rPr>
          <w:rFonts w:cstheme="minorHAnsi"/>
          <w:i/>
          <w:iCs/>
          <w:sz w:val="24"/>
          <w:szCs w:val="24"/>
        </w:rPr>
        <w:t xml:space="preserve">Cardiopulmonary </w:t>
      </w:r>
      <w:r w:rsidR="00F323DA" w:rsidRPr="005878C0">
        <w:rPr>
          <w:rFonts w:cstheme="minorHAnsi"/>
          <w:i/>
          <w:iCs/>
          <w:sz w:val="24"/>
          <w:szCs w:val="24"/>
        </w:rPr>
        <w:t>Resuscitation</w:t>
      </w:r>
      <w:r w:rsidR="00E913CD" w:rsidRPr="005878C0">
        <w:rPr>
          <w:rFonts w:cstheme="minorHAnsi"/>
          <w:i/>
          <w:iCs/>
          <w:sz w:val="24"/>
          <w:szCs w:val="24"/>
        </w:rPr>
        <w:t xml:space="preserve"> </w:t>
      </w:r>
      <w:r w:rsidR="00FC0A7E" w:rsidRPr="005878C0">
        <w:rPr>
          <w:rFonts w:cstheme="minorHAnsi"/>
          <w:sz w:val="24"/>
          <w:szCs w:val="24"/>
        </w:rPr>
        <w:t>(DNACPR)</w:t>
      </w:r>
      <w:r w:rsidRPr="005878C0">
        <w:rPr>
          <w:rFonts w:cstheme="minorHAnsi"/>
          <w:sz w:val="24"/>
          <w:szCs w:val="24"/>
        </w:rPr>
        <w:t xml:space="preserve"> in respect of older people in nursing homes.  In </w:t>
      </w:r>
      <w:r w:rsidR="00F65168" w:rsidRPr="005878C0">
        <w:rPr>
          <w:rFonts w:cstheme="minorHAnsi"/>
          <w:sz w:val="24"/>
          <w:szCs w:val="24"/>
        </w:rPr>
        <w:t>its</w:t>
      </w:r>
      <w:r w:rsidRPr="005878C0">
        <w:rPr>
          <w:rFonts w:cstheme="minorHAnsi"/>
          <w:sz w:val="24"/>
          <w:szCs w:val="24"/>
        </w:rPr>
        <w:t xml:space="preserve"> </w:t>
      </w:r>
      <w:r w:rsidR="007C6A68" w:rsidRPr="005878C0">
        <w:rPr>
          <w:rFonts w:cstheme="minorHAnsi"/>
          <w:sz w:val="24"/>
          <w:szCs w:val="24"/>
        </w:rPr>
        <w:t xml:space="preserve">2021 </w:t>
      </w:r>
      <w:r w:rsidR="00D301B6" w:rsidRPr="005878C0">
        <w:rPr>
          <w:rFonts w:cstheme="minorHAnsi"/>
          <w:sz w:val="24"/>
          <w:szCs w:val="24"/>
        </w:rPr>
        <w:t>r</w:t>
      </w:r>
      <w:r w:rsidR="00F323DA" w:rsidRPr="005878C0">
        <w:rPr>
          <w:rFonts w:cstheme="minorHAnsi"/>
          <w:sz w:val="24"/>
          <w:szCs w:val="24"/>
        </w:rPr>
        <w:t>eport</w:t>
      </w:r>
      <w:r w:rsidR="007C6A68" w:rsidRPr="005878C0">
        <w:rPr>
          <w:rFonts w:cstheme="minorHAnsi"/>
          <w:sz w:val="24"/>
          <w:szCs w:val="24"/>
        </w:rPr>
        <w:t xml:space="preserve">, </w:t>
      </w:r>
      <w:r w:rsidRPr="005878C0">
        <w:rPr>
          <w:rFonts w:cstheme="minorHAnsi"/>
          <w:sz w:val="24"/>
          <w:szCs w:val="24"/>
        </w:rPr>
        <w:t>the C</w:t>
      </w:r>
      <w:r w:rsidR="00F65168" w:rsidRPr="005878C0">
        <w:rPr>
          <w:rFonts w:cstheme="minorHAnsi"/>
          <w:sz w:val="24"/>
          <w:szCs w:val="24"/>
        </w:rPr>
        <w:t xml:space="preserve">are </w:t>
      </w:r>
      <w:r w:rsidRPr="005878C0">
        <w:rPr>
          <w:rFonts w:cstheme="minorHAnsi"/>
          <w:sz w:val="24"/>
          <w:szCs w:val="24"/>
        </w:rPr>
        <w:t>Q</w:t>
      </w:r>
      <w:r w:rsidR="00483815" w:rsidRPr="005878C0">
        <w:rPr>
          <w:rFonts w:cstheme="minorHAnsi"/>
          <w:sz w:val="24"/>
          <w:szCs w:val="24"/>
        </w:rPr>
        <w:t xml:space="preserve">uality </w:t>
      </w:r>
      <w:r w:rsidRPr="005878C0">
        <w:rPr>
          <w:rFonts w:cstheme="minorHAnsi"/>
          <w:sz w:val="24"/>
          <w:szCs w:val="24"/>
        </w:rPr>
        <w:t>C</w:t>
      </w:r>
      <w:r w:rsidR="00483815" w:rsidRPr="005878C0">
        <w:rPr>
          <w:rFonts w:cstheme="minorHAnsi"/>
          <w:sz w:val="24"/>
          <w:szCs w:val="24"/>
        </w:rPr>
        <w:t>ommission</w:t>
      </w:r>
      <w:r w:rsidR="00FC4E78" w:rsidRPr="005878C0">
        <w:rPr>
          <w:rFonts w:cstheme="minorHAnsi"/>
          <w:sz w:val="24"/>
          <w:szCs w:val="24"/>
        </w:rPr>
        <w:t xml:space="preserve"> (CQC</w:t>
      </w:r>
      <w:r w:rsidR="00E92B50" w:rsidRPr="005878C0">
        <w:rPr>
          <w:rFonts w:cstheme="minorHAnsi"/>
          <w:sz w:val="24"/>
          <w:szCs w:val="24"/>
        </w:rPr>
        <w:t>)</w:t>
      </w:r>
      <w:r w:rsidRPr="005878C0">
        <w:rPr>
          <w:rFonts w:cstheme="minorHAnsi"/>
          <w:sz w:val="24"/>
          <w:szCs w:val="24"/>
        </w:rPr>
        <w:t xml:space="preserve"> noted that</w:t>
      </w:r>
      <w:r w:rsidR="00E96711" w:rsidRPr="005878C0">
        <w:rPr>
          <w:rFonts w:cstheme="minorHAnsi"/>
          <w:sz w:val="24"/>
          <w:szCs w:val="24"/>
        </w:rPr>
        <w:t xml:space="preserve"> </w:t>
      </w:r>
      <w:r w:rsidRPr="005878C0">
        <w:rPr>
          <w:rFonts w:cstheme="minorHAnsi"/>
          <w:sz w:val="24"/>
          <w:szCs w:val="24"/>
        </w:rPr>
        <w:t xml:space="preserve">the percentage of nursing home residents with a DNACPR </w:t>
      </w:r>
      <w:r w:rsidR="00F27B40" w:rsidRPr="005878C0">
        <w:rPr>
          <w:rFonts w:cstheme="minorHAnsi"/>
          <w:sz w:val="24"/>
          <w:szCs w:val="24"/>
        </w:rPr>
        <w:t>recommendation</w:t>
      </w:r>
      <w:r w:rsidRPr="005878C0">
        <w:rPr>
          <w:rFonts w:cstheme="minorHAnsi"/>
          <w:sz w:val="24"/>
          <w:szCs w:val="24"/>
        </w:rPr>
        <w:t xml:space="preserve"> in their medical notes increased from 74% to 92% between March and December 2020.</w:t>
      </w:r>
      <w:r w:rsidR="002777FF" w:rsidRPr="005878C0">
        <w:rPr>
          <w:rStyle w:val="FootnoteReference"/>
          <w:rFonts w:cstheme="minorHAnsi"/>
          <w:sz w:val="24"/>
          <w:szCs w:val="24"/>
        </w:rPr>
        <w:footnoteReference w:id="8"/>
      </w:r>
      <w:r w:rsidRPr="005878C0">
        <w:rPr>
          <w:rFonts w:cstheme="minorHAnsi"/>
          <w:sz w:val="24"/>
          <w:szCs w:val="24"/>
        </w:rPr>
        <w:t xml:space="preserve"> This increased recording of DNACPR </w:t>
      </w:r>
      <w:r w:rsidR="00E2122A" w:rsidRPr="005878C0">
        <w:rPr>
          <w:rFonts w:cstheme="minorHAnsi"/>
          <w:sz w:val="24"/>
          <w:szCs w:val="24"/>
        </w:rPr>
        <w:t xml:space="preserve">recommendations </w:t>
      </w:r>
      <w:r w:rsidRPr="005878C0">
        <w:rPr>
          <w:rFonts w:cstheme="minorHAnsi"/>
          <w:sz w:val="24"/>
          <w:szCs w:val="24"/>
        </w:rPr>
        <w:t>was not accompanied by safeguards</w:t>
      </w:r>
      <w:r w:rsidR="009D105B" w:rsidRPr="005878C0">
        <w:rPr>
          <w:rFonts w:cstheme="minorHAnsi"/>
          <w:sz w:val="24"/>
          <w:szCs w:val="24"/>
        </w:rPr>
        <w:t xml:space="preserve">, </w:t>
      </w:r>
      <w:r w:rsidR="00F323DA" w:rsidRPr="005878C0">
        <w:rPr>
          <w:rFonts w:cstheme="minorHAnsi"/>
          <w:sz w:val="24"/>
          <w:szCs w:val="24"/>
        </w:rPr>
        <w:t>i.e.</w:t>
      </w:r>
      <w:r w:rsidRPr="005878C0">
        <w:rPr>
          <w:rFonts w:cstheme="minorHAnsi"/>
          <w:sz w:val="24"/>
          <w:szCs w:val="24"/>
        </w:rPr>
        <w:t xml:space="preserve"> effective involvement of the person concerned </w:t>
      </w:r>
      <w:r w:rsidR="005C5E33" w:rsidRPr="005878C0">
        <w:rPr>
          <w:rFonts w:cstheme="minorHAnsi"/>
          <w:sz w:val="24"/>
          <w:szCs w:val="24"/>
        </w:rPr>
        <w:t>in making the decision</w:t>
      </w:r>
      <w:r w:rsidR="00813923" w:rsidRPr="005878C0">
        <w:rPr>
          <w:rFonts w:cstheme="minorHAnsi"/>
          <w:sz w:val="24"/>
          <w:szCs w:val="24"/>
        </w:rPr>
        <w:t xml:space="preserve"> </w:t>
      </w:r>
      <w:r w:rsidRPr="005878C0">
        <w:rPr>
          <w:rFonts w:cstheme="minorHAnsi"/>
          <w:sz w:val="24"/>
          <w:szCs w:val="24"/>
        </w:rPr>
        <w:t xml:space="preserve">and clear evaluation of the clinical </w:t>
      </w:r>
      <w:r w:rsidR="00F323DA" w:rsidRPr="005878C0">
        <w:rPr>
          <w:rFonts w:cstheme="minorHAnsi"/>
          <w:sz w:val="24"/>
          <w:szCs w:val="24"/>
        </w:rPr>
        <w:t>implications</w:t>
      </w:r>
      <w:r w:rsidRPr="005878C0">
        <w:rPr>
          <w:rFonts w:cstheme="minorHAnsi"/>
          <w:sz w:val="24"/>
          <w:szCs w:val="24"/>
        </w:rPr>
        <w:t xml:space="preserve"> of resuscitation</w:t>
      </w:r>
      <w:r w:rsidR="00813923" w:rsidRPr="005878C0">
        <w:rPr>
          <w:rFonts w:cstheme="minorHAnsi"/>
          <w:sz w:val="24"/>
          <w:szCs w:val="24"/>
        </w:rPr>
        <w:t xml:space="preserve">. </w:t>
      </w:r>
      <w:r w:rsidR="00257917" w:rsidRPr="005878C0">
        <w:rPr>
          <w:rFonts w:cstheme="minorHAnsi"/>
          <w:sz w:val="24"/>
          <w:szCs w:val="24"/>
        </w:rPr>
        <w:t xml:space="preserve"> </w:t>
      </w:r>
      <w:r w:rsidR="00B2434C" w:rsidRPr="005878C0">
        <w:rPr>
          <w:rFonts w:cstheme="minorHAnsi"/>
          <w:sz w:val="24"/>
          <w:szCs w:val="24"/>
        </w:rPr>
        <w:t>This practice</w:t>
      </w:r>
      <w:r w:rsidR="00257917" w:rsidRPr="005878C0">
        <w:rPr>
          <w:rFonts w:cstheme="minorHAnsi"/>
          <w:sz w:val="24"/>
          <w:szCs w:val="24"/>
        </w:rPr>
        <w:t xml:space="preserve"> is </w:t>
      </w:r>
      <w:r w:rsidR="00A037F2" w:rsidRPr="005878C0">
        <w:rPr>
          <w:rFonts w:cstheme="minorHAnsi"/>
          <w:sz w:val="24"/>
          <w:szCs w:val="24"/>
        </w:rPr>
        <w:t xml:space="preserve">in </w:t>
      </w:r>
      <w:r w:rsidR="00257917" w:rsidRPr="005878C0">
        <w:rPr>
          <w:rFonts w:cstheme="minorHAnsi"/>
          <w:sz w:val="24"/>
          <w:szCs w:val="24"/>
        </w:rPr>
        <w:t xml:space="preserve">breach of </w:t>
      </w:r>
      <w:r w:rsidR="003B6620" w:rsidRPr="005878C0">
        <w:rPr>
          <w:rFonts w:cstheme="minorHAnsi"/>
          <w:sz w:val="24"/>
          <w:szCs w:val="24"/>
        </w:rPr>
        <w:t xml:space="preserve">Regulation </w:t>
      </w:r>
      <w:r w:rsidR="00D301B6" w:rsidRPr="005878C0">
        <w:rPr>
          <w:rFonts w:cstheme="minorHAnsi"/>
          <w:sz w:val="24"/>
          <w:szCs w:val="24"/>
        </w:rPr>
        <w:t>13</w:t>
      </w:r>
      <w:r w:rsidR="00FC4E78" w:rsidRPr="005878C0">
        <w:rPr>
          <w:rFonts w:cstheme="minorHAnsi"/>
          <w:sz w:val="24"/>
          <w:szCs w:val="24"/>
        </w:rPr>
        <w:t xml:space="preserve"> in England</w:t>
      </w:r>
      <w:r w:rsidR="00D301B6" w:rsidRPr="005878C0">
        <w:rPr>
          <w:rFonts w:cstheme="minorHAnsi"/>
          <w:sz w:val="24"/>
          <w:szCs w:val="24"/>
        </w:rPr>
        <w:t xml:space="preserve"> to protect people from abuse and neglect</w:t>
      </w:r>
      <w:r w:rsidR="00E24255" w:rsidRPr="005878C0">
        <w:rPr>
          <w:rFonts w:cstheme="minorHAnsi"/>
          <w:sz w:val="24"/>
          <w:szCs w:val="24"/>
        </w:rPr>
        <w:t>.</w:t>
      </w:r>
      <w:r w:rsidR="00E24255" w:rsidRPr="005878C0">
        <w:rPr>
          <w:rStyle w:val="FootnoteReference"/>
          <w:rFonts w:cstheme="minorHAnsi"/>
          <w:sz w:val="24"/>
          <w:szCs w:val="24"/>
        </w:rPr>
        <w:footnoteReference w:id="9"/>
      </w:r>
      <w:r w:rsidR="009637B6" w:rsidRPr="005878C0">
        <w:rPr>
          <w:rFonts w:cstheme="minorHAnsi"/>
          <w:sz w:val="24"/>
          <w:szCs w:val="24"/>
        </w:rPr>
        <w:t xml:space="preserve"> </w:t>
      </w:r>
      <w:r w:rsidR="00257917" w:rsidRPr="005878C0">
        <w:rPr>
          <w:rFonts w:cstheme="minorHAnsi"/>
          <w:sz w:val="24"/>
          <w:szCs w:val="24"/>
        </w:rPr>
        <w:t>Despite this widespread</w:t>
      </w:r>
      <w:r w:rsidR="00894707" w:rsidRPr="005878C0">
        <w:rPr>
          <w:rFonts w:cstheme="minorHAnsi"/>
          <w:sz w:val="24"/>
          <w:szCs w:val="24"/>
        </w:rPr>
        <w:t xml:space="preserve"> </w:t>
      </w:r>
      <w:r w:rsidR="00257917" w:rsidRPr="005878C0">
        <w:rPr>
          <w:rFonts w:cstheme="minorHAnsi"/>
          <w:sz w:val="24"/>
          <w:szCs w:val="24"/>
        </w:rPr>
        <w:t xml:space="preserve">practice, the </w:t>
      </w:r>
      <w:r w:rsidR="00FC4E78" w:rsidRPr="005878C0">
        <w:rPr>
          <w:rFonts w:cstheme="minorHAnsi"/>
          <w:sz w:val="24"/>
          <w:szCs w:val="24"/>
        </w:rPr>
        <w:t>CQC</w:t>
      </w:r>
      <w:r w:rsidR="00257917" w:rsidRPr="005878C0">
        <w:rPr>
          <w:rFonts w:cstheme="minorHAnsi"/>
          <w:sz w:val="24"/>
          <w:szCs w:val="24"/>
        </w:rPr>
        <w:t xml:space="preserve"> has not</w:t>
      </w:r>
      <w:r w:rsidR="00057A5C" w:rsidRPr="005878C0">
        <w:rPr>
          <w:rFonts w:cstheme="minorHAnsi"/>
          <w:sz w:val="24"/>
          <w:szCs w:val="24"/>
        </w:rPr>
        <w:t xml:space="preserve"> reported </w:t>
      </w:r>
      <w:r w:rsidR="00307450" w:rsidRPr="005878C0">
        <w:rPr>
          <w:rFonts w:cstheme="minorHAnsi"/>
          <w:sz w:val="24"/>
          <w:szCs w:val="24"/>
        </w:rPr>
        <w:t>on</w:t>
      </w:r>
      <w:r w:rsidR="007C6A68" w:rsidRPr="005878C0">
        <w:rPr>
          <w:rFonts w:cstheme="minorHAnsi"/>
          <w:sz w:val="24"/>
          <w:szCs w:val="24"/>
        </w:rPr>
        <w:t xml:space="preserve"> the range or frequency of </w:t>
      </w:r>
      <w:r w:rsidR="00894707" w:rsidRPr="005878C0">
        <w:rPr>
          <w:rFonts w:cstheme="minorHAnsi"/>
          <w:sz w:val="24"/>
          <w:szCs w:val="24"/>
        </w:rPr>
        <w:t xml:space="preserve">remedial </w:t>
      </w:r>
      <w:r w:rsidR="00257917" w:rsidRPr="005878C0">
        <w:rPr>
          <w:rFonts w:cstheme="minorHAnsi"/>
          <w:sz w:val="24"/>
          <w:szCs w:val="24"/>
        </w:rPr>
        <w:t>action</w:t>
      </w:r>
      <w:r w:rsidR="007C6A68" w:rsidRPr="005878C0">
        <w:rPr>
          <w:rFonts w:cstheme="minorHAnsi"/>
          <w:sz w:val="24"/>
          <w:szCs w:val="24"/>
        </w:rPr>
        <w:t>s</w:t>
      </w:r>
      <w:r w:rsidR="00257917" w:rsidRPr="005878C0">
        <w:rPr>
          <w:rFonts w:cstheme="minorHAnsi"/>
          <w:sz w:val="24"/>
          <w:szCs w:val="24"/>
        </w:rPr>
        <w:t xml:space="preserve"> </w:t>
      </w:r>
      <w:r w:rsidR="00C974EB" w:rsidRPr="005878C0">
        <w:rPr>
          <w:rFonts w:cstheme="minorHAnsi"/>
          <w:sz w:val="24"/>
          <w:szCs w:val="24"/>
        </w:rPr>
        <w:t xml:space="preserve">taken </w:t>
      </w:r>
      <w:r w:rsidR="00257917" w:rsidRPr="005878C0">
        <w:rPr>
          <w:rFonts w:cstheme="minorHAnsi"/>
          <w:sz w:val="24"/>
          <w:szCs w:val="24"/>
        </w:rPr>
        <w:t>against providers</w:t>
      </w:r>
      <w:r w:rsidR="00894707" w:rsidRPr="005878C0">
        <w:rPr>
          <w:rFonts w:cstheme="minorHAnsi"/>
          <w:sz w:val="24"/>
          <w:szCs w:val="24"/>
        </w:rPr>
        <w:t>.</w:t>
      </w:r>
      <w:r w:rsidR="00DD3398" w:rsidRPr="005878C0">
        <w:rPr>
          <w:rStyle w:val="FootnoteReference"/>
          <w:rFonts w:cstheme="minorHAnsi"/>
          <w:sz w:val="24"/>
          <w:szCs w:val="24"/>
        </w:rPr>
        <w:footnoteReference w:id="10"/>
      </w:r>
      <w:r w:rsidR="00894707" w:rsidRPr="005878C0">
        <w:rPr>
          <w:rFonts w:cstheme="minorHAnsi"/>
          <w:sz w:val="24"/>
          <w:szCs w:val="24"/>
        </w:rPr>
        <w:t xml:space="preserve"> </w:t>
      </w:r>
    </w:p>
    <w:p w14:paraId="4A7F01C9" w14:textId="4F3F2656" w:rsidR="00E96711" w:rsidRPr="005878C0" w:rsidRDefault="00E96711" w:rsidP="00FC48A4">
      <w:pPr>
        <w:pStyle w:val="ListParagraph"/>
        <w:ind w:left="360"/>
        <w:jc w:val="both"/>
        <w:rPr>
          <w:rFonts w:cstheme="minorHAnsi"/>
          <w:sz w:val="24"/>
          <w:szCs w:val="24"/>
        </w:rPr>
      </w:pPr>
    </w:p>
    <w:p w14:paraId="4EE086F5" w14:textId="072C02ED" w:rsidR="00F323DA" w:rsidRPr="005878C0" w:rsidRDefault="00E92B50" w:rsidP="00FC48A4">
      <w:pPr>
        <w:pStyle w:val="ListParagraph"/>
        <w:ind w:left="0"/>
        <w:jc w:val="both"/>
        <w:rPr>
          <w:rFonts w:cstheme="minorHAnsi"/>
          <w:sz w:val="24"/>
          <w:szCs w:val="24"/>
        </w:rPr>
      </w:pPr>
      <w:r w:rsidRPr="005878C0">
        <w:rPr>
          <w:rFonts w:cstheme="minorHAnsi"/>
          <w:sz w:val="24"/>
          <w:szCs w:val="24"/>
        </w:rPr>
        <w:t>During</w:t>
      </w:r>
      <w:r w:rsidR="00EF5F46" w:rsidRPr="005878C0">
        <w:rPr>
          <w:rFonts w:cstheme="minorHAnsi"/>
          <w:sz w:val="24"/>
          <w:szCs w:val="24"/>
        </w:rPr>
        <w:t xml:space="preserve"> 202</w:t>
      </w:r>
      <w:r w:rsidR="002777FF" w:rsidRPr="005878C0">
        <w:rPr>
          <w:rFonts w:cstheme="minorHAnsi"/>
          <w:sz w:val="24"/>
          <w:szCs w:val="24"/>
        </w:rPr>
        <w:t>1</w:t>
      </w:r>
      <w:r w:rsidR="000C38AE" w:rsidRPr="005878C0">
        <w:rPr>
          <w:rFonts w:cstheme="minorHAnsi"/>
          <w:sz w:val="24"/>
          <w:szCs w:val="24"/>
        </w:rPr>
        <w:t>,</w:t>
      </w:r>
      <w:r w:rsidR="00EF5F46" w:rsidRPr="005878C0">
        <w:rPr>
          <w:rFonts w:cstheme="minorHAnsi"/>
          <w:sz w:val="24"/>
          <w:szCs w:val="24"/>
        </w:rPr>
        <w:t xml:space="preserve"> t</w:t>
      </w:r>
      <w:r w:rsidR="00F323DA" w:rsidRPr="005878C0">
        <w:rPr>
          <w:rFonts w:cstheme="minorHAnsi"/>
          <w:sz w:val="24"/>
          <w:szCs w:val="24"/>
        </w:rPr>
        <w:t xml:space="preserve">he </w:t>
      </w:r>
      <w:r w:rsidR="000C38AE" w:rsidRPr="005878C0">
        <w:rPr>
          <w:rFonts w:cstheme="minorHAnsi"/>
          <w:sz w:val="24"/>
          <w:szCs w:val="24"/>
        </w:rPr>
        <w:t>CQC</w:t>
      </w:r>
      <w:r w:rsidR="00F323DA" w:rsidRPr="005878C0">
        <w:rPr>
          <w:rFonts w:cstheme="minorHAnsi"/>
          <w:sz w:val="24"/>
          <w:szCs w:val="24"/>
        </w:rPr>
        <w:t xml:space="preserve"> responded  to criticisms with a shift in its methodology to a more ‘dynamic’ model of regulation, which it claims will be evidence-based and data-driven.</w:t>
      </w:r>
      <w:r w:rsidR="00EF5F46" w:rsidRPr="005878C0">
        <w:rPr>
          <w:rStyle w:val="FootnoteReference"/>
          <w:rFonts w:cstheme="minorHAnsi"/>
          <w:sz w:val="24"/>
          <w:szCs w:val="24"/>
        </w:rPr>
        <w:footnoteReference w:id="11"/>
      </w:r>
      <w:r w:rsidR="00F323DA" w:rsidRPr="005878C0">
        <w:rPr>
          <w:rFonts w:cstheme="minorHAnsi"/>
          <w:sz w:val="24"/>
          <w:szCs w:val="24"/>
        </w:rPr>
        <w:t xml:space="preserve">    It </w:t>
      </w:r>
      <w:r w:rsidR="00F323DA" w:rsidRPr="005878C0">
        <w:rPr>
          <w:rFonts w:cstheme="minorHAnsi"/>
          <w:sz w:val="24"/>
          <w:szCs w:val="24"/>
        </w:rPr>
        <w:lastRenderedPageBreak/>
        <w:t>has committed to focus more closely on institutions with ‘closed cultures’, described as “</w:t>
      </w:r>
      <w:r w:rsidR="00F323DA" w:rsidRPr="005878C0">
        <w:rPr>
          <w:rFonts w:cstheme="minorHAnsi"/>
          <w:spacing w:val="-5"/>
          <w:sz w:val="24"/>
          <w:szCs w:val="24"/>
        </w:rPr>
        <w:t>a poor culture in a health or care service that increases the risk of harm”.</w:t>
      </w:r>
      <w:r w:rsidR="00D226D7" w:rsidRPr="005878C0">
        <w:rPr>
          <w:rStyle w:val="FootnoteReference"/>
          <w:rFonts w:cstheme="minorHAnsi"/>
          <w:spacing w:val="-5"/>
          <w:sz w:val="24"/>
          <w:szCs w:val="24"/>
        </w:rPr>
        <w:footnoteReference w:id="12"/>
      </w:r>
      <w:r w:rsidR="00F323DA" w:rsidRPr="005878C0">
        <w:rPr>
          <w:rFonts w:cstheme="minorHAnsi"/>
          <w:spacing w:val="-5"/>
          <w:sz w:val="24"/>
          <w:szCs w:val="24"/>
        </w:rPr>
        <w:t xml:space="preserve">  </w:t>
      </w:r>
      <w:r w:rsidR="00F323DA" w:rsidRPr="005878C0">
        <w:rPr>
          <w:rFonts w:cstheme="minorHAnsi"/>
          <w:sz w:val="24"/>
          <w:szCs w:val="24"/>
        </w:rPr>
        <w:t xml:space="preserve">We </w:t>
      </w:r>
      <w:r w:rsidR="00CE539A" w:rsidRPr="005878C0">
        <w:rPr>
          <w:rFonts w:cstheme="minorHAnsi"/>
          <w:sz w:val="24"/>
          <w:szCs w:val="24"/>
        </w:rPr>
        <w:t>are</w:t>
      </w:r>
      <w:r w:rsidR="00F323DA" w:rsidRPr="005878C0">
        <w:rPr>
          <w:rFonts w:cstheme="minorHAnsi"/>
          <w:sz w:val="24"/>
          <w:szCs w:val="24"/>
        </w:rPr>
        <w:t xml:space="preserve"> concerned that the </w:t>
      </w:r>
      <w:r w:rsidR="00B47876" w:rsidRPr="005878C0">
        <w:rPr>
          <w:rFonts w:cstheme="minorHAnsi"/>
          <w:sz w:val="24"/>
          <w:szCs w:val="24"/>
        </w:rPr>
        <w:t xml:space="preserve">government’s </w:t>
      </w:r>
      <w:r w:rsidR="00F323DA" w:rsidRPr="005878C0">
        <w:rPr>
          <w:rFonts w:cstheme="minorHAnsi"/>
          <w:sz w:val="24"/>
          <w:szCs w:val="24"/>
        </w:rPr>
        <w:t xml:space="preserve">reliance on the regulator as the organisation responsible for preventing abuse and neglect in institutional care settings in an increasingly unstable care market </w:t>
      </w:r>
      <w:r w:rsidR="00FB445E" w:rsidRPr="005878C0">
        <w:rPr>
          <w:rFonts w:cstheme="minorHAnsi"/>
          <w:sz w:val="24"/>
          <w:szCs w:val="24"/>
        </w:rPr>
        <w:t xml:space="preserve">is erroneous and </w:t>
      </w:r>
      <w:r w:rsidR="00F323DA" w:rsidRPr="005878C0">
        <w:rPr>
          <w:rFonts w:cstheme="minorHAnsi"/>
          <w:sz w:val="24"/>
          <w:szCs w:val="24"/>
        </w:rPr>
        <w:t>will struggle  to ensure effective safeguarding of older people when</w:t>
      </w:r>
      <w:r w:rsidR="00257917" w:rsidRPr="005878C0">
        <w:rPr>
          <w:rFonts w:cstheme="minorHAnsi"/>
          <w:sz w:val="24"/>
          <w:szCs w:val="24"/>
        </w:rPr>
        <w:t xml:space="preserve"> instances </w:t>
      </w:r>
      <w:r w:rsidR="007951DF" w:rsidRPr="005878C0">
        <w:rPr>
          <w:rFonts w:cstheme="minorHAnsi"/>
          <w:sz w:val="24"/>
          <w:szCs w:val="24"/>
        </w:rPr>
        <w:t>of</w:t>
      </w:r>
      <w:r w:rsidR="00257917" w:rsidRPr="005878C0">
        <w:rPr>
          <w:rFonts w:cstheme="minorHAnsi"/>
          <w:sz w:val="24"/>
          <w:szCs w:val="24"/>
        </w:rPr>
        <w:t xml:space="preserve"> neglect are so </w:t>
      </w:r>
      <w:r w:rsidR="00E24255" w:rsidRPr="005878C0">
        <w:rPr>
          <w:rFonts w:cstheme="minorHAnsi"/>
          <w:sz w:val="24"/>
          <w:szCs w:val="24"/>
        </w:rPr>
        <w:t>widely tolerated</w:t>
      </w:r>
      <w:r w:rsidR="00257917" w:rsidRPr="005878C0">
        <w:rPr>
          <w:rFonts w:cstheme="minorHAnsi"/>
          <w:sz w:val="24"/>
          <w:szCs w:val="24"/>
        </w:rPr>
        <w:t xml:space="preserve"> within the sector</w:t>
      </w:r>
      <w:r w:rsidR="00F323DA" w:rsidRPr="005878C0">
        <w:rPr>
          <w:rFonts w:cstheme="minorHAnsi"/>
          <w:sz w:val="24"/>
          <w:szCs w:val="24"/>
        </w:rPr>
        <w:t xml:space="preserve">.  </w:t>
      </w:r>
      <w:r w:rsidR="00DA5DE8" w:rsidRPr="005878C0">
        <w:rPr>
          <w:rFonts w:cstheme="minorHAnsi"/>
          <w:sz w:val="24"/>
          <w:szCs w:val="24"/>
        </w:rPr>
        <w:t xml:space="preserve">  </w:t>
      </w:r>
    </w:p>
    <w:p w14:paraId="4BDC039E" w14:textId="52838EF4" w:rsidR="006D6C5E" w:rsidRPr="005878C0" w:rsidRDefault="006D6C5E" w:rsidP="00FC48A4">
      <w:pPr>
        <w:pStyle w:val="ListParagraph"/>
        <w:ind w:left="360"/>
        <w:jc w:val="both"/>
        <w:rPr>
          <w:rFonts w:cstheme="minorHAnsi"/>
          <w:sz w:val="24"/>
          <w:szCs w:val="24"/>
        </w:rPr>
      </w:pPr>
    </w:p>
    <w:p w14:paraId="02A0D4A4" w14:textId="2692179C" w:rsidR="006D6C5E" w:rsidRPr="005878C0" w:rsidRDefault="006D6C5E" w:rsidP="0033114E">
      <w:pPr>
        <w:pStyle w:val="Heading2"/>
        <w:numPr>
          <w:ilvl w:val="0"/>
          <w:numId w:val="2"/>
        </w:numPr>
        <w:rPr>
          <w:color w:val="44546A" w:themeColor="text2"/>
        </w:rPr>
      </w:pPr>
      <w:r w:rsidRPr="005878C0">
        <w:rPr>
          <w:color w:val="44546A" w:themeColor="text2"/>
        </w:rPr>
        <w:t xml:space="preserve">Criminal law measures are inadequate to address elder abuse and </w:t>
      </w:r>
      <w:r w:rsidR="002006F8" w:rsidRPr="005878C0">
        <w:rPr>
          <w:color w:val="44546A" w:themeColor="text2"/>
        </w:rPr>
        <w:t>neglect.</w:t>
      </w:r>
      <w:r w:rsidRPr="005878C0">
        <w:rPr>
          <w:color w:val="44546A" w:themeColor="text2"/>
        </w:rPr>
        <w:t xml:space="preserve"> </w:t>
      </w:r>
    </w:p>
    <w:p w14:paraId="6F0A4A61" w14:textId="77777777" w:rsidR="006D6C5E" w:rsidRPr="005878C0" w:rsidRDefault="006D6C5E" w:rsidP="00FC48A4">
      <w:pPr>
        <w:pStyle w:val="PlainText"/>
        <w:jc w:val="both"/>
        <w:rPr>
          <w:rFonts w:asciiTheme="minorHAnsi" w:hAnsiTheme="minorHAnsi" w:cstheme="minorHAnsi"/>
          <w:sz w:val="24"/>
          <w:szCs w:val="24"/>
        </w:rPr>
      </w:pPr>
    </w:p>
    <w:p w14:paraId="3D54E33D" w14:textId="2A8D1DF5" w:rsidR="00006271" w:rsidRPr="005878C0" w:rsidRDefault="00AA2D09" w:rsidP="00FA6549">
      <w:pPr>
        <w:jc w:val="both"/>
        <w:rPr>
          <w:sz w:val="24"/>
          <w:szCs w:val="24"/>
        </w:rPr>
      </w:pPr>
      <w:r w:rsidRPr="005878C0">
        <w:rPr>
          <w:sz w:val="24"/>
          <w:szCs w:val="24"/>
        </w:rPr>
        <w:t xml:space="preserve">The </w:t>
      </w:r>
      <w:r w:rsidR="007D572B" w:rsidRPr="005878C0">
        <w:rPr>
          <w:sz w:val="24"/>
          <w:szCs w:val="24"/>
        </w:rPr>
        <w:t>transition</w:t>
      </w:r>
      <w:r w:rsidR="002E7378" w:rsidRPr="005878C0">
        <w:rPr>
          <w:sz w:val="24"/>
          <w:szCs w:val="24"/>
        </w:rPr>
        <w:t xml:space="preserve"> </w:t>
      </w:r>
      <w:r w:rsidR="007D572B" w:rsidRPr="005878C0">
        <w:rPr>
          <w:sz w:val="24"/>
          <w:szCs w:val="24"/>
        </w:rPr>
        <w:t xml:space="preserve">to a </w:t>
      </w:r>
      <w:r w:rsidR="002E7378" w:rsidRPr="005878C0">
        <w:rPr>
          <w:sz w:val="24"/>
          <w:szCs w:val="24"/>
        </w:rPr>
        <w:t xml:space="preserve">regulated </w:t>
      </w:r>
      <w:r w:rsidR="007D572B" w:rsidRPr="005878C0">
        <w:rPr>
          <w:sz w:val="24"/>
          <w:szCs w:val="24"/>
        </w:rPr>
        <w:t xml:space="preserve">market in care for older </w:t>
      </w:r>
      <w:r w:rsidR="004C1DFB" w:rsidRPr="005878C0">
        <w:rPr>
          <w:sz w:val="24"/>
          <w:szCs w:val="24"/>
        </w:rPr>
        <w:t xml:space="preserve">people </w:t>
      </w:r>
      <w:r w:rsidR="00BB2103" w:rsidRPr="005878C0">
        <w:rPr>
          <w:sz w:val="24"/>
          <w:szCs w:val="24"/>
        </w:rPr>
        <w:t>has facilitated entry into the care sector of individuals who may lack the bona fides needed</w:t>
      </w:r>
      <w:r w:rsidR="00B817B3" w:rsidRPr="005878C0">
        <w:rPr>
          <w:sz w:val="24"/>
          <w:szCs w:val="24"/>
        </w:rPr>
        <w:t xml:space="preserve"> in</w:t>
      </w:r>
      <w:r w:rsidR="0088409D" w:rsidRPr="005878C0">
        <w:rPr>
          <w:sz w:val="24"/>
          <w:szCs w:val="24"/>
        </w:rPr>
        <w:t xml:space="preserve"> </w:t>
      </w:r>
      <w:r w:rsidR="00F8098F" w:rsidRPr="005878C0">
        <w:rPr>
          <w:sz w:val="24"/>
          <w:szCs w:val="24"/>
        </w:rPr>
        <w:t>terms of</w:t>
      </w:r>
      <w:r w:rsidR="00BB2103" w:rsidRPr="005878C0">
        <w:rPr>
          <w:sz w:val="24"/>
          <w:szCs w:val="24"/>
        </w:rPr>
        <w:t xml:space="preserve"> financial stability, health and welfare expertise and integrity. </w:t>
      </w:r>
      <w:r w:rsidR="000A206A" w:rsidRPr="005878C0">
        <w:rPr>
          <w:sz w:val="24"/>
          <w:szCs w:val="24"/>
        </w:rPr>
        <w:t xml:space="preserve">Attribution </w:t>
      </w:r>
      <w:r w:rsidR="00861915" w:rsidRPr="005878C0">
        <w:rPr>
          <w:sz w:val="24"/>
          <w:szCs w:val="24"/>
        </w:rPr>
        <w:t xml:space="preserve">of criminal </w:t>
      </w:r>
      <w:r w:rsidR="004C1DFB" w:rsidRPr="005878C0">
        <w:rPr>
          <w:sz w:val="24"/>
          <w:szCs w:val="24"/>
        </w:rPr>
        <w:t>responsibility</w:t>
      </w:r>
      <w:r w:rsidR="00AC66D4" w:rsidRPr="005878C0">
        <w:rPr>
          <w:sz w:val="24"/>
          <w:szCs w:val="24"/>
        </w:rPr>
        <w:t xml:space="preserve"> is</w:t>
      </w:r>
      <w:r w:rsidR="00897C04" w:rsidRPr="005878C0">
        <w:rPr>
          <w:sz w:val="24"/>
          <w:szCs w:val="24"/>
        </w:rPr>
        <w:t xml:space="preserve"> </w:t>
      </w:r>
      <w:r w:rsidR="000A206A" w:rsidRPr="005878C0">
        <w:rPr>
          <w:sz w:val="24"/>
          <w:szCs w:val="24"/>
        </w:rPr>
        <w:t>rarely possible</w:t>
      </w:r>
      <w:r w:rsidR="00955530" w:rsidRPr="005878C0">
        <w:rPr>
          <w:sz w:val="24"/>
          <w:szCs w:val="24"/>
        </w:rPr>
        <w:t xml:space="preserve"> save in relation to very small business concerns, due to the requirement in many criminal offences of </w:t>
      </w:r>
      <w:r w:rsidR="00B817B3" w:rsidRPr="005878C0">
        <w:rPr>
          <w:sz w:val="24"/>
          <w:szCs w:val="24"/>
        </w:rPr>
        <w:t xml:space="preserve">having </w:t>
      </w:r>
      <w:r w:rsidR="00955530" w:rsidRPr="005878C0">
        <w:rPr>
          <w:sz w:val="24"/>
          <w:szCs w:val="24"/>
        </w:rPr>
        <w:t>a ‘guilty mind’.  Nevertheless</w:t>
      </w:r>
      <w:r w:rsidR="00006271" w:rsidRPr="005878C0">
        <w:rPr>
          <w:sz w:val="24"/>
          <w:szCs w:val="24"/>
        </w:rPr>
        <w:t>,</w:t>
      </w:r>
      <w:r w:rsidR="00955530" w:rsidRPr="005878C0">
        <w:rPr>
          <w:sz w:val="24"/>
          <w:szCs w:val="24"/>
        </w:rPr>
        <w:t xml:space="preserve"> </w:t>
      </w:r>
      <w:r w:rsidR="000A206A" w:rsidRPr="005878C0">
        <w:rPr>
          <w:sz w:val="24"/>
          <w:szCs w:val="24"/>
        </w:rPr>
        <w:t xml:space="preserve">the market is growing exponentially  to include  </w:t>
      </w:r>
      <w:r w:rsidR="006B6750" w:rsidRPr="005878C0">
        <w:rPr>
          <w:sz w:val="24"/>
          <w:szCs w:val="24"/>
        </w:rPr>
        <w:t xml:space="preserve">complex </w:t>
      </w:r>
      <w:r w:rsidR="000A206A" w:rsidRPr="005878C0">
        <w:rPr>
          <w:sz w:val="24"/>
          <w:szCs w:val="24"/>
        </w:rPr>
        <w:t>corporate chains and shadow- arrangement</w:t>
      </w:r>
      <w:r w:rsidR="00006271" w:rsidRPr="005878C0">
        <w:rPr>
          <w:sz w:val="24"/>
          <w:szCs w:val="24"/>
        </w:rPr>
        <w:t>s</w:t>
      </w:r>
      <w:r w:rsidR="006B6750" w:rsidRPr="005878C0">
        <w:rPr>
          <w:sz w:val="24"/>
          <w:szCs w:val="24"/>
        </w:rPr>
        <w:t xml:space="preserve">.  </w:t>
      </w:r>
    </w:p>
    <w:p w14:paraId="65F2B30F" w14:textId="77777777" w:rsidR="00006271" w:rsidRPr="005878C0" w:rsidRDefault="00006271" w:rsidP="00FA6549">
      <w:pPr>
        <w:jc w:val="both"/>
        <w:rPr>
          <w:sz w:val="24"/>
          <w:szCs w:val="24"/>
        </w:rPr>
      </w:pPr>
    </w:p>
    <w:p w14:paraId="673922B4" w14:textId="1B01EDCF" w:rsidR="00802174" w:rsidRPr="005878C0" w:rsidRDefault="00445245" w:rsidP="007F00FC">
      <w:pPr>
        <w:jc w:val="both"/>
        <w:rPr>
          <w:rFonts w:cstheme="minorHAnsi"/>
          <w:sz w:val="24"/>
          <w:szCs w:val="24"/>
        </w:rPr>
      </w:pPr>
      <w:r w:rsidRPr="005878C0">
        <w:rPr>
          <w:sz w:val="24"/>
          <w:szCs w:val="24"/>
        </w:rPr>
        <w:t xml:space="preserve">In the case of Operation Jasmine,  </w:t>
      </w:r>
      <w:r w:rsidR="008B7DF4" w:rsidRPr="005878C0">
        <w:rPr>
          <w:sz w:val="24"/>
          <w:szCs w:val="24"/>
        </w:rPr>
        <w:t xml:space="preserve">63 older people died in </w:t>
      </w:r>
      <w:r w:rsidR="00736E45" w:rsidRPr="005878C0">
        <w:rPr>
          <w:sz w:val="24"/>
          <w:szCs w:val="24"/>
        </w:rPr>
        <w:t>privately-ow</w:t>
      </w:r>
      <w:r w:rsidR="0077574A" w:rsidRPr="005878C0">
        <w:rPr>
          <w:sz w:val="24"/>
          <w:szCs w:val="24"/>
        </w:rPr>
        <w:t>ne</w:t>
      </w:r>
      <w:r w:rsidR="00736E45" w:rsidRPr="005878C0">
        <w:rPr>
          <w:sz w:val="24"/>
          <w:szCs w:val="24"/>
        </w:rPr>
        <w:t>d c</w:t>
      </w:r>
      <w:r w:rsidR="008B7DF4" w:rsidRPr="005878C0">
        <w:rPr>
          <w:sz w:val="24"/>
          <w:szCs w:val="24"/>
        </w:rPr>
        <w:t>are homes</w:t>
      </w:r>
      <w:r w:rsidR="00D11DBD" w:rsidRPr="005878C0">
        <w:rPr>
          <w:sz w:val="24"/>
          <w:szCs w:val="24"/>
        </w:rPr>
        <w:t xml:space="preserve">. </w:t>
      </w:r>
      <w:r w:rsidR="0064752A" w:rsidRPr="005878C0">
        <w:rPr>
          <w:sz w:val="24"/>
          <w:szCs w:val="24"/>
        </w:rPr>
        <w:t>P</w:t>
      </w:r>
      <w:r w:rsidRPr="005878C0">
        <w:rPr>
          <w:sz w:val="24"/>
          <w:szCs w:val="24"/>
        </w:rPr>
        <w:t xml:space="preserve">rosecutions </w:t>
      </w:r>
      <w:r w:rsidR="008B7DF4" w:rsidRPr="005878C0">
        <w:rPr>
          <w:sz w:val="24"/>
          <w:szCs w:val="24"/>
        </w:rPr>
        <w:t xml:space="preserve">against the owners </w:t>
      </w:r>
      <w:r w:rsidR="00BB1E92" w:rsidRPr="005878C0">
        <w:rPr>
          <w:sz w:val="24"/>
          <w:szCs w:val="24"/>
        </w:rPr>
        <w:t>for man</w:t>
      </w:r>
      <w:r w:rsidR="0077574A" w:rsidRPr="005878C0">
        <w:rPr>
          <w:sz w:val="24"/>
          <w:szCs w:val="24"/>
        </w:rPr>
        <w:t>s</w:t>
      </w:r>
      <w:r w:rsidR="00BB1E92" w:rsidRPr="005878C0">
        <w:rPr>
          <w:sz w:val="24"/>
          <w:szCs w:val="24"/>
        </w:rPr>
        <w:t xml:space="preserve">laughter or wilful neglect </w:t>
      </w:r>
      <w:r w:rsidR="0064752A" w:rsidRPr="005878C0">
        <w:rPr>
          <w:sz w:val="24"/>
          <w:szCs w:val="24"/>
        </w:rPr>
        <w:t xml:space="preserve"> did not proceed as </w:t>
      </w:r>
      <w:r w:rsidR="00BB1E92" w:rsidRPr="005878C0">
        <w:rPr>
          <w:rFonts w:cstheme="minorHAnsi"/>
          <w:sz w:val="24"/>
          <w:szCs w:val="24"/>
        </w:rPr>
        <w:t>the Crown Prosecution Service formally advised that there was insufficient evidence to support a reasonable prospect of prosecution</w:t>
      </w:r>
      <w:r w:rsidR="00784B06" w:rsidRPr="005878C0">
        <w:rPr>
          <w:rFonts w:cstheme="minorHAnsi"/>
          <w:sz w:val="24"/>
          <w:szCs w:val="24"/>
        </w:rPr>
        <w:t>, in part because the deaths of older people were</w:t>
      </w:r>
      <w:r w:rsidR="00006271" w:rsidRPr="005878C0">
        <w:rPr>
          <w:rFonts w:cstheme="minorHAnsi"/>
          <w:sz w:val="24"/>
          <w:szCs w:val="24"/>
        </w:rPr>
        <w:t xml:space="preserve"> considered</w:t>
      </w:r>
      <w:r w:rsidR="00784B06" w:rsidRPr="005878C0">
        <w:rPr>
          <w:rFonts w:cstheme="minorHAnsi"/>
          <w:sz w:val="24"/>
          <w:szCs w:val="24"/>
        </w:rPr>
        <w:t xml:space="preserve"> difficult to connect </w:t>
      </w:r>
      <w:r w:rsidR="00AD3E31" w:rsidRPr="005878C0">
        <w:rPr>
          <w:rFonts w:cstheme="minorHAnsi"/>
          <w:sz w:val="24"/>
          <w:szCs w:val="24"/>
        </w:rPr>
        <w:t xml:space="preserve">causally </w:t>
      </w:r>
      <w:r w:rsidR="00784B06" w:rsidRPr="005878C0">
        <w:rPr>
          <w:rFonts w:cstheme="minorHAnsi"/>
          <w:sz w:val="24"/>
          <w:szCs w:val="24"/>
        </w:rPr>
        <w:t>to the allegations of neglect</w:t>
      </w:r>
      <w:r w:rsidR="00821304" w:rsidRPr="005878C0">
        <w:rPr>
          <w:rFonts w:cstheme="minorHAnsi"/>
          <w:sz w:val="24"/>
          <w:szCs w:val="24"/>
        </w:rPr>
        <w:t xml:space="preserve">.  </w:t>
      </w:r>
      <w:r w:rsidR="00772AA8" w:rsidRPr="005878C0">
        <w:rPr>
          <w:rFonts w:cstheme="minorHAnsi"/>
          <w:sz w:val="24"/>
          <w:szCs w:val="24"/>
        </w:rPr>
        <w:t xml:space="preserve"> </w:t>
      </w:r>
      <w:r w:rsidR="00821304" w:rsidRPr="005878C0">
        <w:rPr>
          <w:rFonts w:cstheme="minorHAnsi"/>
          <w:sz w:val="24"/>
          <w:szCs w:val="24"/>
        </w:rPr>
        <w:t>Charges for fraud and breaches of health and safety law were</w:t>
      </w:r>
      <w:r w:rsidR="00FA6549" w:rsidRPr="005878C0">
        <w:rPr>
          <w:rFonts w:cstheme="minorHAnsi"/>
          <w:sz w:val="24"/>
          <w:szCs w:val="24"/>
        </w:rPr>
        <w:t xml:space="preserve"> brought but did not proceed, </w:t>
      </w:r>
      <w:r w:rsidR="006D6C5E" w:rsidRPr="005878C0">
        <w:rPr>
          <w:rFonts w:cstheme="minorHAnsi"/>
          <w:sz w:val="24"/>
          <w:szCs w:val="24"/>
        </w:rPr>
        <w:t>resulting in an enduring sense of injustice for the families</w:t>
      </w:r>
      <w:r w:rsidR="00802174" w:rsidRPr="005878C0">
        <w:rPr>
          <w:rFonts w:cstheme="minorHAnsi"/>
          <w:sz w:val="24"/>
          <w:szCs w:val="24"/>
        </w:rPr>
        <w:t xml:space="preserve">. </w:t>
      </w:r>
      <w:r w:rsidR="006D6C5E" w:rsidRPr="005878C0">
        <w:rPr>
          <w:rFonts w:cstheme="minorHAnsi"/>
          <w:sz w:val="24"/>
          <w:szCs w:val="24"/>
        </w:rPr>
        <w:t>It is almost ten years since a review of the neglect of these older people was published</w:t>
      </w:r>
      <w:r w:rsidR="008821C1" w:rsidRPr="005878C0">
        <w:rPr>
          <w:rFonts w:cstheme="minorHAnsi"/>
          <w:sz w:val="24"/>
          <w:szCs w:val="24"/>
        </w:rPr>
        <w:t>.</w:t>
      </w:r>
      <w:r w:rsidR="008821C1" w:rsidRPr="005878C0">
        <w:rPr>
          <w:rStyle w:val="FootnoteReference"/>
          <w:rFonts w:cstheme="minorHAnsi"/>
          <w:sz w:val="24"/>
          <w:szCs w:val="24"/>
        </w:rPr>
        <w:footnoteReference w:id="13"/>
      </w:r>
      <w:r w:rsidR="008821C1" w:rsidRPr="005878C0">
        <w:rPr>
          <w:rFonts w:cstheme="minorHAnsi"/>
          <w:sz w:val="24"/>
          <w:szCs w:val="24"/>
        </w:rPr>
        <w:t xml:space="preserve">  </w:t>
      </w:r>
      <w:r w:rsidR="006D6C5E" w:rsidRPr="005878C0">
        <w:rPr>
          <w:rFonts w:cstheme="minorHAnsi"/>
          <w:sz w:val="24"/>
          <w:szCs w:val="24"/>
        </w:rPr>
        <w:t>It highlighted the absence of corporate social responsibility in the context of health and social care provision; endemic poor management of</w:t>
      </w:r>
      <w:r w:rsidR="00F6240B" w:rsidRPr="005878C0">
        <w:rPr>
          <w:rFonts w:cstheme="minorHAnsi"/>
          <w:sz w:val="24"/>
          <w:szCs w:val="24"/>
        </w:rPr>
        <w:t xml:space="preserve"> </w:t>
      </w:r>
      <w:r w:rsidR="006D6C5E" w:rsidRPr="005878C0">
        <w:rPr>
          <w:rFonts w:cstheme="minorHAnsi"/>
          <w:sz w:val="24"/>
          <w:szCs w:val="24"/>
        </w:rPr>
        <w:t>companies responsible for the homes; and weak corporate safeguards despite the public interest associated with the care of frail</w:t>
      </w:r>
      <w:r w:rsidR="00A16E49" w:rsidRPr="005878C0">
        <w:rPr>
          <w:rFonts w:cstheme="minorHAnsi"/>
          <w:sz w:val="24"/>
          <w:szCs w:val="24"/>
        </w:rPr>
        <w:t>,</w:t>
      </w:r>
      <w:r w:rsidR="006D6C5E" w:rsidRPr="005878C0">
        <w:rPr>
          <w:rFonts w:cstheme="minorHAnsi"/>
          <w:sz w:val="24"/>
          <w:szCs w:val="24"/>
        </w:rPr>
        <w:t xml:space="preserve"> older people</w:t>
      </w:r>
      <w:r w:rsidR="00802174" w:rsidRPr="005878C0">
        <w:rPr>
          <w:rFonts w:cstheme="minorHAnsi"/>
          <w:sz w:val="24"/>
          <w:szCs w:val="24"/>
        </w:rPr>
        <w:t>.  T</w:t>
      </w:r>
      <w:r w:rsidR="006D6C5E" w:rsidRPr="005878C0">
        <w:rPr>
          <w:rFonts w:cstheme="minorHAnsi"/>
          <w:sz w:val="24"/>
          <w:szCs w:val="24"/>
        </w:rPr>
        <w:t xml:space="preserve">here remains a compelling case </w:t>
      </w:r>
      <w:r w:rsidR="00DB538C" w:rsidRPr="005878C0">
        <w:rPr>
          <w:rFonts w:cstheme="minorHAnsi"/>
          <w:sz w:val="24"/>
          <w:szCs w:val="24"/>
        </w:rPr>
        <w:t>that</w:t>
      </w:r>
      <w:r w:rsidR="006D6C5E" w:rsidRPr="005878C0">
        <w:rPr>
          <w:rFonts w:cstheme="minorHAnsi"/>
          <w:sz w:val="24"/>
          <w:szCs w:val="24"/>
        </w:rPr>
        <w:t xml:space="preserve"> </w:t>
      </w:r>
      <w:r w:rsidR="00802174" w:rsidRPr="005878C0">
        <w:rPr>
          <w:rFonts w:cstheme="minorHAnsi"/>
          <w:sz w:val="24"/>
          <w:szCs w:val="24"/>
        </w:rPr>
        <w:t xml:space="preserve">egregious </w:t>
      </w:r>
      <w:r w:rsidR="006D6C5E" w:rsidRPr="005878C0">
        <w:rPr>
          <w:rFonts w:cstheme="minorHAnsi"/>
          <w:sz w:val="24"/>
          <w:szCs w:val="24"/>
        </w:rPr>
        <w:t xml:space="preserve">breaches of care standards </w:t>
      </w:r>
      <w:r w:rsidR="00DB538C" w:rsidRPr="005878C0">
        <w:rPr>
          <w:rFonts w:cstheme="minorHAnsi"/>
          <w:sz w:val="24"/>
          <w:szCs w:val="24"/>
        </w:rPr>
        <w:t xml:space="preserve">should </w:t>
      </w:r>
      <w:r w:rsidR="00802174" w:rsidRPr="005878C0">
        <w:rPr>
          <w:rFonts w:cstheme="minorHAnsi"/>
          <w:sz w:val="24"/>
          <w:szCs w:val="24"/>
        </w:rPr>
        <w:t xml:space="preserve">result in the </w:t>
      </w:r>
      <w:r w:rsidR="006D6C5E" w:rsidRPr="005878C0">
        <w:rPr>
          <w:rFonts w:cstheme="minorHAnsi"/>
          <w:sz w:val="24"/>
          <w:szCs w:val="24"/>
        </w:rPr>
        <w:t xml:space="preserve">disqualification of </w:t>
      </w:r>
      <w:r w:rsidR="00EF4315" w:rsidRPr="005878C0">
        <w:rPr>
          <w:rFonts w:cstheme="minorHAnsi"/>
          <w:sz w:val="24"/>
          <w:szCs w:val="24"/>
        </w:rPr>
        <w:t xml:space="preserve">company </w:t>
      </w:r>
      <w:r w:rsidR="006D6C5E" w:rsidRPr="005878C0">
        <w:rPr>
          <w:rFonts w:cstheme="minorHAnsi"/>
          <w:sz w:val="24"/>
          <w:szCs w:val="24"/>
        </w:rPr>
        <w:t>directors</w:t>
      </w:r>
      <w:r w:rsidR="00802174" w:rsidRPr="005878C0">
        <w:rPr>
          <w:rFonts w:cstheme="minorHAnsi"/>
          <w:sz w:val="24"/>
          <w:szCs w:val="24"/>
        </w:rPr>
        <w:t xml:space="preserve">, thereby </w:t>
      </w:r>
      <w:r w:rsidR="006D6C5E" w:rsidRPr="005878C0">
        <w:rPr>
          <w:rFonts w:cstheme="minorHAnsi"/>
          <w:sz w:val="24"/>
          <w:szCs w:val="24"/>
        </w:rPr>
        <w:t xml:space="preserve">giving </w:t>
      </w:r>
      <w:r w:rsidR="00802174" w:rsidRPr="005878C0">
        <w:rPr>
          <w:rFonts w:cstheme="minorHAnsi"/>
          <w:sz w:val="24"/>
          <w:szCs w:val="24"/>
        </w:rPr>
        <w:t>‘</w:t>
      </w:r>
      <w:r w:rsidR="006D6C5E" w:rsidRPr="005878C0">
        <w:rPr>
          <w:rFonts w:cstheme="minorHAnsi"/>
          <w:sz w:val="24"/>
          <w:szCs w:val="24"/>
        </w:rPr>
        <w:t>teeth</w:t>
      </w:r>
      <w:r w:rsidR="00802174" w:rsidRPr="005878C0">
        <w:rPr>
          <w:rFonts w:cstheme="minorHAnsi"/>
          <w:sz w:val="24"/>
          <w:szCs w:val="24"/>
        </w:rPr>
        <w:t>’</w:t>
      </w:r>
      <w:r w:rsidR="006D6C5E" w:rsidRPr="005878C0">
        <w:rPr>
          <w:rFonts w:cstheme="minorHAnsi"/>
          <w:sz w:val="24"/>
          <w:szCs w:val="24"/>
        </w:rPr>
        <w:t xml:space="preserve"> to the corporate social responsibility provisions of the Companies Act 2006. </w:t>
      </w:r>
    </w:p>
    <w:p w14:paraId="7F4CE31F" w14:textId="77777777" w:rsidR="00802174" w:rsidRPr="005878C0" w:rsidRDefault="00802174" w:rsidP="00FC48A4">
      <w:pPr>
        <w:pStyle w:val="PlainText"/>
        <w:jc w:val="both"/>
        <w:rPr>
          <w:rFonts w:asciiTheme="minorHAnsi" w:hAnsiTheme="minorHAnsi" w:cstheme="minorHAnsi"/>
          <w:sz w:val="24"/>
          <w:szCs w:val="24"/>
        </w:rPr>
      </w:pPr>
    </w:p>
    <w:p w14:paraId="4D90FD7C" w14:textId="2888579F" w:rsidR="00F43EEB" w:rsidRPr="005878C0" w:rsidRDefault="00E24255" w:rsidP="00FC48A4">
      <w:pPr>
        <w:jc w:val="both"/>
        <w:rPr>
          <w:sz w:val="24"/>
          <w:szCs w:val="24"/>
          <w14:ligatures w14:val="standardContextual"/>
        </w:rPr>
      </w:pPr>
      <w:r w:rsidRPr="005878C0">
        <w:rPr>
          <w:rFonts w:cstheme="minorHAnsi"/>
          <w:sz w:val="24"/>
          <w:szCs w:val="24"/>
        </w:rPr>
        <w:t>I</w:t>
      </w:r>
      <w:r w:rsidR="006D6C5E" w:rsidRPr="005878C0">
        <w:rPr>
          <w:rFonts w:cstheme="minorHAnsi"/>
          <w:sz w:val="24"/>
          <w:szCs w:val="24"/>
        </w:rPr>
        <w:t>t is remarkable that low paid employees may be prosecuted and barred from future practice whereas owners and/or directors are typically left untouched</w:t>
      </w:r>
      <w:r w:rsidR="00BE66D9" w:rsidRPr="005878C0">
        <w:rPr>
          <w:rFonts w:cstheme="minorHAnsi"/>
          <w:sz w:val="24"/>
          <w:szCs w:val="24"/>
        </w:rPr>
        <w:t>;</w:t>
      </w:r>
      <w:r w:rsidR="006D6C5E" w:rsidRPr="005878C0">
        <w:rPr>
          <w:rFonts w:cstheme="minorHAnsi"/>
          <w:sz w:val="24"/>
          <w:szCs w:val="24"/>
        </w:rPr>
        <w:t xml:space="preserve"> they may even acquire new </w:t>
      </w:r>
      <w:r w:rsidR="006D6C5E" w:rsidRPr="005878C0">
        <w:rPr>
          <w:rFonts w:cstheme="minorHAnsi"/>
          <w:sz w:val="24"/>
          <w:szCs w:val="24"/>
        </w:rPr>
        <w:lastRenderedPageBreak/>
        <w:t>directorships.</w:t>
      </w:r>
      <w:r w:rsidR="00802174" w:rsidRPr="005878C0">
        <w:rPr>
          <w:rFonts w:cstheme="minorHAnsi"/>
          <w:sz w:val="24"/>
          <w:szCs w:val="24"/>
        </w:rPr>
        <w:t xml:space="preserve">  The Law Commission has indicated that a potential option for remedying the gap in legal provision could lie in the creation of a new </w:t>
      </w:r>
      <w:r w:rsidR="006D6C5E" w:rsidRPr="005878C0">
        <w:rPr>
          <w:rFonts w:cstheme="minorHAnsi"/>
          <w:sz w:val="24"/>
          <w:szCs w:val="24"/>
        </w:rPr>
        <w:t xml:space="preserve">“failure to </w:t>
      </w:r>
      <w:r w:rsidR="002006F8" w:rsidRPr="005878C0">
        <w:rPr>
          <w:rFonts w:cstheme="minorHAnsi"/>
          <w:sz w:val="24"/>
          <w:szCs w:val="24"/>
        </w:rPr>
        <w:t xml:space="preserve">prevent” </w:t>
      </w:r>
      <w:r w:rsidR="000E237C" w:rsidRPr="005878C0">
        <w:rPr>
          <w:rFonts w:cstheme="minorHAnsi"/>
          <w:sz w:val="24"/>
          <w:szCs w:val="24"/>
        </w:rPr>
        <w:t>ill-</w:t>
      </w:r>
      <w:proofErr w:type="gramStart"/>
      <w:r w:rsidR="000E237C" w:rsidRPr="005878C0">
        <w:rPr>
          <w:rFonts w:cstheme="minorHAnsi"/>
          <w:sz w:val="24"/>
          <w:szCs w:val="24"/>
        </w:rPr>
        <w:t xml:space="preserve">treatment </w:t>
      </w:r>
      <w:r w:rsidR="00270CF1" w:rsidRPr="005878C0">
        <w:rPr>
          <w:rFonts w:cstheme="minorHAnsi"/>
          <w:sz w:val="24"/>
          <w:szCs w:val="24"/>
        </w:rPr>
        <w:t xml:space="preserve"> and</w:t>
      </w:r>
      <w:proofErr w:type="gramEnd"/>
      <w:r w:rsidR="00270CF1" w:rsidRPr="005878C0">
        <w:rPr>
          <w:rFonts w:cstheme="minorHAnsi"/>
          <w:sz w:val="24"/>
          <w:szCs w:val="24"/>
        </w:rPr>
        <w:t xml:space="preserve">/or </w:t>
      </w:r>
      <w:r w:rsidR="002006F8" w:rsidRPr="005878C0">
        <w:rPr>
          <w:rFonts w:cstheme="minorHAnsi"/>
          <w:sz w:val="24"/>
          <w:szCs w:val="24"/>
        </w:rPr>
        <w:t>neglect</w:t>
      </w:r>
      <w:r w:rsidR="00270CF1" w:rsidRPr="005878C0">
        <w:rPr>
          <w:rFonts w:cstheme="minorHAnsi"/>
          <w:sz w:val="24"/>
          <w:szCs w:val="24"/>
        </w:rPr>
        <w:t xml:space="preserve"> </w:t>
      </w:r>
      <w:r w:rsidR="006D6C5E" w:rsidRPr="005878C0">
        <w:rPr>
          <w:rFonts w:cstheme="minorHAnsi"/>
          <w:sz w:val="24"/>
          <w:szCs w:val="24"/>
        </w:rPr>
        <w:t>offence</w:t>
      </w:r>
      <w:r w:rsidR="00802174" w:rsidRPr="005878C0">
        <w:rPr>
          <w:rFonts w:cstheme="minorHAnsi"/>
          <w:sz w:val="24"/>
          <w:szCs w:val="24"/>
        </w:rPr>
        <w:t xml:space="preserve"> that could be targeted at care providers.</w:t>
      </w:r>
      <w:r w:rsidR="005B5F3C" w:rsidRPr="005878C0">
        <w:rPr>
          <w:rStyle w:val="FootnoteReference"/>
          <w:rFonts w:cstheme="minorHAnsi"/>
          <w:sz w:val="24"/>
          <w:szCs w:val="24"/>
        </w:rPr>
        <w:footnoteReference w:id="14"/>
      </w:r>
      <w:r w:rsidR="00802174" w:rsidRPr="005878C0">
        <w:rPr>
          <w:rFonts w:cstheme="minorHAnsi"/>
          <w:sz w:val="24"/>
          <w:szCs w:val="24"/>
        </w:rPr>
        <w:t xml:space="preserve"> This </w:t>
      </w:r>
      <w:r w:rsidR="006D6C5E" w:rsidRPr="005878C0">
        <w:rPr>
          <w:rFonts w:cstheme="minorHAnsi"/>
          <w:sz w:val="24"/>
          <w:szCs w:val="24"/>
        </w:rPr>
        <w:t xml:space="preserve">would enhance the process of establishing wrongdoing in the large and volatile market of care provision for older people. </w:t>
      </w:r>
      <w:r w:rsidR="00F43EEB" w:rsidRPr="005878C0">
        <w:rPr>
          <w:rFonts w:cstheme="minorHAnsi"/>
          <w:sz w:val="24"/>
          <w:szCs w:val="24"/>
        </w:rPr>
        <w:t xml:space="preserve"> </w:t>
      </w:r>
      <w:r w:rsidR="00845170" w:rsidRPr="005878C0">
        <w:rPr>
          <w:rFonts w:cstheme="minorHAnsi"/>
          <w:sz w:val="24"/>
          <w:szCs w:val="24"/>
        </w:rPr>
        <w:t xml:space="preserve"> </w:t>
      </w:r>
      <w:r w:rsidR="00F43EEB" w:rsidRPr="005878C0">
        <w:rPr>
          <w:sz w:val="24"/>
          <w:szCs w:val="24"/>
        </w:rPr>
        <w:t>We are convinced of the need for seismic change not only because</w:t>
      </w:r>
      <w:r w:rsidR="009200DD" w:rsidRPr="005878C0">
        <w:rPr>
          <w:sz w:val="24"/>
          <w:szCs w:val="24"/>
        </w:rPr>
        <w:t xml:space="preserve"> of</w:t>
      </w:r>
      <w:r w:rsidR="00F43EEB" w:rsidRPr="005878C0">
        <w:rPr>
          <w:sz w:val="24"/>
          <w:szCs w:val="24"/>
        </w:rPr>
        <w:t xml:space="preserve"> the shortcomings of existing protective arrangements, but also because legislation frequently exhibits a symbolic as well as an instrumental function</w:t>
      </w:r>
      <w:r w:rsidR="009200DD" w:rsidRPr="005878C0">
        <w:rPr>
          <w:sz w:val="24"/>
          <w:szCs w:val="24"/>
        </w:rPr>
        <w:t>;</w:t>
      </w:r>
      <w:r w:rsidR="00F43EEB" w:rsidRPr="005878C0">
        <w:rPr>
          <w:sz w:val="24"/>
          <w:szCs w:val="24"/>
        </w:rPr>
        <w:t xml:space="preserve"> </w:t>
      </w:r>
      <w:r w:rsidR="009200DD" w:rsidRPr="005878C0">
        <w:rPr>
          <w:sz w:val="24"/>
          <w:szCs w:val="24"/>
        </w:rPr>
        <w:t xml:space="preserve">the </w:t>
      </w:r>
      <w:r w:rsidR="00E9225E" w:rsidRPr="005878C0">
        <w:rPr>
          <w:sz w:val="24"/>
          <w:szCs w:val="24"/>
        </w:rPr>
        <w:t>i</w:t>
      </w:r>
      <w:r w:rsidR="00F43EEB" w:rsidRPr="005878C0">
        <w:rPr>
          <w:sz w:val="24"/>
          <w:szCs w:val="24"/>
        </w:rPr>
        <w:t>nstitutional abuse of vulnerable individuals is an all too frequent occurrence.</w:t>
      </w:r>
    </w:p>
    <w:p w14:paraId="034B2EDB" w14:textId="4E596B4B" w:rsidR="006D6C5E" w:rsidRPr="005878C0" w:rsidRDefault="006D6C5E" w:rsidP="00FC48A4">
      <w:pPr>
        <w:pStyle w:val="PlainText"/>
        <w:jc w:val="both"/>
        <w:rPr>
          <w:rFonts w:asciiTheme="minorHAnsi" w:hAnsiTheme="minorHAnsi" w:cstheme="minorHAnsi"/>
          <w:sz w:val="24"/>
          <w:szCs w:val="24"/>
        </w:rPr>
      </w:pPr>
    </w:p>
    <w:p w14:paraId="7651496B" w14:textId="77777777" w:rsidR="006D6C5E" w:rsidRPr="005878C0" w:rsidRDefault="006D6C5E" w:rsidP="00FC48A4">
      <w:pPr>
        <w:pStyle w:val="PlainText"/>
        <w:jc w:val="both"/>
        <w:rPr>
          <w:rFonts w:asciiTheme="minorHAnsi" w:hAnsiTheme="minorHAnsi" w:cstheme="minorHAnsi"/>
          <w:sz w:val="24"/>
          <w:szCs w:val="24"/>
        </w:rPr>
      </w:pPr>
    </w:p>
    <w:p w14:paraId="1C0FF638" w14:textId="2B657213" w:rsidR="006D6C5E" w:rsidRPr="005878C0" w:rsidRDefault="006D6C5E" w:rsidP="00FC48A4">
      <w:pPr>
        <w:pStyle w:val="ListParagraph"/>
        <w:ind w:left="360"/>
        <w:jc w:val="both"/>
        <w:rPr>
          <w:rFonts w:cstheme="minorHAnsi"/>
          <w:sz w:val="24"/>
          <w:szCs w:val="24"/>
        </w:rPr>
      </w:pPr>
    </w:p>
    <w:p w14:paraId="6DD6116D" w14:textId="77777777" w:rsidR="006D6C5E" w:rsidRPr="005878C0" w:rsidRDefault="006D6C5E" w:rsidP="00FC48A4">
      <w:pPr>
        <w:pStyle w:val="ListParagraph"/>
        <w:ind w:left="360"/>
        <w:jc w:val="both"/>
        <w:rPr>
          <w:rFonts w:cstheme="minorHAnsi"/>
          <w:sz w:val="24"/>
          <w:szCs w:val="24"/>
        </w:rPr>
      </w:pPr>
    </w:p>
    <w:sectPr w:rsidR="006D6C5E" w:rsidRPr="005878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6A850" w14:textId="77777777" w:rsidR="004014B5" w:rsidRDefault="004014B5" w:rsidP="006D6C5E">
      <w:pPr>
        <w:spacing w:after="0" w:line="240" w:lineRule="auto"/>
      </w:pPr>
      <w:r>
        <w:separator/>
      </w:r>
    </w:p>
  </w:endnote>
  <w:endnote w:type="continuationSeparator" w:id="0">
    <w:p w14:paraId="0833433B" w14:textId="77777777" w:rsidR="004014B5" w:rsidRDefault="004014B5" w:rsidP="006D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A7268" w14:textId="77777777" w:rsidR="004014B5" w:rsidRDefault="004014B5" w:rsidP="006D6C5E">
      <w:pPr>
        <w:spacing w:after="0" w:line="240" w:lineRule="auto"/>
      </w:pPr>
      <w:r>
        <w:separator/>
      </w:r>
    </w:p>
  </w:footnote>
  <w:footnote w:type="continuationSeparator" w:id="0">
    <w:p w14:paraId="1639561D" w14:textId="77777777" w:rsidR="004014B5" w:rsidRDefault="004014B5" w:rsidP="006D6C5E">
      <w:pPr>
        <w:spacing w:after="0" w:line="240" w:lineRule="auto"/>
      </w:pPr>
      <w:r>
        <w:continuationSeparator/>
      </w:r>
    </w:p>
  </w:footnote>
  <w:footnote w:id="1">
    <w:p w14:paraId="0D52CD70" w14:textId="34D3E5C2" w:rsidR="005A2751" w:rsidRPr="00B711E5" w:rsidRDefault="005A2751" w:rsidP="00B711E5">
      <w:pPr>
        <w:pStyle w:val="ListParagraph"/>
        <w:ind w:left="0"/>
        <w:rPr>
          <w:sz w:val="20"/>
          <w:szCs w:val="20"/>
        </w:rPr>
      </w:pPr>
      <w:r w:rsidRPr="00B711E5">
        <w:rPr>
          <w:rStyle w:val="FootnoteReference"/>
          <w:sz w:val="20"/>
          <w:szCs w:val="20"/>
        </w:rPr>
        <w:footnoteRef/>
      </w:r>
      <w:r w:rsidRPr="00B711E5">
        <w:rPr>
          <w:sz w:val="20"/>
          <w:szCs w:val="20"/>
        </w:rPr>
        <w:t xml:space="preserve"> Cooper et al, “Do care homes deliver person-centred care? A cross-sectional survey of staff-reported abusive and positive behaviours towards residents from the MARQUE (Managing Agitation and Raising Quality of Life) English national care home survey” (2018) PlosONE  </w:t>
      </w:r>
      <w:hyperlink r:id="rId1" w:history="1">
        <w:r w:rsidRPr="00B711E5">
          <w:rPr>
            <w:rStyle w:val="Hyperlink"/>
            <w:sz w:val="20"/>
            <w:szCs w:val="20"/>
          </w:rPr>
          <w:t>https://doi.org/10.1371/journal.pone.0193399</w:t>
        </w:r>
      </w:hyperlink>
      <w:r w:rsidRPr="00B711E5">
        <w:rPr>
          <w:sz w:val="20"/>
          <w:szCs w:val="20"/>
        </w:rPr>
        <w:t xml:space="preserve">).  </w:t>
      </w:r>
    </w:p>
  </w:footnote>
  <w:footnote w:id="2">
    <w:p w14:paraId="3596037B" w14:textId="77777777" w:rsidR="005878C0" w:rsidRDefault="005878C0" w:rsidP="005878C0">
      <w:pPr>
        <w:pStyle w:val="FootnoteText"/>
      </w:pPr>
      <w:r>
        <w:rPr>
          <w:rStyle w:val="FootnoteReference"/>
        </w:rPr>
        <w:footnoteRef/>
      </w:r>
      <w:r>
        <w:t xml:space="preserve"> </w:t>
      </w:r>
      <w:r w:rsidRPr="00453460">
        <w:t>LGA</w:t>
      </w:r>
      <w:r>
        <w:t>,</w:t>
      </w:r>
      <w:r w:rsidRPr="00453460">
        <w:t xml:space="preserve"> “</w:t>
      </w:r>
      <w:r w:rsidRPr="004A5A77">
        <w:t>COVID-19 adult safeguarding insight project: findings and discussions</w:t>
      </w:r>
      <w:r w:rsidRPr="00453460">
        <w:t>”</w:t>
      </w:r>
      <w:r>
        <w:t xml:space="preserve"> (2020)</w:t>
      </w:r>
      <w:r w:rsidRPr="00453460">
        <w:t> available at: </w:t>
      </w:r>
      <w:hyperlink r:id="rId2" w:tgtFrame="_blank" w:history="1">
        <w:r w:rsidRPr="00453460">
          <w:rPr>
            <w:rStyle w:val="Hyperlink"/>
          </w:rPr>
          <w:t>www.local.gov.uk/sites/default/files/documents/25.177_Insight%20Project_layout_FINAL%20WEB.pdf</w:t>
        </w:r>
      </w:hyperlink>
      <w:r w:rsidRPr="00453460">
        <w:t> (accessed</w:t>
      </w:r>
      <w:r>
        <w:t xml:space="preserve"> 27 February 2023</w:t>
      </w:r>
      <w:r w:rsidRPr="00453460">
        <w:t>).</w:t>
      </w:r>
    </w:p>
  </w:footnote>
  <w:footnote w:id="3">
    <w:p w14:paraId="57105AA7" w14:textId="77777777" w:rsidR="005878C0" w:rsidRDefault="005878C0" w:rsidP="005878C0">
      <w:pPr>
        <w:pStyle w:val="FootnoteText"/>
      </w:pPr>
      <w:r>
        <w:rPr>
          <w:rStyle w:val="FootnoteReference"/>
        </w:rPr>
        <w:footnoteRef/>
      </w:r>
      <w:r>
        <w:t xml:space="preserve"> </w:t>
      </w:r>
      <w:r w:rsidRPr="00331EE7">
        <w:t>University of Manchester and NIHR, ‘The Impact of Care Act Easements under the Coronavirus Act 2020 on older carers supporting family members living with dementia at home’ (November 2022) available at: https://documents.manchester.ac.uk/display.aspx?DocID=64273 (accessed 25 February 2023)</w:t>
      </w:r>
      <w:r>
        <w:t>, 17.</w:t>
      </w:r>
    </w:p>
  </w:footnote>
  <w:footnote w:id="4">
    <w:p w14:paraId="297291C2" w14:textId="77777777" w:rsidR="005878C0" w:rsidRDefault="005878C0" w:rsidP="005878C0">
      <w:pPr>
        <w:pStyle w:val="FootnoteText"/>
      </w:pPr>
      <w:r>
        <w:rPr>
          <w:rStyle w:val="FootnoteReference"/>
        </w:rPr>
        <w:footnoteRef/>
      </w:r>
      <w:r>
        <w:t xml:space="preserve"> Ibid.</w:t>
      </w:r>
    </w:p>
  </w:footnote>
  <w:footnote w:id="5">
    <w:p w14:paraId="2B4E9831" w14:textId="169386EF" w:rsidR="005878C0" w:rsidRPr="00B711E5" w:rsidRDefault="005878C0" w:rsidP="005878C0">
      <w:pPr>
        <w:pStyle w:val="FootnoteText"/>
      </w:pPr>
      <w:r w:rsidRPr="00B711E5">
        <w:rPr>
          <w:rStyle w:val="FootnoteReference"/>
        </w:rPr>
        <w:footnoteRef/>
      </w:r>
      <w:r w:rsidRPr="00B711E5">
        <w:t xml:space="preserve"> Laura Pritchard-Jones, Monique Mehmi,</w:t>
      </w:r>
      <w:r w:rsidR="00A874E1">
        <w:t xml:space="preserve"> </w:t>
      </w:r>
      <w:r w:rsidRPr="00B711E5">
        <w:t>Mark Eccleston-Turner, and Alison Brammer, ‘Exploring the changes and challenges of COVID-19 in adult safeguarding practice: qualitative findings from a mixed-methods project’ (2022) 24 (3/4) Journal of Adult Protection 132-148.</w:t>
      </w:r>
    </w:p>
  </w:footnote>
  <w:footnote w:id="6">
    <w:p w14:paraId="01316C0B" w14:textId="77777777" w:rsidR="005878C0" w:rsidRPr="00B711E5" w:rsidRDefault="005878C0" w:rsidP="005878C0">
      <w:pPr>
        <w:pStyle w:val="FootnoteText"/>
      </w:pPr>
      <w:r w:rsidRPr="00B711E5">
        <w:rPr>
          <w:rStyle w:val="FootnoteReference"/>
        </w:rPr>
        <w:footnoteRef/>
      </w:r>
      <w:r w:rsidRPr="00B711E5">
        <w:t xml:space="preserve"> Ibid.</w:t>
      </w:r>
    </w:p>
  </w:footnote>
  <w:footnote w:id="7">
    <w:p w14:paraId="56C2F47E" w14:textId="5A8E3D04" w:rsidR="005A2751" w:rsidRPr="00B711E5" w:rsidRDefault="005A2751">
      <w:pPr>
        <w:pStyle w:val="FootnoteText"/>
      </w:pPr>
      <w:r w:rsidRPr="00B711E5">
        <w:rPr>
          <w:rStyle w:val="FootnoteReference"/>
        </w:rPr>
        <w:footnoteRef/>
      </w:r>
      <w:r w:rsidRPr="00B711E5">
        <w:t xml:space="preserve"> See, </w:t>
      </w:r>
      <w:proofErr w:type="gramStart"/>
      <w:r w:rsidRPr="00B711E5">
        <w:t>e.g.</w:t>
      </w:r>
      <w:proofErr w:type="gramEnd"/>
      <w:r w:rsidRPr="00B711E5">
        <w:t xml:space="preserve"> </w:t>
      </w:r>
      <w:r w:rsidR="00E24255" w:rsidRPr="00B711E5">
        <w:t xml:space="preserve">Panorama, Undercover Hospital: Patients at Risk, 2022; Dispatches, Bupa Care Homes Undercover, 2017; Panorama, Nursing Homes Undercover, 2016; </w:t>
      </w:r>
    </w:p>
  </w:footnote>
  <w:footnote w:id="8">
    <w:p w14:paraId="0A4CC73A" w14:textId="5E02660F" w:rsidR="002777FF" w:rsidRDefault="002777FF">
      <w:pPr>
        <w:pStyle w:val="FootnoteText"/>
      </w:pPr>
      <w:r>
        <w:rPr>
          <w:rStyle w:val="FootnoteReference"/>
        </w:rPr>
        <w:footnoteRef/>
      </w:r>
      <w:r>
        <w:t xml:space="preserve"> </w:t>
      </w:r>
      <w:r w:rsidR="000D3258" w:rsidRPr="000D3258">
        <w:t>https://www.cqc.org.uk/sites/default/files/20210318_dnacpr_printer-version.pdf</w:t>
      </w:r>
    </w:p>
  </w:footnote>
  <w:footnote w:id="9">
    <w:p w14:paraId="76363084" w14:textId="751BEA5F" w:rsidR="00E24255" w:rsidRPr="00B711E5" w:rsidRDefault="00E24255" w:rsidP="00E24255">
      <w:pPr>
        <w:pStyle w:val="FootnoteText"/>
      </w:pPr>
      <w:r w:rsidRPr="00B711E5">
        <w:rPr>
          <w:rStyle w:val="FootnoteReference"/>
        </w:rPr>
        <w:footnoteRef/>
      </w:r>
      <w:r w:rsidRPr="00B711E5">
        <w:t xml:space="preserve"> Regulation 13</w:t>
      </w:r>
      <w:r w:rsidR="004F6FAC">
        <w:t xml:space="preserve"> </w:t>
      </w:r>
      <w:r w:rsidRPr="00B711E5">
        <w:t xml:space="preserve">of the Health and Social Care Act 2008 (Regulated Activities) Regulations 2014 </w:t>
      </w:r>
    </w:p>
  </w:footnote>
  <w:footnote w:id="10">
    <w:p w14:paraId="68E52BA5" w14:textId="34AC31DA" w:rsidR="00DD3398" w:rsidRDefault="00DD3398">
      <w:pPr>
        <w:pStyle w:val="FootnoteText"/>
      </w:pPr>
      <w:r>
        <w:rPr>
          <w:rStyle w:val="FootnoteReference"/>
        </w:rPr>
        <w:footnoteRef/>
      </w:r>
      <w:r>
        <w:t xml:space="preserve"> </w:t>
      </w:r>
      <w:r w:rsidRPr="00DD3398">
        <w:t>The regulator provides limited information</w:t>
      </w:r>
      <w:r w:rsidR="00AA7EB5">
        <w:t>:</w:t>
      </w:r>
      <w:r w:rsidRPr="00DD3398">
        <w:t xml:space="preserve"> only 7 prosecutions are reported as having taken place for breaches of Regulation 13, for example, and data on other measures (</w:t>
      </w:r>
      <w:proofErr w:type="gramStart"/>
      <w:r w:rsidRPr="00DD3398">
        <w:t>e.g.</w:t>
      </w:r>
      <w:proofErr w:type="gramEnd"/>
      <w:r w:rsidRPr="00DD3398">
        <w:t xml:space="preserve"> compliance notices, warning notices etc.) is not publicly available.</w:t>
      </w:r>
    </w:p>
  </w:footnote>
  <w:footnote w:id="11">
    <w:p w14:paraId="0CDC2482" w14:textId="1293FC93" w:rsidR="00EF5F46" w:rsidRDefault="00EF5F46">
      <w:pPr>
        <w:pStyle w:val="FootnoteText"/>
      </w:pPr>
      <w:r>
        <w:rPr>
          <w:rStyle w:val="FootnoteReference"/>
        </w:rPr>
        <w:footnoteRef/>
      </w:r>
      <w:r>
        <w:t xml:space="preserve"> </w:t>
      </w:r>
      <w:hyperlink r:id="rId3" w:history="1">
        <w:r w:rsidRPr="00677A37">
          <w:rPr>
            <w:rStyle w:val="Hyperlink"/>
          </w:rPr>
          <w:t>https://www.cqc.org.uk/news/stories/update-cqcs-regulatory-approach</w:t>
        </w:r>
      </w:hyperlink>
      <w:r>
        <w:t xml:space="preserve"> (2022)</w:t>
      </w:r>
    </w:p>
  </w:footnote>
  <w:footnote w:id="12">
    <w:p w14:paraId="6C6E8F9D" w14:textId="74F33A48" w:rsidR="00D226D7" w:rsidRDefault="00D226D7">
      <w:pPr>
        <w:pStyle w:val="FootnoteText"/>
      </w:pPr>
      <w:r>
        <w:rPr>
          <w:rStyle w:val="FootnoteReference"/>
        </w:rPr>
        <w:footnoteRef/>
      </w:r>
      <w:r>
        <w:t xml:space="preserve"> </w:t>
      </w:r>
      <w:proofErr w:type="gramStart"/>
      <w:r>
        <w:t>CQC,  How</w:t>
      </w:r>
      <w:proofErr w:type="gramEnd"/>
      <w:r>
        <w:t xml:space="preserve"> CQC Identifies and Responds to Closed Culture, 2022 (</w:t>
      </w:r>
      <w:r w:rsidRPr="00D226D7">
        <w:t>https://www.cqc.org.uk/guidance-providers/all-services/how-cqc-identifies-responds-closed-cultures</w:t>
      </w:r>
      <w:r>
        <w:t>).</w:t>
      </w:r>
    </w:p>
  </w:footnote>
  <w:footnote w:id="13">
    <w:p w14:paraId="6BF729CA" w14:textId="3F041762" w:rsidR="008821C1" w:rsidRPr="0006172A" w:rsidRDefault="008821C1" w:rsidP="008821C1">
      <w:pPr>
        <w:rPr>
          <w:rFonts w:eastAsia="Times New Roman"/>
          <w:sz w:val="20"/>
          <w:szCs w:val="20"/>
        </w:rPr>
      </w:pPr>
      <w:r>
        <w:rPr>
          <w:rStyle w:val="FootnoteReference"/>
        </w:rPr>
        <w:footnoteRef/>
      </w:r>
      <w:r>
        <w:t xml:space="preserve"> </w:t>
      </w:r>
      <w:r w:rsidRPr="0006172A">
        <w:rPr>
          <w:rFonts w:eastAsia="Times New Roman"/>
          <w:sz w:val="20"/>
          <w:szCs w:val="20"/>
        </w:rPr>
        <w:t>Flynn, M.  In Search of Accountability: A review of the neglect of older people living in care homes investigated as Operation Jasmine, 2015, Cardiff: Welsh Government</w:t>
      </w:r>
      <w:r w:rsidR="00D226D7" w:rsidRPr="0006172A">
        <w:rPr>
          <w:rFonts w:eastAsia="Times New Roman"/>
          <w:sz w:val="20"/>
          <w:szCs w:val="20"/>
        </w:rPr>
        <w:t>.</w:t>
      </w:r>
    </w:p>
    <w:p w14:paraId="040B1AB4" w14:textId="77777777" w:rsidR="008821C1" w:rsidRDefault="008821C1" w:rsidP="008821C1">
      <w:pPr>
        <w:rPr>
          <w:rFonts w:eastAsia="Times New Roman"/>
        </w:rPr>
      </w:pPr>
    </w:p>
    <w:p w14:paraId="0563D14D" w14:textId="390C29A8" w:rsidR="008821C1" w:rsidRDefault="008821C1" w:rsidP="008821C1">
      <w:pPr>
        <w:rPr>
          <w:rFonts w:eastAsia="Times New Roman"/>
        </w:rPr>
      </w:pPr>
    </w:p>
    <w:p w14:paraId="61613144" w14:textId="77777777" w:rsidR="008821C1" w:rsidRDefault="008821C1" w:rsidP="008821C1">
      <w:pPr>
        <w:rPr>
          <w:rFonts w:eastAsia="Times New Roman"/>
        </w:rPr>
      </w:pPr>
    </w:p>
    <w:p w14:paraId="05C71A41" w14:textId="68ABE3AE" w:rsidR="008821C1" w:rsidRDefault="008821C1">
      <w:pPr>
        <w:pStyle w:val="FootnoteText"/>
      </w:pPr>
    </w:p>
  </w:footnote>
  <w:footnote w:id="14">
    <w:p w14:paraId="19230C59" w14:textId="2AC2150B" w:rsidR="005B5F3C" w:rsidRDefault="005B5F3C">
      <w:pPr>
        <w:pStyle w:val="FootnoteText"/>
      </w:pPr>
      <w:r>
        <w:rPr>
          <w:rStyle w:val="FootnoteReference"/>
        </w:rPr>
        <w:footnoteRef/>
      </w:r>
      <w:r>
        <w:t xml:space="preserve"> Law Commission, Corporate Criminal Responsibility: An Options Paper, 2022</w:t>
      </w:r>
      <w:r w:rsidR="000E237C">
        <w:t>, p114.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82D96"/>
    <w:multiLevelType w:val="hybridMultilevel"/>
    <w:tmpl w:val="FE5EF5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3995E28"/>
    <w:multiLevelType w:val="hybridMultilevel"/>
    <w:tmpl w:val="A866C2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05983593">
    <w:abstractNumId w:val="0"/>
  </w:num>
  <w:num w:numId="2" w16cid:durableId="1920021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EF"/>
    <w:rsid w:val="000020C8"/>
    <w:rsid w:val="000048AA"/>
    <w:rsid w:val="00005B56"/>
    <w:rsid w:val="00006271"/>
    <w:rsid w:val="00007700"/>
    <w:rsid w:val="00025ABA"/>
    <w:rsid w:val="00057A5C"/>
    <w:rsid w:val="0006172A"/>
    <w:rsid w:val="00092D9D"/>
    <w:rsid w:val="000A206A"/>
    <w:rsid w:val="000B2D29"/>
    <w:rsid w:val="000C0058"/>
    <w:rsid w:val="000C2642"/>
    <w:rsid w:val="000C38AE"/>
    <w:rsid w:val="000C3B01"/>
    <w:rsid w:val="000D3258"/>
    <w:rsid w:val="000E237C"/>
    <w:rsid w:val="000E4524"/>
    <w:rsid w:val="000E5F59"/>
    <w:rsid w:val="0011097D"/>
    <w:rsid w:val="00133018"/>
    <w:rsid w:val="001537E7"/>
    <w:rsid w:val="001734ED"/>
    <w:rsid w:val="00180D99"/>
    <w:rsid w:val="00182328"/>
    <w:rsid w:val="001C44D9"/>
    <w:rsid w:val="001F3405"/>
    <w:rsid w:val="002006F8"/>
    <w:rsid w:val="00212DA9"/>
    <w:rsid w:val="00215121"/>
    <w:rsid w:val="00232AE7"/>
    <w:rsid w:val="00257917"/>
    <w:rsid w:val="00270CF1"/>
    <w:rsid w:val="002777FF"/>
    <w:rsid w:val="00281217"/>
    <w:rsid w:val="0029299A"/>
    <w:rsid w:val="002B47FD"/>
    <w:rsid w:val="002B6F3A"/>
    <w:rsid w:val="002C2494"/>
    <w:rsid w:val="002C42EB"/>
    <w:rsid w:val="002E7378"/>
    <w:rsid w:val="002F1876"/>
    <w:rsid w:val="002F2782"/>
    <w:rsid w:val="003024CA"/>
    <w:rsid w:val="00307450"/>
    <w:rsid w:val="0033114E"/>
    <w:rsid w:val="0033524B"/>
    <w:rsid w:val="00362488"/>
    <w:rsid w:val="003B401F"/>
    <w:rsid w:val="003B6620"/>
    <w:rsid w:val="003C1DAF"/>
    <w:rsid w:val="003C749F"/>
    <w:rsid w:val="003D5DF5"/>
    <w:rsid w:val="003E68A2"/>
    <w:rsid w:val="003F3FDD"/>
    <w:rsid w:val="004014B5"/>
    <w:rsid w:val="004018EB"/>
    <w:rsid w:val="004206DF"/>
    <w:rsid w:val="00425257"/>
    <w:rsid w:val="00445245"/>
    <w:rsid w:val="00483815"/>
    <w:rsid w:val="00483C7E"/>
    <w:rsid w:val="004A2EFC"/>
    <w:rsid w:val="004A7697"/>
    <w:rsid w:val="004C1DFB"/>
    <w:rsid w:val="004C2AAB"/>
    <w:rsid w:val="004C665F"/>
    <w:rsid w:val="004C709C"/>
    <w:rsid w:val="004D74EC"/>
    <w:rsid w:val="004E284F"/>
    <w:rsid w:val="004E7CF7"/>
    <w:rsid w:val="004F6FAC"/>
    <w:rsid w:val="00506F05"/>
    <w:rsid w:val="00560B89"/>
    <w:rsid w:val="00580B93"/>
    <w:rsid w:val="005878C0"/>
    <w:rsid w:val="005A2751"/>
    <w:rsid w:val="005B5F3C"/>
    <w:rsid w:val="005C2B2A"/>
    <w:rsid w:val="005C5E33"/>
    <w:rsid w:val="005F35A8"/>
    <w:rsid w:val="0064752A"/>
    <w:rsid w:val="00652412"/>
    <w:rsid w:val="006705AC"/>
    <w:rsid w:val="00681B20"/>
    <w:rsid w:val="00692914"/>
    <w:rsid w:val="00695379"/>
    <w:rsid w:val="00696E3D"/>
    <w:rsid w:val="006B6750"/>
    <w:rsid w:val="006D6C5E"/>
    <w:rsid w:val="00704DC1"/>
    <w:rsid w:val="00707085"/>
    <w:rsid w:val="0071372E"/>
    <w:rsid w:val="00726D3A"/>
    <w:rsid w:val="00736E45"/>
    <w:rsid w:val="0074592A"/>
    <w:rsid w:val="00745DED"/>
    <w:rsid w:val="00751620"/>
    <w:rsid w:val="00757F33"/>
    <w:rsid w:val="0076279E"/>
    <w:rsid w:val="00772752"/>
    <w:rsid w:val="00772AA8"/>
    <w:rsid w:val="0077574A"/>
    <w:rsid w:val="00784B06"/>
    <w:rsid w:val="007951DF"/>
    <w:rsid w:val="007A1D67"/>
    <w:rsid w:val="007C4B9B"/>
    <w:rsid w:val="007C6A68"/>
    <w:rsid w:val="007C7CA0"/>
    <w:rsid w:val="007D0034"/>
    <w:rsid w:val="007D0FA0"/>
    <w:rsid w:val="007D1CFA"/>
    <w:rsid w:val="007D53A6"/>
    <w:rsid w:val="007D572B"/>
    <w:rsid w:val="007F00FC"/>
    <w:rsid w:val="0080079F"/>
    <w:rsid w:val="00802174"/>
    <w:rsid w:val="00813923"/>
    <w:rsid w:val="00821304"/>
    <w:rsid w:val="00842A25"/>
    <w:rsid w:val="00843044"/>
    <w:rsid w:val="00845170"/>
    <w:rsid w:val="00855A68"/>
    <w:rsid w:val="00861915"/>
    <w:rsid w:val="008821C1"/>
    <w:rsid w:val="0088409D"/>
    <w:rsid w:val="008841D1"/>
    <w:rsid w:val="008858F7"/>
    <w:rsid w:val="00894707"/>
    <w:rsid w:val="008978E3"/>
    <w:rsid w:val="00897C04"/>
    <w:rsid w:val="008B7DF4"/>
    <w:rsid w:val="008D0670"/>
    <w:rsid w:val="008D108B"/>
    <w:rsid w:val="008D34B1"/>
    <w:rsid w:val="008D75F3"/>
    <w:rsid w:val="008E065A"/>
    <w:rsid w:val="008F668B"/>
    <w:rsid w:val="00902540"/>
    <w:rsid w:val="00905CF4"/>
    <w:rsid w:val="009200DD"/>
    <w:rsid w:val="00920161"/>
    <w:rsid w:val="009405C8"/>
    <w:rsid w:val="009429C7"/>
    <w:rsid w:val="00945FCF"/>
    <w:rsid w:val="00955530"/>
    <w:rsid w:val="00955B9F"/>
    <w:rsid w:val="009637B6"/>
    <w:rsid w:val="00974013"/>
    <w:rsid w:val="00987634"/>
    <w:rsid w:val="0099230D"/>
    <w:rsid w:val="009B53F9"/>
    <w:rsid w:val="009C241F"/>
    <w:rsid w:val="009D105B"/>
    <w:rsid w:val="009E3B17"/>
    <w:rsid w:val="009E62DB"/>
    <w:rsid w:val="00A037F2"/>
    <w:rsid w:val="00A16E49"/>
    <w:rsid w:val="00A24F3B"/>
    <w:rsid w:val="00A4011F"/>
    <w:rsid w:val="00A874E1"/>
    <w:rsid w:val="00A87CEF"/>
    <w:rsid w:val="00A915A3"/>
    <w:rsid w:val="00AA2D09"/>
    <w:rsid w:val="00AA7EB5"/>
    <w:rsid w:val="00AC0F8F"/>
    <w:rsid w:val="00AC19E8"/>
    <w:rsid w:val="00AC66D4"/>
    <w:rsid w:val="00AC7CCF"/>
    <w:rsid w:val="00AD3E31"/>
    <w:rsid w:val="00B13DB9"/>
    <w:rsid w:val="00B2434C"/>
    <w:rsid w:val="00B24DEF"/>
    <w:rsid w:val="00B265B0"/>
    <w:rsid w:val="00B33A76"/>
    <w:rsid w:val="00B47876"/>
    <w:rsid w:val="00B50EC5"/>
    <w:rsid w:val="00B55299"/>
    <w:rsid w:val="00B60676"/>
    <w:rsid w:val="00B617DD"/>
    <w:rsid w:val="00B711E5"/>
    <w:rsid w:val="00B7657D"/>
    <w:rsid w:val="00B817B3"/>
    <w:rsid w:val="00BB1E92"/>
    <w:rsid w:val="00BB2103"/>
    <w:rsid w:val="00BC4A3E"/>
    <w:rsid w:val="00BE66D9"/>
    <w:rsid w:val="00BF71DD"/>
    <w:rsid w:val="00C049C9"/>
    <w:rsid w:val="00C3287F"/>
    <w:rsid w:val="00C5137B"/>
    <w:rsid w:val="00C9235E"/>
    <w:rsid w:val="00C974EB"/>
    <w:rsid w:val="00CC133B"/>
    <w:rsid w:val="00CE33A8"/>
    <w:rsid w:val="00CE3F5D"/>
    <w:rsid w:val="00CE4202"/>
    <w:rsid w:val="00CE539A"/>
    <w:rsid w:val="00D11DBD"/>
    <w:rsid w:val="00D226D7"/>
    <w:rsid w:val="00D301B6"/>
    <w:rsid w:val="00D33C4C"/>
    <w:rsid w:val="00D52AFE"/>
    <w:rsid w:val="00D743CC"/>
    <w:rsid w:val="00D76DAC"/>
    <w:rsid w:val="00D8704A"/>
    <w:rsid w:val="00DA5DE8"/>
    <w:rsid w:val="00DB4208"/>
    <w:rsid w:val="00DB538C"/>
    <w:rsid w:val="00DB72D6"/>
    <w:rsid w:val="00DD3398"/>
    <w:rsid w:val="00DD4C68"/>
    <w:rsid w:val="00DE32A4"/>
    <w:rsid w:val="00E2122A"/>
    <w:rsid w:val="00E24255"/>
    <w:rsid w:val="00E533C8"/>
    <w:rsid w:val="00E57119"/>
    <w:rsid w:val="00E63486"/>
    <w:rsid w:val="00E70295"/>
    <w:rsid w:val="00E77ADB"/>
    <w:rsid w:val="00E85EA5"/>
    <w:rsid w:val="00E913CD"/>
    <w:rsid w:val="00E9225E"/>
    <w:rsid w:val="00E92B50"/>
    <w:rsid w:val="00E94599"/>
    <w:rsid w:val="00E96711"/>
    <w:rsid w:val="00EB09EA"/>
    <w:rsid w:val="00EC09D5"/>
    <w:rsid w:val="00EC636D"/>
    <w:rsid w:val="00EE5A3A"/>
    <w:rsid w:val="00EF4315"/>
    <w:rsid w:val="00EF4319"/>
    <w:rsid w:val="00EF5F46"/>
    <w:rsid w:val="00F108AE"/>
    <w:rsid w:val="00F27B40"/>
    <w:rsid w:val="00F323DA"/>
    <w:rsid w:val="00F43EEB"/>
    <w:rsid w:val="00F53A6F"/>
    <w:rsid w:val="00F6240B"/>
    <w:rsid w:val="00F65168"/>
    <w:rsid w:val="00F8098F"/>
    <w:rsid w:val="00F82632"/>
    <w:rsid w:val="00FA6549"/>
    <w:rsid w:val="00FB2AA8"/>
    <w:rsid w:val="00FB3742"/>
    <w:rsid w:val="00FB445E"/>
    <w:rsid w:val="00FC0A7E"/>
    <w:rsid w:val="00FC48A4"/>
    <w:rsid w:val="00FC4E78"/>
    <w:rsid w:val="00FE5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8F97"/>
  <w15:chartTrackingRefBased/>
  <w15:docId w15:val="{FA898B22-3889-4D84-B857-15C1BB65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5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6C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CEF"/>
    <w:pPr>
      <w:ind w:left="720"/>
      <w:contextualSpacing/>
    </w:pPr>
  </w:style>
  <w:style w:type="character" w:styleId="Hyperlink">
    <w:name w:val="Hyperlink"/>
    <w:basedOn w:val="DefaultParagraphFont"/>
    <w:uiPriority w:val="99"/>
    <w:unhideWhenUsed/>
    <w:rsid w:val="00A87CEF"/>
    <w:rPr>
      <w:color w:val="0563C1" w:themeColor="hyperlink"/>
      <w:u w:val="single"/>
    </w:rPr>
  </w:style>
  <w:style w:type="character" w:styleId="UnresolvedMention">
    <w:name w:val="Unresolved Mention"/>
    <w:basedOn w:val="DefaultParagraphFont"/>
    <w:uiPriority w:val="99"/>
    <w:semiHidden/>
    <w:unhideWhenUsed/>
    <w:rsid w:val="00A87CEF"/>
    <w:rPr>
      <w:color w:val="605E5C"/>
      <w:shd w:val="clear" w:color="auto" w:fill="E1DFDD"/>
    </w:rPr>
  </w:style>
  <w:style w:type="character" w:customStyle="1" w:styleId="Heading1Char">
    <w:name w:val="Heading 1 Char"/>
    <w:basedOn w:val="DefaultParagraphFont"/>
    <w:link w:val="Heading1"/>
    <w:uiPriority w:val="9"/>
    <w:rsid w:val="00A915A3"/>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uiPriority w:val="99"/>
    <w:semiHidden/>
    <w:unhideWhenUsed/>
    <w:rsid w:val="006D6C5E"/>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semiHidden/>
    <w:rsid w:val="006D6C5E"/>
    <w:rPr>
      <w:rFonts w:ascii="Calibri" w:hAnsi="Calibri"/>
      <w:kern w:val="2"/>
      <w:szCs w:val="21"/>
      <w14:ligatures w14:val="standardContextual"/>
    </w:rPr>
  </w:style>
  <w:style w:type="character" w:customStyle="1" w:styleId="Heading2Char">
    <w:name w:val="Heading 2 Char"/>
    <w:basedOn w:val="DefaultParagraphFont"/>
    <w:link w:val="Heading2"/>
    <w:uiPriority w:val="9"/>
    <w:rsid w:val="006D6C5E"/>
    <w:rPr>
      <w:rFonts w:asciiTheme="majorHAnsi" w:eastAsiaTheme="majorEastAsia" w:hAnsiTheme="majorHAnsi" w:cstheme="majorBidi"/>
      <w:color w:val="2F5496" w:themeColor="accent1" w:themeShade="BF"/>
      <w:sz w:val="26"/>
      <w:szCs w:val="26"/>
    </w:rPr>
  </w:style>
  <w:style w:type="paragraph" w:customStyle="1" w:styleId="xmsolistparagraph">
    <w:name w:val="x_msolistparagraph"/>
    <w:basedOn w:val="Normal"/>
    <w:rsid w:val="006D6C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6D6C5E"/>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6D6C5E"/>
    <w:rPr>
      <w:kern w:val="2"/>
      <w:sz w:val="20"/>
      <w:szCs w:val="20"/>
      <w14:ligatures w14:val="standardContextual"/>
    </w:rPr>
  </w:style>
  <w:style w:type="character" w:styleId="FootnoteReference">
    <w:name w:val="footnote reference"/>
    <w:basedOn w:val="DefaultParagraphFont"/>
    <w:uiPriority w:val="99"/>
    <w:semiHidden/>
    <w:unhideWhenUsed/>
    <w:rsid w:val="006D6C5E"/>
    <w:rPr>
      <w:vertAlign w:val="superscript"/>
    </w:rPr>
  </w:style>
  <w:style w:type="character" w:customStyle="1" w:styleId="normaltextrun">
    <w:name w:val="normaltextrun"/>
    <w:basedOn w:val="DefaultParagraphFont"/>
    <w:rsid w:val="006D6C5E"/>
  </w:style>
  <w:style w:type="character" w:customStyle="1" w:styleId="eop">
    <w:name w:val="eop"/>
    <w:basedOn w:val="DefaultParagraphFont"/>
    <w:rsid w:val="006D6C5E"/>
  </w:style>
  <w:style w:type="character" w:styleId="CommentReference">
    <w:name w:val="annotation reference"/>
    <w:basedOn w:val="DefaultParagraphFont"/>
    <w:uiPriority w:val="99"/>
    <w:semiHidden/>
    <w:unhideWhenUsed/>
    <w:rsid w:val="00802174"/>
    <w:rPr>
      <w:sz w:val="16"/>
      <w:szCs w:val="16"/>
    </w:rPr>
  </w:style>
  <w:style w:type="paragraph" w:styleId="CommentText">
    <w:name w:val="annotation text"/>
    <w:basedOn w:val="Normal"/>
    <w:link w:val="CommentTextChar"/>
    <w:uiPriority w:val="99"/>
    <w:unhideWhenUsed/>
    <w:rsid w:val="00802174"/>
    <w:pPr>
      <w:spacing w:line="240" w:lineRule="auto"/>
    </w:pPr>
    <w:rPr>
      <w:sz w:val="20"/>
      <w:szCs w:val="20"/>
    </w:rPr>
  </w:style>
  <w:style w:type="character" w:customStyle="1" w:styleId="CommentTextChar">
    <w:name w:val="Comment Text Char"/>
    <w:basedOn w:val="DefaultParagraphFont"/>
    <w:link w:val="CommentText"/>
    <w:uiPriority w:val="99"/>
    <w:rsid w:val="00802174"/>
    <w:rPr>
      <w:sz w:val="20"/>
      <w:szCs w:val="20"/>
    </w:rPr>
  </w:style>
  <w:style w:type="paragraph" w:styleId="CommentSubject">
    <w:name w:val="annotation subject"/>
    <w:basedOn w:val="CommentText"/>
    <w:next w:val="CommentText"/>
    <w:link w:val="CommentSubjectChar"/>
    <w:uiPriority w:val="99"/>
    <w:semiHidden/>
    <w:unhideWhenUsed/>
    <w:rsid w:val="00802174"/>
    <w:rPr>
      <w:b/>
      <w:bCs/>
    </w:rPr>
  </w:style>
  <w:style w:type="character" w:customStyle="1" w:styleId="CommentSubjectChar">
    <w:name w:val="Comment Subject Char"/>
    <w:basedOn w:val="CommentTextChar"/>
    <w:link w:val="CommentSubject"/>
    <w:uiPriority w:val="99"/>
    <w:semiHidden/>
    <w:rsid w:val="008021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937">
      <w:bodyDiv w:val="1"/>
      <w:marLeft w:val="0"/>
      <w:marRight w:val="0"/>
      <w:marTop w:val="0"/>
      <w:marBottom w:val="0"/>
      <w:divBdr>
        <w:top w:val="none" w:sz="0" w:space="0" w:color="auto"/>
        <w:left w:val="none" w:sz="0" w:space="0" w:color="auto"/>
        <w:bottom w:val="none" w:sz="0" w:space="0" w:color="auto"/>
        <w:right w:val="none" w:sz="0" w:space="0" w:color="auto"/>
      </w:divBdr>
    </w:div>
    <w:div w:id="20673433">
      <w:bodyDiv w:val="1"/>
      <w:marLeft w:val="0"/>
      <w:marRight w:val="0"/>
      <w:marTop w:val="0"/>
      <w:marBottom w:val="0"/>
      <w:divBdr>
        <w:top w:val="none" w:sz="0" w:space="0" w:color="auto"/>
        <w:left w:val="none" w:sz="0" w:space="0" w:color="auto"/>
        <w:bottom w:val="none" w:sz="0" w:space="0" w:color="auto"/>
        <w:right w:val="none" w:sz="0" w:space="0" w:color="auto"/>
      </w:divBdr>
    </w:div>
    <w:div w:id="25066258">
      <w:bodyDiv w:val="1"/>
      <w:marLeft w:val="0"/>
      <w:marRight w:val="0"/>
      <w:marTop w:val="0"/>
      <w:marBottom w:val="0"/>
      <w:divBdr>
        <w:top w:val="none" w:sz="0" w:space="0" w:color="auto"/>
        <w:left w:val="none" w:sz="0" w:space="0" w:color="auto"/>
        <w:bottom w:val="none" w:sz="0" w:space="0" w:color="auto"/>
        <w:right w:val="none" w:sz="0" w:space="0" w:color="auto"/>
      </w:divBdr>
    </w:div>
    <w:div w:id="107969670">
      <w:bodyDiv w:val="1"/>
      <w:marLeft w:val="0"/>
      <w:marRight w:val="0"/>
      <w:marTop w:val="0"/>
      <w:marBottom w:val="0"/>
      <w:divBdr>
        <w:top w:val="none" w:sz="0" w:space="0" w:color="auto"/>
        <w:left w:val="none" w:sz="0" w:space="0" w:color="auto"/>
        <w:bottom w:val="none" w:sz="0" w:space="0" w:color="auto"/>
        <w:right w:val="none" w:sz="0" w:space="0" w:color="auto"/>
      </w:divBdr>
    </w:div>
    <w:div w:id="257759665">
      <w:bodyDiv w:val="1"/>
      <w:marLeft w:val="0"/>
      <w:marRight w:val="0"/>
      <w:marTop w:val="0"/>
      <w:marBottom w:val="0"/>
      <w:divBdr>
        <w:top w:val="none" w:sz="0" w:space="0" w:color="auto"/>
        <w:left w:val="none" w:sz="0" w:space="0" w:color="auto"/>
        <w:bottom w:val="none" w:sz="0" w:space="0" w:color="auto"/>
        <w:right w:val="none" w:sz="0" w:space="0" w:color="auto"/>
      </w:divBdr>
    </w:div>
    <w:div w:id="430397133">
      <w:bodyDiv w:val="1"/>
      <w:marLeft w:val="0"/>
      <w:marRight w:val="0"/>
      <w:marTop w:val="0"/>
      <w:marBottom w:val="0"/>
      <w:divBdr>
        <w:top w:val="none" w:sz="0" w:space="0" w:color="auto"/>
        <w:left w:val="none" w:sz="0" w:space="0" w:color="auto"/>
        <w:bottom w:val="none" w:sz="0" w:space="0" w:color="auto"/>
        <w:right w:val="none" w:sz="0" w:space="0" w:color="auto"/>
      </w:divBdr>
    </w:div>
    <w:div w:id="916091441">
      <w:bodyDiv w:val="1"/>
      <w:marLeft w:val="0"/>
      <w:marRight w:val="0"/>
      <w:marTop w:val="0"/>
      <w:marBottom w:val="0"/>
      <w:divBdr>
        <w:top w:val="none" w:sz="0" w:space="0" w:color="auto"/>
        <w:left w:val="none" w:sz="0" w:space="0" w:color="auto"/>
        <w:bottom w:val="none" w:sz="0" w:space="0" w:color="auto"/>
        <w:right w:val="none" w:sz="0" w:space="0" w:color="auto"/>
      </w:divBdr>
    </w:div>
    <w:div w:id="959993135">
      <w:bodyDiv w:val="1"/>
      <w:marLeft w:val="0"/>
      <w:marRight w:val="0"/>
      <w:marTop w:val="0"/>
      <w:marBottom w:val="0"/>
      <w:divBdr>
        <w:top w:val="none" w:sz="0" w:space="0" w:color="auto"/>
        <w:left w:val="none" w:sz="0" w:space="0" w:color="auto"/>
        <w:bottom w:val="none" w:sz="0" w:space="0" w:color="auto"/>
        <w:right w:val="none" w:sz="0" w:space="0" w:color="auto"/>
      </w:divBdr>
    </w:div>
    <w:div w:id="1370452438">
      <w:bodyDiv w:val="1"/>
      <w:marLeft w:val="0"/>
      <w:marRight w:val="0"/>
      <w:marTop w:val="0"/>
      <w:marBottom w:val="0"/>
      <w:divBdr>
        <w:top w:val="none" w:sz="0" w:space="0" w:color="auto"/>
        <w:left w:val="none" w:sz="0" w:space="0" w:color="auto"/>
        <w:bottom w:val="none" w:sz="0" w:space="0" w:color="auto"/>
        <w:right w:val="none" w:sz="0" w:space="0" w:color="auto"/>
      </w:divBdr>
    </w:div>
    <w:div w:id="1417902251">
      <w:bodyDiv w:val="1"/>
      <w:marLeft w:val="0"/>
      <w:marRight w:val="0"/>
      <w:marTop w:val="0"/>
      <w:marBottom w:val="0"/>
      <w:divBdr>
        <w:top w:val="none" w:sz="0" w:space="0" w:color="auto"/>
        <w:left w:val="none" w:sz="0" w:space="0" w:color="auto"/>
        <w:bottom w:val="none" w:sz="0" w:space="0" w:color="auto"/>
        <w:right w:val="none" w:sz="0" w:space="0" w:color="auto"/>
      </w:divBdr>
    </w:div>
    <w:div w:id="1537233418">
      <w:bodyDiv w:val="1"/>
      <w:marLeft w:val="0"/>
      <w:marRight w:val="0"/>
      <w:marTop w:val="0"/>
      <w:marBottom w:val="0"/>
      <w:divBdr>
        <w:top w:val="none" w:sz="0" w:space="0" w:color="auto"/>
        <w:left w:val="none" w:sz="0" w:space="0" w:color="auto"/>
        <w:bottom w:val="none" w:sz="0" w:space="0" w:color="auto"/>
        <w:right w:val="none" w:sz="0" w:space="0" w:color="auto"/>
      </w:divBdr>
    </w:div>
    <w:div w:id="1751662042">
      <w:bodyDiv w:val="1"/>
      <w:marLeft w:val="0"/>
      <w:marRight w:val="0"/>
      <w:marTop w:val="0"/>
      <w:marBottom w:val="0"/>
      <w:divBdr>
        <w:top w:val="none" w:sz="0" w:space="0" w:color="auto"/>
        <w:left w:val="none" w:sz="0" w:space="0" w:color="auto"/>
        <w:bottom w:val="none" w:sz="0" w:space="0" w:color="auto"/>
        <w:right w:val="none" w:sz="0" w:space="0" w:color="auto"/>
      </w:divBdr>
    </w:div>
    <w:div w:id="183194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qc.org.uk/news/stories/update-cqcs-regulatory-approach" TargetMode="External"/><Relationship Id="rId2" Type="http://schemas.openxmlformats.org/officeDocument/2006/relationships/hyperlink" Target="http://www.local.gov.uk/sites/default/files/documents/25.177_Insight%20Project_layout_FINAL%20WEB.pdf" TargetMode="External"/><Relationship Id="rId1" Type="http://schemas.openxmlformats.org/officeDocument/2006/relationships/hyperlink" Target="https://doi.org/10.1371/journal.pone.0193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Kirsty Keywood, Laura Pritchard-Jones, Margaret Flynn, and Aled Griffiths</Contributo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ED5B1-C25A-4E3C-9490-BC146D73ACCC}">
  <ds:schemaRefs>
    <ds:schemaRef ds:uri="http://schemas.microsoft.com/sharepoint/v3/contenttype/forms"/>
  </ds:schemaRefs>
</ds:datastoreItem>
</file>

<file path=customXml/itemProps2.xml><?xml version="1.0" encoding="utf-8"?>
<ds:datastoreItem xmlns:ds="http://schemas.openxmlformats.org/officeDocument/2006/customXml" ds:itemID="{E2377350-56B8-4024-B067-710812C29EEC}">
  <ds:schemaRefs>
    <ds:schemaRef ds:uri="http://schemas.microsoft.com/office/2006/metadata/properties"/>
    <ds:schemaRef ds:uri="http://schemas.microsoft.com/office/infopath/2007/PartnerControls"/>
    <ds:schemaRef ds:uri="fbb38930-2e1a-4a0e-9298-f43fd23dfe0e"/>
  </ds:schemaRefs>
</ds:datastoreItem>
</file>

<file path=customXml/itemProps3.xml><?xml version="1.0" encoding="utf-8"?>
<ds:datastoreItem xmlns:ds="http://schemas.openxmlformats.org/officeDocument/2006/customXml" ds:itemID="{8309721D-3709-4232-9214-77086E9F9540}">
  <ds:schemaRefs>
    <ds:schemaRef ds:uri="http://schemas.openxmlformats.org/officeDocument/2006/bibliography"/>
  </ds:schemaRefs>
</ds:datastoreItem>
</file>

<file path=customXml/itemProps4.xml><?xml version="1.0" encoding="utf-8"?>
<ds:datastoreItem xmlns:ds="http://schemas.openxmlformats.org/officeDocument/2006/customXml" ds:itemID="{CC578BB8-CFF7-4BC0-8659-F3B50552E671}"/>
</file>

<file path=docProps/app.xml><?xml version="1.0" encoding="utf-8"?>
<Properties xmlns="http://schemas.openxmlformats.org/officeDocument/2006/extended-properties" xmlns:vt="http://schemas.openxmlformats.org/officeDocument/2006/docPropsVTypes">
  <Template>Normal</Template>
  <TotalTime>6</TotalTime>
  <Pages>4</Pages>
  <Words>1246</Words>
  <Characters>6878</Characters>
  <Application>Microsoft Office Word</Application>
  <DocSecurity>0</DocSecurity>
  <Lines>109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Keywood</dc:creator>
  <cp:keywords/>
  <dc:description/>
  <cp:lastModifiedBy>Kirsty Keywood</cp:lastModifiedBy>
  <cp:revision>2</cp:revision>
  <dcterms:created xsi:type="dcterms:W3CDTF">2023-02-28T09:18:00Z</dcterms:created>
  <dcterms:modified xsi:type="dcterms:W3CDTF">2023-02-28T09:18:00Z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