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650" w:rsidRPr="001E355B" w:rsidRDefault="008E2650" w:rsidP="008E2650">
      <w:pPr>
        <w:jc w:val="center"/>
        <w:rPr>
          <w:rFonts w:ascii="Times New Roman" w:hAnsi="Times New Roman" w:cs="Times New Roman"/>
          <w:b/>
          <w:bCs/>
          <w:sz w:val="20"/>
          <w:szCs w:val="20"/>
        </w:rPr>
      </w:pPr>
      <w:r w:rsidRPr="001E355B">
        <w:rPr>
          <w:rFonts w:ascii="Times New Roman" w:hAnsi="Times New Roman" w:cs="Times New Roman"/>
          <w:b/>
          <w:bCs/>
          <w:sz w:val="20"/>
          <w:szCs w:val="20"/>
        </w:rPr>
        <w:t>Mandate of the Independent Expert on the enjoyment of all human rights by older persons</w:t>
      </w:r>
    </w:p>
    <w:p w:rsidR="008E2650" w:rsidRPr="0066535A" w:rsidRDefault="008E2650" w:rsidP="008E2650">
      <w:pPr>
        <w:jc w:val="center"/>
        <w:rPr>
          <w:rFonts w:ascii="Times New Roman" w:hAnsi="Times New Roman" w:cs="Times New Roman"/>
          <w:b/>
          <w:bCs/>
        </w:rPr>
      </w:pPr>
    </w:p>
    <w:p w:rsidR="008E2650" w:rsidRPr="004F7197" w:rsidRDefault="008E2650" w:rsidP="008E2650">
      <w:pPr>
        <w:jc w:val="center"/>
        <w:rPr>
          <w:rFonts w:ascii="Times New Roman" w:hAnsi="Times New Roman" w:cs="Times New Roman"/>
          <w:b/>
          <w:bCs/>
          <w:sz w:val="24"/>
          <w:szCs w:val="24"/>
        </w:rPr>
      </w:pPr>
      <w:r w:rsidRPr="004F7197">
        <w:rPr>
          <w:rFonts w:ascii="Times New Roman" w:hAnsi="Times New Roman" w:cs="Times New Roman"/>
          <w:b/>
          <w:bCs/>
          <w:sz w:val="24"/>
          <w:szCs w:val="24"/>
        </w:rPr>
        <w:t xml:space="preserve">Call for </w:t>
      </w:r>
      <w:r>
        <w:rPr>
          <w:rFonts w:ascii="Times New Roman" w:hAnsi="Times New Roman" w:cs="Times New Roman"/>
          <w:b/>
          <w:bCs/>
          <w:sz w:val="24"/>
          <w:szCs w:val="24"/>
        </w:rPr>
        <w:t>inputs</w:t>
      </w:r>
      <w:r w:rsidRPr="004F7197">
        <w:rPr>
          <w:rFonts w:ascii="Times New Roman" w:hAnsi="Times New Roman" w:cs="Times New Roman"/>
          <w:b/>
          <w:bCs/>
          <w:sz w:val="24"/>
          <w:szCs w:val="24"/>
        </w:rPr>
        <w:t xml:space="preserve">: </w:t>
      </w:r>
      <w:r>
        <w:rPr>
          <w:rFonts w:ascii="Times New Roman" w:hAnsi="Times New Roman" w:cs="Times New Roman"/>
          <w:b/>
          <w:bCs/>
          <w:sz w:val="24"/>
          <w:szCs w:val="24"/>
        </w:rPr>
        <w:t>Violence, abuse and neglect against older persons</w:t>
      </w:r>
    </w:p>
    <w:p w:rsidR="008E2650" w:rsidRPr="001E355B" w:rsidRDefault="008E2650" w:rsidP="008E2650">
      <w:pPr>
        <w:jc w:val="both"/>
        <w:rPr>
          <w:rFonts w:ascii="Times New Roman" w:hAnsi="Times New Roman" w:cs="Times New Roman"/>
          <w:sz w:val="24"/>
          <w:szCs w:val="24"/>
        </w:rPr>
      </w:pPr>
    </w:p>
    <w:p w:rsidR="008E2650" w:rsidRPr="001E355B" w:rsidRDefault="008E2650" w:rsidP="008E2650">
      <w:pPr>
        <w:jc w:val="both"/>
        <w:rPr>
          <w:rFonts w:ascii="Times New Roman" w:hAnsi="Times New Roman" w:cs="Times New Roman"/>
        </w:rPr>
      </w:pPr>
      <w:r w:rsidRPr="001E355B">
        <w:rPr>
          <w:rFonts w:ascii="Times New Roman" w:hAnsi="Times New Roman" w:cs="Times New Roman"/>
        </w:rPr>
        <w:t>Each year, the Independent Expert on the enjoyment of all human rights by older persons presents two thematic reports</w:t>
      </w:r>
      <w:r>
        <w:rPr>
          <w:rFonts w:ascii="Times New Roman" w:hAnsi="Times New Roman" w:cs="Times New Roman"/>
        </w:rPr>
        <w:t>, one</w:t>
      </w:r>
      <w:r w:rsidRPr="001E355B">
        <w:rPr>
          <w:rFonts w:ascii="Times New Roman" w:hAnsi="Times New Roman" w:cs="Times New Roman"/>
        </w:rPr>
        <w:t xml:space="preserve"> to the Human Rights Council and </w:t>
      </w:r>
      <w:r>
        <w:rPr>
          <w:rFonts w:ascii="Times New Roman" w:hAnsi="Times New Roman" w:cs="Times New Roman"/>
        </w:rPr>
        <w:t xml:space="preserve">one to </w:t>
      </w:r>
      <w:r w:rsidRPr="001E355B">
        <w:rPr>
          <w:rFonts w:ascii="Times New Roman" w:hAnsi="Times New Roman" w:cs="Times New Roman"/>
        </w:rPr>
        <w:t>the General Assembly. In 202</w:t>
      </w:r>
      <w:r>
        <w:rPr>
          <w:rFonts w:ascii="Times New Roman" w:hAnsi="Times New Roman" w:cs="Times New Roman"/>
        </w:rPr>
        <w:t>3</w:t>
      </w:r>
      <w:r w:rsidRPr="001E355B">
        <w:rPr>
          <w:rFonts w:ascii="Times New Roman" w:hAnsi="Times New Roman" w:cs="Times New Roman"/>
        </w:rPr>
        <w:t>, the Independent Expert will dedicate her thematic report to the 5</w:t>
      </w:r>
      <w:r>
        <w:rPr>
          <w:rFonts w:ascii="Times New Roman" w:hAnsi="Times New Roman" w:cs="Times New Roman"/>
        </w:rPr>
        <w:t>4</w:t>
      </w:r>
      <w:r w:rsidRPr="008E2650">
        <w:rPr>
          <w:rFonts w:ascii="Times New Roman" w:hAnsi="Times New Roman" w:cs="Times New Roman"/>
          <w:vertAlign w:val="superscript"/>
        </w:rPr>
        <w:t>th</w:t>
      </w:r>
      <w:r>
        <w:rPr>
          <w:rFonts w:ascii="Times New Roman" w:hAnsi="Times New Roman" w:cs="Times New Roman"/>
        </w:rPr>
        <w:t xml:space="preserve"> </w:t>
      </w:r>
      <w:r w:rsidRPr="001E355B">
        <w:rPr>
          <w:rFonts w:ascii="Times New Roman" w:hAnsi="Times New Roman" w:cs="Times New Roman"/>
        </w:rPr>
        <w:t xml:space="preserve">session of the Human Rights Council to </w:t>
      </w:r>
      <w:r>
        <w:rPr>
          <w:rFonts w:ascii="Times New Roman" w:hAnsi="Times New Roman" w:cs="Times New Roman"/>
        </w:rPr>
        <w:t>address and analyse violence, abuse and neglect of older persons</w:t>
      </w:r>
      <w:r w:rsidRPr="001E355B">
        <w:rPr>
          <w:rFonts w:ascii="Times New Roman" w:hAnsi="Times New Roman" w:cs="Times New Roman"/>
        </w:rPr>
        <w:t>. </w:t>
      </w:r>
    </w:p>
    <w:p w:rsidR="008E2650" w:rsidRPr="001E355B" w:rsidRDefault="008E2650" w:rsidP="008E2650">
      <w:pPr>
        <w:jc w:val="both"/>
        <w:rPr>
          <w:rFonts w:ascii="Times New Roman" w:hAnsi="Times New Roman" w:cs="Times New Roman"/>
        </w:rPr>
      </w:pPr>
      <w:r w:rsidRPr="001E355B">
        <w:rPr>
          <w:rFonts w:ascii="Times New Roman" w:hAnsi="Times New Roman" w:cs="Times New Roman"/>
        </w:rPr>
        <w:t>To inform her report, the Independent Expert wishes to receive written contributions (max.1,500 words) from relevant stakeholders, including national and local governments, national and international non-governmental organizations, national human rights institutions, international and regional inter-governmental organizations, United Nations agencies and entities, activists, academics</w:t>
      </w:r>
      <w:r>
        <w:rPr>
          <w:rFonts w:ascii="Times New Roman" w:hAnsi="Times New Roman" w:cs="Times New Roman"/>
        </w:rPr>
        <w:t xml:space="preserve"> and older persons</w:t>
      </w:r>
      <w:r w:rsidRPr="001E355B">
        <w:rPr>
          <w:rFonts w:ascii="Times New Roman" w:hAnsi="Times New Roman" w:cs="Times New Roman"/>
        </w:rPr>
        <w:t xml:space="preserve">. </w:t>
      </w:r>
    </w:p>
    <w:p w:rsidR="008E2650" w:rsidRPr="001E355B" w:rsidRDefault="008E2650" w:rsidP="008E2650">
      <w:pPr>
        <w:jc w:val="both"/>
        <w:rPr>
          <w:rFonts w:ascii="Times New Roman" w:hAnsi="Times New Roman" w:cs="Times New Roman"/>
        </w:rPr>
      </w:pPr>
      <w:r>
        <w:rPr>
          <w:rFonts w:ascii="Times New Roman" w:hAnsi="Times New Roman" w:cs="Times New Roman"/>
        </w:rPr>
        <w:t>The Independent Expert</w:t>
      </w:r>
      <w:r w:rsidRPr="001E355B">
        <w:rPr>
          <w:rFonts w:ascii="Times New Roman" w:hAnsi="Times New Roman" w:cs="Times New Roman"/>
        </w:rPr>
        <w:t xml:space="preserve"> strongly encourages sharing concrete examples of good practices</w:t>
      </w:r>
      <w:r>
        <w:rPr>
          <w:rFonts w:ascii="Times New Roman" w:hAnsi="Times New Roman" w:cs="Times New Roman"/>
        </w:rPr>
        <w:t xml:space="preserve"> on how to eliminate violence, abuse and neglect against older persons</w:t>
      </w:r>
      <w:r w:rsidRPr="001E355B">
        <w:rPr>
          <w:rFonts w:ascii="Times New Roman" w:hAnsi="Times New Roman" w:cs="Times New Roman"/>
        </w:rPr>
        <w:t xml:space="preserve">. </w:t>
      </w:r>
    </w:p>
    <w:p w:rsidR="008E2650" w:rsidRDefault="00584275" w:rsidP="008E2650">
      <w:pPr>
        <w:jc w:val="both"/>
        <w:rPr>
          <w:rFonts w:ascii="Times New Roman" w:hAnsi="Times New Roman" w:cs="Times New Roman"/>
        </w:rPr>
      </w:pPr>
      <w:r>
        <w:rPr>
          <w:rFonts w:ascii="Times New Roman" w:hAnsi="Times New Roman" w:cs="Times New Roman"/>
        </w:rPr>
        <w:t>The Independent Expert</w:t>
      </w:r>
      <w:r w:rsidR="00EE0812">
        <w:rPr>
          <w:rFonts w:ascii="Times New Roman" w:hAnsi="Times New Roman" w:cs="Times New Roman"/>
        </w:rPr>
        <w:t xml:space="preserve"> kindly</w:t>
      </w:r>
      <w:r w:rsidR="008E2650" w:rsidRPr="001E355B">
        <w:rPr>
          <w:rFonts w:ascii="Times New Roman" w:hAnsi="Times New Roman" w:cs="Times New Roman"/>
        </w:rPr>
        <w:t xml:space="preserve"> invites all interested stakeholders to share their views and provide information on any or all the following issues:</w:t>
      </w:r>
    </w:p>
    <w:p w:rsidR="00A40C01" w:rsidRPr="001E355B" w:rsidRDefault="00A40C01" w:rsidP="008E2650">
      <w:pPr>
        <w:jc w:val="both"/>
        <w:rPr>
          <w:rFonts w:ascii="Times New Roman" w:eastAsia="Times New Roman" w:hAnsi="Times New Roman" w:cs="Times New Roman"/>
        </w:rPr>
      </w:pPr>
    </w:p>
    <w:p w:rsidR="00A11D13" w:rsidRDefault="00483E36" w:rsidP="00A11D13">
      <w:pPr>
        <w:pStyle w:val="ListParagraph"/>
        <w:numPr>
          <w:ilvl w:val="0"/>
          <w:numId w:val="3"/>
        </w:numPr>
        <w:jc w:val="both"/>
        <w:rPr>
          <w:rFonts w:ascii="Times New Roman" w:hAnsi="Times New Roman" w:cs="Times New Roman"/>
        </w:rPr>
      </w:pPr>
      <w:r w:rsidRPr="002C65C8">
        <w:rPr>
          <w:rFonts w:ascii="Times New Roman" w:hAnsi="Times New Roman" w:cs="Times New Roman"/>
          <w:b/>
          <w:bCs/>
        </w:rPr>
        <w:t>Legal, policy and institutional frameworks</w:t>
      </w:r>
      <w:r>
        <w:rPr>
          <w:rFonts w:ascii="Times New Roman" w:hAnsi="Times New Roman" w:cs="Times New Roman"/>
        </w:rPr>
        <w:t xml:space="preserve">: </w:t>
      </w:r>
      <w:r w:rsidR="00A22D5F">
        <w:rPr>
          <w:rFonts w:ascii="Times New Roman" w:hAnsi="Times New Roman" w:cs="Times New Roman"/>
        </w:rPr>
        <w:t xml:space="preserve">is there a non-discrimination law that prohibits discrimination based on age? </w:t>
      </w:r>
      <w:r w:rsidR="001E256B">
        <w:rPr>
          <w:rFonts w:ascii="Times New Roman" w:hAnsi="Times New Roman" w:cs="Times New Roman"/>
        </w:rPr>
        <w:t xml:space="preserve">Is there a legislation on violence against persons and/or domestic violence that </w:t>
      </w:r>
      <w:r w:rsidR="00E55527">
        <w:rPr>
          <w:rFonts w:ascii="Times New Roman" w:hAnsi="Times New Roman" w:cs="Times New Roman"/>
        </w:rPr>
        <w:t xml:space="preserve">includes violence, abuse and/or neglect of older persons? </w:t>
      </w:r>
      <w:r w:rsidR="00610DB7">
        <w:rPr>
          <w:rFonts w:ascii="Times New Roman" w:hAnsi="Times New Roman" w:cs="Times New Roman"/>
        </w:rPr>
        <w:t>Does the law establish a specialised independent bod</w:t>
      </w:r>
      <w:r w:rsidR="001E256B">
        <w:rPr>
          <w:rFonts w:ascii="Times New Roman" w:hAnsi="Times New Roman" w:cs="Times New Roman"/>
        </w:rPr>
        <w:t xml:space="preserve">y receiving complaints of discrimination based on age? </w:t>
      </w:r>
      <w:r w:rsidR="009558B8">
        <w:rPr>
          <w:rFonts w:ascii="Times New Roman" w:hAnsi="Times New Roman" w:cs="Times New Roman"/>
        </w:rPr>
        <w:t>Is there a national plan</w:t>
      </w:r>
      <w:r w:rsidR="00B777CE">
        <w:rPr>
          <w:rFonts w:ascii="Times New Roman" w:hAnsi="Times New Roman" w:cs="Times New Roman"/>
        </w:rPr>
        <w:t>,</w:t>
      </w:r>
      <w:r w:rsidR="009558B8">
        <w:rPr>
          <w:rFonts w:ascii="Times New Roman" w:hAnsi="Times New Roman" w:cs="Times New Roman"/>
        </w:rPr>
        <w:t xml:space="preserve"> policy </w:t>
      </w:r>
      <w:r w:rsidR="00B777CE">
        <w:rPr>
          <w:rFonts w:ascii="Times New Roman" w:hAnsi="Times New Roman" w:cs="Times New Roman"/>
        </w:rPr>
        <w:t xml:space="preserve">or strategy </w:t>
      </w:r>
      <w:r w:rsidR="009558B8">
        <w:rPr>
          <w:rFonts w:ascii="Times New Roman" w:hAnsi="Times New Roman" w:cs="Times New Roman"/>
        </w:rPr>
        <w:t xml:space="preserve">to address </w:t>
      </w:r>
      <w:r w:rsidR="00B777CE">
        <w:rPr>
          <w:rFonts w:ascii="Times New Roman" w:hAnsi="Times New Roman" w:cs="Times New Roman"/>
        </w:rPr>
        <w:t xml:space="preserve">violence against older persons, that is overseen by a national mechanism to monitor and implement it? </w:t>
      </w:r>
      <w:r w:rsidR="009E6106">
        <w:rPr>
          <w:rFonts w:ascii="Times New Roman" w:hAnsi="Times New Roman" w:cs="Times New Roman"/>
        </w:rPr>
        <w:t>Please provide detail</w:t>
      </w:r>
      <w:r w:rsidR="007D0FE7">
        <w:rPr>
          <w:rFonts w:ascii="Times New Roman" w:hAnsi="Times New Roman" w:cs="Times New Roman"/>
        </w:rPr>
        <w:t>ed information</w:t>
      </w:r>
      <w:r w:rsidR="009E6106">
        <w:rPr>
          <w:rFonts w:ascii="Times New Roman" w:hAnsi="Times New Roman" w:cs="Times New Roman"/>
        </w:rPr>
        <w:t xml:space="preserve"> and </w:t>
      </w:r>
      <w:r w:rsidR="007D0FE7">
        <w:rPr>
          <w:rFonts w:ascii="Times New Roman" w:hAnsi="Times New Roman" w:cs="Times New Roman"/>
        </w:rPr>
        <w:t xml:space="preserve">relevant </w:t>
      </w:r>
      <w:r w:rsidR="009E6106">
        <w:rPr>
          <w:rFonts w:ascii="Times New Roman" w:hAnsi="Times New Roman" w:cs="Times New Roman"/>
        </w:rPr>
        <w:t xml:space="preserve">documents, if </w:t>
      </w:r>
      <w:r w:rsidR="007D0FE7">
        <w:rPr>
          <w:rFonts w:ascii="Times New Roman" w:hAnsi="Times New Roman" w:cs="Times New Roman"/>
        </w:rPr>
        <w:t>applicable</w:t>
      </w:r>
      <w:r w:rsidR="009E6106">
        <w:rPr>
          <w:rFonts w:ascii="Times New Roman" w:hAnsi="Times New Roman" w:cs="Times New Roman"/>
        </w:rPr>
        <w:t xml:space="preserve">. </w:t>
      </w:r>
    </w:p>
    <w:p w:rsidR="001C635F" w:rsidRDefault="00291ED9" w:rsidP="00291ED9">
      <w:pPr>
        <w:jc w:val="both"/>
        <w:rPr>
          <w:rFonts w:ascii="Times New Roman" w:hAnsi="Times New Roman" w:cs="Times New Roman"/>
        </w:rPr>
      </w:pPr>
      <w:r>
        <w:rPr>
          <w:rFonts w:ascii="Times New Roman" w:hAnsi="Times New Roman" w:cs="Times New Roman"/>
        </w:rPr>
        <w:t xml:space="preserve">The umbrella piece of legislation is the Constitution of the Republic of Serbia that </w:t>
      </w:r>
      <w:r w:rsidR="000470AB">
        <w:rPr>
          <w:rFonts w:ascii="Times New Roman" w:hAnsi="Times New Roman" w:cs="Times New Roman"/>
        </w:rPr>
        <w:t xml:space="preserve">in its Article 21 </w:t>
      </w:r>
      <w:r>
        <w:rPr>
          <w:rFonts w:ascii="Times New Roman" w:hAnsi="Times New Roman" w:cs="Times New Roman"/>
        </w:rPr>
        <w:t>explicitly prohibits discrimination on several grounds, including age</w:t>
      </w:r>
      <w:r>
        <w:rPr>
          <w:rStyle w:val="FootnoteReference"/>
          <w:rFonts w:ascii="Times New Roman" w:hAnsi="Times New Roman" w:cs="Times New Roman"/>
        </w:rPr>
        <w:footnoteReference w:id="1"/>
      </w:r>
      <w:r>
        <w:rPr>
          <w:rFonts w:ascii="Times New Roman" w:hAnsi="Times New Roman" w:cs="Times New Roman"/>
        </w:rPr>
        <w:t>. The law on Pr</w:t>
      </w:r>
      <w:r w:rsidR="000470AB">
        <w:rPr>
          <w:rFonts w:ascii="Times New Roman" w:hAnsi="Times New Roman" w:cs="Times New Roman"/>
        </w:rPr>
        <w:t xml:space="preserve">ohibition of Discrimination explicitly lists age in among the grounds for discrimination </w:t>
      </w:r>
      <w:r w:rsidR="00D45C99">
        <w:rPr>
          <w:rFonts w:ascii="Times New Roman" w:hAnsi="Times New Roman" w:cs="Times New Roman"/>
        </w:rPr>
        <w:t>practices that are prohibited</w:t>
      </w:r>
      <w:r w:rsidR="00D45C99">
        <w:rPr>
          <w:rStyle w:val="FootnoteReference"/>
          <w:rFonts w:ascii="Times New Roman" w:hAnsi="Times New Roman" w:cs="Times New Roman"/>
        </w:rPr>
        <w:footnoteReference w:id="2"/>
      </w:r>
      <w:r w:rsidR="00D45C99">
        <w:rPr>
          <w:rFonts w:ascii="Times New Roman" w:hAnsi="Times New Roman" w:cs="Times New Roman"/>
        </w:rPr>
        <w:t>. The Commissioner for Protection of Equality acts as an</w:t>
      </w:r>
      <w:r w:rsidR="00D45C99" w:rsidRPr="00D45C99">
        <w:rPr>
          <w:rFonts w:ascii="Times New Roman" w:hAnsi="Times New Roman" w:cs="Times New Roman"/>
        </w:rPr>
        <w:t xml:space="preserve"> </w:t>
      </w:r>
      <w:r w:rsidR="00D45C99">
        <w:rPr>
          <w:rFonts w:ascii="Times New Roman" w:hAnsi="Times New Roman" w:cs="Times New Roman"/>
        </w:rPr>
        <w:t>independent body receiving complaints of discrimination based on age</w:t>
      </w:r>
      <w:r w:rsidR="001745AC">
        <w:rPr>
          <w:rFonts w:ascii="Times New Roman" w:hAnsi="Times New Roman" w:cs="Times New Roman"/>
        </w:rPr>
        <w:t xml:space="preserve"> </w:t>
      </w:r>
      <w:r w:rsidR="00D45C99">
        <w:rPr>
          <w:rFonts w:ascii="Times New Roman" w:hAnsi="Times New Roman" w:cs="Times New Roman"/>
        </w:rPr>
        <w:t xml:space="preserve">among other </w:t>
      </w:r>
      <w:r w:rsidR="001745AC">
        <w:rPr>
          <w:rFonts w:ascii="Times New Roman" w:hAnsi="Times New Roman" w:cs="Times New Roman"/>
        </w:rPr>
        <w:t>grounds for discrimination.</w:t>
      </w:r>
      <w:r w:rsidR="001745AC">
        <w:rPr>
          <w:rStyle w:val="FootnoteReference"/>
          <w:rFonts w:ascii="Times New Roman" w:hAnsi="Times New Roman" w:cs="Times New Roman"/>
        </w:rPr>
        <w:footnoteReference w:id="3"/>
      </w:r>
    </w:p>
    <w:p w:rsidR="001C635F" w:rsidRDefault="001C635F" w:rsidP="00AD7940">
      <w:pPr>
        <w:jc w:val="both"/>
        <w:rPr>
          <w:rFonts w:ascii="Times New Roman" w:hAnsi="Times New Roman" w:cs="Times New Roman"/>
          <w:lang w:val="en"/>
        </w:rPr>
      </w:pPr>
      <w:r>
        <w:rPr>
          <w:rFonts w:ascii="Times New Roman" w:hAnsi="Times New Roman" w:cs="Times New Roman"/>
        </w:rPr>
        <w:t xml:space="preserve">There is no specific national plan or strategy to address violence against older persons, however, the system for protection from violence in the family – as developed since 2002 </w:t>
      </w:r>
      <w:r w:rsidR="000455B8">
        <w:rPr>
          <w:rFonts w:ascii="Times New Roman" w:hAnsi="Times New Roman" w:cs="Times New Roman"/>
        </w:rPr>
        <w:t>–</w:t>
      </w:r>
      <w:r>
        <w:rPr>
          <w:rFonts w:ascii="Times New Roman" w:hAnsi="Times New Roman" w:cs="Times New Roman"/>
        </w:rPr>
        <w:t xml:space="preserve"> </w:t>
      </w:r>
      <w:r w:rsidR="000455B8">
        <w:rPr>
          <w:rFonts w:ascii="Times New Roman" w:hAnsi="Times New Roman" w:cs="Times New Roman"/>
        </w:rPr>
        <w:t xml:space="preserve">was significantly strengthened </w:t>
      </w:r>
      <w:r w:rsidR="000455B8" w:rsidRPr="000455B8">
        <w:rPr>
          <w:rFonts w:ascii="Times New Roman" w:hAnsi="Times New Roman" w:cs="Times New Roman"/>
        </w:rPr>
        <w:t>with the adoption of the Law on Prevention</w:t>
      </w:r>
      <w:r w:rsidR="000455B8">
        <w:rPr>
          <w:rFonts w:ascii="Times New Roman" w:hAnsi="Times New Roman" w:cs="Times New Roman"/>
        </w:rPr>
        <w:t xml:space="preserve"> </w:t>
      </w:r>
      <w:r w:rsidR="000455B8" w:rsidRPr="000455B8">
        <w:rPr>
          <w:rFonts w:ascii="Times New Roman" w:hAnsi="Times New Roman" w:cs="Times New Roman"/>
        </w:rPr>
        <w:t xml:space="preserve">of </w:t>
      </w:r>
      <w:r w:rsidR="000455B8">
        <w:rPr>
          <w:rFonts w:ascii="Times New Roman" w:hAnsi="Times New Roman" w:cs="Times New Roman"/>
        </w:rPr>
        <w:t>V</w:t>
      </w:r>
      <w:r w:rsidR="000455B8" w:rsidRPr="000455B8">
        <w:rPr>
          <w:rFonts w:ascii="Times New Roman" w:hAnsi="Times New Roman" w:cs="Times New Roman"/>
        </w:rPr>
        <w:t>iolence</w:t>
      </w:r>
      <w:r w:rsidR="000455B8">
        <w:rPr>
          <w:rFonts w:ascii="Times New Roman" w:hAnsi="Times New Roman" w:cs="Times New Roman"/>
        </w:rPr>
        <w:t xml:space="preserve"> in the Family</w:t>
      </w:r>
      <w:r w:rsidR="000455B8" w:rsidRPr="000455B8">
        <w:rPr>
          <w:rFonts w:ascii="Times New Roman" w:hAnsi="Times New Roman" w:cs="Times New Roman"/>
        </w:rPr>
        <w:t xml:space="preserve">, which expanded the rights and obligations of institutions to </w:t>
      </w:r>
      <w:r w:rsidR="000455B8">
        <w:rPr>
          <w:rFonts w:ascii="Times New Roman" w:hAnsi="Times New Roman" w:cs="Times New Roman"/>
        </w:rPr>
        <w:t xml:space="preserve">a large </w:t>
      </w:r>
      <w:r w:rsidR="000455B8" w:rsidRPr="000455B8">
        <w:rPr>
          <w:rFonts w:ascii="Times New Roman" w:hAnsi="Times New Roman" w:cs="Times New Roman"/>
        </w:rPr>
        <w:t>extent</w:t>
      </w:r>
      <w:r w:rsidR="000455B8">
        <w:rPr>
          <w:rFonts w:ascii="Times New Roman" w:hAnsi="Times New Roman" w:cs="Times New Roman"/>
        </w:rPr>
        <w:t xml:space="preserve"> </w:t>
      </w:r>
      <w:r w:rsidR="000455B8" w:rsidRPr="000455B8">
        <w:rPr>
          <w:rFonts w:ascii="Times New Roman" w:hAnsi="Times New Roman" w:cs="Times New Roman"/>
        </w:rPr>
        <w:t xml:space="preserve">in the prevention of domestic violence and </w:t>
      </w:r>
      <w:r w:rsidR="000455B8" w:rsidRPr="000455B8">
        <w:rPr>
          <w:rFonts w:ascii="Times New Roman" w:hAnsi="Times New Roman" w:cs="Times New Roman"/>
        </w:rPr>
        <w:lastRenderedPageBreak/>
        <w:t xml:space="preserve">established mechanisms </w:t>
      </w:r>
      <w:r w:rsidR="000455B8">
        <w:rPr>
          <w:rFonts w:ascii="Times New Roman" w:hAnsi="Times New Roman" w:cs="Times New Roman"/>
        </w:rPr>
        <w:t xml:space="preserve">with a view of reaching </w:t>
      </w:r>
      <w:r w:rsidR="000455B8" w:rsidRPr="000455B8">
        <w:rPr>
          <w:rFonts w:ascii="Times New Roman" w:hAnsi="Times New Roman" w:cs="Times New Roman"/>
        </w:rPr>
        <w:t>zero tolerance for violence in the family</w:t>
      </w:r>
      <w:r w:rsidR="00350E26">
        <w:rPr>
          <w:rFonts w:ascii="Times New Roman" w:hAnsi="Times New Roman" w:cs="Times New Roman"/>
        </w:rPr>
        <w:t>.</w:t>
      </w:r>
      <w:r w:rsidR="00350E26">
        <w:rPr>
          <w:rStyle w:val="FootnoteReference"/>
          <w:rFonts w:ascii="Times New Roman" w:hAnsi="Times New Roman" w:cs="Times New Roman"/>
        </w:rPr>
        <w:footnoteReference w:id="4"/>
      </w:r>
      <w:r w:rsidR="000455B8">
        <w:rPr>
          <w:rFonts w:ascii="Times New Roman" w:hAnsi="Times New Roman" w:cs="Times New Roman"/>
        </w:rPr>
        <w:t xml:space="preserve"> </w:t>
      </w:r>
      <w:r w:rsidR="00350E26">
        <w:rPr>
          <w:rFonts w:ascii="Times New Roman" w:hAnsi="Times New Roman" w:cs="Times New Roman"/>
        </w:rPr>
        <w:t xml:space="preserve">This law is </w:t>
      </w:r>
      <w:r w:rsidR="00350E26" w:rsidRPr="00350E26">
        <w:rPr>
          <w:rFonts w:ascii="Times New Roman" w:hAnsi="Times New Roman" w:cs="Times New Roman"/>
        </w:rPr>
        <w:t>based on the pre-crime concept</w:t>
      </w:r>
      <w:r w:rsidR="00350E26">
        <w:rPr>
          <w:rFonts w:ascii="Times New Roman" w:hAnsi="Times New Roman" w:cs="Times New Roman"/>
        </w:rPr>
        <w:t xml:space="preserve"> </w:t>
      </w:r>
      <w:r w:rsidR="00350E26" w:rsidRPr="00350E26">
        <w:rPr>
          <w:rFonts w:ascii="Times New Roman" w:hAnsi="Times New Roman" w:cs="Times New Roman"/>
        </w:rPr>
        <w:t xml:space="preserve">which gives the competent authorities wider competences and the possibility of </w:t>
      </w:r>
      <w:r w:rsidR="007939F5">
        <w:rPr>
          <w:rFonts w:ascii="Times New Roman" w:hAnsi="Times New Roman" w:cs="Times New Roman"/>
        </w:rPr>
        <w:t>acting to prevent</w:t>
      </w:r>
      <w:r w:rsidR="00350E26" w:rsidRPr="00350E26">
        <w:rPr>
          <w:rFonts w:ascii="Times New Roman" w:hAnsi="Times New Roman" w:cs="Times New Roman"/>
        </w:rPr>
        <w:t xml:space="preserve"> crimes that have not yet been committed</w:t>
      </w:r>
      <w:r w:rsidR="007939F5">
        <w:rPr>
          <w:rFonts w:ascii="Times New Roman" w:hAnsi="Times New Roman" w:cs="Times New Roman"/>
        </w:rPr>
        <w:t xml:space="preserve">. </w:t>
      </w:r>
      <w:r w:rsidR="007939F5" w:rsidRPr="007939F5">
        <w:rPr>
          <w:rFonts w:ascii="Times New Roman" w:hAnsi="Times New Roman" w:cs="Times New Roman"/>
        </w:rPr>
        <w:t xml:space="preserve">One of the most significant </w:t>
      </w:r>
      <w:r w:rsidR="00CC094A">
        <w:rPr>
          <w:rFonts w:ascii="Times New Roman" w:hAnsi="Times New Roman" w:cs="Times New Roman"/>
        </w:rPr>
        <w:t xml:space="preserve">stipulations </w:t>
      </w:r>
      <w:r w:rsidR="007939F5" w:rsidRPr="007939F5">
        <w:rPr>
          <w:rFonts w:ascii="Times New Roman" w:hAnsi="Times New Roman" w:cs="Times New Roman"/>
        </w:rPr>
        <w:t xml:space="preserve">of </w:t>
      </w:r>
      <w:r w:rsidR="00CC094A">
        <w:rPr>
          <w:rFonts w:ascii="Times New Roman" w:hAnsi="Times New Roman" w:cs="Times New Roman"/>
        </w:rPr>
        <w:t xml:space="preserve">this </w:t>
      </w:r>
      <w:r w:rsidR="007939F5" w:rsidRPr="007939F5">
        <w:rPr>
          <w:rFonts w:ascii="Times New Roman" w:hAnsi="Times New Roman" w:cs="Times New Roman"/>
        </w:rPr>
        <w:t>law is that it establishe</w:t>
      </w:r>
      <w:r w:rsidR="00CC094A">
        <w:rPr>
          <w:rFonts w:ascii="Times New Roman" w:hAnsi="Times New Roman" w:cs="Times New Roman"/>
        </w:rPr>
        <w:t xml:space="preserve">s </w:t>
      </w:r>
      <w:r w:rsidR="007939F5" w:rsidRPr="007939F5">
        <w:rPr>
          <w:rFonts w:ascii="Times New Roman" w:hAnsi="Times New Roman" w:cs="Times New Roman"/>
        </w:rPr>
        <w:t xml:space="preserve">emergency measures, which are imposed by the police whenever the risk </w:t>
      </w:r>
      <w:r w:rsidR="00CC094A">
        <w:rPr>
          <w:rFonts w:ascii="Times New Roman" w:hAnsi="Times New Roman" w:cs="Times New Roman"/>
        </w:rPr>
        <w:t xml:space="preserve">assessment </w:t>
      </w:r>
      <w:r w:rsidR="007939F5" w:rsidRPr="007939F5">
        <w:rPr>
          <w:rFonts w:ascii="Times New Roman" w:hAnsi="Times New Roman" w:cs="Times New Roman"/>
        </w:rPr>
        <w:t>determine</w:t>
      </w:r>
      <w:r w:rsidR="00CC094A">
        <w:rPr>
          <w:rFonts w:ascii="Times New Roman" w:hAnsi="Times New Roman" w:cs="Times New Roman"/>
        </w:rPr>
        <w:t>s</w:t>
      </w:r>
      <w:r w:rsidR="007939F5" w:rsidRPr="007939F5">
        <w:rPr>
          <w:rFonts w:ascii="Times New Roman" w:hAnsi="Times New Roman" w:cs="Times New Roman"/>
        </w:rPr>
        <w:t xml:space="preserve"> the existence of an immediate danger of domestic violence, even before it has been committed, and in order to prevent it</w:t>
      </w:r>
      <w:r w:rsidR="00CC094A">
        <w:rPr>
          <w:rFonts w:ascii="Times New Roman" w:hAnsi="Times New Roman" w:cs="Times New Roman"/>
        </w:rPr>
        <w:t xml:space="preserve">. This is in contrast with </w:t>
      </w:r>
      <w:r w:rsidR="007939F5" w:rsidRPr="007939F5">
        <w:rPr>
          <w:rFonts w:ascii="Times New Roman" w:hAnsi="Times New Roman" w:cs="Times New Roman"/>
        </w:rPr>
        <w:t>the mechanisms</w:t>
      </w:r>
      <w:r w:rsidR="00CC094A">
        <w:rPr>
          <w:rFonts w:ascii="Times New Roman" w:hAnsi="Times New Roman" w:cs="Times New Roman"/>
        </w:rPr>
        <w:t xml:space="preserve"> of the C</w:t>
      </w:r>
      <w:r w:rsidR="007939F5" w:rsidRPr="007939F5">
        <w:rPr>
          <w:rFonts w:ascii="Times New Roman" w:hAnsi="Times New Roman" w:cs="Times New Roman"/>
        </w:rPr>
        <w:t xml:space="preserve">riminal </w:t>
      </w:r>
      <w:r w:rsidR="00CC094A">
        <w:rPr>
          <w:rFonts w:ascii="Times New Roman" w:hAnsi="Times New Roman" w:cs="Times New Roman"/>
        </w:rPr>
        <w:t>L</w:t>
      </w:r>
      <w:r w:rsidR="007939F5" w:rsidRPr="007939F5">
        <w:rPr>
          <w:rFonts w:ascii="Times New Roman" w:hAnsi="Times New Roman" w:cs="Times New Roman"/>
        </w:rPr>
        <w:t xml:space="preserve">aw and </w:t>
      </w:r>
      <w:r w:rsidR="00CC094A">
        <w:rPr>
          <w:rFonts w:ascii="Times New Roman" w:hAnsi="Times New Roman" w:cs="Times New Roman"/>
        </w:rPr>
        <w:t>F</w:t>
      </w:r>
      <w:r w:rsidR="007939F5" w:rsidRPr="007939F5">
        <w:rPr>
          <w:rFonts w:ascii="Times New Roman" w:hAnsi="Times New Roman" w:cs="Times New Roman"/>
        </w:rPr>
        <w:t xml:space="preserve">amily </w:t>
      </w:r>
      <w:r w:rsidR="00CC094A">
        <w:rPr>
          <w:rFonts w:ascii="Times New Roman" w:hAnsi="Times New Roman" w:cs="Times New Roman"/>
        </w:rPr>
        <w:t>L</w:t>
      </w:r>
      <w:r w:rsidR="007939F5" w:rsidRPr="007939F5">
        <w:rPr>
          <w:rFonts w:ascii="Times New Roman" w:hAnsi="Times New Roman" w:cs="Times New Roman"/>
        </w:rPr>
        <w:t>aw protections that can be activated only after</w:t>
      </w:r>
      <w:r w:rsidR="00CC094A">
        <w:rPr>
          <w:rFonts w:ascii="Times New Roman" w:hAnsi="Times New Roman" w:cs="Times New Roman"/>
        </w:rPr>
        <w:t xml:space="preserve"> </w:t>
      </w:r>
      <w:r w:rsidR="007939F5" w:rsidRPr="007939F5">
        <w:rPr>
          <w:rFonts w:ascii="Times New Roman" w:hAnsi="Times New Roman" w:cs="Times New Roman"/>
        </w:rPr>
        <w:t>violence</w:t>
      </w:r>
      <w:r w:rsidR="00CC094A">
        <w:rPr>
          <w:rFonts w:ascii="Times New Roman" w:hAnsi="Times New Roman" w:cs="Times New Roman"/>
        </w:rPr>
        <w:t xml:space="preserve"> has been committed</w:t>
      </w:r>
      <w:r w:rsidR="007939F5" w:rsidRPr="007939F5">
        <w:rPr>
          <w:rFonts w:ascii="Times New Roman" w:hAnsi="Times New Roman" w:cs="Times New Roman"/>
        </w:rPr>
        <w:t>, in order to stop it and prevent it from happening again</w:t>
      </w:r>
      <w:r w:rsidR="00CC094A">
        <w:rPr>
          <w:rFonts w:ascii="Times New Roman" w:hAnsi="Times New Roman" w:cs="Times New Roman"/>
        </w:rPr>
        <w:t xml:space="preserve">. </w:t>
      </w:r>
      <w:r w:rsidR="00CC094A" w:rsidRPr="00CC094A">
        <w:rPr>
          <w:rFonts w:ascii="Times New Roman" w:hAnsi="Times New Roman" w:cs="Times New Roman"/>
        </w:rPr>
        <w:t>In this way, protection against domestic violence is carried out even before it happens</w:t>
      </w:r>
      <w:r w:rsidR="003557B5">
        <w:rPr>
          <w:rFonts w:ascii="Times New Roman" w:hAnsi="Times New Roman" w:cs="Times New Roman"/>
        </w:rPr>
        <w:t xml:space="preserve"> through </w:t>
      </w:r>
      <w:r w:rsidR="00CC094A" w:rsidRPr="00CC094A">
        <w:rPr>
          <w:rFonts w:ascii="Times New Roman" w:hAnsi="Times New Roman" w:cs="Times New Roman"/>
        </w:rPr>
        <w:t>preventive action of institutions.</w:t>
      </w:r>
      <w:r w:rsidR="003557B5">
        <w:rPr>
          <w:rFonts w:ascii="Times New Roman" w:hAnsi="Times New Roman" w:cs="Times New Roman"/>
        </w:rPr>
        <w:t xml:space="preserve"> </w:t>
      </w:r>
      <w:r w:rsidR="00CC094A" w:rsidRPr="00CC094A">
        <w:rPr>
          <w:rFonts w:ascii="Times New Roman" w:hAnsi="Times New Roman" w:cs="Times New Roman"/>
        </w:rPr>
        <w:t xml:space="preserve">That is why this law stipulates the </w:t>
      </w:r>
      <w:r w:rsidR="003557B5">
        <w:rPr>
          <w:rFonts w:ascii="Times New Roman" w:hAnsi="Times New Roman" w:cs="Times New Roman"/>
        </w:rPr>
        <w:t xml:space="preserve">obligation of all state bodies and </w:t>
      </w:r>
      <w:r w:rsidR="00CC094A" w:rsidRPr="00CC094A">
        <w:rPr>
          <w:rFonts w:ascii="Times New Roman" w:hAnsi="Times New Roman" w:cs="Times New Roman"/>
        </w:rPr>
        <w:t>institution</w:t>
      </w:r>
      <w:r w:rsidR="003557B5">
        <w:rPr>
          <w:rFonts w:ascii="Times New Roman" w:hAnsi="Times New Roman" w:cs="Times New Roman"/>
        </w:rPr>
        <w:t>s</w:t>
      </w:r>
      <w:r w:rsidR="00CC094A" w:rsidRPr="00CC094A">
        <w:rPr>
          <w:rFonts w:ascii="Times New Roman" w:hAnsi="Times New Roman" w:cs="Times New Roman"/>
        </w:rPr>
        <w:t xml:space="preserve"> to recognize and report violence</w:t>
      </w:r>
      <w:r w:rsidR="003557B5">
        <w:rPr>
          <w:rFonts w:ascii="Times New Roman" w:hAnsi="Times New Roman" w:cs="Times New Roman"/>
        </w:rPr>
        <w:t xml:space="preserve">/ </w:t>
      </w:r>
      <w:r w:rsidR="00CC094A" w:rsidRPr="00CC094A">
        <w:rPr>
          <w:rFonts w:ascii="Times New Roman" w:hAnsi="Times New Roman" w:cs="Times New Roman"/>
        </w:rPr>
        <w:t>the risk of violence,</w:t>
      </w:r>
      <w:r w:rsidR="003557B5">
        <w:rPr>
          <w:rFonts w:ascii="Times New Roman" w:hAnsi="Times New Roman" w:cs="Times New Roman"/>
        </w:rPr>
        <w:t xml:space="preserve"> </w:t>
      </w:r>
      <w:r w:rsidR="00CC094A" w:rsidRPr="00CC094A">
        <w:rPr>
          <w:rFonts w:ascii="Times New Roman" w:hAnsi="Times New Roman" w:cs="Times New Roman"/>
        </w:rPr>
        <w:t xml:space="preserve">as well as to take all the measures within their jurisdiction </w:t>
      </w:r>
      <w:r w:rsidR="00DF5467">
        <w:rPr>
          <w:rFonts w:ascii="Times New Roman" w:hAnsi="Times New Roman" w:cs="Times New Roman"/>
        </w:rPr>
        <w:t>to prevent the violence, and provide</w:t>
      </w:r>
      <w:r w:rsidR="00CC094A" w:rsidRPr="00CC094A">
        <w:rPr>
          <w:rFonts w:ascii="Times New Roman" w:hAnsi="Times New Roman" w:cs="Times New Roman"/>
        </w:rPr>
        <w:t xml:space="preserve"> the victim with all the necessary help and support.</w:t>
      </w:r>
      <w:r w:rsidR="00DF5467">
        <w:rPr>
          <w:rFonts w:ascii="Times New Roman" w:hAnsi="Times New Roman" w:cs="Times New Roman"/>
        </w:rPr>
        <w:t xml:space="preserve"> </w:t>
      </w:r>
      <w:r w:rsidR="00DF5467">
        <w:rPr>
          <w:rFonts w:ascii="Times New Roman" w:hAnsi="Times New Roman" w:cs="Times New Roman"/>
          <w:lang w:val="en"/>
        </w:rPr>
        <w:t xml:space="preserve">This law also aims to </w:t>
      </w:r>
      <w:r w:rsidR="00DF5467" w:rsidRPr="00DF5467">
        <w:rPr>
          <w:rFonts w:ascii="Times New Roman" w:hAnsi="Times New Roman" w:cs="Times New Roman"/>
          <w:lang w:val="en"/>
        </w:rPr>
        <w:t>regulate the actions of state bodies and institutions</w:t>
      </w:r>
      <w:r w:rsidR="006837E0" w:rsidRPr="006837E0">
        <w:rPr>
          <w:rFonts w:ascii="Times New Roman" w:hAnsi="Times New Roman" w:cs="Times New Roman"/>
          <w:lang w:val="en"/>
        </w:rPr>
        <w:t xml:space="preserve"> </w:t>
      </w:r>
      <w:r w:rsidR="006837E0" w:rsidRPr="00DF5467">
        <w:rPr>
          <w:rFonts w:ascii="Times New Roman" w:hAnsi="Times New Roman" w:cs="Times New Roman"/>
          <w:lang w:val="en"/>
        </w:rPr>
        <w:t>uniform way</w:t>
      </w:r>
      <w:r w:rsidR="00DF5467" w:rsidRPr="00DF5467">
        <w:rPr>
          <w:rFonts w:ascii="Times New Roman" w:hAnsi="Times New Roman" w:cs="Times New Roman"/>
          <w:lang w:val="en"/>
        </w:rPr>
        <w:t xml:space="preserve">, which </w:t>
      </w:r>
      <w:r w:rsidR="006837E0">
        <w:rPr>
          <w:rFonts w:ascii="Times New Roman" w:hAnsi="Times New Roman" w:cs="Times New Roman"/>
          <w:lang w:val="en"/>
        </w:rPr>
        <w:t xml:space="preserve">helps </w:t>
      </w:r>
      <w:r w:rsidR="00DF5467" w:rsidRPr="00DF5467">
        <w:rPr>
          <w:rFonts w:ascii="Times New Roman" w:hAnsi="Times New Roman" w:cs="Times New Roman"/>
          <w:lang w:val="en"/>
        </w:rPr>
        <w:t>overcome</w:t>
      </w:r>
      <w:r w:rsidR="006837E0">
        <w:rPr>
          <w:rFonts w:ascii="Times New Roman" w:hAnsi="Times New Roman" w:cs="Times New Roman"/>
          <w:lang w:val="en"/>
        </w:rPr>
        <w:t xml:space="preserve"> </w:t>
      </w:r>
      <w:r w:rsidR="00DF5467" w:rsidRPr="00DF5467">
        <w:rPr>
          <w:rFonts w:ascii="Times New Roman" w:hAnsi="Times New Roman" w:cs="Times New Roman"/>
          <w:lang w:val="en"/>
        </w:rPr>
        <w:t xml:space="preserve">sectoral, isolated and </w:t>
      </w:r>
      <w:r w:rsidR="006837E0">
        <w:rPr>
          <w:rFonts w:ascii="Times New Roman" w:hAnsi="Times New Roman" w:cs="Times New Roman"/>
          <w:lang w:val="en"/>
        </w:rPr>
        <w:t>disconnected</w:t>
      </w:r>
      <w:r w:rsidR="00DF5467" w:rsidRPr="00DF5467">
        <w:rPr>
          <w:rFonts w:ascii="Times New Roman" w:hAnsi="Times New Roman" w:cs="Times New Roman"/>
          <w:lang w:val="en"/>
        </w:rPr>
        <w:t xml:space="preserve"> approach to the problem </w:t>
      </w:r>
      <w:r w:rsidR="006837E0">
        <w:rPr>
          <w:rFonts w:ascii="Times New Roman" w:hAnsi="Times New Roman" w:cs="Times New Roman"/>
          <w:lang w:val="en"/>
        </w:rPr>
        <w:t xml:space="preserve">of </w:t>
      </w:r>
      <w:r w:rsidR="00DF5467" w:rsidRPr="00DF5467">
        <w:rPr>
          <w:rFonts w:ascii="Times New Roman" w:hAnsi="Times New Roman" w:cs="Times New Roman"/>
          <w:lang w:val="en"/>
        </w:rPr>
        <w:t xml:space="preserve">violence and thus enable its effective prevention, as well as </w:t>
      </w:r>
      <w:r w:rsidR="006837E0">
        <w:rPr>
          <w:rFonts w:ascii="Times New Roman" w:hAnsi="Times New Roman" w:cs="Times New Roman"/>
          <w:lang w:val="en"/>
        </w:rPr>
        <w:t>urgent</w:t>
      </w:r>
      <w:r w:rsidR="00DF5467" w:rsidRPr="00DF5467">
        <w:rPr>
          <w:rFonts w:ascii="Times New Roman" w:hAnsi="Times New Roman" w:cs="Times New Roman"/>
          <w:lang w:val="en"/>
        </w:rPr>
        <w:t>,</w:t>
      </w:r>
      <w:r w:rsidR="006837E0">
        <w:rPr>
          <w:rFonts w:ascii="Times New Roman" w:hAnsi="Times New Roman" w:cs="Times New Roman"/>
          <w:lang w:val="en"/>
        </w:rPr>
        <w:t xml:space="preserve"> </w:t>
      </w:r>
      <w:r w:rsidR="00DF5467" w:rsidRPr="00DF5467">
        <w:rPr>
          <w:rFonts w:ascii="Times New Roman" w:hAnsi="Times New Roman" w:cs="Times New Roman"/>
          <w:lang w:val="en"/>
        </w:rPr>
        <w:t xml:space="preserve">timely and effective protection and support for victims of domestic violence. </w:t>
      </w:r>
      <w:r w:rsidR="00AD7940" w:rsidRPr="00AD7940">
        <w:rPr>
          <w:rFonts w:ascii="Times New Roman" w:hAnsi="Times New Roman" w:cs="Times New Roman"/>
          <w:lang w:val="en"/>
        </w:rPr>
        <w:t>In this way, the goal of the unified regulation of the organization and procedure was practically defined - the establishment of multisectoral cooperation, which is provided for in the General Protocol on the Procedure and Cooperation of Institutions, Authorities and Organizations in Situations of Violence Against Women in the Family and in Partner Relationships</w:t>
      </w:r>
      <w:r w:rsidR="00AD7940">
        <w:rPr>
          <w:rFonts w:ascii="Times New Roman" w:hAnsi="Times New Roman" w:cs="Times New Roman"/>
          <w:lang w:val="en"/>
        </w:rPr>
        <w:t>. While not explicitly aiming to protect older persons, it provides the institutions with ample means to identify, respond to and prevent elder abuse in family settings.</w:t>
      </w:r>
      <w:r w:rsidR="00955C23">
        <w:rPr>
          <w:rStyle w:val="FootnoteReference"/>
          <w:rFonts w:ascii="Times New Roman" w:hAnsi="Times New Roman" w:cs="Times New Roman"/>
          <w:lang w:val="en"/>
        </w:rPr>
        <w:footnoteReference w:id="5"/>
      </w:r>
      <w:r w:rsidR="00AD7940">
        <w:rPr>
          <w:rFonts w:ascii="Times New Roman" w:hAnsi="Times New Roman" w:cs="Times New Roman"/>
          <w:lang w:val="en"/>
        </w:rPr>
        <w:t xml:space="preserve"> </w:t>
      </w:r>
    </w:p>
    <w:p w:rsidR="00A40C01" w:rsidRPr="00A40C01" w:rsidRDefault="00A40C01" w:rsidP="00AD7940">
      <w:pPr>
        <w:jc w:val="both"/>
        <w:rPr>
          <w:rFonts w:ascii="Times New Roman" w:hAnsi="Times New Roman" w:cs="Times New Roman"/>
          <w:lang w:val="en-US"/>
        </w:rPr>
      </w:pPr>
    </w:p>
    <w:p w:rsidR="00412ADE" w:rsidRDefault="00412ADE" w:rsidP="00412ADE">
      <w:pPr>
        <w:pStyle w:val="ListParagraph"/>
        <w:jc w:val="both"/>
        <w:rPr>
          <w:rFonts w:ascii="Times New Roman" w:hAnsi="Times New Roman" w:cs="Times New Roman"/>
        </w:rPr>
      </w:pPr>
    </w:p>
    <w:p w:rsidR="00B53C09" w:rsidRDefault="007D0FE7" w:rsidP="009E6106">
      <w:pPr>
        <w:pStyle w:val="ListParagraph"/>
        <w:numPr>
          <w:ilvl w:val="0"/>
          <w:numId w:val="3"/>
        </w:numPr>
        <w:jc w:val="both"/>
        <w:rPr>
          <w:rFonts w:ascii="Times New Roman" w:hAnsi="Times New Roman" w:cs="Times New Roman"/>
        </w:rPr>
      </w:pPr>
      <w:r w:rsidRPr="002C65C8">
        <w:rPr>
          <w:rFonts w:ascii="Times New Roman" w:hAnsi="Times New Roman" w:cs="Times New Roman"/>
          <w:b/>
          <w:bCs/>
        </w:rPr>
        <w:t>Manifestations of violence</w:t>
      </w:r>
      <w:r w:rsidR="00412ADE">
        <w:rPr>
          <w:rFonts w:ascii="Times New Roman" w:hAnsi="Times New Roman" w:cs="Times New Roman"/>
        </w:rPr>
        <w:t xml:space="preserve">: what forms of violence, abuse and neglect </w:t>
      </w:r>
      <w:r w:rsidR="008138B5">
        <w:rPr>
          <w:rFonts w:ascii="Times New Roman" w:hAnsi="Times New Roman" w:cs="Times New Roman"/>
        </w:rPr>
        <w:t>are older persons facing?</w:t>
      </w:r>
      <w:r w:rsidR="006C23D8">
        <w:rPr>
          <w:rFonts w:ascii="Times New Roman" w:hAnsi="Times New Roman" w:cs="Times New Roman"/>
        </w:rPr>
        <w:t xml:space="preserve"> In which settings does it happen?</w:t>
      </w:r>
      <w:r w:rsidR="008138B5">
        <w:rPr>
          <w:rFonts w:ascii="Times New Roman" w:hAnsi="Times New Roman" w:cs="Times New Roman"/>
        </w:rPr>
        <w:t xml:space="preserve"> Please provide detailed information</w:t>
      </w:r>
      <w:r w:rsidR="00B53C09">
        <w:rPr>
          <w:rFonts w:ascii="Times New Roman" w:hAnsi="Times New Roman" w:cs="Times New Roman"/>
        </w:rPr>
        <w:t>.</w:t>
      </w:r>
    </w:p>
    <w:p w:rsidR="00D72E0D" w:rsidRDefault="00D734A6" w:rsidP="00AE03C1">
      <w:pPr>
        <w:jc w:val="both"/>
        <w:rPr>
          <w:rFonts w:ascii="Times New Roman" w:hAnsi="Times New Roman" w:cs="Times New Roman"/>
        </w:rPr>
      </w:pPr>
      <w:r>
        <w:rPr>
          <w:rFonts w:ascii="Times New Roman" w:hAnsi="Times New Roman" w:cs="Times New Roman"/>
        </w:rPr>
        <w:t xml:space="preserve">The </w:t>
      </w:r>
      <w:r w:rsidR="0030679F">
        <w:rPr>
          <w:rFonts w:ascii="Times New Roman" w:hAnsi="Times New Roman" w:cs="Times New Roman"/>
        </w:rPr>
        <w:t xml:space="preserve">2015 </w:t>
      </w:r>
      <w:r w:rsidR="00B32402">
        <w:rPr>
          <w:rFonts w:ascii="Times New Roman" w:hAnsi="Times New Roman" w:cs="Times New Roman"/>
        </w:rPr>
        <w:t>research implemented by the R</w:t>
      </w:r>
      <w:r>
        <w:rPr>
          <w:rFonts w:ascii="Times New Roman" w:hAnsi="Times New Roman" w:cs="Times New Roman"/>
        </w:rPr>
        <w:t>ed Cross of Serbia shows that 11.5% of older persons report being exposed to financial abuse, 7.8% report psychological abuse, 3.9% physical abuse, 3.4% report neglect while no respondents reported sexual abuse, 50% of them declining to answer this question</w:t>
      </w:r>
      <w:r w:rsidR="0030679F">
        <w:rPr>
          <w:rStyle w:val="FootnoteReference"/>
          <w:rFonts w:ascii="Times New Roman" w:hAnsi="Times New Roman" w:cs="Times New Roman"/>
        </w:rPr>
        <w:footnoteReference w:id="6"/>
      </w:r>
      <w:r>
        <w:rPr>
          <w:rFonts w:ascii="Times New Roman" w:hAnsi="Times New Roman" w:cs="Times New Roman"/>
        </w:rPr>
        <w:t xml:space="preserve">. </w:t>
      </w:r>
    </w:p>
    <w:p w:rsidR="00A40C01" w:rsidRDefault="0030679F" w:rsidP="00AE03C1">
      <w:pPr>
        <w:jc w:val="both"/>
        <w:rPr>
          <w:rFonts w:ascii="Times New Roman" w:hAnsi="Times New Roman" w:cs="Times New Roman"/>
        </w:rPr>
      </w:pPr>
      <w:r>
        <w:rPr>
          <w:rFonts w:ascii="Times New Roman" w:hAnsi="Times New Roman" w:cs="Times New Roman"/>
        </w:rPr>
        <w:t xml:space="preserve">A more recent research with 2018 data, focusing on older women shows that </w:t>
      </w:r>
      <w:r w:rsidR="00AE3634" w:rsidRPr="00AE3634">
        <w:rPr>
          <w:rFonts w:ascii="Times New Roman" w:hAnsi="Times New Roman" w:cs="Times New Roman"/>
        </w:rPr>
        <w:t>16% of older women aged 65 to 74 experienced some form of violence after reaching the age of 65.</w:t>
      </w:r>
      <w:r w:rsidR="00AE3634">
        <w:rPr>
          <w:rFonts w:ascii="Times New Roman" w:hAnsi="Times New Roman" w:cs="Times New Roman"/>
        </w:rPr>
        <w:t xml:space="preserve"> T</w:t>
      </w:r>
      <w:r w:rsidR="005B32D5" w:rsidRPr="0030679F">
        <w:rPr>
          <w:rFonts w:ascii="Times New Roman" w:hAnsi="Times New Roman" w:cs="Times New Roman"/>
        </w:rPr>
        <w:t>he most prevalent form is psychological violence, which was experienced by 38% of women over the age of 15 and 7% of women during the last 12 months (after turning 65).</w:t>
      </w:r>
      <w:r w:rsidR="005B32D5">
        <w:rPr>
          <w:rFonts w:ascii="Times New Roman" w:hAnsi="Times New Roman" w:cs="Times New Roman"/>
        </w:rPr>
        <w:t xml:space="preserve"> </w:t>
      </w:r>
      <w:r w:rsidRPr="0030679F">
        <w:rPr>
          <w:rFonts w:ascii="Times New Roman" w:hAnsi="Times New Roman" w:cs="Times New Roman"/>
        </w:rPr>
        <w:t>Since turning 15, 40% of women have experienced some form of violence by their current or former partner, while in the previous 12 months (after reaching the age of 65), 7.7% of women have had that experience.</w:t>
      </w:r>
      <w:r w:rsidR="005108FE">
        <w:rPr>
          <w:rStyle w:val="FootnoteReference"/>
          <w:rFonts w:ascii="Times New Roman" w:hAnsi="Times New Roman" w:cs="Times New Roman"/>
        </w:rPr>
        <w:footnoteReference w:id="7"/>
      </w:r>
      <w:r w:rsidRPr="0030679F">
        <w:rPr>
          <w:rFonts w:ascii="Times New Roman" w:hAnsi="Times New Roman" w:cs="Times New Roman"/>
        </w:rPr>
        <w:t xml:space="preserve"> </w:t>
      </w:r>
      <w:r w:rsidR="00A16E64">
        <w:rPr>
          <w:rFonts w:ascii="Times New Roman" w:hAnsi="Times New Roman" w:cs="Times New Roman"/>
        </w:rPr>
        <w:t>The Red Cross of Serbia and INPEA research in the region (Serbia, Albania, Bosnia and Herzegovina, Montenegro, North Macedonia, Moldova, Ukraine and Kosovo*)</w:t>
      </w:r>
      <w:r w:rsidR="00430C4B">
        <w:rPr>
          <w:rFonts w:ascii="Times New Roman" w:hAnsi="Times New Roman" w:cs="Times New Roman"/>
        </w:rPr>
        <w:t xml:space="preserve"> using the 2018 data shows that o</w:t>
      </w:r>
      <w:r w:rsidR="00430C4B" w:rsidRPr="00430C4B">
        <w:rPr>
          <w:rFonts w:ascii="Times New Roman" w:hAnsi="Times New Roman" w:cs="Times New Roman"/>
        </w:rPr>
        <w:t xml:space="preserve">ver half </w:t>
      </w:r>
      <w:r w:rsidR="00F13D5B">
        <w:rPr>
          <w:rFonts w:ascii="Times New Roman" w:hAnsi="Times New Roman" w:cs="Times New Roman"/>
        </w:rPr>
        <w:t>(</w:t>
      </w:r>
      <w:r w:rsidR="00F13D5B" w:rsidRPr="00F13D5B">
        <w:rPr>
          <w:rFonts w:ascii="Times New Roman" w:hAnsi="Times New Roman" w:cs="Times New Roman"/>
        </w:rPr>
        <w:t>56.2%</w:t>
      </w:r>
      <w:r w:rsidR="00F13D5B">
        <w:rPr>
          <w:rFonts w:ascii="Times New Roman" w:hAnsi="Times New Roman" w:cs="Times New Roman"/>
        </w:rPr>
        <w:t xml:space="preserve">) </w:t>
      </w:r>
      <w:r w:rsidR="00430C4B" w:rsidRPr="00430C4B">
        <w:rPr>
          <w:rFonts w:ascii="Times New Roman" w:hAnsi="Times New Roman" w:cs="Times New Roman"/>
        </w:rPr>
        <w:t>of older women in the region experienced some form of gender-ba</w:t>
      </w:r>
      <w:r w:rsidR="00430C4B">
        <w:rPr>
          <w:rFonts w:ascii="Times New Roman" w:hAnsi="Times New Roman" w:cs="Times New Roman"/>
        </w:rPr>
        <w:t>sed vio</w:t>
      </w:r>
      <w:r w:rsidR="00430C4B" w:rsidRPr="00430C4B">
        <w:rPr>
          <w:rFonts w:ascii="Times New Roman" w:hAnsi="Times New Roman" w:cs="Times New Roman"/>
        </w:rPr>
        <w:t>lence during their lifetime, whether by partners or non-partners, in the form of physical,</w:t>
      </w:r>
      <w:r w:rsidR="00430C4B">
        <w:rPr>
          <w:rFonts w:ascii="Times New Roman" w:hAnsi="Times New Roman" w:cs="Times New Roman"/>
        </w:rPr>
        <w:t xml:space="preserve"> </w:t>
      </w:r>
      <w:r w:rsidR="00430C4B" w:rsidRPr="00430C4B">
        <w:rPr>
          <w:rFonts w:ascii="Times New Roman" w:hAnsi="Times New Roman" w:cs="Times New Roman"/>
        </w:rPr>
        <w:t xml:space="preserve">sexual, psychological, sexual harassment or stalking. Every sixth older woman </w:t>
      </w:r>
      <w:r w:rsidR="00F13D5B">
        <w:rPr>
          <w:rFonts w:ascii="Times New Roman" w:hAnsi="Times New Roman" w:cs="Times New Roman"/>
        </w:rPr>
        <w:t xml:space="preserve">(16.7%) </w:t>
      </w:r>
      <w:r w:rsidR="00430C4B" w:rsidRPr="00430C4B">
        <w:rPr>
          <w:rFonts w:ascii="Times New Roman" w:hAnsi="Times New Roman" w:cs="Times New Roman"/>
        </w:rPr>
        <w:t>reported</w:t>
      </w:r>
      <w:r w:rsidR="00430C4B">
        <w:rPr>
          <w:rFonts w:ascii="Times New Roman" w:hAnsi="Times New Roman" w:cs="Times New Roman"/>
        </w:rPr>
        <w:t xml:space="preserve"> </w:t>
      </w:r>
      <w:r w:rsidR="00430C4B" w:rsidRPr="00430C4B">
        <w:rPr>
          <w:rFonts w:ascii="Times New Roman" w:hAnsi="Times New Roman" w:cs="Times New Roman"/>
        </w:rPr>
        <w:t>experiencing these forms of violence during the 12 months preceding the survey.</w:t>
      </w:r>
      <w:r w:rsidR="00F13D5B">
        <w:rPr>
          <w:rFonts w:ascii="Times New Roman" w:hAnsi="Times New Roman" w:cs="Times New Roman"/>
        </w:rPr>
        <w:t xml:space="preserve"> The survey showed that </w:t>
      </w:r>
      <w:r w:rsidR="00AE03C1">
        <w:rPr>
          <w:rFonts w:ascii="Times New Roman" w:hAnsi="Times New Roman" w:cs="Times New Roman"/>
        </w:rPr>
        <w:t>t</w:t>
      </w:r>
      <w:r w:rsidR="00AE03C1" w:rsidRPr="00AE03C1">
        <w:rPr>
          <w:rFonts w:ascii="Times New Roman" w:hAnsi="Times New Roman" w:cs="Times New Roman"/>
        </w:rPr>
        <w:t>he risks of intimate partner violence are higher amo</w:t>
      </w:r>
      <w:r w:rsidR="00AE03C1">
        <w:rPr>
          <w:rFonts w:ascii="Times New Roman" w:hAnsi="Times New Roman" w:cs="Times New Roman"/>
        </w:rPr>
        <w:t xml:space="preserve">ng women who live with partners </w:t>
      </w:r>
      <w:r w:rsidR="00AE03C1" w:rsidRPr="00AE03C1">
        <w:rPr>
          <w:rFonts w:ascii="Times New Roman" w:hAnsi="Times New Roman" w:cs="Times New Roman"/>
        </w:rPr>
        <w:t>who drink alcohol to excess, or who show aggressive behaviour outside the family.</w:t>
      </w:r>
      <w:r w:rsidR="00AE03C1">
        <w:rPr>
          <w:rFonts w:ascii="Times New Roman" w:hAnsi="Times New Roman" w:cs="Times New Roman"/>
        </w:rPr>
        <w:t xml:space="preserve"> </w:t>
      </w:r>
    </w:p>
    <w:p w:rsidR="00A40C01" w:rsidRPr="00A40C01" w:rsidRDefault="00A40C01" w:rsidP="00A40C01">
      <w:pPr>
        <w:jc w:val="both"/>
        <w:rPr>
          <w:rFonts w:ascii="Times New Roman" w:hAnsi="Times New Roman" w:cs="Times New Roman"/>
          <w:sz w:val="20"/>
          <w:szCs w:val="20"/>
        </w:rPr>
      </w:pPr>
      <w:r w:rsidRPr="00A40C01">
        <w:rPr>
          <w:rFonts w:ascii="Times New Roman" w:hAnsi="Times New Roman" w:cs="Times New Roman"/>
          <w:sz w:val="20"/>
          <w:szCs w:val="20"/>
        </w:rPr>
        <w:t>*This designation is without prejudice to positions on status, and is in line with UNSCR 1244/1999 and the ICJ Opinion on the Kosovo declaration of independence</w:t>
      </w:r>
    </w:p>
    <w:p w:rsidR="00A40C01" w:rsidRDefault="00A40C01" w:rsidP="00AE03C1">
      <w:pPr>
        <w:jc w:val="both"/>
        <w:rPr>
          <w:rFonts w:ascii="Times New Roman" w:hAnsi="Times New Roman" w:cs="Times New Roman"/>
        </w:rPr>
      </w:pPr>
    </w:p>
    <w:p w:rsidR="00A16E64" w:rsidRDefault="00AE03C1" w:rsidP="00D734A6">
      <w:pPr>
        <w:jc w:val="both"/>
        <w:rPr>
          <w:rFonts w:ascii="Times New Roman" w:hAnsi="Times New Roman" w:cs="Times New Roman"/>
        </w:rPr>
      </w:pPr>
      <w:r>
        <w:rPr>
          <w:rFonts w:ascii="Times New Roman" w:hAnsi="Times New Roman" w:cs="Times New Roman"/>
        </w:rPr>
        <w:t>One of the key findings is that t</w:t>
      </w:r>
      <w:r w:rsidRPr="00AE03C1">
        <w:rPr>
          <w:rFonts w:ascii="Times New Roman" w:hAnsi="Times New Roman" w:cs="Times New Roman"/>
        </w:rPr>
        <w:t>he strongest predictor of violence against all women, i</w:t>
      </w:r>
      <w:r>
        <w:rPr>
          <w:rFonts w:ascii="Times New Roman" w:hAnsi="Times New Roman" w:cs="Times New Roman"/>
        </w:rPr>
        <w:t>ncluding older women, is child</w:t>
      </w:r>
      <w:r w:rsidRPr="00AE03C1">
        <w:rPr>
          <w:rFonts w:ascii="Times New Roman" w:hAnsi="Times New Roman" w:cs="Times New Roman"/>
        </w:rPr>
        <w:t xml:space="preserve">hood violence. The prevalence rates for partner and non-partner violence are much higher among women who experienced some form of </w:t>
      </w:r>
      <w:r>
        <w:rPr>
          <w:rFonts w:ascii="Times New Roman" w:hAnsi="Times New Roman" w:cs="Times New Roman"/>
        </w:rPr>
        <w:t>v</w:t>
      </w:r>
      <w:r w:rsidR="005932F3">
        <w:rPr>
          <w:rFonts w:ascii="Times New Roman" w:hAnsi="Times New Roman" w:cs="Times New Roman"/>
        </w:rPr>
        <w:t>iolence during their childhood (18.4% versus 10.5% among older women with no experience of childhood violence).</w:t>
      </w:r>
    </w:p>
    <w:p w:rsidR="00A40C01" w:rsidRDefault="00A40C01" w:rsidP="00D734A6">
      <w:pPr>
        <w:jc w:val="both"/>
        <w:rPr>
          <w:rFonts w:ascii="Times New Roman" w:hAnsi="Times New Roman" w:cs="Times New Roman"/>
        </w:rPr>
      </w:pPr>
    </w:p>
    <w:p w:rsidR="00B53C09" w:rsidRPr="00B53C09" w:rsidRDefault="00B53C09" w:rsidP="00B53C09">
      <w:pPr>
        <w:pStyle w:val="ListParagraph"/>
        <w:rPr>
          <w:rFonts w:ascii="Times New Roman" w:hAnsi="Times New Roman" w:cs="Times New Roman"/>
        </w:rPr>
      </w:pPr>
    </w:p>
    <w:p w:rsidR="005A1B08" w:rsidRDefault="005A1B08" w:rsidP="005A1B08">
      <w:pPr>
        <w:pStyle w:val="ListParagraph"/>
        <w:numPr>
          <w:ilvl w:val="0"/>
          <w:numId w:val="3"/>
        </w:numPr>
        <w:jc w:val="both"/>
        <w:rPr>
          <w:rFonts w:ascii="Times New Roman" w:hAnsi="Times New Roman" w:cs="Times New Roman"/>
        </w:rPr>
      </w:pPr>
      <w:r w:rsidRPr="002C65C8">
        <w:rPr>
          <w:rFonts w:ascii="Times New Roman" w:hAnsi="Times New Roman" w:cs="Times New Roman"/>
          <w:b/>
          <w:bCs/>
        </w:rPr>
        <w:t>Intersectionality</w:t>
      </w:r>
      <w:r>
        <w:rPr>
          <w:rFonts w:ascii="Times New Roman" w:hAnsi="Times New Roman" w:cs="Times New Roman"/>
        </w:rPr>
        <w:t>: how does violence, abuse and neglect affect specific groups of older persons</w:t>
      </w:r>
      <w:r w:rsidR="007C665A">
        <w:rPr>
          <w:rFonts w:ascii="Times New Roman" w:hAnsi="Times New Roman" w:cs="Times New Roman"/>
        </w:rPr>
        <w:t xml:space="preserve"> (</w:t>
      </w:r>
      <w:r w:rsidR="00146F0F">
        <w:rPr>
          <w:rFonts w:ascii="Times New Roman" w:hAnsi="Times New Roman" w:cs="Times New Roman"/>
        </w:rPr>
        <w:t>e.g.,</w:t>
      </w:r>
      <w:r w:rsidR="007C665A">
        <w:rPr>
          <w:rFonts w:ascii="Times New Roman" w:hAnsi="Times New Roman" w:cs="Times New Roman"/>
        </w:rPr>
        <w:t xml:space="preserve"> older women, older LGTBI persons, older persons belonging to ethnic and indigenous groups, </w:t>
      </w:r>
      <w:r w:rsidR="009534E1">
        <w:rPr>
          <w:rFonts w:ascii="Times New Roman" w:hAnsi="Times New Roman" w:cs="Times New Roman"/>
        </w:rPr>
        <w:t xml:space="preserve">older refugees and internally displaced persons, older persons with disabilities, etc.) </w:t>
      </w:r>
      <w:r>
        <w:rPr>
          <w:rFonts w:ascii="Times New Roman" w:hAnsi="Times New Roman" w:cs="Times New Roman"/>
        </w:rPr>
        <w:t>Please provide detailed information.</w:t>
      </w:r>
    </w:p>
    <w:p w:rsidR="005B32D5" w:rsidRDefault="00673D2C" w:rsidP="005B32D5">
      <w:pPr>
        <w:jc w:val="both"/>
        <w:rPr>
          <w:rFonts w:ascii="Times New Roman" w:hAnsi="Times New Roman" w:cs="Times New Roman"/>
        </w:rPr>
      </w:pPr>
      <w:r>
        <w:rPr>
          <w:rFonts w:ascii="Times New Roman" w:hAnsi="Times New Roman" w:cs="Times New Roman"/>
        </w:rPr>
        <w:t xml:space="preserve">This is as yet unexplored territory in Serbia. Efforts have been made so far, notably by the Red Cross of Serbia to analyse the feminisation of ageing and </w:t>
      </w:r>
      <w:r w:rsidRPr="00673D2C">
        <w:rPr>
          <w:rFonts w:ascii="Times New Roman" w:hAnsi="Times New Roman" w:cs="Times New Roman"/>
        </w:rPr>
        <w:t>help to identify vulnerable groups among older women, taking into account intersectionality – such as rural women, women diagnosed with dementia, and older women of differing education levels, ethnicities, health statuses, sexual orientation and other variables.</w:t>
      </w:r>
      <w:r w:rsidR="0050244A">
        <w:rPr>
          <w:rFonts w:ascii="Times New Roman" w:hAnsi="Times New Roman" w:cs="Times New Roman"/>
        </w:rPr>
        <w:t xml:space="preserve"> However, there is </w:t>
      </w:r>
      <w:r w:rsidR="001132E3">
        <w:rPr>
          <w:rFonts w:ascii="Times New Roman" w:hAnsi="Times New Roman" w:cs="Times New Roman"/>
        </w:rPr>
        <w:t>little</w:t>
      </w:r>
      <w:r w:rsidR="0050244A">
        <w:rPr>
          <w:rFonts w:ascii="Times New Roman" w:hAnsi="Times New Roman" w:cs="Times New Roman"/>
        </w:rPr>
        <w:t xml:space="preserve"> available data </w:t>
      </w:r>
      <w:r w:rsidR="00F23484">
        <w:rPr>
          <w:rFonts w:ascii="Times New Roman" w:hAnsi="Times New Roman" w:cs="Times New Roman"/>
        </w:rPr>
        <w:t xml:space="preserve">on elder abuse and violence against older persons that is disaggregated by age and gender and even less that uses other parameters for disaggregation so much more work will be needed in this regard. </w:t>
      </w:r>
      <w:r w:rsidR="00BD2D02">
        <w:rPr>
          <w:rFonts w:ascii="Times New Roman" w:hAnsi="Times New Roman" w:cs="Times New Roman"/>
        </w:rPr>
        <w:t xml:space="preserve">The </w:t>
      </w:r>
      <w:r w:rsidR="00EE2AA3">
        <w:rPr>
          <w:rFonts w:ascii="Times New Roman" w:hAnsi="Times New Roman" w:cs="Times New Roman"/>
        </w:rPr>
        <w:t xml:space="preserve">Red cross of Serbia and INPEA </w:t>
      </w:r>
      <w:r w:rsidR="00BD2D02">
        <w:rPr>
          <w:rFonts w:ascii="Times New Roman" w:hAnsi="Times New Roman" w:cs="Times New Roman"/>
        </w:rPr>
        <w:t xml:space="preserve">research </w:t>
      </w:r>
      <w:r w:rsidR="00EE2AA3">
        <w:rPr>
          <w:rFonts w:ascii="Times New Roman" w:hAnsi="Times New Roman" w:cs="Times New Roman"/>
        </w:rPr>
        <w:t xml:space="preserve">in the region </w:t>
      </w:r>
      <w:r w:rsidR="00BD2D02">
        <w:rPr>
          <w:rFonts w:ascii="Times New Roman" w:hAnsi="Times New Roman" w:cs="Times New Roman"/>
        </w:rPr>
        <w:t xml:space="preserve">has found a connection between </w:t>
      </w:r>
      <w:r w:rsidR="00AE4D96">
        <w:rPr>
          <w:rFonts w:ascii="Times New Roman" w:hAnsi="Times New Roman" w:cs="Times New Roman"/>
        </w:rPr>
        <w:t xml:space="preserve">experience of childhood violence and the higher risk of being targeted by elder abuse later in life, but more research with intersectional </w:t>
      </w:r>
      <w:r w:rsidR="007C1CFC">
        <w:rPr>
          <w:rFonts w:ascii="Times New Roman" w:hAnsi="Times New Roman" w:cs="Times New Roman"/>
        </w:rPr>
        <w:t xml:space="preserve">perspective is very much needed. </w:t>
      </w:r>
    </w:p>
    <w:p w:rsidR="00A40C01" w:rsidRPr="005B32D5" w:rsidRDefault="00A40C01" w:rsidP="005B32D5">
      <w:pPr>
        <w:jc w:val="both"/>
        <w:rPr>
          <w:rFonts w:ascii="Times New Roman" w:hAnsi="Times New Roman" w:cs="Times New Roman"/>
        </w:rPr>
      </w:pPr>
    </w:p>
    <w:p w:rsidR="005A1B08" w:rsidRDefault="005A1B08" w:rsidP="005A1B08">
      <w:pPr>
        <w:pStyle w:val="ListParagraph"/>
        <w:jc w:val="both"/>
        <w:rPr>
          <w:rFonts w:ascii="Times New Roman" w:hAnsi="Times New Roman" w:cs="Times New Roman"/>
        </w:rPr>
      </w:pPr>
    </w:p>
    <w:p w:rsidR="003A75D3" w:rsidRDefault="00B53C09" w:rsidP="003A75D3">
      <w:pPr>
        <w:pStyle w:val="ListParagraph"/>
        <w:numPr>
          <w:ilvl w:val="0"/>
          <w:numId w:val="3"/>
        </w:numPr>
        <w:jc w:val="both"/>
        <w:rPr>
          <w:rFonts w:ascii="Times New Roman" w:hAnsi="Times New Roman" w:cs="Times New Roman"/>
        </w:rPr>
      </w:pPr>
      <w:r w:rsidRPr="002C65C8">
        <w:rPr>
          <w:rFonts w:ascii="Times New Roman" w:hAnsi="Times New Roman" w:cs="Times New Roman"/>
          <w:b/>
          <w:bCs/>
        </w:rPr>
        <w:t>Data</w:t>
      </w:r>
      <w:r>
        <w:rPr>
          <w:rFonts w:ascii="Times New Roman" w:hAnsi="Times New Roman" w:cs="Times New Roman"/>
        </w:rPr>
        <w:t xml:space="preserve">: </w:t>
      </w:r>
      <w:r w:rsidR="006B0971">
        <w:rPr>
          <w:rFonts w:ascii="Times New Roman" w:hAnsi="Times New Roman" w:cs="Times New Roman"/>
        </w:rPr>
        <w:t>are data available at national and local level about violence, abuse and neglect of older persons</w:t>
      </w:r>
      <w:r w:rsidR="00A45876">
        <w:rPr>
          <w:rFonts w:ascii="Times New Roman" w:hAnsi="Times New Roman" w:cs="Times New Roman"/>
        </w:rPr>
        <w:t xml:space="preserve">? Are </w:t>
      </w:r>
      <w:r w:rsidR="00EE2D75">
        <w:rPr>
          <w:rFonts w:ascii="Times New Roman" w:hAnsi="Times New Roman" w:cs="Times New Roman"/>
        </w:rPr>
        <w:t xml:space="preserve">national surveys about violence including experiences of older persons? </w:t>
      </w:r>
      <w:r w:rsidR="007C06A2">
        <w:rPr>
          <w:rFonts w:ascii="Times New Roman" w:hAnsi="Times New Roman" w:cs="Times New Roman"/>
        </w:rPr>
        <w:t xml:space="preserve">If available, please provide figures and data. </w:t>
      </w:r>
    </w:p>
    <w:p w:rsidR="00044B3C" w:rsidRPr="00A40C01" w:rsidRDefault="00DC5DD4" w:rsidP="00A40C01">
      <w:pPr>
        <w:jc w:val="both"/>
        <w:rPr>
          <w:rFonts w:ascii="Times New Roman" w:hAnsi="Times New Roman" w:cs="Times New Roman"/>
        </w:rPr>
      </w:pPr>
      <w:r>
        <w:rPr>
          <w:rFonts w:ascii="Times New Roman" w:hAnsi="Times New Roman" w:cs="Times New Roman"/>
        </w:rPr>
        <w:t>Data on a</w:t>
      </w:r>
      <w:r w:rsidR="005E701E">
        <w:rPr>
          <w:rFonts w:ascii="Times New Roman" w:hAnsi="Times New Roman" w:cs="Times New Roman"/>
        </w:rPr>
        <w:t xml:space="preserve">buse, violence and neglect of older persons </w:t>
      </w:r>
      <w:r>
        <w:rPr>
          <w:rFonts w:ascii="Times New Roman" w:hAnsi="Times New Roman" w:cs="Times New Roman"/>
        </w:rPr>
        <w:t xml:space="preserve">is not specifically disaggregated from the general data on violence and abuse. </w:t>
      </w:r>
      <w:r w:rsidR="00BD2D02" w:rsidRPr="00BD2D02">
        <w:rPr>
          <w:rFonts w:ascii="Times New Roman" w:hAnsi="Times New Roman" w:cs="Times New Roman"/>
        </w:rPr>
        <w:t>Another common issue is the age limits in collecting data that usually stop at the end of reproductive age for women (49) and thus exclude older women fro</w:t>
      </w:r>
      <w:r w:rsidR="00BD2D02">
        <w:rPr>
          <w:rFonts w:ascii="Times New Roman" w:hAnsi="Times New Roman" w:cs="Times New Roman"/>
        </w:rPr>
        <w:t>m research results.</w:t>
      </w:r>
      <w:r w:rsidR="006D0F9E">
        <w:rPr>
          <w:rFonts w:ascii="Times New Roman" w:hAnsi="Times New Roman" w:cs="Times New Roman"/>
        </w:rPr>
        <w:t xml:space="preserve"> Even studies that do include older persons rarely focus on the risks of violence specific to older population and thus fail to capture </w:t>
      </w:r>
      <w:r w:rsidR="00F71B64">
        <w:rPr>
          <w:rFonts w:ascii="Times New Roman" w:hAnsi="Times New Roman" w:cs="Times New Roman"/>
        </w:rPr>
        <w:t xml:space="preserve">both the risks and the effects of some of the more common forms of abuse targeting older persons such as financial abuse, neglect or abandonment. </w:t>
      </w:r>
      <w:r>
        <w:rPr>
          <w:rFonts w:ascii="Times New Roman" w:hAnsi="Times New Roman" w:cs="Times New Roman"/>
        </w:rPr>
        <w:t>This is a major problem in regards to the efforts aimi</w:t>
      </w:r>
      <w:r w:rsidR="008340CB">
        <w:rPr>
          <w:rFonts w:ascii="Times New Roman" w:hAnsi="Times New Roman" w:cs="Times New Roman"/>
        </w:rPr>
        <w:t>ng to prevent violence specifically targeting older persons.</w:t>
      </w:r>
      <w:r w:rsidR="00BD2D02">
        <w:rPr>
          <w:rFonts w:ascii="Times New Roman" w:hAnsi="Times New Roman" w:cs="Times New Roman"/>
        </w:rPr>
        <w:t> </w:t>
      </w:r>
      <w:r w:rsidR="008340CB">
        <w:rPr>
          <w:rFonts w:ascii="Times New Roman" w:hAnsi="Times New Roman" w:cs="Times New Roman"/>
        </w:rPr>
        <w:t xml:space="preserve">Research on violence targeting older </w:t>
      </w:r>
      <w:r w:rsidR="00275FB7">
        <w:rPr>
          <w:rFonts w:ascii="Times New Roman" w:hAnsi="Times New Roman" w:cs="Times New Roman"/>
        </w:rPr>
        <w:t xml:space="preserve">persons has been exclusively the domain of civil society with the Red Cross of Serbia researching domestic violence against older persons and violence against women as quoted above. </w:t>
      </w:r>
      <w:r w:rsidR="00EE2AA3">
        <w:rPr>
          <w:rFonts w:ascii="Times New Roman" w:hAnsi="Times New Roman" w:cs="Times New Roman"/>
        </w:rPr>
        <w:t xml:space="preserve">The Red Cross of Serbia and INPEA research quoted above highlights some of </w:t>
      </w:r>
      <w:r w:rsidR="00ED3821">
        <w:rPr>
          <w:rFonts w:ascii="Times New Roman" w:hAnsi="Times New Roman" w:cs="Times New Roman"/>
        </w:rPr>
        <w:t xml:space="preserve">the gaps in data collection. </w:t>
      </w:r>
      <w:r w:rsidR="00ED3821" w:rsidRPr="00ED3821">
        <w:rPr>
          <w:rFonts w:ascii="Times New Roman" w:hAnsi="Times New Roman" w:cs="Times New Roman"/>
        </w:rPr>
        <w:t>One is related to the age limits for</w:t>
      </w:r>
      <w:r w:rsidR="00ED3821">
        <w:rPr>
          <w:rFonts w:ascii="Times New Roman" w:hAnsi="Times New Roman" w:cs="Times New Roman"/>
        </w:rPr>
        <w:t xml:space="preserve"> </w:t>
      </w:r>
      <w:r w:rsidR="00ED3821" w:rsidRPr="00ED3821">
        <w:rPr>
          <w:rFonts w:ascii="Times New Roman" w:hAnsi="Times New Roman" w:cs="Times New Roman"/>
        </w:rPr>
        <w:t>older women. In studying violence against older</w:t>
      </w:r>
      <w:r w:rsidR="00ED3821">
        <w:rPr>
          <w:rFonts w:ascii="Times New Roman" w:hAnsi="Times New Roman" w:cs="Times New Roman"/>
        </w:rPr>
        <w:t xml:space="preserve"> </w:t>
      </w:r>
      <w:r w:rsidR="00ED3821" w:rsidRPr="00ED3821">
        <w:rPr>
          <w:rFonts w:ascii="Times New Roman" w:hAnsi="Times New Roman" w:cs="Times New Roman"/>
        </w:rPr>
        <w:t>women, it is preferable to include women subjects</w:t>
      </w:r>
      <w:r w:rsidR="00ED3821">
        <w:rPr>
          <w:rFonts w:ascii="Times New Roman" w:hAnsi="Times New Roman" w:cs="Times New Roman"/>
        </w:rPr>
        <w:t xml:space="preserve"> </w:t>
      </w:r>
      <w:r w:rsidR="00ED3821" w:rsidRPr="00ED3821">
        <w:rPr>
          <w:rFonts w:ascii="Times New Roman" w:hAnsi="Times New Roman" w:cs="Times New Roman"/>
        </w:rPr>
        <w:t>older than 74 years of age. With increased age,</w:t>
      </w:r>
      <w:r w:rsidR="00ED3821">
        <w:rPr>
          <w:rFonts w:ascii="Times New Roman" w:hAnsi="Times New Roman" w:cs="Times New Roman"/>
        </w:rPr>
        <w:t xml:space="preserve"> </w:t>
      </w:r>
      <w:r w:rsidR="00ED3821" w:rsidRPr="00ED3821">
        <w:rPr>
          <w:rFonts w:ascii="Times New Roman" w:hAnsi="Times New Roman" w:cs="Times New Roman"/>
        </w:rPr>
        <w:t>functionality might decrease, and dependency on</w:t>
      </w:r>
      <w:r w:rsidR="00ED3821">
        <w:rPr>
          <w:rFonts w:ascii="Times New Roman" w:hAnsi="Times New Roman" w:cs="Times New Roman"/>
        </w:rPr>
        <w:t xml:space="preserve"> </w:t>
      </w:r>
      <w:r w:rsidR="00ED3821" w:rsidRPr="00ED3821">
        <w:rPr>
          <w:rFonts w:ascii="Times New Roman" w:hAnsi="Times New Roman" w:cs="Times New Roman"/>
        </w:rPr>
        <w:t>others increase, which may also increase risk of</w:t>
      </w:r>
      <w:r w:rsidR="00ED3821">
        <w:rPr>
          <w:rFonts w:ascii="Times New Roman" w:hAnsi="Times New Roman" w:cs="Times New Roman"/>
        </w:rPr>
        <w:t xml:space="preserve"> </w:t>
      </w:r>
      <w:r w:rsidR="00ED3821" w:rsidRPr="00ED3821">
        <w:rPr>
          <w:rFonts w:ascii="Times New Roman" w:hAnsi="Times New Roman" w:cs="Times New Roman"/>
        </w:rPr>
        <w:t>violence.</w:t>
      </w:r>
      <w:r w:rsidR="00ED3821">
        <w:rPr>
          <w:rFonts w:ascii="Times New Roman" w:hAnsi="Times New Roman" w:cs="Times New Roman"/>
        </w:rPr>
        <w:t xml:space="preserve"> </w:t>
      </w:r>
      <w:r w:rsidR="00ED3821" w:rsidRPr="00ED3821">
        <w:rPr>
          <w:rFonts w:ascii="Times New Roman" w:hAnsi="Times New Roman" w:cs="Times New Roman"/>
        </w:rPr>
        <w:t xml:space="preserve">Another gap is related to the </w:t>
      </w:r>
      <w:r w:rsidR="00ED3821">
        <w:rPr>
          <w:rFonts w:ascii="Times New Roman" w:hAnsi="Times New Roman" w:cs="Times New Roman"/>
        </w:rPr>
        <w:t>specific f</w:t>
      </w:r>
      <w:r w:rsidR="00ED3821" w:rsidRPr="00ED3821">
        <w:rPr>
          <w:rFonts w:ascii="Times New Roman" w:hAnsi="Times New Roman" w:cs="Times New Roman"/>
        </w:rPr>
        <w:t>orms of violence that are associated with older</w:t>
      </w:r>
      <w:r w:rsidR="00ED3821">
        <w:rPr>
          <w:rFonts w:ascii="Times New Roman" w:hAnsi="Times New Roman" w:cs="Times New Roman"/>
        </w:rPr>
        <w:t xml:space="preserve"> </w:t>
      </w:r>
      <w:r w:rsidR="00ED3821" w:rsidRPr="00ED3821">
        <w:rPr>
          <w:rFonts w:ascii="Times New Roman" w:hAnsi="Times New Roman" w:cs="Times New Roman"/>
        </w:rPr>
        <w:t>women, such as neglect and financial exploitation.</w:t>
      </w:r>
      <w:r w:rsidR="00ED3821">
        <w:rPr>
          <w:rFonts w:ascii="Times New Roman" w:hAnsi="Times New Roman" w:cs="Times New Roman"/>
        </w:rPr>
        <w:t xml:space="preserve"> </w:t>
      </w:r>
      <w:r w:rsidR="00ED3821" w:rsidRPr="00ED3821">
        <w:rPr>
          <w:rFonts w:ascii="Times New Roman" w:hAnsi="Times New Roman" w:cs="Times New Roman"/>
        </w:rPr>
        <w:t>As is ty</w:t>
      </w:r>
      <w:r w:rsidR="00ED3821">
        <w:rPr>
          <w:rFonts w:ascii="Times New Roman" w:hAnsi="Times New Roman" w:cs="Times New Roman"/>
        </w:rPr>
        <w:t>pical in domestic violence prev</w:t>
      </w:r>
      <w:r w:rsidR="00ED3821" w:rsidRPr="00ED3821">
        <w:rPr>
          <w:rFonts w:ascii="Times New Roman" w:hAnsi="Times New Roman" w:cs="Times New Roman"/>
        </w:rPr>
        <w:t>alence studies, economic violence is subsumed</w:t>
      </w:r>
      <w:r w:rsidR="00ED3821">
        <w:rPr>
          <w:rFonts w:ascii="Times New Roman" w:hAnsi="Times New Roman" w:cs="Times New Roman"/>
        </w:rPr>
        <w:t xml:space="preserve"> </w:t>
      </w:r>
      <w:r w:rsidR="00ED3821" w:rsidRPr="00ED3821">
        <w:rPr>
          <w:rFonts w:ascii="Times New Roman" w:hAnsi="Times New Roman" w:cs="Times New Roman"/>
        </w:rPr>
        <w:t>under psychological abuse, with prompts given</w:t>
      </w:r>
      <w:r w:rsidR="00ED3821">
        <w:rPr>
          <w:rFonts w:ascii="Times New Roman" w:hAnsi="Times New Roman" w:cs="Times New Roman"/>
        </w:rPr>
        <w:t xml:space="preserve"> </w:t>
      </w:r>
      <w:r w:rsidR="00ED3821" w:rsidRPr="00ED3821">
        <w:rPr>
          <w:rFonts w:ascii="Times New Roman" w:hAnsi="Times New Roman" w:cs="Times New Roman"/>
        </w:rPr>
        <w:t>by interviewers that are more typical of situations</w:t>
      </w:r>
      <w:r w:rsidR="00ED3821">
        <w:rPr>
          <w:rFonts w:ascii="Times New Roman" w:hAnsi="Times New Roman" w:cs="Times New Roman"/>
        </w:rPr>
        <w:t xml:space="preserve"> </w:t>
      </w:r>
      <w:r w:rsidR="00ED3821" w:rsidRPr="00ED3821">
        <w:rPr>
          <w:rFonts w:ascii="Times New Roman" w:hAnsi="Times New Roman" w:cs="Times New Roman"/>
        </w:rPr>
        <w:t>experienced by younger women with dependent</w:t>
      </w:r>
      <w:r w:rsidR="00ED3821">
        <w:rPr>
          <w:rFonts w:ascii="Times New Roman" w:hAnsi="Times New Roman" w:cs="Times New Roman"/>
        </w:rPr>
        <w:t xml:space="preserve"> </w:t>
      </w:r>
      <w:r w:rsidR="00ED3821" w:rsidRPr="00ED3821">
        <w:rPr>
          <w:rFonts w:ascii="Times New Roman" w:hAnsi="Times New Roman" w:cs="Times New Roman"/>
        </w:rPr>
        <w:t>children and spouse/partners on whom they are</w:t>
      </w:r>
      <w:r w:rsidR="00ED3821">
        <w:rPr>
          <w:rFonts w:ascii="Times New Roman" w:hAnsi="Times New Roman" w:cs="Times New Roman"/>
        </w:rPr>
        <w:t xml:space="preserve"> </w:t>
      </w:r>
      <w:r w:rsidR="00ED3821" w:rsidRPr="00ED3821">
        <w:rPr>
          <w:rFonts w:ascii="Times New Roman" w:hAnsi="Times New Roman" w:cs="Times New Roman"/>
        </w:rPr>
        <w:t>economically dependent.</w:t>
      </w:r>
    </w:p>
    <w:p w:rsidR="00044B3C" w:rsidRPr="00BD6568" w:rsidRDefault="00044B3C" w:rsidP="00BD6568">
      <w:pPr>
        <w:pStyle w:val="ListParagraph"/>
        <w:rPr>
          <w:rFonts w:ascii="Times New Roman" w:hAnsi="Times New Roman" w:cs="Times New Roman"/>
        </w:rPr>
      </w:pPr>
    </w:p>
    <w:p w:rsidR="003E2A12" w:rsidRDefault="00BD6568" w:rsidP="003E2A12">
      <w:pPr>
        <w:pStyle w:val="ListParagraph"/>
        <w:numPr>
          <w:ilvl w:val="0"/>
          <w:numId w:val="3"/>
        </w:numPr>
        <w:spacing w:after="0" w:line="240" w:lineRule="auto"/>
        <w:jc w:val="both"/>
        <w:rPr>
          <w:rFonts w:ascii="Times New Roman" w:hAnsi="Times New Roman" w:cs="Times New Roman"/>
        </w:rPr>
      </w:pPr>
      <w:r w:rsidRPr="002C65C8">
        <w:rPr>
          <w:rFonts w:ascii="Times New Roman" w:hAnsi="Times New Roman" w:cs="Times New Roman"/>
          <w:b/>
          <w:bCs/>
        </w:rPr>
        <w:lastRenderedPageBreak/>
        <w:t>Access to justice</w:t>
      </w:r>
      <w:r>
        <w:rPr>
          <w:rFonts w:ascii="Times New Roman" w:hAnsi="Times New Roman" w:cs="Times New Roman"/>
        </w:rPr>
        <w:t>: h</w:t>
      </w:r>
      <w:r w:rsidRPr="0019280A">
        <w:rPr>
          <w:rFonts w:ascii="Times New Roman" w:hAnsi="Times New Roman" w:cs="Times New Roman"/>
        </w:rPr>
        <w:t xml:space="preserve">ow </w:t>
      </w:r>
      <w:r w:rsidRPr="002C65C8">
        <w:rPr>
          <w:rFonts w:ascii="Times New Roman" w:hAnsi="Times New Roman" w:cs="Times New Roman"/>
        </w:rPr>
        <w:t xml:space="preserve">does the State fulfil its obligations to ensure older persons’ access justice, and to obtain remedies and reparations, when their </w:t>
      </w:r>
      <w:r w:rsidR="000E57BC" w:rsidRPr="002C65C8">
        <w:rPr>
          <w:rFonts w:ascii="Times New Roman" w:hAnsi="Times New Roman" w:cs="Times New Roman"/>
        </w:rPr>
        <w:t>human</w:t>
      </w:r>
      <w:r w:rsidR="000E57BC">
        <w:rPr>
          <w:rFonts w:ascii="Times New Roman" w:hAnsi="Times New Roman" w:cs="Times New Roman"/>
        </w:rPr>
        <w:t xml:space="preserve"> rights</w:t>
      </w:r>
      <w:r w:rsidRPr="0019280A">
        <w:rPr>
          <w:rFonts w:ascii="Times New Roman" w:hAnsi="Times New Roman" w:cs="Times New Roman"/>
        </w:rPr>
        <w:t xml:space="preserve"> have been violated</w:t>
      </w:r>
      <w:r w:rsidR="000E57BC">
        <w:rPr>
          <w:rFonts w:ascii="Times New Roman" w:hAnsi="Times New Roman" w:cs="Times New Roman"/>
        </w:rPr>
        <w:t xml:space="preserve"> </w:t>
      </w:r>
      <w:r w:rsidR="001132E3">
        <w:rPr>
          <w:rFonts w:ascii="Times New Roman" w:hAnsi="Times New Roman" w:cs="Times New Roman"/>
        </w:rPr>
        <w:t>because of</w:t>
      </w:r>
      <w:r w:rsidR="000E57BC">
        <w:rPr>
          <w:rFonts w:ascii="Times New Roman" w:hAnsi="Times New Roman" w:cs="Times New Roman"/>
        </w:rPr>
        <w:t xml:space="preserve"> violence, </w:t>
      </w:r>
      <w:r w:rsidR="001132E3">
        <w:rPr>
          <w:rFonts w:ascii="Times New Roman" w:hAnsi="Times New Roman" w:cs="Times New Roman"/>
        </w:rPr>
        <w:t>abuse,</w:t>
      </w:r>
      <w:r w:rsidR="003542D6">
        <w:rPr>
          <w:rFonts w:ascii="Times New Roman" w:hAnsi="Times New Roman" w:cs="Times New Roman"/>
        </w:rPr>
        <w:t xml:space="preserve"> and neglect</w:t>
      </w:r>
      <w:r w:rsidRPr="0019280A">
        <w:rPr>
          <w:rFonts w:ascii="Times New Roman" w:hAnsi="Times New Roman" w:cs="Times New Roman"/>
        </w:rPr>
        <w:t>?</w:t>
      </w:r>
    </w:p>
    <w:p w:rsidR="00675DAB" w:rsidRDefault="00675DAB" w:rsidP="003537D2">
      <w:pPr>
        <w:spacing w:after="0" w:line="240" w:lineRule="auto"/>
        <w:jc w:val="both"/>
        <w:rPr>
          <w:rFonts w:ascii="Times New Roman" w:hAnsi="Times New Roman" w:cs="Times New Roman"/>
        </w:rPr>
      </w:pPr>
    </w:p>
    <w:p w:rsidR="003537D2" w:rsidRDefault="003537D2" w:rsidP="003537D2">
      <w:pPr>
        <w:spacing w:after="0" w:line="240" w:lineRule="auto"/>
        <w:jc w:val="both"/>
        <w:rPr>
          <w:rFonts w:ascii="Times New Roman" w:eastAsia="Times New Roman" w:hAnsi="Times New Roman"/>
          <w:sz w:val="24"/>
          <w:szCs w:val="24"/>
        </w:rPr>
      </w:pPr>
      <w:r w:rsidRPr="003537D2">
        <w:rPr>
          <w:rFonts w:ascii="Times New Roman" w:hAnsi="Times New Roman" w:cs="Times New Roman"/>
        </w:rPr>
        <w:t xml:space="preserve">Constitution of the republic of Serbia stipulates that everyone is entitled to legal assistance through services provided by attorneys and legal assistance services that may be established by municipal administrations. </w:t>
      </w:r>
      <w:r>
        <w:rPr>
          <w:rFonts w:ascii="Times New Roman" w:hAnsi="Times New Roman" w:cs="Times New Roman"/>
        </w:rPr>
        <w:t xml:space="preserve"> Th</w:t>
      </w:r>
      <w:r w:rsidRPr="003537D2">
        <w:rPr>
          <w:rFonts w:ascii="Times New Roman" w:hAnsi="Times New Roman" w:cs="Times New Roman"/>
        </w:rPr>
        <w:t>e</w:t>
      </w:r>
      <w:r w:rsidR="00675DAB">
        <w:rPr>
          <w:rFonts w:ascii="Times New Roman" w:hAnsi="Times New Roman" w:cs="Times New Roman"/>
        </w:rPr>
        <w:t>re is also the</w:t>
      </w:r>
      <w:r w:rsidRPr="003537D2">
        <w:rPr>
          <w:rFonts w:ascii="Times New Roman" w:hAnsi="Times New Roman" w:cs="Times New Roman"/>
        </w:rPr>
        <w:t xml:space="preserve"> Law on Protection of the Right to a</w:t>
      </w:r>
      <w:r w:rsidR="00480CF0">
        <w:rPr>
          <w:rFonts w:ascii="Times New Roman" w:hAnsi="Times New Roman" w:cs="Times New Roman"/>
        </w:rPr>
        <w:t xml:space="preserve"> Trial Within a Reasonable Time</w:t>
      </w:r>
      <w:r w:rsidR="00480CF0">
        <w:rPr>
          <w:rStyle w:val="FootnoteReference"/>
          <w:rFonts w:ascii="Times New Roman" w:hAnsi="Times New Roman" w:cs="Times New Roman"/>
        </w:rPr>
        <w:footnoteReference w:id="8"/>
      </w:r>
      <w:r>
        <w:rPr>
          <w:rFonts w:ascii="Times New Roman" w:hAnsi="Times New Roman" w:cs="Times New Roman"/>
        </w:rPr>
        <w:t xml:space="preserve">. </w:t>
      </w:r>
      <w:r w:rsidRPr="003537D2">
        <w:rPr>
          <w:rFonts w:ascii="Times New Roman" w:hAnsi="Times New Roman" w:cs="Times New Roman"/>
        </w:rPr>
        <w:t xml:space="preserve">There are 66 courts of general jurisdiction (“basic courts”) on the territory of the Republic of Serbia, 25 higher courts, 4 appellate courts, 44 magistrate courts, three appellate magistrate courts and three administrative courts. These courts cover the territory of the Republic of Serbia through being situated in different municipalities and covering neighbouring municipalities in cases when those do not have a court established at their territory. However, all these courts are situated in urban centres and are therefore not equally available or accessible to older persons living in urban, </w:t>
      </w:r>
      <w:r w:rsidR="001132E3" w:rsidRPr="003537D2">
        <w:rPr>
          <w:rFonts w:ascii="Times New Roman" w:hAnsi="Times New Roman" w:cs="Times New Roman"/>
        </w:rPr>
        <w:t>rural,</w:t>
      </w:r>
      <w:r w:rsidRPr="003537D2">
        <w:rPr>
          <w:rFonts w:ascii="Times New Roman" w:hAnsi="Times New Roman" w:cs="Times New Roman"/>
        </w:rPr>
        <w:t xml:space="preserve"> or remote areas.</w:t>
      </w:r>
      <w:r w:rsidR="00480CF0">
        <w:rPr>
          <w:rFonts w:ascii="Times New Roman" w:hAnsi="Times New Roman" w:cs="Times New Roman"/>
        </w:rPr>
        <w:t xml:space="preserve"> </w:t>
      </w:r>
      <w:r w:rsidR="00480CF0" w:rsidRPr="0060727E">
        <w:rPr>
          <w:rFonts w:ascii="Times New Roman" w:eastAsia="Times New Roman" w:hAnsi="Times New Roman"/>
          <w:sz w:val="24"/>
          <w:szCs w:val="24"/>
        </w:rPr>
        <w:t>Financial expenses related to different processes in accessing justice systems are identified as frequent barrier for many Serbian citizens – 63% of the polled citizens from general population say that they will try to avoid going to court if they can due to prohibitively high costs. More than half of those who have gone through court proceedings consider the incurred costs as excessive.</w:t>
      </w:r>
      <w:r w:rsidR="00480CF0" w:rsidRPr="0060727E">
        <w:rPr>
          <w:rStyle w:val="FootnoteReference"/>
          <w:rFonts w:ascii="Times New Roman" w:eastAsia="Times New Roman" w:hAnsi="Times New Roman"/>
          <w:sz w:val="24"/>
          <w:szCs w:val="24"/>
        </w:rPr>
        <w:footnoteReference w:id="9"/>
      </w:r>
    </w:p>
    <w:p w:rsidR="00A40C01" w:rsidRPr="003537D2" w:rsidRDefault="00A40C01" w:rsidP="003537D2">
      <w:pPr>
        <w:spacing w:after="0" w:line="240" w:lineRule="auto"/>
        <w:jc w:val="both"/>
        <w:rPr>
          <w:rFonts w:ascii="Times New Roman" w:hAnsi="Times New Roman" w:cs="Times New Roman"/>
        </w:rPr>
      </w:pPr>
    </w:p>
    <w:p w:rsidR="003E2A12" w:rsidRPr="003E2A12" w:rsidRDefault="003E2A12" w:rsidP="003E2A12">
      <w:pPr>
        <w:pStyle w:val="ListParagraph"/>
        <w:rPr>
          <w:rFonts w:ascii="Times New Roman" w:hAnsi="Times New Roman" w:cs="Times New Roman"/>
        </w:rPr>
      </w:pPr>
    </w:p>
    <w:p w:rsidR="003E2A12" w:rsidRPr="00B90076" w:rsidRDefault="003E2A12" w:rsidP="003E2A12">
      <w:pPr>
        <w:pStyle w:val="ListParagraph"/>
        <w:numPr>
          <w:ilvl w:val="0"/>
          <w:numId w:val="3"/>
        </w:numPr>
        <w:spacing w:after="0" w:line="240" w:lineRule="auto"/>
        <w:jc w:val="both"/>
        <w:rPr>
          <w:rFonts w:ascii="Times New Roman" w:hAnsi="Times New Roman" w:cs="Times New Roman"/>
        </w:rPr>
      </w:pPr>
      <w:r w:rsidRPr="003E2A12">
        <w:rPr>
          <w:rFonts w:ascii="Times New Roman" w:hAnsi="Times New Roman" w:cs="Times New Roman"/>
          <w:b/>
          <w:bCs/>
        </w:rPr>
        <w:t>Access to information</w:t>
      </w:r>
      <w:r w:rsidRPr="003E2A12">
        <w:rPr>
          <w:rFonts w:ascii="Times New Roman" w:hAnsi="Times New Roman" w:cs="Times New Roman"/>
        </w:rPr>
        <w:t xml:space="preserve">: </w:t>
      </w:r>
      <w:r w:rsidRPr="003E2A12">
        <w:rPr>
          <w:rFonts w:ascii="Times New Roman" w:eastAsia="Times New Roman" w:hAnsi="Times New Roman" w:cs="Times New Roman"/>
        </w:rPr>
        <w:t>How do you raise awareness about violence against older persons</w:t>
      </w:r>
      <w:r w:rsidR="00694761">
        <w:rPr>
          <w:rFonts w:ascii="Times New Roman" w:eastAsia="Times New Roman" w:hAnsi="Times New Roman" w:cs="Times New Roman"/>
        </w:rPr>
        <w:t xml:space="preserve"> in the public</w:t>
      </w:r>
      <w:r w:rsidRPr="003E2A12">
        <w:rPr>
          <w:rFonts w:ascii="Times New Roman" w:eastAsia="Times New Roman" w:hAnsi="Times New Roman" w:cs="Times New Roman"/>
        </w:rPr>
        <w:t>? How do</w:t>
      </w:r>
      <w:r w:rsidR="00F73014">
        <w:rPr>
          <w:rFonts w:ascii="Times New Roman" w:eastAsia="Times New Roman" w:hAnsi="Times New Roman" w:cs="Times New Roman"/>
        </w:rPr>
        <w:t xml:space="preserve">es information </w:t>
      </w:r>
      <w:r w:rsidR="00C5353D">
        <w:rPr>
          <w:rFonts w:ascii="Times New Roman" w:eastAsia="Times New Roman" w:hAnsi="Times New Roman" w:cs="Times New Roman"/>
        </w:rPr>
        <w:t>about access to</w:t>
      </w:r>
      <w:r w:rsidR="00F73014">
        <w:rPr>
          <w:rFonts w:ascii="Times New Roman" w:eastAsia="Times New Roman" w:hAnsi="Times New Roman" w:cs="Times New Roman"/>
        </w:rPr>
        <w:t xml:space="preserve"> essential services </w:t>
      </w:r>
      <w:r w:rsidRPr="003E2A12">
        <w:rPr>
          <w:rFonts w:ascii="Times New Roman" w:eastAsia="Times New Roman" w:hAnsi="Times New Roman" w:cs="Times New Roman"/>
        </w:rPr>
        <w:t>(</w:t>
      </w:r>
      <w:r w:rsidR="00434D29">
        <w:rPr>
          <w:rFonts w:ascii="Times New Roman" w:eastAsia="Times New Roman" w:hAnsi="Times New Roman" w:cs="Times New Roman"/>
        </w:rPr>
        <w:t xml:space="preserve">e.g. </w:t>
      </w:r>
      <w:r w:rsidR="00813C70">
        <w:rPr>
          <w:rFonts w:ascii="Times New Roman" w:eastAsia="Times New Roman" w:hAnsi="Times New Roman" w:cs="Times New Roman"/>
        </w:rPr>
        <w:t xml:space="preserve">healthcare, legal assistance, </w:t>
      </w:r>
      <w:r w:rsidR="00A245C2">
        <w:rPr>
          <w:rFonts w:ascii="Times New Roman" w:eastAsia="Times New Roman" w:hAnsi="Times New Roman" w:cs="Times New Roman"/>
        </w:rPr>
        <w:t xml:space="preserve">social services, </w:t>
      </w:r>
      <w:r w:rsidR="00813C70">
        <w:rPr>
          <w:rFonts w:ascii="Times New Roman" w:eastAsia="Times New Roman" w:hAnsi="Times New Roman" w:cs="Times New Roman"/>
        </w:rPr>
        <w:t>access to shelters</w:t>
      </w:r>
      <w:r w:rsidRPr="003E2A12">
        <w:rPr>
          <w:rFonts w:ascii="Times New Roman" w:eastAsia="Times New Roman" w:hAnsi="Times New Roman" w:cs="Times New Roman"/>
        </w:rPr>
        <w:t xml:space="preserve">) </w:t>
      </w:r>
      <w:r w:rsidR="00813C70">
        <w:rPr>
          <w:rFonts w:ascii="Times New Roman" w:eastAsia="Times New Roman" w:hAnsi="Times New Roman" w:cs="Times New Roman"/>
        </w:rPr>
        <w:t>is made</w:t>
      </w:r>
      <w:r w:rsidRPr="003E2A12">
        <w:rPr>
          <w:rFonts w:ascii="Times New Roman" w:eastAsia="Times New Roman" w:hAnsi="Times New Roman" w:cs="Times New Roman"/>
        </w:rPr>
        <w:t xml:space="preserve"> accessible </w:t>
      </w:r>
      <w:r w:rsidR="00813C70">
        <w:rPr>
          <w:rFonts w:ascii="Times New Roman" w:eastAsia="Times New Roman" w:hAnsi="Times New Roman" w:cs="Times New Roman"/>
        </w:rPr>
        <w:t xml:space="preserve">and available </w:t>
      </w:r>
      <w:r w:rsidRPr="003E2A12">
        <w:rPr>
          <w:rFonts w:ascii="Times New Roman" w:eastAsia="Times New Roman" w:hAnsi="Times New Roman" w:cs="Times New Roman"/>
        </w:rPr>
        <w:t xml:space="preserve">for older </w:t>
      </w:r>
      <w:r w:rsidR="00ED6821" w:rsidRPr="003E2A12">
        <w:rPr>
          <w:rFonts w:ascii="Times New Roman" w:eastAsia="Times New Roman" w:hAnsi="Times New Roman" w:cs="Times New Roman"/>
        </w:rPr>
        <w:t>persons?</w:t>
      </w:r>
    </w:p>
    <w:p w:rsidR="006C6FBA" w:rsidRDefault="006C6FBA" w:rsidP="00B90076">
      <w:pPr>
        <w:spacing w:after="0" w:line="240" w:lineRule="auto"/>
        <w:jc w:val="both"/>
        <w:rPr>
          <w:rFonts w:ascii="Times New Roman" w:hAnsi="Times New Roman" w:cs="Times New Roman"/>
        </w:rPr>
      </w:pPr>
    </w:p>
    <w:p w:rsidR="00B90076" w:rsidRDefault="006C6FBA" w:rsidP="00B90076">
      <w:pPr>
        <w:spacing w:after="0" w:line="240" w:lineRule="auto"/>
        <w:jc w:val="both"/>
        <w:rPr>
          <w:rFonts w:ascii="Times New Roman" w:eastAsia="Times New Roman" w:hAnsi="Times New Roman" w:cs="Times New Roman"/>
        </w:rPr>
      </w:pPr>
      <w:r>
        <w:rPr>
          <w:rFonts w:ascii="Times New Roman" w:hAnsi="Times New Roman" w:cs="Times New Roman"/>
        </w:rPr>
        <w:t xml:space="preserve">Currently, there is virtually no efforts to raise </w:t>
      </w:r>
      <w:r w:rsidRPr="003E2A12">
        <w:rPr>
          <w:rFonts w:ascii="Times New Roman" w:eastAsia="Times New Roman" w:hAnsi="Times New Roman" w:cs="Times New Roman"/>
        </w:rPr>
        <w:t>awareness about violence against older persons</w:t>
      </w:r>
      <w:r>
        <w:rPr>
          <w:rFonts w:ascii="Times New Roman" w:eastAsia="Times New Roman" w:hAnsi="Times New Roman" w:cs="Times New Roman"/>
        </w:rPr>
        <w:t xml:space="preserve"> in the public except for the campaigns implemented by the civil sector </w:t>
      </w:r>
      <w:r w:rsidR="00463A9C">
        <w:rPr>
          <w:rFonts w:ascii="Times New Roman" w:eastAsia="Times New Roman" w:hAnsi="Times New Roman" w:cs="Times New Roman"/>
        </w:rPr>
        <w:t>– such as the Red Cross of Serbia campaigns in 2021 including a street exhibition of photographs and a short film broadcast in post offices across the country for three months. The information on essential services</w:t>
      </w:r>
      <w:r w:rsidR="00550F7F">
        <w:rPr>
          <w:rFonts w:ascii="Times New Roman" w:eastAsia="Times New Roman" w:hAnsi="Times New Roman" w:cs="Times New Roman"/>
        </w:rPr>
        <w:t xml:space="preserve"> has been summarised through providing printed leaflets by the Red Cross of Serbia in the same year containing telephone numbers for reporting domestic violence and distributed through Red Cross branches to older persons across the country. </w:t>
      </w:r>
      <w:r w:rsidR="00D15FE0">
        <w:rPr>
          <w:rFonts w:ascii="Times New Roman" w:eastAsia="Times New Roman" w:hAnsi="Times New Roman" w:cs="Times New Roman"/>
        </w:rPr>
        <w:t xml:space="preserve">The Red Cross of Serbia has with INPEA support initiated marking of the World Elder Abuse Awareness Day in Serbia and since </w:t>
      </w:r>
      <w:r w:rsidR="002736E6">
        <w:rPr>
          <w:rFonts w:ascii="Times New Roman" w:eastAsia="Times New Roman" w:hAnsi="Times New Roman" w:cs="Times New Roman"/>
        </w:rPr>
        <w:t>2009</w:t>
      </w:r>
      <w:r w:rsidR="00D15FE0">
        <w:rPr>
          <w:rFonts w:ascii="Times New Roman" w:eastAsia="Times New Roman" w:hAnsi="Times New Roman" w:cs="Times New Roman"/>
        </w:rPr>
        <w:t xml:space="preserve"> this </w:t>
      </w:r>
      <w:r w:rsidR="00750C62">
        <w:rPr>
          <w:rFonts w:ascii="Times New Roman" w:eastAsia="Times New Roman" w:hAnsi="Times New Roman" w:cs="Times New Roman"/>
        </w:rPr>
        <w:t xml:space="preserve">event has been the nexus of discussion but also information sharing about violence against older persons in the national </w:t>
      </w:r>
      <w:r w:rsidR="002736E6">
        <w:rPr>
          <w:rFonts w:ascii="Times New Roman" w:eastAsia="Times New Roman" w:hAnsi="Times New Roman" w:cs="Times New Roman"/>
        </w:rPr>
        <w:t xml:space="preserve">and international </w:t>
      </w:r>
      <w:r w:rsidR="00750C62">
        <w:rPr>
          <w:rFonts w:ascii="Times New Roman" w:eastAsia="Times New Roman" w:hAnsi="Times New Roman" w:cs="Times New Roman"/>
        </w:rPr>
        <w:t xml:space="preserve">context. </w:t>
      </w:r>
    </w:p>
    <w:p w:rsidR="00A40C01" w:rsidRPr="00B90076" w:rsidRDefault="00A40C01" w:rsidP="00B90076">
      <w:pPr>
        <w:spacing w:after="0" w:line="240" w:lineRule="auto"/>
        <w:jc w:val="both"/>
        <w:rPr>
          <w:rFonts w:ascii="Times New Roman" w:hAnsi="Times New Roman" w:cs="Times New Roman"/>
        </w:rPr>
      </w:pPr>
      <w:bookmarkStart w:id="0" w:name="_GoBack"/>
      <w:bookmarkEnd w:id="0"/>
    </w:p>
    <w:p w:rsidR="003A75D3" w:rsidRPr="003A75D3" w:rsidRDefault="003A75D3" w:rsidP="003A75D3">
      <w:pPr>
        <w:pStyle w:val="ListParagraph"/>
        <w:rPr>
          <w:rStyle w:val="normaltextrun"/>
          <w:lang w:val="en-US"/>
        </w:rPr>
      </w:pPr>
    </w:p>
    <w:p w:rsidR="003A75D3" w:rsidRDefault="003A75D3" w:rsidP="003A75D3">
      <w:pPr>
        <w:pStyle w:val="ListParagraph"/>
        <w:numPr>
          <w:ilvl w:val="0"/>
          <w:numId w:val="3"/>
        </w:numPr>
        <w:jc w:val="both"/>
        <w:rPr>
          <w:rFonts w:ascii="Times New Roman" w:hAnsi="Times New Roman" w:cs="Times New Roman"/>
        </w:rPr>
      </w:pPr>
      <w:r w:rsidRPr="003A75D3">
        <w:rPr>
          <w:rFonts w:ascii="Times New Roman" w:hAnsi="Times New Roman" w:cs="Times New Roman"/>
        </w:rPr>
        <w:t xml:space="preserve">Please </w:t>
      </w:r>
      <w:r>
        <w:rPr>
          <w:rFonts w:ascii="Times New Roman" w:hAnsi="Times New Roman" w:cs="Times New Roman"/>
        </w:rPr>
        <w:t>provide</w:t>
      </w:r>
      <w:r w:rsidRPr="003A75D3">
        <w:rPr>
          <w:rFonts w:ascii="Times New Roman" w:hAnsi="Times New Roman" w:cs="Times New Roman"/>
        </w:rPr>
        <w:t xml:space="preserve"> examples of </w:t>
      </w:r>
      <w:r w:rsidRPr="002C65C8">
        <w:rPr>
          <w:rFonts w:ascii="Times New Roman" w:hAnsi="Times New Roman" w:cs="Times New Roman"/>
          <w:b/>
          <w:bCs/>
        </w:rPr>
        <w:t>good practices</w:t>
      </w:r>
      <w:r w:rsidRPr="003A75D3">
        <w:rPr>
          <w:rFonts w:ascii="Times New Roman" w:hAnsi="Times New Roman" w:cs="Times New Roman"/>
        </w:rPr>
        <w:t xml:space="preserve"> </w:t>
      </w:r>
      <w:r w:rsidR="005E7F2C">
        <w:rPr>
          <w:rFonts w:ascii="Times New Roman" w:hAnsi="Times New Roman" w:cs="Times New Roman"/>
        </w:rPr>
        <w:t xml:space="preserve">for </w:t>
      </w:r>
      <w:r w:rsidR="0032562A">
        <w:rPr>
          <w:rFonts w:ascii="Times New Roman" w:hAnsi="Times New Roman" w:cs="Times New Roman"/>
        </w:rPr>
        <w:t xml:space="preserve">preventing, </w:t>
      </w:r>
      <w:r w:rsidR="005E7F2C">
        <w:rPr>
          <w:rFonts w:ascii="Times New Roman" w:hAnsi="Times New Roman" w:cs="Times New Roman"/>
        </w:rPr>
        <w:t>monitoring</w:t>
      </w:r>
      <w:r w:rsidR="00EE2F67">
        <w:rPr>
          <w:rFonts w:ascii="Times New Roman" w:hAnsi="Times New Roman" w:cs="Times New Roman"/>
        </w:rPr>
        <w:t xml:space="preserve"> and address</w:t>
      </w:r>
      <w:r w:rsidR="005E7F2C">
        <w:rPr>
          <w:rFonts w:ascii="Times New Roman" w:hAnsi="Times New Roman" w:cs="Times New Roman"/>
        </w:rPr>
        <w:t xml:space="preserve"> violence and abuse against older persons</w:t>
      </w:r>
      <w:r w:rsidR="00EE2F67">
        <w:rPr>
          <w:rFonts w:ascii="Times New Roman" w:hAnsi="Times New Roman" w:cs="Times New Roman"/>
        </w:rPr>
        <w:t xml:space="preserve">. </w:t>
      </w:r>
    </w:p>
    <w:p w:rsidR="004251D2" w:rsidRPr="004251D2" w:rsidRDefault="001C7DC8" w:rsidP="004251D2">
      <w:pPr>
        <w:jc w:val="both"/>
        <w:rPr>
          <w:rFonts w:ascii="Times New Roman" w:hAnsi="Times New Roman" w:cs="Times New Roman"/>
        </w:rPr>
      </w:pPr>
      <w:r>
        <w:rPr>
          <w:rFonts w:ascii="Times New Roman" w:hAnsi="Times New Roman" w:cs="Times New Roman"/>
        </w:rPr>
        <w:t xml:space="preserve">The Red Cross of Serbia has been active in providing training for informal caregivers over the past two years, working to ensure lowered risk of burnout among family carers which also contributes to lowered risk of elder abuse. At the same </w:t>
      </w:r>
      <w:r w:rsidR="00D27F3E">
        <w:rPr>
          <w:rFonts w:ascii="Times New Roman" w:hAnsi="Times New Roman" w:cs="Times New Roman"/>
        </w:rPr>
        <w:t>time,</w:t>
      </w:r>
      <w:r>
        <w:rPr>
          <w:rFonts w:ascii="Times New Roman" w:hAnsi="Times New Roman" w:cs="Times New Roman"/>
        </w:rPr>
        <w:t xml:space="preserve"> the Red Cross of Serbia has been actively working with older women for the past five years, providing information sessions related to the protection of their rights with emphasis on institutional protection from violence, reporting procedures etc. The brochures and leaflets produced by the Red Cross of Serbia have been distributed to</w:t>
      </w:r>
      <w:r w:rsidR="00D27F3E">
        <w:rPr>
          <w:rFonts w:ascii="Times New Roman" w:hAnsi="Times New Roman" w:cs="Times New Roman"/>
        </w:rPr>
        <w:t xml:space="preserve"> </w:t>
      </w:r>
      <w:r>
        <w:rPr>
          <w:rFonts w:ascii="Times New Roman" w:hAnsi="Times New Roman" w:cs="Times New Roman"/>
        </w:rPr>
        <w:t xml:space="preserve">older women across the national territory, </w:t>
      </w:r>
      <w:r w:rsidR="00D27F3E">
        <w:rPr>
          <w:rFonts w:ascii="Times New Roman" w:hAnsi="Times New Roman" w:cs="Times New Roman"/>
        </w:rPr>
        <w:t xml:space="preserve">highlighting the specific risks of violence that are typical for older persons and women and providing clear information on how and where to report the violence. This activity has been supported by the Serbian Ministry of Interior as well. The above quoted regional survey on violence against older women is another good practice example with the Red Cross of Serbia and INPEA </w:t>
      </w:r>
      <w:r w:rsidR="005A5B13">
        <w:rPr>
          <w:rFonts w:ascii="Times New Roman" w:hAnsi="Times New Roman" w:cs="Times New Roman"/>
        </w:rPr>
        <w:t xml:space="preserve">being supported by UNFPA and European Union and OECD providing the database which was used in the survey. </w:t>
      </w:r>
    </w:p>
    <w:p w:rsidR="006440A3" w:rsidRPr="00A40C01" w:rsidRDefault="008E2650" w:rsidP="00A40C01">
      <w:pPr>
        <w:pStyle w:val="NormalWeb"/>
        <w:shd w:val="clear" w:color="auto" w:fill="FFFFFF"/>
        <w:spacing w:before="0" w:beforeAutospacing="0" w:after="150" w:afterAutospacing="0"/>
        <w:rPr>
          <w:color w:val="000000"/>
          <w:sz w:val="22"/>
          <w:szCs w:val="22"/>
        </w:rPr>
      </w:pPr>
      <w:r w:rsidRPr="00AB6D03">
        <w:rPr>
          <w:sz w:val="22"/>
          <w:szCs w:val="22"/>
        </w:rPr>
        <w:lastRenderedPageBreak/>
        <w:t xml:space="preserve">Thank you for sharing any relevant information about </w:t>
      </w:r>
      <w:r w:rsidR="007F3A67">
        <w:rPr>
          <w:sz w:val="22"/>
          <w:szCs w:val="22"/>
        </w:rPr>
        <w:t xml:space="preserve">violence, abuse and neglect </w:t>
      </w:r>
      <w:r w:rsidR="00E33FCB">
        <w:rPr>
          <w:sz w:val="22"/>
          <w:szCs w:val="22"/>
        </w:rPr>
        <w:t xml:space="preserve">against </w:t>
      </w:r>
      <w:r w:rsidRPr="00AB6D03">
        <w:rPr>
          <w:sz w:val="22"/>
          <w:szCs w:val="22"/>
        </w:rPr>
        <w:t xml:space="preserve">older persons </w:t>
      </w:r>
      <w:r w:rsidRPr="00AB6D03">
        <w:rPr>
          <w:b/>
          <w:bCs/>
          <w:sz w:val="22"/>
          <w:szCs w:val="22"/>
        </w:rPr>
        <w:t xml:space="preserve">before </w:t>
      </w:r>
      <w:r w:rsidRPr="003B3CF7">
        <w:rPr>
          <w:b/>
          <w:bCs/>
          <w:sz w:val="22"/>
          <w:szCs w:val="22"/>
        </w:rPr>
        <w:t>1 March 2023</w:t>
      </w:r>
      <w:r w:rsidRPr="00AB6D03">
        <w:rPr>
          <w:sz w:val="22"/>
          <w:szCs w:val="22"/>
        </w:rPr>
        <w:t xml:space="preserve">, </w:t>
      </w:r>
      <w:r w:rsidRPr="00AB6D03">
        <w:rPr>
          <w:color w:val="000000"/>
          <w:sz w:val="22"/>
          <w:szCs w:val="22"/>
        </w:rPr>
        <w:t xml:space="preserve">in English, French or </w:t>
      </w:r>
      <w:r w:rsidRPr="008E2650">
        <w:rPr>
          <w:color w:val="000000"/>
          <w:sz w:val="22"/>
          <w:szCs w:val="22"/>
        </w:rPr>
        <w:t>Spanish in attachment</w:t>
      </w:r>
      <w:r w:rsidR="00CB5143">
        <w:rPr>
          <w:color w:val="000000"/>
          <w:sz w:val="22"/>
          <w:szCs w:val="22"/>
        </w:rPr>
        <w:t xml:space="preserve"> </w:t>
      </w:r>
      <w:r w:rsidR="00CB5143" w:rsidRPr="001E355B">
        <w:t>(max. 1,500 words)</w:t>
      </w:r>
      <w:r w:rsidRPr="008E2650">
        <w:rPr>
          <w:color w:val="000000"/>
          <w:sz w:val="22"/>
          <w:szCs w:val="22"/>
        </w:rPr>
        <w:t xml:space="preserve"> by email to </w:t>
      </w:r>
      <w:hyperlink r:id="rId11" w:history="1">
        <w:r w:rsidRPr="008E2650">
          <w:rPr>
            <w:rStyle w:val="Hyperlink"/>
            <w:sz w:val="22"/>
            <w:szCs w:val="22"/>
          </w:rPr>
          <w:t>hrc-ie-olderpersons@un.org</w:t>
        </w:r>
      </w:hyperlink>
      <w:r w:rsidRPr="008E2650">
        <w:rPr>
          <w:color w:val="000000"/>
          <w:sz w:val="22"/>
          <w:szCs w:val="22"/>
        </w:rPr>
        <w:t xml:space="preserve">. </w:t>
      </w:r>
    </w:p>
    <w:p w:rsidR="00D72E0D" w:rsidRPr="00514115" w:rsidRDefault="00D72E0D" w:rsidP="00D72E0D">
      <w:pPr>
        <w:jc w:val="right"/>
        <w:rPr>
          <w:rFonts w:ascii="Times New Roman" w:hAnsi="Times New Roman" w:cs="Times New Roman"/>
        </w:rPr>
      </w:pPr>
      <w:r w:rsidRPr="00514115">
        <w:rPr>
          <w:rFonts w:ascii="Times New Roman" w:hAnsi="Times New Roman" w:cs="Times New Roman"/>
        </w:rPr>
        <w:t>Red Cross of Serbia and INPEA</w:t>
      </w:r>
    </w:p>
    <w:p w:rsidR="00D72E0D" w:rsidRPr="00514115" w:rsidRDefault="00D72E0D" w:rsidP="00D72E0D">
      <w:pPr>
        <w:jc w:val="right"/>
        <w:rPr>
          <w:rFonts w:ascii="Times New Roman" w:hAnsi="Times New Roman" w:cs="Times New Roman"/>
        </w:rPr>
      </w:pPr>
      <w:r w:rsidRPr="00514115">
        <w:rPr>
          <w:rFonts w:ascii="Times New Roman" w:hAnsi="Times New Roman" w:cs="Times New Roman"/>
        </w:rPr>
        <w:t>Nataša Todorović</w:t>
      </w:r>
    </w:p>
    <w:p w:rsidR="00D72E0D" w:rsidRPr="00514115" w:rsidRDefault="00D72E0D" w:rsidP="00D72E0D">
      <w:pPr>
        <w:jc w:val="right"/>
        <w:rPr>
          <w:rFonts w:ascii="Times New Roman" w:hAnsi="Times New Roman" w:cs="Times New Roman"/>
        </w:rPr>
      </w:pPr>
      <w:r w:rsidRPr="00514115">
        <w:rPr>
          <w:rFonts w:ascii="Times New Roman" w:hAnsi="Times New Roman" w:cs="Times New Roman"/>
        </w:rPr>
        <w:t>Milutin Vračević</w:t>
      </w:r>
    </w:p>
    <w:p w:rsidR="00D72E0D" w:rsidRPr="00514115" w:rsidRDefault="00D72E0D" w:rsidP="00D72E0D">
      <w:pPr>
        <w:jc w:val="right"/>
        <w:rPr>
          <w:rFonts w:ascii="Times New Roman" w:hAnsi="Times New Roman" w:cs="Times New Roman"/>
        </w:rPr>
      </w:pPr>
      <w:r w:rsidRPr="00514115">
        <w:rPr>
          <w:rFonts w:ascii="Times New Roman" w:hAnsi="Times New Roman" w:cs="Times New Roman"/>
        </w:rPr>
        <w:t xml:space="preserve">Patricia </w:t>
      </w:r>
      <w:r w:rsidR="00AD391A" w:rsidRPr="00514115">
        <w:rPr>
          <w:rFonts w:ascii="Times New Roman" w:hAnsi="Times New Roman" w:cs="Times New Roman"/>
        </w:rPr>
        <w:t>Brownell</w:t>
      </w:r>
    </w:p>
    <w:p w:rsidR="00D72E0D" w:rsidRPr="00514115" w:rsidRDefault="00D72E0D" w:rsidP="00D72E0D">
      <w:pPr>
        <w:jc w:val="right"/>
        <w:rPr>
          <w:rFonts w:ascii="Times New Roman" w:hAnsi="Times New Roman" w:cs="Times New Roman"/>
        </w:rPr>
      </w:pPr>
      <w:r w:rsidRPr="00514115">
        <w:rPr>
          <w:rFonts w:ascii="Times New Roman" w:hAnsi="Times New Roman" w:cs="Times New Roman"/>
        </w:rPr>
        <w:t>Susan Somers</w:t>
      </w:r>
    </w:p>
    <w:p w:rsidR="00D72E0D" w:rsidRDefault="00D72E0D" w:rsidP="00D72E0D">
      <w:pPr>
        <w:jc w:val="right"/>
      </w:pPr>
    </w:p>
    <w:sectPr w:rsidR="00D72E0D" w:rsidSect="003760E2">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18F" w:rsidRDefault="00A5718F" w:rsidP="008E2650">
      <w:pPr>
        <w:spacing w:after="0" w:line="240" w:lineRule="auto"/>
      </w:pPr>
      <w:r>
        <w:separator/>
      </w:r>
    </w:p>
  </w:endnote>
  <w:endnote w:type="continuationSeparator" w:id="0">
    <w:p w:rsidR="00A5718F" w:rsidRDefault="00A5718F" w:rsidP="008E2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18F" w:rsidRDefault="00A5718F" w:rsidP="008E2650">
      <w:pPr>
        <w:spacing w:after="0" w:line="240" w:lineRule="auto"/>
      </w:pPr>
      <w:r>
        <w:separator/>
      </w:r>
    </w:p>
  </w:footnote>
  <w:footnote w:type="continuationSeparator" w:id="0">
    <w:p w:rsidR="00A5718F" w:rsidRDefault="00A5718F" w:rsidP="008E2650">
      <w:pPr>
        <w:spacing w:after="0" w:line="240" w:lineRule="auto"/>
      </w:pPr>
      <w:r>
        <w:continuationSeparator/>
      </w:r>
    </w:p>
  </w:footnote>
  <w:footnote w:id="1">
    <w:p w:rsidR="00291ED9" w:rsidRPr="00291ED9" w:rsidRDefault="00291ED9">
      <w:pPr>
        <w:pStyle w:val="FootnoteText"/>
        <w:rPr>
          <w:lang w:val="sr-Latn-RS"/>
        </w:rPr>
      </w:pPr>
      <w:r>
        <w:rPr>
          <w:rStyle w:val="FootnoteReference"/>
        </w:rPr>
        <w:footnoteRef/>
      </w:r>
      <w:r>
        <w:t xml:space="preserve"> </w:t>
      </w:r>
      <w:hyperlink r:id="rId1" w:history="1">
        <w:r w:rsidRPr="00F23B69">
          <w:rPr>
            <w:rStyle w:val="Hyperlink"/>
          </w:rPr>
          <w:t>https://www.paragraf.rs/propisi/ustav_republike_srbije.html</w:t>
        </w:r>
      </w:hyperlink>
      <w:r>
        <w:t xml:space="preserve"> </w:t>
      </w:r>
    </w:p>
  </w:footnote>
  <w:footnote w:id="2">
    <w:p w:rsidR="00D45C99" w:rsidRPr="00D45C99" w:rsidRDefault="00D45C99">
      <w:pPr>
        <w:pStyle w:val="FootnoteText"/>
        <w:rPr>
          <w:lang w:val="sr-Latn-RS"/>
        </w:rPr>
      </w:pPr>
      <w:r>
        <w:rPr>
          <w:rStyle w:val="FootnoteReference"/>
        </w:rPr>
        <w:footnoteRef/>
      </w:r>
      <w:r>
        <w:t xml:space="preserve"> </w:t>
      </w:r>
      <w:hyperlink r:id="rId2" w:history="1">
        <w:r w:rsidRPr="00F23B69">
          <w:rPr>
            <w:rStyle w:val="Hyperlink"/>
          </w:rPr>
          <w:t>https://www.paragraf.rs/propisi/zakon_o_zabrani_diskriminacije.html</w:t>
        </w:r>
      </w:hyperlink>
      <w:r>
        <w:t xml:space="preserve"> </w:t>
      </w:r>
    </w:p>
  </w:footnote>
  <w:footnote w:id="3">
    <w:p w:rsidR="001745AC" w:rsidRPr="001745AC" w:rsidRDefault="001745AC">
      <w:pPr>
        <w:pStyle w:val="FootnoteText"/>
        <w:rPr>
          <w:lang w:val="sr-Latn-RS"/>
        </w:rPr>
      </w:pPr>
      <w:r>
        <w:rPr>
          <w:rStyle w:val="FootnoteReference"/>
        </w:rPr>
        <w:footnoteRef/>
      </w:r>
      <w:r>
        <w:t xml:space="preserve"> </w:t>
      </w:r>
      <w:hyperlink r:id="rId3" w:history="1">
        <w:r w:rsidRPr="00F23B69">
          <w:rPr>
            <w:rStyle w:val="Hyperlink"/>
          </w:rPr>
          <w:t>https://ravnopravnost.gov.rs/en/</w:t>
        </w:r>
      </w:hyperlink>
      <w:r>
        <w:t xml:space="preserve"> </w:t>
      </w:r>
    </w:p>
  </w:footnote>
  <w:footnote w:id="4">
    <w:p w:rsidR="00350E26" w:rsidRPr="00350E26" w:rsidRDefault="00350E26">
      <w:pPr>
        <w:pStyle w:val="FootnoteText"/>
        <w:rPr>
          <w:lang w:val="sr-Latn-RS"/>
        </w:rPr>
      </w:pPr>
      <w:r>
        <w:rPr>
          <w:rStyle w:val="FootnoteReference"/>
        </w:rPr>
        <w:footnoteRef/>
      </w:r>
      <w:r>
        <w:t xml:space="preserve"> </w:t>
      </w:r>
      <w:hyperlink r:id="rId4" w:history="1">
        <w:r w:rsidRPr="00F23B69">
          <w:rPr>
            <w:rStyle w:val="Hyperlink"/>
          </w:rPr>
          <w:t>https://www.paragraf.rs/propisi/zakon_o_sprecavanju_nasilja_u_porodici.html</w:t>
        </w:r>
      </w:hyperlink>
      <w:r>
        <w:t xml:space="preserve"> </w:t>
      </w:r>
    </w:p>
  </w:footnote>
  <w:footnote w:id="5">
    <w:p w:rsidR="00955C23" w:rsidRPr="00955C23" w:rsidRDefault="00955C23">
      <w:pPr>
        <w:pStyle w:val="FootnoteText"/>
        <w:rPr>
          <w:lang w:val="sr-Latn-RS"/>
        </w:rPr>
      </w:pPr>
      <w:r>
        <w:rPr>
          <w:rStyle w:val="FootnoteReference"/>
        </w:rPr>
        <w:footnoteRef/>
      </w:r>
      <w:r>
        <w:t xml:space="preserve"> </w:t>
      </w:r>
      <w:hyperlink r:id="rId5" w:history="1">
        <w:r w:rsidRPr="00F23B69">
          <w:rPr>
            <w:rStyle w:val="Hyperlink"/>
          </w:rPr>
          <w:t>https://www.sigurnakuca.net/sites/default/files/inline-files/LjubicastiTekst.pdf</w:t>
        </w:r>
      </w:hyperlink>
      <w:r>
        <w:t xml:space="preserve"> </w:t>
      </w:r>
    </w:p>
  </w:footnote>
  <w:footnote w:id="6">
    <w:p w:rsidR="0030679F" w:rsidRPr="0030679F" w:rsidRDefault="0030679F">
      <w:pPr>
        <w:pStyle w:val="FootnoteText"/>
        <w:rPr>
          <w:lang w:val="sr-Latn-RS"/>
        </w:rPr>
      </w:pPr>
      <w:r>
        <w:rPr>
          <w:rStyle w:val="FootnoteReference"/>
        </w:rPr>
        <w:footnoteRef/>
      </w:r>
      <w:r>
        <w:t xml:space="preserve"> </w:t>
      </w:r>
      <w:hyperlink r:id="rId6" w:history="1">
        <w:r w:rsidRPr="00F23B69">
          <w:rPr>
            <w:rStyle w:val="Hyperlink"/>
          </w:rPr>
          <w:t>https://www.redcross.org.rs/media/1670/dobro-cuvana-porodicna-tajna-e-knjiga.pdf</w:t>
        </w:r>
      </w:hyperlink>
      <w:r>
        <w:t xml:space="preserve"> </w:t>
      </w:r>
    </w:p>
  </w:footnote>
  <w:footnote w:id="7">
    <w:p w:rsidR="005108FE" w:rsidRPr="005108FE" w:rsidRDefault="005108FE">
      <w:pPr>
        <w:pStyle w:val="FootnoteText"/>
        <w:rPr>
          <w:lang w:val="sr-Latn-RS"/>
        </w:rPr>
      </w:pPr>
      <w:r>
        <w:rPr>
          <w:rStyle w:val="FootnoteReference"/>
        </w:rPr>
        <w:footnoteRef/>
      </w:r>
      <w:r>
        <w:t xml:space="preserve"> </w:t>
      </w:r>
      <w:hyperlink r:id="rId7" w:history="1">
        <w:r w:rsidRPr="00F23B69">
          <w:rPr>
            <w:rStyle w:val="Hyperlink"/>
          </w:rPr>
          <w:t>https://www.redcross.org.rs/media/7139/na-nicijoj-zemlji-web-low-res.pdf</w:t>
        </w:r>
      </w:hyperlink>
      <w:r>
        <w:t xml:space="preserve"> </w:t>
      </w:r>
    </w:p>
  </w:footnote>
  <w:footnote w:id="8">
    <w:p w:rsidR="00480CF0" w:rsidRPr="00480CF0" w:rsidRDefault="00480CF0">
      <w:pPr>
        <w:pStyle w:val="FootnoteText"/>
        <w:rPr>
          <w:lang w:val="sr-Latn-RS"/>
        </w:rPr>
      </w:pPr>
      <w:r>
        <w:rPr>
          <w:rStyle w:val="FootnoteReference"/>
        </w:rPr>
        <w:footnoteRef/>
      </w:r>
      <w:r>
        <w:t xml:space="preserve"> </w:t>
      </w:r>
      <w:hyperlink r:id="rId8" w:history="1">
        <w:r w:rsidRPr="00F23B69">
          <w:rPr>
            <w:rStyle w:val="Hyperlink"/>
          </w:rPr>
          <w:t>https://www.paragraf.rs/propisi/zakon_o_zastiti_prava_na_sudjenje_u_razumnom_roku.html</w:t>
        </w:r>
      </w:hyperlink>
      <w:r>
        <w:t xml:space="preserve"> </w:t>
      </w:r>
    </w:p>
  </w:footnote>
  <w:footnote w:id="9">
    <w:p w:rsidR="00480CF0" w:rsidRPr="00E16399" w:rsidRDefault="00480CF0" w:rsidP="00480CF0">
      <w:pPr>
        <w:pStyle w:val="FootnoteText"/>
        <w:rPr>
          <w:lang w:val="sr-Latn-RS"/>
        </w:rPr>
      </w:pPr>
      <w:r>
        <w:rPr>
          <w:rStyle w:val="FootnoteReference"/>
        </w:rPr>
        <w:footnoteRef/>
      </w:r>
      <w:r>
        <w:t xml:space="preserve"> </w:t>
      </w:r>
      <w:hyperlink r:id="rId9" w:history="1">
        <w:r w:rsidRPr="002870E4">
          <w:rPr>
            <w:rStyle w:val="Hyperlink"/>
          </w:rPr>
          <w:t>https://www.mdtfjss.org.rs/data/pub/sjfr/sr/Funkcionalna-analiza-pravosudja-u-Srbiji.pdf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0E2" w:rsidRPr="003760E2" w:rsidRDefault="0006293B" w:rsidP="003760E2">
    <w:pPr>
      <w:tabs>
        <w:tab w:val="center" w:pos="4513"/>
        <w:tab w:val="right" w:pos="9026"/>
      </w:tabs>
      <w:spacing w:after="0" w:line="240" w:lineRule="auto"/>
      <w:jc w:val="center"/>
      <w:rPr>
        <w:rFonts w:ascii="Calibri" w:eastAsia="Calibri" w:hAnsi="Calibri" w:cs="Calibri"/>
        <w:sz w:val="14"/>
        <w:szCs w:val="14"/>
        <w:lang w:eastAsia="en-GB"/>
      </w:rPr>
    </w:pPr>
    <w:r w:rsidRPr="003760E2">
      <w:rPr>
        <w:rFonts w:ascii="Calibri" w:eastAsia="Calibri" w:hAnsi="Calibri" w:cs="Calibri"/>
        <w:noProof/>
        <w:sz w:val="14"/>
        <w:szCs w:val="14"/>
        <w:lang w:val="en-US" w:eastAsia="en-US"/>
      </w:rPr>
      <w:drawing>
        <wp:inline distT="0" distB="0" distL="0" distR="0" wp14:anchorId="49B27A85" wp14:editId="5F131FB3">
          <wp:extent cx="2838450" cy="1216660"/>
          <wp:effectExtent l="0" t="0" r="0" b="0"/>
          <wp:docPr id="4"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6660"/>
                  </a:xfrm>
                  <a:prstGeom prst="rect">
                    <a:avLst/>
                  </a:prstGeom>
                  <a:noFill/>
                  <a:ln>
                    <a:noFill/>
                  </a:ln>
                </pic:spPr>
              </pic:pic>
            </a:graphicData>
          </a:graphic>
        </wp:inline>
      </w:drawing>
    </w:r>
  </w:p>
  <w:p w:rsidR="003760E2" w:rsidRPr="003760E2" w:rsidRDefault="0006293B" w:rsidP="003760E2">
    <w:pPr>
      <w:tabs>
        <w:tab w:val="right" w:pos="3686"/>
        <w:tab w:val="center" w:pos="4513"/>
        <w:tab w:val="left" w:pos="5812"/>
        <w:tab w:val="right" w:pos="9026"/>
      </w:tabs>
      <w:spacing w:after="0" w:line="240" w:lineRule="auto"/>
      <w:jc w:val="center"/>
      <w:rPr>
        <w:rFonts w:ascii="Times New Roman" w:eastAsia="Calibri" w:hAnsi="Times New Roman" w:cs="Times New Roman"/>
        <w:sz w:val="14"/>
        <w:szCs w:val="14"/>
        <w:lang w:val="fr-CH" w:eastAsia="en-GB"/>
      </w:rPr>
    </w:pPr>
    <w:r w:rsidRPr="003760E2">
      <w:rPr>
        <w:rFonts w:ascii="Times New Roman" w:eastAsia="Calibri" w:hAnsi="Times New Roman" w:cs="Times New Roman"/>
        <w:sz w:val="14"/>
        <w:szCs w:val="14"/>
        <w:lang w:val="fr-CH" w:eastAsia="en-GB"/>
      </w:rPr>
      <w:t>PALAIS DES NATIONS • 1211 GENEVA 10, SWITZERLAND</w:t>
    </w:r>
  </w:p>
  <w:p w:rsidR="003760E2" w:rsidRPr="003760E2" w:rsidRDefault="0006293B" w:rsidP="003760E2">
    <w:pPr>
      <w:tabs>
        <w:tab w:val="right" w:pos="3686"/>
        <w:tab w:val="center" w:pos="4513"/>
        <w:tab w:val="left" w:pos="5812"/>
        <w:tab w:val="right" w:pos="9026"/>
      </w:tabs>
      <w:spacing w:after="0" w:line="240" w:lineRule="auto"/>
      <w:jc w:val="center"/>
      <w:rPr>
        <w:rFonts w:ascii="Times New Roman" w:eastAsia="Calibri" w:hAnsi="Times New Roman" w:cs="Times New Roman"/>
        <w:sz w:val="14"/>
        <w:szCs w:val="14"/>
        <w:lang w:val="fr-CH" w:eastAsia="en-GB"/>
      </w:rPr>
    </w:pPr>
    <w:r w:rsidRPr="003760E2">
      <w:rPr>
        <w:rFonts w:ascii="Times New Roman" w:eastAsia="Calibri" w:hAnsi="Times New Roman" w:cs="Times New Roman"/>
        <w:sz w:val="14"/>
        <w:szCs w:val="14"/>
        <w:lang w:val="fr-CH" w:eastAsia="en-GB"/>
      </w:rPr>
      <w:t>www.ohchr.org • TEL:  +41 22 917 9000 • FAX:  +41 22 917 9008 • E-MAIL:  registry@ohchr.org</w:t>
    </w:r>
  </w:p>
  <w:p w:rsidR="003760E2" w:rsidRPr="00AB6D03" w:rsidRDefault="00A5718F">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C4EBC"/>
    <w:multiLevelType w:val="hybridMultilevel"/>
    <w:tmpl w:val="B01A48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2A6C15"/>
    <w:multiLevelType w:val="hybridMultilevel"/>
    <w:tmpl w:val="1B3AE1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573C0E"/>
    <w:multiLevelType w:val="hybridMultilevel"/>
    <w:tmpl w:val="B19E74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152712"/>
    <w:multiLevelType w:val="hybridMultilevel"/>
    <w:tmpl w:val="5D0AC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650"/>
    <w:rsid w:val="00044B3C"/>
    <w:rsid w:val="000455B8"/>
    <w:rsid w:val="000470AB"/>
    <w:rsid w:val="0006293B"/>
    <w:rsid w:val="000E57BC"/>
    <w:rsid w:val="000E5950"/>
    <w:rsid w:val="001132E3"/>
    <w:rsid w:val="00146F0F"/>
    <w:rsid w:val="00152677"/>
    <w:rsid w:val="001745AC"/>
    <w:rsid w:val="00180FEC"/>
    <w:rsid w:val="001B179D"/>
    <w:rsid w:val="001C635F"/>
    <w:rsid w:val="001C7DC8"/>
    <w:rsid w:val="001E256B"/>
    <w:rsid w:val="002263A4"/>
    <w:rsid w:val="00233E21"/>
    <w:rsid w:val="002736E6"/>
    <w:rsid w:val="00275FB7"/>
    <w:rsid w:val="00291ED9"/>
    <w:rsid w:val="002C65C8"/>
    <w:rsid w:val="0030679F"/>
    <w:rsid w:val="0032562A"/>
    <w:rsid w:val="00350E26"/>
    <w:rsid w:val="003537D2"/>
    <w:rsid w:val="003542D6"/>
    <w:rsid w:val="003557B5"/>
    <w:rsid w:val="00397AE7"/>
    <w:rsid w:val="003A75D3"/>
    <w:rsid w:val="003B3CF7"/>
    <w:rsid w:val="003E2A12"/>
    <w:rsid w:val="00412ADE"/>
    <w:rsid w:val="0041420F"/>
    <w:rsid w:val="004251D2"/>
    <w:rsid w:val="00430C4B"/>
    <w:rsid w:val="00434D29"/>
    <w:rsid w:val="00463A9C"/>
    <w:rsid w:val="00480CF0"/>
    <w:rsid w:val="00483E36"/>
    <w:rsid w:val="004A5206"/>
    <w:rsid w:val="0050244A"/>
    <w:rsid w:val="005108FE"/>
    <w:rsid w:val="00514115"/>
    <w:rsid w:val="005205CF"/>
    <w:rsid w:val="00550F7F"/>
    <w:rsid w:val="00584275"/>
    <w:rsid w:val="005906FB"/>
    <w:rsid w:val="005932F3"/>
    <w:rsid w:val="005A1B08"/>
    <w:rsid w:val="005A5239"/>
    <w:rsid w:val="005A5B13"/>
    <w:rsid w:val="005A7DD1"/>
    <w:rsid w:val="005B32D5"/>
    <w:rsid w:val="005D71CD"/>
    <w:rsid w:val="005E701E"/>
    <w:rsid w:val="005E7F2C"/>
    <w:rsid w:val="00610DB7"/>
    <w:rsid w:val="006440A3"/>
    <w:rsid w:val="0066535A"/>
    <w:rsid w:val="00673D2C"/>
    <w:rsid w:val="00675DAB"/>
    <w:rsid w:val="006837E0"/>
    <w:rsid w:val="00694761"/>
    <w:rsid w:val="006B0971"/>
    <w:rsid w:val="006C23D8"/>
    <w:rsid w:val="006C6FBA"/>
    <w:rsid w:val="006D0F9E"/>
    <w:rsid w:val="006E1D17"/>
    <w:rsid w:val="007349FF"/>
    <w:rsid w:val="00750C62"/>
    <w:rsid w:val="0078387A"/>
    <w:rsid w:val="007939F5"/>
    <w:rsid w:val="007A16F3"/>
    <w:rsid w:val="007C06A2"/>
    <w:rsid w:val="007C1A54"/>
    <w:rsid w:val="007C1CFC"/>
    <w:rsid w:val="007C665A"/>
    <w:rsid w:val="007D0FE7"/>
    <w:rsid w:val="007D134F"/>
    <w:rsid w:val="007F3A67"/>
    <w:rsid w:val="00802623"/>
    <w:rsid w:val="008138B5"/>
    <w:rsid w:val="00813C70"/>
    <w:rsid w:val="008340CB"/>
    <w:rsid w:val="0087367F"/>
    <w:rsid w:val="008E2650"/>
    <w:rsid w:val="009534E1"/>
    <w:rsid w:val="009558B8"/>
    <w:rsid w:val="00955C23"/>
    <w:rsid w:val="0099038E"/>
    <w:rsid w:val="009A46A9"/>
    <w:rsid w:val="009D3807"/>
    <w:rsid w:val="009E6106"/>
    <w:rsid w:val="00A11D13"/>
    <w:rsid w:val="00A16E64"/>
    <w:rsid w:val="00A22D5F"/>
    <w:rsid w:val="00A245C2"/>
    <w:rsid w:val="00A40C01"/>
    <w:rsid w:val="00A45876"/>
    <w:rsid w:val="00A5718F"/>
    <w:rsid w:val="00A60B2F"/>
    <w:rsid w:val="00A74477"/>
    <w:rsid w:val="00A9059B"/>
    <w:rsid w:val="00AC559C"/>
    <w:rsid w:val="00AD391A"/>
    <w:rsid w:val="00AD7940"/>
    <w:rsid w:val="00AE03C1"/>
    <w:rsid w:val="00AE1C8F"/>
    <w:rsid w:val="00AE3634"/>
    <w:rsid w:val="00AE4D96"/>
    <w:rsid w:val="00B32402"/>
    <w:rsid w:val="00B53C09"/>
    <w:rsid w:val="00B777CE"/>
    <w:rsid w:val="00B83E87"/>
    <w:rsid w:val="00B90076"/>
    <w:rsid w:val="00BD2D02"/>
    <w:rsid w:val="00BD6568"/>
    <w:rsid w:val="00C12081"/>
    <w:rsid w:val="00C5353D"/>
    <w:rsid w:val="00C53F56"/>
    <w:rsid w:val="00CB5143"/>
    <w:rsid w:val="00CC094A"/>
    <w:rsid w:val="00D15FE0"/>
    <w:rsid w:val="00D27F3E"/>
    <w:rsid w:val="00D45C99"/>
    <w:rsid w:val="00D72E0D"/>
    <w:rsid w:val="00D734A6"/>
    <w:rsid w:val="00DA200D"/>
    <w:rsid w:val="00DC5DD4"/>
    <w:rsid w:val="00DC67E5"/>
    <w:rsid w:val="00DF5467"/>
    <w:rsid w:val="00E33FCB"/>
    <w:rsid w:val="00E55527"/>
    <w:rsid w:val="00EB0AF6"/>
    <w:rsid w:val="00ED3821"/>
    <w:rsid w:val="00ED6821"/>
    <w:rsid w:val="00EE0812"/>
    <w:rsid w:val="00EE2AA3"/>
    <w:rsid w:val="00EE2D75"/>
    <w:rsid w:val="00EE2F67"/>
    <w:rsid w:val="00F13D5B"/>
    <w:rsid w:val="00F23484"/>
    <w:rsid w:val="00F71B64"/>
    <w:rsid w:val="00F73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DD1E7"/>
  <w15:chartTrackingRefBased/>
  <w15:docId w15:val="{71B1E1A4-727C-4355-9DC6-2C5BE60C5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2650"/>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Footnotes refss,Texto de nota al pie,Appel note de bas de page,referencia nota al pie,BVI fnr,Footnote number,f,Ref. de nota al pie.,Footnote symbol,16 Point,Superscript 6 Point,Texto nota al pie,Ref. de nota al pi,Ref,ftref"/>
    <w:basedOn w:val="DefaultParagraphFont"/>
    <w:link w:val="4GChar"/>
    <w:uiPriority w:val="99"/>
    <w:unhideWhenUsed/>
    <w:qFormat/>
    <w:rsid w:val="008E2650"/>
    <w:rPr>
      <w:vertAlign w:val="superscript"/>
    </w:rPr>
  </w:style>
  <w:style w:type="character" w:customStyle="1" w:styleId="FootnoteTextChar">
    <w:name w:val="Footnote Text Char"/>
    <w:aliases w:val="5_G Char,Footnote Text Char Char Char Char Char Char Char,Footnote Text Char Char Char Char Char Char1,FA Char1,FA Fußnotentext Char,Footnote Text Char Char Char Char Char1,Footnote Text Char Char Char1,Footnote Char,FA Char Char"/>
    <w:basedOn w:val="DefaultParagraphFont"/>
    <w:link w:val="FootnoteText"/>
    <w:uiPriority w:val="99"/>
    <w:rsid w:val="008E2650"/>
    <w:rPr>
      <w:sz w:val="20"/>
      <w:szCs w:val="20"/>
    </w:rPr>
  </w:style>
  <w:style w:type="paragraph" w:styleId="FootnoteText">
    <w:name w:val="footnote text"/>
    <w:aliases w:val="5_G,Footnote Text Char Char Char Char Char Char,Footnote Text Char Char Char Char Char,FA,FA Fußnotentext,Footnote Text Char Char Char Char,Footnote Text Char Char,Footnote,Footnote Text Char1 Char3,Footnote Text Char Char Char,FA Char,F,p"/>
    <w:basedOn w:val="Normal"/>
    <w:link w:val="FootnoteTextChar"/>
    <w:uiPriority w:val="99"/>
    <w:unhideWhenUsed/>
    <w:qFormat/>
    <w:rsid w:val="008E2650"/>
    <w:pPr>
      <w:spacing w:after="0" w:line="240" w:lineRule="auto"/>
    </w:pPr>
    <w:rPr>
      <w:rFonts w:eastAsiaTheme="minorHAnsi"/>
      <w:sz w:val="20"/>
      <w:szCs w:val="20"/>
      <w:lang w:eastAsia="en-US"/>
    </w:rPr>
  </w:style>
  <w:style w:type="character" w:customStyle="1" w:styleId="FootnoteTextChar1">
    <w:name w:val="Footnote Text Char1"/>
    <w:basedOn w:val="DefaultParagraphFont"/>
    <w:uiPriority w:val="99"/>
    <w:semiHidden/>
    <w:rsid w:val="008E2650"/>
    <w:rPr>
      <w:rFonts w:eastAsiaTheme="minorEastAsia"/>
      <w:sz w:val="20"/>
      <w:szCs w:val="20"/>
      <w:lang w:eastAsia="zh-CN"/>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8E2650"/>
    <w:pPr>
      <w:spacing w:after="0" w:line="240" w:lineRule="auto"/>
      <w:jc w:val="both"/>
    </w:pPr>
    <w:rPr>
      <w:rFonts w:eastAsiaTheme="minorHAnsi"/>
      <w:vertAlign w:val="superscript"/>
      <w:lang w:eastAsia="en-US"/>
    </w:rPr>
  </w:style>
  <w:style w:type="paragraph" w:customStyle="1" w:styleId="paragraph">
    <w:name w:val="paragraph"/>
    <w:basedOn w:val="Normal"/>
    <w:rsid w:val="008E26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E2650"/>
  </w:style>
  <w:style w:type="character" w:customStyle="1" w:styleId="eop">
    <w:name w:val="eop"/>
    <w:basedOn w:val="DefaultParagraphFont"/>
    <w:rsid w:val="008E2650"/>
  </w:style>
  <w:style w:type="paragraph" w:styleId="Header">
    <w:name w:val="header"/>
    <w:basedOn w:val="Normal"/>
    <w:link w:val="HeaderChar"/>
    <w:uiPriority w:val="99"/>
    <w:unhideWhenUsed/>
    <w:rsid w:val="008E26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2650"/>
    <w:rPr>
      <w:rFonts w:eastAsiaTheme="minorEastAsia"/>
      <w:lang w:eastAsia="zh-CN"/>
    </w:rPr>
  </w:style>
  <w:style w:type="paragraph" w:styleId="NormalWeb">
    <w:name w:val="Normal (Web)"/>
    <w:basedOn w:val="Normal"/>
    <w:uiPriority w:val="99"/>
    <w:unhideWhenUsed/>
    <w:rsid w:val="008E26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E2650"/>
    <w:rPr>
      <w:color w:val="0000FF"/>
      <w:u w:val="single"/>
    </w:rPr>
  </w:style>
  <w:style w:type="character" w:customStyle="1" w:styleId="UnresolvedMention1">
    <w:name w:val="Unresolved Mention1"/>
    <w:basedOn w:val="DefaultParagraphFont"/>
    <w:uiPriority w:val="99"/>
    <w:semiHidden/>
    <w:unhideWhenUsed/>
    <w:rsid w:val="008E2650"/>
    <w:rPr>
      <w:color w:val="605E5C"/>
      <w:shd w:val="clear" w:color="auto" w:fill="E1DFDD"/>
    </w:rPr>
  </w:style>
  <w:style w:type="paragraph" w:styleId="ListParagraph">
    <w:name w:val="List Paragraph"/>
    <w:basedOn w:val="Normal"/>
    <w:uiPriority w:val="34"/>
    <w:qFormat/>
    <w:rsid w:val="00EE0812"/>
    <w:pPr>
      <w:ind w:left="720"/>
      <w:contextualSpacing/>
    </w:pPr>
  </w:style>
  <w:style w:type="paragraph" w:styleId="HTMLPreformatted">
    <w:name w:val="HTML Preformatted"/>
    <w:basedOn w:val="Normal"/>
    <w:link w:val="HTMLPreformattedChar"/>
    <w:uiPriority w:val="99"/>
    <w:semiHidden/>
    <w:unhideWhenUsed/>
    <w:rsid w:val="00DF546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F5467"/>
    <w:rPr>
      <w:rFonts w:ascii="Consolas" w:eastAsiaTheme="minorEastAsia" w:hAnsi="Consolas"/>
      <w:sz w:val="20"/>
      <w:szCs w:val="20"/>
      <w:lang w:eastAsia="zh-CN"/>
    </w:rPr>
  </w:style>
  <w:style w:type="character" w:styleId="CommentReference">
    <w:name w:val="annotation reference"/>
    <w:basedOn w:val="DefaultParagraphFont"/>
    <w:uiPriority w:val="99"/>
    <w:semiHidden/>
    <w:unhideWhenUsed/>
    <w:rsid w:val="001B179D"/>
    <w:rPr>
      <w:sz w:val="16"/>
      <w:szCs w:val="16"/>
    </w:rPr>
  </w:style>
  <w:style w:type="paragraph" w:styleId="CommentText">
    <w:name w:val="annotation text"/>
    <w:basedOn w:val="Normal"/>
    <w:link w:val="CommentTextChar"/>
    <w:uiPriority w:val="99"/>
    <w:semiHidden/>
    <w:unhideWhenUsed/>
    <w:rsid w:val="001B179D"/>
    <w:pPr>
      <w:spacing w:line="240" w:lineRule="auto"/>
    </w:pPr>
    <w:rPr>
      <w:sz w:val="20"/>
      <w:szCs w:val="20"/>
    </w:rPr>
  </w:style>
  <w:style w:type="character" w:customStyle="1" w:styleId="CommentTextChar">
    <w:name w:val="Comment Text Char"/>
    <w:basedOn w:val="DefaultParagraphFont"/>
    <w:link w:val="CommentText"/>
    <w:uiPriority w:val="99"/>
    <w:semiHidden/>
    <w:rsid w:val="001B179D"/>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1B179D"/>
    <w:rPr>
      <w:b/>
      <w:bCs/>
    </w:rPr>
  </w:style>
  <w:style w:type="character" w:customStyle="1" w:styleId="CommentSubjectChar">
    <w:name w:val="Comment Subject Char"/>
    <w:basedOn w:val="CommentTextChar"/>
    <w:link w:val="CommentSubject"/>
    <w:uiPriority w:val="99"/>
    <w:semiHidden/>
    <w:rsid w:val="001B179D"/>
    <w:rPr>
      <w:rFonts w:eastAsiaTheme="minorEastAsia"/>
      <w:b/>
      <w:bCs/>
      <w:sz w:val="20"/>
      <w:szCs w:val="20"/>
      <w:lang w:eastAsia="zh-CN"/>
    </w:rPr>
  </w:style>
  <w:style w:type="paragraph" w:styleId="BalloonText">
    <w:name w:val="Balloon Text"/>
    <w:basedOn w:val="Normal"/>
    <w:link w:val="BalloonTextChar"/>
    <w:uiPriority w:val="99"/>
    <w:semiHidden/>
    <w:unhideWhenUsed/>
    <w:rsid w:val="001B17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79D"/>
    <w:rPr>
      <w:rFonts w:ascii="Segoe UI" w:eastAsiaTheme="minorEastAsi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94078">
      <w:bodyDiv w:val="1"/>
      <w:marLeft w:val="0"/>
      <w:marRight w:val="0"/>
      <w:marTop w:val="0"/>
      <w:marBottom w:val="0"/>
      <w:divBdr>
        <w:top w:val="none" w:sz="0" w:space="0" w:color="auto"/>
        <w:left w:val="none" w:sz="0" w:space="0" w:color="auto"/>
        <w:bottom w:val="none" w:sz="0" w:space="0" w:color="auto"/>
        <w:right w:val="none" w:sz="0" w:space="0" w:color="auto"/>
      </w:divBdr>
    </w:div>
    <w:div w:id="269968420">
      <w:bodyDiv w:val="1"/>
      <w:marLeft w:val="0"/>
      <w:marRight w:val="0"/>
      <w:marTop w:val="0"/>
      <w:marBottom w:val="0"/>
      <w:divBdr>
        <w:top w:val="none" w:sz="0" w:space="0" w:color="auto"/>
        <w:left w:val="none" w:sz="0" w:space="0" w:color="auto"/>
        <w:bottom w:val="none" w:sz="0" w:space="0" w:color="auto"/>
        <w:right w:val="none" w:sz="0" w:space="0" w:color="auto"/>
      </w:divBdr>
      <w:divsChild>
        <w:div w:id="669602745">
          <w:marLeft w:val="0"/>
          <w:marRight w:val="0"/>
          <w:marTop w:val="0"/>
          <w:marBottom w:val="0"/>
          <w:divBdr>
            <w:top w:val="none" w:sz="0" w:space="0" w:color="auto"/>
            <w:left w:val="none" w:sz="0" w:space="0" w:color="auto"/>
            <w:bottom w:val="none" w:sz="0" w:space="0" w:color="auto"/>
            <w:right w:val="none" w:sz="0" w:space="0" w:color="auto"/>
          </w:divBdr>
        </w:div>
      </w:divsChild>
    </w:div>
    <w:div w:id="281084038">
      <w:bodyDiv w:val="1"/>
      <w:marLeft w:val="0"/>
      <w:marRight w:val="0"/>
      <w:marTop w:val="0"/>
      <w:marBottom w:val="0"/>
      <w:divBdr>
        <w:top w:val="none" w:sz="0" w:space="0" w:color="auto"/>
        <w:left w:val="none" w:sz="0" w:space="0" w:color="auto"/>
        <w:bottom w:val="none" w:sz="0" w:space="0" w:color="auto"/>
        <w:right w:val="none" w:sz="0" w:space="0" w:color="auto"/>
      </w:divBdr>
      <w:divsChild>
        <w:div w:id="922446686">
          <w:marLeft w:val="0"/>
          <w:marRight w:val="0"/>
          <w:marTop w:val="0"/>
          <w:marBottom w:val="0"/>
          <w:divBdr>
            <w:top w:val="none" w:sz="0" w:space="0" w:color="auto"/>
            <w:left w:val="none" w:sz="0" w:space="0" w:color="auto"/>
            <w:bottom w:val="none" w:sz="0" w:space="0" w:color="auto"/>
            <w:right w:val="none" w:sz="0" w:space="0" w:color="auto"/>
          </w:divBdr>
        </w:div>
      </w:divsChild>
    </w:div>
    <w:div w:id="467206994">
      <w:bodyDiv w:val="1"/>
      <w:marLeft w:val="0"/>
      <w:marRight w:val="0"/>
      <w:marTop w:val="0"/>
      <w:marBottom w:val="0"/>
      <w:divBdr>
        <w:top w:val="none" w:sz="0" w:space="0" w:color="auto"/>
        <w:left w:val="none" w:sz="0" w:space="0" w:color="auto"/>
        <w:bottom w:val="none" w:sz="0" w:space="0" w:color="auto"/>
        <w:right w:val="none" w:sz="0" w:space="0" w:color="auto"/>
      </w:divBdr>
      <w:divsChild>
        <w:div w:id="53165324">
          <w:marLeft w:val="0"/>
          <w:marRight w:val="0"/>
          <w:marTop w:val="0"/>
          <w:marBottom w:val="0"/>
          <w:divBdr>
            <w:top w:val="none" w:sz="0" w:space="0" w:color="auto"/>
            <w:left w:val="none" w:sz="0" w:space="0" w:color="auto"/>
            <w:bottom w:val="none" w:sz="0" w:space="0" w:color="auto"/>
            <w:right w:val="none" w:sz="0" w:space="0" w:color="auto"/>
          </w:divBdr>
        </w:div>
      </w:divsChild>
    </w:div>
    <w:div w:id="1062098363">
      <w:bodyDiv w:val="1"/>
      <w:marLeft w:val="0"/>
      <w:marRight w:val="0"/>
      <w:marTop w:val="0"/>
      <w:marBottom w:val="0"/>
      <w:divBdr>
        <w:top w:val="none" w:sz="0" w:space="0" w:color="auto"/>
        <w:left w:val="none" w:sz="0" w:space="0" w:color="auto"/>
        <w:bottom w:val="none" w:sz="0" w:space="0" w:color="auto"/>
        <w:right w:val="none" w:sz="0" w:space="0" w:color="auto"/>
      </w:divBdr>
    </w:div>
    <w:div w:id="1142383320">
      <w:bodyDiv w:val="1"/>
      <w:marLeft w:val="0"/>
      <w:marRight w:val="0"/>
      <w:marTop w:val="0"/>
      <w:marBottom w:val="0"/>
      <w:divBdr>
        <w:top w:val="none" w:sz="0" w:space="0" w:color="auto"/>
        <w:left w:val="none" w:sz="0" w:space="0" w:color="auto"/>
        <w:bottom w:val="none" w:sz="0" w:space="0" w:color="auto"/>
        <w:right w:val="none" w:sz="0" w:space="0" w:color="auto"/>
      </w:divBdr>
    </w:div>
    <w:div w:id="1179002231">
      <w:bodyDiv w:val="1"/>
      <w:marLeft w:val="0"/>
      <w:marRight w:val="0"/>
      <w:marTop w:val="0"/>
      <w:marBottom w:val="0"/>
      <w:divBdr>
        <w:top w:val="none" w:sz="0" w:space="0" w:color="auto"/>
        <w:left w:val="none" w:sz="0" w:space="0" w:color="auto"/>
        <w:bottom w:val="none" w:sz="0" w:space="0" w:color="auto"/>
        <w:right w:val="none" w:sz="0" w:space="0" w:color="auto"/>
      </w:divBdr>
    </w:div>
    <w:div w:id="1459757999">
      <w:bodyDiv w:val="1"/>
      <w:marLeft w:val="0"/>
      <w:marRight w:val="0"/>
      <w:marTop w:val="0"/>
      <w:marBottom w:val="0"/>
      <w:divBdr>
        <w:top w:val="none" w:sz="0" w:space="0" w:color="auto"/>
        <w:left w:val="none" w:sz="0" w:space="0" w:color="auto"/>
        <w:bottom w:val="none" w:sz="0" w:space="0" w:color="auto"/>
        <w:right w:val="none" w:sz="0" w:space="0" w:color="auto"/>
      </w:divBdr>
    </w:div>
    <w:div w:id="1706324554">
      <w:bodyDiv w:val="1"/>
      <w:marLeft w:val="0"/>
      <w:marRight w:val="0"/>
      <w:marTop w:val="0"/>
      <w:marBottom w:val="0"/>
      <w:divBdr>
        <w:top w:val="none" w:sz="0" w:space="0" w:color="auto"/>
        <w:left w:val="none" w:sz="0" w:space="0" w:color="auto"/>
        <w:bottom w:val="none" w:sz="0" w:space="0" w:color="auto"/>
        <w:right w:val="none" w:sz="0" w:space="0" w:color="auto"/>
      </w:divBdr>
    </w:div>
    <w:div w:id="184675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ie-olderpersons@un.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paragraf.rs/propisi/zakon_o_zastiti_prava_na_sudjenje_u_razumnom_roku.html" TargetMode="External"/><Relationship Id="rId3" Type="http://schemas.openxmlformats.org/officeDocument/2006/relationships/hyperlink" Target="https://ravnopravnost.gov.rs/en/" TargetMode="External"/><Relationship Id="rId7" Type="http://schemas.openxmlformats.org/officeDocument/2006/relationships/hyperlink" Target="https://www.redcross.org.rs/media/7139/na-nicijoj-zemlji-web-low-res.pdf" TargetMode="External"/><Relationship Id="rId2" Type="http://schemas.openxmlformats.org/officeDocument/2006/relationships/hyperlink" Target="https://www.paragraf.rs/propisi/zakon_o_zabrani_diskriminacije.html" TargetMode="External"/><Relationship Id="rId1" Type="http://schemas.openxmlformats.org/officeDocument/2006/relationships/hyperlink" Target="https://www.paragraf.rs/propisi/ustav_republike_srbije.html" TargetMode="External"/><Relationship Id="rId6" Type="http://schemas.openxmlformats.org/officeDocument/2006/relationships/hyperlink" Target="https://www.redcross.org.rs/media/1670/dobro-cuvana-porodicna-tajna-e-knjiga.pdf" TargetMode="External"/><Relationship Id="rId5" Type="http://schemas.openxmlformats.org/officeDocument/2006/relationships/hyperlink" Target="https://www.sigurnakuca.net/sites/default/files/inline-files/LjubicastiTekst.pdf" TargetMode="External"/><Relationship Id="rId4" Type="http://schemas.openxmlformats.org/officeDocument/2006/relationships/hyperlink" Target="https://www.paragraf.rs/propisi/zakon_o_sprecavanju_nasilja_u_porodici.html" TargetMode="External"/><Relationship Id="rId9" Type="http://schemas.openxmlformats.org/officeDocument/2006/relationships/hyperlink" Target="https://www.mdtfjss.org.rs/data/pub/sjfr/sr/Funkcionalna-analiza-pravosudja-u-Srbiji.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Red Cross of Serbia and INPEA</Contributo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1" ma:contentTypeDescription="Create a new document." ma:contentTypeScope="" ma:versionID="0355c15e0caee6fac5b9c44f476db901">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c4fa7de312133327a9024476f3d1a6c"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input"/>
              <xsd:enumeration value="cover letter"/>
              <xsd:enumeration value="note verbale"/>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7514E-1B8D-4A5D-9242-7433A029F76C}">
  <ds:schemaRefs>
    <ds:schemaRef ds:uri="http://schemas.microsoft.com/sharepoint/v3/contenttype/forms"/>
  </ds:schemaRefs>
</ds:datastoreItem>
</file>

<file path=customXml/itemProps2.xml><?xml version="1.0" encoding="utf-8"?>
<ds:datastoreItem xmlns:ds="http://schemas.openxmlformats.org/officeDocument/2006/customXml" ds:itemID="{8CAF3785-FAC2-428F-8D62-FC66E772BA81}">
  <ds:schemaRefs>
    <ds:schemaRef ds:uri="http://schemas.microsoft.com/office/2006/metadata/properties"/>
    <ds:schemaRef ds:uri="http://schemas.microsoft.com/office/infopath/2007/PartnerControls"/>
    <ds:schemaRef ds:uri="92c67b09-a477-4b78-86ac-6ddf4c760469"/>
  </ds:schemaRefs>
</ds:datastoreItem>
</file>

<file path=customXml/itemProps3.xml><?xml version="1.0" encoding="utf-8"?>
<ds:datastoreItem xmlns:ds="http://schemas.openxmlformats.org/officeDocument/2006/customXml" ds:itemID="{F3F743DE-BAA7-4D63-AD60-54EF654CFC6B}"/>
</file>

<file path=customXml/itemProps4.xml><?xml version="1.0" encoding="utf-8"?>
<ds:datastoreItem xmlns:ds="http://schemas.openxmlformats.org/officeDocument/2006/customXml" ds:itemID="{B1F661F3-82B6-A84A-8732-D1827B802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2090</Words>
  <Characters>12523</Characters>
  <Application>Microsoft Office Word</Application>
  <DocSecurity>0</DocSecurity>
  <Lines>215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MATHELLIÉ Claire</dc:creator>
  <cp:keywords/>
  <dc:description/>
  <cp:lastModifiedBy>Microsoft Office User</cp:lastModifiedBy>
  <cp:revision>4</cp:revision>
  <cp:lastPrinted>2023-02-27T18:00:00Z</cp:lastPrinted>
  <dcterms:created xsi:type="dcterms:W3CDTF">2023-03-01T11:15:00Z</dcterms:created>
  <dcterms:modified xsi:type="dcterms:W3CDTF">2023-03-02T21:00:00Z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GrammarlyDocumentId">
    <vt:lpwstr>892840118af1f4150b8352c1df68789f112f50b71b95957bc2bbced080687a42</vt:lpwstr>
  </property>
</Properties>
</file>