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E66AF" w14:textId="06F58586" w:rsidR="00520B37" w:rsidRDefault="00520B37" w:rsidP="00EF297D">
      <w:r>
        <w:t>Claudia Mahler</w:t>
      </w:r>
    </w:p>
    <w:p w14:paraId="141024C6" w14:textId="7A72E744" w:rsidR="00520B37" w:rsidRDefault="00520B37" w:rsidP="00EF297D">
      <w:r>
        <w:t>Independent Expert on the enjoyment of all human rights by older persons</w:t>
      </w:r>
    </w:p>
    <w:p w14:paraId="794EA3F6" w14:textId="6AA9B727" w:rsidR="00520B37" w:rsidRDefault="00520B37" w:rsidP="00EF297D">
      <w:r>
        <w:t>United Nations - Human Rights Special Procedures</w:t>
      </w:r>
    </w:p>
    <w:p w14:paraId="0BE43FE4" w14:textId="3D19E7A4" w:rsidR="00520B37" w:rsidRDefault="00520B37" w:rsidP="00EF297D"/>
    <w:p w14:paraId="25D851FA" w14:textId="77777777" w:rsidR="00520B37" w:rsidRPr="00520B37" w:rsidRDefault="00520B37" w:rsidP="00EF297D">
      <w:pPr>
        <w:rPr>
          <w:rFonts w:asciiTheme="minorHAnsi" w:hAnsiTheme="minorHAnsi" w:cstheme="minorHAnsi"/>
        </w:rPr>
      </w:pPr>
    </w:p>
    <w:p w14:paraId="4D0499E4" w14:textId="68F5D559" w:rsidR="00520B37" w:rsidRPr="00520B37" w:rsidRDefault="00520B37" w:rsidP="00EF297D">
      <w:pPr>
        <w:rPr>
          <w:rFonts w:asciiTheme="minorHAnsi" w:hAnsiTheme="minorHAnsi" w:cstheme="minorHAnsi"/>
        </w:rPr>
      </w:pPr>
      <w:r w:rsidRPr="00520B37">
        <w:rPr>
          <w:rFonts w:asciiTheme="minorHAnsi" w:hAnsiTheme="minorHAnsi" w:cstheme="minorHAnsi"/>
        </w:rPr>
        <w:tab/>
      </w:r>
      <w:r w:rsidRPr="00520B37">
        <w:rPr>
          <w:rFonts w:asciiTheme="minorHAnsi" w:hAnsiTheme="minorHAnsi" w:cstheme="minorHAnsi"/>
        </w:rPr>
        <w:tab/>
      </w:r>
      <w:r w:rsidRPr="00520B37">
        <w:rPr>
          <w:rFonts w:asciiTheme="minorHAnsi" w:hAnsiTheme="minorHAnsi" w:cstheme="minorHAnsi"/>
        </w:rPr>
        <w:tab/>
      </w:r>
      <w:r w:rsidRPr="00520B37">
        <w:rPr>
          <w:rFonts w:asciiTheme="minorHAnsi" w:hAnsiTheme="minorHAnsi" w:cstheme="minorHAnsi"/>
        </w:rPr>
        <w:tab/>
      </w:r>
      <w:r w:rsidRPr="00520B37">
        <w:rPr>
          <w:rFonts w:asciiTheme="minorHAnsi" w:hAnsiTheme="minorHAnsi" w:cstheme="minorHAnsi"/>
        </w:rPr>
        <w:tab/>
      </w:r>
      <w:r w:rsidRPr="00520B37">
        <w:rPr>
          <w:rFonts w:asciiTheme="minorHAnsi" w:hAnsiTheme="minorHAnsi" w:cstheme="minorHAnsi"/>
        </w:rPr>
        <w:tab/>
      </w:r>
      <w:r w:rsidRPr="00520B37">
        <w:rPr>
          <w:rFonts w:asciiTheme="minorHAnsi" w:hAnsiTheme="minorHAnsi" w:cstheme="minorHAnsi"/>
        </w:rPr>
        <w:tab/>
      </w:r>
      <w:r w:rsidRPr="00520B37">
        <w:rPr>
          <w:rFonts w:asciiTheme="minorHAnsi" w:hAnsiTheme="minorHAnsi" w:cstheme="minorHAnsi"/>
        </w:rPr>
        <w:tab/>
      </w:r>
      <w:r w:rsidRPr="00520B37">
        <w:rPr>
          <w:rFonts w:asciiTheme="minorHAnsi" w:hAnsiTheme="minorHAnsi" w:cstheme="minorHAnsi"/>
        </w:rPr>
        <w:tab/>
      </w:r>
      <w:r w:rsidRPr="00520B37">
        <w:rPr>
          <w:rFonts w:asciiTheme="minorHAnsi" w:hAnsiTheme="minorHAnsi" w:cstheme="minorHAnsi"/>
        </w:rPr>
        <w:tab/>
        <w:t>March 1</w:t>
      </w:r>
      <w:r w:rsidRPr="00520B37">
        <w:rPr>
          <w:rFonts w:asciiTheme="minorHAnsi" w:hAnsiTheme="minorHAnsi" w:cstheme="minorHAnsi"/>
          <w:vertAlign w:val="superscript"/>
        </w:rPr>
        <w:t>st</w:t>
      </w:r>
      <w:r w:rsidRPr="00520B37">
        <w:rPr>
          <w:rFonts w:asciiTheme="minorHAnsi" w:hAnsiTheme="minorHAnsi" w:cstheme="minorHAnsi"/>
        </w:rPr>
        <w:t xml:space="preserve"> 2023</w:t>
      </w:r>
    </w:p>
    <w:p w14:paraId="3A06960B" w14:textId="29B6EE40" w:rsidR="00520B37" w:rsidRPr="00520B37" w:rsidRDefault="00520B37" w:rsidP="00EF297D">
      <w:pPr>
        <w:rPr>
          <w:rFonts w:asciiTheme="minorHAnsi" w:hAnsiTheme="minorHAnsi" w:cstheme="minorHAnsi"/>
        </w:rPr>
      </w:pPr>
    </w:p>
    <w:p w14:paraId="3603AA9D" w14:textId="77777777" w:rsidR="00520B37" w:rsidRDefault="00520B37" w:rsidP="00EF297D">
      <w:pPr>
        <w:rPr>
          <w:rFonts w:asciiTheme="minorHAnsi" w:hAnsiTheme="minorHAnsi" w:cstheme="minorHAnsi"/>
          <w:b/>
          <w:u w:val="single"/>
        </w:rPr>
      </w:pPr>
    </w:p>
    <w:p w14:paraId="4F27B2A5" w14:textId="77777777" w:rsidR="00520B37" w:rsidRDefault="00520B37" w:rsidP="00EF297D">
      <w:pPr>
        <w:rPr>
          <w:rFonts w:asciiTheme="minorHAnsi" w:hAnsiTheme="minorHAnsi" w:cstheme="minorHAnsi"/>
          <w:b/>
          <w:u w:val="single"/>
        </w:rPr>
      </w:pPr>
    </w:p>
    <w:p w14:paraId="72A18369" w14:textId="45B5165C" w:rsidR="00520B37" w:rsidRDefault="00520B37" w:rsidP="00EF297D">
      <w:pPr>
        <w:rPr>
          <w:rFonts w:asciiTheme="minorHAnsi" w:hAnsiTheme="minorHAnsi" w:cstheme="minorHAnsi"/>
          <w:b/>
          <w:u w:val="single"/>
        </w:rPr>
      </w:pPr>
      <w:r w:rsidRPr="00520B37">
        <w:rPr>
          <w:rFonts w:asciiTheme="minorHAnsi" w:hAnsiTheme="minorHAnsi" w:cstheme="minorHAnsi"/>
          <w:b/>
          <w:u w:val="single"/>
        </w:rPr>
        <w:t xml:space="preserve">Sage Advocacy </w:t>
      </w:r>
    </w:p>
    <w:p w14:paraId="69DEE750" w14:textId="1156B557" w:rsidR="00520B37" w:rsidRPr="00520B37" w:rsidRDefault="00520B37" w:rsidP="00EF297D">
      <w:pPr>
        <w:rPr>
          <w:rFonts w:asciiTheme="minorHAnsi" w:hAnsiTheme="minorHAnsi" w:cstheme="minorHAnsi"/>
          <w:b/>
          <w:u w:val="single"/>
        </w:rPr>
      </w:pPr>
      <w:r w:rsidRPr="00520B37">
        <w:rPr>
          <w:rFonts w:asciiTheme="minorHAnsi" w:hAnsiTheme="minorHAnsi" w:cstheme="minorHAnsi"/>
          <w:b/>
          <w:u w:val="single"/>
        </w:rPr>
        <w:t xml:space="preserve">Submission to the call for inputs on violence against older </w:t>
      </w:r>
      <w:r>
        <w:rPr>
          <w:rFonts w:asciiTheme="minorHAnsi" w:hAnsiTheme="minorHAnsi" w:cstheme="minorHAnsi"/>
          <w:b/>
          <w:u w:val="single"/>
        </w:rPr>
        <w:t>persons</w:t>
      </w:r>
      <w:r w:rsidRPr="00520B37">
        <w:rPr>
          <w:rFonts w:asciiTheme="minorHAnsi" w:hAnsiTheme="minorHAnsi" w:cstheme="minorHAnsi"/>
          <w:b/>
          <w:u w:val="single"/>
        </w:rPr>
        <w:t xml:space="preserve"> – 2023b HRC report</w:t>
      </w:r>
    </w:p>
    <w:p w14:paraId="7B4CDC50" w14:textId="77777777" w:rsidR="00520B37" w:rsidRPr="00520B37" w:rsidRDefault="00520B37" w:rsidP="00EF297D">
      <w:pPr>
        <w:rPr>
          <w:rFonts w:asciiTheme="minorHAnsi" w:hAnsiTheme="minorHAnsi" w:cstheme="minorHAnsi"/>
        </w:rPr>
      </w:pPr>
    </w:p>
    <w:p w14:paraId="278E4FA7" w14:textId="19928653" w:rsidR="004503C7" w:rsidRPr="00520B37" w:rsidRDefault="004503C7" w:rsidP="00EF297D">
      <w:pPr>
        <w:rPr>
          <w:rFonts w:asciiTheme="minorHAnsi" w:hAnsiTheme="minorHAnsi" w:cstheme="minorHAnsi"/>
        </w:rPr>
      </w:pPr>
    </w:p>
    <w:p w14:paraId="0AC1E5FD" w14:textId="77777777" w:rsidR="00520B37" w:rsidRPr="00520B37" w:rsidRDefault="00520B37" w:rsidP="00520B37">
      <w:pPr>
        <w:spacing w:line="360" w:lineRule="auto"/>
        <w:rPr>
          <w:rFonts w:asciiTheme="minorHAnsi" w:eastAsiaTheme="minorHAnsi" w:hAnsiTheme="minorHAnsi" w:cstheme="minorHAnsi"/>
          <w:lang w:eastAsia="en-IE"/>
        </w:rPr>
      </w:pPr>
      <w:r w:rsidRPr="00520B37">
        <w:rPr>
          <w:rFonts w:asciiTheme="minorHAnsi" w:eastAsiaTheme="minorHAnsi" w:hAnsiTheme="minorHAnsi" w:cstheme="minorHAnsi"/>
          <w:lang w:eastAsia="en-IE"/>
        </w:rPr>
        <w:t xml:space="preserve">Sage Advocacy is the National Advocacy Service for Older People and in 2022 it provided information, support, and advocacy services to almost 5000 people across all regions of Ireland. The work carried out by Sage Advocacy for its clients is independent of family, service providers, or systems interests and ensures that a person’s voice is heard, that their wishes are considered, and that they are assisted, in whatever </w:t>
      </w:r>
      <w:proofErr w:type="spellStart"/>
      <w:r w:rsidRPr="00520B37">
        <w:rPr>
          <w:rFonts w:asciiTheme="minorHAnsi" w:eastAsiaTheme="minorHAnsi" w:hAnsiTheme="minorHAnsi" w:cstheme="minorHAnsi"/>
          <w:lang w:eastAsia="en-IE"/>
        </w:rPr>
        <w:t>ways</w:t>
      </w:r>
      <w:proofErr w:type="spellEnd"/>
      <w:r w:rsidRPr="00520B37">
        <w:rPr>
          <w:rFonts w:asciiTheme="minorHAnsi" w:eastAsiaTheme="minorHAnsi" w:hAnsiTheme="minorHAnsi" w:cstheme="minorHAnsi"/>
          <w:lang w:eastAsia="en-IE"/>
        </w:rPr>
        <w:t xml:space="preserve"> necessary to be involved in decisions that affect them. </w:t>
      </w:r>
    </w:p>
    <w:p w14:paraId="4BA0DE45" w14:textId="77777777" w:rsidR="00520B37" w:rsidRPr="00520B37" w:rsidRDefault="00520B37" w:rsidP="00520B37">
      <w:pPr>
        <w:spacing w:line="360" w:lineRule="auto"/>
        <w:rPr>
          <w:rFonts w:asciiTheme="minorHAnsi" w:eastAsiaTheme="minorHAnsi" w:hAnsiTheme="minorHAnsi" w:cstheme="minorHAnsi"/>
          <w:lang w:eastAsia="en-IE"/>
        </w:rPr>
      </w:pPr>
    </w:p>
    <w:p w14:paraId="757BE237" w14:textId="77777777" w:rsidR="00520B37" w:rsidRPr="00520B37" w:rsidRDefault="00520B37" w:rsidP="00520B37">
      <w:pPr>
        <w:spacing w:line="360" w:lineRule="auto"/>
        <w:rPr>
          <w:rFonts w:asciiTheme="minorHAnsi" w:eastAsiaTheme="minorHAnsi" w:hAnsiTheme="minorHAnsi" w:cstheme="minorHAnsi"/>
          <w:lang w:eastAsia="en-IE"/>
        </w:rPr>
      </w:pPr>
      <w:r w:rsidRPr="00520B37">
        <w:rPr>
          <w:rFonts w:asciiTheme="minorHAnsi" w:eastAsiaTheme="minorHAnsi" w:hAnsiTheme="minorHAnsi" w:cstheme="minorHAnsi"/>
          <w:lang w:eastAsia="en-IE"/>
        </w:rPr>
        <w:t xml:space="preserve">Sage Advocacy welcomes the opportunity to provide a response to the following question: </w:t>
      </w:r>
    </w:p>
    <w:p w14:paraId="2CA2606D" w14:textId="77777777" w:rsidR="00520B37" w:rsidRPr="00520B37" w:rsidRDefault="00520B37" w:rsidP="00520B37">
      <w:pPr>
        <w:spacing w:line="360" w:lineRule="auto"/>
        <w:rPr>
          <w:rFonts w:asciiTheme="minorHAnsi" w:eastAsiaTheme="minorHAnsi" w:hAnsiTheme="minorHAnsi" w:cstheme="minorHAnsi"/>
          <w:lang w:eastAsia="en-IE"/>
        </w:rPr>
      </w:pPr>
      <w:r w:rsidRPr="00520B37">
        <w:rPr>
          <w:rFonts w:asciiTheme="minorHAnsi" w:eastAsiaTheme="minorHAnsi" w:hAnsiTheme="minorHAnsi" w:cstheme="minorHAnsi"/>
          <w:b/>
          <w:lang w:eastAsia="en-IE"/>
        </w:rPr>
        <w:t xml:space="preserve">What forms of violence, abuse, and neglect are older persons facing? In which setting does it happen? Please provide detailed information. </w:t>
      </w:r>
    </w:p>
    <w:p w14:paraId="6C5A0698" w14:textId="77777777" w:rsidR="00520B37" w:rsidRPr="00520B37" w:rsidRDefault="00520B37" w:rsidP="00520B37">
      <w:pPr>
        <w:spacing w:line="360" w:lineRule="auto"/>
        <w:rPr>
          <w:rFonts w:asciiTheme="minorHAnsi" w:eastAsiaTheme="minorHAnsi" w:hAnsiTheme="minorHAnsi" w:cstheme="minorHAnsi"/>
          <w:b/>
          <w:lang w:eastAsia="en-IE"/>
        </w:rPr>
      </w:pPr>
    </w:p>
    <w:p w14:paraId="54BBDC9E" w14:textId="77777777" w:rsidR="00520B37" w:rsidRPr="00520B37" w:rsidRDefault="00520B37" w:rsidP="00520B37">
      <w:pPr>
        <w:spacing w:line="360" w:lineRule="auto"/>
        <w:rPr>
          <w:rFonts w:asciiTheme="minorHAnsi" w:eastAsiaTheme="minorHAnsi" w:hAnsiTheme="minorHAnsi" w:cstheme="minorHAnsi"/>
          <w:lang w:eastAsia="en-IE"/>
        </w:rPr>
      </w:pPr>
      <w:r w:rsidRPr="00520B37">
        <w:rPr>
          <w:rFonts w:asciiTheme="minorHAnsi" w:eastAsiaTheme="minorHAnsi" w:hAnsiTheme="minorHAnsi" w:cstheme="minorHAnsi"/>
          <w:lang w:eastAsia="en-IE"/>
        </w:rPr>
        <w:t xml:space="preserve"> It is important to note that although the information presented below is factually based on the frontline experience of the independent advocates and on the direct calls received to the information and support service lines, it is not intended to be seen as representative of the care and treatment older people receive across a variety of health and social care settings in Ireland. </w:t>
      </w:r>
    </w:p>
    <w:p w14:paraId="460B8CB7" w14:textId="77777777" w:rsidR="00520B37" w:rsidRPr="00520B37" w:rsidRDefault="00520B37" w:rsidP="00520B37">
      <w:pPr>
        <w:spacing w:line="360" w:lineRule="auto"/>
        <w:rPr>
          <w:rFonts w:asciiTheme="minorHAnsi" w:eastAsiaTheme="minorHAnsi" w:hAnsiTheme="minorHAnsi" w:cstheme="minorHAnsi"/>
          <w:lang w:eastAsia="en-IE"/>
        </w:rPr>
      </w:pPr>
    </w:p>
    <w:p w14:paraId="442210DC" w14:textId="0FBBDEE6" w:rsidR="00520B37" w:rsidRPr="00520B37" w:rsidRDefault="00520B37" w:rsidP="00520B37">
      <w:pPr>
        <w:spacing w:line="360" w:lineRule="auto"/>
        <w:rPr>
          <w:rFonts w:asciiTheme="minorHAnsi" w:eastAsiaTheme="minorHAnsi" w:hAnsiTheme="minorHAnsi" w:cstheme="minorHAnsi"/>
          <w:lang w:eastAsia="en-IE"/>
        </w:rPr>
      </w:pPr>
      <w:r w:rsidRPr="00520B37">
        <w:rPr>
          <w:rFonts w:asciiTheme="minorHAnsi" w:eastAsiaTheme="minorHAnsi" w:hAnsiTheme="minorHAnsi" w:cstheme="minorHAnsi"/>
          <w:lang w:eastAsia="en-IE"/>
        </w:rPr>
        <w:t xml:space="preserve">Since 2019, Sage Advocacy’s records referenced in the image below show that there have been </w:t>
      </w:r>
      <w:r w:rsidR="00EA4B93" w:rsidRPr="00E855C8">
        <w:rPr>
          <w:rFonts w:asciiTheme="minorHAnsi" w:eastAsiaTheme="minorHAnsi" w:hAnsiTheme="minorHAnsi" w:cstheme="minorHAnsi"/>
          <w:lang w:eastAsia="en-IE"/>
        </w:rPr>
        <w:t>263</w:t>
      </w:r>
      <w:r w:rsidR="00EA4B93">
        <w:rPr>
          <w:rFonts w:asciiTheme="minorHAnsi" w:eastAsiaTheme="minorHAnsi" w:hAnsiTheme="minorHAnsi" w:cstheme="minorHAnsi"/>
          <w:lang w:eastAsia="en-IE"/>
        </w:rPr>
        <w:t xml:space="preserve"> </w:t>
      </w:r>
      <w:r w:rsidRPr="00520B37">
        <w:rPr>
          <w:rFonts w:asciiTheme="minorHAnsi" w:eastAsiaTheme="minorHAnsi" w:hAnsiTheme="minorHAnsi" w:cstheme="minorHAnsi"/>
          <w:lang w:eastAsia="en-IE"/>
        </w:rPr>
        <w:t>cases in which elements of allegations of abuse (</w:t>
      </w:r>
      <w:r w:rsidR="00EA4B93" w:rsidRPr="00E855C8">
        <w:rPr>
          <w:rFonts w:asciiTheme="minorHAnsi" w:eastAsiaTheme="minorHAnsi" w:hAnsiTheme="minorHAnsi" w:cstheme="minorHAnsi"/>
          <w:lang w:eastAsia="en-IE"/>
        </w:rPr>
        <w:t>financial,</w:t>
      </w:r>
      <w:r w:rsidR="00EA4B93">
        <w:rPr>
          <w:rFonts w:asciiTheme="minorHAnsi" w:eastAsiaTheme="minorHAnsi" w:hAnsiTheme="minorHAnsi" w:cstheme="minorHAnsi"/>
          <w:lang w:eastAsia="en-IE"/>
        </w:rPr>
        <w:t xml:space="preserve"> </w:t>
      </w:r>
      <w:r w:rsidRPr="00520B37">
        <w:rPr>
          <w:rFonts w:asciiTheme="minorHAnsi" w:eastAsiaTheme="minorHAnsi" w:hAnsiTheme="minorHAnsi" w:cstheme="minorHAnsi"/>
          <w:lang w:eastAsia="en-IE"/>
        </w:rPr>
        <w:t xml:space="preserve">emotional, institutional, physical, </w:t>
      </w:r>
      <w:r w:rsidRPr="00520B37">
        <w:rPr>
          <w:rFonts w:asciiTheme="minorHAnsi" w:eastAsiaTheme="minorHAnsi" w:hAnsiTheme="minorHAnsi" w:cstheme="minorHAnsi"/>
          <w:lang w:eastAsia="en-IE"/>
        </w:rPr>
        <w:lastRenderedPageBreak/>
        <w:t>sexual or neglect) against the older person have been clearly identified as a significant issue. The highest proportion of allegations of abuse against the older person occurred in the older person’s home in the community, followed by a high occurrence of incidents in congregated long-term care settings and in some instances, allegations of abuse were reported by older patients when hospitalised. The occurrence of abuse allegations in sheltered accommodation, in hostels, or when older people live in any other social setting appears to be limited, as very low numbers of such cases have been referred to Sage Advocacy during this period.</w:t>
      </w:r>
    </w:p>
    <w:p w14:paraId="69EDB397" w14:textId="77777777" w:rsidR="00520B37" w:rsidRPr="00520B37" w:rsidRDefault="00520B37" w:rsidP="00520B37">
      <w:pPr>
        <w:spacing w:line="360" w:lineRule="auto"/>
        <w:rPr>
          <w:rFonts w:asciiTheme="minorHAnsi" w:eastAsiaTheme="minorHAnsi" w:hAnsiTheme="minorHAnsi" w:cstheme="minorHAnsi"/>
          <w:lang w:eastAsia="en-IE"/>
        </w:rPr>
      </w:pPr>
    </w:p>
    <w:p w14:paraId="5F0FA8BB" w14:textId="6BCCDB82" w:rsidR="00520B37" w:rsidRPr="00520B37" w:rsidRDefault="00EA4B93" w:rsidP="00520B37">
      <w:pPr>
        <w:spacing w:line="360" w:lineRule="auto"/>
        <w:rPr>
          <w:rFonts w:asciiTheme="minorHAnsi" w:eastAsiaTheme="minorHAnsi" w:hAnsiTheme="minorHAnsi" w:cstheme="minorHAnsi"/>
          <w:lang w:eastAsia="en-IE"/>
        </w:rPr>
      </w:pPr>
      <w:r>
        <w:rPr>
          <w:noProof/>
        </w:rPr>
        <w:drawing>
          <wp:inline distT="0" distB="0" distL="0" distR="0" wp14:anchorId="2D0E0B41" wp14:editId="0ED28E5D">
            <wp:extent cx="4095750" cy="327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304" cy="3291443"/>
                    </a:xfrm>
                    <a:prstGeom prst="rect">
                      <a:avLst/>
                    </a:prstGeom>
                    <a:noFill/>
                    <a:ln>
                      <a:noFill/>
                    </a:ln>
                  </pic:spPr>
                </pic:pic>
              </a:graphicData>
            </a:graphic>
          </wp:inline>
        </w:drawing>
      </w:r>
    </w:p>
    <w:p w14:paraId="42D30DDE" w14:textId="59CE5C18" w:rsidR="00520B37" w:rsidRPr="00520B37" w:rsidRDefault="00520B37" w:rsidP="00520B37">
      <w:pPr>
        <w:spacing w:line="360" w:lineRule="auto"/>
        <w:rPr>
          <w:rFonts w:asciiTheme="minorHAnsi" w:eastAsiaTheme="minorHAnsi" w:hAnsiTheme="minorHAnsi" w:cstheme="minorHAnsi"/>
          <w:lang w:eastAsia="en-IE"/>
        </w:rPr>
      </w:pPr>
      <w:r w:rsidRPr="00520B37">
        <w:rPr>
          <w:rFonts w:asciiTheme="minorHAnsi" w:eastAsiaTheme="minorHAnsi" w:hAnsiTheme="minorHAnsi" w:cstheme="minorHAnsi"/>
          <w:lang w:eastAsia="en-IE"/>
        </w:rPr>
        <w:t xml:space="preserve"> </w:t>
      </w:r>
    </w:p>
    <w:p w14:paraId="35C7DE02" w14:textId="69A066B7" w:rsidR="00520B37" w:rsidRPr="00520B37" w:rsidRDefault="00520B37" w:rsidP="00520B37">
      <w:pPr>
        <w:spacing w:line="360" w:lineRule="auto"/>
        <w:rPr>
          <w:rFonts w:asciiTheme="minorHAnsi" w:eastAsiaTheme="minorHAnsi" w:hAnsiTheme="minorHAnsi" w:cstheme="minorHAnsi"/>
          <w:lang w:eastAsia="en-IE"/>
        </w:rPr>
      </w:pPr>
    </w:p>
    <w:p w14:paraId="4F9CBCD4" w14:textId="77777777" w:rsidR="00520B37" w:rsidRPr="00520B37" w:rsidRDefault="00520B37" w:rsidP="00520B37">
      <w:pPr>
        <w:spacing w:line="360" w:lineRule="auto"/>
        <w:rPr>
          <w:rFonts w:asciiTheme="minorHAnsi" w:eastAsiaTheme="minorHAnsi" w:hAnsiTheme="minorHAnsi" w:cstheme="minorHAnsi"/>
          <w:lang w:eastAsia="en-IE"/>
        </w:rPr>
      </w:pPr>
    </w:p>
    <w:p w14:paraId="4B050381" w14:textId="77777777" w:rsidR="00520B37" w:rsidRPr="00520B37" w:rsidRDefault="00520B37" w:rsidP="00520B37">
      <w:pPr>
        <w:spacing w:after="160" w:line="360" w:lineRule="auto"/>
        <w:rPr>
          <w:rFonts w:asciiTheme="minorHAnsi" w:eastAsia="Times New Roman" w:hAnsiTheme="minorHAnsi" w:cstheme="minorHAnsi"/>
        </w:rPr>
      </w:pPr>
      <w:r w:rsidRPr="00520B37">
        <w:rPr>
          <w:rFonts w:asciiTheme="minorHAnsi" w:eastAsia="Times New Roman" w:hAnsiTheme="minorHAnsi" w:cstheme="minorHAnsi"/>
        </w:rPr>
        <w:t>There are many other situations encountered in the work carried out by the independent advocates in Sage Advocacy where suspicions might arise, but the specific case circumstances did not allow for a more defined view, such as:</w:t>
      </w:r>
    </w:p>
    <w:p w14:paraId="1A645AAF" w14:textId="77777777" w:rsidR="00520B37" w:rsidRPr="00520B37" w:rsidRDefault="00520B37" w:rsidP="00520B37">
      <w:pPr>
        <w:numPr>
          <w:ilvl w:val="0"/>
          <w:numId w:val="11"/>
        </w:numPr>
        <w:spacing w:after="160" w:line="360" w:lineRule="auto"/>
        <w:contextualSpacing/>
        <w:rPr>
          <w:rFonts w:asciiTheme="minorHAnsi" w:eastAsia="Times New Roman" w:hAnsiTheme="minorHAnsi" w:cstheme="minorHAnsi"/>
        </w:rPr>
      </w:pPr>
      <w:r w:rsidRPr="00520B37">
        <w:rPr>
          <w:rFonts w:asciiTheme="minorHAnsi" w:eastAsia="Times New Roman" w:hAnsiTheme="minorHAnsi" w:cstheme="minorHAnsi"/>
        </w:rPr>
        <w:lastRenderedPageBreak/>
        <w:t xml:space="preserve">where the older person was moved to a location in another part of the country (against their will, or without their explicit consent, or without no other viable alternative living arrangements supports in the place of their choice)  </w:t>
      </w:r>
    </w:p>
    <w:p w14:paraId="16F7B7DB" w14:textId="1EF897E5" w:rsidR="00520B37" w:rsidRDefault="00520B37" w:rsidP="00520B37">
      <w:pPr>
        <w:numPr>
          <w:ilvl w:val="0"/>
          <w:numId w:val="11"/>
        </w:numPr>
        <w:spacing w:after="160" w:line="360" w:lineRule="auto"/>
        <w:contextualSpacing/>
        <w:rPr>
          <w:rFonts w:asciiTheme="minorHAnsi" w:eastAsia="Times New Roman" w:hAnsiTheme="minorHAnsi" w:cstheme="minorHAnsi"/>
        </w:rPr>
      </w:pPr>
      <w:r w:rsidRPr="00520B37">
        <w:rPr>
          <w:rFonts w:asciiTheme="minorHAnsi" w:eastAsia="Times New Roman" w:hAnsiTheme="minorHAnsi" w:cstheme="minorHAnsi"/>
        </w:rPr>
        <w:t>the advocate was denied access to meet the older person at their request, due to infection control measures (some of which undoubtedly facilitated institutional abuse) and lockdown measures which inadvertently brought significant coercive control/safeguarding/ abuse issues.</w:t>
      </w:r>
    </w:p>
    <w:p w14:paraId="41E7F15A" w14:textId="77777777" w:rsidR="00EA4B93" w:rsidRDefault="00EA4B93" w:rsidP="00EA4B93">
      <w:pPr>
        <w:spacing w:after="160" w:line="360" w:lineRule="auto"/>
        <w:ind w:left="720"/>
        <w:contextualSpacing/>
        <w:rPr>
          <w:rFonts w:asciiTheme="minorHAnsi" w:eastAsia="Times New Roman" w:hAnsiTheme="minorHAnsi" w:cstheme="minorHAnsi"/>
        </w:rPr>
      </w:pPr>
    </w:p>
    <w:p w14:paraId="7C065383" w14:textId="77777777" w:rsidR="00EA4B93" w:rsidRPr="00E855C8" w:rsidRDefault="00EA4B93" w:rsidP="00EA4B93">
      <w:pPr>
        <w:spacing w:line="360" w:lineRule="auto"/>
        <w:rPr>
          <w:rFonts w:asciiTheme="minorHAnsi" w:eastAsia="Times New Roman" w:hAnsiTheme="minorHAnsi" w:cstheme="minorHAnsi"/>
          <w:u w:val="single"/>
        </w:rPr>
      </w:pPr>
      <w:r w:rsidRPr="00E855C8">
        <w:rPr>
          <w:rFonts w:asciiTheme="minorHAnsi" w:eastAsia="Times New Roman" w:hAnsiTheme="minorHAnsi" w:cstheme="minorHAnsi"/>
          <w:u w:val="single"/>
        </w:rPr>
        <w:t>Financial abuse case examples</w:t>
      </w:r>
    </w:p>
    <w:p w14:paraId="19BEB2B1" w14:textId="77777777" w:rsidR="00EA4B93" w:rsidRPr="00E855C8" w:rsidRDefault="00EA4B93" w:rsidP="00EA4B93">
      <w:pPr>
        <w:pStyle w:val="ListParagraph"/>
        <w:numPr>
          <w:ilvl w:val="0"/>
          <w:numId w:val="12"/>
        </w:numPr>
        <w:spacing w:after="160" w:line="360" w:lineRule="auto"/>
        <w:rPr>
          <w:rFonts w:asciiTheme="minorHAnsi" w:hAnsiTheme="minorHAnsi" w:cstheme="minorHAnsi"/>
          <w:szCs w:val="24"/>
        </w:rPr>
      </w:pPr>
      <w:r w:rsidRPr="00E855C8">
        <w:rPr>
          <w:rFonts w:asciiTheme="minorHAnsi" w:hAnsiTheme="minorHAnsi" w:cstheme="minorHAnsi"/>
          <w:b/>
          <w:szCs w:val="24"/>
        </w:rPr>
        <w:t>Significant loss of personal assets</w:t>
      </w:r>
      <w:r w:rsidRPr="00E855C8">
        <w:rPr>
          <w:rFonts w:asciiTheme="minorHAnsi" w:hAnsiTheme="minorHAnsi" w:cstheme="minorHAnsi"/>
          <w:szCs w:val="24"/>
        </w:rPr>
        <w:t xml:space="preserve"> ranging between 5,000 and 400,000 Eur</w:t>
      </w:r>
    </w:p>
    <w:p w14:paraId="43D9EB92" w14:textId="77777777" w:rsidR="00EA4B93" w:rsidRPr="00E855C8" w:rsidRDefault="00EA4B93" w:rsidP="00EA4B93">
      <w:pPr>
        <w:pStyle w:val="ListParagraph"/>
        <w:numPr>
          <w:ilvl w:val="0"/>
          <w:numId w:val="12"/>
        </w:numPr>
        <w:spacing w:after="160" w:line="360" w:lineRule="auto"/>
        <w:rPr>
          <w:rFonts w:asciiTheme="minorHAnsi" w:hAnsiTheme="minorHAnsi" w:cstheme="minorHAnsi"/>
          <w:szCs w:val="24"/>
        </w:rPr>
      </w:pPr>
      <w:r w:rsidRPr="00E855C8">
        <w:rPr>
          <w:rFonts w:asciiTheme="minorHAnsi" w:hAnsiTheme="minorHAnsi" w:cstheme="minorHAnsi"/>
          <w:szCs w:val="24"/>
        </w:rPr>
        <w:t xml:space="preserve">Regular or once-off </w:t>
      </w:r>
      <w:r w:rsidRPr="00E855C8">
        <w:rPr>
          <w:rFonts w:asciiTheme="minorHAnsi" w:hAnsiTheme="minorHAnsi" w:cstheme="minorHAnsi"/>
          <w:b/>
          <w:szCs w:val="24"/>
        </w:rPr>
        <w:t>misappropriations of funds</w:t>
      </w:r>
      <w:r w:rsidRPr="00E855C8">
        <w:rPr>
          <w:rFonts w:asciiTheme="minorHAnsi" w:hAnsiTheme="minorHAnsi" w:cstheme="minorHAnsi"/>
          <w:szCs w:val="24"/>
        </w:rPr>
        <w:t xml:space="preserve"> belonging to an older person</w:t>
      </w:r>
    </w:p>
    <w:p w14:paraId="1A2F0D84" w14:textId="3D7EEEFD" w:rsidR="00EA4B93" w:rsidRPr="00E855C8" w:rsidRDefault="00EA4B93" w:rsidP="00EA4B93">
      <w:pPr>
        <w:pStyle w:val="ListParagraph"/>
        <w:numPr>
          <w:ilvl w:val="0"/>
          <w:numId w:val="12"/>
        </w:numPr>
        <w:spacing w:after="160" w:line="360" w:lineRule="auto"/>
        <w:rPr>
          <w:rFonts w:asciiTheme="minorHAnsi" w:hAnsiTheme="minorHAnsi" w:cstheme="minorHAnsi"/>
          <w:szCs w:val="24"/>
        </w:rPr>
      </w:pPr>
      <w:r w:rsidRPr="00E855C8">
        <w:rPr>
          <w:rFonts w:asciiTheme="minorHAnsi" w:hAnsiTheme="minorHAnsi" w:cstheme="minorHAnsi"/>
          <w:szCs w:val="24"/>
        </w:rPr>
        <w:t xml:space="preserve">Older person </w:t>
      </w:r>
      <w:r w:rsidRPr="00E855C8">
        <w:rPr>
          <w:rFonts w:asciiTheme="minorHAnsi" w:hAnsiTheme="minorHAnsi" w:cstheme="minorHAnsi"/>
          <w:b/>
          <w:szCs w:val="24"/>
        </w:rPr>
        <w:t>not being supported to apply for income</w:t>
      </w:r>
      <w:r w:rsidRPr="00E855C8">
        <w:rPr>
          <w:rFonts w:asciiTheme="minorHAnsi" w:hAnsiTheme="minorHAnsi" w:cstheme="minorHAnsi"/>
          <w:szCs w:val="24"/>
        </w:rPr>
        <w:t xml:space="preserve"> </w:t>
      </w:r>
      <w:r w:rsidR="00E855C8">
        <w:rPr>
          <w:rFonts w:asciiTheme="minorHAnsi" w:hAnsiTheme="minorHAnsi" w:cstheme="minorHAnsi"/>
          <w:szCs w:val="24"/>
        </w:rPr>
        <w:t>(</w:t>
      </w:r>
      <w:r w:rsidRPr="00E855C8">
        <w:rPr>
          <w:rFonts w:asciiTheme="minorHAnsi" w:hAnsiTheme="minorHAnsi" w:cstheme="minorHAnsi"/>
          <w:szCs w:val="24"/>
        </w:rPr>
        <w:t>pension)</w:t>
      </w:r>
    </w:p>
    <w:p w14:paraId="02905137" w14:textId="00898675" w:rsidR="00EA4B93" w:rsidRPr="00E855C8" w:rsidRDefault="00EA4B93" w:rsidP="00EA4B93">
      <w:pPr>
        <w:pStyle w:val="ListParagraph"/>
        <w:numPr>
          <w:ilvl w:val="0"/>
          <w:numId w:val="12"/>
        </w:numPr>
        <w:spacing w:after="160" w:line="360" w:lineRule="auto"/>
        <w:rPr>
          <w:rFonts w:asciiTheme="minorHAnsi" w:hAnsiTheme="minorHAnsi" w:cstheme="minorHAnsi"/>
          <w:szCs w:val="24"/>
        </w:rPr>
      </w:pPr>
      <w:r w:rsidRPr="00E855C8">
        <w:rPr>
          <w:rFonts w:asciiTheme="minorHAnsi" w:hAnsiTheme="minorHAnsi" w:cstheme="minorHAnsi"/>
          <w:szCs w:val="24"/>
        </w:rPr>
        <w:t xml:space="preserve">Control of </w:t>
      </w:r>
      <w:r w:rsidRPr="00E855C8">
        <w:rPr>
          <w:rFonts w:asciiTheme="minorHAnsi" w:hAnsiTheme="minorHAnsi" w:cstheme="minorHAnsi"/>
          <w:b/>
          <w:szCs w:val="24"/>
        </w:rPr>
        <w:t>finances taken over by third parties</w:t>
      </w:r>
      <w:r w:rsidRPr="00E855C8">
        <w:rPr>
          <w:rFonts w:asciiTheme="minorHAnsi" w:hAnsiTheme="minorHAnsi" w:cstheme="minorHAnsi"/>
          <w:szCs w:val="24"/>
        </w:rPr>
        <w:t xml:space="preserve"> against older person’s wishes and </w:t>
      </w:r>
      <w:r w:rsidRPr="00E855C8">
        <w:rPr>
          <w:rFonts w:asciiTheme="minorHAnsi" w:hAnsiTheme="minorHAnsi" w:cstheme="minorHAnsi"/>
          <w:b/>
          <w:szCs w:val="24"/>
        </w:rPr>
        <w:t>refusal to return bank cards</w:t>
      </w:r>
      <w:r w:rsidRPr="00E855C8">
        <w:rPr>
          <w:rFonts w:asciiTheme="minorHAnsi" w:hAnsiTheme="minorHAnsi" w:cstheme="minorHAnsi"/>
          <w:szCs w:val="24"/>
        </w:rPr>
        <w:t>.</w:t>
      </w:r>
    </w:p>
    <w:p w14:paraId="3854FC97" w14:textId="77777777" w:rsidR="00520B37" w:rsidRPr="00520B37" w:rsidRDefault="00520B37" w:rsidP="00520B37">
      <w:pPr>
        <w:spacing w:line="360" w:lineRule="auto"/>
        <w:rPr>
          <w:rFonts w:asciiTheme="minorHAnsi" w:eastAsiaTheme="minorHAnsi" w:hAnsiTheme="minorHAnsi" w:cstheme="minorHAnsi"/>
          <w:u w:val="single"/>
          <w:lang w:eastAsia="en-IE"/>
        </w:rPr>
      </w:pPr>
      <w:r w:rsidRPr="00520B37">
        <w:rPr>
          <w:rFonts w:asciiTheme="minorHAnsi" w:eastAsiaTheme="minorHAnsi" w:hAnsiTheme="minorHAnsi" w:cstheme="minorHAnsi"/>
          <w:u w:val="single"/>
          <w:lang w:eastAsia="en-IE"/>
        </w:rPr>
        <w:t>Emotional abuse case examples</w:t>
      </w:r>
    </w:p>
    <w:p w14:paraId="2F6AF0E4" w14:textId="6316E3B0" w:rsidR="00520B37" w:rsidRPr="00520B37" w:rsidRDefault="00520B37" w:rsidP="00520B37">
      <w:pPr>
        <w:numPr>
          <w:ilvl w:val="0"/>
          <w:numId w:val="6"/>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b/>
          <w:lang w:eastAsia="en-IE"/>
        </w:rPr>
        <w:t>Family member signing forms necessary for admitting an older person in a residential care setting without consent from the older person.</w:t>
      </w:r>
      <w:r w:rsidRPr="00520B37">
        <w:rPr>
          <w:rFonts w:asciiTheme="minorHAnsi" w:eastAsia="Times New Roman" w:hAnsiTheme="minorHAnsi" w:cstheme="minorHAnsi"/>
          <w:lang w:eastAsia="en-IE"/>
        </w:rPr>
        <w:t xml:space="preserve"> This is a repeated occurrence. In many situations, if the older person doesn’t have independent support to voice their dissatisfaction with such a decision made about themselves by others, then the older person continues to live in a place against their will. Some continue to express a desire to return to their own home for prolonged periods of time. Others learn eventually to cope with this situation and the associated trade-offs.</w:t>
      </w:r>
    </w:p>
    <w:p w14:paraId="34A831F9" w14:textId="77777777" w:rsidR="00520B37" w:rsidRPr="00520B37" w:rsidRDefault="00520B37" w:rsidP="00520B37">
      <w:pPr>
        <w:spacing w:line="360" w:lineRule="auto"/>
        <w:ind w:left="720"/>
        <w:rPr>
          <w:rFonts w:asciiTheme="minorHAnsi" w:eastAsia="Times New Roman" w:hAnsiTheme="minorHAnsi" w:cstheme="minorHAnsi"/>
          <w:lang w:eastAsia="en-IE"/>
        </w:rPr>
      </w:pPr>
      <w:r w:rsidRPr="00520B37">
        <w:rPr>
          <w:rFonts w:asciiTheme="minorHAnsi" w:eastAsia="Times New Roman" w:hAnsiTheme="minorHAnsi" w:cstheme="minorHAnsi"/>
          <w:lang w:eastAsia="en-IE"/>
        </w:rPr>
        <w:t xml:space="preserve">There have been documented instances where the older person’s home was taken over by relatives who moved in, or their lifetime personal belongings have been removed/ donated/ thrown away without any input from the older person.  </w:t>
      </w:r>
    </w:p>
    <w:p w14:paraId="3391DA73" w14:textId="77777777" w:rsidR="00520B37" w:rsidRPr="00520B37" w:rsidRDefault="00520B37" w:rsidP="00520B37">
      <w:pPr>
        <w:spacing w:line="360" w:lineRule="auto"/>
        <w:ind w:left="720"/>
        <w:rPr>
          <w:rFonts w:asciiTheme="minorHAnsi" w:eastAsia="Times New Roman" w:hAnsiTheme="minorHAnsi" w:cstheme="minorHAnsi"/>
          <w:lang w:eastAsia="en-IE"/>
        </w:rPr>
      </w:pPr>
      <w:r w:rsidRPr="00520B37">
        <w:rPr>
          <w:rFonts w:asciiTheme="minorHAnsi" w:eastAsia="Times New Roman" w:hAnsiTheme="minorHAnsi" w:cstheme="minorHAnsi"/>
          <w:lang w:eastAsia="en-IE"/>
        </w:rPr>
        <w:lastRenderedPageBreak/>
        <w:t xml:space="preserve">In some situations, the older person would have agreed to transfer the ownership of their homes to family members under an unwritten agreement that the relative will continue to look after the older person in their home for the rest of their lives, but this doesn’t always turn out to be the case. In a few instances which came to Sage Advocacy’s attention, some older people required support from an independent advocate and at times from their legal adviser to address these issues and additional emotional tensions, especially in circumstances where they would have retained the right to reside on the donated property for the rest of their life. </w:t>
      </w:r>
    </w:p>
    <w:p w14:paraId="7D764211" w14:textId="399682B5" w:rsidR="00520B37" w:rsidRPr="00520B37" w:rsidRDefault="00520B37" w:rsidP="00520B37">
      <w:pPr>
        <w:numPr>
          <w:ilvl w:val="0"/>
          <w:numId w:val="6"/>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b/>
          <w:lang w:eastAsia="en-IE"/>
        </w:rPr>
        <w:t>Clients wished to return home after a time spent in a nursing home, as it was their understanding that they were admitted there for a short-term period</w:t>
      </w:r>
      <w:r w:rsidRPr="00520B37">
        <w:rPr>
          <w:rFonts w:asciiTheme="minorHAnsi" w:eastAsia="Times New Roman" w:hAnsiTheme="minorHAnsi" w:cstheme="minorHAnsi"/>
          <w:lang w:eastAsia="en-IE"/>
        </w:rPr>
        <w:t xml:space="preserve">. </w:t>
      </w:r>
      <w:r w:rsidR="00EA4B93">
        <w:rPr>
          <w:rFonts w:asciiTheme="minorHAnsi" w:eastAsia="Times New Roman" w:hAnsiTheme="minorHAnsi" w:cstheme="minorHAnsi"/>
          <w:lang w:eastAsia="en-IE"/>
        </w:rPr>
        <w:t>Sometimes</w:t>
      </w:r>
      <w:r w:rsidRPr="00520B37">
        <w:rPr>
          <w:rFonts w:asciiTheme="minorHAnsi" w:eastAsia="Times New Roman" w:hAnsiTheme="minorHAnsi" w:cstheme="minorHAnsi"/>
          <w:lang w:eastAsia="en-IE"/>
        </w:rPr>
        <w:t xml:space="preserve">, older people agree to temporarily live in a nursing home and complete the required documentation at the </w:t>
      </w:r>
      <w:r w:rsidR="00D92EF4">
        <w:rPr>
          <w:rFonts w:asciiTheme="minorHAnsi" w:eastAsia="Times New Roman" w:hAnsiTheme="minorHAnsi" w:cstheme="minorHAnsi"/>
          <w:lang w:eastAsia="en-IE"/>
        </w:rPr>
        <w:t>request/threat</w:t>
      </w:r>
      <w:r w:rsidRPr="00520B37">
        <w:rPr>
          <w:rFonts w:asciiTheme="minorHAnsi" w:eastAsia="Times New Roman" w:hAnsiTheme="minorHAnsi" w:cstheme="minorHAnsi"/>
          <w:lang w:eastAsia="en-IE"/>
        </w:rPr>
        <w:t xml:space="preserve"> of third parties, only to realize later on that others perceived the placement to be for the long term. </w:t>
      </w:r>
    </w:p>
    <w:p w14:paraId="3CD193A4" w14:textId="6F169F72" w:rsidR="00520B37" w:rsidRPr="00520B37" w:rsidRDefault="00520B37" w:rsidP="00520B37">
      <w:pPr>
        <w:spacing w:line="360" w:lineRule="auto"/>
        <w:ind w:left="720"/>
        <w:rPr>
          <w:rFonts w:asciiTheme="minorHAnsi" w:eastAsia="Times New Roman" w:hAnsiTheme="minorHAnsi" w:cstheme="minorHAnsi"/>
          <w:lang w:eastAsia="en-IE"/>
        </w:rPr>
      </w:pPr>
      <w:r w:rsidRPr="00520B37">
        <w:rPr>
          <w:rFonts w:asciiTheme="minorHAnsi" w:eastAsia="Times New Roman" w:hAnsiTheme="minorHAnsi" w:cstheme="minorHAnsi"/>
          <w:lang w:eastAsia="en-IE"/>
        </w:rPr>
        <w:t>In the case of older people who previously lived in social housing settings, the situation is particularly difficult if their tenancy was surrendered back to the local authority by others without their knowledge. Some older people suffered greatly hearing that they no longer had a home to return to and they would have to be placed on a waiting list, which in certain areas of the country can take up to a decade of waiting for a new placement.</w:t>
      </w:r>
    </w:p>
    <w:p w14:paraId="4F19D205" w14:textId="77777777" w:rsidR="00520B37" w:rsidRPr="00520B37" w:rsidRDefault="00520B37" w:rsidP="00520B37">
      <w:pPr>
        <w:numPr>
          <w:ilvl w:val="0"/>
          <w:numId w:val="6"/>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b/>
          <w:lang w:eastAsia="en-IE"/>
        </w:rPr>
        <w:t>Client’s spouse attempted over a period of time to coerce the client to sign the paperwork for selling the property owned jointly</w:t>
      </w:r>
      <w:r w:rsidRPr="00520B37">
        <w:rPr>
          <w:rFonts w:asciiTheme="minorHAnsi" w:eastAsia="Times New Roman" w:hAnsiTheme="minorHAnsi" w:cstheme="minorHAnsi"/>
          <w:lang w:eastAsia="en-IE"/>
        </w:rPr>
        <w:t xml:space="preserve"> and threatened the nursing home staff who attempted to intervene and support the client when they displayed signs of being overwhelmed; pressure was also put on the nursing home to deny access of the independent advocate to the older person in the nursing home. With support from the multidisciplinary team, the coercive control issue was addressed and the client was supported with the decision-making process. </w:t>
      </w:r>
    </w:p>
    <w:p w14:paraId="2C9AE2AF" w14:textId="3A394DF6" w:rsidR="00520B37" w:rsidRPr="00520B37" w:rsidRDefault="00520B37" w:rsidP="00520B37">
      <w:pPr>
        <w:numPr>
          <w:ilvl w:val="0"/>
          <w:numId w:val="6"/>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b/>
          <w:lang w:eastAsia="en-IE"/>
        </w:rPr>
        <w:lastRenderedPageBreak/>
        <w:t>Restrictions placed by third parties around who, where, and for how long others could visit the older person</w:t>
      </w:r>
      <w:r w:rsidRPr="00520B37">
        <w:rPr>
          <w:rFonts w:asciiTheme="minorHAnsi" w:eastAsia="Times New Roman" w:hAnsiTheme="minorHAnsi" w:cstheme="minorHAnsi"/>
          <w:lang w:eastAsia="en-IE"/>
        </w:rPr>
        <w:t xml:space="preserve">. In one particular case with a coercive control element, a client had to meet </w:t>
      </w:r>
      <w:r w:rsidR="00EA4B93">
        <w:rPr>
          <w:rFonts w:asciiTheme="minorHAnsi" w:eastAsia="Times New Roman" w:hAnsiTheme="minorHAnsi" w:cstheme="minorHAnsi"/>
          <w:lang w:eastAsia="en-IE"/>
        </w:rPr>
        <w:t>the</w:t>
      </w:r>
      <w:r w:rsidRPr="00520B37">
        <w:rPr>
          <w:rFonts w:asciiTheme="minorHAnsi" w:eastAsia="Times New Roman" w:hAnsiTheme="minorHAnsi" w:cstheme="minorHAnsi"/>
          <w:lang w:eastAsia="en-IE"/>
        </w:rPr>
        <w:t xml:space="preserve"> advocate at </w:t>
      </w:r>
      <w:r w:rsidR="00EA4B93">
        <w:rPr>
          <w:rFonts w:asciiTheme="minorHAnsi" w:eastAsia="Times New Roman" w:hAnsiTheme="minorHAnsi" w:cstheme="minorHAnsi"/>
          <w:lang w:eastAsia="en-IE"/>
        </w:rPr>
        <w:t>a</w:t>
      </w:r>
      <w:r w:rsidRPr="00520B37">
        <w:rPr>
          <w:rFonts w:asciiTheme="minorHAnsi" w:eastAsia="Times New Roman" w:hAnsiTheme="minorHAnsi" w:cstheme="minorHAnsi"/>
          <w:lang w:eastAsia="en-IE"/>
        </w:rPr>
        <w:t xml:space="preserve"> medical appointment in order to get an opportunity to discuss their wish to leave the highly tensioned home environment and to secure an alternative accommodation.</w:t>
      </w:r>
    </w:p>
    <w:p w14:paraId="4CF71762" w14:textId="77777777" w:rsidR="00520B37" w:rsidRPr="00520B37" w:rsidRDefault="00520B37" w:rsidP="00520B37">
      <w:pPr>
        <w:spacing w:line="360" w:lineRule="auto"/>
        <w:rPr>
          <w:rFonts w:asciiTheme="minorHAnsi" w:eastAsiaTheme="minorHAnsi" w:hAnsiTheme="minorHAnsi" w:cstheme="minorHAnsi"/>
          <w:lang w:eastAsia="en-IE"/>
        </w:rPr>
      </w:pPr>
    </w:p>
    <w:p w14:paraId="3E48F334" w14:textId="77777777" w:rsidR="00520B37" w:rsidRPr="00520B37" w:rsidRDefault="00520B37" w:rsidP="00520B37">
      <w:pPr>
        <w:spacing w:line="360" w:lineRule="auto"/>
        <w:rPr>
          <w:rFonts w:asciiTheme="minorHAnsi" w:eastAsiaTheme="minorHAnsi" w:hAnsiTheme="minorHAnsi" w:cstheme="minorHAnsi"/>
          <w:u w:val="single"/>
          <w:lang w:eastAsia="en-IE"/>
        </w:rPr>
      </w:pPr>
      <w:r w:rsidRPr="00520B37">
        <w:rPr>
          <w:rFonts w:asciiTheme="minorHAnsi" w:eastAsiaTheme="minorHAnsi" w:hAnsiTheme="minorHAnsi" w:cstheme="minorHAnsi"/>
          <w:u w:val="single"/>
          <w:lang w:eastAsia="en-IE"/>
        </w:rPr>
        <w:t>Institutional abuse case examples</w:t>
      </w:r>
    </w:p>
    <w:p w14:paraId="0FA6DB40" w14:textId="77777777" w:rsidR="00520B37" w:rsidRPr="00520B37" w:rsidRDefault="00520B37" w:rsidP="00520B37">
      <w:pPr>
        <w:numPr>
          <w:ilvl w:val="0"/>
          <w:numId w:val="7"/>
        </w:numPr>
        <w:spacing w:after="160" w:line="360" w:lineRule="auto"/>
        <w:rPr>
          <w:rFonts w:asciiTheme="minorHAnsi" w:eastAsia="Times New Roman" w:hAnsiTheme="minorHAnsi" w:cstheme="minorHAnsi"/>
          <w:b/>
          <w:lang w:eastAsia="en-IE"/>
        </w:rPr>
      </w:pPr>
      <w:r w:rsidRPr="00520B37">
        <w:rPr>
          <w:rFonts w:asciiTheme="minorHAnsi" w:eastAsia="Times New Roman" w:hAnsiTheme="minorHAnsi" w:cstheme="minorHAnsi"/>
          <w:b/>
          <w:lang w:eastAsia="en-IE"/>
        </w:rPr>
        <w:t>Series of injuries</w:t>
      </w:r>
      <w:r w:rsidRPr="00520B37">
        <w:rPr>
          <w:rFonts w:asciiTheme="minorHAnsi" w:eastAsia="Times New Roman" w:hAnsiTheme="minorHAnsi" w:cstheme="minorHAnsi"/>
          <w:lang w:eastAsia="en-IE"/>
        </w:rPr>
        <w:t xml:space="preserve"> experienced by an older person while in nursing home care and </w:t>
      </w:r>
      <w:r w:rsidRPr="00520B37">
        <w:rPr>
          <w:rFonts w:asciiTheme="minorHAnsi" w:eastAsia="Times New Roman" w:hAnsiTheme="minorHAnsi" w:cstheme="minorHAnsi"/>
          <w:b/>
          <w:lang w:eastAsia="en-IE"/>
        </w:rPr>
        <w:t xml:space="preserve">no explanatory documentation. </w:t>
      </w:r>
    </w:p>
    <w:p w14:paraId="0F35D30F" w14:textId="77777777" w:rsidR="00520B37" w:rsidRPr="00520B37" w:rsidRDefault="00520B37" w:rsidP="00520B37">
      <w:pPr>
        <w:numPr>
          <w:ilvl w:val="0"/>
          <w:numId w:val="7"/>
        </w:numPr>
        <w:spacing w:after="160" w:line="360" w:lineRule="auto"/>
        <w:rPr>
          <w:rFonts w:asciiTheme="minorHAnsi" w:eastAsia="Times New Roman" w:hAnsiTheme="minorHAnsi" w:cstheme="minorHAnsi"/>
          <w:b/>
          <w:lang w:eastAsia="en-IE"/>
        </w:rPr>
      </w:pPr>
      <w:r w:rsidRPr="00520B37">
        <w:rPr>
          <w:rFonts w:asciiTheme="minorHAnsi" w:eastAsia="Times New Roman" w:hAnsiTheme="minorHAnsi" w:cstheme="minorHAnsi"/>
          <w:b/>
          <w:lang w:eastAsia="en-IE"/>
        </w:rPr>
        <w:t>Nursing home setting left without incontinence wear stock for a weekend.</w:t>
      </w:r>
    </w:p>
    <w:p w14:paraId="1EEEB1C1" w14:textId="77777777" w:rsidR="00520B37" w:rsidRPr="00520B37" w:rsidRDefault="00520B37" w:rsidP="00520B37">
      <w:pPr>
        <w:numPr>
          <w:ilvl w:val="0"/>
          <w:numId w:val="7"/>
        </w:numPr>
        <w:spacing w:after="160" w:line="360" w:lineRule="auto"/>
        <w:rPr>
          <w:rFonts w:asciiTheme="minorHAnsi" w:eastAsia="Times New Roman" w:hAnsiTheme="minorHAnsi" w:cstheme="minorHAnsi"/>
          <w:b/>
          <w:lang w:eastAsia="en-IE"/>
        </w:rPr>
      </w:pPr>
      <w:r w:rsidRPr="00520B37">
        <w:rPr>
          <w:rFonts w:asciiTheme="minorHAnsi" w:eastAsia="Times New Roman" w:hAnsiTheme="minorHAnsi" w:cstheme="minorHAnsi"/>
          <w:b/>
          <w:lang w:eastAsia="en-IE"/>
        </w:rPr>
        <w:t xml:space="preserve">Use of chemical and physical restraint methods in care settings. </w:t>
      </w:r>
    </w:p>
    <w:p w14:paraId="462601A5" w14:textId="77777777" w:rsidR="00520B37" w:rsidRPr="00520B37" w:rsidRDefault="00520B37" w:rsidP="00520B37">
      <w:pPr>
        <w:numPr>
          <w:ilvl w:val="0"/>
          <w:numId w:val="7"/>
        </w:numPr>
        <w:spacing w:after="160" w:line="360" w:lineRule="auto"/>
        <w:rPr>
          <w:rFonts w:asciiTheme="minorHAnsi" w:eastAsia="Times New Roman" w:hAnsiTheme="minorHAnsi" w:cstheme="minorHAnsi"/>
          <w:b/>
          <w:lang w:eastAsia="en-IE"/>
        </w:rPr>
      </w:pPr>
      <w:r w:rsidRPr="00520B37">
        <w:rPr>
          <w:rFonts w:asciiTheme="minorHAnsi" w:eastAsia="Times New Roman" w:hAnsiTheme="minorHAnsi" w:cstheme="minorHAnsi"/>
          <w:b/>
          <w:lang w:eastAsia="en-IE"/>
        </w:rPr>
        <w:t>Private correspondence intercepted by a third party in a care setting.</w:t>
      </w:r>
    </w:p>
    <w:p w14:paraId="3B19EA30" w14:textId="77777777" w:rsidR="00520B37" w:rsidRPr="00520B37" w:rsidRDefault="00520B37" w:rsidP="00520B37">
      <w:pPr>
        <w:numPr>
          <w:ilvl w:val="0"/>
          <w:numId w:val="7"/>
        </w:numPr>
        <w:spacing w:after="160" w:line="360" w:lineRule="auto"/>
        <w:rPr>
          <w:rFonts w:asciiTheme="minorHAnsi" w:eastAsia="Times New Roman" w:hAnsiTheme="minorHAnsi" w:cstheme="minorHAnsi"/>
          <w:b/>
          <w:lang w:eastAsia="en-IE"/>
        </w:rPr>
      </w:pPr>
      <w:r w:rsidRPr="00520B37">
        <w:rPr>
          <w:rFonts w:asciiTheme="minorHAnsi" w:eastAsia="Times New Roman" w:hAnsiTheme="minorHAnsi" w:cstheme="minorHAnsi"/>
          <w:b/>
          <w:lang w:eastAsia="en-IE"/>
        </w:rPr>
        <w:t>Confiscating an older person’s mobile phone in a residential care setting.</w:t>
      </w:r>
    </w:p>
    <w:p w14:paraId="6C3A05B5" w14:textId="77777777" w:rsidR="00520B37" w:rsidRPr="00520B37" w:rsidRDefault="00520B37" w:rsidP="00520B37">
      <w:pPr>
        <w:spacing w:line="360" w:lineRule="auto"/>
        <w:rPr>
          <w:rFonts w:asciiTheme="minorHAnsi" w:eastAsiaTheme="minorHAnsi" w:hAnsiTheme="minorHAnsi" w:cstheme="minorHAnsi"/>
          <w:lang w:eastAsia="en-IE"/>
        </w:rPr>
      </w:pPr>
      <w:r w:rsidRPr="00520B37">
        <w:rPr>
          <w:rFonts w:asciiTheme="minorHAnsi" w:eastAsiaTheme="minorHAnsi" w:hAnsiTheme="minorHAnsi" w:cstheme="minorHAnsi"/>
          <w:lang w:eastAsia="en-IE"/>
        </w:rPr>
        <w:t> </w:t>
      </w:r>
    </w:p>
    <w:p w14:paraId="08F9DB88" w14:textId="77777777" w:rsidR="00520B37" w:rsidRPr="00520B37" w:rsidRDefault="00520B37" w:rsidP="00520B37">
      <w:pPr>
        <w:spacing w:line="360" w:lineRule="auto"/>
        <w:rPr>
          <w:rFonts w:asciiTheme="minorHAnsi" w:eastAsiaTheme="minorHAnsi" w:hAnsiTheme="minorHAnsi" w:cstheme="minorHAnsi"/>
          <w:u w:val="single"/>
          <w:lang w:eastAsia="en-IE"/>
        </w:rPr>
      </w:pPr>
      <w:r w:rsidRPr="00520B37">
        <w:rPr>
          <w:rFonts w:asciiTheme="minorHAnsi" w:eastAsiaTheme="minorHAnsi" w:hAnsiTheme="minorHAnsi" w:cstheme="minorHAnsi"/>
          <w:u w:val="single"/>
          <w:lang w:eastAsia="en-IE"/>
        </w:rPr>
        <w:t>Neglect/ abuse case examples</w:t>
      </w:r>
    </w:p>
    <w:p w14:paraId="74679DBC" w14:textId="77777777" w:rsidR="00520B37" w:rsidRPr="00520B37" w:rsidRDefault="00520B37" w:rsidP="00520B37">
      <w:pPr>
        <w:numPr>
          <w:ilvl w:val="0"/>
          <w:numId w:val="8"/>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lang w:eastAsia="en-IE"/>
        </w:rPr>
        <w:t xml:space="preserve">Family </w:t>
      </w:r>
      <w:r w:rsidRPr="00520B37">
        <w:rPr>
          <w:rFonts w:asciiTheme="minorHAnsi" w:eastAsia="Times New Roman" w:hAnsiTheme="minorHAnsi" w:cstheme="minorHAnsi"/>
          <w:b/>
          <w:lang w:eastAsia="en-IE"/>
        </w:rPr>
        <w:t>refusing care services into a private home</w:t>
      </w:r>
      <w:r w:rsidRPr="00520B37">
        <w:rPr>
          <w:rFonts w:asciiTheme="minorHAnsi" w:eastAsia="Times New Roman" w:hAnsiTheme="minorHAnsi" w:cstheme="minorHAnsi"/>
          <w:lang w:eastAsia="en-IE"/>
        </w:rPr>
        <w:t xml:space="preserve"> to support the older person to remain living at home. Intercepting calls, refusing support to attend medical appointments, and </w:t>
      </w:r>
      <w:r w:rsidRPr="00520B37">
        <w:rPr>
          <w:rFonts w:asciiTheme="minorHAnsi" w:eastAsia="Times New Roman" w:hAnsiTheme="minorHAnsi" w:cstheme="minorHAnsi"/>
          <w:b/>
          <w:lang w:eastAsia="en-IE"/>
        </w:rPr>
        <w:t>issues with administering medication</w:t>
      </w:r>
      <w:r w:rsidRPr="00520B37">
        <w:rPr>
          <w:rFonts w:asciiTheme="minorHAnsi" w:eastAsia="Times New Roman" w:hAnsiTheme="minorHAnsi" w:cstheme="minorHAnsi"/>
          <w:lang w:eastAsia="en-IE"/>
        </w:rPr>
        <w:t>.</w:t>
      </w:r>
    </w:p>
    <w:p w14:paraId="461B3161" w14:textId="77777777" w:rsidR="00520B37" w:rsidRPr="00520B37" w:rsidRDefault="00520B37" w:rsidP="00520B37">
      <w:pPr>
        <w:numPr>
          <w:ilvl w:val="0"/>
          <w:numId w:val="8"/>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lang w:eastAsia="en-IE"/>
        </w:rPr>
        <w:t xml:space="preserve">Relative claiming carer allowance in respect of an older person with mobility issues living at home, providing the same very </w:t>
      </w:r>
      <w:r w:rsidRPr="00520B37">
        <w:rPr>
          <w:rFonts w:asciiTheme="minorHAnsi" w:eastAsia="Times New Roman" w:hAnsiTheme="minorHAnsi" w:cstheme="minorHAnsi"/>
          <w:b/>
          <w:lang w:eastAsia="en-IE"/>
        </w:rPr>
        <w:t>limited food and no new clothing</w:t>
      </w:r>
      <w:r w:rsidRPr="00520B37">
        <w:rPr>
          <w:rFonts w:asciiTheme="minorHAnsi" w:eastAsia="Times New Roman" w:hAnsiTheme="minorHAnsi" w:cstheme="minorHAnsi"/>
          <w:lang w:eastAsia="en-IE"/>
        </w:rPr>
        <w:t xml:space="preserve"> items, leaving the older person </w:t>
      </w:r>
      <w:r w:rsidRPr="00520B37">
        <w:rPr>
          <w:rFonts w:asciiTheme="minorHAnsi" w:eastAsia="Times New Roman" w:hAnsiTheme="minorHAnsi" w:cstheme="minorHAnsi"/>
          <w:b/>
          <w:lang w:eastAsia="en-IE"/>
        </w:rPr>
        <w:t>alone in a small and unkept room for most of the day</w:t>
      </w:r>
      <w:r w:rsidRPr="00520B37">
        <w:rPr>
          <w:rFonts w:asciiTheme="minorHAnsi" w:eastAsia="Times New Roman" w:hAnsiTheme="minorHAnsi" w:cstheme="minorHAnsi"/>
          <w:lang w:eastAsia="en-IE"/>
        </w:rPr>
        <w:t xml:space="preserve"> with very minimal stimulation.</w:t>
      </w:r>
    </w:p>
    <w:p w14:paraId="1C42284A" w14:textId="77777777" w:rsidR="00520B37" w:rsidRPr="00520B37" w:rsidRDefault="00520B37" w:rsidP="00520B37">
      <w:pPr>
        <w:numPr>
          <w:ilvl w:val="0"/>
          <w:numId w:val="8"/>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lang w:eastAsia="en-IE"/>
        </w:rPr>
        <w:t xml:space="preserve">Older persons living in </w:t>
      </w:r>
      <w:r w:rsidRPr="00520B37">
        <w:rPr>
          <w:rFonts w:asciiTheme="minorHAnsi" w:eastAsia="Times New Roman" w:hAnsiTheme="minorHAnsi" w:cstheme="minorHAnsi"/>
          <w:b/>
          <w:lang w:eastAsia="en-IE"/>
        </w:rPr>
        <w:t>settings deemed unsafe and as a result, the carers are not allowed to enter the premises to provide help.</w:t>
      </w:r>
      <w:r w:rsidRPr="00520B37">
        <w:rPr>
          <w:rFonts w:asciiTheme="minorHAnsi" w:eastAsia="Times New Roman" w:hAnsiTheme="minorHAnsi" w:cstheme="minorHAnsi"/>
          <w:lang w:eastAsia="en-IE"/>
        </w:rPr>
        <w:t xml:space="preserve"> </w:t>
      </w:r>
    </w:p>
    <w:p w14:paraId="31104E63" w14:textId="3375DBEB" w:rsidR="00520B37" w:rsidRDefault="00520B37" w:rsidP="00520B37">
      <w:pPr>
        <w:numPr>
          <w:ilvl w:val="0"/>
          <w:numId w:val="8"/>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lang w:eastAsia="en-IE"/>
        </w:rPr>
        <w:lastRenderedPageBreak/>
        <w:t xml:space="preserve">Older person hospitalised after being neglected in the home by a family member who was collecting and retaining their pension. The client was </w:t>
      </w:r>
      <w:r w:rsidRPr="00520B37">
        <w:rPr>
          <w:rFonts w:asciiTheme="minorHAnsi" w:eastAsia="Times New Roman" w:hAnsiTheme="minorHAnsi" w:cstheme="minorHAnsi"/>
          <w:b/>
          <w:lang w:eastAsia="en-IE"/>
        </w:rPr>
        <w:t xml:space="preserve">malnourished, had soiled clothes, and was left in one position on a couch for </w:t>
      </w:r>
      <w:r w:rsidR="00E855C8">
        <w:rPr>
          <w:rFonts w:asciiTheme="minorHAnsi" w:eastAsia="Times New Roman" w:hAnsiTheme="minorHAnsi" w:cstheme="minorHAnsi"/>
          <w:b/>
          <w:lang w:eastAsia="en-IE"/>
        </w:rPr>
        <w:t xml:space="preserve">a </w:t>
      </w:r>
      <w:r w:rsidRPr="00520B37">
        <w:rPr>
          <w:rFonts w:asciiTheme="minorHAnsi" w:eastAsia="Times New Roman" w:hAnsiTheme="minorHAnsi" w:cstheme="minorHAnsi"/>
          <w:b/>
          <w:lang w:eastAsia="en-IE"/>
        </w:rPr>
        <w:t>prolonged time</w:t>
      </w:r>
      <w:r w:rsidRPr="00520B37">
        <w:rPr>
          <w:rFonts w:asciiTheme="minorHAnsi" w:eastAsia="Times New Roman" w:hAnsiTheme="minorHAnsi" w:cstheme="minorHAnsi"/>
          <w:lang w:eastAsia="en-IE"/>
        </w:rPr>
        <w:t xml:space="preserve">. The client subsequently moved to long-term care as </w:t>
      </w:r>
      <w:r w:rsidRPr="00520B37">
        <w:rPr>
          <w:rFonts w:asciiTheme="minorHAnsi" w:eastAsia="Times New Roman" w:hAnsiTheme="minorHAnsi" w:cstheme="minorHAnsi"/>
          <w:b/>
          <w:lang w:eastAsia="en-IE"/>
        </w:rPr>
        <w:t>their home had become inhabitable</w:t>
      </w:r>
      <w:r w:rsidRPr="00520B37">
        <w:rPr>
          <w:rFonts w:asciiTheme="minorHAnsi" w:eastAsia="Times New Roman" w:hAnsiTheme="minorHAnsi" w:cstheme="minorHAnsi"/>
          <w:lang w:eastAsia="en-IE"/>
        </w:rPr>
        <w:t xml:space="preserve">. </w:t>
      </w:r>
    </w:p>
    <w:p w14:paraId="2EBD21DF" w14:textId="616430B4" w:rsidR="00EA4B93" w:rsidRPr="00E855C8" w:rsidRDefault="00EA4B93" w:rsidP="00EA4B93">
      <w:pPr>
        <w:pStyle w:val="xmsolistparagraph"/>
        <w:numPr>
          <w:ilvl w:val="0"/>
          <w:numId w:val="8"/>
        </w:numPr>
        <w:spacing w:line="360" w:lineRule="auto"/>
        <w:rPr>
          <w:rFonts w:asciiTheme="minorHAnsi" w:eastAsia="Times New Roman" w:hAnsiTheme="minorHAnsi" w:cstheme="minorHAnsi"/>
        </w:rPr>
      </w:pPr>
      <w:r w:rsidRPr="00E855C8">
        <w:rPr>
          <w:rFonts w:asciiTheme="minorHAnsi" w:eastAsia="Times New Roman" w:hAnsiTheme="minorHAnsi" w:cstheme="minorHAnsi"/>
        </w:rPr>
        <w:t xml:space="preserve">Concerns raised by the ambulance crew attending a house call for an older person when carers on the premises appeared to be under the influence of alcohol, leading to the older person being admitted to the emergency department. </w:t>
      </w:r>
    </w:p>
    <w:p w14:paraId="599C0BF2" w14:textId="77777777" w:rsidR="00520B37" w:rsidRPr="00520B37" w:rsidRDefault="00520B37" w:rsidP="00520B37">
      <w:pPr>
        <w:spacing w:line="360" w:lineRule="auto"/>
        <w:rPr>
          <w:rFonts w:asciiTheme="minorHAnsi" w:eastAsiaTheme="minorHAnsi" w:hAnsiTheme="minorHAnsi" w:cstheme="minorHAnsi"/>
          <w:lang w:eastAsia="en-IE"/>
        </w:rPr>
      </w:pPr>
      <w:bookmarkStart w:id="0" w:name="_GoBack"/>
      <w:bookmarkEnd w:id="0"/>
    </w:p>
    <w:p w14:paraId="528336E7" w14:textId="77777777" w:rsidR="00520B37" w:rsidRPr="00520B37" w:rsidRDefault="00520B37" w:rsidP="00520B37">
      <w:pPr>
        <w:spacing w:line="360" w:lineRule="auto"/>
        <w:rPr>
          <w:rFonts w:asciiTheme="minorHAnsi" w:eastAsiaTheme="minorHAnsi" w:hAnsiTheme="minorHAnsi" w:cstheme="minorHAnsi"/>
          <w:u w:val="single"/>
          <w:lang w:eastAsia="en-IE"/>
        </w:rPr>
      </w:pPr>
      <w:r w:rsidRPr="00520B37">
        <w:rPr>
          <w:rFonts w:asciiTheme="minorHAnsi" w:eastAsiaTheme="minorHAnsi" w:hAnsiTheme="minorHAnsi" w:cstheme="minorHAnsi"/>
          <w:u w:val="single"/>
          <w:lang w:eastAsia="en-IE"/>
        </w:rPr>
        <w:t>Physical abuse case examples</w:t>
      </w:r>
    </w:p>
    <w:p w14:paraId="0EDE1CA7" w14:textId="77777777" w:rsidR="00520B37" w:rsidRPr="00520B37" w:rsidRDefault="00520B37" w:rsidP="00520B37">
      <w:pPr>
        <w:numPr>
          <w:ilvl w:val="0"/>
          <w:numId w:val="9"/>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lang w:eastAsia="en-IE"/>
        </w:rPr>
        <w:t xml:space="preserve">Older person was </w:t>
      </w:r>
      <w:r w:rsidRPr="009A5011">
        <w:rPr>
          <w:rFonts w:asciiTheme="minorHAnsi" w:eastAsia="Times New Roman" w:hAnsiTheme="minorHAnsi" w:cstheme="minorHAnsi"/>
          <w:b/>
          <w:lang w:eastAsia="en-IE"/>
        </w:rPr>
        <w:t>physically abused by a family member living in their home</w:t>
      </w:r>
      <w:r w:rsidRPr="00520B37">
        <w:rPr>
          <w:rFonts w:asciiTheme="minorHAnsi" w:eastAsia="Times New Roman" w:hAnsiTheme="minorHAnsi" w:cstheme="minorHAnsi"/>
          <w:lang w:eastAsia="en-IE"/>
        </w:rPr>
        <w:t xml:space="preserve"> and chose then to move to a nursing home to be in a safe environment. </w:t>
      </w:r>
    </w:p>
    <w:p w14:paraId="79FDF93F" w14:textId="77777777" w:rsidR="00520B37" w:rsidRPr="00520B37" w:rsidRDefault="00520B37" w:rsidP="00520B37">
      <w:pPr>
        <w:numPr>
          <w:ilvl w:val="0"/>
          <w:numId w:val="9"/>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lang w:eastAsia="en-IE"/>
        </w:rPr>
        <w:t xml:space="preserve">Supporting one older person to get a </w:t>
      </w:r>
      <w:r w:rsidRPr="009A5011">
        <w:rPr>
          <w:rFonts w:asciiTheme="minorHAnsi" w:eastAsia="Times New Roman" w:hAnsiTheme="minorHAnsi" w:cstheme="minorHAnsi"/>
          <w:b/>
          <w:lang w:eastAsia="en-IE"/>
        </w:rPr>
        <w:t>restraining order against their spouse</w:t>
      </w:r>
      <w:r w:rsidRPr="00520B37">
        <w:rPr>
          <w:rFonts w:asciiTheme="minorHAnsi" w:eastAsia="Times New Roman" w:hAnsiTheme="minorHAnsi" w:cstheme="minorHAnsi"/>
          <w:lang w:eastAsia="en-IE"/>
        </w:rPr>
        <w:t xml:space="preserve">, due to physical abuse suffered in the community. </w:t>
      </w:r>
    </w:p>
    <w:p w14:paraId="6159090F" w14:textId="2695506A" w:rsidR="00520B37" w:rsidRPr="009A5011" w:rsidRDefault="00520B37" w:rsidP="00D92EF4">
      <w:pPr>
        <w:numPr>
          <w:ilvl w:val="0"/>
          <w:numId w:val="9"/>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lang w:eastAsia="en-IE"/>
        </w:rPr>
        <w:t xml:space="preserve">Older person was </w:t>
      </w:r>
      <w:r w:rsidRPr="009A5011">
        <w:rPr>
          <w:rFonts w:asciiTheme="minorHAnsi" w:eastAsia="Times New Roman" w:hAnsiTheme="minorHAnsi" w:cstheme="minorHAnsi"/>
          <w:lang w:eastAsia="en-IE"/>
        </w:rPr>
        <w:t>physically abused by an adult child and required subsequently a placement in a long-term care setting.</w:t>
      </w:r>
      <w:r w:rsidRPr="00520B37">
        <w:rPr>
          <w:rFonts w:asciiTheme="minorHAnsi" w:eastAsia="Times New Roman" w:hAnsiTheme="minorHAnsi" w:cstheme="minorHAnsi"/>
          <w:lang w:eastAsia="en-IE"/>
        </w:rPr>
        <w:t xml:space="preserve">  The client was initially supported to return home but the </w:t>
      </w:r>
      <w:r w:rsidRPr="009A5011">
        <w:rPr>
          <w:rFonts w:asciiTheme="minorHAnsi" w:eastAsia="Times New Roman" w:hAnsiTheme="minorHAnsi" w:cstheme="minorHAnsi"/>
          <w:b/>
          <w:lang w:eastAsia="en-IE"/>
        </w:rPr>
        <w:t xml:space="preserve">services put in place could not provide the necessary support due to the ongoing challenging </w:t>
      </w:r>
      <w:proofErr w:type="spellStart"/>
      <w:r w:rsidRPr="009A5011">
        <w:rPr>
          <w:rFonts w:asciiTheme="minorHAnsi" w:eastAsia="Times New Roman" w:hAnsiTheme="minorHAnsi" w:cstheme="minorHAnsi"/>
          <w:b/>
          <w:lang w:eastAsia="en-IE"/>
        </w:rPr>
        <w:t>behaviors</w:t>
      </w:r>
      <w:proofErr w:type="spellEnd"/>
      <w:r w:rsidRPr="009A5011">
        <w:rPr>
          <w:rFonts w:asciiTheme="minorHAnsi" w:eastAsia="Times New Roman" w:hAnsiTheme="minorHAnsi" w:cstheme="minorHAnsi"/>
          <w:b/>
          <w:lang w:eastAsia="en-IE"/>
        </w:rPr>
        <w:t xml:space="preserve"> </w:t>
      </w:r>
      <w:r w:rsidRPr="009A5011">
        <w:rPr>
          <w:rFonts w:asciiTheme="minorHAnsi" w:eastAsia="Times New Roman" w:hAnsiTheme="minorHAnsi" w:cstheme="minorHAnsi"/>
          <w:lang w:eastAsia="en-IE"/>
        </w:rPr>
        <w:t>of the adult child</w:t>
      </w:r>
      <w:r w:rsidRPr="009A5011">
        <w:rPr>
          <w:rFonts w:asciiTheme="minorHAnsi" w:eastAsiaTheme="minorHAnsi" w:hAnsiTheme="minorHAnsi" w:cstheme="minorHAnsi"/>
          <w:lang w:eastAsia="en-IE"/>
        </w:rPr>
        <w:t>.</w:t>
      </w:r>
    </w:p>
    <w:p w14:paraId="497565E6" w14:textId="77777777" w:rsidR="00520B37" w:rsidRPr="00520B37" w:rsidRDefault="00520B37" w:rsidP="00520B37">
      <w:pPr>
        <w:spacing w:line="360" w:lineRule="auto"/>
        <w:rPr>
          <w:rFonts w:asciiTheme="minorHAnsi" w:eastAsiaTheme="minorHAnsi" w:hAnsiTheme="minorHAnsi" w:cstheme="minorHAnsi"/>
          <w:u w:val="single"/>
          <w:lang w:eastAsia="en-IE"/>
        </w:rPr>
      </w:pPr>
      <w:r w:rsidRPr="00520B37">
        <w:rPr>
          <w:rFonts w:asciiTheme="minorHAnsi" w:eastAsiaTheme="minorHAnsi" w:hAnsiTheme="minorHAnsi" w:cstheme="minorHAnsi"/>
          <w:u w:val="single"/>
          <w:lang w:eastAsia="en-IE"/>
        </w:rPr>
        <w:t xml:space="preserve">Sexual abuse case examples </w:t>
      </w:r>
    </w:p>
    <w:p w14:paraId="37D306E4" w14:textId="77777777" w:rsidR="00520B37" w:rsidRPr="00520B37" w:rsidRDefault="00520B37" w:rsidP="00520B37">
      <w:pPr>
        <w:numPr>
          <w:ilvl w:val="0"/>
          <w:numId w:val="10"/>
        </w:numPr>
        <w:spacing w:after="160" w:line="360" w:lineRule="auto"/>
        <w:rPr>
          <w:rFonts w:asciiTheme="minorHAnsi" w:eastAsia="Times New Roman" w:hAnsiTheme="minorHAnsi" w:cstheme="minorHAnsi"/>
          <w:lang w:eastAsia="en-IE"/>
        </w:rPr>
      </w:pPr>
      <w:r w:rsidRPr="00520B37">
        <w:rPr>
          <w:rFonts w:asciiTheme="minorHAnsi" w:eastAsia="Times New Roman" w:hAnsiTheme="minorHAnsi" w:cstheme="minorHAnsi"/>
          <w:lang w:eastAsia="en-IE"/>
        </w:rPr>
        <w:t>Resident-to-resident allegations of sexual abuse occurring in nursing home care settings (all cases recorded under this category reference the same issue).</w:t>
      </w:r>
    </w:p>
    <w:p w14:paraId="35BC269B" w14:textId="77777777" w:rsidR="00520B37" w:rsidRPr="00520B37" w:rsidRDefault="00520B37" w:rsidP="00520B37">
      <w:pPr>
        <w:spacing w:line="360" w:lineRule="auto"/>
        <w:rPr>
          <w:rFonts w:asciiTheme="minorHAnsi" w:eastAsiaTheme="minorHAnsi" w:hAnsiTheme="minorHAnsi" w:cstheme="minorHAnsi"/>
          <w:lang w:eastAsia="en-IE"/>
        </w:rPr>
      </w:pPr>
      <w:r w:rsidRPr="00520B37">
        <w:rPr>
          <w:rFonts w:asciiTheme="minorHAnsi" w:eastAsiaTheme="minorHAnsi" w:hAnsiTheme="minorHAnsi" w:cstheme="minorHAnsi"/>
          <w:lang w:eastAsia="en-IE"/>
        </w:rPr>
        <w:t> </w:t>
      </w:r>
    </w:p>
    <w:p w14:paraId="0E21D09E" w14:textId="7AF927B1" w:rsidR="00520B37" w:rsidRPr="00520B37" w:rsidRDefault="00520B37" w:rsidP="00520B37">
      <w:pPr>
        <w:spacing w:line="360" w:lineRule="auto"/>
        <w:rPr>
          <w:rFonts w:asciiTheme="minorHAnsi" w:eastAsiaTheme="minorHAnsi" w:hAnsiTheme="minorHAnsi" w:cstheme="minorHAnsi"/>
          <w:lang w:eastAsia="en-IE"/>
        </w:rPr>
      </w:pPr>
      <w:r w:rsidRPr="00520B37">
        <w:rPr>
          <w:rFonts w:asciiTheme="minorHAnsi" w:eastAsiaTheme="minorHAnsi" w:hAnsiTheme="minorHAnsi" w:cstheme="minorHAnsi"/>
          <w:lang w:eastAsia="en-IE"/>
        </w:rPr>
        <w:t>An emerging issue to note in this context is the matter of ageing serial predators entering nursing homes due to the</w:t>
      </w:r>
      <w:r w:rsidR="00E855C8">
        <w:rPr>
          <w:rFonts w:asciiTheme="minorHAnsi" w:eastAsiaTheme="minorHAnsi" w:hAnsiTheme="minorHAnsi" w:cstheme="minorHAnsi"/>
          <w:lang w:eastAsia="en-IE"/>
        </w:rPr>
        <w:t>ir</w:t>
      </w:r>
      <w:r w:rsidRPr="00520B37">
        <w:rPr>
          <w:rFonts w:asciiTheme="minorHAnsi" w:eastAsiaTheme="minorHAnsi" w:hAnsiTheme="minorHAnsi" w:cstheme="minorHAnsi"/>
          <w:lang w:eastAsia="en-IE"/>
        </w:rPr>
        <w:t xml:space="preserve"> increasingly complex level of care needs and the reluctance of the Data Protection Commission to provide the necessary guidelines on data sharing in this regard.  </w:t>
      </w:r>
    </w:p>
    <w:p w14:paraId="424CFBBD" w14:textId="77777777" w:rsidR="00520B37" w:rsidRPr="00520B37" w:rsidRDefault="00520B37" w:rsidP="00520B37">
      <w:pPr>
        <w:spacing w:line="360" w:lineRule="auto"/>
        <w:rPr>
          <w:rFonts w:asciiTheme="minorHAnsi" w:eastAsiaTheme="minorHAnsi" w:hAnsiTheme="minorHAnsi" w:cstheme="minorHAnsi"/>
          <w:lang w:eastAsia="en-IE"/>
        </w:rPr>
      </w:pPr>
    </w:p>
    <w:p w14:paraId="1E62604C" w14:textId="77777777" w:rsidR="00520B37" w:rsidRPr="00520B37" w:rsidRDefault="00520B37" w:rsidP="00520B37">
      <w:pPr>
        <w:spacing w:after="160" w:line="360" w:lineRule="auto"/>
        <w:rPr>
          <w:rFonts w:asciiTheme="minorHAnsi" w:eastAsiaTheme="minorHAnsi" w:hAnsiTheme="minorHAnsi" w:cstheme="minorHAnsi"/>
        </w:rPr>
      </w:pPr>
      <w:r w:rsidRPr="00520B37">
        <w:rPr>
          <w:rFonts w:asciiTheme="minorHAnsi" w:eastAsiaTheme="minorHAnsi" w:hAnsiTheme="minorHAnsi" w:cstheme="minorHAnsi"/>
        </w:rPr>
        <w:lastRenderedPageBreak/>
        <w:t>Sage Advocacy will publish a major report on Access to Justice in Q2 of 2023 and would be in a position to share a copy of this report with your office as part of this consultation at a later stage.</w:t>
      </w:r>
    </w:p>
    <w:p w14:paraId="1A2D3694" w14:textId="53938BE7" w:rsidR="00BC5D41" w:rsidRPr="00520B37" w:rsidRDefault="00BC5D41" w:rsidP="00EF297D">
      <w:pPr>
        <w:rPr>
          <w:rFonts w:asciiTheme="minorHAnsi" w:hAnsiTheme="minorHAnsi" w:cstheme="minorHAnsi"/>
        </w:rPr>
      </w:pPr>
    </w:p>
    <w:p w14:paraId="5E6B0956" w14:textId="4B522213" w:rsidR="00BC5D41" w:rsidRDefault="00BC5D41" w:rsidP="00EF297D"/>
    <w:p w14:paraId="28F21A15" w14:textId="6ADF4FAC" w:rsidR="00BC5D41" w:rsidRDefault="00BC5D41" w:rsidP="00EF297D"/>
    <w:p w14:paraId="14007498" w14:textId="7085AF7A" w:rsidR="00BC5D41" w:rsidRDefault="00BC5D41" w:rsidP="00EF297D"/>
    <w:p w14:paraId="53A9C75E" w14:textId="3352384B" w:rsidR="00BC5D41" w:rsidRDefault="00BC5D41" w:rsidP="00EF297D"/>
    <w:p w14:paraId="7446523C" w14:textId="48CDC274" w:rsidR="00BC5D41" w:rsidRDefault="00BC5D41" w:rsidP="00EF297D"/>
    <w:p w14:paraId="18A9C352" w14:textId="43B6D8D6" w:rsidR="00BC5D41" w:rsidRDefault="00BC5D41" w:rsidP="00EF297D"/>
    <w:p w14:paraId="58A95E7C" w14:textId="749AA598" w:rsidR="00BC5D41" w:rsidRDefault="00BC5D41" w:rsidP="00EF297D"/>
    <w:p w14:paraId="6BCF9D4B" w14:textId="16D247CD" w:rsidR="00BC5D41" w:rsidRDefault="00BC5D41" w:rsidP="00EF297D"/>
    <w:p w14:paraId="1C193933" w14:textId="0EB41613" w:rsidR="00BC5D41" w:rsidRDefault="00BC5D41" w:rsidP="00EF297D"/>
    <w:p w14:paraId="2DBF8163" w14:textId="26D38C6E" w:rsidR="00BC5D41" w:rsidRDefault="00BC5D41" w:rsidP="00EF297D"/>
    <w:p w14:paraId="1CBF2D28" w14:textId="55D8ED5F" w:rsidR="00BC5D41" w:rsidRDefault="00BC5D41" w:rsidP="00EF297D"/>
    <w:p w14:paraId="7E173F28" w14:textId="5CDEE614" w:rsidR="0040291F" w:rsidRDefault="0040291F" w:rsidP="00EF297D"/>
    <w:p w14:paraId="6E2D738A" w14:textId="60B67303" w:rsidR="0040291F" w:rsidRDefault="0040291F" w:rsidP="00EF297D"/>
    <w:p w14:paraId="526719EC" w14:textId="585A58C9" w:rsidR="0040291F" w:rsidRDefault="0040291F" w:rsidP="00EF297D"/>
    <w:p w14:paraId="1D0CFFFF" w14:textId="16C59F79" w:rsidR="0040291F" w:rsidRDefault="0040291F" w:rsidP="00EF297D"/>
    <w:p w14:paraId="3683A386" w14:textId="732518DA" w:rsidR="0040291F" w:rsidRDefault="0040291F" w:rsidP="00EF297D"/>
    <w:p w14:paraId="713766D7" w14:textId="75714BD9" w:rsidR="0040291F" w:rsidRDefault="0040291F" w:rsidP="00EF297D"/>
    <w:p w14:paraId="1677CCE1" w14:textId="0CFB8FC2" w:rsidR="0040291F" w:rsidRDefault="0040291F" w:rsidP="00EF297D"/>
    <w:p w14:paraId="29C6CBE9" w14:textId="4A897998" w:rsidR="0040291F" w:rsidRDefault="0040291F" w:rsidP="00EF297D"/>
    <w:p w14:paraId="170A8ECB" w14:textId="0B14BBAB" w:rsidR="0040291F" w:rsidRDefault="0040291F" w:rsidP="00EF297D"/>
    <w:p w14:paraId="35705242" w14:textId="31107E3A" w:rsidR="0040291F" w:rsidRDefault="0040291F" w:rsidP="00EF297D"/>
    <w:p w14:paraId="60C73F26" w14:textId="56CE8AF7" w:rsidR="0040291F" w:rsidRDefault="0040291F" w:rsidP="00EF297D"/>
    <w:p w14:paraId="4CB610BA" w14:textId="7FAC9817" w:rsidR="0040291F" w:rsidRDefault="0040291F" w:rsidP="00EF297D"/>
    <w:p w14:paraId="11B7A98D" w14:textId="77777777" w:rsidR="00062C77" w:rsidRDefault="00062C77" w:rsidP="00EF297D"/>
    <w:p w14:paraId="3FD8E43E" w14:textId="77777777" w:rsidR="00062C77" w:rsidRDefault="00062C77" w:rsidP="00EF297D"/>
    <w:p w14:paraId="1B53B979" w14:textId="75FF0808" w:rsidR="0040291F" w:rsidRDefault="0040291F" w:rsidP="00EF297D"/>
    <w:p w14:paraId="53E41A22" w14:textId="70CB74AC" w:rsidR="0040291F" w:rsidRDefault="0040291F" w:rsidP="00EF297D"/>
    <w:p w14:paraId="37DF5405" w14:textId="77777777" w:rsidR="00BC5D41" w:rsidRPr="00EF297D" w:rsidRDefault="00BC5D41" w:rsidP="00EF297D"/>
    <w:sectPr w:rsidR="00BC5D41" w:rsidRPr="00EF297D" w:rsidSect="003A5FD5">
      <w:headerReference w:type="even" r:id="rId13"/>
      <w:headerReference w:type="default" r:id="rId14"/>
      <w:footerReference w:type="even" r:id="rId15"/>
      <w:footerReference w:type="default" r:id="rId16"/>
      <w:headerReference w:type="first" r:id="rId17"/>
      <w:footerReference w:type="first" r:id="rId18"/>
      <w:pgSz w:w="11900" w:h="16840"/>
      <w:pgMar w:top="170" w:right="1134" w:bottom="1418" w:left="1134" w:header="158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CC8AD" w14:textId="77777777" w:rsidR="00945FAD" w:rsidRDefault="00945FAD" w:rsidP="00DC65A2">
      <w:r>
        <w:separator/>
      </w:r>
    </w:p>
  </w:endnote>
  <w:endnote w:type="continuationSeparator" w:id="0">
    <w:p w14:paraId="0094764D" w14:textId="77777777" w:rsidR="00945FAD" w:rsidRDefault="00945FAD" w:rsidP="00DC65A2">
      <w:r>
        <w:continuationSeparator/>
      </w:r>
    </w:p>
  </w:endnote>
  <w:endnote w:type="continuationNotice" w:id="1">
    <w:p w14:paraId="2452CBD8" w14:textId="77777777" w:rsidR="00945FAD" w:rsidRDefault="00945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B0EF" w14:textId="77777777" w:rsidR="00BE430C" w:rsidRDefault="00BE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7C74" w14:textId="77777777" w:rsidR="00B02196" w:rsidRDefault="00F21E56">
    <w:pPr>
      <w:pStyle w:val="Footer"/>
    </w:pPr>
    <w:r>
      <w:rPr>
        <w:noProof/>
      </w:rPr>
      <mc:AlternateContent>
        <mc:Choice Requires="wps">
          <w:drawing>
            <wp:anchor distT="0" distB="0" distL="114300" distR="114300" simplePos="0" relativeHeight="251658244" behindDoc="0" locked="0" layoutInCell="1" allowOverlap="1" wp14:anchorId="5AE87D6A" wp14:editId="17E31EE2">
              <wp:simplePos x="0" y="0"/>
              <wp:positionH relativeFrom="column">
                <wp:posOffset>-944880</wp:posOffset>
              </wp:positionH>
              <wp:positionV relativeFrom="paragraph">
                <wp:posOffset>890905</wp:posOffset>
              </wp:positionV>
              <wp:extent cx="7870371" cy="108000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0371" cy="1080000"/>
                      </a:xfrm>
                      <a:prstGeom prst="rect">
                        <a:avLst/>
                      </a:prstGeom>
                      <a:noFill/>
                      <a:ln w="6350">
                        <a:noFill/>
                      </a:ln>
                    </wps:spPr>
                    <wps:txb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E87D6A" id="_x0000_t202" coordsize="21600,21600" o:spt="202" path="m,l,21600r21600,l21600,xe">
              <v:stroke joinstyle="miter"/>
              <v:path gradientshapeok="t" o:connecttype="rect"/>
            </v:shapetype>
            <v:shape id="Text Box 15" o:spid="_x0000_s1027" type="#_x0000_t202" style="position:absolute;margin-left:-74.4pt;margin-top:70.15pt;width:619.7pt;height:85.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" filled="f" stroked="f" strokeweight=".5pt">
              <v:textbox>
                <w:txbxContent>
                  <w:p w14:paraId="1078040E" w14:textId="5A1CC5A3" w:rsidR="0004592B" w:rsidRDefault="005644FA" w:rsidP="00BC5D41">
                    <w:pPr>
                      <w:spacing w:before="600"/>
                      <w:jc w:val="center"/>
                    </w:pPr>
                    <w:r>
                      <w:rPr>
                        <w:noProof/>
                      </w:rPr>
                      <w:drawing>
                        <wp:inline distT="0" distB="0" distL="0" distR="0" wp14:anchorId="1CD6F68D" wp14:editId="7D06420C">
                          <wp:extent cx="7967345" cy="341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21" b="-5"/>
                                  <a:stretch/>
                                </pic:blipFill>
                                <pic:spPr bwMode="auto">
                                  <a:xfrm>
                                    <a:off x="0" y="0"/>
                                    <a:ext cx="7967345" cy="34163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790E" w14:textId="68D893F9" w:rsidR="000126E2" w:rsidRDefault="000E16BC">
    <w:pPr>
      <w:pStyle w:val="Footer"/>
    </w:pPr>
    <w:r w:rsidRPr="009C3587">
      <w:rPr>
        <w:rFonts w:asciiTheme="minorHAnsi" w:hAnsiTheme="minorHAnsi" w:cstheme="minorHAnsi"/>
        <w:noProof/>
        <w:sz w:val="18"/>
        <w:szCs w:val="18"/>
      </w:rPr>
      <mc:AlternateContent>
        <mc:Choice Requires="wps">
          <w:drawing>
            <wp:anchor distT="45720" distB="45720" distL="114300" distR="114300" simplePos="0" relativeHeight="251658245" behindDoc="0" locked="0" layoutInCell="1" allowOverlap="1" wp14:anchorId="58D0F95A" wp14:editId="25271811">
              <wp:simplePos x="0" y="0"/>
              <wp:positionH relativeFrom="column">
                <wp:posOffset>5093743</wp:posOffset>
              </wp:positionH>
              <wp:positionV relativeFrom="paragraph">
                <wp:posOffset>58183</wp:posOffset>
              </wp:positionV>
              <wp:extent cx="1534160" cy="140462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404620"/>
                      </a:xfrm>
                      <a:prstGeom prst="rect">
                        <a:avLst/>
                      </a:prstGeom>
                      <a:solidFill>
                        <a:srgbClr val="FFFFFF"/>
                      </a:solidFill>
                      <a:ln w="9525">
                        <a:noFill/>
                        <a:miter lim="800000"/>
                        <a:headEnd/>
                        <a:tailEnd/>
                      </a:ln>
                    </wps:spPr>
                    <wps:txbx>
                      <w:txbxContent>
                        <w:p w14:paraId="3E34BE39" w14:textId="77777777" w:rsidR="00387D11" w:rsidRPr="00387D11" w:rsidRDefault="00387D11" w:rsidP="00387D11">
                          <w:pPr>
                            <w:rPr>
                              <w:color w:val="767171" w:themeColor="background2" w:themeShade="80"/>
                              <w:sz w:val="18"/>
                            </w:rPr>
                          </w:pPr>
                          <w:r w:rsidRPr="00387D11">
                            <w:rPr>
                              <w:color w:val="767171" w:themeColor="background2" w:themeShade="80"/>
                              <w:sz w:val="18"/>
                            </w:rPr>
                            <w:t>24-26 Ormond Quay Upper</w:t>
                          </w:r>
                        </w:p>
                        <w:p w14:paraId="08726EF8" w14:textId="77777777" w:rsidR="00387D11" w:rsidRPr="00387D11" w:rsidRDefault="00387D11" w:rsidP="00387D11">
                          <w:pPr>
                            <w:rPr>
                              <w:color w:val="767171" w:themeColor="background2" w:themeShade="80"/>
                              <w:sz w:val="18"/>
                            </w:rPr>
                          </w:pPr>
                          <w:r w:rsidRPr="00387D11">
                            <w:rPr>
                              <w:color w:val="767171" w:themeColor="background2" w:themeShade="80"/>
                              <w:sz w:val="18"/>
                            </w:rPr>
                            <w:t>Dublin D07 DAV9</w:t>
                          </w:r>
                        </w:p>
                        <w:p w14:paraId="2917E6E7" w14:textId="6A9E2041" w:rsidR="00387D11" w:rsidRDefault="00387D11" w:rsidP="00387D11">
                          <w:pPr>
                            <w:rPr>
                              <w:color w:val="767171" w:themeColor="background2" w:themeShade="80"/>
                              <w:sz w:val="18"/>
                            </w:rPr>
                          </w:pPr>
                          <w:r w:rsidRPr="00387D11">
                            <w:rPr>
                              <w:color w:val="767171" w:themeColor="background2" w:themeShade="80"/>
                              <w:sz w:val="18"/>
                            </w:rPr>
                            <w:t>Ireland</w:t>
                          </w:r>
                        </w:p>
                        <w:p w14:paraId="4F485A85" w14:textId="77777777" w:rsidR="00BC5D41" w:rsidRPr="00387D11" w:rsidRDefault="00BC5D41" w:rsidP="00387D11">
                          <w:pPr>
                            <w:rPr>
                              <w:color w:val="767171" w:themeColor="background2" w:themeShade="80"/>
                              <w:sz w:val="18"/>
                            </w:rPr>
                          </w:pPr>
                        </w:p>
                        <w:p w14:paraId="1501F859" w14:textId="77777777" w:rsidR="00387D11" w:rsidRPr="00387D11" w:rsidRDefault="00387D11" w:rsidP="00387D11">
                          <w:pPr>
                            <w:rPr>
                              <w:color w:val="767171" w:themeColor="background2" w:themeShade="80"/>
                              <w:sz w:val="18"/>
                            </w:rPr>
                          </w:pPr>
                          <w:r w:rsidRPr="00387D11">
                            <w:rPr>
                              <w:color w:val="767171" w:themeColor="background2" w:themeShade="80"/>
                              <w:sz w:val="18"/>
                            </w:rPr>
                            <w:t>T:  +353 (0) 1 5367330</w:t>
                          </w:r>
                        </w:p>
                        <w:p w14:paraId="07A12C4D" w14:textId="77777777" w:rsidR="00387D11" w:rsidRPr="00387D11" w:rsidRDefault="00387D11" w:rsidP="00387D11">
                          <w:pPr>
                            <w:rPr>
                              <w:color w:val="767171" w:themeColor="background2" w:themeShade="80"/>
                              <w:sz w:val="18"/>
                            </w:rPr>
                          </w:pPr>
                          <w:r w:rsidRPr="00387D11">
                            <w:rPr>
                              <w:color w:val="767171" w:themeColor="background2" w:themeShade="80"/>
                              <w:sz w:val="18"/>
                            </w:rPr>
                            <w:t>E:  info@sageadvocacy.ie</w:t>
                          </w:r>
                        </w:p>
                        <w:p w14:paraId="6F59FF25" w14:textId="77777777" w:rsidR="00BC5D41" w:rsidRDefault="00BC5D41" w:rsidP="00BC5D41">
                          <w:pPr>
                            <w:spacing w:before="118"/>
                            <w:rPr>
                              <w:rFonts w:ascii="Cambria"/>
                              <w:b/>
                              <w:sz w:val="20"/>
                            </w:rPr>
                          </w:pPr>
                          <w:r>
                            <w:rPr>
                              <w:rFonts w:ascii="Cambria"/>
                              <w:b/>
                              <w:color w:val="80703A"/>
                              <w:sz w:val="20"/>
                            </w:rPr>
                            <w:t>SageAdvocacy.ie</w:t>
                          </w:r>
                        </w:p>
                        <w:p w14:paraId="4D2D41C4" w14:textId="43CECB4C" w:rsidR="00387D11" w:rsidRPr="00387D11" w:rsidRDefault="00387D11" w:rsidP="00BC5D41">
                          <w:pPr>
                            <w:rPr>
                              <w:color w:val="767171" w:themeColor="background2" w:themeShade="80"/>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D0F95A" id="_x0000_t202" coordsize="21600,21600" o:spt="202" path="m,l,21600r21600,l21600,xe">
              <v:stroke joinstyle="miter"/>
              <v:path gradientshapeok="t" o:connecttype="rect"/>
            </v:shapetype>
            <v:shape id="Text Box 2" o:spid="_x0000_s1028" type="#_x0000_t202" style="position:absolute;margin-left:401.1pt;margin-top:4.6pt;width:120.8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" stroked="f">
              <v:textbox style="mso-fit-shape-to-text:t">
                <w:txbxContent>
                  <w:p w14:paraId="3E34BE39" w14:textId="77777777" w:rsidR="00387D11" w:rsidRPr="00387D11" w:rsidRDefault="00387D11" w:rsidP="00387D11">
                    <w:pPr>
                      <w:rPr>
                        <w:color w:val="767171" w:themeColor="background2" w:themeShade="80"/>
                        <w:sz w:val="18"/>
                      </w:rPr>
                    </w:pPr>
                    <w:r w:rsidRPr="00387D11">
                      <w:rPr>
                        <w:color w:val="767171" w:themeColor="background2" w:themeShade="80"/>
                        <w:sz w:val="18"/>
                      </w:rPr>
                      <w:t>24-26 Ormond Quay Upper</w:t>
                    </w:r>
                  </w:p>
                  <w:p w14:paraId="08726EF8" w14:textId="77777777" w:rsidR="00387D11" w:rsidRPr="00387D11" w:rsidRDefault="00387D11" w:rsidP="00387D11">
                    <w:pPr>
                      <w:rPr>
                        <w:color w:val="767171" w:themeColor="background2" w:themeShade="80"/>
                        <w:sz w:val="18"/>
                      </w:rPr>
                    </w:pPr>
                    <w:r w:rsidRPr="00387D11">
                      <w:rPr>
                        <w:color w:val="767171" w:themeColor="background2" w:themeShade="80"/>
                        <w:sz w:val="18"/>
                      </w:rPr>
                      <w:t>Dublin D07 DAV9</w:t>
                    </w:r>
                  </w:p>
                  <w:p w14:paraId="2917E6E7" w14:textId="6A9E2041" w:rsidR="00387D11" w:rsidRDefault="00387D11" w:rsidP="00387D11">
                    <w:pPr>
                      <w:rPr>
                        <w:color w:val="767171" w:themeColor="background2" w:themeShade="80"/>
                        <w:sz w:val="18"/>
                      </w:rPr>
                    </w:pPr>
                    <w:r w:rsidRPr="00387D11">
                      <w:rPr>
                        <w:color w:val="767171" w:themeColor="background2" w:themeShade="80"/>
                        <w:sz w:val="18"/>
                      </w:rPr>
                      <w:t>Ireland</w:t>
                    </w:r>
                  </w:p>
                  <w:p w14:paraId="4F485A85" w14:textId="77777777" w:rsidR="00BC5D41" w:rsidRPr="00387D11" w:rsidRDefault="00BC5D41" w:rsidP="00387D11">
                    <w:pPr>
                      <w:rPr>
                        <w:color w:val="767171" w:themeColor="background2" w:themeShade="80"/>
                        <w:sz w:val="18"/>
                      </w:rPr>
                    </w:pPr>
                  </w:p>
                  <w:p w14:paraId="1501F859" w14:textId="77777777" w:rsidR="00387D11" w:rsidRPr="00387D11" w:rsidRDefault="00387D11" w:rsidP="00387D11">
                    <w:pPr>
                      <w:rPr>
                        <w:color w:val="767171" w:themeColor="background2" w:themeShade="80"/>
                        <w:sz w:val="18"/>
                      </w:rPr>
                    </w:pPr>
                    <w:r w:rsidRPr="00387D11">
                      <w:rPr>
                        <w:color w:val="767171" w:themeColor="background2" w:themeShade="80"/>
                        <w:sz w:val="18"/>
                      </w:rPr>
                      <w:t>T:  +353 (0) 1 5367330</w:t>
                    </w:r>
                  </w:p>
                  <w:p w14:paraId="07A12C4D" w14:textId="77777777" w:rsidR="00387D11" w:rsidRPr="00387D11" w:rsidRDefault="00387D11" w:rsidP="00387D11">
                    <w:pPr>
                      <w:rPr>
                        <w:color w:val="767171" w:themeColor="background2" w:themeShade="80"/>
                        <w:sz w:val="18"/>
                      </w:rPr>
                    </w:pPr>
                    <w:r w:rsidRPr="00387D11">
                      <w:rPr>
                        <w:color w:val="767171" w:themeColor="background2" w:themeShade="80"/>
                        <w:sz w:val="18"/>
                      </w:rPr>
                      <w:t>E:  info@sageadvocacy.ie</w:t>
                    </w:r>
                  </w:p>
                  <w:p w14:paraId="6F59FF25" w14:textId="77777777" w:rsidR="00BC5D41" w:rsidRDefault="00BC5D41" w:rsidP="00BC5D41">
                    <w:pPr>
                      <w:spacing w:before="118"/>
                      <w:rPr>
                        <w:rFonts w:ascii="Cambria"/>
                        <w:b/>
                        <w:sz w:val="20"/>
                      </w:rPr>
                    </w:pPr>
                    <w:r>
                      <w:rPr>
                        <w:rFonts w:ascii="Cambria"/>
                        <w:b/>
                        <w:color w:val="80703A"/>
                        <w:sz w:val="20"/>
                      </w:rPr>
                      <w:t>SageAdvocacy.ie</w:t>
                    </w:r>
                  </w:p>
                  <w:p w14:paraId="4D2D41C4" w14:textId="43CECB4C" w:rsidR="00387D11" w:rsidRPr="00387D11" w:rsidRDefault="00387D11" w:rsidP="00BC5D41">
                    <w:pPr>
                      <w:rPr>
                        <w:color w:val="767171" w:themeColor="background2" w:themeShade="80"/>
                        <w:sz w:val="18"/>
                      </w:rPr>
                    </w:pPr>
                  </w:p>
                </w:txbxContent>
              </v:textbox>
              <w10:wrap type="square"/>
            </v:shape>
          </w:pict>
        </mc:Fallback>
      </mc:AlternateContent>
    </w:r>
    <w:r w:rsidR="005644FA">
      <w:rPr>
        <w:noProof/>
      </w:rPr>
      <w:drawing>
        <wp:anchor distT="0" distB="0" distL="114300" distR="114300" simplePos="0" relativeHeight="251659269" behindDoc="0" locked="0" layoutInCell="1" allowOverlap="1" wp14:anchorId="51058984" wp14:editId="16D061AD">
          <wp:simplePos x="0" y="0"/>
          <wp:positionH relativeFrom="margin">
            <wp:posOffset>-1193165</wp:posOffset>
          </wp:positionH>
          <wp:positionV relativeFrom="margin">
            <wp:posOffset>8805333</wp:posOffset>
          </wp:positionV>
          <wp:extent cx="8603615" cy="322580"/>
          <wp:effectExtent l="0" t="0" r="698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0644" b="32904"/>
                  <a:stretch/>
                </pic:blipFill>
                <pic:spPr bwMode="auto">
                  <a:xfrm>
                    <a:off x="0" y="0"/>
                    <a:ext cx="8603615" cy="32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5D41">
      <w:rPr>
        <w:noProof/>
      </w:rPr>
      <mc:AlternateContent>
        <mc:Choice Requires="wps">
          <w:drawing>
            <wp:anchor distT="45720" distB="45720" distL="114300" distR="114300" simplePos="0" relativeHeight="251658241" behindDoc="0" locked="0" layoutInCell="1" allowOverlap="1" wp14:anchorId="5AB764DE" wp14:editId="56FBA731">
              <wp:simplePos x="0" y="0"/>
              <wp:positionH relativeFrom="page">
                <wp:posOffset>-207010</wp:posOffset>
              </wp:positionH>
              <wp:positionV relativeFrom="paragraph">
                <wp:posOffset>493183</wp:posOffset>
              </wp:positionV>
              <wp:extent cx="5680075" cy="7816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781685"/>
                      </a:xfrm>
                      <a:prstGeom prst="rect">
                        <a:avLst/>
                      </a:prstGeom>
                      <a:solidFill>
                        <a:schemeClr val="bg1"/>
                      </a:solidFill>
                      <a:ln w="9525">
                        <a:noFill/>
                        <a:miter lim="800000"/>
                        <a:headEnd/>
                        <a:tailEnd/>
                      </a:ln>
                    </wps:spPr>
                    <wps:txbx>
                      <w:txbxContent>
                        <w:p w14:paraId="74E1FE8D" w14:textId="77777777" w:rsidR="00FA56EB" w:rsidRPr="00387D11" w:rsidRDefault="00FA56EB" w:rsidP="00FA56EB">
                          <w:pPr>
                            <w:spacing w:before="40" w:after="40"/>
                            <w:ind w:left="708"/>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1CEF651B" w14:textId="6FD12401" w:rsidR="00FA56EB" w:rsidRPr="00387D11" w:rsidRDefault="00FA56EB" w:rsidP="00FA56EB">
                          <w:pPr>
                            <w:spacing w:before="40" w:after="40"/>
                            <w:ind w:left="708"/>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Board of Trustees: Patricia Rickard-Clarke</w:t>
                          </w:r>
                          <w:r>
                            <w:rPr>
                              <w:rFonts w:asciiTheme="minorHAnsi" w:hAnsiTheme="minorHAnsi" w:cstheme="minorHAnsi"/>
                              <w:color w:val="767171" w:themeColor="background2" w:themeShade="80"/>
                              <w:sz w:val="18"/>
                              <w:szCs w:val="18"/>
                            </w:rPr>
                            <w:t xml:space="preserve"> </w:t>
                          </w:r>
                          <w:r w:rsidRPr="00387D11">
                            <w:rPr>
                              <w:rFonts w:asciiTheme="minorHAnsi" w:hAnsiTheme="minorHAnsi" w:cstheme="minorHAnsi"/>
                              <w:color w:val="767171" w:themeColor="background2" w:themeShade="80"/>
                              <w:sz w:val="18"/>
                              <w:szCs w:val="18"/>
                            </w:rPr>
                            <w:t xml:space="preserve">(Chair), </w:t>
                          </w:r>
                          <w:r w:rsidR="00BE430C" w:rsidRPr="00FA56EB">
                            <w:rPr>
                              <w:rFonts w:asciiTheme="minorHAnsi" w:hAnsiTheme="minorHAnsi" w:cstheme="minorHAnsi"/>
                              <w:color w:val="767171" w:themeColor="background2" w:themeShade="80"/>
                              <w:sz w:val="18"/>
                              <w:szCs w:val="18"/>
                            </w:rPr>
                            <w:t xml:space="preserve">Vice Admiral Mark </w:t>
                          </w:r>
                          <w:proofErr w:type="spellStart"/>
                          <w:r w:rsidR="00BE430C" w:rsidRPr="00FA56EB">
                            <w:rPr>
                              <w:rFonts w:asciiTheme="minorHAnsi" w:hAnsiTheme="minorHAnsi" w:cstheme="minorHAnsi"/>
                              <w:color w:val="767171" w:themeColor="background2" w:themeShade="80"/>
                              <w:sz w:val="18"/>
                              <w:szCs w:val="18"/>
                            </w:rPr>
                            <w:t>Mellett</w:t>
                          </w:r>
                          <w:proofErr w:type="spellEnd"/>
                          <w:r w:rsidR="00BE430C" w:rsidRPr="00FA56EB">
                            <w:rPr>
                              <w:rFonts w:asciiTheme="minorHAnsi" w:hAnsiTheme="minorHAnsi" w:cstheme="minorHAnsi"/>
                              <w:color w:val="767171" w:themeColor="background2" w:themeShade="80"/>
                              <w:sz w:val="18"/>
                              <w:szCs w:val="18"/>
                            </w:rPr>
                            <w:t xml:space="preserve"> (</w:t>
                          </w:r>
                          <w:proofErr w:type="spellStart"/>
                          <w:r w:rsidR="00BE430C" w:rsidRPr="00FA56EB">
                            <w:rPr>
                              <w:rFonts w:asciiTheme="minorHAnsi" w:hAnsiTheme="minorHAnsi" w:cstheme="minorHAnsi"/>
                              <w:color w:val="767171" w:themeColor="background2" w:themeShade="80"/>
                              <w:sz w:val="18"/>
                              <w:szCs w:val="18"/>
                            </w:rPr>
                            <w:t>Rtd</w:t>
                          </w:r>
                          <w:proofErr w:type="spellEnd"/>
                          <w:r w:rsidR="00BE430C" w:rsidRPr="00FA56EB">
                            <w:rPr>
                              <w:rFonts w:asciiTheme="minorHAnsi" w:hAnsiTheme="minorHAnsi" w:cstheme="minorHAnsi"/>
                              <w:color w:val="767171" w:themeColor="background2" w:themeShade="80"/>
                              <w:sz w:val="18"/>
                              <w:szCs w:val="18"/>
                            </w:rPr>
                            <w:t>)</w:t>
                          </w:r>
                          <w:r w:rsidR="00BE430C">
                            <w:rPr>
                              <w:rFonts w:asciiTheme="minorHAnsi" w:hAnsiTheme="minorHAnsi" w:cstheme="minorHAnsi"/>
                              <w:color w:val="767171" w:themeColor="background2" w:themeShade="80"/>
                              <w:sz w:val="18"/>
                              <w:szCs w:val="18"/>
                            </w:rPr>
                            <w:t xml:space="preserve"> (Deputy Chair), </w:t>
                          </w:r>
                          <w:r w:rsidRPr="00387D11">
                            <w:rPr>
                              <w:rFonts w:asciiTheme="minorHAnsi" w:hAnsiTheme="minorHAnsi" w:cstheme="minorHAnsi"/>
                              <w:noProof/>
                              <w:color w:val="767171" w:themeColor="background2" w:themeShade="80"/>
                              <w:sz w:val="18"/>
                              <w:szCs w:val="18"/>
                            </w:rPr>
                            <w:t>Bríd de Buitléar</w:t>
                          </w:r>
                          <w:r>
                            <w:rPr>
                              <w:rFonts w:asciiTheme="minorHAnsi" w:hAnsiTheme="minorHAnsi" w:cstheme="minorHAnsi"/>
                              <w:noProof/>
                              <w:color w:val="767171" w:themeColor="background2" w:themeShade="80"/>
                              <w:sz w:val="18"/>
                              <w:szCs w:val="18"/>
                            </w:rPr>
                            <w:t xml:space="preserve"> </w:t>
                          </w:r>
                          <w:r w:rsidRPr="00387D11">
                            <w:rPr>
                              <w:rFonts w:asciiTheme="minorHAnsi" w:hAnsiTheme="minorHAnsi" w:cstheme="minorHAnsi"/>
                              <w:color w:val="767171" w:themeColor="background2" w:themeShade="80"/>
                              <w:sz w:val="18"/>
                              <w:szCs w:val="18"/>
                            </w:rPr>
                            <w:t>(Company Secretary)</w:t>
                          </w:r>
                          <w:r w:rsidRPr="00387D11">
                            <w:rPr>
                              <w:rFonts w:asciiTheme="minorHAnsi" w:hAnsiTheme="minorHAnsi" w:cstheme="minorHAnsi"/>
                              <w:noProof/>
                              <w:color w:val="767171" w:themeColor="background2" w:themeShade="80"/>
                              <w:sz w:val="18"/>
                              <w:szCs w:val="18"/>
                            </w:rPr>
                            <w:t>,</w:t>
                          </w:r>
                          <w:r>
                            <w:rPr>
                              <w:rFonts w:asciiTheme="minorHAnsi" w:hAnsiTheme="minorHAnsi" w:cstheme="minorHAnsi"/>
                              <w:noProof/>
                              <w:color w:val="767171" w:themeColor="background2" w:themeShade="80"/>
                              <w:sz w:val="18"/>
                              <w:szCs w:val="18"/>
                            </w:rPr>
                            <w:t xml:space="preserve"> Helen Burke</w:t>
                          </w:r>
                          <w:r w:rsidRPr="00387D11">
                            <w:rPr>
                              <w:rFonts w:asciiTheme="minorHAnsi" w:hAnsiTheme="minorHAnsi" w:cstheme="minorHAnsi"/>
                              <w:color w:val="767171" w:themeColor="background2" w:themeShade="80"/>
                              <w:sz w:val="18"/>
                              <w:szCs w:val="18"/>
                            </w:rPr>
                            <w:t xml:space="preserve">, </w:t>
                          </w:r>
                          <w:r>
                            <w:rPr>
                              <w:rFonts w:asciiTheme="minorHAnsi" w:hAnsiTheme="minorHAnsi" w:cstheme="minorHAnsi"/>
                              <w:color w:val="767171" w:themeColor="background2" w:themeShade="80"/>
                              <w:sz w:val="18"/>
                              <w:szCs w:val="18"/>
                            </w:rPr>
                            <w:t xml:space="preserve">Timothy Dalton, </w:t>
                          </w:r>
                          <w:r w:rsidRPr="00387D11">
                            <w:rPr>
                              <w:rFonts w:asciiTheme="minorHAnsi" w:hAnsiTheme="minorHAnsi" w:cstheme="minorHAnsi"/>
                              <w:color w:val="767171" w:themeColor="background2" w:themeShade="80"/>
                              <w:sz w:val="18"/>
                              <w:szCs w:val="18"/>
                            </w:rPr>
                            <w:t>Eoin Kennelly</w:t>
                          </w:r>
                          <w:r>
                            <w:rPr>
                              <w:rFonts w:asciiTheme="minorHAnsi" w:hAnsiTheme="minorHAnsi" w:cstheme="minorHAnsi"/>
                              <w:color w:val="767171" w:themeColor="background2" w:themeShade="80"/>
                              <w:sz w:val="18"/>
                              <w:szCs w:val="18"/>
                            </w:rPr>
                            <w:t xml:space="preserve">, </w:t>
                          </w:r>
                          <w:r>
                            <w:rPr>
                              <w:rFonts w:asciiTheme="minorHAnsi" w:hAnsiTheme="minorHAnsi" w:cstheme="minorHAnsi"/>
                              <w:noProof/>
                              <w:color w:val="767171" w:themeColor="background2" w:themeShade="80"/>
                              <w:sz w:val="18"/>
                              <w:szCs w:val="18"/>
                            </w:rPr>
                            <w:t>Bill Lloyd</w:t>
                          </w:r>
                          <w:r>
                            <w:rPr>
                              <w:rFonts w:asciiTheme="minorHAnsi" w:hAnsiTheme="minorHAnsi" w:cstheme="minorHAnsi"/>
                              <w:color w:val="767171" w:themeColor="background2" w:themeShade="80"/>
                              <w:sz w:val="18"/>
                              <w:szCs w:val="18"/>
                            </w:rPr>
                            <w:t xml:space="preserve">, Greg Price, </w:t>
                          </w:r>
                          <w:r w:rsidRPr="00212231">
                            <w:rPr>
                              <w:rFonts w:asciiTheme="minorHAnsi" w:hAnsiTheme="minorHAnsi" w:cstheme="minorHAnsi"/>
                              <w:color w:val="767171" w:themeColor="background2" w:themeShade="80"/>
                              <w:sz w:val="18"/>
                              <w:szCs w:val="18"/>
                            </w:rPr>
                            <w:t>Doreen Shivnen</w:t>
                          </w:r>
                          <w:r w:rsidR="002A5691">
                            <w:rPr>
                              <w:rFonts w:asciiTheme="minorHAnsi" w:hAnsiTheme="minorHAnsi" w:cstheme="minorHAnsi"/>
                              <w:color w:val="767171" w:themeColor="background2" w:themeShade="80"/>
                              <w:sz w:val="18"/>
                              <w:szCs w:val="18"/>
                            </w:rPr>
                            <w:t>.</w:t>
                          </w:r>
                        </w:p>
                        <w:p w14:paraId="7870A6DB" w14:textId="42DA5D8F" w:rsidR="00387D11" w:rsidRDefault="00387D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764DE" id="_x0000_s1029" type="#_x0000_t202" style="position:absolute;margin-left:-16.3pt;margin-top:38.85pt;width:447.25pt;height:61.5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" fillcolor="white [3212]" stroked="f">
              <v:textbox>
                <w:txbxContent>
                  <w:p w14:paraId="74E1FE8D" w14:textId="77777777" w:rsidR="00FA56EB" w:rsidRPr="00387D11" w:rsidRDefault="00FA56EB" w:rsidP="00FA56EB">
                    <w:pPr>
                      <w:spacing w:before="40" w:after="40"/>
                      <w:ind w:left="708"/>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Sage Advocacy clg. CRO# 610824.  RCN# 20162221.  CHY# 22308.</w:t>
                    </w:r>
                  </w:p>
                  <w:p w14:paraId="1CEF651B" w14:textId="6FD12401" w:rsidR="00FA56EB" w:rsidRPr="00387D11" w:rsidRDefault="00FA56EB" w:rsidP="00FA56EB">
                    <w:pPr>
                      <w:spacing w:before="40" w:after="40"/>
                      <w:ind w:left="708"/>
                      <w:rPr>
                        <w:rFonts w:asciiTheme="minorHAnsi" w:hAnsiTheme="minorHAnsi" w:cstheme="minorHAnsi"/>
                        <w:color w:val="767171" w:themeColor="background2" w:themeShade="80"/>
                        <w:sz w:val="18"/>
                        <w:szCs w:val="18"/>
                      </w:rPr>
                    </w:pPr>
                    <w:r w:rsidRPr="00387D11">
                      <w:rPr>
                        <w:rFonts w:asciiTheme="minorHAnsi" w:hAnsiTheme="minorHAnsi" w:cstheme="minorHAnsi"/>
                        <w:color w:val="767171" w:themeColor="background2" w:themeShade="80"/>
                        <w:sz w:val="18"/>
                        <w:szCs w:val="18"/>
                      </w:rPr>
                      <w:t>Board of Trustees: Patricia Rickard-Clarke</w:t>
                    </w:r>
                    <w:r>
                      <w:rPr>
                        <w:rFonts w:asciiTheme="minorHAnsi" w:hAnsiTheme="minorHAnsi" w:cstheme="minorHAnsi"/>
                        <w:color w:val="767171" w:themeColor="background2" w:themeShade="80"/>
                        <w:sz w:val="18"/>
                        <w:szCs w:val="18"/>
                      </w:rPr>
                      <w:t xml:space="preserve"> </w:t>
                    </w:r>
                    <w:r w:rsidRPr="00387D11">
                      <w:rPr>
                        <w:rFonts w:asciiTheme="minorHAnsi" w:hAnsiTheme="minorHAnsi" w:cstheme="minorHAnsi"/>
                        <w:color w:val="767171" w:themeColor="background2" w:themeShade="80"/>
                        <w:sz w:val="18"/>
                        <w:szCs w:val="18"/>
                      </w:rPr>
                      <w:t xml:space="preserve">(Chair), </w:t>
                    </w:r>
                    <w:r w:rsidR="00BE430C" w:rsidRPr="00FA56EB">
                      <w:rPr>
                        <w:rFonts w:asciiTheme="minorHAnsi" w:hAnsiTheme="minorHAnsi" w:cstheme="minorHAnsi"/>
                        <w:color w:val="767171" w:themeColor="background2" w:themeShade="80"/>
                        <w:sz w:val="18"/>
                        <w:szCs w:val="18"/>
                      </w:rPr>
                      <w:t xml:space="preserve">Vice Admiral Mark </w:t>
                    </w:r>
                    <w:proofErr w:type="spellStart"/>
                    <w:r w:rsidR="00BE430C" w:rsidRPr="00FA56EB">
                      <w:rPr>
                        <w:rFonts w:asciiTheme="minorHAnsi" w:hAnsiTheme="minorHAnsi" w:cstheme="minorHAnsi"/>
                        <w:color w:val="767171" w:themeColor="background2" w:themeShade="80"/>
                        <w:sz w:val="18"/>
                        <w:szCs w:val="18"/>
                      </w:rPr>
                      <w:t>Mellett</w:t>
                    </w:r>
                    <w:proofErr w:type="spellEnd"/>
                    <w:r w:rsidR="00BE430C" w:rsidRPr="00FA56EB">
                      <w:rPr>
                        <w:rFonts w:asciiTheme="minorHAnsi" w:hAnsiTheme="minorHAnsi" w:cstheme="minorHAnsi"/>
                        <w:color w:val="767171" w:themeColor="background2" w:themeShade="80"/>
                        <w:sz w:val="18"/>
                        <w:szCs w:val="18"/>
                      </w:rPr>
                      <w:t xml:space="preserve"> (</w:t>
                    </w:r>
                    <w:proofErr w:type="spellStart"/>
                    <w:r w:rsidR="00BE430C" w:rsidRPr="00FA56EB">
                      <w:rPr>
                        <w:rFonts w:asciiTheme="minorHAnsi" w:hAnsiTheme="minorHAnsi" w:cstheme="minorHAnsi"/>
                        <w:color w:val="767171" w:themeColor="background2" w:themeShade="80"/>
                        <w:sz w:val="18"/>
                        <w:szCs w:val="18"/>
                      </w:rPr>
                      <w:t>Rtd</w:t>
                    </w:r>
                    <w:proofErr w:type="spellEnd"/>
                    <w:r w:rsidR="00BE430C" w:rsidRPr="00FA56EB">
                      <w:rPr>
                        <w:rFonts w:asciiTheme="minorHAnsi" w:hAnsiTheme="minorHAnsi" w:cstheme="minorHAnsi"/>
                        <w:color w:val="767171" w:themeColor="background2" w:themeShade="80"/>
                        <w:sz w:val="18"/>
                        <w:szCs w:val="18"/>
                      </w:rPr>
                      <w:t>)</w:t>
                    </w:r>
                    <w:r w:rsidR="00BE430C">
                      <w:rPr>
                        <w:rFonts w:asciiTheme="minorHAnsi" w:hAnsiTheme="minorHAnsi" w:cstheme="minorHAnsi"/>
                        <w:color w:val="767171" w:themeColor="background2" w:themeShade="80"/>
                        <w:sz w:val="18"/>
                        <w:szCs w:val="18"/>
                      </w:rPr>
                      <w:t xml:space="preserve"> (Deputy Chair), </w:t>
                    </w:r>
                    <w:r w:rsidRPr="00387D11">
                      <w:rPr>
                        <w:rFonts w:asciiTheme="minorHAnsi" w:hAnsiTheme="minorHAnsi" w:cstheme="minorHAnsi"/>
                        <w:noProof/>
                        <w:color w:val="767171" w:themeColor="background2" w:themeShade="80"/>
                        <w:sz w:val="18"/>
                        <w:szCs w:val="18"/>
                      </w:rPr>
                      <w:t>Bríd de Buitléar</w:t>
                    </w:r>
                    <w:r>
                      <w:rPr>
                        <w:rFonts w:asciiTheme="minorHAnsi" w:hAnsiTheme="minorHAnsi" w:cstheme="minorHAnsi"/>
                        <w:noProof/>
                        <w:color w:val="767171" w:themeColor="background2" w:themeShade="80"/>
                        <w:sz w:val="18"/>
                        <w:szCs w:val="18"/>
                      </w:rPr>
                      <w:t xml:space="preserve"> </w:t>
                    </w:r>
                    <w:r w:rsidRPr="00387D11">
                      <w:rPr>
                        <w:rFonts w:asciiTheme="minorHAnsi" w:hAnsiTheme="minorHAnsi" w:cstheme="minorHAnsi"/>
                        <w:color w:val="767171" w:themeColor="background2" w:themeShade="80"/>
                        <w:sz w:val="18"/>
                        <w:szCs w:val="18"/>
                      </w:rPr>
                      <w:t>(Company Secretary)</w:t>
                    </w:r>
                    <w:r w:rsidRPr="00387D11">
                      <w:rPr>
                        <w:rFonts w:asciiTheme="minorHAnsi" w:hAnsiTheme="minorHAnsi" w:cstheme="minorHAnsi"/>
                        <w:noProof/>
                        <w:color w:val="767171" w:themeColor="background2" w:themeShade="80"/>
                        <w:sz w:val="18"/>
                        <w:szCs w:val="18"/>
                      </w:rPr>
                      <w:t>,</w:t>
                    </w:r>
                    <w:r>
                      <w:rPr>
                        <w:rFonts w:asciiTheme="minorHAnsi" w:hAnsiTheme="minorHAnsi" w:cstheme="minorHAnsi"/>
                        <w:noProof/>
                        <w:color w:val="767171" w:themeColor="background2" w:themeShade="80"/>
                        <w:sz w:val="18"/>
                        <w:szCs w:val="18"/>
                      </w:rPr>
                      <w:t xml:space="preserve"> Helen Burke</w:t>
                    </w:r>
                    <w:r w:rsidRPr="00387D11">
                      <w:rPr>
                        <w:rFonts w:asciiTheme="minorHAnsi" w:hAnsiTheme="minorHAnsi" w:cstheme="minorHAnsi"/>
                        <w:color w:val="767171" w:themeColor="background2" w:themeShade="80"/>
                        <w:sz w:val="18"/>
                        <w:szCs w:val="18"/>
                      </w:rPr>
                      <w:t xml:space="preserve">, </w:t>
                    </w:r>
                    <w:r>
                      <w:rPr>
                        <w:rFonts w:asciiTheme="minorHAnsi" w:hAnsiTheme="minorHAnsi" w:cstheme="minorHAnsi"/>
                        <w:color w:val="767171" w:themeColor="background2" w:themeShade="80"/>
                        <w:sz w:val="18"/>
                        <w:szCs w:val="18"/>
                      </w:rPr>
                      <w:t xml:space="preserve">Timothy Dalton, </w:t>
                    </w:r>
                    <w:r w:rsidRPr="00387D11">
                      <w:rPr>
                        <w:rFonts w:asciiTheme="minorHAnsi" w:hAnsiTheme="minorHAnsi" w:cstheme="minorHAnsi"/>
                        <w:color w:val="767171" w:themeColor="background2" w:themeShade="80"/>
                        <w:sz w:val="18"/>
                        <w:szCs w:val="18"/>
                      </w:rPr>
                      <w:t>Eoin Kennelly</w:t>
                    </w:r>
                    <w:r>
                      <w:rPr>
                        <w:rFonts w:asciiTheme="minorHAnsi" w:hAnsiTheme="minorHAnsi" w:cstheme="minorHAnsi"/>
                        <w:color w:val="767171" w:themeColor="background2" w:themeShade="80"/>
                        <w:sz w:val="18"/>
                        <w:szCs w:val="18"/>
                      </w:rPr>
                      <w:t xml:space="preserve">, </w:t>
                    </w:r>
                    <w:r>
                      <w:rPr>
                        <w:rFonts w:asciiTheme="minorHAnsi" w:hAnsiTheme="minorHAnsi" w:cstheme="minorHAnsi"/>
                        <w:noProof/>
                        <w:color w:val="767171" w:themeColor="background2" w:themeShade="80"/>
                        <w:sz w:val="18"/>
                        <w:szCs w:val="18"/>
                      </w:rPr>
                      <w:t>Bill Lloyd</w:t>
                    </w:r>
                    <w:r>
                      <w:rPr>
                        <w:rFonts w:asciiTheme="minorHAnsi" w:hAnsiTheme="minorHAnsi" w:cstheme="minorHAnsi"/>
                        <w:color w:val="767171" w:themeColor="background2" w:themeShade="80"/>
                        <w:sz w:val="18"/>
                        <w:szCs w:val="18"/>
                      </w:rPr>
                      <w:t xml:space="preserve">, Greg Price, </w:t>
                    </w:r>
                    <w:r w:rsidRPr="00212231">
                      <w:rPr>
                        <w:rFonts w:asciiTheme="minorHAnsi" w:hAnsiTheme="minorHAnsi" w:cstheme="minorHAnsi"/>
                        <w:color w:val="767171" w:themeColor="background2" w:themeShade="80"/>
                        <w:sz w:val="18"/>
                        <w:szCs w:val="18"/>
                      </w:rPr>
                      <w:t>Doreen Shivnen</w:t>
                    </w:r>
                    <w:r w:rsidR="002A5691">
                      <w:rPr>
                        <w:rFonts w:asciiTheme="minorHAnsi" w:hAnsiTheme="minorHAnsi" w:cstheme="minorHAnsi"/>
                        <w:color w:val="767171" w:themeColor="background2" w:themeShade="80"/>
                        <w:sz w:val="18"/>
                        <w:szCs w:val="18"/>
                      </w:rPr>
                      <w:t>.</w:t>
                    </w:r>
                  </w:p>
                  <w:p w14:paraId="7870A6DB" w14:textId="42DA5D8F" w:rsidR="00387D11" w:rsidRDefault="00387D11"/>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C063B" w14:textId="77777777" w:rsidR="00945FAD" w:rsidRDefault="00945FAD" w:rsidP="00DC65A2">
      <w:r>
        <w:separator/>
      </w:r>
    </w:p>
  </w:footnote>
  <w:footnote w:type="continuationSeparator" w:id="0">
    <w:p w14:paraId="4E4C4EF1" w14:textId="77777777" w:rsidR="00945FAD" w:rsidRDefault="00945FAD" w:rsidP="00DC65A2">
      <w:r>
        <w:continuationSeparator/>
      </w:r>
    </w:p>
  </w:footnote>
  <w:footnote w:type="continuationNotice" w:id="1">
    <w:p w14:paraId="41BB6AC0" w14:textId="77777777" w:rsidR="00945FAD" w:rsidRDefault="00945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C7C2" w14:textId="77777777" w:rsidR="00BE430C" w:rsidRDefault="00BE4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52BD" w14:textId="77777777" w:rsidR="00DC65A2" w:rsidRDefault="00F21E56">
    <w:pPr>
      <w:pStyle w:val="Header"/>
    </w:pPr>
    <w:r>
      <w:rPr>
        <w:noProof/>
      </w:rPr>
      <mc:AlternateContent>
        <mc:Choice Requires="wps">
          <w:drawing>
            <wp:anchor distT="0" distB="0" distL="114300" distR="114300" simplePos="0" relativeHeight="251658243" behindDoc="0" locked="0" layoutInCell="1" allowOverlap="1" wp14:anchorId="797702D5" wp14:editId="4913E0AB">
              <wp:simplePos x="0" y="0"/>
              <wp:positionH relativeFrom="column">
                <wp:posOffset>-861604</wp:posOffset>
              </wp:positionH>
              <wp:positionV relativeFrom="paragraph">
                <wp:posOffset>-812437</wp:posOffset>
              </wp:positionV>
              <wp:extent cx="7480300" cy="948236"/>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0300" cy="948236"/>
                      </a:xfrm>
                      <a:prstGeom prst="rect">
                        <a:avLst/>
                      </a:prstGeom>
                      <a:noFill/>
                      <a:ln w="6350">
                        <a:noFill/>
                      </a:ln>
                    </wps:spPr>
                    <wps:txb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1">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7702D5" id="_x0000_t202" coordsize="21600,21600" o:spt="202" path="m,l,21600r21600,l21600,xe">
              <v:stroke joinstyle="miter"/>
              <v:path gradientshapeok="t" o:connecttype="rect"/>
            </v:shapetype>
            <v:shape id="Text Box 11" o:spid="_x0000_s1026" type="#_x0000_t202" style="position:absolute;margin-left:-67.85pt;margin-top:-63.95pt;width:589pt;height:74.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" filled="f" stroked="f" strokeweight=".5pt">
              <v:textbox>
                <w:txbxContent>
                  <w:p w14:paraId="1D3F0AF7" w14:textId="6D51A552" w:rsidR="0004592B" w:rsidRDefault="00BC5D41" w:rsidP="00BC5D41">
                    <w:pPr>
                      <w:ind w:left="1871"/>
                      <w:jc w:val="right"/>
                    </w:pPr>
                    <w:r>
                      <w:rPr>
                        <w:noProof/>
                      </w:rPr>
                      <w:drawing>
                        <wp:inline distT="0" distB="0" distL="0" distR="0" wp14:anchorId="70402496" wp14:editId="22EE45E8">
                          <wp:extent cx="1243497" cy="87085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jpg"/>
                                  <pic:cNvPicPr/>
                                </pic:nvPicPr>
                                <pic:blipFill rotWithShape="1">
                                  <a:blip r:embed="rId1">
                                    <a:extLst>
                                      <a:ext uri="{28A0092B-C50C-407E-A947-70E740481C1C}">
                                        <a14:useLocalDpi xmlns:a14="http://schemas.microsoft.com/office/drawing/2010/main" val="0"/>
                                      </a:ext>
                                    </a:extLst>
                                  </a:blip>
                                  <a:srcRect b="29000"/>
                                  <a:stretch/>
                                </pic:blipFill>
                                <pic:spPr bwMode="auto">
                                  <a:xfrm>
                                    <a:off x="0" y="0"/>
                                    <a:ext cx="1256394" cy="87988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8904" w14:textId="0FC9D718" w:rsidR="000126E2" w:rsidRDefault="00BC5D41">
    <w:pPr>
      <w:pStyle w:val="Header"/>
    </w:pPr>
    <w:r>
      <w:rPr>
        <w:noProof/>
      </w:rPr>
      <w:drawing>
        <wp:anchor distT="0" distB="0" distL="114300" distR="114300" simplePos="0" relativeHeight="251661317" behindDoc="0" locked="0" layoutInCell="1" allowOverlap="1" wp14:anchorId="4D4D5AAE" wp14:editId="781FBF5C">
          <wp:simplePos x="0" y="0"/>
          <wp:positionH relativeFrom="column">
            <wp:posOffset>5199380</wp:posOffset>
          </wp:positionH>
          <wp:positionV relativeFrom="paragraph">
            <wp:posOffset>-759460</wp:posOffset>
          </wp:positionV>
          <wp:extent cx="1289685" cy="89598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w.jpg"/>
                  <pic:cNvPicPr/>
                </pic:nvPicPr>
                <pic:blipFill rotWithShape="1">
                  <a:blip r:embed="rId1">
                    <a:extLst>
                      <a:ext uri="{28A0092B-C50C-407E-A947-70E740481C1C}">
                        <a14:useLocalDpi xmlns:a14="http://schemas.microsoft.com/office/drawing/2010/main" val="0"/>
                      </a:ext>
                    </a:extLst>
                  </a:blip>
                  <a:srcRect b="29544"/>
                  <a:stretch/>
                </pic:blipFill>
                <pic:spPr bwMode="auto">
                  <a:xfrm>
                    <a:off x="0" y="0"/>
                    <a:ext cx="1289685" cy="895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D26EA"/>
    <w:multiLevelType w:val="multilevel"/>
    <w:tmpl w:val="18188F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167969"/>
    <w:multiLevelType w:val="hybridMultilevel"/>
    <w:tmpl w:val="65B2C086"/>
    <w:lvl w:ilvl="0" w:tplc="AC9EB9C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652902"/>
    <w:multiLevelType w:val="multilevel"/>
    <w:tmpl w:val="D818A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71CE2"/>
    <w:multiLevelType w:val="multilevel"/>
    <w:tmpl w:val="97063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195E43"/>
    <w:multiLevelType w:val="multilevel"/>
    <w:tmpl w:val="F63C0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05368"/>
    <w:multiLevelType w:val="hybridMultilevel"/>
    <w:tmpl w:val="466040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CC0992"/>
    <w:multiLevelType w:val="hybridMultilevel"/>
    <w:tmpl w:val="EDD0DDAA"/>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114E96"/>
    <w:multiLevelType w:val="singleLevel"/>
    <w:tmpl w:val="5E94BFDC"/>
    <w:lvl w:ilvl="0">
      <w:start w:val="1"/>
      <w:numFmt w:val="bullet"/>
      <w:pStyle w:val="Bullet1"/>
      <w:lvlText w:val=""/>
      <w:lvlJc w:val="left"/>
      <w:pPr>
        <w:tabs>
          <w:tab w:val="num" w:pos="283"/>
        </w:tabs>
        <w:ind w:left="283" w:hanging="283"/>
      </w:pPr>
      <w:rPr>
        <w:rFonts w:ascii="Symbol" w:hAnsi="Symbol" w:hint="default"/>
      </w:rPr>
    </w:lvl>
  </w:abstractNum>
  <w:abstractNum w:abstractNumId="8" w15:restartNumberingAfterBreak="0">
    <w:nsid w:val="3C2F0954"/>
    <w:multiLevelType w:val="hybridMultilevel"/>
    <w:tmpl w:val="155CE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A542C0"/>
    <w:multiLevelType w:val="hybridMultilevel"/>
    <w:tmpl w:val="03646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5E0F35"/>
    <w:multiLevelType w:val="multilevel"/>
    <w:tmpl w:val="53288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D2360D"/>
    <w:multiLevelType w:val="hybridMultilevel"/>
    <w:tmpl w:val="C4824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8"/>
  </w:num>
  <w:num w:numId="6">
    <w:abstractNumId w:val="4"/>
  </w:num>
  <w:num w:numId="7">
    <w:abstractNumId w:val="2"/>
  </w:num>
  <w:num w:numId="8">
    <w:abstractNumId w:val="10"/>
  </w:num>
  <w:num w:numId="9">
    <w:abstractNumId w:val="3"/>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A2"/>
    <w:rsid w:val="000126E2"/>
    <w:rsid w:val="0002563C"/>
    <w:rsid w:val="0004592B"/>
    <w:rsid w:val="00062C77"/>
    <w:rsid w:val="00076212"/>
    <w:rsid w:val="0009578D"/>
    <w:rsid w:val="000B4353"/>
    <w:rsid w:val="000E16BC"/>
    <w:rsid w:val="000F703C"/>
    <w:rsid w:val="00107F1D"/>
    <w:rsid w:val="00136A56"/>
    <w:rsid w:val="00173F7C"/>
    <w:rsid w:val="001800D7"/>
    <w:rsid w:val="001A1D37"/>
    <w:rsid w:val="001C5AA0"/>
    <w:rsid w:val="001D5CF7"/>
    <w:rsid w:val="001F3930"/>
    <w:rsid w:val="00203A6D"/>
    <w:rsid w:val="00212231"/>
    <w:rsid w:val="002203B7"/>
    <w:rsid w:val="002241A6"/>
    <w:rsid w:val="00234C3E"/>
    <w:rsid w:val="00244358"/>
    <w:rsid w:val="00255129"/>
    <w:rsid w:val="002A5691"/>
    <w:rsid w:val="002B1D1B"/>
    <w:rsid w:val="002B270A"/>
    <w:rsid w:val="002C5F7F"/>
    <w:rsid w:val="00315162"/>
    <w:rsid w:val="00333A7E"/>
    <w:rsid w:val="003422DD"/>
    <w:rsid w:val="00363737"/>
    <w:rsid w:val="00387D11"/>
    <w:rsid w:val="003A5FD5"/>
    <w:rsid w:val="003C7ED4"/>
    <w:rsid w:val="0040291F"/>
    <w:rsid w:val="004503C7"/>
    <w:rsid w:val="004D06AD"/>
    <w:rsid w:val="004E0E4D"/>
    <w:rsid w:val="004F6ED9"/>
    <w:rsid w:val="00520B37"/>
    <w:rsid w:val="00524887"/>
    <w:rsid w:val="005618A0"/>
    <w:rsid w:val="005623EC"/>
    <w:rsid w:val="005644FA"/>
    <w:rsid w:val="005A71A7"/>
    <w:rsid w:val="005C55DC"/>
    <w:rsid w:val="005D1806"/>
    <w:rsid w:val="005F0C82"/>
    <w:rsid w:val="00611866"/>
    <w:rsid w:val="006224DB"/>
    <w:rsid w:val="00647B1D"/>
    <w:rsid w:val="00647CBD"/>
    <w:rsid w:val="00676AAA"/>
    <w:rsid w:val="00681106"/>
    <w:rsid w:val="006A346B"/>
    <w:rsid w:val="006A4A8D"/>
    <w:rsid w:val="006A4BDC"/>
    <w:rsid w:val="006A7C06"/>
    <w:rsid w:val="006B0B37"/>
    <w:rsid w:val="006B571E"/>
    <w:rsid w:val="006E5BF0"/>
    <w:rsid w:val="00706E7D"/>
    <w:rsid w:val="00737231"/>
    <w:rsid w:val="00752FDD"/>
    <w:rsid w:val="00786973"/>
    <w:rsid w:val="007D3C66"/>
    <w:rsid w:val="0085271F"/>
    <w:rsid w:val="00883450"/>
    <w:rsid w:val="008B173B"/>
    <w:rsid w:val="008B34F0"/>
    <w:rsid w:val="008D11AE"/>
    <w:rsid w:val="008F41CF"/>
    <w:rsid w:val="00905BEC"/>
    <w:rsid w:val="00907179"/>
    <w:rsid w:val="009172FD"/>
    <w:rsid w:val="00945FAD"/>
    <w:rsid w:val="00955084"/>
    <w:rsid w:val="0096472A"/>
    <w:rsid w:val="0097222A"/>
    <w:rsid w:val="0097633E"/>
    <w:rsid w:val="00994308"/>
    <w:rsid w:val="009A5011"/>
    <w:rsid w:val="009B2A1A"/>
    <w:rsid w:val="009C5297"/>
    <w:rsid w:val="009D7844"/>
    <w:rsid w:val="009F1947"/>
    <w:rsid w:val="00A04FC5"/>
    <w:rsid w:val="00A0778E"/>
    <w:rsid w:val="00A47966"/>
    <w:rsid w:val="00A86E4D"/>
    <w:rsid w:val="00AA23D0"/>
    <w:rsid w:val="00AB5C03"/>
    <w:rsid w:val="00AC4646"/>
    <w:rsid w:val="00AE01F9"/>
    <w:rsid w:val="00AE1685"/>
    <w:rsid w:val="00B02196"/>
    <w:rsid w:val="00B106C5"/>
    <w:rsid w:val="00B4178D"/>
    <w:rsid w:val="00B418AC"/>
    <w:rsid w:val="00B4260B"/>
    <w:rsid w:val="00B42E0F"/>
    <w:rsid w:val="00B6738A"/>
    <w:rsid w:val="00BB027B"/>
    <w:rsid w:val="00BC5D41"/>
    <w:rsid w:val="00BE430C"/>
    <w:rsid w:val="00C0522F"/>
    <w:rsid w:val="00C2570A"/>
    <w:rsid w:val="00C27B8E"/>
    <w:rsid w:val="00C71AE6"/>
    <w:rsid w:val="00C9535F"/>
    <w:rsid w:val="00CA4FD4"/>
    <w:rsid w:val="00CC374B"/>
    <w:rsid w:val="00CD0D3E"/>
    <w:rsid w:val="00CD79A5"/>
    <w:rsid w:val="00D049CA"/>
    <w:rsid w:val="00D76082"/>
    <w:rsid w:val="00D92EF4"/>
    <w:rsid w:val="00DC65A2"/>
    <w:rsid w:val="00DD7699"/>
    <w:rsid w:val="00DE5A75"/>
    <w:rsid w:val="00DF12C9"/>
    <w:rsid w:val="00E05266"/>
    <w:rsid w:val="00E33279"/>
    <w:rsid w:val="00E504E4"/>
    <w:rsid w:val="00E616D2"/>
    <w:rsid w:val="00E8318B"/>
    <w:rsid w:val="00E855C8"/>
    <w:rsid w:val="00E87E5E"/>
    <w:rsid w:val="00EA4B93"/>
    <w:rsid w:val="00EB3517"/>
    <w:rsid w:val="00ED2C17"/>
    <w:rsid w:val="00EF297D"/>
    <w:rsid w:val="00F21E56"/>
    <w:rsid w:val="00F223F8"/>
    <w:rsid w:val="00FA56EB"/>
    <w:rsid w:val="669C90FA"/>
    <w:rsid w:val="6B024E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1D13B"/>
  <w15:chartTrackingRefBased/>
  <w15:docId w15:val="{FE82A42F-417E-4146-ADC0-C7E9BD15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IE" w:eastAsia="en-US"/>
    </w:rPr>
  </w:style>
  <w:style w:type="paragraph" w:styleId="Heading1">
    <w:name w:val="heading 1"/>
    <w:basedOn w:val="Normal"/>
    <w:next w:val="Normal"/>
    <w:link w:val="Heading1Char"/>
    <w:qFormat/>
    <w:rsid w:val="00E504E4"/>
    <w:pPr>
      <w:keepNext/>
      <w:widowControl w:val="0"/>
      <w:outlineLvl w:val="0"/>
    </w:pPr>
    <w:rPr>
      <w:rFonts w:ascii="Times" w:eastAsia="Times New Roman" w:hAnsi="Times"/>
      <w:b/>
      <w:sz w:val="22"/>
      <w:szCs w:val="20"/>
      <w:lang w:val="en-US"/>
    </w:rPr>
  </w:style>
  <w:style w:type="paragraph" w:styleId="Heading3">
    <w:name w:val="heading 3"/>
    <w:basedOn w:val="Normal"/>
    <w:next w:val="Normal"/>
    <w:link w:val="Heading3Char"/>
    <w:uiPriority w:val="9"/>
    <w:semiHidden/>
    <w:unhideWhenUsed/>
    <w:qFormat/>
    <w:rsid w:val="0025512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5A2"/>
    <w:pPr>
      <w:tabs>
        <w:tab w:val="center" w:pos="4536"/>
        <w:tab w:val="right" w:pos="9072"/>
      </w:tabs>
    </w:pPr>
  </w:style>
  <w:style w:type="character" w:customStyle="1" w:styleId="HeaderChar">
    <w:name w:val="Header Char"/>
    <w:basedOn w:val="DefaultParagraphFont"/>
    <w:link w:val="Header"/>
    <w:rsid w:val="00DC65A2"/>
  </w:style>
  <w:style w:type="paragraph" w:styleId="Footer">
    <w:name w:val="footer"/>
    <w:basedOn w:val="Normal"/>
    <w:link w:val="FooterChar"/>
    <w:unhideWhenUsed/>
    <w:rsid w:val="00DC65A2"/>
    <w:pPr>
      <w:tabs>
        <w:tab w:val="center" w:pos="4536"/>
        <w:tab w:val="right" w:pos="9072"/>
      </w:tabs>
    </w:pPr>
  </w:style>
  <w:style w:type="character" w:customStyle="1" w:styleId="FooterChar">
    <w:name w:val="Footer Char"/>
    <w:basedOn w:val="DefaultParagraphFont"/>
    <w:link w:val="Footer"/>
    <w:rsid w:val="00DC65A2"/>
  </w:style>
  <w:style w:type="paragraph" w:styleId="NormalWeb">
    <w:name w:val="Normal (Web)"/>
    <w:basedOn w:val="Normal"/>
    <w:uiPriority w:val="99"/>
    <w:unhideWhenUsed/>
    <w:rsid w:val="00B02196"/>
    <w:pPr>
      <w:spacing w:before="100" w:beforeAutospacing="1" w:after="100" w:afterAutospacing="1"/>
    </w:pPr>
    <w:rPr>
      <w:rFonts w:ascii="Times New Roman" w:eastAsia="Times New Roman" w:hAnsi="Times New Roman"/>
      <w:lang w:eastAsia="fr-FR"/>
    </w:rPr>
  </w:style>
  <w:style w:type="character" w:customStyle="1" w:styleId="Heading1Char">
    <w:name w:val="Heading 1 Char"/>
    <w:basedOn w:val="DefaultParagraphFont"/>
    <w:link w:val="Heading1"/>
    <w:rsid w:val="00E504E4"/>
    <w:rPr>
      <w:rFonts w:ascii="Times" w:eastAsia="Times New Roman" w:hAnsi="Times"/>
      <w:b/>
      <w:sz w:val="22"/>
      <w:lang w:val="en-US" w:eastAsia="en-US"/>
    </w:rPr>
  </w:style>
  <w:style w:type="paragraph" w:customStyle="1" w:styleId="Bullet1">
    <w:name w:val="Bullet1"/>
    <w:basedOn w:val="Normal"/>
    <w:rsid w:val="00E504E4"/>
    <w:pPr>
      <w:numPr>
        <w:numId w:val="2"/>
      </w:numPr>
      <w:spacing w:line="280" w:lineRule="atLeast"/>
      <w:ind w:left="0" w:firstLine="0"/>
    </w:pPr>
    <w:rPr>
      <w:rFonts w:ascii="Times New Roman" w:eastAsiaTheme="minorHAnsi" w:hAnsi="Times New Roman"/>
      <w:sz w:val="22"/>
      <w:szCs w:val="22"/>
    </w:rPr>
  </w:style>
  <w:style w:type="character" w:styleId="Hyperlink">
    <w:name w:val="Hyperlink"/>
    <w:basedOn w:val="DefaultParagraphFont"/>
    <w:uiPriority w:val="99"/>
    <w:unhideWhenUsed/>
    <w:rsid w:val="00905BEC"/>
    <w:rPr>
      <w:color w:val="0563C1" w:themeColor="hyperlink"/>
      <w:u w:val="single"/>
    </w:rPr>
  </w:style>
  <w:style w:type="character" w:customStyle="1" w:styleId="Heading3Char">
    <w:name w:val="Heading 3 Char"/>
    <w:basedOn w:val="DefaultParagraphFont"/>
    <w:link w:val="Heading3"/>
    <w:uiPriority w:val="9"/>
    <w:semiHidden/>
    <w:rsid w:val="00255129"/>
    <w:rPr>
      <w:rFonts w:asciiTheme="majorHAnsi" w:eastAsiaTheme="majorEastAsia" w:hAnsiTheme="majorHAnsi" w:cstheme="majorBidi"/>
      <w:color w:val="1F3763" w:themeColor="accent1" w:themeShade="7F"/>
      <w:sz w:val="24"/>
      <w:szCs w:val="24"/>
      <w:lang w:val="en-IE" w:eastAsia="en-US"/>
    </w:rPr>
  </w:style>
  <w:style w:type="table" w:styleId="TableGrid">
    <w:name w:val="Table Grid"/>
    <w:basedOn w:val="TableNormal"/>
    <w:uiPriority w:val="39"/>
    <w:rsid w:val="008D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AE6"/>
    <w:pPr>
      <w:ind w:left="720"/>
      <w:contextualSpacing/>
    </w:pPr>
    <w:rPr>
      <w:rFonts w:ascii="Palatino" w:eastAsia="Times New Roman" w:hAnsi="Palatino"/>
      <w:szCs w:val="20"/>
      <w:lang w:val="en-US"/>
    </w:rPr>
  </w:style>
  <w:style w:type="paragraph" w:customStyle="1" w:styleId="xmsonormal">
    <w:name w:val="xmsonormal"/>
    <w:basedOn w:val="Normal"/>
    <w:uiPriority w:val="99"/>
    <w:semiHidden/>
    <w:rsid w:val="003A5FD5"/>
    <w:rPr>
      <w:rFonts w:ascii="Times New Roman" w:eastAsiaTheme="minorHAnsi" w:hAnsi="Times New Roman"/>
      <w:lang w:eastAsia="en-IE"/>
    </w:rPr>
  </w:style>
  <w:style w:type="paragraph" w:styleId="BalloonText">
    <w:name w:val="Balloon Text"/>
    <w:basedOn w:val="Normal"/>
    <w:link w:val="BalloonTextChar"/>
    <w:uiPriority w:val="99"/>
    <w:semiHidden/>
    <w:unhideWhenUsed/>
    <w:rsid w:val="00E0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66"/>
    <w:rPr>
      <w:rFonts w:ascii="Segoe UI" w:hAnsi="Segoe UI" w:cs="Segoe UI"/>
      <w:sz w:val="18"/>
      <w:szCs w:val="18"/>
      <w:lang w:val="en-IE" w:eastAsia="en-US"/>
    </w:rPr>
  </w:style>
  <w:style w:type="paragraph" w:styleId="BodyText">
    <w:name w:val="Body Text"/>
    <w:basedOn w:val="Normal"/>
    <w:link w:val="BodyTextChar"/>
    <w:rsid w:val="00FA56EB"/>
    <w:pPr>
      <w:jc w:val="both"/>
    </w:pPr>
    <w:rPr>
      <w:rFonts w:ascii="Times New Roman" w:eastAsia="Times New Roman" w:hAnsi="Times New Roman"/>
      <w:szCs w:val="20"/>
      <w:lang w:val="en-GB"/>
    </w:rPr>
  </w:style>
  <w:style w:type="character" w:customStyle="1" w:styleId="BodyTextChar">
    <w:name w:val="Body Text Char"/>
    <w:basedOn w:val="DefaultParagraphFont"/>
    <w:link w:val="BodyText"/>
    <w:rsid w:val="00FA56EB"/>
    <w:rPr>
      <w:rFonts w:ascii="Times New Roman" w:eastAsia="Times New Roman" w:hAnsi="Times New Roman"/>
      <w:sz w:val="24"/>
      <w:lang w:val="en-GB" w:eastAsia="en-US"/>
    </w:rPr>
  </w:style>
  <w:style w:type="character" w:styleId="UnresolvedMention">
    <w:name w:val="Unresolved Mention"/>
    <w:basedOn w:val="DefaultParagraphFont"/>
    <w:uiPriority w:val="99"/>
    <w:semiHidden/>
    <w:unhideWhenUsed/>
    <w:rsid w:val="004503C7"/>
    <w:rPr>
      <w:color w:val="605E5C"/>
      <w:shd w:val="clear" w:color="auto" w:fill="E1DFDD"/>
    </w:rPr>
  </w:style>
  <w:style w:type="paragraph" w:customStyle="1" w:styleId="xmsolistparagraph">
    <w:name w:val="x_msolistparagraph"/>
    <w:basedOn w:val="Normal"/>
    <w:rsid w:val="00EA4B93"/>
    <w:pPr>
      <w:spacing w:line="252" w:lineRule="auto"/>
      <w:ind w:left="720"/>
    </w:pPr>
    <w:rPr>
      <w:rFonts w:ascii="Times New Roman" w:eastAsiaTheme="minorHAnsi"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18735">
      <w:bodyDiv w:val="1"/>
      <w:marLeft w:val="0"/>
      <w:marRight w:val="0"/>
      <w:marTop w:val="0"/>
      <w:marBottom w:val="0"/>
      <w:divBdr>
        <w:top w:val="none" w:sz="0" w:space="0" w:color="auto"/>
        <w:left w:val="none" w:sz="0" w:space="0" w:color="auto"/>
        <w:bottom w:val="none" w:sz="0" w:space="0" w:color="auto"/>
        <w:right w:val="none" w:sz="0" w:space="0" w:color="auto"/>
      </w:divBdr>
    </w:div>
    <w:div w:id="692805050">
      <w:bodyDiv w:val="1"/>
      <w:marLeft w:val="0"/>
      <w:marRight w:val="0"/>
      <w:marTop w:val="0"/>
      <w:marBottom w:val="0"/>
      <w:divBdr>
        <w:top w:val="none" w:sz="0" w:space="0" w:color="auto"/>
        <w:left w:val="none" w:sz="0" w:space="0" w:color="auto"/>
        <w:bottom w:val="none" w:sz="0" w:space="0" w:color="auto"/>
        <w:right w:val="none" w:sz="0" w:space="0" w:color="auto"/>
      </w:divBdr>
    </w:div>
    <w:div w:id="845941985">
      <w:bodyDiv w:val="1"/>
      <w:marLeft w:val="0"/>
      <w:marRight w:val="0"/>
      <w:marTop w:val="0"/>
      <w:marBottom w:val="0"/>
      <w:divBdr>
        <w:top w:val="none" w:sz="0" w:space="0" w:color="auto"/>
        <w:left w:val="none" w:sz="0" w:space="0" w:color="auto"/>
        <w:bottom w:val="none" w:sz="0" w:space="0" w:color="auto"/>
        <w:right w:val="none" w:sz="0" w:space="0" w:color="auto"/>
      </w:divBdr>
    </w:div>
    <w:div w:id="935555814">
      <w:bodyDiv w:val="1"/>
      <w:marLeft w:val="0"/>
      <w:marRight w:val="0"/>
      <w:marTop w:val="0"/>
      <w:marBottom w:val="0"/>
      <w:divBdr>
        <w:top w:val="none" w:sz="0" w:space="0" w:color="auto"/>
        <w:left w:val="none" w:sz="0" w:space="0" w:color="auto"/>
        <w:bottom w:val="none" w:sz="0" w:space="0" w:color="auto"/>
        <w:right w:val="none" w:sz="0" w:space="0" w:color="auto"/>
      </w:divBdr>
    </w:div>
    <w:div w:id="1658071700">
      <w:bodyDiv w:val="1"/>
      <w:marLeft w:val="0"/>
      <w:marRight w:val="0"/>
      <w:marTop w:val="0"/>
      <w:marBottom w:val="0"/>
      <w:divBdr>
        <w:top w:val="none" w:sz="0" w:space="0" w:color="auto"/>
        <w:left w:val="none" w:sz="0" w:space="0" w:color="auto"/>
        <w:bottom w:val="none" w:sz="0" w:space="0" w:color="auto"/>
        <w:right w:val="none" w:sz="0" w:space="0" w:color="auto"/>
      </w:divBdr>
    </w:div>
    <w:div w:id="1704206049">
      <w:bodyDiv w:val="1"/>
      <w:marLeft w:val="0"/>
      <w:marRight w:val="0"/>
      <w:marTop w:val="0"/>
      <w:marBottom w:val="0"/>
      <w:divBdr>
        <w:top w:val="none" w:sz="0" w:space="0" w:color="auto"/>
        <w:left w:val="none" w:sz="0" w:space="0" w:color="auto"/>
        <w:bottom w:val="none" w:sz="0" w:space="0" w:color="auto"/>
        <w:right w:val="none" w:sz="0" w:space="0" w:color="auto"/>
      </w:divBdr>
    </w:div>
    <w:div w:id="1777015047">
      <w:bodyDiv w:val="1"/>
      <w:marLeft w:val="0"/>
      <w:marRight w:val="0"/>
      <w:marTop w:val="0"/>
      <w:marBottom w:val="0"/>
      <w:divBdr>
        <w:top w:val="none" w:sz="0" w:space="0" w:color="auto"/>
        <w:left w:val="none" w:sz="0" w:space="0" w:color="auto"/>
        <w:bottom w:val="none" w:sz="0" w:space="0" w:color="auto"/>
        <w:right w:val="none" w:sz="0" w:space="0" w:color="auto"/>
      </w:divBdr>
    </w:div>
    <w:div w:id="20214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Group All Staff</DisplayName>
        <AccountId>51</AccountId>
        <AccountType/>
      </UserInfo>
    </SharedWithUsers>
    <Category xmlns="d42e65b2-cf21-49c1-b27d-d23f90380c0e">CSOs</Category>
    <Doctype xmlns="d42e65b2-cf21-49c1-b27d-d23f90380c0e">input</Doctype>
    <Contributor xmlns="d42e65b2-cf21-49c1-b27d-d23f90380c0e">Sage Advocacy</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DB91A-CA24-4E61-AFB9-82D29500A257}"/>
</file>

<file path=customXml/itemProps2.xml><?xml version="1.0" encoding="utf-8"?>
<ds:datastoreItem xmlns:ds="http://schemas.openxmlformats.org/officeDocument/2006/customXml" ds:itemID="{D3B7256B-4235-46FD-BA13-CD2644B35E1C}">
  <ds:schemaRefs>
    <ds:schemaRef ds:uri="http://schemas.microsoft.com/office/2006/metadata/properties"/>
    <ds:schemaRef ds:uri="http://schemas.microsoft.com/office/infopath/2007/PartnerControls"/>
    <ds:schemaRef ds:uri="20891825-3431-4931-afc6-fefb3869efc5"/>
    <ds:schemaRef ds:uri="824a464b-1246-44ee-8b71-cb12ef0187c9"/>
  </ds:schemaRefs>
</ds:datastoreItem>
</file>

<file path=customXml/itemProps3.xml><?xml version="1.0" encoding="utf-8"?>
<ds:datastoreItem xmlns:ds="http://schemas.openxmlformats.org/officeDocument/2006/customXml" ds:itemID="{CF6FBF2F-F703-4560-ABE1-83FEECDF95A1}">
  <ds:schemaRefs>
    <ds:schemaRef ds:uri="http://schemas.microsoft.com/sharepoint/v3/contenttype/forms"/>
  </ds:schemaRefs>
</ds:datastoreItem>
</file>

<file path=customXml/itemProps4.xml><?xml version="1.0" encoding="utf-8"?>
<ds:datastoreItem xmlns:ds="http://schemas.openxmlformats.org/officeDocument/2006/customXml" ds:itemID="{249683F9-8FE7-4B6F-AF39-E35D2DB25B0A}">
  <ds:schemaRefs>
    <ds:schemaRef ds:uri="http://schemas.microsoft.com/sharepoint/events"/>
  </ds:schemaRefs>
</ds:datastoreItem>
</file>

<file path=customXml/itemProps5.xml><?xml version="1.0" encoding="utf-8"?>
<ds:datastoreItem xmlns:ds="http://schemas.openxmlformats.org/officeDocument/2006/customXml" ds:itemID="{21B5FF4A-FAC9-4E3C-B96B-0E89550A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Warren</dc:creator>
  <cp:keywords/>
  <dc:description/>
  <cp:lastModifiedBy>Bibiana Savin</cp:lastModifiedBy>
  <cp:revision>6</cp:revision>
  <cp:lastPrinted>2022-09-28T11:32:00Z</cp:lastPrinted>
  <dcterms:created xsi:type="dcterms:W3CDTF">2023-03-01T22:30:00Z</dcterms:created>
  <dcterms:modified xsi:type="dcterms:W3CDTF">2023-03-01T23:06:00Z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GrammarlyDocumentId">
    <vt:lpwstr>3bb1aad4594c1745b84ab527ec3814c89835c85ea9111d47b7175155322aa8d6</vt:lpwstr>
  </property>
</Properties>
</file>