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040" w:rsidRPr="00951ED1" w:rsidRDefault="00644040" w:rsidP="00951ED1">
      <w:pPr>
        <w:jc w:val="both"/>
        <w:rPr>
          <w:rFonts w:asciiTheme="minorHAnsi" w:eastAsia="Times New Roman" w:hAnsiTheme="minorHAnsi" w:cs="Times New Roman"/>
          <w:b/>
          <w:sz w:val="24"/>
          <w:szCs w:val="24"/>
        </w:rPr>
      </w:pPr>
    </w:p>
    <w:p w:rsidR="00BB2203" w:rsidRPr="00951ED1" w:rsidRDefault="00142AE3" w:rsidP="00951ED1">
      <w:pPr>
        <w:jc w:val="both"/>
        <w:rPr>
          <w:rFonts w:asciiTheme="minorHAnsi" w:eastAsia="Times New Roman" w:hAnsiTheme="minorHAnsi" w:cs="Arial"/>
          <w:b/>
          <w:sz w:val="24"/>
          <w:szCs w:val="24"/>
        </w:rPr>
      </w:pPr>
      <w:r w:rsidRPr="00951ED1">
        <w:rPr>
          <w:rFonts w:asciiTheme="minorHAnsi" w:eastAsia="Times New Roman" w:hAnsiTheme="minorHAnsi" w:cs="Arial"/>
          <w:b/>
          <w:sz w:val="24"/>
          <w:szCs w:val="24"/>
        </w:rPr>
        <w:t>Contribuciones: Violencia, maltrato y abandono contra las personas de edad</w:t>
      </w:r>
    </w:p>
    <w:p w:rsidR="00BB2203" w:rsidRPr="00951ED1" w:rsidRDefault="00142AE3" w:rsidP="0095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21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b/>
          <w:color w:val="000000"/>
          <w:sz w:val="24"/>
          <w:szCs w:val="24"/>
        </w:rPr>
        <w:t xml:space="preserve">Marcos legales, políticos e institucionales: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¿existe una ley contra la discriminación que prohíba la discriminación por motivos de edad? ¿Existe una legislación sobre violencia contra las personas y/o violencia doméstica que incluya violencia, maltrato</w:t>
      </w:r>
      <w:r w:rsidR="0027636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,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abandono de personas de edad? ¿Establece la ley un organismo independiente especializado que reciba denuncias de discriminación por motivos de edad? ¿Existe un plan, política o estrategia nacional para hacer frente a la violencia contra las personas de edad, que esté supervisado por un mecanismo nacional? </w:t>
      </w:r>
    </w:p>
    <w:p w:rsidR="00644040" w:rsidRPr="00951ED1" w:rsidRDefault="00644040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644040" w:rsidRPr="00951ED1" w:rsidRDefault="00644040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951ED1">
        <w:rPr>
          <w:rFonts w:asciiTheme="minorHAnsi" w:eastAsia="Times New Roman" w:hAnsiTheme="minorHAnsi" w:cs="Arial"/>
          <w:sz w:val="24"/>
          <w:szCs w:val="24"/>
        </w:rPr>
        <w:t>Sí,</w:t>
      </w:r>
      <w:r w:rsidR="00B5751E" w:rsidRPr="00951ED1">
        <w:rPr>
          <w:rFonts w:asciiTheme="minorHAnsi" w:eastAsia="Times New Roman" w:hAnsiTheme="minorHAnsi" w:cs="Arial"/>
          <w:sz w:val="24"/>
          <w:szCs w:val="24"/>
        </w:rPr>
        <w:t xml:space="preserve"> a nivel nacional,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 la </w:t>
      </w:r>
      <w:hyperlink r:id="rId9" w:history="1">
        <w:r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Constitución Mexicana</w:t>
        </w:r>
      </w:hyperlink>
      <w:r w:rsidR="00B5751E" w:rsidRPr="00951ED1">
        <w:rPr>
          <w:rFonts w:asciiTheme="minorHAnsi" w:eastAsia="Times New Roman" w:hAnsiTheme="minorHAnsi" w:cs="Arial"/>
          <w:sz w:val="24"/>
          <w:szCs w:val="24"/>
        </w:rPr>
        <w:t>,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04611" w:rsidRPr="00951ED1">
        <w:rPr>
          <w:rFonts w:asciiTheme="minorHAnsi" w:eastAsia="Times New Roman" w:hAnsiTheme="minorHAnsi" w:cs="Arial"/>
          <w:sz w:val="24"/>
          <w:szCs w:val="24"/>
        </w:rPr>
        <w:t>explícita en el artículo 1º la</w:t>
      </w:r>
      <w:r w:rsidR="00B26F68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04611" w:rsidRPr="00951ED1">
        <w:rPr>
          <w:rFonts w:asciiTheme="minorHAnsi" w:eastAsia="Times New Roman" w:hAnsiTheme="minorHAnsi" w:cs="Arial"/>
          <w:sz w:val="24"/>
          <w:szCs w:val="24"/>
        </w:rPr>
        <w:t>prohibición de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 toda</w:t>
      </w:r>
      <w:r w:rsidR="00604611" w:rsidRPr="00951ED1">
        <w:rPr>
          <w:rFonts w:asciiTheme="minorHAnsi" w:eastAsia="Times New Roman" w:hAnsiTheme="minorHAnsi" w:cs="Arial"/>
          <w:sz w:val="24"/>
          <w:szCs w:val="24"/>
        </w:rPr>
        <w:t xml:space="preserve"> forma de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 discriminación, </w:t>
      </w:r>
      <w:r w:rsidR="00601CAB" w:rsidRPr="00951ED1">
        <w:rPr>
          <w:rFonts w:asciiTheme="minorHAnsi" w:eastAsia="Times New Roman" w:hAnsiTheme="minorHAnsi" w:cs="Arial"/>
          <w:sz w:val="24"/>
          <w:szCs w:val="24"/>
        </w:rPr>
        <w:t>incluida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 la </w:t>
      </w:r>
      <w:r w:rsidRPr="00951ED1">
        <w:rPr>
          <w:rFonts w:asciiTheme="minorHAnsi" w:eastAsia="Times New Roman" w:hAnsiTheme="minorHAnsi" w:cs="Arial"/>
          <w:b/>
          <w:sz w:val="24"/>
          <w:szCs w:val="24"/>
        </w:rPr>
        <w:t xml:space="preserve">edad; </w:t>
      </w:r>
      <w:r w:rsidR="00601CAB" w:rsidRPr="00951ED1">
        <w:rPr>
          <w:rFonts w:asciiTheme="minorHAnsi" w:eastAsia="Times New Roman" w:hAnsiTheme="minorHAnsi" w:cs="Arial"/>
          <w:sz w:val="24"/>
          <w:szCs w:val="24"/>
        </w:rPr>
        <w:t xml:space="preserve">se revalida 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en el artículo </w:t>
      </w:r>
      <w:r w:rsidR="00B5751E" w:rsidRPr="00951ED1">
        <w:rPr>
          <w:rFonts w:asciiTheme="minorHAnsi" w:eastAsia="Times New Roman" w:hAnsiTheme="minorHAnsi" w:cs="Arial"/>
          <w:sz w:val="24"/>
          <w:szCs w:val="24"/>
        </w:rPr>
        <w:t xml:space="preserve">4° 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de la </w:t>
      </w:r>
      <w:hyperlink r:id="rId10" w:history="1">
        <w:r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Ley para eliminar la discriminación</w:t>
        </w:r>
      </w:hyperlink>
      <w:r w:rsidR="00B5751E" w:rsidRPr="00951ED1">
        <w:rPr>
          <w:rFonts w:asciiTheme="minorHAnsi" w:eastAsia="Times New Roman" w:hAnsiTheme="minorHAnsi" w:cs="Arial"/>
          <w:sz w:val="24"/>
          <w:szCs w:val="24"/>
        </w:rPr>
        <w:t xml:space="preserve">. </w:t>
      </w:r>
      <w:r w:rsidR="00D41B5F" w:rsidRPr="00951ED1">
        <w:rPr>
          <w:rFonts w:asciiTheme="minorHAnsi" w:eastAsia="Times New Roman" w:hAnsiTheme="minorHAnsi" w:cs="Arial"/>
          <w:sz w:val="24"/>
          <w:szCs w:val="24"/>
        </w:rPr>
        <w:t>A</w:t>
      </w:r>
      <w:r w:rsidR="00B5751E" w:rsidRPr="00951ED1">
        <w:rPr>
          <w:rFonts w:asciiTheme="minorHAnsi" w:eastAsia="Times New Roman" w:hAnsiTheme="minorHAnsi" w:cs="Arial"/>
          <w:sz w:val="24"/>
          <w:szCs w:val="24"/>
        </w:rPr>
        <w:t xml:space="preserve"> nivel local, </w:t>
      </w:r>
      <w:r w:rsidR="00601CAB" w:rsidRPr="00951ED1">
        <w:rPr>
          <w:rFonts w:asciiTheme="minorHAnsi" w:eastAsia="Times New Roman" w:hAnsiTheme="minorHAnsi" w:cs="Arial"/>
          <w:sz w:val="24"/>
          <w:szCs w:val="24"/>
        </w:rPr>
        <w:t xml:space="preserve">la </w:t>
      </w:r>
      <w:hyperlink r:id="rId11" w:history="1">
        <w:r w:rsidR="00601CAB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Constitución de la Ciudad de México</w:t>
        </w:r>
      </w:hyperlink>
      <w:r w:rsidR="00601CAB" w:rsidRPr="00951ED1">
        <w:rPr>
          <w:rStyle w:val="Hipervnculo"/>
          <w:rFonts w:asciiTheme="minorHAnsi" w:eastAsia="Times New Roman" w:hAnsiTheme="minorHAnsi" w:cs="Arial"/>
          <w:sz w:val="24"/>
          <w:szCs w:val="24"/>
        </w:rPr>
        <w:t xml:space="preserve"> (CDMX)</w:t>
      </w:r>
      <w:r w:rsidR="003F3FBB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B5751E" w:rsidRPr="00951ED1">
        <w:rPr>
          <w:rFonts w:asciiTheme="minorHAnsi" w:eastAsia="Times New Roman" w:hAnsiTheme="minorHAnsi" w:cs="Arial"/>
          <w:sz w:val="24"/>
          <w:szCs w:val="24"/>
        </w:rPr>
        <w:t xml:space="preserve">prohíbe toda forma de discriminación </w:t>
      </w:r>
      <w:r w:rsidR="00601CAB" w:rsidRPr="00951ED1">
        <w:rPr>
          <w:rFonts w:asciiTheme="minorHAnsi" w:eastAsia="Times New Roman" w:hAnsiTheme="minorHAnsi" w:cs="Arial"/>
          <w:sz w:val="24"/>
          <w:szCs w:val="24"/>
        </w:rPr>
        <w:t>por motivos de</w:t>
      </w:r>
      <w:r w:rsidR="00B5751E" w:rsidRPr="00951ED1">
        <w:rPr>
          <w:rFonts w:asciiTheme="minorHAnsi" w:eastAsia="Times New Roman" w:hAnsiTheme="minorHAnsi" w:cs="Arial"/>
          <w:sz w:val="24"/>
          <w:szCs w:val="24"/>
        </w:rPr>
        <w:t xml:space="preserve"> edad y </w:t>
      </w:r>
      <w:r w:rsidR="00601CAB" w:rsidRPr="00951ED1">
        <w:rPr>
          <w:rFonts w:asciiTheme="minorHAnsi" w:eastAsia="Times New Roman" w:hAnsiTheme="minorHAnsi" w:cs="Arial"/>
          <w:sz w:val="24"/>
          <w:szCs w:val="24"/>
        </w:rPr>
        <w:t xml:space="preserve">se observa en </w:t>
      </w:r>
      <w:r w:rsidR="00B5751E" w:rsidRPr="00951ED1">
        <w:rPr>
          <w:rFonts w:asciiTheme="minorHAnsi" w:eastAsia="Times New Roman" w:hAnsiTheme="minorHAnsi" w:cs="Arial"/>
          <w:sz w:val="24"/>
          <w:szCs w:val="24"/>
        </w:rPr>
        <w:t>el artículo 5°</w:t>
      </w:r>
      <w:r w:rsidR="0027636D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B5751E" w:rsidRPr="00951ED1">
        <w:rPr>
          <w:rFonts w:asciiTheme="minorHAnsi" w:eastAsia="Times New Roman" w:hAnsiTheme="minorHAnsi" w:cs="Arial"/>
          <w:sz w:val="24"/>
          <w:szCs w:val="24"/>
        </w:rPr>
        <w:t xml:space="preserve">de la </w:t>
      </w:r>
      <w:hyperlink r:id="rId12" w:history="1">
        <w:r w:rsidR="00B5751E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Ley para eliminar la d</w:t>
        </w:r>
        <w:r w:rsidR="006016F0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iscriminación.</w:t>
        </w:r>
      </w:hyperlink>
      <w:r w:rsidR="006016F0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5A7422" w:rsidRPr="00951ED1" w:rsidRDefault="005A7422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F01A23" w:rsidRPr="00951ED1" w:rsidRDefault="00274CB4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951ED1">
        <w:rPr>
          <w:rFonts w:asciiTheme="minorHAnsi" w:eastAsia="Times New Roman" w:hAnsiTheme="minorHAnsi" w:cs="Arial"/>
          <w:sz w:val="24"/>
          <w:szCs w:val="24"/>
        </w:rPr>
        <w:t>E</w:t>
      </w:r>
      <w:r w:rsidR="00601CAB" w:rsidRPr="00951ED1">
        <w:rPr>
          <w:rFonts w:asciiTheme="minorHAnsi" w:eastAsia="Times New Roman" w:hAnsiTheme="minorHAnsi" w:cs="Arial"/>
          <w:sz w:val="24"/>
          <w:szCs w:val="24"/>
        </w:rPr>
        <w:t xml:space="preserve">xiste </w:t>
      </w:r>
      <w:r w:rsidR="005A7422" w:rsidRPr="00951ED1">
        <w:rPr>
          <w:rFonts w:asciiTheme="minorHAnsi" w:eastAsia="Times New Roman" w:hAnsiTheme="minorHAnsi" w:cs="Arial"/>
          <w:sz w:val="24"/>
          <w:szCs w:val="24"/>
        </w:rPr>
        <w:t xml:space="preserve">legislación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nacional </w:t>
      </w:r>
      <w:r w:rsidR="00601CAB" w:rsidRPr="00951ED1">
        <w:rPr>
          <w:rFonts w:asciiTheme="minorHAnsi" w:eastAsia="Times New Roman" w:hAnsiTheme="minorHAnsi" w:cs="Arial"/>
          <w:sz w:val="24"/>
          <w:szCs w:val="24"/>
        </w:rPr>
        <w:t>que reconoce la</w:t>
      </w:r>
      <w:r w:rsidR="006016F0" w:rsidRPr="00951ED1">
        <w:rPr>
          <w:rFonts w:asciiTheme="minorHAnsi" w:eastAsia="Times New Roman" w:hAnsiTheme="minorHAnsi" w:cs="Arial"/>
          <w:sz w:val="24"/>
          <w:szCs w:val="24"/>
        </w:rPr>
        <w:t xml:space="preserve"> violencia contra las personas mayores</w:t>
      </w:r>
      <w:r w:rsidR="00604611" w:rsidRPr="00951ED1">
        <w:rPr>
          <w:rFonts w:asciiTheme="minorHAnsi" w:eastAsia="Times New Roman" w:hAnsiTheme="minorHAnsi" w:cs="Arial"/>
          <w:sz w:val="24"/>
          <w:szCs w:val="24"/>
        </w:rPr>
        <w:t>, l</w:t>
      </w:r>
      <w:r w:rsidR="006016F0" w:rsidRPr="00951ED1">
        <w:rPr>
          <w:rFonts w:asciiTheme="minorHAnsi" w:eastAsia="Times New Roman" w:hAnsiTheme="minorHAnsi" w:cs="Arial"/>
          <w:sz w:val="24"/>
          <w:szCs w:val="24"/>
        </w:rPr>
        <w:t xml:space="preserve">a </w:t>
      </w:r>
      <w:hyperlink r:id="rId13" w:history="1">
        <w:r w:rsidR="006016F0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Ley de Derechos de las Personas</w:t>
        </w:r>
        <w:r w:rsidR="00D41B5F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 xml:space="preserve"> </w:t>
        </w:r>
        <w:r w:rsidR="006016F0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Mayores</w:t>
        </w:r>
      </w:hyperlink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016F0" w:rsidRPr="00951ED1">
        <w:rPr>
          <w:rFonts w:asciiTheme="minorHAnsi" w:eastAsia="Times New Roman" w:hAnsiTheme="minorHAnsi" w:cs="Arial"/>
          <w:sz w:val="24"/>
          <w:szCs w:val="24"/>
        </w:rPr>
        <w:t>establece su derecho a una vida libre de violencia, y en</w:t>
      </w:r>
      <w:r w:rsidR="0027636D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472CC6" w:rsidRPr="00951ED1">
        <w:rPr>
          <w:rFonts w:asciiTheme="minorHAnsi" w:eastAsia="Times New Roman" w:hAnsiTheme="minorHAnsi" w:cs="Arial"/>
          <w:sz w:val="24"/>
          <w:szCs w:val="24"/>
        </w:rPr>
        <w:t>CDMX</w:t>
      </w:r>
      <w:r w:rsidR="006016F0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la </w:t>
      </w:r>
      <w:hyperlink r:id="rId14" w:history="1">
        <w:r w:rsidR="00666F29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 xml:space="preserve">Ley </w:t>
        </w:r>
        <w:r w:rsidR="007C20A8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de</w:t>
        </w:r>
        <w:r w:rsidR="00666F29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 xml:space="preserve"> Reconocimiento de sus Derechos</w:t>
        </w:r>
      </w:hyperlink>
      <w:r w:rsidR="006016F0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expresa su </w:t>
      </w:r>
      <w:r w:rsidR="006016F0" w:rsidRPr="00951ED1">
        <w:rPr>
          <w:rFonts w:asciiTheme="minorHAnsi" w:eastAsia="Times New Roman" w:hAnsiTheme="minorHAnsi" w:cs="Arial"/>
          <w:sz w:val="24"/>
          <w:szCs w:val="24"/>
        </w:rPr>
        <w:t>derecho a vivir en un entorno seguro y libre de cualquier tipo de violencia o maltrato</w:t>
      </w:r>
      <w:r w:rsidR="00B26F68" w:rsidRPr="00951ED1">
        <w:rPr>
          <w:rFonts w:asciiTheme="minorHAnsi" w:eastAsia="Times New Roman" w:hAnsiTheme="minorHAnsi" w:cs="Arial"/>
          <w:sz w:val="24"/>
          <w:szCs w:val="24"/>
        </w:rPr>
        <w:t xml:space="preserve">, además la reciente </w:t>
      </w:r>
      <w:r w:rsidR="00604611" w:rsidRPr="00951ED1">
        <w:rPr>
          <w:rFonts w:asciiTheme="minorHAnsi" w:eastAsia="Times New Roman" w:hAnsiTheme="minorHAnsi" w:cs="Arial"/>
          <w:sz w:val="24"/>
          <w:szCs w:val="24"/>
        </w:rPr>
        <w:t>ratificación</w:t>
      </w:r>
      <w:r w:rsidR="00B26F68" w:rsidRPr="00951ED1">
        <w:rPr>
          <w:rFonts w:asciiTheme="minorHAnsi" w:eastAsia="Times New Roman" w:hAnsiTheme="minorHAnsi" w:cs="Arial"/>
          <w:sz w:val="24"/>
          <w:szCs w:val="24"/>
        </w:rPr>
        <w:t xml:space="preserve"> de</w:t>
      </w:r>
      <w:r w:rsidR="002E1A2C" w:rsidRPr="00951ED1">
        <w:rPr>
          <w:rFonts w:asciiTheme="minorHAnsi" w:eastAsia="Times New Roman" w:hAnsiTheme="minorHAnsi" w:cs="Arial"/>
          <w:sz w:val="24"/>
          <w:szCs w:val="24"/>
        </w:rPr>
        <w:t xml:space="preserve"> México a</w:t>
      </w:r>
      <w:r w:rsidR="00B26F68" w:rsidRPr="00951ED1">
        <w:rPr>
          <w:rFonts w:asciiTheme="minorHAnsi" w:eastAsia="Times New Roman" w:hAnsiTheme="minorHAnsi" w:cs="Arial"/>
          <w:sz w:val="24"/>
          <w:szCs w:val="24"/>
        </w:rPr>
        <w:t xml:space="preserve"> la </w:t>
      </w:r>
      <w:r w:rsidR="00B26F68" w:rsidRPr="00951ED1">
        <w:rPr>
          <w:rFonts w:asciiTheme="minorHAnsi" w:eastAsia="Times New Roman" w:hAnsiTheme="minorHAnsi" w:cs="Arial"/>
          <w:i/>
          <w:sz w:val="24"/>
          <w:szCs w:val="24"/>
        </w:rPr>
        <w:t>Convención Interamericana sobre la Protección de los Derechos Humanos de las Personas Mayores</w:t>
      </w:r>
      <w:r w:rsidR="00B26F68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04611" w:rsidRPr="00951ED1">
        <w:rPr>
          <w:rFonts w:asciiTheme="minorHAnsi" w:eastAsia="Times New Roman" w:hAnsiTheme="minorHAnsi" w:cs="Arial"/>
          <w:sz w:val="24"/>
          <w:szCs w:val="24"/>
        </w:rPr>
        <w:t>refuerza</w:t>
      </w:r>
      <w:r w:rsidR="00B26F68" w:rsidRPr="00951ED1">
        <w:rPr>
          <w:rFonts w:asciiTheme="minorHAnsi" w:eastAsia="Times New Roman" w:hAnsiTheme="minorHAnsi" w:cs="Arial"/>
          <w:sz w:val="24"/>
          <w:szCs w:val="24"/>
        </w:rPr>
        <w:t xml:space="preserve"> una vida libre de violencia y a no ser sometido a tortura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>.</w:t>
      </w:r>
      <w:r w:rsidR="006016F0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>Respecto a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9D7DA3" w:rsidRPr="00951ED1">
        <w:rPr>
          <w:rFonts w:asciiTheme="minorHAnsi" w:eastAsia="Times New Roman" w:hAnsiTheme="minorHAnsi" w:cs="Arial"/>
          <w:b/>
          <w:sz w:val="24"/>
          <w:szCs w:val="24"/>
        </w:rPr>
        <w:t>organismos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F01A23" w:rsidRPr="00951ED1">
        <w:rPr>
          <w:rFonts w:asciiTheme="minorHAnsi" w:eastAsia="Times New Roman" w:hAnsiTheme="minorHAnsi" w:cs="Arial"/>
          <w:sz w:val="24"/>
          <w:szCs w:val="24"/>
        </w:rPr>
        <w:t xml:space="preserve">existentes 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>que reciban denuncias de personas mayores, se encuentran la Fiscalía General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 de la República y las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>Fiscalías locales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, éstas investigan 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 xml:space="preserve">los </w:t>
      </w:r>
      <w:r w:rsidR="00F01A23" w:rsidRPr="00951ED1">
        <w:rPr>
          <w:rFonts w:asciiTheme="minorHAnsi" w:eastAsia="Times New Roman" w:hAnsiTheme="minorHAnsi" w:cs="Arial"/>
          <w:sz w:val="24"/>
          <w:szCs w:val="24"/>
        </w:rPr>
        <w:t xml:space="preserve">actos con apariencia de 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 xml:space="preserve">delitos </w:t>
      </w:r>
      <w:r w:rsidR="00D41B5F" w:rsidRPr="00951ED1">
        <w:rPr>
          <w:rFonts w:asciiTheme="minorHAnsi" w:eastAsia="Times New Roman" w:hAnsiTheme="minorHAnsi" w:cs="Arial"/>
          <w:sz w:val="24"/>
          <w:szCs w:val="24"/>
        </w:rPr>
        <w:t>de violencia</w:t>
      </w:r>
      <w:r w:rsidR="00F01A23" w:rsidRPr="00951ED1">
        <w:rPr>
          <w:rFonts w:asciiTheme="minorHAnsi" w:eastAsia="Times New Roman" w:hAnsiTheme="minorHAnsi" w:cs="Arial"/>
          <w:sz w:val="24"/>
          <w:szCs w:val="24"/>
        </w:rPr>
        <w:t xml:space="preserve">. </w:t>
      </w:r>
    </w:p>
    <w:p w:rsidR="00F01A23" w:rsidRPr="00951ED1" w:rsidRDefault="00F01A2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9D7DA3" w:rsidRPr="00951ED1" w:rsidRDefault="00F01A2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951ED1">
        <w:rPr>
          <w:rFonts w:asciiTheme="minorHAnsi" w:eastAsia="Times New Roman" w:hAnsiTheme="minorHAnsi" w:cs="Arial"/>
          <w:sz w:val="24"/>
          <w:szCs w:val="24"/>
        </w:rPr>
        <w:t xml:space="preserve">Particularmente 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la Fiscalía de la CDMX, 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 xml:space="preserve">cuenta con la </w:t>
      </w:r>
      <w:hyperlink r:id="rId15" w:history="1">
        <w:r w:rsidR="009D7DA3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Agencia para la Atención de Personas Mayores</w:t>
        </w:r>
      </w:hyperlink>
      <w:r w:rsidR="009D7DA3" w:rsidRPr="00951ED1">
        <w:rPr>
          <w:rFonts w:asciiTheme="minorHAnsi" w:eastAsia="Times New Roman" w:hAnsiTheme="minorHAnsi" w:cs="Arial"/>
          <w:sz w:val="24"/>
          <w:szCs w:val="24"/>
        </w:rPr>
        <w:t xml:space="preserve">, que brinda atención 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especializada a este 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>grupo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. 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 xml:space="preserve">Asimismo, 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tratándose de actos u omisiones que pudieran configurar violaciones a sus derechos humanos causados por servidores públicos locales, se cuenta con los Organismos Públicos de Derechos Humanos (locales y nacional). Para el caso de la Ciudad de México 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>la Comisión de Derechos Humanos de la Ciudad de México (CDHCM),</w:t>
      </w:r>
      <w:r w:rsidRPr="00951ED1">
        <w:rPr>
          <w:rFonts w:asciiTheme="minorHAnsi" w:eastAsia="Times New Roman" w:hAnsiTheme="minorHAnsi" w:cs="Arial"/>
          <w:sz w:val="24"/>
          <w:szCs w:val="24"/>
        </w:rPr>
        <w:t>es el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>organismo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 encargado de recibir las </w:t>
      </w:r>
      <w:r w:rsidR="00B617F2" w:rsidRPr="00951ED1">
        <w:rPr>
          <w:rFonts w:asciiTheme="minorHAnsi" w:eastAsia="Times New Roman" w:hAnsiTheme="minorHAnsi" w:cs="Arial"/>
          <w:sz w:val="24"/>
          <w:szCs w:val="24"/>
        </w:rPr>
        <w:t>quejas de personas mayores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 y realizar la investigación con enfoque diferenciado y de curso de vida a través del área especializada de defensa que es la </w:t>
      </w:r>
      <w:r w:rsidR="005345B3" w:rsidRPr="00951ED1">
        <w:rPr>
          <w:rFonts w:asciiTheme="minorHAnsi" w:eastAsia="Times New Roman" w:hAnsiTheme="minorHAnsi" w:cs="Arial"/>
          <w:sz w:val="24"/>
          <w:szCs w:val="24"/>
        </w:rPr>
        <w:t>Cuarta</w:t>
      </w:r>
      <w:r w:rsidR="00B617F2" w:rsidRPr="00951ED1">
        <w:rPr>
          <w:rFonts w:asciiTheme="minorHAnsi" w:eastAsia="Times New Roman" w:hAnsiTheme="minorHAnsi" w:cs="Arial"/>
          <w:sz w:val="24"/>
          <w:szCs w:val="24"/>
        </w:rPr>
        <w:t xml:space="preserve"> Visitaduría </w:t>
      </w:r>
      <w:r w:rsidR="008D08E5" w:rsidRPr="00951ED1">
        <w:rPr>
          <w:rFonts w:asciiTheme="minorHAnsi" w:eastAsia="Times New Roman" w:hAnsiTheme="minorHAnsi" w:cs="Arial"/>
          <w:sz w:val="24"/>
          <w:szCs w:val="24"/>
        </w:rPr>
        <w:t>General</w:t>
      </w:r>
      <w:r w:rsidR="009D7DA3" w:rsidRPr="00951ED1">
        <w:rPr>
          <w:rFonts w:asciiTheme="minorHAnsi" w:eastAsia="Times New Roman" w:hAnsiTheme="minorHAnsi" w:cs="Arial"/>
          <w:sz w:val="24"/>
          <w:szCs w:val="24"/>
        </w:rPr>
        <w:t xml:space="preserve">. </w:t>
      </w:r>
    </w:p>
    <w:p w:rsidR="00831739" w:rsidRPr="00951ED1" w:rsidRDefault="00831739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F01A23" w:rsidRPr="00951ED1" w:rsidRDefault="00F01A2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951ED1">
        <w:rPr>
          <w:rFonts w:asciiTheme="minorHAnsi" w:eastAsia="Times New Roman" w:hAnsiTheme="minorHAnsi" w:cs="Arial"/>
          <w:sz w:val="24"/>
          <w:szCs w:val="24"/>
        </w:rPr>
        <w:t>Finalmente, en lo que respecta a un plan, política o estrategia para hacer frente a la violencia contra las personas mayores a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 nivel nacional no existe, </w:t>
      </w:r>
      <w:r w:rsidR="00274CB4" w:rsidRPr="00951ED1">
        <w:rPr>
          <w:rFonts w:asciiTheme="minorHAnsi" w:eastAsia="Times New Roman" w:hAnsiTheme="minorHAnsi" w:cs="Arial"/>
          <w:sz w:val="24"/>
          <w:szCs w:val="24"/>
        </w:rPr>
        <w:t>mientras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, en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la 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CDMX existe el </w:t>
      </w:r>
      <w:r w:rsidR="00831739" w:rsidRPr="00951ED1">
        <w:rPr>
          <w:rFonts w:asciiTheme="minorHAnsi" w:eastAsia="Times New Roman" w:hAnsiTheme="minorHAnsi" w:cs="Arial"/>
          <w:i/>
          <w:sz w:val="24"/>
          <w:szCs w:val="24"/>
        </w:rPr>
        <w:t>Sistema Integral para la Atención de la Persona Mayor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, mecanismo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formado por autoridades locales, organismos autónomos y representantes de la sociedad civil 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que se instaló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>en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 2021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. </w:t>
      </w:r>
    </w:p>
    <w:p w:rsidR="00F01A23" w:rsidRPr="00951ED1" w:rsidRDefault="00F01A2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B2203" w:rsidRPr="00951ED1" w:rsidRDefault="00F01A2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951ED1">
        <w:rPr>
          <w:rFonts w:asciiTheme="minorHAnsi" w:eastAsia="Times New Roman" w:hAnsiTheme="minorHAnsi" w:cs="Arial"/>
          <w:sz w:val="24"/>
          <w:szCs w:val="24"/>
        </w:rPr>
        <w:lastRenderedPageBreak/>
        <w:t xml:space="preserve">Este sistema es el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>encarga</w:t>
      </w:r>
      <w:r w:rsidRPr="00951ED1">
        <w:rPr>
          <w:rFonts w:asciiTheme="minorHAnsi" w:eastAsia="Times New Roman" w:hAnsiTheme="minorHAnsi" w:cs="Arial"/>
          <w:sz w:val="24"/>
          <w:szCs w:val="24"/>
        </w:rPr>
        <w:t>do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>de atender y prevenir el abandono, maltrato y violencia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 en contra de este grupo poblacional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>.</w:t>
      </w:r>
      <w:r w:rsidRPr="00951ED1">
        <w:rPr>
          <w:rFonts w:asciiTheme="minorHAnsi" w:eastAsia="Times New Roman" w:hAnsiTheme="minorHAnsi" w:cs="Arial"/>
          <w:sz w:val="24"/>
          <w:szCs w:val="24"/>
        </w:rPr>
        <w:t xml:space="preserve"> A través </w:t>
      </w:r>
      <w:r w:rsidR="00F208AB" w:rsidRPr="00951ED1">
        <w:rPr>
          <w:rFonts w:asciiTheme="minorHAnsi" w:eastAsia="Times New Roman" w:hAnsiTheme="minorHAnsi" w:cs="Arial"/>
          <w:sz w:val="24"/>
          <w:szCs w:val="24"/>
        </w:rPr>
        <w:t>de la implementación de l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>a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66F29" w:rsidRPr="00951ED1">
        <w:rPr>
          <w:rFonts w:asciiTheme="minorHAnsi" w:eastAsia="Times New Roman" w:hAnsiTheme="minorHAnsi" w:cs="Arial"/>
          <w:i/>
          <w:sz w:val="24"/>
          <w:szCs w:val="24"/>
        </w:rPr>
        <w:t>e</w:t>
      </w:r>
      <w:r w:rsidR="00831739" w:rsidRPr="00951ED1">
        <w:rPr>
          <w:rFonts w:asciiTheme="minorHAnsi" w:eastAsia="Times New Roman" w:hAnsiTheme="minorHAnsi" w:cs="Arial"/>
          <w:i/>
          <w:sz w:val="24"/>
          <w:szCs w:val="24"/>
        </w:rPr>
        <w:t xml:space="preserve">strategia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>para erradicar el maltrato y la violencia</w:t>
      </w:r>
      <w:r w:rsidR="00F208AB" w:rsidRPr="00951ED1">
        <w:rPr>
          <w:rFonts w:asciiTheme="minorHAnsi" w:eastAsia="Times New Roman" w:hAnsiTheme="minorHAnsi" w:cs="Arial"/>
          <w:sz w:val="24"/>
          <w:szCs w:val="24"/>
        </w:rPr>
        <w:t xml:space="preserve"> en contra de las personas mayores</w:t>
      </w:r>
      <w:r w:rsidR="00831739" w:rsidRPr="00951ED1">
        <w:rPr>
          <w:rFonts w:asciiTheme="minorHAnsi" w:eastAsia="Times New Roman" w:hAnsiTheme="minorHAnsi" w:cs="Arial"/>
          <w:i/>
          <w:sz w:val="24"/>
          <w:szCs w:val="24"/>
        </w:rPr>
        <w:t>,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 sin embargo, </w:t>
      </w:r>
      <w:r w:rsidR="00F208AB" w:rsidRPr="00951ED1">
        <w:rPr>
          <w:rFonts w:asciiTheme="minorHAnsi" w:eastAsia="Times New Roman" w:hAnsiTheme="minorHAnsi" w:cs="Arial"/>
          <w:sz w:val="24"/>
          <w:szCs w:val="24"/>
        </w:rPr>
        <w:t xml:space="preserve">a la fecha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>est</w:t>
      </w:r>
      <w:r w:rsidR="00B24E2C" w:rsidRPr="00951ED1">
        <w:rPr>
          <w:rFonts w:asciiTheme="minorHAnsi" w:eastAsia="Times New Roman" w:hAnsiTheme="minorHAnsi" w:cs="Arial"/>
          <w:sz w:val="24"/>
          <w:szCs w:val="24"/>
        </w:rPr>
        <w:t>á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 xml:space="preserve"> en etapa de</w:t>
      </w:r>
      <w:r w:rsidR="00831739" w:rsidRPr="00951ED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66F29" w:rsidRPr="00951ED1">
        <w:rPr>
          <w:rFonts w:asciiTheme="minorHAnsi" w:eastAsia="Times New Roman" w:hAnsiTheme="minorHAnsi" w:cs="Arial"/>
          <w:sz w:val="24"/>
          <w:szCs w:val="24"/>
        </w:rPr>
        <w:t>diseño</w:t>
      </w:r>
      <w:r w:rsidR="00472CC6" w:rsidRPr="00951ED1">
        <w:rPr>
          <w:rFonts w:asciiTheme="minorHAnsi" w:eastAsia="Times New Roman" w:hAnsiTheme="minorHAnsi" w:cs="Arial"/>
          <w:sz w:val="24"/>
          <w:szCs w:val="24"/>
        </w:rPr>
        <w:t xml:space="preserve">. </w:t>
      </w:r>
    </w:p>
    <w:p w:rsidR="00831739" w:rsidRPr="00951ED1" w:rsidRDefault="00831739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F01A23" w:rsidRPr="00951ED1" w:rsidRDefault="00F01A2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F01A23" w:rsidRPr="00951ED1" w:rsidRDefault="00F01A2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BB2203" w:rsidRPr="00951ED1" w:rsidRDefault="00142AE3" w:rsidP="0095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21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b/>
          <w:color w:val="000000"/>
          <w:sz w:val="24"/>
          <w:szCs w:val="24"/>
        </w:rPr>
        <w:t xml:space="preserve">Manifestaciones de violencia: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¿a qué formas de violencia, maltrato y abandono se enfrentan las personas de edad? ¿En qué entornos se producen? </w:t>
      </w:r>
    </w:p>
    <w:p w:rsidR="00A10AA7" w:rsidRPr="00951ED1" w:rsidRDefault="00A10AA7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21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E5365F" w:rsidRPr="00951ED1" w:rsidRDefault="00C60CA5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De la información registrada en el </w:t>
      </w:r>
      <w:r w:rsidRPr="00951ED1">
        <w:rPr>
          <w:rFonts w:asciiTheme="minorHAnsi" w:eastAsia="Times New Roman" w:hAnsiTheme="minorHAnsi" w:cs="Arial"/>
          <w:i/>
          <w:color w:val="000000"/>
          <w:sz w:val="24"/>
          <w:szCs w:val="24"/>
        </w:rPr>
        <w:t>Sistema Integral de Gestión de Información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de esta CDHCM de 2019 a 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enero de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2022 se 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registraron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4 212 quejas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relacionadas con personas mayores, de las cuales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</w:t>
      </w:r>
      <w:r w:rsidR="006349E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 violencia </w:t>
      </w:r>
      <w:r w:rsidR="004D11C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física</w:t>
      </w:r>
      <w:r w:rsidR="00A02AE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, psicológica</w:t>
      </w:r>
      <w:r w:rsidR="006349E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y patrimonial 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eran</w:t>
      </w:r>
      <w:r w:rsidR="006349E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las formas de violencia más comunes que enfrentan las personas mayores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. Siendo señalado el ámbito familiar como el principal entorno donde se produce ya sea por la pareja e hijas e hijos. En</w:t>
      </w:r>
      <w:r w:rsidR="00A02AE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4D11C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ámbito público persiste la violencia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institucional</w:t>
      </w:r>
      <w:r w:rsidR="004D11C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en la que reciben </w:t>
      </w:r>
      <w:r w:rsidR="004B4EF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maltrato</w:t>
      </w:r>
      <w:r w:rsidR="00D41B5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e insultos</w:t>
      </w:r>
      <w:r w:rsidR="004D11C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por</w:t>
      </w:r>
      <w:r w:rsidR="00A02AE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parte de autoridades </w:t>
      </w:r>
      <w:r w:rsidR="009D020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al solicitar orientación o</w:t>
      </w:r>
      <w:r w:rsidR="004D11C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acceder a servicios públicos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</w:t>
      </w:r>
    </w:p>
    <w:p w:rsidR="00E5365F" w:rsidRPr="00951ED1" w:rsidRDefault="00E5365F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F70AD1" w:rsidRPr="00951ED1" w:rsidRDefault="00142AE3" w:rsidP="0095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b/>
          <w:color w:val="000000"/>
          <w:sz w:val="24"/>
          <w:szCs w:val="24"/>
        </w:rPr>
        <w:t xml:space="preserve">Interseccionalidad: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¿Cómo afecta</w:t>
      </w:r>
      <w:r w:rsidR="00B24E2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la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violencia, maltrato y abandono a grupos específicos de personas mayores (mujeres mayores, personas mayores LGTBI, personas mayores pertenecientes a grupos étnicos</w:t>
      </w:r>
      <w:r w:rsidR="0092634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,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indígenas, personas mayores refugiadas y desplazadas internas, personas mayores con discapacidad, etc.)? </w:t>
      </w:r>
    </w:p>
    <w:p w:rsidR="00A10AA7" w:rsidRPr="00951ED1" w:rsidRDefault="00A10AA7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</w:rPr>
      </w:pPr>
    </w:p>
    <w:p w:rsidR="007A3232" w:rsidRPr="00951ED1" w:rsidRDefault="00573FD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En México</w:t>
      </w:r>
      <w:r w:rsidR="0074456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la </w:t>
      </w:r>
      <w:hyperlink r:id="rId16" w:anchor="Tabulados" w:history="1">
        <w:r w:rsidR="0074456A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violencia</w:t>
        </w:r>
      </w:hyperlink>
      <w:r w:rsidR="0074456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92634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contra</w:t>
      </w:r>
      <w:r w:rsidR="009005E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las</w:t>
      </w:r>
      <w:r w:rsidR="00F0459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personas mayores es diferenciada de forma interseccional, de ahí que</w:t>
      </w:r>
      <w:r w:rsidR="00882FC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por ejemplo,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6 de cada 10</w:t>
      </w:r>
      <w:r w:rsidR="00087AC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mujeres mayores (4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4.5%</w:t>
      </w:r>
      <w:r w:rsidR="00087AC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)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AB3BD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enfrenta</w:t>
      </w:r>
      <w:r w:rsidR="0074456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violencia psicológica; 32.9% física; 35.5 sexual</w:t>
      </w:r>
      <w:r w:rsidR="0092634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;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25.3% económica o patrimonial</w:t>
      </w:r>
      <w:r w:rsidR="0074456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.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En el caso de personas LGBTTTIQA+ afrontan aislamiento social</w:t>
      </w:r>
      <w:r w:rsidR="00A95D2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y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rechazo familiar, particularmente en el caso de los </w:t>
      </w:r>
      <w:proofErr w:type="spellStart"/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gays</w:t>
      </w:r>
      <w:proofErr w:type="spellEnd"/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se les dificulta acceder a casas hogar </w:t>
      </w:r>
      <w:r w:rsidR="00AB3BD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por falta de 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privacidad para dormir, vestirse y usar sanitarios, </w:t>
      </w:r>
      <w:r w:rsidR="00997EA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y 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los hombres heterosexuales se niegan a compartir el espacio común,</w:t>
      </w:r>
      <w:r w:rsidR="00997EA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por lo </w:t>
      </w:r>
      <w:r w:rsidR="00997EA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que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997EA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p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a</w:t>
      </w:r>
      <w:r w:rsidR="00997EA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ra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ser aceptados </w:t>
      </w:r>
      <w:r w:rsidR="00AB3BD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se ven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C76D4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obligados </w:t>
      </w:r>
      <w:r w:rsidR="007A323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a ocultar su orientación sexual</w:t>
      </w:r>
      <w:r w:rsidR="00C76D49" w:rsidRPr="00951ED1">
        <w:rPr>
          <w:rStyle w:val="Refdenotaalfinal"/>
          <w:rFonts w:asciiTheme="minorHAnsi" w:eastAsia="Times New Roman" w:hAnsiTheme="minorHAnsi" w:cs="Arial"/>
          <w:color w:val="000000"/>
          <w:sz w:val="24"/>
          <w:szCs w:val="24"/>
        </w:rPr>
        <w:endnoteReference w:id="1"/>
      </w:r>
      <w:r w:rsidR="00C76D4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</w:t>
      </w:r>
      <w:r w:rsidR="0092634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4 de cada 5 personas mayores pertenecientes </w:t>
      </w:r>
      <w:r w:rsidR="00C76D4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 </w:t>
      </w:r>
      <w:hyperlink r:id="rId17" w:history="1">
        <w:r w:rsidR="00C76D49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grupos étnicos e indígenas</w:t>
        </w:r>
      </w:hyperlink>
      <w:r w:rsidR="00C76D4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CE14D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solo</w:t>
      </w:r>
      <w:r w:rsidR="00EC391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hablan una lengua originaria, lo que les afecta a acceder a servicios de salud</w:t>
      </w:r>
      <w:r w:rsidR="00CE14D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</w:t>
      </w:r>
      <w:r w:rsidR="00AB3BD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por la falta de intérpretes</w:t>
      </w:r>
      <w:r w:rsidR="00EC391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</w:t>
      </w:r>
      <w:r w:rsidR="00CE14D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La falta de infraestructura</w:t>
      </w:r>
      <w:r w:rsidR="00AB3BD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</w:t>
      </w:r>
      <w:r w:rsidR="00CE14D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formatos accesibles</w:t>
      </w:r>
      <w:r w:rsidR="00AB3BD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para brindarles información</w:t>
      </w:r>
      <w:r w:rsidR="00F01A2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, accesibilidad</w:t>
      </w:r>
      <w:r w:rsidR="00AB3BD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y atención especializada</w:t>
      </w:r>
      <w:r w:rsidR="00CE14D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son algunas afectaciones de discriminación y abandono que enfrentan las personas mayores con discapacidad. </w:t>
      </w:r>
    </w:p>
    <w:p w:rsidR="00BB2203" w:rsidRPr="00951ED1" w:rsidRDefault="00BB220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D01A86" w:rsidRPr="00951ED1" w:rsidRDefault="00142AE3" w:rsidP="0095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21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b/>
          <w:color w:val="000000"/>
          <w:sz w:val="24"/>
          <w:szCs w:val="24"/>
        </w:rPr>
        <w:t xml:space="preserve">Datos: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¿Se dispone de datos a nivel nacional y local sobre violencia, maltrato y abandono de las personas de edad? ¿Existen encuestas nacionales sobre violencia que incluyan las experiencias de las personas de edad? </w:t>
      </w:r>
    </w:p>
    <w:p w:rsidR="00A10AA7" w:rsidRPr="00951ED1" w:rsidRDefault="00A10AA7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21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A73B54" w:rsidRPr="00951ED1" w:rsidRDefault="00A656F1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No existen encuestas nacionales específicas sobre violencia a este grupo, sin embargo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 partir de la Encuesta Nacional sobre la Dinámica de las Relaciones en los Hogares (ENDIREH), realizada por el Instituto Nacional de Geografía y Estadística (INEGI)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y la Encuesta Nacional sobre Discriminación, las cuales desagregan información por edad y género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se</w:t>
      </w:r>
      <w:r w:rsidR="004A7C8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5B012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sabe</w:t>
      </w:r>
      <w:r w:rsidR="004A7C8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que</w:t>
      </w:r>
      <w:r w:rsidR="00D4372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A73B5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el </w:t>
      </w:r>
      <w:r w:rsidR="00A73B5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lastRenderedPageBreak/>
        <w:t xml:space="preserve">61.1% de las personas mayores manifestaron haber experimentado </w:t>
      </w:r>
      <w:hyperlink r:id="rId18" w:history="1">
        <w:r w:rsidR="00A73B54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rechazo</w:t>
        </w:r>
      </w:hyperlink>
      <w:r w:rsidR="00A73B5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5B012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durante</w:t>
      </w:r>
      <w:r w:rsidR="00A73B5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actividades sociales</w:t>
      </w:r>
      <w:r w:rsidR="00A10AA7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y que </w:t>
      </w:r>
      <w:r w:rsidR="00153FD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se sintieron</w:t>
      </w:r>
      <w:r w:rsidR="00A73B5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mal por alguna forma de trato, insultos, burlas, amenazas</w:t>
      </w:r>
      <w:r w:rsidR="005B012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o </w:t>
      </w:r>
      <w:r w:rsidR="00A73B5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empujones</w:t>
      </w:r>
      <w:r w:rsidR="00997EA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.</w:t>
      </w:r>
      <w:r w:rsidR="00A8721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</w:p>
    <w:p w:rsidR="00346340" w:rsidRPr="00951ED1" w:rsidRDefault="00346340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F208AB" w:rsidRPr="00951ED1" w:rsidRDefault="009C18C3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Por otra parte, se cuenta e</w:t>
      </w:r>
      <w:r w:rsidR="00153FD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n</w:t>
      </w:r>
      <w:r w:rsidR="0034689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435647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la </w:t>
      </w:r>
      <w:r w:rsidR="00997EA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CDMX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con datos abiertos de procesos penales iniciado ante la</w:t>
      </w:r>
      <w:r w:rsidR="00AE31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hyperlink r:id="rId19" w:history="1">
        <w:r w:rsidR="00AE3160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Fiscalía local</w:t>
        </w:r>
      </w:hyperlink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En ese sentido, la Fiscalía General de Justicia de la Ciudad de México </w:t>
      </w:r>
      <w:r w:rsidR="00AE31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reportó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que en el año 2022, inició</w:t>
      </w:r>
      <w:r w:rsidR="00AE31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4</w:t>
      </w:r>
      <w:r w:rsidR="005B012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AE31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652 carpetas de investigación por el delito de violencia familiar en la que la persona mayor </w:t>
      </w:r>
      <w:r w:rsidR="00F208A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tenía calidad de</w:t>
      </w:r>
      <w:r w:rsidR="00AE31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víctima. </w:t>
      </w:r>
    </w:p>
    <w:p w:rsidR="00436E74" w:rsidRPr="00951ED1" w:rsidRDefault="00436E74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D01A86" w:rsidRPr="00951ED1" w:rsidRDefault="00D01A86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B43980" w:rsidRPr="00951ED1" w:rsidRDefault="00142AE3" w:rsidP="0095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21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b/>
          <w:color w:val="000000"/>
          <w:sz w:val="24"/>
          <w:szCs w:val="24"/>
        </w:rPr>
        <w:t>Acceso a la justicia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: ¿Cómo cumple el Estado sus obligaciones de garantizar el acceso de las personas de edad a la justicia, obtener recursos y reparaciones, cuando sus derechos </w:t>
      </w:r>
      <w:r w:rsidR="00A95D2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humanos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han sido violados como consecuencia de violencia, maltrato y abandono?</w:t>
      </w:r>
    </w:p>
    <w:p w:rsidR="00B43980" w:rsidRPr="00951ED1" w:rsidRDefault="00B43980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52460B" w:rsidRPr="00951ED1" w:rsidRDefault="00F179B4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De manera general el </w:t>
      </w:r>
      <w:r w:rsidR="0048378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acceso a la justicia de las personas mayores </w:t>
      </w:r>
      <w:r w:rsidR="00330B8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cuando </w:t>
      </w:r>
      <w:r w:rsidR="00667F4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sus derechos humanos </w:t>
      </w:r>
      <w:r w:rsidR="0048378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0820B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han sido violados se garantiza a través </w:t>
      </w:r>
      <w:r w:rsidR="00D57C95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del trabajo que realizan los organismos públicos de derechos humanos</w:t>
      </w:r>
      <w:r w:rsidR="00EE148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D57C95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de </w:t>
      </w:r>
      <w:r w:rsidR="00451E9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competencia local y nacional, quienes a través sus investigaciones</w:t>
      </w:r>
      <w:r w:rsidR="00562C1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diferenciadas </w:t>
      </w:r>
      <w:r w:rsidR="00451E9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permite que se les reconozca </w:t>
      </w:r>
      <w:r w:rsidR="0044648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la calidad de víctima </w:t>
      </w:r>
      <w:r w:rsidR="00071FF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en instrumentos recomendatorios o </w:t>
      </w:r>
      <w:r w:rsidR="00B2713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conciliaciones</w:t>
      </w:r>
      <w:r w:rsidR="00D0008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</w:t>
      </w:r>
      <w:r w:rsidR="002D705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que</w:t>
      </w:r>
      <w:r w:rsidR="001E698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genera</w:t>
      </w:r>
      <w:r w:rsidR="002D705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n </w:t>
      </w:r>
      <w:r w:rsidR="001E698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la certeza de la violación </w:t>
      </w:r>
      <w:r w:rsidR="002D705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y </w:t>
      </w:r>
      <w:r w:rsidR="001E698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esgrimen una serie de </w:t>
      </w:r>
      <w:r w:rsidR="006D649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recomendaciones</w:t>
      </w:r>
      <w:r w:rsidR="008F26F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exigibles </w:t>
      </w:r>
      <w:r w:rsidR="006D649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 la autoridad </w:t>
      </w:r>
      <w:r w:rsidR="000C131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tendientes a </w:t>
      </w:r>
      <w:r w:rsidR="004E3D3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lograr la </w:t>
      </w:r>
      <w:r w:rsidR="00FE13A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reparación</w:t>
      </w:r>
      <w:r w:rsidR="004E3D3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FE13A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integral</w:t>
      </w:r>
      <w:r w:rsidR="004E3D3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de la </w:t>
      </w:r>
      <w:r w:rsidR="00FE13A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persona</w:t>
      </w:r>
      <w:r w:rsidR="00661A0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.</w:t>
      </w:r>
      <w:r w:rsidR="00EF775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Dicho reconocimiento </w:t>
      </w:r>
      <w:r w:rsidR="00C1597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permite que </w:t>
      </w:r>
      <w:r w:rsidR="00E34DE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</w:t>
      </w:r>
      <w:r w:rsidR="00281F2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 conformidad con la </w:t>
      </w:r>
      <w:r w:rsidR="00EB448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normativa</w:t>
      </w:r>
      <w:r w:rsidR="00E34DE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661A0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especifica en materia de víctimas </w:t>
      </w:r>
      <w:r w:rsidR="00B77BB5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la Comisión Ejecutiva de Atención a Víctimas realice su registro y posterior</w:t>
      </w:r>
      <w:r w:rsidR="001D361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mente </w:t>
      </w:r>
      <w:r w:rsidR="00FF1EE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se haga </w:t>
      </w:r>
      <w:r w:rsidR="00AC431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el</w:t>
      </w:r>
      <w:r w:rsidR="00B77BB5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4F46B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seguimiento </w:t>
      </w:r>
      <w:r w:rsidR="00AC431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de su cumplimiento. </w:t>
      </w:r>
    </w:p>
    <w:p w:rsidR="0052460B" w:rsidRPr="00951ED1" w:rsidRDefault="0052460B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BB2203" w:rsidRPr="00951ED1" w:rsidRDefault="004B21C2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/>
          <w:color w:val="FFFFFF"/>
          <w:sz w:val="24"/>
          <w:szCs w:val="24"/>
          <w:shd w:val="clear" w:color="auto" w:fill="857FBA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Específicamente, </w:t>
      </w:r>
      <w:r w:rsidR="0052460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la</w:t>
      </w:r>
      <w:r w:rsidR="0052460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Constitución local </w:t>
      </w:r>
      <w:r w:rsidR="0052460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de la Ciudad de México r</w:t>
      </w:r>
      <w:r w:rsidR="0052460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econoce a las personas mayores como grupo de atención prioritaria</w:t>
      </w:r>
      <w:r w:rsidR="0052460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lo que implica una atención diferenciada </w:t>
      </w:r>
      <w:r w:rsidR="008E691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 partir de la cual las autoridades </w:t>
      </w:r>
      <w:r w:rsidR="00A5269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“</w:t>
      </w:r>
      <w:r w:rsidR="001D5C46" w:rsidRPr="00951ED1">
        <w:rPr>
          <w:rFonts w:asciiTheme="minorHAnsi" w:eastAsia="Times New Roman" w:hAnsiTheme="minorHAnsi" w:cs="Arial"/>
          <w:i/>
          <w:iCs/>
          <w:color w:val="000000"/>
          <w:sz w:val="24"/>
          <w:szCs w:val="24"/>
        </w:rPr>
        <w:t>adoptarán las medidas necesarias para promover, respetar, proteger y garantizar sus derechos, así como para eliminar progresivamente las barreras que impiden la realización plena de los derechos</w:t>
      </w:r>
      <w:r w:rsidR="003E2D9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” para logra</w:t>
      </w:r>
      <w:r w:rsidR="001D5C4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r su inclusión efectiva en la sociedad. </w:t>
      </w:r>
      <w:r w:rsidR="0052460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l</w:t>
      </w:r>
      <w:r w:rsidR="00B4398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 </w:t>
      </w:r>
      <w:r w:rsidR="00B43980" w:rsidRPr="00951ED1">
        <w:rPr>
          <w:rFonts w:asciiTheme="minorHAnsi" w:eastAsia="Times New Roman" w:hAnsiTheme="minorHAnsi" w:cs="Arial"/>
          <w:i/>
          <w:color w:val="000000"/>
          <w:sz w:val="24"/>
          <w:szCs w:val="24"/>
        </w:rPr>
        <w:t>Ley de Personas Mayores</w:t>
      </w:r>
      <w:r w:rsidR="00B4398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,</w:t>
      </w:r>
      <w:r w:rsidR="001234F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no c</w:t>
      </w:r>
      <w:r w:rsidR="00CB556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onte</w:t>
      </w:r>
      <w:r w:rsidR="0098607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mpla </w:t>
      </w:r>
      <w:r w:rsidR="00745837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un apartado </w:t>
      </w:r>
      <w:r w:rsidR="00C05B2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CB556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particular en materia de violencia, maltrato o abandono</w:t>
      </w:r>
      <w:r w:rsidR="00D509E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para su atención </w:t>
      </w:r>
      <w:r w:rsidR="00F764C3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interinstitucional</w:t>
      </w:r>
      <w:r w:rsidR="00D509E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o </w:t>
      </w:r>
      <w:r w:rsidR="0016739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de manera intersecretarial</w:t>
      </w:r>
      <w:r w:rsidR="00D509E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</w:t>
      </w:r>
      <w:r w:rsidR="00E6413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En materia administrativa</w:t>
      </w:r>
      <w:r w:rsidR="0025076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371FD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existen e</w:t>
      </w:r>
      <w:r w:rsidR="0025076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 </w:t>
      </w:r>
      <w:r w:rsidR="00250764" w:rsidRPr="00951ED1">
        <w:rPr>
          <w:rFonts w:asciiTheme="minorHAnsi" w:eastAsia="Times New Roman" w:hAnsiTheme="minorHAnsi" w:cs="Arial"/>
          <w:i/>
          <w:color w:val="000000"/>
          <w:sz w:val="24"/>
          <w:szCs w:val="24"/>
        </w:rPr>
        <w:t>Instituto Nacional de Personas Mayores (INAPAM)</w:t>
      </w:r>
      <w:r w:rsidR="003E162D" w:rsidRPr="00951ED1">
        <w:rPr>
          <w:rFonts w:asciiTheme="minorHAnsi" w:eastAsia="Times New Roman" w:hAnsiTheme="minorHAnsi" w:cs="Arial"/>
          <w:i/>
          <w:color w:val="000000"/>
          <w:sz w:val="24"/>
          <w:szCs w:val="24"/>
        </w:rPr>
        <w:t xml:space="preserve"> </w:t>
      </w:r>
      <w:r w:rsidR="003E162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y el </w:t>
      </w:r>
      <w:r w:rsidR="003E162D" w:rsidRPr="00951ED1">
        <w:rPr>
          <w:rFonts w:asciiTheme="minorHAnsi" w:eastAsia="Times New Roman" w:hAnsiTheme="minorHAnsi" w:cs="Arial"/>
          <w:i/>
          <w:color w:val="000000"/>
          <w:sz w:val="24"/>
          <w:szCs w:val="24"/>
        </w:rPr>
        <w:t>Instituto para el Envejecimiento Digno de la CDMX</w:t>
      </w:r>
      <w:r w:rsidR="0025076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como instancia</w:t>
      </w:r>
      <w:r w:rsidR="003E162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</w:t>
      </w:r>
      <w:r w:rsidR="0025076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coordinadora</w:t>
      </w:r>
      <w:r w:rsidR="003E162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</w:t>
      </w:r>
      <w:r w:rsidR="0025076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8D352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a nivel nacional y local, respectivamente</w:t>
      </w:r>
      <w:r w:rsidR="00371FD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,</w:t>
      </w:r>
      <w:r w:rsidR="008D352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4E13C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de la atención</w:t>
      </w:r>
      <w:r w:rsidR="003413B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</w:t>
      </w:r>
      <w:r w:rsidR="00ED7B5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orientación e</w:t>
      </w:r>
      <w:r w:rsidR="003413B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implementación de </w:t>
      </w:r>
      <w:r w:rsidR="00ED7B5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programas</w:t>
      </w:r>
      <w:r w:rsidR="003413B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3553F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específicos </w:t>
      </w:r>
      <w:r w:rsidR="00ED7B5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para </w:t>
      </w:r>
      <w:r w:rsidR="00D546E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su atención</w:t>
      </w:r>
      <w:r w:rsidR="003E162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.</w:t>
      </w:r>
      <w:r w:rsidR="00D546E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Además de que </w:t>
      </w:r>
      <w:r w:rsidR="002A0C1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en materia judicial dependiendo de la </w:t>
      </w:r>
      <w:r w:rsidR="002C5D6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rama del derecho que se trate pueden </w:t>
      </w:r>
      <w:r w:rsidR="00B4292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acceder</w:t>
      </w:r>
      <w:r w:rsidR="002C5D6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 los servicios </w:t>
      </w:r>
      <w:r w:rsidR="00B4292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gratuitos</w:t>
      </w:r>
      <w:r w:rsidR="002C5D6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de la </w:t>
      </w:r>
      <w:r w:rsidR="00B4292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Defensoría</w:t>
      </w:r>
      <w:r w:rsidR="002C5D6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Publica</w:t>
      </w:r>
      <w:r w:rsidR="00B4292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Cabe resaltar que </w:t>
      </w:r>
      <w:r w:rsidR="00C26A5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tratándose de</w:t>
      </w:r>
      <w:r w:rsidR="00CA2A7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violaciones a los derechos político- electorales se cuenta con la</w:t>
      </w:r>
      <w:r w:rsidR="00A1095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Defensoría Pública Electoral</w:t>
      </w:r>
      <w:r w:rsidR="000D075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</w:t>
      </w:r>
    </w:p>
    <w:p w:rsidR="00A1095B" w:rsidRPr="00951ED1" w:rsidRDefault="00A1095B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BB2203" w:rsidRPr="00951ED1" w:rsidRDefault="00142AE3" w:rsidP="0095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21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b/>
          <w:color w:val="000000"/>
          <w:sz w:val="24"/>
          <w:szCs w:val="24"/>
        </w:rPr>
        <w:t>Acceso a la información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: ¿Cómo se sensibiliza</w:t>
      </w:r>
      <w:r w:rsidR="0027636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la opinión pública sobre violencia contra las personas de edad? ¿Cómo se hace accesible y se pone a disposición de las personas mayores la información sobre el acceso a servicios esenciales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lastRenderedPageBreak/>
        <w:t>(atención sanitaria, asistencia jurídica, servicios sociales, acceso a centros de acogida)?</w:t>
      </w:r>
    </w:p>
    <w:p w:rsidR="00EB6E12" w:rsidRPr="00951ED1" w:rsidRDefault="00EB6E12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6B561D" w:rsidRPr="00951ED1" w:rsidRDefault="004D4657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Si bien </w:t>
      </w:r>
      <w:r w:rsidR="00D21CE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no se </w:t>
      </w:r>
      <w:r w:rsidR="00E6413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encentraron</w:t>
      </w:r>
      <w:r w:rsidR="00D21CE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campañas de sensibilización nacionales</w:t>
      </w:r>
      <w:r w:rsidR="00D41B5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sobre</w:t>
      </w:r>
      <w:r w:rsidR="00241B0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prevención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de la violencia</w:t>
      </w:r>
      <w:r w:rsidR="00D41B5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En la </w:t>
      </w:r>
      <w:r w:rsidR="006D42C5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CDMX</w:t>
      </w:r>
      <w:r w:rsidR="00D41B5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</w:t>
      </w:r>
      <w:r w:rsidR="00A8183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</w:t>
      </w:r>
      <w:r w:rsidR="008E2BA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 </w:t>
      </w:r>
      <w:r w:rsidR="00A8183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cuen</w:t>
      </w:r>
      <w:r w:rsidR="002B0F4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ta </w:t>
      </w:r>
      <w:r w:rsidR="00A8183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con las llamadas Ferias del Bienestar</w:t>
      </w:r>
      <w:r w:rsidR="008E2BA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que son </w:t>
      </w:r>
      <w:r w:rsidR="00A2061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actividades conjuntas entre diversas </w:t>
      </w:r>
      <w:r w:rsidR="002B0F4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instancias que </w:t>
      </w:r>
      <w:proofErr w:type="spellStart"/>
      <w:r w:rsidR="002B0F4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nuscan</w:t>
      </w:r>
      <w:proofErr w:type="spellEnd"/>
      <w:r w:rsidR="002B0F4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acercar los servicios del gobierno a la población </w:t>
      </w:r>
      <w:r w:rsidR="00C567E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vulnerable como las personas mayores. </w:t>
      </w:r>
      <w:r w:rsidR="009066F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Además a</w:t>
      </w:r>
      <w:r w:rsidR="002B0F4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BA757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través </w:t>
      </w:r>
      <w:r w:rsidR="00A8183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del trabajo de </w:t>
      </w:r>
      <w:r w:rsidR="0045436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proofErr w:type="spellStart"/>
      <w:r w:rsidR="00CB6BB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de</w:t>
      </w:r>
      <w:proofErr w:type="spellEnd"/>
      <w:r w:rsidR="00CB6BB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promoción</w:t>
      </w:r>
      <w:r w:rsidR="009066F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</w:t>
      </w:r>
      <w:proofErr w:type="spellStart"/>
      <w:r w:rsidR="009066F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orienrtación</w:t>
      </w:r>
      <w:proofErr w:type="spellEnd"/>
      <w:r w:rsidR="009066F1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y canalización </w:t>
      </w:r>
      <w:r w:rsidR="00A52A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de </w:t>
      </w:r>
      <w:r w:rsidR="009F53EC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la CDHCM </w:t>
      </w:r>
      <w:r w:rsidR="00A52A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se brinda </w:t>
      </w:r>
      <w:proofErr w:type="spellStart"/>
      <w:r w:rsidR="00A52A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informacion</w:t>
      </w:r>
      <w:proofErr w:type="spellEnd"/>
      <w:r w:rsidR="00A52A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diferenciada </w:t>
      </w:r>
      <w:proofErr w:type="spellStart"/>
      <w:r w:rsidR="00A52A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aobre</w:t>
      </w:r>
      <w:proofErr w:type="spellEnd"/>
      <w:r w:rsidR="00A52A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proofErr w:type="spellStart"/>
      <w:r w:rsidR="00A52A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derecjos</w:t>
      </w:r>
      <w:proofErr w:type="spellEnd"/>
      <w:r w:rsidR="00A52A60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instituciones y servicios, </w:t>
      </w:r>
      <w:r w:rsidR="00B60CE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la</w:t>
      </w:r>
      <w:r w:rsidR="00A10AA7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hyperlink r:id="rId20" w:history="1">
        <w:r w:rsidR="00A10AA7" w:rsidRPr="00951ED1">
          <w:rPr>
            <w:rStyle w:val="Hipervnculo"/>
            <w:rFonts w:asciiTheme="minorHAnsi" w:eastAsia="Times New Roman" w:hAnsiTheme="minorHAnsi" w:cs="Arial"/>
            <w:i/>
            <w:sz w:val="24"/>
            <w:szCs w:val="24"/>
          </w:rPr>
          <w:t>Revista Ciudad Defensora personas mayores: hacia el pleno goce y ejercicio de sus derechos humanos</w:t>
        </w:r>
      </w:hyperlink>
      <w:r w:rsidR="00A10AA7" w:rsidRPr="00951ED1">
        <w:rPr>
          <w:rStyle w:val="Hipervnculo"/>
          <w:rFonts w:asciiTheme="minorHAnsi" w:eastAsia="Times New Roman" w:hAnsiTheme="minorHAnsi" w:cs="Arial"/>
          <w:i/>
          <w:sz w:val="24"/>
          <w:szCs w:val="24"/>
        </w:rPr>
        <w:t xml:space="preserve"> </w:t>
      </w:r>
      <w:r w:rsidR="005961E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y un </w:t>
      </w:r>
      <w:hyperlink r:id="rId21" w:history="1">
        <w:r w:rsidR="00241B06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folleto</w:t>
        </w:r>
      </w:hyperlink>
      <w:r w:rsidR="00241B06" w:rsidRPr="00951ED1">
        <w:rPr>
          <w:rStyle w:val="Hipervnculo"/>
          <w:rFonts w:asciiTheme="minorHAnsi" w:eastAsia="Times New Roman" w:hAnsiTheme="minorHAnsi" w:cs="Arial"/>
          <w:sz w:val="24"/>
          <w:szCs w:val="24"/>
        </w:rPr>
        <w:t xml:space="preserve"> </w:t>
      </w:r>
      <w:r w:rsidR="005961E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informativo s</w:t>
      </w:r>
      <w:r w:rsidR="00A10AA7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obre s</w:t>
      </w:r>
      <w:r w:rsidR="00241B0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us</w:t>
      </w:r>
      <w:r w:rsidR="004D6BA4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derechos. </w:t>
      </w:r>
    </w:p>
    <w:p w:rsidR="00D21CE9" w:rsidRPr="00951ED1" w:rsidRDefault="00D21CE9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687546" w:rsidRPr="00951ED1" w:rsidRDefault="00687546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En cuanto </w:t>
      </w:r>
      <w:r w:rsidR="008E425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a la accesibilidad y disposición de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la información</w:t>
      </w:r>
      <w:r w:rsidR="008E425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el INAPAM ofrece </w:t>
      </w:r>
      <w:r w:rsidR="00A36B2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asesoría jurídica </w:t>
      </w:r>
      <w:r w:rsidR="008E425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y</w:t>
      </w:r>
      <w:r w:rsidR="00A36B2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administrativ</w:t>
      </w:r>
      <w:r w:rsidR="0027636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a</w:t>
      </w:r>
      <w:r w:rsidR="00A36B2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8E425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de forma</w:t>
      </w:r>
      <w:r w:rsidR="00A36B2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gratuita</w:t>
      </w:r>
      <w:r w:rsidR="008E425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presencial o telefónica</w:t>
      </w:r>
      <w:r w:rsidR="00A36B2D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;</w:t>
      </w:r>
      <w:r w:rsidR="008E425B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el Sistema para el Desarrollo Integral brinda atención </w:t>
      </w:r>
      <w:r w:rsidR="00DA015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en sus </w:t>
      </w:r>
      <w:hyperlink r:id="rId22" w:history="1">
        <w:r w:rsidR="00DA015E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centros gerontológicos</w:t>
        </w:r>
      </w:hyperlink>
      <w:r w:rsidR="00DA015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sobre cuidado, atención médica, psicológica, social y rehabilitación</w:t>
      </w:r>
      <w:r w:rsidR="006D42C5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</w:t>
      </w:r>
      <w:r w:rsidR="00DA015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las modalidades de atención </w:t>
      </w:r>
      <w:r w:rsidR="00891C7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son</w:t>
      </w:r>
      <w:r w:rsidR="00DA015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residencia y </w:t>
      </w:r>
      <w:r w:rsidR="00891C7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estancia </w:t>
      </w:r>
      <w:r w:rsidR="00DA015E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de día</w:t>
      </w:r>
      <w:r w:rsidR="00E64138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. E</w:t>
      </w:r>
      <w:r w:rsidR="00D21CE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xisten </w:t>
      </w:r>
      <w:hyperlink r:id="rId23" w:history="1">
        <w:r w:rsidR="00D21CE9" w:rsidRPr="00951ED1">
          <w:rPr>
            <w:rStyle w:val="Hipervnculo"/>
            <w:rFonts w:asciiTheme="minorHAnsi" w:eastAsia="Times New Roman" w:hAnsiTheme="minorHAnsi" w:cs="Arial"/>
            <w:sz w:val="24"/>
            <w:szCs w:val="24"/>
          </w:rPr>
          <w:t>86 módulos</w:t>
        </w:r>
      </w:hyperlink>
      <w:r w:rsidR="00D21CE9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en la CDMX para orientar, atender y canalizar a las personas mayores sobre programas gubernamentales, de cuidados, gerontología, geriatría y atención social. </w:t>
      </w:r>
    </w:p>
    <w:p w:rsidR="00EB6E12" w:rsidRPr="00951ED1" w:rsidRDefault="00EB6E12" w:rsidP="00951E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BB2203" w:rsidRPr="00951ED1" w:rsidRDefault="00142AE3" w:rsidP="0095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21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Comparta ejemplos de </w:t>
      </w:r>
      <w:r w:rsidR="0027636D" w:rsidRPr="00951ED1">
        <w:rPr>
          <w:rFonts w:asciiTheme="minorHAnsi" w:eastAsia="Times New Roman" w:hAnsiTheme="minorHAnsi" w:cs="Arial"/>
          <w:b/>
          <w:color w:val="000000"/>
          <w:sz w:val="24"/>
          <w:szCs w:val="24"/>
        </w:rPr>
        <w:t xml:space="preserve">buenas </w:t>
      </w:r>
      <w:r w:rsidRPr="00951ED1">
        <w:rPr>
          <w:rFonts w:asciiTheme="minorHAnsi" w:eastAsia="Times New Roman" w:hAnsiTheme="minorHAnsi" w:cs="Arial"/>
          <w:b/>
          <w:color w:val="000000"/>
          <w:sz w:val="24"/>
          <w:szCs w:val="24"/>
        </w:rPr>
        <w:t xml:space="preserve">prácticas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sobre cómo prevenir, controlar y abordar violencia y maltrato</w:t>
      </w:r>
      <w:r w:rsidRPr="00951ED1">
        <w:rPr>
          <w:rFonts w:asciiTheme="minorHAnsi" w:eastAsia="Times New Roman" w:hAnsiTheme="minorHAnsi" w:cs="Arial"/>
          <w:b/>
          <w:color w:val="000000"/>
          <w:sz w:val="24"/>
          <w:szCs w:val="24"/>
        </w:rPr>
        <w:t xml:space="preserve"> </w:t>
      </w: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contra las personas de edad. </w:t>
      </w:r>
    </w:p>
    <w:p w:rsidR="007F661D" w:rsidRPr="00951ED1" w:rsidRDefault="00C62518" w:rsidP="007A5105">
      <w:pPr>
        <w:pStyle w:val="Ttulo1"/>
        <w:shd w:val="clear" w:color="auto" w:fill="FFFFFF"/>
        <w:spacing w:before="0" w:after="0" w:line="240" w:lineRule="auto"/>
        <w:jc w:val="both"/>
        <w:divId w:val="804659983"/>
        <w:rPr>
          <w:rFonts w:asciiTheme="minorHAnsi" w:eastAsia="Times New Roman" w:hAnsiTheme="minorHAnsi"/>
          <w:color w:val="333333"/>
          <w:sz w:val="24"/>
          <w:szCs w:val="24"/>
        </w:rPr>
      </w:pPr>
      <w:r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Un ejemplo de buena práctica </w:t>
      </w:r>
      <w:r w:rsidR="00CD726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para prevenir </w:t>
      </w:r>
      <w:r w:rsidR="00BA6D36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l</w:t>
      </w:r>
      <w:r w:rsidR="00CD7262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 violencia y maltrato de las personas mayores </w:t>
      </w:r>
      <w:r w:rsidR="00C60CA5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21763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en la Ciudad de México son los diversos programas de atención con los que cuenta el </w:t>
      </w:r>
      <w:proofErr w:type="spellStart"/>
      <w:r w:rsidR="0021763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>Instiruro</w:t>
      </w:r>
      <w:proofErr w:type="spellEnd"/>
      <w:r w:rsidR="0021763F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para el Envejecimiento Digno, </w:t>
      </w:r>
      <w:r w:rsidR="00F02D9A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como e</w:t>
      </w:r>
      <w:r w:rsidR="00443775" w:rsidRPr="00951ED1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s el </w:t>
      </w:r>
      <w:r w:rsidR="007F661D" w:rsidRPr="00951ED1">
        <w:rPr>
          <w:rFonts w:asciiTheme="minorHAnsi" w:eastAsia="Times New Roman" w:hAnsiTheme="minorHAnsi"/>
          <w:color w:val="333333"/>
          <w:sz w:val="24"/>
          <w:szCs w:val="24"/>
        </w:rPr>
        <w:t xml:space="preserve">e realiza el reporte y se atiende como solicitud de atención, mediante el </w:t>
      </w:r>
      <w:r w:rsidR="00443775" w:rsidRPr="00951ED1">
        <w:rPr>
          <w:rFonts w:asciiTheme="minorHAnsi" w:eastAsia="Times New Roman" w:hAnsiTheme="minorHAnsi"/>
          <w:color w:val="333333"/>
          <w:sz w:val="24"/>
          <w:szCs w:val="24"/>
        </w:rPr>
        <w:t xml:space="preserve">Reporte y seguimiento ante casos de violencia y maltrato en contra de personas </w:t>
      </w:r>
      <w:proofErr w:type="spellStart"/>
      <w:r w:rsidR="00443775" w:rsidRPr="00951ED1">
        <w:rPr>
          <w:rFonts w:asciiTheme="minorHAnsi" w:eastAsia="Times New Roman" w:hAnsiTheme="minorHAnsi"/>
          <w:color w:val="333333"/>
          <w:sz w:val="24"/>
          <w:szCs w:val="24"/>
        </w:rPr>
        <w:t>mayore</w:t>
      </w:r>
      <w:r w:rsidR="00B15568" w:rsidRPr="00951ED1">
        <w:rPr>
          <w:rFonts w:asciiTheme="minorHAnsi" w:eastAsia="Times New Roman" w:hAnsiTheme="minorHAnsi"/>
          <w:color w:val="333333"/>
          <w:sz w:val="24"/>
          <w:szCs w:val="24"/>
        </w:rPr>
        <w:t>a</w:t>
      </w:r>
      <w:proofErr w:type="spellEnd"/>
      <w:r w:rsidR="00B15568" w:rsidRPr="00951ED1">
        <w:rPr>
          <w:rFonts w:asciiTheme="minorHAnsi" w:eastAsia="Times New Roman" w:hAnsiTheme="minorHAnsi"/>
          <w:color w:val="333333"/>
          <w:sz w:val="24"/>
          <w:szCs w:val="24"/>
        </w:rPr>
        <w:t xml:space="preserve"> d</w:t>
      </w:r>
      <w:r w:rsidR="007F661D" w:rsidRPr="00951ED1">
        <w:rPr>
          <w:rFonts w:asciiTheme="minorHAnsi" w:eastAsia="Times New Roman" w:hAnsiTheme="minorHAnsi"/>
          <w:color w:val="333333"/>
          <w:sz w:val="24"/>
          <w:szCs w:val="24"/>
        </w:rPr>
        <w:t>e atención a casos de violencia</w:t>
      </w:r>
      <w:r w:rsidR="00B15568" w:rsidRPr="00951ED1">
        <w:rPr>
          <w:rFonts w:asciiTheme="minorHAnsi" w:eastAsia="Times New Roman" w:hAnsiTheme="minorHAnsi"/>
          <w:color w:val="333333"/>
          <w:sz w:val="24"/>
          <w:szCs w:val="24"/>
        </w:rPr>
        <w:t xml:space="preserve">. A partir del </w:t>
      </w:r>
      <w:r w:rsidR="00C86C0D" w:rsidRPr="00951ED1">
        <w:rPr>
          <w:rFonts w:asciiTheme="minorHAnsi" w:eastAsia="Times New Roman" w:hAnsiTheme="minorHAnsi"/>
          <w:color w:val="333333"/>
          <w:sz w:val="24"/>
          <w:szCs w:val="24"/>
        </w:rPr>
        <w:t>cual:</w:t>
      </w:r>
    </w:p>
    <w:p w:rsidR="007F661D" w:rsidRPr="00951ED1" w:rsidRDefault="007F661D" w:rsidP="00951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divId w:val="2045128772"/>
        <w:rPr>
          <w:rFonts w:asciiTheme="minorHAnsi" w:eastAsia="Times New Roman" w:hAnsiTheme="minorHAnsi"/>
          <w:color w:val="333333"/>
          <w:sz w:val="24"/>
          <w:szCs w:val="24"/>
        </w:rPr>
      </w:pPr>
      <w:r w:rsidRPr="00951ED1">
        <w:rPr>
          <w:rFonts w:asciiTheme="minorHAnsi" w:eastAsia="Times New Roman" w:hAnsiTheme="minorHAnsi"/>
          <w:color w:val="333333"/>
          <w:sz w:val="24"/>
          <w:szCs w:val="24"/>
        </w:rPr>
        <w:t>Se programa visita de primer contacto: y se aplica formato de valoración de violencia.</w:t>
      </w:r>
    </w:p>
    <w:p w:rsidR="007F661D" w:rsidRPr="00951ED1" w:rsidRDefault="007F661D" w:rsidP="00951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divId w:val="2045128772"/>
        <w:rPr>
          <w:rFonts w:asciiTheme="minorHAnsi" w:eastAsia="Times New Roman" w:hAnsiTheme="minorHAnsi"/>
          <w:color w:val="333333"/>
          <w:sz w:val="24"/>
          <w:szCs w:val="24"/>
        </w:rPr>
      </w:pPr>
      <w:r w:rsidRPr="00951ED1">
        <w:rPr>
          <w:rFonts w:asciiTheme="minorHAnsi" w:eastAsia="Times New Roman" w:hAnsiTheme="minorHAnsi"/>
          <w:color w:val="333333"/>
          <w:sz w:val="24"/>
          <w:szCs w:val="24"/>
        </w:rPr>
        <w:t>De acuerdo con los resultados de la visita y el formato de valoración, se programa visita integral.</w:t>
      </w:r>
    </w:p>
    <w:p w:rsidR="007F661D" w:rsidRPr="00951ED1" w:rsidRDefault="007F661D" w:rsidP="00951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divId w:val="2045128772"/>
        <w:rPr>
          <w:rFonts w:asciiTheme="minorHAnsi" w:eastAsia="Times New Roman" w:hAnsiTheme="minorHAnsi"/>
          <w:color w:val="333333"/>
          <w:sz w:val="24"/>
          <w:szCs w:val="24"/>
        </w:rPr>
      </w:pPr>
      <w:r w:rsidRPr="00951ED1">
        <w:rPr>
          <w:rFonts w:asciiTheme="minorHAnsi" w:eastAsia="Times New Roman" w:hAnsiTheme="minorHAnsi"/>
          <w:color w:val="333333"/>
          <w:sz w:val="24"/>
          <w:szCs w:val="24"/>
        </w:rPr>
        <w:t>En la visita integral se determina el procedimiento a seguir, y las instancias de canalización en caso de ser necesario</w:t>
      </w:r>
      <w:r w:rsidR="00C86C0D" w:rsidRPr="00951ED1">
        <w:rPr>
          <w:rFonts w:asciiTheme="minorHAnsi" w:eastAsia="Times New Roman" w:hAnsiTheme="minorHAnsi"/>
          <w:color w:val="333333"/>
          <w:sz w:val="24"/>
          <w:szCs w:val="24"/>
        </w:rPr>
        <w:t xml:space="preserve"> para su posterior seguimiento. </w:t>
      </w:r>
    </w:p>
    <w:p w:rsidR="00C60CA5" w:rsidRPr="00951ED1" w:rsidRDefault="00C60CA5" w:rsidP="00951ED1">
      <w:pPr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C60CA5" w:rsidRPr="00951ED1" w:rsidRDefault="00C60CA5" w:rsidP="00951ED1">
      <w:pPr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sectPr w:rsidR="00C60CA5" w:rsidRPr="00951ED1"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9B0" w:rsidRDefault="006959B0">
      <w:pPr>
        <w:spacing w:after="0" w:line="240" w:lineRule="auto"/>
      </w:pPr>
      <w:r>
        <w:separator/>
      </w:r>
    </w:p>
  </w:endnote>
  <w:endnote w:type="continuationSeparator" w:id="0">
    <w:p w:rsidR="006959B0" w:rsidRDefault="006959B0">
      <w:pPr>
        <w:spacing w:after="0" w:line="240" w:lineRule="auto"/>
      </w:pPr>
      <w:r>
        <w:continuationSeparator/>
      </w:r>
    </w:p>
  </w:endnote>
  <w:endnote w:id="1">
    <w:p w:rsidR="00C76D49" w:rsidRPr="00CE14D6" w:rsidRDefault="00C76D49">
      <w:pPr>
        <w:pStyle w:val="Textonotaalfinal"/>
        <w:rPr>
          <w:sz w:val="16"/>
          <w:szCs w:val="16"/>
        </w:rPr>
      </w:pPr>
      <w:r>
        <w:rPr>
          <w:rStyle w:val="Refdenotaalfinal"/>
        </w:rPr>
        <w:endnoteRef/>
      </w:r>
      <w:r w:rsidRPr="00CE14D6">
        <w:rPr>
          <w:sz w:val="16"/>
          <w:szCs w:val="16"/>
          <w:lang w:val="es-MX"/>
        </w:rPr>
        <w:t>Testimonios Foro</w:t>
      </w:r>
      <w:r w:rsidR="00891C7A">
        <w:rPr>
          <w:sz w:val="16"/>
          <w:szCs w:val="16"/>
          <w:lang w:val="es-MX"/>
        </w:rPr>
        <w:t xml:space="preserve"> </w:t>
      </w:r>
      <w:r w:rsidRPr="00CE14D6">
        <w:rPr>
          <w:sz w:val="16"/>
          <w:szCs w:val="16"/>
          <w:lang w:val="es-MX"/>
        </w:rPr>
        <w:t>“Vejez, envejecimiento y derechos humanos de las personas mayores de la diversidad sexual”</w:t>
      </w:r>
      <w:r w:rsidR="00891C7A">
        <w:rPr>
          <w:sz w:val="16"/>
          <w:szCs w:val="16"/>
          <w:lang w:val="es-MX"/>
        </w:rPr>
        <w:t xml:space="preserve"> </w:t>
      </w:r>
      <w:r w:rsidRPr="00CE14D6">
        <w:rPr>
          <w:sz w:val="16"/>
          <w:szCs w:val="16"/>
          <w:lang w:val="es-MX"/>
        </w:rPr>
        <w:t>Gobierno CDMX,</w:t>
      </w:r>
      <w:r w:rsidR="00891C7A">
        <w:rPr>
          <w:sz w:val="16"/>
          <w:szCs w:val="16"/>
          <w:lang w:val="es-MX"/>
        </w:rPr>
        <w:t xml:space="preserve"> </w:t>
      </w:r>
      <w:r w:rsidRPr="00CE14D6">
        <w:rPr>
          <w:sz w:val="16"/>
          <w:szCs w:val="16"/>
          <w:lang w:val="es-MX"/>
        </w:rPr>
        <w:t>22-10-2019.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819752"/>
      <w:docPartObj>
        <w:docPartGallery w:val="Page Numbers (Bottom of Page)"/>
        <w:docPartUnique/>
      </w:docPartObj>
    </w:sdtPr>
    <w:sdtEndPr/>
    <w:sdtContent>
      <w:p w:rsidR="00891C7A" w:rsidRDefault="00891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891C7A" w:rsidRDefault="00891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682669"/>
      <w:docPartObj>
        <w:docPartGallery w:val="Page Numbers (Bottom of Page)"/>
        <w:docPartUnique/>
      </w:docPartObj>
    </w:sdtPr>
    <w:sdtEndPr/>
    <w:sdtContent>
      <w:p w:rsidR="00AB3BDC" w:rsidRDefault="00AB3B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274CB4" w:rsidRDefault="00274C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9B0" w:rsidRDefault="006959B0">
      <w:pPr>
        <w:spacing w:after="0" w:line="240" w:lineRule="auto"/>
      </w:pPr>
      <w:r>
        <w:separator/>
      </w:r>
    </w:p>
  </w:footnote>
  <w:footnote w:type="continuationSeparator" w:id="0">
    <w:p w:rsidR="006959B0" w:rsidRDefault="0069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EBC" w:rsidRDefault="00CE3EBC">
    <w:pPr>
      <w:tabs>
        <w:tab w:val="right" w:pos="3686"/>
        <w:tab w:val="center" w:pos="4513"/>
        <w:tab w:val="left" w:pos="5812"/>
        <w:tab w:val="right" w:pos="9026"/>
      </w:tabs>
      <w:spacing w:before="240" w:after="0" w:line="276" w:lineRule="auto"/>
      <w:jc w:val="right"/>
      <w:rPr>
        <w:rFonts w:ascii="Arial Narrow" w:eastAsia="Arial Narrow" w:hAnsi="Arial Narrow" w:cs="Arial Narrow"/>
        <w:b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112395</wp:posOffset>
          </wp:positionV>
          <wp:extent cx="666750" cy="66675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eastAsia="Arial Narrow" w:hAnsi="Arial Narrow" w:cs="Arial Narrow"/>
        <w:b/>
        <w:sz w:val="28"/>
        <w:szCs w:val="28"/>
      </w:rPr>
      <w:t xml:space="preserve"> COMISIÓN DE DERECHOS HUMANOS DE LA CIUDAD DE MÉXICO</w:t>
    </w:r>
  </w:p>
  <w:p w:rsidR="00CE3EBC" w:rsidRDefault="00CE3EBC">
    <w:pPr>
      <w:tabs>
        <w:tab w:val="right" w:pos="3686"/>
        <w:tab w:val="center" w:pos="4513"/>
        <w:tab w:val="left" w:pos="5812"/>
        <w:tab w:val="right" w:pos="9026"/>
      </w:tabs>
      <w:spacing w:after="0" w:line="240" w:lineRule="auto"/>
      <w:jc w:val="center"/>
      <w:rPr>
        <w:sz w:val="14"/>
        <w:szCs w:val="14"/>
      </w:rPr>
    </w:pPr>
  </w:p>
  <w:p w:rsidR="00CE3EBC" w:rsidRDefault="00CE3E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08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E1601"/>
    <w:multiLevelType w:val="multilevel"/>
    <w:tmpl w:val="C2E0A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4592">
    <w:abstractNumId w:val="1"/>
  </w:num>
  <w:num w:numId="2" w16cid:durableId="185653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03"/>
    <w:rsid w:val="0000024C"/>
    <w:rsid w:val="00005E80"/>
    <w:rsid w:val="00037545"/>
    <w:rsid w:val="000603F6"/>
    <w:rsid w:val="00066B77"/>
    <w:rsid w:val="00071FF1"/>
    <w:rsid w:val="000766F3"/>
    <w:rsid w:val="000820BC"/>
    <w:rsid w:val="00087AC9"/>
    <w:rsid w:val="000914CC"/>
    <w:rsid w:val="000C04B3"/>
    <w:rsid w:val="000C131A"/>
    <w:rsid w:val="000C5E0C"/>
    <w:rsid w:val="000D075F"/>
    <w:rsid w:val="000E12F1"/>
    <w:rsid w:val="00122988"/>
    <w:rsid w:val="001234FB"/>
    <w:rsid w:val="00130FBB"/>
    <w:rsid w:val="00142AE3"/>
    <w:rsid w:val="00153FDC"/>
    <w:rsid w:val="0015699B"/>
    <w:rsid w:val="001625A7"/>
    <w:rsid w:val="0016739A"/>
    <w:rsid w:val="00183BB1"/>
    <w:rsid w:val="001B40DE"/>
    <w:rsid w:val="001D3619"/>
    <w:rsid w:val="001D5C46"/>
    <w:rsid w:val="001E698F"/>
    <w:rsid w:val="001E75A7"/>
    <w:rsid w:val="002055CF"/>
    <w:rsid w:val="0021763F"/>
    <w:rsid w:val="00220CCA"/>
    <w:rsid w:val="00241B06"/>
    <w:rsid w:val="00250764"/>
    <w:rsid w:val="00252A8E"/>
    <w:rsid w:val="00271163"/>
    <w:rsid w:val="00274CB4"/>
    <w:rsid w:val="0027636D"/>
    <w:rsid w:val="00276984"/>
    <w:rsid w:val="00281F22"/>
    <w:rsid w:val="002924DF"/>
    <w:rsid w:val="002A0C16"/>
    <w:rsid w:val="002B0F48"/>
    <w:rsid w:val="002C2E1E"/>
    <w:rsid w:val="002C3645"/>
    <w:rsid w:val="002C5360"/>
    <w:rsid w:val="002C5D64"/>
    <w:rsid w:val="002D7053"/>
    <w:rsid w:val="002E1194"/>
    <w:rsid w:val="002E1A2C"/>
    <w:rsid w:val="002F45BE"/>
    <w:rsid w:val="002F51E2"/>
    <w:rsid w:val="00330B80"/>
    <w:rsid w:val="003413B2"/>
    <w:rsid w:val="00346340"/>
    <w:rsid w:val="00346896"/>
    <w:rsid w:val="003553FE"/>
    <w:rsid w:val="00360DB8"/>
    <w:rsid w:val="00363A76"/>
    <w:rsid w:val="00371FDB"/>
    <w:rsid w:val="003B6EF1"/>
    <w:rsid w:val="003E162D"/>
    <w:rsid w:val="003E2D90"/>
    <w:rsid w:val="003F3FBB"/>
    <w:rsid w:val="0042657F"/>
    <w:rsid w:val="00435647"/>
    <w:rsid w:val="00436E74"/>
    <w:rsid w:val="00443775"/>
    <w:rsid w:val="0044648E"/>
    <w:rsid w:val="00451E9E"/>
    <w:rsid w:val="0045436B"/>
    <w:rsid w:val="004552C1"/>
    <w:rsid w:val="00472CC6"/>
    <w:rsid w:val="0048378C"/>
    <w:rsid w:val="004A36AD"/>
    <w:rsid w:val="004A7C89"/>
    <w:rsid w:val="004B21C2"/>
    <w:rsid w:val="004B4EF8"/>
    <w:rsid w:val="004D11C4"/>
    <w:rsid w:val="004D4657"/>
    <w:rsid w:val="004D6BA4"/>
    <w:rsid w:val="004E13CD"/>
    <w:rsid w:val="004E3D3C"/>
    <w:rsid w:val="004F46B4"/>
    <w:rsid w:val="0052460B"/>
    <w:rsid w:val="005345B3"/>
    <w:rsid w:val="00545BD0"/>
    <w:rsid w:val="00562C13"/>
    <w:rsid w:val="00573FD3"/>
    <w:rsid w:val="00585171"/>
    <w:rsid w:val="005961E9"/>
    <w:rsid w:val="005A7422"/>
    <w:rsid w:val="005B0123"/>
    <w:rsid w:val="005D0E68"/>
    <w:rsid w:val="005E1672"/>
    <w:rsid w:val="006016F0"/>
    <w:rsid w:val="00601CAB"/>
    <w:rsid w:val="00604611"/>
    <w:rsid w:val="00617823"/>
    <w:rsid w:val="00620A43"/>
    <w:rsid w:val="006349EF"/>
    <w:rsid w:val="00644040"/>
    <w:rsid w:val="00660D81"/>
    <w:rsid w:val="00661A0B"/>
    <w:rsid w:val="00666F29"/>
    <w:rsid w:val="00667F49"/>
    <w:rsid w:val="006722D7"/>
    <w:rsid w:val="00687546"/>
    <w:rsid w:val="006959B0"/>
    <w:rsid w:val="006B561D"/>
    <w:rsid w:val="006C103C"/>
    <w:rsid w:val="006D42C5"/>
    <w:rsid w:val="006D6492"/>
    <w:rsid w:val="00702A2A"/>
    <w:rsid w:val="0074456A"/>
    <w:rsid w:val="00745837"/>
    <w:rsid w:val="00766D7B"/>
    <w:rsid w:val="00785F0A"/>
    <w:rsid w:val="007A091F"/>
    <w:rsid w:val="007A0B24"/>
    <w:rsid w:val="007A1E2A"/>
    <w:rsid w:val="007A3232"/>
    <w:rsid w:val="007A37A8"/>
    <w:rsid w:val="007A5105"/>
    <w:rsid w:val="007C20A8"/>
    <w:rsid w:val="007C3558"/>
    <w:rsid w:val="007F661D"/>
    <w:rsid w:val="00806009"/>
    <w:rsid w:val="00827B4E"/>
    <w:rsid w:val="00831739"/>
    <w:rsid w:val="008544C5"/>
    <w:rsid w:val="008579EC"/>
    <w:rsid w:val="008706A5"/>
    <w:rsid w:val="00882FCA"/>
    <w:rsid w:val="00886D60"/>
    <w:rsid w:val="00891C7A"/>
    <w:rsid w:val="008A5A9E"/>
    <w:rsid w:val="008D08E5"/>
    <w:rsid w:val="008D352A"/>
    <w:rsid w:val="008D7BC8"/>
    <w:rsid w:val="008E2BA1"/>
    <w:rsid w:val="008E425B"/>
    <w:rsid w:val="008E691B"/>
    <w:rsid w:val="008F26FA"/>
    <w:rsid w:val="009005E2"/>
    <w:rsid w:val="009066F1"/>
    <w:rsid w:val="00926340"/>
    <w:rsid w:val="009304F5"/>
    <w:rsid w:val="00930822"/>
    <w:rsid w:val="00951ED1"/>
    <w:rsid w:val="00966733"/>
    <w:rsid w:val="00982F65"/>
    <w:rsid w:val="00986076"/>
    <w:rsid w:val="00987C6C"/>
    <w:rsid w:val="00992CF1"/>
    <w:rsid w:val="00994227"/>
    <w:rsid w:val="00997EA9"/>
    <w:rsid w:val="009C18C3"/>
    <w:rsid w:val="009D0204"/>
    <w:rsid w:val="009D7DA3"/>
    <w:rsid w:val="009E5E3A"/>
    <w:rsid w:val="009E79BE"/>
    <w:rsid w:val="009F53EC"/>
    <w:rsid w:val="00A02AEF"/>
    <w:rsid w:val="00A1095B"/>
    <w:rsid w:val="00A10AA7"/>
    <w:rsid w:val="00A20610"/>
    <w:rsid w:val="00A2134E"/>
    <w:rsid w:val="00A26EC7"/>
    <w:rsid w:val="00A31E16"/>
    <w:rsid w:val="00A36B2D"/>
    <w:rsid w:val="00A52699"/>
    <w:rsid w:val="00A52A60"/>
    <w:rsid w:val="00A54AA9"/>
    <w:rsid w:val="00A5532B"/>
    <w:rsid w:val="00A646E3"/>
    <w:rsid w:val="00A656F1"/>
    <w:rsid w:val="00A67C72"/>
    <w:rsid w:val="00A73B54"/>
    <w:rsid w:val="00A81831"/>
    <w:rsid w:val="00A8721F"/>
    <w:rsid w:val="00A9276C"/>
    <w:rsid w:val="00A95D2A"/>
    <w:rsid w:val="00AA0899"/>
    <w:rsid w:val="00AA0CD7"/>
    <w:rsid w:val="00AB3BDC"/>
    <w:rsid w:val="00AC0204"/>
    <w:rsid w:val="00AC4311"/>
    <w:rsid w:val="00AD4B6E"/>
    <w:rsid w:val="00AE3160"/>
    <w:rsid w:val="00AF1172"/>
    <w:rsid w:val="00B0385F"/>
    <w:rsid w:val="00B15568"/>
    <w:rsid w:val="00B24E2C"/>
    <w:rsid w:val="00B26F68"/>
    <w:rsid w:val="00B2713E"/>
    <w:rsid w:val="00B42929"/>
    <w:rsid w:val="00B43980"/>
    <w:rsid w:val="00B47F25"/>
    <w:rsid w:val="00B52968"/>
    <w:rsid w:val="00B5751E"/>
    <w:rsid w:val="00B60CE4"/>
    <w:rsid w:val="00B617F2"/>
    <w:rsid w:val="00B77BB5"/>
    <w:rsid w:val="00B92C62"/>
    <w:rsid w:val="00B966DF"/>
    <w:rsid w:val="00BA6D36"/>
    <w:rsid w:val="00BA757F"/>
    <w:rsid w:val="00BB2203"/>
    <w:rsid w:val="00BC0CA6"/>
    <w:rsid w:val="00BC257E"/>
    <w:rsid w:val="00BE2719"/>
    <w:rsid w:val="00BE7C02"/>
    <w:rsid w:val="00BF7AC6"/>
    <w:rsid w:val="00C05B24"/>
    <w:rsid w:val="00C15978"/>
    <w:rsid w:val="00C26A58"/>
    <w:rsid w:val="00C43E25"/>
    <w:rsid w:val="00C55CF3"/>
    <w:rsid w:val="00C567EF"/>
    <w:rsid w:val="00C60CA5"/>
    <w:rsid w:val="00C62518"/>
    <w:rsid w:val="00C641FE"/>
    <w:rsid w:val="00C76D49"/>
    <w:rsid w:val="00C86C0D"/>
    <w:rsid w:val="00CA0A05"/>
    <w:rsid w:val="00CA2A7E"/>
    <w:rsid w:val="00CB556A"/>
    <w:rsid w:val="00CB6BBF"/>
    <w:rsid w:val="00CD7262"/>
    <w:rsid w:val="00CE14D6"/>
    <w:rsid w:val="00CE3EBC"/>
    <w:rsid w:val="00CE6F4E"/>
    <w:rsid w:val="00CF4C5F"/>
    <w:rsid w:val="00D0008C"/>
    <w:rsid w:val="00D00EC2"/>
    <w:rsid w:val="00D01A86"/>
    <w:rsid w:val="00D21CE9"/>
    <w:rsid w:val="00D241EC"/>
    <w:rsid w:val="00D41B5F"/>
    <w:rsid w:val="00D4372E"/>
    <w:rsid w:val="00D509E4"/>
    <w:rsid w:val="00D546EE"/>
    <w:rsid w:val="00D5661A"/>
    <w:rsid w:val="00D57C95"/>
    <w:rsid w:val="00D73240"/>
    <w:rsid w:val="00D901CB"/>
    <w:rsid w:val="00D95F86"/>
    <w:rsid w:val="00DA015E"/>
    <w:rsid w:val="00E03249"/>
    <w:rsid w:val="00E11046"/>
    <w:rsid w:val="00E20979"/>
    <w:rsid w:val="00E26619"/>
    <w:rsid w:val="00E34DED"/>
    <w:rsid w:val="00E42103"/>
    <w:rsid w:val="00E5365F"/>
    <w:rsid w:val="00E64138"/>
    <w:rsid w:val="00E74F7B"/>
    <w:rsid w:val="00E77D2D"/>
    <w:rsid w:val="00E814C3"/>
    <w:rsid w:val="00EB4481"/>
    <w:rsid w:val="00EB6E12"/>
    <w:rsid w:val="00EC391A"/>
    <w:rsid w:val="00ED7B56"/>
    <w:rsid w:val="00EE148E"/>
    <w:rsid w:val="00EF4843"/>
    <w:rsid w:val="00EF7750"/>
    <w:rsid w:val="00F01A23"/>
    <w:rsid w:val="00F02D9A"/>
    <w:rsid w:val="00F0459A"/>
    <w:rsid w:val="00F07DBD"/>
    <w:rsid w:val="00F1154D"/>
    <w:rsid w:val="00F1647F"/>
    <w:rsid w:val="00F179B4"/>
    <w:rsid w:val="00F208AB"/>
    <w:rsid w:val="00F24D04"/>
    <w:rsid w:val="00F47D92"/>
    <w:rsid w:val="00F52163"/>
    <w:rsid w:val="00F56E9A"/>
    <w:rsid w:val="00F70AD1"/>
    <w:rsid w:val="00F764C3"/>
    <w:rsid w:val="00F8688A"/>
    <w:rsid w:val="00F96614"/>
    <w:rsid w:val="00FA5C36"/>
    <w:rsid w:val="00FE13A4"/>
    <w:rsid w:val="00FF1EEC"/>
    <w:rsid w:val="00FF2B09"/>
    <w:rsid w:val="00FF6CC5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113DA"/>
  <w15:docId w15:val="{93FFA5F5-A5F0-47A8-B2F1-BA1FAC54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B04"/>
    <w:rPr>
      <w:rFonts w:eastAsiaTheme="minorEastAsia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uentedeprrafopredeter"/>
    <w:rsid w:val="008F4B04"/>
  </w:style>
  <w:style w:type="paragraph" w:styleId="Encabezado">
    <w:name w:val="header"/>
    <w:basedOn w:val="Normal"/>
    <w:link w:val="EncabezadoCar"/>
    <w:uiPriority w:val="99"/>
    <w:unhideWhenUsed/>
    <w:rsid w:val="008F4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B04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8F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nculo">
    <w:name w:val="Hyperlink"/>
    <w:basedOn w:val="Fuentedeprrafopredeter"/>
    <w:uiPriority w:val="99"/>
    <w:unhideWhenUsed/>
    <w:rsid w:val="008F4B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F4B0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F4B04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151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3E"/>
    <w:rPr>
      <w:rFonts w:eastAsiaTheme="minorEastAsia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647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647F"/>
    <w:rPr>
      <w:rFonts w:eastAsiaTheme="minorEastAsia"/>
      <w:sz w:val="20"/>
      <w:szCs w:val="20"/>
      <w:lang w:eastAsia="zh-CN"/>
    </w:rPr>
  </w:style>
  <w:style w:type="character" w:styleId="Refdenotaalfinal">
    <w:name w:val="endnote reference"/>
    <w:basedOn w:val="Fuentedeprrafopredeter"/>
    <w:uiPriority w:val="99"/>
    <w:semiHidden/>
    <w:unhideWhenUsed/>
    <w:rsid w:val="00F1647F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208A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43775"/>
    <w:rPr>
      <w:rFonts w:eastAsiaTheme="minorEastAsia"/>
      <w:b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iputados.gob.mx/LeyesBiblio/pdf/LDPAM.pdf" TargetMode="External"/><Relationship Id="rId18" Type="http://schemas.openxmlformats.org/officeDocument/2006/relationships/hyperlink" Target="https://www.inegi.org.mx/contenidos/programas/enadis/2017/doc/enadis2017_resultados.pdf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piensadh.cdhdf.org.mx/images/publicaciones/folletos/2022/2022_Folleto_Personas_mayore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ata.consejeria.cdmx.gob.mx/images/leyes/leyes/LEY_PARA_PREVENIR_Y_ELIMINAR_LA_DISCRIMINACION_DE_LA_CDMX_4.1.pdf" TargetMode="External"/><Relationship Id="rId17" Type="http://schemas.openxmlformats.org/officeDocument/2006/relationships/hyperlink" Target="https://www.gob.mx/inpi/articulos/indicadores-sobre-adultos-mayores-indigenas-de-mexico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egi.org.mx/programas/endireh/2021/" TargetMode="External"/><Relationship Id="rId20" Type="http://schemas.openxmlformats.org/officeDocument/2006/relationships/hyperlink" Target="https://piensadh.cdhdf.org.mx/images/ciudad_defensora/2020_Ciudad_Defensora_09.pdf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ta.consejeria.cdmx.gob.mx/images/leyes/estatutos/CONSTITUCION_POLITICA_DE_LA_CDMX_7.6.pd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fgjcdmx.gob.mx/micrositios/agencia-para-la-atencion-de-personas-adultas-mayores" TargetMode="External"/><Relationship Id="rId23" Type="http://schemas.openxmlformats.org/officeDocument/2006/relationships/hyperlink" Target="https://sibiso.cdmx.gob.mx/modulos-de-atencion-para-el-envejecimiento-dign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iputados.gob.mx/LeyesBiblio/pdf/LFPED.pdf" TargetMode="External"/><Relationship Id="rId19" Type="http://schemas.openxmlformats.org/officeDocument/2006/relationships/hyperlink" Target="https://datos.cdmx.gob.mx/dataset/denuncias-victimas-pgj" TargetMode="External"/><Relationship Id="rId31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yperlink" Target="https://www.diputados.gob.mx/LeyesBiblio/pdf/CPEUM.pdf" TargetMode="External"/><Relationship Id="rId14" Type="http://schemas.openxmlformats.org/officeDocument/2006/relationships/hyperlink" Target="https://data.consejeria.cdmx.gob.mx/images/leyes/leyes/LEY_REC_DERECHOS_PERSONAS_MAYORES_Y_DEL_SISTEMA_INT_PARA_SU_ATN_DE_LA_CDMX_2.4.pdf" TargetMode="External"/><Relationship Id="rId22" Type="http://schemas.openxmlformats.org/officeDocument/2006/relationships/hyperlink" Target="https://sibiso.cdmx.gob.mx/modulos-de-atencion-para-el-envejecimiento-digno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CPTcU5E5ulkdfiuPdl7xcseO+A==">AMUW2mUQ9kp1oXRSqOhOIfAIYJdGgllqnlZsuuXDXDJxGyZOIctqONtrKt1K0i3mviDMHME44oKVPJCovifjsXsx6Fid7Ylkk7MBkYLnuWPWKypsbEsldfo=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1" ma:contentTypeDescription="Create a new document." ma:contentTypeScope="" ma:versionID="0355c15e0caee6fac5b9c44f476db901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c4fa7de312133327a9024476f3d1a6c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input"/>
              <xsd:enumeration value="cover letter"/>
              <xsd:enumeration value="note verbale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NHRIs</Category>
    <Doctype xmlns="d42e65b2-cf21-49c1-b27d-d23f90380c0e">input</Doctype>
    <Contributor xmlns="d42e65b2-cf21-49c1-b27d-d23f90380c0e">Comisión de Derechos Humanos de La Ciudad de México</Contributor>
  </documentManagement>
</p:properties>
</file>

<file path=customXml/itemProps1.xml><?xml version="1.0" encoding="utf-8"?>
<ds:datastoreItem xmlns:ds="http://schemas.openxmlformats.org/officeDocument/2006/customXml" ds:itemID="{2AF42E12-E7E4-4FA5-9C38-9EC5CEB05F2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FBA9B89-DE70-4FAB-8BA7-00AF2AE0E75E}"/>
</file>

<file path=customXml/itemProps4.xml><?xml version="1.0" encoding="utf-8"?>
<ds:datastoreItem xmlns:ds="http://schemas.openxmlformats.org/officeDocument/2006/customXml" ds:itemID="{B1C8821E-7CA9-4D8A-80CF-3EBAEE9E5D50}"/>
</file>

<file path=customXml/itemProps5.xml><?xml version="1.0" encoding="utf-8"?>
<ds:datastoreItem xmlns:ds="http://schemas.openxmlformats.org/officeDocument/2006/customXml" ds:itemID="{1CCE578A-FA95-4755-9048-8B19BE63D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MATHELLIÉ Claire</dc:creator>
  <cp:lastModifiedBy>Areli Barranco</cp:lastModifiedBy>
  <cp:revision>2</cp:revision>
  <dcterms:created xsi:type="dcterms:W3CDTF">2023-03-02T06:07:00Z</dcterms:created>
  <dcterms:modified xsi:type="dcterms:W3CDTF">2023-03-02T06:07:00Z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