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20D" w:rsidRDefault="00BB620D" w:rsidP="00664409">
      <w:pPr>
        <w:spacing w:after="0" w:line="360" w:lineRule="auto"/>
        <w:rPr>
          <w:rFonts w:ascii="GHEA Grapalat" w:hAnsi="GHEA Grapalat"/>
          <w:b/>
          <w:sz w:val="24"/>
        </w:rPr>
      </w:pPr>
      <w:bookmarkStart w:id="0" w:name="_GoBack"/>
      <w:bookmarkEnd w:id="0"/>
    </w:p>
    <w:p w:rsidR="00BB620D" w:rsidRDefault="00BB620D" w:rsidP="00BB620D">
      <w:pPr>
        <w:spacing w:after="0" w:line="360" w:lineRule="auto"/>
        <w:ind w:firstLine="720"/>
        <w:jc w:val="center"/>
        <w:rPr>
          <w:rFonts w:ascii="GHEA Grapalat" w:hAnsi="GHEA Grapalat"/>
          <w:b/>
          <w:sz w:val="24"/>
        </w:rPr>
      </w:pPr>
      <w:r w:rsidRPr="00854C00">
        <w:rPr>
          <w:rFonts w:ascii="GHEA Grapalat" w:hAnsi="GHEA Grapalat"/>
          <w:b/>
          <w:sz w:val="24"/>
        </w:rPr>
        <w:t xml:space="preserve">Mandate of the Independent Expert on the enjoyment of all human rights by older persons </w:t>
      </w:r>
    </w:p>
    <w:p w:rsidR="00BB620D" w:rsidRPr="005A42A3" w:rsidRDefault="00BB620D" w:rsidP="00BB620D">
      <w:pPr>
        <w:spacing w:after="0" w:line="360" w:lineRule="auto"/>
        <w:ind w:firstLine="720"/>
        <w:jc w:val="center"/>
        <w:rPr>
          <w:rFonts w:ascii="GHEA Grapalat" w:hAnsi="GHEA Grapalat"/>
          <w:b/>
          <w:sz w:val="24"/>
          <w:u w:val="single"/>
        </w:rPr>
      </w:pPr>
      <w:r w:rsidRPr="00854C00">
        <w:rPr>
          <w:rFonts w:ascii="GHEA Grapalat" w:hAnsi="GHEA Grapalat"/>
          <w:b/>
          <w:sz w:val="24"/>
          <w:u w:val="single"/>
        </w:rPr>
        <w:t>Call for inputs: Violence, abuse and neglect against older persons</w:t>
      </w:r>
    </w:p>
    <w:p w:rsidR="00BB620D" w:rsidRPr="00446A7C" w:rsidRDefault="00BB620D" w:rsidP="00446A7C">
      <w:pPr>
        <w:spacing w:after="0" w:line="360" w:lineRule="auto"/>
        <w:ind w:firstLine="720"/>
        <w:jc w:val="center"/>
        <w:rPr>
          <w:rFonts w:ascii="GHEA Grapalat" w:hAnsi="GHEA Grapalat"/>
          <w:b/>
          <w:sz w:val="28"/>
          <w:szCs w:val="24"/>
          <w:u w:val="single"/>
        </w:rPr>
      </w:pPr>
    </w:p>
    <w:p w:rsidR="005E047C" w:rsidRPr="00126F36" w:rsidRDefault="00BB620D" w:rsidP="00126F36">
      <w:pPr>
        <w:pStyle w:val="ListParagraph"/>
        <w:numPr>
          <w:ilvl w:val="0"/>
          <w:numId w:val="2"/>
        </w:numPr>
        <w:spacing w:after="0" w:line="360" w:lineRule="auto"/>
        <w:rPr>
          <w:rFonts w:ascii="GHEA Grapalat" w:hAnsi="GHEA Grapalat"/>
          <w:b/>
          <w:sz w:val="24"/>
        </w:rPr>
      </w:pPr>
      <w:r w:rsidRPr="00446A7C">
        <w:rPr>
          <w:rFonts w:ascii="GHEA Grapalat" w:hAnsi="GHEA Grapalat"/>
          <w:b/>
          <w:sz w:val="24"/>
        </w:rPr>
        <w:t>Legal, poli</w:t>
      </w:r>
      <w:r w:rsidR="00446A7C">
        <w:rPr>
          <w:rFonts w:ascii="GHEA Grapalat" w:hAnsi="GHEA Grapalat"/>
          <w:b/>
          <w:sz w:val="24"/>
        </w:rPr>
        <w:t>cy and institutional frameworks</w:t>
      </w:r>
    </w:p>
    <w:p w:rsidR="00BB620D" w:rsidRPr="005E047C" w:rsidRDefault="00BB620D" w:rsidP="005E047C">
      <w:pPr>
        <w:pStyle w:val="ListParagraph"/>
        <w:numPr>
          <w:ilvl w:val="0"/>
          <w:numId w:val="3"/>
        </w:numPr>
        <w:spacing w:after="0" w:line="360" w:lineRule="auto"/>
        <w:jc w:val="both"/>
        <w:rPr>
          <w:rFonts w:ascii="GHEA Grapalat" w:hAnsi="GHEA Grapalat"/>
          <w:sz w:val="28"/>
          <w:szCs w:val="24"/>
        </w:rPr>
      </w:pPr>
      <w:r w:rsidRPr="005E047C">
        <w:rPr>
          <w:rFonts w:ascii="GHEA Grapalat" w:eastAsia="Times New Roman" w:hAnsi="GHEA Grapalat" w:cs="Calibri"/>
          <w:color w:val="222222"/>
          <w:sz w:val="24"/>
          <w:szCs w:val="24"/>
        </w:rPr>
        <w:t xml:space="preserve">According to Article 29 of the Constitution, everyone shall be equal before the law and discrimination based on any ground, such as sex, race, </w:t>
      </w:r>
      <w:r w:rsidR="00126F36" w:rsidRPr="005E047C">
        <w:rPr>
          <w:rFonts w:ascii="GHEA Grapalat" w:eastAsia="Times New Roman" w:hAnsi="GHEA Grapalat" w:cs="Calibri"/>
          <w:color w:val="222222"/>
          <w:sz w:val="24"/>
          <w:szCs w:val="24"/>
        </w:rPr>
        <w:t>color</w:t>
      </w:r>
      <w:r w:rsidRPr="005E047C">
        <w:rPr>
          <w:rFonts w:ascii="GHEA Grapalat" w:eastAsia="Times New Roman" w:hAnsi="GHEA Grapalat" w:cs="Calibri"/>
          <w:color w:val="222222"/>
          <w:sz w:val="24"/>
          <w:szCs w:val="24"/>
        </w:rPr>
        <w:t>, ethnicity, origin, language, religion or belief, belonging to a national minority, or other personal or social circumstances shall be prohibited. This provision may be directly invoked before the domestic courts.</w:t>
      </w:r>
      <w:r w:rsidR="005A42A3" w:rsidRPr="005E047C">
        <w:rPr>
          <w:rFonts w:ascii="GHEA Grapalat" w:eastAsia="Times New Roman" w:hAnsi="GHEA Grapalat" w:cs="Calibri"/>
          <w:color w:val="222222"/>
          <w:sz w:val="24"/>
          <w:szCs w:val="24"/>
        </w:rPr>
        <w:t xml:space="preserve"> </w:t>
      </w:r>
    </w:p>
    <w:p w:rsidR="005E047C" w:rsidRPr="00664409" w:rsidRDefault="00BB620D" w:rsidP="00664409">
      <w:pPr>
        <w:spacing w:after="0" w:line="360" w:lineRule="auto"/>
        <w:ind w:left="720"/>
        <w:jc w:val="both"/>
        <w:rPr>
          <w:rFonts w:ascii="GHEA Grapalat" w:hAnsi="GHEA Grapalat"/>
          <w:sz w:val="28"/>
          <w:szCs w:val="24"/>
        </w:rPr>
      </w:pPr>
      <w:r w:rsidRPr="00446A7C">
        <w:rPr>
          <w:rFonts w:ascii="GHEA Grapalat" w:eastAsia="Times New Roman" w:hAnsi="GHEA Grapalat" w:cs="Calibri"/>
          <w:color w:val="222222"/>
          <w:sz w:val="24"/>
          <w:szCs w:val="24"/>
        </w:rPr>
        <w:t>Furthermore,</w:t>
      </w:r>
      <w:r w:rsidRPr="00446A7C">
        <w:rPr>
          <w:rFonts w:ascii="Courier New" w:eastAsia="Times New Roman" w:hAnsi="Courier New" w:cs="Courier New"/>
          <w:color w:val="222222"/>
          <w:sz w:val="24"/>
          <w:szCs w:val="24"/>
        </w:rPr>
        <w:t> </w:t>
      </w:r>
      <w:r w:rsidRPr="00446A7C">
        <w:rPr>
          <w:rFonts w:ascii="GHEA Grapalat" w:eastAsia="Times New Roman" w:hAnsi="GHEA Grapalat" w:cs="GHEA Grapalat"/>
          <w:color w:val="222222"/>
          <w:sz w:val="24"/>
          <w:szCs w:val="24"/>
        </w:rPr>
        <w:t xml:space="preserve">the principle of equality before the </w:t>
      </w:r>
      <w:r w:rsidRPr="00446A7C">
        <w:rPr>
          <w:rFonts w:ascii="GHEA Grapalat" w:eastAsia="Times New Roman" w:hAnsi="GHEA Grapalat" w:cs="Calibri"/>
          <w:color w:val="222222"/>
          <w:sz w:val="24"/>
          <w:szCs w:val="24"/>
        </w:rPr>
        <w:t>law becomes a</w:t>
      </w:r>
      <w:r w:rsidR="005A42A3">
        <w:rPr>
          <w:rFonts w:ascii="GHEA Grapalat" w:eastAsia="Times New Roman" w:hAnsi="GHEA Grapalat" w:cs="Calibri"/>
          <w:color w:val="222222"/>
          <w:sz w:val="24"/>
          <w:szCs w:val="24"/>
        </w:rPr>
        <w:t xml:space="preserve">n imperative </w:t>
      </w:r>
      <w:r w:rsidRPr="00446A7C">
        <w:rPr>
          <w:rFonts w:ascii="GHEA Grapalat" w:eastAsia="Times New Roman" w:hAnsi="GHEA Grapalat" w:cs="Calibri"/>
          <w:color w:val="222222"/>
          <w:sz w:val="24"/>
          <w:szCs w:val="24"/>
        </w:rPr>
        <w:t xml:space="preserve">for the elimination of all kinds of discrimination, which implies that there can be no possibility of any difference, exception or preference based on gender, race, ethnicity or other characteristics in the law because such an approach leads to the abolition or violation of equality of legal opportunities of </w:t>
      </w:r>
      <w:r w:rsidR="005A42A3">
        <w:rPr>
          <w:rFonts w:ascii="GHEA Grapalat" w:eastAsia="Times New Roman" w:hAnsi="GHEA Grapalat" w:cs="Calibri"/>
          <w:color w:val="222222"/>
          <w:sz w:val="24"/>
          <w:szCs w:val="24"/>
        </w:rPr>
        <w:t xml:space="preserve">a person. </w:t>
      </w:r>
    </w:p>
    <w:p w:rsidR="00BB620D" w:rsidRPr="00446A7C" w:rsidRDefault="00B32F78" w:rsidP="005E047C">
      <w:pPr>
        <w:spacing w:after="0" w:line="360" w:lineRule="auto"/>
        <w:ind w:left="720"/>
        <w:jc w:val="both"/>
        <w:rPr>
          <w:rFonts w:ascii="Calibri" w:eastAsia="Times New Roman" w:hAnsi="Calibri" w:cs="Calibri"/>
          <w:color w:val="222222"/>
        </w:rPr>
      </w:pPr>
      <w:r>
        <w:rPr>
          <w:rFonts w:ascii="GHEA Grapalat" w:eastAsia="Times New Roman" w:hAnsi="GHEA Grapalat" w:cs="Calibri"/>
          <w:color w:val="222222"/>
          <w:sz w:val="24"/>
          <w:szCs w:val="24"/>
        </w:rPr>
        <w:t>T</w:t>
      </w:r>
      <w:r w:rsidR="00BB620D" w:rsidRPr="00446A7C">
        <w:rPr>
          <w:rFonts w:ascii="GHEA Grapalat" w:eastAsia="Times New Roman" w:hAnsi="GHEA Grapalat" w:cs="Calibri"/>
          <w:color w:val="222222"/>
          <w:sz w:val="24"/>
          <w:szCs w:val="24"/>
        </w:rPr>
        <w:t>he new Criminal Code</w:t>
      </w:r>
      <w:r>
        <w:rPr>
          <w:rFonts w:ascii="GHEA Grapalat" w:eastAsia="Times New Roman" w:hAnsi="GHEA Grapalat" w:cs="Calibri"/>
          <w:color w:val="222222"/>
          <w:sz w:val="24"/>
          <w:szCs w:val="24"/>
        </w:rPr>
        <w:t xml:space="preserve"> of Armenia,</w:t>
      </w:r>
      <w:r w:rsidR="00BB620D" w:rsidRPr="00446A7C">
        <w:rPr>
          <w:rFonts w:ascii="GHEA Grapalat" w:eastAsia="Times New Roman" w:hAnsi="GHEA Grapalat" w:cs="Calibri"/>
          <w:color w:val="222222"/>
          <w:sz w:val="24"/>
          <w:szCs w:val="24"/>
        </w:rPr>
        <w:t xml:space="preserve"> adopted by the National Assembly</w:t>
      </w:r>
      <w:r w:rsidRPr="00B32F78">
        <w:rPr>
          <w:rFonts w:ascii="GHEA Grapalat" w:eastAsia="Times New Roman" w:hAnsi="GHEA Grapalat" w:cs="Calibri"/>
          <w:color w:val="222222"/>
          <w:sz w:val="24"/>
          <w:szCs w:val="24"/>
        </w:rPr>
        <w:t xml:space="preserve"> </w:t>
      </w:r>
      <w:r>
        <w:rPr>
          <w:rFonts w:ascii="GHEA Grapalat" w:eastAsia="Times New Roman" w:hAnsi="GHEA Grapalat" w:cs="Calibri"/>
          <w:color w:val="222222"/>
          <w:sz w:val="24"/>
          <w:szCs w:val="24"/>
        </w:rPr>
        <w:t>i</w:t>
      </w:r>
      <w:r w:rsidRPr="00446A7C">
        <w:rPr>
          <w:rFonts w:ascii="GHEA Grapalat" w:eastAsia="Times New Roman" w:hAnsi="GHEA Grapalat" w:cs="Calibri"/>
          <w:color w:val="222222"/>
          <w:sz w:val="24"/>
          <w:szCs w:val="24"/>
        </w:rPr>
        <w:t>n 2021</w:t>
      </w:r>
      <w:r>
        <w:rPr>
          <w:rFonts w:ascii="GHEA Grapalat" w:eastAsia="Times New Roman" w:hAnsi="GHEA Grapalat" w:cs="Calibri"/>
          <w:color w:val="222222"/>
          <w:sz w:val="24"/>
          <w:szCs w:val="24"/>
        </w:rPr>
        <w:t xml:space="preserve">, </w:t>
      </w:r>
      <w:r w:rsidR="00BB620D" w:rsidRPr="00446A7C">
        <w:rPr>
          <w:rFonts w:ascii="GHEA Grapalat" w:eastAsia="Times New Roman" w:hAnsi="GHEA Grapalat" w:cs="Calibri"/>
          <w:color w:val="222222"/>
          <w:sz w:val="24"/>
          <w:szCs w:val="24"/>
        </w:rPr>
        <w:t>entered into force on 1 July 2022. The new Code criminalizes discrimination as a distinct offence, providing the detailed and extensive definition of the offence, including the aggravating grounds</w:t>
      </w:r>
      <w:r>
        <w:rPr>
          <w:rFonts w:ascii="GHEA Grapalat" w:eastAsia="Times New Roman" w:hAnsi="GHEA Grapalat" w:cs="Calibri"/>
          <w:color w:val="222222"/>
          <w:sz w:val="24"/>
          <w:szCs w:val="24"/>
        </w:rPr>
        <w:t xml:space="preserve">, in particular: </w:t>
      </w:r>
    </w:p>
    <w:p w:rsidR="00BB620D" w:rsidRPr="005E047C" w:rsidRDefault="00BB620D" w:rsidP="00BB620D">
      <w:pPr>
        <w:spacing w:after="0" w:line="360" w:lineRule="auto"/>
        <w:ind w:firstLine="720"/>
        <w:jc w:val="both"/>
        <w:rPr>
          <w:rFonts w:ascii="Calibri" w:eastAsia="Times New Roman" w:hAnsi="Calibri" w:cs="Calibri"/>
          <w:color w:val="222222"/>
          <w:u w:val="single"/>
        </w:rPr>
      </w:pPr>
      <w:r w:rsidRPr="005E047C">
        <w:rPr>
          <w:rFonts w:ascii="GHEA Grapalat" w:eastAsia="Times New Roman" w:hAnsi="GHEA Grapalat" w:cs="Calibri"/>
          <w:bCs/>
          <w:color w:val="222222"/>
          <w:sz w:val="24"/>
          <w:szCs w:val="24"/>
          <w:u w:val="single"/>
        </w:rPr>
        <w:t>Article 203. Discrimination</w:t>
      </w:r>
    </w:p>
    <w:p w:rsidR="00BB620D" w:rsidRPr="00446A7C" w:rsidRDefault="00BB620D" w:rsidP="005E047C">
      <w:pPr>
        <w:spacing w:after="0" w:line="360" w:lineRule="auto"/>
        <w:ind w:left="720"/>
        <w:jc w:val="both"/>
        <w:rPr>
          <w:rFonts w:ascii="Calibri" w:eastAsia="Times New Roman" w:hAnsi="Calibri" w:cs="Calibri"/>
          <w:color w:val="222222"/>
        </w:rPr>
      </w:pPr>
      <w:r w:rsidRPr="00446A7C">
        <w:rPr>
          <w:rFonts w:ascii="GHEA Grapalat" w:eastAsia="Times New Roman" w:hAnsi="GHEA Grapalat" w:cs="Calibri"/>
          <w:iCs/>
          <w:color w:val="222222"/>
          <w:sz w:val="24"/>
          <w:szCs w:val="24"/>
        </w:rPr>
        <w:t xml:space="preserve">Discrimination – a manifestation of a differential treatment, which violates the person’s </w:t>
      </w:r>
      <w:r w:rsidR="00126F36" w:rsidRPr="00446A7C">
        <w:rPr>
          <w:rFonts w:ascii="GHEA Grapalat" w:eastAsia="Times New Roman" w:hAnsi="GHEA Grapalat" w:cs="Calibri"/>
          <w:iCs/>
          <w:color w:val="222222"/>
          <w:sz w:val="24"/>
          <w:szCs w:val="24"/>
        </w:rPr>
        <w:t>honor</w:t>
      </w:r>
      <w:r w:rsidRPr="00446A7C">
        <w:rPr>
          <w:rFonts w:ascii="GHEA Grapalat" w:eastAsia="Times New Roman" w:hAnsi="GHEA Grapalat" w:cs="Calibri"/>
          <w:iCs/>
          <w:color w:val="222222"/>
          <w:sz w:val="24"/>
          <w:szCs w:val="24"/>
        </w:rPr>
        <w:t xml:space="preserve"> and dignity or the rights and freedoms or by which the person is given advantages, absent of any objective grounds or legitimate purpose, on the basis of sex, race, skin </w:t>
      </w:r>
      <w:r w:rsidR="00126F36" w:rsidRPr="00446A7C">
        <w:rPr>
          <w:rFonts w:ascii="GHEA Grapalat" w:eastAsia="Times New Roman" w:hAnsi="GHEA Grapalat" w:cs="Calibri"/>
          <w:iCs/>
          <w:color w:val="222222"/>
          <w:sz w:val="24"/>
          <w:szCs w:val="24"/>
        </w:rPr>
        <w:t>color</w:t>
      </w:r>
      <w:r w:rsidRPr="00446A7C">
        <w:rPr>
          <w:rFonts w:ascii="GHEA Grapalat" w:eastAsia="Times New Roman" w:hAnsi="GHEA Grapalat" w:cs="Calibri"/>
          <w:iCs/>
          <w:color w:val="222222"/>
          <w:sz w:val="24"/>
          <w:szCs w:val="24"/>
        </w:rPr>
        <w:t xml:space="preserve">, ethnic or social origin, genetic features, language, religion, world vision, political or other opinions, being a national minority, property situation, birth, health, disability, age or other circumstances of personal or social nature — shall be punished by a fine in the maximum amount of ten-fold, or public works for the term of maximum hundred hours, or restriction of </w:t>
      </w:r>
      <w:r w:rsidRPr="00446A7C">
        <w:rPr>
          <w:rFonts w:ascii="GHEA Grapalat" w:eastAsia="Times New Roman" w:hAnsi="GHEA Grapalat" w:cs="Calibri"/>
          <w:iCs/>
          <w:color w:val="222222"/>
          <w:sz w:val="24"/>
          <w:szCs w:val="24"/>
        </w:rPr>
        <w:lastRenderedPageBreak/>
        <w:t>liberty for a term of maximum one year or short-term imprisonment for a term of maximum one month.</w:t>
      </w:r>
    </w:p>
    <w:p w:rsidR="00BB620D" w:rsidRPr="00446A7C" w:rsidRDefault="00BB620D" w:rsidP="00BB620D">
      <w:pPr>
        <w:spacing w:after="0" w:line="360" w:lineRule="auto"/>
        <w:ind w:firstLine="720"/>
        <w:jc w:val="both"/>
        <w:rPr>
          <w:rFonts w:ascii="Calibri" w:eastAsia="Times New Roman" w:hAnsi="Calibri" w:cs="Calibri"/>
          <w:color w:val="222222"/>
        </w:rPr>
      </w:pPr>
      <w:r w:rsidRPr="00446A7C">
        <w:rPr>
          <w:rFonts w:ascii="Courier New" w:eastAsia="Times New Roman" w:hAnsi="Courier New" w:cs="Courier New"/>
          <w:iCs/>
          <w:color w:val="222222"/>
          <w:sz w:val="24"/>
          <w:szCs w:val="24"/>
        </w:rPr>
        <w:t> </w:t>
      </w:r>
      <w:r w:rsidRPr="00446A7C">
        <w:rPr>
          <w:rFonts w:ascii="GHEA Grapalat" w:eastAsia="Times New Roman" w:hAnsi="GHEA Grapalat" w:cs="GHEA Grapalat"/>
          <w:iCs/>
          <w:color w:val="222222"/>
          <w:sz w:val="24"/>
          <w:szCs w:val="24"/>
        </w:rPr>
        <w:t>(…)</w:t>
      </w:r>
    </w:p>
    <w:p w:rsidR="00BB620D" w:rsidRPr="00446A7C" w:rsidRDefault="00B32F78" w:rsidP="005E047C">
      <w:pPr>
        <w:spacing w:after="0" w:line="360" w:lineRule="auto"/>
        <w:ind w:left="720"/>
        <w:jc w:val="both"/>
        <w:rPr>
          <w:rFonts w:ascii="Calibri" w:eastAsia="Times New Roman" w:hAnsi="Calibri" w:cs="Calibri"/>
          <w:color w:val="222222"/>
        </w:rPr>
      </w:pPr>
      <w:r>
        <w:rPr>
          <w:rFonts w:ascii="GHEA Grapalat" w:eastAsia="Times New Roman" w:hAnsi="GHEA Grapalat" w:cs="Calibri"/>
          <w:color w:val="222222"/>
          <w:sz w:val="24"/>
          <w:szCs w:val="24"/>
        </w:rPr>
        <w:t>As opposed to the former Criminal Code of Armenia, the new Criminal C</w:t>
      </w:r>
      <w:r w:rsidR="00BB620D" w:rsidRPr="00446A7C">
        <w:rPr>
          <w:rFonts w:ascii="GHEA Grapalat" w:eastAsia="Times New Roman" w:hAnsi="GHEA Grapalat" w:cs="Calibri"/>
          <w:color w:val="222222"/>
          <w:sz w:val="24"/>
          <w:szCs w:val="24"/>
        </w:rPr>
        <w:t xml:space="preserve">ode has added circumstances that can be the basis for discrimination. For example, if previously </w:t>
      </w:r>
      <w:r>
        <w:rPr>
          <w:rFonts w:ascii="GHEA Grapalat" w:eastAsia="Times New Roman" w:hAnsi="GHEA Grapalat" w:cs="Calibri"/>
          <w:color w:val="222222"/>
          <w:sz w:val="24"/>
          <w:szCs w:val="24"/>
        </w:rPr>
        <w:t xml:space="preserve">the </w:t>
      </w:r>
      <w:r w:rsidR="00BB620D" w:rsidRPr="00446A7C">
        <w:rPr>
          <w:rFonts w:ascii="GHEA Grapalat" w:eastAsia="Times New Roman" w:hAnsi="GHEA Grapalat" w:cs="Calibri"/>
          <w:color w:val="222222"/>
          <w:sz w:val="24"/>
          <w:szCs w:val="24"/>
        </w:rPr>
        <w:t>disability was mentioned</w:t>
      </w:r>
      <w:r>
        <w:rPr>
          <w:rFonts w:ascii="GHEA Grapalat" w:eastAsia="Times New Roman" w:hAnsi="GHEA Grapalat" w:cs="Calibri"/>
          <w:color w:val="222222"/>
          <w:sz w:val="24"/>
          <w:szCs w:val="24"/>
        </w:rPr>
        <w:t xml:space="preserve"> as a circumstance, the new Criminal C</w:t>
      </w:r>
      <w:r w:rsidR="00BB620D" w:rsidRPr="00446A7C">
        <w:rPr>
          <w:rFonts w:ascii="GHEA Grapalat" w:eastAsia="Times New Roman" w:hAnsi="GHEA Grapalat" w:cs="Calibri"/>
          <w:color w:val="222222"/>
          <w:sz w:val="24"/>
          <w:szCs w:val="24"/>
        </w:rPr>
        <w:t xml:space="preserve">ode </w:t>
      </w:r>
      <w:r>
        <w:rPr>
          <w:rFonts w:ascii="GHEA Grapalat" w:eastAsia="Times New Roman" w:hAnsi="GHEA Grapalat" w:cs="Calibri"/>
          <w:color w:val="222222"/>
          <w:sz w:val="24"/>
          <w:szCs w:val="24"/>
        </w:rPr>
        <w:t xml:space="preserve">added </w:t>
      </w:r>
      <w:r w:rsidR="00BB620D" w:rsidRPr="00446A7C">
        <w:rPr>
          <w:rFonts w:ascii="GHEA Grapalat" w:eastAsia="Times New Roman" w:hAnsi="GHEA Grapalat" w:cs="Calibri"/>
          <w:color w:val="222222"/>
          <w:sz w:val="24"/>
          <w:szCs w:val="24"/>
        </w:rPr>
        <w:t>health status</w:t>
      </w:r>
      <w:r>
        <w:rPr>
          <w:rFonts w:ascii="GHEA Grapalat" w:eastAsia="Times New Roman" w:hAnsi="GHEA Grapalat" w:cs="Calibri"/>
          <w:color w:val="222222"/>
          <w:sz w:val="24"/>
          <w:szCs w:val="24"/>
        </w:rPr>
        <w:t xml:space="preserve"> of a person. </w:t>
      </w:r>
    </w:p>
    <w:p w:rsidR="005E047C" w:rsidRPr="00664409" w:rsidRDefault="00BB620D" w:rsidP="00664409">
      <w:pPr>
        <w:spacing w:after="0" w:line="360" w:lineRule="auto"/>
        <w:ind w:left="720"/>
        <w:jc w:val="both"/>
        <w:rPr>
          <w:rFonts w:ascii="Calibri" w:eastAsia="Times New Roman" w:hAnsi="Calibri" w:cs="Calibri"/>
          <w:color w:val="222222"/>
        </w:rPr>
      </w:pPr>
      <w:r w:rsidRPr="00446A7C">
        <w:rPr>
          <w:rFonts w:ascii="GHEA Grapalat" w:eastAsia="Times New Roman" w:hAnsi="GHEA Grapalat" w:cs="Calibri"/>
          <w:color w:val="222222"/>
          <w:sz w:val="24"/>
          <w:szCs w:val="24"/>
        </w:rPr>
        <w:t>In addition, if previously it was about violating the rights or freedom</w:t>
      </w:r>
      <w:r w:rsidR="00181603">
        <w:rPr>
          <w:rFonts w:ascii="GHEA Grapalat" w:eastAsia="Times New Roman" w:hAnsi="GHEA Grapalat" w:cs="Calibri"/>
          <w:color w:val="222222"/>
          <w:sz w:val="24"/>
          <w:szCs w:val="24"/>
        </w:rPr>
        <w:t>s of a person, then in the new Criminal C</w:t>
      </w:r>
      <w:r w:rsidRPr="00446A7C">
        <w:rPr>
          <w:rFonts w:ascii="GHEA Grapalat" w:eastAsia="Times New Roman" w:hAnsi="GHEA Grapalat" w:cs="Calibri"/>
          <w:color w:val="222222"/>
          <w:sz w:val="24"/>
          <w:szCs w:val="24"/>
        </w:rPr>
        <w:t>ode it is also about giving advantages to a person without an objective basis or legal purpose.</w:t>
      </w:r>
    </w:p>
    <w:p w:rsidR="00BB620D" w:rsidRPr="00446A7C" w:rsidRDefault="00BB620D" w:rsidP="005E047C">
      <w:pPr>
        <w:spacing w:after="0" w:line="360" w:lineRule="auto"/>
        <w:ind w:left="720"/>
        <w:jc w:val="both"/>
        <w:rPr>
          <w:rFonts w:ascii="Calibri" w:eastAsia="Times New Roman" w:hAnsi="Calibri" w:cs="Calibri"/>
          <w:color w:val="222222"/>
        </w:rPr>
      </w:pPr>
      <w:r w:rsidRPr="00446A7C">
        <w:rPr>
          <w:rFonts w:ascii="GHEA Grapalat" w:eastAsia="Times New Roman" w:hAnsi="GHEA Grapalat" w:cs="Calibri"/>
          <w:color w:val="222222"/>
          <w:sz w:val="24"/>
          <w:szCs w:val="24"/>
        </w:rPr>
        <w:t>Referring to violence</w:t>
      </w:r>
      <w:r w:rsidR="00181603">
        <w:rPr>
          <w:rFonts w:ascii="GHEA Grapalat" w:eastAsia="Times New Roman" w:hAnsi="GHEA Grapalat" w:cs="Calibri"/>
          <w:color w:val="222222"/>
          <w:sz w:val="24"/>
          <w:szCs w:val="24"/>
        </w:rPr>
        <w:t>,</w:t>
      </w:r>
      <w:r w:rsidRPr="00446A7C">
        <w:rPr>
          <w:rFonts w:ascii="GHEA Grapalat" w:eastAsia="Times New Roman" w:hAnsi="GHEA Grapalat" w:cs="Calibri"/>
          <w:color w:val="222222"/>
          <w:sz w:val="24"/>
          <w:szCs w:val="24"/>
        </w:rPr>
        <w:t xml:space="preserve"> it must be noted that </w:t>
      </w:r>
      <w:r w:rsidR="00181603">
        <w:rPr>
          <w:rFonts w:ascii="GHEA Grapalat" w:eastAsia="Times New Roman" w:hAnsi="GHEA Grapalat" w:cs="Calibri"/>
          <w:color w:val="222222"/>
          <w:sz w:val="24"/>
          <w:szCs w:val="24"/>
        </w:rPr>
        <w:t xml:space="preserve">the </w:t>
      </w:r>
      <w:r w:rsidRPr="00446A7C">
        <w:rPr>
          <w:rFonts w:ascii="GHEA Grapalat" w:eastAsia="Times New Roman" w:hAnsi="GHEA Grapalat" w:cs="Calibri"/>
          <w:color w:val="222222"/>
          <w:sz w:val="24"/>
          <w:szCs w:val="24"/>
        </w:rPr>
        <w:t xml:space="preserve">domestic violence is prosecuted under general statutes </w:t>
      </w:r>
      <w:r w:rsidR="00181603">
        <w:rPr>
          <w:rFonts w:ascii="GHEA Grapalat" w:eastAsia="Times New Roman" w:hAnsi="GHEA Grapalat" w:cs="Calibri"/>
          <w:color w:val="222222"/>
          <w:sz w:val="24"/>
          <w:szCs w:val="24"/>
        </w:rPr>
        <w:t xml:space="preserve">on </w:t>
      </w:r>
      <w:r w:rsidRPr="00446A7C">
        <w:rPr>
          <w:rFonts w:ascii="GHEA Grapalat" w:eastAsia="Times New Roman" w:hAnsi="GHEA Grapalat" w:cs="Calibri"/>
          <w:color w:val="222222"/>
          <w:sz w:val="24"/>
          <w:szCs w:val="24"/>
        </w:rPr>
        <w:t>violence and carries various sentences depending on the charge (murder, battery, light battery, rape, etc.).</w:t>
      </w:r>
      <w:r w:rsidR="00CD7AFC">
        <w:rPr>
          <w:rFonts w:ascii="GHEA Grapalat" w:eastAsia="Times New Roman" w:hAnsi="GHEA Grapalat" w:cs="Calibri"/>
          <w:color w:val="222222"/>
          <w:sz w:val="24"/>
          <w:szCs w:val="24"/>
        </w:rPr>
        <w:t xml:space="preserve"> </w:t>
      </w:r>
      <w:r w:rsidRPr="00446A7C">
        <w:rPr>
          <w:rFonts w:ascii="GHEA Grapalat" w:eastAsia="Times New Roman" w:hAnsi="GHEA Grapalat" w:cs="Calibri"/>
          <w:color w:val="222222"/>
          <w:sz w:val="24"/>
          <w:szCs w:val="24"/>
        </w:rPr>
        <w:t>Nevertheless, there is a separate law on the prevention of violence within the family, protection of victims of violence within the family and restoration of peace in the family.</w:t>
      </w:r>
    </w:p>
    <w:p w:rsidR="005E047C" w:rsidRDefault="00BB620D" w:rsidP="00664409">
      <w:pPr>
        <w:spacing w:after="0" w:line="360" w:lineRule="auto"/>
        <w:ind w:left="720"/>
        <w:jc w:val="both"/>
        <w:rPr>
          <w:rFonts w:ascii="GHEA Grapalat" w:eastAsia="Times New Roman" w:hAnsi="GHEA Grapalat" w:cs="Calibri"/>
          <w:color w:val="222222"/>
          <w:sz w:val="24"/>
          <w:szCs w:val="24"/>
        </w:rPr>
      </w:pPr>
      <w:r w:rsidRPr="00446A7C">
        <w:rPr>
          <w:rFonts w:ascii="GHEA Grapalat" w:eastAsia="Times New Roman" w:hAnsi="GHEA Grapalat" w:cs="Calibri"/>
          <w:color w:val="222222"/>
          <w:sz w:val="24"/>
          <w:szCs w:val="24"/>
        </w:rPr>
        <w:t>However, the legislation of the Republic of Armenia yet does not have</w:t>
      </w:r>
      <w:r w:rsidRPr="00446A7C">
        <w:rPr>
          <w:rFonts w:ascii="Courier New" w:eastAsia="Times New Roman" w:hAnsi="Courier New" w:cs="Courier New"/>
          <w:color w:val="222222"/>
          <w:sz w:val="24"/>
          <w:szCs w:val="24"/>
        </w:rPr>
        <w:t> </w:t>
      </w:r>
      <w:r w:rsidRPr="00446A7C">
        <w:rPr>
          <w:rFonts w:ascii="GHEA Grapalat" w:eastAsia="Times New Roman" w:hAnsi="GHEA Grapalat" w:cs="Calibri"/>
          <w:bCs/>
          <w:color w:val="222222"/>
          <w:sz w:val="24"/>
          <w:szCs w:val="24"/>
        </w:rPr>
        <w:t>a separate, independent law</w:t>
      </w:r>
      <w:r w:rsidRPr="00446A7C">
        <w:rPr>
          <w:rFonts w:ascii="Courier New" w:eastAsia="Times New Roman" w:hAnsi="Courier New" w:cs="Courier New"/>
          <w:color w:val="222222"/>
          <w:sz w:val="24"/>
          <w:szCs w:val="24"/>
        </w:rPr>
        <w:t> </w:t>
      </w:r>
      <w:r w:rsidRPr="00446A7C">
        <w:rPr>
          <w:rFonts w:ascii="GHEA Grapalat" w:eastAsia="Times New Roman" w:hAnsi="GHEA Grapalat" w:cs="GHEA Grapalat"/>
          <w:color w:val="222222"/>
          <w:sz w:val="24"/>
          <w:szCs w:val="24"/>
        </w:rPr>
        <w:t>on the prohib</w:t>
      </w:r>
      <w:r w:rsidRPr="00446A7C">
        <w:rPr>
          <w:rFonts w:ascii="GHEA Grapalat" w:eastAsia="Times New Roman" w:hAnsi="GHEA Grapalat" w:cs="Calibri"/>
          <w:color w:val="222222"/>
          <w:sz w:val="24"/>
          <w:szCs w:val="24"/>
        </w:rPr>
        <w:t xml:space="preserve">ition of discrimination. Instead, </w:t>
      </w:r>
      <w:r w:rsidR="00CD7AFC">
        <w:rPr>
          <w:rFonts w:ascii="GHEA Grapalat" w:eastAsia="Times New Roman" w:hAnsi="GHEA Grapalat" w:cs="Calibri"/>
          <w:color w:val="222222"/>
          <w:sz w:val="24"/>
          <w:szCs w:val="24"/>
        </w:rPr>
        <w:t xml:space="preserve">numerous </w:t>
      </w:r>
      <w:r w:rsidRPr="00446A7C">
        <w:rPr>
          <w:rFonts w:ascii="GHEA Grapalat" w:eastAsia="Times New Roman" w:hAnsi="GHEA Grapalat" w:cs="Calibri"/>
          <w:color w:val="222222"/>
          <w:sz w:val="24"/>
          <w:szCs w:val="24"/>
        </w:rPr>
        <w:t xml:space="preserve">legal norms on the </w:t>
      </w:r>
      <w:r w:rsidR="00CD7AFC">
        <w:rPr>
          <w:rFonts w:ascii="GHEA Grapalat" w:eastAsia="Times New Roman" w:hAnsi="GHEA Grapalat" w:cs="Calibri"/>
          <w:color w:val="222222"/>
          <w:sz w:val="24"/>
          <w:szCs w:val="24"/>
        </w:rPr>
        <w:t xml:space="preserve">elimination </w:t>
      </w:r>
      <w:r w:rsidRPr="00446A7C">
        <w:rPr>
          <w:rFonts w:ascii="GHEA Grapalat" w:eastAsia="Times New Roman" w:hAnsi="GHEA Grapalat" w:cs="Calibri"/>
          <w:color w:val="222222"/>
          <w:sz w:val="24"/>
          <w:szCs w:val="24"/>
        </w:rPr>
        <w:t>of discrimination are scattered in different legal acts, each regulat</w:t>
      </w:r>
      <w:r w:rsidR="00CD7AFC">
        <w:rPr>
          <w:rFonts w:ascii="GHEA Grapalat" w:eastAsia="Times New Roman" w:hAnsi="GHEA Grapalat" w:cs="Calibri"/>
          <w:color w:val="222222"/>
          <w:sz w:val="24"/>
          <w:szCs w:val="24"/>
        </w:rPr>
        <w:t>ing</w:t>
      </w:r>
      <w:r w:rsidRPr="00446A7C">
        <w:rPr>
          <w:rFonts w:ascii="GHEA Grapalat" w:eastAsia="Times New Roman" w:hAnsi="GHEA Grapalat" w:cs="Calibri"/>
          <w:color w:val="222222"/>
          <w:sz w:val="24"/>
          <w:szCs w:val="24"/>
        </w:rPr>
        <w:t xml:space="preserve"> only the </w:t>
      </w:r>
      <w:r w:rsidR="00CD7AFC">
        <w:rPr>
          <w:rFonts w:ascii="GHEA Grapalat" w:eastAsia="Times New Roman" w:hAnsi="GHEA Grapalat" w:cs="Calibri"/>
          <w:color w:val="222222"/>
          <w:sz w:val="24"/>
          <w:szCs w:val="24"/>
        </w:rPr>
        <w:t xml:space="preserve">concrete </w:t>
      </w:r>
      <w:r w:rsidRPr="00446A7C">
        <w:rPr>
          <w:rFonts w:ascii="GHEA Grapalat" w:eastAsia="Times New Roman" w:hAnsi="GHEA Grapalat" w:cs="Calibri"/>
          <w:color w:val="222222"/>
          <w:sz w:val="24"/>
          <w:szCs w:val="24"/>
        </w:rPr>
        <w:t xml:space="preserve">sphere for which </w:t>
      </w:r>
      <w:r w:rsidR="002F2AE9">
        <w:rPr>
          <w:rFonts w:ascii="GHEA Grapalat" w:eastAsia="Times New Roman" w:hAnsi="GHEA Grapalat" w:cs="Calibri"/>
          <w:color w:val="222222"/>
          <w:sz w:val="24"/>
          <w:szCs w:val="24"/>
        </w:rPr>
        <w:t xml:space="preserve">a </w:t>
      </w:r>
      <w:r w:rsidRPr="00446A7C">
        <w:rPr>
          <w:rFonts w:ascii="GHEA Grapalat" w:eastAsia="Times New Roman" w:hAnsi="GHEA Grapalat" w:cs="Calibri"/>
          <w:color w:val="222222"/>
          <w:sz w:val="24"/>
          <w:szCs w:val="24"/>
        </w:rPr>
        <w:t>given legal act is adopted.</w:t>
      </w:r>
    </w:p>
    <w:p w:rsidR="00664409" w:rsidRPr="00664409" w:rsidRDefault="00664409" w:rsidP="00664409">
      <w:pPr>
        <w:spacing w:after="0" w:line="360" w:lineRule="auto"/>
        <w:ind w:left="720"/>
        <w:jc w:val="both"/>
        <w:rPr>
          <w:rFonts w:ascii="Calibri" w:eastAsia="Times New Roman" w:hAnsi="Calibri" w:cs="Calibri"/>
          <w:color w:val="222222"/>
        </w:rPr>
      </w:pPr>
    </w:p>
    <w:p w:rsidR="005E047C" w:rsidRPr="00664409" w:rsidRDefault="00BB620D" w:rsidP="00664409">
      <w:pPr>
        <w:pStyle w:val="ListParagraph"/>
        <w:widowControl w:val="0"/>
        <w:numPr>
          <w:ilvl w:val="0"/>
          <w:numId w:val="3"/>
        </w:numPr>
        <w:autoSpaceDE w:val="0"/>
        <w:autoSpaceDN w:val="0"/>
        <w:adjustRightInd w:val="0"/>
        <w:spacing w:after="160" w:line="346" w:lineRule="auto"/>
        <w:jc w:val="both"/>
        <w:rPr>
          <w:rFonts w:ascii="GHEA Grapalat" w:eastAsia="Times New Roman" w:hAnsi="GHEA Grapalat" w:cs="Times New Roman"/>
          <w:sz w:val="24"/>
          <w:szCs w:val="24"/>
          <w:lang w:val="en-GB" w:eastAsia="en-GB" w:bidi="en-GB"/>
        </w:rPr>
      </w:pPr>
      <w:r w:rsidRPr="005E047C">
        <w:rPr>
          <w:rFonts w:ascii="GHEA Grapalat" w:hAnsi="GHEA Grapalat"/>
          <w:sz w:val="24"/>
          <w:szCs w:val="24"/>
          <w:lang w:val="en-GB" w:eastAsia="en-GB" w:bidi="en-GB"/>
        </w:rPr>
        <w:t xml:space="preserve">On 13 December 2017, the National Assembly of Armenia adopted the Law of the Republic of Armenia "On prevention of domestic violence, protection of persons subjected to domestic violence and restoration of solidarity in family", which </w:t>
      </w:r>
      <w:r w:rsidRPr="005E047C">
        <w:rPr>
          <w:rFonts w:ascii="GHEA Grapalat" w:hAnsi="GHEA Grapalat"/>
          <w:color w:val="000000"/>
          <w:sz w:val="24"/>
          <w:szCs w:val="24"/>
          <w:shd w:val="clear" w:color="auto" w:fill="FFFFFF"/>
          <w:lang w:val="en-GB" w:eastAsia="en-GB" w:bidi="en-GB"/>
        </w:rPr>
        <w:t xml:space="preserve">regulates the organisational and legal grounds for the prevention of domestic violence and protection of persons subjected to domestic violence, defines the concept of "domestic violence", </w:t>
      </w:r>
      <w:r w:rsidR="005E047C">
        <w:rPr>
          <w:rFonts w:ascii="GHEA Grapalat" w:hAnsi="GHEA Grapalat"/>
          <w:color w:val="000000"/>
          <w:sz w:val="24"/>
          <w:szCs w:val="24"/>
          <w:shd w:val="clear" w:color="auto" w:fill="FFFFFF"/>
          <w:lang w:val="en-GB" w:eastAsia="en-GB" w:bidi="en-GB"/>
        </w:rPr>
        <w:t xml:space="preserve">as well as </w:t>
      </w:r>
      <w:r w:rsidRPr="005E047C">
        <w:rPr>
          <w:rFonts w:ascii="GHEA Grapalat" w:hAnsi="GHEA Grapalat"/>
          <w:color w:val="000000"/>
          <w:sz w:val="24"/>
          <w:szCs w:val="24"/>
          <w:shd w:val="clear" w:color="auto" w:fill="FFFFFF"/>
          <w:lang w:val="en-GB" w:eastAsia="en-GB" w:bidi="en-GB"/>
        </w:rPr>
        <w:t xml:space="preserve">the powers of </w:t>
      </w:r>
      <w:r w:rsidR="005E047C">
        <w:rPr>
          <w:rFonts w:ascii="GHEA Grapalat" w:hAnsi="GHEA Grapalat"/>
          <w:color w:val="000000"/>
          <w:sz w:val="24"/>
          <w:szCs w:val="24"/>
          <w:shd w:val="clear" w:color="auto" w:fill="FFFFFF"/>
          <w:lang w:val="en-GB" w:eastAsia="en-GB" w:bidi="en-GB"/>
        </w:rPr>
        <w:t xml:space="preserve">the </w:t>
      </w:r>
      <w:r w:rsidRPr="005E047C">
        <w:rPr>
          <w:rFonts w:ascii="GHEA Grapalat" w:hAnsi="GHEA Grapalat"/>
          <w:color w:val="000000"/>
          <w:sz w:val="24"/>
          <w:szCs w:val="24"/>
          <w:shd w:val="clear" w:color="auto" w:fill="FFFFFF"/>
          <w:lang w:val="en-GB" w:eastAsia="en-GB" w:bidi="en-GB"/>
        </w:rPr>
        <w:t xml:space="preserve">competent bodies in the field of prevention of domestic violence and protection of persons subjected to domestic violence, the types of protective measures, the grounds for their application, the peculiarities of reconciliation between victims of domestic violence and </w:t>
      </w:r>
      <w:r w:rsidRPr="005E047C">
        <w:rPr>
          <w:rFonts w:ascii="GHEA Grapalat" w:hAnsi="GHEA Grapalat"/>
          <w:color w:val="000000"/>
          <w:sz w:val="24"/>
          <w:szCs w:val="24"/>
          <w:shd w:val="clear" w:color="auto" w:fill="FFFFFF"/>
          <w:lang w:val="en-GB" w:eastAsia="en-GB" w:bidi="en-GB"/>
        </w:rPr>
        <w:lastRenderedPageBreak/>
        <w:t>perpetrators, legal protection of data on persons subjected to domestic violence.</w:t>
      </w:r>
      <w:r w:rsidRPr="005E047C">
        <w:rPr>
          <w:rFonts w:ascii="GHEA Grapalat" w:hAnsi="GHEA Grapalat"/>
          <w:sz w:val="24"/>
          <w:szCs w:val="24"/>
          <w:lang w:val="en-GB" w:eastAsia="en-GB" w:bidi="en-GB"/>
        </w:rPr>
        <w:t xml:space="preserve"> Proceeding from the principle of priority of ensuring the safety and protection of persons subjected to domestic violence, including older persons, this Law has laid down the types of domestic violence: physical, psychological, sexual, economic and neglect. At the same time, the Law has clearly laid down the types of protective measures for persons subjected to domestic violence, including older persons.</w:t>
      </w:r>
    </w:p>
    <w:p w:rsidR="00BB620D" w:rsidRPr="005E047C" w:rsidRDefault="00BB620D" w:rsidP="005E047C">
      <w:pPr>
        <w:pStyle w:val="ListParagraph"/>
        <w:widowControl w:val="0"/>
        <w:numPr>
          <w:ilvl w:val="0"/>
          <w:numId w:val="3"/>
        </w:numPr>
        <w:spacing w:after="160" w:line="346" w:lineRule="auto"/>
        <w:jc w:val="both"/>
        <w:rPr>
          <w:rFonts w:ascii="GHEA Grapalat" w:eastAsia="Times New Roman" w:hAnsi="GHEA Grapalat" w:cs="Times New Roman"/>
          <w:sz w:val="24"/>
          <w:szCs w:val="24"/>
          <w:lang w:val="en-GB" w:eastAsia="en-GB" w:bidi="en-GB"/>
        </w:rPr>
      </w:pPr>
      <w:r w:rsidRPr="005E047C">
        <w:rPr>
          <w:rFonts w:ascii="GHEA Grapalat" w:hAnsi="GHEA Grapalat"/>
          <w:sz w:val="24"/>
          <w:szCs w:val="24"/>
          <w:lang w:val="en-GB" w:eastAsia="en-GB" w:bidi="en-GB"/>
        </w:rPr>
        <w:t xml:space="preserve">In 2021, the Minister of Labour and Social Affairs of Armenia </w:t>
      </w:r>
      <w:r w:rsidR="005E047C" w:rsidRPr="005E047C">
        <w:rPr>
          <w:rFonts w:ascii="GHEA Grapalat" w:hAnsi="GHEA Grapalat"/>
          <w:sz w:val="24"/>
          <w:szCs w:val="24"/>
          <w:lang w:val="en-GB" w:eastAsia="en-GB" w:bidi="en-GB"/>
        </w:rPr>
        <w:t>issued an Order of No 171 A/1</w:t>
      </w:r>
      <w:r w:rsidRPr="005E047C">
        <w:rPr>
          <w:rFonts w:ascii="GHEA Grapalat" w:hAnsi="GHEA Grapalat"/>
          <w:sz w:val="24"/>
          <w:szCs w:val="24"/>
          <w:lang w:val="en-GB" w:eastAsia="en-GB" w:bidi="en-GB"/>
        </w:rPr>
        <w:t xml:space="preserve">, which particularly </w:t>
      </w:r>
      <w:r w:rsidR="005E047C" w:rsidRPr="005E047C">
        <w:rPr>
          <w:rFonts w:ascii="GHEA Grapalat" w:hAnsi="GHEA Grapalat"/>
          <w:sz w:val="24"/>
          <w:szCs w:val="24"/>
          <w:lang w:val="en-GB" w:eastAsia="en-GB" w:bidi="en-GB"/>
        </w:rPr>
        <w:t xml:space="preserve">referred to </w:t>
      </w:r>
      <w:r w:rsidRPr="005E047C">
        <w:rPr>
          <w:rFonts w:ascii="GHEA Grapalat" w:hAnsi="GHEA Grapalat"/>
          <w:sz w:val="24"/>
          <w:szCs w:val="24"/>
          <w:lang w:val="en-GB" w:eastAsia="en-GB" w:bidi="en-GB"/>
        </w:rPr>
        <w:t>older persons and/or persons with disabilities under care at 24-hour caretaking institutions for social protection of the population that operate</w:t>
      </w:r>
      <w:r w:rsidR="005E047C" w:rsidRPr="005E047C">
        <w:rPr>
          <w:rFonts w:ascii="GHEA Grapalat" w:hAnsi="GHEA Grapalat"/>
          <w:sz w:val="24"/>
          <w:szCs w:val="24"/>
          <w:lang w:val="en-GB" w:eastAsia="en-GB" w:bidi="en-GB"/>
        </w:rPr>
        <w:t>d</w:t>
      </w:r>
      <w:r w:rsidRPr="005E047C">
        <w:rPr>
          <w:rFonts w:ascii="GHEA Grapalat" w:hAnsi="GHEA Grapalat"/>
          <w:sz w:val="24"/>
          <w:szCs w:val="24"/>
          <w:lang w:val="en-GB" w:eastAsia="en-GB" w:bidi="en-GB"/>
        </w:rPr>
        <w:t xml:space="preserve"> under the Ministry of Labour and Social Affairs</w:t>
      </w:r>
      <w:r w:rsidR="005E047C" w:rsidRPr="005E047C">
        <w:rPr>
          <w:rFonts w:ascii="GHEA Grapalat" w:hAnsi="GHEA Grapalat"/>
          <w:sz w:val="24"/>
          <w:szCs w:val="24"/>
          <w:lang w:val="en-GB" w:eastAsia="en-GB" w:bidi="en-GB"/>
        </w:rPr>
        <w:t xml:space="preserve">. </w:t>
      </w:r>
    </w:p>
    <w:p w:rsidR="00FD7066" w:rsidRPr="00126F36" w:rsidRDefault="00BB620D" w:rsidP="00126F36">
      <w:pPr>
        <w:widowControl w:val="0"/>
        <w:spacing w:after="160" w:line="360" w:lineRule="auto"/>
        <w:ind w:left="720"/>
        <w:jc w:val="both"/>
        <w:rPr>
          <w:rFonts w:ascii="GHEA Grapalat" w:hAnsi="GHEA Grapalat"/>
          <w:sz w:val="24"/>
          <w:szCs w:val="24"/>
          <w:lang w:val="en-GB" w:eastAsia="en-GB" w:bidi="en-GB"/>
        </w:rPr>
      </w:pPr>
      <w:r w:rsidRPr="00BB620D">
        <w:rPr>
          <w:rFonts w:ascii="GHEA Grapalat" w:hAnsi="GHEA Grapalat"/>
          <w:sz w:val="24"/>
          <w:szCs w:val="24"/>
          <w:lang w:val="en-GB" w:eastAsia="en-GB" w:bidi="en-GB"/>
        </w:rPr>
        <w:t>The mentioned Order regulates the process of detecting, preventing cases of violence against beneficiaries under care at 24-hour caretaking institutions, informing the relevant bodies and providing the victims with social-psychological support through appropriate registers, reports and social-psychological recovery programmes.</w:t>
      </w:r>
    </w:p>
    <w:p w:rsidR="00BB620D" w:rsidRPr="00BB620D" w:rsidRDefault="00BB620D" w:rsidP="00446A7C">
      <w:pPr>
        <w:widowControl w:val="0"/>
        <w:tabs>
          <w:tab w:val="left" w:pos="567"/>
        </w:tabs>
        <w:spacing w:after="160" w:line="360" w:lineRule="auto"/>
        <w:jc w:val="center"/>
        <w:rPr>
          <w:rFonts w:ascii="GHEA Grapalat" w:eastAsia="Times New Roman" w:hAnsi="GHEA Grapalat" w:cs="Times New Roman"/>
          <w:b/>
          <w:sz w:val="24"/>
          <w:szCs w:val="24"/>
          <w:lang w:val="en-GB" w:eastAsia="en-GB" w:bidi="en-GB"/>
        </w:rPr>
      </w:pPr>
      <w:r w:rsidRPr="00BB620D">
        <w:rPr>
          <w:rFonts w:ascii="GHEA Grapalat" w:hAnsi="GHEA Grapalat"/>
          <w:b/>
          <w:sz w:val="24"/>
          <w:szCs w:val="24"/>
          <w:lang w:val="en-GB" w:eastAsia="en-GB" w:bidi="en-GB"/>
        </w:rPr>
        <w:t>2.</w:t>
      </w:r>
      <w:r w:rsidRPr="00BB620D">
        <w:rPr>
          <w:rFonts w:ascii="GHEA Grapalat" w:hAnsi="GHEA Grapalat"/>
          <w:b/>
          <w:sz w:val="24"/>
          <w:szCs w:val="24"/>
          <w:lang w:val="en-GB" w:eastAsia="en-GB" w:bidi="en-GB"/>
        </w:rPr>
        <w:tab/>
        <w:t>Manifestations of violence</w:t>
      </w:r>
    </w:p>
    <w:p w:rsidR="005E047C" w:rsidRPr="00664409" w:rsidRDefault="00BB620D" w:rsidP="00664409">
      <w:pPr>
        <w:pStyle w:val="ListParagraph"/>
        <w:widowControl w:val="0"/>
        <w:numPr>
          <w:ilvl w:val="0"/>
          <w:numId w:val="4"/>
        </w:numPr>
        <w:autoSpaceDE w:val="0"/>
        <w:autoSpaceDN w:val="0"/>
        <w:adjustRightInd w:val="0"/>
        <w:spacing w:after="160" w:line="360" w:lineRule="auto"/>
        <w:jc w:val="both"/>
        <w:rPr>
          <w:rFonts w:ascii="GHEA Grapalat" w:eastAsia="Times New Roman" w:hAnsi="GHEA Grapalat" w:cs="Segoe UI"/>
          <w:color w:val="050505"/>
          <w:sz w:val="24"/>
          <w:szCs w:val="24"/>
          <w:shd w:val="clear" w:color="auto" w:fill="FFFFFF"/>
          <w:lang w:val="en-GB" w:eastAsia="en-GB" w:bidi="en-GB"/>
        </w:rPr>
      </w:pPr>
      <w:r w:rsidRPr="005E047C">
        <w:rPr>
          <w:rFonts w:ascii="GHEA Grapalat" w:hAnsi="GHEA Grapalat"/>
          <w:sz w:val="24"/>
          <w:szCs w:val="24"/>
          <w:lang w:val="en-GB" w:eastAsia="en-GB" w:bidi="en-GB"/>
        </w:rPr>
        <w:t>Studies have shown that, like other age groups of the population, older persons also are primarily subjected to physical and psychological violence.</w:t>
      </w:r>
      <w:r w:rsidRPr="005E047C">
        <w:rPr>
          <w:rFonts w:ascii="GHEA Grapalat" w:hAnsi="GHEA Grapalat"/>
          <w:color w:val="050505"/>
          <w:sz w:val="24"/>
          <w:szCs w:val="24"/>
          <w:shd w:val="clear" w:color="auto" w:fill="FFFFFF"/>
          <w:lang w:val="en-GB" w:eastAsia="en-GB" w:bidi="en-GB"/>
        </w:rPr>
        <w:t xml:space="preserve"> Domestic violence against older persons is primarily manifested as a result of disagreements over domestic issues.</w:t>
      </w:r>
    </w:p>
    <w:p w:rsidR="00BB620D" w:rsidRPr="00BB620D" w:rsidRDefault="00BB620D" w:rsidP="00446A7C">
      <w:pPr>
        <w:widowControl w:val="0"/>
        <w:tabs>
          <w:tab w:val="left" w:pos="567"/>
        </w:tabs>
        <w:spacing w:after="160" w:line="360" w:lineRule="auto"/>
        <w:jc w:val="center"/>
        <w:rPr>
          <w:rFonts w:ascii="GHEA Grapalat" w:eastAsia="Times New Roman" w:hAnsi="GHEA Grapalat" w:cs="Segoe UI"/>
          <w:b/>
          <w:color w:val="050505"/>
          <w:sz w:val="24"/>
          <w:szCs w:val="24"/>
          <w:shd w:val="clear" w:color="auto" w:fill="FFFFFF"/>
          <w:lang w:val="en-GB" w:eastAsia="en-GB" w:bidi="en-GB"/>
        </w:rPr>
      </w:pPr>
      <w:r w:rsidRPr="00BB620D">
        <w:rPr>
          <w:rFonts w:ascii="GHEA Grapalat" w:hAnsi="GHEA Grapalat"/>
          <w:b/>
          <w:color w:val="050505"/>
          <w:sz w:val="24"/>
          <w:szCs w:val="24"/>
          <w:shd w:val="clear" w:color="auto" w:fill="FFFFFF"/>
          <w:lang w:val="en-GB" w:eastAsia="en-GB" w:bidi="en-GB"/>
        </w:rPr>
        <w:t>6.</w:t>
      </w:r>
      <w:r w:rsidRPr="00BB620D">
        <w:rPr>
          <w:rFonts w:ascii="GHEA Grapalat" w:hAnsi="GHEA Grapalat"/>
          <w:b/>
          <w:sz w:val="24"/>
          <w:szCs w:val="24"/>
          <w:lang w:val="en-GB" w:eastAsia="en-GB" w:bidi="en-GB"/>
        </w:rPr>
        <w:tab/>
      </w:r>
      <w:r w:rsidRPr="00BB620D">
        <w:rPr>
          <w:rFonts w:ascii="GHEA Grapalat" w:hAnsi="GHEA Grapalat"/>
          <w:b/>
          <w:color w:val="050505"/>
          <w:sz w:val="24"/>
          <w:szCs w:val="24"/>
          <w:shd w:val="clear" w:color="auto" w:fill="FFFFFF"/>
          <w:lang w:val="en-GB" w:eastAsia="en-GB" w:bidi="en-GB"/>
        </w:rPr>
        <w:t>Access to information</w:t>
      </w:r>
    </w:p>
    <w:p w:rsidR="00BB620D" w:rsidRPr="00FD7066" w:rsidRDefault="00BB620D" w:rsidP="00FD7066">
      <w:pPr>
        <w:pStyle w:val="ListParagraph"/>
        <w:widowControl w:val="0"/>
        <w:numPr>
          <w:ilvl w:val="0"/>
          <w:numId w:val="4"/>
        </w:numPr>
        <w:spacing w:after="160" w:line="360" w:lineRule="auto"/>
        <w:jc w:val="both"/>
        <w:rPr>
          <w:rFonts w:ascii="GHEA Grapalat" w:eastAsia="Times New Roman" w:hAnsi="GHEA Grapalat" w:cs="Segoe UI"/>
          <w:color w:val="050505"/>
          <w:sz w:val="24"/>
          <w:szCs w:val="24"/>
          <w:shd w:val="clear" w:color="auto" w:fill="FFFFFF"/>
          <w:lang w:val="en-GB" w:eastAsia="en-GB" w:bidi="en-GB"/>
        </w:rPr>
      </w:pPr>
      <w:r w:rsidRPr="00FD7066">
        <w:rPr>
          <w:rFonts w:ascii="GHEA Grapalat" w:hAnsi="GHEA Grapalat"/>
          <w:color w:val="050505"/>
          <w:sz w:val="24"/>
          <w:szCs w:val="24"/>
          <w:shd w:val="clear" w:color="auto" w:fill="FFFFFF"/>
          <w:lang w:val="en-GB" w:eastAsia="en-GB" w:bidi="en-GB"/>
        </w:rPr>
        <w:t xml:space="preserve">Officers of the specialised subdivision of the Police of the Ministry of Internal Affairs of Armenia </w:t>
      </w:r>
      <w:r w:rsidRPr="00FD7066">
        <w:rPr>
          <w:rFonts w:ascii="GHEA Grapalat" w:hAnsi="GHEA Grapalat"/>
          <w:color w:val="000000"/>
          <w:sz w:val="24"/>
          <w:szCs w:val="24"/>
          <w:shd w:val="clear" w:color="auto" w:fill="FFFFFF"/>
          <w:lang w:val="en-GB" w:eastAsia="en-GB" w:bidi="en-GB"/>
        </w:rPr>
        <w:t>clarify older victims of domestic violence about the opportunities on enjoyment of their rights and available services and refer them to support centres and shelters.</w:t>
      </w:r>
      <w:r w:rsidRPr="00FD7066">
        <w:rPr>
          <w:rFonts w:ascii="GHEA Grapalat" w:hAnsi="GHEA Grapalat"/>
          <w:color w:val="050505"/>
          <w:sz w:val="24"/>
          <w:szCs w:val="24"/>
          <w:shd w:val="clear" w:color="auto" w:fill="FFFFFF"/>
          <w:lang w:val="en-GB" w:eastAsia="en-GB" w:bidi="en-GB"/>
        </w:rPr>
        <w:t xml:space="preserve"> At the same time, for the purpose of providing relevant assistance to older persons, officers of the specialised subdivision of the Police co-operate with local self-government bodies, unified social services, non-governmental organisations, as well as interested state structures functioning in the field of prevention of domestic violence.</w:t>
      </w:r>
    </w:p>
    <w:sectPr w:rsidR="00BB620D" w:rsidRPr="00FD7066" w:rsidSect="00895C78">
      <w:footerReference w:type="default" r:id="rId7"/>
      <w:pgSz w:w="12240" w:h="15840"/>
      <w:pgMar w:top="99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9E6" w:rsidRDefault="003B69E6" w:rsidP="00BB620D">
      <w:pPr>
        <w:spacing w:after="0" w:line="240" w:lineRule="auto"/>
      </w:pPr>
      <w:r>
        <w:separator/>
      </w:r>
    </w:p>
  </w:endnote>
  <w:endnote w:type="continuationSeparator" w:id="0">
    <w:p w:rsidR="003B69E6" w:rsidRDefault="003B69E6" w:rsidP="00BB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180630"/>
      <w:docPartObj>
        <w:docPartGallery w:val="Page Numbers (Bottom of Page)"/>
        <w:docPartUnique/>
      </w:docPartObj>
    </w:sdtPr>
    <w:sdtEndPr>
      <w:rPr>
        <w:noProof/>
      </w:rPr>
    </w:sdtEndPr>
    <w:sdtContent>
      <w:p w:rsidR="00BB620D" w:rsidRDefault="00BB620D">
        <w:pPr>
          <w:pStyle w:val="Footer"/>
          <w:jc w:val="right"/>
        </w:pPr>
        <w:r>
          <w:fldChar w:fldCharType="begin"/>
        </w:r>
        <w:r>
          <w:instrText xml:space="preserve"> PAGE   \* MERGEFORMAT </w:instrText>
        </w:r>
        <w:r>
          <w:fldChar w:fldCharType="separate"/>
        </w:r>
        <w:r w:rsidR="006F63CB">
          <w:rPr>
            <w:noProof/>
          </w:rPr>
          <w:t>3</w:t>
        </w:r>
        <w:r>
          <w:rPr>
            <w:noProof/>
          </w:rPr>
          <w:fldChar w:fldCharType="end"/>
        </w:r>
      </w:p>
    </w:sdtContent>
  </w:sdt>
  <w:p w:rsidR="00BB620D" w:rsidRDefault="00BB62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9E6" w:rsidRDefault="003B69E6" w:rsidP="00BB620D">
      <w:pPr>
        <w:spacing w:after="0" w:line="240" w:lineRule="auto"/>
      </w:pPr>
      <w:r>
        <w:separator/>
      </w:r>
    </w:p>
  </w:footnote>
  <w:footnote w:type="continuationSeparator" w:id="0">
    <w:p w:rsidR="003B69E6" w:rsidRDefault="003B69E6" w:rsidP="00BB6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A4BB3"/>
    <w:multiLevelType w:val="hybridMultilevel"/>
    <w:tmpl w:val="4C7A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B0EE6"/>
    <w:multiLevelType w:val="hybridMultilevel"/>
    <w:tmpl w:val="403A6A46"/>
    <w:lvl w:ilvl="0" w:tplc="328A5E98">
      <w:start w:val="1"/>
      <w:numFmt w:val="decimal"/>
      <w:lvlText w:val="%1."/>
      <w:lvlJc w:val="left"/>
      <w:pPr>
        <w:ind w:left="1080" w:hanging="360"/>
      </w:pPr>
      <w:rPr>
        <w:rFonts w:hint="default"/>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CF3F07"/>
    <w:multiLevelType w:val="hybridMultilevel"/>
    <w:tmpl w:val="ADBA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DA5F7B"/>
    <w:multiLevelType w:val="hybridMultilevel"/>
    <w:tmpl w:val="7FCEAA8A"/>
    <w:lvl w:ilvl="0" w:tplc="2176F4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20D"/>
    <w:rsid w:val="0009590E"/>
    <w:rsid w:val="000E06E2"/>
    <w:rsid w:val="00126F36"/>
    <w:rsid w:val="00181603"/>
    <w:rsid w:val="001E04B7"/>
    <w:rsid w:val="002F2AE9"/>
    <w:rsid w:val="003B69E6"/>
    <w:rsid w:val="00446A7C"/>
    <w:rsid w:val="004857EF"/>
    <w:rsid w:val="00541D08"/>
    <w:rsid w:val="005A42A3"/>
    <w:rsid w:val="005E047C"/>
    <w:rsid w:val="00664409"/>
    <w:rsid w:val="006F63CB"/>
    <w:rsid w:val="008212FE"/>
    <w:rsid w:val="00A66DE8"/>
    <w:rsid w:val="00A73B5A"/>
    <w:rsid w:val="00B32F78"/>
    <w:rsid w:val="00BB620D"/>
    <w:rsid w:val="00CD7AFC"/>
    <w:rsid w:val="00DC5490"/>
    <w:rsid w:val="00EA0A73"/>
    <w:rsid w:val="00EC0F61"/>
    <w:rsid w:val="00FD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05C7E-937C-4117-8541-30067E18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2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20D"/>
  </w:style>
  <w:style w:type="paragraph" w:styleId="Footer">
    <w:name w:val="footer"/>
    <w:basedOn w:val="Normal"/>
    <w:link w:val="FooterChar"/>
    <w:uiPriority w:val="99"/>
    <w:unhideWhenUsed/>
    <w:rsid w:val="00BB6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20D"/>
  </w:style>
  <w:style w:type="paragraph" w:styleId="BalloonText">
    <w:name w:val="Balloon Text"/>
    <w:basedOn w:val="Normal"/>
    <w:link w:val="BalloonTextChar"/>
    <w:uiPriority w:val="99"/>
    <w:semiHidden/>
    <w:unhideWhenUsed/>
    <w:rsid w:val="00BB6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20D"/>
    <w:rPr>
      <w:rFonts w:ascii="Segoe UI" w:hAnsi="Segoe UI" w:cs="Segoe UI"/>
      <w:sz w:val="18"/>
      <w:szCs w:val="18"/>
    </w:rPr>
  </w:style>
  <w:style w:type="paragraph" w:styleId="ListParagraph">
    <w:name w:val="List Paragraph"/>
    <w:basedOn w:val="Normal"/>
    <w:uiPriority w:val="34"/>
    <w:qFormat/>
    <w:rsid w:val="00BB6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input-3</Doctype>
    <Contributor xmlns="d42e65b2-cf21-49c1-b27d-d23f90380c0e">Albania</Contributor>
  </documentManagement>
</p:properties>
</file>

<file path=customXml/itemProps1.xml><?xml version="1.0" encoding="utf-8"?>
<ds:datastoreItem xmlns:ds="http://schemas.openxmlformats.org/officeDocument/2006/customXml" ds:itemID="{8C3C2EC2-C561-4214-96BF-862FD95CD692}"/>
</file>

<file path=customXml/itemProps2.xml><?xml version="1.0" encoding="utf-8"?>
<ds:datastoreItem xmlns:ds="http://schemas.openxmlformats.org/officeDocument/2006/customXml" ds:itemID="{F32F93AA-030A-4887-B2EF-A6B47BE90D2F}"/>
</file>

<file path=customXml/itemProps3.xml><?xml version="1.0" encoding="utf-8"?>
<ds:datastoreItem xmlns:ds="http://schemas.openxmlformats.org/officeDocument/2006/customXml" ds:itemID="{31575594-DB9B-4F22-BCC5-1AC33074433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dc:creator>
  <cp:keywords/>
  <dc:description/>
  <cp:lastModifiedBy>Armine Petrosyan</cp:lastModifiedBy>
  <cp:revision>2</cp:revision>
  <cp:lastPrinted>2023-03-02T07:27:00Z</cp:lastPrinted>
  <dcterms:created xsi:type="dcterms:W3CDTF">2023-03-06T08:35:00Z</dcterms:created>
  <dcterms:modified xsi:type="dcterms:W3CDTF">2023-03-06T08:35:00Z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