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498EE" w14:textId="77777777" w:rsidR="00566E18" w:rsidRPr="009425B9" w:rsidRDefault="00566E18" w:rsidP="004B0509">
      <w:pPr>
        <w:tabs>
          <w:tab w:val="left" w:pos="1418"/>
          <w:tab w:val="left" w:pos="1570"/>
        </w:tabs>
        <w:spacing w:after="0" w:line="245" w:lineRule="auto"/>
        <w:ind w:right="454"/>
        <w:jc w:val="center"/>
        <w:rPr>
          <w:rFonts w:ascii="Work Sans" w:hAnsi="Work Sans"/>
          <w:color w:val="004984"/>
          <w:spacing w:val="21"/>
          <w:sz w:val="24"/>
          <w:szCs w:val="28"/>
        </w:rPr>
      </w:pPr>
      <w:r w:rsidRPr="009425B9">
        <w:rPr>
          <w:rFonts w:ascii="Work Sans" w:hAnsi="Work Sans"/>
          <w:color w:val="004984"/>
          <w:spacing w:val="21"/>
          <w:sz w:val="24"/>
          <w:szCs w:val="28"/>
        </w:rPr>
        <w:t>DIRECCIÓN DE DERECHOS HUMANOS Y DERECHO INTERNACIONAL HUMANITARIO</w:t>
      </w:r>
    </w:p>
    <w:p w14:paraId="2A2BDCF8" w14:textId="40E5FBD2" w:rsidR="00566E18" w:rsidRPr="005602DF" w:rsidRDefault="00566E18" w:rsidP="004B0509">
      <w:pPr>
        <w:tabs>
          <w:tab w:val="left" w:pos="1418"/>
          <w:tab w:val="left" w:pos="1570"/>
        </w:tabs>
        <w:spacing w:after="0" w:line="245" w:lineRule="auto"/>
        <w:ind w:right="454"/>
        <w:jc w:val="center"/>
        <w:rPr>
          <w:rFonts w:ascii="Work Sans" w:hAnsi="Work Sans"/>
          <w:color w:val="004984"/>
          <w:spacing w:val="21"/>
          <w:sz w:val="24"/>
          <w:szCs w:val="28"/>
        </w:rPr>
      </w:pPr>
      <w:r w:rsidRPr="005602DF">
        <w:rPr>
          <w:rFonts w:ascii="Work Sans" w:hAnsi="Work Sans"/>
          <w:color w:val="004984"/>
          <w:spacing w:val="21"/>
          <w:sz w:val="24"/>
          <w:szCs w:val="28"/>
        </w:rPr>
        <w:t>Viceministerio de Asuntos Multilaterales</w:t>
      </w:r>
    </w:p>
    <w:p w14:paraId="6FC8EF55" w14:textId="77777777" w:rsidR="00566E18" w:rsidRPr="005602DF" w:rsidRDefault="00566E18" w:rsidP="00566E18">
      <w:pPr>
        <w:pStyle w:val="Textoindependiente"/>
        <w:tabs>
          <w:tab w:val="right" w:pos="11560"/>
        </w:tabs>
        <w:spacing w:before="101"/>
        <w:ind w:right="452"/>
        <w:jc w:val="both"/>
        <w:rPr>
          <w:rFonts w:eastAsiaTheme="minorHAnsi" w:cstheme="minorBidi"/>
          <w:color w:val="004984"/>
          <w:spacing w:val="21"/>
          <w:sz w:val="24"/>
          <w:szCs w:val="28"/>
          <w:lang w:val="es-CO"/>
        </w:rPr>
      </w:pPr>
    </w:p>
    <w:p w14:paraId="69245EC3" w14:textId="77777777" w:rsidR="001D52EE" w:rsidRPr="004B0509" w:rsidRDefault="001D52EE" w:rsidP="001D52EE">
      <w:pPr>
        <w:tabs>
          <w:tab w:val="left" w:pos="1418"/>
          <w:tab w:val="left" w:pos="1570"/>
        </w:tabs>
        <w:spacing w:after="0" w:line="240" w:lineRule="auto"/>
        <w:ind w:right="452"/>
        <w:jc w:val="center"/>
        <w:rPr>
          <w:rFonts w:ascii="Work Sans" w:hAnsi="Work Sans"/>
          <w:b/>
          <w:bCs/>
          <w:color w:val="004984"/>
          <w:spacing w:val="21"/>
          <w:sz w:val="24"/>
          <w:szCs w:val="28"/>
        </w:rPr>
      </w:pPr>
      <w:r w:rsidRPr="00724E9F">
        <w:rPr>
          <w:rFonts w:ascii="Work Sans" w:hAnsi="Work Sans"/>
          <w:b/>
          <w:bCs/>
          <w:color w:val="004984"/>
          <w:spacing w:val="21"/>
          <w:sz w:val="24"/>
          <w:szCs w:val="28"/>
        </w:rPr>
        <w:t>CUESTIONARIO</w:t>
      </w:r>
    </w:p>
    <w:p w14:paraId="051DB3C4" w14:textId="77777777" w:rsidR="00514E5E" w:rsidRPr="004B0509" w:rsidRDefault="00514E5E" w:rsidP="00B83AEB">
      <w:pPr>
        <w:tabs>
          <w:tab w:val="left" w:pos="1418"/>
          <w:tab w:val="left" w:pos="1570"/>
        </w:tabs>
        <w:spacing w:after="0" w:line="240" w:lineRule="auto"/>
        <w:ind w:right="452"/>
        <w:jc w:val="center"/>
        <w:rPr>
          <w:rFonts w:ascii="Work Sans" w:hAnsi="Work Sans"/>
          <w:b/>
          <w:bCs/>
          <w:color w:val="004984"/>
          <w:spacing w:val="21"/>
          <w:sz w:val="24"/>
          <w:szCs w:val="28"/>
        </w:rPr>
      </w:pPr>
    </w:p>
    <w:p w14:paraId="2FDA138D" w14:textId="77777777" w:rsidR="00566E18" w:rsidRDefault="00566E18" w:rsidP="00566E18">
      <w:pPr>
        <w:ind w:right="452"/>
        <w:rPr>
          <w:rFonts w:ascii="Work Sans Light" w:hAnsi="Work Sans Light"/>
          <w:b/>
          <w:color w:val="004984"/>
          <w:spacing w:val="-2"/>
          <w:sz w:val="20"/>
          <w:szCs w:val="20"/>
        </w:rPr>
      </w:pPr>
      <w:r>
        <w:rPr>
          <w:rFonts w:ascii="Work Sans Light" w:hAnsi="Work Sans Light"/>
          <w:b/>
          <w:noProof/>
          <w:color w:val="004984"/>
          <w:spacing w:val="-2"/>
          <w:sz w:val="20"/>
          <w:szCs w:val="20"/>
        </w:rPr>
        <mc:AlternateContent>
          <mc:Choice Requires="wps">
            <w:drawing>
              <wp:anchor distT="0" distB="0" distL="114300" distR="114300" simplePos="0" relativeHeight="251659264" behindDoc="0" locked="0" layoutInCell="1" allowOverlap="1" wp14:anchorId="03E64FA6" wp14:editId="358A559E">
                <wp:simplePos x="0" y="0"/>
                <wp:positionH relativeFrom="margin">
                  <wp:align>right</wp:align>
                </wp:positionH>
                <wp:positionV relativeFrom="paragraph">
                  <wp:posOffset>104272</wp:posOffset>
                </wp:positionV>
                <wp:extent cx="6824453" cy="15464"/>
                <wp:effectExtent l="0" t="0" r="33655" b="22860"/>
                <wp:wrapNone/>
                <wp:docPr id="1" name="Conector recto 1"/>
                <wp:cNvGraphicFramePr/>
                <a:graphic xmlns:a="http://schemas.openxmlformats.org/drawingml/2006/main">
                  <a:graphicData uri="http://schemas.microsoft.com/office/word/2010/wordprocessingShape">
                    <wps:wsp>
                      <wps:cNvCnPr/>
                      <wps:spPr>
                        <a:xfrm flipV="1">
                          <a:off x="0" y="0"/>
                          <a:ext cx="6824453" cy="15464"/>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C8B885" id="Conector recto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6.15pt,8.2pt" to="102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" strokecolor="#ed7d31 [3205]" strokeweight="1pt">
                <v:stroke joinstyle="miter"/>
                <w10:wrap anchorx="margin"/>
              </v:line>
            </w:pict>
          </mc:Fallback>
        </mc:AlternateContent>
      </w:r>
    </w:p>
    <w:p w14:paraId="76E92503" w14:textId="00AEDC3A" w:rsidR="001D52EE" w:rsidRDefault="003529E4" w:rsidP="00A33194">
      <w:pPr>
        <w:pBdr>
          <w:top w:val="thinThickSmallGap" w:sz="18" w:space="0" w:color="auto"/>
          <w:left w:val="thinThickSmallGap" w:sz="18" w:space="0" w:color="auto"/>
          <w:bottom w:val="thickThinSmallGap" w:sz="18" w:space="1" w:color="auto"/>
          <w:right w:val="thickThinSmallGap" w:sz="18" w:space="0" w:color="auto"/>
        </w:pBdr>
        <w:spacing w:after="0" w:line="240" w:lineRule="auto"/>
        <w:ind w:right="45"/>
        <w:jc w:val="center"/>
        <w:rPr>
          <w:rFonts w:ascii="Montserrat" w:eastAsia="Calibri" w:hAnsi="Montserrat" w:cs="Arial"/>
          <w:b/>
          <w:bCs/>
          <w:i/>
          <w:iCs/>
          <w:sz w:val="18"/>
          <w:szCs w:val="18"/>
        </w:rPr>
      </w:pPr>
      <w:r w:rsidRPr="003529E4">
        <w:rPr>
          <w:rFonts w:ascii="Arial" w:hAnsi="Arial" w:cs="Arial"/>
          <w:b/>
          <w:color w:val="000000"/>
          <w:sz w:val="24"/>
          <w:szCs w:val="24"/>
          <w:shd w:val="clear" w:color="auto" w:fill="FFFFFF"/>
        </w:rPr>
        <w:t>PRESENTACIÓN DE LA CONVOCATORIA DE CONTRIBUCIONES SOBRE LA VIOLENCIA CONTRA LAS PERSONAS DE EDAD – INFORME CDH 2023</w:t>
      </w:r>
    </w:p>
    <w:p w14:paraId="13CA75E7" w14:textId="77777777" w:rsidR="0072694D" w:rsidRDefault="0072694D" w:rsidP="00F34A14">
      <w:pPr>
        <w:spacing w:line="276" w:lineRule="auto"/>
        <w:contextualSpacing/>
        <w:jc w:val="both"/>
        <w:rPr>
          <w:rFonts w:ascii="Arial" w:hAnsi="Arial" w:cs="Arial"/>
          <w:sz w:val="24"/>
          <w:szCs w:val="24"/>
        </w:rPr>
      </w:pPr>
    </w:p>
    <w:p w14:paraId="3DEDD034" w14:textId="14E2998C" w:rsidR="00BB5023" w:rsidRPr="009B2BF5" w:rsidRDefault="00BB5023" w:rsidP="00F34A14">
      <w:pPr>
        <w:spacing w:line="276" w:lineRule="auto"/>
        <w:contextualSpacing/>
        <w:jc w:val="both"/>
        <w:rPr>
          <w:rFonts w:ascii="Arial" w:hAnsi="Arial" w:cs="Arial"/>
          <w:sz w:val="24"/>
          <w:szCs w:val="24"/>
        </w:rPr>
      </w:pPr>
      <w:r>
        <w:rPr>
          <w:rFonts w:ascii="Arial" w:hAnsi="Arial" w:cs="Arial"/>
          <w:sz w:val="24"/>
          <w:szCs w:val="24"/>
        </w:rPr>
        <w:t>El presente documento</w:t>
      </w:r>
      <w:r w:rsidRPr="008E00A8">
        <w:rPr>
          <w:rFonts w:ascii="Arial" w:hAnsi="Arial" w:cs="Arial"/>
          <w:sz w:val="24"/>
          <w:szCs w:val="24"/>
        </w:rPr>
        <w:t xml:space="preserve"> </w:t>
      </w:r>
      <w:r>
        <w:rPr>
          <w:rFonts w:ascii="Arial" w:hAnsi="Arial" w:cs="Arial"/>
          <w:sz w:val="24"/>
          <w:szCs w:val="24"/>
        </w:rPr>
        <w:t>fue elaborado</w:t>
      </w:r>
      <w:r w:rsidRPr="008E00A8">
        <w:rPr>
          <w:rFonts w:ascii="Arial" w:hAnsi="Arial" w:cs="Arial"/>
          <w:sz w:val="24"/>
          <w:szCs w:val="24"/>
        </w:rPr>
        <w:t xml:space="preserve"> en respuesta a </w:t>
      </w:r>
      <w:bookmarkStart w:id="0" w:name="_Hlk128397254"/>
      <w:r w:rsidR="00F34A14">
        <w:rPr>
          <w:rFonts w:ascii="Arial" w:hAnsi="Arial" w:cs="Arial"/>
          <w:sz w:val="24"/>
          <w:szCs w:val="24"/>
        </w:rPr>
        <w:t>la c</w:t>
      </w:r>
      <w:r w:rsidR="00F34A14" w:rsidRPr="00F34A14">
        <w:rPr>
          <w:rFonts w:ascii="Arial" w:hAnsi="Arial" w:cs="Arial"/>
          <w:sz w:val="24"/>
          <w:szCs w:val="24"/>
        </w:rPr>
        <w:t>onvocatoria de contribuciones</w:t>
      </w:r>
      <w:r w:rsidR="00F34A14">
        <w:rPr>
          <w:rFonts w:ascii="Arial" w:hAnsi="Arial" w:cs="Arial"/>
          <w:sz w:val="24"/>
          <w:szCs w:val="24"/>
        </w:rPr>
        <w:t xml:space="preserve"> </w:t>
      </w:r>
      <w:r w:rsidR="00B5636D" w:rsidRPr="00B5636D">
        <w:rPr>
          <w:rFonts w:ascii="Arial" w:hAnsi="Arial" w:cs="Arial"/>
          <w:sz w:val="24"/>
          <w:szCs w:val="24"/>
        </w:rPr>
        <w:t xml:space="preserve">de la Experta </w:t>
      </w:r>
      <w:r w:rsidR="00F34A14">
        <w:rPr>
          <w:rFonts w:ascii="Arial" w:hAnsi="Arial" w:cs="Arial"/>
          <w:sz w:val="24"/>
          <w:szCs w:val="24"/>
        </w:rPr>
        <w:t>I</w:t>
      </w:r>
      <w:r w:rsidR="00B5636D" w:rsidRPr="00B5636D">
        <w:rPr>
          <w:rFonts w:ascii="Arial" w:hAnsi="Arial" w:cs="Arial"/>
          <w:sz w:val="24"/>
          <w:szCs w:val="24"/>
        </w:rPr>
        <w:t>ndependiente sobre el disfrute de todos los derechos humanos</w:t>
      </w:r>
      <w:r w:rsidR="00B5636D">
        <w:rPr>
          <w:rFonts w:ascii="Arial" w:hAnsi="Arial" w:cs="Arial"/>
          <w:sz w:val="24"/>
          <w:szCs w:val="24"/>
        </w:rPr>
        <w:t xml:space="preserve"> </w:t>
      </w:r>
      <w:r w:rsidR="00B5636D" w:rsidRPr="00B5636D">
        <w:rPr>
          <w:rFonts w:ascii="Arial" w:hAnsi="Arial" w:cs="Arial"/>
          <w:sz w:val="24"/>
          <w:szCs w:val="24"/>
        </w:rPr>
        <w:t>por las personas de edad</w:t>
      </w:r>
      <w:r w:rsidR="00F34A14">
        <w:rPr>
          <w:rFonts w:ascii="Arial" w:hAnsi="Arial" w:cs="Arial"/>
          <w:sz w:val="24"/>
          <w:szCs w:val="24"/>
        </w:rPr>
        <w:t xml:space="preserve">, señora </w:t>
      </w:r>
      <w:r w:rsidR="00F34A14" w:rsidRPr="00F34A14">
        <w:rPr>
          <w:rFonts w:ascii="Arial" w:hAnsi="Arial" w:cs="Arial"/>
          <w:sz w:val="24"/>
          <w:szCs w:val="24"/>
        </w:rPr>
        <w:t>Claudia Mahler</w:t>
      </w:r>
      <w:r w:rsidR="00F34A14">
        <w:rPr>
          <w:rFonts w:ascii="Arial" w:hAnsi="Arial" w:cs="Arial"/>
          <w:sz w:val="24"/>
          <w:szCs w:val="24"/>
        </w:rPr>
        <w:t xml:space="preserve">, </w:t>
      </w:r>
      <w:r w:rsidR="00F34A14" w:rsidRPr="00F34A14">
        <w:rPr>
          <w:rFonts w:ascii="Arial" w:hAnsi="Arial" w:cs="Arial"/>
          <w:sz w:val="24"/>
          <w:szCs w:val="24"/>
        </w:rPr>
        <w:t>para</w:t>
      </w:r>
      <w:r w:rsidR="00F34A14">
        <w:rPr>
          <w:rFonts w:ascii="Arial" w:hAnsi="Arial" w:cs="Arial"/>
          <w:sz w:val="24"/>
          <w:szCs w:val="24"/>
        </w:rPr>
        <w:t xml:space="preserve"> </w:t>
      </w:r>
      <w:r w:rsidR="00F34A14" w:rsidRPr="00F34A14">
        <w:rPr>
          <w:rFonts w:ascii="Arial" w:hAnsi="Arial" w:cs="Arial"/>
          <w:sz w:val="24"/>
          <w:szCs w:val="24"/>
        </w:rPr>
        <w:t xml:space="preserve">fundamentar </w:t>
      </w:r>
      <w:r w:rsidR="00F34A14">
        <w:rPr>
          <w:rFonts w:ascii="Arial" w:hAnsi="Arial" w:cs="Arial"/>
          <w:sz w:val="24"/>
          <w:szCs w:val="24"/>
        </w:rPr>
        <w:t>su</w:t>
      </w:r>
      <w:r w:rsidR="00F34A14" w:rsidRPr="00F34A14">
        <w:rPr>
          <w:rFonts w:ascii="Arial" w:hAnsi="Arial" w:cs="Arial"/>
          <w:sz w:val="24"/>
          <w:szCs w:val="24"/>
        </w:rPr>
        <w:t xml:space="preserve"> próximo </w:t>
      </w:r>
      <w:r w:rsidR="00B5636D" w:rsidRPr="00B5636D">
        <w:rPr>
          <w:rFonts w:ascii="Arial" w:hAnsi="Arial" w:cs="Arial"/>
          <w:sz w:val="24"/>
          <w:szCs w:val="24"/>
        </w:rPr>
        <w:t xml:space="preserve">Informe </w:t>
      </w:r>
      <w:r w:rsidR="00B5636D" w:rsidRPr="009B2BF5">
        <w:rPr>
          <w:rFonts w:ascii="Arial" w:hAnsi="Arial" w:cs="Arial"/>
          <w:sz w:val="24"/>
          <w:szCs w:val="24"/>
        </w:rPr>
        <w:t>temático al Consejo de Derechos Humanos de 2023 sobre la violencia, el maltrato y el abandono de las</w:t>
      </w:r>
      <w:r w:rsidR="00B5636D" w:rsidRPr="00B5636D">
        <w:rPr>
          <w:rFonts w:ascii="Arial" w:hAnsi="Arial" w:cs="Arial"/>
          <w:sz w:val="24"/>
          <w:szCs w:val="24"/>
        </w:rPr>
        <w:t xml:space="preserve"> personas de edad</w:t>
      </w:r>
      <w:bookmarkEnd w:id="0"/>
      <w:r w:rsidR="009B2BF5">
        <w:rPr>
          <w:rFonts w:ascii="Arial" w:hAnsi="Arial" w:cs="Arial"/>
          <w:sz w:val="24"/>
          <w:szCs w:val="24"/>
        </w:rPr>
        <w:t xml:space="preserve">. </w:t>
      </w:r>
    </w:p>
    <w:p w14:paraId="6759219F" w14:textId="77777777" w:rsidR="00BB5023" w:rsidRDefault="00BB5023" w:rsidP="00BB5023">
      <w:pPr>
        <w:spacing w:line="276" w:lineRule="auto"/>
        <w:contextualSpacing/>
        <w:rPr>
          <w:rFonts w:ascii="Arial" w:hAnsi="Arial" w:cs="Arial"/>
          <w:sz w:val="24"/>
          <w:szCs w:val="24"/>
        </w:rPr>
      </w:pPr>
    </w:p>
    <w:p w14:paraId="14E08CB8" w14:textId="0D0622F5" w:rsidR="00507E1E" w:rsidRDefault="00893415" w:rsidP="00BB5023">
      <w:pPr>
        <w:spacing w:line="276" w:lineRule="auto"/>
        <w:contextualSpacing/>
        <w:jc w:val="both"/>
        <w:rPr>
          <w:rFonts w:ascii="Arial" w:hAnsi="Arial" w:cs="Arial"/>
          <w:sz w:val="24"/>
          <w:szCs w:val="24"/>
        </w:rPr>
      </w:pPr>
      <w:r>
        <w:rPr>
          <w:rFonts w:ascii="Arial" w:hAnsi="Arial" w:cs="Arial"/>
          <w:sz w:val="24"/>
          <w:szCs w:val="24"/>
        </w:rPr>
        <w:t xml:space="preserve">La </w:t>
      </w:r>
      <w:r w:rsidRPr="000341F8">
        <w:rPr>
          <w:rFonts w:ascii="Arial" w:hAnsi="Arial" w:cs="Arial"/>
          <w:sz w:val="24"/>
          <w:szCs w:val="24"/>
        </w:rPr>
        <w:t>Fiscalía General de la Nación</w:t>
      </w:r>
      <w:r w:rsidRPr="008E00A8">
        <w:rPr>
          <w:rFonts w:ascii="Arial" w:hAnsi="Arial" w:cs="Arial"/>
          <w:sz w:val="24"/>
          <w:szCs w:val="24"/>
        </w:rPr>
        <w:t xml:space="preserve"> </w:t>
      </w:r>
      <w:r>
        <w:rPr>
          <w:rFonts w:ascii="Arial" w:hAnsi="Arial" w:cs="Arial"/>
          <w:sz w:val="24"/>
          <w:szCs w:val="24"/>
        </w:rPr>
        <w:t xml:space="preserve">y el </w:t>
      </w:r>
      <w:r w:rsidRPr="00B24111">
        <w:rPr>
          <w:rFonts w:ascii="Arial" w:hAnsi="Arial" w:cs="Arial"/>
          <w:sz w:val="24"/>
          <w:szCs w:val="24"/>
        </w:rPr>
        <w:t>Ministerio de Salud y Protección Social</w:t>
      </w:r>
      <w:r w:rsidRPr="008E00A8">
        <w:rPr>
          <w:rFonts w:ascii="Arial" w:hAnsi="Arial" w:cs="Arial"/>
          <w:sz w:val="24"/>
          <w:szCs w:val="24"/>
        </w:rPr>
        <w:t xml:space="preserve"> </w:t>
      </w:r>
      <w:r w:rsidR="009B2BF5">
        <w:rPr>
          <w:rFonts w:ascii="Arial" w:hAnsi="Arial" w:cs="Arial"/>
          <w:sz w:val="24"/>
          <w:szCs w:val="24"/>
        </w:rPr>
        <w:t>aportaron las contribuciones de tipo técnico que</w:t>
      </w:r>
      <w:r>
        <w:rPr>
          <w:rFonts w:ascii="Arial" w:hAnsi="Arial" w:cs="Arial"/>
          <w:sz w:val="24"/>
          <w:szCs w:val="24"/>
        </w:rPr>
        <w:t xml:space="preserve"> se</w:t>
      </w:r>
      <w:r w:rsidR="00BB5023">
        <w:rPr>
          <w:rFonts w:ascii="Arial" w:hAnsi="Arial" w:cs="Arial"/>
          <w:sz w:val="24"/>
          <w:szCs w:val="24"/>
        </w:rPr>
        <w:t xml:space="preserve"> relaciona a continuación</w:t>
      </w:r>
      <w:r w:rsidR="009B2BF5">
        <w:rPr>
          <w:rFonts w:ascii="Arial" w:hAnsi="Arial" w:cs="Arial"/>
          <w:sz w:val="24"/>
          <w:szCs w:val="24"/>
        </w:rPr>
        <w:t xml:space="preserve">. </w:t>
      </w:r>
    </w:p>
    <w:p w14:paraId="7D2E8893" w14:textId="77777777" w:rsidR="00BB5023" w:rsidRDefault="00BB5023" w:rsidP="00BB5023">
      <w:pPr>
        <w:spacing w:after="0" w:line="276" w:lineRule="auto"/>
        <w:jc w:val="both"/>
        <w:rPr>
          <w:rFonts w:ascii="Arial" w:hAnsi="Arial" w:cs="Arial"/>
          <w:sz w:val="24"/>
          <w:szCs w:val="24"/>
        </w:rPr>
      </w:pPr>
    </w:p>
    <w:p w14:paraId="6C250D23" w14:textId="77777777" w:rsidR="001D52EE" w:rsidRPr="005A1612" w:rsidRDefault="001D52EE" w:rsidP="001D52EE">
      <w:pPr>
        <w:shd w:val="clear" w:color="auto" w:fill="D9E2F3" w:themeFill="accent1" w:themeFillTint="33"/>
        <w:tabs>
          <w:tab w:val="left" w:pos="2043"/>
        </w:tabs>
        <w:spacing w:after="0" w:line="276" w:lineRule="auto"/>
        <w:jc w:val="center"/>
        <w:rPr>
          <w:rFonts w:ascii="Arial" w:hAnsi="Arial" w:cs="Arial"/>
          <w:b/>
          <w:sz w:val="24"/>
          <w:szCs w:val="24"/>
        </w:rPr>
      </w:pPr>
      <w:r w:rsidRPr="005A1612">
        <w:rPr>
          <w:rFonts w:ascii="Arial" w:hAnsi="Arial" w:cs="Arial"/>
          <w:b/>
          <w:sz w:val="24"/>
          <w:szCs w:val="24"/>
        </w:rPr>
        <w:t>CUESTIONARIO</w:t>
      </w:r>
    </w:p>
    <w:p w14:paraId="17E5BAFA" w14:textId="77777777" w:rsidR="00C56209" w:rsidRDefault="00C56209" w:rsidP="0078397A">
      <w:pPr>
        <w:spacing w:after="0" w:line="240" w:lineRule="auto"/>
        <w:jc w:val="both"/>
        <w:rPr>
          <w:rFonts w:ascii="Arial" w:hAnsi="Arial" w:cs="Arial"/>
        </w:rPr>
      </w:pPr>
    </w:p>
    <w:p w14:paraId="070BE9A7" w14:textId="003255D0" w:rsidR="00F34A14" w:rsidRPr="009B2BF5" w:rsidRDefault="00F34A14" w:rsidP="0078397A">
      <w:pPr>
        <w:spacing w:after="0" w:line="240" w:lineRule="auto"/>
        <w:jc w:val="both"/>
        <w:rPr>
          <w:rFonts w:ascii="Arial" w:hAnsi="Arial" w:cs="Arial"/>
          <w:sz w:val="24"/>
          <w:szCs w:val="24"/>
          <w:u w:val="single"/>
        </w:rPr>
      </w:pPr>
      <w:r w:rsidRPr="008D54F6">
        <w:rPr>
          <w:rFonts w:ascii="Arial" w:hAnsi="Arial" w:cs="Arial"/>
          <w:b/>
          <w:bCs/>
          <w:u w:val="single"/>
        </w:rPr>
        <w:t>1</w:t>
      </w:r>
      <w:r w:rsidRPr="009B2BF5">
        <w:rPr>
          <w:rFonts w:ascii="Arial" w:hAnsi="Arial" w:cs="Arial"/>
          <w:b/>
          <w:bCs/>
          <w:sz w:val="24"/>
          <w:szCs w:val="24"/>
          <w:u w:val="single"/>
        </w:rPr>
        <w:t>. Marcos legales, políticos e institucionales:</w:t>
      </w:r>
    </w:p>
    <w:p w14:paraId="52413986" w14:textId="687DC2DC" w:rsidR="0042061E" w:rsidRPr="009B2BF5" w:rsidRDefault="0042061E" w:rsidP="0078397A">
      <w:pPr>
        <w:spacing w:after="0" w:line="240" w:lineRule="auto"/>
        <w:jc w:val="both"/>
        <w:rPr>
          <w:rFonts w:ascii="Arial" w:hAnsi="Arial" w:cs="Arial"/>
          <w:sz w:val="24"/>
          <w:szCs w:val="24"/>
        </w:rPr>
      </w:pPr>
    </w:p>
    <w:p w14:paraId="15CFB547" w14:textId="7CEB5858" w:rsidR="0042061E" w:rsidRPr="009B2BF5" w:rsidRDefault="0042061E" w:rsidP="009B2BF5">
      <w:pPr>
        <w:spacing w:line="276" w:lineRule="auto"/>
        <w:contextualSpacing/>
        <w:jc w:val="both"/>
        <w:rPr>
          <w:rFonts w:ascii="Arial" w:hAnsi="Arial" w:cs="Arial"/>
          <w:sz w:val="24"/>
          <w:szCs w:val="24"/>
        </w:rPr>
      </w:pPr>
      <w:r w:rsidRPr="009B2BF5">
        <w:rPr>
          <w:rFonts w:ascii="Arial" w:hAnsi="Arial" w:cs="Arial"/>
          <w:sz w:val="24"/>
          <w:szCs w:val="24"/>
        </w:rPr>
        <w:t xml:space="preserve">La Constitución Política de Colombia en su </w:t>
      </w:r>
      <w:r w:rsidR="001131AF" w:rsidRPr="009B2BF5">
        <w:rPr>
          <w:rFonts w:ascii="Arial" w:hAnsi="Arial" w:cs="Arial"/>
          <w:sz w:val="24"/>
          <w:szCs w:val="24"/>
        </w:rPr>
        <w:t>a</w:t>
      </w:r>
      <w:r w:rsidRPr="009B2BF5">
        <w:rPr>
          <w:rFonts w:ascii="Arial" w:hAnsi="Arial" w:cs="Arial"/>
          <w:sz w:val="24"/>
          <w:szCs w:val="24"/>
        </w:rPr>
        <w:t>rtículo 46, consagra que el Estado, la sociedad y la familia concurrirán para la protección y la asistencia de las personas de la tercera edad y promoverán su integración a la vida activa y comunitaria</w:t>
      </w:r>
      <w:r w:rsidR="00734133" w:rsidRPr="009B2BF5">
        <w:rPr>
          <w:rFonts w:ascii="Arial" w:hAnsi="Arial" w:cs="Arial"/>
          <w:sz w:val="24"/>
          <w:szCs w:val="24"/>
        </w:rPr>
        <w:t xml:space="preserve">; deberes que se encuentran enunciados en el </w:t>
      </w:r>
      <w:r w:rsidR="001131AF" w:rsidRPr="009B2BF5">
        <w:rPr>
          <w:rFonts w:ascii="Arial" w:hAnsi="Arial" w:cs="Arial"/>
          <w:sz w:val="24"/>
          <w:szCs w:val="24"/>
        </w:rPr>
        <w:t>a</w:t>
      </w:r>
      <w:r w:rsidR="00734133" w:rsidRPr="009B2BF5">
        <w:rPr>
          <w:rFonts w:ascii="Arial" w:hAnsi="Arial" w:cs="Arial"/>
          <w:sz w:val="24"/>
          <w:szCs w:val="24"/>
        </w:rPr>
        <w:t>rtículo 6º de la Ley 1251 de 2008</w:t>
      </w:r>
      <w:r w:rsidR="00BC60DF">
        <w:rPr>
          <w:rStyle w:val="Refdenotaalpie"/>
          <w:rFonts w:ascii="Arial" w:hAnsi="Arial" w:cs="Arial"/>
          <w:sz w:val="24"/>
          <w:szCs w:val="24"/>
        </w:rPr>
        <w:footnoteReference w:id="1"/>
      </w:r>
      <w:r w:rsidR="00734133" w:rsidRPr="009B2BF5">
        <w:rPr>
          <w:rFonts w:ascii="Arial" w:hAnsi="Arial" w:cs="Arial"/>
          <w:sz w:val="24"/>
          <w:szCs w:val="24"/>
        </w:rPr>
        <w:t xml:space="preserve">; </w:t>
      </w:r>
      <w:r w:rsidR="001131AF" w:rsidRPr="009B2BF5">
        <w:rPr>
          <w:rFonts w:ascii="Arial" w:hAnsi="Arial" w:cs="Arial"/>
          <w:sz w:val="24"/>
          <w:szCs w:val="24"/>
        </w:rPr>
        <w:t>adicionalmente</w:t>
      </w:r>
      <w:r w:rsidR="00734133" w:rsidRPr="009B2BF5">
        <w:rPr>
          <w:rFonts w:ascii="Arial" w:hAnsi="Arial" w:cs="Arial"/>
          <w:sz w:val="24"/>
          <w:szCs w:val="24"/>
        </w:rPr>
        <w:t>, e</w:t>
      </w:r>
      <w:r w:rsidR="003843A2" w:rsidRPr="009B2BF5">
        <w:rPr>
          <w:rFonts w:ascii="Arial" w:hAnsi="Arial" w:cs="Arial"/>
          <w:sz w:val="24"/>
          <w:szCs w:val="24"/>
        </w:rPr>
        <w:t>l Código Penal</w:t>
      </w:r>
      <w:r w:rsidR="00AB565C" w:rsidRPr="009B2BF5">
        <w:rPr>
          <w:rFonts w:ascii="Arial" w:hAnsi="Arial" w:cs="Arial"/>
          <w:sz w:val="24"/>
          <w:szCs w:val="24"/>
        </w:rPr>
        <w:t xml:space="preserve"> </w:t>
      </w:r>
      <w:r w:rsidR="003843A2" w:rsidRPr="009B2BF5">
        <w:rPr>
          <w:rFonts w:ascii="Arial" w:hAnsi="Arial" w:cs="Arial"/>
          <w:sz w:val="24"/>
          <w:szCs w:val="24"/>
        </w:rPr>
        <w:t xml:space="preserve">en el </w:t>
      </w:r>
      <w:r w:rsidR="001131AF" w:rsidRPr="009B2BF5">
        <w:rPr>
          <w:rFonts w:ascii="Arial" w:hAnsi="Arial" w:cs="Arial"/>
          <w:sz w:val="24"/>
          <w:szCs w:val="24"/>
        </w:rPr>
        <w:t>a</w:t>
      </w:r>
      <w:r w:rsidR="003843A2" w:rsidRPr="009B2BF5">
        <w:rPr>
          <w:rFonts w:ascii="Arial" w:hAnsi="Arial" w:cs="Arial"/>
          <w:sz w:val="24"/>
          <w:szCs w:val="24"/>
        </w:rPr>
        <w:t xml:space="preserve">rtículo 229A, </w:t>
      </w:r>
      <w:r w:rsidR="0023481E" w:rsidRPr="009B2BF5">
        <w:rPr>
          <w:rFonts w:ascii="Arial" w:hAnsi="Arial" w:cs="Arial"/>
          <w:sz w:val="24"/>
          <w:szCs w:val="24"/>
        </w:rPr>
        <w:t xml:space="preserve">penaliza </w:t>
      </w:r>
      <w:r w:rsidR="003843A2" w:rsidRPr="009B2BF5">
        <w:rPr>
          <w:rFonts w:ascii="Arial" w:hAnsi="Arial" w:cs="Arial"/>
          <w:sz w:val="24"/>
          <w:szCs w:val="24"/>
        </w:rPr>
        <w:t xml:space="preserve">el </w:t>
      </w:r>
      <w:r w:rsidR="00076732" w:rsidRPr="009B2BF5">
        <w:rPr>
          <w:rFonts w:ascii="Arial" w:hAnsi="Arial" w:cs="Arial"/>
          <w:sz w:val="24"/>
          <w:szCs w:val="24"/>
        </w:rPr>
        <w:t>maltrato por descuido, negligencia o abandono en persona mayor de 60 años</w:t>
      </w:r>
      <w:r w:rsidR="00D34C92" w:rsidRPr="009B2BF5">
        <w:rPr>
          <w:rFonts w:ascii="Arial" w:hAnsi="Arial" w:cs="Arial"/>
          <w:sz w:val="24"/>
          <w:szCs w:val="24"/>
        </w:rPr>
        <w:t>.</w:t>
      </w:r>
    </w:p>
    <w:p w14:paraId="1EC8DB03" w14:textId="77777777" w:rsidR="00D34C92" w:rsidRPr="009B2BF5" w:rsidRDefault="00D34C92" w:rsidP="009B2BF5">
      <w:pPr>
        <w:spacing w:line="276" w:lineRule="auto"/>
        <w:contextualSpacing/>
        <w:jc w:val="both"/>
        <w:rPr>
          <w:rFonts w:ascii="Arial" w:hAnsi="Arial" w:cs="Arial"/>
          <w:sz w:val="24"/>
          <w:szCs w:val="24"/>
        </w:rPr>
      </w:pPr>
    </w:p>
    <w:p w14:paraId="259C35B9" w14:textId="0070EDDB" w:rsidR="00B24111" w:rsidRPr="009B2BF5" w:rsidRDefault="007041F7" w:rsidP="009B2BF5">
      <w:pPr>
        <w:spacing w:line="276" w:lineRule="auto"/>
        <w:contextualSpacing/>
        <w:jc w:val="both"/>
        <w:rPr>
          <w:rFonts w:ascii="Arial" w:hAnsi="Arial" w:cs="Arial"/>
          <w:sz w:val="24"/>
          <w:szCs w:val="24"/>
        </w:rPr>
      </w:pPr>
      <w:r w:rsidRPr="009B2BF5">
        <w:rPr>
          <w:rFonts w:ascii="Arial" w:hAnsi="Arial" w:cs="Arial"/>
          <w:sz w:val="24"/>
          <w:szCs w:val="24"/>
        </w:rPr>
        <w:t>Por otro lado, e</w:t>
      </w:r>
      <w:r w:rsidR="00B24111" w:rsidRPr="009B2BF5">
        <w:rPr>
          <w:rFonts w:ascii="Arial" w:hAnsi="Arial" w:cs="Arial"/>
          <w:sz w:val="24"/>
          <w:szCs w:val="24"/>
        </w:rPr>
        <w:t>l Ministerio de Salud y Protección Social lideró la actualización de la Política Pública Nacional de Envejecimiento y Vejez PPNEV 2022-2031, adoptada mediante el Decreto 681 de 2022,  para dar respuesta a los nuevos desafíos señalados en el plano internacional</w:t>
      </w:r>
      <w:r w:rsidR="0023481E" w:rsidRPr="009B2BF5">
        <w:rPr>
          <w:rFonts w:ascii="Arial" w:hAnsi="Arial" w:cs="Arial"/>
          <w:sz w:val="24"/>
          <w:szCs w:val="24"/>
        </w:rPr>
        <w:t xml:space="preserve"> </w:t>
      </w:r>
      <w:r w:rsidR="00B24111" w:rsidRPr="009B2BF5">
        <w:rPr>
          <w:rFonts w:ascii="Arial" w:hAnsi="Arial" w:cs="Arial"/>
          <w:sz w:val="24"/>
          <w:szCs w:val="24"/>
        </w:rPr>
        <w:t>y abrir caminos para la implementación de la Convención Interamericana sobre Protección de los Derechos Humanos de las Personas Mayores, adoptada por la Ley 2055 de 202</w:t>
      </w:r>
      <w:r w:rsidR="0078397A" w:rsidRPr="009B2BF5">
        <w:rPr>
          <w:rFonts w:ascii="Arial" w:hAnsi="Arial" w:cs="Arial"/>
          <w:sz w:val="24"/>
          <w:szCs w:val="24"/>
        </w:rPr>
        <w:t>0</w:t>
      </w:r>
      <w:r w:rsidR="00B24111" w:rsidRPr="009B2BF5">
        <w:rPr>
          <w:rFonts w:ascii="Arial" w:hAnsi="Arial" w:cs="Arial"/>
          <w:sz w:val="24"/>
          <w:szCs w:val="24"/>
        </w:rPr>
        <w:t>, a través de un amplio proceso de participación social y territorial</w:t>
      </w:r>
      <w:r w:rsidR="0023481E" w:rsidRPr="009B2BF5">
        <w:rPr>
          <w:rFonts w:ascii="Arial" w:hAnsi="Arial" w:cs="Arial"/>
          <w:sz w:val="24"/>
          <w:szCs w:val="24"/>
        </w:rPr>
        <w:t>;</w:t>
      </w:r>
      <w:r w:rsidR="00B24111" w:rsidRPr="009B2BF5">
        <w:rPr>
          <w:rFonts w:ascii="Arial" w:hAnsi="Arial" w:cs="Arial"/>
          <w:sz w:val="24"/>
          <w:szCs w:val="24"/>
        </w:rPr>
        <w:t xml:space="preserve"> esta política  tiene por objetivo general "Garantizar las condiciones necesarias para el envejecimiento saludable y la vivencia de una vejez digna, autónoma e independiente en igualdad, equidad y no discriminación, en el marco de la protección, promoción, defensa y restablecimiento </w:t>
      </w:r>
      <w:r w:rsidR="00B24111" w:rsidRPr="009B2BF5">
        <w:rPr>
          <w:rFonts w:ascii="Arial" w:hAnsi="Arial" w:cs="Arial"/>
          <w:sz w:val="24"/>
          <w:szCs w:val="24"/>
        </w:rPr>
        <w:lastRenderedPageBreak/>
        <w:t>de los derechos humanos y bajo el principio de corresponsabilidad individual, familiar, social y estatal".  Para cumplir este propósito, la PPNEV se compone de seis ejes estratégicos: </w:t>
      </w:r>
    </w:p>
    <w:p w14:paraId="07618AA2" w14:textId="77777777" w:rsidR="009B2BF5" w:rsidRPr="009B2BF5" w:rsidRDefault="009B2BF5" w:rsidP="009B2BF5">
      <w:pPr>
        <w:spacing w:line="276" w:lineRule="auto"/>
        <w:contextualSpacing/>
        <w:jc w:val="both"/>
        <w:rPr>
          <w:rFonts w:ascii="Arial" w:hAnsi="Arial" w:cs="Arial"/>
          <w:sz w:val="24"/>
          <w:szCs w:val="24"/>
        </w:rPr>
      </w:pPr>
    </w:p>
    <w:p w14:paraId="74C5B1E0" w14:textId="77777777" w:rsidR="00B24111" w:rsidRPr="009B2BF5" w:rsidRDefault="00B24111">
      <w:pPr>
        <w:numPr>
          <w:ilvl w:val="0"/>
          <w:numId w:val="1"/>
        </w:numPr>
        <w:spacing w:after="0" w:line="240" w:lineRule="auto"/>
        <w:jc w:val="both"/>
        <w:rPr>
          <w:rFonts w:ascii="Arial" w:hAnsi="Arial" w:cs="Arial"/>
          <w:sz w:val="24"/>
          <w:szCs w:val="24"/>
        </w:rPr>
      </w:pPr>
      <w:r w:rsidRPr="009B2BF5">
        <w:rPr>
          <w:rFonts w:ascii="Arial" w:hAnsi="Arial" w:cs="Arial"/>
          <w:sz w:val="24"/>
          <w:szCs w:val="24"/>
        </w:rPr>
        <w:t>Superación de la dependencia económica de las personas mayores</w:t>
      </w:r>
    </w:p>
    <w:p w14:paraId="5F45DD01" w14:textId="77777777" w:rsidR="00B24111" w:rsidRPr="009B2BF5" w:rsidRDefault="00B24111">
      <w:pPr>
        <w:numPr>
          <w:ilvl w:val="0"/>
          <w:numId w:val="1"/>
        </w:numPr>
        <w:spacing w:after="0" w:line="240" w:lineRule="auto"/>
        <w:jc w:val="both"/>
        <w:rPr>
          <w:rFonts w:ascii="Arial" w:hAnsi="Arial" w:cs="Arial"/>
          <w:sz w:val="24"/>
          <w:szCs w:val="24"/>
        </w:rPr>
      </w:pPr>
      <w:r w:rsidRPr="009B2BF5">
        <w:rPr>
          <w:rFonts w:ascii="Arial" w:hAnsi="Arial" w:cs="Arial"/>
          <w:sz w:val="24"/>
          <w:szCs w:val="24"/>
        </w:rPr>
        <w:t>Inclusión social y participación ciudadana de las personas mayores</w:t>
      </w:r>
    </w:p>
    <w:p w14:paraId="163C484E" w14:textId="77777777" w:rsidR="00B24111" w:rsidRPr="009B2BF5" w:rsidRDefault="00B24111">
      <w:pPr>
        <w:numPr>
          <w:ilvl w:val="0"/>
          <w:numId w:val="1"/>
        </w:numPr>
        <w:spacing w:after="0" w:line="240" w:lineRule="auto"/>
        <w:jc w:val="both"/>
        <w:rPr>
          <w:rFonts w:ascii="Arial" w:hAnsi="Arial" w:cs="Arial"/>
          <w:sz w:val="24"/>
          <w:szCs w:val="24"/>
        </w:rPr>
      </w:pPr>
      <w:r w:rsidRPr="009B2BF5">
        <w:rPr>
          <w:rFonts w:ascii="Arial" w:hAnsi="Arial" w:cs="Arial"/>
          <w:sz w:val="24"/>
          <w:szCs w:val="24"/>
        </w:rPr>
        <w:t>Vida libre de violencias para las personas mayores</w:t>
      </w:r>
    </w:p>
    <w:p w14:paraId="21AEA31E" w14:textId="1248EAB0" w:rsidR="00B24111" w:rsidRPr="009B2BF5" w:rsidRDefault="00B24111">
      <w:pPr>
        <w:numPr>
          <w:ilvl w:val="0"/>
          <w:numId w:val="1"/>
        </w:numPr>
        <w:spacing w:after="0" w:line="240" w:lineRule="auto"/>
        <w:jc w:val="both"/>
        <w:rPr>
          <w:rFonts w:ascii="Arial" w:hAnsi="Arial" w:cs="Arial"/>
          <w:sz w:val="24"/>
          <w:szCs w:val="24"/>
        </w:rPr>
      </w:pPr>
      <w:r w:rsidRPr="009B2BF5">
        <w:rPr>
          <w:rFonts w:ascii="Arial" w:hAnsi="Arial" w:cs="Arial"/>
          <w:sz w:val="24"/>
          <w:szCs w:val="24"/>
        </w:rPr>
        <w:t>Atención integral en salud, atención a la dependencia y organización del servicio de cuidad</w:t>
      </w:r>
      <w:r w:rsidR="0008567E" w:rsidRPr="009B2BF5">
        <w:rPr>
          <w:rFonts w:ascii="Arial" w:hAnsi="Arial" w:cs="Arial"/>
          <w:sz w:val="24"/>
          <w:szCs w:val="24"/>
        </w:rPr>
        <w:t>o</w:t>
      </w:r>
    </w:p>
    <w:p w14:paraId="43B47404" w14:textId="77777777" w:rsidR="00B24111" w:rsidRPr="009B2BF5" w:rsidRDefault="00B24111">
      <w:pPr>
        <w:numPr>
          <w:ilvl w:val="0"/>
          <w:numId w:val="1"/>
        </w:numPr>
        <w:spacing w:after="0" w:line="240" w:lineRule="auto"/>
        <w:jc w:val="both"/>
        <w:rPr>
          <w:rFonts w:ascii="Arial" w:hAnsi="Arial" w:cs="Arial"/>
          <w:sz w:val="24"/>
          <w:szCs w:val="24"/>
        </w:rPr>
      </w:pPr>
      <w:r w:rsidRPr="009B2BF5">
        <w:rPr>
          <w:rFonts w:ascii="Arial" w:hAnsi="Arial" w:cs="Arial"/>
          <w:sz w:val="24"/>
          <w:szCs w:val="24"/>
        </w:rPr>
        <w:t>Envejecimiento saludable parar una vida independiente, autónoma y productiva en la vejez</w:t>
      </w:r>
    </w:p>
    <w:p w14:paraId="7CD3872E" w14:textId="7CE70692" w:rsidR="00B24111" w:rsidRPr="009B2BF5" w:rsidRDefault="00B24111">
      <w:pPr>
        <w:numPr>
          <w:ilvl w:val="0"/>
          <w:numId w:val="1"/>
        </w:numPr>
        <w:spacing w:after="0" w:line="240" w:lineRule="auto"/>
        <w:jc w:val="both"/>
        <w:rPr>
          <w:rFonts w:ascii="Arial" w:hAnsi="Arial" w:cs="Arial"/>
          <w:sz w:val="24"/>
          <w:szCs w:val="24"/>
        </w:rPr>
      </w:pPr>
      <w:r w:rsidRPr="009B2BF5">
        <w:rPr>
          <w:rFonts w:ascii="Arial" w:hAnsi="Arial" w:cs="Arial"/>
          <w:sz w:val="24"/>
          <w:szCs w:val="24"/>
        </w:rPr>
        <w:t>Educación, formación e investigación para enfrentar el desafío del envejecimiento y la vejez</w:t>
      </w:r>
    </w:p>
    <w:p w14:paraId="45F415FC" w14:textId="77777777" w:rsidR="0008567E" w:rsidRPr="009B2BF5" w:rsidRDefault="0008567E" w:rsidP="0008567E">
      <w:pPr>
        <w:spacing w:after="0" w:line="240" w:lineRule="auto"/>
        <w:ind w:left="720"/>
        <w:jc w:val="both"/>
        <w:rPr>
          <w:rFonts w:ascii="Arial" w:hAnsi="Arial" w:cs="Arial"/>
          <w:sz w:val="24"/>
          <w:szCs w:val="24"/>
        </w:rPr>
      </w:pPr>
    </w:p>
    <w:p w14:paraId="59F5E5B9" w14:textId="6380CB5A" w:rsidR="00B24111" w:rsidRPr="009B2BF5" w:rsidRDefault="00B24111" w:rsidP="0078397A">
      <w:pPr>
        <w:spacing w:after="0" w:line="240" w:lineRule="auto"/>
        <w:jc w:val="both"/>
        <w:rPr>
          <w:rFonts w:ascii="Arial" w:hAnsi="Arial" w:cs="Arial"/>
          <w:sz w:val="24"/>
          <w:szCs w:val="24"/>
        </w:rPr>
      </w:pPr>
      <w:r w:rsidRPr="009B2BF5">
        <w:rPr>
          <w:rFonts w:ascii="Arial" w:hAnsi="Arial" w:cs="Arial"/>
          <w:sz w:val="24"/>
          <w:szCs w:val="24"/>
        </w:rPr>
        <w:t>El tercer eje</w:t>
      </w:r>
      <w:r w:rsidR="009B2BF5">
        <w:rPr>
          <w:rFonts w:ascii="Arial" w:hAnsi="Arial" w:cs="Arial"/>
          <w:sz w:val="24"/>
          <w:szCs w:val="24"/>
        </w:rPr>
        <w:t xml:space="preserve"> mencionado, </w:t>
      </w:r>
      <w:r w:rsidRPr="009B2BF5">
        <w:rPr>
          <w:rFonts w:ascii="Arial" w:hAnsi="Arial" w:cs="Arial"/>
          <w:sz w:val="24"/>
          <w:szCs w:val="24"/>
        </w:rPr>
        <w:t xml:space="preserve">"Vida libre de violencias para las personas mayores", </w:t>
      </w:r>
      <w:r w:rsidR="0008567E" w:rsidRPr="009B2BF5">
        <w:rPr>
          <w:rFonts w:ascii="Arial" w:hAnsi="Arial" w:cs="Arial"/>
          <w:sz w:val="24"/>
          <w:szCs w:val="24"/>
        </w:rPr>
        <w:t>contempla como</w:t>
      </w:r>
      <w:r w:rsidRPr="009B2BF5">
        <w:rPr>
          <w:rFonts w:ascii="Arial" w:hAnsi="Arial" w:cs="Arial"/>
          <w:sz w:val="24"/>
          <w:szCs w:val="24"/>
        </w:rPr>
        <w:t xml:space="preserve"> sus metas: </w:t>
      </w:r>
      <w:r w:rsidR="00E335B5" w:rsidRPr="009B2BF5">
        <w:rPr>
          <w:rFonts w:ascii="Arial" w:hAnsi="Arial" w:cs="Arial"/>
          <w:sz w:val="24"/>
          <w:szCs w:val="24"/>
        </w:rPr>
        <w:t>i</w:t>
      </w:r>
      <w:r w:rsidRPr="009B2BF5">
        <w:rPr>
          <w:rFonts w:ascii="Arial" w:hAnsi="Arial" w:cs="Arial"/>
          <w:sz w:val="24"/>
          <w:szCs w:val="24"/>
        </w:rPr>
        <w:t xml:space="preserve">mplementar rutas de atención intersectoriales para personas mayores víctimas de diferentes tipologías de violencias y </w:t>
      </w:r>
      <w:r w:rsidR="00E335B5" w:rsidRPr="009B2BF5">
        <w:rPr>
          <w:rFonts w:ascii="Arial" w:hAnsi="Arial" w:cs="Arial"/>
          <w:sz w:val="24"/>
          <w:szCs w:val="24"/>
        </w:rPr>
        <w:t>f</w:t>
      </w:r>
      <w:r w:rsidRPr="009B2BF5">
        <w:rPr>
          <w:rFonts w:ascii="Arial" w:hAnsi="Arial" w:cs="Arial"/>
          <w:sz w:val="24"/>
          <w:szCs w:val="24"/>
        </w:rPr>
        <w:t>ortalecer la identificación, el reporte y la atención de personas mayores víctimas de violencias</w:t>
      </w:r>
      <w:r w:rsidR="0008567E" w:rsidRPr="009B2BF5">
        <w:rPr>
          <w:rFonts w:ascii="Arial" w:hAnsi="Arial" w:cs="Arial"/>
          <w:sz w:val="24"/>
          <w:szCs w:val="24"/>
        </w:rPr>
        <w:t>;</w:t>
      </w:r>
      <w:r w:rsidRPr="009B2BF5">
        <w:rPr>
          <w:rFonts w:ascii="Arial" w:hAnsi="Arial" w:cs="Arial"/>
          <w:sz w:val="24"/>
          <w:szCs w:val="24"/>
        </w:rPr>
        <w:t xml:space="preserve"> las cuales se desarrollarán a través de </w:t>
      </w:r>
      <w:r w:rsidR="0008567E" w:rsidRPr="009B2BF5">
        <w:rPr>
          <w:rFonts w:ascii="Arial" w:hAnsi="Arial" w:cs="Arial"/>
          <w:sz w:val="24"/>
          <w:szCs w:val="24"/>
        </w:rPr>
        <w:t>tres</w:t>
      </w:r>
      <w:r w:rsidRPr="009B2BF5">
        <w:rPr>
          <w:rFonts w:ascii="Arial" w:hAnsi="Arial" w:cs="Arial"/>
          <w:sz w:val="24"/>
          <w:szCs w:val="24"/>
        </w:rPr>
        <w:t xml:space="preserve"> líneas de acción: </w:t>
      </w:r>
      <w:r w:rsidR="0008567E" w:rsidRPr="009B2BF5">
        <w:rPr>
          <w:rFonts w:ascii="Arial" w:hAnsi="Arial" w:cs="Arial"/>
          <w:sz w:val="24"/>
          <w:szCs w:val="24"/>
        </w:rPr>
        <w:t>1)</w:t>
      </w:r>
      <w:r w:rsidRPr="009B2BF5">
        <w:rPr>
          <w:rFonts w:ascii="Arial" w:hAnsi="Arial" w:cs="Arial"/>
          <w:sz w:val="24"/>
          <w:szCs w:val="24"/>
        </w:rPr>
        <w:t xml:space="preserve"> Eliminar la discriminación contra personas mayores, </w:t>
      </w:r>
      <w:r w:rsidR="0008567E" w:rsidRPr="009B2BF5">
        <w:rPr>
          <w:rFonts w:ascii="Arial" w:hAnsi="Arial" w:cs="Arial"/>
          <w:sz w:val="24"/>
          <w:szCs w:val="24"/>
        </w:rPr>
        <w:t xml:space="preserve">2) </w:t>
      </w:r>
      <w:r w:rsidRPr="009B2BF5">
        <w:rPr>
          <w:rFonts w:ascii="Arial" w:hAnsi="Arial" w:cs="Arial"/>
          <w:sz w:val="24"/>
          <w:szCs w:val="24"/>
        </w:rPr>
        <w:t xml:space="preserve">Prevenir y atender las violencias y el maltrato contra las personas mayores, garantizando el restablecimiento de sus derechos y </w:t>
      </w:r>
      <w:r w:rsidR="0008567E" w:rsidRPr="009B2BF5">
        <w:rPr>
          <w:rFonts w:ascii="Arial" w:hAnsi="Arial" w:cs="Arial"/>
          <w:sz w:val="24"/>
          <w:szCs w:val="24"/>
        </w:rPr>
        <w:t>3)</w:t>
      </w:r>
      <w:r w:rsidRPr="009B2BF5">
        <w:rPr>
          <w:rFonts w:ascii="Arial" w:hAnsi="Arial" w:cs="Arial"/>
          <w:sz w:val="24"/>
          <w:szCs w:val="24"/>
        </w:rPr>
        <w:t xml:space="preserve"> Fortalecer la capacidad jurídica y el acceso a la justicia para las personas mayores</w:t>
      </w:r>
      <w:r w:rsidR="0008567E" w:rsidRPr="009B2BF5">
        <w:rPr>
          <w:rFonts w:ascii="Arial" w:hAnsi="Arial" w:cs="Arial"/>
          <w:sz w:val="24"/>
          <w:szCs w:val="24"/>
        </w:rPr>
        <w:t>.</w:t>
      </w:r>
    </w:p>
    <w:p w14:paraId="4BBB6495" w14:textId="77777777" w:rsidR="0008567E" w:rsidRPr="009B2BF5" w:rsidRDefault="0008567E" w:rsidP="0078397A">
      <w:pPr>
        <w:spacing w:after="0" w:line="240" w:lineRule="auto"/>
        <w:jc w:val="both"/>
        <w:rPr>
          <w:rFonts w:ascii="Arial" w:hAnsi="Arial" w:cs="Arial"/>
          <w:sz w:val="24"/>
          <w:szCs w:val="24"/>
        </w:rPr>
      </w:pPr>
    </w:p>
    <w:p w14:paraId="063E4C58" w14:textId="05FB31AC" w:rsidR="00B24111" w:rsidRPr="009B2BF5" w:rsidRDefault="00B24111" w:rsidP="0078397A">
      <w:pPr>
        <w:spacing w:after="0" w:line="240" w:lineRule="auto"/>
        <w:jc w:val="both"/>
        <w:rPr>
          <w:rFonts w:ascii="Arial" w:hAnsi="Arial" w:cs="Arial"/>
          <w:sz w:val="24"/>
          <w:szCs w:val="24"/>
        </w:rPr>
      </w:pPr>
      <w:r w:rsidRPr="009B2BF5">
        <w:rPr>
          <w:rFonts w:ascii="Arial" w:hAnsi="Arial" w:cs="Arial"/>
          <w:sz w:val="24"/>
          <w:szCs w:val="24"/>
        </w:rPr>
        <w:t>Actualmente, el Gobierno Nacional</w:t>
      </w:r>
      <w:r w:rsidR="009B2BF5">
        <w:rPr>
          <w:rFonts w:ascii="Arial" w:hAnsi="Arial" w:cs="Arial"/>
          <w:sz w:val="24"/>
          <w:szCs w:val="24"/>
        </w:rPr>
        <w:t xml:space="preserve"> </w:t>
      </w:r>
      <w:r w:rsidRPr="009B2BF5">
        <w:rPr>
          <w:rFonts w:ascii="Arial" w:hAnsi="Arial" w:cs="Arial"/>
          <w:sz w:val="24"/>
          <w:szCs w:val="24"/>
        </w:rPr>
        <w:t>se encuentra estableciendo las acciones estratégicas a diez</w:t>
      </w:r>
      <w:r w:rsidR="00AB565C" w:rsidRPr="009B2BF5">
        <w:rPr>
          <w:rFonts w:ascii="Arial" w:hAnsi="Arial" w:cs="Arial"/>
          <w:sz w:val="24"/>
          <w:szCs w:val="24"/>
        </w:rPr>
        <w:t xml:space="preserve"> </w:t>
      </w:r>
      <w:r w:rsidRPr="009B2BF5">
        <w:rPr>
          <w:rFonts w:ascii="Arial" w:hAnsi="Arial" w:cs="Arial"/>
          <w:sz w:val="24"/>
          <w:szCs w:val="24"/>
        </w:rPr>
        <w:t>años, con sus respectivos indicadores desde diferentes sectores</w:t>
      </w:r>
      <w:r w:rsidR="00E335B5" w:rsidRPr="009B2BF5">
        <w:rPr>
          <w:rFonts w:ascii="Arial" w:hAnsi="Arial" w:cs="Arial"/>
          <w:sz w:val="24"/>
          <w:szCs w:val="24"/>
        </w:rPr>
        <w:t>:</w:t>
      </w:r>
      <w:r w:rsidRPr="009B2BF5">
        <w:rPr>
          <w:rFonts w:ascii="Arial" w:hAnsi="Arial" w:cs="Arial"/>
          <w:sz w:val="24"/>
          <w:szCs w:val="24"/>
        </w:rPr>
        <w:t xml:space="preserve"> educación, justicia, trabajo, cultura, salud, entre otros, para ser incluidas en el Plan Nacional de Acción Intersectorial de la Política lo que posteriormente permitirá a los gobiernos locales, establecer sus planes territoriales.</w:t>
      </w:r>
    </w:p>
    <w:p w14:paraId="6E7A7D5E" w14:textId="6C287036" w:rsidR="00374BC2" w:rsidRPr="009B2BF5" w:rsidRDefault="00374BC2" w:rsidP="0078397A">
      <w:pPr>
        <w:spacing w:after="0" w:line="240" w:lineRule="auto"/>
        <w:jc w:val="both"/>
        <w:rPr>
          <w:rFonts w:ascii="Arial" w:hAnsi="Arial" w:cs="Arial"/>
          <w:sz w:val="24"/>
          <w:szCs w:val="24"/>
        </w:rPr>
      </w:pPr>
    </w:p>
    <w:p w14:paraId="65F35D56" w14:textId="77777777" w:rsidR="00B24111" w:rsidRPr="009B2BF5" w:rsidRDefault="00B24111" w:rsidP="0078397A">
      <w:pPr>
        <w:spacing w:after="0" w:line="240" w:lineRule="auto"/>
        <w:jc w:val="both"/>
        <w:rPr>
          <w:rFonts w:ascii="Arial" w:hAnsi="Arial" w:cs="Arial"/>
          <w:sz w:val="24"/>
          <w:szCs w:val="24"/>
        </w:rPr>
      </w:pPr>
    </w:p>
    <w:p w14:paraId="41795820" w14:textId="008386D6" w:rsidR="00F34A14" w:rsidRPr="009B2BF5" w:rsidRDefault="00F34A14" w:rsidP="007A0173">
      <w:pPr>
        <w:spacing w:after="0" w:line="276" w:lineRule="auto"/>
        <w:jc w:val="both"/>
        <w:rPr>
          <w:rFonts w:ascii="Arial" w:hAnsi="Arial" w:cs="Arial"/>
          <w:sz w:val="24"/>
          <w:szCs w:val="24"/>
          <w:u w:val="single"/>
        </w:rPr>
      </w:pPr>
      <w:r w:rsidRPr="009B2BF5">
        <w:rPr>
          <w:rFonts w:ascii="Arial" w:hAnsi="Arial" w:cs="Arial"/>
          <w:b/>
          <w:bCs/>
          <w:sz w:val="24"/>
          <w:szCs w:val="24"/>
          <w:u w:val="single"/>
        </w:rPr>
        <w:t>2. Manifestaciones de violencia</w:t>
      </w:r>
      <w:r w:rsidR="00893415" w:rsidRPr="009B2BF5">
        <w:rPr>
          <w:rFonts w:ascii="Arial" w:hAnsi="Arial" w:cs="Arial"/>
          <w:b/>
          <w:bCs/>
          <w:sz w:val="24"/>
          <w:szCs w:val="24"/>
          <w:u w:val="single"/>
        </w:rPr>
        <w:t xml:space="preserve"> y </w:t>
      </w:r>
      <w:r w:rsidRPr="009B2BF5">
        <w:rPr>
          <w:rFonts w:ascii="Arial" w:hAnsi="Arial" w:cs="Arial"/>
          <w:b/>
          <w:bCs/>
          <w:sz w:val="24"/>
          <w:szCs w:val="24"/>
          <w:u w:val="single"/>
        </w:rPr>
        <w:t>4. Datos</w:t>
      </w:r>
      <w:r w:rsidRPr="009B2BF5">
        <w:rPr>
          <w:rFonts w:ascii="Arial" w:hAnsi="Arial" w:cs="Arial"/>
          <w:sz w:val="24"/>
          <w:szCs w:val="24"/>
          <w:u w:val="single"/>
        </w:rPr>
        <w:t xml:space="preserve"> </w:t>
      </w:r>
    </w:p>
    <w:p w14:paraId="20568377" w14:textId="77777777" w:rsidR="00195384" w:rsidRPr="009B2BF5" w:rsidRDefault="00195384" w:rsidP="007A0173">
      <w:pPr>
        <w:spacing w:after="0" w:line="276" w:lineRule="auto"/>
        <w:jc w:val="both"/>
        <w:rPr>
          <w:rFonts w:ascii="Arial" w:hAnsi="Arial" w:cs="Arial"/>
          <w:sz w:val="24"/>
          <w:szCs w:val="24"/>
        </w:rPr>
      </w:pPr>
    </w:p>
    <w:p w14:paraId="3247124E" w14:textId="30DEB62B" w:rsidR="00F34A14" w:rsidRPr="009B2BF5" w:rsidRDefault="00195384" w:rsidP="00C56209">
      <w:pPr>
        <w:spacing w:after="0" w:line="240" w:lineRule="auto"/>
        <w:jc w:val="both"/>
        <w:rPr>
          <w:rFonts w:ascii="Arial" w:hAnsi="Arial" w:cs="Arial"/>
          <w:sz w:val="24"/>
          <w:szCs w:val="24"/>
        </w:rPr>
      </w:pPr>
      <w:r w:rsidRPr="009B2BF5">
        <w:rPr>
          <w:rFonts w:ascii="Arial" w:hAnsi="Arial" w:cs="Arial"/>
          <w:sz w:val="24"/>
          <w:szCs w:val="24"/>
        </w:rPr>
        <w:t>La Fiscalía General de la Nación a través de la Dirección de Políticas y Estrategia presenta las cifras que se extraen del sistema de información, sobre las investigaciones que se adelantan en la entidad donde aparecen como v</w:t>
      </w:r>
      <w:r w:rsidR="00C56209" w:rsidRPr="009B2BF5">
        <w:rPr>
          <w:rFonts w:ascii="Arial" w:hAnsi="Arial" w:cs="Arial"/>
          <w:sz w:val="24"/>
          <w:szCs w:val="24"/>
        </w:rPr>
        <w:t>í</w:t>
      </w:r>
      <w:r w:rsidRPr="009B2BF5">
        <w:rPr>
          <w:rFonts w:ascii="Arial" w:hAnsi="Arial" w:cs="Arial"/>
          <w:sz w:val="24"/>
          <w:szCs w:val="24"/>
        </w:rPr>
        <w:t xml:space="preserve">ctimas personas consideradas </w:t>
      </w:r>
      <w:r w:rsidR="00AB565C" w:rsidRPr="009B2BF5">
        <w:rPr>
          <w:rFonts w:ascii="Arial" w:hAnsi="Arial" w:cs="Arial"/>
          <w:sz w:val="24"/>
          <w:szCs w:val="24"/>
        </w:rPr>
        <w:t>“</w:t>
      </w:r>
      <w:r w:rsidRPr="009B2BF5">
        <w:rPr>
          <w:rFonts w:ascii="Arial" w:hAnsi="Arial" w:cs="Arial"/>
          <w:sz w:val="24"/>
          <w:szCs w:val="24"/>
        </w:rPr>
        <w:t>adulto mayor</w:t>
      </w:r>
      <w:r w:rsidR="00AB565C" w:rsidRPr="009B2BF5">
        <w:rPr>
          <w:rFonts w:ascii="Arial" w:hAnsi="Arial" w:cs="Arial"/>
          <w:sz w:val="24"/>
          <w:szCs w:val="24"/>
        </w:rPr>
        <w:t>”</w:t>
      </w:r>
      <w:r w:rsidRPr="009B2BF5">
        <w:rPr>
          <w:rFonts w:ascii="Arial" w:hAnsi="Arial" w:cs="Arial"/>
          <w:sz w:val="24"/>
          <w:szCs w:val="24"/>
        </w:rPr>
        <w:t xml:space="preserve"> durante el último año</w:t>
      </w:r>
      <w:r w:rsidR="00AB565C" w:rsidRPr="009B2BF5">
        <w:rPr>
          <w:rStyle w:val="Refdenotaalpie"/>
          <w:rFonts w:ascii="Arial" w:hAnsi="Arial" w:cs="Arial"/>
          <w:sz w:val="24"/>
          <w:szCs w:val="24"/>
        </w:rPr>
        <w:footnoteReference w:id="2"/>
      </w:r>
      <w:r w:rsidR="009B2BF5">
        <w:rPr>
          <w:rFonts w:ascii="Arial" w:hAnsi="Arial" w:cs="Arial"/>
          <w:sz w:val="24"/>
          <w:szCs w:val="24"/>
        </w:rPr>
        <w:t xml:space="preserve"> y que dan cuenta de las labores de investigación que adelanta el Estado</w:t>
      </w:r>
      <w:r w:rsidR="00AB565C" w:rsidRPr="009B2BF5">
        <w:rPr>
          <w:rFonts w:ascii="Arial" w:hAnsi="Arial" w:cs="Arial"/>
          <w:sz w:val="24"/>
          <w:szCs w:val="24"/>
        </w:rPr>
        <w:t>:</w:t>
      </w:r>
    </w:p>
    <w:p w14:paraId="1455293B" w14:textId="77777777" w:rsidR="00C56209" w:rsidRPr="009B2BF5" w:rsidRDefault="00C56209" w:rsidP="007A0173">
      <w:pPr>
        <w:spacing w:after="0" w:line="276" w:lineRule="auto"/>
        <w:jc w:val="both"/>
        <w:rPr>
          <w:rFonts w:ascii="Arial" w:hAnsi="Arial" w:cs="Arial"/>
          <w:sz w:val="24"/>
          <w:szCs w:val="24"/>
        </w:rPr>
      </w:pPr>
    </w:p>
    <w:p w14:paraId="4FEB8B7C" w14:textId="3E045A3D" w:rsidR="00EF5F3A" w:rsidRPr="009B2BF5" w:rsidRDefault="00EF5F3A" w:rsidP="009B2BF5">
      <w:pPr>
        <w:pStyle w:val="Prrafodelista"/>
        <w:numPr>
          <w:ilvl w:val="0"/>
          <w:numId w:val="2"/>
        </w:numPr>
        <w:rPr>
          <w:rFonts w:ascii="Arial" w:hAnsi="Arial" w:cs="Arial"/>
          <w:sz w:val="24"/>
          <w:szCs w:val="24"/>
        </w:rPr>
      </w:pPr>
      <w:r w:rsidRPr="009B2BF5">
        <w:rPr>
          <w:rFonts w:ascii="Arial" w:hAnsi="Arial" w:cs="Arial"/>
          <w:sz w:val="24"/>
          <w:szCs w:val="24"/>
        </w:rPr>
        <w:t>Información del número de procesos con v</w:t>
      </w:r>
      <w:r w:rsidR="00C56209" w:rsidRPr="009B2BF5">
        <w:rPr>
          <w:rFonts w:ascii="Arial" w:hAnsi="Arial" w:cs="Arial"/>
          <w:sz w:val="24"/>
          <w:szCs w:val="24"/>
        </w:rPr>
        <w:t>í</w:t>
      </w:r>
      <w:r w:rsidRPr="009B2BF5">
        <w:rPr>
          <w:rFonts w:ascii="Arial" w:hAnsi="Arial" w:cs="Arial"/>
          <w:sz w:val="24"/>
          <w:szCs w:val="24"/>
        </w:rPr>
        <w:t>ctimas adulto mayor, personas igual o mayor a 60 años, por hechos de discriminación entre los años 2022 y 2023</w:t>
      </w:r>
      <w:r w:rsidR="00AB565C" w:rsidRPr="009B2BF5">
        <w:rPr>
          <w:rFonts w:ascii="Arial" w:hAnsi="Arial" w:cs="Arial"/>
          <w:sz w:val="24"/>
          <w:szCs w:val="24"/>
        </w:rPr>
        <w:t>:</w:t>
      </w:r>
    </w:p>
    <w:p w14:paraId="71B1688A" w14:textId="77777777" w:rsidR="009B2BF5" w:rsidRPr="009B2BF5" w:rsidRDefault="009B2BF5" w:rsidP="009B2BF5">
      <w:pPr>
        <w:pStyle w:val="Prrafodelista"/>
        <w:ind w:left="720" w:firstLine="0"/>
        <w:rPr>
          <w:rFonts w:ascii="Arial" w:hAnsi="Arial" w:cs="Arial"/>
          <w:sz w:val="24"/>
          <w:szCs w:val="24"/>
        </w:rPr>
      </w:pPr>
    </w:p>
    <w:p w14:paraId="6011672B" w14:textId="0C9FDDC7" w:rsidR="00EF5F3A" w:rsidRPr="005A42DA" w:rsidRDefault="00EF5F3A" w:rsidP="00EF5F3A">
      <w:pPr>
        <w:spacing w:line="205" w:lineRule="exact"/>
        <w:jc w:val="right"/>
        <w:rPr>
          <w:rFonts w:ascii="Arial" w:hAnsi="Arial"/>
          <w:b/>
          <w:color w:val="000000"/>
          <w:spacing w:val="4"/>
          <w:sz w:val="19"/>
          <w:lang w:val="es-ES"/>
        </w:rPr>
      </w:pPr>
    </w:p>
    <w:tbl>
      <w:tblPr>
        <w:tblW w:w="0" w:type="auto"/>
        <w:tblInd w:w="5" w:type="dxa"/>
        <w:tblLayout w:type="fixed"/>
        <w:tblCellMar>
          <w:left w:w="0" w:type="dxa"/>
          <w:right w:w="0" w:type="dxa"/>
        </w:tblCellMar>
        <w:tblLook w:val="04A0" w:firstRow="1" w:lastRow="0" w:firstColumn="1" w:lastColumn="0" w:noHBand="0" w:noVBand="1"/>
      </w:tblPr>
      <w:tblGrid>
        <w:gridCol w:w="3380"/>
        <w:gridCol w:w="1620"/>
        <w:gridCol w:w="1350"/>
        <w:gridCol w:w="2167"/>
      </w:tblGrid>
      <w:tr w:rsidR="00EF5F3A" w14:paraId="33933474" w14:textId="77777777" w:rsidTr="00050BF9">
        <w:trPr>
          <w:trHeight w:hRule="exact" w:val="504"/>
        </w:trPr>
        <w:tc>
          <w:tcPr>
            <w:tcW w:w="3380" w:type="dxa"/>
            <w:tcBorders>
              <w:top w:val="single" w:sz="2" w:space="0" w:color="000000"/>
              <w:left w:val="single" w:sz="2" w:space="0" w:color="000000"/>
              <w:bottom w:val="single" w:sz="2" w:space="0" w:color="000000"/>
              <w:right w:val="single" w:sz="2" w:space="0" w:color="000000"/>
            </w:tcBorders>
            <w:shd w:val="clear" w:color="EAECEB" w:fill="EAECEB"/>
          </w:tcPr>
          <w:p w14:paraId="16AFC646" w14:textId="77777777" w:rsidR="00EF5F3A" w:rsidRPr="005A56B0" w:rsidRDefault="00EF5F3A" w:rsidP="00050BF9">
            <w:pPr>
              <w:rPr>
                <w:rFonts w:ascii="Arial" w:hAnsi="Arial" w:cs="Arial"/>
                <w:b/>
                <w:bCs/>
                <w:color w:val="000000"/>
                <w:sz w:val="16"/>
                <w:szCs w:val="16"/>
                <w:lang w:val="es-ES"/>
              </w:rPr>
            </w:pPr>
          </w:p>
        </w:tc>
        <w:tc>
          <w:tcPr>
            <w:tcW w:w="5137" w:type="dxa"/>
            <w:gridSpan w:val="3"/>
            <w:tcBorders>
              <w:top w:val="single" w:sz="2" w:space="0" w:color="000000"/>
              <w:left w:val="single" w:sz="2" w:space="0" w:color="000000"/>
              <w:bottom w:val="single" w:sz="2" w:space="0" w:color="000000"/>
              <w:right w:val="single" w:sz="2" w:space="0" w:color="000000"/>
            </w:tcBorders>
            <w:shd w:val="clear" w:color="EAECEB" w:fill="EAECEB"/>
            <w:vAlign w:val="center"/>
          </w:tcPr>
          <w:p w14:paraId="70562340" w14:textId="33F030C0" w:rsidR="00EF5F3A" w:rsidRPr="005A56B0" w:rsidRDefault="00EF5F3A" w:rsidP="00050BF9">
            <w:pPr>
              <w:jc w:val="center"/>
              <w:rPr>
                <w:rFonts w:ascii="Arial" w:hAnsi="Arial" w:cs="Arial"/>
                <w:b/>
                <w:bCs/>
                <w:color w:val="000000"/>
                <w:spacing w:val="14"/>
                <w:sz w:val="16"/>
                <w:szCs w:val="16"/>
              </w:rPr>
            </w:pPr>
            <w:r w:rsidRPr="005A56B0">
              <w:rPr>
                <w:rFonts w:ascii="Arial" w:hAnsi="Arial" w:cs="Arial"/>
                <w:b/>
                <w:bCs/>
                <w:color w:val="000000"/>
                <w:spacing w:val="14"/>
                <w:sz w:val="16"/>
                <w:szCs w:val="16"/>
              </w:rPr>
              <w:t>Año de entrada</w:t>
            </w:r>
          </w:p>
        </w:tc>
      </w:tr>
      <w:tr w:rsidR="00EF5F3A" w14:paraId="6E9415DC" w14:textId="77777777" w:rsidTr="00050BF9">
        <w:trPr>
          <w:trHeight w:hRule="exact" w:val="580"/>
        </w:trPr>
        <w:tc>
          <w:tcPr>
            <w:tcW w:w="3380" w:type="dxa"/>
            <w:tcBorders>
              <w:top w:val="single" w:sz="2" w:space="0" w:color="000000"/>
              <w:left w:val="single" w:sz="2" w:space="0" w:color="000000"/>
              <w:bottom w:val="single" w:sz="2" w:space="0" w:color="000000"/>
              <w:right w:val="single" w:sz="2" w:space="0" w:color="000000"/>
            </w:tcBorders>
            <w:shd w:val="clear" w:color="EAECEB" w:fill="EAECEB"/>
            <w:vAlign w:val="center"/>
          </w:tcPr>
          <w:p w14:paraId="315016B1" w14:textId="11242E11" w:rsidR="00EF5F3A" w:rsidRPr="005A56B0" w:rsidRDefault="00EF5F3A" w:rsidP="00050BF9">
            <w:pPr>
              <w:jc w:val="center"/>
              <w:rPr>
                <w:rFonts w:ascii="Arial" w:hAnsi="Arial" w:cs="Arial"/>
                <w:b/>
                <w:bCs/>
                <w:color w:val="000000"/>
                <w:spacing w:val="16"/>
                <w:sz w:val="16"/>
                <w:szCs w:val="16"/>
              </w:rPr>
            </w:pPr>
            <w:r w:rsidRPr="005A56B0">
              <w:rPr>
                <w:rFonts w:ascii="Arial" w:hAnsi="Arial" w:cs="Arial"/>
                <w:b/>
                <w:bCs/>
                <w:color w:val="000000"/>
                <w:spacing w:val="16"/>
                <w:sz w:val="16"/>
                <w:szCs w:val="16"/>
              </w:rPr>
              <w:t>Actos de discriminación</w:t>
            </w:r>
          </w:p>
        </w:tc>
        <w:tc>
          <w:tcPr>
            <w:tcW w:w="1620" w:type="dxa"/>
            <w:tcBorders>
              <w:top w:val="single" w:sz="2" w:space="0" w:color="000000"/>
              <w:left w:val="single" w:sz="2" w:space="0" w:color="000000"/>
              <w:bottom w:val="single" w:sz="2" w:space="0" w:color="000000"/>
              <w:right w:val="single" w:sz="2" w:space="0" w:color="000000"/>
            </w:tcBorders>
            <w:shd w:val="clear" w:color="EAECEB" w:fill="EAECEB"/>
            <w:vAlign w:val="center"/>
          </w:tcPr>
          <w:p w14:paraId="688341E4" w14:textId="77777777" w:rsidR="00EF5F3A" w:rsidRPr="005A56B0" w:rsidRDefault="00EF5F3A" w:rsidP="00050BF9">
            <w:pPr>
              <w:jc w:val="center"/>
              <w:rPr>
                <w:rFonts w:ascii="Arial" w:hAnsi="Arial" w:cs="Arial"/>
                <w:b/>
                <w:bCs/>
                <w:color w:val="000000"/>
                <w:sz w:val="16"/>
                <w:szCs w:val="16"/>
              </w:rPr>
            </w:pPr>
            <w:r w:rsidRPr="005A56B0">
              <w:rPr>
                <w:rFonts w:ascii="Arial" w:hAnsi="Arial" w:cs="Arial"/>
                <w:b/>
                <w:bCs/>
                <w:color w:val="000000"/>
                <w:sz w:val="16"/>
                <w:szCs w:val="16"/>
              </w:rPr>
              <w:t>2022</w:t>
            </w:r>
          </w:p>
        </w:tc>
        <w:tc>
          <w:tcPr>
            <w:tcW w:w="1350" w:type="dxa"/>
            <w:tcBorders>
              <w:top w:val="single" w:sz="2" w:space="0" w:color="000000"/>
              <w:left w:val="single" w:sz="2" w:space="0" w:color="000000"/>
              <w:bottom w:val="single" w:sz="2" w:space="0" w:color="000000"/>
              <w:right w:val="single" w:sz="2" w:space="0" w:color="000000"/>
            </w:tcBorders>
            <w:shd w:val="clear" w:color="EAECEB" w:fill="EAECEB"/>
            <w:vAlign w:val="center"/>
          </w:tcPr>
          <w:p w14:paraId="0E83AD82" w14:textId="77777777" w:rsidR="00EF5F3A" w:rsidRPr="005A56B0" w:rsidRDefault="00EF5F3A" w:rsidP="00050BF9">
            <w:pPr>
              <w:jc w:val="center"/>
              <w:rPr>
                <w:rFonts w:ascii="Arial" w:hAnsi="Arial" w:cs="Arial"/>
                <w:b/>
                <w:bCs/>
                <w:color w:val="000000"/>
                <w:sz w:val="16"/>
                <w:szCs w:val="16"/>
              </w:rPr>
            </w:pPr>
            <w:r w:rsidRPr="005A56B0">
              <w:rPr>
                <w:rFonts w:ascii="Arial" w:hAnsi="Arial" w:cs="Arial"/>
                <w:b/>
                <w:bCs/>
                <w:color w:val="000000"/>
                <w:sz w:val="16"/>
                <w:szCs w:val="16"/>
              </w:rPr>
              <w:t>2023</w:t>
            </w:r>
          </w:p>
        </w:tc>
        <w:tc>
          <w:tcPr>
            <w:tcW w:w="2167" w:type="dxa"/>
            <w:tcBorders>
              <w:top w:val="single" w:sz="2" w:space="0" w:color="000000"/>
              <w:left w:val="single" w:sz="2" w:space="0" w:color="000000"/>
              <w:bottom w:val="single" w:sz="2" w:space="0" w:color="000000"/>
              <w:right w:val="single" w:sz="2" w:space="0" w:color="000000"/>
            </w:tcBorders>
            <w:shd w:val="clear" w:color="EAECEB" w:fill="EAECEB"/>
            <w:vAlign w:val="center"/>
          </w:tcPr>
          <w:p w14:paraId="6CA41A5B" w14:textId="30DAD42B" w:rsidR="00EF5F3A" w:rsidRPr="005A56B0" w:rsidRDefault="00EF5F3A" w:rsidP="00050BF9">
            <w:pPr>
              <w:jc w:val="center"/>
              <w:rPr>
                <w:rFonts w:ascii="Arial" w:hAnsi="Arial" w:cs="Arial"/>
                <w:b/>
                <w:bCs/>
                <w:color w:val="000000"/>
                <w:spacing w:val="16"/>
                <w:sz w:val="16"/>
                <w:szCs w:val="16"/>
              </w:rPr>
            </w:pPr>
            <w:r w:rsidRPr="005A56B0">
              <w:rPr>
                <w:rFonts w:ascii="Arial" w:hAnsi="Arial" w:cs="Arial"/>
                <w:b/>
                <w:bCs/>
                <w:color w:val="000000"/>
                <w:spacing w:val="16"/>
                <w:sz w:val="16"/>
                <w:szCs w:val="16"/>
              </w:rPr>
              <w:t>Total procesos</w:t>
            </w:r>
          </w:p>
        </w:tc>
      </w:tr>
      <w:tr w:rsidR="00EF5F3A" w14:paraId="3FBA16DB" w14:textId="77777777" w:rsidTr="00050BF9">
        <w:trPr>
          <w:trHeight w:hRule="exact" w:val="493"/>
        </w:trPr>
        <w:tc>
          <w:tcPr>
            <w:tcW w:w="3380" w:type="dxa"/>
            <w:tcBorders>
              <w:top w:val="single" w:sz="2" w:space="0" w:color="000000"/>
              <w:left w:val="single" w:sz="2" w:space="0" w:color="000000"/>
              <w:bottom w:val="single" w:sz="2" w:space="0" w:color="000000"/>
              <w:right w:val="single" w:sz="2" w:space="0" w:color="000000"/>
            </w:tcBorders>
          </w:tcPr>
          <w:p w14:paraId="42177C0D" w14:textId="493475BA" w:rsidR="00EF5F3A" w:rsidRPr="00EF5F3A" w:rsidRDefault="00EF5F3A" w:rsidP="00050BF9">
            <w:pPr>
              <w:spacing w:before="36"/>
              <w:jc w:val="center"/>
              <w:rPr>
                <w:rFonts w:ascii="Arial" w:hAnsi="Arial" w:cs="Arial"/>
                <w:color w:val="000000"/>
                <w:sz w:val="16"/>
                <w:szCs w:val="16"/>
                <w:lang w:val="es-ES"/>
              </w:rPr>
            </w:pPr>
            <w:r w:rsidRPr="00EF5F3A">
              <w:rPr>
                <w:rFonts w:ascii="Arial" w:hAnsi="Arial" w:cs="Arial"/>
                <w:color w:val="000000"/>
                <w:sz w:val="16"/>
                <w:szCs w:val="16"/>
                <w:lang w:val="es-ES"/>
              </w:rPr>
              <w:t>Actos de racismo o discriminación Art. 134 A</w:t>
            </w:r>
            <w:r w:rsidR="005A56B0">
              <w:rPr>
                <w:rFonts w:ascii="Arial" w:hAnsi="Arial" w:cs="Arial"/>
                <w:color w:val="000000"/>
                <w:sz w:val="16"/>
                <w:szCs w:val="16"/>
                <w:lang w:val="es-ES"/>
              </w:rPr>
              <w:t xml:space="preserve"> del C.P.</w:t>
            </w:r>
          </w:p>
        </w:tc>
        <w:tc>
          <w:tcPr>
            <w:tcW w:w="1620" w:type="dxa"/>
            <w:tcBorders>
              <w:top w:val="single" w:sz="2" w:space="0" w:color="000000"/>
              <w:left w:val="single" w:sz="2" w:space="0" w:color="000000"/>
              <w:bottom w:val="single" w:sz="2" w:space="0" w:color="000000"/>
              <w:right w:val="single" w:sz="2" w:space="0" w:color="000000"/>
            </w:tcBorders>
            <w:vAlign w:val="center"/>
          </w:tcPr>
          <w:p w14:paraId="19FEE48E" w14:textId="77777777" w:rsidR="00EF5F3A" w:rsidRPr="00EF5F3A" w:rsidRDefault="00EF5F3A" w:rsidP="00893415">
            <w:pPr>
              <w:jc w:val="center"/>
              <w:rPr>
                <w:rFonts w:ascii="Arial" w:hAnsi="Arial" w:cs="Arial"/>
                <w:color w:val="000000"/>
                <w:sz w:val="16"/>
                <w:szCs w:val="16"/>
              </w:rPr>
            </w:pPr>
            <w:r w:rsidRPr="00EF5F3A">
              <w:rPr>
                <w:rFonts w:ascii="Arial" w:hAnsi="Arial" w:cs="Arial"/>
                <w:color w:val="000000"/>
                <w:sz w:val="16"/>
                <w:szCs w:val="16"/>
              </w:rPr>
              <w:t>12</w:t>
            </w:r>
          </w:p>
        </w:tc>
        <w:tc>
          <w:tcPr>
            <w:tcW w:w="1350" w:type="dxa"/>
            <w:tcBorders>
              <w:top w:val="single" w:sz="2" w:space="0" w:color="000000"/>
              <w:left w:val="single" w:sz="2" w:space="0" w:color="000000"/>
              <w:bottom w:val="single" w:sz="2" w:space="0" w:color="000000"/>
              <w:right w:val="single" w:sz="2" w:space="0" w:color="000000"/>
            </w:tcBorders>
            <w:vAlign w:val="center"/>
          </w:tcPr>
          <w:p w14:paraId="6292C94A" w14:textId="77777777" w:rsidR="00EF5F3A" w:rsidRPr="00EF5F3A" w:rsidRDefault="00EF5F3A" w:rsidP="00893415">
            <w:pPr>
              <w:jc w:val="center"/>
              <w:rPr>
                <w:rFonts w:ascii="Arial" w:hAnsi="Arial" w:cs="Arial"/>
                <w:color w:val="000000"/>
                <w:sz w:val="16"/>
                <w:szCs w:val="16"/>
              </w:rPr>
            </w:pPr>
            <w:r w:rsidRPr="00EF5F3A">
              <w:rPr>
                <w:rFonts w:ascii="Arial" w:hAnsi="Arial" w:cs="Arial"/>
                <w:color w:val="000000"/>
                <w:sz w:val="16"/>
                <w:szCs w:val="16"/>
              </w:rPr>
              <w:t>3</w:t>
            </w:r>
          </w:p>
        </w:tc>
        <w:tc>
          <w:tcPr>
            <w:tcW w:w="2167" w:type="dxa"/>
            <w:tcBorders>
              <w:top w:val="single" w:sz="2" w:space="0" w:color="000000"/>
              <w:left w:val="single" w:sz="2" w:space="0" w:color="000000"/>
              <w:bottom w:val="single" w:sz="2" w:space="0" w:color="000000"/>
              <w:right w:val="single" w:sz="2" w:space="0" w:color="000000"/>
            </w:tcBorders>
            <w:vAlign w:val="center"/>
          </w:tcPr>
          <w:p w14:paraId="34411472" w14:textId="77777777" w:rsidR="00EF5F3A" w:rsidRPr="00EF5F3A" w:rsidRDefault="00EF5F3A" w:rsidP="00893415">
            <w:pPr>
              <w:jc w:val="center"/>
              <w:rPr>
                <w:rFonts w:ascii="Arial" w:hAnsi="Arial" w:cs="Arial"/>
                <w:color w:val="000000"/>
                <w:sz w:val="16"/>
                <w:szCs w:val="16"/>
              </w:rPr>
            </w:pPr>
            <w:r w:rsidRPr="00EF5F3A">
              <w:rPr>
                <w:rFonts w:ascii="Arial" w:hAnsi="Arial" w:cs="Arial"/>
                <w:color w:val="000000"/>
                <w:sz w:val="16"/>
                <w:szCs w:val="16"/>
              </w:rPr>
              <w:t>15</w:t>
            </w:r>
          </w:p>
        </w:tc>
      </w:tr>
      <w:tr w:rsidR="00EF5F3A" w14:paraId="422A16A4" w14:textId="77777777" w:rsidTr="00050BF9">
        <w:trPr>
          <w:trHeight w:hRule="exact" w:val="605"/>
        </w:trPr>
        <w:tc>
          <w:tcPr>
            <w:tcW w:w="3380" w:type="dxa"/>
            <w:tcBorders>
              <w:top w:val="single" w:sz="2" w:space="0" w:color="000000"/>
              <w:left w:val="single" w:sz="2" w:space="0" w:color="000000"/>
              <w:bottom w:val="single" w:sz="2" w:space="0" w:color="000000"/>
              <w:right w:val="single" w:sz="2" w:space="0" w:color="000000"/>
            </w:tcBorders>
          </w:tcPr>
          <w:p w14:paraId="610BA74C" w14:textId="25C59408" w:rsidR="00EF5F3A" w:rsidRPr="00EF5F3A" w:rsidRDefault="00EF5F3A" w:rsidP="00050BF9">
            <w:pPr>
              <w:jc w:val="center"/>
              <w:rPr>
                <w:rFonts w:ascii="Arial" w:hAnsi="Arial" w:cs="Arial"/>
                <w:color w:val="000000"/>
                <w:spacing w:val="-5"/>
                <w:sz w:val="16"/>
                <w:szCs w:val="16"/>
                <w:lang w:val="es-ES"/>
              </w:rPr>
            </w:pPr>
            <w:r w:rsidRPr="00EF5F3A">
              <w:rPr>
                <w:rFonts w:ascii="Arial" w:hAnsi="Arial" w:cs="Arial"/>
                <w:color w:val="000000"/>
                <w:spacing w:val="-5"/>
                <w:sz w:val="16"/>
                <w:szCs w:val="16"/>
                <w:lang w:val="es-ES"/>
              </w:rPr>
              <w:t xml:space="preserve">Hostigamiento por motivos de raza, </w:t>
            </w:r>
            <w:r w:rsidRPr="00EF5F3A">
              <w:rPr>
                <w:rFonts w:ascii="Arial" w:hAnsi="Arial" w:cs="Arial"/>
                <w:color w:val="000000"/>
                <w:spacing w:val="-4"/>
                <w:sz w:val="16"/>
                <w:szCs w:val="16"/>
                <w:lang w:val="es-ES"/>
              </w:rPr>
              <w:t>religión, ideología, política, u origen</w:t>
            </w:r>
            <w:r w:rsidR="00B65E81">
              <w:rPr>
                <w:rFonts w:ascii="Arial" w:hAnsi="Arial" w:cs="Arial"/>
                <w:color w:val="000000"/>
                <w:spacing w:val="-4"/>
                <w:sz w:val="16"/>
                <w:szCs w:val="16"/>
                <w:lang w:val="es-ES"/>
              </w:rPr>
              <w:t xml:space="preserve"> </w:t>
            </w:r>
            <w:r w:rsidRPr="00EF5F3A">
              <w:rPr>
                <w:rFonts w:ascii="Arial" w:hAnsi="Arial" w:cs="Arial"/>
                <w:color w:val="000000"/>
                <w:spacing w:val="-4"/>
                <w:sz w:val="16"/>
                <w:szCs w:val="16"/>
                <w:lang w:val="es-ES"/>
              </w:rPr>
              <w:t xml:space="preserve">nacional, étnico </w:t>
            </w:r>
            <w:r w:rsidR="00B65E81">
              <w:rPr>
                <w:rFonts w:ascii="Arial" w:hAnsi="Arial" w:cs="Arial"/>
                <w:color w:val="000000"/>
                <w:spacing w:val="-4"/>
                <w:sz w:val="16"/>
                <w:szCs w:val="16"/>
                <w:lang w:val="es-ES"/>
              </w:rPr>
              <w:t>o</w:t>
            </w:r>
            <w:r w:rsidRPr="00EF5F3A">
              <w:rPr>
                <w:rFonts w:ascii="Arial" w:hAnsi="Arial" w:cs="Arial"/>
                <w:color w:val="000000"/>
                <w:spacing w:val="-4"/>
                <w:sz w:val="16"/>
                <w:szCs w:val="16"/>
                <w:lang w:val="es-ES"/>
              </w:rPr>
              <w:t xml:space="preserve"> cultural </w:t>
            </w:r>
            <w:r w:rsidR="005A56B0" w:rsidRPr="005A56B0">
              <w:rPr>
                <w:rFonts w:ascii="Arial" w:hAnsi="Arial" w:cs="Arial"/>
                <w:color w:val="000000"/>
                <w:spacing w:val="-4"/>
                <w:sz w:val="16"/>
                <w:szCs w:val="16"/>
                <w:lang w:val="es-ES"/>
              </w:rPr>
              <w:t xml:space="preserve">Art. </w:t>
            </w:r>
            <w:r w:rsidRPr="00EF5F3A">
              <w:rPr>
                <w:rFonts w:ascii="Arial" w:hAnsi="Arial" w:cs="Arial"/>
                <w:color w:val="000000"/>
                <w:spacing w:val="-4"/>
                <w:sz w:val="16"/>
                <w:szCs w:val="16"/>
                <w:lang w:val="es-ES"/>
              </w:rPr>
              <w:t>134 B</w:t>
            </w:r>
            <w:r w:rsidR="005A56B0">
              <w:rPr>
                <w:rFonts w:ascii="Arial" w:hAnsi="Arial" w:cs="Arial"/>
                <w:color w:val="000000"/>
                <w:spacing w:val="-4"/>
                <w:sz w:val="16"/>
                <w:szCs w:val="16"/>
                <w:lang w:val="es-ES"/>
              </w:rPr>
              <w:t xml:space="preserve"> del </w:t>
            </w:r>
            <w:r w:rsidR="005A56B0" w:rsidRPr="005A56B0">
              <w:rPr>
                <w:rFonts w:ascii="Arial" w:hAnsi="Arial" w:cs="Arial"/>
                <w:color w:val="000000"/>
                <w:spacing w:val="-4"/>
                <w:sz w:val="16"/>
                <w:szCs w:val="16"/>
                <w:lang w:val="es-ES"/>
              </w:rPr>
              <w:t>C.P.</w:t>
            </w:r>
          </w:p>
        </w:tc>
        <w:tc>
          <w:tcPr>
            <w:tcW w:w="1620" w:type="dxa"/>
            <w:tcBorders>
              <w:top w:val="single" w:sz="2" w:space="0" w:color="000000"/>
              <w:left w:val="single" w:sz="2" w:space="0" w:color="000000"/>
              <w:bottom w:val="single" w:sz="2" w:space="0" w:color="000000"/>
              <w:right w:val="single" w:sz="2" w:space="0" w:color="000000"/>
            </w:tcBorders>
            <w:vAlign w:val="center"/>
          </w:tcPr>
          <w:p w14:paraId="171E035A" w14:textId="77777777" w:rsidR="00EF5F3A" w:rsidRPr="00EF5F3A" w:rsidRDefault="00EF5F3A" w:rsidP="00893415">
            <w:pPr>
              <w:jc w:val="center"/>
              <w:rPr>
                <w:rFonts w:ascii="Arial" w:hAnsi="Arial" w:cs="Arial"/>
                <w:color w:val="000000"/>
                <w:sz w:val="16"/>
                <w:szCs w:val="16"/>
              </w:rPr>
            </w:pPr>
            <w:r w:rsidRPr="00EF5F3A">
              <w:rPr>
                <w:rFonts w:ascii="Arial" w:hAnsi="Arial" w:cs="Arial"/>
                <w:color w:val="000000"/>
                <w:sz w:val="16"/>
                <w:szCs w:val="16"/>
              </w:rPr>
              <w:t>24</w:t>
            </w:r>
          </w:p>
        </w:tc>
        <w:tc>
          <w:tcPr>
            <w:tcW w:w="1350" w:type="dxa"/>
            <w:tcBorders>
              <w:top w:val="single" w:sz="2" w:space="0" w:color="000000"/>
              <w:left w:val="single" w:sz="2" w:space="0" w:color="000000"/>
              <w:bottom w:val="single" w:sz="2" w:space="0" w:color="000000"/>
              <w:right w:val="single" w:sz="2" w:space="0" w:color="000000"/>
            </w:tcBorders>
          </w:tcPr>
          <w:p w14:paraId="75734705" w14:textId="77777777" w:rsidR="00EF5F3A" w:rsidRPr="00EF5F3A" w:rsidRDefault="00EF5F3A" w:rsidP="00893415">
            <w:pPr>
              <w:jc w:val="center"/>
              <w:rPr>
                <w:rFonts w:ascii="Arial" w:hAnsi="Arial" w:cs="Arial"/>
                <w:color w:val="000000"/>
                <w:sz w:val="16"/>
                <w:szCs w:val="16"/>
              </w:rPr>
            </w:pPr>
            <w:r w:rsidRPr="00EF5F3A">
              <w:rPr>
                <w:rFonts w:ascii="Arial" w:hAnsi="Arial" w:cs="Arial"/>
                <w:color w:val="000000"/>
                <w:sz w:val="16"/>
                <w:szCs w:val="16"/>
              </w:rPr>
              <w:t>1</w:t>
            </w:r>
          </w:p>
        </w:tc>
        <w:tc>
          <w:tcPr>
            <w:tcW w:w="2167" w:type="dxa"/>
            <w:tcBorders>
              <w:top w:val="single" w:sz="2" w:space="0" w:color="000000"/>
              <w:left w:val="single" w:sz="2" w:space="0" w:color="000000"/>
              <w:bottom w:val="single" w:sz="2" w:space="0" w:color="000000"/>
              <w:right w:val="single" w:sz="2" w:space="0" w:color="000000"/>
            </w:tcBorders>
            <w:vAlign w:val="center"/>
          </w:tcPr>
          <w:p w14:paraId="627874EA" w14:textId="77777777" w:rsidR="00EF5F3A" w:rsidRPr="00EF5F3A" w:rsidRDefault="00EF5F3A" w:rsidP="00893415">
            <w:pPr>
              <w:jc w:val="center"/>
              <w:rPr>
                <w:rFonts w:ascii="Arial" w:hAnsi="Arial" w:cs="Arial"/>
                <w:color w:val="000000"/>
                <w:sz w:val="16"/>
                <w:szCs w:val="16"/>
              </w:rPr>
            </w:pPr>
            <w:r w:rsidRPr="00EF5F3A">
              <w:rPr>
                <w:rFonts w:ascii="Arial" w:hAnsi="Arial" w:cs="Arial"/>
                <w:color w:val="000000"/>
                <w:sz w:val="16"/>
                <w:szCs w:val="16"/>
              </w:rPr>
              <w:t>25</w:t>
            </w:r>
          </w:p>
        </w:tc>
      </w:tr>
      <w:tr w:rsidR="00EF5F3A" w14:paraId="1B3C3E2C" w14:textId="77777777" w:rsidTr="00050BF9">
        <w:trPr>
          <w:trHeight w:hRule="exact" w:val="503"/>
        </w:trPr>
        <w:tc>
          <w:tcPr>
            <w:tcW w:w="3380" w:type="dxa"/>
            <w:tcBorders>
              <w:top w:val="single" w:sz="2" w:space="0" w:color="000000"/>
              <w:left w:val="single" w:sz="2" w:space="0" w:color="000000"/>
              <w:bottom w:val="single" w:sz="2" w:space="0" w:color="000000"/>
              <w:right w:val="single" w:sz="2" w:space="0" w:color="000000"/>
            </w:tcBorders>
            <w:vAlign w:val="center"/>
          </w:tcPr>
          <w:p w14:paraId="63B35F0D" w14:textId="38DCD4E5" w:rsidR="00EF5F3A" w:rsidRPr="00EF5F3A" w:rsidRDefault="00EF5F3A" w:rsidP="00050BF9">
            <w:pPr>
              <w:jc w:val="center"/>
              <w:rPr>
                <w:rFonts w:ascii="Arial" w:hAnsi="Arial" w:cs="Arial"/>
                <w:color w:val="000000"/>
                <w:sz w:val="16"/>
                <w:szCs w:val="16"/>
              </w:rPr>
            </w:pPr>
            <w:r w:rsidRPr="00EF5F3A">
              <w:rPr>
                <w:rFonts w:ascii="Arial" w:hAnsi="Arial" w:cs="Arial"/>
                <w:color w:val="000000"/>
                <w:sz w:val="16"/>
                <w:szCs w:val="16"/>
              </w:rPr>
              <w:t xml:space="preserve">Total procesos </w:t>
            </w:r>
            <w:r w:rsidR="005A56B0">
              <w:rPr>
                <w:rFonts w:ascii="Arial" w:hAnsi="Arial" w:cs="Arial"/>
                <w:color w:val="000000"/>
                <w:sz w:val="16"/>
                <w:szCs w:val="16"/>
              </w:rPr>
              <w:t>únicos</w:t>
            </w:r>
          </w:p>
        </w:tc>
        <w:tc>
          <w:tcPr>
            <w:tcW w:w="1620" w:type="dxa"/>
            <w:tcBorders>
              <w:top w:val="single" w:sz="2" w:space="0" w:color="000000"/>
              <w:left w:val="single" w:sz="2" w:space="0" w:color="000000"/>
              <w:bottom w:val="single" w:sz="2" w:space="0" w:color="000000"/>
              <w:right w:val="single" w:sz="2" w:space="0" w:color="000000"/>
            </w:tcBorders>
            <w:vAlign w:val="center"/>
          </w:tcPr>
          <w:p w14:paraId="73526EE1" w14:textId="77777777" w:rsidR="00EF5F3A" w:rsidRPr="00EF5F3A" w:rsidRDefault="00EF5F3A" w:rsidP="00893415">
            <w:pPr>
              <w:jc w:val="center"/>
              <w:rPr>
                <w:rFonts w:ascii="Arial" w:hAnsi="Arial" w:cs="Arial"/>
                <w:color w:val="000000"/>
                <w:sz w:val="16"/>
                <w:szCs w:val="16"/>
              </w:rPr>
            </w:pPr>
            <w:r w:rsidRPr="00EF5F3A">
              <w:rPr>
                <w:rFonts w:ascii="Arial" w:hAnsi="Arial" w:cs="Arial"/>
                <w:color w:val="000000"/>
                <w:sz w:val="16"/>
                <w:szCs w:val="16"/>
              </w:rPr>
              <w:t>36</w:t>
            </w:r>
          </w:p>
        </w:tc>
        <w:tc>
          <w:tcPr>
            <w:tcW w:w="1350" w:type="dxa"/>
            <w:tcBorders>
              <w:top w:val="single" w:sz="2" w:space="0" w:color="000000"/>
              <w:left w:val="single" w:sz="2" w:space="0" w:color="000000"/>
              <w:bottom w:val="single" w:sz="2" w:space="0" w:color="000000"/>
              <w:right w:val="single" w:sz="2" w:space="0" w:color="000000"/>
            </w:tcBorders>
            <w:vAlign w:val="center"/>
          </w:tcPr>
          <w:p w14:paraId="3C74A2ED" w14:textId="77777777" w:rsidR="00EF5F3A" w:rsidRPr="00EF5F3A" w:rsidRDefault="00EF5F3A" w:rsidP="00893415">
            <w:pPr>
              <w:jc w:val="center"/>
              <w:rPr>
                <w:rFonts w:ascii="Arial" w:hAnsi="Arial" w:cs="Arial"/>
                <w:color w:val="000000"/>
                <w:sz w:val="16"/>
                <w:szCs w:val="16"/>
              </w:rPr>
            </w:pPr>
            <w:r w:rsidRPr="00EF5F3A">
              <w:rPr>
                <w:rFonts w:ascii="Arial" w:hAnsi="Arial" w:cs="Arial"/>
                <w:color w:val="000000"/>
                <w:sz w:val="16"/>
                <w:szCs w:val="16"/>
              </w:rPr>
              <w:t>4</w:t>
            </w:r>
          </w:p>
        </w:tc>
        <w:tc>
          <w:tcPr>
            <w:tcW w:w="2167" w:type="dxa"/>
            <w:tcBorders>
              <w:top w:val="single" w:sz="2" w:space="0" w:color="000000"/>
              <w:left w:val="single" w:sz="2" w:space="0" w:color="000000"/>
              <w:bottom w:val="single" w:sz="2" w:space="0" w:color="000000"/>
              <w:right w:val="single" w:sz="2" w:space="0" w:color="000000"/>
            </w:tcBorders>
            <w:vAlign w:val="center"/>
          </w:tcPr>
          <w:p w14:paraId="619B3B3B" w14:textId="77777777" w:rsidR="00EF5F3A" w:rsidRPr="00EF5F3A" w:rsidRDefault="00EF5F3A" w:rsidP="00893415">
            <w:pPr>
              <w:jc w:val="center"/>
              <w:rPr>
                <w:rFonts w:ascii="Arial" w:hAnsi="Arial" w:cs="Arial"/>
                <w:color w:val="000000"/>
                <w:sz w:val="16"/>
                <w:szCs w:val="16"/>
              </w:rPr>
            </w:pPr>
            <w:r w:rsidRPr="00EF5F3A">
              <w:rPr>
                <w:rFonts w:ascii="Arial" w:hAnsi="Arial" w:cs="Arial"/>
                <w:color w:val="000000"/>
                <w:sz w:val="16"/>
                <w:szCs w:val="16"/>
              </w:rPr>
              <w:t>40</w:t>
            </w:r>
          </w:p>
        </w:tc>
      </w:tr>
    </w:tbl>
    <w:p w14:paraId="7ABE3484" w14:textId="12011942" w:rsidR="00EF5F3A" w:rsidRDefault="00EF5F3A" w:rsidP="00EF5F3A"/>
    <w:p w14:paraId="18E70A1C" w14:textId="4CD2A392" w:rsidR="00EF5F3A" w:rsidRPr="00EF5F3A" w:rsidRDefault="005A56B0" w:rsidP="00C56209">
      <w:pPr>
        <w:spacing w:line="240" w:lineRule="auto"/>
        <w:jc w:val="both"/>
        <w:rPr>
          <w:rFonts w:ascii="Arial" w:hAnsi="Arial" w:cs="Arial"/>
        </w:rPr>
      </w:pPr>
      <w:r>
        <w:rPr>
          <w:rFonts w:ascii="Arial" w:hAnsi="Arial" w:cs="Arial"/>
          <w:lang w:val="es-ES"/>
        </w:rPr>
        <w:t>2</w:t>
      </w:r>
      <w:r w:rsidR="00EF5F3A" w:rsidRPr="00EF5F3A">
        <w:rPr>
          <w:rFonts w:ascii="Arial" w:hAnsi="Arial" w:cs="Arial"/>
          <w:lang w:val="es-ES"/>
        </w:rPr>
        <w:t>.</w:t>
      </w:r>
      <w:r w:rsidR="00EF5F3A">
        <w:rPr>
          <w:rFonts w:ascii="Arial" w:hAnsi="Arial" w:cs="Arial"/>
        </w:rPr>
        <w:t xml:space="preserve"> </w:t>
      </w:r>
      <w:r w:rsidR="00EF5F3A" w:rsidRPr="00EF5F3A">
        <w:rPr>
          <w:rFonts w:ascii="Arial" w:hAnsi="Arial" w:cs="Arial"/>
        </w:rPr>
        <w:t>Información del número de procesos por hechos de violencia, con v</w:t>
      </w:r>
      <w:r w:rsidR="00893415">
        <w:rPr>
          <w:rFonts w:ascii="Arial" w:hAnsi="Arial" w:cs="Arial"/>
        </w:rPr>
        <w:t>í</w:t>
      </w:r>
      <w:r w:rsidR="00EF5F3A" w:rsidRPr="00EF5F3A">
        <w:rPr>
          <w:rFonts w:ascii="Arial" w:hAnsi="Arial" w:cs="Arial"/>
        </w:rPr>
        <w:t>ctimas</w:t>
      </w:r>
      <w:r w:rsidR="00EF5F3A">
        <w:rPr>
          <w:rFonts w:ascii="Arial" w:hAnsi="Arial" w:cs="Arial"/>
        </w:rPr>
        <w:t xml:space="preserve"> </w:t>
      </w:r>
      <w:r w:rsidR="00EF5F3A" w:rsidRPr="00EF5F3A">
        <w:rPr>
          <w:rFonts w:ascii="Arial" w:hAnsi="Arial" w:cs="Arial"/>
        </w:rPr>
        <w:t>adulto</w:t>
      </w:r>
      <w:r w:rsidR="00EF5F3A">
        <w:rPr>
          <w:rFonts w:ascii="Arial" w:hAnsi="Arial" w:cs="Arial"/>
        </w:rPr>
        <w:t xml:space="preserve"> </w:t>
      </w:r>
      <w:r w:rsidR="00EF5F3A" w:rsidRPr="00EF5F3A">
        <w:rPr>
          <w:rFonts w:ascii="Arial" w:hAnsi="Arial" w:cs="Arial"/>
        </w:rPr>
        <w:t xml:space="preserve">mayor, personas igual o mayor a 60 </w:t>
      </w:r>
      <w:r>
        <w:rPr>
          <w:rFonts w:ascii="Arial" w:hAnsi="Arial" w:cs="Arial"/>
        </w:rPr>
        <w:t>años</w:t>
      </w:r>
      <w:r w:rsidR="00EF5F3A" w:rsidRPr="00EF5F3A">
        <w:rPr>
          <w:rFonts w:ascii="Arial" w:hAnsi="Arial" w:cs="Arial"/>
        </w:rPr>
        <w:t xml:space="preserve">, a partir del </w:t>
      </w:r>
      <w:r>
        <w:rPr>
          <w:rFonts w:ascii="Arial" w:hAnsi="Arial" w:cs="Arial"/>
        </w:rPr>
        <w:t>año</w:t>
      </w:r>
      <w:r w:rsidR="00EF5F3A" w:rsidRPr="00EF5F3A">
        <w:rPr>
          <w:rFonts w:ascii="Arial" w:hAnsi="Arial" w:cs="Arial"/>
        </w:rPr>
        <w:t xml:space="preserve"> de entrada del 2022 al </w:t>
      </w:r>
      <w:r>
        <w:rPr>
          <w:rFonts w:ascii="Arial" w:hAnsi="Arial" w:cs="Arial"/>
        </w:rPr>
        <w:t>corte</w:t>
      </w:r>
      <w:r w:rsidR="00AB565C">
        <w:rPr>
          <w:rFonts w:ascii="Arial" w:hAnsi="Arial" w:cs="Arial"/>
        </w:rPr>
        <w:t>:</w:t>
      </w:r>
    </w:p>
    <w:tbl>
      <w:tblPr>
        <w:tblW w:w="0" w:type="auto"/>
        <w:tblInd w:w="8" w:type="dxa"/>
        <w:tblLayout w:type="fixed"/>
        <w:tblCellMar>
          <w:left w:w="0" w:type="dxa"/>
          <w:right w:w="0" w:type="dxa"/>
        </w:tblCellMar>
        <w:tblLook w:val="04A0" w:firstRow="1" w:lastRow="0" w:firstColumn="1" w:lastColumn="0" w:noHBand="0" w:noVBand="1"/>
      </w:tblPr>
      <w:tblGrid>
        <w:gridCol w:w="3780"/>
        <w:gridCol w:w="1624"/>
        <w:gridCol w:w="1213"/>
        <w:gridCol w:w="1400"/>
        <w:gridCol w:w="497"/>
      </w:tblGrid>
      <w:tr w:rsidR="00EF5F3A" w14:paraId="690F6590" w14:textId="77777777" w:rsidTr="00050BF9">
        <w:trPr>
          <w:trHeight w:hRule="exact" w:val="497"/>
        </w:trPr>
        <w:tc>
          <w:tcPr>
            <w:tcW w:w="3780" w:type="dxa"/>
            <w:tcBorders>
              <w:top w:val="single" w:sz="2" w:space="0" w:color="000000"/>
              <w:left w:val="single" w:sz="2" w:space="0" w:color="000000"/>
              <w:bottom w:val="single" w:sz="2" w:space="0" w:color="000000"/>
              <w:right w:val="single" w:sz="2" w:space="0" w:color="000000"/>
            </w:tcBorders>
            <w:shd w:val="clear" w:color="EBECEB" w:fill="EBECEB"/>
          </w:tcPr>
          <w:p w14:paraId="727B8912" w14:textId="77777777" w:rsidR="00EF5F3A" w:rsidRPr="005A56B0" w:rsidRDefault="00EF5F3A" w:rsidP="00050BF9">
            <w:pPr>
              <w:rPr>
                <w:rFonts w:ascii="Arial" w:hAnsi="Arial" w:cs="Arial"/>
                <w:b/>
                <w:color w:val="000000"/>
                <w:sz w:val="16"/>
                <w:szCs w:val="16"/>
                <w:lang w:val="es-ES"/>
              </w:rPr>
            </w:pPr>
          </w:p>
        </w:tc>
        <w:tc>
          <w:tcPr>
            <w:tcW w:w="4237" w:type="dxa"/>
            <w:gridSpan w:val="3"/>
            <w:tcBorders>
              <w:top w:val="single" w:sz="2" w:space="0" w:color="000000"/>
              <w:left w:val="single" w:sz="2" w:space="0" w:color="000000"/>
              <w:bottom w:val="single" w:sz="2" w:space="0" w:color="000000"/>
              <w:right w:val="none" w:sz="0" w:space="0" w:color="000000"/>
            </w:tcBorders>
            <w:shd w:val="clear" w:color="EBECEB" w:fill="EBECEB"/>
            <w:vAlign w:val="center"/>
          </w:tcPr>
          <w:p w14:paraId="08465A86" w14:textId="1E3B41CA" w:rsidR="00EF5F3A" w:rsidRPr="005A56B0" w:rsidRDefault="00EF5F3A" w:rsidP="00050BF9">
            <w:pPr>
              <w:ind w:right="1231"/>
              <w:jc w:val="right"/>
              <w:rPr>
                <w:rFonts w:ascii="Arial" w:hAnsi="Arial" w:cs="Arial"/>
                <w:b/>
                <w:color w:val="000000"/>
                <w:sz w:val="16"/>
                <w:szCs w:val="16"/>
              </w:rPr>
            </w:pPr>
            <w:r w:rsidRPr="005A56B0">
              <w:rPr>
                <w:rFonts w:ascii="Arial" w:hAnsi="Arial" w:cs="Arial"/>
                <w:b/>
                <w:color w:val="000000"/>
                <w:sz w:val="16"/>
                <w:szCs w:val="16"/>
              </w:rPr>
              <w:t>A</w:t>
            </w:r>
            <w:r w:rsidR="00B97B03">
              <w:rPr>
                <w:rFonts w:ascii="Arial" w:hAnsi="Arial" w:cs="Arial"/>
                <w:b/>
                <w:color w:val="000000"/>
                <w:sz w:val="16"/>
                <w:szCs w:val="16"/>
              </w:rPr>
              <w:t>ñ</w:t>
            </w:r>
            <w:r w:rsidRPr="005A56B0">
              <w:rPr>
                <w:rFonts w:ascii="Arial" w:hAnsi="Arial" w:cs="Arial"/>
                <w:b/>
                <w:color w:val="000000"/>
                <w:sz w:val="16"/>
                <w:szCs w:val="16"/>
              </w:rPr>
              <w:t>o de entrada</w:t>
            </w:r>
          </w:p>
        </w:tc>
        <w:tc>
          <w:tcPr>
            <w:tcW w:w="497" w:type="dxa"/>
            <w:tcBorders>
              <w:top w:val="single" w:sz="2" w:space="0" w:color="000000"/>
              <w:left w:val="none" w:sz="0" w:space="0" w:color="000000"/>
              <w:bottom w:val="single" w:sz="2" w:space="0" w:color="000000"/>
              <w:right w:val="single" w:sz="2" w:space="0" w:color="000000"/>
            </w:tcBorders>
            <w:shd w:val="clear" w:color="EBECEB" w:fill="EBECEB"/>
          </w:tcPr>
          <w:p w14:paraId="0E0B7836" w14:textId="77777777" w:rsidR="00EF5F3A" w:rsidRPr="005A56B0" w:rsidRDefault="00EF5F3A" w:rsidP="00050BF9">
            <w:pPr>
              <w:rPr>
                <w:rFonts w:ascii="Arial" w:hAnsi="Arial" w:cs="Arial"/>
                <w:b/>
                <w:color w:val="000000"/>
                <w:sz w:val="16"/>
                <w:szCs w:val="16"/>
              </w:rPr>
            </w:pPr>
          </w:p>
        </w:tc>
      </w:tr>
      <w:tr w:rsidR="00EF5F3A" w14:paraId="34DEF223" w14:textId="77777777" w:rsidTr="00050BF9">
        <w:trPr>
          <w:trHeight w:hRule="exact" w:val="572"/>
        </w:trPr>
        <w:tc>
          <w:tcPr>
            <w:tcW w:w="3780" w:type="dxa"/>
            <w:tcBorders>
              <w:top w:val="single" w:sz="2" w:space="0" w:color="000000"/>
              <w:left w:val="single" w:sz="2" w:space="0" w:color="000000"/>
              <w:bottom w:val="single" w:sz="2" w:space="0" w:color="000000"/>
              <w:right w:val="single" w:sz="2" w:space="0" w:color="000000"/>
            </w:tcBorders>
            <w:shd w:val="clear" w:color="EBECEB" w:fill="EBECEB"/>
            <w:vAlign w:val="center"/>
          </w:tcPr>
          <w:p w14:paraId="0EB83D20" w14:textId="77777777" w:rsidR="00EF5F3A" w:rsidRPr="005A56B0" w:rsidRDefault="00EF5F3A" w:rsidP="00050BF9">
            <w:pPr>
              <w:jc w:val="center"/>
              <w:rPr>
                <w:rFonts w:ascii="Arial" w:hAnsi="Arial" w:cs="Arial"/>
                <w:b/>
                <w:color w:val="000000"/>
                <w:sz w:val="16"/>
                <w:szCs w:val="16"/>
              </w:rPr>
            </w:pPr>
            <w:r w:rsidRPr="005A56B0">
              <w:rPr>
                <w:rFonts w:ascii="Arial" w:hAnsi="Arial" w:cs="Arial"/>
                <w:b/>
                <w:color w:val="000000"/>
                <w:sz w:val="16"/>
                <w:szCs w:val="16"/>
              </w:rPr>
              <w:t>Delito</w:t>
            </w:r>
          </w:p>
        </w:tc>
        <w:tc>
          <w:tcPr>
            <w:tcW w:w="1624" w:type="dxa"/>
            <w:tcBorders>
              <w:top w:val="single" w:sz="2" w:space="0" w:color="000000"/>
              <w:left w:val="single" w:sz="2" w:space="0" w:color="000000"/>
              <w:bottom w:val="single" w:sz="2" w:space="0" w:color="000000"/>
              <w:right w:val="single" w:sz="2" w:space="0" w:color="000000"/>
            </w:tcBorders>
            <w:shd w:val="clear" w:color="EBECEB" w:fill="EBECEB"/>
            <w:vAlign w:val="center"/>
          </w:tcPr>
          <w:p w14:paraId="4D0DB91C" w14:textId="77777777" w:rsidR="00EF5F3A" w:rsidRPr="005A56B0" w:rsidRDefault="00EF5F3A" w:rsidP="00050BF9">
            <w:pPr>
              <w:jc w:val="center"/>
              <w:rPr>
                <w:rFonts w:ascii="Arial" w:hAnsi="Arial" w:cs="Arial"/>
                <w:b/>
                <w:color w:val="000000"/>
                <w:sz w:val="16"/>
                <w:szCs w:val="16"/>
              </w:rPr>
            </w:pPr>
            <w:r w:rsidRPr="005A56B0">
              <w:rPr>
                <w:rFonts w:ascii="Arial" w:hAnsi="Arial" w:cs="Arial"/>
                <w:b/>
                <w:color w:val="000000"/>
                <w:sz w:val="16"/>
                <w:szCs w:val="16"/>
              </w:rPr>
              <w:t>2022</w:t>
            </w:r>
          </w:p>
        </w:tc>
        <w:tc>
          <w:tcPr>
            <w:tcW w:w="1213" w:type="dxa"/>
            <w:tcBorders>
              <w:top w:val="single" w:sz="2" w:space="0" w:color="000000"/>
              <w:left w:val="single" w:sz="2" w:space="0" w:color="000000"/>
              <w:bottom w:val="single" w:sz="2" w:space="0" w:color="000000"/>
              <w:right w:val="single" w:sz="2" w:space="0" w:color="000000"/>
            </w:tcBorders>
            <w:shd w:val="clear" w:color="EBECEB" w:fill="EBECEB"/>
            <w:vAlign w:val="center"/>
          </w:tcPr>
          <w:p w14:paraId="228341C3" w14:textId="77777777" w:rsidR="00EF5F3A" w:rsidRPr="005A56B0" w:rsidRDefault="00EF5F3A" w:rsidP="00050BF9">
            <w:pPr>
              <w:jc w:val="center"/>
              <w:rPr>
                <w:rFonts w:ascii="Arial" w:hAnsi="Arial" w:cs="Arial"/>
                <w:b/>
                <w:color w:val="000000"/>
                <w:sz w:val="16"/>
                <w:szCs w:val="16"/>
              </w:rPr>
            </w:pPr>
            <w:r w:rsidRPr="005A56B0">
              <w:rPr>
                <w:rFonts w:ascii="Arial" w:hAnsi="Arial" w:cs="Arial"/>
                <w:b/>
                <w:color w:val="000000"/>
                <w:sz w:val="16"/>
                <w:szCs w:val="16"/>
              </w:rPr>
              <w:t>2023</w:t>
            </w:r>
          </w:p>
        </w:tc>
        <w:tc>
          <w:tcPr>
            <w:tcW w:w="1897" w:type="dxa"/>
            <w:gridSpan w:val="2"/>
            <w:tcBorders>
              <w:top w:val="single" w:sz="2" w:space="0" w:color="000000"/>
              <w:left w:val="single" w:sz="2" w:space="0" w:color="000000"/>
              <w:bottom w:val="single" w:sz="2" w:space="0" w:color="000000"/>
              <w:right w:val="single" w:sz="2" w:space="0" w:color="000000"/>
            </w:tcBorders>
            <w:shd w:val="clear" w:color="EBECEB" w:fill="EBECEB"/>
            <w:vAlign w:val="center"/>
          </w:tcPr>
          <w:p w14:paraId="207EA078" w14:textId="77777777" w:rsidR="00EF5F3A" w:rsidRPr="005A56B0" w:rsidRDefault="00EF5F3A" w:rsidP="00050BF9">
            <w:pPr>
              <w:ind w:right="331"/>
              <w:jc w:val="right"/>
              <w:rPr>
                <w:rFonts w:ascii="Arial" w:hAnsi="Arial" w:cs="Arial"/>
                <w:b/>
                <w:color w:val="000000"/>
                <w:spacing w:val="12"/>
                <w:sz w:val="16"/>
                <w:szCs w:val="16"/>
              </w:rPr>
            </w:pPr>
            <w:r w:rsidRPr="005A56B0">
              <w:rPr>
                <w:rFonts w:ascii="Arial" w:hAnsi="Arial" w:cs="Arial"/>
                <w:b/>
                <w:color w:val="000000"/>
                <w:spacing w:val="12"/>
                <w:sz w:val="16"/>
                <w:szCs w:val="16"/>
              </w:rPr>
              <w:t>Total procesos</w:t>
            </w:r>
          </w:p>
        </w:tc>
      </w:tr>
      <w:tr w:rsidR="00EF5F3A" w14:paraId="26C25F97" w14:textId="77777777" w:rsidTr="00893415">
        <w:trPr>
          <w:trHeight w:hRule="exact" w:val="555"/>
        </w:trPr>
        <w:tc>
          <w:tcPr>
            <w:tcW w:w="3780" w:type="dxa"/>
            <w:tcBorders>
              <w:top w:val="single" w:sz="2" w:space="0" w:color="000000"/>
              <w:left w:val="single" w:sz="2" w:space="0" w:color="000000"/>
              <w:bottom w:val="single" w:sz="2" w:space="0" w:color="000000"/>
              <w:right w:val="single" w:sz="2" w:space="0" w:color="000000"/>
            </w:tcBorders>
            <w:vAlign w:val="center"/>
          </w:tcPr>
          <w:p w14:paraId="4C200929" w14:textId="6CE392E3" w:rsidR="00EF5F3A" w:rsidRPr="005A56B0" w:rsidRDefault="00EF5F3A" w:rsidP="00050BF9">
            <w:pPr>
              <w:jc w:val="center"/>
              <w:rPr>
                <w:rFonts w:ascii="Arial" w:hAnsi="Arial" w:cs="Arial"/>
                <w:color w:val="000000"/>
                <w:spacing w:val="-5"/>
                <w:sz w:val="16"/>
                <w:szCs w:val="16"/>
                <w:lang w:val="es-ES"/>
              </w:rPr>
            </w:pPr>
            <w:r w:rsidRPr="005A56B0">
              <w:rPr>
                <w:rFonts w:ascii="Arial" w:hAnsi="Arial" w:cs="Arial"/>
                <w:color w:val="000000"/>
                <w:spacing w:val="-5"/>
                <w:sz w:val="16"/>
                <w:szCs w:val="16"/>
                <w:lang w:val="es-ES"/>
              </w:rPr>
              <w:t xml:space="preserve">Violencia intrafamiliar </w:t>
            </w:r>
            <w:r w:rsidR="005A56B0" w:rsidRPr="005A56B0">
              <w:rPr>
                <w:rFonts w:ascii="Arial" w:hAnsi="Arial" w:cs="Arial"/>
                <w:color w:val="000000"/>
                <w:spacing w:val="-5"/>
                <w:sz w:val="16"/>
                <w:szCs w:val="16"/>
                <w:lang w:val="es-ES"/>
              </w:rPr>
              <w:t>Art.</w:t>
            </w:r>
            <w:r w:rsidRPr="005A56B0">
              <w:rPr>
                <w:rFonts w:ascii="Arial" w:hAnsi="Arial" w:cs="Arial"/>
                <w:color w:val="000000"/>
                <w:spacing w:val="-5"/>
                <w:sz w:val="16"/>
                <w:szCs w:val="16"/>
                <w:lang w:val="es-ES"/>
              </w:rPr>
              <w:t xml:space="preserve"> 229 </w:t>
            </w:r>
            <w:r w:rsidR="005A56B0">
              <w:rPr>
                <w:rFonts w:ascii="Arial" w:hAnsi="Arial" w:cs="Arial"/>
                <w:color w:val="000000"/>
                <w:spacing w:val="-5"/>
                <w:sz w:val="16"/>
                <w:szCs w:val="16"/>
                <w:lang w:val="es-ES"/>
              </w:rPr>
              <w:t xml:space="preserve">del </w:t>
            </w:r>
            <w:r w:rsidRPr="005A56B0">
              <w:rPr>
                <w:rFonts w:ascii="Arial" w:hAnsi="Arial" w:cs="Arial"/>
                <w:color w:val="000000"/>
                <w:spacing w:val="-5"/>
                <w:sz w:val="16"/>
                <w:szCs w:val="16"/>
                <w:lang w:val="es-ES"/>
              </w:rPr>
              <w:t xml:space="preserve">C.P. agravado </w:t>
            </w:r>
            <w:r w:rsidRPr="005A56B0">
              <w:rPr>
                <w:rFonts w:ascii="Arial" w:hAnsi="Arial" w:cs="Arial"/>
                <w:color w:val="000000"/>
                <w:spacing w:val="-5"/>
                <w:sz w:val="16"/>
                <w:szCs w:val="16"/>
                <w:lang w:val="es-ES"/>
              </w:rPr>
              <w:br/>
            </w:r>
            <w:r w:rsidRPr="005A56B0">
              <w:rPr>
                <w:rFonts w:ascii="Arial" w:hAnsi="Arial" w:cs="Arial"/>
                <w:color w:val="000000"/>
                <w:spacing w:val="-6"/>
                <w:sz w:val="16"/>
                <w:szCs w:val="16"/>
                <w:lang w:val="es-ES"/>
              </w:rPr>
              <w:t xml:space="preserve">por tratarse de menor, mujer, </w:t>
            </w:r>
            <w:r w:rsidR="00C55F25" w:rsidRPr="00C55F25">
              <w:rPr>
                <w:rFonts w:ascii="Arial" w:hAnsi="Arial" w:cs="Arial"/>
                <w:color w:val="000000"/>
                <w:spacing w:val="-6"/>
                <w:sz w:val="16"/>
                <w:szCs w:val="16"/>
                <w:lang w:val="es-ES"/>
              </w:rPr>
              <w:t xml:space="preserve">persona mayor de 60 años </w:t>
            </w:r>
            <w:r w:rsidRPr="005A56B0">
              <w:rPr>
                <w:rFonts w:ascii="Arial" w:hAnsi="Arial" w:cs="Arial"/>
                <w:color w:val="000000"/>
                <w:spacing w:val="-6"/>
                <w:sz w:val="16"/>
                <w:szCs w:val="16"/>
                <w:lang w:val="es-ES"/>
              </w:rPr>
              <w:t>o</w:t>
            </w:r>
            <w:r w:rsidR="00893415">
              <w:rPr>
                <w:rFonts w:ascii="Arial" w:hAnsi="Arial" w:cs="Arial"/>
                <w:color w:val="000000"/>
                <w:spacing w:val="-6"/>
                <w:sz w:val="16"/>
                <w:szCs w:val="16"/>
                <w:lang w:val="es-ES"/>
              </w:rPr>
              <w:t xml:space="preserve"> </w:t>
            </w:r>
            <w:r w:rsidR="00C55F25" w:rsidRPr="00C55F25">
              <w:rPr>
                <w:rFonts w:ascii="Arial" w:hAnsi="Arial" w:cs="Arial"/>
                <w:color w:val="000000"/>
                <w:spacing w:val="-2"/>
                <w:sz w:val="16"/>
                <w:szCs w:val="16"/>
                <w:lang w:val="es-ES"/>
              </w:rPr>
              <w:t>en situación de discapacidad</w:t>
            </w:r>
          </w:p>
        </w:tc>
        <w:tc>
          <w:tcPr>
            <w:tcW w:w="1624" w:type="dxa"/>
            <w:tcBorders>
              <w:top w:val="single" w:sz="2" w:space="0" w:color="000000"/>
              <w:left w:val="single" w:sz="2" w:space="0" w:color="000000"/>
              <w:bottom w:val="single" w:sz="2" w:space="0" w:color="000000"/>
              <w:right w:val="single" w:sz="2" w:space="0" w:color="000000"/>
            </w:tcBorders>
            <w:vAlign w:val="center"/>
          </w:tcPr>
          <w:p w14:paraId="040C41CA" w14:textId="77777777" w:rsidR="00EF5F3A" w:rsidRPr="005A56B0" w:rsidRDefault="00EF5F3A" w:rsidP="00050BF9">
            <w:pPr>
              <w:jc w:val="center"/>
              <w:rPr>
                <w:rFonts w:ascii="Arial" w:hAnsi="Arial" w:cs="Arial"/>
                <w:color w:val="000000"/>
                <w:sz w:val="16"/>
                <w:szCs w:val="16"/>
              </w:rPr>
            </w:pPr>
            <w:r w:rsidRPr="005A56B0">
              <w:rPr>
                <w:rFonts w:ascii="Arial" w:hAnsi="Arial" w:cs="Arial"/>
                <w:color w:val="000000"/>
                <w:sz w:val="16"/>
                <w:szCs w:val="16"/>
              </w:rPr>
              <w:t>2.039</w:t>
            </w:r>
          </w:p>
        </w:tc>
        <w:tc>
          <w:tcPr>
            <w:tcW w:w="1213" w:type="dxa"/>
            <w:tcBorders>
              <w:top w:val="single" w:sz="2" w:space="0" w:color="000000"/>
              <w:left w:val="single" w:sz="2" w:space="0" w:color="000000"/>
              <w:bottom w:val="single" w:sz="2" w:space="0" w:color="000000"/>
              <w:right w:val="single" w:sz="2" w:space="0" w:color="000000"/>
            </w:tcBorders>
            <w:vAlign w:val="center"/>
          </w:tcPr>
          <w:p w14:paraId="65449854" w14:textId="77777777" w:rsidR="00EF5F3A" w:rsidRPr="005A56B0" w:rsidRDefault="00EF5F3A" w:rsidP="00050BF9">
            <w:pPr>
              <w:jc w:val="center"/>
              <w:rPr>
                <w:rFonts w:ascii="Arial" w:hAnsi="Arial" w:cs="Arial"/>
                <w:color w:val="000000"/>
                <w:sz w:val="16"/>
                <w:szCs w:val="16"/>
              </w:rPr>
            </w:pPr>
            <w:r w:rsidRPr="005A56B0">
              <w:rPr>
                <w:rFonts w:ascii="Arial" w:hAnsi="Arial" w:cs="Arial"/>
                <w:color w:val="000000"/>
                <w:sz w:val="16"/>
                <w:szCs w:val="16"/>
              </w:rPr>
              <w:t>270</w:t>
            </w:r>
          </w:p>
        </w:tc>
        <w:tc>
          <w:tcPr>
            <w:tcW w:w="1400" w:type="dxa"/>
            <w:tcBorders>
              <w:top w:val="single" w:sz="2" w:space="0" w:color="000000"/>
              <w:left w:val="single" w:sz="2" w:space="0" w:color="000000"/>
              <w:bottom w:val="single" w:sz="2" w:space="0" w:color="000000"/>
              <w:right w:val="none" w:sz="0" w:space="0" w:color="000000"/>
            </w:tcBorders>
            <w:vAlign w:val="center"/>
          </w:tcPr>
          <w:p w14:paraId="1394C654" w14:textId="09DAF583" w:rsidR="00EF5F3A" w:rsidRPr="005A56B0" w:rsidRDefault="00EF5F3A" w:rsidP="00050BF9">
            <w:pPr>
              <w:ind w:right="241"/>
              <w:jc w:val="right"/>
              <w:rPr>
                <w:rFonts w:ascii="Arial" w:hAnsi="Arial" w:cs="Arial"/>
                <w:color w:val="000000"/>
                <w:sz w:val="16"/>
                <w:szCs w:val="16"/>
              </w:rPr>
            </w:pPr>
            <w:r w:rsidRPr="005A56B0">
              <w:rPr>
                <w:rFonts w:ascii="Arial" w:hAnsi="Arial" w:cs="Arial"/>
                <w:color w:val="000000"/>
                <w:sz w:val="16"/>
                <w:szCs w:val="16"/>
              </w:rPr>
              <w:t>2</w:t>
            </w:r>
            <w:r w:rsidR="005A56B0">
              <w:rPr>
                <w:rFonts w:ascii="Arial" w:hAnsi="Arial" w:cs="Arial"/>
                <w:color w:val="000000"/>
                <w:sz w:val="16"/>
                <w:szCs w:val="16"/>
              </w:rPr>
              <w:t>.</w:t>
            </w:r>
            <w:r w:rsidRPr="005A56B0">
              <w:rPr>
                <w:rFonts w:ascii="Arial" w:hAnsi="Arial" w:cs="Arial"/>
                <w:color w:val="000000"/>
                <w:sz w:val="16"/>
                <w:szCs w:val="16"/>
              </w:rPr>
              <w:t>309</w:t>
            </w:r>
          </w:p>
        </w:tc>
        <w:tc>
          <w:tcPr>
            <w:tcW w:w="497" w:type="dxa"/>
            <w:tcBorders>
              <w:top w:val="single" w:sz="2" w:space="0" w:color="000000"/>
              <w:left w:val="none" w:sz="0" w:space="0" w:color="000000"/>
              <w:bottom w:val="single" w:sz="2" w:space="0" w:color="000000"/>
              <w:right w:val="single" w:sz="2" w:space="0" w:color="000000"/>
            </w:tcBorders>
          </w:tcPr>
          <w:p w14:paraId="4D894900" w14:textId="77777777" w:rsidR="00EF5F3A" w:rsidRPr="005A56B0" w:rsidRDefault="00EF5F3A" w:rsidP="00050BF9">
            <w:pPr>
              <w:rPr>
                <w:rFonts w:ascii="Arial" w:hAnsi="Arial" w:cs="Arial"/>
                <w:color w:val="000000"/>
                <w:sz w:val="16"/>
                <w:szCs w:val="16"/>
              </w:rPr>
            </w:pPr>
          </w:p>
        </w:tc>
      </w:tr>
      <w:tr w:rsidR="00EF5F3A" w14:paraId="1CD4BAAD" w14:textId="77777777" w:rsidTr="00050BF9">
        <w:trPr>
          <w:trHeight w:hRule="exact" w:val="504"/>
        </w:trPr>
        <w:tc>
          <w:tcPr>
            <w:tcW w:w="3780" w:type="dxa"/>
            <w:tcBorders>
              <w:top w:val="single" w:sz="2" w:space="0" w:color="000000"/>
              <w:left w:val="single" w:sz="2" w:space="0" w:color="000000"/>
              <w:bottom w:val="single" w:sz="2" w:space="0" w:color="000000"/>
              <w:right w:val="single" w:sz="2" w:space="0" w:color="000000"/>
            </w:tcBorders>
          </w:tcPr>
          <w:p w14:paraId="4C430F46" w14:textId="3CAB55EB" w:rsidR="00EF5F3A" w:rsidRPr="005A56B0" w:rsidRDefault="00EF5F3A" w:rsidP="00050BF9">
            <w:pPr>
              <w:spacing w:before="36"/>
              <w:jc w:val="center"/>
              <w:rPr>
                <w:rFonts w:ascii="Arial" w:hAnsi="Arial" w:cs="Arial"/>
                <w:color w:val="000000"/>
                <w:spacing w:val="-4"/>
                <w:sz w:val="16"/>
                <w:szCs w:val="16"/>
              </w:rPr>
            </w:pPr>
            <w:r w:rsidRPr="005A56B0">
              <w:rPr>
                <w:rFonts w:ascii="Arial" w:hAnsi="Arial" w:cs="Arial"/>
                <w:color w:val="000000"/>
                <w:spacing w:val="-4"/>
                <w:sz w:val="16"/>
                <w:szCs w:val="16"/>
                <w:lang w:val="es-ES"/>
              </w:rPr>
              <w:t xml:space="preserve">Maltrato mediante </w:t>
            </w:r>
            <w:r w:rsidR="005A56B0" w:rsidRPr="005A56B0">
              <w:rPr>
                <w:rFonts w:ascii="Arial" w:hAnsi="Arial" w:cs="Arial"/>
                <w:color w:val="000000"/>
                <w:spacing w:val="-4"/>
                <w:sz w:val="16"/>
                <w:szCs w:val="16"/>
                <w:lang w:val="es-ES"/>
              </w:rPr>
              <w:t>restricción</w:t>
            </w:r>
            <w:r w:rsidRPr="005A56B0">
              <w:rPr>
                <w:rFonts w:ascii="Arial" w:hAnsi="Arial" w:cs="Arial"/>
                <w:color w:val="000000"/>
                <w:spacing w:val="-4"/>
                <w:sz w:val="16"/>
                <w:szCs w:val="16"/>
                <w:lang w:val="es-ES"/>
              </w:rPr>
              <w:t xml:space="preserve"> a la libertad </w:t>
            </w:r>
            <w:r w:rsidR="005A56B0" w:rsidRPr="005A56B0">
              <w:rPr>
                <w:rFonts w:ascii="Arial" w:hAnsi="Arial" w:cs="Arial"/>
                <w:color w:val="000000"/>
                <w:spacing w:val="-4"/>
                <w:sz w:val="16"/>
                <w:szCs w:val="16"/>
                <w:lang w:val="es-ES"/>
              </w:rPr>
              <w:t>física</w:t>
            </w:r>
            <w:r w:rsidRPr="005A56B0">
              <w:rPr>
                <w:rFonts w:ascii="Arial" w:hAnsi="Arial" w:cs="Arial"/>
                <w:color w:val="000000"/>
                <w:spacing w:val="-4"/>
                <w:sz w:val="16"/>
                <w:szCs w:val="16"/>
                <w:lang w:val="es-ES"/>
              </w:rPr>
              <w:t xml:space="preserve">. </w:t>
            </w:r>
            <w:r w:rsidRPr="005A56B0">
              <w:rPr>
                <w:rFonts w:ascii="Arial" w:hAnsi="Arial" w:cs="Arial"/>
                <w:color w:val="000000"/>
                <w:spacing w:val="-4"/>
                <w:sz w:val="16"/>
                <w:szCs w:val="16"/>
                <w:lang w:val="es-ES"/>
              </w:rPr>
              <w:br/>
            </w:r>
            <w:r w:rsidRPr="005A56B0">
              <w:rPr>
                <w:rFonts w:ascii="Arial" w:hAnsi="Arial" w:cs="Arial"/>
                <w:color w:val="000000"/>
                <w:spacing w:val="-4"/>
                <w:sz w:val="16"/>
                <w:szCs w:val="16"/>
              </w:rPr>
              <w:t>Art. 230</w:t>
            </w:r>
            <w:r w:rsidR="001C6252">
              <w:rPr>
                <w:rFonts w:ascii="Arial" w:hAnsi="Arial" w:cs="Arial"/>
                <w:color w:val="000000"/>
                <w:spacing w:val="-4"/>
                <w:sz w:val="16"/>
                <w:szCs w:val="16"/>
              </w:rPr>
              <w:t xml:space="preserve"> del</w:t>
            </w:r>
            <w:r w:rsidRPr="005A56B0">
              <w:rPr>
                <w:rFonts w:ascii="Arial" w:hAnsi="Arial" w:cs="Arial"/>
                <w:color w:val="000000"/>
                <w:spacing w:val="-4"/>
                <w:sz w:val="16"/>
                <w:szCs w:val="16"/>
              </w:rPr>
              <w:t xml:space="preserve"> C.P</w:t>
            </w:r>
            <w:r w:rsidR="005A56B0">
              <w:rPr>
                <w:rFonts w:ascii="Arial" w:hAnsi="Arial" w:cs="Arial"/>
                <w:color w:val="000000"/>
                <w:spacing w:val="-4"/>
                <w:sz w:val="16"/>
                <w:szCs w:val="16"/>
              </w:rPr>
              <w:t>.</w:t>
            </w:r>
          </w:p>
        </w:tc>
        <w:tc>
          <w:tcPr>
            <w:tcW w:w="1624" w:type="dxa"/>
            <w:tcBorders>
              <w:top w:val="single" w:sz="2" w:space="0" w:color="000000"/>
              <w:left w:val="single" w:sz="2" w:space="0" w:color="000000"/>
              <w:bottom w:val="single" w:sz="2" w:space="0" w:color="000000"/>
              <w:right w:val="single" w:sz="2" w:space="0" w:color="000000"/>
            </w:tcBorders>
            <w:vAlign w:val="center"/>
          </w:tcPr>
          <w:p w14:paraId="43ADCB9E" w14:textId="77777777" w:rsidR="00EF5F3A" w:rsidRPr="005A56B0" w:rsidRDefault="00EF5F3A" w:rsidP="00050BF9">
            <w:pPr>
              <w:jc w:val="center"/>
              <w:rPr>
                <w:rFonts w:ascii="Arial" w:hAnsi="Arial" w:cs="Arial"/>
                <w:color w:val="000000"/>
                <w:sz w:val="16"/>
                <w:szCs w:val="16"/>
              </w:rPr>
            </w:pPr>
            <w:r w:rsidRPr="005A56B0">
              <w:rPr>
                <w:rFonts w:ascii="Arial" w:hAnsi="Arial" w:cs="Arial"/>
                <w:color w:val="000000"/>
                <w:sz w:val="16"/>
                <w:szCs w:val="16"/>
              </w:rPr>
              <w:t>54</w:t>
            </w:r>
          </w:p>
        </w:tc>
        <w:tc>
          <w:tcPr>
            <w:tcW w:w="1213" w:type="dxa"/>
            <w:tcBorders>
              <w:top w:val="single" w:sz="2" w:space="0" w:color="000000"/>
              <w:left w:val="single" w:sz="2" w:space="0" w:color="000000"/>
              <w:bottom w:val="single" w:sz="2" w:space="0" w:color="000000"/>
              <w:right w:val="single" w:sz="2" w:space="0" w:color="000000"/>
            </w:tcBorders>
            <w:vAlign w:val="center"/>
          </w:tcPr>
          <w:p w14:paraId="7D694868" w14:textId="77777777" w:rsidR="00EF5F3A" w:rsidRPr="005A56B0" w:rsidRDefault="00EF5F3A" w:rsidP="00050BF9">
            <w:pPr>
              <w:jc w:val="center"/>
              <w:rPr>
                <w:rFonts w:ascii="Arial" w:hAnsi="Arial" w:cs="Arial"/>
                <w:color w:val="000000"/>
                <w:sz w:val="16"/>
                <w:szCs w:val="16"/>
              </w:rPr>
            </w:pPr>
            <w:r w:rsidRPr="005A56B0">
              <w:rPr>
                <w:rFonts w:ascii="Arial" w:hAnsi="Arial" w:cs="Arial"/>
                <w:color w:val="000000"/>
                <w:sz w:val="16"/>
                <w:szCs w:val="16"/>
              </w:rPr>
              <w:t>12</w:t>
            </w:r>
          </w:p>
        </w:tc>
        <w:tc>
          <w:tcPr>
            <w:tcW w:w="1897" w:type="dxa"/>
            <w:gridSpan w:val="2"/>
            <w:tcBorders>
              <w:top w:val="single" w:sz="2" w:space="0" w:color="000000"/>
              <w:left w:val="single" w:sz="2" w:space="0" w:color="000000"/>
              <w:bottom w:val="single" w:sz="2" w:space="0" w:color="000000"/>
              <w:right w:val="single" w:sz="2" w:space="0" w:color="000000"/>
            </w:tcBorders>
            <w:vAlign w:val="center"/>
          </w:tcPr>
          <w:p w14:paraId="4B0BC015" w14:textId="77777777" w:rsidR="00EF5F3A" w:rsidRPr="005A56B0" w:rsidRDefault="00EF5F3A" w:rsidP="00050BF9">
            <w:pPr>
              <w:ind w:right="781"/>
              <w:jc w:val="right"/>
              <w:rPr>
                <w:rFonts w:ascii="Arial" w:hAnsi="Arial" w:cs="Arial"/>
                <w:color w:val="000000"/>
                <w:sz w:val="16"/>
                <w:szCs w:val="16"/>
              </w:rPr>
            </w:pPr>
            <w:r w:rsidRPr="005A56B0">
              <w:rPr>
                <w:rFonts w:ascii="Arial" w:hAnsi="Arial" w:cs="Arial"/>
                <w:color w:val="000000"/>
                <w:sz w:val="16"/>
                <w:szCs w:val="16"/>
              </w:rPr>
              <w:t>66</w:t>
            </w:r>
          </w:p>
        </w:tc>
      </w:tr>
    </w:tbl>
    <w:p w14:paraId="280A388B" w14:textId="7382E194" w:rsidR="00EF5F3A" w:rsidRDefault="00EF5F3A" w:rsidP="00EF5F3A">
      <w:pPr>
        <w:spacing w:after="271" w:line="20" w:lineRule="exact"/>
      </w:pPr>
    </w:p>
    <w:p w14:paraId="2B280117" w14:textId="72BE6DE3" w:rsidR="00EF5F3A" w:rsidRDefault="00900F4C" w:rsidP="00B97B03">
      <w:pPr>
        <w:spacing w:after="0" w:line="240" w:lineRule="auto"/>
        <w:jc w:val="both"/>
        <w:rPr>
          <w:rFonts w:ascii="Arial" w:hAnsi="Arial"/>
          <w:color w:val="000000"/>
          <w:spacing w:val="2"/>
          <w:lang w:val="es-ES"/>
        </w:rPr>
      </w:pPr>
      <w:r>
        <w:rPr>
          <w:rFonts w:ascii="Arial" w:hAnsi="Arial" w:cs="Arial"/>
          <w:lang w:val="es-ES"/>
        </w:rPr>
        <w:t>3</w:t>
      </w:r>
      <w:r w:rsidR="005A56B0" w:rsidRPr="00EF5F3A">
        <w:rPr>
          <w:rFonts w:ascii="Arial" w:hAnsi="Arial" w:cs="Arial"/>
          <w:lang w:val="es-ES"/>
        </w:rPr>
        <w:t>.</w:t>
      </w:r>
      <w:r w:rsidR="005A56B0">
        <w:rPr>
          <w:rFonts w:ascii="Arial" w:hAnsi="Arial" w:cs="Arial"/>
        </w:rPr>
        <w:t xml:space="preserve"> Información </w:t>
      </w:r>
      <w:r w:rsidR="00EF5F3A" w:rsidRPr="005A42DA">
        <w:rPr>
          <w:rFonts w:ascii="Arial" w:hAnsi="Arial"/>
          <w:color w:val="000000"/>
          <w:spacing w:val="3"/>
          <w:lang w:val="es-ES"/>
        </w:rPr>
        <w:t xml:space="preserve">del total de </w:t>
      </w:r>
      <w:r w:rsidR="005A56B0" w:rsidRPr="005A42DA">
        <w:rPr>
          <w:rFonts w:ascii="Arial" w:hAnsi="Arial"/>
          <w:color w:val="000000"/>
          <w:spacing w:val="3"/>
          <w:lang w:val="es-ES"/>
        </w:rPr>
        <w:t>víctimas</w:t>
      </w:r>
      <w:r w:rsidR="00EF5F3A" w:rsidRPr="005A42DA">
        <w:rPr>
          <w:rFonts w:ascii="Arial" w:hAnsi="Arial"/>
          <w:color w:val="000000"/>
          <w:spacing w:val="3"/>
          <w:lang w:val="es-ES"/>
        </w:rPr>
        <w:t xml:space="preserve"> </w:t>
      </w:r>
      <w:r w:rsidR="005A56B0" w:rsidRPr="005A42DA">
        <w:rPr>
          <w:rFonts w:ascii="Arial" w:hAnsi="Arial"/>
          <w:color w:val="000000"/>
          <w:spacing w:val="3"/>
          <w:lang w:val="es-ES"/>
        </w:rPr>
        <w:t>únicas</w:t>
      </w:r>
      <w:r w:rsidR="00EF5F3A" w:rsidRPr="005A42DA">
        <w:rPr>
          <w:rFonts w:ascii="Arial" w:hAnsi="Arial"/>
          <w:color w:val="000000"/>
          <w:spacing w:val="3"/>
          <w:lang w:val="es-ES"/>
        </w:rPr>
        <w:t xml:space="preserve"> adulto mayor, personas igual o </w:t>
      </w:r>
      <w:r w:rsidR="00EF5F3A" w:rsidRPr="005A42DA">
        <w:rPr>
          <w:rFonts w:ascii="Arial" w:hAnsi="Arial"/>
          <w:color w:val="000000"/>
          <w:lang w:val="es-ES"/>
        </w:rPr>
        <w:t>mayor a 60 a</w:t>
      </w:r>
      <w:r w:rsidR="005A56B0">
        <w:rPr>
          <w:rFonts w:ascii="Arial" w:hAnsi="Arial"/>
          <w:color w:val="000000"/>
          <w:lang w:val="es-ES"/>
        </w:rPr>
        <w:t>ñ</w:t>
      </w:r>
      <w:r w:rsidR="00EF5F3A" w:rsidRPr="005A42DA">
        <w:rPr>
          <w:rFonts w:ascii="Arial" w:hAnsi="Arial"/>
          <w:color w:val="000000"/>
          <w:lang w:val="es-ES"/>
        </w:rPr>
        <w:t>os, por homicidios y feminicidios, a partir del a</w:t>
      </w:r>
      <w:r w:rsidR="008D54F6">
        <w:rPr>
          <w:rFonts w:ascii="Arial" w:hAnsi="Arial"/>
          <w:color w:val="000000"/>
          <w:lang w:val="es-ES"/>
        </w:rPr>
        <w:t>ñ</w:t>
      </w:r>
      <w:r w:rsidR="00EF5F3A" w:rsidRPr="005A42DA">
        <w:rPr>
          <w:rFonts w:ascii="Arial" w:hAnsi="Arial"/>
          <w:color w:val="000000"/>
          <w:lang w:val="es-ES"/>
        </w:rPr>
        <w:t xml:space="preserve">o de entrada </w:t>
      </w:r>
      <w:r w:rsidR="00EF5F3A" w:rsidRPr="005A42DA">
        <w:rPr>
          <w:rFonts w:ascii="Arial" w:hAnsi="Arial"/>
          <w:color w:val="000000"/>
          <w:spacing w:val="2"/>
          <w:lang w:val="es-ES"/>
        </w:rPr>
        <w:t>del 2022 al corte:</w:t>
      </w:r>
    </w:p>
    <w:p w14:paraId="6F554137" w14:textId="77777777" w:rsidR="008D54F6" w:rsidRPr="005A42DA" w:rsidRDefault="008D54F6" w:rsidP="008D54F6">
      <w:pPr>
        <w:spacing w:after="0" w:line="240" w:lineRule="auto"/>
        <w:rPr>
          <w:rFonts w:ascii="Arial" w:hAnsi="Arial"/>
          <w:color w:val="000000"/>
          <w:spacing w:val="3"/>
          <w:lang w:val="es-ES"/>
        </w:rPr>
      </w:pPr>
    </w:p>
    <w:tbl>
      <w:tblPr>
        <w:tblW w:w="0" w:type="auto"/>
        <w:tblInd w:w="18" w:type="dxa"/>
        <w:tblLayout w:type="fixed"/>
        <w:tblCellMar>
          <w:left w:w="0" w:type="dxa"/>
          <w:right w:w="0" w:type="dxa"/>
        </w:tblCellMar>
        <w:tblLook w:val="04A0" w:firstRow="1" w:lastRow="0" w:firstColumn="1" w:lastColumn="0" w:noHBand="0" w:noVBand="1"/>
      </w:tblPr>
      <w:tblGrid>
        <w:gridCol w:w="3366"/>
        <w:gridCol w:w="1616"/>
        <w:gridCol w:w="1350"/>
        <w:gridCol w:w="2160"/>
      </w:tblGrid>
      <w:tr w:rsidR="005A56B0" w14:paraId="03940F81" w14:textId="77777777" w:rsidTr="00050BF9">
        <w:trPr>
          <w:trHeight w:hRule="exact" w:val="500"/>
        </w:trPr>
        <w:tc>
          <w:tcPr>
            <w:tcW w:w="3366" w:type="dxa"/>
            <w:tcBorders>
              <w:top w:val="single" w:sz="2" w:space="0" w:color="000000"/>
              <w:left w:val="single" w:sz="2" w:space="0" w:color="000000"/>
              <w:bottom w:val="single" w:sz="2" w:space="0" w:color="000000"/>
              <w:right w:val="single" w:sz="2" w:space="0" w:color="000000"/>
            </w:tcBorders>
            <w:shd w:val="clear" w:color="EBECEB" w:fill="EBECEB"/>
          </w:tcPr>
          <w:p w14:paraId="1EE9529B" w14:textId="77777777" w:rsidR="005A56B0" w:rsidRPr="005A56B0" w:rsidRDefault="005A56B0" w:rsidP="00050BF9">
            <w:pPr>
              <w:rPr>
                <w:rFonts w:ascii="Arial" w:hAnsi="Arial" w:cs="Arial"/>
                <w:color w:val="000000"/>
                <w:sz w:val="16"/>
                <w:szCs w:val="16"/>
                <w:lang w:val="es-ES"/>
              </w:rPr>
            </w:pPr>
          </w:p>
        </w:tc>
        <w:tc>
          <w:tcPr>
            <w:tcW w:w="5126" w:type="dxa"/>
            <w:gridSpan w:val="3"/>
            <w:tcBorders>
              <w:top w:val="single" w:sz="2" w:space="0" w:color="000000"/>
              <w:left w:val="single" w:sz="2" w:space="0" w:color="000000"/>
              <w:bottom w:val="single" w:sz="2" w:space="0" w:color="000000"/>
              <w:right w:val="single" w:sz="2" w:space="0" w:color="000000"/>
            </w:tcBorders>
            <w:shd w:val="clear" w:color="EBECEB" w:fill="EBECEB"/>
            <w:vAlign w:val="center"/>
          </w:tcPr>
          <w:p w14:paraId="7812C81E" w14:textId="5EECE3C1" w:rsidR="005A56B0" w:rsidRPr="005A56B0" w:rsidRDefault="005A56B0" w:rsidP="00050BF9">
            <w:pPr>
              <w:jc w:val="center"/>
              <w:rPr>
                <w:rFonts w:ascii="Arial" w:hAnsi="Arial" w:cs="Arial"/>
                <w:b/>
                <w:color w:val="0D1815"/>
                <w:spacing w:val="6"/>
                <w:sz w:val="16"/>
                <w:szCs w:val="16"/>
              </w:rPr>
            </w:pPr>
            <w:r w:rsidRPr="005A56B0">
              <w:rPr>
                <w:rFonts w:ascii="Arial" w:hAnsi="Arial" w:cs="Arial"/>
                <w:b/>
                <w:color w:val="0D1815"/>
                <w:spacing w:val="6"/>
                <w:sz w:val="16"/>
                <w:szCs w:val="16"/>
              </w:rPr>
              <w:t>A</w:t>
            </w:r>
            <w:r>
              <w:rPr>
                <w:rFonts w:ascii="Arial" w:hAnsi="Arial" w:cs="Arial"/>
                <w:b/>
                <w:color w:val="0D1815"/>
                <w:spacing w:val="6"/>
                <w:sz w:val="16"/>
                <w:szCs w:val="16"/>
              </w:rPr>
              <w:t>ñ</w:t>
            </w:r>
            <w:r w:rsidRPr="005A56B0">
              <w:rPr>
                <w:rFonts w:ascii="Arial" w:hAnsi="Arial" w:cs="Arial"/>
                <w:b/>
                <w:color w:val="0D1815"/>
                <w:spacing w:val="6"/>
                <w:sz w:val="16"/>
                <w:szCs w:val="16"/>
              </w:rPr>
              <w:t>a de entrada</w:t>
            </w:r>
          </w:p>
        </w:tc>
      </w:tr>
      <w:tr w:rsidR="005A56B0" w14:paraId="1212EC8D" w14:textId="77777777" w:rsidTr="00050BF9">
        <w:trPr>
          <w:trHeight w:hRule="exact" w:val="576"/>
        </w:trPr>
        <w:tc>
          <w:tcPr>
            <w:tcW w:w="3366" w:type="dxa"/>
            <w:tcBorders>
              <w:top w:val="single" w:sz="2" w:space="0" w:color="000000"/>
              <w:left w:val="single" w:sz="2" w:space="0" w:color="000000"/>
              <w:bottom w:val="single" w:sz="2" w:space="0" w:color="000000"/>
              <w:right w:val="single" w:sz="2" w:space="0" w:color="000000"/>
            </w:tcBorders>
            <w:shd w:val="clear" w:color="EBECEB" w:fill="EBECEB"/>
            <w:vAlign w:val="center"/>
          </w:tcPr>
          <w:p w14:paraId="62236ADA" w14:textId="77777777" w:rsidR="005A56B0" w:rsidRPr="005A56B0" w:rsidRDefault="005A56B0" w:rsidP="00050BF9">
            <w:pPr>
              <w:jc w:val="center"/>
              <w:rPr>
                <w:rFonts w:ascii="Arial" w:hAnsi="Arial" w:cs="Arial"/>
                <w:b/>
                <w:color w:val="0D1815"/>
                <w:sz w:val="16"/>
                <w:szCs w:val="16"/>
              </w:rPr>
            </w:pPr>
            <w:r w:rsidRPr="005A56B0">
              <w:rPr>
                <w:rFonts w:ascii="Arial" w:hAnsi="Arial" w:cs="Arial"/>
                <w:b/>
                <w:color w:val="0D1815"/>
                <w:sz w:val="16"/>
                <w:szCs w:val="16"/>
              </w:rPr>
              <w:t>Delito</w:t>
            </w:r>
          </w:p>
        </w:tc>
        <w:tc>
          <w:tcPr>
            <w:tcW w:w="1616" w:type="dxa"/>
            <w:tcBorders>
              <w:top w:val="single" w:sz="2" w:space="0" w:color="000000"/>
              <w:left w:val="single" w:sz="2" w:space="0" w:color="000000"/>
              <w:bottom w:val="single" w:sz="2" w:space="0" w:color="000000"/>
              <w:right w:val="single" w:sz="2" w:space="0" w:color="000000"/>
            </w:tcBorders>
            <w:shd w:val="clear" w:color="EBECEB" w:fill="EBECEB"/>
            <w:vAlign w:val="center"/>
          </w:tcPr>
          <w:p w14:paraId="03C726BC" w14:textId="77777777" w:rsidR="005A56B0" w:rsidRPr="005A56B0" w:rsidRDefault="005A56B0" w:rsidP="00050BF9">
            <w:pPr>
              <w:jc w:val="center"/>
              <w:rPr>
                <w:rFonts w:ascii="Arial" w:hAnsi="Arial" w:cs="Arial"/>
                <w:b/>
                <w:color w:val="0D1815"/>
                <w:sz w:val="16"/>
                <w:szCs w:val="16"/>
              </w:rPr>
            </w:pPr>
            <w:r w:rsidRPr="005A56B0">
              <w:rPr>
                <w:rFonts w:ascii="Arial" w:hAnsi="Arial" w:cs="Arial"/>
                <w:b/>
                <w:color w:val="0D1815"/>
                <w:sz w:val="16"/>
                <w:szCs w:val="16"/>
              </w:rPr>
              <w:t>2022</w:t>
            </w:r>
          </w:p>
        </w:tc>
        <w:tc>
          <w:tcPr>
            <w:tcW w:w="1350" w:type="dxa"/>
            <w:tcBorders>
              <w:top w:val="single" w:sz="2" w:space="0" w:color="000000"/>
              <w:left w:val="single" w:sz="2" w:space="0" w:color="000000"/>
              <w:bottom w:val="single" w:sz="2" w:space="0" w:color="000000"/>
              <w:right w:val="single" w:sz="2" w:space="0" w:color="000000"/>
            </w:tcBorders>
            <w:shd w:val="clear" w:color="EBECEB" w:fill="EBECEB"/>
            <w:vAlign w:val="center"/>
          </w:tcPr>
          <w:p w14:paraId="0A259F3D" w14:textId="77777777" w:rsidR="005A56B0" w:rsidRPr="005A56B0" w:rsidRDefault="005A56B0" w:rsidP="00050BF9">
            <w:pPr>
              <w:jc w:val="center"/>
              <w:rPr>
                <w:rFonts w:ascii="Arial" w:hAnsi="Arial" w:cs="Arial"/>
                <w:b/>
                <w:color w:val="0D1815"/>
                <w:sz w:val="16"/>
                <w:szCs w:val="16"/>
              </w:rPr>
            </w:pPr>
            <w:r w:rsidRPr="005A56B0">
              <w:rPr>
                <w:rFonts w:ascii="Arial" w:hAnsi="Arial" w:cs="Arial"/>
                <w:b/>
                <w:color w:val="0D1815"/>
                <w:sz w:val="16"/>
                <w:szCs w:val="16"/>
              </w:rPr>
              <w:t>2023</w:t>
            </w:r>
          </w:p>
        </w:tc>
        <w:tc>
          <w:tcPr>
            <w:tcW w:w="2160" w:type="dxa"/>
            <w:tcBorders>
              <w:top w:val="single" w:sz="2" w:space="0" w:color="000000"/>
              <w:left w:val="single" w:sz="2" w:space="0" w:color="000000"/>
              <w:bottom w:val="single" w:sz="2" w:space="0" w:color="000000"/>
              <w:right w:val="single" w:sz="2" w:space="0" w:color="000000"/>
            </w:tcBorders>
            <w:shd w:val="clear" w:color="EBECEB" w:fill="EBECEB"/>
            <w:vAlign w:val="center"/>
          </w:tcPr>
          <w:p w14:paraId="605AAFB0" w14:textId="77777777" w:rsidR="005A56B0" w:rsidRPr="005A56B0" w:rsidRDefault="005A56B0" w:rsidP="00050BF9">
            <w:pPr>
              <w:jc w:val="center"/>
              <w:rPr>
                <w:rFonts w:ascii="Arial" w:hAnsi="Arial" w:cs="Arial"/>
                <w:b/>
                <w:color w:val="0D1815"/>
                <w:spacing w:val="6"/>
                <w:sz w:val="16"/>
                <w:szCs w:val="16"/>
              </w:rPr>
            </w:pPr>
            <w:r w:rsidRPr="005A56B0">
              <w:rPr>
                <w:rFonts w:ascii="Arial" w:hAnsi="Arial" w:cs="Arial"/>
                <w:b/>
                <w:color w:val="0D1815"/>
                <w:spacing w:val="6"/>
                <w:sz w:val="16"/>
                <w:szCs w:val="16"/>
              </w:rPr>
              <w:t>Total procesos</w:t>
            </w:r>
          </w:p>
        </w:tc>
      </w:tr>
      <w:tr w:rsidR="005A56B0" w14:paraId="750CE774" w14:textId="77777777" w:rsidTr="00050BF9">
        <w:trPr>
          <w:trHeight w:hRule="exact" w:val="497"/>
        </w:trPr>
        <w:tc>
          <w:tcPr>
            <w:tcW w:w="3366" w:type="dxa"/>
            <w:tcBorders>
              <w:top w:val="single" w:sz="2" w:space="0" w:color="000000"/>
              <w:left w:val="single" w:sz="2" w:space="0" w:color="000000"/>
              <w:bottom w:val="single" w:sz="2" w:space="0" w:color="000000"/>
              <w:right w:val="single" w:sz="2" w:space="0" w:color="000000"/>
            </w:tcBorders>
            <w:vAlign w:val="center"/>
          </w:tcPr>
          <w:p w14:paraId="7B098921" w14:textId="77777777" w:rsidR="005A56B0" w:rsidRPr="005A56B0" w:rsidRDefault="005A56B0" w:rsidP="00050BF9">
            <w:pPr>
              <w:jc w:val="center"/>
              <w:rPr>
                <w:rFonts w:ascii="Arial" w:hAnsi="Arial" w:cs="Arial"/>
                <w:color w:val="0D1815"/>
                <w:spacing w:val="-4"/>
                <w:sz w:val="16"/>
                <w:szCs w:val="16"/>
              </w:rPr>
            </w:pPr>
            <w:r w:rsidRPr="005A56B0">
              <w:rPr>
                <w:rFonts w:ascii="Arial" w:hAnsi="Arial" w:cs="Arial"/>
                <w:color w:val="0D1815"/>
                <w:spacing w:val="-4"/>
                <w:sz w:val="16"/>
                <w:szCs w:val="16"/>
              </w:rPr>
              <w:t>Feminicidio</w:t>
            </w:r>
          </w:p>
        </w:tc>
        <w:tc>
          <w:tcPr>
            <w:tcW w:w="1616" w:type="dxa"/>
            <w:tcBorders>
              <w:top w:val="single" w:sz="2" w:space="0" w:color="000000"/>
              <w:left w:val="single" w:sz="2" w:space="0" w:color="000000"/>
              <w:bottom w:val="single" w:sz="2" w:space="0" w:color="000000"/>
              <w:right w:val="single" w:sz="2" w:space="0" w:color="000000"/>
            </w:tcBorders>
            <w:vAlign w:val="center"/>
          </w:tcPr>
          <w:p w14:paraId="37DEA1C3" w14:textId="77777777" w:rsidR="005A56B0" w:rsidRPr="005A56B0" w:rsidRDefault="005A56B0" w:rsidP="00050BF9">
            <w:pPr>
              <w:jc w:val="center"/>
              <w:rPr>
                <w:rFonts w:ascii="Arial" w:hAnsi="Arial" w:cs="Arial"/>
                <w:color w:val="0D1815"/>
                <w:sz w:val="16"/>
                <w:szCs w:val="16"/>
              </w:rPr>
            </w:pPr>
            <w:r w:rsidRPr="005A56B0">
              <w:rPr>
                <w:rFonts w:ascii="Arial" w:hAnsi="Arial" w:cs="Arial"/>
                <w:color w:val="0D1815"/>
                <w:sz w:val="16"/>
                <w:szCs w:val="16"/>
              </w:rPr>
              <w:t>7</w:t>
            </w:r>
          </w:p>
        </w:tc>
        <w:tc>
          <w:tcPr>
            <w:tcW w:w="1350" w:type="dxa"/>
            <w:tcBorders>
              <w:top w:val="single" w:sz="2" w:space="0" w:color="000000"/>
              <w:left w:val="single" w:sz="2" w:space="0" w:color="000000"/>
              <w:bottom w:val="single" w:sz="2" w:space="0" w:color="000000"/>
              <w:right w:val="single" w:sz="2" w:space="0" w:color="000000"/>
            </w:tcBorders>
            <w:vAlign w:val="center"/>
          </w:tcPr>
          <w:p w14:paraId="72F08988" w14:textId="77777777" w:rsidR="005A56B0" w:rsidRPr="005A56B0" w:rsidRDefault="005A56B0" w:rsidP="00050BF9">
            <w:pPr>
              <w:jc w:val="center"/>
              <w:rPr>
                <w:rFonts w:ascii="Arial" w:hAnsi="Arial" w:cs="Arial"/>
                <w:color w:val="0D1815"/>
                <w:sz w:val="16"/>
                <w:szCs w:val="16"/>
              </w:rPr>
            </w:pPr>
            <w:r w:rsidRPr="005A56B0">
              <w:rPr>
                <w:rFonts w:ascii="Arial" w:hAnsi="Arial" w:cs="Arial"/>
                <w:color w:val="0D1815"/>
                <w:sz w:val="16"/>
                <w:szCs w:val="16"/>
              </w:rPr>
              <w:t>2</w:t>
            </w:r>
          </w:p>
        </w:tc>
        <w:tc>
          <w:tcPr>
            <w:tcW w:w="2160" w:type="dxa"/>
            <w:tcBorders>
              <w:top w:val="single" w:sz="2" w:space="0" w:color="000000"/>
              <w:left w:val="single" w:sz="2" w:space="0" w:color="000000"/>
              <w:bottom w:val="single" w:sz="2" w:space="0" w:color="000000"/>
              <w:right w:val="single" w:sz="2" w:space="0" w:color="000000"/>
            </w:tcBorders>
            <w:vAlign w:val="center"/>
          </w:tcPr>
          <w:p w14:paraId="10D9227E" w14:textId="77777777" w:rsidR="005A56B0" w:rsidRPr="005A56B0" w:rsidRDefault="005A56B0" w:rsidP="00050BF9">
            <w:pPr>
              <w:jc w:val="center"/>
              <w:rPr>
                <w:rFonts w:ascii="Arial" w:hAnsi="Arial" w:cs="Arial"/>
                <w:color w:val="0D1815"/>
                <w:sz w:val="16"/>
                <w:szCs w:val="16"/>
              </w:rPr>
            </w:pPr>
            <w:r w:rsidRPr="005A56B0">
              <w:rPr>
                <w:rFonts w:ascii="Arial" w:hAnsi="Arial" w:cs="Arial"/>
                <w:color w:val="0D1815"/>
                <w:sz w:val="16"/>
                <w:szCs w:val="16"/>
              </w:rPr>
              <w:t>9</w:t>
            </w:r>
          </w:p>
        </w:tc>
      </w:tr>
      <w:tr w:rsidR="005A56B0" w14:paraId="3495E564" w14:textId="77777777" w:rsidTr="00050BF9">
        <w:trPr>
          <w:trHeight w:hRule="exact" w:val="501"/>
        </w:trPr>
        <w:tc>
          <w:tcPr>
            <w:tcW w:w="3366" w:type="dxa"/>
            <w:tcBorders>
              <w:top w:val="single" w:sz="2" w:space="0" w:color="000000"/>
              <w:left w:val="single" w:sz="2" w:space="0" w:color="000000"/>
              <w:bottom w:val="single" w:sz="2" w:space="0" w:color="000000"/>
              <w:right w:val="single" w:sz="2" w:space="0" w:color="000000"/>
            </w:tcBorders>
            <w:vAlign w:val="center"/>
          </w:tcPr>
          <w:p w14:paraId="0B184960" w14:textId="77777777" w:rsidR="005A56B0" w:rsidRPr="005A56B0" w:rsidRDefault="005A56B0" w:rsidP="00050BF9">
            <w:pPr>
              <w:jc w:val="center"/>
              <w:rPr>
                <w:rFonts w:ascii="Arial" w:hAnsi="Arial" w:cs="Arial"/>
                <w:color w:val="0D1815"/>
                <w:spacing w:val="-4"/>
                <w:sz w:val="16"/>
                <w:szCs w:val="16"/>
              </w:rPr>
            </w:pPr>
            <w:r w:rsidRPr="005A56B0">
              <w:rPr>
                <w:rFonts w:ascii="Arial" w:hAnsi="Arial" w:cs="Arial"/>
                <w:color w:val="0D1815"/>
                <w:spacing w:val="-4"/>
                <w:sz w:val="16"/>
                <w:szCs w:val="16"/>
              </w:rPr>
              <w:t>Homicidio doloso</w:t>
            </w:r>
          </w:p>
        </w:tc>
        <w:tc>
          <w:tcPr>
            <w:tcW w:w="1616" w:type="dxa"/>
            <w:tcBorders>
              <w:top w:val="single" w:sz="2" w:space="0" w:color="000000"/>
              <w:left w:val="single" w:sz="2" w:space="0" w:color="000000"/>
              <w:bottom w:val="single" w:sz="2" w:space="0" w:color="000000"/>
              <w:right w:val="single" w:sz="2" w:space="0" w:color="000000"/>
            </w:tcBorders>
            <w:vAlign w:val="center"/>
          </w:tcPr>
          <w:p w14:paraId="3DC3A1A5" w14:textId="77777777" w:rsidR="005A56B0" w:rsidRPr="005A56B0" w:rsidRDefault="005A56B0" w:rsidP="00050BF9">
            <w:pPr>
              <w:jc w:val="center"/>
              <w:rPr>
                <w:rFonts w:ascii="Arial" w:hAnsi="Arial" w:cs="Arial"/>
                <w:color w:val="0D1815"/>
                <w:sz w:val="16"/>
                <w:szCs w:val="16"/>
              </w:rPr>
            </w:pPr>
            <w:r w:rsidRPr="005A56B0">
              <w:rPr>
                <w:rFonts w:ascii="Arial" w:hAnsi="Arial" w:cs="Arial"/>
                <w:color w:val="0D1815"/>
                <w:sz w:val="16"/>
                <w:szCs w:val="16"/>
              </w:rPr>
              <w:t>437</w:t>
            </w:r>
          </w:p>
        </w:tc>
        <w:tc>
          <w:tcPr>
            <w:tcW w:w="1350" w:type="dxa"/>
            <w:tcBorders>
              <w:top w:val="single" w:sz="2" w:space="0" w:color="000000"/>
              <w:left w:val="single" w:sz="2" w:space="0" w:color="000000"/>
              <w:bottom w:val="single" w:sz="2" w:space="0" w:color="000000"/>
              <w:right w:val="single" w:sz="2" w:space="0" w:color="000000"/>
            </w:tcBorders>
          </w:tcPr>
          <w:p w14:paraId="151D1282" w14:textId="77777777" w:rsidR="005A56B0" w:rsidRPr="005A56B0" w:rsidRDefault="005A56B0" w:rsidP="00050BF9">
            <w:pPr>
              <w:jc w:val="center"/>
              <w:rPr>
                <w:rFonts w:ascii="Arial" w:hAnsi="Arial" w:cs="Arial"/>
                <w:color w:val="0D1815"/>
                <w:sz w:val="16"/>
                <w:szCs w:val="16"/>
              </w:rPr>
            </w:pPr>
            <w:r w:rsidRPr="005A56B0">
              <w:rPr>
                <w:rFonts w:ascii="Arial" w:hAnsi="Arial" w:cs="Arial"/>
                <w:color w:val="0D1815"/>
                <w:sz w:val="16"/>
                <w:szCs w:val="16"/>
              </w:rPr>
              <w:t>45</w:t>
            </w:r>
          </w:p>
        </w:tc>
        <w:tc>
          <w:tcPr>
            <w:tcW w:w="2160" w:type="dxa"/>
            <w:tcBorders>
              <w:top w:val="single" w:sz="2" w:space="0" w:color="000000"/>
              <w:left w:val="single" w:sz="2" w:space="0" w:color="000000"/>
              <w:bottom w:val="single" w:sz="2" w:space="0" w:color="000000"/>
              <w:right w:val="single" w:sz="2" w:space="0" w:color="000000"/>
            </w:tcBorders>
            <w:vAlign w:val="center"/>
          </w:tcPr>
          <w:p w14:paraId="175BB75B" w14:textId="77777777" w:rsidR="005A56B0" w:rsidRPr="005A56B0" w:rsidRDefault="005A56B0" w:rsidP="00050BF9">
            <w:pPr>
              <w:jc w:val="center"/>
              <w:rPr>
                <w:rFonts w:ascii="Arial" w:hAnsi="Arial" w:cs="Arial"/>
                <w:color w:val="0D1815"/>
                <w:sz w:val="16"/>
                <w:szCs w:val="16"/>
              </w:rPr>
            </w:pPr>
            <w:r w:rsidRPr="005A56B0">
              <w:rPr>
                <w:rFonts w:ascii="Arial" w:hAnsi="Arial" w:cs="Arial"/>
                <w:color w:val="0D1815"/>
                <w:sz w:val="16"/>
                <w:szCs w:val="16"/>
              </w:rPr>
              <w:t>482</w:t>
            </w:r>
          </w:p>
        </w:tc>
      </w:tr>
    </w:tbl>
    <w:p w14:paraId="5A375C91" w14:textId="0E8A9966" w:rsidR="00EF5F3A" w:rsidRDefault="00EF5F3A" w:rsidP="008D54F6">
      <w:pPr>
        <w:spacing w:after="0" w:line="240" w:lineRule="auto"/>
        <w:rPr>
          <w:lang w:val="es-ES"/>
        </w:rPr>
      </w:pPr>
    </w:p>
    <w:p w14:paraId="762BA250" w14:textId="77777777" w:rsidR="008D54F6" w:rsidRDefault="008D54F6" w:rsidP="008D54F6">
      <w:pPr>
        <w:spacing w:after="0" w:line="240" w:lineRule="auto"/>
        <w:rPr>
          <w:lang w:val="es-ES"/>
        </w:rPr>
      </w:pPr>
    </w:p>
    <w:p w14:paraId="1C889413" w14:textId="05133A31" w:rsidR="00B65E81" w:rsidRPr="009B2BF5" w:rsidRDefault="00B65E81" w:rsidP="008D54F6">
      <w:pPr>
        <w:spacing w:after="0" w:line="240" w:lineRule="auto"/>
        <w:jc w:val="both"/>
        <w:rPr>
          <w:rFonts w:ascii="Arial" w:hAnsi="Arial" w:cs="Arial"/>
          <w:sz w:val="24"/>
          <w:szCs w:val="24"/>
        </w:rPr>
      </w:pPr>
      <w:r w:rsidRPr="009B2BF5">
        <w:rPr>
          <w:rFonts w:ascii="Arial" w:hAnsi="Arial" w:cs="Arial"/>
          <w:b/>
          <w:bCs/>
          <w:sz w:val="24"/>
          <w:szCs w:val="24"/>
          <w:u w:val="single"/>
        </w:rPr>
        <w:t>3. Interseccionalidad:</w:t>
      </w:r>
      <w:r w:rsidRPr="009B2BF5">
        <w:rPr>
          <w:rFonts w:ascii="Arial" w:hAnsi="Arial" w:cs="Arial"/>
          <w:sz w:val="24"/>
          <w:szCs w:val="24"/>
        </w:rPr>
        <w:t xml:space="preserve"> En el </w:t>
      </w:r>
      <w:r w:rsidR="001131AF" w:rsidRPr="009B2BF5">
        <w:rPr>
          <w:rFonts w:ascii="Arial" w:hAnsi="Arial" w:cs="Arial"/>
          <w:sz w:val="24"/>
          <w:szCs w:val="24"/>
        </w:rPr>
        <w:t>a</w:t>
      </w:r>
      <w:r w:rsidRPr="009B2BF5">
        <w:rPr>
          <w:rFonts w:ascii="Arial" w:hAnsi="Arial" w:cs="Arial"/>
          <w:sz w:val="24"/>
          <w:szCs w:val="24"/>
        </w:rPr>
        <w:t>rtículo 11 de la Ley 1251 de 2008, se consideran grupos que merecen especial protección y cuidado a los adultos mayores</w:t>
      </w:r>
      <w:r w:rsidR="00C55F25" w:rsidRPr="009B2BF5">
        <w:rPr>
          <w:rFonts w:ascii="Arial" w:hAnsi="Arial" w:cs="Arial"/>
          <w:sz w:val="24"/>
          <w:szCs w:val="24"/>
        </w:rPr>
        <w:t>: indígenas, mujeres, en situación de discapacidad, población desplazada, negritudes, minorías étnicas y reclusos</w:t>
      </w:r>
      <w:r w:rsidR="001C6252" w:rsidRPr="009B2BF5">
        <w:rPr>
          <w:rFonts w:ascii="Arial" w:hAnsi="Arial" w:cs="Arial"/>
          <w:sz w:val="24"/>
          <w:szCs w:val="24"/>
        </w:rPr>
        <w:t>.</w:t>
      </w:r>
      <w:r w:rsidRPr="009B2BF5">
        <w:rPr>
          <w:rFonts w:ascii="Arial" w:hAnsi="Arial" w:cs="Arial"/>
          <w:sz w:val="24"/>
          <w:szCs w:val="24"/>
        </w:rPr>
        <w:t xml:space="preserve"> </w:t>
      </w:r>
    </w:p>
    <w:p w14:paraId="3EA550D4" w14:textId="77777777" w:rsidR="00B65E81" w:rsidRPr="009B2BF5" w:rsidRDefault="00B65E81" w:rsidP="008D54F6">
      <w:pPr>
        <w:spacing w:after="0" w:line="240" w:lineRule="auto"/>
        <w:jc w:val="both"/>
        <w:rPr>
          <w:rFonts w:ascii="Arial" w:hAnsi="Arial" w:cs="Arial"/>
          <w:sz w:val="24"/>
          <w:szCs w:val="24"/>
        </w:rPr>
      </w:pPr>
    </w:p>
    <w:p w14:paraId="4507011A" w14:textId="77777777" w:rsidR="00B65E81" w:rsidRPr="009B2BF5" w:rsidRDefault="00B65E81" w:rsidP="008D54F6">
      <w:pPr>
        <w:spacing w:after="0" w:line="240" w:lineRule="auto"/>
        <w:jc w:val="both"/>
        <w:rPr>
          <w:rFonts w:ascii="Arial" w:hAnsi="Arial" w:cs="Arial"/>
          <w:sz w:val="24"/>
          <w:szCs w:val="24"/>
        </w:rPr>
      </w:pPr>
    </w:p>
    <w:p w14:paraId="750CF0FC" w14:textId="34D58A1B" w:rsidR="00F34A14" w:rsidRPr="009B2BF5" w:rsidRDefault="00F34A14" w:rsidP="008D54F6">
      <w:pPr>
        <w:spacing w:after="0" w:line="240" w:lineRule="auto"/>
        <w:jc w:val="both"/>
        <w:rPr>
          <w:rFonts w:ascii="Arial" w:hAnsi="Arial" w:cs="Arial"/>
          <w:sz w:val="24"/>
          <w:szCs w:val="24"/>
          <w:u w:val="single"/>
        </w:rPr>
      </w:pPr>
      <w:r w:rsidRPr="009B2BF5">
        <w:rPr>
          <w:rFonts w:ascii="Arial" w:hAnsi="Arial" w:cs="Arial"/>
          <w:b/>
          <w:bCs/>
          <w:sz w:val="24"/>
          <w:szCs w:val="24"/>
          <w:u w:val="single"/>
        </w:rPr>
        <w:t>5. Acceso a la justicia</w:t>
      </w:r>
      <w:r w:rsidR="00893415" w:rsidRPr="009B2BF5">
        <w:rPr>
          <w:rFonts w:ascii="Arial" w:hAnsi="Arial" w:cs="Arial"/>
          <w:b/>
          <w:bCs/>
          <w:sz w:val="24"/>
          <w:szCs w:val="24"/>
          <w:u w:val="single"/>
        </w:rPr>
        <w:t xml:space="preserve"> y</w:t>
      </w:r>
      <w:r w:rsidR="00893415" w:rsidRPr="009B2BF5">
        <w:rPr>
          <w:rFonts w:ascii="Arial" w:hAnsi="Arial" w:cs="Arial"/>
          <w:sz w:val="24"/>
          <w:szCs w:val="24"/>
          <w:u w:val="single"/>
        </w:rPr>
        <w:t xml:space="preserve"> </w:t>
      </w:r>
      <w:r w:rsidR="00893415" w:rsidRPr="009B2BF5">
        <w:rPr>
          <w:rFonts w:ascii="Arial" w:hAnsi="Arial" w:cs="Arial"/>
          <w:b/>
          <w:bCs/>
          <w:sz w:val="24"/>
          <w:szCs w:val="24"/>
          <w:u w:val="single"/>
        </w:rPr>
        <w:t>6. Acceso a la información:</w:t>
      </w:r>
      <w:r w:rsidR="00893415" w:rsidRPr="009B2BF5">
        <w:rPr>
          <w:rFonts w:ascii="Arial" w:hAnsi="Arial" w:cs="Arial"/>
          <w:sz w:val="24"/>
          <w:szCs w:val="24"/>
          <w:u w:val="single"/>
        </w:rPr>
        <w:t xml:space="preserve"> </w:t>
      </w:r>
    </w:p>
    <w:p w14:paraId="02219289" w14:textId="77777777" w:rsidR="00900F4C" w:rsidRPr="009B2BF5" w:rsidRDefault="00900F4C" w:rsidP="008D54F6">
      <w:pPr>
        <w:spacing w:after="0" w:line="240" w:lineRule="auto"/>
        <w:jc w:val="both"/>
        <w:rPr>
          <w:rFonts w:ascii="Arial" w:hAnsi="Arial" w:cs="Arial"/>
          <w:sz w:val="24"/>
          <w:szCs w:val="24"/>
        </w:rPr>
      </w:pPr>
    </w:p>
    <w:p w14:paraId="7E5B8F0A" w14:textId="43FAD324" w:rsidR="00900F4C" w:rsidRPr="009B2BF5" w:rsidRDefault="00900F4C" w:rsidP="008D54F6">
      <w:pPr>
        <w:spacing w:after="0" w:line="240" w:lineRule="auto"/>
        <w:jc w:val="both"/>
        <w:rPr>
          <w:rFonts w:ascii="Arial" w:hAnsi="Arial" w:cs="Arial"/>
          <w:sz w:val="24"/>
          <w:szCs w:val="24"/>
        </w:rPr>
      </w:pPr>
      <w:r w:rsidRPr="009B2BF5">
        <w:rPr>
          <w:rFonts w:ascii="Arial" w:hAnsi="Arial" w:cs="Arial"/>
          <w:sz w:val="24"/>
          <w:szCs w:val="24"/>
        </w:rPr>
        <w:t>La Fiscalía General de la Nación cuenta con diversos canales a través de los cuales los adultos mayores pueden poner en conocimiento sus denuncias y presentar sus peticiones, quejas, reclamos y sugerencias.</w:t>
      </w:r>
    </w:p>
    <w:p w14:paraId="0882E386" w14:textId="77777777" w:rsidR="00900F4C" w:rsidRPr="009B2BF5" w:rsidRDefault="00900F4C" w:rsidP="008D54F6">
      <w:pPr>
        <w:spacing w:after="0" w:line="240" w:lineRule="auto"/>
        <w:jc w:val="both"/>
        <w:rPr>
          <w:rFonts w:ascii="Arial" w:hAnsi="Arial" w:cs="Arial"/>
          <w:sz w:val="24"/>
          <w:szCs w:val="24"/>
        </w:rPr>
      </w:pPr>
    </w:p>
    <w:p w14:paraId="198B7D2E" w14:textId="68BC2A32" w:rsidR="00900F4C" w:rsidRPr="009B2BF5" w:rsidRDefault="00900F4C" w:rsidP="008D54F6">
      <w:pPr>
        <w:spacing w:after="0" w:line="240" w:lineRule="auto"/>
        <w:jc w:val="both"/>
        <w:rPr>
          <w:rFonts w:ascii="Arial" w:hAnsi="Arial" w:cs="Arial"/>
          <w:sz w:val="24"/>
          <w:szCs w:val="24"/>
        </w:rPr>
      </w:pPr>
      <w:r w:rsidRPr="009B2BF5">
        <w:rPr>
          <w:rFonts w:ascii="Arial" w:hAnsi="Arial" w:cs="Arial"/>
          <w:sz w:val="24"/>
          <w:szCs w:val="24"/>
        </w:rPr>
        <w:lastRenderedPageBreak/>
        <w:t>Actualmente, se cuenta con atención: (i) presencial</w:t>
      </w:r>
      <w:r w:rsidR="007F0537" w:rsidRPr="009B2BF5">
        <w:rPr>
          <w:rStyle w:val="Refdenotaalpie"/>
          <w:rFonts w:ascii="Arial" w:hAnsi="Arial" w:cs="Arial"/>
          <w:sz w:val="24"/>
          <w:szCs w:val="24"/>
        </w:rPr>
        <w:footnoteReference w:id="3"/>
      </w:r>
      <w:r w:rsidRPr="009B2BF5">
        <w:rPr>
          <w:rFonts w:ascii="Arial" w:hAnsi="Arial" w:cs="Arial"/>
          <w:sz w:val="24"/>
          <w:szCs w:val="24"/>
        </w:rPr>
        <w:t>, en todas las sedes físicas de la Fiscalía General de la Nación, como son los Centros de Atencion de la Fiscalía (CAF)</w:t>
      </w:r>
      <w:r w:rsidR="000C3780" w:rsidRPr="009B2BF5">
        <w:rPr>
          <w:rStyle w:val="Refdenotaalpie"/>
          <w:rFonts w:ascii="Arial" w:hAnsi="Arial" w:cs="Arial"/>
          <w:sz w:val="24"/>
          <w:szCs w:val="24"/>
        </w:rPr>
        <w:footnoteReference w:id="4"/>
      </w:r>
      <w:r w:rsidRPr="009B2BF5">
        <w:rPr>
          <w:rFonts w:ascii="Arial" w:hAnsi="Arial" w:cs="Arial"/>
          <w:sz w:val="24"/>
          <w:szCs w:val="24"/>
        </w:rPr>
        <w:t>, Puntos de Atencion de la Fiscalía General de la Nación (PAF)</w:t>
      </w:r>
      <w:r w:rsidR="000C3780" w:rsidRPr="009B2BF5">
        <w:rPr>
          <w:rStyle w:val="Refdenotaalpie"/>
          <w:rFonts w:ascii="Arial" w:hAnsi="Arial" w:cs="Arial"/>
          <w:sz w:val="24"/>
          <w:szCs w:val="24"/>
        </w:rPr>
        <w:footnoteReference w:id="5"/>
      </w:r>
      <w:r w:rsidRPr="009B2BF5">
        <w:rPr>
          <w:rFonts w:ascii="Arial" w:hAnsi="Arial" w:cs="Arial"/>
          <w:sz w:val="24"/>
          <w:szCs w:val="24"/>
        </w:rPr>
        <w:t>, Casa de Justicia del Ministerio de Justicia y del Derecho, en las que hace presencia la entidad, Unidades de Reacción Inmediata URI, las jornadas de atención a víctimas y ferias de servicios; (</w:t>
      </w:r>
      <w:proofErr w:type="spellStart"/>
      <w:r w:rsidRPr="009B2BF5">
        <w:rPr>
          <w:rFonts w:ascii="Arial" w:hAnsi="Arial" w:cs="Arial"/>
          <w:sz w:val="24"/>
          <w:szCs w:val="24"/>
        </w:rPr>
        <w:t>ii</w:t>
      </w:r>
      <w:proofErr w:type="spellEnd"/>
      <w:r w:rsidRPr="009B2BF5">
        <w:rPr>
          <w:rFonts w:ascii="Arial" w:hAnsi="Arial" w:cs="Arial"/>
          <w:sz w:val="24"/>
          <w:szCs w:val="24"/>
        </w:rPr>
        <w:t>) virtuales</w:t>
      </w:r>
      <w:r w:rsidR="000C3780" w:rsidRPr="009B2BF5">
        <w:rPr>
          <w:rStyle w:val="Refdenotaalpie"/>
          <w:rFonts w:ascii="Arial" w:hAnsi="Arial" w:cs="Arial"/>
          <w:sz w:val="24"/>
          <w:szCs w:val="24"/>
        </w:rPr>
        <w:footnoteReference w:id="6"/>
      </w:r>
      <w:r w:rsidRPr="009B2BF5">
        <w:rPr>
          <w:rFonts w:ascii="Arial" w:hAnsi="Arial" w:cs="Arial"/>
          <w:sz w:val="24"/>
          <w:szCs w:val="24"/>
        </w:rPr>
        <w:t xml:space="preserve">, con el </w:t>
      </w:r>
      <w:r w:rsidR="001C6252" w:rsidRPr="009B2BF5">
        <w:rPr>
          <w:rFonts w:ascii="Arial" w:hAnsi="Arial" w:cs="Arial"/>
          <w:sz w:val="24"/>
          <w:szCs w:val="24"/>
        </w:rPr>
        <w:t>botón</w:t>
      </w:r>
      <w:r w:rsidRPr="009B2BF5">
        <w:rPr>
          <w:rFonts w:ascii="Arial" w:hAnsi="Arial" w:cs="Arial"/>
          <w:sz w:val="24"/>
          <w:szCs w:val="24"/>
        </w:rPr>
        <w:t xml:space="preserve"> de Denuncia Fácil, </w:t>
      </w:r>
      <w:proofErr w:type="spellStart"/>
      <w:r w:rsidRPr="009B2BF5">
        <w:rPr>
          <w:rFonts w:ascii="Arial" w:hAnsi="Arial" w:cs="Arial"/>
          <w:sz w:val="24"/>
          <w:szCs w:val="24"/>
        </w:rPr>
        <w:t>jADenunciar</w:t>
      </w:r>
      <w:proofErr w:type="spellEnd"/>
      <w:r w:rsidRPr="009B2BF5">
        <w:rPr>
          <w:rFonts w:ascii="Arial" w:hAnsi="Arial" w:cs="Arial"/>
          <w:sz w:val="24"/>
          <w:szCs w:val="24"/>
        </w:rPr>
        <w:t>! y el buzón PQRS disponibles en la página web; (</w:t>
      </w:r>
      <w:proofErr w:type="spellStart"/>
      <w:r w:rsidRPr="009B2BF5">
        <w:rPr>
          <w:rFonts w:ascii="Arial" w:hAnsi="Arial" w:cs="Arial"/>
          <w:sz w:val="24"/>
          <w:szCs w:val="24"/>
        </w:rPr>
        <w:t>iii</w:t>
      </w:r>
      <w:proofErr w:type="spellEnd"/>
      <w:r w:rsidRPr="009B2BF5">
        <w:rPr>
          <w:rFonts w:ascii="Arial" w:hAnsi="Arial" w:cs="Arial"/>
          <w:sz w:val="24"/>
          <w:szCs w:val="24"/>
        </w:rPr>
        <w:t>) telefónico</w:t>
      </w:r>
      <w:r w:rsidR="00AD1A79" w:rsidRPr="009B2BF5">
        <w:rPr>
          <w:rStyle w:val="Refdenotaalpie"/>
          <w:rFonts w:ascii="Arial" w:hAnsi="Arial" w:cs="Arial"/>
          <w:sz w:val="24"/>
          <w:szCs w:val="24"/>
        </w:rPr>
        <w:footnoteReference w:id="7"/>
      </w:r>
      <w:r w:rsidRPr="009B2BF5">
        <w:rPr>
          <w:rFonts w:ascii="Arial" w:hAnsi="Arial" w:cs="Arial"/>
          <w:sz w:val="24"/>
          <w:szCs w:val="24"/>
        </w:rPr>
        <w:t>, a través del Centro de Contacto; y (</w:t>
      </w:r>
      <w:proofErr w:type="spellStart"/>
      <w:r w:rsidRPr="009B2BF5">
        <w:rPr>
          <w:rFonts w:ascii="Arial" w:hAnsi="Arial" w:cs="Arial"/>
          <w:sz w:val="24"/>
          <w:szCs w:val="24"/>
        </w:rPr>
        <w:t>iv</w:t>
      </w:r>
      <w:proofErr w:type="spellEnd"/>
      <w:r w:rsidRPr="009B2BF5">
        <w:rPr>
          <w:rFonts w:ascii="Arial" w:hAnsi="Arial" w:cs="Arial"/>
          <w:sz w:val="24"/>
          <w:szCs w:val="24"/>
        </w:rPr>
        <w:t>) escritos</w:t>
      </w:r>
      <w:r w:rsidR="007F0537" w:rsidRPr="009B2BF5">
        <w:rPr>
          <w:rStyle w:val="Refdenotaalpie"/>
          <w:rFonts w:ascii="Arial" w:hAnsi="Arial" w:cs="Arial"/>
          <w:sz w:val="24"/>
          <w:szCs w:val="24"/>
        </w:rPr>
        <w:footnoteReference w:id="8"/>
      </w:r>
      <w:r w:rsidRPr="009B2BF5">
        <w:rPr>
          <w:rFonts w:ascii="Arial" w:hAnsi="Arial" w:cs="Arial"/>
          <w:sz w:val="24"/>
          <w:szCs w:val="24"/>
        </w:rPr>
        <w:t>, par medio, de las Ventanillas Únicas de Correspondencia.</w:t>
      </w:r>
    </w:p>
    <w:p w14:paraId="4060375D" w14:textId="77777777" w:rsidR="00900F4C" w:rsidRPr="009B2BF5" w:rsidRDefault="00900F4C" w:rsidP="008D54F6">
      <w:pPr>
        <w:spacing w:after="0" w:line="240" w:lineRule="auto"/>
        <w:jc w:val="both"/>
        <w:rPr>
          <w:rFonts w:ascii="Arial" w:hAnsi="Arial" w:cs="Arial"/>
          <w:sz w:val="24"/>
          <w:szCs w:val="24"/>
        </w:rPr>
      </w:pPr>
    </w:p>
    <w:p w14:paraId="4A5913FE" w14:textId="77777777" w:rsidR="00A221A2" w:rsidRPr="009B2BF5" w:rsidRDefault="00A221A2" w:rsidP="008D54F6">
      <w:pPr>
        <w:spacing w:after="0" w:line="240" w:lineRule="auto"/>
        <w:jc w:val="both"/>
        <w:rPr>
          <w:rFonts w:ascii="Arial" w:hAnsi="Arial" w:cs="Arial"/>
          <w:sz w:val="24"/>
          <w:szCs w:val="24"/>
          <w:lang w:val="es-ES"/>
        </w:rPr>
      </w:pPr>
    </w:p>
    <w:sectPr w:rsidR="00A221A2" w:rsidRPr="009B2BF5" w:rsidSect="00B34C58">
      <w:headerReference w:type="default" r:id="rId8"/>
      <w:pgSz w:w="12240" w:h="15840"/>
      <w:pgMar w:top="1843"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5998F" w14:textId="77777777" w:rsidR="00E40895" w:rsidRDefault="00E40895" w:rsidP="00566E18">
      <w:pPr>
        <w:spacing w:after="0" w:line="240" w:lineRule="auto"/>
      </w:pPr>
      <w:r>
        <w:separator/>
      </w:r>
    </w:p>
  </w:endnote>
  <w:endnote w:type="continuationSeparator" w:id="0">
    <w:p w14:paraId="113A0C93" w14:textId="77777777" w:rsidR="00E40895" w:rsidRDefault="00E40895" w:rsidP="00566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altName w:val="Calibri"/>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Gotham-Book">
    <w:altName w:val="Cambria"/>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Work Sans Light">
    <w:altName w:val="Calibri"/>
    <w:charset w:val="00"/>
    <w:family w:val="auto"/>
    <w:pitch w:val="variable"/>
    <w:sig w:usb0="A00000FF" w:usb1="5000E07B" w:usb2="00000000" w:usb3="00000000" w:csb0="00000193" w:csb1="00000000"/>
  </w:font>
  <w:font w:name="Montserrat">
    <w:altName w:val="Calibri"/>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9218F" w14:textId="77777777" w:rsidR="00E40895" w:rsidRDefault="00E40895" w:rsidP="00566E18">
      <w:pPr>
        <w:spacing w:after="0" w:line="240" w:lineRule="auto"/>
      </w:pPr>
      <w:r>
        <w:separator/>
      </w:r>
    </w:p>
  </w:footnote>
  <w:footnote w:type="continuationSeparator" w:id="0">
    <w:p w14:paraId="7E66CB42" w14:textId="77777777" w:rsidR="00E40895" w:rsidRDefault="00E40895" w:rsidP="00566E18">
      <w:pPr>
        <w:spacing w:after="0" w:line="240" w:lineRule="auto"/>
      </w:pPr>
      <w:r>
        <w:continuationSeparator/>
      </w:r>
    </w:p>
  </w:footnote>
  <w:footnote w:id="1">
    <w:p w14:paraId="68311174" w14:textId="0C565BF7" w:rsidR="00BC60DF" w:rsidRPr="00BC60DF" w:rsidRDefault="00BC60DF">
      <w:pPr>
        <w:pStyle w:val="Textonotapie"/>
        <w:rPr>
          <w:lang w:val="es-ES"/>
        </w:rPr>
      </w:pPr>
      <w:r>
        <w:rPr>
          <w:rStyle w:val="Refdenotaalpie"/>
        </w:rPr>
        <w:footnoteRef/>
      </w:r>
      <w:r>
        <w:t xml:space="preserve"> </w:t>
      </w:r>
      <w:r>
        <w:rPr>
          <w:sz w:val="16"/>
          <w:szCs w:val="16"/>
        </w:rPr>
        <w:t>N</w:t>
      </w:r>
      <w:r w:rsidRPr="00076732">
        <w:rPr>
          <w:sz w:val="16"/>
          <w:szCs w:val="16"/>
        </w:rPr>
        <w:t>ormas tendientes a procurar la protección, promoción y defensa de los derechos de los adultos mayores</w:t>
      </w:r>
      <w:r>
        <w:rPr>
          <w:sz w:val="16"/>
          <w:szCs w:val="16"/>
        </w:rPr>
        <w:t>.</w:t>
      </w:r>
    </w:p>
  </w:footnote>
  <w:footnote w:id="2">
    <w:p w14:paraId="67B56E4C" w14:textId="7C1C7FD2" w:rsidR="00AB565C" w:rsidRPr="00AB565C" w:rsidRDefault="00AB565C">
      <w:pPr>
        <w:pStyle w:val="Textonotapie"/>
        <w:rPr>
          <w:lang w:val="es-ES"/>
        </w:rPr>
      </w:pPr>
      <w:r>
        <w:rPr>
          <w:rStyle w:val="Refdenotaalpie"/>
        </w:rPr>
        <w:footnoteRef/>
      </w:r>
      <w:r>
        <w:t xml:space="preserve"> </w:t>
      </w:r>
      <w:r w:rsidRPr="00AB565C">
        <w:rPr>
          <w:sz w:val="16"/>
          <w:szCs w:val="16"/>
          <w:lang w:val="es-ES"/>
        </w:rPr>
        <w:t>Con corte al 17 de febrero de 2023</w:t>
      </w:r>
      <w:r>
        <w:rPr>
          <w:lang w:val="es-ES"/>
        </w:rPr>
        <w:t xml:space="preserve"> </w:t>
      </w:r>
    </w:p>
  </w:footnote>
  <w:footnote w:id="3">
    <w:p w14:paraId="2C93814E" w14:textId="15F5EF40" w:rsidR="007F0537" w:rsidRPr="009B2BF5" w:rsidRDefault="007F0537" w:rsidP="007F0537">
      <w:pPr>
        <w:pStyle w:val="Textonotapie"/>
        <w:jc w:val="both"/>
        <w:rPr>
          <w:sz w:val="16"/>
          <w:szCs w:val="16"/>
        </w:rPr>
      </w:pPr>
      <w:r>
        <w:rPr>
          <w:rStyle w:val="Refdenotaalpie"/>
        </w:rPr>
        <w:footnoteRef/>
      </w:r>
      <w:r>
        <w:t xml:space="preserve"> </w:t>
      </w:r>
      <w:r w:rsidRPr="007F0537">
        <w:rPr>
          <w:sz w:val="16"/>
          <w:szCs w:val="16"/>
        </w:rPr>
        <w:t>Los puntos de atención presenciales cuentan con la ventanilla preferencial dispuesta para que las personas mayores de 62 años accedan a la administración de justicia de forma ágil y fácil, cumpliendo con el artículo 9 de la Ley 1171 de 2007 sobre beneficios a las personas adultas mayores.</w:t>
      </w:r>
    </w:p>
  </w:footnote>
  <w:footnote w:id="4">
    <w:p w14:paraId="2D060DDC" w14:textId="16E8297E" w:rsidR="00AD1A79" w:rsidRPr="009B2BF5" w:rsidRDefault="000C3780" w:rsidP="000C3780">
      <w:pPr>
        <w:pStyle w:val="Textonotapie"/>
        <w:jc w:val="both"/>
        <w:rPr>
          <w:sz w:val="16"/>
          <w:szCs w:val="16"/>
        </w:rPr>
      </w:pPr>
      <w:r>
        <w:rPr>
          <w:rStyle w:val="Refdenotaalpie"/>
        </w:rPr>
        <w:footnoteRef/>
      </w:r>
      <w:r>
        <w:t xml:space="preserve"> </w:t>
      </w:r>
      <w:r w:rsidRPr="000C3780">
        <w:rPr>
          <w:sz w:val="16"/>
          <w:szCs w:val="16"/>
        </w:rPr>
        <w:t>91 a nivel nacional</w:t>
      </w:r>
      <w:r>
        <w:rPr>
          <w:sz w:val="16"/>
          <w:szCs w:val="16"/>
        </w:rPr>
        <w:t xml:space="preserve">: </w:t>
      </w:r>
      <w:r w:rsidRPr="000C3780">
        <w:rPr>
          <w:sz w:val="16"/>
          <w:szCs w:val="16"/>
        </w:rPr>
        <w:t>tienen como objetivo brindar atención integral con enfoque diferencial para todos los usuarios y víctimas de un delito; promover la articulación interinstitucional para el restablecimiento de derechos de las victimas; procurar por la eficiencia de los procesos de recepción y clasificación de denuncias y; fortalecer la confianza institucional</w:t>
      </w:r>
      <w:r>
        <w:rPr>
          <w:sz w:val="16"/>
          <w:szCs w:val="16"/>
        </w:rPr>
        <w:t>.</w:t>
      </w:r>
    </w:p>
  </w:footnote>
  <w:footnote w:id="5">
    <w:p w14:paraId="4B70750C" w14:textId="638C85F0" w:rsidR="00AD1A79" w:rsidRPr="009B2BF5" w:rsidRDefault="000C3780" w:rsidP="000C3780">
      <w:pPr>
        <w:pStyle w:val="Textonotapie"/>
        <w:jc w:val="both"/>
        <w:rPr>
          <w:sz w:val="16"/>
          <w:szCs w:val="16"/>
        </w:rPr>
      </w:pPr>
      <w:r>
        <w:rPr>
          <w:rStyle w:val="Refdenotaalpie"/>
        </w:rPr>
        <w:footnoteRef/>
      </w:r>
      <w:r>
        <w:t xml:space="preserve"> </w:t>
      </w:r>
      <w:r w:rsidRPr="000C3780">
        <w:rPr>
          <w:sz w:val="16"/>
          <w:szCs w:val="16"/>
        </w:rPr>
        <w:t>70 a nivel nacional</w:t>
      </w:r>
      <w:r>
        <w:rPr>
          <w:sz w:val="16"/>
          <w:szCs w:val="16"/>
        </w:rPr>
        <w:t>:</w:t>
      </w:r>
      <w:r w:rsidRPr="000C3780">
        <w:rPr>
          <w:sz w:val="16"/>
          <w:szCs w:val="16"/>
        </w:rPr>
        <w:t xml:space="preserve"> enfocado en fortalecer la presencia de la Fiscalía en las zonas más apartadas del territorio nacional a través de la recepción de denuncias</w:t>
      </w:r>
      <w:r w:rsidR="007F0537">
        <w:rPr>
          <w:sz w:val="16"/>
          <w:szCs w:val="16"/>
        </w:rPr>
        <w:t>,</w:t>
      </w:r>
      <w:r w:rsidRPr="000C3780">
        <w:rPr>
          <w:sz w:val="16"/>
          <w:szCs w:val="16"/>
        </w:rPr>
        <w:t xml:space="preserve"> la información y orientación a los usuarios con respecto a las actividades propias de la entidad; todo esto por medio de acuerdos con alcaldías, gobernaciones y la cooperación internacional para garantizar el personal y la infraestructura dispuesto para los usuarios</w:t>
      </w:r>
      <w:r>
        <w:rPr>
          <w:sz w:val="16"/>
          <w:szCs w:val="16"/>
        </w:rPr>
        <w:t>.</w:t>
      </w:r>
    </w:p>
  </w:footnote>
  <w:footnote w:id="6">
    <w:p w14:paraId="15EABA10" w14:textId="2600E7A9" w:rsidR="000C3780" w:rsidRPr="009B2BF5" w:rsidRDefault="000C3780" w:rsidP="009B2BF5">
      <w:pPr>
        <w:spacing w:after="0" w:line="240" w:lineRule="auto"/>
        <w:jc w:val="both"/>
        <w:rPr>
          <w:rFonts w:ascii="Arial" w:hAnsi="Arial" w:cs="Arial"/>
          <w:lang w:val="es-ES"/>
        </w:rPr>
      </w:pPr>
      <w:r>
        <w:rPr>
          <w:rStyle w:val="Refdenotaalpie"/>
        </w:rPr>
        <w:footnoteRef/>
      </w:r>
      <w:r>
        <w:t xml:space="preserve"> </w:t>
      </w:r>
      <w:r w:rsidR="00AD1A79">
        <w:t>R</w:t>
      </w:r>
      <w:r w:rsidRPr="000C3780">
        <w:rPr>
          <w:rFonts w:ascii="Arial" w:eastAsia="Arial" w:hAnsi="Arial" w:cs="Arial"/>
          <w:sz w:val="16"/>
          <w:szCs w:val="16"/>
          <w:lang w:eastAsia="es-CO"/>
        </w:rPr>
        <w:t xml:space="preserve">especto al canal virtual, los adultos mayores pueden registrar autónomamente sus denuncias y, si lo desean, de forma anónima, desde la plataforma de Denuncia Fácil, la cual se encuentra en la página principal de la página web de la Fiscalía General de la Nación, accesible las 24 horas al día, los 7 días de la semana. Específicamente, por medio de la plataforma </w:t>
      </w:r>
      <w:proofErr w:type="spellStart"/>
      <w:r w:rsidRPr="000C3780">
        <w:rPr>
          <w:rFonts w:ascii="Arial" w:eastAsia="Arial" w:hAnsi="Arial" w:cs="Arial"/>
          <w:sz w:val="16"/>
          <w:szCs w:val="16"/>
          <w:lang w:eastAsia="es-CO"/>
        </w:rPr>
        <w:t>iADenunciarl</w:t>
      </w:r>
      <w:proofErr w:type="spellEnd"/>
      <w:r w:rsidRPr="000C3780">
        <w:rPr>
          <w:rFonts w:ascii="Arial" w:eastAsia="Arial" w:hAnsi="Arial" w:cs="Arial"/>
          <w:sz w:val="16"/>
          <w:szCs w:val="16"/>
          <w:lang w:eastAsia="es-CO"/>
        </w:rPr>
        <w:t>; la cual es una herramienta tecnológica desarrollada de manera conjunta entre la Policía Nacional de Colombia y la Fiscalía General de la Nación. Este aplicativo también cuenta con el módulo (SUIP) especializado para reporte de violencia intrafamiliar y violencia basada en género.</w:t>
      </w:r>
    </w:p>
  </w:footnote>
  <w:footnote w:id="7">
    <w:p w14:paraId="664F750D" w14:textId="0BC41098" w:rsidR="00AD1A79" w:rsidRPr="009B2BF5" w:rsidRDefault="00AD1A79" w:rsidP="009B2BF5">
      <w:pPr>
        <w:spacing w:after="0" w:line="240" w:lineRule="auto"/>
        <w:jc w:val="both"/>
        <w:rPr>
          <w:rFonts w:ascii="Arial" w:eastAsia="Arial" w:hAnsi="Arial" w:cs="Arial"/>
          <w:sz w:val="16"/>
          <w:szCs w:val="16"/>
          <w:lang w:eastAsia="es-CO"/>
        </w:rPr>
      </w:pPr>
      <w:r>
        <w:rPr>
          <w:rStyle w:val="Refdenotaalpie"/>
        </w:rPr>
        <w:footnoteRef/>
      </w:r>
      <w:r>
        <w:rPr>
          <w:rFonts w:ascii="Arial" w:eastAsia="Arial" w:hAnsi="Arial" w:cs="Arial"/>
          <w:sz w:val="16"/>
          <w:szCs w:val="16"/>
          <w:lang w:eastAsia="es-CO"/>
        </w:rPr>
        <w:t xml:space="preserve"> E</w:t>
      </w:r>
      <w:r w:rsidRPr="00AD1A79">
        <w:rPr>
          <w:rFonts w:ascii="Arial" w:eastAsia="Arial" w:hAnsi="Arial" w:cs="Arial"/>
          <w:sz w:val="16"/>
          <w:szCs w:val="16"/>
          <w:lang w:eastAsia="es-CO"/>
        </w:rPr>
        <w:t>l Centro de Contacto de la Fiscalía cuenta con línea</w:t>
      </w:r>
      <w:r>
        <w:rPr>
          <w:rFonts w:ascii="Arial" w:eastAsia="Arial" w:hAnsi="Arial" w:cs="Arial"/>
          <w:sz w:val="16"/>
          <w:szCs w:val="16"/>
          <w:lang w:eastAsia="es-CO"/>
        </w:rPr>
        <w:t xml:space="preserve">s </w:t>
      </w:r>
      <w:r w:rsidRPr="00AD1A79">
        <w:rPr>
          <w:rFonts w:ascii="Arial" w:eastAsia="Arial" w:hAnsi="Arial" w:cs="Arial"/>
          <w:sz w:val="16"/>
          <w:szCs w:val="16"/>
          <w:lang w:eastAsia="es-CO"/>
        </w:rPr>
        <w:t>telefón</w:t>
      </w:r>
      <w:r>
        <w:rPr>
          <w:rFonts w:ascii="Arial" w:eastAsia="Arial" w:hAnsi="Arial" w:cs="Arial"/>
          <w:sz w:val="16"/>
          <w:szCs w:val="16"/>
          <w:lang w:eastAsia="es-CO"/>
        </w:rPr>
        <w:t>icas</w:t>
      </w:r>
      <w:r w:rsidRPr="00AD1A79">
        <w:rPr>
          <w:rFonts w:ascii="Arial" w:eastAsia="Arial" w:hAnsi="Arial" w:cs="Arial"/>
          <w:sz w:val="16"/>
          <w:szCs w:val="16"/>
          <w:lang w:eastAsia="es-CO"/>
        </w:rPr>
        <w:t>, videollamada en lenguaje de señas colombiana, llamada virtual, chat y mensaje de texto, habilitada para brindar a los usuarios orientación, información y también disponible para la presentación de denuncias de cualquier delito y si el usuario lo desea de forma anónima, disponible las 24 horas del día, los 7 días de la semana. Los incidentes relacionados con violencia intrafamiliar y violencia basada en género que se reciben por la línea 122, se registran en el módulo del Sistema Único de Información Penal (SUIP), lo cual permite mayor celeridad.</w:t>
      </w:r>
    </w:p>
  </w:footnote>
  <w:footnote w:id="8">
    <w:p w14:paraId="15AB9C7B" w14:textId="1498436A" w:rsidR="007F0537" w:rsidRPr="007F0537" w:rsidRDefault="007F0537" w:rsidP="007F0537">
      <w:pPr>
        <w:pStyle w:val="Textonotapie"/>
        <w:jc w:val="both"/>
      </w:pPr>
      <w:r>
        <w:rPr>
          <w:rStyle w:val="Refdenotaalpie"/>
        </w:rPr>
        <w:footnoteRef/>
      </w:r>
      <w:r>
        <w:t xml:space="preserve"> </w:t>
      </w:r>
      <w:r w:rsidRPr="007F0537">
        <w:rPr>
          <w:sz w:val="16"/>
          <w:szCs w:val="16"/>
        </w:rPr>
        <w:t>Finalmente, en el canal escrito, la Fiscalía General de la Nación cuenta con la Ventanilla Única de Correspondencia en todas las Direcciones Seccionales de la Fiscalía a nivel nacional, allí las personas de edad pueden realizar denuncias formales o anónimas y presentar sus peticiones, quejas, reclamos y sugerencias.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2331" w14:textId="38DD49BE" w:rsidR="005A005A" w:rsidRDefault="00265F02">
    <w:pPr>
      <w:pStyle w:val="Encabezado"/>
    </w:pPr>
    <w:r>
      <w:rPr>
        <w:noProof/>
      </w:rPr>
      <w:drawing>
        <wp:anchor distT="0" distB="0" distL="114300" distR="114300" simplePos="0" relativeHeight="251660288" behindDoc="0" locked="0" layoutInCell="1" allowOverlap="1" wp14:anchorId="7457E423" wp14:editId="6AD812FD">
          <wp:simplePos x="0" y="0"/>
          <wp:positionH relativeFrom="page">
            <wp:posOffset>38514</wp:posOffset>
          </wp:positionH>
          <wp:positionV relativeFrom="paragraph">
            <wp:posOffset>-608</wp:posOffset>
          </wp:positionV>
          <wp:extent cx="2638425" cy="443865"/>
          <wp:effectExtent l="0" t="0" r="9525" b="0"/>
          <wp:wrapThrough wrapText="bothSides">
            <wp:wrapPolygon edited="0">
              <wp:start x="0" y="0"/>
              <wp:lineTo x="0" y="20395"/>
              <wp:lineTo x="21522" y="20395"/>
              <wp:lineTo x="21522"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44386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E5D72E9" wp14:editId="620E5059">
          <wp:simplePos x="0" y="0"/>
          <wp:positionH relativeFrom="margin">
            <wp:align>center</wp:align>
          </wp:positionH>
          <wp:positionV relativeFrom="paragraph">
            <wp:posOffset>-263001</wp:posOffset>
          </wp:positionV>
          <wp:extent cx="8272780" cy="219710"/>
          <wp:effectExtent l="0" t="0" r="0" b="8890"/>
          <wp:wrapThrough wrapText="bothSides">
            <wp:wrapPolygon edited="0">
              <wp:start x="0" y="0"/>
              <wp:lineTo x="0" y="20601"/>
              <wp:lineTo x="21537" y="20601"/>
              <wp:lineTo x="21537"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72780" cy="219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F1203"/>
    <w:multiLevelType w:val="multilevel"/>
    <w:tmpl w:val="80BE8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CE5DB9"/>
    <w:multiLevelType w:val="hybridMultilevel"/>
    <w:tmpl w:val="2390B34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94713059">
    <w:abstractNumId w:val="0"/>
  </w:num>
  <w:num w:numId="2" w16cid:durableId="130620224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18"/>
    <w:rsid w:val="00001511"/>
    <w:rsid w:val="00015D05"/>
    <w:rsid w:val="00026CE0"/>
    <w:rsid w:val="00030B35"/>
    <w:rsid w:val="00032E56"/>
    <w:rsid w:val="000341F8"/>
    <w:rsid w:val="00052976"/>
    <w:rsid w:val="00053C2B"/>
    <w:rsid w:val="00054B7F"/>
    <w:rsid w:val="0006734D"/>
    <w:rsid w:val="00075C91"/>
    <w:rsid w:val="00076732"/>
    <w:rsid w:val="0008180B"/>
    <w:rsid w:val="0008567E"/>
    <w:rsid w:val="000A4586"/>
    <w:rsid w:val="000B0F0A"/>
    <w:rsid w:val="000C3780"/>
    <w:rsid w:val="000C3FD5"/>
    <w:rsid w:val="000E7E2D"/>
    <w:rsid w:val="000F03FF"/>
    <w:rsid w:val="001131AF"/>
    <w:rsid w:val="00116E14"/>
    <w:rsid w:val="00142AB9"/>
    <w:rsid w:val="00150CF7"/>
    <w:rsid w:val="001723CF"/>
    <w:rsid w:val="00172D8D"/>
    <w:rsid w:val="00195384"/>
    <w:rsid w:val="001A75E4"/>
    <w:rsid w:val="001B2D69"/>
    <w:rsid w:val="001C6252"/>
    <w:rsid w:val="001D4399"/>
    <w:rsid w:val="001D52EE"/>
    <w:rsid w:val="001E3854"/>
    <w:rsid w:val="001F0E1C"/>
    <w:rsid w:val="001F343E"/>
    <w:rsid w:val="001F47F8"/>
    <w:rsid w:val="001F5AD2"/>
    <w:rsid w:val="002009E9"/>
    <w:rsid w:val="00230040"/>
    <w:rsid w:val="00233B5A"/>
    <w:rsid w:val="0023481E"/>
    <w:rsid w:val="00243476"/>
    <w:rsid w:val="0025180E"/>
    <w:rsid w:val="00265DF3"/>
    <w:rsid w:val="00265F02"/>
    <w:rsid w:val="00266315"/>
    <w:rsid w:val="00267800"/>
    <w:rsid w:val="00292C55"/>
    <w:rsid w:val="002C6B6D"/>
    <w:rsid w:val="002E22A4"/>
    <w:rsid w:val="002E4D69"/>
    <w:rsid w:val="00303BBB"/>
    <w:rsid w:val="00323FA9"/>
    <w:rsid w:val="00327155"/>
    <w:rsid w:val="003337CC"/>
    <w:rsid w:val="0033427F"/>
    <w:rsid w:val="00335550"/>
    <w:rsid w:val="00346A0C"/>
    <w:rsid w:val="003529E4"/>
    <w:rsid w:val="003741A7"/>
    <w:rsid w:val="00374BC2"/>
    <w:rsid w:val="003843A2"/>
    <w:rsid w:val="00386519"/>
    <w:rsid w:val="00393C71"/>
    <w:rsid w:val="003A2C80"/>
    <w:rsid w:val="003B7C87"/>
    <w:rsid w:val="003C0F0B"/>
    <w:rsid w:val="003E72A6"/>
    <w:rsid w:val="003F35D1"/>
    <w:rsid w:val="003F7ECD"/>
    <w:rsid w:val="00406D8E"/>
    <w:rsid w:val="0041629D"/>
    <w:rsid w:val="0042061E"/>
    <w:rsid w:val="004455EB"/>
    <w:rsid w:val="00445E63"/>
    <w:rsid w:val="004501B4"/>
    <w:rsid w:val="004779E4"/>
    <w:rsid w:val="0048250E"/>
    <w:rsid w:val="004A1117"/>
    <w:rsid w:val="004A391F"/>
    <w:rsid w:val="004B0509"/>
    <w:rsid w:val="004D75E6"/>
    <w:rsid w:val="004F095E"/>
    <w:rsid w:val="00501B83"/>
    <w:rsid w:val="00507E1E"/>
    <w:rsid w:val="005105AA"/>
    <w:rsid w:val="0051483B"/>
    <w:rsid w:val="00514E5E"/>
    <w:rsid w:val="0051537C"/>
    <w:rsid w:val="005230CC"/>
    <w:rsid w:val="00525B8B"/>
    <w:rsid w:val="005271C2"/>
    <w:rsid w:val="0053271B"/>
    <w:rsid w:val="005470B8"/>
    <w:rsid w:val="00552888"/>
    <w:rsid w:val="00553445"/>
    <w:rsid w:val="00560983"/>
    <w:rsid w:val="00561D1E"/>
    <w:rsid w:val="00566E18"/>
    <w:rsid w:val="00571666"/>
    <w:rsid w:val="00582584"/>
    <w:rsid w:val="00591AE1"/>
    <w:rsid w:val="005A32A2"/>
    <w:rsid w:val="005A56B0"/>
    <w:rsid w:val="005A79D1"/>
    <w:rsid w:val="005B77D4"/>
    <w:rsid w:val="005E77B2"/>
    <w:rsid w:val="0060557A"/>
    <w:rsid w:val="00622107"/>
    <w:rsid w:val="00652565"/>
    <w:rsid w:val="006545E2"/>
    <w:rsid w:val="00662D4B"/>
    <w:rsid w:val="006631B7"/>
    <w:rsid w:val="00671339"/>
    <w:rsid w:val="00685D5F"/>
    <w:rsid w:val="006A741C"/>
    <w:rsid w:val="006B3AD3"/>
    <w:rsid w:val="006D713C"/>
    <w:rsid w:val="006D72D1"/>
    <w:rsid w:val="006E5ABB"/>
    <w:rsid w:val="006F4A85"/>
    <w:rsid w:val="006F7B7C"/>
    <w:rsid w:val="007012BA"/>
    <w:rsid w:val="007041F7"/>
    <w:rsid w:val="007042AF"/>
    <w:rsid w:val="00712EB8"/>
    <w:rsid w:val="007140A7"/>
    <w:rsid w:val="00725518"/>
    <w:rsid w:val="0072694D"/>
    <w:rsid w:val="00734133"/>
    <w:rsid w:val="00744A91"/>
    <w:rsid w:val="00744BFC"/>
    <w:rsid w:val="00754FBA"/>
    <w:rsid w:val="00773FB9"/>
    <w:rsid w:val="00776822"/>
    <w:rsid w:val="00780546"/>
    <w:rsid w:val="00783084"/>
    <w:rsid w:val="0078397A"/>
    <w:rsid w:val="00790401"/>
    <w:rsid w:val="00790882"/>
    <w:rsid w:val="00792C6A"/>
    <w:rsid w:val="00793C54"/>
    <w:rsid w:val="007A0173"/>
    <w:rsid w:val="007A7BCC"/>
    <w:rsid w:val="007B14B1"/>
    <w:rsid w:val="007C65A0"/>
    <w:rsid w:val="007E7024"/>
    <w:rsid w:val="007F0537"/>
    <w:rsid w:val="007F2BFA"/>
    <w:rsid w:val="0080353E"/>
    <w:rsid w:val="00813280"/>
    <w:rsid w:val="00817C9A"/>
    <w:rsid w:val="008203D2"/>
    <w:rsid w:val="0082572C"/>
    <w:rsid w:val="00825C08"/>
    <w:rsid w:val="00830BF3"/>
    <w:rsid w:val="00840638"/>
    <w:rsid w:val="008425A8"/>
    <w:rsid w:val="0084715F"/>
    <w:rsid w:val="00847C72"/>
    <w:rsid w:val="00851996"/>
    <w:rsid w:val="00865166"/>
    <w:rsid w:val="00865EF3"/>
    <w:rsid w:val="0086629B"/>
    <w:rsid w:val="00870158"/>
    <w:rsid w:val="00892459"/>
    <w:rsid w:val="00892DC3"/>
    <w:rsid w:val="00893415"/>
    <w:rsid w:val="008D54F6"/>
    <w:rsid w:val="008E0099"/>
    <w:rsid w:val="008E0ABC"/>
    <w:rsid w:val="008E75CB"/>
    <w:rsid w:val="008F406B"/>
    <w:rsid w:val="008F4B7F"/>
    <w:rsid w:val="00900F4C"/>
    <w:rsid w:val="0090177B"/>
    <w:rsid w:val="0092018C"/>
    <w:rsid w:val="00926273"/>
    <w:rsid w:val="00942881"/>
    <w:rsid w:val="00963D59"/>
    <w:rsid w:val="00975978"/>
    <w:rsid w:val="009A7FDB"/>
    <w:rsid w:val="009B2BF5"/>
    <w:rsid w:val="009D5C36"/>
    <w:rsid w:val="009F00C1"/>
    <w:rsid w:val="009F260A"/>
    <w:rsid w:val="00A01554"/>
    <w:rsid w:val="00A02D0C"/>
    <w:rsid w:val="00A21525"/>
    <w:rsid w:val="00A221A2"/>
    <w:rsid w:val="00A23611"/>
    <w:rsid w:val="00A25F1B"/>
    <w:rsid w:val="00A26C51"/>
    <w:rsid w:val="00A33194"/>
    <w:rsid w:val="00A37B95"/>
    <w:rsid w:val="00A40EE2"/>
    <w:rsid w:val="00A4361D"/>
    <w:rsid w:val="00A70AB0"/>
    <w:rsid w:val="00AA56A7"/>
    <w:rsid w:val="00AA7C54"/>
    <w:rsid w:val="00AB565C"/>
    <w:rsid w:val="00AC0C33"/>
    <w:rsid w:val="00AC2408"/>
    <w:rsid w:val="00AC27A7"/>
    <w:rsid w:val="00AD1A79"/>
    <w:rsid w:val="00AD27BD"/>
    <w:rsid w:val="00AD70CE"/>
    <w:rsid w:val="00AE67E3"/>
    <w:rsid w:val="00AF0F96"/>
    <w:rsid w:val="00B031BC"/>
    <w:rsid w:val="00B24111"/>
    <w:rsid w:val="00B34C58"/>
    <w:rsid w:val="00B35113"/>
    <w:rsid w:val="00B42678"/>
    <w:rsid w:val="00B53B39"/>
    <w:rsid w:val="00B547A1"/>
    <w:rsid w:val="00B5636D"/>
    <w:rsid w:val="00B65E81"/>
    <w:rsid w:val="00B662C9"/>
    <w:rsid w:val="00B72A67"/>
    <w:rsid w:val="00B83AEB"/>
    <w:rsid w:val="00B83FD0"/>
    <w:rsid w:val="00B85B77"/>
    <w:rsid w:val="00B97B03"/>
    <w:rsid w:val="00BA39B0"/>
    <w:rsid w:val="00BA493B"/>
    <w:rsid w:val="00BB5023"/>
    <w:rsid w:val="00BC60DF"/>
    <w:rsid w:val="00C16211"/>
    <w:rsid w:val="00C356DF"/>
    <w:rsid w:val="00C430F4"/>
    <w:rsid w:val="00C44A79"/>
    <w:rsid w:val="00C46D39"/>
    <w:rsid w:val="00C47AFB"/>
    <w:rsid w:val="00C537A1"/>
    <w:rsid w:val="00C55F25"/>
    <w:rsid w:val="00C56209"/>
    <w:rsid w:val="00C664D2"/>
    <w:rsid w:val="00C773FE"/>
    <w:rsid w:val="00C971E5"/>
    <w:rsid w:val="00CA617D"/>
    <w:rsid w:val="00CA72A2"/>
    <w:rsid w:val="00CD212C"/>
    <w:rsid w:val="00CD3069"/>
    <w:rsid w:val="00CD4A58"/>
    <w:rsid w:val="00CF222E"/>
    <w:rsid w:val="00CF69DF"/>
    <w:rsid w:val="00D03B81"/>
    <w:rsid w:val="00D34C92"/>
    <w:rsid w:val="00D408AE"/>
    <w:rsid w:val="00D46A24"/>
    <w:rsid w:val="00D56E7F"/>
    <w:rsid w:val="00D74C08"/>
    <w:rsid w:val="00D76C9B"/>
    <w:rsid w:val="00D852FE"/>
    <w:rsid w:val="00D9645E"/>
    <w:rsid w:val="00DA3179"/>
    <w:rsid w:val="00DA6651"/>
    <w:rsid w:val="00DB306A"/>
    <w:rsid w:val="00DC1DAA"/>
    <w:rsid w:val="00DF7AD2"/>
    <w:rsid w:val="00E000DF"/>
    <w:rsid w:val="00E002CA"/>
    <w:rsid w:val="00E0324F"/>
    <w:rsid w:val="00E04E54"/>
    <w:rsid w:val="00E134DD"/>
    <w:rsid w:val="00E17315"/>
    <w:rsid w:val="00E335B5"/>
    <w:rsid w:val="00E33F29"/>
    <w:rsid w:val="00E40895"/>
    <w:rsid w:val="00E6095A"/>
    <w:rsid w:val="00E67A97"/>
    <w:rsid w:val="00E845D8"/>
    <w:rsid w:val="00E93944"/>
    <w:rsid w:val="00EA56CB"/>
    <w:rsid w:val="00EB344F"/>
    <w:rsid w:val="00ED053D"/>
    <w:rsid w:val="00ED206B"/>
    <w:rsid w:val="00ED792D"/>
    <w:rsid w:val="00EF5F3A"/>
    <w:rsid w:val="00F1236E"/>
    <w:rsid w:val="00F133D7"/>
    <w:rsid w:val="00F13B64"/>
    <w:rsid w:val="00F34A14"/>
    <w:rsid w:val="00F3550F"/>
    <w:rsid w:val="00F36E9B"/>
    <w:rsid w:val="00F51B5E"/>
    <w:rsid w:val="00F57B2D"/>
    <w:rsid w:val="00F9790F"/>
    <w:rsid w:val="00FA6527"/>
    <w:rsid w:val="00FC0007"/>
    <w:rsid w:val="00FE453A"/>
    <w:rsid w:val="00FF024F"/>
    <w:rsid w:val="00FF22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F23C"/>
  <w15:chartTrackingRefBased/>
  <w15:docId w15:val="{042D7303-70AA-403B-9608-23D230061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E18"/>
  </w:style>
  <w:style w:type="paragraph" w:styleId="Ttulo1">
    <w:name w:val="heading 1"/>
    <w:basedOn w:val="Normal"/>
    <w:next w:val="Normal"/>
    <w:link w:val="Ttulo1Car"/>
    <w:uiPriority w:val="9"/>
    <w:qFormat/>
    <w:rsid w:val="00CA72A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ED79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D79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A2152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790882"/>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A25F1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566E18"/>
    <w:pPr>
      <w:widowControl w:val="0"/>
      <w:autoSpaceDE w:val="0"/>
      <w:autoSpaceDN w:val="0"/>
      <w:spacing w:after="0" w:line="240" w:lineRule="auto"/>
    </w:pPr>
    <w:rPr>
      <w:rFonts w:ascii="Work Sans" w:eastAsia="Work Sans" w:hAnsi="Work Sans" w:cs="Work Sans"/>
      <w:sz w:val="20"/>
      <w:szCs w:val="20"/>
      <w:lang w:val="es-ES"/>
    </w:rPr>
  </w:style>
  <w:style w:type="character" w:customStyle="1" w:styleId="TextoindependienteCar">
    <w:name w:val="Texto independiente Car"/>
    <w:basedOn w:val="Fuentedeprrafopredeter"/>
    <w:link w:val="Textoindependiente"/>
    <w:uiPriority w:val="1"/>
    <w:rsid w:val="00566E18"/>
    <w:rPr>
      <w:rFonts w:ascii="Work Sans" w:eastAsia="Work Sans" w:hAnsi="Work Sans" w:cs="Work Sans"/>
      <w:sz w:val="20"/>
      <w:szCs w:val="20"/>
      <w:lang w:val="es-ES"/>
    </w:rPr>
  </w:style>
  <w:style w:type="paragraph" w:styleId="Prrafodelista">
    <w:name w:val="List Paragraph"/>
    <w:aliases w:val="List,Bullets,Dot pt,No Spacing1,List Paragraph Char Char Char,Indicator Text,List Paragraph1,Numbered Para 1,Colorful List - Accent 11,Bullet 1,F5 List Paragraph,Bullet Points,titulo 3,List Paragraph 1,Ha,HOJA,Bolita,Párrafo de lista4,l"/>
    <w:basedOn w:val="Normal"/>
    <w:link w:val="PrrafodelistaCar"/>
    <w:uiPriority w:val="1"/>
    <w:qFormat/>
    <w:rsid w:val="00566E18"/>
    <w:pPr>
      <w:widowControl w:val="0"/>
      <w:autoSpaceDE w:val="0"/>
      <w:autoSpaceDN w:val="0"/>
      <w:spacing w:after="0" w:line="240" w:lineRule="auto"/>
      <w:ind w:left="1190" w:hanging="227"/>
      <w:jc w:val="both"/>
    </w:pPr>
    <w:rPr>
      <w:rFonts w:ascii="Work Sans" w:eastAsia="Work Sans" w:hAnsi="Work Sans" w:cs="Work Sans"/>
      <w:lang w:val="es-ES"/>
    </w:rPr>
  </w:style>
  <w:style w:type="character" w:customStyle="1" w:styleId="PrrafodelistaCar">
    <w:name w:val="Párrafo de lista Car"/>
    <w:aliases w:val="List Car,Bullets Car,Dot pt Car,No Spacing1 Car,List Paragraph Char Char Char Car,Indicator Text Car,List Paragraph1 Car,Numbered Para 1 Car,Colorful List - Accent 11 Car,Bullet 1 Car,F5 List Paragraph Car,Bullet Points Car,Ha Car"/>
    <w:link w:val="Prrafodelista"/>
    <w:uiPriority w:val="34"/>
    <w:qFormat/>
    <w:locked/>
    <w:rsid w:val="00566E18"/>
    <w:rPr>
      <w:rFonts w:ascii="Work Sans" w:eastAsia="Work Sans" w:hAnsi="Work Sans" w:cs="Work Sans"/>
      <w:lang w:val="es-ES"/>
    </w:rPr>
  </w:style>
  <w:style w:type="paragraph" w:styleId="Encabezado">
    <w:name w:val="header"/>
    <w:basedOn w:val="Normal"/>
    <w:link w:val="EncabezadoCar"/>
    <w:uiPriority w:val="99"/>
    <w:unhideWhenUsed/>
    <w:rsid w:val="00566E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6E18"/>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ago Fußnotenzeichen"/>
    <w:basedOn w:val="Normal"/>
    <w:link w:val="TextonotapieCar"/>
    <w:uiPriority w:val="99"/>
    <w:unhideWhenUsed/>
    <w:qFormat/>
    <w:rsid w:val="00566E18"/>
    <w:pPr>
      <w:spacing w:after="0" w:line="240" w:lineRule="auto"/>
    </w:pPr>
    <w:rPr>
      <w:rFonts w:ascii="Arial" w:eastAsia="Arial" w:hAnsi="Arial" w:cs="Arial"/>
      <w:sz w:val="20"/>
      <w:szCs w:val="20"/>
      <w:lang w:eastAsia="es-CO"/>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uiPriority w:val="99"/>
    <w:rsid w:val="00566E18"/>
    <w:rPr>
      <w:rFonts w:ascii="Arial" w:eastAsia="Arial" w:hAnsi="Arial" w:cs="Arial"/>
      <w:sz w:val="20"/>
      <w:szCs w:val="20"/>
      <w:lang w:eastAsia="es-CO"/>
    </w:rPr>
  </w:style>
  <w:style w:type="paragraph" w:styleId="Sinespaciado">
    <w:name w:val="No Spacing"/>
    <w:uiPriority w:val="1"/>
    <w:qFormat/>
    <w:rsid w:val="00566E18"/>
    <w:pPr>
      <w:spacing w:after="0" w:line="240" w:lineRule="auto"/>
    </w:pPr>
  </w:style>
  <w:style w:type="character" w:styleId="Refdenotaalpie">
    <w:name w:val="footnote reference"/>
    <w:aliases w:val="referencia nota al pie,Texto de nota al pie,Appel note de bas de page,Footnotes refss,Footnote number,Footnote Text Char1 Car Car Car Car,Footnote Text Char Char Car Car Car Car,Char Car Car Car Car,Char Char Char Car Car Car Car C,F"/>
    <w:basedOn w:val="Fuentedeprrafopredeter"/>
    <w:uiPriority w:val="99"/>
    <w:unhideWhenUsed/>
    <w:qFormat/>
    <w:rsid w:val="00566E18"/>
    <w:rPr>
      <w:vertAlign w:val="superscript"/>
    </w:rPr>
  </w:style>
  <w:style w:type="paragraph" w:styleId="NormalWeb">
    <w:name w:val="Normal (Web)"/>
    <w:basedOn w:val="Normal"/>
    <w:uiPriority w:val="99"/>
    <w:unhideWhenUsed/>
    <w:rsid w:val="00566E1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fontstyle01">
    <w:name w:val="fontstyle01"/>
    <w:basedOn w:val="Fuentedeprrafopredeter"/>
    <w:rsid w:val="00566E18"/>
    <w:rPr>
      <w:rFonts w:ascii="Gotham-Book" w:hAnsi="Gotham-Book" w:hint="default"/>
      <w:b w:val="0"/>
      <w:bCs w:val="0"/>
      <w:i w:val="0"/>
      <w:iCs w:val="0"/>
      <w:color w:val="242021"/>
      <w:sz w:val="24"/>
      <w:szCs w:val="24"/>
    </w:rPr>
  </w:style>
  <w:style w:type="character" w:customStyle="1" w:styleId="Ttulo1Car">
    <w:name w:val="Título 1 Car"/>
    <w:basedOn w:val="Fuentedeprrafopredeter"/>
    <w:link w:val="Ttulo1"/>
    <w:uiPriority w:val="9"/>
    <w:rsid w:val="00CA72A2"/>
    <w:rPr>
      <w:rFonts w:asciiTheme="majorHAnsi" w:eastAsiaTheme="majorEastAsia" w:hAnsiTheme="majorHAnsi" w:cstheme="majorBidi"/>
      <w:b/>
      <w:bCs/>
      <w:color w:val="2F5496" w:themeColor="accent1" w:themeShade="BF"/>
      <w:sz w:val="28"/>
      <w:szCs w:val="28"/>
    </w:rPr>
  </w:style>
  <w:style w:type="table" w:styleId="Tablaconcuadrcula">
    <w:name w:val="Table Grid"/>
    <w:basedOn w:val="Tablanormal"/>
    <w:uiPriority w:val="39"/>
    <w:rsid w:val="00B85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D792D"/>
    <w:rPr>
      <w:color w:val="0563C1" w:themeColor="hyperlink"/>
      <w:u w:val="single"/>
    </w:rPr>
  </w:style>
  <w:style w:type="character" w:styleId="Mencinsinresolver">
    <w:name w:val="Unresolved Mention"/>
    <w:basedOn w:val="Fuentedeprrafopredeter"/>
    <w:uiPriority w:val="99"/>
    <w:semiHidden/>
    <w:unhideWhenUsed/>
    <w:rsid w:val="00ED792D"/>
    <w:rPr>
      <w:color w:val="605E5C"/>
      <w:shd w:val="clear" w:color="auto" w:fill="E1DFDD"/>
    </w:rPr>
  </w:style>
  <w:style w:type="character" w:customStyle="1" w:styleId="Ttulo2Car">
    <w:name w:val="Título 2 Car"/>
    <w:basedOn w:val="Fuentedeprrafopredeter"/>
    <w:link w:val="Ttulo2"/>
    <w:uiPriority w:val="9"/>
    <w:rsid w:val="00ED792D"/>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ED792D"/>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A21525"/>
    <w:rPr>
      <w:rFonts w:asciiTheme="majorHAnsi" w:eastAsiaTheme="majorEastAsia" w:hAnsiTheme="majorHAnsi" w:cstheme="majorBidi"/>
      <w:i/>
      <w:iCs/>
      <w:color w:val="2F5496" w:themeColor="accent1" w:themeShade="BF"/>
    </w:rPr>
  </w:style>
  <w:style w:type="character" w:styleId="Textoennegrita">
    <w:name w:val="Strong"/>
    <w:basedOn w:val="Fuentedeprrafopredeter"/>
    <w:uiPriority w:val="22"/>
    <w:qFormat/>
    <w:rsid w:val="006E5ABB"/>
    <w:rPr>
      <w:b/>
      <w:bCs/>
    </w:rPr>
  </w:style>
  <w:style w:type="character" w:customStyle="1" w:styleId="Ttulo5Car">
    <w:name w:val="Título 5 Car"/>
    <w:basedOn w:val="Fuentedeprrafopredeter"/>
    <w:link w:val="Ttulo5"/>
    <w:uiPriority w:val="9"/>
    <w:semiHidden/>
    <w:rsid w:val="00790882"/>
    <w:rPr>
      <w:rFonts w:asciiTheme="majorHAnsi" w:eastAsiaTheme="majorEastAsia" w:hAnsiTheme="majorHAnsi" w:cstheme="majorBidi"/>
      <w:color w:val="2F5496" w:themeColor="accent1" w:themeShade="BF"/>
    </w:rPr>
  </w:style>
  <w:style w:type="table" w:customStyle="1" w:styleId="TableNormal1">
    <w:name w:val="Table Normal1"/>
    <w:uiPriority w:val="2"/>
    <w:semiHidden/>
    <w:unhideWhenUsed/>
    <w:qFormat/>
    <w:rsid w:val="005528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2888"/>
    <w:pPr>
      <w:widowControl w:val="0"/>
      <w:autoSpaceDE w:val="0"/>
      <w:autoSpaceDN w:val="0"/>
      <w:spacing w:after="0" w:line="240" w:lineRule="auto"/>
    </w:pPr>
    <w:rPr>
      <w:rFonts w:ascii="Lucida Sans Unicode" w:eastAsia="Lucida Sans Unicode" w:hAnsi="Lucida Sans Unicode" w:cs="Lucida Sans Unicode"/>
      <w:lang w:val="es-ES"/>
    </w:rPr>
  </w:style>
  <w:style w:type="table" w:customStyle="1" w:styleId="Tablaconcuadrcula1">
    <w:name w:val="Tabla con cuadrícula1"/>
    <w:basedOn w:val="Tablanormal"/>
    <w:next w:val="Tablaconcuadrcula"/>
    <w:uiPriority w:val="39"/>
    <w:rsid w:val="00142AB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ED20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6Car">
    <w:name w:val="Título 6 Car"/>
    <w:basedOn w:val="Fuentedeprrafopredeter"/>
    <w:link w:val="Ttulo6"/>
    <w:uiPriority w:val="9"/>
    <w:rsid w:val="00A25F1B"/>
    <w:rPr>
      <w:rFonts w:asciiTheme="majorHAnsi" w:eastAsiaTheme="majorEastAsia" w:hAnsiTheme="majorHAnsi" w:cstheme="majorBidi"/>
      <w:color w:val="1F3763" w:themeColor="accent1" w:themeShade="7F"/>
    </w:rPr>
  </w:style>
  <w:style w:type="table" w:customStyle="1" w:styleId="Tablaconcuadrcula2">
    <w:name w:val="Tabla con cuadrícula2"/>
    <w:basedOn w:val="Tablanormal"/>
    <w:next w:val="Tablaconcuadrcula"/>
    <w:uiPriority w:val="39"/>
    <w:rsid w:val="00A25F1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8431">
      <w:bodyDiv w:val="1"/>
      <w:marLeft w:val="0"/>
      <w:marRight w:val="0"/>
      <w:marTop w:val="0"/>
      <w:marBottom w:val="0"/>
      <w:divBdr>
        <w:top w:val="none" w:sz="0" w:space="0" w:color="auto"/>
        <w:left w:val="none" w:sz="0" w:space="0" w:color="auto"/>
        <w:bottom w:val="none" w:sz="0" w:space="0" w:color="auto"/>
        <w:right w:val="none" w:sz="0" w:space="0" w:color="auto"/>
      </w:divBdr>
    </w:div>
    <w:div w:id="187912077">
      <w:bodyDiv w:val="1"/>
      <w:marLeft w:val="0"/>
      <w:marRight w:val="0"/>
      <w:marTop w:val="0"/>
      <w:marBottom w:val="0"/>
      <w:divBdr>
        <w:top w:val="none" w:sz="0" w:space="0" w:color="auto"/>
        <w:left w:val="none" w:sz="0" w:space="0" w:color="auto"/>
        <w:bottom w:val="none" w:sz="0" w:space="0" w:color="auto"/>
        <w:right w:val="none" w:sz="0" w:space="0" w:color="auto"/>
      </w:divBdr>
    </w:div>
    <w:div w:id="217933228">
      <w:bodyDiv w:val="1"/>
      <w:marLeft w:val="0"/>
      <w:marRight w:val="0"/>
      <w:marTop w:val="0"/>
      <w:marBottom w:val="0"/>
      <w:divBdr>
        <w:top w:val="none" w:sz="0" w:space="0" w:color="auto"/>
        <w:left w:val="none" w:sz="0" w:space="0" w:color="auto"/>
        <w:bottom w:val="none" w:sz="0" w:space="0" w:color="auto"/>
        <w:right w:val="none" w:sz="0" w:space="0" w:color="auto"/>
      </w:divBdr>
    </w:div>
    <w:div w:id="236669899">
      <w:bodyDiv w:val="1"/>
      <w:marLeft w:val="0"/>
      <w:marRight w:val="0"/>
      <w:marTop w:val="0"/>
      <w:marBottom w:val="0"/>
      <w:divBdr>
        <w:top w:val="none" w:sz="0" w:space="0" w:color="auto"/>
        <w:left w:val="none" w:sz="0" w:space="0" w:color="auto"/>
        <w:bottom w:val="none" w:sz="0" w:space="0" w:color="auto"/>
        <w:right w:val="none" w:sz="0" w:space="0" w:color="auto"/>
      </w:divBdr>
    </w:div>
    <w:div w:id="502016356">
      <w:bodyDiv w:val="1"/>
      <w:marLeft w:val="0"/>
      <w:marRight w:val="0"/>
      <w:marTop w:val="0"/>
      <w:marBottom w:val="0"/>
      <w:divBdr>
        <w:top w:val="none" w:sz="0" w:space="0" w:color="auto"/>
        <w:left w:val="none" w:sz="0" w:space="0" w:color="auto"/>
        <w:bottom w:val="none" w:sz="0" w:space="0" w:color="auto"/>
        <w:right w:val="none" w:sz="0" w:space="0" w:color="auto"/>
      </w:divBdr>
    </w:div>
    <w:div w:id="608008064">
      <w:bodyDiv w:val="1"/>
      <w:marLeft w:val="0"/>
      <w:marRight w:val="0"/>
      <w:marTop w:val="0"/>
      <w:marBottom w:val="0"/>
      <w:divBdr>
        <w:top w:val="none" w:sz="0" w:space="0" w:color="auto"/>
        <w:left w:val="none" w:sz="0" w:space="0" w:color="auto"/>
        <w:bottom w:val="none" w:sz="0" w:space="0" w:color="auto"/>
        <w:right w:val="none" w:sz="0" w:space="0" w:color="auto"/>
      </w:divBdr>
    </w:div>
    <w:div w:id="620648422">
      <w:bodyDiv w:val="1"/>
      <w:marLeft w:val="0"/>
      <w:marRight w:val="0"/>
      <w:marTop w:val="0"/>
      <w:marBottom w:val="0"/>
      <w:divBdr>
        <w:top w:val="none" w:sz="0" w:space="0" w:color="auto"/>
        <w:left w:val="none" w:sz="0" w:space="0" w:color="auto"/>
        <w:bottom w:val="none" w:sz="0" w:space="0" w:color="auto"/>
        <w:right w:val="none" w:sz="0" w:space="0" w:color="auto"/>
      </w:divBdr>
    </w:div>
    <w:div w:id="690109752">
      <w:bodyDiv w:val="1"/>
      <w:marLeft w:val="0"/>
      <w:marRight w:val="0"/>
      <w:marTop w:val="0"/>
      <w:marBottom w:val="0"/>
      <w:divBdr>
        <w:top w:val="none" w:sz="0" w:space="0" w:color="auto"/>
        <w:left w:val="none" w:sz="0" w:space="0" w:color="auto"/>
        <w:bottom w:val="none" w:sz="0" w:space="0" w:color="auto"/>
        <w:right w:val="none" w:sz="0" w:space="0" w:color="auto"/>
      </w:divBdr>
    </w:div>
    <w:div w:id="691340047">
      <w:bodyDiv w:val="1"/>
      <w:marLeft w:val="0"/>
      <w:marRight w:val="0"/>
      <w:marTop w:val="0"/>
      <w:marBottom w:val="0"/>
      <w:divBdr>
        <w:top w:val="none" w:sz="0" w:space="0" w:color="auto"/>
        <w:left w:val="none" w:sz="0" w:space="0" w:color="auto"/>
        <w:bottom w:val="none" w:sz="0" w:space="0" w:color="auto"/>
        <w:right w:val="none" w:sz="0" w:space="0" w:color="auto"/>
      </w:divBdr>
    </w:div>
    <w:div w:id="710812416">
      <w:bodyDiv w:val="1"/>
      <w:marLeft w:val="0"/>
      <w:marRight w:val="0"/>
      <w:marTop w:val="0"/>
      <w:marBottom w:val="0"/>
      <w:divBdr>
        <w:top w:val="none" w:sz="0" w:space="0" w:color="auto"/>
        <w:left w:val="none" w:sz="0" w:space="0" w:color="auto"/>
        <w:bottom w:val="none" w:sz="0" w:space="0" w:color="auto"/>
        <w:right w:val="none" w:sz="0" w:space="0" w:color="auto"/>
      </w:divBdr>
    </w:div>
    <w:div w:id="711656208">
      <w:bodyDiv w:val="1"/>
      <w:marLeft w:val="0"/>
      <w:marRight w:val="0"/>
      <w:marTop w:val="0"/>
      <w:marBottom w:val="0"/>
      <w:divBdr>
        <w:top w:val="none" w:sz="0" w:space="0" w:color="auto"/>
        <w:left w:val="none" w:sz="0" w:space="0" w:color="auto"/>
        <w:bottom w:val="none" w:sz="0" w:space="0" w:color="auto"/>
        <w:right w:val="none" w:sz="0" w:space="0" w:color="auto"/>
      </w:divBdr>
    </w:div>
    <w:div w:id="774520783">
      <w:bodyDiv w:val="1"/>
      <w:marLeft w:val="0"/>
      <w:marRight w:val="0"/>
      <w:marTop w:val="0"/>
      <w:marBottom w:val="0"/>
      <w:divBdr>
        <w:top w:val="none" w:sz="0" w:space="0" w:color="auto"/>
        <w:left w:val="none" w:sz="0" w:space="0" w:color="auto"/>
        <w:bottom w:val="none" w:sz="0" w:space="0" w:color="auto"/>
        <w:right w:val="none" w:sz="0" w:space="0" w:color="auto"/>
      </w:divBdr>
    </w:div>
    <w:div w:id="780534160">
      <w:bodyDiv w:val="1"/>
      <w:marLeft w:val="0"/>
      <w:marRight w:val="0"/>
      <w:marTop w:val="0"/>
      <w:marBottom w:val="0"/>
      <w:divBdr>
        <w:top w:val="none" w:sz="0" w:space="0" w:color="auto"/>
        <w:left w:val="none" w:sz="0" w:space="0" w:color="auto"/>
        <w:bottom w:val="none" w:sz="0" w:space="0" w:color="auto"/>
        <w:right w:val="none" w:sz="0" w:space="0" w:color="auto"/>
      </w:divBdr>
      <w:divsChild>
        <w:div w:id="441847996">
          <w:marLeft w:val="288"/>
          <w:marRight w:val="0"/>
          <w:marTop w:val="0"/>
          <w:marBottom w:val="240"/>
          <w:divBdr>
            <w:top w:val="none" w:sz="0" w:space="0" w:color="auto"/>
            <w:left w:val="none" w:sz="0" w:space="0" w:color="auto"/>
            <w:bottom w:val="none" w:sz="0" w:space="0" w:color="auto"/>
            <w:right w:val="none" w:sz="0" w:space="0" w:color="auto"/>
          </w:divBdr>
        </w:div>
        <w:div w:id="481964401">
          <w:marLeft w:val="288"/>
          <w:marRight w:val="0"/>
          <w:marTop w:val="0"/>
          <w:marBottom w:val="240"/>
          <w:divBdr>
            <w:top w:val="none" w:sz="0" w:space="0" w:color="auto"/>
            <w:left w:val="none" w:sz="0" w:space="0" w:color="auto"/>
            <w:bottom w:val="none" w:sz="0" w:space="0" w:color="auto"/>
            <w:right w:val="none" w:sz="0" w:space="0" w:color="auto"/>
          </w:divBdr>
        </w:div>
        <w:div w:id="1557281674">
          <w:marLeft w:val="288"/>
          <w:marRight w:val="0"/>
          <w:marTop w:val="0"/>
          <w:marBottom w:val="240"/>
          <w:divBdr>
            <w:top w:val="none" w:sz="0" w:space="0" w:color="auto"/>
            <w:left w:val="none" w:sz="0" w:space="0" w:color="auto"/>
            <w:bottom w:val="none" w:sz="0" w:space="0" w:color="auto"/>
            <w:right w:val="none" w:sz="0" w:space="0" w:color="auto"/>
          </w:divBdr>
        </w:div>
        <w:div w:id="1446654450">
          <w:marLeft w:val="288"/>
          <w:marRight w:val="0"/>
          <w:marTop w:val="0"/>
          <w:marBottom w:val="240"/>
          <w:divBdr>
            <w:top w:val="none" w:sz="0" w:space="0" w:color="auto"/>
            <w:left w:val="none" w:sz="0" w:space="0" w:color="auto"/>
            <w:bottom w:val="none" w:sz="0" w:space="0" w:color="auto"/>
            <w:right w:val="none" w:sz="0" w:space="0" w:color="auto"/>
          </w:divBdr>
        </w:div>
      </w:divsChild>
    </w:div>
    <w:div w:id="876890660">
      <w:bodyDiv w:val="1"/>
      <w:marLeft w:val="0"/>
      <w:marRight w:val="0"/>
      <w:marTop w:val="0"/>
      <w:marBottom w:val="0"/>
      <w:divBdr>
        <w:top w:val="none" w:sz="0" w:space="0" w:color="auto"/>
        <w:left w:val="none" w:sz="0" w:space="0" w:color="auto"/>
        <w:bottom w:val="none" w:sz="0" w:space="0" w:color="auto"/>
        <w:right w:val="none" w:sz="0" w:space="0" w:color="auto"/>
      </w:divBdr>
    </w:div>
    <w:div w:id="907693057">
      <w:bodyDiv w:val="1"/>
      <w:marLeft w:val="0"/>
      <w:marRight w:val="0"/>
      <w:marTop w:val="0"/>
      <w:marBottom w:val="0"/>
      <w:divBdr>
        <w:top w:val="none" w:sz="0" w:space="0" w:color="auto"/>
        <w:left w:val="none" w:sz="0" w:space="0" w:color="auto"/>
        <w:bottom w:val="none" w:sz="0" w:space="0" w:color="auto"/>
        <w:right w:val="none" w:sz="0" w:space="0" w:color="auto"/>
      </w:divBdr>
    </w:div>
    <w:div w:id="1025910676">
      <w:bodyDiv w:val="1"/>
      <w:marLeft w:val="0"/>
      <w:marRight w:val="0"/>
      <w:marTop w:val="0"/>
      <w:marBottom w:val="0"/>
      <w:divBdr>
        <w:top w:val="none" w:sz="0" w:space="0" w:color="auto"/>
        <w:left w:val="none" w:sz="0" w:space="0" w:color="auto"/>
        <w:bottom w:val="none" w:sz="0" w:space="0" w:color="auto"/>
        <w:right w:val="none" w:sz="0" w:space="0" w:color="auto"/>
      </w:divBdr>
    </w:div>
    <w:div w:id="1098139241">
      <w:bodyDiv w:val="1"/>
      <w:marLeft w:val="0"/>
      <w:marRight w:val="0"/>
      <w:marTop w:val="0"/>
      <w:marBottom w:val="0"/>
      <w:divBdr>
        <w:top w:val="none" w:sz="0" w:space="0" w:color="auto"/>
        <w:left w:val="none" w:sz="0" w:space="0" w:color="auto"/>
        <w:bottom w:val="none" w:sz="0" w:space="0" w:color="auto"/>
        <w:right w:val="none" w:sz="0" w:space="0" w:color="auto"/>
      </w:divBdr>
    </w:div>
    <w:div w:id="1166551568">
      <w:bodyDiv w:val="1"/>
      <w:marLeft w:val="0"/>
      <w:marRight w:val="0"/>
      <w:marTop w:val="0"/>
      <w:marBottom w:val="0"/>
      <w:divBdr>
        <w:top w:val="none" w:sz="0" w:space="0" w:color="auto"/>
        <w:left w:val="none" w:sz="0" w:space="0" w:color="auto"/>
        <w:bottom w:val="none" w:sz="0" w:space="0" w:color="auto"/>
        <w:right w:val="none" w:sz="0" w:space="0" w:color="auto"/>
      </w:divBdr>
    </w:div>
    <w:div w:id="1302232067">
      <w:bodyDiv w:val="1"/>
      <w:marLeft w:val="0"/>
      <w:marRight w:val="0"/>
      <w:marTop w:val="0"/>
      <w:marBottom w:val="0"/>
      <w:divBdr>
        <w:top w:val="none" w:sz="0" w:space="0" w:color="auto"/>
        <w:left w:val="none" w:sz="0" w:space="0" w:color="auto"/>
        <w:bottom w:val="none" w:sz="0" w:space="0" w:color="auto"/>
        <w:right w:val="none" w:sz="0" w:space="0" w:color="auto"/>
      </w:divBdr>
    </w:div>
    <w:div w:id="1339312515">
      <w:bodyDiv w:val="1"/>
      <w:marLeft w:val="0"/>
      <w:marRight w:val="0"/>
      <w:marTop w:val="0"/>
      <w:marBottom w:val="0"/>
      <w:divBdr>
        <w:top w:val="none" w:sz="0" w:space="0" w:color="auto"/>
        <w:left w:val="none" w:sz="0" w:space="0" w:color="auto"/>
        <w:bottom w:val="none" w:sz="0" w:space="0" w:color="auto"/>
        <w:right w:val="none" w:sz="0" w:space="0" w:color="auto"/>
      </w:divBdr>
    </w:div>
    <w:div w:id="1430927530">
      <w:bodyDiv w:val="1"/>
      <w:marLeft w:val="0"/>
      <w:marRight w:val="0"/>
      <w:marTop w:val="0"/>
      <w:marBottom w:val="0"/>
      <w:divBdr>
        <w:top w:val="none" w:sz="0" w:space="0" w:color="auto"/>
        <w:left w:val="none" w:sz="0" w:space="0" w:color="auto"/>
        <w:bottom w:val="none" w:sz="0" w:space="0" w:color="auto"/>
        <w:right w:val="none" w:sz="0" w:space="0" w:color="auto"/>
      </w:divBdr>
    </w:div>
    <w:div w:id="1437555163">
      <w:bodyDiv w:val="1"/>
      <w:marLeft w:val="0"/>
      <w:marRight w:val="0"/>
      <w:marTop w:val="0"/>
      <w:marBottom w:val="0"/>
      <w:divBdr>
        <w:top w:val="none" w:sz="0" w:space="0" w:color="auto"/>
        <w:left w:val="none" w:sz="0" w:space="0" w:color="auto"/>
        <w:bottom w:val="none" w:sz="0" w:space="0" w:color="auto"/>
        <w:right w:val="none" w:sz="0" w:space="0" w:color="auto"/>
      </w:divBdr>
    </w:div>
    <w:div w:id="1489589397">
      <w:bodyDiv w:val="1"/>
      <w:marLeft w:val="0"/>
      <w:marRight w:val="0"/>
      <w:marTop w:val="0"/>
      <w:marBottom w:val="0"/>
      <w:divBdr>
        <w:top w:val="none" w:sz="0" w:space="0" w:color="auto"/>
        <w:left w:val="none" w:sz="0" w:space="0" w:color="auto"/>
        <w:bottom w:val="none" w:sz="0" w:space="0" w:color="auto"/>
        <w:right w:val="none" w:sz="0" w:space="0" w:color="auto"/>
      </w:divBdr>
    </w:div>
    <w:div w:id="1676303362">
      <w:bodyDiv w:val="1"/>
      <w:marLeft w:val="0"/>
      <w:marRight w:val="0"/>
      <w:marTop w:val="0"/>
      <w:marBottom w:val="0"/>
      <w:divBdr>
        <w:top w:val="none" w:sz="0" w:space="0" w:color="auto"/>
        <w:left w:val="none" w:sz="0" w:space="0" w:color="auto"/>
        <w:bottom w:val="none" w:sz="0" w:space="0" w:color="auto"/>
        <w:right w:val="none" w:sz="0" w:space="0" w:color="auto"/>
      </w:divBdr>
    </w:div>
    <w:div w:id="1740205668">
      <w:bodyDiv w:val="1"/>
      <w:marLeft w:val="0"/>
      <w:marRight w:val="0"/>
      <w:marTop w:val="0"/>
      <w:marBottom w:val="0"/>
      <w:divBdr>
        <w:top w:val="none" w:sz="0" w:space="0" w:color="auto"/>
        <w:left w:val="none" w:sz="0" w:space="0" w:color="auto"/>
        <w:bottom w:val="none" w:sz="0" w:space="0" w:color="auto"/>
        <w:right w:val="none" w:sz="0" w:space="0" w:color="auto"/>
      </w:divBdr>
    </w:div>
    <w:div w:id="1775437240">
      <w:bodyDiv w:val="1"/>
      <w:marLeft w:val="0"/>
      <w:marRight w:val="0"/>
      <w:marTop w:val="0"/>
      <w:marBottom w:val="0"/>
      <w:divBdr>
        <w:top w:val="none" w:sz="0" w:space="0" w:color="auto"/>
        <w:left w:val="none" w:sz="0" w:space="0" w:color="auto"/>
        <w:bottom w:val="none" w:sz="0" w:space="0" w:color="auto"/>
        <w:right w:val="none" w:sz="0" w:space="0" w:color="auto"/>
      </w:divBdr>
    </w:div>
    <w:div w:id="1856503823">
      <w:bodyDiv w:val="1"/>
      <w:marLeft w:val="0"/>
      <w:marRight w:val="0"/>
      <w:marTop w:val="0"/>
      <w:marBottom w:val="0"/>
      <w:divBdr>
        <w:top w:val="none" w:sz="0" w:space="0" w:color="auto"/>
        <w:left w:val="none" w:sz="0" w:space="0" w:color="auto"/>
        <w:bottom w:val="none" w:sz="0" w:space="0" w:color="auto"/>
        <w:right w:val="none" w:sz="0" w:space="0" w:color="auto"/>
      </w:divBdr>
    </w:div>
    <w:div w:id="2078892469">
      <w:bodyDiv w:val="1"/>
      <w:marLeft w:val="0"/>
      <w:marRight w:val="0"/>
      <w:marTop w:val="0"/>
      <w:marBottom w:val="0"/>
      <w:divBdr>
        <w:top w:val="none" w:sz="0" w:space="0" w:color="auto"/>
        <w:left w:val="none" w:sz="0" w:space="0" w:color="auto"/>
        <w:bottom w:val="none" w:sz="0" w:space="0" w:color="auto"/>
        <w:right w:val="none" w:sz="0" w:space="0" w:color="auto"/>
      </w:divBdr>
      <w:divsChild>
        <w:div w:id="1369834876">
          <w:marLeft w:val="0"/>
          <w:marRight w:val="0"/>
          <w:marTop w:val="0"/>
          <w:marBottom w:val="0"/>
          <w:divBdr>
            <w:top w:val="none" w:sz="0" w:space="0" w:color="auto"/>
            <w:left w:val="none" w:sz="0" w:space="0" w:color="auto"/>
            <w:bottom w:val="none" w:sz="0" w:space="0" w:color="auto"/>
            <w:right w:val="none" w:sz="0" w:space="0" w:color="auto"/>
          </w:divBdr>
        </w:div>
        <w:div w:id="1752118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0355c15e0caee6fac5b9c44f476db901">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c4fa7de312133327a9024476f3d1a6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Colombia</Contributor>
  </documentManagement>
</p:properties>
</file>

<file path=customXml/itemProps1.xml><?xml version="1.0" encoding="utf-8"?>
<ds:datastoreItem xmlns:ds="http://schemas.openxmlformats.org/officeDocument/2006/customXml" ds:itemID="{AAD277DE-DBEC-407D-8892-4ED89146E9B9}">
  <ds:schemaRefs>
    <ds:schemaRef ds:uri="http://schemas.openxmlformats.org/officeDocument/2006/bibliography"/>
  </ds:schemaRefs>
</ds:datastoreItem>
</file>

<file path=customXml/itemProps2.xml><?xml version="1.0" encoding="utf-8"?>
<ds:datastoreItem xmlns:ds="http://schemas.openxmlformats.org/officeDocument/2006/customXml" ds:itemID="{311939EB-FD92-43A4-8C93-9A49441853A1}"/>
</file>

<file path=customXml/itemProps3.xml><?xml version="1.0" encoding="utf-8"?>
<ds:datastoreItem xmlns:ds="http://schemas.openxmlformats.org/officeDocument/2006/customXml" ds:itemID="{17EE3CF6-17CE-4FE8-A6DA-E9D009A21D61}"/>
</file>

<file path=customXml/itemProps4.xml><?xml version="1.0" encoding="utf-8"?>
<ds:datastoreItem xmlns:ds="http://schemas.openxmlformats.org/officeDocument/2006/customXml" ds:itemID="{74B583AE-5941-47F8-9519-0F42D452A83E}"/>
</file>

<file path=docProps/app.xml><?xml version="1.0" encoding="utf-8"?>
<Properties xmlns="http://schemas.openxmlformats.org/officeDocument/2006/extended-properties" xmlns:vt="http://schemas.openxmlformats.org/officeDocument/2006/docPropsVTypes">
  <Template>Normal</Template>
  <TotalTime>8</TotalTime>
  <Pages>4</Pages>
  <Words>1013</Words>
  <Characters>5572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MARIA SOLER AYALA</dc:creator>
  <cp:keywords/>
  <dc:description/>
  <cp:lastModifiedBy>ANDREA CAROLINA VELANDIA DURAN</cp:lastModifiedBy>
  <cp:revision>3</cp:revision>
  <cp:lastPrinted>2023-02-06T19:50:00Z</cp:lastPrinted>
  <dcterms:created xsi:type="dcterms:W3CDTF">2023-02-28T13:16:00Z</dcterms:created>
  <dcterms:modified xsi:type="dcterms:W3CDTF">2023-02-28T21:14:00Z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