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944" w:rsidRDefault="00054944" w:rsidP="00426FB9">
      <w:pPr>
        <w:bidi/>
        <w:spacing w:after="0" w:line="240" w:lineRule="auto"/>
        <w:jc w:val="lowKashida"/>
        <w:rPr>
          <w:rFonts w:ascii="Traditional Arabic" w:hAnsi="Traditional Arabic" w:cs="Traditional Arabic"/>
          <w:b/>
          <w:bCs/>
          <w:sz w:val="28"/>
          <w:szCs w:val="28"/>
          <w:rtl/>
        </w:rPr>
      </w:pPr>
    </w:p>
    <w:p w:rsidR="00426FB9" w:rsidRPr="0099356A" w:rsidRDefault="00426FB9" w:rsidP="00941128">
      <w:pPr>
        <w:bidi/>
        <w:spacing w:after="0" w:line="240" w:lineRule="auto"/>
        <w:jc w:val="lowKashida"/>
        <w:rPr>
          <w:rFonts w:ascii="Traditional Arabic" w:hAnsi="Traditional Arabic" w:cs="Traditional Arabic"/>
          <w:b/>
          <w:bCs/>
          <w:sz w:val="28"/>
          <w:szCs w:val="28"/>
          <w:rtl/>
        </w:rPr>
      </w:pPr>
      <w:bookmarkStart w:id="0" w:name="_GoBack"/>
      <w:bookmarkEnd w:id="0"/>
      <w:r w:rsidRPr="0099356A">
        <w:rPr>
          <w:rFonts w:ascii="Traditional Arabic" w:hAnsi="Traditional Arabic" w:cs="Traditional Arabic" w:hint="cs"/>
          <w:b/>
          <w:bCs/>
          <w:sz w:val="28"/>
          <w:szCs w:val="28"/>
          <w:rtl/>
        </w:rPr>
        <w:t>الرقم: م د</w:t>
      </w:r>
      <w:r w:rsidRPr="0099356A">
        <w:rPr>
          <w:rFonts w:ascii="Traditional Arabic" w:hAnsi="Traditional Arabic" w:cs="Traditional Arabic" w:hint="cs"/>
          <w:b/>
          <w:bCs/>
          <w:sz w:val="28"/>
          <w:szCs w:val="28"/>
          <w:rtl/>
          <w:lang w:bidi="ar-KW"/>
        </w:rPr>
        <w:t xml:space="preserve">    </w:t>
      </w:r>
      <w:r w:rsidR="001C0BD2">
        <w:rPr>
          <w:rFonts w:ascii="Traditional Arabic" w:hAnsi="Traditional Arabic" w:cs="Traditional Arabic"/>
          <w:b/>
          <w:bCs/>
          <w:sz w:val="28"/>
          <w:szCs w:val="28"/>
          <w:lang w:bidi="ar-KW"/>
        </w:rPr>
        <w:t xml:space="preserve">    </w:t>
      </w:r>
      <w:r w:rsidRPr="0099356A">
        <w:rPr>
          <w:rFonts w:ascii="Traditional Arabic" w:hAnsi="Traditional Arabic" w:cs="Traditional Arabic" w:hint="cs"/>
          <w:b/>
          <w:bCs/>
          <w:sz w:val="28"/>
          <w:szCs w:val="28"/>
          <w:rtl/>
        </w:rPr>
        <w:t xml:space="preserve"> </w:t>
      </w:r>
      <w:r w:rsidR="00DA0BE5">
        <w:rPr>
          <w:rFonts w:ascii="Traditional Arabic" w:hAnsi="Traditional Arabic" w:cs="Traditional Arabic" w:hint="cs"/>
          <w:b/>
          <w:bCs/>
          <w:sz w:val="28"/>
          <w:szCs w:val="28"/>
          <w:rtl/>
        </w:rPr>
        <w:t>/2023</w:t>
      </w:r>
    </w:p>
    <w:p w:rsidR="00B16A3F" w:rsidRDefault="00426FB9" w:rsidP="00941128">
      <w:pPr>
        <w:bidi/>
        <w:spacing w:after="0" w:line="240" w:lineRule="auto"/>
        <w:jc w:val="lowKashida"/>
        <w:rPr>
          <w:rFonts w:ascii="Traditional Arabic" w:hAnsi="Traditional Arabic" w:cs="Traditional Arabic"/>
          <w:b/>
          <w:bCs/>
          <w:sz w:val="28"/>
          <w:szCs w:val="28"/>
          <w:rtl/>
        </w:rPr>
      </w:pPr>
      <w:r w:rsidRPr="0099356A">
        <w:rPr>
          <w:rFonts w:ascii="Traditional Arabic" w:hAnsi="Traditional Arabic" w:cs="Traditional Arabic" w:hint="cs"/>
          <w:b/>
          <w:bCs/>
          <w:sz w:val="28"/>
          <w:szCs w:val="28"/>
          <w:rtl/>
        </w:rPr>
        <w:t>التاريخ:</w:t>
      </w:r>
      <w:r w:rsidR="00DA0BE5">
        <w:rPr>
          <w:rFonts w:ascii="Traditional Arabic" w:hAnsi="Traditional Arabic" w:cs="Traditional Arabic" w:hint="cs"/>
          <w:b/>
          <w:bCs/>
          <w:sz w:val="28"/>
          <w:szCs w:val="28"/>
          <w:rtl/>
          <w:lang w:bidi="ar-KW"/>
        </w:rPr>
        <w:t xml:space="preserve"> </w:t>
      </w:r>
      <w:r w:rsidR="001C0BD2">
        <w:rPr>
          <w:rFonts w:ascii="Traditional Arabic" w:hAnsi="Traditional Arabic" w:cs="Traditional Arabic"/>
          <w:b/>
          <w:bCs/>
          <w:sz w:val="28"/>
          <w:szCs w:val="28"/>
          <w:lang w:bidi="ar-KW"/>
        </w:rPr>
        <w:t>23</w:t>
      </w:r>
      <w:r w:rsidR="00DA0BE5">
        <w:rPr>
          <w:rFonts w:ascii="Traditional Arabic" w:hAnsi="Traditional Arabic" w:cs="Traditional Arabic" w:hint="cs"/>
          <w:b/>
          <w:bCs/>
          <w:sz w:val="28"/>
          <w:szCs w:val="28"/>
          <w:rtl/>
          <w:lang w:bidi="ar-KW"/>
        </w:rPr>
        <w:t xml:space="preserve"> فبراير 2023</w:t>
      </w:r>
    </w:p>
    <w:p w:rsidR="00941128" w:rsidRPr="00941128" w:rsidRDefault="00941128" w:rsidP="00941128">
      <w:pPr>
        <w:bidi/>
        <w:spacing w:after="0" w:line="240" w:lineRule="auto"/>
        <w:jc w:val="lowKashida"/>
        <w:rPr>
          <w:rFonts w:ascii="Traditional Arabic" w:hAnsi="Traditional Arabic" w:cs="Traditional Arabic"/>
          <w:b/>
          <w:bCs/>
          <w:sz w:val="28"/>
          <w:szCs w:val="28"/>
          <w:rtl/>
        </w:rPr>
      </w:pPr>
    </w:p>
    <w:p w:rsidR="00426FB9" w:rsidRPr="0099356A" w:rsidRDefault="00426FB9" w:rsidP="00B16A3F">
      <w:pPr>
        <w:bidi/>
        <w:spacing w:line="240" w:lineRule="auto"/>
        <w:ind w:firstLine="720"/>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rPr>
        <w:t>يهدي الوفد الدائم لدولة الكويت لدى الأمم المتحدة في جنيف أطيب تحياته إلى مكتب المفوضية السامية لحقوق الانسان</w:t>
      </w:r>
      <w:r w:rsidR="00F82C65">
        <w:rPr>
          <w:rFonts w:ascii="Traditional Arabic" w:hAnsi="Traditional Arabic" w:cs="Traditional Arabic" w:hint="cs"/>
          <w:b/>
          <w:bCs/>
          <w:sz w:val="36"/>
          <w:szCs w:val="36"/>
          <w:rtl/>
        </w:rPr>
        <w:t xml:space="preserve">. </w:t>
      </w:r>
    </w:p>
    <w:p w:rsidR="00F82C65" w:rsidRDefault="00426FB9" w:rsidP="00426FB9">
      <w:pPr>
        <w:bidi/>
        <w:spacing w:line="240" w:lineRule="auto"/>
        <w:ind w:firstLine="720"/>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lang w:bidi="ar-KW"/>
        </w:rPr>
        <w:t>بالإش</w:t>
      </w:r>
      <w:r w:rsidR="00941128">
        <w:rPr>
          <w:rFonts w:ascii="Traditional Arabic" w:hAnsi="Traditional Arabic" w:cs="Traditional Arabic" w:hint="cs"/>
          <w:b/>
          <w:bCs/>
          <w:sz w:val="36"/>
          <w:szCs w:val="36"/>
          <w:rtl/>
          <w:lang w:bidi="ar-KW"/>
        </w:rPr>
        <w:t>ـــ</w:t>
      </w:r>
      <w:r w:rsidRPr="0099356A">
        <w:rPr>
          <w:rFonts w:ascii="Traditional Arabic" w:hAnsi="Traditional Arabic" w:cs="Traditional Arabic" w:hint="cs"/>
          <w:b/>
          <w:bCs/>
          <w:sz w:val="36"/>
          <w:szCs w:val="36"/>
          <w:rtl/>
          <w:lang w:bidi="ar-KW"/>
        </w:rPr>
        <w:t>ارة إلى</w:t>
      </w:r>
      <w:r w:rsidR="00B11FF8">
        <w:rPr>
          <w:rFonts w:ascii="Traditional Arabic" w:hAnsi="Traditional Arabic" w:cs="Traditional Arabic" w:hint="cs"/>
          <w:b/>
          <w:bCs/>
          <w:sz w:val="36"/>
          <w:szCs w:val="36"/>
          <w:rtl/>
          <w:lang w:bidi="ar-KW"/>
        </w:rPr>
        <w:t xml:space="preserve"> </w:t>
      </w:r>
      <w:r w:rsidRPr="0099356A">
        <w:rPr>
          <w:rFonts w:ascii="Traditional Arabic" w:hAnsi="Traditional Arabic" w:cs="Traditional Arabic" w:hint="cs"/>
          <w:b/>
          <w:bCs/>
          <w:sz w:val="36"/>
          <w:szCs w:val="36"/>
          <w:rtl/>
          <w:lang w:bidi="ar-KW"/>
        </w:rPr>
        <w:t>رس</w:t>
      </w:r>
      <w:r w:rsidR="00941128">
        <w:rPr>
          <w:rFonts w:ascii="Traditional Arabic" w:hAnsi="Traditional Arabic" w:cs="Traditional Arabic" w:hint="cs"/>
          <w:b/>
          <w:bCs/>
          <w:sz w:val="36"/>
          <w:szCs w:val="36"/>
          <w:rtl/>
          <w:lang w:bidi="ar-KW"/>
        </w:rPr>
        <w:t>ـــ</w:t>
      </w:r>
      <w:r w:rsidRPr="0099356A">
        <w:rPr>
          <w:rFonts w:ascii="Traditional Arabic" w:hAnsi="Traditional Arabic" w:cs="Traditional Arabic" w:hint="cs"/>
          <w:b/>
          <w:bCs/>
          <w:sz w:val="36"/>
          <w:szCs w:val="36"/>
          <w:rtl/>
          <w:lang w:bidi="ar-KW"/>
        </w:rPr>
        <w:t xml:space="preserve">الة </w:t>
      </w:r>
      <w:r w:rsidR="00621C36">
        <w:rPr>
          <w:rFonts w:ascii="Traditional Arabic" w:hAnsi="Traditional Arabic" w:cs="Traditional Arabic" w:hint="cs"/>
          <w:b/>
          <w:bCs/>
          <w:sz w:val="36"/>
          <w:szCs w:val="36"/>
          <w:rtl/>
          <w:lang w:bidi="ar-KW"/>
        </w:rPr>
        <w:t>الخبيرة المستقل</w:t>
      </w:r>
      <w:r w:rsidR="00941128">
        <w:rPr>
          <w:rFonts w:ascii="Traditional Arabic" w:hAnsi="Traditional Arabic" w:cs="Traditional Arabic" w:hint="cs"/>
          <w:b/>
          <w:bCs/>
          <w:sz w:val="36"/>
          <w:szCs w:val="36"/>
          <w:rtl/>
          <w:lang w:bidi="ar-KW"/>
        </w:rPr>
        <w:t>ــ</w:t>
      </w:r>
      <w:r w:rsidR="00621C36">
        <w:rPr>
          <w:rFonts w:ascii="Traditional Arabic" w:hAnsi="Traditional Arabic" w:cs="Traditional Arabic" w:hint="cs"/>
          <w:b/>
          <w:bCs/>
          <w:sz w:val="36"/>
          <w:szCs w:val="36"/>
          <w:rtl/>
          <w:lang w:bidi="ar-KW"/>
        </w:rPr>
        <w:t xml:space="preserve">ة </w:t>
      </w:r>
      <w:r w:rsidR="00941128">
        <w:rPr>
          <w:rFonts w:ascii="Traditional Arabic" w:hAnsi="Traditional Arabic" w:cs="Traditional Arabic" w:hint="cs"/>
          <w:b/>
          <w:bCs/>
          <w:sz w:val="36"/>
          <w:szCs w:val="36"/>
          <w:rtl/>
          <w:lang w:bidi="ar-KW"/>
        </w:rPr>
        <w:t xml:space="preserve">المعنية بتمتع كبـــار السن بجميع حقــوق الإنسان </w:t>
      </w:r>
      <w:r w:rsidR="00621C36">
        <w:rPr>
          <w:rFonts w:ascii="Traditional Arabic" w:hAnsi="Traditional Arabic" w:cs="Traditional Arabic" w:hint="cs"/>
          <w:b/>
          <w:bCs/>
          <w:sz w:val="36"/>
          <w:szCs w:val="36"/>
          <w:rtl/>
          <w:lang w:bidi="ar-KW"/>
        </w:rPr>
        <w:t>بت</w:t>
      </w:r>
      <w:r w:rsidR="00941128">
        <w:rPr>
          <w:rFonts w:ascii="Traditional Arabic" w:hAnsi="Traditional Arabic" w:cs="Traditional Arabic" w:hint="cs"/>
          <w:b/>
          <w:bCs/>
          <w:sz w:val="36"/>
          <w:szCs w:val="36"/>
          <w:rtl/>
          <w:lang w:bidi="ar-KW"/>
        </w:rPr>
        <w:t>ــ</w:t>
      </w:r>
      <w:r w:rsidR="00621C36">
        <w:rPr>
          <w:rFonts w:ascii="Traditional Arabic" w:hAnsi="Traditional Arabic" w:cs="Traditional Arabic" w:hint="cs"/>
          <w:b/>
          <w:bCs/>
          <w:sz w:val="36"/>
          <w:szCs w:val="36"/>
          <w:rtl/>
          <w:lang w:bidi="ar-KW"/>
        </w:rPr>
        <w:t>اريخ 13 فبراير 2023 بشأن إبلاغها بمعلومات حول الممارسات الجيدة التي اتخذت للحد من العنف ضد كبار السن وإساءة معاملتهم وإهمالهم</w:t>
      </w:r>
      <w:r w:rsidR="00F82C65">
        <w:rPr>
          <w:rFonts w:ascii="Traditional Arabic" w:hAnsi="Traditional Arabic" w:cs="Traditional Arabic" w:hint="cs"/>
          <w:b/>
          <w:bCs/>
          <w:sz w:val="36"/>
          <w:szCs w:val="36"/>
          <w:rtl/>
          <w:lang w:bidi="ar-KW"/>
        </w:rPr>
        <w:t>، نفيدكم برد وزارة الشؤون الاجتماعية على أسئل</w:t>
      </w:r>
      <w:r w:rsidR="007B2719">
        <w:rPr>
          <w:rFonts w:ascii="Traditional Arabic" w:hAnsi="Traditional Arabic" w:cs="Traditional Arabic" w:hint="cs"/>
          <w:b/>
          <w:bCs/>
          <w:sz w:val="36"/>
          <w:szCs w:val="36"/>
          <w:rtl/>
          <w:lang w:bidi="ar-KW"/>
        </w:rPr>
        <w:t xml:space="preserve">ة الخبيرة المستقلة </w:t>
      </w:r>
      <w:r w:rsidR="00F82C65">
        <w:rPr>
          <w:rFonts w:ascii="Traditional Arabic" w:hAnsi="Traditional Arabic" w:cs="Traditional Arabic" w:hint="cs"/>
          <w:b/>
          <w:bCs/>
          <w:sz w:val="36"/>
          <w:szCs w:val="36"/>
          <w:rtl/>
          <w:lang w:bidi="ar-KW"/>
        </w:rPr>
        <w:t xml:space="preserve">كما </w:t>
      </w:r>
      <w:r w:rsidRPr="0099356A">
        <w:rPr>
          <w:rFonts w:ascii="Traditional Arabic" w:hAnsi="Traditional Arabic" w:cs="Traditional Arabic" w:hint="cs"/>
          <w:b/>
          <w:bCs/>
          <w:sz w:val="36"/>
          <w:szCs w:val="36"/>
          <w:rtl/>
          <w:lang w:bidi="ar-KW"/>
        </w:rPr>
        <w:t>يلي:</w:t>
      </w:r>
    </w:p>
    <w:p w:rsidR="00941128" w:rsidRDefault="007B2719" w:rsidP="00B16A3F">
      <w:pPr>
        <w:bidi/>
        <w:spacing w:line="240" w:lineRule="auto"/>
        <w:jc w:val="both"/>
        <w:rPr>
          <w:rFonts w:ascii="Traditional Arabic" w:hAnsi="Traditional Arabic" w:cs="Traditional Arabic"/>
          <w:b/>
          <w:bCs/>
          <w:sz w:val="36"/>
          <w:szCs w:val="36"/>
          <w:rtl/>
          <w:lang w:bidi="ar-KW"/>
        </w:rPr>
      </w:pPr>
      <w:r>
        <w:rPr>
          <w:rFonts w:ascii="Traditional Arabic" w:hAnsi="Traditional Arabic" w:cs="Traditional Arabic"/>
          <w:b/>
          <w:bCs/>
          <w:sz w:val="36"/>
          <w:szCs w:val="36"/>
          <w:rtl/>
          <w:lang w:bidi="ar-KW"/>
        </w:rPr>
        <w:tab/>
      </w:r>
      <w:r>
        <w:rPr>
          <w:rFonts w:ascii="Traditional Arabic" w:hAnsi="Traditional Arabic" w:cs="Traditional Arabic" w:hint="cs"/>
          <w:b/>
          <w:bCs/>
          <w:sz w:val="36"/>
          <w:szCs w:val="36"/>
          <w:rtl/>
          <w:lang w:bidi="ar-KW"/>
        </w:rPr>
        <w:t xml:space="preserve">صدر قانون رقم (18) </w:t>
      </w:r>
      <w:r w:rsidR="00941128">
        <w:rPr>
          <w:rFonts w:ascii="Traditional Arabic" w:hAnsi="Traditional Arabic" w:cs="Traditional Arabic" w:hint="cs"/>
          <w:b/>
          <w:bCs/>
          <w:sz w:val="36"/>
          <w:szCs w:val="36"/>
          <w:rtl/>
          <w:lang w:bidi="ar-KW"/>
        </w:rPr>
        <w:t xml:space="preserve">في </w:t>
      </w:r>
      <w:r>
        <w:rPr>
          <w:rFonts w:ascii="Traditional Arabic" w:hAnsi="Traditional Arabic" w:cs="Traditional Arabic" w:hint="cs"/>
          <w:b/>
          <w:bCs/>
          <w:sz w:val="36"/>
          <w:szCs w:val="36"/>
          <w:rtl/>
          <w:lang w:bidi="ar-KW"/>
        </w:rPr>
        <w:t xml:space="preserve">سنة 2016 بشأن الرعاية الاجتماعية </w:t>
      </w:r>
      <w:r w:rsidR="00941128">
        <w:rPr>
          <w:rFonts w:ascii="Traditional Arabic" w:hAnsi="Traditional Arabic" w:cs="Traditional Arabic" w:hint="cs"/>
          <w:b/>
          <w:bCs/>
          <w:sz w:val="36"/>
          <w:szCs w:val="36"/>
          <w:rtl/>
          <w:lang w:bidi="ar-KW"/>
        </w:rPr>
        <w:t>للمس</w:t>
      </w:r>
      <w:r>
        <w:rPr>
          <w:rFonts w:ascii="Traditional Arabic" w:hAnsi="Traditional Arabic" w:cs="Traditional Arabic" w:hint="cs"/>
          <w:b/>
          <w:bCs/>
          <w:sz w:val="36"/>
          <w:szCs w:val="36"/>
          <w:rtl/>
          <w:lang w:bidi="ar-KW"/>
        </w:rPr>
        <w:t>ن الذي يحمي حقوقه المادية والنفسية</w:t>
      </w:r>
      <w:r w:rsidR="00941128">
        <w:rPr>
          <w:rFonts w:ascii="Traditional Arabic" w:hAnsi="Traditional Arabic" w:cs="Traditional Arabic" w:hint="cs"/>
          <w:b/>
          <w:bCs/>
          <w:sz w:val="36"/>
          <w:szCs w:val="36"/>
          <w:rtl/>
          <w:lang w:bidi="ar-KW"/>
        </w:rPr>
        <w:t xml:space="preserve">، كما صدر </w:t>
      </w:r>
      <w:r>
        <w:rPr>
          <w:rFonts w:ascii="Traditional Arabic" w:hAnsi="Traditional Arabic" w:cs="Traditional Arabic" w:hint="cs"/>
          <w:b/>
          <w:bCs/>
          <w:sz w:val="36"/>
          <w:szCs w:val="36"/>
          <w:rtl/>
          <w:lang w:bidi="ar-KW"/>
        </w:rPr>
        <w:t xml:space="preserve">قرار وزاري رقم (أ/104) </w:t>
      </w:r>
      <w:r w:rsidR="00941128">
        <w:rPr>
          <w:rFonts w:ascii="Traditional Arabic" w:hAnsi="Traditional Arabic" w:cs="Traditional Arabic" w:hint="cs"/>
          <w:b/>
          <w:bCs/>
          <w:sz w:val="36"/>
          <w:szCs w:val="36"/>
          <w:rtl/>
          <w:lang w:bidi="ar-KW"/>
        </w:rPr>
        <w:t xml:space="preserve">في </w:t>
      </w:r>
      <w:r>
        <w:rPr>
          <w:rFonts w:ascii="Traditional Arabic" w:hAnsi="Traditional Arabic" w:cs="Traditional Arabic" w:hint="cs"/>
          <w:b/>
          <w:bCs/>
          <w:sz w:val="36"/>
          <w:szCs w:val="36"/>
          <w:rtl/>
          <w:lang w:bidi="ar-KW"/>
        </w:rPr>
        <w:t>سنة 2016 ب</w:t>
      </w:r>
      <w:r w:rsidR="00941128">
        <w:rPr>
          <w:rFonts w:ascii="Traditional Arabic" w:hAnsi="Traditional Arabic" w:cs="Traditional Arabic" w:hint="cs"/>
          <w:b/>
          <w:bCs/>
          <w:sz w:val="36"/>
          <w:szCs w:val="36"/>
          <w:rtl/>
          <w:lang w:bidi="ar-KW"/>
        </w:rPr>
        <w:t>شأن ا</w:t>
      </w:r>
      <w:r>
        <w:rPr>
          <w:rFonts w:ascii="Traditional Arabic" w:hAnsi="Traditional Arabic" w:cs="Traditional Arabic" w:hint="cs"/>
          <w:b/>
          <w:bCs/>
          <w:sz w:val="36"/>
          <w:szCs w:val="36"/>
          <w:rtl/>
          <w:lang w:bidi="ar-KW"/>
        </w:rPr>
        <w:t xml:space="preserve">صدار اللائحة التنفيذية للقانون وأهم </w:t>
      </w:r>
      <w:r w:rsidR="00941128">
        <w:rPr>
          <w:rFonts w:ascii="Traditional Arabic" w:hAnsi="Traditional Arabic" w:cs="Traditional Arabic" w:hint="cs"/>
          <w:b/>
          <w:bCs/>
          <w:sz w:val="36"/>
          <w:szCs w:val="36"/>
          <w:rtl/>
          <w:lang w:bidi="ar-KW"/>
        </w:rPr>
        <w:t xml:space="preserve">مواد </w:t>
      </w:r>
      <w:r>
        <w:rPr>
          <w:rFonts w:ascii="Traditional Arabic" w:hAnsi="Traditional Arabic" w:cs="Traditional Arabic" w:hint="cs"/>
          <w:b/>
          <w:bCs/>
          <w:sz w:val="36"/>
          <w:szCs w:val="36"/>
          <w:rtl/>
          <w:lang w:bidi="ar-KW"/>
        </w:rPr>
        <w:t>القانون لحفظ المسن من العنف</w:t>
      </w:r>
      <w:r w:rsidR="00941128">
        <w:rPr>
          <w:rFonts w:ascii="Traditional Arabic" w:hAnsi="Traditional Arabic" w:cs="Traditional Arabic" w:hint="cs"/>
          <w:b/>
          <w:bCs/>
          <w:sz w:val="36"/>
          <w:szCs w:val="36"/>
          <w:rtl/>
          <w:lang w:bidi="ar-KW"/>
        </w:rPr>
        <w:t xml:space="preserve"> هي كالآتي: </w:t>
      </w:r>
      <w:r>
        <w:rPr>
          <w:rFonts w:ascii="Traditional Arabic" w:hAnsi="Traditional Arabic" w:cs="Traditional Arabic" w:hint="cs"/>
          <w:b/>
          <w:bCs/>
          <w:sz w:val="36"/>
          <w:szCs w:val="36"/>
          <w:rtl/>
          <w:lang w:bidi="ar-KW"/>
        </w:rPr>
        <w:t xml:space="preserve"> </w:t>
      </w:r>
    </w:p>
    <w:p w:rsidR="00B16A3F" w:rsidRDefault="00B16A3F" w:rsidP="00941128">
      <w:pPr>
        <w:bidi/>
        <w:spacing w:line="240" w:lineRule="auto"/>
        <w:ind w:left="720"/>
        <w:jc w:val="both"/>
        <w:rPr>
          <w:rFonts w:ascii="Traditional Arabic" w:hAnsi="Traditional Arabic" w:cs="Traditional Arabic"/>
          <w:b/>
          <w:bCs/>
          <w:sz w:val="36"/>
          <w:szCs w:val="36"/>
          <w:rtl/>
          <w:lang w:bidi="ar-KW"/>
        </w:rPr>
      </w:pPr>
      <w:r w:rsidRPr="00941128">
        <w:rPr>
          <w:rFonts w:ascii="Traditional Arabic" w:hAnsi="Traditional Arabic" w:cs="Traditional Arabic" w:hint="cs"/>
          <w:b/>
          <w:bCs/>
          <w:sz w:val="36"/>
          <w:szCs w:val="36"/>
          <w:u w:val="single"/>
          <w:rtl/>
          <w:lang w:bidi="ar-KW"/>
        </w:rPr>
        <w:t>المادة رقم (5):</w:t>
      </w:r>
      <w:r>
        <w:rPr>
          <w:rFonts w:ascii="Traditional Arabic" w:hAnsi="Traditional Arabic" w:cs="Traditional Arabic" w:hint="cs"/>
          <w:b/>
          <w:bCs/>
          <w:sz w:val="36"/>
          <w:szCs w:val="36"/>
          <w:rtl/>
          <w:lang w:bidi="ar-KW"/>
        </w:rPr>
        <w:t xml:space="preserve"> تتخذ الحكومة جميع التدابير والإجراءات التي تكفل للمسنين مباشرة حقوقهم المدنية والسياسية والاجتماعية. </w:t>
      </w:r>
    </w:p>
    <w:p w:rsidR="00B16A3F" w:rsidRDefault="00B16A3F" w:rsidP="00941128">
      <w:pPr>
        <w:bidi/>
        <w:spacing w:line="240" w:lineRule="auto"/>
        <w:ind w:left="720"/>
        <w:jc w:val="both"/>
        <w:rPr>
          <w:rFonts w:ascii="Traditional Arabic" w:hAnsi="Traditional Arabic" w:cs="Traditional Arabic"/>
          <w:b/>
          <w:bCs/>
          <w:sz w:val="36"/>
          <w:szCs w:val="36"/>
          <w:rtl/>
          <w:lang w:bidi="ar-KW"/>
        </w:rPr>
      </w:pPr>
      <w:r w:rsidRPr="00B16A3F">
        <w:rPr>
          <w:rFonts w:ascii="Traditional Arabic" w:hAnsi="Traditional Arabic" w:cs="Traditional Arabic" w:hint="cs"/>
          <w:b/>
          <w:bCs/>
          <w:sz w:val="36"/>
          <w:szCs w:val="36"/>
          <w:u w:val="single"/>
          <w:rtl/>
          <w:lang w:bidi="ar-KW"/>
        </w:rPr>
        <w:t>المادة رقم (17):</w:t>
      </w:r>
      <w:r>
        <w:rPr>
          <w:rFonts w:ascii="Traditional Arabic" w:hAnsi="Traditional Arabic" w:cs="Traditional Arabic" w:hint="cs"/>
          <w:b/>
          <w:bCs/>
          <w:sz w:val="36"/>
          <w:szCs w:val="36"/>
          <w:rtl/>
          <w:lang w:bidi="ar-KW"/>
        </w:rPr>
        <w:t xml:space="preserve"> على الشخص المكلف برعاية المسن إخطار المشرف في حالة مرض المسن المشمول بالرعاية أو وفاته وكذلك في حالة تبديل مسكنه أو غيابه عن المسكن وعن كل طارئ آخر يطرأ عليه. </w:t>
      </w:r>
    </w:p>
    <w:p w:rsidR="00941128" w:rsidRDefault="00B16A3F" w:rsidP="00941128">
      <w:pPr>
        <w:bidi/>
        <w:spacing w:line="240" w:lineRule="auto"/>
        <w:ind w:left="720"/>
        <w:jc w:val="both"/>
        <w:rPr>
          <w:rFonts w:ascii="Traditional Arabic" w:hAnsi="Traditional Arabic" w:cs="Traditional Arabic"/>
          <w:b/>
          <w:bCs/>
          <w:sz w:val="36"/>
          <w:szCs w:val="36"/>
          <w:rtl/>
          <w:lang w:bidi="ar-KW"/>
        </w:rPr>
      </w:pPr>
      <w:r w:rsidRPr="00B16A3F">
        <w:rPr>
          <w:rFonts w:ascii="Traditional Arabic" w:hAnsi="Traditional Arabic" w:cs="Traditional Arabic" w:hint="cs"/>
          <w:b/>
          <w:bCs/>
          <w:sz w:val="36"/>
          <w:szCs w:val="36"/>
          <w:u w:val="single"/>
          <w:rtl/>
          <w:lang w:bidi="ar-KW"/>
        </w:rPr>
        <w:t>مادة رقم (19):</w:t>
      </w:r>
      <w:r>
        <w:rPr>
          <w:rFonts w:ascii="Traditional Arabic" w:hAnsi="Traditional Arabic" w:cs="Traditional Arabic" w:hint="cs"/>
          <w:b/>
          <w:bCs/>
          <w:sz w:val="36"/>
          <w:szCs w:val="36"/>
          <w:rtl/>
          <w:lang w:bidi="ar-KW"/>
        </w:rPr>
        <w:t xml:space="preserve"> مع عدم الإخلال بأي عقوبة أشد ينص عليها أي قانون آخر، يعاقب بالحبس مدة لا تجاوز سنة وبغرامة لا تزيد على ألف دينار كويتي أو بإحدى هاتين العقوبتين كل من كلف برعاية أحد المسنين وامتنع عن القيام بفعل مما تقتضيه واجبات الرعاية </w:t>
      </w:r>
      <w:r>
        <w:rPr>
          <w:rFonts w:ascii="Traditional Arabic" w:hAnsi="Traditional Arabic" w:cs="Traditional Arabic" w:hint="cs"/>
          <w:b/>
          <w:bCs/>
          <w:sz w:val="36"/>
          <w:szCs w:val="36"/>
          <w:rtl/>
          <w:lang w:bidi="ar-KW"/>
        </w:rPr>
        <w:lastRenderedPageBreak/>
        <w:t xml:space="preserve">وترتب على ذلك إلحاق ضرر بالمسن، أما إذا نشأ من ذلك وفاة الشخص المسن تكون العقوبة الحبس لمدة لا تتجاوز خمس سنوات وبغرامة لا تزيد على خمسمائة دينارا أو بإحدى هاتين العقوبتين إذا كان الضرر نتيجة إهمال المكلف، أما إذا نشأ عن ذلك وفاة المسن فتكون العقوبة الحبس لمدة ثلاثة سنوات وبغرامة لا تزيد على ألفي دينار أو بإحدى هاتين العقوبتين. </w:t>
      </w:r>
      <w:r w:rsidR="007B2719">
        <w:rPr>
          <w:rFonts w:ascii="Traditional Arabic" w:hAnsi="Traditional Arabic" w:cs="Traditional Arabic"/>
          <w:b/>
          <w:bCs/>
          <w:sz w:val="36"/>
          <w:szCs w:val="36"/>
          <w:rtl/>
          <w:lang w:bidi="ar-KW"/>
        </w:rPr>
        <w:tab/>
      </w:r>
    </w:p>
    <w:p w:rsidR="00426FB9" w:rsidRPr="00941128" w:rsidRDefault="00426FB9" w:rsidP="00941128">
      <w:pPr>
        <w:bidi/>
        <w:spacing w:line="240" w:lineRule="auto"/>
        <w:ind w:firstLine="720"/>
        <w:jc w:val="both"/>
        <w:rPr>
          <w:rFonts w:ascii="Traditional Arabic" w:hAnsi="Traditional Arabic" w:cs="Traditional Arabic"/>
          <w:b/>
          <w:bCs/>
          <w:sz w:val="36"/>
          <w:szCs w:val="36"/>
          <w:rtl/>
          <w:lang w:bidi="ar-KW"/>
        </w:rPr>
      </w:pPr>
      <w:r w:rsidRPr="0099356A">
        <w:rPr>
          <w:rFonts w:ascii="Traditional Arabic" w:hAnsi="Traditional Arabic" w:cs="Traditional Arabic" w:hint="cs"/>
          <w:b/>
          <w:bCs/>
          <w:sz w:val="36"/>
          <w:szCs w:val="36"/>
          <w:rtl/>
        </w:rPr>
        <w:t>وينتهز الوفد الدائم لدولة الكويت هذه المناسبة ليعرب لمكتب المفوضية السامية لحقوق الانسان عن فائق امتنانه وتقديره.</w:t>
      </w:r>
    </w:p>
    <w:p w:rsidR="00426FB9" w:rsidRDefault="00426FB9" w:rsidP="00426FB9">
      <w:pPr>
        <w:spacing w:after="0" w:line="240" w:lineRule="auto"/>
        <w:jc w:val="both"/>
        <w:rPr>
          <w:rFonts w:ascii="Traditional Arabic" w:hAnsi="Traditional Arabic" w:cs="Traditional Arabic"/>
          <w:b/>
          <w:bCs/>
          <w:sz w:val="28"/>
          <w:szCs w:val="28"/>
          <w:rtl/>
          <w:lang w:bidi="ar-KW"/>
        </w:rPr>
      </w:pPr>
    </w:p>
    <w:p w:rsidR="00426FB9" w:rsidRDefault="00426FB9" w:rsidP="00426FB9">
      <w:pPr>
        <w:spacing w:after="0" w:line="240" w:lineRule="auto"/>
        <w:jc w:val="both"/>
        <w:rPr>
          <w:rFonts w:ascii="Traditional Arabic" w:hAnsi="Traditional Arabic" w:cs="Traditional Arabic"/>
          <w:b/>
          <w:bCs/>
          <w:sz w:val="28"/>
          <w:szCs w:val="28"/>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895487" w:rsidRDefault="00895487" w:rsidP="00426FB9">
      <w:pPr>
        <w:spacing w:after="0" w:line="240" w:lineRule="auto"/>
        <w:jc w:val="both"/>
        <w:rPr>
          <w:rFonts w:ascii="Traditional Arabic" w:hAnsi="Traditional Arabic" w:cs="Traditional Arabic"/>
          <w:b/>
          <w:bCs/>
          <w:rtl/>
          <w:lang w:bidi="ar-KW"/>
        </w:rPr>
      </w:pPr>
    </w:p>
    <w:p w:rsidR="00426FB9" w:rsidRPr="00CB4D33" w:rsidRDefault="00426FB9" w:rsidP="00426FB9">
      <w:pPr>
        <w:spacing w:after="0" w:line="240" w:lineRule="auto"/>
        <w:jc w:val="both"/>
        <w:rPr>
          <w:rFonts w:ascii="Traditional Arabic" w:hAnsi="Traditional Arabic" w:cs="Traditional Arabic"/>
          <w:b/>
          <w:bCs/>
          <w:lang w:bidi="ar-KW"/>
        </w:rPr>
      </w:pPr>
      <w:r w:rsidRPr="00CB4D33">
        <w:rPr>
          <w:rFonts w:ascii="Traditional Arabic" w:hAnsi="Traditional Arabic" w:cs="Traditional Arabic" w:hint="cs"/>
          <w:b/>
          <w:bCs/>
          <w:lang w:bidi="ar-KW"/>
        </w:rPr>
        <w:t>Office of the High Commissioner for Human Rights</w:t>
      </w:r>
    </w:p>
    <w:p w:rsidR="00426FB9" w:rsidRPr="00CB4D33" w:rsidRDefault="00426FB9" w:rsidP="00426FB9">
      <w:pPr>
        <w:spacing w:after="0" w:line="240" w:lineRule="auto"/>
        <w:jc w:val="both"/>
        <w:rPr>
          <w:rFonts w:ascii="Traditional Arabic" w:hAnsi="Traditional Arabic" w:cs="Traditional Arabic"/>
          <w:b/>
          <w:bCs/>
          <w:lang w:bidi="ar-KW"/>
        </w:rPr>
      </w:pPr>
      <w:r w:rsidRPr="00CB4D33">
        <w:rPr>
          <w:rFonts w:ascii="Traditional Arabic" w:hAnsi="Traditional Arabic" w:cs="Traditional Arabic" w:hint="cs"/>
          <w:b/>
          <w:bCs/>
          <w:lang w:bidi="ar-KW"/>
        </w:rPr>
        <w:t xml:space="preserve">Palais des Nations </w:t>
      </w:r>
    </w:p>
    <w:p w:rsidR="00426FB9" w:rsidRPr="00CB4D33" w:rsidRDefault="00426FB9" w:rsidP="00426FB9">
      <w:pPr>
        <w:spacing w:after="0" w:line="240" w:lineRule="auto"/>
        <w:jc w:val="both"/>
        <w:rPr>
          <w:rFonts w:ascii="Traditional Arabic" w:hAnsi="Traditional Arabic" w:cs="Traditional Arabic"/>
          <w:b/>
          <w:bCs/>
          <w:lang w:bidi="ar-KW"/>
        </w:rPr>
      </w:pPr>
      <w:r w:rsidRPr="00CB4D33">
        <w:rPr>
          <w:rFonts w:ascii="Traditional Arabic" w:hAnsi="Traditional Arabic" w:cs="Traditional Arabic" w:hint="cs"/>
          <w:b/>
          <w:bCs/>
          <w:lang w:bidi="ar-KW"/>
        </w:rPr>
        <w:t>1211 Geneva 10</w:t>
      </w:r>
    </w:p>
    <w:p w:rsidR="00745F15" w:rsidRDefault="00745F15"/>
    <w:sectPr w:rsidR="00745F15" w:rsidSect="00895487">
      <w:pgSz w:w="11906" w:h="16838"/>
      <w:pgMar w:top="306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altName w:val="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86D27"/>
    <w:multiLevelType w:val="hybridMultilevel"/>
    <w:tmpl w:val="763EC83A"/>
    <w:lvl w:ilvl="0" w:tplc="56D8225C">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9"/>
    <w:rsid w:val="00054944"/>
    <w:rsid w:val="00076616"/>
    <w:rsid w:val="001C0BD2"/>
    <w:rsid w:val="003603CD"/>
    <w:rsid w:val="00426FB9"/>
    <w:rsid w:val="00621C36"/>
    <w:rsid w:val="00745F15"/>
    <w:rsid w:val="007B2719"/>
    <w:rsid w:val="0088373F"/>
    <w:rsid w:val="00895487"/>
    <w:rsid w:val="00941128"/>
    <w:rsid w:val="00B11FF8"/>
    <w:rsid w:val="00B16A3F"/>
    <w:rsid w:val="00B2466C"/>
    <w:rsid w:val="00B828CF"/>
    <w:rsid w:val="00DA0BE5"/>
    <w:rsid w:val="00F82C65"/>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D4FB"/>
  <w15:chartTrackingRefBased/>
  <w15:docId w15:val="{92C03F42-BF5B-4417-8622-54187513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FB9"/>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Kuwait</Contributor>
  </documentManagement>
</p:properties>
</file>

<file path=customXml/itemProps1.xml><?xml version="1.0" encoding="utf-8"?>
<ds:datastoreItem xmlns:ds="http://schemas.openxmlformats.org/officeDocument/2006/customXml" ds:itemID="{B0C8F8C0-3774-413F-8C30-A5A52C9F2B2F}"/>
</file>

<file path=customXml/itemProps2.xml><?xml version="1.0" encoding="utf-8"?>
<ds:datastoreItem xmlns:ds="http://schemas.openxmlformats.org/officeDocument/2006/customXml" ds:itemID="{9976D43E-5DFA-4979-9FA8-D71A2EFAB7E1}"/>
</file>

<file path=customXml/itemProps3.xml><?xml version="1.0" encoding="utf-8"?>
<ds:datastoreItem xmlns:ds="http://schemas.openxmlformats.org/officeDocument/2006/customXml" ds:itemID="{AB73EF8D-DEED-431F-9669-2FD650C1125A}"/>
</file>

<file path=docProps/app.xml><?xml version="1.0" encoding="utf-8"?>
<Properties xmlns="http://schemas.openxmlformats.org/officeDocument/2006/extended-properties" xmlns:vt="http://schemas.openxmlformats.org/officeDocument/2006/docPropsVTypes">
  <Template>Normal</Template>
  <TotalTime>53</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Radhia BALTI</dc:creator>
  <cp:keywords/>
  <dc:description/>
  <cp:lastModifiedBy>Radhia BALTI</cp:lastModifiedBy>
  <cp:revision>3</cp:revision>
  <cp:lastPrinted>2023-02-23T09:37:00Z</cp:lastPrinted>
  <dcterms:created xsi:type="dcterms:W3CDTF">2023-02-23T08:46:00Z</dcterms:created>
  <dcterms:modified xsi:type="dcterms:W3CDTF">2023-02-23T09:38:00Z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