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64442" w14:paraId="2F7AC9FE" w14:textId="77777777" w:rsidTr="3B5E552F">
        <w:trPr>
          <w:trHeight w:val="851"/>
        </w:trPr>
        <w:tc>
          <w:tcPr>
            <w:tcW w:w="1259" w:type="dxa"/>
            <w:tcBorders>
              <w:top w:val="nil"/>
              <w:left w:val="nil"/>
              <w:bottom w:val="single" w:sz="4" w:space="0" w:color="auto"/>
              <w:right w:val="nil"/>
            </w:tcBorders>
          </w:tcPr>
          <w:p w14:paraId="471CB9D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412A4C1" w14:textId="740F028B" w:rsidR="00446DE4" w:rsidRPr="00864442"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A4761AB" w14:textId="519396F4" w:rsidR="00446DE4" w:rsidRPr="00864442" w:rsidRDefault="00CB170D" w:rsidP="00CB170D">
            <w:pPr>
              <w:spacing w:line="240" w:lineRule="atLeast"/>
              <w:jc w:val="right"/>
            </w:pPr>
            <w:bookmarkStart w:id="0" w:name="_Hlk146877418"/>
            <w:r w:rsidRPr="00864442">
              <w:rPr>
                <w:sz w:val="40"/>
              </w:rPr>
              <w:t>A</w:t>
            </w:r>
            <w:r w:rsidRPr="00864442">
              <w:t>/78/</w:t>
            </w:r>
            <w:bookmarkEnd w:id="0"/>
            <w:r w:rsidR="00700564">
              <w:t>502</w:t>
            </w:r>
          </w:p>
        </w:tc>
      </w:tr>
      <w:tr w:rsidR="003107FA" w:rsidRPr="00864442" w14:paraId="40765769" w14:textId="77777777" w:rsidTr="3B5E552F">
        <w:trPr>
          <w:trHeight w:val="2835"/>
        </w:trPr>
        <w:tc>
          <w:tcPr>
            <w:tcW w:w="1259" w:type="dxa"/>
            <w:tcBorders>
              <w:top w:val="single" w:sz="4" w:space="0" w:color="auto"/>
              <w:left w:val="nil"/>
              <w:bottom w:val="single" w:sz="12" w:space="0" w:color="auto"/>
              <w:right w:val="nil"/>
            </w:tcBorders>
          </w:tcPr>
          <w:p w14:paraId="14A3EC31" w14:textId="7EE18A59" w:rsidR="003107FA" w:rsidRPr="00864442"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FA8E240" w14:textId="0BC9B739" w:rsidR="003107FA" w:rsidRPr="00864442" w:rsidRDefault="0070056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1B2C743" w14:textId="77777777" w:rsidR="003107FA" w:rsidRPr="00864442" w:rsidRDefault="00CB170D" w:rsidP="00CB170D">
            <w:pPr>
              <w:spacing w:before="240" w:line="240" w:lineRule="exact"/>
            </w:pPr>
            <w:r w:rsidRPr="00864442">
              <w:t>Distr.: General</w:t>
            </w:r>
          </w:p>
          <w:p w14:paraId="73005D17" w14:textId="13CA0D90" w:rsidR="00CB170D" w:rsidRPr="00864442" w:rsidRDefault="00037779" w:rsidP="00CB170D">
            <w:pPr>
              <w:spacing w:line="240" w:lineRule="exact"/>
            </w:pPr>
            <w:r>
              <w:t xml:space="preserve">2 October </w:t>
            </w:r>
            <w:r w:rsidR="00CB170D" w:rsidRPr="00864442">
              <w:t>2023</w:t>
            </w:r>
          </w:p>
          <w:p w14:paraId="50CF132A" w14:textId="77777777" w:rsidR="00CB170D" w:rsidRPr="00864442" w:rsidRDefault="00CB170D" w:rsidP="00CB170D">
            <w:pPr>
              <w:spacing w:line="240" w:lineRule="exact"/>
            </w:pPr>
          </w:p>
          <w:p w14:paraId="3CFC91E8" w14:textId="331F1DEE" w:rsidR="00CB170D" w:rsidRPr="00864442" w:rsidRDefault="00CB170D" w:rsidP="00CB170D">
            <w:pPr>
              <w:spacing w:line="240" w:lineRule="exact"/>
            </w:pPr>
            <w:r w:rsidRPr="00864442">
              <w:t>Original: English</w:t>
            </w:r>
          </w:p>
        </w:tc>
      </w:tr>
    </w:tbl>
    <w:p w14:paraId="6D9D800A" w14:textId="77777777" w:rsidR="00E7177C" w:rsidRPr="00864442" w:rsidRDefault="00E7177C" w:rsidP="00D34596">
      <w:pPr>
        <w:suppressAutoHyphens/>
        <w:spacing w:before="120" w:line="240" w:lineRule="atLeast"/>
        <w:rPr>
          <w:b/>
          <w:bCs/>
        </w:rPr>
      </w:pPr>
      <w:r w:rsidRPr="00864442">
        <w:rPr>
          <w:b/>
          <w:bCs/>
        </w:rPr>
        <w:t>Seventy-eighth session</w:t>
      </w:r>
    </w:p>
    <w:p w14:paraId="4E45DE57" w14:textId="77777777" w:rsidR="00E7177C" w:rsidRPr="00864442" w:rsidRDefault="00E7177C" w:rsidP="00E7177C">
      <w:pPr>
        <w:suppressAutoHyphens/>
        <w:spacing w:line="240" w:lineRule="atLeast"/>
      </w:pPr>
      <w:r w:rsidRPr="00864442">
        <w:t>Item 51 of the provisional agenda*</w:t>
      </w:r>
    </w:p>
    <w:p w14:paraId="7A6284C5" w14:textId="61581BDA" w:rsidR="00E7177C" w:rsidRPr="00D34596" w:rsidRDefault="00E7177C" w:rsidP="00D34596">
      <w:pPr>
        <w:suppressAutoHyphens/>
        <w:spacing w:line="240" w:lineRule="atLeast"/>
        <w:rPr>
          <w:b/>
          <w:bCs/>
        </w:rPr>
      </w:pPr>
      <w:r w:rsidRPr="00864442">
        <w:rPr>
          <w:b/>
          <w:bCs/>
        </w:rPr>
        <w:t xml:space="preserve">Israeli Practices and Settlement Activities Affecting the Rights </w:t>
      </w:r>
      <w:r w:rsidR="00D34596">
        <w:rPr>
          <w:b/>
          <w:bCs/>
        </w:rPr>
        <w:br/>
      </w:r>
      <w:r w:rsidRPr="00864442">
        <w:rPr>
          <w:b/>
          <w:bCs/>
        </w:rPr>
        <w:t>of the Palestinian People and Other Arabs of the Occupied Territories</w:t>
      </w:r>
    </w:p>
    <w:p w14:paraId="308C6025" w14:textId="15E04B4A" w:rsidR="00E7177C" w:rsidRPr="00864442" w:rsidRDefault="00D34596" w:rsidP="00E7177C">
      <w:pPr>
        <w:pStyle w:val="HChG"/>
      </w:pPr>
      <w:r>
        <w:tab/>
      </w:r>
      <w:r>
        <w:tab/>
      </w:r>
      <w:r w:rsidR="77EC3E02" w:rsidRPr="00864442">
        <w:t xml:space="preserve">Israeli practices affecting the human rights of the Palestinian people in the Occupied Palestinian Territory, </w:t>
      </w:r>
      <w:r>
        <w:br/>
      </w:r>
      <w:r w:rsidR="77EC3E02" w:rsidRPr="00864442">
        <w:t>including East Jerusalem</w:t>
      </w:r>
    </w:p>
    <w:p w14:paraId="3FFE0193" w14:textId="0C31596F" w:rsidR="00E7177C" w:rsidRPr="00D34596" w:rsidRDefault="00E7177C" w:rsidP="00D34596">
      <w:pPr>
        <w:spacing w:after="800"/>
        <w:rPr>
          <w:b/>
          <w:bCs/>
          <w:sz w:val="24"/>
          <w:szCs w:val="24"/>
        </w:rPr>
      </w:pPr>
      <w:r w:rsidRPr="00864442">
        <w:rPr>
          <w:b/>
          <w:bCs/>
          <w:sz w:val="24"/>
          <w:szCs w:val="24"/>
        </w:rPr>
        <w:tab/>
      </w:r>
      <w:r w:rsidRPr="00864442">
        <w:rPr>
          <w:b/>
          <w:bCs/>
          <w:sz w:val="24"/>
          <w:szCs w:val="24"/>
        </w:rPr>
        <w:tab/>
      </w:r>
      <w:r w:rsidR="77EC3E02" w:rsidRPr="00864442">
        <w:rPr>
          <w:b/>
          <w:bCs/>
          <w:sz w:val="24"/>
          <w:szCs w:val="24"/>
        </w:rPr>
        <w:t>Report of the Secretary-General</w:t>
      </w:r>
      <w:r w:rsidRPr="00864442">
        <w:rPr>
          <w:b/>
          <w:bCs/>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7177C" w:rsidRPr="00864442" w14:paraId="6BA42779" w14:textId="77777777">
        <w:trPr>
          <w:jc w:val="center"/>
        </w:trPr>
        <w:tc>
          <w:tcPr>
            <w:tcW w:w="9637" w:type="dxa"/>
            <w:shd w:val="clear" w:color="auto" w:fill="auto"/>
          </w:tcPr>
          <w:p w14:paraId="17E29CC0" w14:textId="77777777" w:rsidR="00E7177C" w:rsidRPr="00864442" w:rsidRDefault="00E7177C">
            <w:pPr>
              <w:spacing w:before="240" w:after="120"/>
              <w:ind w:left="255"/>
              <w:rPr>
                <w:i/>
                <w:sz w:val="24"/>
              </w:rPr>
            </w:pPr>
            <w:r w:rsidRPr="00864442">
              <w:rPr>
                <w:i/>
                <w:sz w:val="24"/>
              </w:rPr>
              <w:t>Summary</w:t>
            </w:r>
          </w:p>
        </w:tc>
      </w:tr>
      <w:tr w:rsidR="00E7177C" w:rsidRPr="00864442" w14:paraId="5DB80222" w14:textId="77777777">
        <w:trPr>
          <w:jc w:val="center"/>
        </w:trPr>
        <w:tc>
          <w:tcPr>
            <w:tcW w:w="9637" w:type="dxa"/>
            <w:shd w:val="clear" w:color="auto" w:fill="auto"/>
          </w:tcPr>
          <w:p w14:paraId="138B2FDE" w14:textId="0D5F02BC" w:rsidR="00E7177C" w:rsidRPr="00864442" w:rsidRDefault="00EF743E" w:rsidP="00E7177C">
            <w:pPr>
              <w:pStyle w:val="SingleTxtG"/>
            </w:pPr>
            <w:r w:rsidRPr="00864442">
              <w:t xml:space="preserve">Submitted pursuant to General Assembly resolution </w:t>
            </w:r>
            <w:hyperlink r:id="rId11" w:history="1">
              <w:r w:rsidRPr="00864442">
                <w:rPr>
                  <w:rStyle w:val="Hyperlink"/>
                </w:rPr>
                <w:t>77/247</w:t>
              </w:r>
            </w:hyperlink>
            <w:r w:rsidRPr="00864442">
              <w:t>, the present report examines Israeli practices affecting the human rights of Palestinians in the Occupied Palestinian Territory, including East Jerusalem. It covers the period from 1 June 2021 to 31 May 2023.</w:t>
            </w:r>
          </w:p>
        </w:tc>
      </w:tr>
      <w:tr w:rsidR="00E7177C" w:rsidRPr="00864442" w14:paraId="076A461F" w14:textId="77777777">
        <w:trPr>
          <w:jc w:val="center"/>
        </w:trPr>
        <w:tc>
          <w:tcPr>
            <w:tcW w:w="9637" w:type="dxa"/>
            <w:shd w:val="clear" w:color="auto" w:fill="auto"/>
          </w:tcPr>
          <w:p w14:paraId="7736ABD0" w14:textId="77777777" w:rsidR="00E7177C" w:rsidRPr="00864442" w:rsidRDefault="00E7177C"/>
        </w:tc>
      </w:tr>
    </w:tbl>
    <w:p w14:paraId="39F762CC" w14:textId="77777777" w:rsidR="00E7177C" w:rsidRPr="00864442" w:rsidRDefault="00E7177C">
      <w:r w:rsidRPr="00864442">
        <w:br w:type="page"/>
      </w:r>
    </w:p>
    <w:p w14:paraId="6F8828FE" w14:textId="386E4818" w:rsidR="00E7177C" w:rsidRPr="00864442" w:rsidRDefault="00E7177C" w:rsidP="00E7177C">
      <w:pPr>
        <w:pStyle w:val="HChG"/>
      </w:pPr>
      <w:r w:rsidRPr="00864442">
        <w:lastRenderedPageBreak/>
        <w:tab/>
        <w:t>I.</w:t>
      </w:r>
      <w:r w:rsidRPr="00864442">
        <w:tab/>
        <w:t>Introduction</w:t>
      </w:r>
    </w:p>
    <w:p w14:paraId="5599939B" w14:textId="5980DC52" w:rsidR="00E7177C" w:rsidRPr="00864442" w:rsidRDefault="00E7177C" w:rsidP="00E7177C">
      <w:pPr>
        <w:pStyle w:val="SingleTxtG"/>
        <w:rPr>
          <w:rFonts w:eastAsia="Times New Roman"/>
        </w:rPr>
      </w:pPr>
      <w:r w:rsidRPr="00864442">
        <w:t>1.</w:t>
      </w:r>
      <w:r w:rsidRPr="00864442">
        <w:tab/>
      </w:r>
      <w:r w:rsidRPr="00864442">
        <w:rPr>
          <w:rFonts w:eastAsia="Times New Roman"/>
        </w:rPr>
        <w:t>Submitted pursuant to General Assembly resolution 77/247, this report covers the period from 1 June 2021 to 31 May 2023. It is based on monitoring conducted by OHCHR in the Occupied Palestinian Territory</w:t>
      </w:r>
      <w:r w:rsidR="0039684D">
        <w:rPr>
          <w:rFonts w:eastAsia="Times New Roman"/>
        </w:rPr>
        <w:t xml:space="preserve"> (OPT)</w:t>
      </w:r>
      <w:r w:rsidRPr="00864442">
        <w:rPr>
          <w:rFonts w:eastAsia="Times New Roman"/>
        </w:rPr>
        <w:t xml:space="preserve"> and on information collected by other U</w:t>
      </w:r>
      <w:r w:rsidR="00394641">
        <w:rPr>
          <w:rFonts w:eastAsia="Times New Roman"/>
        </w:rPr>
        <w:t>N</w:t>
      </w:r>
      <w:r w:rsidRPr="00864442">
        <w:rPr>
          <w:rFonts w:eastAsia="Times New Roman"/>
        </w:rPr>
        <w:t xml:space="preserve"> entities and nongovernmental organizations. The report should be read in conjunction with the report of the Secretary-General on Israeli settlements in the Occupied Palestinian Territory, including East Jerusalem, and the occupied Syrian Golan,</w:t>
      </w:r>
      <w:r w:rsidRPr="00864442">
        <w:rPr>
          <w:rStyle w:val="FootnoteReference"/>
        </w:rPr>
        <w:footnoteReference w:id="3"/>
      </w:r>
      <w:r w:rsidRPr="00864442">
        <w:rPr>
          <w:rFonts w:eastAsia="Times New Roman"/>
        </w:rPr>
        <w:t xml:space="preserve"> and the reports of the U</w:t>
      </w:r>
      <w:r w:rsidR="00394641">
        <w:rPr>
          <w:rFonts w:eastAsia="Times New Roman"/>
        </w:rPr>
        <w:t>N</w:t>
      </w:r>
      <w:r w:rsidRPr="00864442">
        <w:rPr>
          <w:rFonts w:eastAsia="Times New Roman"/>
        </w:rPr>
        <w:t xml:space="preserve"> High Commissioner for Human Rights submitted to the Human Rights Council at its fifty-second session.</w:t>
      </w:r>
      <w:r w:rsidRPr="00864442">
        <w:rPr>
          <w:rStyle w:val="FootnoteReference"/>
        </w:rPr>
        <w:footnoteReference w:id="4"/>
      </w:r>
    </w:p>
    <w:p w14:paraId="7FC07A8B" w14:textId="7DA54682" w:rsidR="00E7177C" w:rsidRPr="00864442" w:rsidRDefault="00E7177C" w:rsidP="00E7177C">
      <w:pPr>
        <w:pStyle w:val="SingleTxtG"/>
      </w:pPr>
      <w:r w:rsidRPr="00864442">
        <w:t>2.</w:t>
      </w:r>
      <w:r w:rsidRPr="00864442">
        <w:tab/>
        <w:t xml:space="preserve">Through trends and cases documented, the report illustrates the impact on and obstacles to the enjoyment of human rights in the </w:t>
      </w:r>
      <w:r w:rsidR="00DA4D31">
        <w:t>OPT</w:t>
      </w:r>
      <w:r w:rsidRPr="00864442">
        <w:t xml:space="preserve"> stemming from Israeli policies and practices. Due to space constraints, the report does not address all issues of concern, nor does it address all cases documented during the reporting period. </w:t>
      </w:r>
      <w:r w:rsidRPr="00864442" w:rsidDel="00A921FC">
        <w:t xml:space="preserve"> </w:t>
      </w:r>
    </w:p>
    <w:p w14:paraId="162A3384" w14:textId="5E48D018" w:rsidR="00E7177C" w:rsidRPr="00864442" w:rsidRDefault="00E7177C" w:rsidP="00E7177C">
      <w:pPr>
        <w:pStyle w:val="SingleTxtG"/>
      </w:pPr>
      <w:r w:rsidRPr="00864442">
        <w:t>3.</w:t>
      </w:r>
      <w:r w:rsidRPr="00864442">
        <w:tab/>
        <w:t xml:space="preserve">During the reporting period, international staff of </w:t>
      </w:r>
      <w:r w:rsidR="001B2A7C" w:rsidRPr="00864442">
        <w:t xml:space="preserve">the </w:t>
      </w:r>
      <w:r w:rsidRPr="00864442">
        <w:t>OHCHR office in the O</w:t>
      </w:r>
      <w:r w:rsidR="00741713">
        <w:t>PT</w:t>
      </w:r>
      <w:r w:rsidRPr="00864442">
        <w:t xml:space="preserve"> continued to be denied access by Israel to the O</w:t>
      </w:r>
      <w:r w:rsidR="006F041C">
        <w:t>PT</w:t>
      </w:r>
      <w:r w:rsidRPr="00864442">
        <w:t xml:space="preserve">, complicating </w:t>
      </w:r>
      <w:r w:rsidR="003B4903" w:rsidRPr="00864442">
        <w:t xml:space="preserve">the discharge of </w:t>
      </w:r>
      <w:r w:rsidRPr="00864442">
        <w:t>critical mandated work on human rights by the U</w:t>
      </w:r>
      <w:r w:rsidR="00394641">
        <w:t>N</w:t>
      </w:r>
      <w:r w:rsidRPr="00864442">
        <w:t>.</w:t>
      </w:r>
      <w:r w:rsidR="00DA2AF0" w:rsidRPr="00864442">
        <w:t xml:space="preserve"> In September 2023, the Head of OHCHR OPT was issued </w:t>
      </w:r>
      <w:r w:rsidR="00B006CE" w:rsidRPr="00864442">
        <w:t xml:space="preserve">a </w:t>
      </w:r>
      <w:r w:rsidR="00DA2AF0" w:rsidRPr="00864442">
        <w:t xml:space="preserve">multiple entry visa to Israel and OPT until the end of December 2023. </w:t>
      </w:r>
    </w:p>
    <w:p w14:paraId="6C06FCBB" w14:textId="77777777" w:rsidR="00E7177C" w:rsidRPr="00864442" w:rsidRDefault="00E7177C" w:rsidP="00E7177C">
      <w:pPr>
        <w:pStyle w:val="HChG"/>
      </w:pPr>
      <w:r w:rsidRPr="00864442">
        <w:tab/>
        <w:t>II.</w:t>
      </w:r>
      <w:r w:rsidRPr="00864442">
        <w:tab/>
      </w:r>
      <w:r w:rsidRPr="00864442">
        <w:tab/>
        <w:t>Legal framework</w:t>
      </w:r>
    </w:p>
    <w:p w14:paraId="0D4B3BB4" w14:textId="2A641C7C" w:rsidR="00E7177C" w:rsidRPr="00864442" w:rsidRDefault="00E7177C" w:rsidP="00E7177C">
      <w:pPr>
        <w:pStyle w:val="SingleTxtG"/>
      </w:pPr>
      <w:r w:rsidRPr="00864442">
        <w:t>4.</w:t>
      </w:r>
      <w:r w:rsidRPr="00864442">
        <w:tab/>
        <w:t>International human rights law and international humanitarian law are applicable in the O</w:t>
      </w:r>
      <w:r w:rsidR="00E9657E">
        <w:t>PT</w:t>
      </w:r>
      <w:r w:rsidRPr="00864442">
        <w:t>. A detailed analysis of the applicable legal framework can be found in the report of the Secretary-General to the Human Rights Council at its thirty-fourth session.</w:t>
      </w:r>
      <w:r w:rsidRPr="00864442">
        <w:rPr>
          <w:rStyle w:val="FootnoteReference"/>
        </w:rPr>
        <w:footnoteReference w:id="5"/>
      </w:r>
      <w:r w:rsidRPr="00864442">
        <w:t xml:space="preserve"> </w:t>
      </w:r>
    </w:p>
    <w:p w14:paraId="1A3E2815" w14:textId="77777777" w:rsidR="00E7177C" w:rsidRPr="00864442" w:rsidRDefault="00E7177C" w:rsidP="00E7177C">
      <w:pPr>
        <w:pStyle w:val="HChG"/>
      </w:pPr>
      <w:r w:rsidRPr="00864442">
        <w:tab/>
        <w:t>III.</w:t>
      </w:r>
      <w:r w:rsidRPr="00864442">
        <w:tab/>
        <w:t>Implementation of General Assembly Resolution 77/247</w:t>
      </w:r>
    </w:p>
    <w:p w14:paraId="5D94703D" w14:textId="77777777" w:rsidR="00E7177C" w:rsidRPr="00864442" w:rsidRDefault="00E7177C" w:rsidP="005C120F">
      <w:pPr>
        <w:pStyle w:val="H1G"/>
      </w:pPr>
      <w:r w:rsidRPr="00864442">
        <w:tab/>
        <w:t>A.</w:t>
      </w:r>
      <w:r w:rsidRPr="00864442">
        <w:tab/>
        <w:t>Conduct of hostilities</w:t>
      </w:r>
    </w:p>
    <w:p w14:paraId="22A2C05C" w14:textId="20A877F8" w:rsidR="00E7177C" w:rsidRPr="00864442" w:rsidRDefault="005C120F" w:rsidP="00C90727">
      <w:pPr>
        <w:pStyle w:val="SingleTxtG"/>
      </w:pPr>
      <w:r w:rsidRPr="00864442">
        <w:t>5.</w:t>
      </w:r>
      <w:r w:rsidRPr="00864442">
        <w:tab/>
      </w:r>
      <w:r w:rsidR="00E7177C" w:rsidRPr="00864442">
        <w:t>During the reporting period there were two major escalations of hostilities between Israel and Palestinian armed groups in Gaza, from 5 to 7 August 2022 and from 9 to 13 May 2023</w:t>
      </w:r>
      <w:r w:rsidR="003B4903" w:rsidRPr="00864442">
        <w:t>, respectively</w:t>
      </w:r>
      <w:r w:rsidR="00E7177C" w:rsidRPr="00864442">
        <w:t xml:space="preserve">. </w:t>
      </w:r>
    </w:p>
    <w:p w14:paraId="58BA47FC" w14:textId="5AB092C1" w:rsidR="00E7177C" w:rsidRPr="00864442" w:rsidRDefault="005C120F" w:rsidP="00C90727">
      <w:pPr>
        <w:pStyle w:val="SingleTxtG"/>
      </w:pPr>
      <w:r w:rsidRPr="00864442">
        <w:t>6.</w:t>
      </w:r>
      <w:r w:rsidRPr="00864442">
        <w:tab/>
      </w:r>
      <w:r w:rsidR="00E7177C" w:rsidRPr="00864442" w:rsidDel="4B3BA8B1">
        <w:t xml:space="preserve">The </w:t>
      </w:r>
      <w:r w:rsidR="00E7177C" w:rsidRPr="00864442">
        <w:t>August 2022 escalation of hostilities resulted in 51 Palestinians in Gaza killed (29 men, 13 boys, 5 girls and 4 women), of whom 31 were killed by the Israeli Air Force</w:t>
      </w:r>
      <w:r w:rsidR="00394641">
        <w:t xml:space="preserve"> (IAF)</w:t>
      </w:r>
      <w:r w:rsidR="00E7177C" w:rsidRPr="00864442">
        <w:t>, and 16 by Palestinian armed groups.</w:t>
      </w:r>
      <w:r w:rsidR="00E7177C" w:rsidRPr="00864442">
        <w:rPr>
          <w:rStyle w:val="FootnoteReference"/>
        </w:rPr>
        <w:footnoteReference w:id="6"/>
      </w:r>
      <w:r w:rsidR="00E7177C" w:rsidRPr="00864442">
        <w:t xml:space="preserve"> </w:t>
      </w:r>
      <w:r w:rsidR="00AF1D74" w:rsidRPr="00864442">
        <w:t>According to OHCHR monitoring</w:t>
      </w:r>
      <w:r w:rsidR="008357E0" w:rsidRPr="00864442">
        <w:t xml:space="preserve">, </w:t>
      </w:r>
      <w:r w:rsidR="00E7177C" w:rsidRPr="00864442">
        <w:t>among the Palestinians killed during the</w:t>
      </w:r>
      <w:r w:rsidR="00E7177C" w:rsidRPr="00864442" w:rsidDel="46840B1C">
        <w:t xml:space="preserve"> </w:t>
      </w:r>
      <w:r w:rsidR="00E7177C" w:rsidRPr="00864442">
        <w:t>August 2022 hostilities</w:t>
      </w:r>
      <w:r w:rsidR="008357E0" w:rsidRPr="00864442">
        <w:t xml:space="preserve">, </w:t>
      </w:r>
      <w:r w:rsidR="00E7177C" w:rsidRPr="00864442">
        <w:t xml:space="preserve"> </w:t>
      </w:r>
      <w:r w:rsidR="008357E0" w:rsidRPr="00864442">
        <w:t xml:space="preserve">37 </w:t>
      </w:r>
      <w:r w:rsidR="00E7177C" w:rsidRPr="00864442">
        <w:t>were  civilians (15 men, 13 boys, 5 girls and 4 women), while the status of six other Palestinians killed remains undetermined. Of the 383 Palestinians injured (67 women, 152 men, 61 girls and 103 boys), the vast majority were civilians, including 164 children.</w:t>
      </w:r>
      <w:r w:rsidR="00E7177C" w:rsidRPr="00864442">
        <w:rPr>
          <w:rStyle w:val="FootnoteReference"/>
        </w:rPr>
        <w:footnoteReference w:id="7"/>
      </w:r>
      <w:r w:rsidR="00E7177C" w:rsidRPr="00864442">
        <w:t xml:space="preserve"> 34 Israelis were injured.</w:t>
      </w:r>
      <w:r w:rsidR="00E7177C" w:rsidRPr="00864442">
        <w:rPr>
          <w:rStyle w:val="FootnoteReference"/>
        </w:rPr>
        <w:footnoteReference w:id="8"/>
      </w:r>
    </w:p>
    <w:p w14:paraId="7D688215" w14:textId="5DA58CDF" w:rsidR="00E7177C" w:rsidRPr="00864442" w:rsidRDefault="005C120F" w:rsidP="00C90727">
      <w:pPr>
        <w:pStyle w:val="SingleTxtG"/>
      </w:pPr>
      <w:r w:rsidRPr="00864442">
        <w:t>7.</w:t>
      </w:r>
      <w:r w:rsidRPr="00864442">
        <w:tab/>
      </w:r>
      <w:r w:rsidR="00E7177C" w:rsidRPr="00864442">
        <w:t>Several I</w:t>
      </w:r>
      <w:r w:rsidR="00394641">
        <w:t>AF</w:t>
      </w:r>
      <w:r w:rsidR="00E7177C" w:rsidRPr="00864442" w:rsidDel="482C0545">
        <w:t xml:space="preserve"> </w:t>
      </w:r>
      <w:r w:rsidR="00E7177C" w:rsidRPr="00864442">
        <w:t>strikes during the August 2022 escalation, including the 7 August strike on a cemetery east of Jabalya</w:t>
      </w:r>
      <w:r w:rsidR="00A626E4" w:rsidRPr="00864442">
        <w:t>,</w:t>
      </w:r>
      <w:r w:rsidR="00E7177C" w:rsidRPr="00864442">
        <w:t xml:space="preserve"> which killed 5 boys, raised concerns </w:t>
      </w:r>
      <w:r w:rsidR="00F0376A" w:rsidRPr="00864442">
        <w:t>of possible violations</w:t>
      </w:r>
      <w:r w:rsidR="00E7177C" w:rsidRPr="00864442">
        <w:t xml:space="preserve"> of international humanitarian law, including the principles of proportionality</w:t>
      </w:r>
      <w:r w:rsidR="009915D1">
        <w:t>,</w:t>
      </w:r>
      <w:r w:rsidR="00E7177C" w:rsidRPr="00864442">
        <w:rPr>
          <w:rStyle w:val="FootnoteReference"/>
        </w:rPr>
        <w:footnoteReference w:id="9"/>
      </w:r>
      <w:r w:rsidR="00E7177C" w:rsidRPr="00864442">
        <w:t xml:space="preserve"> precautions in </w:t>
      </w:r>
      <w:r w:rsidR="00E7177C" w:rsidRPr="00864442">
        <w:lastRenderedPageBreak/>
        <w:t>attack</w:t>
      </w:r>
      <w:r w:rsidR="009915D1">
        <w:t>,</w:t>
      </w:r>
      <w:r w:rsidR="00E7177C" w:rsidRPr="00864442">
        <w:rPr>
          <w:rStyle w:val="FootnoteReference"/>
        </w:rPr>
        <w:footnoteReference w:id="10"/>
      </w:r>
      <w:r w:rsidR="00E7177C" w:rsidRPr="00864442">
        <w:t xml:space="preserve"> and the prohibitions of indiscriminate attacks</w:t>
      </w:r>
      <w:r w:rsidR="00E7177C" w:rsidRPr="00864442">
        <w:rPr>
          <w:rStyle w:val="FootnoteReference"/>
        </w:rPr>
        <w:footnoteReference w:id="11"/>
      </w:r>
      <w:r w:rsidR="00E7177C" w:rsidRPr="00864442">
        <w:t xml:space="preserve"> and of attacks intentionally directed against civilians.</w:t>
      </w:r>
      <w:r w:rsidR="00E7177C" w:rsidRPr="00864442">
        <w:rPr>
          <w:rStyle w:val="FootnoteReference"/>
        </w:rPr>
        <w:footnoteReference w:id="12"/>
      </w:r>
      <w:r w:rsidR="00E7177C" w:rsidRPr="00864442">
        <w:t xml:space="preserve"> </w:t>
      </w:r>
    </w:p>
    <w:p w14:paraId="2D536348" w14:textId="331A4052" w:rsidR="00E7177C" w:rsidRPr="00864442" w:rsidRDefault="00AF598D" w:rsidP="00C90727">
      <w:pPr>
        <w:pStyle w:val="SingleTxtG"/>
      </w:pPr>
      <w:r w:rsidRPr="00864442">
        <w:t>8.</w:t>
      </w:r>
      <w:r w:rsidRPr="00864442">
        <w:tab/>
      </w:r>
      <w:r w:rsidR="00E7177C" w:rsidRPr="00864442">
        <w:t xml:space="preserve">The May 2023 escalation of hostilities </w:t>
      </w:r>
      <w:r w:rsidR="00E7177C" w:rsidRPr="00864442">
        <w:rPr>
          <w:rFonts w:asciiTheme="majorBidi" w:hAnsiTheme="majorBidi" w:cstheme="majorBidi"/>
        </w:rPr>
        <w:t>resulted in 33 Palestinians (23 men, 4 girls, 2 boys and 4 women)</w:t>
      </w:r>
      <w:r w:rsidR="00E7177C" w:rsidRPr="00864442" w:rsidDel="4B3BA8B1">
        <w:rPr>
          <w:rFonts w:asciiTheme="majorBidi" w:hAnsiTheme="majorBidi" w:cstheme="majorBidi"/>
        </w:rPr>
        <w:t xml:space="preserve"> </w:t>
      </w:r>
      <w:r w:rsidR="00E7177C" w:rsidRPr="00864442">
        <w:rPr>
          <w:rFonts w:asciiTheme="majorBidi" w:hAnsiTheme="majorBidi" w:cstheme="majorBidi"/>
        </w:rPr>
        <w:t>killed in Gaza – 30 Palestinians by the I</w:t>
      </w:r>
      <w:r w:rsidR="00394641">
        <w:rPr>
          <w:rFonts w:asciiTheme="majorBidi" w:hAnsiTheme="majorBidi" w:cstheme="majorBidi"/>
        </w:rPr>
        <w:t>AF</w:t>
      </w:r>
      <w:r w:rsidR="00E7177C" w:rsidRPr="00864442">
        <w:rPr>
          <w:rFonts w:asciiTheme="majorBidi" w:hAnsiTheme="majorBidi" w:cstheme="majorBidi"/>
        </w:rPr>
        <w:t xml:space="preserve"> and 3 </w:t>
      </w:r>
      <w:r w:rsidR="008C2AB4" w:rsidRPr="00864442">
        <w:rPr>
          <w:rStyle w:val="cf01"/>
          <w:rFonts w:asciiTheme="majorBidi" w:hAnsiTheme="majorBidi" w:cstheme="majorBidi"/>
          <w:sz w:val="20"/>
          <w:szCs w:val="20"/>
        </w:rPr>
        <w:t>killed by rockets launched by Palestinian armed groups from Gaza that fell short in the Strip</w:t>
      </w:r>
      <w:r w:rsidR="00E7177C" w:rsidRPr="00864442">
        <w:rPr>
          <w:rFonts w:asciiTheme="majorBidi" w:hAnsiTheme="majorBidi" w:cstheme="majorBidi"/>
        </w:rPr>
        <w:t>. At least 13 of those killed were civilians, including three men,</w:t>
      </w:r>
      <w:r w:rsidR="00E7177C" w:rsidRPr="00864442" w:rsidDel="12319986">
        <w:rPr>
          <w:rFonts w:asciiTheme="majorBidi" w:hAnsiTheme="majorBidi" w:cstheme="majorBidi"/>
        </w:rPr>
        <w:t xml:space="preserve"> four girls, </w:t>
      </w:r>
      <w:r w:rsidR="00E7177C" w:rsidRPr="00864442" w:rsidDel="0CB5EBF5">
        <w:rPr>
          <w:rFonts w:asciiTheme="majorBidi" w:hAnsiTheme="majorBidi" w:cstheme="majorBidi"/>
        </w:rPr>
        <w:t xml:space="preserve">two </w:t>
      </w:r>
      <w:r w:rsidR="00E7177C" w:rsidRPr="00864442" w:rsidDel="12319986">
        <w:rPr>
          <w:rFonts w:asciiTheme="majorBidi" w:hAnsiTheme="majorBidi" w:cstheme="majorBidi"/>
        </w:rPr>
        <w:t>boys</w:t>
      </w:r>
      <w:r w:rsidR="00E7177C" w:rsidRPr="00864442">
        <w:rPr>
          <w:rFonts w:asciiTheme="majorBidi" w:hAnsiTheme="majorBidi" w:cstheme="majorBidi"/>
        </w:rPr>
        <w:t xml:space="preserve"> and four women.</w:t>
      </w:r>
      <w:r w:rsidR="00E7177C" w:rsidRPr="00864442">
        <w:rPr>
          <w:rStyle w:val="FootnoteReference"/>
          <w:rFonts w:asciiTheme="majorBidi" w:hAnsiTheme="majorBidi" w:cstheme="majorBidi"/>
          <w:sz w:val="20"/>
        </w:rPr>
        <w:footnoteReference w:id="13"/>
      </w:r>
      <w:r w:rsidR="00E7177C" w:rsidRPr="00864442">
        <w:rPr>
          <w:rFonts w:asciiTheme="majorBidi" w:hAnsiTheme="majorBidi" w:cstheme="majorBidi"/>
        </w:rPr>
        <w:t xml:space="preserve"> One civilian Israeli woman and one civilian Palestinian man were killed by rockets fired into Israel from Gaza</w:t>
      </w:r>
      <w:r w:rsidR="00E7177C" w:rsidRPr="00864442">
        <w:t>. 192 Palestinians, including 82 men, 47 women and 63 children, were injured between 9 and 13 May.</w:t>
      </w:r>
      <w:r w:rsidR="00E7177C" w:rsidRPr="00864442">
        <w:rPr>
          <w:rStyle w:val="FootnoteReference"/>
        </w:rPr>
        <w:footnoteReference w:id="14"/>
      </w:r>
      <w:r w:rsidR="00E7177C" w:rsidRPr="00864442">
        <w:t xml:space="preserve"> According to </w:t>
      </w:r>
      <w:r w:rsidR="00B422FD" w:rsidRPr="00864442">
        <w:t xml:space="preserve">the </w:t>
      </w:r>
      <w:r w:rsidR="00E7177C" w:rsidRPr="00864442">
        <w:t xml:space="preserve">Israeli Authorities, 95 Israelis were injured. </w:t>
      </w:r>
    </w:p>
    <w:p w14:paraId="73147A2D" w14:textId="1122668E" w:rsidR="00E7177C" w:rsidRPr="00864442" w:rsidRDefault="00AF598D" w:rsidP="00C90727">
      <w:pPr>
        <w:pStyle w:val="SingleTxtG"/>
      </w:pPr>
      <w:r w:rsidRPr="00864442">
        <w:rPr>
          <w:lang w:val="en-US"/>
        </w:rPr>
        <w:t>9.</w:t>
      </w:r>
      <w:r w:rsidRPr="00864442">
        <w:rPr>
          <w:lang w:val="en-US"/>
        </w:rPr>
        <w:tab/>
      </w:r>
      <w:r w:rsidR="00E7177C" w:rsidRPr="00864442">
        <w:rPr>
          <w:lang w:val="en-US"/>
        </w:rPr>
        <w:t>I</w:t>
      </w:r>
      <w:r w:rsidR="00394641">
        <w:rPr>
          <w:lang w:val="en-US"/>
        </w:rPr>
        <w:t>AF</w:t>
      </w:r>
      <w:r w:rsidR="00E7177C" w:rsidRPr="00864442">
        <w:rPr>
          <w:lang w:val="en-US"/>
        </w:rPr>
        <w:t xml:space="preserve"> strikes killed </w:t>
      </w:r>
      <w:r w:rsidR="00E7177C" w:rsidRPr="00864442">
        <w:t xml:space="preserve">10 civilian women, </w:t>
      </w:r>
      <w:proofErr w:type="gramStart"/>
      <w:r w:rsidR="00E7177C" w:rsidRPr="00864442">
        <w:t>men</w:t>
      </w:r>
      <w:proofErr w:type="gramEnd"/>
      <w:r w:rsidR="00E7177C" w:rsidRPr="00864442">
        <w:t xml:space="preserve"> and children </w:t>
      </w:r>
      <w:r w:rsidR="00E7177C" w:rsidRPr="00864442">
        <w:rPr>
          <w:lang w:val="en-US"/>
        </w:rPr>
        <w:t>during three, almost simultaneous, attacks on residential buildings,</w:t>
      </w:r>
      <w:r w:rsidR="00E7177C" w:rsidRPr="00864442">
        <w:t xml:space="preserve"> just after midnight on</w:t>
      </w:r>
      <w:r w:rsidR="00E7177C" w:rsidRPr="00864442">
        <w:rPr>
          <w:lang w:val="en-US"/>
        </w:rPr>
        <w:t xml:space="preserve"> 9 May 2023, reportedly targeting</w:t>
      </w:r>
      <w:r w:rsidR="00E7177C" w:rsidRPr="00864442">
        <w:t xml:space="preserve"> </w:t>
      </w:r>
      <w:r w:rsidR="00E7177C" w:rsidRPr="00864442">
        <w:rPr>
          <w:lang w:val="en-US"/>
        </w:rPr>
        <w:t>three senior members of</w:t>
      </w:r>
      <w:r w:rsidR="00E7177C" w:rsidRPr="00864442">
        <w:t xml:space="preserve"> the armed wing of </w:t>
      </w:r>
      <w:r w:rsidR="00E7177C" w:rsidRPr="00864442">
        <w:rPr>
          <w:lang w:val="en-US"/>
        </w:rPr>
        <w:t>Palestinian Islamic Jihad</w:t>
      </w:r>
      <w:r w:rsidR="00E7177C" w:rsidRPr="00864442">
        <w:t xml:space="preserve">, </w:t>
      </w:r>
      <w:r w:rsidR="00E7177C" w:rsidRPr="00864442">
        <w:rPr>
          <w:i/>
          <w:iCs/>
        </w:rPr>
        <w:t>Saraya Al Quds</w:t>
      </w:r>
      <w:r w:rsidR="00E7177C" w:rsidRPr="00864442">
        <w:rPr>
          <w:lang w:val="en-US"/>
        </w:rPr>
        <w:t xml:space="preserve">. </w:t>
      </w:r>
      <w:r w:rsidR="00E7177C" w:rsidRPr="00864442">
        <w:t>These strikes were undertaken</w:t>
      </w:r>
      <w:r w:rsidR="00E7177C" w:rsidRPr="00864442">
        <w:rPr>
          <w:lang w:val="en-US"/>
        </w:rPr>
        <w:t xml:space="preserve"> less than a week after a ceasefire came into </w:t>
      </w:r>
      <w:r w:rsidR="00F0376A" w:rsidRPr="00864442">
        <w:rPr>
          <w:lang w:val="en-US"/>
        </w:rPr>
        <w:t xml:space="preserve">effect </w:t>
      </w:r>
      <w:r w:rsidR="00E7177C" w:rsidRPr="00864442">
        <w:rPr>
          <w:lang w:val="en-US"/>
        </w:rPr>
        <w:t>between Israel and Palestinian Islamic Jihad following an exchange of fire on 2-3 May, and at a time when there were no active hostilities.</w:t>
      </w:r>
      <w:r w:rsidR="00E7177C" w:rsidRPr="00864442">
        <w:rPr>
          <w:rStyle w:val="FootnoteReference"/>
        </w:rPr>
        <w:footnoteReference w:id="15"/>
      </w:r>
      <w:r w:rsidR="00E7177C" w:rsidRPr="00864442">
        <w:t xml:space="preserve"> </w:t>
      </w:r>
      <w:r w:rsidR="00E7177C" w:rsidRPr="00864442">
        <w:rPr>
          <w:lang w:val="en-US"/>
        </w:rPr>
        <w:t>The Israeli strikes were reportedly authorized in advance</w:t>
      </w:r>
      <w:r w:rsidR="00716B4F" w:rsidRPr="00864442">
        <w:rPr>
          <w:lang w:val="en-US"/>
        </w:rPr>
        <w:t>.</w:t>
      </w:r>
    </w:p>
    <w:p w14:paraId="739FF2F3" w14:textId="6FC5041D" w:rsidR="00E7177C" w:rsidRPr="00864442" w:rsidRDefault="00AF598D" w:rsidP="00C90727">
      <w:pPr>
        <w:pStyle w:val="SingleTxtG"/>
      </w:pPr>
      <w:r w:rsidRPr="00864442">
        <w:t>10.</w:t>
      </w:r>
      <w:r w:rsidRPr="00864442">
        <w:tab/>
      </w:r>
      <w:r w:rsidR="00E7177C" w:rsidRPr="00864442">
        <w:t xml:space="preserve">These initial attacks raise concerns regarding compliance with international humanitarian law, including the principles of precautions in attack, proportionality, and in one incident the prohibition of indiscriminate attacks. </w:t>
      </w:r>
      <w:r w:rsidR="00E7177C" w:rsidRPr="00864442">
        <w:rPr>
          <w:lang w:val="en-US"/>
        </w:rPr>
        <w:t>In one of the attacks on 9 May, IAF</w:t>
      </w:r>
      <w:r w:rsidR="00E7177C" w:rsidRPr="00864442" w:rsidDel="00142247">
        <w:rPr>
          <w:lang w:val="en-US"/>
        </w:rPr>
        <w:t xml:space="preserve"> </w:t>
      </w:r>
      <w:r w:rsidR="00E7177C" w:rsidRPr="00864442">
        <w:rPr>
          <w:lang w:val="en-US"/>
        </w:rPr>
        <w:t xml:space="preserve">targeted </w:t>
      </w:r>
      <w:r w:rsidR="00E7177C" w:rsidRPr="00864442">
        <w:t xml:space="preserve">Tariq Ezz El Din, the head of PIJ operations in the West Bank, in a residential apartment building in the Al-Rimal area, Gaza city. OHCHR </w:t>
      </w:r>
      <w:proofErr w:type="gramStart"/>
      <w:r w:rsidR="00DA4426">
        <w:t>m</w:t>
      </w:r>
      <w:r w:rsidR="00DA4426" w:rsidRPr="00864442">
        <w:t xml:space="preserve">onitoring </w:t>
      </w:r>
      <w:r w:rsidR="00DA4426">
        <w:t xml:space="preserve"> </w:t>
      </w:r>
      <w:r w:rsidR="00E7177C" w:rsidRPr="00864442">
        <w:t>indicates</w:t>
      </w:r>
      <w:proofErr w:type="gramEnd"/>
      <w:r w:rsidR="00E7177C" w:rsidRPr="00864442">
        <w:t xml:space="preserve"> that IAF dropped at least two bombs onto the apartment building, one of which appears to have exploded in the rooftop apartment, killing three civilians from another family,</w:t>
      </w:r>
      <w:r w:rsidR="00E7177C" w:rsidRPr="00864442">
        <w:rPr>
          <w:rStyle w:val="FootnoteReference"/>
        </w:rPr>
        <w:footnoteReference w:id="16"/>
      </w:r>
      <w:r w:rsidR="00E7177C" w:rsidRPr="00864442">
        <w:t xml:space="preserve"> as well as </w:t>
      </w:r>
      <w:proofErr w:type="spellStart"/>
      <w:r w:rsidR="00E7177C" w:rsidRPr="00864442">
        <w:t>Ezz</w:t>
      </w:r>
      <w:proofErr w:type="spellEnd"/>
      <w:r w:rsidR="00E7177C" w:rsidRPr="00864442">
        <w:t xml:space="preserve"> El Din, his 12-year-old daughter and 8-year-old son in the apartment below. Another bomb penetrated the whole residential building to the ground floor. The attack caused extensive damage to the targeted residential building and damaged two neighbouring residential buildings. Launching indiscriminate attacks resulting in death or injury to civilians, or an attack in the knowledge that it will cause incidental civilian loss, </w:t>
      </w:r>
      <w:proofErr w:type="gramStart"/>
      <w:r w:rsidR="00E7177C" w:rsidRPr="00864442">
        <w:t>injury</w:t>
      </w:r>
      <w:proofErr w:type="gramEnd"/>
      <w:r w:rsidR="00E7177C" w:rsidRPr="00864442">
        <w:t xml:space="preserve"> or damage excessive in relation to the concrete and direct military advantage anticipated may constitute a war crime.</w:t>
      </w:r>
      <w:r w:rsidR="00E7177C" w:rsidRPr="00864442">
        <w:rPr>
          <w:rStyle w:val="FootnoteReference"/>
        </w:rPr>
        <w:footnoteReference w:id="17"/>
      </w:r>
    </w:p>
    <w:p w14:paraId="5A3855FA" w14:textId="4FF82E2B" w:rsidR="00E7177C" w:rsidRPr="00864442" w:rsidRDefault="00AF598D" w:rsidP="00C90727">
      <w:pPr>
        <w:pStyle w:val="SingleTxtG"/>
      </w:pPr>
      <w:r w:rsidRPr="00864442">
        <w:t>11.</w:t>
      </w:r>
      <w:r w:rsidRPr="00864442">
        <w:tab/>
      </w:r>
      <w:r w:rsidR="00E7177C" w:rsidRPr="00864442">
        <w:t>In both August 2022 and May 2023, Palestinian armed groups fired projectiles including from highly populated neighbourhoods in Gaza that were inherently indiscriminate in nature towards Israel</w:t>
      </w:r>
      <w:r w:rsidR="009915D1">
        <w:t>,</w:t>
      </w:r>
      <w:r w:rsidR="00E7177C" w:rsidRPr="00864442">
        <w:rPr>
          <w:rStyle w:val="FootnoteReference"/>
        </w:rPr>
        <w:footnoteReference w:id="18"/>
      </w:r>
      <w:r w:rsidR="00E7177C" w:rsidRPr="00864442">
        <w:t xml:space="preserve"> which may constitute a violation of the prohibitions on indiscriminate attacks and the use of weapons which are by nature indiscriminate under international humanitarian law and may amount to war crimes.</w:t>
      </w:r>
      <w:r w:rsidR="00E7177C" w:rsidRPr="00864442">
        <w:rPr>
          <w:rStyle w:val="FootnoteReference"/>
        </w:rPr>
        <w:footnoteReference w:id="19"/>
      </w:r>
      <w:r w:rsidR="00E7177C" w:rsidRPr="00864442">
        <w:rPr>
          <w:vertAlign w:val="superscript"/>
        </w:rPr>
        <w:t xml:space="preserve"> </w:t>
      </w:r>
      <w:r w:rsidR="00E7177C" w:rsidRPr="00864442">
        <w:t xml:space="preserve">Many of such projectiles </w:t>
      </w:r>
      <w:r w:rsidR="002E400C" w:rsidRPr="00864442">
        <w:t xml:space="preserve">also </w:t>
      </w:r>
      <w:r w:rsidR="00E7177C" w:rsidRPr="00864442">
        <w:t>fell within Gaza, especially in August 2022 when they killed 16 Palestinians (six men, six boys, three girls,</w:t>
      </w:r>
      <w:r w:rsidR="00E7177C" w:rsidRPr="00864442" w:rsidDel="00FC4483">
        <w:t xml:space="preserve"> </w:t>
      </w:r>
      <w:r w:rsidR="00E7177C" w:rsidRPr="00864442">
        <w:t>one woman) and injured others.</w:t>
      </w:r>
      <w:r w:rsidR="00E7177C" w:rsidRPr="00864442">
        <w:rPr>
          <w:rStyle w:val="FootnoteReference"/>
        </w:rPr>
        <w:footnoteReference w:id="20"/>
      </w:r>
      <w:r w:rsidR="00E7177C" w:rsidRPr="00864442">
        <w:t xml:space="preserve"> In May 2023, indiscriminate rockets fired from Gaza killed one Israeli civilian woman and one Palestinian civilian man working in Israel and injured 40 Israeli civilians.</w:t>
      </w:r>
      <w:r w:rsidR="00E7177C" w:rsidRPr="00864442">
        <w:rPr>
          <w:rStyle w:val="FootnoteReference"/>
        </w:rPr>
        <w:footnoteReference w:id="21"/>
      </w:r>
      <w:r w:rsidR="00E7177C" w:rsidRPr="00864442">
        <w:t xml:space="preserve"> Three Palestinians died from rockets that fell within Gaza</w:t>
      </w:r>
      <w:r w:rsidR="0014705B" w:rsidRPr="00864442">
        <w:t>, including</w:t>
      </w:r>
      <w:r w:rsidR="00E7177C" w:rsidRPr="00864442">
        <w:t xml:space="preserve"> a 16-year-old boy and an 8-year-old girl </w:t>
      </w:r>
      <w:r w:rsidR="0014705B" w:rsidRPr="00864442">
        <w:t xml:space="preserve">who </w:t>
      </w:r>
      <w:r w:rsidR="00E7177C" w:rsidRPr="00864442">
        <w:t xml:space="preserve">were killed by a rocket that fell in Al-Sahaba Street in Gaza City on 10 May 2023. A 51-year-old Palestinian man was killed in a separate incident on 10 May 2023 in North Gaza governorate.  </w:t>
      </w:r>
    </w:p>
    <w:p w14:paraId="3E4741D8" w14:textId="743BC504" w:rsidR="00E7177C" w:rsidRPr="00864442" w:rsidRDefault="00AF598D" w:rsidP="00C90727">
      <w:pPr>
        <w:pStyle w:val="SingleTxtG"/>
      </w:pPr>
      <w:r w:rsidRPr="00864442">
        <w:lastRenderedPageBreak/>
        <w:t>12.</w:t>
      </w:r>
      <w:r w:rsidRPr="00864442">
        <w:tab/>
      </w:r>
      <w:r w:rsidR="00E7177C" w:rsidRPr="00864442">
        <w:t>In both escalations of hostilities, Israeli strikes hit prima facie civilian objects, causing damage.</w:t>
      </w:r>
      <w:r w:rsidR="00E7177C" w:rsidRPr="00864442">
        <w:rPr>
          <w:rStyle w:val="FootnoteReference"/>
        </w:rPr>
        <w:footnoteReference w:id="22"/>
      </w:r>
      <w:r w:rsidR="00E7177C" w:rsidRPr="00864442">
        <w:t xml:space="preserve"> According to the Office for the Coordination of Humanitarian Affairs, in the May 2023 escalation, a total of 2,943 housing units sustained damage, including 103 destroyed and 140 severely damaged, </w:t>
      </w:r>
      <w:r w:rsidR="002A25F8" w:rsidRPr="00864442">
        <w:t xml:space="preserve">while </w:t>
      </w:r>
      <w:r w:rsidR="00E7177C" w:rsidRPr="00864442">
        <w:t>1,244 Palestinians were internally displaced, 20 schools administered by the Palestinian Authority and six schools administered by the U</w:t>
      </w:r>
      <w:r w:rsidR="00394641">
        <w:t>N</w:t>
      </w:r>
      <w:r w:rsidR="00E7177C" w:rsidRPr="00864442">
        <w:t xml:space="preserve"> Relief and Works Agency for Palestine Refugees in the New East were damaged, as were Al Aqsa hospital in Deir al Balah and the Indonesian hospital in northern Gaza, and two primary health care clinics in Khan Younis and northern Gaza. According to Israeli sources, during the May 2023 escalation, rockets and other projectiles caused damages to 429 structures, including homes, public </w:t>
      </w:r>
      <w:proofErr w:type="gramStart"/>
      <w:r w:rsidR="00E7177C" w:rsidRPr="00864442">
        <w:t>buildings</w:t>
      </w:r>
      <w:proofErr w:type="gramEnd"/>
      <w:r w:rsidR="00E7177C" w:rsidRPr="00864442">
        <w:t xml:space="preserve"> and businesses.</w:t>
      </w:r>
    </w:p>
    <w:p w14:paraId="4EB5D622" w14:textId="33954861" w:rsidR="00E7177C" w:rsidRPr="00864442" w:rsidRDefault="00C90727" w:rsidP="00C90727">
      <w:pPr>
        <w:pStyle w:val="H1G"/>
        <w:rPr>
          <w:lang w:val="en-US"/>
        </w:rPr>
      </w:pPr>
      <w:r w:rsidRPr="00864442">
        <w:rPr>
          <w:lang w:val="en-US"/>
        </w:rPr>
        <w:tab/>
      </w:r>
      <w:r w:rsidR="00E7177C" w:rsidRPr="00864442">
        <w:rPr>
          <w:lang w:val="en-US"/>
        </w:rPr>
        <w:t>B.</w:t>
      </w:r>
      <w:r w:rsidRPr="00864442">
        <w:rPr>
          <w:lang w:val="en-US"/>
        </w:rPr>
        <w:tab/>
      </w:r>
      <w:r w:rsidR="00E7177C" w:rsidRPr="00864442">
        <w:rPr>
          <w:lang w:val="en-US"/>
        </w:rPr>
        <w:t>Killings and injuries in the context of law enforcement</w:t>
      </w:r>
    </w:p>
    <w:p w14:paraId="30E4A7F3" w14:textId="1B617E48" w:rsidR="00E7177C" w:rsidRPr="00864442" w:rsidRDefault="00AF598D" w:rsidP="00C90727">
      <w:pPr>
        <w:pStyle w:val="SingleTxtG"/>
      </w:pPr>
      <w:r w:rsidRPr="00864442">
        <w:rPr>
          <w:lang w:val="en-US"/>
        </w:rPr>
        <w:t>13.</w:t>
      </w:r>
      <w:r w:rsidRPr="00864442">
        <w:rPr>
          <w:lang w:val="en-US"/>
        </w:rPr>
        <w:tab/>
      </w:r>
      <w:r w:rsidR="00E7177C" w:rsidRPr="00864442">
        <w:rPr>
          <w:lang w:val="en-US"/>
        </w:rPr>
        <w:t>I</w:t>
      </w:r>
      <w:proofErr w:type="spellStart"/>
      <w:r w:rsidR="00E7177C" w:rsidRPr="00864442">
        <w:t>sraeli</w:t>
      </w:r>
      <w:proofErr w:type="spellEnd"/>
      <w:r w:rsidR="00E7177C" w:rsidRPr="00864442">
        <w:t xml:space="preserve"> security forces </w:t>
      </w:r>
      <w:r w:rsidR="0042227B">
        <w:t xml:space="preserve">(ISF) </w:t>
      </w:r>
      <w:r w:rsidR="00E7177C" w:rsidRPr="00864442">
        <w:t xml:space="preserve">escalated the use of lethal force against Palestinians across the West Bank, while </w:t>
      </w:r>
      <w:r w:rsidR="00844A28" w:rsidRPr="00864442">
        <w:t>attacks o</w:t>
      </w:r>
      <w:r w:rsidR="00CC22B2" w:rsidRPr="00864442">
        <w:t xml:space="preserve">r </w:t>
      </w:r>
      <w:r w:rsidR="00E7177C" w:rsidRPr="00864442">
        <w:t>alleged attacks by armed Palestinians also rose during this period. In numerous instances monitored by OHCHR, I</w:t>
      </w:r>
      <w:r w:rsidR="0042227B">
        <w:t>SF</w:t>
      </w:r>
      <w:r w:rsidR="00E7177C" w:rsidRPr="00864442">
        <w:t xml:space="preserve"> apparently used force unnecessarily or in a disproportionate manner, resulting in possible arbitrary deprivation of life. More Palestinians were killed in the West Bank, including East Jerusalem, in 2022 than in any year since 2005, with the situation further deteriorating in 2023. During the reporting period I</w:t>
      </w:r>
      <w:r w:rsidR="0042227B">
        <w:t>SF</w:t>
      </w:r>
      <w:r w:rsidR="00E7177C" w:rsidRPr="00864442">
        <w:t xml:space="preserve"> killed 304 Palestinians (232 men, 9 women, 61 boys, and 2 girls) in the </w:t>
      </w:r>
      <w:r w:rsidR="00501AB2" w:rsidRPr="00864442">
        <w:t xml:space="preserve">occupied </w:t>
      </w:r>
      <w:r w:rsidR="00E7177C" w:rsidRPr="00864442">
        <w:t xml:space="preserve">West Bank, including East Jerusalem (including 116 killed during clashes, 62 </w:t>
      </w:r>
      <w:r w:rsidR="00E7177C" w:rsidRPr="00864442">
        <w:rPr>
          <w:lang w:val="en-US"/>
        </w:rPr>
        <w:t>in the context of</w:t>
      </w:r>
      <w:r w:rsidR="00E7177C" w:rsidRPr="00864442">
        <w:t xml:space="preserve"> alleged</w:t>
      </w:r>
      <w:r w:rsidR="00E7177C" w:rsidRPr="00864442">
        <w:rPr>
          <w:lang w:val="en-US"/>
        </w:rPr>
        <w:t xml:space="preserve"> Pal</w:t>
      </w:r>
      <w:proofErr w:type="spellStart"/>
      <w:r w:rsidR="00E7177C" w:rsidRPr="00864442">
        <w:t>estinian</w:t>
      </w:r>
      <w:proofErr w:type="spellEnd"/>
      <w:r w:rsidR="00E7177C" w:rsidRPr="00864442">
        <w:rPr>
          <w:lang w:val="en-US"/>
        </w:rPr>
        <w:t xml:space="preserve"> attack</w:t>
      </w:r>
      <w:r w:rsidR="00E7177C" w:rsidRPr="00864442">
        <w:t>s, 56 during confrontations, 56 during I</w:t>
      </w:r>
      <w:r w:rsidR="0042227B">
        <w:t>SF</w:t>
      </w:r>
      <w:r w:rsidR="00E7177C" w:rsidRPr="00864442">
        <w:t>’ operations, 6 during demonstrations and 8 in other situations),</w:t>
      </w:r>
      <w:r w:rsidR="00E7177C" w:rsidRPr="00864442">
        <w:rPr>
          <w:rStyle w:val="FootnoteReference"/>
        </w:rPr>
        <w:footnoteReference w:id="23"/>
      </w:r>
      <w:r w:rsidR="00E7177C" w:rsidRPr="00864442">
        <w:t xml:space="preserve"> and injured at least 21,829 Palestinians, of whom 1,421 with live ammunition.</w:t>
      </w:r>
      <w:r w:rsidR="00E7177C" w:rsidRPr="00864442">
        <w:rPr>
          <w:rStyle w:val="FootnoteReference"/>
        </w:rPr>
        <w:footnoteReference w:id="24"/>
      </w:r>
      <w:r w:rsidR="00E7177C" w:rsidRPr="00864442">
        <w:t xml:space="preserve">  </w:t>
      </w:r>
    </w:p>
    <w:p w14:paraId="4F0BE7B3" w14:textId="063642E3" w:rsidR="00E7177C" w:rsidRPr="00864442" w:rsidRDefault="00AF598D" w:rsidP="00C90727">
      <w:pPr>
        <w:pStyle w:val="SingleTxtG"/>
      </w:pPr>
      <w:r w:rsidRPr="00864442">
        <w:t>14.</w:t>
      </w:r>
      <w:r w:rsidRPr="00864442">
        <w:tab/>
      </w:r>
      <w:r w:rsidR="00690EF6" w:rsidRPr="00864442">
        <w:t xml:space="preserve">The arbitrary deprivation of life is prohibited under international human rights law. </w:t>
      </w:r>
      <w:r w:rsidR="00E7177C" w:rsidRPr="00864442">
        <w:t xml:space="preserve">According to the Human Rights Committee, States </w:t>
      </w:r>
      <w:r w:rsidR="009A27A2" w:rsidRPr="00864442">
        <w:t>parties to the International Covenant on Civil and Political Rights</w:t>
      </w:r>
      <w:r w:rsidR="003A2889" w:rsidRPr="00864442">
        <w:t xml:space="preserve"> </w:t>
      </w:r>
      <w:r w:rsidR="00E7177C" w:rsidRPr="00864442">
        <w:t>are expected to take all necessary measures to prevent arbitrary deprivation of life by their law enforcement officials.</w:t>
      </w:r>
      <w:r w:rsidR="00E7177C" w:rsidRPr="00864442">
        <w:rPr>
          <w:rStyle w:val="FootnoteReference"/>
        </w:rPr>
        <w:footnoteReference w:id="25"/>
      </w:r>
      <w:r w:rsidR="00E7177C" w:rsidRPr="00864442">
        <w:t xml:space="preserve"> This include</w:t>
      </w:r>
      <w:r w:rsidR="00D74D63" w:rsidRPr="00864442">
        <w:t>, inter alia,</w:t>
      </w:r>
      <w:r w:rsidR="00E7177C" w:rsidRPr="00864442" w:rsidDel="009E647D">
        <w:t xml:space="preserve"> </w:t>
      </w:r>
      <w:r w:rsidR="009A27A2" w:rsidRPr="00864442">
        <w:t>putting in place procedures designed to ensure</w:t>
      </w:r>
      <w:r w:rsidR="00E7177C" w:rsidRPr="00864442">
        <w:t xml:space="preserve"> that law enforcement actions are adequately planned in a manner consistent with the need to minimize the risk they pose to human life and</w:t>
      </w:r>
      <w:r w:rsidR="00E7177C" w:rsidRPr="00864442" w:rsidDel="009E647D">
        <w:t xml:space="preserve"> </w:t>
      </w:r>
      <w:r w:rsidR="00E7177C" w:rsidRPr="00864442">
        <w:t>employing less lethal weapons for law enforcement operations, in accordance with their obligations to protect the right to life.</w:t>
      </w:r>
      <w:r w:rsidR="00E7177C" w:rsidRPr="00864442">
        <w:rPr>
          <w:rStyle w:val="FootnoteReference"/>
        </w:rPr>
        <w:footnoteReference w:id="26"/>
      </w:r>
      <w:r w:rsidR="00E7177C" w:rsidRPr="00864442">
        <w:t xml:space="preserve"> Since 2022, OHCHR has documented patterns, that escalated in 2023, of I</w:t>
      </w:r>
      <w:r w:rsidR="00E159AA">
        <w:t>SF</w:t>
      </w:r>
      <w:r w:rsidR="00E7177C" w:rsidRPr="00864442">
        <w:t xml:space="preserve"> applying military tactics to law enforcement operations in the West Bank, including, for instance, the use of anti-tank missiles and shoulder-fired explosive projectiles and other military weaponry, and the deployment of snipers on roofs, in highly populated and busy urban areas, in many cases in broad daylight. Israel Security Forces appear to have failed to take steps to de-escalate situations of confrontation or to ensure potentially lethal force is employed only as a last resort when strictly necessary to protect life or prevent serious injury from an imminent threat</w:t>
      </w:r>
      <w:r w:rsidR="009915D1">
        <w:t>.</w:t>
      </w:r>
      <w:r w:rsidR="00E7177C" w:rsidRPr="00864442">
        <w:rPr>
          <w:rStyle w:val="FootnoteReference"/>
        </w:rPr>
        <w:footnoteReference w:id="27"/>
      </w:r>
      <w:r w:rsidR="00E7177C" w:rsidRPr="00864442">
        <w:t xml:space="preserve"> Statements by Israeli authorities following operations, announcing that operations resulting in the killing of Palestinians were carried out to “neutralise” them,</w:t>
      </w:r>
      <w:r w:rsidR="00E7177C" w:rsidRPr="00864442">
        <w:rPr>
          <w:rStyle w:val="FootnoteReference"/>
        </w:rPr>
        <w:footnoteReference w:id="28"/>
      </w:r>
      <w:r w:rsidR="00E7177C" w:rsidRPr="00864442">
        <w:t xml:space="preserve"> raise concerns that some of these killings, including arbitrary deprivation of life, may amount to extrajudicial executions and, in a context of occupation, and depending on the circumstances, wilful killings.</w:t>
      </w:r>
      <w:r w:rsidR="00E7177C" w:rsidRPr="00864442">
        <w:rPr>
          <w:rStyle w:val="FootnoteReference"/>
        </w:rPr>
        <w:footnoteReference w:id="29"/>
      </w:r>
    </w:p>
    <w:p w14:paraId="16C49060" w14:textId="7BEE3A0A" w:rsidR="00E7177C" w:rsidRPr="00864442" w:rsidRDefault="00AF598D" w:rsidP="00C90727">
      <w:pPr>
        <w:pStyle w:val="SingleTxtG"/>
      </w:pPr>
      <w:r w:rsidRPr="00864442">
        <w:rPr>
          <w:lang w:val="en-US"/>
        </w:rPr>
        <w:t>15.</w:t>
      </w:r>
      <w:r w:rsidRPr="00864442">
        <w:rPr>
          <w:lang w:val="en-US"/>
        </w:rPr>
        <w:tab/>
      </w:r>
      <w:r w:rsidR="00E7177C" w:rsidRPr="00864442">
        <w:rPr>
          <w:lang w:val="en-US"/>
        </w:rPr>
        <w:t xml:space="preserve">Between January and May 2023, </w:t>
      </w:r>
      <w:r w:rsidR="00E7177C" w:rsidRPr="00864442">
        <w:t>112 Palestinians were killed (91 men, 19 boys, two women) in the West Bank, including East Jerusalem.</w:t>
      </w:r>
      <w:r w:rsidR="00E7177C" w:rsidRPr="00864442">
        <w:rPr>
          <w:rStyle w:val="FootnoteReference"/>
        </w:rPr>
        <w:footnoteReference w:id="30"/>
      </w:r>
      <w:r w:rsidR="00E7177C" w:rsidRPr="00864442">
        <w:t xml:space="preserve"> In comparison, between January and </w:t>
      </w:r>
      <w:r w:rsidR="00E7177C" w:rsidRPr="00864442">
        <w:lastRenderedPageBreak/>
        <w:t>May 2022, 50 Palestinians were killed (33 men, 13 boys, 4 women) in the West Bank, including East Jerusalem.</w:t>
      </w:r>
    </w:p>
    <w:p w14:paraId="0DE37E42" w14:textId="4A6DC185" w:rsidR="00E7177C" w:rsidRPr="00864442" w:rsidRDefault="00AF598D" w:rsidP="00080CF5">
      <w:pPr>
        <w:pStyle w:val="SingleTxtG"/>
        <w:rPr>
          <w:lang w:val="en-US"/>
        </w:rPr>
      </w:pPr>
      <w:r w:rsidRPr="00864442">
        <w:t>16.</w:t>
      </w:r>
      <w:r w:rsidRPr="00864442">
        <w:tab/>
      </w:r>
      <w:r w:rsidR="00E7177C" w:rsidRPr="00864442">
        <w:t>According to OHCHR monitoring of an operation on 22 February 2023 in the old city of Nablus, I</w:t>
      </w:r>
      <w:r w:rsidR="00E159AA">
        <w:t>SF</w:t>
      </w:r>
      <w:r w:rsidR="00E7177C" w:rsidRPr="00864442">
        <w:t xml:space="preserve"> killed 11 Palestinian men and one 16-year-old boy; and caused 103 injuries by live ammunition and 55 by shrapnel. I</w:t>
      </w:r>
      <w:r w:rsidR="00E159AA">
        <w:t>SF</w:t>
      </w:r>
      <w:r w:rsidR="00E7177C" w:rsidRPr="00864442">
        <w:t xml:space="preserve"> claimed that the operation, conducted between 10:20 and 13:00 hours, was to apprehend three Palestinian men allegedly involved in shooting attacks and planning further attacks.</w:t>
      </w:r>
      <w:r w:rsidR="00E63D72" w:rsidRPr="00864442">
        <w:rPr>
          <w:rStyle w:val="FootnoteReference"/>
        </w:rPr>
        <w:footnoteReference w:id="31"/>
      </w:r>
      <w:r w:rsidR="005A6082" w:rsidRPr="00864442">
        <w:t xml:space="preserve"> </w:t>
      </w:r>
      <w:r w:rsidR="00E7177C" w:rsidRPr="00864442">
        <w:t>The operation triggered clashes between armed Palestinians and I</w:t>
      </w:r>
      <w:r w:rsidR="00E159AA">
        <w:t>SF</w:t>
      </w:r>
      <w:r w:rsidR="00E7177C" w:rsidRPr="00864442">
        <w:t>, who, among other weapons, used shoulder-fired explosive projectiles and launched tear-gas from drones in two populated and busy areas in the commercial heart of the city. Many residents, including children, were present at the time, and at least 700 persons were reportedly affected by tear gas. Among the 12 Palestinians killed was a 72-year-old man shot dead by I</w:t>
      </w:r>
      <w:r w:rsidR="00E159AA">
        <w:t>SF</w:t>
      </w:r>
      <w:r w:rsidR="00E7177C" w:rsidRPr="00864442">
        <w:t xml:space="preserve"> while he was walking.</w:t>
      </w:r>
      <w:r w:rsidR="00E7177C" w:rsidRPr="00864442">
        <w:rPr>
          <w:lang w:val="en-US"/>
        </w:rPr>
        <w:t xml:space="preserve"> I</w:t>
      </w:r>
      <w:r w:rsidR="00E159AA">
        <w:rPr>
          <w:lang w:val="en-US"/>
        </w:rPr>
        <w:t>SF</w:t>
      </w:r>
      <w:r w:rsidR="00E7177C" w:rsidRPr="00864442">
        <w:rPr>
          <w:lang w:val="en-US"/>
        </w:rPr>
        <w:t xml:space="preserve"> also fired towards an armed Palestinian man fleeing through the crowded courtyard of a clinic and killed a 16-year-old boy, a 23-year-old man and a 64-year-old man</w:t>
      </w:r>
      <w:r w:rsidR="00E7177C" w:rsidRPr="00864442">
        <w:t>, all bystanders</w:t>
      </w:r>
      <w:r w:rsidR="00E7177C" w:rsidRPr="00864442">
        <w:rPr>
          <w:lang w:val="en-US"/>
        </w:rPr>
        <w:t xml:space="preserve">. </w:t>
      </w:r>
      <w:r w:rsidR="00E7177C" w:rsidRPr="00864442">
        <w:t>On 26 January 2023, I</w:t>
      </w:r>
      <w:r w:rsidR="00E159AA">
        <w:t>SF</w:t>
      </w:r>
      <w:r w:rsidR="00E7177C" w:rsidRPr="00864442">
        <w:t xml:space="preserve"> conducted an operation in Jenin refugee camp, resulting in clashes during which ten Palestinians </w:t>
      </w:r>
      <w:r w:rsidR="00425205" w:rsidRPr="00864442">
        <w:t xml:space="preserve">were killed </w:t>
      </w:r>
      <w:r w:rsidR="00E7177C" w:rsidRPr="00864442">
        <w:t xml:space="preserve">and </w:t>
      </w:r>
      <w:r w:rsidR="00425205" w:rsidRPr="00864442">
        <w:t xml:space="preserve">28 others were </w:t>
      </w:r>
      <w:r w:rsidR="00E7177C" w:rsidRPr="00864442">
        <w:t>injured.</w:t>
      </w:r>
      <w:r w:rsidR="00E7177C" w:rsidRPr="00864442">
        <w:rPr>
          <w:rStyle w:val="FootnoteReference"/>
        </w:rPr>
        <w:footnoteReference w:id="32"/>
      </w:r>
      <w:r w:rsidR="00E7177C" w:rsidRPr="00864442">
        <w:t xml:space="preserve"> This included two boys and one 61-year-old woman, killed inside her house, while posing no threat.</w:t>
      </w:r>
    </w:p>
    <w:p w14:paraId="6B6F531C" w14:textId="4CED0354" w:rsidR="00E7177C" w:rsidRPr="00864442" w:rsidRDefault="00AF598D" w:rsidP="00080CF5">
      <w:pPr>
        <w:pStyle w:val="SingleTxtG"/>
        <w:rPr>
          <w:vertAlign w:val="superscript"/>
        </w:rPr>
      </w:pPr>
      <w:r w:rsidRPr="00864442">
        <w:t>17.</w:t>
      </w:r>
      <w:r w:rsidRPr="00864442">
        <w:tab/>
      </w:r>
      <w:r w:rsidR="00E7177C" w:rsidRPr="00864442">
        <w:t xml:space="preserve">In some cases, killings in the West Bank appeared to </w:t>
      </w:r>
      <w:r w:rsidR="00590464" w:rsidRPr="00864442">
        <w:t xml:space="preserve">amount to </w:t>
      </w:r>
      <w:r w:rsidR="00E7177C" w:rsidRPr="00864442">
        <w:t>extrajudicial executions.</w:t>
      </w:r>
      <w:r w:rsidR="00E7177C" w:rsidRPr="00864442">
        <w:rPr>
          <w:rStyle w:val="FootnoteReference"/>
        </w:rPr>
        <w:footnoteReference w:id="33"/>
      </w:r>
      <w:r w:rsidR="00E7177C" w:rsidRPr="00864442">
        <w:t xml:space="preserve"> According to OHCHR monitoring, on 16 March 2023, I</w:t>
      </w:r>
      <w:r w:rsidR="00E159AA">
        <w:t>SF</w:t>
      </w:r>
      <w:r w:rsidR="00E7177C" w:rsidRPr="00864442">
        <w:t xml:space="preserve"> conducted an operation in Jenin city, killing four Palestinians, including one Palestinian boy, and injuring at least 23 others. Videos show two men, alleged members of Palestinian Islamic Jihad and Hamas, shot dead at close range, while they appeared unarmed and presumably posed no imminent threat.</w:t>
      </w:r>
      <w:r w:rsidR="00E7177C" w:rsidRPr="00864442">
        <w:rPr>
          <w:rStyle w:val="FootnoteReference"/>
        </w:rPr>
        <w:footnoteReference w:id="34"/>
      </w:r>
      <w:r w:rsidR="00E7177C" w:rsidRPr="00864442">
        <w:t xml:space="preserve"> One was killed while fleeing while the other was shot in the head while already immobilised.</w:t>
      </w:r>
      <w:r w:rsidR="00E7177C" w:rsidRPr="00864442">
        <w:rPr>
          <w:vertAlign w:val="superscript"/>
        </w:rPr>
        <w:t xml:space="preserve"> </w:t>
      </w:r>
    </w:p>
    <w:p w14:paraId="28D44EA9" w14:textId="3BA58E19" w:rsidR="00E7177C" w:rsidRPr="00864442" w:rsidRDefault="00AF598D" w:rsidP="00080CF5">
      <w:pPr>
        <w:pStyle w:val="SingleTxtG"/>
      </w:pPr>
      <w:r w:rsidRPr="00864442">
        <w:t>18.</w:t>
      </w:r>
      <w:r w:rsidRPr="00864442">
        <w:tab/>
      </w:r>
      <w:r w:rsidR="00E7177C" w:rsidRPr="00864442">
        <w:t>Some cases raised concerns that I</w:t>
      </w:r>
      <w:r w:rsidR="00E159AA">
        <w:t>SF</w:t>
      </w:r>
      <w:r w:rsidR="007550E6" w:rsidRPr="00864442">
        <w:t xml:space="preserve"> </w:t>
      </w:r>
      <w:r w:rsidR="00675893" w:rsidRPr="00864442">
        <w:t>may have</w:t>
      </w:r>
      <w:r w:rsidR="00E7177C" w:rsidRPr="00864442">
        <w:t xml:space="preserve"> employed intentional lethal force against a suspect who no longer posed any threat, in attacks that have been characterised as “confirmation of kill” cases.</w:t>
      </w:r>
      <w:r w:rsidR="00E7177C" w:rsidRPr="00864442">
        <w:rPr>
          <w:rStyle w:val="FootnoteReference"/>
        </w:rPr>
        <w:footnoteReference w:id="35"/>
      </w:r>
      <w:r w:rsidR="00E7177C" w:rsidRPr="00864442">
        <w:t xml:space="preserve"> On 17 November 2021, a 16-year-old Palestinian boy was shot and killed in the old city of Jerusalem by an armed Israeli, believed to be a settler, and Israeli border police after he assaulted with a knife and moderately injured two Israeli border police.</w:t>
      </w:r>
      <w:r w:rsidR="00E7177C" w:rsidRPr="00864442">
        <w:rPr>
          <w:rStyle w:val="FootnoteReference"/>
        </w:rPr>
        <w:footnoteReference w:id="36"/>
      </w:r>
      <w:r w:rsidR="00E7177C" w:rsidRPr="00864442">
        <w:t xml:space="preserve"> A video from police surveillance cameras shows the police holding the boy against the wall, after which the armed Israeli shot him. </w:t>
      </w:r>
    </w:p>
    <w:p w14:paraId="73DA7C0A" w14:textId="33CE9DD5" w:rsidR="00E7177C" w:rsidRPr="00864442" w:rsidRDefault="00AF598D" w:rsidP="00080CF5">
      <w:pPr>
        <w:pStyle w:val="SingleTxtG"/>
      </w:pPr>
      <w:r w:rsidRPr="00864442">
        <w:t>19.</w:t>
      </w:r>
      <w:r w:rsidRPr="00864442">
        <w:tab/>
      </w:r>
      <w:r w:rsidR="00E7177C" w:rsidRPr="00864442">
        <w:t>While most fatalities were of men and boys, I</w:t>
      </w:r>
      <w:r w:rsidR="00E159AA">
        <w:t>SF</w:t>
      </w:r>
      <w:r w:rsidR="00E7177C" w:rsidRPr="00864442">
        <w:t>’</w:t>
      </w:r>
      <w:r w:rsidR="00E159AA">
        <w:t>s</w:t>
      </w:r>
      <w:r w:rsidR="00E7177C" w:rsidRPr="00864442">
        <w:t xml:space="preserve"> use of force took a heavy toll on women and girls. Eight Palestinian women</w:t>
      </w:r>
      <w:r w:rsidR="00E7177C" w:rsidRPr="00864442" w:rsidDel="09E1CE7B">
        <w:t xml:space="preserve"> </w:t>
      </w:r>
      <w:r w:rsidR="00E7177C" w:rsidRPr="00864442">
        <w:t>and two girls were killed by I</w:t>
      </w:r>
      <w:r w:rsidR="00E159AA">
        <w:t>SF</w:t>
      </w:r>
      <w:r w:rsidR="00E7177C" w:rsidRPr="00864442">
        <w:t xml:space="preserve"> in the West Bank, including East Jerusalem, during the reporting period, including five</w:t>
      </w:r>
      <w:r w:rsidR="00E7177C" w:rsidRPr="00864442" w:rsidDel="00AC5E1E">
        <w:t xml:space="preserve"> </w:t>
      </w:r>
      <w:r w:rsidR="00E7177C" w:rsidRPr="00864442">
        <w:t>killed during I</w:t>
      </w:r>
      <w:r w:rsidR="00E159AA">
        <w:t>SF</w:t>
      </w:r>
      <w:r w:rsidR="00E7177C" w:rsidRPr="00864442">
        <w:t xml:space="preserve"> operations, and five in alleged assaults against Israelis. In most </w:t>
      </w:r>
      <w:r w:rsidR="001D043F" w:rsidRPr="00864442">
        <w:t>of the</w:t>
      </w:r>
      <w:r w:rsidR="00E7177C" w:rsidRPr="00864442">
        <w:t xml:space="preserve"> cases monitored, use of lethal force by I</w:t>
      </w:r>
      <w:r w:rsidR="00E159AA">
        <w:t>SF</w:t>
      </w:r>
      <w:r w:rsidR="00E7177C" w:rsidRPr="00864442">
        <w:t xml:space="preserve"> appeared unnecessary or disproportionate, seemingly resulting in the arbitrary deprivation of life. </w:t>
      </w:r>
      <w:r w:rsidR="00E7177C" w:rsidRPr="00864442">
        <w:rPr>
          <w:lang w:val="en-US"/>
        </w:rPr>
        <w:t>On</w:t>
      </w:r>
      <w:r w:rsidR="00E7177C" w:rsidRPr="00864442">
        <w:t xml:space="preserve"> 11 December 2022, according to OHCHR monitoring, </w:t>
      </w:r>
      <w:r w:rsidR="00614C11">
        <w:t>ISF</w:t>
      </w:r>
      <w:r w:rsidR="00E7177C" w:rsidRPr="00864442">
        <w:t xml:space="preserve"> shot and killed a 15-year-old Palestinian girl during a night-time raid in Jenin city. She was shot with one bullet in the head and two in the upper chest while she was on the rooftop of her house filming the raid on her phone. The killing of Al Jazeera journalist Shireen Abu </w:t>
      </w:r>
      <w:r w:rsidR="00E7177C" w:rsidRPr="00864442">
        <w:lastRenderedPageBreak/>
        <w:t>Akleh while reporting on an operation in Jenin</w:t>
      </w:r>
      <w:r w:rsidR="00E7177C" w:rsidRPr="00864442">
        <w:rPr>
          <w:rStyle w:val="FootnoteReference"/>
        </w:rPr>
        <w:footnoteReference w:id="37"/>
      </w:r>
      <w:r w:rsidR="00E7177C" w:rsidRPr="00864442">
        <w:t xml:space="preserve"> is another example. Five Israeli women and one Israeli girl were killed </w:t>
      </w:r>
      <w:r w:rsidR="00F83052" w:rsidRPr="00864442">
        <w:t xml:space="preserve">also </w:t>
      </w:r>
      <w:r w:rsidR="00E7177C" w:rsidRPr="00864442">
        <w:t>by</w:t>
      </w:r>
      <w:r w:rsidR="00E7177C" w:rsidRPr="00864442" w:rsidDel="3BEEC809">
        <w:t xml:space="preserve"> </w:t>
      </w:r>
      <w:r w:rsidR="00E7177C" w:rsidRPr="00864442">
        <w:t>Palestinians in assaults by lone Palestinians.</w:t>
      </w:r>
    </w:p>
    <w:p w14:paraId="1FD572E3" w14:textId="3FA57676" w:rsidR="00E7177C" w:rsidRPr="00864442" w:rsidRDefault="00AF598D" w:rsidP="00CF7B58">
      <w:pPr>
        <w:pStyle w:val="SingleTxtG"/>
        <w:rPr>
          <w:lang w:val="en-US"/>
        </w:rPr>
      </w:pPr>
      <w:r w:rsidRPr="00864442">
        <w:t>20.</w:t>
      </w:r>
      <w:r w:rsidRPr="00864442">
        <w:tab/>
      </w:r>
      <w:r w:rsidR="00E7177C" w:rsidRPr="00864442">
        <w:t>The use of lethal force against children continued. Between 1 June 2021 and 31 May 2023, 63 children,</w:t>
      </w:r>
      <w:r w:rsidR="00FB6AE4" w:rsidRPr="00864442">
        <w:t xml:space="preserve"> including</w:t>
      </w:r>
      <w:r w:rsidR="00E7177C" w:rsidRPr="00864442">
        <w:t xml:space="preserve"> 61 boys and two girls, were killed by I</w:t>
      </w:r>
      <w:r w:rsidR="00614C11">
        <w:t>SF</w:t>
      </w:r>
      <w:r w:rsidR="00E7177C" w:rsidRPr="00864442">
        <w:t xml:space="preserve"> in the West Bank, including East Jerusalem (24 during confrontations, </w:t>
      </w:r>
      <w:r w:rsidR="00E7177C" w:rsidRPr="00864442">
        <w:rPr>
          <w:lang w:val="en-US"/>
        </w:rPr>
        <w:t>14 killed during I</w:t>
      </w:r>
      <w:r w:rsidR="00614C11">
        <w:rPr>
          <w:lang w:val="en-US"/>
        </w:rPr>
        <w:t>SF</w:t>
      </w:r>
      <w:r w:rsidR="00E7177C" w:rsidRPr="00864442">
        <w:rPr>
          <w:lang w:val="en-US"/>
        </w:rPr>
        <w:t xml:space="preserve"> operations,</w:t>
      </w:r>
      <w:r w:rsidR="00E7177C" w:rsidRPr="00864442">
        <w:t xml:space="preserve"> </w:t>
      </w:r>
      <w:r w:rsidR="00E7177C" w:rsidRPr="00864442">
        <w:rPr>
          <w:lang w:val="en-US"/>
        </w:rPr>
        <w:t>12 during armed clashes,</w:t>
      </w:r>
      <w:r w:rsidR="00E7177C" w:rsidRPr="00864442">
        <w:t xml:space="preserve"> </w:t>
      </w:r>
      <w:r w:rsidR="00E7177C" w:rsidRPr="00864442">
        <w:rPr>
          <w:lang w:val="en-US"/>
        </w:rPr>
        <w:t>8 in the context of</w:t>
      </w:r>
      <w:r w:rsidR="00E7177C" w:rsidRPr="00864442">
        <w:t xml:space="preserve"> alleged</w:t>
      </w:r>
      <w:r w:rsidR="00E7177C" w:rsidRPr="00864442">
        <w:rPr>
          <w:lang w:val="en-US"/>
        </w:rPr>
        <w:t xml:space="preserve"> Pal</w:t>
      </w:r>
      <w:proofErr w:type="spellStart"/>
      <w:r w:rsidR="00E7177C" w:rsidRPr="00864442">
        <w:t>estinian</w:t>
      </w:r>
      <w:proofErr w:type="spellEnd"/>
      <w:r w:rsidR="00E7177C" w:rsidRPr="00864442">
        <w:rPr>
          <w:lang w:val="en-US"/>
        </w:rPr>
        <w:t xml:space="preserve"> attack</w:t>
      </w:r>
      <w:r w:rsidR="00E7177C" w:rsidRPr="00864442">
        <w:t>s</w:t>
      </w:r>
      <w:r w:rsidR="00E7177C" w:rsidRPr="00864442">
        <w:rPr>
          <w:lang w:val="en-US"/>
        </w:rPr>
        <w:t>,</w:t>
      </w:r>
      <w:r w:rsidR="00E7177C" w:rsidRPr="00864442">
        <w:t xml:space="preserve"> </w:t>
      </w:r>
      <w:r w:rsidR="00E7177C" w:rsidRPr="00864442">
        <w:rPr>
          <w:lang w:val="en-US"/>
        </w:rPr>
        <w:t>3 during demonstration</w:t>
      </w:r>
      <w:r w:rsidR="00E7177C" w:rsidRPr="00864442">
        <w:t>s, and 2 in other contexts). 44 were hit above the waist, including 16 in the head, raising concerns that lethal force may have been intentionally used</w:t>
      </w:r>
      <w:r w:rsidR="00E7177C" w:rsidRPr="00864442" w:rsidDel="00B150C6">
        <w:t>.</w:t>
      </w:r>
      <w:r w:rsidR="00E7177C" w:rsidRPr="00864442">
        <w:t xml:space="preserve"> In the first five months of 2023, I</w:t>
      </w:r>
      <w:r w:rsidR="00614C11">
        <w:t>SF</w:t>
      </w:r>
      <w:r w:rsidR="00E7177C" w:rsidRPr="00864442">
        <w:t xml:space="preserve"> shot with live ammunition and killed 19 Palestinian children in the occupied West Bank, including East Jerusalem: the highest comparable number since 2008,</w:t>
      </w:r>
      <w:r w:rsidR="00E7177C" w:rsidRPr="00864442">
        <w:rPr>
          <w:rStyle w:val="FootnoteReference"/>
        </w:rPr>
        <w:footnoteReference w:id="38"/>
      </w:r>
      <w:r w:rsidR="00E7177C" w:rsidRPr="00864442">
        <w:t xml:space="preserve"> </w:t>
      </w:r>
      <w:r w:rsidR="00E7177C" w:rsidRPr="00864442">
        <w:rPr>
          <w:lang w:val="en-US"/>
        </w:rPr>
        <w:t xml:space="preserve">suggesting that Israel may not have </w:t>
      </w:r>
      <w:r w:rsidR="003E0084" w:rsidRPr="00864442">
        <w:rPr>
          <w:lang w:val="en-US"/>
        </w:rPr>
        <w:t xml:space="preserve">yet </w:t>
      </w:r>
      <w:r w:rsidR="00E7177C" w:rsidRPr="00864442">
        <w:rPr>
          <w:lang w:val="en-US"/>
        </w:rPr>
        <w:t xml:space="preserve">taken the necessary steps to limit the use of lethal force against children.  </w:t>
      </w:r>
      <w:r w:rsidR="00E7177C" w:rsidRPr="00864442">
        <w:t>Seventeen</w:t>
      </w:r>
      <w:r w:rsidR="00E7177C" w:rsidRPr="00864442">
        <w:rPr>
          <w:lang w:val="en-US"/>
        </w:rPr>
        <w:t xml:space="preserve"> were hit with bullets in the upper part of their body, including seven of them in the head.</w:t>
      </w:r>
    </w:p>
    <w:p w14:paraId="5AA52DA1" w14:textId="572F054D" w:rsidR="00E7177C" w:rsidRPr="00864442" w:rsidRDefault="00AF598D" w:rsidP="00CF7B58">
      <w:pPr>
        <w:pStyle w:val="SingleTxtG"/>
      </w:pPr>
      <w:r w:rsidRPr="00864442">
        <w:t>21.</w:t>
      </w:r>
      <w:r w:rsidRPr="00864442">
        <w:tab/>
      </w:r>
      <w:r w:rsidR="00E7177C" w:rsidRPr="00864442">
        <w:t>In several cases where children were killed, unwarranted lethal force appears to have been used intentionally, seemingly resulting in extrajudicial executions. According to OHCHR monitoring, on 29 April 2023, I</w:t>
      </w:r>
      <w:r w:rsidR="00614C11">
        <w:t>SF</w:t>
      </w:r>
      <w:r w:rsidR="00E7177C" w:rsidRPr="00864442">
        <w:t xml:space="preserve"> targeted a 15-year-old boy with lethal force in the chest during confrontations in </w:t>
      </w:r>
      <w:proofErr w:type="spellStart"/>
      <w:r w:rsidR="00E7177C" w:rsidRPr="00864442">
        <w:t>Tuqu</w:t>
      </w:r>
      <w:proofErr w:type="spellEnd"/>
      <w:r w:rsidR="00E7177C" w:rsidRPr="00864442">
        <w:t>’, southeast of Bethlehem. The killing reportedly followed threats that he would be punished for his involvement in confrontations.</w:t>
      </w:r>
      <w:r w:rsidR="00E7177C" w:rsidRPr="00864442">
        <w:rPr>
          <w:rStyle w:val="FootnoteReference"/>
        </w:rPr>
        <w:footnoteReference w:id="39"/>
      </w:r>
      <w:r w:rsidR="00E7177C" w:rsidRPr="00864442">
        <w:t xml:space="preserve"> On 15 March 2022, I</w:t>
      </w:r>
      <w:r w:rsidR="00614C11">
        <w:t>SF</w:t>
      </w:r>
      <w:r w:rsidR="00E7177C" w:rsidRPr="00864442">
        <w:t xml:space="preserve"> shot a 16-year-old boy in his back and killed him. While I</w:t>
      </w:r>
      <w:r w:rsidR="00614C11">
        <w:t>SF</w:t>
      </w:r>
      <w:r w:rsidR="00E7177C" w:rsidRPr="00864442">
        <w:t xml:space="preserve"> claimed he opened fire at them, according to witnesses interviewed by OHCHR, he was shot in the back while fleeing in the context of an operation in Balata refugee camp in Nablus city. At dawn on 16 January 2023, I</w:t>
      </w:r>
      <w:r w:rsidR="00614C11">
        <w:t>SF</w:t>
      </w:r>
      <w:r w:rsidR="00E7177C" w:rsidRPr="00864442">
        <w:t xml:space="preserve"> killed a 14-year-old boy at the end of an operation at Ad </w:t>
      </w:r>
      <w:proofErr w:type="spellStart"/>
      <w:r w:rsidR="00E7177C" w:rsidRPr="00864442">
        <w:t>Duheisheh</w:t>
      </w:r>
      <w:proofErr w:type="spellEnd"/>
      <w:r w:rsidR="00E7177C" w:rsidRPr="00864442">
        <w:t xml:space="preserve"> refugee camp in Bethlehem. OHCHR monitoring suggests that snipers targeted the boy with lethal force after a Molotov cocktail had been thrown by an unknown individual at an armoured vehicle. </w:t>
      </w:r>
    </w:p>
    <w:p w14:paraId="0DD4580D" w14:textId="1276C98C" w:rsidR="00E7177C" w:rsidRPr="00864442" w:rsidRDefault="00AF598D" w:rsidP="00CF7B58">
      <w:pPr>
        <w:pStyle w:val="SingleTxtG"/>
      </w:pPr>
      <w:r w:rsidRPr="00864442">
        <w:t>22.</w:t>
      </w:r>
      <w:r w:rsidRPr="00864442">
        <w:tab/>
      </w:r>
      <w:r w:rsidR="00E7177C" w:rsidRPr="00864442">
        <w:t>I</w:t>
      </w:r>
      <w:r w:rsidR="00614C11">
        <w:t>SF</w:t>
      </w:r>
      <w:r w:rsidR="00E7177C" w:rsidRPr="00864442">
        <w:t xml:space="preserve"> put Palestinian children in danger, including by using them during </w:t>
      </w:r>
      <w:r w:rsidR="00D74582" w:rsidRPr="00864442">
        <w:t xml:space="preserve">some </w:t>
      </w:r>
      <w:r w:rsidR="00E7177C" w:rsidRPr="00864442">
        <w:t>law enforcement operations in a practice akin to human shields. During an operation in Jenin on 13 May 2022, I</w:t>
      </w:r>
      <w:r w:rsidR="00614C11">
        <w:t>SF</w:t>
      </w:r>
      <w:r w:rsidR="00E7177C" w:rsidRPr="00864442">
        <w:t xml:space="preserve"> forced the 16-year-old sister of a wanted Palestinian man to stand in front of an Israeli military vehicle for over two hours during a firefight with armed Palestinians. On 22 February 2023, a 16-year-old boy was handcuffed and placed between I</w:t>
      </w:r>
      <w:r w:rsidR="00614C11">
        <w:t>SF</w:t>
      </w:r>
      <w:r w:rsidR="00E7177C" w:rsidRPr="00864442">
        <w:t xml:space="preserve"> and the Palestinians who were the subject of an operation in Nablus. On 1 March 2023, during an operation in </w:t>
      </w:r>
      <w:proofErr w:type="spellStart"/>
      <w:r w:rsidR="00E7177C" w:rsidRPr="00864442">
        <w:t>Aqabat</w:t>
      </w:r>
      <w:proofErr w:type="spellEnd"/>
      <w:r w:rsidR="00E7177C" w:rsidRPr="00864442">
        <w:t xml:space="preserve"> Jaber refugee camp, south of Jericho, I</w:t>
      </w:r>
      <w:r w:rsidR="00614C11">
        <w:t>SF</w:t>
      </w:r>
      <w:r w:rsidR="00E7177C" w:rsidRPr="00864442">
        <w:t xml:space="preserve"> forced a 20-year-old Palestinian man and his 21-month-old Palestinian infant cousin (boy) to stay next to them apparently to shield them from stone throwing. </w:t>
      </w:r>
    </w:p>
    <w:p w14:paraId="2642A70B" w14:textId="55D7B9F8" w:rsidR="00E7177C" w:rsidRPr="00864442" w:rsidRDefault="00AF598D" w:rsidP="00CF7B58">
      <w:pPr>
        <w:pStyle w:val="SingleTxtG"/>
      </w:pPr>
      <w:r w:rsidRPr="00864442">
        <w:t>23.</w:t>
      </w:r>
      <w:r w:rsidRPr="00864442">
        <w:tab/>
      </w:r>
      <w:r w:rsidR="00E7177C" w:rsidRPr="00864442">
        <w:t>I</w:t>
      </w:r>
      <w:r w:rsidR="00614C11">
        <w:t>SF</w:t>
      </w:r>
      <w:r w:rsidR="00E7177C" w:rsidRPr="00864442">
        <w:t xml:space="preserve"> continued to use firearms apparently without resorting to less lethal means, regardless of the gravity of the potential threat detected and often as a first rather than a last resort,</w:t>
      </w:r>
      <w:r w:rsidR="00E7177C" w:rsidRPr="00864442">
        <w:rPr>
          <w:rStyle w:val="FootnoteReference"/>
        </w:rPr>
        <w:footnoteReference w:id="40"/>
      </w:r>
      <w:r w:rsidR="00E7177C" w:rsidRPr="00864442">
        <w:t xml:space="preserve"> including in response to Palestinians engaged in throwing stones, which</w:t>
      </w:r>
      <w:r w:rsidR="00E7177C" w:rsidRPr="00864442">
        <w:rPr>
          <w:lang w:val="en-US"/>
        </w:rPr>
        <w:t xml:space="preserve"> in most incidents may not have constituted an imminent threat of death or serious injury. </w:t>
      </w:r>
      <w:r w:rsidR="00E7177C" w:rsidRPr="00864442">
        <w:t>During the reporting period, I</w:t>
      </w:r>
      <w:r w:rsidR="00614C11">
        <w:t>SF</w:t>
      </w:r>
      <w:r w:rsidR="00E7177C" w:rsidRPr="00864442">
        <w:t xml:space="preserve"> killed </w:t>
      </w:r>
      <w:r w:rsidR="00E7177C" w:rsidRPr="00864442" w:rsidDel="189F07EF">
        <w:t>5</w:t>
      </w:r>
      <w:r w:rsidR="00E7177C" w:rsidRPr="00864442">
        <w:t xml:space="preserve">6 Palestinians, including </w:t>
      </w:r>
      <w:r w:rsidR="002B7284" w:rsidRPr="00864442">
        <w:t xml:space="preserve">32 men and </w:t>
      </w:r>
      <w:r w:rsidR="00E7177C" w:rsidRPr="00864442">
        <w:t>24 boys in the context of stone-throwing in the West Bank, including East Jerusalem.</w:t>
      </w:r>
      <w:r w:rsidR="00755596" w:rsidRPr="00864442">
        <w:t xml:space="preserve"> For example, </w:t>
      </w:r>
      <w:r w:rsidR="00322025">
        <w:t>o</w:t>
      </w:r>
      <w:r w:rsidR="00E7177C" w:rsidRPr="00864442">
        <w:t>n 26 January 2023, I</w:t>
      </w:r>
      <w:r w:rsidR="00614C11">
        <w:t>SF</w:t>
      </w:r>
      <w:r w:rsidR="00E7177C" w:rsidRPr="00864442">
        <w:t xml:space="preserve"> shot and killed a 22-year-old Palestinian man from </w:t>
      </w:r>
      <w:proofErr w:type="spellStart"/>
      <w:r w:rsidR="00E7177C" w:rsidRPr="00864442">
        <w:t>Ar</w:t>
      </w:r>
      <w:proofErr w:type="spellEnd"/>
      <w:r w:rsidR="00E7177C" w:rsidRPr="00864442">
        <w:t xml:space="preserve"> Ram, north of Jerusalem, during confrontations with stone-throwing Palestinians and after one Palestinian had thrown fireworks towards them. </w:t>
      </w:r>
    </w:p>
    <w:p w14:paraId="660F0CF0" w14:textId="500641B3" w:rsidR="00E7177C" w:rsidRPr="00864442" w:rsidRDefault="00AF598D" w:rsidP="00CF7B58">
      <w:pPr>
        <w:pStyle w:val="SingleTxtG"/>
      </w:pPr>
      <w:r w:rsidRPr="00864442">
        <w:t>24.</w:t>
      </w:r>
      <w:r w:rsidRPr="00864442">
        <w:tab/>
      </w:r>
      <w:r w:rsidR="00E7177C" w:rsidRPr="00864442">
        <w:t xml:space="preserve">In the vast majority of </w:t>
      </w:r>
      <w:r w:rsidR="00E56E0B" w:rsidRPr="00864442">
        <w:t xml:space="preserve">the </w:t>
      </w:r>
      <w:r w:rsidR="0035520F" w:rsidRPr="00864442">
        <w:t>cases</w:t>
      </w:r>
      <w:r w:rsidR="00E7177C" w:rsidRPr="00864442">
        <w:t xml:space="preserve"> monitored, use of force by I</w:t>
      </w:r>
      <w:r w:rsidR="00614C11">
        <w:t>SF</w:t>
      </w:r>
      <w:r w:rsidR="00E7177C" w:rsidRPr="00864442">
        <w:t xml:space="preserve"> may not have been </w:t>
      </w:r>
      <w:r w:rsidR="004D6B4F" w:rsidRPr="00864442">
        <w:t xml:space="preserve">lawful </w:t>
      </w:r>
      <w:r w:rsidR="00E7177C" w:rsidRPr="00864442">
        <w:t>and may have failed to comply with the standards of necessity and proportionality.</w:t>
      </w:r>
      <w:r w:rsidR="00E7177C" w:rsidRPr="00864442">
        <w:rPr>
          <w:rStyle w:val="FootnoteReference"/>
        </w:rPr>
        <w:footnoteReference w:id="41"/>
      </w:r>
      <w:r w:rsidR="00E7177C" w:rsidRPr="00864442">
        <w:t xml:space="preserve"> The use of firearms causing death of persons not posing an imminent threat to life or of serious injury may constitute a violation of the prohibition of the arbitrary deprivation of life </w:t>
      </w:r>
      <w:r w:rsidR="00E7177C" w:rsidRPr="00864442">
        <w:lastRenderedPageBreak/>
        <w:t>and may, depending on the circumstances, amount to wilful killing, a war crime in the context of a military occupation.</w:t>
      </w:r>
      <w:r w:rsidR="00E7177C" w:rsidRPr="00864442">
        <w:rPr>
          <w:rStyle w:val="FootnoteReference"/>
        </w:rPr>
        <w:footnoteReference w:id="42"/>
      </w:r>
      <w:r w:rsidR="00E7177C" w:rsidRPr="00864442">
        <w:t xml:space="preserve"> </w:t>
      </w:r>
    </w:p>
    <w:p w14:paraId="6E482285" w14:textId="1B134B5E" w:rsidR="00E7177C" w:rsidRPr="00864442" w:rsidRDefault="00AF598D" w:rsidP="00E7177C">
      <w:pPr>
        <w:pStyle w:val="SingleTxtG"/>
        <w:rPr>
          <w:rFonts w:eastAsia="Times New Roman"/>
        </w:rPr>
      </w:pPr>
      <w:r w:rsidRPr="00864442">
        <w:t>25.</w:t>
      </w:r>
      <w:r w:rsidRPr="00864442">
        <w:tab/>
      </w:r>
      <w:r w:rsidR="00E7177C" w:rsidRPr="00864442">
        <w:t>The High Commissioner for Human Rights has expressed concern regarding lack of accountability for unlawful use of force by I</w:t>
      </w:r>
      <w:r w:rsidR="00614C11">
        <w:t>SF</w:t>
      </w:r>
      <w:r w:rsidR="00E7177C" w:rsidRPr="00864442">
        <w:t>.</w:t>
      </w:r>
      <w:r w:rsidR="00E7177C" w:rsidRPr="00864442">
        <w:rPr>
          <w:rStyle w:val="FootnoteReference"/>
        </w:rPr>
        <w:footnoteReference w:id="43"/>
      </w:r>
      <w:r w:rsidR="00E7177C" w:rsidRPr="00864442">
        <w:t xml:space="preserve"> Any suspected arbitrary killings must give rise to prompt, effective, independent, and transparent</w:t>
      </w:r>
      <w:r w:rsidR="00E7177C" w:rsidRPr="00864442" w:rsidDel="0093114C">
        <w:t xml:space="preserve"> </w:t>
      </w:r>
      <w:r w:rsidR="00E7177C" w:rsidRPr="00864442">
        <w:t>investigations and, where there is sufficient evidence, prosecution of the perpetrators.</w:t>
      </w:r>
      <w:r w:rsidR="00E7177C" w:rsidRPr="00864442">
        <w:rPr>
          <w:rStyle w:val="FootnoteReference"/>
        </w:rPr>
        <w:footnoteReference w:id="44"/>
      </w:r>
      <w:r w:rsidR="00E7177C" w:rsidRPr="00864442">
        <w:t xml:space="preserve"> </w:t>
      </w:r>
    </w:p>
    <w:p w14:paraId="606140E0" w14:textId="3ECCE230" w:rsidR="00E7177C" w:rsidRPr="00864442" w:rsidRDefault="00CF7B58" w:rsidP="00CF7B58">
      <w:pPr>
        <w:pStyle w:val="H1G"/>
        <w:rPr>
          <w:bCs/>
        </w:rPr>
      </w:pPr>
      <w:bookmarkStart w:id="1" w:name="_Hlk134951865"/>
      <w:r w:rsidRPr="00864442">
        <w:rPr>
          <w:bCs/>
        </w:rPr>
        <w:tab/>
      </w:r>
      <w:r w:rsidR="00E7177C" w:rsidRPr="00864442">
        <w:rPr>
          <w:bCs/>
        </w:rPr>
        <w:t>C.</w:t>
      </w:r>
      <w:r w:rsidRPr="00864442">
        <w:rPr>
          <w:bCs/>
        </w:rPr>
        <w:tab/>
      </w:r>
      <w:r w:rsidR="00E7177C" w:rsidRPr="00864442">
        <w:rPr>
          <w:lang w:val="en-US"/>
        </w:rPr>
        <w:t>Practices that may amount to collective punishment</w:t>
      </w:r>
    </w:p>
    <w:p w14:paraId="0E02B542" w14:textId="620AB52E" w:rsidR="00E7177C" w:rsidRPr="00864442" w:rsidRDefault="00AF598D" w:rsidP="00CF7B58">
      <w:pPr>
        <w:pStyle w:val="SingleTxtG"/>
        <w:rPr>
          <w:u w:val="single"/>
        </w:rPr>
      </w:pPr>
      <w:r w:rsidRPr="00864442">
        <w:rPr>
          <w:lang w:val="en-US"/>
        </w:rPr>
        <w:t>26.</w:t>
      </w:r>
      <w:r w:rsidRPr="00864442">
        <w:rPr>
          <w:lang w:val="en-US"/>
        </w:rPr>
        <w:tab/>
      </w:r>
      <w:r w:rsidR="00E7177C" w:rsidRPr="00864442">
        <w:rPr>
          <w:lang w:val="en-US"/>
        </w:rPr>
        <w:t xml:space="preserve">Israel continued to impose punitive measures on Palestinian </w:t>
      </w:r>
      <w:r w:rsidR="00E7177C" w:rsidRPr="00864442">
        <w:t>individuals</w:t>
      </w:r>
      <w:r w:rsidR="00E7177C" w:rsidRPr="00864442">
        <w:rPr>
          <w:lang w:val="en-US"/>
        </w:rPr>
        <w:t xml:space="preserve"> and communities for offences they did not commit, in a discriminatory manner</w:t>
      </w:r>
      <w:r w:rsidR="00E7177C" w:rsidRPr="00864442">
        <w:t>.</w:t>
      </w:r>
      <w:r w:rsidR="00E7177C" w:rsidRPr="00864442">
        <w:rPr>
          <w:rStyle w:val="FootnoteReference"/>
        </w:rPr>
        <w:footnoteReference w:id="45"/>
      </w:r>
      <w:r w:rsidR="00E7177C" w:rsidRPr="00864442">
        <w:t xml:space="preserve"> </w:t>
      </w:r>
      <w:r w:rsidR="00E7177C" w:rsidRPr="00864442">
        <w:rPr>
          <w:lang w:val="en-US"/>
        </w:rPr>
        <w:t>Collective punishment is expressly prohibited by international humanitarian law,</w:t>
      </w:r>
      <w:r w:rsidR="00E7177C" w:rsidRPr="00864442">
        <w:rPr>
          <w:rStyle w:val="FootnoteReference"/>
        </w:rPr>
        <w:footnoteReference w:id="46"/>
      </w:r>
      <w:r w:rsidR="00E7177C" w:rsidRPr="00864442">
        <w:rPr>
          <w:lang w:val="en-US"/>
        </w:rPr>
        <w:t xml:space="preserve"> and may violate numerous provisions of international human rights law.</w:t>
      </w:r>
      <w:r w:rsidR="00E7177C" w:rsidRPr="00864442">
        <w:rPr>
          <w:rStyle w:val="FootnoteReference"/>
        </w:rPr>
        <w:footnoteReference w:id="47"/>
      </w:r>
      <w:r w:rsidR="00E7177C" w:rsidRPr="00864442">
        <w:t xml:space="preserve"> </w:t>
      </w:r>
    </w:p>
    <w:p w14:paraId="18F05D53" w14:textId="4F90664B" w:rsidR="00E7177C" w:rsidRPr="00864442" w:rsidRDefault="00AF598D" w:rsidP="00CF7B58">
      <w:pPr>
        <w:pStyle w:val="SingleTxtG"/>
        <w:rPr>
          <w:u w:val="single"/>
        </w:rPr>
      </w:pPr>
      <w:r w:rsidRPr="00864442">
        <w:t>27.</w:t>
      </w:r>
      <w:r w:rsidRPr="00864442">
        <w:tab/>
      </w:r>
      <w:r w:rsidR="00E7177C" w:rsidRPr="00864442">
        <w:t>Israeli authorities continued and expanded the practice of sealing and demolishing the family homes of Palestinians alleged to have assaulted or killed Israelis. This practice has only been used against Palestinians and not against other individuals accused of similar crimes. Israel punitively demolished 27 residential structures in the West Bank, including East Jerusalem, forcibly evicting 138 Palestinians (72 men and boys and 60 women and girls, including 55 children).</w:t>
      </w:r>
      <w:r w:rsidR="00E7177C" w:rsidRPr="00864442" w:rsidDel="3B65E786">
        <w:t xml:space="preserve"> </w:t>
      </w:r>
      <w:r w:rsidR="00E7177C" w:rsidRPr="00864442">
        <w:t>171 others were also detrimentally affected.</w:t>
      </w:r>
      <w:r w:rsidR="00E7177C" w:rsidRPr="00864442">
        <w:rPr>
          <w:rStyle w:val="FootnoteReference"/>
        </w:rPr>
        <w:footnoteReference w:id="48"/>
      </w:r>
      <w:r w:rsidR="00E7177C" w:rsidRPr="00864442">
        <w:t xml:space="preserve"> </w:t>
      </w:r>
    </w:p>
    <w:p w14:paraId="58390368" w14:textId="4E3F18BC" w:rsidR="00E7177C" w:rsidRPr="00864442" w:rsidRDefault="00AF598D" w:rsidP="00CF7B58">
      <w:pPr>
        <w:pStyle w:val="SingleTxtG"/>
        <w:rPr>
          <w:u w:val="single"/>
        </w:rPr>
      </w:pPr>
      <w:r w:rsidRPr="00864442">
        <w:t>28.</w:t>
      </w:r>
      <w:r w:rsidRPr="00864442">
        <w:tab/>
      </w:r>
      <w:r w:rsidR="00E7177C" w:rsidRPr="00864442">
        <w:t>Escalations have included decisions to immediately seal houses, a preliminary step towards demolition, further eroding judicial oversight.</w:t>
      </w:r>
      <w:r w:rsidR="00E7177C" w:rsidRPr="00864442">
        <w:rPr>
          <w:rStyle w:val="FootnoteReference"/>
        </w:rPr>
        <w:footnoteReference w:id="49"/>
      </w:r>
      <w:r w:rsidR="00E7177C" w:rsidRPr="00864442">
        <w:t xml:space="preserve"> Early in the morning of 28 January 2023, I</w:t>
      </w:r>
      <w:r w:rsidR="00614C11">
        <w:t>SF</w:t>
      </w:r>
      <w:r w:rsidR="00E7177C" w:rsidRPr="00864442">
        <w:t xml:space="preserve"> reportedly raided the family home of the alleged perpetrator of the 27 January Neve Yacoub shooting incident, </w:t>
      </w:r>
      <w:proofErr w:type="spellStart"/>
      <w:r w:rsidR="00E7177C" w:rsidRPr="00864442">
        <w:t>i</w:t>
      </w:r>
      <w:proofErr w:type="spellEnd"/>
      <w:r w:rsidR="00E7177C" w:rsidRPr="00864442">
        <w:rPr>
          <w:lang w:val="en-US"/>
        </w:rPr>
        <w:t>n which a Palestinian allegedly killed 7 Israelis in East Jerusalem</w:t>
      </w:r>
      <w:r w:rsidR="00E7177C" w:rsidRPr="00864442">
        <w:t xml:space="preserve">, arresting 15 of his relatives, including his mother. The house was reportedly sealed with concrete on 29 January and on 8 February the family </w:t>
      </w:r>
      <w:r w:rsidR="00685EE2" w:rsidRPr="00864442">
        <w:t xml:space="preserve">was </w:t>
      </w:r>
      <w:r w:rsidR="00E7177C" w:rsidRPr="00864442">
        <w:t>informed that the house would be demolished.</w:t>
      </w:r>
      <w:r w:rsidR="00E7177C" w:rsidRPr="00864442">
        <w:rPr>
          <w:rStyle w:val="FootnoteReference"/>
        </w:rPr>
        <w:footnoteReference w:id="50"/>
      </w:r>
      <w:bookmarkEnd w:id="1"/>
      <w:r w:rsidR="00E7177C" w:rsidRPr="00864442">
        <w:t xml:space="preserve"> </w:t>
      </w:r>
    </w:p>
    <w:p w14:paraId="1E4486D9" w14:textId="085BFC92" w:rsidR="00E7177C" w:rsidRPr="00864442" w:rsidRDefault="00AF598D" w:rsidP="00CF7B58">
      <w:pPr>
        <w:pStyle w:val="SingleTxtG"/>
        <w:rPr>
          <w:u w:val="single"/>
        </w:rPr>
      </w:pPr>
      <w:r w:rsidRPr="00864442">
        <w:t>29.</w:t>
      </w:r>
      <w:r w:rsidRPr="00864442">
        <w:tab/>
      </w:r>
      <w:r w:rsidR="00E7177C" w:rsidRPr="00864442">
        <w:t xml:space="preserve">The punitive demolition of family homes </w:t>
      </w:r>
      <w:r w:rsidR="00CC6689" w:rsidRPr="00864442">
        <w:t>may be</w:t>
      </w:r>
      <w:r w:rsidR="00D20BC4" w:rsidRPr="00864442">
        <w:t xml:space="preserve"> </w:t>
      </w:r>
      <w:r w:rsidR="00E7177C" w:rsidRPr="00864442">
        <w:t>accompanied by other human rights violations. On 15 November 2022, a Palestinian man from</w:t>
      </w:r>
      <w:r w:rsidR="00E7177C" w:rsidRPr="00864442" w:rsidDel="3B65E786">
        <w:t xml:space="preserve"> </w:t>
      </w:r>
      <w:r w:rsidR="00E7177C" w:rsidRPr="00864442">
        <w:rPr>
          <w:lang w:val="en-US"/>
        </w:rPr>
        <w:t xml:space="preserve">Haris village of Salfit </w:t>
      </w:r>
      <w:r w:rsidR="00E7177C" w:rsidRPr="00864442">
        <w:t>was shot dead after he allegedly killed three Israelis and injured three others near the settlement of Ariel.</w:t>
      </w:r>
      <w:r w:rsidR="00E7177C" w:rsidRPr="00864442">
        <w:rPr>
          <w:rStyle w:val="FootnoteReference"/>
        </w:rPr>
        <w:footnoteReference w:id="51"/>
      </w:r>
      <w:r w:rsidR="00E7177C" w:rsidRPr="00864442">
        <w:t xml:space="preserve"> According to OHCHR monitoring, I</w:t>
      </w:r>
      <w:r w:rsidR="00614C11">
        <w:t>SF</w:t>
      </w:r>
      <w:r w:rsidR="00E7177C" w:rsidRPr="00864442">
        <w:t xml:space="preserve"> withheld the alleged perpetrator’s corpse, raided his family house, arrested his cousin and held him in detention for 27 days without charge, where he reported ill-treatment. The Coordinator of Government Activities in the Territories (COGAT)</w:t>
      </w:r>
      <w:r w:rsidR="00E7177C" w:rsidRPr="00864442">
        <w:rPr>
          <w:rStyle w:val="FootnoteReference"/>
        </w:rPr>
        <w:footnoteReference w:id="52"/>
      </w:r>
      <w:r w:rsidR="00E7177C" w:rsidRPr="00864442">
        <w:t> revoked</w:t>
      </w:r>
      <w:r w:rsidR="00E7177C" w:rsidRPr="00864442" w:rsidDel="3B65E786">
        <w:t xml:space="preserve"> work permits</w:t>
      </w:r>
      <w:r w:rsidR="00E7177C" w:rsidRPr="00864442">
        <w:t xml:space="preserve"> for dozens of relatives of the alleged perpetrator who relied on working in Israel or Israeli settlements as their main source of income. According to OHCHR monitoring, the family house of the alleged perpetrator was demolished on 3 May 2023. </w:t>
      </w:r>
    </w:p>
    <w:p w14:paraId="45F5F30C" w14:textId="708DAD28" w:rsidR="00E7177C" w:rsidRPr="00864442" w:rsidRDefault="00AF598D" w:rsidP="00CF7B58">
      <w:pPr>
        <w:pStyle w:val="SingleTxtG"/>
        <w:rPr>
          <w:u w:val="single"/>
        </w:rPr>
      </w:pPr>
      <w:r w:rsidRPr="00864442">
        <w:t>30.</w:t>
      </w:r>
      <w:r w:rsidRPr="00864442">
        <w:tab/>
      </w:r>
      <w:r w:rsidR="00E7177C" w:rsidRPr="00864442">
        <w:t xml:space="preserve">On 10 February 2023, the father of an alleged perpetrator of a ramming attack that killed three Israelis was reportedly summoned by the Israeli Ministry of Interior’s office in </w:t>
      </w:r>
      <w:r w:rsidR="00E7177C" w:rsidRPr="00864442">
        <w:lastRenderedPageBreak/>
        <w:t>East Jerusalem to review his residency status</w:t>
      </w:r>
      <w:r w:rsidR="0041710C" w:rsidRPr="00864442">
        <w:t>. H</w:t>
      </w:r>
      <w:r w:rsidR="00E7177C" w:rsidRPr="00864442">
        <w:t xml:space="preserve">is brothers have all been detained for various periods and two </w:t>
      </w:r>
      <w:r w:rsidR="008D2530" w:rsidRPr="00864442">
        <w:t xml:space="preserve">of them </w:t>
      </w:r>
      <w:r w:rsidR="00E7177C" w:rsidRPr="00864442">
        <w:t xml:space="preserve">have been subjected to house arrest. On 14 March 2023, the alleged perpetrator’s wife’s brother was arrested and held under administrative detention until 30 April. In none of these cases have the families of the alleged perpetrator been accused or charged </w:t>
      </w:r>
      <w:r w:rsidR="009720D3" w:rsidRPr="00864442">
        <w:t xml:space="preserve">with </w:t>
      </w:r>
      <w:r w:rsidR="00E7177C" w:rsidRPr="00864442">
        <w:t xml:space="preserve">any crime. </w:t>
      </w:r>
      <w:r w:rsidR="00E7177C" w:rsidRPr="00864442">
        <w:rPr>
          <w:u w:val="single"/>
        </w:rPr>
        <w:t xml:space="preserve"> </w:t>
      </w:r>
    </w:p>
    <w:p w14:paraId="0779E064" w14:textId="574417AD" w:rsidR="00E7177C" w:rsidRPr="00864442" w:rsidRDefault="00AF598D" w:rsidP="004366EB">
      <w:pPr>
        <w:pStyle w:val="SingleTxtG"/>
        <w:rPr>
          <w:u w:val="single"/>
        </w:rPr>
      </w:pPr>
      <w:r w:rsidRPr="00864442">
        <w:t>31.</w:t>
      </w:r>
      <w:r w:rsidRPr="00864442">
        <w:tab/>
      </w:r>
      <w:r w:rsidR="00E7177C" w:rsidRPr="00864442">
        <w:t>Israeli practices that may amount to collective punishment disproportionally affect Palestinian women and girls, with severe impacts on their physical and psychological well-being.</w:t>
      </w:r>
      <w:r w:rsidR="00E7177C" w:rsidRPr="00864442">
        <w:rPr>
          <w:rStyle w:val="FootnoteReference"/>
        </w:rPr>
        <w:footnoteReference w:id="53"/>
      </w:r>
      <w:r w:rsidR="00E7177C" w:rsidRPr="00864442">
        <w:rPr>
          <w:vertAlign w:val="superscript"/>
        </w:rPr>
        <w:t xml:space="preserve"> </w:t>
      </w:r>
      <w:r w:rsidR="00E7177C" w:rsidRPr="00864442">
        <w:t xml:space="preserve">In some monitored cases, in addition to being subjected to forced evictions, the relatives of alleged perpetrators, often including wives, mothers and sisters, </w:t>
      </w:r>
      <w:r w:rsidR="005E290D" w:rsidRPr="00864442">
        <w:t xml:space="preserve">appear to also </w:t>
      </w:r>
      <w:r w:rsidR="00E7177C" w:rsidRPr="00864442">
        <w:t xml:space="preserve">have been arbitrarily arrested, detained, and ill-treated. </w:t>
      </w:r>
    </w:p>
    <w:p w14:paraId="69A20550" w14:textId="68438CD5" w:rsidR="00E7177C" w:rsidRPr="00864442" w:rsidRDefault="00AF598D" w:rsidP="004366EB">
      <w:pPr>
        <w:pStyle w:val="SingleTxtG"/>
        <w:rPr>
          <w:u w:val="single"/>
        </w:rPr>
      </w:pPr>
      <w:r w:rsidRPr="00864442">
        <w:t>32.</w:t>
      </w:r>
      <w:r w:rsidRPr="00864442">
        <w:tab/>
      </w:r>
      <w:r w:rsidR="00E7177C" w:rsidRPr="00864442">
        <w:t>Israeli authorities may have arbitrarily used administrative powers under counter-terrorism legislation to seize property from Palestinians convicted of assaulting or killing Israelis.</w:t>
      </w:r>
      <w:r w:rsidR="00E7177C" w:rsidRPr="00864442">
        <w:rPr>
          <w:rStyle w:val="FootnoteReference"/>
        </w:rPr>
        <w:footnoteReference w:id="54"/>
      </w:r>
      <w:r w:rsidR="00E7177C" w:rsidRPr="00864442">
        <w:t xml:space="preserve"> These measures affect family members of Palestinian prisoners, who have in many cases also had their homes unlawfully demolished by Israeli authorities. Reportedly, as of the end of February 2023, Israeli authorities had seized bank accounts and valuable items from 160 persons from </w:t>
      </w:r>
      <w:r w:rsidR="002B37FD" w:rsidRPr="00864442">
        <w:t xml:space="preserve">East </w:t>
      </w:r>
      <w:r w:rsidR="00E7177C" w:rsidRPr="00864442">
        <w:t>Jerusalem, including 24 prisoners, 55 freed prisoners and 81 family members of imprisoned Palestinians from East Jerusalem.</w:t>
      </w:r>
      <w:r w:rsidR="00E7177C" w:rsidRPr="00864442">
        <w:rPr>
          <w:rStyle w:val="FootnoteReference"/>
        </w:rPr>
        <w:footnoteReference w:id="55"/>
      </w:r>
      <w:r w:rsidR="00E7177C" w:rsidRPr="00864442">
        <w:t xml:space="preserve">   </w:t>
      </w:r>
    </w:p>
    <w:p w14:paraId="07B2B59E" w14:textId="6A4D27AE" w:rsidR="00E7177C" w:rsidRPr="00864442" w:rsidRDefault="00AF598D" w:rsidP="004366EB">
      <w:pPr>
        <w:pStyle w:val="SingleTxtG"/>
      </w:pPr>
      <w:r w:rsidRPr="00864442">
        <w:rPr>
          <w:lang w:val="en-US"/>
        </w:rPr>
        <w:t>33.</w:t>
      </w:r>
      <w:r w:rsidRPr="00864442">
        <w:rPr>
          <w:lang w:val="en-US"/>
        </w:rPr>
        <w:tab/>
      </w:r>
      <w:r w:rsidR="00E7177C" w:rsidRPr="00864442">
        <w:rPr>
          <w:lang w:val="en-US"/>
        </w:rPr>
        <w:t>During the reporting period, the closure of Gaza entered its 16</w:t>
      </w:r>
      <w:r w:rsidR="00E7177C" w:rsidRPr="00864442">
        <w:rPr>
          <w:vertAlign w:val="superscript"/>
          <w:lang w:val="en-US"/>
        </w:rPr>
        <w:t>th</w:t>
      </w:r>
      <w:r w:rsidR="00E7177C" w:rsidRPr="00864442">
        <w:rPr>
          <w:lang w:val="en-US"/>
        </w:rPr>
        <w:t xml:space="preserve"> year. The Secretary-General has repeatedly expressed concern over its impact on the civilian population, underlining that it may amount to collective punishment.</w:t>
      </w:r>
      <w:r w:rsidR="00E7177C" w:rsidRPr="00864442">
        <w:rPr>
          <w:rStyle w:val="FootnoteReference"/>
        </w:rPr>
        <w:footnoteReference w:id="56"/>
      </w:r>
      <w:r w:rsidR="00E7177C" w:rsidRPr="00864442">
        <w:rPr>
          <w:lang w:val="en-US"/>
        </w:rPr>
        <w:t xml:space="preserve"> Israeli authorities continued aggravating the suffering of civilians in Gaza through measures that may constitute wide-ranging violations of their economic, social and cultural rights, including by intermittently reducing or entirely closing the fishing zone and closing the crossings between Gaza and Israel, severely limiting the movement of people, fuel, gas, food, medical and other essential supplies in and out of Gaza.</w:t>
      </w:r>
      <w:r w:rsidR="00E7177C" w:rsidRPr="00864442">
        <w:rPr>
          <w:rStyle w:val="FootnoteReference"/>
        </w:rPr>
        <w:footnoteReference w:id="57"/>
      </w:r>
      <w:r w:rsidR="00E7177C" w:rsidRPr="00864442">
        <w:rPr>
          <w:lang w:val="en-US"/>
        </w:rPr>
        <w:t xml:space="preserve"> In addition to preventing all civilians from fleeing conflict-related violence, the closures had </w:t>
      </w:r>
      <w:r w:rsidR="00E7177C" w:rsidRPr="00864442">
        <w:t>serious implications on those needing to flee gender-based violence.</w:t>
      </w:r>
    </w:p>
    <w:p w14:paraId="6DEE22EC" w14:textId="765A70B1" w:rsidR="00E7177C" w:rsidRPr="00864442" w:rsidRDefault="00AF598D" w:rsidP="004366EB">
      <w:pPr>
        <w:pStyle w:val="SingleTxtG"/>
      </w:pPr>
      <w:r w:rsidRPr="00864442">
        <w:rPr>
          <w:lang w:val="en-US"/>
        </w:rPr>
        <w:t>34.</w:t>
      </w:r>
      <w:r w:rsidRPr="00864442">
        <w:rPr>
          <w:lang w:val="en-US"/>
        </w:rPr>
        <w:tab/>
      </w:r>
      <w:r w:rsidR="00E7177C" w:rsidRPr="00864442">
        <w:rPr>
          <w:lang w:val="en-US"/>
        </w:rPr>
        <w:t>According to OHCHR monitoring, along the Gaza coast</w:t>
      </w:r>
      <w:r w:rsidR="007B36C2" w:rsidRPr="00864442">
        <w:rPr>
          <w:lang w:val="en-US"/>
        </w:rPr>
        <w:t xml:space="preserve">, </w:t>
      </w:r>
      <w:r w:rsidR="00E7177C" w:rsidRPr="00864442">
        <w:rPr>
          <w:lang w:val="en-US"/>
        </w:rPr>
        <w:t>the</w:t>
      </w:r>
      <w:r w:rsidR="00E7177C" w:rsidRPr="00864442">
        <w:t xml:space="preserve"> Israeli Navy continued to enforce access restrictions, using live ammunition, rubber-coated bullets, and water cannons</w:t>
      </w:r>
      <w:r w:rsidR="00E7177C" w:rsidRPr="00864442">
        <w:rPr>
          <w:lang w:val="en-US"/>
        </w:rPr>
        <w:t xml:space="preserve"> against Gaza fishers.</w:t>
      </w:r>
      <w:r w:rsidR="00E7177C" w:rsidRPr="00864442" w:rsidDel="00D53FCD">
        <w:rPr>
          <w:vertAlign w:val="superscript"/>
        </w:rPr>
        <w:t xml:space="preserve"> </w:t>
      </w:r>
      <w:r w:rsidR="00E7177C" w:rsidRPr="00864442">
        <w:rPr>
          <w:lang w:val="en-US"/>
        </w:rPr>
        <w:t xml:space="preserve"> </w:t>
      </w:r>
      <w:r w:rsidR="00E7177C" w:rsidRPr="00864442">
        <w:t>In 2022</w:t>
      </w:r>
      <w:r w:rsidR="00987859" w:rsidRPr="00864442">
        <w:t>,</w:t>
      </w:r>
      <w:r w:rsidR="00E7177C" w:rsidRPr="00864442">
        <w:t xml:space="preserve"> the Israeli Navy dramatically increased the detention of fishers sailing along the Gaza coast often within 1-3 nautical miles, and thus within </w:t>
      </w:r>
      <w:r w:rsidR="00E7177C" w:rsidRPr="00864442" w:rsidDel="59EE2BF8">
        <w:rPr>
          <w:lang w:val="en-US"/>
        </w:rPr>
        <w:t xml:space="preserve">the </w:t>
      </w:r>
      <w:r w:rsidR="00E7177C" w:rsidRPr="00864442">
        <w:rPr>
          <w:lang w:val="en-US"/>
        </w:rPr>
        <w:t>Israeli decreed fishing zones</w:t>
      </w:r>
      <w:r w:rsidR="00E7177C" w:rsidRPr="00864442">
        <w:t xml:space="preserve">, compounding uncertainty for fishers. </w:t>
      </w:r>
      <w:r w:rsidR="00EC4EA5" w:rsidRPr="00864442">
        <w:t xml:space="preserve">According to OHCHR monitoring </w:t>
      </w:r>
      <w:r w:rsidR="00E7177C" w:rsidRPr="00864442">
        <w:t>66 fishers were detained</w:t>
      </w:r>
      <w:r w:rsidR="00EC4EA5" w:rsidRPr="00864442">
        <w:t xml:space="preserve"> in 2022</w:t>
      </w:r>
      <w:r w:rsidR="00E7177C" w:rsidRPr="00864442">
        <w:t xml:space="preserve">, compared to 12 in 2021. In the first five months of 2023, the Israeli Navy detained 14 Gazan fishers. On many occasions, the Israeli Navy forced fishers to undress and jump into cold water, </w:t>
      </w:r>
      <w:proofErr w:type="gramStart"/>
      <w:r w:rsidR="00E7177C" w:rsidRPr="00864442">
        <w:t>handcuffed</w:t>
      </w:r>
      <w:proofErr w:type="gramEnd"/>
      <w:r w:rsidR="00E7177C" w:rsidRPr="00864442">
        <w:t xml:space="preserve"> and blindfolded them, and denied them access to their families or legal representation. 23 fishers were injured by rubber-coated bullets shot by the Israeli Navy, including from close range, most of them during arrests in 2022. Seven boats were confiscated in 2021, 24 boats in 2022 and 4 by 31 May 2023, with serious implications for the livelihoods of the fishers concerned. The Israeli authorities released </w:t>
      </w:r>
      <w:r w:rsidR="006D5B6A" w:rsidRPr="00864442">
        <w:t xml:space="preserve">arrested fishers without charge, </w:t>
      </w:r>
      <w:r w:rsidR="00E7177C" w:rsidRPr="00864442">
        <w:t>most within a day, suggesting that the arrests may have been arbitrary.</w:t>
      </w:r>
      <w:r w:rsidR="00E7177C" w:rsidRPr="00864442" w:rsidDel="00A96431">
        <w:t xml:space="preserve"> </w:t>
      </w:r>
    </w:p>
    <w:p w14:paraId="22C95038" w14:textId="4BF518B9" w:rsidR="00E7177C" w:rsidRPr="00864442" w:rsidRDefault="00AF598D" w:rsidP="00E7177C">
      <w:pPr>
        <w:pStyle w:val="SingleTxtG"/>
        <w:rPr>
          <w:lang w:val="en-US"/>
        </w:rPr>
      </w:pPr>
      <w:bookmarkStart w:id="2" w:name="_Hlk140683080"/>
      <w:r w:rsidRPr="00864442">
        <w:t>35.</w:t>
      </w:r>
      <w:r w:rsidRPr="00864442">
        <w:tab/>
      </w:r>
      <w:r w:rsidR="00E7177C" w:rsidRPr="00864442">
        <w:t>According to the Jerusalem Legal Aid and Human Rights Centre, at the end of the reporting period, Israeli authorities withheld 127 bodies of Palestinians killed by I</w:t>
      </w:r>
      <w:r w:rsidR="00614C11">
        <w:t>SF</w:t>
      </w:r>
      <w:r w:rsidR="00E7177C" w:rsidRPr="00864442">
        <w:t>, including 1 woman and 10 boys</w:t>
      </w:r>
      <w:bookmarkEnd w:id="2"/>
      <w:r w:rsidR="00E7177C" w:rsidRPr="00864442">
        <w:t>.</w:t>
      </w:r>
      <w:r w:rsidR="00E7177C" w:rsidRPr="00864442">
        <w:rPr>
          <w:rStyle w:val="FootnoteReference"/>
        </w:rPr>
        <w:footnoteReference w:id="58"/>
      </w:r>
      <w:r w:rsidR="00E7177C" w:rsidRPr="00864442">
        <w:t xml:space="preserve"> There were no developments regarding </w:t>
      </w:r>
      <w:r w:rsidR="00092CE1" w:rsidRPr="00864442">
        <w:t xml:space="preserve">the </w:t>
      </w:r>
      <w:r w:rsidR="00E7177C" w:rsidRPr="00864442">
        <w:t>two Israeli civilians and the bodies of two Israeli soldiers held in Gaza.</w:t>
      </w:r>
      <w:r w:rsidR="00E7177C" w:rsidRPr="00864442">
        <w:rPr>
          <w:rStyle w:val="FootnoteReference"/>
        </w:rPr>
        <w:footnoteReference w:id="59"/>
      </w:r>
      <w:r w:rsidR="00E7177C" w:rsidRPr="00864442">
        <w:t xml:space="preserve"> </w:t>
      </w:r>
      <w:r w:rsidR="00F11A0D" w:rsidRPr="00864442">
        <w:t xml:space="preserve">The Human Rights Committee has noted that withholding bodies of the deceased and denying the right of families to a burial </w:t>
      </w:r>
      <w:r w:rsidR="00F11A0D" w:rsidRPr="00864442">
        <w:lastRenderedPageBreak/>
        <w:t>may amount to torture and ill-treatment.</w:t>
      </w:r>
      <w:r w:rsidR="00F11A0D" w:rsidRPr="00864442">
        <w:rPr>
          <w:rStyle w:val="FootnoteReference"/>
        </w:rPr>
        <w:footnoteReference w:id="60"/>
      </w:r>
      <w:r w:rsidR="00F11A0D" w:rsidRPr="00864442">
        <w:rPr>
          <w:rStyle w:val="FootnoteReference"/>
          <w:lang w:val="en-US"/>
        </w:rPr>
        <w:t xml:space="preserve"> </w:t>
      </w:r>
      <w:r w:rsidR="00F11A0D" w:rsidRPr="00864442">
        <w:t>Withholding of bodies is also inconsistent with the obligations of Israel as an occupying Power.</w:t>
      </w:r>
      <w:r w:rsidR="00F11A0D" w:rsidRPr="00864442">
        <w:rPr>
          <w:rStyle w:val="FootnoteReference"/>
        </w:rPr>
        <w:footnoteReference w:id="61"/>
      </w:r>
    </w:p>
    <w:p w14:paraId="201747D1" w14:textId="444813AB" w:rsidR="00E7177C" w:rsidRPr="00864442" w:rsidRDefault="004366EB" w:rsidP="004366EB">
      <w:pPr>
        <w:pStyle w:val="H1G"/>
      </w:pPr>
      <w:r w:rsidRPr="00864442">
        <w:rPr>
          <w:lang w:val="en-US"/>
        </w:rPr>
        <w:tab/>
      </w:r>
      <w:r w:rsidR="00E7177C" w:rsidRPr="00864442">
        <w:rPr>
          <w:lang w:val="en-US"/>
        </w:rPr>
        <w:t>D.</w:t>
      </w:r>
      <w:r w:rsidRPr="00864442">
        <w:rPr>
          <w:lang w:val="en-US"/>
        </w:rPr>
        <w:tab/>
      </w:r>
      <w:r w:rsidR="00E7177C" w:rsidRPr="00864442">
        <w:rPr>
          <w:lang w:val="en-US"/>
        </w:rPr>
        <w:t>Detention and ill-treatment</w:t>
      </w:r>
    </w:p>
    <w:p w14:paraId="382ADDBD" w14:textId="54625F8B" w:rsidR="00E7177C" w:rsidRPr="00864442" w:rsidRDefault="00AF598D" w:rsidP="004366EB">
      <w:pPr>
        <w:pStyle w:val="SingleTxtG"/>
      </w:pPr>
      <w:bookmarkStart w:id="3" w:name="_Hlk140683105"/>
      <w:r w:rsidRPr="00864442">
        <w:t>36.</w:t>
      </w:r>
      <w:r w:rsidRPr="00864442">
        <w:tab/>
      </w:r>
      <w:r w:rsidR="00E7177C" w:rsidRPr="00864442">
        <w:t xml:space="preserve">There was a considerable increase in the number of Palestinians held in Israeli detention. NGO reports indicate that at the end of May 2023, the Israel Prison Service (IPS) held 4,857 detainees on what it defined as security </w:t>
      </w:r>
      <w:proofErr w:type="gramStart"/>
      <w:r w:rsidR="00E7177C" w:rsidRPr="00864442">
        <w:t>grounds,</w:t>
      </w:r>
      <w:r w:rsidR="00E7177C" w:rsidRPr="00864442" w:rsidDel="00AB623B">
        <w:rPr>
          <w:vertAlign w:val="superscript"/>
        </w:rPr>
        <w:t xml:space="preserve"> </w:t>
      </w:r>
      <w:r w:rsidR="00E7177C" w:rsidRPr="00864442">
        <w:t xml:space="preserve"> including</w:t>
      </w:r>
      <w:proofErr w:type="gramEnd"/>
      <w:r w:rsidR="00E7177C" w:rsidRPr="00864442">
        <w:t xml:space="preserve"> 160 children including 1 girl, 29 women and 181 from Gaza</w:t>
      </w:r>
      <w:bookmarkEnd w:id="3"/>
      <w:r w:rsidR="00E7177C" w:rsidRPr="00864442">
        <w:t>.</w:t>
      </w:r>
      <w:r w:rsidR="00B941F0" w:rsidRPr="00864442">
        <w:rPr>
          <w:rStyle w:val="FootnoteReference"/>
        </w:rPr>
        <w:footnoteReference w:id="62"/>
      </w:r>
      <w:r w:rsidR="00E7177C" w:rsidRPr="00864442" w:rsidDel="1C0B292C">
        <w:t xml:space="preserve"> </w:t>
      </w:r>
      <w:r w:rsidR="00E7177C" w:rsidRPr="00864442">
        <w:t>Most were arrested in the OP T and held within Israel. Under international humanitarian law, individuals accused of offences shall be detained in the occupied country, and if convicted they shall serve their sentences therein. Unlawful deportation or transfer or unlawful confinement can be considered grave breaches of the Fourth Geneva Convention and war crimes.</w:t>
      </w:r>
      <w:r w:rsidR="00E7177C" w:rsidRPr="00864442">
        <w:rPr>
          <w:rStyle w:val="FootnoteReference"/>
        </w:rPr>
        <w:footnoteReference w:id="63"/>
      </w:r>
      <w:r w:rsidR="00E7177C" w:rsidRPr="00864442">
        <w:t xml:space="preserve"> In line with Israeli regulations, security prisoners are subjected to harsh conditions such as restricted access to their families and outside world through the denial of telephone calls, prison leave or conjugal visits.</w:t>
      </w:r>
      <w:r w:rsidR="00E7177C" w:rsidRPr="00864442">
        <w:rPr>
          <w:rStyle w:val="FootnoteReference"/>
        </w:rPr>
        <w:footnoteReference w:id="64"/>
      </w:r>
      <w:r w:rsidR="00E7177C" w:rsidRPr="00864442">
        <w:t xml:space="preserve"> </w:t>
      </w:r>
      <w:bookmarkStart w:id="4" w:name="_Hlk140569474"/>
      <w:r w:rsidR="00E7177C" w:rsidRPr="00864442">
        <w:t>Hamas-affiliated prisoners from Gaza are reportedly denied family visits</w:t>
      </w:r>
      <w:bookmarkEnd w:id="4"/>
      <w:r w:rsidR="00E7177C" w:rsidRPr="00864442">
        <w:t xml:space="preserve"> as a form of pressure on Hamas.</w:t>
      </w:r>
      <w:r w:rsidR="00E7177C" w:rsidRPr="00864442">
        <w:rPr>
          <w:rStyle w:val="FootnoteReference"/>
        </w:rPr>
        <w:footnoteReference w:id="65"/>
      </w:r>
      <w:r w:rsidR="00E7177C" w:rsidRPr="00864442">
        <w:t xml:space="preserve"> Denial of family visits to persons deprived of liberty may constitute treatment contrary to article 7 of the ICCPR and, under certain circumstances, may amount to collective punishment.</w:t>
      </w:r>
    </w:p>
    <w:p w14:paraId="5F897A11" w14:textId="06A21B28" w:rsidR="00E7177C" w:rsidRPr="00864442" w:rsidRDefault="00AF598D" w:rsidP="004366EB">
      <w:pPr>
        <w:pStyle w:val="SingleTxtG"/>
      </w:pPr>
      <w:bookmarkStart w:id="5" w:name="_Hlk140683140"/>
      <w:r w:rsidRPr="00864442">
        <w:t>37.</w:t>
      </w:r>
      <w:r w:rsidRPr="00864442">
        <w:tab/>
      </w:r>
      <w:r w:rsidR="00E7177C" w:rsidRPr="00864442">
        <w:t xml:space="preserve">According to </w:t>
      </w:r>
      <w:proofErr w:type="spellStart"/>
      <w:r w:rsidR="00E7177C" w:rsidRPr="00864442">
        <w:t>Addameer</w:t>
      </w:r>
      <w:proofErr w:type="spellEnd"/>
      <w:r w:rsidR="00E7177C" w:rsidRPr="00864442">
        <w:t>, the number of Palestinian administrative detainees doubled from 495 in May 2021 to 1,131 by 31 May 2023, reaching its highest level since 2008</w:t>
      </w:r>
      <w:bookmarkEnd w:id="5"/>
      <w:r w:rsidR="00E7177C" w:rsidRPr="00864442">
        <w:t>.</w:t>
      </w:r>
      <w:r w:rsidR="00E7177C" w:rsidRPr="00864442">
        <w:rPr>
          <w:rStyle w:val="FootnoteReference"/>
        </w:rPr>
        <w:footnoteReference w:id="66"/>
      </w:r>
      <w:r w:rsidR="00E7177C" w:rsidRPr="00864442">
        <w:t xml:space="preserve"> </w:t>
      </w:r>
      <w:r w:rsidR="00E7177C" w:rsidRPr="00864442" w:rsidDel="1C0B292C">
        <w:t xml:space="preserve"> </w:t>
      </w:r>
      <w:r w:rsidR="00E7177C" w:rsidRPr="00864442">
        <w:t>Administrative detention occurs for indefinite periods and is often based on secret information, without an opportunity to meaningfully challenge the detention, and could result in physical and mental suffering that may constitute torture or other ill-treatment.</w:t>
      </w:r>
      <w:r w:rsidR="00E7177C" w:rsidRPr="00864442">
        <w:rPr>
          <w:rStyle w:val="FootnoteReference"/>
        </w:rPr>
        <w:footnoteReference w:id="67"/>
      </w:r>
      <w:r w:rsidR="00E7177C" w:rsidRPr="00864442">
        <w:t xml:space="preserve"> According to the Human Rights Committee, administrative detention would normally amount to arbitrary detention as other effective measures to address the threat would be available. To be in conformity with international human rights law, any deprivation of liberty must be made on such grounds and in accordance with such procedures as are established by law. Where no reasonable legal ground is invoked, the detention may be considered arbitrary.</w:t>
      </w:r>
      <w:r w:rsidR="00E7177C" w:rsidRPr="00864442">
        <w:rPr>
          <w:rStyle w:val="FootnoteReference"/>
        </w:rPr>
        <w:footnoteReference w:id="68"/>
      </w:r>
      <w:r w:rsidR="00E7177C" w:rsidRPr="00864442">
        <w:t xml:space="preserve"> In contrast with the high number of Palestinians administratively detained, as of 1 March 2023, reportedly only four</w:t>
      </w:r>
      <w:r w:rsidR="00E7177C" w:rsidRPr="00864442" w:rsidDel="1C0B292C">
        <w:t xml:space="preserve"> </w:t>
      </w:r>
      <w:r w:rsidR="00E7177C" w:rsidRPr="00864442">
        <w:t>Israelis were held in administrative detention, raising concerns that this practice disproportionately affects Palestinians.</w:t>
      </w:r>
      <w:r w:rsidR="00E7177C" w:rsidRPr="00864442">
        <w:rPr>
          <w:rStyle w:val="FootnoteReference"/>
        </w:rPr>
        <w:footnoteReference w:id="69"/>
      </w:r>
      <w:r w:rsidR="00E7177C" w:rsidRPr="00864442">
        <w:t xml:space="preserve">  </w:t>
      </w:r>
    </w:p>
    <w:p w14:paraId="381CD949" w14:textId="45C5FBF6" w:rsidR="00E7177C" w:rsidRPr="00864442" w:rsidRDefault="00AF598D" w:rsidP="004366EB">
      <w:pPr>
        <w:pStyle w:val="SingleTxtG"/>
      </w:pPr>
      <w:r w:rsidRPr="00864442">
        <w:t>38.</w:t>
      </w:r>
      <w:r w:rsidRPr="00864442">
        <w:tab/>
      </w:r>
      <w:r w:rsidR="00E7177C" w:rsidRPr="00864442">
        <w:t xml:space="preserve">On 2 May 2023, Khader Adnan, a Palestinian activist and a political member of Palestinian Islamic Jihad, was found dead in his cell in </w:t>
      </w:r>
      <w:proofErr w:type="spellStart"/>
      <w:r w:rsidR="00E7177C" w:rsidRPr="00864442">
        <w:t>Nizan</w:t>
      </w:r>
      <w:proofErr w:type="spellEnd"/>
      <w:r w:rsidR="00E7177C" w:rsidRPr="00864442">
        <w:t xml:space="preserve"> detention centre,</w:t>
      </w:r>
      <w:r w:rsidR="00E7177C" w:rsidRPr="00864442" w:rsidDel="1C0B292C">
        <w:t xml:space="preserve"> </w:t>
      </w:r>
      <w:r w:rsidR="00E7177C" w:rsidRPr="00864442">
        <w:t>following an 86-day hunger strike.</w:t>
      </w:r>
      <w:r w:rsidR="00E7177C" w:rsidRPr="00864442" w:rsidDel="1C0B292C">
        <w:t xml:space="preserve"> </w:t>
      </w:r>
      <w:r w:rsidR="00E7177C" w:rsidRPr="00864442">
        <w:t xml:space="preserve">Israeli authorities failed to ensure that he was transferred to </w:t>
      </w:r>
      <w:r w:rsidR="00092CE1" w:rsidRPr="00864442">
        <w:t xml:space="preserve">a </w:t>
      </w:r>
      <w:r w:rsidR="00E7177C" w:rsidRPr="00864442">
        <w:t>hospital even though civil society, including medical experts from Physicians for Human Rights, his lawyer and his family had urged his immediate hospitalisation.</w:t>
      </w:r>
      <w:r w:rsidR="00E7177C" w:rsidRPr="00864442">
        <w:rPr>
          <w:rStyle w:val="FootnoteReference"/>
        </w:rPr>
        <w:footnoteReference w:id="70"/>
      </w:r>
      <w:r w:rsidR="00E7177C" w:rsidRPr="00864442" w:rsidDel="1C0B292C">
        <w:rPr>
          <w:vertAlign w:val="superscript"/>
        </w:rPr>
        <w:t xml:space="preserve"> </w:t>
      </w:r>
      <w:r w:rsidR="00E7177C" w:rsidRPr="00864442">
        <w:rPr>
          <w:lang w:val="en-US"/>
        </w:rPr>
        <w:t xml:space="preserve">Adnan had been detained by Israeli authorities 12 times in the past, spending around eight years in Israeli prisons, often </w:t>
      </w:r>
      <w:r w:rsidR="00E7177C" w:rsidRPr="00864442">
        <w:rPr>
          <w:lang w:val="en-US"/>
        </w:rPr>
        <w:lastRenderedPageBreak/>
        <w:t>without charge or trial, during which he had been on hunger strike five times for lengthy periods</w:t>
      </w:r>
      <w:r w:rsidR="00092CE1" w:rsidRPr="00864442">
        <w:rPr>
          <w:lang w:val="en-US"/>
        </w:rPr>
        <w:t>.</w:t>
      </w:r>
    </w:p>
    <w:p w14:paraId="45C889B4" w14:textId="49AE479A" w:rsidR="00E7177C" w:rsidRPr="00864442" w:rsidRDefault="00AF598D" w:rsidP="004366EB">
      <w:pPr>
        <w:pStyle w:val="SingleTxtG"/>
      </w:pPr>
      <w:r w:rsidRPr="00864442">
        <w:t>39.</w:t>
      </w:r>
      <w:r w:rsidRPr="00864442">
        <w:tab/>
      </w:r>
      <w:r w:rsidR="00E7177C" w:rsidRPr="00864442">
        <w:t>On 1 February 2023, the Israeli Minister of National Security announced measures,</w:t>
      </w:r>
      <w:r w:rsidR="00E7177C" w:rsidRPr="00864442">
        <w:rPr>
          <w:rStyle w:val="FootnoteReference"/>
        </w:rPr>
        <w:footnoteReference w:id="71"/>
      </w:r>
      <w:r w:rsidR="00E7177C" w:rsidRPr="00864442">
        <w:t xml:space="preserve"> to worsen conditions in detention for Palestinians, including women</w:t>
      </w:r>
      <w:r w:rsidR="00360719" w:rsidRPr="00864442" w:rsidDel="00360719">
        <w:rPr>
          <w:rStyle w:val="FootnoteReference"/>
          <w:lang w:val="en-US"/>
        </w:rPr>
        <w:t xml:space="preserve"> </w:t>
      </w:r>
      <w:r w:rsidR="00360719" w:rsidRPr="00864442">
        <w:t xml:space="preserve">some </w:t>
      </w:r>
      <w:proofErr w:type="gramStart"/>
      <w:r w:rsidR="00360719" w:rsidRPr="00864442">
        <w:t xml:space="preserve">of </w:t>
      </w:r>
      <w:r w:rsidR="00E7177C" w:rsidRPr="00864442">
        <w:t xml:space="preserve"> </w:t>
      </w:r>
      <w:r w:rsidR="00096A10" w:rsidRPr="00864442">
        <w:t>which</w:t>
      </w:r>
      <w:proofErr w:type="gramEnd"/>
      <w:r w:rsidR="00096A10" w:rsidRPr="00864442">
        <w:t xml:space="preserve"> have reportedly already been implemented.</w:t>
      </w:r>
      <w:r w:rsidR="00360719" w:rsidRPr="00864442">
        <w:rPr>
          <w:rStyle w:val="FootnoteReference"/>
          <w:lang w:val="en-US"/>
        </w:rPr>
        <w:t xml:space="preserve"> </w:t>
      </w:r>
      <w:r w:rsidR="00360719" w:rsidRPr="00864442">
        <w:rPr>
          <w:rStyle w:val="FootnoteReference"/>
        </w:rPr>
        <w:footnoteReference w:id="72"/>
      </w:r>
      <w:r w:rsidR="00096A10" w:rsidRPr="00864442">
        <w:t xml:space="preserve"> </w:t>
      </w:r>
      <w:r w:rsidR="00E7177C" w:rsidRPr="00864442">
        <w:t>Measures reportedly  include the removal of</w:t>
      </w:r>
      <w:r w:rsidR="00E7177C" w:rsidRPr="00864442" w:rsidDel="1C0B292C">
        <w:t xml:space="preserve"> </w:t>
      </w:r>
      <w:r w:rsidR="00E7177C" w:rsidRPr="00864442">
        <w:t xml:space="preserve">ovens to bake bread, and the reduction of bath time and the amount of water for showers. Women in Damon prison reported to </w:t>
      </w:r>
      <w:proofErr w:type="spellStart"/>
      <w:r w:rsidR="00E7177C" w:rsidRPr="00864442">
        <w:t>Addameer</w:t>
      </w:r>
      <w:proofErr w:type="spellEnd"/>
      <w:r w:rsidR="00E7177C" w:rsidRPr="00864442">
        <w:t xml:space="preserve"> that daily cell checks were conducted with a male guard accompanying the female guard.</w:t>
      </w:r>
      <w:r w:rsidR="00E7177C" w:rsidRPr="00864442">
        <w:rPr>
          <w:rStyle w:val="FootnoteReference"/>
        </w:rPr>
        <w:footnoteReference w:id="73"/>
      </w:r>
      <w:r w:rsidR="00E7177C" w:rsidRPr="00864442">
        <w:t xml:space="preserve"> According to Physicians for Human Rights, protests </w:t>
      </w:r>
      <w:r w:rsidR="00F21A29" w:rsidRPr="00864442">
        <w:t xml:space="preserve">against the announced measures </w:t>
      </w:r>
      <w:r w:rsidR="00E7177C" w:rsidRPr="00864442">
        <w:t>led to harsh reprisals, including a raid of the women’s section of Damon prison, placing of women prisoners in solitary confinement, and a ban on family visits and usage of phones for one month.</w:t>
      </w:r>
      <w:r w:rsidR="00E7177C" w:rsidRPr="00864442">
        <w:rPr>
          <w:rStyle w:val="FootnoteReference"/>
        </w:rPr>
        <w:footnoteReference w:id="74"/>
      </w:r>
      <w:r w:rsidR="00E7177C" w:rsidRPr="00864442">
        <w:t xml:space="preserve"> Reportedly, </w:t>
      </w:r>
      <w:r w:rsidR="00E7177C" w:rsidRPr="00864442">
        <w:rPr>
          <w:lang w:val="en-US"/>
        </w:rPr>
        <w:t>IPS conducted similar raids in men’s prisons.</w:t>
      </w:r>
      <w:r w:rsidR="00E7177C" w:rsidRPr="00864442">
        <w:rPr>
          <w:rStyle w:val="FootnoteReference"/>
        </w:rPr>
        <w:footnoteReference w:id="75"/>
      </w:r>
    </w:p>
    <w:p w14:paraId="3957A378" w14:textId="30003C98" w:rsidR="00E7177C" w:rsidRPr="00864442" w:rsidRDefault="00AF598D" w:rsidP="004366EB">
      <w:pPr>
        <w:pStyle w:val="SingleTxtG"/>
      </w:pPr>
      <w:r w:rsidRPr="00864442">
        <w:t>40.</w:t>
      </w:r>
      <w:r w:rsidRPr="00864442">
        <w:tab/>
      </w:r>
      <w:r w:rsidR="00E7177C" w:rsidRPr="00864442">
        <w:t xml:space="preserve">According to </w:t>
      </w:r>
      <w:proofErr w:type="spellStart"/>
      <w:r w:rsidR="00E7177C" w:rsidRPr="00864442">
        <w:t>Addameer</w:t>
      </w:r>
      <w:proofErr w:type="spellEnd"/>
      <w:r w:rsidR="00E7177C" w:rsidRPr="00864442">
        <w:t>, as of May 2023, more than 700 Palestinians with serious health conditions were held in Israeli prisons, including 200 suffering from chronic diseases.</w:t>
      </w:r>
      <w:r w:rsidR="00E7177C" w:rsidRPr="00864442">
        <w:rPr>
          <w:rStyle w:val="FootnoteReference"/>
        </w:rPr>
        <w:footnoteReference w:id="76"/>
      </w:r>
      <w:r w:rsidR="00E7177C" w:rsidRPr="00864442">
        <w:t xml:space="preserve"> Article 40A of the 2016 Counter-Terrorism Law prevents the early release of security prisoners convicted of </w:t>
      </w:r>
      <w:r w:rsidR="00E7177C" w:rsidRPr="00864442">
        <w:rPr>
          <w:lang w:val="en-US"/>
        </w:rPr>
        <w:t xml:space="preserve">murder-related </w:t>
      </w:r>
      <w:r w:rsidR="00E7177C" w:rsidRPr="00864442">
        <w:t>offences considered as an act of terror. So far, this article has only been applied against Palestinians, including those with terminal illness</w:t>
      </w:r>
      <w:r w:rsidR="009915D1">
        <w:t>.</w:t>
      </w:r>
      <w:r w:rsidR="00E7177C" w:rsidRPr="00864442">
        <w:rPr>
          <w:rStyle w:val="FootnoteReference"/>
        </w:rPr>
        <w:footnoteReference w:id="77"/>
      </w:r>
    </w:p>
    <w:p w14:paraId="72270DB4" w14:textId="1A063806" w:rsidR="00E7177C" w:rsidRPr="00864442" w:rsidRDefault="00AF598D" w:rsidP="004366EB">
      <w:pPr>
        <w:pStyle w:val="SingleTxtG"/>
      </w:pPr>
      <w:r w:rsidRPr="00864442">
        <w:t>41.</w:t>
      </w:r>
      <w:r w:rsidRPr="00864442">
        <w:tab/>
      </w:r>
      <w:r w:rsidR="00E7177C" w:rsidRPr="00864442">
        <w:t xml:space="preserve">A 24-year-old woman suffering from a neurological disorder was arrested during a 3 am raid on her house and sent to Al </w:t>
      </w:r>
      <w:proofErr w:type="spellStart"/>
      <w:r w:rsidR="00E7177C" w:rsidRPr="00864442">
        <w:t>Jalama</w:t>
      </w:r>
      <w:proofErr w:type="spellEnd"/>
      <w:r w:rsidR="00E7177C" w:rsidRPr="00864442">
        <w:t xml:space="preserve"> detention centre with her hands and legs shackled. She reported to OHCHR that she was kept in solitary confinement and subjected to ill-treatment. She was transferred to Al Damon prison and subsequently sentenced to five months imprisonment, during which, she was not provided with appropriate healthcare, leading to health complications. Other women reported the denial of medication or the administration of medication without their consent.</w:t>
      </w:r>
    </w:p>
    <w:p w14:paraId="5F45ADCC" w14:textId="60C6711A" w:rsidR="00E7177C" w:rsidRPr="00864442" w:rsidRDefault="00AF598D" w:rsidP="004366EB">
      <w:pPr>
        <w:pStyle w:val="SingleTxtG"/>
      </w:pPr>
      <w:r w:rsidRPr="00864442">
        <w:t>42.</w:t>
      </w:r>
      <w:r w:rsidRPr="00864442">
        <w:tab/>
      </w:r>
      <w:r w:rsidR="00E7177C" w:rsidRPr="00864442">
        <w:t>Palestinians continued to face extended periods in pre-trial detention</w:t>
      </w:r>
      <w:r w:rsidR="009915D1">
        <w:t>.</w:t>
      </w:r>
      <w:r w:rsidR="00E7177C" w:rsidRPr="00864442">
        <w:rPr>
          <w:rStyle w:val="FootnoteReference"/>
        </w:rPr>
        <w:footnoteReference w:id="78"/>
      </w:r>
      <w:r w:rsidR="00E7177C" w:rsidRPr="00864442">
        <w:t xml:space="preserve"> Pre-trial detention cannot be used as the general rule and must be based on an individualized determination that it is reasonable and necessary, taking into account all the circumstances for such purposes as to prevent flight, interference with evidence or the recurrence of crime.</w:t>
      </w:r>
      <w:r w:rsidR="00E7177C" w:rsidRPr="00864442">
        <w:rPr>
          <w:rStyle w:val="FootnoteReference"/>
        </w:rPr>
        <w:footnoteReference w:id="79"/>
      </w:r>
      <w:r w:rsidR="00E7177C" w:rsidRPr="00864442">
        <w:t xml:space="preserve"> Moreover, as stated by the Human Rights Committee, time in pre-trial detention must be as short as possible.</w:t>
      </w:r>
      <w:r w:rsidR="00E7177C" w:rsidRPr="00864442">
        <w:rPr>
          <w:rStyle w:val="FootnoteReference"/>
        </w:rPr>
        <w:footnoteReference w:id="80"/>
      </w:r>
      <w:r w:rsidR="00E7177C" w:rsidRPr="00864442">
        <w:t xml:space="preserve">  </w:t>
      </w:r>
    </w:p>
    <w:p w14:paraId="0F294B3F" w14:textId="1DE93F69" w:rsidR="00E7177C" w:rsidRPr="00864442" w:rsidRDefault="00AF598D" w:rsidP="0067023B">
      <w:pPr>
        <w:pStyle w:val="SingleTxtG"/>
      </w:pPr>
      <w:r w:rsidRPr="00864442">
        <w:t>43.</w:t>
      </w:r>
      <w:r w:rsidRPr="00864442">
        <w:tab/>
      </w:r>
      <w:r w:rsidR="00E7177C" w:rsidRPr="00864442">
        <w:t xml:space="preserve">Palestinian women human rights defenders reported the threat of extended pre-trial detention to pressure them to accept plea bargains, which they saw </w:t>
      </w:r>
      <w:proofErr w:type="gramStart"/>
      <w:r w:rsidR="00E7177C" w:rsidRPr="00864442">
        <w:t>as a means to</w:t>
      </w:r>
      <w:proofErr w:type="gramEnd"/>
      <w:r w:rsidR="00E7177C" w:rsidRPr="00864442">
        <w:t xml:space="preserve"> secure release from lengthy pre-trial detention and based on a belief that they would be convicted and sentenced regardless of their innocence. This was supported by </w:t>
      </w:r>
      <w:bookmarkStart w:id="6" w:name="_Hlk140683304"/>
      <w:r w:rsidR="00E7177C" w:rsidRPr="00864442">
        <w:t>data provided by the Israeli Defence Forces to the Movement for Freedom of Information that showed,</w:t>
      </w:r>
      <w:r w:rsidR="00E7177C" w:rsidRPr="00864442" w:rsidDel="1C0B292C">
        <w:t xml:space="preserve"> </w:t>
      </w:r>
      <w:r w:rsidR="00E7177C" w:rsidRPr="00864442">
        <w:t>between 2018 and 2021, 96 per cent of cases opened by military prosecutors against Palestinians ended with conviction, with only 0.3 per cent acquitted. Of the convictions, 99.6 per cent were based on plea bargains</w:t>
      </w:r>
      <w:bookmarkEnd w:id="6"/>
      <w:r w:rsidR="00E7177C" w:rsidRPr="00864442">
        <w:t>.</w:t>
      </w:r>
      <w:r w:rsidR="00E7177C" w:rsidRPr="00864442">
        <w:rPr>
          <w:rStyle w:val="FootnoteReference"/>
        </w:rPr>
        <w:footnoteReference w:id="81"/>
      </w:r>
    </w:p>
    <w:p w14:paraId="3E386516" w14:textId="2DF1F305" w:rsidR="00E7177C" w:rsidRPr="00864442" w:rsidRDefault="00AF598D" w:rsidP="004366EB">
      <w:pPr>
        <w:pStyle w:val="SingleTxtG"/>
      </w:pPr>
      <w:r w:rsidRPr="00864442">
        <w:lastRenderedPageBreak/>
        <w:t>44.</w:t>
      </w:r>
      <w:r w:rsidRPr="00864442">
        <w:tab/>
      </w:r>
      <w:r w:rsidR="00E7177C" w:rsidRPr="00864442">
        <w:t xml:space="preserve">Palestinian women were reportedly subjected to gender-based ill treatment during arrest, </w:t>
      </w:r>
      <w:proofErr w:type="gramStart"/>
      <w:r w:rsidR="00E7177C" w:rsidRPr="00864442">
        <w:t>interrogation</w:t>
      </w:r>
      <w:proofErr w:type="gramEnd"/>
      <w:r w:rsidR="00E7177C" w:rsidRPr="00864442">
        <w:t xml:space="preserve"> and detention. A Palestinian woman from East Jerusalem described how she and her daughter, a minor, who were relatives of an alleged perpetrator of a crime, were subjected to unnecessary, </w:t>
      </w:r>
      <w:proofErr w:type="gramStart"/>
      <w:r w:rsidR="00E7177C" w:rsidRPr="00864442">
        <w:t>degrading</w:t>
      </w:r>
      <w:proofErr w:type="gramEnd"/>
      <w:r w:rsidR="00E7177C" w:rsidRPr="00864442">
        <w:t xml:space="preserve"> and humiliating strip searches at their home. Women reported that their treatment was used to extract confessions, and to deter activism. A Palestinian woman from East Jerusalem described being subjected to verbal insults of a sexual nature by a woman Israeli officer while being transported to</w:t>
      </w:r>
      <w:r w:rsidR="00E7177C" w:rsidRPr="00864442" w:rsidDel="46569E16">
        <w:t xml:space="preserve"> </w:t>
      </w:r>
      <w:r w:rsidR="00E7177C" w:rsidRPr="00864442">
        <w:t>Israel. Another Palestinian woman described her hands and feet being shackled and transported inside a van that was “something like a cage” and “dark and narrow”.</w:t>
      </w:r>
      <w:r w:rsidR="009915D1">
        <w:t xml:space="preserve"> </w:t>
      </w:r>
      <w:r w:rsidR="00E7177C" w:rsidRPr="00864442">
        <w:t xml:space="preserve">Shatha Odeh, the previous Director of Health Work Committees, a Palestinian non-governmental </w:t>
      </w:r>
      <w:proofErr w:type="gramStart"/>
      <w:r w:rsidR="00E7177C" w:rsidRPr="00864442">
        <w:t>health</w:t>
      </w:r>
      <w:proofErr w:type="gramEnd"/>
      <w:r w:rsidR="00E7177C" w:rsidRPr="00864442">
        <w:t xml:space="preserve"> and developmental organization described journeys back and forth between Hasharon and Ofer in these vans that lasted 8 hours and were followed by 8 to 11 hours of interrogation. Women described th</w:t>
      </w:r>
      <w:r w:rsidR="00752754" w:rsidRPr="00864442">
        <w:t xml:space="preserve">e experience </w:t>
      </w:r>
      <w:r w:rsidR="00E7177C" w:rsidRPr="00864442">
        <w:t xml:space="preserve">as humiliating and intimidating.  </w:t>
      </w:r>
    </w:p>
    <w:p w14:paraId="148AD57C" w14:textId="38390589" w:rsidR="00E7177C" w:rsidRPr="00864442" w:rsidRDefault="00AF598D" w:rsidP="0067023B">
      <w:pPr>
        <w:pStyle w:val="SingleTxtG"/>
      </w:pPr>
      <w:r w:rsidRPr="00864442">
        <w:t>45.</w:t>
      </w:r>
      <w:r w:rsidRPr="00864442">
        <w:tab/>
      </w:r>
      <w:r w:rsidR="00E7177C" w:rsidRPr="00864442">
        <w:t>I</w:t>
      </w:r>
      <w:r w:rsidR="00614C11">
        <w:t>SF</w:t>
      </w:r>
      <w:r w:rsidR="00E7177C" w:rsidRPr="00864442">
        <w:t xml:space="preserve"> reportedly used physical violence during interrogation, particularly against young Palestinian men and boys. One teenage boy reported that he was subjected to multiple interrogations during which he was beaten with sticks, slapped, punched, kneed in the face and head, and kicked on the legs and stomach. Israeli authorities have still not taken legislative or other measures to ensure that any statement which is established to have been made </w:t>
      </w:r>
      <w:proofErr w:type="gramStart"/>
      <w:r w:rsidR="00E7177C" w:rsidRPr="00864442">
        <w:t>as a result of</w:t>
      </w:r>
      <w:proofErr w:type="gramEnd"/>
      <w:r w:rsidR="00E7177C" w:rsidRPr="00864442">
        <w:t xml:space="preserve"> torture is not invoked as evidence in any proceedings.</w:t>
      </w:r>
      <w:r w:rsidR="00E7177C" w:rsidRPr="00864442">
        <w:rPr>
          <w:rStyle w:val="FootnoteReference"/>
        </w:rPr>
        <w:footnoteReference w:id="82"/>
      </w:r>
    </w:p>
    <w:p w14:paraId="2D2CBD61" w14:textId="7E963275" w:rsidR="00E7177C" w:rsidRPr="00864442" w:rsidRDefault="00AF598D" w:rsidP="0067023B">
      <w:pPr>
        <w:pStyle w:val="SingleTxtG"/>
      </w:pPr>
      <w:r w:rsidRPr="00864442">
        <w:t>46.</w:t>
      </w:r>
      <w:r w:rsidRPr="00864442">
        <w:tab/>
      </w:r>
      <w:r w:rsidR="00E7177C" w:rsidRPr="00864442">
        <w:t>Between 31 May 2021 and 30 March 2023, a monthly average of 146 Palestinian children were detained in Israeli prisons.</w:t>
      </w:r>
      <w:r w:rsidR="00E7177C" w:rsidRPr="00864442">
        <w:rPr>
          <w:rStyle w:val="FootnoteReference"/>
        </w:rPr>
        <w:footnoteReference w:id="83"/>
      </w:r>
      <w:r w:rsidR="00E7177C" w:rsidRPr="00864442">
        <w:t xml:space="preserve"> 27 per cent were serving sentences and the remainder were detained pre-trial, during proceedings or administratively. </w:t>
      </w:r>
      <w:bookmarkStart w:id="7" w:name="_Hlk140683417"/>
      <w:r w:rsidR="00E7177C" w:rsidRPr="00864442">
        <w:t>The U</w:t>
      </w:r>
      <w:r w:rsidR="00394641">
        <w:t>N</w:t>
      </w:r>
      <w:r w:rsidR="00E7177C" w:rsidRPr="00864442">
        <w:t xml:space="preserve"> Children’s Fund</w:t>
      </w:r>
      <w:r w:rsidR="00E7177C" w:rsidRPr="00864442" w:rsidDel="004C7F3E">
        <w:t xml:space="preserve"> </w:t>
      </w:r>
      <w:r w:rsidR="00E7177C" w:rsidRPr="00864442">
        <w:t>verified that at least 29 Palestinian children were held by Israel in administrative detention during the period 31 May 2021 and 30 March 2023</w:t>
      </w:r>
      <w:bookmarkEnd w:id="7"/>
      <w:r w:rsidR="00E7177C" w:rsidRPr="00864442">
        <w:t>. Sworn testimonies from 149 Palestinian children held in Israeli military detention, 57 per cent of whom were detained in Israel, alleged  patterns of ill-treatment during arrest, transfer, interrogation and detention, including physical violence (77 per cent), denial of food and water (61 per cent), denial of access to toilets (47 percent),</w:t>
      </w:r>
      <w:r w:rsidR="00E7177C" w:rsidRPr="00864442" w:rsidDel="000F4749">
        <w:t xml:space="preserve"> and</w:t>
      </w:r>
      <w:r w:rsidR="00E7177C" w:rsidRPr="00864442">
        <w:t xml:space="preserve"> denial of access to lawyer or parent before and during interrogation (91 per cent).</w:t>
      </w:r>
      <w:r w:rsidR="00E7177C" w:rsidRPr="00864442">
        <w:rPr>
          <w:rStyle w:val="FootnoteReference"/>
        </w:rPr>
        <w:footnoteReference w:id="84"/>
      </w:r>
      <w:r w:rsidR="00E7177C" w:rsidRPr="00864442">
        <w:t xml:space="preserve"> 50 children reported being held in solitary confinement during interrogations for periods between one and 45 days. International human rights law requires the detention of children to be used only as a measure of last resort and for the shortest appropriate period.</w:t>
      </w:r>
      <w:r w:rsidR="00E7177C" w:rsidRPr="00864442">
        <w:rPr>
          <w:rStyle w:val="FootnoteReference"/>
        </w:rPr>
        <w:footnoteReference w:id="85"/>
      </w:r>
      <w:r w:rsidR="00E7177C" w:rsidRPr="00864442">
        <w:t xml:space="preserve">   </w:t>
      </w:r>
    </w:p>
    <w:p w14:paraId="06EB321D" w14:textId="4E60685D" w:rsidR="00E7177C" w:rsidRPr="00864442" w:rsidRDefault="00AF598D" w:rsidP="0067023B">
      <w:pPr>
        <w:pStyle w:val="SingleTxtG"/>
      </w:pPr>
      <w:r w:rsidRPr="00864442">
        <w:t>47.</w:t>
      </w:r>
      <w:r w:rsidRPr="00864442">
        <w:tab/>
      </w:r>
      <w:r w:rsidR="00E7177C" w:rsidRPr="00864442">
        <w:t xml:space="preserve">Inappropriate use of solitary confinement against Palestinians was </w:t>
      </w:r>
      <w:r w:rsidR="00CE6AB5" w:rsidRPr="00864442">
        <w:t xml:space="preserve">also </w:t>
      </w:r>
      <w:r w:rsidR="00E7177C" w:rsidRPr="00864442">
        <w:t xml:space="preserve">documented. On 13 March 2023, </w:t>
      </w:r>
      <w:proofErr w:type="spellStart"/>
      <w:r w:rsidR="00E7177C" w:rsidRPr="00864442">
        <w:t>Be’er</w:t>
      </w:r>
      <w:proofErr w:type="spellEnd"/>
      <w:r w:rsidR="00E7177C" w:rsidRPr="00864442">
        <w:t xml:space="preserve"> Sheva District Court extended for an additional six months the existing 16 months of solitary confinement for 21-year-old Palestinian prisoner Ahmad </w:t>
      </w:r>
      <w:proofErr w:type="spellStart"/>
      <w:r w:rsidR="00E7177C" w:rsidRPr="00864442">
        <w:t>Manasra</w:t>
      </w:r>
      <w:proofErr w:type="spellEnd"/>
      <w:r w:rsidR="00E7177C" w:rsidRPr="00864442">
        <w:t xml:space="preserve">, despite </w:t>
      </w:r>
      <w:r w:rsidR="0060796B" w:rsidRPr="00864442">
        <w:t xml:space="preserve">his </w:t>
      </w:r>
      <w:r w:rsidR="00E7177C" w:rsidRPr="00864442">
        <w:t xml:space="preserve">being diagnosed with schizophrenia. During his time in prison, since he was 13 years old, </w:t>
      </w:r>
      <w:proofErr w:type="spellStart"/>
      <w:r w:rsidR="00E7177C" w:rsidRPr="00864442">
        <w:t>Manasra’s</w:t>
      </w:r>
      <w:proofErr w:type="spellEnd"/>
      <w:r w:rsidR="00E7177C" w:rsidRPr="00864442">
        <w:t xml:space="preserve"> mental health has reportedly deteriorated drastically. Solitary confinement often causes severe mental and physical suffering that amounts to torture or cruel and inhuman treatment. The 2016 Counter-Terrorism Law prevents his early release on medical grounds.</w:t>
      </w:r>
    </w:p>
    <w:p w14:paraId="07EE40F4" w14:textId="56900340" w:rsidR="00E7177C" w:rsidRPr="00864442" w:rsidRDefault="00B941F0" w:rsidP="00B941F0">
      <w:pPr>
        <w:pStyle w:val="H1G"/>
      </w:pPr>
      <w:r w:rsidRPr="00864442">
        <w:tab/>
      </w:r>
      <w:r w:rsidR="00E7177C" w:rsidRPr="00864442">
        <w:t>E.</w:t>
      </w:r>
      <w:r w:rsidRPr="00864442">
        <w:tab/>
      </w:r>
      <w:r w:rsidR="00E7177C" w:rsidRPr="00864442">
        <w:t xml:space="preserve">Restrictions on the rights to freedoms of expression, peaceful </w:t>
      </w:r>
      <w:proofErr w:type="gramStart"/>
      <w:r w:rsidR="00E7177C" w:rsidRPr="00864442">
        <w:t>assembly</w:t>
      </w:r>
      <w:proofErr w:type="gramEnd"/>
      <w:r w:rsidR="00E7177C" w:rsidRPr="00864442">
        <w:t xml:space="preserve"> and association </w:t>
      </w:r>
    </w:p>
    <w:p w14:paraId="5A3E8FE1" w14:textId="4BA47BD8" w:rsidR="00E7177C" w:rsidRPr="00864442" w:rsidRDefault="00AF598D" w:rsidP="0067023B">
      <w:pPr>
        <w:pStyle w:val="SingleTxtG"/>
      </w:pPr>
      <w:r w:rsidRPr="00864442">
        <w:t>48.</w:t>
      </w:r>
      <w:r w:rsidRPr="00864442">
        <w:tab/>
      </w:r>
      <w:r w:rsidR="00E7177C" w:rsidRPr="00864442">
        <w:t>Restrictions imposed by Israeli authorities on the rights to freedom of expression, peaceful assembly and association continued</w:t>
      </w:r>
      <w:r w:rsidR="00E7177C" w:rsidRPr="00864442">
        <w:rPr>
          <w:rStyle w:val="FootnoteReference"/>
        </w:rPr>
        <w:footnoteReference w:id="86"/>
      </w:r>
      <w:r w:rsidR="00E7177C" w:rsidRPr="00864442">
        <w:rPr>
          <w:vertAlign w:val="superscript"/>
        </w:rPr>
        <w:t xml:space="preserve"> </w:t>
      </w:r>
      <w:r w:rsidR="00E7177C" w:rsidRPr="00864442">
        <w:t>during the reporting period, with an escalation in Israel’s attempts to silence human rights defenders and to close civil society organizations advocating for the human rights of Palestinians</w:t>
      </w:r>
      <w:r w:rsidR="001F102F" w:rsidRPr="00864442">
        <w:t>,</w:t>
      </w:r>
      <w:r w:rsidR="00E7177C" w:rsidRPr="00864442">
        <w:t xml:space="preserve"> claiming they are affiliated with terror organisations, including </w:t>
      </w:r>
      <w:r w:rsidR="005E290D" w:rsidRPr="00864442">
        <w:t xml:space="preserve">possibly </w:t>
      </w:r>
      <w:r w:rsidR="00E7177C" w:rsidRPr="00864442">
        <w:t>in reprisal for cooperating with the U</w:t>
      </w:r>
      <w:r w:rsidR="00394641">
        <w:t>N</w:t>
      </w:r>
      <w:r w:rsidR="00E7177C" w:rsidRPr="00864442">
        <w:t>.</w:t>
      </w:r>
      <w:r w:rsidR="00FA3792" w:rsidRPr="00864442">
        <w:rPr>
          <w:rStyle w:val="FootnoteReference"/>
        </w:rPr>
        <w:footnoteReference w:id="87"/>
      </w:r>
      <w:r w:rsidR="00FA3792" w:rsidRPr="00864442" w:rsidDel="00FA3792">
        <w:rPr>
          <w:rStyle w:val="FootnoteReference"/>
          <w:lang w:val="en-US"/>
        </w:rPr>
        <w:t xml:space="preserve"> </w:t>
      </w:r>
    </w:p>
    <w:p w14:paraId="2D229045" w14:textId="48A1552E" w:rsidR="00E7177C" w:rsidRPr="00864442" w:rsidRDefault="00AF598D" w:rsidP="00FA3792">
      <w:pPr>
        <w:pStyle w:val="SingleTxtG"/>
      </w:pPr>
      <w:r w:rsidRPr="00864442">
        <w:lastRenderedPageBreak/>
        <w:t>49.</w:t>
      </w:r>
      <w:r w:rsidRPr="00864442">
        <w:tab/>
      </w:r>
      <w:r w:rsidR="00E7177C" w:rsidRPr="00864442">
        <w:t>Israeli counter-terrorism legislation has been</w:t>
      </w:r>
      <w:r w:rsidR="00197B2D" w:rsidRPr="00864442">
        <w:t xml:space="preserve"> at times </w:t>
      </w:r>
      <w:r w:rsidR="00E7177C" w:rsidRPr="00864442">
        <w:t>applied to outlaw the legitimate work of human rights and humanitarian organizations.</w:t>
      </w:r>
      <w:r w:rsidR="00E7177C" w:rsidRPr="00864442">
        <w:rPr>
          <w:rStyle w:val="FootnoteReference"/>
        </w:rPr>
        <w:footnoteReference w:id="88"/>
      </w:r>
      <w:r w:rsidR="00E7177C" w:rsidRPr="00864442" w:rsidDel="53A5B532">
        <w:t xml:space="preserve"> </w:t>
      </w:r>
      <w:r w:rsidR="00E7177C" w:rsidRPr="00864442" w:rsidDel="38F93697">
        <w:t>I</w:t>
      </w:r>
      <w:r w:rsidR="00614C11">
        <w:t>SF</w:t>
      </w:r>
      <w:r w:rsidR="00E7177C" w:rsidRPr="00864442" w:rsidDel="0656A05E">
        <w:t xml:space="preserve"> </w:t>
      </w:r>
      <w:r w:rsidR="00E7177C" w:rsidRPr="00864442">
        <w:rPr>
          <w:rFonts w:eastAsia="Times New Roman"/>
        </w:rPr>
        <w:t>summoned or arrested several staff members of</w:t>
      </w:r>
      <w:r w:rsidR="00E7177C" w:rsidRPr="00864442" w:rsidDel="011539C6">
        <w:rPr>
          <w:rFonts w:eastAsia="Times New Roman"/>
        </w:rPr>
        <w:t xml:space="preserve"> </w:t>
      </w:r>
      <w:r w:rsidR="00E7177C" w:rsidRPr="00864442">
        <w:rPr>
          <w:rFonts w:eastAsia="Times New Roman"/>
        </w:rPr>
        <w:t>seven human rights and humanitarian organizations that Israel has designated and/or declared terrorist or unlawful.</w:t>
      </w:r>
      <w:r w:rsidR="00E7177C" w:rsidRPr="00864442">
        <w:rPr>
          <w:rStyle w:val="FootnoteReference"/>
        </w:rPr>
        <w:footnoteReference w:id="89"/>
      </w:r>
      <w:r w:rsidR="00E7177C" w:rsidRPr="00864442">
        <w:rPr>
          <w:rFonts w:eastAsia="Times New Roman"/>
        </w:rPr>
        <w:t xml:space="preserve"> </w:t>
      </w:r>
      <w:r w:rsidR="00E7177C" w:rsidRPr="00864442">
        <w:t>Summons, arrests, detentions and intimidation appear to have been targeted especially at women’s human rights defenders, at times with a clear gender dimension</w:t>
      </w:r>
      <w:r w:rsidR="009915D1">
        <w:t>.</w:t>
      </w:r>
      <w:r w:rsidR="00E7177C" w:rsidRPr="00864442">
        <w:rPr>
          <w:rStyle w:val="FootnoteReference"/>
        </w:rPr>
        <w:footnoteReference w:id="90"/>
      </w:r>
      <w:r w:rsidR="00E7177C" w:rsidRPr="00864442">
        <w:t xml:space="preserve"> </w:t>
      </w:r>
    </w:p>
    <w:p w14:paraId="22055F44" w14:textId="6BBE254B" w:rsidR="00E7177C" w:rsidRPr="00864442" w:rsidRDefault="00AF598D" w:rsidP="0067023B">
      <w:pPr>
        <w:pStyle w:val="SingleTxtG"/>
      </w:pPr>
      <w:r w:rsidRPr="00864442">
        <w:t>50.</w:t>
      </w:r>
      <w:r w:rsidRPr="00864442">
        <w:tab/>
      </w:r>
      <w:r w:rsidR="00E7177C" w:rsidRPr="00864442">
        <w:t xml:space="preserve">Travel bans have targeted human rights defenders, preventing members of designated organisations from raising human rights concerns at international fora. For example, Union of Palestinian Women’s Committee executive director </w:t>
      </w:r>
      <w:proofErr w:type="spellStart"/>
      <w:r w:rsidR="00E7177C" w:rsidRPr="00864442">
        <w:t>Tahreer</w:t>
      </w:r>
      <w:proofErr w:type="spellEnd"/>
      <w:r w:rsidR="00E7177C" w:rsidRPr="00864442">
        <w:t xml:space="preserve"> Jaber and </w:t>
      </w:r>
      <w:proofErr w:type="spellStart"/>
      <w:r w:rsidR="00E7177C" w:rsidRPr="00864442">
        <w:t>Bisan</w:t>
      </w:r>
      <w:proofErr w:type="spellEnd"/>
      <w:r w:rsidR="00E7177C" w:rsidRPr="00864442">
        <w:t xml:space="preserve"> executive director Ubai Al-Aboudi are subject to travel bans and could not travel to provide their testimonies to the Commission of Inquiry on the OPT and Israel on 8 November 2022.</w:t>
      </w:r>
      <w:r w:rsidR="00E7177C" w:rsidRPr="00864442">
        <w:rPr>
          <w:rStyle w:val="FootnoteReference"/>
        </w:rPr>
        <w:footnoteReference w:id="91"/>
      </w:r>
      <w:r w:rsidR="00E7177C" w:rsidRPr="00864442">
        <w:t xml:space="preserve">  </w:t>
      </w:r>
    </w:p>
    <w:p w14:paraId="43247005" w14:textId="2B174BFD" w:rsidR="00E7177C" w:rsidRPr="00864442" w:rsidRDefault="00AF598D" w:rsidP="0067023B">
      <w:pPr>
        <w:pStyle w:val="SingleTxtG"/>
      </w:pPr>
      <w:r w:rsidRPr="00864442">
        <w:t>51.</w:t>
      </w:r>
      <w:r w:rsidRPr="00864442">
        <w:tab/>
      </w:r>
      <w:r w:rsidR="00E7177C" w:rsidRPr="00864442">
        <w:t xml:space="preserve">In November 2021, a forensic peer-reviewed investigation by NGO Front Line Defenders of devices belonging to Palestinian human rights defenders and employees of civil society organisations revealed that those of the directors of </w:t>
      </w:r>
      <w:proofErr w:type="spellStart"/>
      <w:r w:rsidR="00E7177C" w:rsidRPr="00864442">
        <w:t>Bisan</w:t>
      </w:r>
      <w:proofErr w:type="spellEnd"/>
      <w:r w:rsidR="00E7177C" w:rsidRPr="00864442">
        <w:t xml:space="preserve"> </w:t>
      </w:r>
      <w:proofErr w:type="spellStart"/>
      <w:r w:rsidR="00E7177C" w:rsidRPr="00864442">
        <w:t>Center</w:t>
      </w:r>
      <w:proofErr w:type="spellEnd"/>
      <w:r w:rsidR="00E7177C" w:rsidRPr="00864442">
        <w:t xml:space="preserve">, Al-Haq and </w:t>
      </w:r>
      <w:proofErr w:type="spellStart"/>
      <w:r w:rsidR="00E7177C" w:rsidRPr="00864442">
        <w:t>Addameer</w:t>
      </w:r>
      <w:proofErr w:type="spellEnd"/>
      <w:r w:rsidR="00E7177C" w:rsidRPr="00864442">
        <w:t xml:space="preserve"> had been infected with Pegasus</w:t>
      </w:r>
      <w:r w:rsidR="00E7177C" w:rsidRPr="00864442">
        <w:rPr>
          <w:rStyle w:val="FootnoteReference"/>
        </w:rPr>
        <w:footnoteReference w:id="92"/>
      </w:r>
      <w:r w:rsidR="00E7177C" w:rsidRPr="00864442">
        <w:t xml:space="preserve"> spyware.</w:t>
      </w:r>
      <w:r w:rsidR="00E7177C" w:rsidRPr="00864442">
        <w:rPr>
          <w:rStyle w:val="FootnoteReference"/>
        </w:rPr>
        <w:footnoteReference w:id="93"/>
      </w:r>
    </w:p>
    <w:p w14:paraId="67EA521F" w14:textId="6B9B6CF6" w:rsidR="00E7177C" w:rsidRPr="00864442" w:rsidRDefault="00AF598D" w:rsidP="0067023B">
      <w:pPr>
        <w:pStyle w:val="SingleTxtG"/>
      </w:pPr>
      <w:r w:rsidRPr="00864442">
        <w:t>52.</w:t>
      </w:r>
      <w:r w:rsidRPr="00864442">
        <w:tab/>
      </w:r>
      <w:r w:rsidR="00E7177C" w:rsidRPr="00864442">
        <w:t>Designations and declarations of the seven human rights and humanitarian organisations have had serious impacts on their work, including through the withdrawal of funding, denial or delay of bank transfers, staff and board members resigning for fear of detention or retaliation, summons for questioning, travel bans against staff, and detention of staff and board members, including administrative detention.</w:t>
      </w:r>
      <w:r w:rsidR="00E7177C" w:rsidRPr="00864442">
        <w:rPr>
          <w:rFonts w:eastAsia="Times New Roman"/>
        </w:rPr>
        <w:t xml:space="preserve"> Such </w:t>
      </w:r>
      <w:r w:rsidR="00E7177C" w:rsidRPr="00864442">
        <w:t>measures have had a considerable impact on the work of women human rights defenders,</w:t>
      </w:r>
      <w:r w:rsidR="00E7177C" w:rsidRPr="00864442">
        <w:rPr>
          <w:rStyle w:val="FootnoteReference"/>
        </w:rPr>
        <w:footnoteReference w:id="94"/>
      </w:r>
      <w:r w:rsidR="00E7177C" w:rsidRPr="00864442">
        <w:rPr>
          <w:vertAlign w:val="superscript"/>
        </w:rPr>
        <w:t xml:space="preserve"> </w:t>
      </w:r>
      <w:r w:rsidR="00E7177C" w:rsidRPr="00864442">
        <w:t>disrupting services essential to women,</w:t>
      </w:r>
      <w:r w:rsidR="00E7177C" w:rsidRPr="00864442" w:rsidDel="0656A05E">
        <w:t xml:space="preserve"> </w:t>
      </w:r>
      <w:r w:rsidR="00E7177C" w:rsidRPr="00864442">
        <w:t xml:space="preserve">including gender specific health services. </w:t>
      </w:r>
    </w:p>
    <w:p w14:paraId="235D5517" w14:textId="704DB26E" w:rsidR="00E7177C" w:rsidRPr="00864442" w:rsidRDefault="00AF598D" w:rsidP="0067023B">
      <w:pPr>
        <w:pStyle w:val="SingleTxtG"/>
      </w:pPr>
      <w:r w:rsidRPr="00864442">
        <w:t>53.</w:t>
      </w:r>
      <w:r w:rsidRPr="00864442">
        <w:tab/>
      </w:r>
      <w:r w:rsidR="00E7177C" w:rsidRPr="00864442">
        <w:t>According to the Commission of Inquiry on the OPT, including East Jerusalem, and Israel, targeting by Israeli authorities of civil society organizations reporting on human rights violations</w:t>
      </w:r>
      <w:r w:rsidR="00E7177C" w:rsidRPr="00864442" w:rsidDel="36FF1F1A">
        <w:t xml:space="preserve"> </w:t>
      </w:r>
      <w:r w:rsidR="00E7177C" w:rsidRPr="00864442">
        <w:t>was particularly severe, leading to concerns in at least one case that actions taken may amount to a war crime.</w:t>
      </w:r>
      <w:r w:rsidR="00E7177C" w:rsidRPr="00864442">
        <w:rPr>
          <w:rStyle w:val="FootnoteReference"/>
        </w:rPr>
        <w:footnoteReference w:id="95"/>
      </w:r>
      <w:r w:rsidR="00E7177C" w:rsidRPr="00864442">
        <w:t xml:space="preserve"> </w:t>
      </w:r>
      <w:r w:rsidR="00750D95" w:rsidRPr="00864442">
        <w:t xml:space="preserve">On 7 March 2022 </w:t>
      </w:r>
      <w:r w:rsidR="00E7177C" w:rsidRPr="00864442">
        <w:t>I</w:t>
      </w:r>
      <w:r w:rsidR="00614C11">
        <w:t>SF</w:t>
      </w:r>
      <w:r w:rsidR="00E7177C" w:rsidRPr="00864442">
        <w:t xml:space="preserve"> arrested Salah </w:t>
      </w:r>
      <w:proofErr w:type="spellStart"/>
      <w:r w:rsidR="00E7177C" w:rsidRPr="00864442">
        <w:t>Hammouri</w:t>
      </w:r>
      <w:proofErr w:type="spellEnd"/>
      <w:r w:rsidR="00E7177C" w:rsidRPr="00864442">
        <w:t xml:space="preserve">, a staff member of </w:t>
      </w:r>
      <w:proofErr w:type="spellStart"/>
      <w:r w:rsidR="00E7177C" w:rsidRPr="00864442">
        <w:t>Addameer</w:t>
      </w:r>
      <w:proofErr w:type="spellEnd"/>
      <w:r w:rsidR="00E7177C" w:rsidRPr="00864442">
        <w:t xml:space="preserve"> (one of the organizations designated as ‘terrorist’), and subsequently placed him under three months administrative detention, which was extended twice, based on “secret evidence”; he was n</w:t>
      </w:r>
      <w:r w:rsidR="00E80858" w:rsidRPr="00864442">
        <w:t>ever</w:t>
      </w:r>
      <w:r w:rsidR="00E7177C" w:rsidRPr="00864442">
        <w:t xml:space="preserve"> charged or tried.</w:t>
      </w:r>
      <w:r w:rsidR="00E7177C" w:rsidRPr="00864442">
        <w:rPr>
          <w:rStyle w:val="FootnoteReference"/>
        </w:rPr>
        <w:footnoteReference w:id="96"/>
      </w:r>
      <w:r w:rsidR="00E7177C" w:rsidRPr="00864442">
        <w:t xml:space="preserve"> </w:t>
      </w:r>
      <w:proofErr w:type="spellStart"/>
      <w:r w:rsidR="00E7177C" w:rsidRPr="00864442">
        <w:t>Hammouri’s</w:t>
      </w:r>
      <w:proofErr w:type="spellEnd"/>
      <w:r w:rsidR="00E7177C" w:rsidRPr="00864442">
        <w:t xml:space="preserve"> East Jerusalem residency permit </w:t>
      </w:r>
      <w:r w:rsidR="00E7177C" w:rsidRPr="00864442" w:rsidDel="0FD37AA4">
        <w:t>was</w:t>
      </w:r>
      <w:r w:rsidR="00E7177C" w:rsidRPr="00864442">
        <w:t xml:space="preserve"> revoked in October 2021 for “breach of allegiance” to Israel and on 12 December 2022, he was deported to France, seemingly in violation of international humanitarian law, which prohibits the deportation of the protected population from occupied territory.</w:t>
      </w:r>
      <w:r w:rsidR="00E7177C" w:rsidRPr="00864442">
        <w:rPr>
          <w:rStyle w:val="FootnoteReference"/>
        </w:rPr>
        <w:footnoteReference w:id="97"/>
      </w:r>
    </w:p>
    <w:p w14:paraId="4E96276D" w14:textId="316BF323" w:rsidR="00E7177C" w:rsidRPr="00864442" w:rsidRDefault="00AF598D" w:rsidP="0067023B">
      <w:pPr>
        <w:pStyle w:val="SingleTxtG"/>
      </w:pPr>
      <w:r w:rsidRPr="00864442">
        <w:t>54.</w:t>
      </w:r>
      <w:r w:rsidRPr="00864442">
        <w:tab/>
      </w:r>
      <w:r w:rsidR="00E7177C" w:rsidRPr="00864442">
        <w:t xml:space="preserve">On 30 August 2022, Mohammad </w:t>
      </w:r>
      <w:proofErr w:type="spellStart"/>
      <w:r w:rsidR="00E7177C" w:rsidRPr="00864442">
        <w:t>el-Halabi</w:t>
      </w:r>
      <w:proofErr w:type="spellEnd"/>
      <w:r w:rsidR="00E7177C" w:rsidRPr="00864442">
        <w:t>, the former head of the NGO World Vision International office in Gaza was</w:t>
      </w:r>
      <w:r w:rsidR="00E7177C" w:rsidRPr="00864442" w:rsidDel="26C7C323">
        <w:t xml:space="preserve"> </w:t>
      </w:r>
      <w:r w:rsidR="00E7177C" w:rsidRPr="00864442">
        <w:t xml:space="preserve">sentenced by an Israeli court to 12 years in prison. He was </w:t>
      </w:r>
      <w:r w:rsidR="00F471D6">
        <w:tab/>
      </w:r>
      <w:r w:rsidR="00E7177C" w:rsidRPr="00864442">
        <w:t>convicted on 13 counts of terrorism-related charges,</w:t>
      </w:r>
      <w:r w:rsidR="00E7177C" w:rsidRPr="00864442">
        <w:rPr>
          <w:rStyle w:val="FootnoteReference"/>
        </w:rPr>
        <w:footnoteReference w:id="98"/>
      </w:r>
      <w:r w:rsidR="00E7177C" w:rsidRPr="00864442">
        <w:t xml:space="preserve"> despite allegations of serious due process violations, including six years of pre-trial detention</w:t>
      </w:r>
      <w:r w:rsidR="00E7177C" w:rsidRPr="00864442">
        <w:rPr>
          <w:rStyle w:val="FootnoteReference"/>
        </w:rPr>
        <w:footnoteReference w:id="99"/>
      </w:r>
      <w:r w:rsidR="00E7177C" w:rsidRPr="00864442">
        <w:t>, torture, incommunicado detention, reliance on a confession made under duress, lack of evidence against him presented in open court, extensive use of secret evidence,</w:t>
      </w:r>
      <w:r w:rsidR="00E7177C" w:rsidRPr="00864442" w:rsidDel="26C7C323">
        <w:t xml:space="preserve"> </w:t>
      </w:r>
      <w:r w:rsidR="00E7177C" w:rsidRPr="00864442">
        <w:t xml:space="preserve">closed-door hearings without good cause and </w:t>
      </w:r>
      <w:r w:rsidR="00E7177C" w:rsidRPr="00864442">
        <w:lastRenderedPageBreak/>
        <w:t>restricted access to his lawyer.</w:t>
      </w:r>
      <w:r w:rsidR="00E7177C" w:rsidRPr="00864442">
        <w:rPr>
          <w:rStyle w:val="FootnoteReference"/>
        </w:rPr>
        <w:footnoteReference w:id="100"/>
      </w:r>
      <w:r w:rsidR="00E7177C" w:rsidRPr="00864442">
        <w:rPr>
          <w:vertAlign w:val="superscript"/>
        </w:rPr>
        <w:t xml:space="preserve"> </w:t>
      </w:r>
      <w:r w:rsidR="00E7177C" w:rsidRPr="00864442">
        <w:t>His appeal to the Supreme Court has been pending since 18 October 2022, following repeated postponements of hearings, mainly due to confidentiality procedures and restrictions on the defence.</w:t>
      </w:r>
      <w:r w:rsidR="00E7177C" w:rsidRPr="00864442">
        <w:rPr>
          <w:rStyle w:val="FootnoteReference"/>
        </w:rPr>
        <w:footnoteReference w:id="101"/>
      </w:r>
      <w:r w:rsidR="00E7177C" w:rsidRPr="00864442">
        <w:t xml:space="preserve"> Serious due process violations may make a detention arbitrary.</w:t>
      </w:r>
      <w:r w:rsidR="00E7177C" w:rsidRPr="00864442">
        <w:rPr>
          <w:rStyle w:val="FootnoteReference"/>
        </w:rPr>
        <w:footnoteReference w:id="102"/>
      </w:r>
    </w:p>
    <w:p w14:paraId="717352CB" w14:textId="6FC323B0" w:rsidR="00E7177C" w:rsidRPr="00864442" w:rsidRDefault="00AF598D" w:rsidP="0067023B">
      <w:pPr>
        <w:pStyle w:val="SingleTxtG"/>
      </w:pPr>
      <w:r w:rsidRPr="00864442">
        <w:t>55.</w:t>
      </w:r>
      <w:r w:rsidRPr="00864442">
        <w:tab/>
      </w:r>
      <w:r w:rsidR="00E7177C" w:rsidRPr="00864442">
        <w:t xml:space="preserve">Palestinian journalists continue to face an environment that restricted free </w:t>
      </w:r>
      <w:r w:rsidR="003126D2" w:rsidRPr="00864442">
        <w:t>expression and</w:t>
      </w:r>
      <w:r w:rsidR="00C7630E" w:rsidRPr="00864442">
        <w:t xml:space="preserve"> placed them at risk of </w:t>
      </w:r>
      <w:r w:rsidR="005E33E3" w:rsidRPr="00864442">
        <w:t>violence</w:t>
      </w:r>
      <w:r w:rsidR="00E7177C" w:rsidRPr="00864442">
        <w:t>. According to the Committee to Protect Journalists, Israel has failed to hold anybody accountable for the killing of 20 Palestinian and foreign journalists (19 men and 1 woman) since 2001.</w:t>
      </w:r>
      <w:r w:rsidR="00E7177C" w:rsidRPr="00864442">
        <w:rPr>
          <w:rStyle w:val="FootnoteReference"/>
        </w:rPr>
        <w:footnoteReference w:id="103"/>
      </w:r>
      <w:r w:rsidR="00E7177C" w:rsidRPr="00864442">
        <w:t xml:space="preserve"> Lama </w:t>
      </w:r>
      <w:proofErr w:type="spellStart"/>
      <w:r w:rsidR="00E7177C" w:rsidRPr="00864442">
        <w:t>Ghousheh</w:t>
      </w:r>
      <w:proofErr w:type="spellEnd"/>
      <w:r w:rsidR="00E7177C" w:rsidRPr="00864442">
        <w:t>, a freelance Palestinian journalist, was arrested on 4 September 2022 on charges of “identifying with a terrorist organization and incitement to violence” reportedly related to her reporting on social media about Palestinians killed by I</w:t>
      </w:r>
      <w:r w:rsidR="00614C11">
        <w:t>SF</w:t>
      </w:r>
      <w:r w:rsidR="00E7177C" w:rsidRPr="00864442">
        <w:t xml:space="preserve"> and interviewing released prisoners. She was transferred to house arrest on 13 September 2022 on condition that she not access social media or communicate with people outside of her family. </w:t>
      </w:r>
    </w:p>
    <w:p w14:paraId="703C198C" w14:textId="21CDAA99" w:rsidR="00E7177C" w:rsidRPr="00864442" w:rsidRDefault="0067023B" w:rsidP="0067023B">
      <w:pPr>
        <w:pStyle w:val="H1G"/>
        <w:rPr>
          <w:lang w:val="en-US"/>
        </w:rPr>
      </w:pPr>
      <w:r w:rsidRPr="00864442">
        <w:rPr>
          <w:lang w:val="en-US"/>
        </w:rPr>
        <w:tab/>
      </w:r>
      <w:r w:rsidR="00E7177C" w:rsidRPr="00864442">
        <w:rPr>
          <w:lang w:val="en-US"/>
        </w:rPr>
        <w:t>F.</w:t>
      </w:r>
      <w:r w:rsidRPr="00864442">
        <w:rPr>
          <w:lang w:val="en-US"/>
        </w:rPr>
        <w:tab/>
      </w:r>
      <w:r w:rsidR="00E7177C" w:rsidRPr="00864442">
        <w:rPr>
          <w:lang w:val="en-US"/>
        </w:rPr>
        <w:t>Restrictions of freedom of movement and their impact on other rights</w:t>
      </w:r>
    </w:p>
    <w:p w14:paraId="4CAD0DF7" w14:textId="1CBF1B12" w:rsidR="00E7177C" w:rsidRPr="00864442" w:rsidRDefault="00AF598D" w:rsidP="0067023B">
      <w:pPr>
        <w:pStyle w:val="SingleTxtG"/>
      </w:pPr>
      <w:r w:rsidRPr="00864442">
        <w:t>56.</w:t>
      </w:r>
      <w:r w:rsidRPr="00864442">
        <w:tab/>
      </w:r>
      <w:r w:rsidR="00E7177C" w:rsidRPr="00864442">
        <w:t xml:space="preserve">Israeli authorities continued to restrict freedom of movement, primarily through </w:t>
      </w:r>
      <w:r w:rsidR="00E4352D" w:rsidRPr="00864442">
        <w:t xml:space="preserve">a </w:t>
      </w:r>
      <w:r w:rsidR="00E7177C" w:rsidRPr="00864442">
        <w:t>discriminatory permit system, as well as through unilaterally defined access-restricted areas inside Gaza on land and at sea as part of the Gaza closures.</w:t>
      </w:r>
      <w:r w:rsidR="00E7177C" w:rsidRPr="00864442">
        <w:rPr>
          <w:rStyle w:val="FootnoteReference"/>
        </w:rPr>
        <w:footnoteReference w:id="104"/>
      </w:r>
      <w:r w:rsidR="00E7177C" w:rsidRPr="00864442">
        <w:t xml:space="preserve"> Such restrictions continued to disrupt the daily life of Palestinians, profoundly affecting their enjoyment of other rights, including the rights to work, to an adequate standard of living, to education and to health. Movement and travel restrictions imposed by Israel, including the checkpoint system in the West Bank, remained a key factor preventing Palestinian women from accessing health-care services, education and employment opportunities and realizing women’s rights and gender equality.</w:t>
      </w:r>
      <w:r w:rsidR="00E7177C" w:rsidRPr="00864442">
        <w:rPr>
          <w:rStyle w:val="FootnoteReference"/>
        </w:rPr>
        <w:footnoteReference w:id="105"/>
      </w:r>
      <w:r w:rsidR="00E7177C" w:rsidRPr="00864442">
        <w:t xml:space="preserve"> The Human Rights Committee expressed deep concern about continuing restrictions on freedom of movement imposed through the discriminatory permit regime.</w:t>
      </w:r>
      <w:r w:rsidR="00E7177C" w:rsidRPr="00864442">
        <w:rPr>
          <w:rStyle w:val="FootnoteReference"/>
        </w:rPr>
        <w:footnoteReference w:id="106"/>
      </w:r>
      <w:r w:rsidR="00E7177C" w:rsidRPr="00864442">
        <w:t xml:space="preserve"> The Human Rights Committee also expressed concern that violations of the right to freedom of movement compound the coercive and oppressive environment for Palestinians, by forcing Palestinians to leave communities they have lived in for generations</w:t>
      </w:r>
      <w:r w:rsidR="00CC6689" w:rsidRPr="00864442">
        <w:t xml:space="preserve">. Displacement and relocation to alternative residential areas </w:t>
      </w:r>
      <w:proofErr w:type="gramStart"/>
      <w:r w:rsidR="00CC6689" w:rsidRPr="00864442">
        <w:t>as a result of</w:t>
      </w:r>
      <w:proofErr w:type="gramEnd"/>
      <w:r w:rsidR="00CC6689" w:rsidRPr="00864442">
        <w:t xml:space="preserve"> a coercive environment could amount to forms of forcible transfer, contrary to the obligations of Israel under international humanitarian and human rights law</w:t>
      </w:r>
      <w:r w:rsidR="00E7177C" w:rsidRPr="00864442">
        <w:t>.</w:t>
      </w:r>
      <w:r w:rsidR="00E7177C" w:rsidRPr="00864442">
        <w:rPr>
          <w:rStyle w:val="FootnoteReference"/>
        </w:rPr>
        <w:footnoteReference w:id="107"/>
      </w:r>
    </w:p>
    <w:p w14:paraId="25FD8B2F" w14:textId="6A7E5070" w:rsidR="00E7177C" w:rsidRPr="00864442" w:rsidRDefault="00AF598D" w:rsidP="0067023B">
      <w:pPr>
        <w:pStyle w:val="SingleTxtG"/>
      </w:pPr>
      <w:r w:rsidRPr="00864442">
        <w:t>57.</w:t>
      </w:r>
      <w:r w:rsidRPr="00864442">
        <w:tab/>
      </w:r>
      <w:r w:rsidR="00E7177C" w:rsidRPr="00864442">
        <w:t>Legislation that, according to the Committee on the Elimination of Racial Discrimination, discriminates against Palestinians in the OPT</w:t>
      </w:r>
      <w:r w:rsidR="7FB583B5" w:rsidRPr="00864442">
        <w:t>,</w:t>
      </w:r>
      <w:r w:rsidR="00E7177C" w:rsidRPr="00864442">
        <w:t xml:space="preserve"> continued to be applied</w:t>
      </w:r>
      <w:r w:rsidR="00E7177C" w:rsidRPr="00864442">
        <w:rPr>
          <w:rStyle w:val="FootnoteReference"/>
        </w:rPr>
        <w:footnoteReference w:id="108"/>
      </w:r>
      <w:r w:rsidR="00E7177C" w:rsidRPr="00864442">
        <w:t xml:space="preserve"> to revoke the status of Palestinian residents of occupied East Jerusalem. According to </w:t>
      </w:r>
      <w:proofErr w:type="spellStart"/>
      <w:r w:rsidR="00E7177C" w:rsidRPr="00864442">
        <w:t>Hamoked</w:t>
      </w:r>
      <w:proofErr w:type="spellEnd"/>
      <w:r w:rsidR="00E7177C" w:rsidRPr="00864442">
        <w:t xml:space="preserve">, Ministry of Interior figures show that </w:t>
      </w:r>
      <w:bookmarkStart w:id="8" w:name="_Hlk140683720"/>
      <w:r w:rsidR="00E7177C" w:rsidRPr="00864442">
        <w:t>81 Palestinian residents of East Jerusalem, including 42 women and one child, had their residency status revoked in 2022 for having left the country, compared to 26 in 2021</w:t>
      </w:r>
      <w:bookmarkEnd w:id="8"/>
      <w:r w:rsidR="00E7177C" w:rsidRPr="00864442">
        <w:t>.</w:t>
      </w:r>
      <w:r w:rsidR="00E7177C" w:rsidRPr="00864442">
        <w:rPr>
          <w:rStyle w:val="FootnoteReference"/>
        </w:rPr>
        <w:footnoteReference w:id="109"/>
      </w:r>
      <w:r w:rsidR="00E7177C" w:rsidRPr="00864442">
        <w:t xml:space="preserve"> According to </w:t>
      </w:r>
      <w:proofErr w:type="spellStart"/>
      <w:r w:rsidR="00E7177C" w:rsidRPr="00864442">
        <w:t>Hamoked</w:t>
      </w:r>
      <w:proofErr w:type="spellEnd"/>
      <w:r w:rsidR="00E7177C" w:rsidRPr="00864442">
        <w:t xml:space="preserve">, </w:t>
      </w:r>
      <w:bookmarkStart w:id="9" w:name="_Hlk140683763"/>
      <w:r w:rsidR="00E7177C" w:rsidRPr="00864442">
        <w:t xml:space="preserve">in total, Israel has revoked the status of 14,808 Palestinians from East Jerusalem between 1967 and 2022 on the basis that </w:t>
      </w:r>
      <w:r w:rsidR="00E7177C" w:rsidRPr="00864442">
        <w:lastRenderedPageBreak/>
        <w:t xml:space="preserve">their status </w:t>
      </w:r>
      <w:r w:rsidR="00DF71A2" w:rsidRPr="00864442">
        <w:t>had</w:t>
      </w:r>
      <w:r w:rsidR="00E7177C" w:rsidRPr="00864442">
        <w:t xml:space="preserve"> "expired"</w:t>
      </w:r>
      <w:bookmarkEnd w:id="9"/>
      <w:r w:rsidR="00E7177C" w:rsidRPr="00864442">
        <w:t>.</w:t>
      </w:r>
      <w:r w:rsidR="00E7177C" w:rsidRPr="00864442">
        <w:rPr>
          <w:rStyle w:val="FootnoteReference"/>
        </w:rPr>
        <w:footnoteReference w:id="110"/>
      </w:r>
      <w:r w:rsidR="00E7177C" w:rsidRPr="00864442">
        <w:t xml:space="preserve"> Restrictions on freedom of residence and movement divide and fragment Palestinian communities from each other and segregate</w:t>
      </w:r>
      <w:r w:rsidR="007548A6" w:rsidRPr="00864442">
        <w:rPr>
          <w:rStyle w:val="FootnoteReference"/>
        </w:rPr>
        <w:footnoteReference w:id="111"/>
      </w:r>
      <w:r w:rsidR="007548A6" w:rsidRPr="00864442">
        <w:t xml:space="preserve"> </w:t>
      </w:r>
      <w:r w:rsidR="00E7177C" w:rsidRPr="00864442">
        <w:t xml:space="preserve">them from Jewish Israelis. </w:t>
      </w:r>
    </w:p>
    <w:p w14:paraId="0AD1445F" w14:textId="54933131" w:rsidR="00E7177C" w:rsidRPr="00864442" w:rsidRDefault="00AF598D" w:rsidP="0067023B">
      <w:pPr>
        <w:pStyle w:val="SingleTxtG"/>
      </w:pPr>
      <w:r w:rsidRPr="00864442">
        <w:t>58.</w:t>
      </w:r>
      <w:r w:rsidRPr="00864442">
        <w:tab/>
      </w:r>
      <w:r w:rsidR="00E7177C" w:rsidRPr="00864442">
        <w:t>Since 2003, Israel has also applied</w:t>
      </w:r>
      <w:r w:rsidR="00E7177C" w:rsidRPr="00864442" w:rsidDel="173D2D54">
        <w:t xml:space="preserve"> </w:t>
      </w:r>
      <w:r w:rsidR="00E7177C" w:rsidRPr="00864442">
        <w:t>laws to deny residency status for family reunification in Israel for Palestinians.</w:t>
      </w:r>
      <w:r w:rsidR="00E7177C" w:rsidRPr="00864442">
        <w:rPr>
          <w:rStyle w:val="FootnoteReference"/>
        </w:rPr>
        <w:footnoteReference w:id="112"/>
      </w:r>
      <w:r w:rsidR="00E7177C" w:rsidRPr="00864442" w:rsidDel="173D2D54">
        <w:t xml:space="preserve"> </w:t>
      </w:r>
      <w:r w:rsidR="00E7177C" w:rsidRPr="00864442">
        <w:t>Following a petition from human rights organizations, t</w:t>
      </w:r>
      <w:r w:rsidR="00E7177C" w:rsidRPr="00864442">
        <w:rPr>
          <w:rFonts w:hint="cs"/>
        </w:rPr>
        <w:t>he High Court of Justice instruct</w:t>
      </w:r>
      <w:r w:rsidR="00E7177C" w:rsidRPr="00864442">
        <w:t xml:space="preserve">ed </w:t>
      </w:r>
      <w:r w:rsidR="00E7177C" w:rsidRPr="00864442">
        <w:rPr>
          <w:rFonts w:hint="cs"/>
        </w:rPr>
        <w:t xml:space="preserve">the </w:t>
      </w:r>
      <w:r w:rsidR="00E7177C" w:rsidRPr="00864442">
        <w:t>Government</w:t>
      </w:r>
      <w:r w:rsidR="00E7177C" w:rsidRPr="00864442">
        <w:rPr>
          <w:rFonts w:hint="cs"/>
        </w:rPr>
        <w:t xml:space="preserve"> </w:t>
      </w:r>
      <w:r w:rsidR="00E7177C" w:rsidRPr="00864442">
        <w:t xml:space="preserve">in December 2022 </w:t>
      </w:r>
      <w:r w:rsidR="00E7177C" w:rsidRPr="00864442">
        <w:rPr>
          <w:rFonts w:hint="cs"/>
        </w:rPr>
        <w:t>to consider mitigations to the Law</w:t>
      </w:r>
      <w:r w:rsidR="00E7177C" w:rsidRPr="00864442">
        <w:t>,</w:t>
      </w:r>
      <w:r w:rsidR="00E7177C" w:rsidRPr="00864442">
        <w:rPr>
          <w:rStyle w:val="FootnoteReference"/>
        </w:rPr>
        <w:footnoteReference w:id="113"/>
      </w:r>
      <w:r w:rsidR="00E7177C" w:rsidRPr="00864442">
        <w:rPr>
          <w:vertAlign w:val="superscript"/>
        </w:rPr>
        <w:t xml:space="preserve"> </w:t>
      </w:r>
      <w:r w:rsidR="00E7177C" w:rsidRPr="00864442">
        <w:t>which have not yet been implemented.</w:t>
      </w:r>
      <w:r w:rsidR="00E7177C" w:rsidRPr="00864442" w:rsidDel="173D2D54">
        <w:t xml:space="preserve"> </w:t>
      </w:r>
      <w:r w:rsidR="00E7177C" w:rsidRPr="00864442">
        <w:t>Israeli authorities continued to use the discriminatory permit system and the “Procedure for Issuing Permits for Judea and Samaria Residents in the Gaza Strip”</w:t>
      </w:r>
      <w:r w:rsidR="00E7177C" w:rsidRPr="00864442">
        <w:rPr>
          <w:rStyle w:val="FootnoteReference"/>
        </w:rPr>
        <w:footnoteReference w:id="114"/>
      </w:r>
      <w:r w:rsidR="00E7177C" w:rsidRPr="00864442">
        <w:t xml:space="preserve"> to prohibit family unification of Palestinians from Gaza in Israel or the West Bank, including East Jerusalem</w:t>
      </w:r>
      <w:r w:rsidR="00673CD5" w:rsidRPr="00864442">
        <w:t>;</w:t>
      </w:r>
      <w:r w:rsidR="00E7177C" w:rsidRPr="00864442">
        <w:t xml:space="preserve"> as a result families where one or more family members is registered as a resident of Gaza are either separated or forced to relocate to Gaza.</w:t>
      </w:r>
      <w:r w:rsidR="00E7177C" w:rsidRPr="00864442">
        <w:rPr>
          <w:rStyle w:val="FootnoteReference"/>
        </w:rPr>
        <w:footnoteReference w:id="115"/>
      </w:r>
      <w:r w:rsidR="00E7177C" w:rsidRPr="00864442">
        <w:t xml:space="preserve"> According to NGO Gisha the result is to pressure Palestinians from the West Bank, including East Jerusalem, to move to Gaza.</w:t>
      </w:r>
      <w:r w:rsidR="00E7177C" w:rsidRPr="00864442">
        <w:rPr>
          <w:rStyle w:val="FootnoteReference"/>
        </w:rPr>
        <w:footnoteReference w:id="116"/>
      </w:r>
      <w:r w:rsidR="00E7177C" w:rsidRPr="00864442">
        <w:t xml:space="preserve"> Given prevailing cultural norms, women are most likely to live with their husbands, meaning that the policy disproportionate affects Palestinian women.</w:t>
      </w:r>
      <w:r w:rsidR="00E7177C" w:rsidRPr="00864442">
        <w:rPr>
          <w:rStyle w:val="FootnoteReference"/>
        </w:rPr>
        <w:footnoteReference w:id="117"/>
      </w:r>
      <w:r w:rsidR="00E7177C" w:rsidRPr="00864442">
        <w:t xml:space="preserve"> Implemented as part of Israel’s separation policy, this practice furthers the forced displacement of Palestinians from the West Bank, including East Jerusalem, to Gaza.</w:t>
      </w:r>
      <w:r w:rsidR="00E7177C" w:rsidRPr="00864442">
        <w:rPr>
          <w:rStyle w:val="FootnoteReference"/>
        </w:rPr>
        <w:footnoteReference w:id="118"/>
      </w:r>
    </w:p>
    <w:p w14:paraId="1938B021" w14:textId="36ADD7D9" w:rsidR="00E7177C" w:rsidRPr="00864442" w:rsidRDefault="00AF598D" w:rsidP="0067023B">
      <w:pPr>
        <w:pStyle w:val="SingleTxtG"/>
      </w:pPr>
      <w:r w:rsidRPr="00864442">
        <w:t>59.</w:t>
      </w:r>
      <w:r w:rsidRPr="00864442">
        <w:tab/>
      </w:r>
      <w:r w:rsidR="00E7177C" w:rsidRPr="00864442">
        <w:t>In amendments to legislation from 2008 and 2018, the Knesset granted the Government authority to revoke citizenship and East Jerusalem permanent residency from Palestinians convicted of acts that constitute a “breach of loyalty.”</w:t>
      </w:r>
      <w:r w:rsidR="00E7177C" w:rsidRPr="00864442">
        <w:rPr>
          <w:rStyle w:val="FootnoteReference"/>
        </w:rPr>
        <w:footnoteReference w:id="119"/>
      </w:r>
      <w:r w:rsidR="00E7177C" w:rsidRPr="00864442">
        <w:t xml:space="preserve"> In February 2023, these powers were extended to allow revocation of citizenship or residency of Palestinians sentenced to prison for an “act of terrorism”</w:t>
      </w:r>
      <w:r w:rsidR="00E7177C" w:rsidRPr="00864442">
        <w:rPr>
          <w:rStyle w:val="FootnoteReference"/>
        </w:rPr>
        <w:footnoteReference w:id="120"/>
      </w:r>
      <w:r w:rsidR="00E7177C" w:rsidRPr="00864442">
        <w:t xml:space="preserve"> and who have received monetary benefits from the Palestinian Authority allegedly in relation to committing the act.</w:t>
      </w:r>
      <w:r w:rsidR="00E7177C" w:rsidRPr="00864442">
        <w:rPr>
          <w:rStyle w:val="FootnoteReference"/>
        </w:rPr>
        <w:footnoteReference w:id="121"/>
      </w:r>
      <w:r w:rsidR="00E7177C" w:rsidRPr="00864442">
        <w:t xml:space="preserve"> This amendment allows Israel to transfer or deport Palestinians from Israel, including occupied East Jerusalem to other parts of the West Bank, Gaza or to a third country.  Forcible transfers, as well as deportations of protected persons from occupied territory, are prohibited by, and are a grave breach of, the Fourth Geneva Convention.</w:t>
      </w:r>
      <w:r w:rsidR="00E7177C" w:rsidRPr="00864442">
        <w:rPr>
          <w:rStyle w:val="FootnoteReference"/>
        </w:rPr>
        <w:footnoteReference w:id="122"/>
      </w:r>
      <w:r w:rsidR="00E7177C" w:rsidRPr="00864442">
        <w:t xml:space="preserve"> On 5 March 2023, Israel reportedly revoked Palestinian ex-prisoner Munir </w:t>
      </w:r>
      <w:proofErr w:type="spellStart"/>
      <w:r w:rsidR="00E7177C" w:rsidRPr="00864442">
        <w:t>Ar-Rajabi’s</w:t>
      </w:r>
      <w:proofErr w:type="spellEnd"/>
      <w:r w:rsidR="00E7177C" w:rsidRPr="00864442">
        <w:t xml:space="preserve"> East Jerusalem residency and transferred him to Hebron in the West Bank after he had completed a 20-year prison sentence.</w:t>
      </w:r>
      <w:r w:rsidR="00E7177C" w:rsidRPr="00864442">
        <w:rPr>
          <w:rStyle w:val="FootnoteReference"/>
        </w:rPr>
        <w:footnoteReference w:id="123"/>
      </w:r>
    </w:p>
    <w:p w14:paraId="2EC99DA2" w14:textId="0C0496B6" w:rsidR="00E7177C" w:rsidRPr="00864442" w:rsidRDefault="00AF598D" w:rsidP="0067023B">
      <w:pPr>
        <w:pStyle w:val="SingleTxtG"/>
      </w:pPr>
      <w:r w:rsidRPr="00864442">
        <w:t>60.</w:t>
      </w:r>
      <w:r w:rsidRPr="00864442">
        <w:tab/>
      </w:r>
      <w:r w:rsidR="00E7177C" w:rsidRPr="00864442">
        <w:t>On 4 September</w:t>
      </w:r>
      <w:r w:rsidR="00E7177C" w:rsidRPr="00864442" w:rsidDel="5DA41E98">
        <w:t xml:space="preserve"> </w:t>
      </w:r>
      <w:r w:rsidR="00E7177C" w:rsidRPr="00864442">
        <w:t xml:space="preserve">2022, COGAT published an updated version of the “Procedure for the Entry of Foreigners to the Areas of Judea and Samaria”, which governs all entry of foreigners solely to the West Bank and which </w:t>
      </w:r>
      <w:proofErr w:type="gramStart"/>
      <w:r w:rsidR="00E7177C" w:rsidRPr="00864442">
        <w:t>entered into</w:t>
      </w:r>
      <w:proofErr w:type="gramEnd"/>
      <w:r w:rsidR="00E7177C" w:rsidRPr="00864442">
        <w:t xml:space="preserve"> effect on 20 October 2022. According to </w:t>
      </w:r>
      <w:proofErr w:type="spellStart"/>
      <w:r w:rsidR="00E7177C" w:rsidRPr="00864442">
        <w:t>Hamoked</w:t>
      </w:r>
      <w:proofErr w:type="spellEnd"/>
      <w:r w:rsidR="00E7177C" w:rsidRPr="00864442">
        <w:t xml:space="preserve">, the procedure is highly restrictive and could harm thousands of families where one of the spouses is a foreign national. It could disrupt routine functioning of education and academic institutions, and prevent many foreign passport holders from working, </w:t>
      </w:r>
      <w:proofErr w:type="gramStart"/>
      <w:r w:rsidR="00E7177C" w:rsidRPr="00864442">
        <w:t>volunteering</w:t>
      </w:r>
      <w:proofErr w:type="gramEnd"/>
      <w:r w:rsidR="00E7177C" w:rsidRPr="00864442">
        <w:t xml:space="preserve"> or studying in the OPT, damaging the local economy and society.</w:t>
      </w:r>
      <w:r w:rsidR="00E7177C" w:rsidRPr="00864442">
        <w:rPr>
          <w:rStyle w:val="FootnoteReference"/>
        </w:rPr>
        <w:footnoteReference w:id="124"/>
      </w:r>
    </w:p>
    <w:p w14:paraId="07B119CF" w14:textId="50DB0970" w:rsidR="00E7177C" w:rsidRPr="00864442" w:rsidRDefault="00AF598D" w:rsidP="0067023B">
      <w:pPr>
        <w:pStyle w:val="SingleTxtG"/>
      </w:pPr>
      <w:r w:rsidRPr="00864442">
        <w:lastRenderedPageBreak/>
        <w:t>61.</w:t>
      </w:r>
      <w:r w:rsidRPr="00864442">
        <w:tab/>
      </w:r>
      <w:r w:rsidR="00E7177C" w:rsidRPr="00864442">
        <w:t>The impact of Israel’s movement restrictions on the right to health of Palestinians remained a serious concern.</w:t>
      </w:r>
      <w:r w:rsidR="00E7177C" w:rsidRPr="00864442">
        <w:rPr>
          <w:rStyle w:val="FootnoteReference"/>
        </w:rPr>
        <w:footnoteReference w:id="125"/>
      </w:r>
      <w:r w:rsidR="00E7177C" w:rsidRPr="00864442">
        <w:t>According to the World Health Organization, from 1 June 2021 to 31 May 2023, out of 38,226 Gaza patient permit applications, only 26,419 (69.1 per cent) were approved by the Israeli authorities. Movement of essential medical equipment and supplies to Gaza remained restricted, while longstanding gaps in stocks persisted, with 43 per cent</w:t>
      </w:r>
      <w:r w:rsidR="00E7177C" w:rsidRPr="00864442" w:rsidDel="000A27C1">
        <w:t xml:space="preserve"> </w:t>
      </w:r>
      <w:r w:rsidR="00E7177C" w:rsidRPr="00864442">
        <w:t>of essential medicines and 25 per cent</w:t>
      </w:r>
      <w:r w:rsidR="00E7177C" w:rsidRPr="00864442" w:rsidDel="000A27C1">
        <w:t xml:space="preserve"> </w:t>
      </w:r>
      <w:r w:rsidR="00E7177C" w:rsidRPr="00864442">
        <w:t xml:space="preserve">of essential medical disposables reported at less than 30 days stock as of 31 May 2023. </w:t>
      </w:r>
    </w:p>
    <w:p w14:paraId="3037D864" w14:textId="77777777" w:rsidR="00E7177C" w:rsidRPr="00864442" w:rsidRDefault="00E7177C" w:rsidP="0067023B">
      <w:pPr>
        <w:pStyle w:val="HChG"/>
      </w:pPr>
      <w:r w:rsidRPr="00864442">
        <w:tab/>
        <w:t>VI.</w:t>
      </w:r>
      <w:r w:rsidRPr="00864442">
        <w:tab/>
        <w:t>Recommendations</w:t>
      </w:r>
    </w:p>
    <w:p w14:paraId="69754506" w14:textId="2C3D0F59" w:rsidR="00E7177C" w:rsidRPr="00864442" w:rsidRDefault="00AF598D" w:rsidP="0067023B">
      <w:pPr>
        <w:pStyle w:val="SingleTxtG"/>
      </w:pPr>
      <w:r w:rsidRPr="00864442">
        <w:t>62.</w:t>
      </w:r>
      <w:r w:rsidRPr="00864442">
        <w:tab/>
      </w:r>
      <w:r w:rsidR="00E7177C" w:rsidRPr="00864442">
        <w:rPr>
          <w:b/>
          <w:bCs/>
        </w:rPr>
        <w:t>The following recommendations should be read in conjunction with the recommendations contained in previous reports of the Secretary-General and of the U</w:t>
      </w:r>
      <w:r w:rsidR="00394641">
        <w:rPr>
          <w:b/>
          <w:bCs/>
        </w:rPr>
        <w:t>N</w:t>
      </w:r>
      <w:r w:rsidR="00E7177C" w:rsidRPr="00864442">
        <w:rPr>
          <w:b/>
          <w:bCs/>
        </w:rPr>
        <w:t xml:space="preserve"> High Commissioner for Human Rights.</w:t>
      </w:r>
      <w:r w:rsidR="00E7177C" w:rsidRPr="00864442">
        <w:t xml:space="preserve"> </w:t>
      </w:r>
    </w:p>
    <w:p w14:paraId="52E5E912" w14:textId="41F96247" w:rsidR="00E7177C" w:rsidRPr="00864442" w:rsidRDefault="00AF598D" w:rsidP="0067023B">
      <w:pPr>
        <w:pStyle w:val="SingleTxtG"/>
      </w:pPr>
      <w:r w:rsidRPr="00864442">
        <w:t>63.</w:t>
      </w:r>
      <w:r w:rsidRPr="00864442">
        <w:tab/>
      </w:r>
      <w:r w:rsidR="00E7177C" w:rsidRPr="00864442">
        <w:rPr>
          <w:b/>
          <w:bCs/>
        </w:rPr>
        <w:t>The Secretary-General recommends that Israel:</w:t>
      </w:r>
    </w:p>
    <w:p w14:paraId="592B34F9" w14:textId="6524DFA0" w:rsidR="00E7177C" w:rsidRPr="00864442" w:rsidRDefault="0067023B" w:rsidP="0067023B">
      <w:pPr>
        <w:pStyle w:val="SingleTxtG"/>
        <w:rPr>
          <w:b/>
          <w:bCs/>
        </w:rPr>
      </w:pPr>
      <w:r w:rsidRPr="00864442">
        <w:rPr>
          <w:rFonts w:eastAsia="Times New Roman"/>
        </w:rPr>
        <w:tab/>
      </w:r>
      <w:r w:rsidR="00E7177C" w:rsidRPr="00864442">
        <w:rPr>
          <w:rFonts w:eastAsia="Times New Roman"/>
        </w:rPr>
        <w:tab/>
        <w:t>(a)</w:t>
      </w:r>
      <w:r w:rsidRPr="00864442">
        <w:rPr>
          <w:rFonts w:eastAsia="Times New Roman"/>
        </w:rPr>
        <w:tab/>
      </w:r>
      <w:r w:rsidR="00E7177C" w:rsidRPr="00864442">
        <w:rPr>
          <w:b/>
          <w:bCs/>
        </w:rPr>
        <w:t xml:space="preserve">Ensure respect for international humanitarian law in the conduct of hostilities, in particular the principles of military necessity, distinction, proportionality and precaution, and ensure </w:t>
      </w:r>
      <w:proofErr w:type="gramStart"/>
      <w:r w:rsidR="00E7177C" w:rsidRPr="00864442">
        <w:rPr>
          <w:b/>
          <w:bCs/>
        </w:rPr>
        <w:t>accountability</w:t>
      </w:r>
      <w:proofErr w:type="gramEnd"/>
      <w:r w:rsidR="00E7177C" w:rsidRPr="00864442">
        <w:rPr>
          <w:b/>
          <w:bCs/>
        </w:rPr>
        <w:t xml:space="preserve"> for all violations of international humanitarian law and international human rights law.</w:t>
      </w:r>
    </w:p>
    <w:p w14:paraId="699C21B3" w14:textId="7A644E2D" w:rsidR="00E7177C" w:rsidRPr="00864442" w:rsidRDefault="0067023B" w:rsidP="0067023B">
      <w:pPr>
        <w:pStyle w:val="SingleTxtG"/>
      </w:pPr>
      <w:r w:rsidRPr="00864442">
        <w:rPr>
          <w:rFonts w:eastAsia="Times New Roman"/>
        </w:rPr>
        <w:tab/>
      </w:r>
      <w:r w:rsidR="00E7177C" w:rsidRPr="00864442">
        <w:rPr>
          <w:rFonts w:eastAsia="Times New Roman"/>
        </w:rPr>
        <w:tab/>
      </w:r>
      <w:r w:rsidR="00E7177C" w:rsidRPr="00864442">
        <w:t>(b)</w:t>
      </w:r>
      <w:r w:rsidRPr="00864442">
        <w:tab/>
      </w:r>
      <w:r w:rsidR="00E7177C" w:rsidRPr="00864442">
        <w:rPr>
          <w:b/>
          <w:bCs/>
        </w:rPr>
        <w:t>Ensure that any use of force is in compliance with international law and standards, including during law enforcement operations, by regulating the use of live ammunition, ensuring that security forces are adequately equipped and trained in the use of less-lethal weapons, that all law enforcement operations are planned and implemented to minimise the threat to life and by adopting appropriate disciplinary and penal sanctions for members of security forces who do not respect such regulations;</w:t>
      </w:r>
      <w:r w:rsidR="00E7177C" w:rsidRPr="00864442">
        <w:t xml:space="preserve"> </w:t>
      </w:r>
    </w:p>
    <w:p w14:paraId="25C5C9CA" w14:textId="75181299" w:rsidR="00E7177C" w:rsidRPr="00864442" w:rsidRDefault="0067023B" w:rsidP="0067023B">
      <w:pPr>
        <w:pStyle w:val="SingleTxtG"/>
      </w:pPr>
      <w:r w:rsidRPr="00864442">
        <w:rPr>
          <w:rFonts w:eastAsia="Times New Roman"/>
        </w:rPr>
        <w:tab/>
      </w:r>
      <w:r w:rsidR="00E7177C" w:rsidRPr="00864442">
        <w:rPr>
          <w:rFonts w:eastAsia="Times New Roman"/>
        </w:rPr>
        <w:tab/>
        <w:t>(c)</w:t>
      </w:r>
      <w:r w:rsidR="00E7177C" w:rsidRPr="00864442">
        <w:rPr>
          <w:rFonts w:eastAsia="Times New Roman"/>
        </w:rPr>
        <w:tab/>
      </w:r>
      <w:r w:rsidR="00E7177C" w:rsidRPr="00864442">
        <w:rPr>
          <w:b/>
          <w:bCs/>
        </w:rPr>
        <w:t xml:space="preserve">Promptly subject to independent, impartial, transparent, thorough, and effective criminal investigation all incidents of use of force in law enforcement operations that result in death or injury, hold the individuals responsible for violations accountable, and provide appropriate redress to </w:t>
      </w:r>
      <w:proofErr w:type="gramStart"/>
      <w:r w:rsidR="00E7177C" w:rsidRPr="00864442">
        <w:rPr>
          <w:b/>
          <w:bCs/>
        </w:rPr>
        <w:t>victims;</w:t>
      </w:r>
      <w:proofErr w:type="gramEnd"/>
      <w:r w:rsidR="00E7177C" w:rsidRPr="00864442">
        <w:t xml:space="preserve"> </w:t>
      </w:r>
    </w:p>
    <w:p w14:paraId="2FDB043B" w14:textId="63419080" w:rsidR="00E7177C" w:rsidRPr="00864442" w:rsidRDefault="0067023B" w:rsidP="0067023B">
      <w:pPr>
        <w:pStyle w:val="SingleTxtG"/>
      </w:pPr>
      <w:r w:rsidRPr="00864442">
        <w:rPr>
          <w:rFonts w:eastAsia="Times New Roman"/>
        </w:rPr>
        <w:tab/>
      </w:r>
      <w:r w:rsidR="00E7177C" w:rsidRPr="00864442">
        <w:rPr>
          <w:rFonts w:eastAsia="Times New Roman"/>
        </w:rPr>
        <w:tab/>
        <w:t>(d)</w:t>
      </w:r>
      <w:r w:rsidR="00E7177C" w:rsidRPr="00864442">
        <w:tab/>
      </w:r>
      <w:r w:rsidR="00E7177C" w:rsidRPr="00864442">
        <w:rPr>
          <w:b/>
          <w:bCs/>
        </w:rPr>
        <w:t xml:space="preserve">Take all measures to ensure full respect for international humanitarian law, particularly in respect of civilians living under occupation, and in the conduct of hostilities, and ensure </w:t>
      </w:r>
      <w:proofErr w:type="gramStart"/>
      <w:r w:rsidR="00E7177C" w:rsidRPr="00864442">
        <w:rPr>
          <w:b/>
          <w:bCs/>
        </w:rPr>
        <w:t>accountability</w:t>
      </w:r>
      <w:proofErr w:type="gramEnd"/>
      <w:r w:rsidR="00E7177C" w:rsidRPr="00864442">
        <w:rPr>
          <w:b/>
          <w:bCs/>
        </w:rPr>
        <w:t xml:space="preserve"> for all violations;</w:t>
      </w:r>
    </w:p>
    <w:p w14:paraId="003E079B" w14:textId="4BE623EF" w:rsidR="00E7177C" w:rsidRPr="00864442" w:rsidRDefault="0067023B" w:rsidP="0067023B">
      <w:pPr>
        <w:pStyle w:val="SingleTxtG"/>
        <w:rPr>
          <w:b/>
          <w:bCs/>
        </w:rPr>
      </w:pPr>
      <w:r w:rsidRPr="00864442">
        <w:rPr>
          <w:rFonts w:eastAsia="Times New Roman"/>
        </w:rPr>
        <w:tab/>
      </w:r>
      <w:r w:rsidR="00E7177C" w:rsidRPr="00864442">
        <w:rPr>
          <w:rFonts w:eastAsia="Times New Roman"/>
        </w:rPr>
        <w:tab/>
        <w:t>(e)</w:t>
      </w:r>
      <w:r w:rsidR="00E7177C" w:rsidRPr="00864442">
        <w:tab/>
      </w:r>
      <w:r w:rsidR="00E7177C" w:rsidRPr="00864442">
        <w:rPr>
          <w:b/>
          <w:bCs/>
        </w:rPr>
        <w:t>Immediately end all practices that may amount to torture or other cruel, inhuman or degrading treatment or punishment, ensure that all allegations of such violations are promptly, impartially, thoroughly and independently investigated, hold perpetrators accountable and provide full reparation to victims and guarantees of non-</w:t>
      </w:r>
      <w:proofErr w:type="gramStart"/>
      <w:r w:rsidR="00E7177C" w:rsidRPr="00864442">
        <w:rPr>
          <w:b/>
          <w:bCs/>
        </w:rPr>
        <w:t>repetition;</w:t>
      </w:r>
      <w:proofErr w:type="gramEnd"/>
    </w:p>
    <w:p w14:paraId="66B67350" w14:textId="378FD416" w:rsidR="00E7177C" w:rsidRPr="00322025" w:rsidRDefault="00E7177C" w:rsidP="0067023B">
      <w:pPr>
        <w:pStyle w:val="SingleTxtG"/>
        <w:rPr>
          <w:b/>
          <w:bCs/>
        </w:rPr>
      </w:pPr>
      <w:r w:rsidRPr="00864442">
        <w:tab/>
      </w:r>
      <w:r w:rsidR="0067023B" w:rsidRPr="00864442">
        <w:tab/>
      </w:r>
      <w:r w:rsidRPr="00864442">
        <w:t>(f)</w:t>
      </w:r>
      <w:r w:rsidRPr="00864442">
        <w:tab/>
      </w:r>
      <w:r w:rsidRPr="00864442">
        <w:rPr>
          <w:b/>
          <w:bCs/>
        </w:rPr>
        <w:t xml:space="preserve">Ensure that counter-terrorism legislation complies with international laws and standards, and </w:t>
      </w:r>
      <w:proofErr w:type="gramStart"/>
      <w:r w:rsidRPr="00864442">
        <w:rPr>
          <w:b/>
          <w:bCs/>
        </w:rPr>
        <w:t>in particular that</w:t>
      </w:r>
      <w:proofErr w:type="gramEnd"/>
      <w:r w:rsidRPr="00864442">
        <w:rPr>
          <w:b/>
          <w:bCs/>
        </w:rPr>
        <w:t xml:space="preserve"> definitions of “terrorist acts” and “terrorist organisations” are compatible with the principles of legality, foreseeability and legal certainty. Definitions should be accessible and formulated with </w:t>
      </w:r>
      <w:proofErr w:type="gramStart"/>
      <w:r w:rsidRPr="00864442">
        <w:rPr>
          <w:b/>
          <w:bCs/>
        </w:rPr>
        <w:t>precision, and</w:t>
      </w:r>
      <w:proofErr w:type="gramEnd"/>
      <w:r w:rsidRPr="00864442">
        <w:rPr>
          <w:b/>
          <w:bCs/>
        </w:rPr>
        <w:t xml:space="preserve"> should comply with the principles of non-discrimination and non-retroactivity</w:t>
      </w:r>
      <w:r w:rsidR="003932AB" w:rsidRPr="00864442">
        <w:rPr>
          <w:b/>
          <w:bCs/>
        </w:rPr>
        <w:t>; and</w:t>
      </w:r>
      <w:r w:rsidR="00031988" w:rsidRPr="00864442">
        <w:rPr>
          <w:b/>
          <w:bCs/>
        </w:rPr>
        <w:t xml:space="preserve"> </w:t>
      </w:r>
      <w:r w:rsidR="00322025" w:rsidRPr="00322025">
        <w:rPr>
          <w:b/>
          <w:bCs/>
        </w:rPr>
        <w:t>r</w:t>
      </w:r>
      <w:r w:rsidR="005343AE" w:rsidRPr="00322025">
        <w:rPr>
          <w:rFonts w:eastAsia="Times New Roman"/>
          <w:b/>
          <w:bCs/>
        </w:rPr>
        <w:t>escind the designations of and declarations against Palestinian human rights and humanitarian organizations as terrorist or unlawful organizations</w:t>
      </w:r>
      <w:r w:rsidRPr="00322025">
        <w:rPr>
          <w:b/>
          <w:bCs/>
        </w:rPr>
        <w:t>.</w:t>
      </w:r>
    </w:p>
    <w:p w14:paraId="0072B223" w14:textId="451A4913" w:rsidR="00E7177C" w:rsidRPr="00864442" w:rsidRDefault="0067023B" w:rsidP="0067023B">
      <w:pPr>
        <w:pStyle w:val="SingleTxtG"/>
        <w:rPr>
          <w:rFonts w:eastAsia="Times New Roman"/>
        </w:rPr>
      </w:pPr>
      <w:r w:rsidRPr="00864442">
        <w:tab/>
      </w:r>
      <w:r w:rsidR="00E7177C" w:rsidRPr="00864442">
        <w:tab/>
        <w:t>(g)</w:t>
      </w:r>
      <w:r w:rsidR="00E7177C" w:rsidRPr="00864442">
        <w:tab/>
      </w:r>
      <w:r w:rsidR="00E7177C" w:rsidRPr="00864442">
        <w:rPr>
          <w:b/>
          <w:bCs/>
        </w:rPr>
        <w:t xml:space="preserve">Put an end to arbitrary detention and ensure that the rights of detainees are respected, including all procedural safeguards and fair trial </w:t>
      </w:r>
      <w:proofErr w:type="gramStart"/>
      <w:r w:rsidR="00E7177C" w:rsidRPr="00864442">
        <w:rPr>
          <w:b/>
          <w:bCs/>
        </w:rPr>
        <w:t>guarantees;</w:t>
      </w:r>
      <w:proofErr w:type="gramEnd"/>
      <w:r w:rsidR="00E7177C" w:rsidRPr="00864442">
        <w:t xml:space="preserve"> </w:t>
      </w:r>
    </w:p>
    <w:p w14:paraId="4B28A40F" w14:textId="628879D4" w:rsidR="00E7177C" w:rsidRPr="00322025" w:rsidRDefault="0067023B" w:rsidP="0067023B">
      <w:pPr>
        <w:pStyle w:val="SingleTxtG"/>
        <w:rPr>
          <w:b/>
          <w:bCs/>
        </w:rPr>
      </w:pPr>
      <w:r w:rsidRPr="00864442">
        <w:rPr>
          <w:rFonts w:eastAsia="Times New Roman"/>
        </w:rPr>
        <w:tab/>
      </w:r>
      <w:r w:rsidR="00E7177C" w:rsidRPr="00864442">
        <w:rPr>
          <w:rFonts w:eastAsia="Times New Roman"/>
        </w:rPr>
        <w:tab/>
        <w:t xml:space="preserve">(h) </w:t>
      </w:r>
      <w:r w:rsidR="00E7177C" w:rsidRPr="00864442">
        <w:tab/>
      </w:r>
      <w:r w:rsidR="00E7177C" w:rsidRPr="00864442">
        <w:rPr>
          <w:b/>
          <w:bCs/>
        </w:rPr>
        <w:t>Take all measures to end all discriminatory and unlawful practices including especially ending all practices that amount to collective punishment</w:t>
      </w:r>
      <w:r w:rsidR="009006D9" w:rsidRPr="00864442">
        <w:rPr>
          <w:b/>
          <w:bCs/>
        </w:rPr>
        <w:t xml:space="preserve">, </w:t>
      </w:r>
      <w:r w:rsidR="009006D9" w:rsidRPr="00322025">
        <w:rPr>
          <w:rFonts w:eastAsia="Times New Roman"/>
          <w:b/>
          <w:bCs/>
        </w:rPr>
        <w:t xml:space="preserve">and to repeal all discriminatory </w:t>
      </w:r>
      <w:proofErr w:type="gramStart"/>
      <w:r w:rsidR="009006D9" w:rsidRPr="00322025">
        <w:rPr>
          <w:rFonts w:eastAsia="Times New Roman"/>
          <w:b/>
          <w:bCs/>
        </w:rPr>
        <w:t>legislation</w:t>
      </w:r>
      <w:r w:rsidR="00E7177C" w:rsidRPr="00322025">
        <w:rPr>
          <w:b/>
          <w:bCs/>
        </w:rPr>
        <w:t>;</w:t>
      </w:r>
      <w:proofErr w:type="gramEnd"/>
      <w:r w:rsidR="00E7177C" w:rsidRPr="00322025">
        <w:rPr>
          <w:b/>
          <w:bCs/>
        </w:rPr>
        <w:t xml:space="preserve"> </w:t>
      </w:r>
    </w:p>
    <w:p w14:paraId="712AA7E4" w14:textId="3D829F46" w:rsidR="00E7177C" w:rsidRPr="00864442" w:rsidRDefault="0067023B" w:rsidP="0067023B">
      <w:pPr>
        <w:pStyle w:val="SingleTxtG"/>
      </w:pPr>
      <w:r w:rsidRPr="00864442">
        <w:tab/>
      </w:r>
      <w:r w:rsidR="00E7177C" w:rsidRPr="00864442">
        <w:tab/>
        <w:t>(</w:t>
      </w:r>
      <w:proofErr w:type="spellStart"/>
      <w:r w:rsidR="00E7177C" w:rsidRPr="00864442">
        <w:t>i</w:t>
      </w:r>
      <w:proofErr w:type="spellEnd"/>
      <w:r w:rsidR="00E7177C" w:rsidRPr="00864442">
        <w:t xml:space="preserve">) </w:t>
      </w:r>
      <w:r w:rsidR="00E7177C" w:rsidRPr="00864442">
        <w:tab/>
      </w:r>
      <w:r w:rsidR="00E7177C" w:rsidRPr="00864442">
        <w:rPr>
          <w:b/>
          <w:bCs/>
        </w:rPr>
        <w:t>Immediately lift the closures on Gaza and ensure that the right of freedom of movement is guaranteed to all Palestinians in the O</w:t>
      </w:r>
      <w:r w:rsidR="00E9657E">
        <w:rPr>
          <w:b/>
          <w:bCs/>
        </w:rPr>
        <w:t>PT</w:t>
      </w:r>
      <w:r w:rsidR="00E7177C" w:rsidRPr="00864442">
        <w:rPr>
          <w:b/>
          <w:bCs/>
        </w:rPr>
        <w:t xml:space="preserve">. Any restrictions on freedom </w:t>
      </w:r>
      <w:r w:rsidR="00E7177C" w:rsidRPr="00864442">
        <w:rPr>
          <w:b/>
          <w:bCs/>
        </w:rPr>
        <w:lastRenderedPageBreak/>
        <w:t xml:space="preserve">of movement must be in accordance with international law, including international human rights </w:t>
      </w:r>
      <w:proofErr w:type="gramStart"/>
      <w:r w:rsidR="00E7177C" w:rsidRPr="00864442">
        <w:rPr>
          <w:b/>
          <w:bCs/>
        </w:rPr>
        <w:t>law;</w:t>
      </w:r>
      <w:proofErr w:type="gramEnd"/>
    </w:p>
    <w:p w14:paraId="0C77D655" w14:textId="030F8E04" w:rsidR="00E7177C" w:rsidRPr="00864442" w:rsidRDefault="0067023B" w:rsidP="00E7177C">
      <w:pPr>
        <w:pStyle w:val="SingleTxtG"/>
        <w:rPr>
          <w:rFonts w:eastAsia="Times New Roman"/>
        </w:rPr>
      </w:pPr>
      <w:r w:rsidRPr="00864442">
        <w:tab/>
      </w:r>
      <w:r w:rsidR="00E7177C" w:rsidRPr="00864442">
        <w:tab/>
        <w:t>(j</w:t>
      </w:r>
      <w:r w:rsidR="00E7177C" w:rsidRPr="00864442">
        <w:rPr>
          <w:rFonts w:eastAsia="Times New Roman"/>
        </w:rPr>
        <w:t>)</w:t>
      </w:r>
      <w:r w:rsidR="00E7177C" w:rsidRPr="00864442">
        <w:tab/>
      </w:r>
      <w:r w:rsidR="00E7177C" w:rsidRPr="00864442">
        <w:rPr>
          <w:b/>
          <w:bCs/>
        </w:rPr>
        <w:t xml:space="preserve">Fulfil its responsibilities as an occupying Power, including in relation to Palestinians’ access to health </w:t>
      </w:r>
      <w:proofErr w:type="gramStart"/>
      <w:r w:rsidR="00E7177C" w:rsidRPr="00864442">
        <w:rPr>
          <w:b/>
          <w:bCs/>
        </w:rPr>
        <w:t>care;</w:t>
      </w:r>
      <w:proofErr w:type="gramEnd"/>
      <w:r w:rsidR="00E7177C" w:rsidRPr="00864442">
        <w:rPr>
          <w:rFonts w:eastAsia="Times New Roman"/>
        </w:rPr>
        <w:tab/>
      </w:r>
    </w:p>
    <w:p w14:paraId="6C664222" w14:textId="06C7F331" w:rsidR="00E7177C" w:rsidRPr="00864442" w:rsidRDefault="0067023B" w:rsidP="00E7177C">
      <w:pPr>
        <w:pStyle w:val="SingleTxtG"/>
        <w:rPr>
          <w:b/>
          <w:bCs/>
        </w:rPr>
      </w:pPr>
      <w:r w:rsidRPr="00864442">
        <w:tab/>
      </w:r>
      <w:r w:rsidR="00E7177C" w:rsidRPr="00864442">
        <w:tab/>
        <w:t>(k</w:t>
      </w:r>
      <w:r w:rsidR="00E7177C" w:rsidRPr="00864442" w:rsidDel="00D73A56">
        <w:rPr>
          <w:rFonts w:eastAsia="Times New Roman"/>
        </w:rPr>
        <w:t>)</w:t>
      </w:r>
      <w:r w:rsidR="00E7177C" w:rsidRPr="00864442" w:rsidDel="0080259D">
        <w:tab/>
      </w:r>
      <w:r w:rsidR="00E7177C" w:rsidRPr="00864442">
        <w:rPr>
          <w:b/>
          <w:bCs/>
        </w:rPr>
        <w:t xml:space="preserve">Respect the rights of Palestinian children, including the right to life, and ensure that they are treated with due consideration for their age. They should be detained only as a measure of last resort and for the shortest appropriate period of </w:t>
      </w:r>
      <w:proofErr w:type="gramStart"/>
      <w:r w:rsidR="00E7177C" w:rsidRPr="00864442">
        <w:rPr>
          <w:b/>
          <w:bCs/>
        </w:rPr>
        <w:t>time;</w:t>
      </w:r>
      <w:proofErr w:type="gramEnd"/>
    </w:p>
    <w:p w14:paraId="2A040897" w14:textId="098FFF53" w:rsidR="00E7177C" w:rsidRPr="00864442" w:rsidRDefault="0067023B" w:rsidP="00E7177C">
      <w:pPr>
        <w:pStyle w:val="SingleTxtG"/>
      </w:pPr>
      <w:r w:rsidRPr="00864442">
        <w:tab/>
      </w:r>
      <w:r w:rsidRPr="00864442">
        <w:tab/>
      </w:r>
      <w:r w:rsidR="00E7177C" w:rsidRPr="00864442">
        <w:t>(l)</w:t>
      </w:r>
      <w:r w:rsidR="00E7177C" w:rsidRPr="00864442">
        <w:tab/>
      </w:r>
      <w:r w:rsidR="00E7177C" w:rsidRPr="00864442">
        <w:rPr>
          <w:b/>
          <w:bCs/>
        </w:rPr>
        <w:t xml:space="preserve">Ensure that journalists, human rights defenders and civil society actors, including women’s human rights defenders, are able to conduct their activities without harassment or being subjected to legal proceedings that are in violation of international human rights law, and that their rights are respected and </w:t>
      </w:r>
      <w:proofErr w:type="gramStart"/>
      <w:r w:rsidR="00E7177C" w:rsidRPr="00864442">
        <w:rPr>
          <w:b/>
          <w:bCs/>
        </w:rPr>
        <w:t>protected;</w:t>
      </w:r>
      <w:proofErr w:type="gramEnd"/>
      <w:r w:rsidR="00E7177C" w:rsidRPr="00864442">
        <w:t xml:space="preserve"> </w:t>
      </w:r>
    </w:p>
    <w:p w14:paraId="77CA549B" w14:textId="1F2505ED" w:rsidR="00E7177C" w:rsidRPr="00864442" w:rsidRDefault="0067023B" w:rsidP="00E7177C">
      <w:pPr>
        <w:pStyle w:val="SingleTxtG"/>
        <w:rPr>
          <w:b/>
          <w:bCs/>
        </w:rPr>
      </w:pPr>
      <w:r w:rsidRPr="00864442">
        <w:rPr>
          <w:rFonts w:eastAsia="Times New Roman"/>
        </w:rPr>
        <w:tab/>
      </w:r>
      <w:r w:rsidR="00E7177C" w:rsidRPr="00864442">
        <w:rPr>
          <w:rFonts w:eastAsia="Times New Roman"/>
        </w:rPr>
        <w:tab/>
        <w:t>(m)</w:t>
      </w:r>
      <w:r w:rsidR="00E7177C" w:rsidRPr="00864442">
        <w:rPr>
          <w:rFonts w:eastAsia="Times New Roman"/>
        </w:rPr>
        <w:tab/>
      </w:r>
      <w:r w:rsidR="00E7177C" w:rsidRPr="00864442">
        <w:rPr>
          <w:b/>
          <w:bCs/>
        </w:rPr>
        <w:t xml:space="preserve">Ensure that reports of killings, intimidation or attacks against journalists and civil society actors are thoroughly investigated, with a view to </w:t>
      </w:r>
      <w:r w:rsidR="003C72BB" w:rsidRPr="00864442">
        <w:rPr>
          <w:b/>
          <w:bCs/>
        </w:rPr>
        <w:t xml:space="preserve">ensuring </w:t>
      </w:r>
      <w:r w:rsidR="00E7177C" w:rsidRPr="00864442">
        <w:rPr>
          <w:b/>
          <w:bCs/>
        </w:rPr>
        <w:t xml:space="preserve">accountability. </w:t>
      </w:r>
      <w:proofErr w:type="gramStart"/>
      <w:r w:rsidR="00E7177C" w:rsidRPr="00864442">
        <w:rPr>
          <w:b/>
          <w:bCs/>
        </w:rPr>
        <w:t>In particular, ensure</w:t>
      </w:r>
      <w:proofErr w:type="gramEnd"/>
      <w:r w:rsidR="00E7177C" w:rsidRPr="00864442">
        <w:rPr>
          <w:b/>
          <w:bCs/>
        </w:rPr>
        <w:t xml:space="preserve"> that investigations into attacks against women human rights defenders use a gender sensitive lens and take urgent interim protection measures to prevent further gender-based violence, threats and intimidation.</w:t>
      </w:r>
    </w:p>
    <w:p w14:paraId="281CB0A7" w14:textId="57252761" w:rsidR="00E7177C" w:rsidRPr="00864442" w:rsidRDefault="0067023B" w:rsidP="00E7177C">
      <w:pPr>
        <w:pStyle w:val="SingleTxtG"/>
        <w:rPr>
          <w:b/>
          <w:bCs/>
        </w:rPr>
      </w:pPr>
      <w:r w:rsidRPr="00864442">
        <w:rPr>
          <w:rFonts w:eastAsia="Times New Roman"/>
          <w:b/>
          <w:bCs/>
        </w:rPr>
        <w:tab/>
      </w:r>
      <w:r w:rsidRPr="00864442">
        <w:rPr>
          <w:rFonts w:eastAsia="Times New Roman"/>
          <w:b/>
          <w:bCs/>
        </w:rPr>
        <w:tab/>
      </w:r>
      <w:r w:rsidR="00E7177C" w:rsidRPr="00864442">
        <w:rPr>
          <w:rFonts w:eastAsia="Times New Roman"/>
          <w:b/>
          <w:bCs/>
        </w:rPr>
        <w:t>(n)</w:t>
      </w:r>
      <w:r w:rsidRPr="00864442">
        <w:rPr>
          <w:b/>
          <w:bCs/>
        </w:rPr>
        <w:tab/>
      </w:r>
      <w:r w:rsidR="00E7177C" w:rsidRPr="00864442">
        <w:rPr>
          <w:b/>
          <w:bCs/>
        </w:rPr>
        <w:t>Grant visa</w:t>
      </w:r>
      <w:r w:rsidR="00E7177C" w:rsidRPr="00864442">
        <w:rPr>
          <w:b/>
          <w:bCs/>
          <w:lang w:val="en-US"/>
        </w:rPr>
        <w:t>s</w:t>
      </w:r>
      <w:r w:rsidR="00E7177C" w:rsidRPr="00864442">
        <w:rPr>
          <w:b/>
          <w:bCs/>
        </w:rPr>
        <w:t xml:space="preserve"> and full access to OHCHR international staff in order that they can carry out critical mandated work on human rights in the O</w:t>
      </w:r>
      <w:r w:rsidR="00E9657E">
        <w:rPr>
          <w:b/>
          <w:bCs/>
        </w:rPr>
        <w:t>PT</w:t>
      </w:r>
      <w:r w:rsidR="00E7177C" w:rsidRPr="00864442">
        <w:rPr>
          <w:b/>
          <w:bCs/>
        </w:rPr>
        <w:t>.</w:t>
      </w:r>
      <w:r w:rsidR="00E7177C" w:rsidRPr="00864442">
        <w:rPr>
          <w:bCs/>
        </w:rPr>
        <w:t xml:space="preserve"> </w:t>
      </w:r>
    </w:p>
    <w:p w14:paraId="6FB1B156" w14:textId="5996E1A8" w:rsidR="00E7177C" w:rsidRPr="00864442" w:rsidRDefault="00AF598D" w:rsidP="0067023B">
      <w:pPr>
        <w:pStyle w:val="SingleTxtG"/>
        <w:rPr>
          <w:b/>
          <w:bCs/>
        </w:rPr>
      </w:pPr>
      <w:r w:rsidRPr="00864442">
        <w:t>64.</w:t>
      </w:r>
      <w:r w:rsidRPr="00864442">
        <w:tab/>
      </w:r>
      <w:r w:rsidR="00E7177C" w:rsidRPr="00864442">
        <w:rPr>
          <w:b/>
          <w:bCs/>
        </w:rPr>
        <w:t xml:space="preserve">The Secretary-General recommends that authorities and Palestinian armed groups in Gaza: </w:t>
      </w:r>
    </w:p>
    <w:p w14:paraId="50D2409E" w14:textId="086E5537" w:rsidR="00B7528D" w:rsidRPr="00864442" w:rsidRDefault="0067023B" w:rsidP="0067023B">
      <w:pPr>
        <w:pStyle w:val="SingleTxtG"/>
      </w:pPr>
      <w:r w:rsidRPr="00864442">
        <w:tab/>
      </w:r>
      <w:r w:rsidRPr="00864442">
        <w:tab/>
        <w:t>(a)</w:t>
      </w:r>
      <w:r w:rsidRPr="00864442">
        <w:tab/>
      </w:r>
      <w:r w:rsidR="00E7177C" w:rsidRPr="00864442">
        <w:rPr>
          <w:b/>
          <w:bCs/>
        </w:rPr>
        <w:t>Ensure respect for international humanitarian law, in particular the principles of distinction, proportionality and precaution, and accountability for all violations.</w:t>
      </w:r>
      <w:r w:rsidR="00E7177C" w:rsidRPr="00864442">
        <w:t xml:space="preserve"> </w:t>
      </w:r>
    </w:p>
    <w:p w14:paraId="37F32A94" w14:textId="1948909D" w:rsidR="00E7177C" w:rsidRPr="00864442" w:rsidRDefault="00AF598D" w:rsidP="0067023B">
      <w:pPr>
        <w:pStyle w:val="SingleTxtG"/>
      </w:pPr>
      <w:r w:rsidRPr="00864442">
        <w:rPr>
          <w:lang w:val="en-US"/>
        </w:rPr>
        <w:t>65.</w:t>
      </w:r>
      <w:r w:rsidRPr="00864442">
        <w:rPr>
          <w:lang w:val="en-US"/>
        </w:rPr>
        <w:tab/>
      </w:r>
      <w:r w:rsidR="00E7177C" w:rsidRPr="00864442">
        <w:rPr>
          <w:b/>
          <w:bCs/>
          <w:lang w:val="en-US"/>
        </w:rPr>
        <w:t>The Secretary-General also:</w:t>
      </w:r>
      <w:r w:rsidR="00E7177C" w:rsidRPr="00864442">
        <w:rPr>
          <w:lang w:val="en-US"/>
        </w:rPr>
        <w:t xml:space="preserve"> </w:t>
      </w:r>
    </w:p>
    <w:p w14:paraId="06B54989" w14:textId="6A61263E" w:rsidR="00E7177C" w:rsidRPr="00864442" w:rsidRDefault="0067023B" w:rsidP="0067023B">
      <w:pPr>
        <w:pStyle w:val="SingleTxtG"/>
      </w:pPr>
      <w:r w:rsidRPr="00864442">
        <w:tab/>
      </w:r>
      <w:r w:rsidRPr="00864442">
        <w:tab/>
        <w:t>(a)</w:t>
      </w:r>
      <w:r w:rsidRPr="00864442">
        <w:tab/>
      </w:r>
      <w:r w:rsidR="00E7177C" w:rsidRPr="00864442">
        <w:rPr>
          <w:b/>
          <w:bCs/>
        </w:rPr>
        <w:t xml:space="preserve">Calls upon all States to take all measures necessary to effectively ensure respect for the Geneva Conventions of 12 August 1949 by the occupying Power, taking into account the means reasonably available to them and their level of influence, and reminds States, in particular those with close ties to the parties, that they should exert their influence to ensure respect for international </w:t>
      </w:r>
      <w:proofErr w:type="gramStart"/>
      <w:r w:rsidR="00E7177C" w:rsidRPr="00864442">
        <w:rPr>
          <w:b/>
          <w:bCs/>
        </w:rPr>
        <w:t>law;</w:t>
      </w:r>
      <w:proofErr w:type="gramEnd"/>
      <w:r w:rsidR="00E7177C" w:rsidRPr="00864442">
        <w:t xml:space="preserve"> </w:t>
      </w:r>
    </w:p>
    <w:p w14:paraId="20247CA5" w14:textId="23C829D5" w:rsidR="00CF586F" w:rsidRDefault="0067023B" w:rsidP="0067023B">
      <w:pPr>
        <w:pStyle w:val="SingleTxtG"/>
        <w:rPr>
          <w:b/>
          <w:bCs/>
        </w:rPr>
      </w:pPr>
      <w:r w:rsidRPr="00864442">
        <w:tab/>
      </w:r>
      <w:r w:rsidRPr="00864442">
        <w:tab/>
        <w:t>(b)</w:t>
      </w:r>
      <w:r w:rsidRPr="00864442">
        <w:tab/>
      </w:r>
      <w:r w:rsidR="00E7177C" w:rsidRPr="00864442">
        <w:rPr>
          <w:b/>
          <w:bCs/>
        </w:rPr>
        <w:t xml:space="preserve">Calls upon all States to take the measures necessary to ensure full respect for and compliance with the relevant resolutions of the Security Council, the General </w:t>
      </w:r>
      <w:proofErr w:type="gramStart"/>
      <w:r w:rsidR="00E7177C" w:rsidRPr="00864442">
        <w:rPr>
          <w:b/>
          <w:bCs/>
        </w:rPr>
        <w:t>Assembly</w:t>
      </w:r>
      <w:proofErr w:type="gramEnd"/>
      <w:r w:rsidR="00E7177C" w:rsidRPr="00864442">
        <w:rPr>
          <w:b/>
          <w:bCs/>
        </w:rPr>
        <w:t xml:space="preserve"> and the Human Rights Council</w:t>
      </w:r>
      <w:r w:rsidRPr="00864442">
        <w:rPr>
          <w:b/>
          <w:bCs/>
        </w:rPr>
        <w:t>.</w:t>
      </w:r>
    </w:p>
    <w:p w14:paraId="7AD8201E" w14:textId="50550C38" w:rsidR="001D61B7" w:rsidRPr="001D61B7" w:rsidRDefault="001D61B7" w:rsidP="001D61B7">
      <w:pPr>
        <w:pStyle w:val="SingleTxtG"/>
        <w:suppressAutoHyphens/>
        <w:spacing w:before="240" w:after="0"/>
        <w:jc w:val="center"/>
        <w:rPr>
          <w:u w:val="single"/>
        </w:rPr>
      </w:pPr>
      <w:r>
        <w:rPr>
          <w:b/>
          <w:bCs/>
          <w:u w:val="single"/>
        </w:rPr>
        <w:tab/>
      </w:r>
      <w:r>
        <w:rPr>
          <w:b/>
          <w:bCs/>
          <w:u w:val="single"/>
        </w:rPr>
        <w:tab/>
      </w:r>
      <w:r>
        <w:rPr>
          <w:b/>
          <w:bCs/>
          <w:u w:val="single"/>
        </w:rPr>
        <w:tab/>
      </w:r>
    </w:p>
    <w:sectPr w:rsidR="001D61B7" w:rsidRPr="001D61B7" w:rsidSect="00CB170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533D" w14:textId="77777777" w:rsidR="00E54F94" w:rsidRDefault="00E54F94"/>
  </w:endnote>
  <w:endnote w:type="continuationSeparator" w:id="0">
    <w:p w14:paraId="3D179485" w14:textId="77777777" w:rsidR="00E54F94" w:rsidRDefault="00E54F94"/>
  </w:endnote>
  <w:endnote w:type="continuationNotice" w:id="1">
    <w:p w14:paraId="1E5EB89F" w14:textId="77777777" w:rsidR="00E54F94" w:rsidRDefault="00E5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183E" w14:textId="472FDB70" w:rsidR="00DE48A0" w:rsidRPr="00DE48A0" w:rsidRDefault="00DE48A0">
    <w:pPr>
      <w:pStyle w:val="Footer"/>
      <w:rPr>
        <w:b/>
        <w:bCs/>
        <w:sz w:val="18"/>
        <w:szCs w:val="18"/>
      </w:rPr>
    </w:pPr>
    <w:r w:rsidRPr="00DE48A0">
      <w:rPr>
        <w:b/>
        <w:bCs/>
        <w:sz w:val="18"/>
        <w:szCs w:val="18"/>
      </w:rPr>
      <w:fldChar w:fldCharType="begin"/>
    </w:r>
    <w:r w:rsidRPr="00DE48A0">
      <w:rPr>
        <w:b/>
        <w:bCs/>
        <w:sz w:val="18"/>
        <w:szCs w:val="18"/>
      </w:rPr>
      <w:instrText xml:space="preserve"> PAGE   \* MERGEFORMAT </w:instrText>
    </w:r>
    <w:r w:rsidRPr="00DE48A0">
      <w:rPr>
        <w:b/>
        <w:bCs/>
        <w:sz w:val="18"/>
        <w:szCs w:val="18"/>
      </w:rPr>
      <w:fldChar w:fldCharType="separate"/>
    </w:r>
    <w:r w:rsidRPr="00DE48A0">
      <w:rPr>
        <w:b/>
        <w:bCs/>
        <w:noProof/>
        <w:sz w:val="18"/>
        <w:szCs w:val="18"/>
      </w:rPr>
      <w:t>1</w:t>
    </w:r>
    <w:r w:rsidRPr="00DE48A0">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A82C" w14:textId="1AD00D0D" w:rsidR="00DE48A0" w:rsidRPr="00DE48A0" w:rsidRDefault="00DE48A0" w:rsidP="00DE48A0">
    <w:pPr>
      <w:pStyle w:val="Footer"/>
      <w:jc w:val="right"/>
      <w:rPr>
        <w:b/>
        <w:bCs/>
        <w:sz w:val="18"/>
        <w:szCs w:val="18"/>
      </w:rPr>
    </w:pPr>
    <w:r w:rsidRPr="00DE48A0">
      <w:rPr>
        <w:b/>
        <w:bCs/>
        <w:sz w:val="18"/>
        <w:szCs w:val="18"/>
      </w:rPr>
      <w:fldChar w:fldCharType="begin"/>
    </w:r>
    <w:r w:rsidRPr="00DE48A0">
      <w:rPr>
        <w:b/>
        <w:bCs/>
        <w:sz w:val="18"/>
        <w:szCs w:val="18"/>
      </w:rPr>
      <w:instrText xml:space="preserve"> PAGE   \* MERGEFORMAT </w:instrText>
    </w:r>
    <w:r w:rsidRPr="00DE48A0">
      <w:rPr>
        <w:b/>
        <w:bCs/>
        <w:sz w:val="18"/>
        <w:szCs w:val="18"/>
      </w:rPr>
      <w:fldChar w:fldCharType="separate"/>
    </w:r>
    <w:r>
      <w:rPr>
        <w:b/>
        <w:bCs/>
        <w:sz w:val="18"/>
        <w:szCs w:val="18"/>
      </w:rPr>
      <w:t>2</w:t>
    </w:r>
    <w:r w:rsidRPr="00DE48A0">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99E" w14:textId="77777777" w:rsidR="00700564" w:rsidRDefault="0070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D81A" w14:textId="77777777" w:rsidR="00E54F94" w:rsidRPr="000B175B" w:rsidRDefault="00E54F94" w:rsidP="000B175B">
      <w:pPr>
        <w:tabs>
          <w:tab w:val="right" w:pos="2155"/>
        </w:tabs>
        <w:spacing w:after="80"/>
        <w:ind w:left="680"/>
        <w:rPr>
          <w:u w:val="single"/>
        </w:rPr>
      </w:pPr>
      <w:r>
        <w:rPr>
          <w:u w:val="single"/>
        </w:rPr>
        <w:tab/>
      </w:r>
    </w:p>
  </w:footnote>
  <w:footnote w:type="continuationSeparator" w:id="0">
    <w:p w14:paraId="5B31B3D2" w14:textId="77777777" w:rsidR="00E54F94" w:rsidRPr="00FC68B7" w:rsidRDefault="00E54F94" w:rsidP="00FC68B7">
      <w:pPr>
        <w:tabs>
          <w:tab w:val="left" w:pos="2155"/>
        </w:tabs>
        <w:spacing w:after="80"/>
        <w:ind w:left="680"/>
        <w:rPr>
          <w:u w:val="single"/>
        </w:rPr>
      </w:pPr>
      <w:r>
        <w:rPr>
          <w:u w:val="single"/>
        </w:rPr>
        <w:tab/>
      </w:r>
    </w:p>
  </w:footnote>
  <w:footnote w:type="continuationNotice" w:id="1">
    <w:p w14:paraId="6B0D6469" w14:textId="77777777" w:rsidR="00E54F94" w:rsidRDefault="00E54F94"/>
  </w:footnote>
  <w:footnote w:id="2">
    <w:p w14:paraId="2A7CE8BC" w14:textId="6EF642EA" w:rsidR="00E7177C" w:rsidRPr="00E7177C" w:rsidRDefault="00D34596" w:rsidP="00E7177C">
      <w:pPr>
        <w:pStyle w:val="FootnoteText"/>
      </w:pPr>
      <w:r>
        <w:rPr>
          <w:sz w:val="20"/>
        </w:rPr>
        <w:tab/>
      </w:r>
      <w:r w:rsidR="7311BDFA" w:rsidRPr="7311BDFA">
        <w:rPr>
          <w:sz w:val="20"/>
        </w:rPr>
        <w:t>*</w:t>
      </w:r>
      <w:r w:rsidR="00E7177C">
        <w:rPr>
          <w:sz w:val="20"/>
        </w:rPr>
        <w:tab/>
      </w:r>
      <w:r w:rsidR="7311BDFA" w:rsidRPr="00E7177C">
        <w:t xml:space="preserve">The present report was submitted after the deadline </w:t>
      </w:r>
      <w:proofErr w:type="gramStart"/>
      <w:r w:rsidR="7311BDFA" w:rsidRPr="00E7177C">
        <w:t>in order to</w:t>
      </w:r>
      <w:proofErr w:type="gramEnd"/>
      <w:r w:rsidR="7311BDFA" w:rsidRPr="00E7177C">
        <w:t xml:space="preserve"> reflect the most recent information</w:t>
      </w:r>
    </w:p>
  </w:footnote>
  <w:footnote w:id="3">
    <w:p w14:paraId="74E15CAE" w14:textId="6F85DF22" w:rsidR="00E7177C" w:rsidRPr="003B6B80" w:rsidRDefault="00F471D6" w:rsidP="00F471D6">
      <w:pPr>
        <w:pStyle w:val="FootnoteText"/>
        <w:rPr>
          <w:lang w:val="pt-BR"/>
        </w:rPr>
      </w:pPr>
      <w:r>
        <w:rPr>
          <w:lang w:val="pt-BR"/>
        </w:rPr>
        <w:tab/>
      </w:r>
      <w:r w:rsidR="00E7177C" w:rsidRPr="00983A11">
        <w:rPr>
          <w:rStyle w:val="FootnoteReference"/>
        </w:rPr>
        <w:footnoteRef/>
      </w:r>
      <w:r w:rsidR="005C120F">
        <w:rPr>
          <w:lang w:val="pt-BR"/>
        </w:rPr>
        <w:tab/>
      </w:r>
      <w:r w:rsidR="2B9877B7" w:rsidRPr="003B6B80">
        <w:rPr>
          <w:lang w:val="pt-BR"/>
        </w:rPr>
        <w:t>A/77</w:t>
      </w:r>
      <w:r w:rsidR="2B9877B7">
        <w:rPr>
          <w:lang w:val="pt-BR"/>
        </w:rPr>
        <w:t>/</w:t>
      </w:r>
    </w:p>
  </w:footnote>
  <w:footnote w:id="4">
    <w:p w14:paraId="04AD736E" w14:textId="7DCDFC61" w:rsidR="00E7177C" w:rsidRPr="003B6B80" w:rsidRDefault="00F471D6" w:rsidP="001047AC">
      <w:pPr>
        <w:pStyle w:val="FootnoteText"/>
        <w:rPr>
          <w:lang w:val="pt-BR"/>
        </w:rPr>
      </w:pPr>
      <w:r>
        <w:rPr>
          <w:lang w:val="pt-BR"/>
        </w:rPr>
        <w:tab/>
      </w:r>
      <w:r w:rsidR="00E7177C" w:rsidRPr="00983A11">
        <w:rPr>
          <w:rStyle w:val="FootnoteReference"/>
        </w:rPr>
        <w:footnoteRef/>
      </w:r>
      <w:r w:rsidR="005C120F">
        <w:rPr>
          <w:lang w:val="pt-BR"/>
        </w:rPr>
        <w:tab/>
      </w:r>
      <w:r w:rsidR="2B9877B7" w:rsidRPr="00E14B3B">
        <w:rPr>
          <w:lang w:val="pt-BR"/>
        </w:rPr>
        <w:t>A/HRC/52/75</w:t>
      </w:r>
      <w:r w:rsidR="2B9877B7">
        <w:rPr>
          <w:lang w:val="pt-BR"/>
        </w:rPr>
        <w:t xml:space="preserve">, </w:t>
      </w:r>
      <w:r w:rsidR="2B9877B7" w:rsidRPr="00E57DDB">
        <w:rPr>
          <w:lang w:val="pt-BR"/>
        </w:rPr>
        <w:t>A/HRC/52/76</w:t>
      </w:r>
      <w:r w:rsidR="2B9877B7">
        <w:rPr>
          <w:lang w:val="pt-BR"/>
        </w:rPr>
        <w:t xml:space="preserve"> </w:t>
      </w:r>
    </w:p>
  </w:footnote>
  <w:footnote w:id="5">
    <w:p w14:paraId="0D31EBF3" w14:textId="7F26B257" w:rsidR="00E7177C" w:rsidRPr="004E4203" w:rsidRDefault="005C120F" w:rsidP="00F471D6">
      <w:pPr>
        <w:pStyle w:val="FootnoteText"/>
        <w:rPr>
          <w:lang w:val="pt-PT"/>
        </w:rPr>
      </w:pPr>
      <w:r>
        <w:rPr>
          <w:lang w:val="pt-PT"/>
        </w:rPr>
        <w:tab/>
      </w:r>
      <w:r w:rsidR="00E7177C" w:rsidRPr="00983A11">
        <w:rPr>
          <w:rStyle w:val="FootnoteReference"/>
        </w:rPr>
        <w:footnoteRef/>
      </w:r>
      <w:r>
        <w:rPr>
          <w:lang w:val="pt-PT"/>
        </w:rPr>
        <w:tab/>
      </w:r>
      <w:r w:rsidR="00E7177C" w:rsidRPr="004E4203">
        <w:rPr>
          <w:lang w:val="pt-PT"/>
        </w:rPr>
        <w:t>A/HRC/34/38,paras.3–12.</w:t>
      </w:r>
    </w:p>
  </w:footnote>
  <w:footnote w:id="6">
    <w:p w14:paraId="4F358A77" w14:textId="2C050DDD" w:rsidR="00E7177C" w:rsidRPr="004E4203" w:rsidRDefault="005C120F" w:rsidP="005C120F">
      <w:pPr>
        <w:pStyle w:val="FootnoteText"/>
        <w:rPr>
          <w:lang w:val="en-US"/>
        </w:rPr>
      </w:pPr>
      <w:r>
        <w:rPr>
          <w:lang w:val="es-ES"/>
        </w:rPr>
        <w:tab/>
      </w:r>
      <w:r w:rsidR="00E7177C" w:rsidRPr="00983A11">
        <w:rPr>
          <w:rStyle w:val="FootnoteReference"/>
        </w:rPr>
        <w:footnoteRef/>
      </w:r>
      <w:r>
        <w:rPr>
          <w:lang w:val="es-ES"/>
        </w:rPr>
        <w:tab/>
      </w:r>
      <w:r w:rsidR="00E7177C" w:rsidRPr="00E464CF">
        <w:rPr>
          <w:lang w:val="es-ES"/>
        </w:rPr>
        <w:t xml:space="preserve">A/HRC/52/75 paras 6 – 11. </w:t>
      </w:r>
      <w:r w:rsidR="00E7177C" w:rsidRPr="004E4203">
        <w:rPr>
          <w:lang w:val="en-US"/>
        </w:rPr>
        <w:t xml:space="preserve">According to </w:t>
      </w:r>
      <w:r w:rsidR="003B4903">
        <w:rPr>
          <w:lang w:val="en-US"/>
        </w:rPr>
        <w:t>OHCHR</w:t>
      </w:r>
      <w:r w:rsidR="00E7177C" w:rsidRPr="004E4203">
        <w:rPr>
          <w:lang w:val="en-US"/>
        </w:rPr>
        <w:t xml:space="preserve">, one boy died of his injuries after the submission of the </w:t>
      </w:r>
      <w:r w:rsidR="00E7177C">
        <w:rPr>
          <w:lang w:val="en-US"/>
        </w:rPr>
        <w:t xml:space="preserve">High Commissioner’s </w:t>
      </w:r>
      <w:r w:rsidR="00E7177C" w:rsidRPr="004E4203">
        <w:rPr>
          <w:lang w:val="en-US"/>
        </w:rPr>
        <w:t xml:space="preserve">report. </w:t>
      </w:r>
      <w:r w:rsidR="00E7177C">
        <w:rPr>
          <w:lang w:val="en-US"/>
        </w:rPr>
        <w:t>The</w:t>
      </w:r>
      <w:r w:rsidR="00E7177C" w:rsidRPr="001E1D63">
        <w:t xml:space="preserve"> perpetrator is unclear for the deaths of four persons killed in one incident</w:t>
      </w:r>
      <w:r w:rsidR="00E7177C">
        <w:t>.</w:t>
      </w:r>
    </w:p>
  </w:footnote>
  <w:footnote w:id="7">
    <w:p w14:paraId="540DD21E" w14:textId="447AD8EC" w:rsidR="00E7177C" w:rsidRPr="000D7676" w:rsidRDefault="005C120F" w:rsidP="001047AC">
      <w:pPr>
        <w:pStyle w:val="FootnoteText"/>
        <w:rPr>
          <w:lang w:val="pt-BR"/>
        </w:rPr>
      </w:pPr>
      <w:r>
        <w:rPr>
          <w:rFonts w:cstheme="majorBidi"/>
          <w:szCs w:val="16"/>
          <w:lang w:val="pt-BR"/>
        </w:rPr>
        <w:tab/>
      </w:r>
      <w:r w:rsidR="00E7177C" w:rsidRPr="00983A11">
        <w:rPr>
          <w:rStyle w:val="FootnoteReference"/>
        </w:rPr>
        <w:footnoteRef/>
      </w:r>
      <w:r>
        <w:rPr>
          <w:rFonts w:cstheme="majorBidi"/>
          <w:szCs w:val="16"/>
          <w:lang w:val="pt-BR"/>
        </w:rPr>
        <w:tab/>
      </w:r>
      <w:r w:rsidR="00E7177C" w:rsidRPr="000D7676">
        <w:rPr>
          <w:lang w:val="pt-BR"/>
        </w:rPr>
        <w:t>A/HRC/52/75 para 6</w:t>
      </w:r>
    </w:p>
  </w:footnote>
  <w:footnote w:id="8">
    <w:p w14:paraId="3142AF67" w14:textId="41E83545" w:rsidR="00E7177C" w:rsidRPr="000D7676" w:rsidRDefault="005C120F" w:rsidP="005C120F">
      <w:pPr>
        <w:pStyle w:val="FootnoteText"/>
        <w:rPr>
          <w:lang w:val="pt-BR"/>
        </w:rPr>
      </w:pPr>
      <w:r>
        <w:rPr>
          <w:rFonts w:cstheme="majorBidi"/>
          <w:szCs w:val="16"/>
          <w:lang w:val="pt-BR"/>
        </w:rPr>
        <w:tab/>
      </w:r>
      <w:r w:rsidR="00E7177C" w:rsidRPr="00983A11">
        <w:rPr>
          <w:rStyle w:val="FootnoteReference"/>
        </w:rPr>
        <w:footnoteRef/>
      </w:r>
      <w:r>
        <w:rPr>
          <w:rFonts w:cstheme="majorBidi"/>
          <w:szCs w:val="16"/>
          <w:lang w:val="pt-BR"/>
        </w:rPr>
        <w:tab/>
      </w:r>
      <w:r w:rsidR="00E7177C" w:rsidRPr="000D7676">
        <w:rPr>
          <w:lang w:val="pt-BR"/>
        </w:rPr>
        <w:t>A/HRC/52/75 para 6</w:t>
      </w:r>
    </w:p>
  </w:footnote>
  <w:footnote w:id="9">
    <w:p w14:paraId="664FC879" w14:textId="3B1EFBEE" w:rsidR="00E7177C" w:rsidRPr="004E4203" w:rsidRDefault="005C120F" w:rsidP="001047AC">
      <w:pPr>
        <w:pStyle w:val="FootnoteText"/>
        <w:rPr>
          <w:lang w:val="en-US"/>
        </w:rPr>
      </w:pPr>
      <w:r w:rsidRPr="00864442">
        <w:rPr>
          <w:lang w:val="es-ES"/>
        </w:rPr>
        <w:tab/>
      </w:r>
      <w:r w:rsidR="00E7177C" w:rsidRPr="00983A11">
        <w:rPr>
          <w:rStyle w:val="FootnoteReference"/>
        </w:rPr>
        <w:footnoteRef/>
      </w:r>
      <w:r>
        <w:tab/>
      </w:r>
      <w:r w:rsidR="00E7177C">
        <w:t>ICRC</w:t>
      </w:r>
      <w:r w:rsidR="00E7177C" w:rsidRPr="004E4203">
        <w:t xml:space="preserve"> Rule 14</w:t>
      </w:r>
      <w:r w:rsidR="00E7177C">
        <w:t>.</w:t>
      </w:r>
    </w:p>
  </w:footnote>
  <w:footnote w:id="10">
    <w:p w14:paraId="1DCAC3CB" w14:textId="23E96060" w:rsidR="00E7177C" w:rsidRPr="004E4203" w:rsidRDefault="00C90727" w:rsidP="00C90727">
      <w:pPr>
        <w:pStyle w:val="FootnoteText"/>
        <w:rPr>
          <w:lang w:val="en-US"/>
        </w:rPr>
      </w:pPr>
      <w:r>
        <w:tab/>
      </w:r>
      <w:r w:rsidR="00E7177C" w:rsidRPr="00983A11">
        <w:rPr>
          <w:rStyle w:val="FootnoteReference"/>
        </w:rPr>
        <w:footnoteRef/>
      </w:r>
      <w:r>
        <w:tab/>
      </w:r>
      <w:r w:rsidR="00E7177C">
        <w:rPr>
          <w:rFonts w:asciiTheme="majorBidi" w:hAnsiTheme="majorBidi" w:cstheme="majorBidi"/>
          <w:sz w:val="16"/>
          <w:szCs w:val="16"/>
        </w:rPr>
        <w:t>Ibid</w:t>
      </w:r>
      <w:r w:rsidR="00E7177C" w:rsidRPr="004E4203">
        <w:rPr>
          <w:rFonts w:asciiTheme="majorBidi" w:hAnsiTheme="majorBidi" w:cstheme="majorBidi"/>
          <w:sz w:val="16"/>
          <w:szCs w:val="16"/>
        </w:rPr>
        <w:t xml:space="preserve"> </w:t>
      </w:r>
      <w:r w:rsidR="00E7177C" w:rsidRPr="004E4203">
        <w:rPr>
          <w:lang w:val="en-US"/>
        </w:rPr>
        <w:t xml:space="preserve">Rule 15. </w:t>
      </w:r>
    </w:p>
  </w:footnote>
  <w:footnote w:id="11">
    <w:p w14:paraId="06C60390" w14:textId="7B049A51" w:rsidR="00E7177C" w:rsidRPr="004E4203" w:rsidRDefault="00C90727" w:rsidP="00C90727">
      <w:pPr>
        <w:pStyle w:val="FootnoteText"/>
      </w:pPr>
      <w:r>
        <w:tab/>
      </w:r>
      <w:r w:rsidR="00E7177C" w:rsidRPr="00983A11">
        <w:rPr>
          <w:rStyle w:val="FootnoteReference"/>
        </w:rPr>
        <w:footnoteRef/>
      </w:r>
      <w:r>
        <w:tab/>
      </w:r>
      <w:r w:rsidR="00E7177C">
        <w:t xml:space="preserve">Ibid, </w:t>
      </w:r>
      <w:r w:rsidR="00E7177C" w:rsidRPr="004E4203">
        <w:t>Rule</w:t>
      </w:r>
      <w:r w:rsidR="00E7177C">
        <w:t xml:space="preserve"> 11.</w:t>
      </w:r>
    </w:p>
  </w:footnote>
  <w:footnote w:id="12">
    <w:p w14:paraId="7583635B" w14:textId="66D4566E" w:rsidR="00E7177C" w:rsidRPr="000D7676" w:rsidRDefault="00C90727" w:rsidP="00C90727">
      <w:pPr>
        <w:pStyle w:val="FootnoteText"/>
        <w:rPr>
          <w:lang w:val="pt-BR"/>
        </w:rPr>
      </w:pPr>
      <w:r>
        <w:rPr>
          <w:lang w:val="pt-BR"/>
        </w:rPr>
        <w:tab/>
      </w:r>
      <w:r w:rsidR="00E7177C" w:rsidRPr="00983A11">
        <w:rPr>
          <w:rStyle w:val="FootnoteReference"/>
        </w:rPr>
        <w:footnoteRef/>
      </w:r>
      <w:r>
        <w:rPr>
          <w:lang w:val="pt-BR"/>
        </w:rPr>
        <w:tab/>
      </w:r>
      <w:r w:rsidR="00E7177C" w:rsidRPr="000D7676">
        <w:rPr>
          <w:lang w:val="pt-BR"/>
        </w:rPr>
        <w:t xml:space="preserve">A/HRC/52/75 paras 6 – </w:t>
      </w:r>
      <w:r w:rsidR="00E7177C">
        <w:t>9</w:t>
      </w:r>
      <w:r w:rsidR="00E7177C" w:rsidRPr="000D7676">
        <w:rPr>
          <w:lang w:val="pt-BR"/>
        </w:rPr>
        <w:t>.</w:t>
      </w:r>
    </w:p>
  </w:footnote>
  <w:footnote w:id="13">
    <w:p w14:paraId="4C87952A" w14:textId="2DC60059" w:rsidR="00E7177C" w:rsidRPr="004E4203" w:rsidRDefault="00C90727" w:rsidP="00C90727">
      <w:pPr>
        <w:pStyle w:val="FootnoteText"/>
        <w:rPr>
          <w:lang w:val="en-US"/>
        </w:rPr>
      </w:pPr>
      <w:r>
        <w:tab/>
      </w:r>
      <w:r w:rsidR="00E7177C" w:rsidRPr="00983A11">
        <w:rPr>
          <w:rStyle w:val="FootnoteReference"/>
        </w:rPr>
        <w:footnoteRef/>
      </w:r>
      <w:r>
        <w:tab/>
      </w:r>
      <w:r w:rsidR="00E7177C" w:rsidRPr="004E4203">
        <w:t xml:space="preserve">Verification of status continued as </w:t>
      </w:r>
      <w:proofErr w:type="gramStart"/>
      <w:r w:rsidR="00E7177C" w:rsidRPr="004E4203">
        <w:t>at</w:t>
      </w:r>
      <w:proofErr w:type="gramEnd"/>
      <w:r w:rsidR="00E7177C" w:rsidRPr="004E4203">
        <w:t xml:space="preserve"> 31 May 2023.</w:t>
      </w:r>
    </w:p>
  </w:footnote>
  <w:footnote w:id="14">
    <w:p w14:paraId="087256E2" w14:textId="4764A41B" w:rsidR="00E7177C" w:rsidRPr="00685DAC" w:rsidRDefault="00C90727" w:rsidP="00C90727">
      <w:pPr>
        <w:pStyle w:val="FootnoteText"/>
        <w:rPr>
          <w:rFonts w:asciiTheme="majorBidi" w:hAnsiTheme="majorBidi"/>
          <w:sz w:val="16"/>
          <w:lang w:val="en-US"/>
        </w:rPr>
      </w:pPr>
      <w:r>
        <w:rPr>
          <w:rFonts w:asciiTheme="majorBidi" w:hAnsiTheme="majorBidi"/>
          <w:sz w:val="16"/>
          <w:lang w:val="en-US"/>
        </w:rPr>
        <w:tab/>
      </w:r>
      <w:r w:rsidR="00E7177C" w:rsidRPr="00983A11">
        <w:rPr>
          <w:rStyle w:val="FootnoteReference"/>
        </w:rPr>
        <w:footnoteRef/>
      </w:r>
      <w:r>
        <w:rPr>
          <w:rFonts w:asciiTheme="majorBidi" w:hAnsiTheme="majorBidi"/>
          <w:sz w:val="16"/>
          <w:lang w:val="en-US"/>
        </w:rPr>
        <w:tab/>
      </w:r>
      <w:r w:rsidR="00E7177C">
        <w:t>O</w:t>
      </w:r>
      <w:r w:rsidR="00F91314">
        <w:t>CHA</w:t>
      </w:r>
    </w:p>
  </w:footnote>
  <w:footnote w:id="15">
    <w:p w14:paraId="257BE1C9" w14:textId="58F19BFE" w:rsidR="00E7177C" w:rsidRPr="000D7676" w:rsidRDefault="00C90727" w:rsidP="00C90727">
      <w:pPr>
        <w:pStyle w:val="FootnoteText"/>
        <w:rPr>
          <w:lang w:val="pt-BR"/>
        </w:rPr>
      </w:pPr>
      <w:r>
        <w:rPr>
          <w:lang w:val="pt-BR"/>
        </w:rPr>
        <w:tab/>
      </w:r>
      <w:r w:rsidR="00E7177C" w:rsidRPr="00983A11">
        <w:rPr>
          <w:rStyle w:val="FootnoteReference"/>
        </w:rPr>
        <w:footnoteRef/>
      </w:r>
      <w:r>
        <w:rPr>
          <w:lang w:val="pt-BR"/>
        </w:rPr>
        <w:tab/>
      </w:r>
      <w:r w:rsidR="00E7177C" w:rsidRPr="000D7676">
        <w:rPr>
          <w:lang w:val="pt-BR"/>
        </w:rPr>
        <w:t xml:space="preserve">UNSCO </w:t>
      </w:r>
      <w:r w:rsidR="00D10460">
        <w:rPr>
          <w:lang w:val="pt-BR"/>
        </w:rPr>
        <w:t xml:space="preserve">Security Council Briefing. </w:t>
      </w:r>
    </w:p>
  </w:footnote>
  <w:footnote w:id="16">
    <w:p w14:paraId="1C8D4F83" w14:textId="0D2139E7" w:rsidR="00E7177C" w:rsidRPr="00F47FA8" w:rsidRDefault="00C90727" w:rsidP="00C90727">
      <w:pPr>
        <w:pStyle w:val="FootnoteText"/>
        <w:rPr>
          <w:lang w:val="en-US"/>
        </w:rPr>
      </w:pPr>
      <w:r w:rsidRPr="00864442">
        <w:rPr>
          <w:lang w:val="pt-BR"/>
        </w:rPr>
        <w:tab/>
      </w:r>
      <w:r w:rsidR="00E7177C" w:rsidRPr="00983A11">
        <w:rPr>
          <w:rStyle w:val="FootnoteReference"/>
        </w:rPr>
        <w:footnoteRef/>
      </w:r>
      <w:r>
        <w:tab/>
      </w:r>
      <w:r w:rsidR="00E7177C">
        <w:rPr>
          <w:lang w:val="en-US"/>
        </w:rPr>
        <w:t xml:space="preserve">See also </w:t>
      </w:r>
      <w:proofErr w:type="gramStart"/>
      <w:r w:rsidR="00E7177C" w:rsidRPr="00393DBF">
        <w:rPr>
          <w:lang w:val="en-US"/>
        </w:rPr>
        <w:t>https://www.nytimes.com/2023/05/31/world/middleeast/israel-gaza-precision-strikes-civilians.html?smid=nytcore-ios-share&amp;referringSource=articleShare</w:t>
      </w:r>
      <w:proofErr w:type="gramEnd"/>
    </w:p>
  </w:footnote>
  <w:footnote w:id="17">
    <w:p w14:paraId="74300AC3" w14:textId="21D43C1C" w:rsidR="00E7177C" w:rsidRPr="008E5006" w:rsidRDefault="00C90727" w:rsidP="00C90727">
      <w:pPr>
        <w:pStyle w:val="FootnoteText"/>
        <w:rPr>
          <w:lang w:val="en-US"/>
        </w:rPr>
      </w:pPr>
      <w:r>
        <w:tab/>
      </w:r>
      <w:r w:rsidR="00E7177C" w:rsidRPr="00983A11">
        <w:rPr>
          <w:rStyle w:val="FootnoteReference"/>
        </w:rPr>
        <w:footnoteRef/>
      </w:r>
      <w:r>
        <w:tab/>
      </w:r>
      <w:r w:rsidR="00E7177C">
        <w:t>ICRC, Rule 156.</w:t>
      </w:r>
    </w:p>
  </w:footnote>
  <w:footnote w:id="18">
    <w:p w14:paraId="7219C130" w14:textId="2EC9C1EC" w:rsidR="00E7177C" w:rsidRPr="00620322" w:rsidRDefault="00C90727" w:rsidP="00C90727">
      <w:pPr>
        <w:pStyle w:val="FootnoteText"/>
      </w:pPr>
      <w:r>
        <w:tab/>
      </w:r>
      <w:r w:rsidR="00E7177C" w:rsidRPr="00983A11">
        <w:rPr>
          <w:rStyle w:val="FootnoteReference"/>
        </w:rPr>
        <w:footnoteRef/>
      </w:r>
      <w:r>
        <w:tab/>
      </w:r>
      <w:r w:rsidR="00E7177C" w:rsidRPr="00620322">
        <w:t>A/HRC/29/CRP.4, para. 97.</w:t>
      </w:r>
    </w:p>
  </w:footnote>
  <w:footnote w:id="19">
    <w:p w14:paraId="6115536F" w14:textId="5421C685" w:rsidR="00E7177C" w:rsidRPr="00620322" w:rsidRDefault="00C90727" w:rsidP="00C90727">
      <w:pPr>
        <w:pStyle w:val="FootnoteText"/>
        <w:rPr>
          <w:lang w:val="en-US"/>
        </w:rPr>
      </w:pPr>
      <w:r>
        <w:rPr>
          <w:lang w:val="en-US"/>
        </w:rPr>
        <w:tab/>
      </w:r>
      <w:r w:rsidR="00E7177C" w:rsidRPr="00983A11">
        <w:rPr>
          <w:rStyle w:val="FootnoteReference"/>
        </w:rPr>
        <w:footnoteRef/>
      </w:r>
      <w:r>
        <w:rPr>
          <w:lang w:val="en-US"/>
        </w:rPr>
        <w:tab/>
      </w:r>
      <w:r w:rsidR="00E7177C" w:rsidRPr="00620322">
        <w:rPr>
          <w:lang w:val="en-US"/>
        </w:rPr>
        <w:t>ICRC Rules 11, 12, 71 and 156</w:t>
      </w:r>
    </w:p>
  </w:footnote>
  <w:footnote w:id="20">
    <w:p w14:paraId="0A2EB30D" w14:textId="29DB10D7" w:rsidR="00E7177C" w:rsidRPr="00620322" w:rsidRDefault="00C90727" w:rsidP="00C90727">
      <w:pPr>
        <w:pStyle w:val="FootnoteText"/>
        <w:rPr>
          <w:lang w:val="en-US"/>
        </w:rPr>
      </w:pPr>
      <w:r>
        <w:tab/>
      </w:r>
      <w:r w:rsidR="00E7177C" w:rsidRPr="00983A11">
        <w:rPr>
          <w:rStyle w:val="FootnoteReference"/>
        </w:rPr>
        <w:footnoteRef/>
      </w:r>
      <w:r>
        <w:tab/>
      </w:r>
      <w:r w:rsidR="00E7177C" w:rsidRPr="00620322">
        <w:t>A/HRC/52/75, para 10</w:t>
      </w:r>
    </w:p>
  </w:footnote>
  <w:footnote w:id="21">
    <w:p w14:paraId="3C97B883" w14:textId="7AF880EA" w:rsidR="00E7177C" w:rsidRPr="00620322" w:rsidRDefault="00C90727" w:rsidP="00C90727">
      <w:pPr>
        <w:pStyle w:val="FootnoteText"/>
      </w:pPr>
      <w:r>
        <w:tab/>
      </w:r>
      <w:r w:rsidR="00E7177C" w:rsidRPr="00983A11">
        <w:rPr>
          <w:rStyle w:val="FootnoteReference"/>
        </w:rPr>
        <w:footnoteRef/>
      </w:r>
      <w:r>
        <w:tab/>
      </w:r>
      <w:r w:rsidR="00E7177C" w:rsidRPr="00620322">
        <w:t>O</w:t>
      </w:r>
      <w:r w:rsidR="00921B97">
        <w:t>CHA</w:t>
      </w:r>
      <w:r w:rsidR="00E7177C" w:rsidRPr="00620322">
        <w:t xml:space="preserve">, based on Israeli </w:t>
      </w:r>
      <w:proofErr w:type="gramStart"/>
      <w:r w:rsidR="00E7177C" w:rsidRPr="00620322">
        <w:t>sources</w:t>
      </w:r>
      <w:proofErr w:type="gramEnd"/>
    </w:p>
  </w:footnote>
  <w:footnote w:id="22">
    <w:p w14:paraId="238E5BAC" w14:textId="675D9E6E" w:rsidR="00E7177C" w:rsidRPr="00620322" w:rsidRDefault="00080CF5" w:rsidP="00C90727">
      <w:pPr>
        <w:pStyle w:val="FootnoteText"/>
      </w:pPr>
      <w:r>
        <w:tab/>
      </w:r>
      <w:r w:rsidR="00E7177C" w:rsidRPr="00983A11">
        <w:rPr>
          <w:rStyle w:val="FootnoteReference"/>
        </w:rPr>
        <w:footnoteRef/>
      </w:r>
      <w:r>
        <w:tab/>
      </w:r>
      <w:r w:rsidR="00E7177C" w:rsidRPr="00620322">
        <w:t>For damage in August 2022 see A/HRC/52/75 para 9</w:t>
      </w:r>
    </w:p>
  </w:footnote>
  <w:footnote w:id="23">
    <w:p w14:paraId="275FA669" w14:textId="2A767A6F" w:rsidR="00E7177C" w:rsidRPr="00620322" w:rsidRDefault="00080CF5" w:rsidP="00C90727">
      <w:pPr>
        <w:pStyle w:val="FootnoteText"/>
        <w:rPr>
          <w:lang w:val="en-US"/>
        </w:rPr>
      </w:pPr>
      <w:r>
        <w:tab/>
      </w:r>
      <w:r w:rsidR="00E7177C" w:rsidRPr="00983A11">
        <w:rPr>
          <w:rStyle w:val="FootnoteReference"/>
        </w:rPr>
        <w:footnoteRef/>
      </w:r>
      <w:r>
        <w:tab/>
      </w:r>
      <w:r w:rsidR="00E7177C" w:rsidRPr="00620322">
        <w:t>Another 4 (one man, one woman, 2 boys) Palestinians were killed by either settlers or I</w:t>
      </w:r>
      <w:r w:rsidR="00614C11">
        <w:t>SF</w:t>
      </w:r>
      <w:r w:rsidR="00E7177C" w:rsidRPr="00620322">
        <w:t>.</w:t>
      </w:r>
    </w:p>
  </w:footnote>
  <w:footnote w:id="24">
    <w:p w14:paraId="1B7FC437" w14:textId="27D08F62" w:rsidR="00E7177C" w:rsidRPr="00DA16F0" w:rsidRDefault="00080CF5" w:rsidP="00C90727">
      <w:pPr>
        <w:pStyle w:val="FootnoteText"/>
        <w:rPr>
          <w:lang w:val="fr-BE"/>
        </w:rPr>
      </w:pPr>
      <w:r>
        <w:tab/>
      </w:r>
      <w:r w:rsidR="00E7177C" w:rsidRPr="00983A11">
        <w:rPr>
          <w:rStyle w:val="FootnoteReference"/>
        </w:rPr>
        <w:footnoteRef/>
      </w:r>
      <w:r w:rsidRPr="00DA16F0">
        <w:rPr>
          <w:lang w:val="fr-BE"/>
        </w:rPr>
        <w:tab/>
      </w:r>
      <w:r w:rsidR="00E7177C" w:rsidRPr="00DA16F0">
        <w:rPr>
          <w:lang w:val="fr-BE"/>
        </w:rPr>
        <w:t>Figures from U</w:t>
      </w:r>
      <w:r w:rsidR="00394641" w:rsidRPr="00DA16F0">
        <w:rPr>
          <w:lang w:val="fr-BE"/>
        </w:rPr>
        <w:t>N</w:t>
      </w:r>
      <w:r w:rsidR="00E7177C" w:rsidRPr="00DA16F0">
        <w:rPr>
          <w:lang w:val="fr-BE"/>
        </w:rPr>
        <w:t xml:space="preserve">, </w:t>
      </w:r>
      <w:r w:rsidR="00394641" w:rsidRPr="00DA16F0">
        <w:rPr>
          <w:lang w:val="fr-BE"/>
        </w:rPr>
        <w:t>OCHA</w:t>
      </w:r>
      <w:r w:rsidR="00E7177C" w:rsidRPr="00DA16F0">
        <w:rPr>
          <w:lang w:val="fr-BE"/>
        </w:rPr>
        <w:t>.</w:t>
      </w:r>
    </w:p>
  </w:footnote>
  <w:footnote w:id="25">
    <w:p w14:paraId="0F97430E" w14:textId="24D81A2D" w:rsidR="00E7177C" w:rsidRPr="00DA16F0" w:rsidRDefault="00080CF5" w:rsidP="00C90727">
      <w:pPr>
        <w:pStyle w:val="FootnoteText"/>
        <w:rPr>
          <w:lang w:val="fr-BE"/>
        </w:rPr>
      </w:pPr>
      <w:r w:rsidRPr="00DA16F0">
        <w:rPr>
          <w:lang w:val="fr-BE"/>
        </w:rPr>
        <w:tab/>
      </w:r>
      <w:r w:rsidR="00E7177C" w:rsidRPr="00983A11">
        <w:rPr>
          <w:rStyle w:val="FootnoteReference"/>
        </w:rPr>
        <w:footnoteRef/>
      </w:r>
      <w:r w:rsidRPr="00DA16F0">
        <w:rPr>
          <w:lang w:val="fr-BE"/>
        </w:rPr>
        <w:tab/>
      </w:r>
      <w:r w:rsidR="00E7177C" w:rsidRPr="00DA16F0">
        <w:rPr>
          <w:lang w:val="fr-BE"/>
        </w:rPr>
        <w:t>HRC GC 36 para 13</w:t>
      </w:r>
    </w:p>
  </w:footnote>
  <w:footnote w:id="26">
    <w:p w14:paraId="38F43818" w14:textId="0BC8790A" w:rsidR="00E7177C" w:rsidRPr="00620322" w:rsidRDefault="00080CF5" w:rsidP="00C90727">
      <w:pPr>
        <w:pStyle w:val="FootnoteText"/>
      </w:pPr>
      <w:r w:rsidRPr="00DA16F0">
        <w:rPr>
          <w:lang w:val="fr-BE"/>
        </w:rPr>
        <w:tab/>
      </w:r>
      <w:r w:rsidR="00E7177C" w:rsidRPr="00983A11">
        <w:rPr>
          <w:rStyle w:val="FootnoteReference"/>
        </w:rPr>
        <w:footnoteRef/>
      </w:r>
      <w:r>
        <w:tab/>
      </w:r>
      <w:r w:rsidR="00E7177C" w:rsidRPr="00620322">
        <w:t>Basic Principles on Use of Force and Firearms by Law Enforcement Officials, para 2</w:t>
      </w:r>
    </w:p>
  </w:footnote>
  <w:footnote w:id="27">
    <w:p w14:paraId="0C18B98D" w14:textId="69520CF8" w:rsidR="00E7177C" w:rsidRPr="004954F7" w:rsidRDefault="00080CF5" w:rsidP="00C90727">
      <w:pPr>
        <w:pStyle w:val="FootnoteText"/>
        <w:rPr>
          <w:lang w:val="es-ES"/>
        </w:rPr>
      </w:pPr>
      <w:r w:rsidRPr="00864442">
        <w:rPr>
          <w:lang w:val="en-US"/>
        </w:rPr>
        <w:tab/>
      </w:r>
      <w:r w:rsidR="00E7177C" w:rsidRPr="00983A11">
        <w:rPr>
          <w:rStyle w:val="FootnoteReference"/>
        </w:rPr>
        <w:footnoteRef/>
      </w:r>
      <w:r>
        <w:rPr>
          <w:lang w:val="es-ES"/>
        </w:rPr>
        <w:tab/>
      </w:r>
      <w:proofErr w:type="spellStart"/>
      <w:r w:rsidR="00E7177C" w:rsidRPr="00130082">
        <w:rPr>
          <w:lang w:val="es-ES"/>
        </w:rPr>
        <w:t>Ibid</w:t>
      </w:r>
      <w:proofErr w:type="spellEnd"/>
      <w:r w:rsidR="00E7177C" w:rsidRPr="00130082">
        <w:rPr>
          <w:lang w:val="es-ES"/>
        </w:rPr>
        <w:t xml:space="preserve">, para. 9; HRC GC 36 para </w:t>
      </w:r>
      <w:r w:rsidR="00E7177C" w:rsidRPr="004954F7">
        <w:rPr>
          <w:lang w:val="es-ES"/>
        </w:rPr>
        <w:t>12</w:t>
      </w:r>
    </w:p>
  </w:footnote>
  <w:footnote w:id="28">
    <w:p w14:paraId="2B931EFB" w14:textId="19D05B7A" w:rsidR="00E7177C" w:rsidRPr="004954F7" w:rsidRDefault="00080CF5" w:rsidP="00C90727">
      <w:pPr>
        <w:pStyle w:val="FootnoteText"/>
        <w:rPr>
          <w:lang w:val="es-ES"/>
        </w:rPr>
      </w:pPr>
      <w:r>
        <w:rPr>
          <w:lang w:val="es-ES"/>
        </w:rPr>
        <w:tab/>
      </w:r>
      <w:r w:rsidR="00E7177C" w:rsidRPr="00983A11">
        <w:rPr>
          <w:rStyle w:val="FootnoteReference"/>
        </w:rPr>
        <w:footnoteRef/>
      </w:r>
      <w:r>
        <w:rPr>
          <w:lang w:val="es-ES"/>
        </w:rPr>
        <w:tab/>
      </w:r>
      <w:r w:rsidR="00E7177C" w:rsidRPr="004954F7">
        <w:rPr>
          <w:lang w:val="es-ES"/>
        </w:rPr>
        <w:t>https://edition.cnn.com/2023/02/22/middleeast/israeli-raid-nablus-west-bank-intl/index.html; https://www.timesofisrael.com/4-palestinians-including-terror-group-members-killed-by-israeli-troops-in-jenin/</w:t>
      </w:r>
    </w:p>
  </w:footnote>
  <w:footnote w:id="29">
    <w:p w14:paraId="461844F8" w14:textId="0201CADE" w:rsidR="00E7177C" w:rsidRPr="004E4203" w:rsidRDefault="00080CF5" w:rsidP="00080CF5">
      <w:pPr>
        <w:pStyle w:val="FootnoteText"/>
        <w:rPr>
          <w:lang w:val="en-US"/>
        </w:rPr>
      </w:pPr>
      <w:r w:rsidRPr="00D73513">
        <w:rPr>
          <w:lang w:val="es-ES"/>
        </w:rPr>
        <w:tab/>
      </w:r>
      <w:r w:rsidR="00E7177C" w:rsidRPr="00983A11">
        <w:rPr>
          <w:rStyle w:val="FootnoteReference"/>
        </w:rPr>
        <w:footnoteRef/>
      </w:r>
      <w:r>
        <w:tab/>
      </w:r>
      <w:r w:rsidR="00E7177C" w:rsidRPr="004E4203">
        <w:rPr>
          <w:lang w:val="en-US"/>
        </w:rPr>
        <w:t>A/76/333 para</w:t>
      </w:r>
      <w:r w:rsidR="00E7177C">
        <w:rPr>
          <w:lang w:val="en-US"/>
        </w:rPr>
        <w:t xml:space="preserve"> </w:t>
      </w:r>
      <w:r w:rsidR="00E7177C" w:rsidRPr="004E4203">
        <w:rPr>
          <w:lang w:val="en-US"/>
        </w:rPr>
        <w:t xml:space="preserve">16. </w:t>
      </w:r>
    </w:p>
  </w:footnote>
  <w:footnote w:id="30">
    <w:p w14:paraId="2D35071B" w14:textId="07196DE9" w:rsidR="005A6082" w:rsidRPr="00864442" w:rsidRDefault="00080CF5" w:rsidP="00080CF5">
      <w:pPr>
        <w:pStyle w:val="FootnoteText"/>
        <w:rPr>
          <w:highlight w:val="yellow"/>
        </w:rPr>
      </w:pPr>
      <w:r>
        <w:tab/>
      </w:r>
      <w:r w:rsidR="00E7177C" w:rsidRPr="00983A11">
        <w:rPr>
          <w:rStyle w:val="FootnoteReference"/>
        </w:rPr>
        <w:footnoteRef/>
      </w:r>
      <w:r>
        <w:tab/>
      </w:r>
      <w:r w:rsidR="00E7177C" w:rsidRPr="00425205">
        <w:t>Another Palestinian man was killed either by a settler or I</w:t>
      </w:r>
      <w:r w:rsidR="00614C11">
        <w:t>SF</w:t>
      </w:r>
      <w:r w:rsidR="00E7177C" w:rsidRPr="00425205">
        <w:t xml:space="preserve">. </w:t>
      </w:r>
    </w:p>
  </w:footnote>
  <w:footnote w:id="31">
    <w:p w14:paraId="75080195" w14:textId="1C1F8B73" w:rsidR="00E63D72" w:rsidRDefault="00DC7281" w:rsidP="00E63D72">
      <w:pPr>
        <w:pStyle w:val="FootnoteText"/>
        <w:widowControl w:val="0"/>
        <w:tabs>
          <w:tab w:val="clear" w:pos="1021"/>
          <w:tab w:val="right" w:pos="1020"/>
        </w:tabs>
        <w:suppressAutoHyphens/>
      </w:pPr>
      <w:r w:rsidRPr="00322025">
        <w:tab/>
      </w:r>
      <w:r w:rsidR="00E63D72" w:rsidRPr="00322025">
        <w:rPr>
          <w:rStyle w:val="FootnoteReference"/>
        </w:rPr>
        <w:footnoteRef/>
      </w:r>
      <w:r w:rsidR="00E63D72" w:rsidRPr="00322025">
        <w:tab/>
      </w:r>
      <w:r w:rsidR="001C4489" w:rsidRPr="00322025">
        <w:t>https://www.idf.il/%D7%9B%D7%AA%D7%91%D7%95%D7%AA-%D7%95%D7%A2%D7%93%D7%9B%D7%95%D7%A0%D7%99%D7%9D/2023/%D7%A4%D7%91%D7%A8%D7%95%D7%90%D7%A8/%D7%A0%D7%98%D7%A8%D7%95%D7%9C-3-%D7%9E%D7%97%D7%91%D7%9C%D7%99%D7%9D-%D7%A9%D7%9B%D7%9D-%D7%A4%D7%A2%D7%99%D7%9C%D7%95%D7%AA-%D7%90%D7%99%D7%95%D7%A9-%D7%99%D7%94%D7%95%D7%93%D7%94-%D7%95%D7%A9%D7%95%D7%9E%D7%A8%D7%95%D7%9F-%D7%92%D7%95%D7%91-%D7%94%D7%90%D7%A8%D7%99%D7%95%D7%AA-%D7%9C%D7%95%D7%97%D7%9E%D7%99%D7%9D/</w:t>
      </w:r>
      <w:r w:rsidR="00E63D72">
        <w:t xml:space="preserve"> </w:t>
      </w:r>
    </w:p>
  </w:footnote>
  <w:footnote w:id="32">
    <w:p w14:paraId="0E952BA2" w14:textId="77C6980B" w:rsidR="00E7177C" w:rsidRPr="004E4203" w:rsidRDefault="00080CF5" w:rsidP="00080CF5">
      <w:pPr>
        <w:pStyle w:val="FootnoteText"/>
      </w:pPr>
      <w:r>
        <w:tab/>
      </w:r>
      <w:r w:rsidR="00E7177C" w:rsidRPr="00983A11">
        <w:rPr>
          <w:rStyle w:val="FootnoteReference"/>
        </w:rPr>
        <w:footnoteRef/>
      </w:r>
      <w:r>
        <w:tab/>
      </w:r>
      <w:r w:rsidR="00E7177C" w:rsidRPr="004E4203">
        <w:t>Another man succumbed to his injuries on 29 January, bringing total fatalities to 10, the highest number of fatalities in a single operation since 2005</w:t>
      </w:r>
      <w:r w:rsidR="00E7177C">
        <w:t>, surpassed in another raid in Nablus in March</w:t>
      </w:r>
      <w:r w:rsidR="00E7177C" w:rsidRPr="004E4203">
        <w:t>.</w:t>
      </w:r>
    </w:p>
  </w:footnote>
  <w:footnote w:id="33">
    <w:p w14:paraId="0BB79D27" w14:textId="06A4CC31" w:rsidR="00E7177C" w:rsidRPr="005F0403" w:rsidRDefault="00080CF5" w:rsidP="00080CF5">
      <w:pPr>
        <w:pStyle w:val="FootnoteText"/>
        <w:rPr>
          <w:lang w:val="es-ES"/>
        </w:rPr>
      </w:pPr>
      <w:r w:rsidRPr="00864442">
        <w:rPr>
          <w:lang w:val="en-US"/>
        </w:rPr>
        <w:tab/>
      </w:r>
      <w:r w:rsidR="00E7177C" w:rsidRPr="00983A11">
        <w:rPr>
          <w:rStyle w:val="FootnoteReference"/>
        </w:rPr>
        <w:footnoteRef/>
      </w:r>
      <w:r>
        <w:rPr>
          <w:lang w:val="es-ES"/>
        </w:rPr>
        <w:tab/>
      </w:r>
      <w:r w:rsidR="00E7177C" w:rsidRPr="005F0403">
        <w:rPr>
          <w:lang w:val="es-ES"/>
        </w:rPr>
        <w:t xml:space="preserve">A/HRC/52/75 para 18. </w:t>
      </w:r>
    </w:p>
  </w:footnote>
  <w:footnote w:id="34">
    <w:p w14:paraId="1E149698" w14:textId="7B3A1A03" w:rsidR="00E7177C" w:rsidRPr="005F0403" w:rsidRDefault="00080CF5" w:rsidP="00080CF5">
      <w:pPr>
        <w:pStyle w:val="FootnoteText"/>
        <w:rPr>
          <w:lang w:val="es-ES"/>
        </w:rPr>
      </w:pPr>
      <w:r>
        <w:rPr>
          <w:lang w:val="es-ES"/>
        </w:rPr>
        <w:tab/>
      </w:r>
      <w:r w:rsidR="00E7177C" w:rsidRPr="00983A11">
        <w:rPr>
          <w:rStyle w:val="FootnoteReference"/>
        </w:rPr>
        <w:footnoteRef/>
      </w:r>
      <w:r>
        <w:rPr>
          <w:lang w:val="es-ES"/>
        </w:rPr>
        <w:tab/>
      </w:r>
      <w:r w:rsidR="00E7177C" w:rsidRPr="005F0403">
        <w:rPr>
          <w:lang w:val="es-ES"/>
        </w:rPr>
        <w:t>Videos on file</w:t>
      </w:r>
    </w:p>
  </w:footnote>
  <w:footnote w:id="35">
    <w:p w14:paraId="16E20C41" w14:textId="7F04D75A" w:rsidR="00E7177C" w:rsidRPr="00480553" w:rsidRDefault="00080CF5" w:rsidP="00080CF5">
      <w:pPr>
        <w:pStyle w:val="FootnoteText"/>
        <w:rPr>
          <w:lang w:val="es-ES"/>
        </w:rPr>
      </w:pPr>
      <w:r>
        <w:rPr>
          <w:lang w:val="es-ES"/>
        </w:rPr>
        <w:tab/>
      </w:r>
      <w:r w:rsidR="00E7177C" w:rsidRPr="00983A11">
        <w:rPr>
          <w:rStyle w:val="FootnoteReference"/>
        </w:rPr>
        <w:footnoteRef/>
      </w:r>
      <w:r>
        <w:rPr>
          <w:lang w:val="es-ES"/>
        </w:rPr>
        <w:tab/>
      </w:r>
      <w:r w:rsidR="00E7177C" w:rsidRPr="00480553">
        <w:rPr>
          <w:lang w:val="es-ES"/>
        </w:rPr>
        <w:t>A/HRC/52/75 para 57</w:t>
      </w:r>
    </w:p>
  </w:footnote>
  <w:footnote w:id="36">
    <w:p w14:paraId="78FCD494" w14:textId="28B6C4B3" w:rsidR="00E7177C" w:rsidRPr="005F0403" w:rsidRDefault="00CF7B58" w:rsidP="00CF7B58">
      <w:pPr>
        <w:pStyle w:val="FootnoteText"/>
        <w:rPr>
          <w:lang w:val="es-ES"/>
        </w:rPr>
      </w:pPr>
      <w:r>
        <w:rPr>
          <w:lang w:val="es-ES"/>
        </w:rPr>
        <w:tab/>
      </w:r>
      <w:r w:rsidR="00E7177C" w:rsidRPr="00983A11">
        <w:rPr>
          <w:rStyle w:val="FootnoteReference"/>
        </w:rPr>
        <w:footnoteRef/>
      </w:r>
      <w:r>
        <w:rPr>
          <w:lang w:val="es-ES"/>
        </w:rPr>
        <w:tab/>
      </w:r>
      <w:r w:rsidR="00E7177C" w:rsidRPr="005F0403">
        <w:rPr>
          <w:lang w:val="es-ES"/>
        </w:rPr>
        <w:t>https://www.dci-palestine.org/armed_israeli_civilian_shoots_kills_palestinian_boy_during_alleged_stabbing_attack</w:t>
      </w:r>
    </w:p>
  </w:footnote>
  <w:footnote w:id="37">
    <w:p w14:paraId="16743019" w14:textId="6A87E136" w:rsidR="00E7177C" w:rsidRPr="004E4203" w:rsidRDefault="00CF7B58" w:rsidP="00CF7B58">
      <w:pPr>
        <w:pStyle w:val="FootnoteText"/>
        <w:rPr>
          <w:lang w:val="en-US"/>
        </w:rPr>
      </w:pPr>
      <w:r w:rsidRPr="00D73513">
        <w:rPr>
          <w:lang w:val="es-ES"/>
        </w:rPr>
        <w:tab/>
      </w:r>
      <w:r w:rsidR="00E7177C" w:rsidRPr="00983A11">
        <w:rPr>
          <w:rStyle w:val="FootnoteReference"/>
        </w:rPr>
        <w:footnoteRef/>
      </w:r>
      <w:r>
        <w:rPr>
          <w:lang w:val="en-US"/>
        </w:rPr>
        <w:tab/>
      </w:r>
      <w:r w:rsidR="00E7177C" w:rsidRPr="005F0403">
        <w:rPr>
          <w:rFonts w:eastAsia="SimSun"/>
        </w:rPr>
        <w:t>https://www.idf.il/76056</w:t>
      </w:r>
      <w:r w:rsidR="00E7177C" w:rsidRPr="005F0403">
        <w:t xml:space="preserve"> (in Hebrew), </w:t>
      </w:r>
      <w:r w:rsidR="00E7177C" w:rsidRPr="005F0403">
        <w:rPr>
          <w:lang w:val="en-US"/>
        </w:rPr>
        <w:t>A/HRC/52/75 paras 20</w:t>
      </w:r>
      <w:r w:rsidR="00E7177C">
        <w:rPr>
          <w:lang w:val="en-US"/>
        </w:rPr>
        <w:t xml:space="preserve">, </w:t>
      </w:r>
      <w:r w:rsidR="00E7177C" w:rsidRPr="005F0403">
        <w:rPr>
          <w:lang w:val="en-US"/>
        </w:rPr>
        <w:t xml:space="preserve">54. </w:t>
      </w:r>
    </w:p>
  </w:footnote>
  <w:footnote w:id="38">
    <w:p w14:paraId="0265EC27" w14:textId="35A96FCF" w:rsidR="00E7177C" w:rsidRPr="00685DAC" w:rsidRDefault="00CF7B58" w:rsidP="00CF7B58">
      <w:pPr>
        <w:pStyle w:val="FootnoteText"/>
        <w:rPr>
          <w:sz w:val="16"/>
          <w:lang w:val="en-US"/>
        </w:rPr>
      </w:pPr>
      <w:r>
        <w:rPr>
          <w:sz w:val="16"/>
          <w:lang w:val="en-US"/>
        </w:rPr>
        <w:tab/>
      </w:r>
      <w:r w:rsidR="00E7177C" w:rsidRPr="00983A11">
        <w:rPr>
          <w:rStyle w:val="FootnoteReference"/>
        </w:rPr>
        <w:footnoteRef/>
      </w:r>
      <w:r>
        <w:rPr>
          <w:sz w:val="16"/>
          <w:lang w:val="en-US"/>
        </w:rPr>
        <w:tab/>
      </w:r>
      <w:r w:rsidR="00E7177C">
        <w:t>O</w:t>
      </w:r>
      <w:r w:rsidR="006023B6">
        <w:t>CHA</w:t>
      </w:r>
    </w:p>
  </w:footnote>
  <w:footnote w:id="39">
    <w:p w14:paraId="1B214912" w14:textId="3884500F" w:rsidR="00E7177C" w:rsidRPr="008D5A1F" w:rsidRDefault="00CF7B58" w:rsidP="00CF7B58">
      <w:pPr>
        <w:pStyle w:val="FootnoteText"/>
        <w:rPr>
          <w:lang w:val="en-US"/>
        </w:rPr>
      </w:pPr>
      <w:r>
        <w:rPr>
          <w:lang w:val="en-US"/>
        </w:rPr>
        <w:tab/>
      </w:r>
      <w:r w:rsidR="00E7177C" w:rsidRPr="00983A11">
        <w:rPr>
          <w:rStyle w:val="FootnoteReference"/>
        </w:rPr>
        <w:footnoteRef/>
      </w:r>
      <w:r>
        <w:rPr>
          <w:lang w:val="en-US"/>
        </w:rPr>
        <w:tab/>
      </w:r>
      <w:r w:rsidR="00E7177C" w:rsidRPr="008D5A1F">
        <w:rPr>
          <w:lang w:val="en-US"/>
        </w:rPr>
        <w:t>https://www.haaretz.com/israel-news/twilight-zone/2023-05-20/ty-article-magazine/.highlight/they-had-already-lost-six-children-when-their-teenage-son-was-shot-dead-by-israeli-troops/00000188-35fd-d7fa-a1dc-bdff07840000</w:t>
      </w:r>
    </w:p>
  </w:footnote>
  <w:footnote w:id="40">
    <w:p w14:paraId="66FCF428" w14:textId="7B8F0373" w:rsidR="00E7177C" w:rsidRPr="004E4203" w:rsidRDefault="00CF7B58" w:rsidP="00CF7B58">
      <w:pPr>
        <w:pStyle w:val="FootnoteText"/>
        <w:rPr>
          <w:lang w:val="en-US"/>
        </w:rPr>
      </w:pPr>
      <w:r>
        <w:rPr>
          <w:lang w:val="en-US"/>
        </w:rPr>
        <w:tab/>
      </w:r>
      <w:r w:rsidR="00E7177C" w:rsidRPr="00983A11">
        <w:rPr>
          <w:rStyle w:val="FootnoteReference"/>
        </w:rPr>
        <w:footnoteRef/>
      </w:r>
      <w:r>
        <w:rPr>
          <w:lang w:val="en-US"/>
        </w:rPr>
        <w:tab/>
      </w:r>
      <w:r w:rsidR="00E7177C" w:rsidRPr="004E4203">
        <w:rPr>
          <w:lang w:val="en-US"/>
        </w:rPr>
        <w:t xml:space="preserve">https://www.ohchr.org/en/instruments-mechanisms/instruments/basic-principles-use-force-and-firearms-law-enforcement. </w:t>
      </w:r>
    </w:p>
  </w:footnote>
  <w:footnote w:id="41">
    <w:p w14:paraId="112F915A" w14:textId="4CCA8452" w:rsidR="00E7177C" w:rsidRPr="00130082" w:rsidRDefault="00CF7B58" w:rsidP="00CF7B58">
      <w:pPr>
        <w:pStyle w:val="FootnoteText"/>
        <w:rPr>
          <w:lang w:val="en-US"/>
        </w:rPr>
      </w:pPr>
      <w:r>
        <w:tab/>
      </w:r>
      <w:r w:rsidR="00E7177C" w:rsidRPr="00983A11">
        <w:rPr>
          <w:rStyle w:val="FootnoteReference"/>
        </w:rPr>
        <w:footnoteRef/>
      </w:r>
      <w:r>
        <w:tab/>
      </w:r>
      <w:r w:rsidR="00E7177C" w:rsidRPr="00480553">
        <w:t>Basic Principles,.5,9; CCPR/C/GC/36, para.12; CCPR/C/GC/37, paras78-79,88</w:t>
      </w:r>
      <w:r w:rsidR="00E7177C">
        <w:t>,</w:t>
      </w:r>
      <w:r w:rsidR="00E7177C" w:rsidRPr="00480553">
        <w:t xml:space="preserve"> </w:t>
      </w:r>
      <w:r w:rsidR="00E7177C">
        <w:rPr>
          <w:rFonts w:cstheme="majorBidi"/>
          <w:szCs w:val="16"/>
          <w:lang w:val="en-US"/>
        </w:rPr>
        <w:t xml:space="preserve">Guidance on Less Lethal Weapons in Law Enforcement </w:t>
      </w:r>
      <w:r w:rsidR="00E7177C" w:rsidRPr="00FD69F2">
        <w:rPr>
          <w:rFonts w:cstheme="majorBidi"/>
          <w:szCs w:val="16"/>
          <w:lang w:val="en-US"/>
        </w:rPr>
        <w:t>2.1</w:t>
      </w:r>
      <w:r w:rsidR="00E7177C">
        <w:rPr>
          <w:rFonts w:cstheme="majorBidi"/>
          <w:szCs w:val="16"/>
          <w:lang w:val="en-US"/>
        </w:rPr>
        <w:t>-</w:t>
      </w:r>
      <w:r w:rsidR="00E7177C" w:rsidRPr="00FD69F2">
        <w:rPr>
          <w:rFonts w:cstheme="majorBidi"/>
          <w:szCs w:val="16"/>
          <w:lang w:val="en-US"/>
        </w:rPr>
        <w:t>2.3</w:t>
      </w:r>
      <w:r w:rsidR="00E7177C">
        <w:rPr>
          <w:rFonts w:cstheme="majorBidi"/>
          <w:szCs w:val="16"/>
          <w:lang w:val="en-US"/>
        </w:rPr>
        <w:t xml:space="preserve">. </w:t>
      </w:r>
    </w:p>
  </w:footnote>
  <w:footnote w:id="42">
    <w:p w14:paraId="68E7F5F8" w14:textId="48A85F18" w:rsidR="00E7177C" w:rsidRPr="00130082" w:rsidRDefault="004366EB" w:rsidP="004366EB">
      <w:pPr>
        <w:pStyle w:val="FootnoteText"/>
      </w:pPr>
      <w:r>
        <w:tab/>
      </w:r>
      <w:r w:rsidR="00E7177C" w:rsidRPr="00983A11">
        <w:rPr>
          <w:rStyle w:val="FootnoteReference"/>
        </w:rPr>
        <w:footnoteRef/>
      </w:r>
      <w:r w:rsidR="00E7177C">
        <w:t xml:space="preserve"> </w:t>
      </w:r>
      <w:r>
        <w:tab/>
      </w:r>
      <w:r w:rsidR="00E7177C">
        <w:rPr>
          <w:szCs w:val="16"/>
        </w:rPr>
        <w:t>ICCPR</w:t>
      </w:r>
      <w:r w:rsidR="00E7177C" w:rsidRPr="00130082">
        <w:t xml:space="preserve"> art. 6. </w:t>
      </w:r>
      <w:r w:rsidR="00E7177C" w:rsidRPr="00A8042D">
        <w:rPr>
          <w:szCs w:val="16"/>
        </w:rPr>
        <w:t>G</w:t>
      </w:r>
      <w:r w:rsidR="00E7177C">
        <w:rPr>
          <w:szCs w:val="16"/>
        </w:rPr>
        <w:t>C</w:t>
      </w:r>
      <w:r w:rsidR="00E7177C" w:rsidRPr="00130082">
        <w:t>IV Articles 27</w:t>
      </w:r>
      <w:r w:rsidR="00E7177C">
        <w:t>,</w:t>
      </w:r>
      <w:r w:rsidR="00E7177C" w:rsidRPr="00130082">
        <w:t xml:space="preserve"> 147, ICRC</w:t>
      </w:r>
      <w:r w:rsidR="00E7177C">
        <w:rPr>
          <w:sz w:val="17"/>
          <w:szCs w:val="17"/>
        </w:rPr>
        <w:t xml:space="preserve"> </w:t>
      </w:r>
      <w:r w:rsidR="00E7177C" w:rsidRPr="00130082">
        <w:t>Rules 89</w:t>
      </w:r>
      <w:r w:rsidR="00E7177C">
        <w:t>,</w:t>
      </w:r>
      <w:r w:rsidR="00E7177C" w:rsidRPr="00130082">
        <w:t xml:space="preserve"> 156; Rome Statute Article 8(2)(a)(</w:t>
      </w:r>
      <w:proofErr w:type="spellStart"/>
      <w:r w:rsidR="00E7177C" w:rsidRPr="00130082">
        <w:t>i</w:t>
      </w:r>
      <w:proofErr w:type="spellEnd"/>
      <w:r w:rsidR="00E7177C" w:rsidRPr="00130082">
        <w:t>).</w:t>
      </w:r>
    </w:p>
  </w:footnote>
  <w:footnote w:id="43">
    <w:p w14:paraId="25D427DA" w14:textId="7E54EE36" w:rsidR="00E7177C" w:rsidRPr="00831DD9" w:rsidRDefault="00CF7B58" w:rsidP="00CF7B58">
      <w:pPr>
        <w:pStyle w:val="FootnoteText"/>
        <w:rPr>
          <w:lang w:val="es-ES"/>
        </w:rPr>
      </w:pPr>
      <w:r w:rsidRPr="00864442">
        <w:rPr>
          <w:lang w:val="en-US"/>
        </w:rPr>
        <w:tab/>
      </w:r>
      <w:r w:rsidR="00E7177C" w:rsidRPr="00983A11">
        <w:rPr>
          <w:rStyle w:val="FootnoteReference"/>
        </w:rPr>
        <w:footnoteRef/>
      </w:r>
      <w:r>
        <w:rPr>
          <w:lang w:val="es-ES"/>
        </w:rPr>
        <w:tab/>
      </w:r>
      <w:r w:rsidR="00E7177C" w:rsidRPr="00831DD9">
        <w:rPr>
          <w:lang w:val="es-ES"/>
        </w:rPr>
        <w:t>A/HRC/49/25, para 17; A/HRC/52/75 para 52</w:t>
      </w:r>
      <w:r w:rsidR="00E7177C">
        <w:rPr>
          <w:lang w:val="es-ES"/>
        </w:rPr>
        <w:t>;</w:t>
      </w:r>
      <w:r w:rsidR="00E7177C" w:rsidRPr="00831DD9">
        <w:rPr>
          <w:lang w:val="es-ES"/>
        </w:rPr>
        <w:t xml:space="preserve"> https://s3.eu-west-1.amazonaws.com/files.yesh-din.org/LAW+ENFORCEMENT+AGAINST+ISRAELI+SOLDIERS+2017-2021/YeshDin+-+Data+12.22+-+English.pdf</w:t>
      </w:r>
    </w:p>
  </w:footnote>
  <w:footnote w:id="44">
    <w:p w14:paraId="57099A3B" w14:textId="4DAD827E" w:rsidR="00E7177C" w:rsidRPr="00D2549D" w:rsidRDefault="00CF7B58" w:rsidP="00CF7B58">
      <w:pPr>
        <w:pStyle w:val="FootnoteText"/>
        <w:rPr>
          <w:lang w:val="en-US"/>
        </w:rPr>
      </w:pPr>
      <w:r w:rsidRPr="00D73513">
        <w:rPr>
          <w:lang w:val="es-ES"/>
        </w:rPr>
        <w:tab/>
      </w:r>
      <w:r w:rsidR="00E7177C" w:rsidRPr="00983A11">
        <w:rPr>
          <w:rStyle w:val="FootnoteReference"/>
        </w:rPr>
        <w:footnoteRef/>
      </w:r>
      <w:r>
        <w:tab/>
      </w:r>
      <w:r w:rsidR="00E7177C">
        <w:t>HRC</w:t>
      </w:r>
      <w:r w:rsidR="00E7177C" w:rsidRPr="00257C45">
        <w:t xml:space="preserve">, </w:t>
      </w:r>
      <w:r w:rsidR="00E7177C">
        <w:t>GC 36 paragraphs 27, 28; Minnesota Protocol para 8 (c);</w:t>
      </w:r>
      <w:r w:rsidR="00E7177C" w:rsidRPr="00257C45">
        <w:t xml:space="preserve"> Principles on the effective prevention and investigation of extra-legal, </w:t>
      </w:r>
      <w:proofErr w:type="gramStart"/>
      <w:r w:rsidR="00E7177C" w:rsidRPr="00257C45">
        <w:t>arbitrary</w:t>
      </w:r>
      <w:proofErr w:type="gramEnd"/>
      <w:r w:rsidR="00E7177C" w:rsidRPr="00257C45">
        <w:t xml:space="preserve"> and summary executions, principles 9</w:t>
      </w:r>
      <w:r w:rsidR="00E7177C">
        <w:t>,</w:t>
      </w:r>
      <w:r w:rsidR="00E7177C" w:rsidRPr="00257C45">
        <w:t xml:space="preserve"> 18.</w:t>
      </w:r>
    </w:p>
  </w:footnote>
  <w:footnote w:id="45">
    <w:p w14:paraId="266EA094" w14:textId="40BEECE7" w:rsidR="00E7177C" w:rsidRPr="006D1491" w:rsidRDefault="00CF7B58" w:rsidP="00CF7B58">
      <w:pPr>
        <w:pStyle w:val="FootnoteText"/>
        <w:rPr>
          <w:lang w:val="fr-BE"/>
        </w:rPr>
      </w:pPr>
      <w:r w:rsidRPr="00D73513">
        <w:tab/>
      </w:r>
      <w:r w:rsidR="00E7177C" w:rsidRPr="00983A11">
        <w:rPr>
          <w:rStyle w:val="FootnoteReference"/>
        </w:rPr>
        <w:footnoteRef/>
      </w:r>
      <w:r>
        <w:rPr>
          <w:lang w:val="fr-BE"/>
        </w:rPr>
        <w:tab/>
      </w:r>
      <w:r w:rsidR="00E7177C" w:rsidRPr="006D1491">
        <w:rPr>
          <w:lang w:val="fr-BE"/>
        </w:rPr>
        <w:t>A/75/336para.23.</w:t>
      </w:r>
    </w:p>
  </w:footnote>
  <w:footnote w:id="46">
    <w:p w14:paraId="7D130AC1" w14:textId="673DB3BD" w:rsidR="00E7177C" w:rsidRPr="00731B2E" w:rsidRDefault="00CF7B58" w:rsidP="00CF7B58">
      <w:pPr>
        <w:pStyle w:val="FootnoteText"/>
        <w:rPr>
          <w:lang w:val="fr-FR"/>
        </w:rPr>
      </w:pPr>
      <w:r>
        <w:rPr>
          <w:lang w:val="fr-FR"/>
        </w:rPr>
        <w:tab/>
      </w:r>
      <w:r w:rsidR="00E7177C" w:rsidRPr="00983A11">
        <w:rPr>
          <w:rStyle w:val="FootnoteReference"/>
        </w:rPr>
        <w:footnoteRef/>
      </w:r>
      <w:r>
        <w:rPr>
          <w:lang w:val="fr-FR"/>
        </w:rPr>
        <w:tab/>
      </w:r>
      <w:r w:rsidR="00E7177C" w:rsidRPr="00731B2E">
        <w:rPr>
          <w:lang w:val="fr-FR"/>
        </w:rPr>
        <w:t xml:space="preserve">Hague </w:t>
      </w:r>
      <w:proofErr w:type="spellStart"/>
      <w:r w:rsidR="00E7177C" w:rsidRPr="00731B2E">
        <w:rPr>
          <w:lang w:val="fr-FR"/>
        </w:rPr>
        <w:t>Regulations</w:t>
      </w:r>
      <w:proofErr w:type="spellEnd"/>
      <w:r w:rsidR="00E7177C" w:rsidRPr="00731B2E">
        <w:rPr>
          <w:lang w:val="fr-FR"/>
        </w:rPr>
        <w:t xml:space="preserve">, article </w:t>
      </w:r>
      <w:proofErr w:type="gramStart"/>
      <w:r w:rsidR="00E7177C" w:rsidRPr="00731B2E">
        <w:rPr>
          <w:lang w:val="fr-FR"/>
        </w:rPr>
        <w:t>50;</w:t>
      </w:r>
      <w:proofErr w:type="gramEnd"/>
      <w:r w:rsidR="00E7177C" w:rsidRPr="00731B2E">
        <w:rPr>
          <w:lang w:val="fr-FR"/>
        </w:rPr>
        <w:t xml:space="preserve"> GCIV, article 33; ICRC Rule 103</w:t>
      </w:r>
    </w:p>
  </w:footnote>
  <w:footnote w:id="47">
    <w:p w14:paraId="5E9088C5" w14:textId="425A62F6" w:rsidR="00E7177C" w:rsidRPr="00AE65EE" w:rsidRDefault="00CF7B58" w:rsidP="00CF7B58">
      <w:pPr>
        <w:pStyle w:val="FootnoteText"/>
      </w:pPr>
      <w:r>
        <w:rPr>
          <w:lang w:val="fr-FR"/>
        </w:rPr>
        <w:tab/>
      </w:r>
      <w:r w:rsidR="00E7177C" w:rsidRPr="00983A11">
        <w:rPr>
          <w:rStyle w:val="FootnoteReference"/>
        </w:rPr>
        <w:footnoteRef/>
      </w:r>
      <w:r>
        <w:rPr>
          <w:lang w:val="fr-FR"/>
        </w:rPr>
        <w:tab/>
      </w:r>
      <w:r w:rsidR="00E7177C" w:rsidRPr="00EC0F2B">
        <w:rPr>
          <w:lang w:val="fr-FR"/>
        </w:rPr>
        <w:t xml:space="preserve">ICCPR, articles 12, </w:t>
      </w:r>
      <w:proofErr w:type="gramStart"/>
      <w:r w:rsidR="00E7177C" w:rsidRPr="00EC0F2B">
        <w:rPr>
          <w:lang w:val="fr-FR"/>
        </w:rPr>
        <w:t>14;</w:t>
      </w:r>
      <w:proofErr w:type="gramEnd"/>
      <w:r w:rsidR="00E7177C" w:rsidRPr="00EC0F2B">
        <w:rPr>
          <w:lang w:val="fr-FR"/>
        </w:rPr>
        <w:t xml:space="preserve"> ICESCR articles 6, 11</w:t>
      </w:r>
      <w:r w:rsidR="00E7177C" w:rsidRPr="00EC0F2B">
        <w:rPr>
          <w:rFonts w:cstheme="majorBidi"/>
          <w:szCs w:val="16"/>
          <w:lang w:val="fr-FR"/>
        </w:rPr>
        <w:t xml:space="preserve">; A/76/333para. </w:t>
      </w:r>
      <w:r w:rsidR="00E7177C" w:rsidRPr="00AE65EE">
        <w:rPr>
          <w:rFonts w:cstheme="majorBidi"/>
          <w:szCs w:val="16"/>
        </w:rPr>
        <w:t>35.</w:t>
      </w:r>
    </w:p>
  </w:footnote>
  <w:footnote w:id="48">
    <w:p w14:paraId="69DBD4BE" w14:textId="05F4083E" w:rsidR="00E7177C" w:rsidRPr="006F414C" w:rsidRDefault="00CF7B58" w:rsidP="00CF7B58">
      <w:pPr>
        <w:pStyle w:val="FootnoteText"/>
        <w:rPr>
          <w:lang w:val="en-US"/>
        </w:rPr>
      </w:pPr>
      <w:r>
        <w:tab/>
      </w:r>
      <w:r w:rsidR="00E7177C" w:rsidRPr="00983A11">
        <w:rPr>
          <w:rStyle w:val="FootnoteReference"/>
        </w:rPr>
        <w:footnoteRef/>
      </w:r>
      <w:r>
        <w:tab/>
      </w:r>
      <w:r w:rsidR="00E7177C" w:rsidRPr="006F414C">
        <w:t>O</w:t>
      </w:r>
      <w:r w:rsidR="000D6F75">
        <w:t>CHA</w:t>
      </w:r>
    </w:p>
  </w:footnote>
  <w:footnote w:id="49">
    <w:p w14:paraId="317D5B6F" w14:textId="067F3B26" w:rsidR="00E7177C" w:rsidRPr="00C14562" w:rsidRDefault="00CF7B58" w:rsidP="00CF7B58">
      <w:pPr>
        <w:pStyle w:val="FootnoteText"/>
        <w:rPr>
          <w:lang w:val="fr-BE"/>
        </w:rPr>
      </w:pPr>
      <w:r>
        <w:tab/>
      </w:r>
      <w:r w:rsidR="00E7177C" w:rsidRPr="00983A11">
        <w:rPr>
          <w:rStyle w:val="FootnoteReference"/>
        </w:rPr>
        <w:footnoteRef/>
      </w:r>
      <w:r>
        <w:tab/>
      </w:r>
      <w:r w:rsidR="00E7177C" w:rsidRPr="006F414C">
        <w:t>C</w:t>
      </w:r>
      <w:proofErr w:type="spellStart"/>
      <w:r w:rsidR="00E7177C" w:rsidRPr="006F414C">
        <w:rPr>
          <w:lang w:val="en-US"/>
        </w:rPr>
        <w:t>onfirmed</w:t>
      </w:r>
      <w:proofErr w:type="spellEnd"/>
      <w:r w:rsidR="00E7177C" w:rsidRPr="006F414C">
        <w:rPr>
          <w:lang w:val="en-US"/>
        </w:rPr>
        <w:t xml:space="preserve"> by the government in a case filed by HAMOKED to the Israeli High Court of Justice on 13 February</w:t>
      </w:r>
      <w:r w:rsidR="00E7177C">
        <w:rPr>
          <w:lang w:val="en-US"/>
        </w:rPr>
        <w:t xml:space="preserve"> 2023</w:t>
      </w:r>
      <w:r w:rsidR="00E7177C" w:rsidRPr="006F414C">
        <w:rPr>
          <w:lang w:val="en-US"/>
        </w:rPr>
        <w:t xml:space="preserve">. </w:t>
      </w:r>
      <w:r w:rsidR="00E7177C" w:rsidRPr="00C14562">
        <w:rPr>
          <w:lang w:val="fr-BE"/>
        </w:rPr>
        <w:t xml:space="preserve">Documents on file. </w:t>
      </w:r>
    </w:p>
  </w:footnote>
  <w:footnote w:id="50">
    <w:p w14:paraId="31298612" w14:textId="378C5319" w:rsidR="00E7177C" w:rsidRPr="00C14562" w:rsidRDefault="00CF7B58" w:rsidP="00CF7B58">
      <w:pPr>
        <w:pStyle w:val="FootnoteText"/>
        <w:rPr>
          <w:lang w:val="fr-BE"/>
        </w:rPr>
      </w:pPr>
      <w:r>
        <w:rPr>
          <w:lang w:val="fr-BE"/>
        </w:rPr>
        <w:tab/>
      </w:r>
      <w:r w:rsidR="00E7177C" w:rsidRPr="00983A11">
        <w:rPr>
          <w:rStyle w:val="FootnoteReference"/>
        </w:rPr>
        <w:footnoteRef/>
      </w:r>
      <w:r>
        <w:rPr>
          <w:lang w:val="fr-BE"/>
        </w:rPr>
        <w:tab/>
      </w:r>
      <w:r w:rsidR="00E7177C" w:rsidRPr="00C14562">
        <w:rPr>
          <w:lang w:val="fr-BE"/>
        </w:rPr>
        <w:t xml:space="preserve">https://www.timesofisrael.com/military-issues-demolition-order-for-east-jerusalem-home-of-neve-yaakov-terrorist/ </w:t>
      </w:r>
    </w:p>
  </w:footnote>
  <w:footnote w:id="51">
    <w:p w14:paraId="210924BA" w14:textId="69E26C43" w:rsidR="00E7177C" w:rsidRPr="00C14562" w:rsidRDefault="00CF7B58" w:rsidP="00CF7B58">
      <w:pPr>
        <w:pStyle w:val="FootnoteText"/>
        <w:rPr>
          <w:lang w:val="fr-BE"/>
        </w:rPr>
      </w:pPr>
      <w:r>
        <w:rPr>
          <w:lang w:val="fr-BE"/>
        </w:rPr>
        <w:tab/>
      </w:r>
      <w:r w:rsidR="00E7177C" w:rsidRPr="00983A11">
        <w:rPr>
          <w:rStyle w:val="FootnoteReference"/>
        </w:rPr>
        <w:footnoteRef/>
      </w:r>
      <w:r>
        <w:rPr>
          <w:lang w:val="fr-BE"/>
        </w:rPr>
        <w:tab/>
      </w:r>
      <w:r w:rsidR="00E7177C" w:rsidRPr="00C14562">
        <w:rPr>
          <w:lang w:val="fr-BE"/>
        </w:rPr>
        <w:t>https://www.timesofisrael.com/3-seriously-wounded-in-stabbing-at-west-bank-industrial-zone-attacker-shot/</w:t>
      </w:r>
    </w:p>
  </w:footnote>
  <w:footnote w:id="52">
    <w:p w14:paraId="76D2B248" w14:textId="2E6029C5" w:rsidR="00E7177C" w:rsidRPr="00C14562" w:rsidRDefault="00CF7B58" w:rsidP="00CF7B58">
      <w:pPr>
        <w:pStyle w:val="FootnoteText"/>
        <w:rPr>
          <w:lang w:val="fr-BE"/>
        </w:rPr>
      </w:pPr>
      <w:r>
        <w:rPr>
          <w:lang w:val="fr-BE"/>
        </w:rPr>
        <w:tab/>
      </w:r>
      <w:r w:rsidR="00E7177C" w:rsidRPr="00983A11">
        <w:rPr>
          <w:rStyle w:val="FootnoteReference"/>
        </w:rPr>
        <w:footnoteRef/>
      </w:r>
      <w:r>
        <w:rPr>
          <w:lang w:val="fr-BE"/>
        </w:rPr>
        <w:tab/>
      </w:r>
      <w:r w:rsidR="00E7177C" w:rsidRPr="00C14562">
        <w:rPr>
          <w:lang w:val="fr-BE"/>
        </w:rPr>
        <w:t>https://www.gov.il/en/departments/coordination-of-government-activities-in-the-territories/govil-landing-page</w:t>
      </w:r>
    </w:p>
  </w:footnote>
  <w:footnote w:id="53">
    <w:p w14:paraId="0C0E75A3" w14:textId="20EFB9AC" w:rsidR="00E7177C" w:rsidRPr="0078043B" w:rsidRDefault="004366EB" w:rsidP="004366EB">
      <w:pPr>
        <w:pStyle w:val="FootnoteText"/>
        <w:rPr>
          <w:rFonts w:cstheme="majorBidi"/>
          <w:lang w:val="en-US"/>
        </w:rPr>
      </w:pPr>
      <w:r>
        <w:rPr>
          <w:lang w:val="pt-BR"/>
        </w:rPr>
        <w:tab/>
      </w:r>
      <w:r w:rsidR="00E7177C" w:rsidRPr="00983A11">
        <w:rPr>
          <w:rStyle w:val="FootnoteReference"/>
        </w:rPr>
        <w:footnoteRef/>
      </w:r>
      <w:r>
        <w:rPr>
          <w:lang w:val="pt-BR"/>
        </w:rPr>
        <w:tab/>
      </w:r>
      <w:r w:rsidR="00E7177C" w:rsidRPr="0078043B">
        <w:rPr>
          <w:lang w:val="pt-BR"/>
        </w:rPr>
        <w:t xml:space="preserve">CEDAW/C/ISR/CO/6, paras. </w:t>
      </w:r>
      <w:r w:rsidR="00E7177C" w:rsidRPr="0078043B">
        <w:rPr>
          <w:lang w:val="en-US"/>
        </w:rPr>
        <w:t xml:space="preserve">32–33; A/HRC/46/63, para. </w:t>
      </w:r>
      <w:r w:rsidR="00E7177C" w:rsidRPr="0078043B">
        <w:rPr>
          <w:rFonts w:cstheme="majorBidi"/>
          <w:lang w:val="en-US"/>
        </w:rPr>
        <w:t xml:space="preserve">10. See paragraph 43 below. </w:t>
      </w:r>
    </w:p>
  </w:footnote>
  <w:footnote w:id="54">
    <w:p w14:paraId="21C39CE6" w14:textId="42D1005A" w:rsidR="00E7177C" w:rsidRPr="0078043B" w:rsidRDefault="004366EB" w:rsidP="004366EB">
      <w:pPr>
        <w:pStyle w:val="FootnoteText"/>
        <w:rPr>
          <w:lang w:val="en-US"/>
        </w:rPr>
      </w:pPr>
      <w:r>
        <w:rPr>
          <w:lang w:val="en-US"/>
        </w:rPr>
        <w:tab/>
      </w:r>
      <w:r w:rsidR="00E7177C" w:rsidRPr="00983A11">
        <w:rPr>
          <w:rStyle w:val="FootnoteReference"/>
        </w:rPr>
        <w:footnoteRef/>
      </w:r>
      <w:r>
        <w:rPr>
          <w:lang w:val="en-US"/>
        </w:rPr>
        <w:tab/>
      </w:r>
      <w:r w:rsidR="00E7177C" w:rsidRPr="0078043B">
        <w:rPr>
          <w:lang w:val="en-US"/>
        </w:rPr>
        <w:t>Section 56 of the Counter-Terrorism Law, 2016</w:t>
      </w:r>
      <w:r w:rsidR="00E7177C" w:rsidRPr="0078043B">
        <w:rPr>
          <w:rStyle w:val="Hyperlink"/>
          <w:rFonts w:asciiTheme="majorBidi" w:eastAsia="Segoe UI" w:hAnsiTheme="majorBidi" w:cstheme="majorBidi"/>
          <w:sz w:val="16"/>
          <w:szCs w:val="16"/>
          <w:lang w:val="en-US"/>
        </w:rPr>
        <w:t xml:space="preserve"> -</w:t>
      </w:r>
    </w:p>
  </w:footnote>
  <w:footnote w:id="55">
    <w:p w14:paraId="6866DD3F" w14:textId="0220E3D4" w:rsidR="00E7177C" w:rsidRPr="0078043B" w:rsidRDefault="004366EB" w:rsidP="004366EB">
      <w:pPr>
        <w:pStyle w:val="FootnoteText"/>
      </w:pPr>
      <w:r>
        <w:tab/>
      </w:r>
      <w:r w:rsidR="00E7177C" w:rsidRPr="00983A11">
        <w:rPr>
          <w:rStyle w:val="FootnoteReference"/>
        </w:rPr>
        <w:footnoteRef/>
      </w:r>
      <w:r>
        <w:tab/>
      </w:r>
      <w:r w:rsidR="00E7177C" w:rsidRPr="0078043B">
        <w:t>https://english.wafa.ps/Pages/Details/133763</w:t>
      </w:r>
    </w:p>
  </w:footnote>
  <w:footnote w:id="56">
    <w:p w14:paraId="4D42B4D8" w14:textId="18875325" w:rsidR="00E7177C" w:rsidRPr="0078043B" w:rsidRDefault="004366EB" w:rsidP="004366EB">
      <w:pPr>
        <w:pStyle w:val="FootnoteText"/>
        <w:rPr>
          <w:lang w:val="pt-PT"/>
        </w:rPr>
      </w:pPr>
      <w:r>
        <w:rPr>
          <w:lang w:val="pt-BR"/>
        </w:rPr>
        <w:tab/>
      </w:r>
      <w:r w:rsidR="00E7177C" w:rsidRPr="00983A11">
        <w:rPr>
          <w:rStyle w:val="FootnoteReference"/>
        </w:rPr>
        <w:footnoteRef/>
      </w:r>
      <w:r>
        <w:rPr>
          <w:lang w:val="pt-BR"/>
        </w:rPr>
        <w:tab/>
      </w:r>
      <w:r w:rsidR="00E7177C" w:rsidRPr="0078043B">
        <w:rPr>
          <w:lang w:val="pt-BR"/>
        </w:rPr>
        <w:t xml:space="preserve">A/76/333, para 36, </w:t>
      </w:r>
      <w:r w:rsidR="00E7177C" w:rsidRPr="0078043B">
        <w:rPr>
          <w:lang w:val="pt-PT"/>
        </w:rPr>
        <w:t>A/75/336 para. 24; A/74/468, para. 22; A/73/420 para. 7.</w:t>
      </w:r>
    </w:p>
  </w:footnote>
  <w:footnote w:id="57">
    <w:p w14:paraId="13209F15" w14:textId="4E0071F7" w:rsidR="00E7177C" w:rsidRPr="00D9429F" w:rsidRDefault="004366EB" w:rsidP="004366EB">
      <w:pPr>
        <w:pStyle w:val="FootnoteText"/>
        <w:rPr>
          <w:lang w:val="pt-BR"/>
        </w:rPr>
      </w:pPr>
      <w:r>
        <w:rPr>
          <w:lang w:val="pt-BR"/>
        </w:rPr>
        <w:tab/>
      </w:r>
      <w:r w:rsidR="00E7177C" w:rsidRPr="00983A11">
        <w:rPr>
          <w:rStyle w:val="FootnoteReference"/>
        </w:rPr>
        <w:footnoteRef/>
      </w:r>
      <w:r>
        <w:rPr>
          <w:lang w:val="pt-BR"/>
        </w:rPr>
        <w:tab/>
      </w:r>
      <w:r w:rsidR="00E7177C" w:rsidRPr="0078043B">
        <w:rPr>
          <w:lang w:val="pt-BR"/>
        </w:rPr>
        <w:t>A/76/333 para 36; A/HRC/52/75 para 13</w:t>
      </w:r>
    </w:p>
  </w:footnote>
  <w:footnote w:id="58">
    <w:p w14:paraId="6583AF96" w14:textId="2DF5109E" w:rsidR="00E7177C" w:rsidRPr="00BA58DA" w:rsidRDefault="004366EB" w:rsidP="004366EB">
      <w:pPr>
        <w:pStyle w:val="FootnoteText"/>
      </w:pPr>
      <w:r w:rsidRPr="00864442">
        <w:rPr>
          <w:lang w:val="es-ES"/>
        </w:rPr>
        <w:tab/>
      </w:r>
      <w:r w:rsidR="00E7177C" w:rsidRPr="00983A11">
        <w:rPr>
          <w:rStyle w:val="FootnoteReference"/>
        </w:rPr>
        <w:footnoteRef/>
      </w:r>
      <w:r>
        <w:tab/>
      </w:r>
      <w:r w:rsidR="00E7177C" w:rsidRPr="00BA58DA">
        <w:t xml:space="preserve">This number does not include the 253 bodies of Palestinians killed in hostilities and buried in graves marked only by numbers.  </w:t>
      </w:r>
    </w:p>
  </w:footnote>
  <w:footnote w:id="59">
    <w:p w14:paraId="07F3E7DC" w14:textId="01F4398A" w:rsidR="00E7177C" w:rsidRPr="00BA58DA" w:rsidRDefault="004366EB" w:rsidP="004366EB">
      <w:pPr>
        <w:pStyle w:val="FootnoteText"/>
        <w:rPr>
          <w:lang w:val="es-ES"/>
        </w:rPr>
      </w:pPr>
      <w:r w:rsidRPr="00864442">
        <w:rPr>
          <w:lang w:val="en-US"/>
        </w:rPr>
        <w:tab/>
      </w:r>
      <w:r w:rsidR="00E7177C" w:rsidRPr="00983A11">
        <w:rPr>
          <w:rStyle w:val="FootnoteReference"/>
        </w:rPr>
        <w:footnoteRef/>
      </w:r>
      <w:r>
        <w:rPr>
          <w:lang w:val="es-ES"/>
        </w:rPr>
        <w:tab/>
      </w:r>
      <w:r w:rsidR="00E7177C" w:rsidRPr="00BA58DA">
        <w:rPr>
          <w:lang w:val="es-ES"/>
        </w:rPr>
        <w:t xml:space="preserve">A/HRC/52/75 para16 </w:t>
      </w:r>
    </w:p>
  </w:footnote>
  <w:footnote w:id="60">
    <w:p w14:paraId="2D568A02" w14:textId="77777777" w:rsidR="00F11A0D" w:rsidRPr="004F2FAF" w:rsidRDefault="00F11A0D" w:rsidP="00F11A0D">
      <w:pPr>
        <w:pStyle w:val="FootnoteText"/>
      </w:pPr>
      <w:r w:rsidRPr="00864442">
        <w:rPr>
          <w:szCs w:val="18"/>
          <w:lang w:val="es-ES"/>
        </w:rPr>
        <w:tab/>
      </w:r>
      <w:r w:rsidRPr="00F81291">
        <w:rPr>
          <w:rStyle w:val="FootnoteReference"/>
        </w:rPr>
        <w:footnoteRef/>
      </w:r>
      <w:r w:rsidRPr="0006136B">
        <w:rPr>
          <w:rStyle w:val="FootnoteReference"/>
          <w:lang w:val="es-ES"/>
        </w:rPr>
        <w:tab/>
      </w:r>
      <w:hyperlink r:id="rId1" w:history="1">
        <w:r w:rsidRPr="0006136B">
          <w:rPr>
            <w:rStyle w:val="Hyperlink"/>
            <w:lang w:val="pt-BR"/>
          </w:rPr>
          <w:t>CCPR/C/ISR/CO/5</w:t>
        </w:r>
      </w:hyperlink>
      <w:r w:rsidRPr="006C6235">
        <w:rPr>
          <w:lang w:val="pt-BR"/>
        </w:rPr>
        <w:t>,</w:t>
      </w:r>
      <w:r>
        <w:rPr>
          <w:lang w:val="pt-BR"/>
        </w:rPr>
        <w:t xml:space="preserve"> </w:t>
      </w:r>
      <w:r w:rsidRPr="006C6235">
        <w:rPr>
          <w:lang w:val="pt-BR"/>
        </w:rPr>
        <w:t>para.</w:t>
      </w:r>
      <w:r>
        <w:rPr>
          <w:lang w:val="pt-BR"/>
        </w:rPr>
        <w:t xml:space="preserve"> </w:t>
      </w:r>
      <w:r w:rsidRPr="004F2FAF">
        <w:t>32.</w:t>
      </w:r>
    </w:p>
  </w:footnote>
  <w:footnote w:id="61">
    <w:p w14:paraId="6BF94C89" w14:textId="77777777" w:rsidR="00F11A0D" w:rsidRPr="004F2FAF" w:rsidRDefault="00F11A0D" w:rsidP="00F11A0D">
      <w:pPr>
        <w:pStyle w:val="FootnoteText"/>
      </w:pPr>
      <w:r w:rsidRPr="004F2FAF">
        <w:rPr>
          <w:szCs w:val="18"/>
        </w:rPr>
        <w:tab/>
      </w:r>
      <w:r w:rsidRPr="00F81291">
        <w:rPr>
          <w:rStyle w:val="FootnoteReference"/>
        </w:rPr>
        <w:footnoteRef/>
      </w:r>
      <w:r w:rsidRPr="00864442">
        <w:rPr>
          <w:rStyle w:val="FootnoteReference"/>
          <w:lang w:val="en-US"/>
        </w:rPr>
        <w:tab/>
      </w:r>
      <w:r w:rsidRPr="004F2FAF">
        <w:t>Fourth</w:t>
      </w:r>
      <w:r>
        <w:rPr>
          <w:lang w:val="en-US"/>
        </w:rPr>
        <w:t xml:space="preserve"> </w:t>
      </w:r>
      <w:r w:rsidRPr="002A3EE1">
        <w:rPr>
          <w:lang w:val="en-US"/>
        </w:rPr>
        <w:t>Geneva</w:t>
      </w:r>
      <w:r>
        <w:rPr>
          <w:lang w:val="en-US"/>
        </w:rPr>
        <w:t xml:space="preserve"> </w:t>
      </w:r>
      <w:r w:rsidRPr="002A3EE1">
        <w:rPr>
          <w:lang w:val="en-US"/>
        </w:rPr>
        <w:t>Convention,</w:t>
      </w:r>
      <w:r>
        <w:rPr>
          <w:lang w:val="en-US"/>
        </w:rPr>
        <w:t xml:space="preserve"> </w:t>
      </w:r>
      <w:r w:rsidRPr="002A3EE1">
        <w:rPr>
          <w:lang w:val="en-US"/>
        </w:rPr>
        <w:t>art.</w:t>
      </w:r>
      <w:r>
        <w:rPr>
          <w:lang w:val="en-US"/>
        </w:rPr>
        <w:t xml:space="preserve"> </w:t>
      </w:r>
      <w:r w:rsidRPr="002A3EE1">
        <w:rPr>
          <w:lang w:val="en-US"/>
        </w:rPr>
        <w:t>27,</w:t>
      </w:r>
      <w:r>
        <w:rPr>
          <w:lang w:val="en-US"/>
        </w:rPr>
        <w:t xml:space="preserve"> </w:t>
      </w:r>
      <w:r w:rsidRPr="006C6235">
        <w:rPr>
          <w:lang w:val="en-US"/>
        </w:rPr>
        <w:t>and</w:t>
      </w:r>
      <w:r>
        <w:rPr>
          <w:lang w:val="en-US"/>
        </w:rPr>
        <w:t xml:space="preserve"> </w:t>
      </w:r>
      <w:hyperlink r:id="rId2" w:history="1">
        <w:r w:rsidRPr="001E1C0E">
          <w:rPr>
            <w:rStyle w:val="Hyperlink"/>
            <w:rFonts w:eastAsia="SimSun"/>
            <w:lang w:val="en-US"/>
          </w:rPr>
          <w:t>https://ihl-databases.icrc.org/en/customary-ihl/v1/rule114</w:t>
        </w:r>
      </w:hyperlink>
      <w:r w:rsidRPr="002A3EE1">
        <w:rPr>
          <w:rFonts w:eastAsia="SimSun"/>
          <w:lang w:val="en-US"/>
        </w:rPr>
        <w:t>.</w:t>
      </w:r>
      <w:r>
        <w:rPr>
          <w:lang w:val="en-US"/>
        </w:rPr>
        <w:t xml:space="preserve"> </w:t>
      </w:r>
    </w:p>
  </w:footnote>
  <w:footnote w:id="62">
    <w:p w14:paraId="57E8D99A" w14:textId="75718041" w:rsidR="00B941F0" w:rsidRPr="00864442" w:rsidRDefault="00B941F0" w:rsidP="003B07AF">
      <w:pPr>
        <w:pStyle w:val="FootnoteText"/>
        <w:rPr>
          <w:lang w:val="en-US"/>
        </w:rPr>
      </w:pPr>
      <w:r w:rsidRPr="00864442">
        <w:rPr>
          <w:lang w:val="en-US"/>
        </w:rPr>
        <w:tab/>
      </w:r>
      <w:r>
        <w:rPr>
          <w:rStyle w:val="FootnoteReference"/>
        </w:rPr>
        <w:footnoteRef/>
      </w:r>
      <w:r w:rsidRPr="00864442">
        <w:rPr>
          <w:lang w:val="en-US"/>
        </w:rPr>
        <w:tab/>
        <w:t>https://www.btselem.org/statistics/detainees_and_prisoners#:~:text=</w:t>
      </w:r>
      <w:r w:rsidR="003B07AF" w:rsidRPr="00864442">
        <w:rPr>
          <w:lang w:val="en-US"/>
        </w:rPr>
        <w:t>-</w:t>
      </w:r>
      <w:r w:rsidRPr="00864442">
        <w:rPr>
          <w:lang w:val="en-US"/>
        </w:rPr>
        <w:t>At%20the%20end%20of%20March,for%20being%20in%20Israel%20illegally</w:t>
      </w:r>
    </w:p>
  </w:footnote>
  <w:footnote w:id="63">
    <w:p w14:paraId="6B76D4D8" w14:textId="3EE8433E" w:rsidR="00E7177C" w:rsidRPr="00BA58DA" w:rsidRDefault="004366EB" w:rsidP="004366EB">
      <w:pPr>
        <w:pStyle w:val="FootnoteText"/>
      </w:pPr>
      <w:r w:rsidRPr="00864442">
        <w:rPr>
          <w:lang w:val="en-US"/>
        </w:rPr>
        <w:tab/>
      </w:r>
      <w:r w:rsidR="00E7177C" w:rsidRPr="00983A11">
        <w:rPr>
          <w:rStyle w:val="FootnoteReference"/>
        </w:rPr>
        <w:footnoteRef/>
      </w:r>
      <w:r>
        <w:tab/>
      </w:r>
      <w:r w:rsidR="00E7177C" w:rsidRPr="00BA58DA">
        <w:t>GCIV arts. 76</w:t>
      </w:r>
      <w:r w:rsidR="00E7177C">
        <w:t>,</w:t>
      </w:r>
      <w:r w:rsidR="00E7177C" w:rsidRPr="00BA58DA">
        <w:t>147; Rome Statute, art. 8(2)(a)(vii).</w:t>
      </w:r>
    </w:p>
  </w:footnote>
  <w:footnote w:id="64">
    <w:p w14:paraId="48D059AE" w14:textId="16CD0AE6" w:rsidR="00E7177C" w:rsidRPr="00BA58DA" w:rsidRDefault="004366EB" w:rsidP="004366EB">
      <w:pPr>
        <w:pStyle w:val="FootnoteText"/>
        <w:rPr>
          <w:rFonts w:asciiTheme="majorBidi" w:hAnsiTheme="majorBidi" w:cstheme="majorBidi"/>
          <w:sz w:val="16"/>
          <w:szCs w:val="16"/>
        </w:rPr>
      </w:pPr>
      <w:r>
        <w:rPr>
          <w:rFonts w:asciiTheme="majorBidi" w:hAnsiTheme="majorBidi" w:cstheme="majorBidi"/>
          <w:sz w:val="16"/>
          <w:szCs w:val="16"/>
        </w:rPr>
        <w:tab/>
      </w:r>
      <w:r w:rsidR="00E7177C" w:rsidRPr="00983A11">
        <w:rPr>
          <w:rStyle w:val="FootnoteReference"/>
        </w:rPr>
        <w:footnoteRef/>
      </w:r>
      <w:r>
        <w:rPr>
          <w:rFonts w:asciiTheme="majorBidi" w:hAnsiTheme="majorBidi" w:cstheme="majorBidi"/>
          <w:sz w:val="16"/>
          <w:szCs w:val="16"/>
        </w:rPr>
        <w:tab/>
      </w:r>
      <w:r w:rsidR="00E7177C" w:rsidRPr="00480553">
        <w:rPr>
          <w:rFonts w:asciiTheme="majorBidi" w:hAnsiTheme="majorBidi" w:cstheme="majorBidi"/>
          <w:sz w:val="16"/>
          <w:szCs w:val="16"/>
        </w:rPr>
        <w:t xml:space="preserve">IPS Order No. 03/02/00 “Regulations on Security Prisoners” </w:t>
      </w:r>
      <w:hyperlink r:id="rId3" w:history="1">
        <w:r w:rsidR="00E7177C" w:rsidRPr="00BA58DA">
          <w:rPr>
            <w:rStyle w:val="Hyperlink"/>
            <w:rFonts w:asciiTheme="majorBidi" w:hAnsiTheme="majorBidi" w:cstheme="majorBidi"/>
            <w:sz w:val="16"/>
            <w:szCs w:val="16"/>
            <w:lang w:val="en-US"/>
          </w:rPr>
          <w:t xml:space="preserve">03.02.00 - </w:t>
        </w:r>
        <w:r w:rsidR="00E7177C" w:rsidRPr="00BA58DA">
          <w:rPr>
            <w:rStyle w:val="Hyperlink"/>
            <w:rFonts w:asciiTheme="majorBidi" w:hAnsiTheme="majorBidi" w:cstheme="majorBidi"/>
            <w:sz w:val="16"/>
            <w:szCs w:val="16"/>
            <w:rtl/>
            <w:lang w:bidi="he-IL"/>
          </w:rPr>
          <w:t xml:space="preserve">כללים ביחס לאסירים בטחוניים </w:t>
        </w:r>
        <w:r w:rsidR="00E7177C" w:rsidRPr="00BA58DA">
          <w:rPr>
            <w:rStyle w:val="Hyperlink"/>
            <w:rFonts w:asciiTheme="majorBidi" w:hAnsiTheme="majorBidi" w:cstheme="majorBidi"/>
            <w:sz w:val="16"/>
            <w:szCs w:val="16"/>
            <w:lang w:val="en-US"/>
          </w:rPr>
          <w:t>(www.gov.il)</w:t>
        </w:r>
      </w:hyperlink>
      <w:r w:rsidR="00E7177C" w:rsidRPr="00BA58DA">
        <w:rPr>
          <w:rFonts w:asciiTheme="majorBidi" w:hAnsiTheme="majorBidi" w:cstheme="majorBidi"/>
          <w:sz w:val="16"/>
          <w:szCs w:val="16"/>
          <w:lang w:val="en-US"/>
        </w:rPr>
        <w:t xml:space="preserve">; IPS Order 04.40.00 “Prisoners Furloughs”, part B para f on furloughs. </w:t>
      </w:r>
      <w:hyperlink r:id="rId4" w:history="1">
        <w:r w:rsidR="00E7177C" w:rsidRPr="00BA58DA">
          <w:rPr>
            <w:rStyle w:val="Hyperlink"/>
            <w:rFonts w:asciiTheme="majorBidi" w:hAnsiTheme="majorBidi" w:cstheme="majorBidi"/>
            <w:sz w:val="16"/>
            <w:szCs w:val="16"/>
            <w:lang w:val="en-US"/>
          </w:rPr>
          <w:t xml:space="preserve">04.40.00 - </w:t>
        </w:r>
        <w:r w:rsidR="00E7177C" w:rsidRPr="00BA58DA">
          <w:rPr>
            <w:rStyle w:val="Hyperlink"/>
            <w:rFonts w:asciiTheme="majorBidi" w:hAnsiTheme="majorBidi" w:cstheme="majorBidi"/>
            <w:sz w:val="16"/>
            <w:szCs w:val="16"/>
            <w:rtl/>
            <w:lang w:bidi="he-IL"/>
          </w:rPr>
          <w:t xml:space="preserve">חופשות אסירים </w:t>
        </w:r>
        <w:r w:rsidR="00E7177C" w:rsidRPr="00BA58DA">
          <w:rPr>
            <w:rStyle w:val="Hyperlink"/>
            <w:rFonts w:asciiTheme="majorBidi" w:hAnsiTheme="majorBidi" w:cstheme="majorBidi"/>
            <w:sz w:val="16"/>
            <w:szCs w:val="16"/>
            <w:lang w:val="en-US"/>
          </w:rPr>
          <w:t>(www.gov.il)</w:t>
        </w:r>
      </w:hyperlink>
      <w:r w:rsidR="00E7177C" w:rsidRPr="00BA58DA">
        <w:rPr>
          <w:rFonts w:asciiTheme="majorBidi" w:hAnsiTheme="majorBidi" w:cstheme="majorBidi"/>
          <w:sz w:val="16"/>
          <w:szCs w:val="16"/>
        </w:rPr>
        <w:t xml:space="preserve"> </w:t>
      </w:r>
    </w:p>
  </w:footnote>
  <w:footnote w:id="65">
    <w:p w14:paraId="7C0D41BF" w14:textId="68AC99D4" w:rsidR="00E7177C" w:rsidRPr="00BA58DA" w:rsidRDefault="004366EB" w:rsidP="004366EB">
      <w:pPr>
        <w:pStyle w:val="FootnoteText"/>
        <w:rPr>
          <w:lang w:val="en-US"/>
        </w:rPr>
      </w:pPr>
      <w:r>
        <w:tab/>
      </w:r>
      <w:r w:rsidR="00E7177C" w:rsidRPr="00983A11">
        <w:rPr>
          <w:rStyle w:val="FootnoteReference"/>
        </w:rPr>
        <w:footnoteRef/>
      </w:r>
      <w:r w:rsidR="00E7177C" w:rsidRPr="00BA58DA">
        <w:t xml:space="preserve"> </w:t>
      </w:r>
      <w:r>
        <w:tab/>
      </w:r>
      <w:r w:rsidR="00E7177C" w:rsidRPr="00BA58DA">
        <w:rPr>
          <w:lang w:val="en"/>
        </w:rPr>
        <w:t xml:space="preserve">Ministerial Committee on National Security Affairs Decision No. </w:t>
      </w:r>
      <w:r w:rsidR="00E7177C" w:rsidRPr="00BA58DA">
        <w:rPr>
          <w:lang w:val="en-US"/>
        </w:rPr>
        <w:t xml:space="preserve">B171, 1/01/2017; </w:t>
      </w:r>
      <w:hyperlink r:id="rId5" w:history="1">
        <w:r w:rsidR="0068676C" w:rsidRPr="00127698">
          <w:rPr>
            <w:rStyle w:val="Hyperlink"/>
            <w:lang w:val="en-US"/>
          </w:rPr>
          <w:t>https://supremedecisions.court.gov.il/Home/Download?path=HebrewVerdicts/17/140/063/z18&amp;fileName=17063140.Z18&amp;type=4</w:t>
        </w:r>
      </w:hyperlink>
      <w:r w:rsidR="0068676C">
        <w:rPr>
          <w:lang w:val="en-US"/>
        </w:rPr>
        <w:t xml:space="preserve"> (in Hebrew)</w:t>
      </w:r>
      <w:r w:rsidR="00E7177C">
        <w:rPr>
          <w:lang w:val="en-US"/>
        </w:rPr>
        <w:t>;</w:t>
      </w:r>
      <w:r w:rsidR="00E7177C" w:rsidRPr="00BA58DA">
        <w:t xml:space="preserve"> https://www.btselem.org/gaza_strip/20190714_court_sanctioned_vengeance</w:t>
      </w:r>
    </w:p>
  </w:footnote>
  <w:footnote w:id="66">
    <w:p w14:paraId="23A03EEA" w14:textId="5E5E0348" w:rsidR="00E7177C" w:rsidRPr="00DA16F0" w:rsidRDefault="004366EB" w:rsidP="004366EB">
      <w:pPr>
        <w:pStyle w:val="FootnoteText"/>
        <w:rPr>
          <w:lang w:val="es-ES"/>
        </w:rPr>
      </w:pPr>
      <w:r>
        <w:tab/>
      </w:r>
      <w:r w:rsidR="00E7177C" w:rsidRPr="00983A11">
        <w:rPr>
          <w:rStyle w:val="FootnoteReference"/>
        </w:rPr>
        <w:footnoteRef/>
      </w:r>
      <w:r w:rsidR="00E7177C" w:rsidRPr="00DA16F0">
        <w:rPr>
          <w:lang w:val="es-ES"/>
        </w:rPr>
        <w:t xml:space="preserve"> </w:t>
      </w:r>
      <w:r w:rsidRPr="00DA16F0">
        <w:rPr>
          <w:lang w:val="es-ES"/>
        </w:rPr>
        <w:tab/>
      </w:r>
      <w:r w:rsidR="00E7177C" w:rsidRPr="00DA16F0">
        <w:rPr>
          <w:lang w:val="es-ES"/>
        </w:rPr>
        <w:t>https://www.addameer.org/statistics</w:t>
      </w:r>
    </w:p>
  </w:footnote>
  <w:footnote w:id="67">
    <w:p w14:paraId="559A5AAB" w14:textId="33220D61" w:rsidR="00E7177C" w:rsidRPr="006A36AE" w:rsidRDefault="004366EB" w:rsidP="004366EB">
      <w:pPr>
        <w:pStyle w:val="FootnoteText"/>
        <w:rPr>
          <w:lang w:val="pt-BR"/>
        </w:rPr>
      </w:pPr>
      <w:r w:rsidRPr="00DA16F0">
        <w:rPr>
          <w:lang w:val="es-ES"/>
        </w:rPr>
        <w:tab/>
      </w:r>
      <w:r w:rsidR="00E7177C" w:rsidRPr="00983A11">
        <w:rPr>
          <w:rStyle w:val="FootnoteReference"/>
        </w:rPr>
        <w:footnoteRef/>
      </w:r>
      <w:r w:rsidR="00E7177C" w:rsidRPr="00DA16F0">
        <w:rPr>
          <w:lang w:val="es-ES"/>
        </w:rPr>
        <w:t xml:space="preserve"> </w:t>
      </w:r>
      <w:r w:rsidRPr="00DA16F0">
        <w:rPr>
          <w:lang w:val="es-ES"/>
        </w:rPr>
        <w:tab/>
      </w:r>
      <w:r w:rsidR="00E7177C" w:rsidRPr="00DA16F0">
        <w:rPr>
          <w:lang w:val="es-ES"/>
        </w:rPr>
        <w:t>CAT/C/ISR/CO/4, para. 17; CAT/C/ISR/CO/5, paras</w:t>
      </w:r>
      <w:r w:rsidR="00E7177C" w:rsidRPr="006A36AE">
        <w:rPr>
          <w:lang w:val="pt-BR"/>
        </w:rPr>
        <w:t>22–23.</w:t>
      </w:r>
    </w:p>
  </w:footnote>
  <w:footnote w:id="68">
    <w:p w14:paraId="1D952CC9" w14:textId="759079CB" w:rsidR="00E7177C" w:rsidRPr="006A36AE" w:rsidRDefault="004366EB" w:rsidP="004366EB">
      <w:pPr>
        <w:pStyle w:val="FootnoteText"/>
        <w:rPr>
          <w:lang w:val="pt-BR"/>
        </w:rPr>
      </w:pPr>
      <w:r>
        <w:rPr>
          <w:lang w:val="pt-BR"/>
        </w:rPr>
        <w:tab/>
      </w:r>
      <w:r w:rsidR="00E7177C" w:rsidRPr="00983A11">
        <w:rPr>
          <w:rStyle w:val="FootnoteReference"/>
        </w:rPr>
        <w:footnoteRef/>
      </w:r>
      <w:r>
        <w:rPr>
          <w:lang w:val="pt-BR"/>
        </w:rPr>
        <w:tab/>
      </w:r>
      <w:r w:rsidR="00E7177C" w:rsidRPr="006A36AE">
        <w:t xml:space="preserve">GCIV art. 78; ICCPR art. 9; and HRC, GC 35, paras </w:t>
      </w:r>
      <w:r w:rsidR="00E7177C" w:rsidRPr="006A36AE">
        <w:rPr>
          <w:lang w:val="en-US"/>
        </w:rPr>
        <w:t xml:space="preserve">15, 64; </w:t>
      </w:r>
      <w:r w:rsidR="00E7177C" w:rsidRPr="006A36AE">
        <w:rPr>
          <w:lang w:val="pt-BR"/>
        </w:rPr>
        <w:t>A/HRC/37/42, paras9-ff.; A/76/333 para. 31; A/71/355, para. 20; A/71/364, paras. 34–35; A/69/347, paras. 28–29 A/HRC/37/42</w:t>
      </w:r>
    </w:p>
  </w:footnote>
  <w:footnote w:id="69">
    <w:p w14:paraId="7EE3EC9D" w14:textId="1D3A5A86" w:rsidR="00E7177C" w:rsidRPr="00130082" w:rsidRDefault="004366EB" w:rsidP="004366EB">
      <w:pPr>
        <w:pStyle w:val="FootnoteText"/>
        <w:rPr>
          <w:lang w:val="pt-BR"/>
        </w:rPr>
      </w:pPr>
      <w:r>
        <w:rPr>
          <w:lang w:val="pt-BR"/>
        </w:rPr>
        <w:tab/>
      </w:r>
      <w:r w:rsidR="00E7177C" w:rsidRPr="00983A11">
        <w:rPr>
          <w:rStyle w:val="FootnoteReference"/>
        </w:rPr>
        <w:footnoteRef/>
      </w:r>
      <w:r>
        <w:rPr>
          <w:lang w:val="pt-BR"/>
        </w:rPr>
        <w:tab/>
      </w:r>
      <w:r w:rsidR="00E7177C" w:rsidRPr="00130082">
        <w:rPr>
          <w:lang w:val="pt-BR"/>
        </w:rPr>
        <w:t>https://www.haaretz.com/israel-news/2023-03-27/ty-article/.premium/number-of-palestinians-under-detention-without-trial-has-doubled/00000187-1db0-d4ca-afff-1db896650000</w:t>
      </w:r>
    </w:p>
  </w:footnote>
  <w:footnote w:id="70">
    <w:p w14:paraId="08F93BD3" w14:textId="2C6809D4" w:rsidR="00E7177C" w:rsidRPr="00130082" w:rsidRDefault="004366EB" w:rsidP="004366EB">
      <w:pPr>
        <w:pStyle w:val="FootnoteText"/>
        <w:rPr>
          <w:lang w:val="pt-BR"/>
        </w:rPr>
      </w:pPr>
      <w:r>
        <w:rPr>
          <w:lang w:val="pt-BR"/>
        </w:rPr>
        <w:tab/>
      </w:r>
      <w:r w:rsidR="00E7177C" w:rsidRPr="00983A11">
        <w:rPr>
          <w:rStyle w:val="FootnoteReference"/>
        </w:rPr>
        <w:footnoteRef/>
      </w:r>
      <w:r>
        <w:rPr>
          <w:lang w:val="pt-BR"/>
        </w:rPr>
        <w:tab/>
      </w:r>
      <w:r w:rsidR="00E7177C" w:rsidRPr="00130082">
        <w:rPr>
          <w:lang w:val="pt-BR"/>
        </w:rPr>
        <w:t>https://www.phr.org.il/en/khader-adnan-dies-in-israeli-prison/</w:t>
      </w:r>
    </w:p>
  </w:footnote>
  <w:footnote w:id="71">
    <w:p w14:paraId="5C78B9A2" w14:textId="62581E21" w:rsidR="00E7177C" w:rsidRPr="005844E4" w:rsidRDefault="00F471D6" w:rsidP="00E7177C">
      <w:pPr>
        <w:pStyle w:val="FootnoteText"/>
        <w:rPr>
          <w:lang w:val="pt-BR"/>
        </w:rPr>
      </w:pPr>
      <w:r>
        <w:rPr>
          <w:lang w:val="pt-BR"/>
        </w:rPr>
        <w:tab/>
      </w:r>
      <w:r w:rsidR="00E7177C" w:rsidRPr="00983A11">
        <w:rPr>
          <w:rStyle w:val="FootnoteReference"/>
        </w:rPr>
        <w:footnoteRef/>
      </w:r>
      <w:r w:rsidR="4BA03B1B" w:rsidRPr="005844E4">
        <w:rPr>
          <w:lang w:val="pt-BR"/>
        </w:rPr>
        <w:t xml:space="preserve"> </w:t>
      </w:r>
      <w:r w:rsidR="00B941F0">
        <w:rPr>
          <w:lang w:val="pt-BR"/>
        </w:rPr>
        <w:tab/>
      </w:r>
      <w:r w:rsidR="4BA03B1B">
        <w:rPr>
          <w:lang w:val="pt-BR"/>
        </w:rPr>
        <w:t xml:space="preserve"> </w:t>
      </w:r>
      <w:r w:rsidR="4BA03B1B" w:rsidRPr="00F756CD">
        <w:rPr>
          <w:lang w:val="pt-BR"/>
        </w:rPr>
        <w:t>https://www.jpost.com/israel-news/article-731670</w:t>
      </w:r>
      <w:r w:rsidR="006B3783">
        <w:rPr>
          <w:lang w:val="pt-BR"/>
        </w:rPr>
        <w:t xml:space="preserve">, </w:t>
      </w:r>
      <w:hyperlink r:id="rId6" w:history="1">
        <w:r w:rsidR="0087295E" w:rsidRPr="00C71956">
          <w:rPr>
            <w:rStyle w:val="Hyperlink"/>
            <w:lang w:val="pt-BR"/>
          </w:rPr>
          <w:t>https://www.haaretz.com/israel-news/2023-02-02/ty-article/.premium/trolling-palestinian-prisoners-ben-gvir-could-drag-israel-into-another-gaza-war/00000186-0eb5-df4f-a787-1fb5e5090000</w:t>
        </w:r>
      </w:hyperlink>
      <w:r w:rsidR="0087295E">
        <w:rPr>
          <w:lang w:val="pt-BR"/>
        </w:rPr>
        <w:t xml:space="preserve">; </w:t>
      </w:r>
      <w:r w:rsidR="0087295E" w:rsidRPr="0087295E">
        <w:rPr>
          <w:lang w:val="pt-BR"/>
        </w:rPr>
        <w:t>https://www.israelnationalnews.com/news/367420</w:t>
      </w:r>
    </w:p>
  </w:footnote>
  <w:footnote w:id="72">
    <w:p w14:paraId="3840CE61" w14:textId="6988D2CB" w:rsidR="00360719" w:rsidRPr="005D5BF0" w:rsidRDefault="00F471D6" w:rsidP="00360719">
      <w:pPr>
        <w:pStyle w:val="FootnoteText"/>
        <w:rPr>
          <w:lang w:val="pt-BR"/>
        </w:rPr>
      </w:pPr>
      <w:r>
        <w:rPr>
          <w:lang w:val="pt-BR"/>
        </w:rPr>
        <w:tab/>
      </w:r>
      <w:r w:rsidR="00360719" w:rsidRPr="00983A11">
        <w:rPr>
          <w:rStyle w:val="FootnoteReference"/>
        </w:rPr>
        <w:footnoteRef/>
      </w:r>
      <w:r w:rsidR="00360719" w:rsidRPr="00BF50E0">
        <w:rPr>
          <w:lang w:val="pt-BR"/>
        </w:rPr>
        <w:t xml:space="preserve"> </w:t>
      </w:r>
      <w:r w:rsidR="00360719">
        <w:rPr>
          <w:lang w:val="pt-BR"/>
        </w:rPr>
        <w:tab/>
      </w:r>
      <w:r w:rsidR="00360719" w:rsidRPr="4BA03B1B">
        <w:rPr>
          <w:lang w:val="pt-BR"/>
        </w:rPr>
        <w:t xml:space="preserve">https://www.reuters.com/world/middle-east/israel-jail-crackdown-sets-up-showdown-with-palestinian-prisoners-2023-02-02/; </w:t>
      </w:r>
      <w:r w:rsidR="00360719" w:rsidRPr="005D5BF0">
        <w:rPr>
          <w:lang w:val="pt-BR"/>
        </w:rPr>
        <w:t>https://www.kan.org.il/content/kan-news/defense/215776/</w:t>
      </w:r>
    </w:p>
  </w:footnote>
  <w:footnote w:id="73">
    <w:p w14:paraId="40572FB8" w14:textId="410BAAC9" w:rsidR="00E7177C" w:rsidRPr="00130082" w:rsidRDefault="00F471D6" w:rsidP="00B941F0">
      <w:pPr>
        <w:pStyle w:val="FootnoteText"/>
        <w:rPr>
          <w:lang w:val="pt-BR"/>
        </w:rPr>
      </w:pPr>
      <w:r>
        <w:rPr>
          <w:lang w:val="pt-BR"/>
        </w:rPr>
        <w:tab/>
      </w:r>
      <w:r w:rsidR="00E7177C" w:rsidRPr="00983A11">
        <w:rPr>
          <w:rStyle w:val="FootnoteReference"/>
        </w:rPr>
        <w:footnoteRef/>
      </w:r>
      <w:r w:rsidR="4BA03B1B" w:rsidRPr="00130082">
        <w:rPr>
          <w:lang w:val="pt-BR"/>
        </w:rPr>
        <w:t xml:space="preserve"> </w:t>
      </w:r>
      <w:r w:rsidR="00B941F0">
        <w:rPr>
          <w:lang w:val="pt-BR"/>
        </w:rPr>
        <w:tab/>
      </w:r>
      <w:r w:rsidR="4BA03B1B" w:rsidRPr="00130082">
        <w:rPr>
          <w:lang w:val="pt-BR"/>
        </w:rPr>
        <w:t>https://www.addameer.org/news/4995</w:t>
      </w:r>
    </w:p>
  </w:footnote>
  <w:footnote w:id="74">
    <w:p w14:paraId="6BCE74F7" w14:textId="77A3B037" w:rsidR="00E7177C" w:rsidRPr="00130082" w:rsidRDefault="00F471D6" w:rsidP="00B941F0">
      <w:pPr>
        <w:pStyle w:val="FootnoteText"/>
        <w:rPr>
          <w:lang w:val="pt-BR"/>
        </w:rPr>
      </w:pPr>
      <w:r>
        <w:rPr>
          <w:lang w:val="pt-BR"/>
        </w:rPr>
        <w:tab/>
      </w:r>
      <w:r w:rsidR="00E7177C" w:rsidRPr="00983A11">
        <w:rPr>
          <w:rStyle w:val="FootnoteReference"/>
        </w:rPr>
        <w:footnoteRef/>
      </w:r>
      <w:r w:rsidR="4BA03B1B" w:rsidRPr="00130082">
        <w:rPr>
          <w:lang w:val="pt-BR"/>
        </w:rPr>
        <w:t xml:space="preserve"> </w:t>
      </w:r>
      <w:r w:rsidR="00B941F0">
        <w:rPr>
          <w:lang w:val="pt-BR"/>
        </w:rPr>
        <w:tab/>
      </w:r>
      <w:r w:rsidR="4BA03B1B" w:rsidRPr="00130082">
        <w:rPr>
          <w:lang w:val="pt-BR"/>
        </w:rPr>
        <w:t>https://www.phr.org.il/en/prisoners-rights/?pr=45</w:t>
      </w:r>
    </w:p>
  </w:footnote>
  <w:footnote w:id="75">
    <w:p w14:paraId="6A6A20BD" w14:textId="5DAC2DF5" w:rsidR="00E7177C" w:rsidRPr="00130082" w:rsidRDefault="00F471D6" w:rsidP="00B941F0">
      <w:pPr>
        <w:pStyle w:val="FootnoteText"/>
        <w:rPr>
          <w:lang w:val="pt-BR"/>
        </w:rPr>
      </w:pPr>
      <w:r>
        <w:rPr>
          <w:lang w:val="pt-BR"/>
        </w:rPr>
        <w:tab/>
      </w:r>
      <w:r w:rsidR="00E7177C" w:rsidRPr="00983A11">
        <w:rPr>
          <w:rStyle w:val="FootnoteReference"/>
        </w:rPr>
        <w:footnoteRef/>
      </w:r>
      <w:r w:rsidR="00B941F0">
        <w:rPr>
          <w:lang w:val="pt-BR"/>
        </w:rPr>
        <w:tab/>
      </w:r>
      <w:r w:rsidR="4BA03B1B" w:rsidRPr="00130082">
        <w:rPr>
          <w:lang w:val="pt-BR"/>
        </w:rPr>
        <w:t>https://www.phr.org.il/en/prisoners-rights/?pr=45</w:t>
      </w:r>
    </w:p>
  </w:footnote>
  <w:footnote w:id="76">
    <w:p w14:paraId="0476D9FD" w14:textId="3CACBD4A" w:rsidR="00E7177C" w:rsidRPr="00AA1C8F" w:rsidRDefault="00B941F0" w:rsidP="00B941F0">
      <w:pPr>
        <w:pStyle w:val="FootnoteText"/>
        <w:rPr>
          <w:rStyle w:val="Hyperlink"/>
          <w:rFonts w:asciiTheme="majorBidi" w:hAnsiTheme="majorBidi" w:cstheme="majorBidi"/>
          <w:sz w:val="16"/>
          <w:szCs w:val="16"/>
          <w:lang w:val="pt-BR"/>
        </w:rPr>
      </w:pPr>
      <w:r>
        <w:rPr>
          <w:lang w:val="pt-BR"/>
        </w:rPr>
        <w:tab/>
      </w:r>
      <w:r w:rsidR="00E7177C" w:rsidRPr="00983A11">
        <w:rPr>
          <w:rStyle w:val="FootnoteReference"/>
        </w:rPr>
        <w:footnoteRef/>
      </w:r>
      <w:r>
        <w:rPr>
          <w:lang w:val="pt-BR"/>
        </w:rPr>
        <w:tab/>
      </w:r>
      <w:r w:rsidR="00E7177C" w:rsidRPr="002D7648">
        <w:rPr>
          <w:lang w:val="pt-BR"/>
        </w:rPr>
        <w:t>https://www.addameer.org/node/</w:t>
      </w:r>
      <w:r w:rsidR="00E7177C" w:rsidRPr="00AA1C8F">
        <w:rPr>
          <w:lang w:val="pt-BR"/>
        </w:rPr>
        <w:t>5018.</w:t>
      </w:r>
    </w:p>
  </w:footnote>
  <w:footnote w:id="77">
    <w:p w14:paraId="5E9584E4" w14:textId="5C54CB14" w:rsidR="00E7177C" w:rsidRPr="00AA1C8F" w:rsidRDefault="00B941F0" w:rsidP="00B941F0">
      <w:pPr>
        <w:pStyle w:val="FootnoteText"/>
        <w:rPr>
          <w:sz w:val="16"/>
          <w:szCs w:val="16"/>
          <w:lang w:val="en-US"/>
        </w:rPr>
      </w:pPr>
      <w:r w:rsidRPr="00D73513">
        <w:rPr>
          <w:rFonts w:asciiTheme="majorBidi" w:hAnsiTheme="majorBidi" w:cstheme="majorBidi"/>
          <w:sz w:val="16"/>
          <w:szCs w:val="16"/>
          <w:lang w:val="pt-BR"/>
        </w:rPr>
        <w:tab/>
      </w:r>
      <w:r w:rsidR="00E7177C" w:rsidRPr="00983A11">
        <w:rPr>
          <w:rStyle w:val="FootnoteReference"/>
        </w:rPr>
        <w:footnoteRef/>
      </w:r>
      <w:r w:rsidR="00E7177C" w:rsidRPr="00AA1C8F">
        <w:rPr>
          <w:rFonts w:asciiTheme="majorBidi" w:hAnsiTheme="majorBidi" w:cstheme="majorBidi"/>
          <w:sz w:val="16"/>
          <w:szCs w:val="16"/>
          <w:lang w:val="en-US"/>
        </w:rPr>
        <w:t xml:space="preserve"> </w:t>
      </w:r>
      <w:r>
        <w:rPr>
          <w:rFonts w:asciiTheme="majorBidi" w:hAnsiTheme="majorBidi" w:cstheme="majorBidi"/>
          <w:sz w:val="16"/>
          <w:szCs w:val="16"/>
          <w:lang w:val="en-US"/>
        </w:rPr>
        <w:tab/>
      </w:r>
      <w:r w:rsidR="00E7177C">
        <w:rPr>
          <w:rFonts w:asciiTheme="majorBidi" w:hAnsiTheme="majorBidi" w:cstheme="majorBidi"/>
          <w:sz w:val="16"/>
          <w:szCs w:val="16"/>
        </w:rPr>
        <w:t xml:space="preserve">OHCHR monitoring. See also </w:t>
      </w:r>
      <w:r w:rsidR="00E7177C" w:rsidRPr="00C728B9">
        <w:t>https://view.officeapps.live.com/op/view.aspx?src=https%3A%2F%2Ffs.knesset.gov.il%2F%2F20%2Flaw%2F20_lst_517851.docx&amp;wdOrigin=BROWSELINK</w:t>
      </w:r>
      <w:r w:rsidR="00E7177C" w:rsidRPr="00AA1C8F">
        <w:rPr>
          <w:rFonts w:asciiTheme="majorBidi" w:hAnsiTheme="majorBidi" w:cstheme="majorBidi"/>
          <w:sz w:val="16"/>
          <w:szCs w:val="16"/>
        </w:rPr>
        <w:t xml:space="preserve"> set</w:t>
      </w:r>
      <w:r w:rsidR="00E7177C">
        <w:rPr>
          <w:rFonts w:asciiTheme="majorBidi" w:hAnsiTheme="majorBidi" w:cstheme="majorBidi"/>
          <w:sz w:val="16"/>
          <w:szCs w:val="16"/>
        </w:rPr>
        <w:t>ting</w:t>
      </w:r>
      <w:r w:rsidR="00E7177C" w:rsidRPr="00AA1C8F">
        <w:rPr>
          <w:rFonts w:asciiTheme="majorBidi" w:hAnsiTheme="majorBidi" w:cstheme="majorBidi"/>
          <w:sz w:val="16"/>
          <w:szCs w:val="16"/>
        </w:rPr>
        <w:t xml:space="preserve"> out the legislative intention to </w:t>
      </w:r>
      <w:r w:rsidR="00E7177C">
        <w:rPr>
          <w:rFonts w:asciiTheme="majorBidi" w:hAnsiTheme="majorBidi" w:cstheme="majorBidi"/>
          <w:sz w:val="16"/>
          <w:szCs w:val="16"/>
        </w:rPr>
        <w:t>target</w:t>
      </w:r>
      <w:r w:rsidR="00E7177C" w:rsidRPr="00AA1C8F">
        <w:rPr>
          <w:rFonts w:asciiTheme="majorBidi" w:hAnsiTheme="majorBidi" w:cstheme="majorBidi"/>
          <w:sz w:val="16"/>
          <w:szCs w:val="16"/>
        </w:rPr>
        <w:t xml:space="preserve"> </w:t>
      </w:r>
      <w:r>
        <w:rPr>
          <w:rFonts w:asciiTheme="majorBidi" w:hAnsiTheme="majorBidi" w:cstheme="majorBidi"/>
          <w:sz w:val="16"/>
          <w:szCs w:val="16"/>
        </w:rPr>
        <w:tab/>
      </w:r>
      <w:r w:rsidR="00E7177C" w:rsidRPr="00AA1C8F">
        <w:rPr>
          <w:rFonts w:asciiTheme="majorBidi" w:hAnsiTheme="majorBidi" w:cstheme="majorBidi"/>
          <w:sz w:val="16"/>
          <w:szCs w:val="16"/>
        </w:rPr>
        <w:t xml:space="preserve">cases where Jews </w:t>
      </w:r>
      <w:r w:rsidR="00E7177C">
        <w:rPr>
          <w:rFonts w:asciiTheme="majorBidi" w:hAnsiTheme="majorBidi" w:cstheme="majorBidi"/>
          <w:sz w:val="16"/>
          <w:szCs w:val="16"/>
        </w:rPr>
        <w:t>we</w:t>
      </w:r>
      <w:r w:rsidR="00E7177C" w:rsidRPr="00AA1C8F">
        <w:rPr>
          <w:rFonts w:asciiTheme="majorBidi" w:hAnsiTheme="majorBidi" w:cstheme="majorBidi"/>
          <w:sz w:val="16"/>
          <w:szCs w:val="16"/>
        </w:rPr>
        <w:t>re attack</w:t>
      </w:r>
      <w:r w:rsidR="00E7177C">
        <w:rPr>
          <w:rFonts w:asciiTheme="majorBidi" w:hAnsiTheme="majorBidi" w:cstheme="majorBidi"/>
          <w:sz w:val="16"/>
          <w:szCs w:val="16"/>
        </w:rPr>
        <w:t>ed</w:t>
      </w:r>
      <w:r w:rsidR="00E7177C" w:rsidRPr="00AA1C8F">
        <w:rPr>
          <w:rFonts w:asciiTheme="majorBidi" w:hAnsiTheme="majorBidi" w:cstheme="majorBidi"/>
          <w:sz w:val="16"/>
          <w:szCs w:val="16"/>
        </w:rPr>
        <w:t>.</w:t>
      </w:r>
      <w:r w:rsidR="00E7177C" w:rsidRPr="00AA1C8F">
        <w:rPr>
          <w:rFonts w:ascii="Arial" w:hAnsi="Arial" w:cs="Arial"/>
          <w:sz w:val="16"/>
          <w:szCs w:val="16"/>
        </w:rPr>
        <w:t xml:space="preserve"> </w:t>
      </w:r>
    </w:p>
  </w:footnote>
  <w:footnote w:id="78">
    <w:p w14:paraId="291811B2" w14:textId="57361895" w:rsidR="00E7177C" w:rsidRPr="00AA1C8F" w:rsidRDefault="00B941F0" w:rsidP="00B941F0">
      <w:pPr>
        <w:pStyle w:val="FootnoteText"/>
        <w:rPr>
          <w:lang w:val="en-US"/>
        </w:rPr>
      </w:pPr>
      <w:r>
        <w:tab/>
      </w:r>
      <w:r w:rsidR="00E7177C" w:rsidRPr="00983A11">
        <w:rPr>
          <w:rStyle w:val="FootnoteReference"/>
        </w:rPr>
        <w:footnoteRef/>
      </w:r>
      <w:r w:rsidR="00E7177C" w:rsidRPr="00AA1C8F">
        <w:t xml:space="preserve"> </w:t>
      </w:r>
      <w:r>
        <w:tab/>
      </w:r>
      <w:r w:rsidR="00E7177C" w:rsidRPr="00AA1C8F">
        <w:t>Paragraph 53 below</w:t>
      </w:r>
    </w:p>
  </w:footnote>
  <w:footnote w:id="79">
    <w:p w14:paraId="1B6B9E9A" w14:textId="0419C744" w:rsidR="00E7177C" w:rsidRPr="004E4203" w:rsidRDefault="00B941F0" w:rsidP="00B941F0">
      <w:pPr>
        <w:pStyle w:val="FootnoteText"/>
      </w:pPr>
      <w:r>
        <w:tab/>
      </w:r>
      <w:r w:rsidR="00E7177C" w:rsidRPr="00983A11">
        <w:rPr>
          <w:rStyle w:val="FootnoteReference"/>
        </w:rPr>
        <w:footnoteRef/>
      </w:r>
      <w:r w:rsidR="00E7177C" w:rsidRPr="004E4203">
        <w:t xml:space="preserve"> </w:t>
      </w:r>
      <w:r>
        <w:tab/>
      </w:r>
      <w:r w:rsidR="00E7177C">
        <w:rPr>
          <w:lang w:val="en-US"/>
        </w:rPr>
        <w:t>ICCPR, Article 9(3).</w:t>
      </w:r>
      <w:r w:rsidR="00E7177C" w:rsidRPr="004E4203">
        <w:t xml:space="preserve"> </w:t>
      </w:r>
      <w:r w:rsidR="00E7177C">
        <w:t xml:space="preserve">HRC GC 35. </w:t>
      </w:r>
      <w:r w:rsidR="00E7177C" w:rsidRPr="004E4203">
        <w:rPr>
          <w:i/>
        </w:rPr>
        <w:t xml:space="preserve">W.B.E. v. The Netherlands, </w:t>
      </w:r>
      <w:r w:rsidR="00E7177C" w:rsidRPr="004E4203">
        <w:t>No. 432/1990, para. 6.3</w:t>
      </w:r>
    </w:p>
  </w:footnote>
  <w:footnote w:id="80">
    <w:p w14:paraId="0AB0319F" w14:textId="10735440" w:rsidR="00E7177C" w:rsidRPr="004E4203" w:rsidRDefault="00B941F0" w:rsidP="00B941F0">
      <w:pPr>
        <w:pStyle w:val="FootnoteText"/>
      </w:pPr>
      <w:r>
        <w:tab/>
      </w:r>
      <w:r w:rsidR="00E7177C" w:rsidRPr="00983A11">
        <w:rPr>
          <w:rStyle w:val="FootnoteReference"/>
        </w:rPr>
        <w:footnoteRef/>
      </w:r>
      <w:r w:rsidR="00E7177C" w:rsidRPr="004E4203">
        <w:t xml:space="preserve"> </w:t>
      </w:r>
      <w:r>
        <w:tab/>
      </w:r>
      <w:r w:rsidR="00E7177C">
        <w:t>HRC GC 35</w:t>
      </w:r>
      <w:r w:rsidR="00E7177C" w:rsidRPr="004E4203">
        <w:t xml:space="preserve"> para. 3</w:t>
      </w:r>
      <w:r w:rsidR="00E7177C">
        <w:t>7</w:t>
      </w:r>
      <w:r w:rsidR="00E7177C" w:rsidRPr="004E4203">
        <w:t xml:space="preserve">. </w:t>
      </w:r>
    </w:p>
  </w:footnote>
  <w:footnote w:id="81">
    <w:p w14:paraId="246C52AA" w14:textId="7CE58634" w:rsidR="00E7177C" w:rsidRPr="004E4203" w:rsidRDefault="00B941F0" w:rsidP="00B941F0">
      <w:pPr>
        <w:pStyle w:val="FootnoteText"/>
      </w:pPr>
      <w:r>
        <w:tab/>
      </w:r>
      <w:r w:rsidR="00E7177C" w:rsidRPr="00983A11">
        <w:rPr>
          <w:rStyle w:val="FootnoteReference"/>
        </w:rPr>
        <w:footnoteRef/>
      </w:r>
      <w:r w:rsidR="00E7177C" w:rsidRPr="004E4203">
        <w:t xml:space="preserve"> </w:t>
      </w:r>
      <w:r>
        <w:tab/>
      </w:r>
      <w:r w:rsidR="00E7177C" w:rsidRPr="004E4203">
        <w:t>https://www.meida.org.il/12407</w:t>
      </w:r>
      <w:r w:rsidR="00E7177C" w:rsidRPr="004E4203">
        <w:rPr>
          <w:rStyle w:val="Hyperlink"/>
          <w:rFonts w:asciiTheme="majorBidi" w:hAnsiTheme="majorBidi" w:cstheme="majorBidi"/>
          <w:sz w:val="16"/>
          <w:szCs w:val="16"/>
        </w:rPr>
        <w:t xml:space="preserve"> </w:t>
      </w:r>
    </w:p>
  </w:footnote>
  <w:footnote w:id="82">
    <w:p w14:paraId="3DDA05AC" w14:textId="58A08098" w:rsidR="003B07AF" w:rsidRPr="004E4203" w:rsidRDefault="00B941F0" w:rsidP="00DC7281">
      <w:pPr>
        <w:pStyle w:val="FootnoteText"/>
      </w:pPr>
      <w:r>
        <w:tab/>
      </w:r>
      <w:r w:rsidR="00E7177C" w:rsidRPr="00983A11">
        <w:rPr>
          <w:rStyle w:val="FootnoteReference"/>
        </w:rPr>
        <w:footnoteRef/>
      </w:r>
      <w:r w:rsidR="00E7177C" w:rsidRPr="004E4203">
        <w:t xml:space="preserve"> </w:t>
      </w:r>
      <w:r>
        <w:tab/>
      </w:r>
      <w:r w:rsidR="00E7177C">
        <w:t>See</w:t>
      </w:r>
      <w:r w:rsidR="00E7177C" w:rsidRPr="004E4203">
        <w:t xml:space="preserve"> CAT, Arts. 2 </w:t>
      </w:r>
      <w:r w:rsidR="00E7177C">
        <w:t>and</w:t>
      </w:r>
      <w:r w:rsidR="00E7177C" w:rsidRPr="004E4203">
        <w:t xml:space="preserve"> 15.</w:t>
      </w:r>
    </w:p>
  </w:footnote>
  <w:footnote w:id="83">
    <w:p w14:paraId="67D00A10" w14:textId="68F988B5" w:rsidR="00E7177C" w:rsidRPr="004C7F3E" w:rsidRDefault="00B941F0" w:rsidP="00B941F0">
      <w:pPr>
        <w:pStyle w:val="FootnoteText"/>
      </w:pPr>
      <w:r>
        <w:tab/>
      </w:r>
      <w:r w:rsidR="00E7177C" w:rsidRPr="00983A11">
        <w:rPr>
          <w:rStyle w:val="FootnoteReference"/>
        </w:rPr>
        <w:footnoteRef/>
      </w:r>
      <w:r w:rsidR="00E7177C" w:rsidRPr="004E4203">
        <w:t xml:space="preserve"> </w:t>
      </w:r>
      <w:r>
        <w:tab/>
      </w:r>
      <w:r w:rsidR="00E7177C" w:rsidRPr="00DC7281">
        <w:t xml:space="preserve">Based on IPS data. </w:t>
      </w:r>
    </w:p>
  </w:footnote>
  <w:footnote w:id="84">
    <w:p w14:paraId="331EF489" w14:textId="7DECDBA8" w:rsidR="00E7177C" w:rsidRPr="004C7F3E" w:rsidRDefault="00B941F0" w:rsidP="00E7177C">
      <w:pPr>
        <w:pStyle w:val="FootnoteText"/>
        <w:rPr>
          <w:rFonts w:asciiTheme="majorBidi" w:hAnsiTheme="majorBidi" w:cstheme="majorBidi"/>
          <w:sz w:val="16"/>
          <w:szCs w:val="16"/>
        </w:rPr>
      </w:pPr>
      <w:r>
        <w:rPr>
          <w:rFonts w:asciiTheme="majorBidi" w:hAnsiTheme="majorBidi" w:cstheme="majorBidi"/>
          <w:sz w:val="16"/>
          <w:szCs w:val="16"/>
        </w:rPr>
        <w:tab/>
      </w:r>
      <w:r w:rsidR="00E7177C" w:rsidRPr="00983A11">
        <w:rPr>
          <w:rStyle w:val="FootnoteReference"/>
        </w:rPr>
        <w:footnoteRef/>
      </w:r>
      <w:r w:rsidR="00E7177C" w:rsidRPr="004C7F3E">
        <w:rPr>
          <w:rFonts w:asciiTheme="majorBidi" w:hAnsiTheme="majorBidi" w:cstheme="majorBidi"/>
          <w:sz w:val="16"/>
          <w:szCs w:val="16"/>
        </w:rPr>
        <w:t xml:space="preserve"> </w:t>
      </w:r>
      <w:r>
        <w:rPr>
          <w:rFonts w:asciiTheme="majorBidi" w:hAnsiTheme="majorBidi" w:cstheme="majorBidi"/>
          <w:sz w:val="16"/>
          <w:szCs w:val="16"/>
        </w:rPr>
        <w:tab/>
      </w:r>
      <w:r w:rsidR="00394641">
        <w:rPr>
          <w:rFonts w:asciiTheme="majorBidi" w:hAnsiTheme="majorBidi" w:cstheme="majorBidi"/>
          <w:sz w:val="16"/>
          <w:szCs w:val="16"/>
        </w:rPr>
        <w:t>UNICEF</w:t>
      </w:r>
    </w:p>
  </w:footnote>
  <w:footnote w:id="85">
    <w:p w14:paraId="4597F4C0" w14:textId="0FABA437" w:rsidR="00E7177C" w:rsidRPr="004C7F3E" w:rsidRDefault="00B941F0" w:rsidP="00B941F0">
      <w:pPr>
        <w:pStyle w:val="FootnoteText"/>
      </w:pPr>
      <w:r>
        <w:tab/>
      </w:r>
      <w:r w:rsidR="00E7177C" w:rsidRPr="00983A11">
        <w:rPr>
          <w:rStyle w:val="FootnoteReference"/>
        </w:rPr>
        <w:footnoteRef/>
      </w:r>
      <w:r w:rsidR="00E7177C" w:rsidRPr="004C7F3E">
        <w:t xml:space="preserve"> </w:t>
      </w:r>
      <w:r>
        <w:tab/>
      </w:r>
      <w:r w:rsidR="00E7177C" w:rsidRPr="004C7F3E">
        <w:t>CRC art. 37 (b). See also CRC art. 6; and CRC, GC 24 paras 82–95, and CRC art. 3(1).</w:t>
      </w:r>
    </w:p>
  </w:footnote>
  <w:footnote w:id="86">
    <w:p w14:paraId="71954070" w14:textId="7051BFEC" w:rsidR="00E7177C" w:rsidRPr="00777E4D" w:rsidRDefault="00B941F0" w:rsidP="00B941F0">
      <w:pPr>
        <w:pStyle w:val="FootnoteText"/>
        <w:rPr>
          <w:lang w:val="es-ES"/>
        </w:rPr>
      </w:pPr>
      <w:r>
        <w:rPr>
          <w:lang w:val="en-US"/>
        </w:rPr>
        <w:tab/>
      </w:r>
      <w:r w:rsidR="00E7177C" w:rsidRPr="00983A11">
        <w:rPr>
          <w:rStyle w:val="FootnoteReference"/>
        </w:rPr>
        <w:footnoteRef/>
      </w:r>
      <w:r w:rsidR="00E7177C" w:rsidRPr="00777E4D">
        <w:rPr>
          <w:lang w:val="es-ES"/>
        </w:rPr>
        <w:t xml:space="preserve"> </w:t>
      </w:r>
      <w:r w:rsidRPr="00864442">
        <w:rPr>
          <w:lang w:val="es-ES"/>
        </w:rPr>
        <w:tab/>
      </w:r>
      <w:r w:rsidR="00E7177C" w:rsidRPr="00777E4D">
        <w:rPr>
          <w:lang w:val="es-ES"/>
        </w:rPr>
        <w:t>A/75/336paras. 45-49.</w:t>
      </w:r>
    </w:p>
  </w:footnote>
  <w:footnote w:id="87">
    <w:p w14:paraId="6B942E4A" w14:textId="504EBA85" w:rsidR="00FA3792" w:rsidRPr="00864442" w:rsidRDefault="00FA3792" w:rsidP="00F471D6">
      <w:pPr>
        <w:pStyle w:val="FootnoteText"/>
        <w:rPr>
          <w:lang w:val="es-ES"/>
        </w:rPr>
      </w:pPr>
      <w:r>
        <w:rPr>
          <w:lang w:val="es-ES"/>
        </w:rPr>
        <w:tab/>
      </w:r>
      <w:r>
        <w:rPr>
          <w:rStyle w:val="FootnoteReference"/>
        </w:rPr>
        <w:footnoteRef/>
      </w:r>
      <w:r w:rsidR="00F471D6">
        <w:rPr>
          <w:lang w:val="es-ES"/>
        </w:rPr>
        <w:tab/>
      </w:r>
      <w:r w:rsidRPr="00DA16F0">
        <w:rPr>
          <w:lang w:val="es-ES"/>
        </w:rPr>
        <w:t>A/HRC/54/61, Annex II, para 89</w:t>
      </w:r>
    </w:p>
  </w:footnote>
  <w:footnote w:id="88">
    <w:p w14:paraId="0008BA07" w14:textId="6F5B2B2E" w:rsidR="00E7177C" w:rsidRPr="00864442" w:rsidRDefault="00B941F0" w:rsidP="00B941F0">
      <w:pPr>
        <w:pStyle w:val="FootnoteText"/>
        <w:rPr>
          <w:lang w:val="es-ES"/>
        </w:rPr>
      </w:pPr>
      <w:r w:rsidRPr="00864442">
        <w:rPr>
          <w:lang w:val="es-ES"/>
        </w:rPr>
        <w:tab/>
      </w:r>
      <w:r w:rsidR="00E7177C" w:rsidRPr="00983A11">
        <w:rPr>
          <w:rStyle w:val="FootnoteReference"/>
        </w:rPr>
        <w:footnoteRef/>
      </w:r>
      <w:r w:rsidR="00E7177C" w:rsidRPr="00777E4D">
        <w:rPr>
          <w:lang w:val="es-ES"/>
        </w:rPr>
        <w:t xml:space="preserve"> </w:t>
      </w:r>
      <w:r w:rsidRPr="00864442">
        <w:rPr>
          <w:lang w:val="es-ES"/>
        </w:rPr>
        <w:tab/>
      </w:r>
      <w:r w:rsidR="00E7177C" w:rsidRPr="00777E4D">
        <w:rPr>
          <w:lang w:val="es-ES"/>
        </w:rPr>
        <w:t xml:space="preserve">A/HRC/49/25 paras. </w:t>
      </w:r>
      <w:r w:rsidR="00E7177C" w:rsidRPr="00864442">
        <w:rPr>
          <w:lang w:val="es-ES"/>
        </w:rPr>
        <w:t>36-40</w:t>
      </w:r>
    </w:p>
  </w:footnote>
  <w:footnote w:id="89">
    <w:p w14:paraId="69D55D08" w14:textId="62BC8BC4" w:rsidR="00E7177C" w:rsidRPr="0074053C" w:rsidRDefault="00B941F0" w:rsidP="00B941F0">
      <w:pPr>
        <w:pStyle w:val="FootnoteText"/>
        <w:rPr>
          <w:lang w:val="pt-BR"/>
        </w:rPr>
      </w:pPr>
      <w:r>
        <w:rPr>
          <w:lang w:val="pt-BR"/>
        </w:rPr>
        <w:tab/>
      </w:r>
      <w:r w:rsidR="00E7177C" w:rsidRPr="00983A11">
        <w:rPr>
          <w:rStyle w:val="FootnoteReference"/>
        </w:rPr>
        <w:footnoteRef/>
      </w:r>
      <w:r w:rsidR="00E7177C" w:rsidRPr="0074053C">
        <w:rPr>
          <w:lang w:val="pt-BR"/>
        </w:rPr>
        <w:t xml:space="preserve"> </w:t>
      </w:r>
      <w:r>
        <w:rPr>
          <w:lang w:val="pt-BR"/>
        </w:rPr>
        <w:tab/>
      </w:r>
      <w:r w:rsidR="00E7177C" w:rsidRPr="0074053C">
        <w:rPr>
          <w:lang w:val="pt-BR"/>
        </w:rPr>
        <w:t xml:space="preserve">A/HRC/49/83.  </w:t>
      </w:r>
      <w:r w:rsidR="00E7177C" w:rsidRPr="0074053C">
        <w:t>As far as OHCHR has been able to ascertain, there is no credible information or evidence to support the accusations made against these seven organisations</w:t>
      </w:r>
      <w:r w:rsidR="00F40AC9">
        <w:t>.</w:t>
      </w:r>
    </w:p>
  </w:footnote>
  <w:footnote w:id="90">
    <w:p w14:paraId="395EE87B" w14:textId="4541742A" w:rsidR="00E7177C" w:rsidRPr="0074053C" w:rsidRDefault="00B941F0" w:rsidP="00E7177C">
      <w:pPr>
        <w:pStyle w:val="FootnoteText"/>
        <w:rPr>
          <w:rFonts w:asciiTheme="majorBidi" w:hAnsiTheme="majorBidi" w:cstheme="majorBidi"/>
          <w:sz w:val="16"/>
          <w:szCs w:val="16"/>
          <w:lang w:val="pt-BR"/>
        </w:rPr>
      </w:pPr>
      <w:r>
        <w:rPr>
          <w:rFonts w:asciiTheme="majorBidi" w:hAnsiTheme="majorBidi" w:cstheme="majorBidi"/>
          <w:sz w:val="16"/>
          <w:szCs w:val="16"/>
          <w:lang w:val="pt-BR"/>
        </w:rPr>
        <w:tab/>
      </w:r>
      <w:r w:rsidR="00E7177C" w:rsidRPr="00983A11">
        <w:rPr>
          <w:rStyle w:val="FootnoteReference"/>
        </w:rPr>
        <w:footnoteRef/>
      </w:r>
      <w:r w:rsidR="00E7177C" w:rsidRPr="0074053C">
        <w:rPr>
          <w:rFonts w:asciiTheme="majorBidi" w:hAnsiTheme="majorBidi" w:cstheme="majorBidi"/>
          <w:sz w:val="16"/>
          <w:szCs w:val="16"/>
          <w:lang w:val="pt-BR"/>
        </w:rPr>
        <w:t xml:space="preserve"> </w:t>
      </w:r>
      <w:r>
        <w:rPr>
          <w:rFonts w:asciiTheme="majorBidi" w:hAnsiTheme="majorBidi" w:cstheme="majorBidi"/>
          <w:sz w:val="16"/>
          <w:szCs w:val="16"/>
          <w:lang w:val="pt-BR"/>
        </w:rPr>
        <w:tab/>
      </w:r>
      <w:r w:rsidR="00E7177C" w:rsidRPr="0074053C">
        <w:rPr>
          <w:rFonts w:asciiTheme="majorBidi" w:hAnsiTheme="majorBidi" w:cstheme="majorBidi"/>
          <w:sz w:val="16"/>
          <w:szCs w:val="16"/>
          <w:lang w:val="pt-BR"/>
        </w:rPr>
        <w:t>A/HRC/52/75, para 34</w:t>
      </w:r>
    </w:p>
  </w:footnote>
  <w:footnote w:id="91">
    <w:p w14:paraId="09097F5E" w14:textId="0987DEDE" w:rsidR="00E7177C" w:rsidRPr="0074053C" w:rsidRDefault="00B941F0" w:rsidP="00B941F0">
      <w:pPr>
        <w:pStyle w:val="FootnoteText"/>
        <w:rPr>
          <w:lang w:val="pt-BR"/>
        </w:rPr>
      </w:pPr>
      <w:r>
        <w:rPr>
          <w:lang w:val="pt-BR"/>
        </w:rPr>
        <w:tab/>
      </w:r>
      <w:r w:rsidR="00E7177C" w:rsidRPr="00983A11">
        <w:rPr>
          <w:rStyle w:val="FootnoteReference"/>
        </w:rPr>
        <w:footnoteRef/>
      </w:r>
      <w:r w:rsidR="00E7177C" w:rsidRPr="0074053C">
        <w:rPr>
          <w:lang w:val="pt-BR"/>
        </w:rPr>
        <w:t xml:space="preserve"> </w:t>
      </w:r>
      <w:r>
        <w:rPr>
          <w:lang w:val="pt-BR"/>
        </w:rPr>
        <w:tab/>
      </w:r>
      <w:r w:rsidR="00E7177C" w:rsidRPr="0074053C">
        <w:rPr>
          <w:lang w:val="pt-BR"/>
        </w:rPr>
        <w:t>https://media.un.org/en/asset/k1p/k1pn7mkrqz</w:t>
      </w:r>
      <w:r w:rsidR="00E7177C" w:rsidRPr="0074053C" w:rsidDel="006D4FCF">
        <w:rPr>
          <w:lang w:val="pt-BR"/>
        </w:rPr>
        <w:t xml:space="preserve"> </w:t>
      </w:r>
    </w:p>
  </w:footnote>
  <w:footnote w:id="92">
    <w:p w14:paraId="4C67F3F7" w14:textId="62B1BC55" w:rsidR="00E7177C" w:rsidRPr="0074053C" w:rsidRDefault="00B941F0" w:rsidP="00B941F0">
      <w:pPr>
        <w:pStyle w:val="FootnoteText"/>
        <w:rPr>
          <w:lang w:val="en-US"/>
        </w:rPr>
      </w:pPr>
      <w:r w:rsidRPr="00864442">
        <w:rPr>
          <w:lang w:val="es-ES"/>
        </w:rPr>
        <w:tab/>
      </w:r>
      <w:r w:rsidR="00E7177C" w:rsidRPr="00983A11">
        <w:rPr>
          <w:rStyle w:val="FootnoteReference"/>
        </w:rPr>
        <w:footnoteRef/>
      </w:r>
      <w:r w:rsidR="00E7177C" w:rsidRPr="0074053C">
        <w:t xml:space="preserve"> </w:t>
      </w:r>
      <w:r>
        <w:tab/>
      </w:r>
      <w:r w:rsidR="00E7177C" w:rsidRPr="0074053C">
        <w:t xml:space="preserve">Spyware developed by a private Israeli cyber company, the use of which may violate human rights. </w:t>
      </w:r>
    </w:p>
  </w:footnote>
  <w:footnote w:id="93">
    <w:p w14:paraId="4B073B1F" w14:textId="3D940A87" w:rsidR="00E7177C" w:rsidRPr="0074053C" w:rsidRDefault="00B941F0" w:rsidP="00B941F0">
      <w:pPr>
        <w:pStyle w:val="FootnoteText"/>
        <w:rPr>
          <w:lang w:val="es-ES"/>
        </w:rPr>
      </w:pPr>
      <w:r w:rsidRPr="00864442">
        <w:rPr>
          <w:lang w:val="en-US"/>
        </w:rPr>
        <w:tab/>
      </w:r>
      <w:r w:rsidR="00E7177C" w:rsidRPr="00983A11">
        <w:rPr>
          <w:rStyle w:val="FootnoteReference"/>
        </w:rPr>
        <w:footnoteRef/>
      </w:r>
      <w:r w:rsidR="00E7177C" w:rsidRPr="0074053C">
        <w:rPr>
          <w:lang w:val="es-ES"/>
        </w:rPr>
        <w:t xml:space="preserve"> </w:t>
      </w:r>
      <w:r>
        <w:rPr>
          <w:lang w:val="es-ES"/>
        </w:rPr>
        <w:tab/>
      </w:r>
      <w:r w:rsidR="00E7177C" w:rsidRPr="0074053C">
        <w:rPr>
          <w:lang w:val="es-ES"/>
        </w:rPr>
        <w:t>AL ISR (11.2021) (ohchr.org)</w:t>
      </w:r>
    </w:p>
  </w:footnote>
  <w:footnote w:id="94">
    <w:p w14:paraId="6F73FFC8" w14:textId="78A95AB4" w:rsidR="00E7177C" w:rsidRPr="0074053C" w:rsidRDefault="00B941F0" w:rsidP="00B941F0">
      <w:pPr>
        <w:pStyle w:val="FootnoteText"/>
        <w:rPr>
          <w:lang w:val="es-ES"/>
        </w:rPr>
      </w:pPr>
      <w:r>
        <w:rPr>
          <w:lang w:val="es-ES"/>
        </w:rPr>
        <w:tab/>
      </w:r>
      <w:r w:rsidR="00E7177C" w:rsidRPr="00983A11">
        <w:rPr>
          <w:rStyle w:val="FootnoteReference"/>
        </w:rPr>
        <w:footnoteRef/>
      </w:r>
      <w:r w:rsidR="00E7177C" w:rsidRPr="0074053C">
        <w:rPr>
          <w:lang w:val="es-ES"/>
        </w:rPr>
        <w:t xml:space="preserve"> </w:t>
      </w:r>
      <w:r>
        <w:rPr>
          <w:lang w:val="es-ES"/>
        </w:rPr>
        <w:tab/>
      </w:r>
      <w:r w:rsidR="00E7177C" w:rsidRPr="0074053C">
        <w:rPr>
          <w:lang w:val="es-ES"/>
        </w:rPr>
        <w:t>A/HRC/52/75, paras 32-35</w:t>
      </w:r>
    </w:p>
  </w:footnote>
  <w:footnote w:id="95">
    <w:p w14:paraId="50288E98" w14:textId="4DF0BCD1" w:rsidR="00E7177C" w:rsidRPr="003B6B80" w:rsidRDefault="00B941F0" w:rsidP="00B941F0">
      <w:pPr>
        <w:pStyle w:val="FootnoteText"/>
        <w:rPr>
          <w:lang w:val="es-ES"/>
        </w:rPr>
      </w:pPr>
      <w:r>
        <w:rPr>
          <w:lang w:val="es-ES"/>
        </w:rPr>
        <w:tab/>
      </w:r>
      <w:r w:rsidR="00E7177C" w:rsidRPr="00983A11">
        <w:rPr>
          <w:rStyle w:val="FootnoteReference"/>
        </w:rPr>
        <w:footnoteRef/>
      </w:r>
      <w:r>
        <w:rPr>
          <w:lang w:val="es-ES"/>
        </w:rPr>
        <w:tab/>
      </w:r>
      <w:r w:rsidR="00E7177C" w:rsidRPr="0074053C">
        <w:rPr>
          <w:lang w:val="es-ES"/>
        </w:rPr>
        <w:t>A/HRC/53/22, para 79-80</w:t>
      </w:r>
    </w:p>
  </w:footnote>
  <w:footnote w:id="96">
    <w:p w14:paraId="3EF34FA2" w14:textId="047023E3" w:rsidR="00E7177C" w:rsidRPr="00AE65EE" w:rsidRDefault="00B941F0" w:rsidP="00B941F0">
      <w:pPr>
        <w:pStyle w:val="FootnoteText"/>
        <w:rPr>
          <w:lang w:val="es-ES"/>
        </w:rPr>
      </w:pPr>
      <w:r>
        <w:rPr>
          <w:lang w:val="es-ES"/>
        </w:rPr>
        <w:tab/>
      </w:r>
      <w:r w:rsidR="00E7177C" w:rsidRPr="00983A11">
        <w:rPr>
          <w:rStyle w:val="FootnoteReference"/>
        </w:rPr>
        <w:footnoteRef/>
      </w:r>
      <w:r w:rsidR="00E7177C" w:rsidRPr="00AE65EE">
        <w:rPr>
          <w:lang w:val="es-ES"/>
        </w:rPr>
        <w:t xml:space="preserve"> </w:t>
      </w:r>
      <w:r>
        <w:rPr>
          <w:lang w:val="es-ES"/>
        </w:rPr>
        <w:tab/>
      </w:r>
      <w:r w:rsidR="00E7177C" w:rsidRPr="00AE65EE">
        <w:rPr>
          <w:lang w:val="es-ES"/>
        </w:rPr>
        <w:t>A/HRC/52/75 para 41</w:t>
      </w:r>
    </w:p>
  </w:footnote>
  <w:footnote w:id="97">
    <w:p w14:paraId="1742E1B4" w14:textId="39700B7D" w:rsidR="00E7177C" w:rsidRPr="00AE65EE" w:rsidRDefault="00B941F0" w:rsidP="00B941F0">
      <w:pPr>
        <w:pStyle w:val="FootnoteText"/>
        <w:rPr>
          <w:lang w:val="es-ES"/>
        </w:rPr>
      </w:pPr>
      <w:r>
        <w:rPr>
          <w:lang w:val="es-ES"/>
        </w:rPr>
        <w:tab/>
      </w:r>
      <w:r w:rsidR="00E7177C" w:rsidRPr="00983A11">
        <w:rPr>
          <w:rStyle w:val="FootnoteReference"/>
        </w:rPr>
        <w:footnoteRef/>
      </w:r>
      <w:r w:rsidR="00E7177C" w:rsidRPr="00AE65EE">
        <w:rPr>
          <w:lang w:val="es-ES"/>
        </w:rPr>
        <w:t xml:space="preserve"> </w:t>
      </w:r>
      <w:r>
        <w:rPr>
          <w:lang w:val="es-ES"/>
        </w:rPr>
        <w:tab/>
      </w:r>
      <w:r w:rsidR="00E7177C" w:rsidRPr="00AE65EE">
        <w:rPr>
          <w:lang w:val="es-ES"/>
        </w:rPr>
        <w:t>https://www.ohchr.org/en/press-releases/2022/12/comment-un-human-rights-spokesperson-jeremy-laurence-deportation-salah.</w:t>
      </w:r>
    </w:p>
  </w:footnote>
  <w:footnote w:id="98">
    <w:p w14:paraId="7BD986C9" w14:textId="29D9A30A" w:rsidR="00E7177C" w:rsidRPr="00E33250" w:rsidRDefault="00B941F0" w:rsidP="00B941F0">
      <w:pPr>
        <w:pStyle w:val="FootnoteText"/>
      </w:pPr>
      <w:r w:rsidRPr="00D73513">
        <w:rPr>
          <w:lang w:val="es-ES"/>
        </w:rPr>
        <w:tab/>
      </w:r>
      <w:r w:rsidR="00E7177C" w:rsidRPr="00983A11">
        <w:rPr>
          <w:rStyle w:val="FootnoteReference"/>
        </w:rPr>
        <w:footnoteRef/>
      </w:r>
      <w:r w:rsidR="00E7177C" w:rsidRPr="00E33250">
        <w:t xml:space="preserve"> </w:t>
      </w:r>
      <w:r>
        <w:tab/>
      </w:r>
      <w:r w:rsidR="00E7177C" w:rsidRPr="00E33250">
        <w:t xml:space="preserve">In addition to due process concerns, </w:t>
      </w:r>
      <w:r w:rsidR="00E7177C" w:rsidRPr="00E33250">
        <w:rPr>
          <w:lang w:val="en-US"/>
        </w:rPr>
        <w:t xml:space="preserve">Israel’s </w:t>
      </w:r>
      <w:r w:rsidR="00E7177C" w:rsidRPr="00E33250">
        <w:t>Counter-Terrorism Law applies broad and vague definition of “terrorist acts” which risks unjustifiable restrictions on human rights:</w:t>
      </w:r>
      <w:r w:rsidR="00E7177C" w:rsidRPr="00E33250">
        <w:rPr>
          <w:lang w:val="en-US"/>
        </w:rPr>
        <w:t xml:space="preserve"> A/HRC/49/25, paras 37-40.</w:t>
      </w:r>
    </w:p>
  </w:footnote>
  <w:footnote w:id="99">
    <w:p w14:paraId="6314C966" w14:textId="33118E2E" w:rsidR="00E7177C" w:rsidRPr="00E33250" w:rsidRDefault="00B941F0" w:rsidP="00B941F0">
      <w:pPr>
        <w:pStyle w:val="FootnoteText"/>
      </w:pPr>
      <w:r>
        <w:tab/>
      </w:r>
      <w:r w:rsidR="00E7177C" w:rsidRPr="00983A11">
        <w:rPr>
          <w:rStyle w:val="FootnoteReference"/>
        </w:rPr>
        <w:footnoteRef/>
      </w:r>
      <w:r w:rsidR="00E7177C" w:rsidRPr="00E33250">
        <w:t xml:space="preserve"> </w:t>
      </w:r>
      <w:r>
        <w:tab/>
      </w:r>
      <w:r w:rsidR="00E7177C" w:rsidRPr="00E33250">
        <w:t>Prolonged pretrial detention jeopardizes the presumption of innocence under ICCPR article 14, paragraph 2 (see GC 34 para 37)</w:t>
      </w:r>
    </w:p>
  </w:footnote>
  <w:footnote w:id="100">
    <w:p w14:paraId="2F7F3BFA" w14:textId="5C468340" w:rsidR="00E7177C" w:rsidRPr="00130082" w:rsidRDefault="00B941F0" w:rsidP="00B941F0">
      <w:pPr>
        <w:pStyle w:val="FootnoteText"/>
        <w:rPr>
          <w:lang w:val="en-US"/>
        </w:rPr>
      </w:pPr>
      <w:r>
        <w:rPr>
          <w:lang w:val="en-US"/>
        </w:rPr>
        <w:tab/>
      </w:r>
      <w:r w:rsidR="00E7177C" w:rsidRPr="00983A11">
        <w:rPr>
          <w:rStyle w:val="FootnoteReference"/>
        </w:rPr>
        <w:footnoteRef/>
      </w:r>
      <w:r w:rsidR="00E7177C">
        <w:rPr>
          <w:lang w:val="en-US"/>
        </w:rPr>
        <w:t xml:space="preserve"> </w:t>
      </w:r>
      <w:r>
        <w:rPr>
          <w:lang w:val="en-US"/>
        </w:rPr>
        <w:tab/>
      </w:r>
      <w:r w:rsidR="00E7177C" w:rsidRPr="00E33250">
        <w:rPr>
          <w:lang w:val="en-US"/>
        </w:rPr>
        <w:t xml:space="preserve">https://www.ohchr.org/en/press-releases/2022/06/un-experts-condemn-israels-arbitrary-detention-and-conviction-palestinian#:~:text=GENEVA%20(16%20June%202022)%20%2D,Halabi%2C%20guilty%20of%20financing%20terrorism; </w:t>
      </w:r>
      <w:r w:rsidR="00E7177C" w:rsidRPr="00130082">
        <w:rPr>
          <w:lang w:val="en-US"/>
        </w:rPr>
        <w:t>https://www.facebook.com/UNHumanRightsOPT/posts/pfbid0SNLV13X1WHQrrfHKRTiASy6hyqiuWknnxwF2kf5p9YXtsdmUBaas6YmWM3bqj9xYl.</w:t>
      </w:r>
    </w:p>
  </w:footnote>
  <w:footnote w:id="101">
    <w:p w14:paraId="3F2CAB34" w14:textId="0ADC94CF" w:rsidR="00E7177C" w:rsidRPr="00F22D43" w:rsidRDefault="00B941F0" w:rsidP="00B941F0">
      <w:pPr>
        <w:pStyle w:val="FootnoteText"/>
        <w:rPr>
          <w:lang w:val="en-US"/>
        </w:rPr>
      </w:pPr>
      <w:r>
        <w:rPr>
          <w:lang w:val="en-US"/>
        </w:rPr>
        <w:tab/>
      </w:r>
      <w:r w:rsidR="00E7177C" w:rsidRPr="00983A11">
        <w:rPr>
          <w:rStyle w:val="FootnoteReference"/>
        </w:rPr>
        <w:footnoteRef/>
      </w:r>
      <w:r w:rsidR="00E7177C" w:rsidRPr="00F22D43">
        <w:rPr>
          <w:lang w:val="en-US"/>
        </w:rPr>
        <w:t xml:space="preserve"> </w:t>
      </w:r>
      <w:r>
        <w:rPr>
          <w:lang w:val="en-US"/>
        </w:rPr>
        <w:tab/>
      </w:r>
      <w:r w:rsidR="00E7177C" w:rsidRPr="00F22D43">
        <w:rPr>
          <w:shd w:val="clear" w:color="auto" w:fill="FFFFFF"/>
          <w:lang w:val="en-US"/>
        </w:rPr>
        <w:t xml:space="preserve">https://twitter.com/LynnHastings/status/1669573745881628675?s=20; https://www.amnesty.org/en/latest/news/2023/05/israel-opt-release-prisoner-of-conscience-mohammed-al-halabi/ </w:t>
      </w:r>
    </w:p>
  </w:footnote>
  <w:footnote w:id="102">
    <w:p w14:paraId="2FB0CB60" w14:textId="447C22A1" w:rsidR="00E7177C" w:rsidRPr="00943ECF" w:rsidRDefault="00B941F0" w:rsidP="00B941F0">
      <w:pPr>
        <w:pStyle w:val="FootnoteText"/>
        <w:rPr>
          <w:lang w:val="es-ES"/>
        </w:rPr>
      </w:pPr>
      <w:r w:rsidRPr="00864442">
        <w:rPr>
          <w:lang w:val="en-US"/>
        </w:rPr>
        <w:tab/>
      </w:r>
      <w:r w:rsidR="00E7177C" w:rsidRPr="00983A11">
        <w:rPr>
          <w:rStyle w:val="FootnoteReference"/>
        </w:rPr>
        <w:footnoteRef/>
      </w:r>
      <w:r>
        <w:rPr>
          <w:lang w:val="es-ES"/>
        </w:rPr>
        <w:tab/>
      </w:r>
      <w:r w:rsidR="00E7177C" w:rsidRPr="00943ECF">
        <w:rPr>
          <w:lang w:val="es-ES"/>
        </w:rPr>
        <w:t>A/HRC/40/39, para. 31.</w:t>
      </w:r>
    </w:p>
  </w:footnote>
  <w:footnote w:id="103">
    <w:p w14:paraId="2C76E16A" w14:textId="6E506351" w:rsidR="00E7177C" w:rsidRPr="00D42577" w:rsidRDefault="0067023B" w:rsidP="00B941F0">
      <w:pPr>
        <w:pStyle w:val="FootnoteText"/>
        <w:rPr>
          <w:lang w:val="es-ES"/>
        </w:rPr>
      </w:pPr>
      <w:r>
        <w:rPr>
          <w:lang w:val="es-ES"/>
        </w:rPr>
        <w:tab/>
      </w:r>
      <w:r w:rsidR="00E7177C" w:rsidRPr="00983A11">
        <w:rPr>
          <w:rStyle w:val="FootnoteReference"/>
        </w:rPr>
        <w:footnoteRef/>
      </w:r>
      <w:r w:rsidR="00E7177C" w:rsidRPr="00943ECF">
        <w:rPr>
          <w:lang w:val="es-ES"/>
        </w:rPr>
        <w:t xml:space="preserve"> </w:t>
      </w:r>
      <w:r>
        <w:rPr>
          <w:lang w:val="es-ES"/>
        </w:rPr>
        <w:tab/>
      </w:r>
      <w:r w:rsidR="00E7177C" w:rsidRPr="00D42577">
        <w:rPr>
          <w:lang w:val="es-ES"/>
        </w:rPr>
        <w:t>https://www.haaretz.com/israel-news/2023-05-09/ty-article/.premium/israel-has-not-prosecuted-anybody-for-the-killing-of-20-journalists-report-finds/00000187-f5a7-d3a6-a38f-ffff765a0000?utm_source=App_Share&amp;utm_medium=iOS_Native</w:t>
      </w:r>
    </w:p>
  </w:footnote>
  <w:footnote w:id="104">
    <w:p w14:paraId="67B27A8B" w14:textId="02BE338F" w:rsidR="00E7177C" w:rsidRPr="00D42577" w:rsidRDefault="0067023B" w:rsidP="0067023B">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es-ES"/>
        </w:rPr>
        <w:t>A/76/333 para 43</w:t>
      </w:r>
      <w:r w:rsidR="00E7177C">
        <w:rPr>
          <w:lang w:val="es-ES"/>
        </w:rPr>
        <w:t xml:space="preserve">; </w:t>
      </w:r>
      <w:r w:rsidR="00E7177C" w:rsidRPr="00D42577">
        <w:rPr>
          <w:lang w:val="pt-BR"/>
        </w:rPr>
        <w:t xml:space="preserve">CCPR/C/ISR/CO/5 para 36. </w:t>
      </w:r>
    </w:p>
  </w:footnote>
  <w:footnote w:id="105">
    <w:p w14:paraId="45141AEF" w14:textId="24C2ADAA" w:rsidR="00E7177C" w:rsidRPr="00D42577" w:rsidRDefault="0067023B" w:rsidP="0067023B">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pt-BR"/>
        </w:rPr>
        <w:t>A/HRC/46/63, para. 41</w:t>
      </w:r>
    </w:p>
  </w:footnote>
  <w:footnote w:id="106">
    <w:p w14:paraId="2F5A2701" w14:textId="50FD8660" w:rsidR="00E7177C" w:rsidRPr="00F37BD1" w:rsidRDefault="0067023B" w:rsidP="0067023B">
      <w:pPr>
        <w:pStyle w:val="FootnoteText"/>
        <w:rPr>
          <w:lang w:val="es-ES"/>
        </w:rPr>
      </w:pPr>
      <w:r>
        <w:rPr>
          <w:lang w:val="es-ES"/>
        </w:rPr>
        <w:tab/>
      </w:r>
      <w:r w:rsidR="00E7177C" w:rsidRPr="00983A11">
        <w:rPr>
          <w:rStyle w:val="FootnoteReference"/>
        </w:rPr>
        <w:footnoteRef/>
      </w:r>
      <w:r w:rsidR="00E7177C" w:rsidRPr="00D42577">
        <w:rPr>
          <w:lang w:val="es-ES"/>
        </w:rPr>
        <w:t xml:space="preserve"> </w:t>
      </w:r>
      <w:r>
        <w:rPr>
          <w:lang w:val="es-ES"/>
        </w:rPr>
        <w:tab/>
      </w:r>
      <w:r w:rsidR="00E7177C" w:rsidRPr="00D42577">
        <w:rPr>
          <w:lang w:val="pt-BR"/>
        </w:rPr>
        <w:t>CCPR/C/ISR/CO/5, para 36.</w:t>
      </w:r>
    </w:p>
  </w:footnote>
  <w:footnote w:id="107">
    <w:p w14:paraId="30972595" w14:textId="3D3EB127" w:rsidR="00E7177C" w:rsidRPr="00480553" w:rsidRDefault="0067023B" w:rsidP="0067023B">
      <w:pPr>
        <w:pStyle w:val="FootnoteText"/>
        <w:rPr>
          <w:lang w:val="en-US"/>
        </w:rPr>
      </w:pPr>
      <w:r w:rsidRPr="00864442">
        <w:rPr>
          <w:lang w:val="es-ES"/>
        </w:rPr>
        <w:tab/>
      </w:r>
      <w:r w:rsidR="00E7177C" w:rsidRPr="00983A11">
        <w:rPr>
          <w:rStyle w:val="FootnoteReference"/>
        </w:rPr>
        <w:footnoteRef/>
      </w:r>
      <w:r w:rsidR="00E7177C" w:rsidRPr="00D42577">
        <w:rPr>
          <w:lang w:val="en-US"/>
        </w:rPr>
        <w:t xml:space="preserve"> </w:t>
      </w:r>
      <w:r>
        <w:rPr>
          <w:lang w:val="en-US"/>
        </w:rPr>
        <w:tab/>
      </w:r>
      <w:r w:rsidR="00E7177C" w:rsidRPr="00D42577">
        <w:rPr>
          <w:lang w:val="en-US"/>
        </w:rPr>
        <w:t>A/HRC/43/67, paras. 41 and 68</w:t>
      </w:r>
      <w:r w:rsidR="00E7177C" w:rsidRPr="00480553">
        <w:rPr>
          <w:lang w:val="en-US"/>
        </w:rPr>
        <w:t>.</w:t>
      </w:r>
    </w:p>
  </w:footnote>
  <w:footnote w:id="108">
    <w:p w14:paraId="3189A543" w14:textId="227220B3" w:rsidR="00E7177C" w:rsidRPr="00D42577" w:rsidRDefault="0067023B" w:rsidP="00E7177C">
      <w:pPr>
        <w:pStyle w:val="FootnoteText"/>
        <w:rPr>
          <w:sz w:val="16"/>
          <w:szCs w:val="16"/>
          <w:lang w:val="pt-BR"/>
        </w:rPr>
      </w:pPr>
      <w:r>
        <w:rPr>
          <w:sz w:val="16"/>
          <w:szCs w:val="16"/>
          <w:lang w:val="pt-BR"/>
        </w:rPr>
        <w:tab/>
      </w:r>
      <w:r w:rsidR="00E7177C" w:rsidRPr="00983A11">
        <w:rPr>
          <w:rStyle w:val="FootnoteReference"/>
        </w:rPr>
        <w:footnoteRef/>
      </w:r>
      <w:r w:rsidR="00E7177C" w:rsidRPr="00D42577">
        <w:rPr>
          <w:sz w:val="16"/>
          <w:szCs w:val="16"/>
          <w:lang w:val="pt-BR"/>
        </w:rPr>
        <w:t xml:space="preserve"> </w:t>
      </w:r>
      <w:r>
        <w:rPr>
          <w:sz w:val="16"/>
          <w:szCs w:val="16"/>
          <w:lang w:val="pt-BR"/>
        </w:rPr>
        <w:tab/>
      </w:r>
      <w:r w:rsidR="00E7177C" w:rsidRPr="00D42577">
        <w:rPr>
          <w:sz w:val="16"/>
          <w:szCs w:val="16"/>
          <w:lang w:val="pt-BR"/>
        </w:rPr>
        <w:t>CERD/C/ISR/CO/17-19 para 15</w:t>
      </w:r>
    </w:p>
  </w:footnote>
  <w:footnote w:id="109">
    <w:p w14:paraId="0895D6E8" w14:textId="0383F593" w:rsidR="00E7177C" w:rsidRPr="00D42577" w:rsidRDefault="0067023B" w:rsidP="0067023B">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pt-BR"/>
        </w:rPr>
        <w:t>https://hamoked.org/document.php?dID=Updates2344</w:t>
      </w:r>
    </w:p>
  </w:footnote>
  <w:footnote w:id="110">
    <w:p w14:paraId="77623468" w14:textId="17044280" w:rsidR="00E7177C" w:rsidRPr="00D42577" w:rsidRDefault="0067023B" w:rsidP="0067023B">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pt-BR"/>
        </w:rPr>
        <w:t>https://hamoked.org/document.php?dID=Updates2344</w:t>
      </w:r>
    </w:p>
  </w:footnote>
  <w:footnote w:id="111">
    <w:p w14:paraId="0583CA72" w14:textId="276127CA" w:rsidR="007548A6" w:rsidRPr="006028A1" w:rsidRDefault="007548A6" w:rsidP="007548A6">
      <w:pPr>
        <w:pStyle w:val="FootnoteText"/>
        <w:rPr>
          <w:lang w:val="en-US"/>
        </w:rPr>
      </w:pPr>
      <w:r w:rsidRPr="00864442">
        <w:rPr>
          <w:lang w:val="pt-BR"/>
        </w:rPr>
        <w:tab/>
      </w:r>
      <w:r>
        <w:rPr>
          <w:rStyle w:val="FootnoteReference"/>
        </w:rPr>
        <w:footnoteRef/>
      </w:r>
      <w:r>
        <w:t xml:space="preserve"> </w:t>
      </w:r>
      <w:r w:rsidR="00F471D6">
        <w:tab/>
      </w:r>
      <w:r>
        <w:t xml:space="preserve">See for example </w:t>
      </w:r>
      <w:r w:rsidRPr="00D42577">
        <w:rPr>
          <w:sz w:val="16"/>
          <w:szCs w:val="16"/>
          <w:lang w:val="pt-BR"/>
        </w:rPr>
        <w:t>CERD/C/ISR/CO/17-19</w:t>
      </w:r>
      <w:r>
        <w:rPr>
          <w:sz w:val="16"/>
          <w:szCs w:val="16"/>
          <w:lang w:val="pt-BR"/>
        </w:rPr>
        <w:t xml:space="preserve"> para 22. </w:t>
      </w:r>
    </w:p>
  </w:footnote>
  <w:footnote w:id="112">
    <w:p w14:paraId="0D81677B" w14:textId="1B500234" w:rsidR="00E7177C" w:rsidRPr="00D42577" w:rsidRDefault="00F471D6" w:rsidP="0067023B">
      <w:pPr>
        <w:pStyle w:val="FootnoteText"/>
      </w:pPr>
      <w:r>
        <w:tab/>
      </w:r>
      <w:r w:rsidR="00E7177C" w:rsidRPr="00983A11">
        <w:rPr>
          <w:rStyle w:val="FootnoteReference"/>
        </w:rPr>
        <w:footnoteRef/>
      </w:r>
      <w:r>
        <w:tab/>
      </w:r>
      <w:r w:rsidR="00E7177C" w:rsidRPr="00D42577">
        <w:t>Citizenship and Entry into Israel Law (Temporary Order) 5763 which expired in July 2021 and was re-enacted in March 2022.</w:t>
      </w:r>
    </w:p>
  </w:footnote>
  <w:footnote w:id="113">
    <w:p w14:paraId="386B8A2A" w14:textId="6C78BD9A" w:rsidR="00E7177C" w:rsidRPr="00D42577" w:rsidRDefault="0067023B" w:rsidP="0067023B">
      <w:pPr>
        <w:pStyle w:val="FootnoteText"/>
        <w:rPr>
          <w:lang w:val="en-US"/>
        </w:rPr>
      </w:pPr>
      <w:r>
        <w:tab/>
      </w:r>
      <w:r w:rsidR="00E7177C" w:rsidRPr="00983A11">
        <w:rPr>
          <w:rStyle w:val="FootnoteReference"/>
        </w:rPr>
        <w:footnoteRef/>
      </w:r>
      <w:r w:rsidR="00E7177C" w:rsidRPr="00D42577">
        <w:t xml:space="preserve"> </w:t>
      </w:r>
      <w:r>
        <w:tab/>
      </w:r>
      <w:r w:rsidR="00E7177C" w:rsidRPr="00D42577">
        <w:t xml:space="preserve"> </w:t>
      </w:r>
      <w:r w:rsidR="00E7177C" w:rsidRPr="00D42577">
        <w:rPr>
          <w:rtl/>
          <w:lang w:bidi="he-IL"/>
        </w:rPr>
        <w:t>החלטה בתיק בג</w:t>
      </w:r>
      <w:r w:rsidR="00E7177C" w:rsidRPr="00D42577">
        <w:t>"</w:t>
      </w:r>
      <w:r w:rsidR="00E7177C" w:rsidRPr="00D42577">
        <w:rPr>
          <w:rtl/>
          <w:lang w:bidi="he-IL"/>
        </w:rPr>
        <w:t>ץ 1777/22</w:t>
      </w:r>
    </w:p>
  </w:footnote>
  <w:footnote w:id="114">
    <w:p w14:paraId="10A034BE" w14:textId="735AC271" w:rsidR="00E7177C" w:rsidRPr="00D42577" w:rsidRDefault="0067023B" w:rsidP="0067023B">
      <w:pPr>
        <w:pStyle w:val="FootnoteText"/>
        <w:rPr>
          <w:lang w:val="en-US"/>
        </w:rPr>
      </w:pPr>
      <w:r>
        <w:rPr>
          <w:lang w:val="en-US"/>
        </w:rPr>
        <w:tab/>
      </w:r>
      <w:r w:rsidR="00E7177C" w:rsidRPr="00983A11">
        <w:rPr>
          <w:rStyle w:val="FootnoteReference"/>
        </w:rPr>
        <w:footnoteRef/>
      </w:r>
      <w:r>
        <w:rPr>
          <w:lang w:val="en-US"/>
        </w:rPr>
        <w:tab/>
      </w:r>
      <w:r w:rsidR="00E7177C" w:rsidRPr="0067023B">
        <w:rPr>
          <w:szCs w:val="18"/>
          <w:lang w:val="en-US"/>
        </w:rPr>
        <w:t>https://www.gov.il/BlobFolder/policy/procedureforissuingaresidencepermitinjudeaand</w:t>
      </w:r>
      <w:r w:rsidR="003B07AF">
        <w:rPr>
          <w:szCs w:val="18"/>
          <w:lang w:val="en-US"/>
        </w:rPr>
        <w:t>-</w:t>
      </w:r>
      <w:r w:rsidR="00E7177C" w:rsidRPr="0067023B">
        <w:rPr>
          <w:szCs w:val="18"/>
          <w:lang w:val="en-US"/>
        </w:rPr>
        <w:t>samariatogazaresidents/he/%D7%A0%D7%95%D7%94%D7%9C%20%D7%94%D7%A0%D7%A4%D7%A7%D7%AA%20%D7%94%D7%99%D7%AA%D7%A8%20%D7%A9%D7%94%D7%99%D7%99%D7%94%20%D7%91%D7%90%D7%99%D7%95''%D7%A9%20%D7%9C%D7%AA%D7%95%D7%A9%D7%91%D7%99%20%D7%A2%D7%96%D7%94.pdf</w:t>
      </w:r>
    </w:p>
  </w:footnote>
  <w:footnote w:id="115">
    <w:p w14:paraId="6D141B70" w14:textId="6EE866B2" w:rsidR="00E7177C" w:rsidRPr="00D42577" w:rsidRDefault="0067023B" w:rsidP="00E7177C">
      <w:pPr>
        <w:pStyle w:val="FootnoteText"/>
        <w:rPr>
          <w:sz w:val="16"/>
          <w:szCs w:val="16"/>
          <w:lang w:val="pt-BR"/>
        </w:rPr>
      </w:pPr>
      <w:r>
        <w:rPr>
          <w:sz w:val="16"/>
          <w:szCs w:val="16"/>
          <w:lang w:val="pt-BR"/>
        </w:rPr>
        <w:tab/>
      </w:r>
      <w:r w:rsidR="00E7177C" w:rsidRPr="00983A11">
        <w:rPr>
          <w:rStyle w:val="FootnoteReference"/>
        </w:rPr>
        <w:footnoteRef/>
      </w:r>
      <w:r w:rsidR="00E7177C" w:rsidRPr="00D42577">
        <w:rPr>
          <w:sz w:val="16"/>
          <w:szCs w:val="16"/>
          <w:lang w:val="pt-BR"/>
        </w:rPr>
        <w:t xml:space="preserve"> </w:t>
      </w:r>
      <w:r>
        <w:rPr>
          <w:sz w:val="16"/>
          <w:szCs w:val="16"/>
          <w:lang w:val="pt-BR"/>
        </w:rPr>
        <w:tab/>
      </w:r>
      <w:r w:rsidR="00E7177C" w:rsidRPr="00D42577">
        <w:rPr>
          <w:sz w:val="16"/>
          <w:szCs w:val="16"/>
          <w:lang w:val="pt-BR"/>
        </w:rPr>
        <w:t>A/76/333 para 43; A/75/336, paras. 27–28</w:t>
      </w:r>
      <w:r w:rsidR="00E7177C">
        <w:rPr>
          <w:sz w:val="16"/>
          <w:szCs w:val="16"/>
          <w:lang w:val="pt-BR"/>
        </w:rPr>
        <w:t>;</w:t>
      </w:r>
      <w:r w:rsidR="00E7177C" w:rsidRPr="00D42577">
        <w:rPr>
          <w:sz w:val="16"/>
          <w:szCs w:val="16"/>
          <w:lang w:val="pt-BR"/>
        </w:rPr>
        <w:t xml:space="preserve"> A/HRC/46/63, para. 44</w:t>
      </w:r>
    </w:p>
  </w:footnote>
  <w:footnote w:id="116">
    <w:p w14:paraId="376D7D4B" w14:textId="55A72A9C" w:rsidR="00E7177C" w:rsidRPr="00D42577" w:rsidRDefault="0067023B" w:rsidP="0067023B">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pt-BR"/>
        </w:rPr>
        <w:t>https://gisha.org/en/one-way-ticket/</w:t>
      </w:r>
    </w:p>
  </w:footnote>
  <w:footnote w:id="117">
    <w:p w14:paraId="7E6C6568" w14:textId="35A36DF3" w:rsidR="00E7177C" w:rsidRPr="00D42577" w:rsidRDefault="00B7528D" w:rsidP="00B7528D">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pt-BR"/>
        </w:rPr>
        <w:t>A/75/336, paras. 27–28</w:t>
      </w:r>
      <w:r w:rsidR="00E7177C">
        <w:rPr>
          <w:lang w:val="pt-BR"/>
        </w:rPr>
        <w:t>;</w:t>
      </w:r>
      <w:r w:rsidR="00E7177C" w:rsidRPr="00D42577">
        <w:rPr>
          <w:lang w:val="pt-BR"/>
        </w:rPr>
        <w:t xml:space="preserve"> A/HRC/46/63, para. 44</w:t>
      </w:r>
    </w:p>
  </w:footnote>
  <w:footnote w:id="118">
    <w:p w14:paraId="1F7B4BB5" w14:textId="635A1F42" w:rsidR="00E7177C" w:rsidRPr="00D42577" w:rsidRDefault="00B7528D" w:rsidP="00B7528D">
      <w:pPr>
        <w:pStyle w:val="FootnoteText"/>
        <w:rPr>
          <w:lang w:val="pt-BR"/>
        </w:rPr>
      </w:pPr>
      <w:r>
        <w:rPr>
          <w:lang w:val="pt-BR"/>
        </w:rPr>
        <w:tab/>
      </w:r>
      <w:r w:rsidR="00E7177C" w:rsidRPr="00983A11">
        <w:rPr>
          <w:rStyle w:val="FootnoteReference"/>
        </w:rPr>
        <w:footnoteRef/>
      </w:r>
      <w:r w:rsidR="00E7177C" w:rsidRPr="00D42577">
        <w:rPr>
          <w:lang w:val="pt-BR"/>
        </w:rPr>
        <w:t xml:space="preserve"> </w:t>
      </w:r>
      <w:r>
        <w:rPr>
          <w:lang w:val="pt-BR"/>
        </w:rPr>
        <w:tab/>
      </w:r>
      <w:r w:rsidR="00E7177C" w:rsidRPr="00D42577">
        <w:rPr>
          <w:lang w:val="pt-BR"/>
        </w:rPr>
        <w:t>https://gisha.org/en/impossible-choice/</w:t>
      </w:r>
    </w:p>
  </w:footnote>
  <w:footnote w:id="119">
    <w:p w14:paraId="58141B38" w14:textId="023E3445" w:rsidR="00E7177C" w:rsidRPr="00D42577" w:rsidRDefault="00B7528D" w:rsidP="00B7528D">
      <w:pPr>
        <w:pStyle w:val="FootnoteText"/>
      </w:pPr>
      <w:r w:rsidRPr="00864442">
        <w:rPr>
          <w:lang w:val="pt-BR"/>
        </w:rPr>
        <w:tab/>
      </w:r>
      <w:r w:rsidR="00E7177C" w:rsidRPr="00983A11">
        <w:rPr>
          <w:rStyle w:val="FootnoteReference"/>
        </w:rPr>
        <w:footnoteRef/>
      </w:r>
      <w:r w:rsidR="00E7177C" w:rsidRPr="00D42577">
        <w:t xml:space="preserve"> </w:t>
      </w:r>
      <w:r>
        <w:tab/>
      </w:r>
      <w:r w:rsidR="00E7177C" w:rsidRPr="00D42577">
        <w:t xml:space="preserve">Amendment No. 30 to the Entry into Israel Law (2018). See also para 52 </w:t>
      </w:r>
      <w:proofErr w:type="gramStart"/>
      <w:r w:rsidR="00E7177C" w:rsidRPr="00D42577">
        <w:t>above</w:t>
      </w:r>
      <w:proofErr w:type="gramEnd"/>
    </w:p>
  </w:footnote>
  <w:footnote w:id="120">
    <w:p w14:paraId="16652397" w14:textId="575431E5" w:rsidR="00E7177C" w:rsidRPr="00D42577" w:rsidRDefault="00B7528D" w:rsidP="00E7177C">
      <w:pPr>
        <w:pStyle w:val="FootnoteText"/>
        <w:rPr>
          <w:rFonts w:asciiTheme="majorBidi" w:hAnsiTheme="majorBidi" w:cstheme="majorBidi"/>
          <w:sz w:val="16"/>
          <w:szCs w:val="16"/>
        </w:rPr>
      </w:pPr>
      <w:r>
        <w:rPr>
          <w:rFonts w:asciiTheme="majorBidi" w:hAnsiTheme="majorBidi" w:cstheme="majorBidi"/>
          <w:sz w:val="16"/>
          <w:szCs w:val="16"/>
        </w:rPr>
        <w:tab/>
      </w:r>
      <w:r w:rsidR="00E7177C" w:rsidRPr="00983A11">
        <w:rPr>
          <w:rStyle w:val="FootnoteReference"/>
        </w:rPr>
        <w:footnoteRef/>
      </w:r>
      <w:r w:rsidR="00E7177C" w:rsidRPr="00D42577">
        <w:rPr>
          <w:rFonts w:asciiTheme="majorBidi" w:hAnsiTheme="majorBidi" w:cstheme="majorBidi"/>
          <w:sz w:val="16"/>
          <w:szCs w:val="16"/>
        </w:rPr>
        <w:t xml:space="preserve"> </w:t>
      </w:r>
      <w:r>
        <w:rPr>
          <w:rFonts w:asciiTheme="majorBidi" w:hAnsiTheme="majorBidi" w:cstheme="majorBidi"/>
          <w:sz w:val="16"/>
          <w:szCs w:val="16"/>
        </w:rPr>
        <w:tab/>
      </w:r>
      <w:r w:rsidR="00E7177C" w:rsidRPr="00D42577">
        <w:rPr>
          <w:rFonts w:asciiTheme="majorBidi" w:hAnsiTheme="majorBidi" w:cstheme="majorBidi"/>
          <w:sz w:val="16"/>
          <w:szCs w:val="16"/>
        </w:rPr>
        <w:t xml:space="preserve">Counter-Terrorism Law (2016); articles 97-99 of Israel’s Penal Law. See also paras 52 and 53 above.  </w:t>
      </w:r>
    </w:p>
  </w:footnote>
  <w:footnote w:id="121">
    <w:p w14:paraId="41130F14" w14:textId="4780528C" w:rsidR="00E7177C" w:rsidRPr="00D42577" w:rsidRDefault="00B7528D" w:rsidP="00B7528D">
      <w:pPr>
        <w:pStyle w:val="FootnoteText"/>
        <w:rPr>
          <w:rStyle w:val="Hyperlink"/>
          <w:rFonts w:asciiTheme="majorBidi" w:eastAsia="Calibri" w:hAnsiTheme="majorBidi" w:cstheme="majorBidi"/>
          <w:sz w:val="16"/>
          <w:szCs w:val="16"/>
        </w:rPr>
      </w:pPr>
      <w:r>
        <w:rPr>
          <w:rFonts w:asciiTheme="majorBidi" w:hAnsiTheme="majorBidi" w:cstheme="majorBidi"/>
          <w:sz w:val="16"/>
          <w:szCs w:val="16"/>
          <w:vertAlign w:val="subscript"/>
        </w:rPr>
        <w:tab/>
      </w:r>
      <w:r w:rsidR="00E7177C" w:rsidRPr="00983A11">
        <w:rPr>
          <w:rStyle w:val="FootnoteReference"/>
        </w:rPr>
        <w:footnoteRef/>
      </w:r>
      <w:r w:rsidR="00E7177C" w:rsidRPr="00D42577">
        <w:rPr>
          <w:rFonts w:asciiTheme="majorBidi" w:hAnsiTheme="majorBidi" w:cstheme="majorBidi"/>
          <w:sz w:val="16"/>
          <w:szCs w:val="16"/>
          <w:vertAlign w:val="subscript"/>
        </w:rPr>
        <w:t xml:space="preserve"> </w:t>
      </w:r>
      <w:r>
        <w:rPr>
          <w:rFonts w:asciiTheme="majorBidi" w:hAnsiTheme="majorBidi" w:cstheme="majorBidi"/>
          <w:sz w:val="16"/>
          <w:szCs w:val="16"/>
          <w:vertAlign w:val="subscript"/>
        </w:rPr>
        <w:tab/>
      </w:r>
      <w:hyperlink r:id="rId7" w:history="1">
        <w:r w:rsidR="00E7177C" w:rsidRPr="00D42577">
          <w:rPr>
            <w:rFonts w:asciiTheme="majorBidi" w:hAnsiTheme="majorBidi" w:cstheme="majorBidi"/>
            <w:sz w:val="16"/>
            <w:szCs w:val="16"/>
          </w:rPr>
          <w:t>25_lsr_1840587.pdf (knesset.gov.il)</w:t>
        </w:r>
      </w:hyperlink>
    </w:p>
  </w:footnote>
  <w:footnote w:id="122">
    <w:p w14:paraId="13364716" w14:textId="0AA425A9" w:rsidR="00E7177C" w:rsidRPr="00D42577" w:rsidRDefault="00B7528D" w:rsidP="00E7177C">
      <w:pPr>
        <w:pStyle w:val="FootnoteText"/>
        <w:rPr>
          <w:rFonts w:asciiTheme="majorBidi" w:hAnsiTheme="majorBidi" w:cstheme="majorBidi"/>
          <w:sz w:val="16"/>
          <w:szCs w:val="16"/>
          <w:lang w:val="fr-FR"/>
        </w:rPr>
      </w:pPr>
      <w:r w:rsidRPr="00D73513">
        <w:rPr>
          <w:rFonts w:asciiTheme="majorBidi" w:hAnsiTheme="majorBidi" w:cstheme="majorBidi"/>
          <w:sz w:val="16"/>
          <w:szCs w:val="16"/>
        </w:rPr>
        <w:tab/>
      </w:r>
      <w:r w:rsidR="00E7177C" w:rsidRPr="00983A11">
        <w:rPr>
          <w:rStyle w:val="FootnoteReference"/>
        </w:rPr>
        <w:footnoteRef/>
      </w:r>
      <w:r w:rsidR="00E7177C" w:rsidRPr="00D42577">
        <w:rPr>
          <w:rFonts w:asciiTheme="majorBidi" w:hAnsiTheme="majorBidi" w:cstheme="majorBidi"/>
          <w:sz w:val="16"/>
          <w:szCs w:val="16"/>
          <w:lang w:val="fr-FR"/>
        </w:rPr>
        <w:t xml:space="preserve"> </w:t>
      </w:r>
      <w:r>
        <w:rPr>
          <w:rFonts w:asciiTheme="majorBidi" w:hAnsiTheme="majorBidi" w:cstheme="majorBidi"/>
          <w:sz w:val="16"/>
          <w:szCs w:val="16"/>
          <w:lang w:val="fr-FR"/>
        </w:rPr>
        <w:tab/>
      </w:r>
      <w:r w:rsidR="00E7177C" w:rsidRPr="00D42577">
        <w:rPr>
          <w:rFonts w:asciiTheme="majorBidi" w:hAnsiTheme="majorBidi" w:cstheme="majorBidi"/>
          <w:sz w:val="16"/>
          <w:szCs w:val="16"/>
          <w:lang w:val="fr-FR"/>
        </w:rPr>
        <w:t>Articles 49, 147.</w:t>
      </w:r>
    </w:p>
  </w:footnote>
  <w:footnote w:id="123">
    <w:p w14:paraId="2451E226" w14:textId="40EC6501" w:rsidR="00E7177C" w:rsidRPr="000A6FFD" w:rsidRDefault="00B7528D" w:rsidP="00B7528D">
      <w:pPr>
        <w:pStyle w:val="FootnoteText"/>
        <w:rPr>
          <w:lang w:val="fr-FR"/>
        </w:rPr>
      </w:pPr>
      <w:r>
        <w:rPr>
          <w:lang w:val="fr-FR"/>
        </w:rPr>
        <w:tab/>
      </w:r>
      <w:r w:rsidR="00E7177C" w:rsidRPr="00983A11">
        <w:rPr>
          <w:rStyle w:val="FootnoteReference"/>
        </w:rPr>
        <w:footnoteRef/>
      </w:r>
      <w:r w:rsidR="00E7177C" w:rsidRPr="000A6FFD">
        <w:rPr>
          <w:lang w:val="fr-FR"/>
        </w:rPr>
        <w:t xml:space="preserve"> </w:t>
      </w:r>
      <w:r>
        <w:rPr>
          <w:lang w:val="fr-FR"/>
        </w:rPr>
        <w:tab/>
      </w:r>
      <w:r w:rsidR="00E7177C" w:rsidRPr="000A6FFD">
        <w:rPr>
          <w:lang w:val="fr-FR"/>
        </w:rPr>
        <w:t>https://newsrnd.com/news/2023-03-05-after-20-years-in-the-occupation-detention-centers----palestinian-prisoner-munir-al-rajabi-embraces-freedom.SkkzUQMkh.html</w:t>
      </w:r>
    </w:p>
  </w:footnote>
  <w:footnote w:id="124">
    <w:p w14:paraId="745D8665" w14:textId="38478612" w:rsidR="00E7177C" w:rsidRPr="000A6FFD" w:rsidRDefault="00B7528D" w:rsidP="00B7528D">
      <w:pPr>
        <w:pStyle w:val="FootnoteText"/>
        <w:rPr>
          <w:lang w:val="fr-FR"/>
        </w:rPr>
      </w:pPr>
      <w:r>
        <w:rPr>
          <w:lang w:val="fr-FR"/>
        </w:rPr>
        <w:tab/>
      </w:r>
      <w:r w:rsidR="00E7177C" w:rsidRPr="00983A11">
        <w:rPr>
          <w:rStyle w:val="FootnoteReference"/>
        </w:rPr>
        <w:footnoteRef/>
      </w:r>
      <w:r>
        <w:rPr>
          <w:lang w:val="fr-FR"/>
        </w:rPr>
        <w:tab/>
      </w:r>
      <w:r w:rsidR="00E7177C" w:rsidRPr="000A6FFD">
        <w:rPr>
          <w:lang w:val="fr-FR"/>
        </w:rPr>
        <w:t>https://hamoked.org/document.php?dID=Updates2327</w:t>
      </w:r>
    </w:p>
  </w:footnote>
  <w:footnote w:id="125">
    <w:p w14:paraId="42F9D28B" w14:textId="3720C717" w:rsidR="00E7177C" w:rsidRPr="003B6B80" w:rsidRDefault="00B7528D" w:rsidP="00B7528D">
      <w:pPr>
        <w:pStyle w:val="FootnoteText"/>
        <w:rPr>
          <w:lang w:val="pt-BR"/>
        </w:rPr>
      </w:pPr>
      <w:r>
        <w:rPr>
          <w:lang w:val="pt-BR"/>
        </w:rPr>
        <w:tab/>
      </w:r>
      <w:r w:rsidR="00E7177C" w:rsidRPr="00983A11">
        <w:rPr>
          <w:rStyle w:val="FootnoteReference"/>
        </w:rPr>
        <w:footnoteRef/>
      </w:r>
      <w:r w:rsidR="00E7177C" w:rsidRPr="000A6FFD">
        <w:rPr>
          <w:lang w:val="pt-BR"/>
        </w:rPr>
        <w:t xml:space="preserve"> </w:t>
      </w:r>
      <w:r>
        <w:rPr>
          <w:lang w:val="pt-BR"/>
        </w:rPr>
        <w:tab/>
      </w:r>
      <w:r w:rsidR="00E7177C" w:rsidRPr="000A6FFD">
        <w:rPr>
          <w:lang w:val="pt-BR"/>
        </w:rPr>
        <w:t>E/C.12/ISR/CO/4, paras 11</w:t>
      </w:r>
      <w:r w:rsidR="00E7177C">
        <w:rPr>
          <w:lang w:val="pt-BR"/>
        </w:rPr>
        <w:t>,</w:t>
      </w:r>
      <w:r w:rsidR="00E7177C" w:rsidRPr="000A6FFD">
        <w:rPr>
          <w:lang w:val="pt-BR"/>
        </w:rPr>
        <w:t xml:space="preserve">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4E56" w14:textId="4692BA52" w:rsidR="00DE48A0" w:rsidRDefault="00DA16F0">
    <w:pPr>
      <w:pStyle w:val="Header"/>
    </w:pPr>
    <w:bookmarkStart w:id="10" w:name="_Hlk146877605"/>
    <w:bookmarkStart w:id="11" w:name="_Hlk146877606"/>
    <w:bookmarkStart w:id="12" w:name="_Hlk146877607"/>
    <w:bookmarkStart w:id="13" w:name="_Hlk146877608"/>
    <w:bookmarkStart w:id="14" w:name="_Hlk146877609"/>
    <w:bookmarkStart w:id="15" w:name="_Hlk146877610"/>
    <w:r>
      <w:rPr>
        <w:noProof/>
      </w:rPr>
      <w:pict w14:anchorId="2099C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1657" o:spid="_x0000_s1026" type="#_x0000_t136" style="position:absolute;margin-left:0;margin-top:0;width:784.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DE48A0" w:rsidRPr="00DE48A0">
      <w:t>A/78/</w:t>
    </w:r>
    <w:bookmarkEnd w:id="10"/>
    <w:bookmarkEnd w:id="11"/>
    <w:bookmarkEnd w:id="12"/>
    <w:bookmarkEnd w:id="13"/>
    <w:bookmarkEnd w:id="14"/>
    <w:bookmarkEnd w:id="15"/>
    <w:r w:rsidR="00037779">
      <w:t>5</w:t>
    </w:r>
    <w:r w:rsidR="00700564">
      <w:t>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6DC3" w14:textId="6A7C4026" w:rsidR="00984035" w:rsidRDefault="00DA16F0" w:rsidP="00DE48A0">
    <w:pPr>
      <w:pStyle w:val="Header"/>
      <w:jc w:val="right"/>
    </w:pPr>
    <w:r>
      <w:rPr>
        <w:noProof/>
      </w:rPr>
      <w:pict w14:anchorId="00AF9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1658" o:spid="_x0000_s1027" type="#_x0000_t136" style="position:absolute;left:0;text-align:left;margin-left:0;margin-top:0;width:784.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DE48A0" w:rsidRPr="00DE48A0">
      <w:t>A/78/</w:t>
    </w:r>
    <w:r w:rsidR="00037779">
      <w:t>5</w:t>
    </w:r>
    <w:r w:rsidR="00700564">
      <w:t>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DE61" w14:textId="228389B4" w:rsidR="00700564" w:rsidRDefault="00DA16F0">
    <w:pPr>
      <w:pStyle w:val="Header"/>
    </w:pPr>
    <w:r>
      <w:rPr>
        <w:noProof/>
      </w:rPr>
      <w:pict w14:anchorId="286E1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1656" o:spid="_x0000_s1025" type="#_x0000_t136" style="position:absolute;margin-left:0;margin-top:0;width:784.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146055C"/>
    <w:lvl w:ilvl="0">
      <w:start w:val="5"/>
      <w:numFmt w:val="decimal"/>
      <w:pStyle w:val="ListNumber4"/>
      <w:lvlText w:val="%1."/>
      <w:lvlJc w:val="left"/>
      <w:pPr>
        <w:tabs>
          <w:tab w:val="num" w:pos="1209"/>
        </w:tabs>
        <w:ind w:left="1209" w:hanging="360"/>
      </w:pPr>
      <w:rPr>
        <w:rFonts w:hint="default"/>
      </w:r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12A1F"/>
    <w:multiLevelType w:val="hybridMultilevel"/>
    <w:tmpl w:val="4524D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C7BF7"/>
    <w:multiLevelType w:val="hybridMultilevel"/>
    <w:tmpl w:val="4C581A78"/>
    <w:lvl w:ilvl="0" w:tplc="A9C67B14">
      <w:start w:val="1"/>
      <w:numFmt w:val="lowerLetter"/>
      <w:lvlText w:val="(%1)"/>
      <w:lvlJc w:val="left"/>
      <w:pPr>
        <w:ind w:left="1695" w:hanging="555"/>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2BC56098"/>
    <w:multiLevelType w:val="hybridMultilevel"/>
    <w:tmpl w:val="745694A2"/>
    <w:lvl w:ilvl="0" w:tplc="10444F8E">
      <w:start w:val="1"/>
      <w:numFmt w:val="lowerLetter"/>
      <w:lvlText w:val="(%1)"/>
      <w:lvlJc w:val="left"/>
      <w:pPr>
        <w:ind w:left="1854" w:hanging="360"/>
      </w:pPr>
      <w:rPr>
        <w:rFonts w:hint="default"/>
        <w:color w:val="0000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5997332A"/>
    <w:multiLevelType w:val="hybridMultilevel"/>
    <w:tmpl w:val="4F9C9E22"/>
    <w:lvl w:ilvl="0" w:tplc="6478AF72">
      <w:start w:val="5"/>
      <w:numFmt w:val="decimal"/>
      <w:lvlText w:val="%1."/>
      <w:lvlJc w:val="left"/>
      <w:pPr>
        <w:ind w:left="1004" w:hanging="360"/>
      </w:pPr>
      <w:rPr>
        <w:rFonts w:hint="default"/>
        <w:color w:val="1B1B1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672341845">
    <w:abstractNumId w:val="1"/>
  </w:num>
  <w:num w:numId="2" w16cid:durableId="1808663293">
    <w:abstractNumId w:val="8"/>
  </w:num>
  <w:num w:numId="3" w16cid:durableId="55591116">
    <w:abstractNumId w:val="2"/>
  </w:num>
  <w:num w:numId="4" w16cid:durableId="784152455">
    <w:abstractNumId w:val="0"/>
  </w:num>
  <w:num w:numId="5" w16cid:durableId="150677504">
    <w:abstractNumId w:val="4"/>
  </w:num>
  <w:num w:numId="6" w16cid:durableId="1395397955">
    <w:abstractNumId w:val="5"/>
  </w:num>
  <w:num w:numId="7" w16cid:durableId="629095129">
    <w:abstractNumId w:val="7"/>
  </w:num>
  <w:num w:numId="8" w16cid:durableId="1779832956">
    <w:abstractNumId w:val="9"/>
  </w:num>
  <w:num w:numId="9" w16cid:durableId="298532428">
    <w:abstractNumId w:val="6"/>
  </w:num>
  <w:num w:numId="10" w16cid:durableId="877082069">
    <w:abstractNumId w:val="2"/>
  </w:num>
  <w:num w:numId="11" w16cid:durableId="5296124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0D"/>
    <w:rsid w:val="000014FA"/>
    <w:rsid w:val="0000154F"/>
    <w:rsid w:val="00006F31"/>
    <w:rsid w:val="00007F7F"/>
    <w:rsid w:val="00015973"/>
    <w:rsid w:val="00022DB5"/>
    <w:rsid w:val="00031988"/>
    <w:rsid w:val="00037779"/>
    <w:rsid w:val="000403D1"/>
    <w:rsid w:val="000449AA"/>
    <w:rsid w:val="00050F6B"/>
    <w:rsid w:val="00055383"/>
    <w:rsid w:val="0005662A"/>
    <w:rsid w:val="00060F45"/>
    <w:rsid w:val="00072C8C"/>
    <w:rsid w:val="00073E70"/>
    <w:rsid w:val="00074F8A"/>
    <w:rsid w:val="00080CF5"/>
    <w:rsid w:val="00081CBE"/>
    <w:rsid w:val="000876EB"/>
    <w:rsid w:val="00087C05"/>
    <w:rsid w:val="00091419"/>
    <w:rsid w:val="000925EC"/>
    <w:rsid w:val="00092CE1"/>
    <w:rsid w:val="000931C0"/>
    <w:rsid w:val="00094FBD"/>
    <w:rsid w:val="0009698E"/>
    <w:rsid w:val="00096A10"/>
    <w:rsid w:val="00097E95"/>
    <w:rsid w:val="000A6297"/>
    <w:rsid w:val="000B175B"/>
    <w:rsid w:val="000B183F"/>
    <w:rsid w:val="000B2851"/>
    <w:rsid w:val="000B3A0F"/>
    <w:rsid w:val="000B4A3B"/>
    <w:rsid w:val="000C087E"/>
    <w:rsid w:val="000C1BB9"/>
    <w:rsid w:val="000C2F4A"/>
    <w:rsid w:val="000C59D8"/>
    <w:rsid w:val="000C6786"/>
    <w:rsid w:val="000D1851"/>
    <w:rsid w:val="000D4040"/>
    <w:rsid w:val="000D6F75"/>
    <w:rsid w:val="000E0415"/>
    <w:rsid w:val="000E5539"/>
    <w:rsid w:val="000F0414"/>
    <w:rsid w:val="000F0FD8"/>
    <w:rsid w:val="00103C54"/>
    <w:rsid w:val="001047AC"/>
    <w:rsid w:val="00121790"/>
    <w:rsid w:val="00121EA6"/>
    <w:rsid w:val="00134EA7"/>
    <w:rsid w:val="00136C94"/>
    <w:rsid w:val="00142559"/>
    <w:rsid w:val="001458A1"/>
    <w:rsid w:val="00146D32"/>
    <w:rsid w:val="0014705B"/>
    <w:rsid w:val="001509BA"/>
    <w:rsid w:val="00154258"/>
    <w:rsid w:val="001661CE"/>
    <w:rsid w:val="00196600"/>
    <w:rsid w:val="00197B2D"/>
    <w:rsid w:val="001B09C2"/>
    <w:rsid w:val="001B1C80"/>
    <w:rsid w:val="001B1E34"/>
    <w:rsid w:val="001B1ECA"/>
    <w:rsid w:val="001B2316"/>
    <w:rsid w:val="001B2A7C"/>
    <w:rsid w:val="001B4B04"/>
    <w:rsid w:val="001B63A6"/>
    <w:rsid w:val="001C4489"/>
    <w:rsid w:val="001C6663"/>
    <w:rsid w:val="001C7895"/>
    <w:rsid w:val="001C7ABA"/>
    <w:rsid w:val="001D043F"/>
    <w:rsid w:val="001D26DF"/>
    <w:rsid w:val="001D61B7"/>
    <w:rsid w:val="001E0F50"/>
    <w:rsid w:val="001E2790"/>
    <w:rsid w:val="001E71A6"/>
    <w:rsid w:val="001E75A7"/>
    <w:rsid w:val="001F102F"/>
    <w:rsid w:val="00211E0B"/>
    <w:rsid w:val="00211E72"/>
    <w:rsid w:val="00212B74"/>
    <w:rsid w:val="00212C7B"/>
    <w:rsid w:val="00214047"/>
    <w:rsid w:val="00216FB5"/>
    <w:rsid w:val="0022130F"/>
    <w:rsid w:val="0023386D"/>
    <w:rsid w:val="002347B2"/>
    <w:rsid w:val="00237785"/>
    <w:rsid w:val="002410DD"/>
    <w:rsid w:val="00241466"/>
    <w:rsid w:val="002433E9"/>
    <w:rsid w:val="00251989"/>
    <w:rsid w:val="00253D58"/>
    <w:rsid w:val="002626C3"/>
    <w:rsid w:val="00267D20"/>
    <w:rsid w:val="0027179B"/>
    <w:rsid w:val="00271AF8"/>
    <w:rsid w:val="00275866"/>
    <w:rsid w:val="0027725F"/>
    <w:rsid w:val="002879F9"/>
    <w:rsid w:val="00291206"/>
    <w:rsid w:val="002A25F8"/>
    <w:rsid w:val="002A2CEF"/>
    <w:rsid w:val="002A7BAB"/>
    <w:rsid w:val="002B10FE"/>
    <w:rsid w:val="002B37FD"/>
    <w:rsid w:val="002B7284"/>
    <w:rsid w:val="002C21F0"/>
    <w:rsid w:val="002C52BE"/>
    <w:rsid w:val="002D265B"/>
    <w:rsid w:val="002E2587"/>
    <w:rsid w:val="002E400C"/>
    <w:rsid w:val="002E4979"/>
    <w:rsid w:val="002E5622"/>
    <w:rsid w:val="00307B8D"/>
    <w:rsid w:val="003107FA"/>
    <w:rsid w:val="003126D2"/>
    <w:rsid w:val="00312DE7"/>
    <w:rsid w:val="00314041"/>
    <w:rsid w:val="00315D26"/>
    <w:rsid w:val="00322025"/>
    <w:rsid w:val="003229D8"/>
    <w:rsid w:val="003314D1"/>
    <w:rsid w:val="00331556"/>
    <w:rsid w:val="003316CF"/>
    <w:rsid w:val="003328BE"/>
    <w:rsid w:val="00332A46"/>
    <w:rsid w:val="00335A2F"/>
    <w:rsid w:val="00336AFC"/>
    <w:rsid w:val="00341861"/>
    <w:rsid w:val="00341937"/>
    <w:rsid w:val="003529BB"/>
    <w:rsid w:val="003543EE"/>
    <w:rsid w:val="0035520F"/>
    <w:rsid w:val="00356E1E"/>
    <w:rsid w:val="00360719"/>
    <w:rsid w:val="00360FE0"/>
    <w:rsid w:val="003619B2"/>
    <w:rsid w:val="00376748"/>
    <w:rsid w:val="003834C3"/>
    <w:rsid w:val="0039092F"/>
    <w:rsid w:val="0039277A"/>
    <w:rsid w:val="003932AB"/>
    <w:rsid w:val="00394641"/>
    <w:rsid w:val="003953F4"/>
    <w:rsid w:val="0039684D"/>
    <w:rsid w:val="003972E0"/>
    <w:rsid w:val="003975ED"/>
    <w:rsid w:val="003A2889"/>
    <w:rsid w:val="003A3B24"/>
    <w:rsid w:val="003A5576"/>
    <w:rsid w:val="003A7400"/>
    <w:rsid w:val="003B07AF"/>
    <w:rsid w:val="003B4903"/>
    <w:rsid w:val="003B781E"/>
    <w:rsid w:val="003C1E4B"/>
    <w:rsid w:val="003C2CC4"/>
    <w:rsid w:val="003C6331"/>
    <w:rsid w:val="003C72BB"/>
    <w:rsid w:val="003C7F9D"/>
    <w:rsid w:val="003D3827"/>
    <w:rsid w:val="003D4B23"/>
    <w:rsid w:val="003E0084"/>
    <w:rsid w:val="003E6098"/>
    <w:rsid w:val="003F0FAB"/>
    <w:rsid w:val="003F10A5"/>
    <w:rsid w:val="00403B55"/>
    <w:rsid w:val="0041710C"/>
    <w:rsid w:val="0042227B"/>
    <w:rsid w:val="00424C80"/>
    <w:rsid w:val="00425205"/>
    <w:rsid w:val="00430614"/>
    <w:rsid w:val="004325CB"/>
    <w:rsid w:val="00434302"/>
    <w:rsid w:val="004366EB"/>
    <w:rsid w:val="00436D1A"/>
    <w:rsid w:val="0044340C"/>
    <w:rsid w:val="00444856"/>
    <w:rsid w:val="0044503A"/>
    <w:rsid w:val="00446DE4"/>
    <w:rsid w:val="00447761"/>
    <w:rsid w:val="00450927"/>
    <w:rsid w:val="00451EC3"/>
    <w:rsid w:val="0047063D"/>
    <w:rsid w:val="004721B1"/>
    <w:rsid w:val="004859EC"/>
    <w:rsid w:val="004926CF"/>
    <w:rsid w:val="00496A15"/>
    <w:rsid w:val="004A1310"/>
    <w:rsid w:val="004A5FB3"/>
    <w:rsid w:val="004B75D2"/>
    <w:rsid w:val="004C7BF7"/>
    <w:rsid w:val="004D0221"/>
    <w:rsid w:val="004D1140"/>
    <w:rsid w:val="004D6B4F"/>
    <w:rsid w:val="004D7918"/>
    <w:rsid w:val="004F55ED"/>
    <w:rsid w:val="004F62C6"/>
    <w:rsid w:val="0050034C"/>
    <w:rsid w:val="00501AB2"/>
    <w:rsid w:val="00515451"/>
    <w:rsid w:val="0052176C"/>
    <w:rsid w:val="0052266F"/>
    <w:rsid w:val="005261E5"/>
    <w:rsid w:val="005333A2"/>
    <w:rsid w:val="005343AE"/>
    <w:rsid w:val="00540247"/>
    <w:rsid w:val="005420F2"/>
    <w:rsid w:val="00542574"/>
    <w:rsid w:val="005436AB"/>
    <w:rsid w:val="00545194"/>
    <w:rsid w:val="00546924"/>
    <w:rsid w:val="00546DBF"/>
    <w:rsid w:val="005503A0"/>
    <w:rsid w:val="00553D76"/>
    <w:rsid w:val="005552B5"/>
    <w:rsid w:val="0056117B"/>
    <w:rsid w:val="00562621"/>
    <w:rsid w:val="00564A06"/>
    <w:rsid w:val="00565911"/>
    <w:rsid w:val="00571365"/>
    <w:rsid w:val="005750F6"/>
    <w:rsid w:val="00590464"/>
    <w:rsid w:val="00591603"/>
    <w:rsid w:val="00591D9F"/>
    <w:rsid w:val="00593F6D"/>
    <w:rsid w:val="00594126"/>
    <w:rsid w:val="005A0E16"/>
    <w:rsid w:val="005A2EA8"/>
    <w:rsid w:val="005A6082"/>
    <w:rsid w:val="005A7397"/>
    <w:rsid w:val="005B3DB3"/>
    <w:rsid w:val="005B6E48"/>
    <w:rsid w:val="005C120F"/>
    <w:rsid w:val="005D0710"/>
    <w:rsid w:val="005D53BE"/>
    <w:rsid w:val="005E0DF4"/>
    <w:rsid w:val="005E1712"/>
    <w:rsid w:val="005E290D"/>
    <w:rsid w:val="005E33E3"/>
    <w:rsid w:val="005E7355"/>
    <w:rsid w:val="005F0C02"/>
    <w:rsid w:val="005F61D8"/>
    <w:rsid w:val="005F71C3"/>
    <w:rsid w:val="006018FA"/>
    <w:rsid w:val="006023B6"/>
    <w:rsid w:val="0060796B"/>
    <w:rsid w:val="006119AE"/>
    <w:rsid w:val="00611FC4"/>
    <w:rsid w:val="00614C11"/>
    <w:rsid w:val="006176FB"/>
    <w:rsid w:val="006375DF"/>
    <w:rsid w:val="00640B26"/>
    <w:rsid w:val="00643BD7"/>
    <w:rsid w:val="00655AAA"/>
    <w:rsid w:val="00655B60"/>
    <w:rsid w:val="00660630"/>
    <w:rsid w:val="00663334"/>
    <w:rsid w:val="0067023B"/>
    <w:rsid w:val="00670741"/>
    <w:rsid w:val="00673CD5"/>
    <w:rsid w:val="00675893"/>
    <w:rsid w:val="00680607"/>
    <w:rsid w:val="00683425"/>
    <w:rsid w:val="00685EE2"/>
    <w:rsid w:val="0068676C"/>
    <w:rsid w:val="00690EF6"/>
    <w:rsid w:val="00694BDB"/>
    <w:rsid w:val="00696BD6"/>
    <w:rsid w:val="006A2DC1"/>
    <w:rsid w:val="006A6B9D"/>
    <w:rsid w:val="006A7392"/>
    <w:rsid w:val="006B3189"/>
    <w:rsid w:val="006B3783"/>
    <w:rsid w:val="006B3ECC"/>
    <w:rsid w:val="006B611E"/>
    <w:rsid w:val="006B7D65"/>
    <w:rsid w:val="006C0249"/>
    <w:rsid w:val="006C06F4"/>
    <w:rsid w:val="006C5D38"/>
    <w:rsid w:val="006D0971"/>
    <w:rsid w:val="006D48AA"/>
    <w:rsid w:val="006D5B6A"/>
    <w:rsid w:val="006D6DA6"/>
    <w:rsid w:val="006E457F"/>
    <w:rsid w:val="006E564B"/>
    <w:rsid w:val="006F041C"/>
    <w:rsid w:val="006F13F0"/>
    <w:rsid w:val="006F4BBD"/>
    <w:rsid w:val="006F5035"/>
    <w:rsid w:val="00700564"/>
    <w:rsid w:val="007048C3"/>
    <w:rsid w:val="00704B90"/>
    <w:rsid w:val="007065EB"/>
    <w:rsid w:val="00711621"/>
    <w:rsid w:val="00716B4F"/>
    <w:rsid w:val="00720183"/>
    <w:rsid w:val="00724A57"/>
    <w:rsid w:val="0072632A"/>
    <w:rsid w:val="00727DC2"/>
    <w:rsid w:val="00736539"/>
    <w:rsid w:val="00741713"/>
    <w:rsid w:val="0074200B"/>
    <w:rsid w:val="00745A7B"/>
    <w:rsid w:val="0074626E"/>
    <w:rsid w:val="00750B79"/>
    <w:rsid w:val="00750D95"/>
    <w:rsid w:val="00752754"/>
    <w:rsid w:val="007548A6"/>
    <w:rsid w:val="007550E6"/>
    <w:rsid w:val="00755596"/>
    <w:rsid w:val="007604E6"/>
    <w:rsid w:val="00763172"/>
    <w:rsid w:val="007633A0"/>
    <w:rsid w:val="00767B08"/>
    <w:rsid w:val="0077015C"/>
    <w:rsid w:val="00773ED0"/>
    <w:rsid w:val="00774BAE"/>
    <w:rsid w:val="00777E4D"/>
    <w:rsid w:val="00784FA8"/>
    <w:rsid w:val="007864F4"/>
    <w:rsid w:val="007919B3"/>
    <w:rsid w:val="007920DF"/>
    <w:rsid w:val="0079311A"/>
    <w:rsid w:val="00793BBE"/>
    <w:rsid w:val="007A1AFC"/>
    <w:rsid w:val="007A6296"/>
    <w:rsid w:val="007A7410"/>
    <w:rsid w:val="007A79E4"/>
    <w:rsid w:val="007B086F"/>
    <w:rsid w:val="007B36C2"/>
    <w:rsid w:val="007B6BA5"/>
    <w:rsid w:val="007C1B62"/>
    <w:rsid w:val="007C3390"/>
    <w:rsid w:val="007C371F"/>
    <w:rsid w:val="007C4F4B"/>
    <w:rsid w:val="007D2CDC"/>
    <w:rsid w:val="007D5327"/>
    <w:rsid w:val="007D5CE1"/>
    <w:rsid w:val="007D5EE6"/>
    <w:rsid w:val="007E0E92"/>
    <w:rsid w:val="007F0067"/>
    <w:rsid w:val="007F5014"/>
    <w:rsid w:val="007F6611"/>
    <w:rsid w:val="007F6AF9"/>
    <w:rsid w:val="00810D7C"/>
    <w:rsid w:val="008155C3"/>
    <w:rsid w:val="008175E9"/>
    <w:rsid w:val="0082243E"/>
    <w:rsid w:val="008242D7"/>
    <w:rsid w:val="00830051"/>
    <w:rsid w:val="008357E0"/>
    <w:rsid w:val="00844A28"/>
    <w:rsid w:val="00856CD2"/>
    <w:rsid w:val="00857567"/>
    <w:rsid w:val="00861BC6"/>
    <w:rsid w:val="00864442"/>
    <w:rsid w:val="00871FD5"/>
    <w:rsid w:val="0087295E"/>
    <w:rsid w:val="008731C3"/>
    <w:rsid w:val="00874062"/>
    <w:rsid w:val="008847BB"/>
    <w:rsid w:val="00887CBB"/>
    <w:rsid w:val="0089357A"/>
    <w:rsid w:val="00894AFD"/>
    <w:rsid w:val="008979B1"/>
    <w:rsid w:val="008A6B25"/>
    <w:rsid w:val="008A6C4F"/>
    <w:rsid w:val="008A7A45"/>
    <w:rsid w:val="008B72C4"/>
    <w:rsid w:val="008B7EEC"/>
    <w:rsid w:val="008C1E4D"/>
    <w:rsid w:val="008C2AB4"/>
    <w:rsid w:val="008D2530"/>
    <w:rsid w:val="008D29E6"/>
    <w:rsid w:val="008D4814"/>
    <w:rsid w:val="008E0B8E"/>
    <w:rsid w:val="008E0E46"/>
    <w:rsid w:val="008E54FC"/>
    <w:rsid w:val="008F5F65"/>
    <w:rsid w:val="008F6633"/>
    <w:rsid w:val="009006D9"/>
    <w:rsid w:val="0090172F"/>
    <w:rsid w:val="00902292"/>
    <w:rsid w:val="0090452C"/>
    <w:rsid w:val="00907B50"/>
    <w:rsid w:val="00907C3F"/>
    <w:rsid w:val="009154BD"/>
    <w:rsid w:val="00921B97"/>
    <w:rsid w:val="0092237C"/>
    <w:rsid w:val="0092763A"/>
    <w:rsid w:val="0093047E"/>
    <w:rsid w:val="0093707B"/>
    <w:rsid w:val="009400EB"/>
    <w:rsid w:val="0094018D"/>
    <w:rsid w:val="009427E3"/>
    <w:rsid w:val="00946575"/>
    <w:rsid w:val="0095006C"/>
    <w:rsid w:val="00953AEA"/>
    <w:rsid w:val="00956D9B"/>
    <w:rsid w:val="00961C72"/>
    <w:rsid w:val="00963CBA"/>
    <w:rsid w:val="009654B7"/>
    <w:rsid w:val="00970A08"/>
    <w:rsid w:val="009720D3"/>
    <w:rsid w:val="0097220F"/>
    <w:rsid w:val="00982F6F"/>
    <w:rsid w:val="00983A11"/>
    <w:rsid w:val="00984035"/>
    <w:rsid w:val="00985CF3"/>
    <w:rsid w:val="00987859"/>
    <w:rsid w:val="00990A26"/>
    <w:rsid w:val="00991261"/>
    <w:rsid w:val="009915D1"/>
    <w:rsid w:val="009930F4"/>
    <w:rsid w:val="009A03C8"/>
    <w:rsid w:val="009A0B83"/>
    <w:rsid w:val="009A19F7"/>
    <w:rsid w:val="009A1DF0"/>
    <w:rsid w:val="009A27A2"/>
    <w:rsid w:val="009A4ACF"/>
    <w:rsid w:val="009B0F71"/>
    <w:rsid w:val="009B3800"/>
    <w:rsid w:val="009B570E"/>
    <w:rsid w:val="009B6A09"/>
    <w:rsid w:val="009D22AC"/>
    <w:rsid w:val="009D50DB"/>
    <w:rsid w:val="009D577F"/>
    <w:rsid w:val="009E1C4E"/>
    <w:rsid w:val="009E25BF"/>
    <w:rsid w:val="009E664C"/>
    <w:rsid w:val="009F4D0E"/>
    <w:rsid w:val="00A0036A"/>
    <w:rsid w:val="00A040F2"/>
    <w:rsid w:val="00A05E0B"/>
    <w:rsid w:val="00A1427D"/>
    <w:rsid w:val="00A4634F"/>
    <w:rsid w:val="00A51CF3"/>
    <w:rsid w:val="00A56F1B"/>
    <w:rsid w:val="00A626E4"/>
    <w:rsid w:val="00A72F22"/>
    <w:rsid w:val="00A73D32"/>
    <w:rsid w:val="00A748A6"/>
    <w:rsid w:val="00A74A78"/>
    <w:rsid w:val="00A845DF"/>
    <w:rsid w:val="00A879A4"/>
    <w:rsid w:val="00A87E95"/>
    <w:rsid w:val="00A901B1"/>
    <w:rsid w:val="00A92E29"/>
    <w:rsid w:val="00AA0853"/>
    <w:rsid w:val="00AA3234"/>
    <w:rsid w:val="00AC2BF4"/>
    <w:rsid w:val="00AC5AE2"/>
    <w:rsid w:val="00AC7E74"/>
    <w:rsid w:val="00AD09E9"/>
    <w:rsid w:val="00AD4ECE"/>
    <w:rsid w:val="00AD66CF"/>
    <w:rsid w:val="00AD7EEE"/>
    <w:rsid w:val="00AE4ECC"/>
    <w:rsid w:val="00AF0576"/>
    <w:rsid w:val="00AF1D74"/>
    <w:rsid w:val="00AF3829"/>
    <w:rsid w:val="00AF598D"/>
    <w:rsid w:val="00B006CE"/>
    <w:rsid w:val="00B037F0"/>
    <w:rsid w:val="00B112C0"/>
    <w:rsid w:val="00B13788"/>
    <w:rsid w:val="00B15E6E"/>
    <w:rsid w:val="00B167F6"/>
    <w:rsid w:val="00B211A3"/>
    <w:rsid w:val="00B2327D"/>
    <w:rsid w:val="00B241FA"/>
    <w:rsid w:val="00B2718F"/>
    <w:rsid w:val="00B2729E"/>
    <w:rsid w:val="00B30179"/>
    <w:rsid w:val="00B32B33"/>
    <w:rsid w:val="00B3317B"/>
    <w:rsid w:val="00B334DC"/>
    <w:rsid w:val="00B342AD"/>
    <w:rsid w:val="00B3631A"/>
    <w:rsid w:val="00B422FD"/>
    <w:rsid w:val="00B53013"/>
    <w:rsid w:val="00B60DAF"/>
    <w:rsid w:val="00B61687"/>
    <w:rsid w:val="00B67F5E"/>
    <w:rsid w:val="00B717F7"/>
    <w:rsid w:val="00B73E65"/>
    <w:rsid w:val="00B74082"/>
    <w:rsid w:val="00B7528D"/>
    <w:rsid w:val="00B77959"/>
    <w:rsid w:val="00B81E12"/>
    <w:rsid w:val="00B85FA5"/>
    <w:rsid w:val="00B8685F"/>
    <w:rsid w:val="00B87110"/>
    <w:rsid w:val="00B941F0"/>
    <w:rsid w:val="00B95ADA"/>
    <w:rsid w:val="00B97FA8"/>
    <w:rsid w:val="00BA16CC"/>
    <w:rsid w:val="00BB0B14"/>
    <w:rsid w:val="00BB0C0B"/>
    <w:rsid w:val="00BB29D2"/>
    <w:rsid w:val="00BB6B02"/>
    <w:rsid w:val="00BC1385"/>
    <w:rsid w:val="00BC74E9"/>
    <w:rsid w:val="00BD40DE"/>
    <w:rsid w:val="00BD42E5"/>
    <w:rsid w:val="00BD6B8E"/>
    <w:rsid w:val="00BE618E"/>
    <w:rsid w:val="00BE655C"/>
    <w:rsid w:val="00BF068F"/>
    <w:rsid w:val="00BF53C2"/>
    <w:rsid w:val="00C05DA6"/>
    <w:rsid w:val="00C06EF9"/>
    <w:rsid w:val="00C15B0D"/>
    <w:rsid w:val="00C1742A"/>
    <w:rsid w:val="00C217E7"/>
    <w:rsid w:val="00C24693"/>
    <w:rsid w:val="00C34EC2"/>
    <w:rsid w:val="00C35F0B"/>
    <w:rsid w:val="00C419F0"/>
    <w:rsid w:val="00C449E0"/>
    <w:rsid w:val="00C463DD"/>
    <w:rsid w:val="00C64458"/>
    <w:rsid w:val="00C671E7"/>
    <w:rsid w:val="00C70282"/>
    <w:rsid w:val="00C745C3"/>
    <w:rsid w:val="00C7630E"/>
    <w:rsid w:val="00C90727"/>
    <w:rsid w:val="00C95888"/>
    <w:rsid w:val="00CA2A58"/>
    <w:rsid w:val="00CA3B04"/>
    <w:rsid w:val="00CB170D"/>
    <w:rsid w:val="00CB4456"/>
    <w:rsid w:val="00CC0B55"/>
    <w:rsid w:val="00CC22B2"/>
    <w:rsid w:val="00CC6689"/>
    <w:rsid w:val="00CD4832"/>
    <w:rsid w:val="00CD5448"/>
    <w:rsid w:val="00CD6995"/>
    <w:rsid w:val="00CD7AF5"/>
    <w:rsid w:val="00CE43F0"/>
    <w:rsid w:val="00CE4A8F"/>
    <w:rsid w:val="00CE6AB5"/>
    <w:rsid w:val="00CE7328"/>
    <w:rsid w:val="00CE7B97"/>
    <w:rsid w:val="00CE7F8A"/>
    <w:rsid w:val="00CF0214"/>
    <w:rsid w:val="00CF50A0"/>
    <w:rsid w:val="00CF586F"/>
    <w:rsid w:val="00CF7B58"/>
    <w:rsid w:val="00CF7D43"/>
    <w:rsid w:val="00D10460"/>
    <w:rsid w:val="00D11129"/>
    <w:rsid w:val="00D17686"/>
    <w:rsid w:val="00D2031B"/>
    <w:rsid w:val="00D20BC4"/>
    <w:rsid w:val="00D22332"/>
    <w:rsid w:val="00D2389A"/>
    <w:rsid w:val="00D25FE2"/>
    <w:rsid w:val="00D34596"/>
    <w:rsid w:val="00D40C02"/>
    <w:rsid w:val="00D43252"/>
    <w:rsid w:val="00D445EA"/>
    <w:rsid w:val="00D462D6"/>
    <w:rsid w:val="00D550F9"/>
    <w:rsid w:val="00D572B0"/>
    <w:rsid w:val="00D62E90"/>
    <w:rsid w:val="00D73513"/>
    <w:rsid w:val="00D74582"/>
    <w:rsid w:val="00D74D63"/>
    <w:rsid w:val="00D76BE5"/>
    <w:rsid w:val="00D8450C"/>
    <w:rsid w:val="00D978C6"/>
    <w:rsid w:val="00DA16F0"/>
    <w:rsid w:val="00DA2AF0"/>
    <w:rsid w:val="00DA4426"/>
    <w:rsid w:val="00DA4D31"/>
    <w:rsid w:val="00DA67AD"/>
    <w:rsid w:val="00DB18CE"/>
    <w:rsid w:val="00DB5566"/>
    <w:rsid w:val="00DC0E97"/>
    <w:rsid w:val="00DC7281"/>
    <w:rsid w:val="00DD3B53"/>
    <w:rsid w:val="00DE3EC0"/>
    <w:rsid w:val="00DE48A0"/>
    <w:rsid w:val="00DE4C57"/>
    <w:rsid w:val="00DF71A2"/>
    <w:rsid w:val="00E00165"/>
    <w:rsid w:val="00E020BA"/>
    <w:rsid w:val="00E04D68"/>
    <w:rsid w:val="00E069B3"/>
    <w:rsid w:val="00E11593"/>
    <w:rsid w:val="00E12B6B"/>
    <w:rsid w:val="00E130AB"/>
    <w:rsid w:val="00E159AA"/>
    <w:rsid w:val="00E20189"/>
    <w:rsid w:val="00E335CC"/>
    <w:rsid w:val="00E4352D"/>
    <w:rsid w:val="00E438D9"/>
    <w:rsid w:val="00E50C4F"/>
    <w:rsid w:val="00E54F94"/>
    <w:rsid w:val="00E557AF"/>
    <w:rsid w:val="00E5644E"/>
    <w:rsid w:val="00E56E0B"/>
    <w:rsid w:val="00E637C4"/>
    <w:rsid w:val="00E63D72"/>
    <w:rsid w:val="00E7177C"/>
    <w:rsid w:val="00E719C6"/>
    <w:rsid w:val="00E71DA4"/>
    <w:rsid w:val="00E7260F"/>
    <w:rsid w:val="00E806EE"/>
    <w:rsid w:val="00E80858"/>
    <w:rsid w:val="00E81BBF"/>
    <w:rsid w:val="00E9657E"/>
    <w:rsid w:val="00E96630"/>
    <w:rsid w:val="00EA67F5"/>
    <w:rsid w:val="00EB078B"/>
    <w:rsid w:val="00EB0EB1"/>
    <w:rsid w:val="00EB0FB9"/>
    <w:rsid w:val="00EB6189"/>
    <w:rsid w:val="00EB73E7"/>
    <w:rsid w:val="00EC0D77"/>
    <w:rsid w:val="00EC4EA5"/>
    <w:rsid w:val="00EC701A"/>
    <w:rsid w:val="00ED0CA9"/>
    <w:rsid w:val="00ED220E"/>
    <w:rsid w:val="00ED7A2A"/>
    <w:rsid w:val="00EE0409"/>
    <w:rsid w:val="00EE2B09"/>
    <w:rsid w:val="00EE4100"/>
    <w:rsid w:val="00EF125C"/>
    <w:rsid w:val="00EF1D7F"/>
    <w:rsid w:val="00EF5BDB"/>
    <w:rsid w:val="00EF6849"/>
    <w:rsid w:val="00EF743E"/>
    <w:rsid w:val="00F0376A"/>
    <w:rsid w:val="00F05DEE"/>
    <w:rsid w:val="00F07FD9"/>
    <w:rsid w:val="00F11A0D"/>
    <w:rsid w:val="00F13D79"/>
    <w:rsid w:val="00F21A29"/>
    <w:rsid w:val="00F23933"/>
    <w:rsid w:val="00F24119"/>
    <w:rsid w:val="00F25C2F"/>
    <w:rsid w:val="00F27136"/>
    <w:rsid w:val="00F311A0"/>
    <w:rsid w:val="00F40AC9"/>
    <w:rsid w:val="00F40E75"/>
    <w:rsid w:val="00F42B82"/>
    <w:rsid w:val="00F42CD9"/>
    <w:rsid w:val="00F471D6"/>
    <w:rsid w:val="00F47FFD"/>
    <w:rsid w:val="00F52936"/>
    <w:rsid w:val="00F52BDA"/>
    <w:rsid w:val="00F52BE5"/>
    <w:rsid w:val="00F54083"/>
    <w:rsid w:val="00F677CB"/>
    <w:rsid w:val="00F67B04"/>
    <w:rsid w:val="00F74EBA"/>
    <w:rsid w:val="00F74FEC"/>
    <w:rsid w:val="00F77A46"/>
    <w:rsid w:val="00F83052"/>
    <w:rsid w:val="00F83449"/>
    <w:rsid w:val="00F91314"/>
    <w:rsid w:val="00F92056"/>
    <w:rsid w:val="00F94201"/>
    <w:rsid w:val="00F97A85"/>
    <w:rsid w:val="00FA0B30"/>
    <w:rsid w:val="00FA3792"/>
    <w:rsid w:val="00FA62A0"/>
    <w:rsid w:val="00FA7DF3"/>
    <w:rsid w:val="00FB0094"/>
    <w:rsid w:val="00FB1558"/>
    <w:rsid w:val="00FB599A"/>
    <w:rsid w:val="00FB6A73"/>
    <w:rsid w:val="00FB6AE4"/>
    <w:rsid w:val="00FB6AFA"/>
    <w:rsid w:val="00FC5A2A"/>
    <w:rsid w:val="00FC68B7"/>
    <w:rsid w:val="00FD51D4"/>
    <w:rsid w:val="00FD7C12"/>
    <w:rsid w:val="00FF628A"/>
    <w:rsid w:val="0933EB10"/>
    <w:rsid w:val="0D10CA72"/>
    <w:rsid w:val="13FDFE8D"/>
    <w:rsid w:val="1B68BE10"/>
    <w:rsid w:val="2220595B"/>
    <w:rsid w:val="2B9877B7"/>
    <w:rsid w:val="2C5B502A"/>
    <w:rsid w:val="3B5E552F"/>
    <w:rsid w:val="49570B0F"/>
    <w:rsid w:val="4BA03B1B"/>
    <w:rsid w:val="62073D63"/>
    <w:rsid w:val="65D61211"/>
    <w:rsid w:val="7311BDFA"/>
    <w:rsid w:val="77BE0EC5"/>
    <w:rsid w:val="77EC3E02"/>
    <w:rsid w:val="7ED32E2F"/>
    <w:rsid w:val="7FB583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E4B"/>
    <w:rPr>
      <w:rFonts w:eastAsiaTheme="minorHAnsi"/>
      <w:lang w:val="en-GB" w:eastAsia="en-US"/>
    </w:rPr>
  </w:style>
  <w:style w:type="paragraph" w:styleId="Heading1">
    <w:name w:val="heading 1"/>
    <w:aliases w:val="Table_G"/>
    <w:basedOn w:val="SingleTxtG"/>
    <w:next w:val="SingleTxtG"/>
    <w:link w:val="Heading1Char"/>
    <w:qFormat/>
    <w:rsid w:val="003C1E4B"/>
    <w:pPr>
      <w:keepNext/>
      <w:keepLines/>
      <w:spacing w:after="0"/>
      <w:ind w:right="0"/>
      <w:jc w:val="left"/>
      <w:outlineLvl w:val="0"/>
    </w:pPr>
  </w:style>
  <w:style w:type="paragraph" w:styleId="Heading2">
    <w:name w:val="heading 2"/>
    <w:basedOn w:val="Normal"/>
    <w:next w:val="Normal"/>
    <w:link w:val="Heading2Char"/>
    <w:semiHidden/>
    <w:qFormat/>
    <w:rsid w:val="003C1E4B"/>
    <w:pPr>
      <w:outlineLvl w:val="1"/>
    </w:pPr>
  </w:style>
  <w:style w:type="paragraph" w:styleId="Heading3">
    <w:name w:val="heading 3"/>
    <w:basedOn w:val="Normal"/>
    <w:next w:val="Normal"/>
    <w:link w:val="Heading3Char"/>
    <w:semiHidden/>
    <w:qFormat/>
    <w:rsid w:val="003C1E4B"/>
    <w:pPr>
      <w:outlineLvl w:val="2"/>
    </w:pPr>
  </w:style>
  <w:style w:type="paragraph" w:styleId="Heading4">
    <w:name w:val="heading 4"/>
    <w:basedOn w:val="Normal"/>
    <w:next w:val="Normal"/>
    <w:link w:val="Heading4Char"/>
    <w:semiHidden/>
    <w:qFormat/>
    <w:rsid w:val="003C1E4B"/>
    <w:pPr>
      <w:outlineLvl w:val="3"/>
    </w:pPr>
  </w:style>
  <w:style w:type="paragraph" w:styleId="Heading5">
    <w:name w:val="heading 5"/>
    <w:basedOn w:val="Normal"/>
    <w:next w:val="Normal"/>
    <w:link w:val="Heading5Char"/>
    <w:semiHidden/>
    <w:qFormat/>
    <w:rsid w:val="003C1E4B"/>
    <w:pPr>
      <w:outlineLvl w:val="4"/>
    </w:pPr>
  </w:style>
  <w:style w:type="paragraph" w:styleId="Heading6">
    <w:name w:val="heading 6"/>
    <w:basedOn w:val="Normal"/>
    <w:next w:val="Normal"/>
    <w:link w:val="Heading6Char"/>
    <w:semiHidden/>
    <w:qFormat/>
    <w:rsid w:val="003C1E4B"/>
    <w:pPr>
      <w:outlineLvl w:val="5"/>
    </w:pPr>
  </w:style>
  <w:style w:type="paragraph" w:styleId="Heading7">
    <w:name w:val="heading 7"/>
    <w:basedOn w:val="Normal"/>
    <w:next w:val="Normal"/>
    <w:link w:val="Heading7Char"/>
    <w:semiHidden/>
    <w:qFormat/>
    <w:rsid w:val="003C1E4B"/>
    <w:pPr>
      <w:outlineLvl w:val="6"/>
    </w:pPr>
  </w:style>
  <w:style w:type="paragraph" w:styleId="Heading8">
    <w:name w:val="heading 8"/>
    <w:basedOn w:val="Normal"/>
    <w:next w:val="Normal"/>
    <w:link w:val="Heading8Char"/>
    <w:semiHidden/>
    <w:qFormat/>
    <w:rsid w:val="003C1E4B"/>
    <w:pPr>
      <w:outlineLvl w:val="7"/>
    </w:pPr>
  </w:style>
  <w:style w:type="paragraph" w:styleId="Heading9">
    <w:name w:val="heading 9"/>
    <w:basedOn w:val="Normal"/>
    <w:next w:val="Normal"/>
    <w:link w:val="Heading9Char"/>
    <w:semiHidden/>
    <w:qFormat/>
    <w:rsid w:val="003C1E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F74EBA"/>
    <w:pPr>
      <w:spacing w:after="120" w:line="240" w:lineRule="atLeast"/>
      <w:ind w:left="1134" w:right="1134"/>
      <w:jc w:val="both"/>
    </w:pPr>
  </w:style>
  <w:style w:type="paragraph" w:customStyle="1" w:styleId="HMG">
    <w:name w:val="_ H __M_G"/>
    <w:basedOn w:val="Normal"/>
    <w:next w:val="Normal"/>
    <w:qFormat/>
    <w:rsid w:val="003C1E4B"/>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3C1E4B"/>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3C1E4B"/>
    <w:rPr>
      <w:rFonts w:ascii="Times New Roman" w:hAnsi="Times New Roman"/>
      <w:sz w:val="18"/>
      <w:vertAlign w:val="superscript"/>
      <w:lang w:val="fr-CH"/>
    </w:rPr>
  </w:style>
  <w:style w:type="character" w:styleId="EndnoteReference">
    <w:name w:val="endnote reference"/>
    <w:aliases w:val="1_G"/>
    <w:basedOn w:val="FootnoteReference"/>
    <w:qFormat/>
    <w:rsid w:val="003C1E4B"/>
    <w:rPr>
      <w:rFonts w:ascii="Times New Roman" w:hAnsi="Times New Roman"/>
      <w:sz w:val="18"/>
      <w:vertAlign w:val="superscript"/>
      <w:lang w:val="fr-CH"/>
    </w:rPr>
  </w:style>
  <w:style w:type="paragraph" w:styleId="Header">
    <w:name w:val="header"/>
    <w:aliases w:val="6_G"/>
    <w:basedOn w:val="Normal"/>
    <w:link w:val="HeaderChar"/>
    <w:rsid w:val="003C1E4B"/>
    <w:pPr>
      <w:pBdr>
        <w:bottom w:val="single" w:sz="4" w:space="4" w:color="auto"/>
      </w:pBdr>
    </w:pPr>
    <w:rPr>
      <w:rFonts w:eastAsia="Times New Roman"/>
      <w:b/>
      <w:sz w:val="18"/>
    </w:rPr>
  </w:style>
  <w:style w:type="table" w:styleId="TableGrid">
    <w:name w:val="Table Grid"/>
    <w:basedOn w:val="TableNormal"/>
    <w:rsid w:val="003C1E4B"/>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3C1E4B"/>
    <w:rPr>
      <w:color w:val="0000FF"/>
      <w:u w:val="none"/>
    </w:rPr>
  </w:style>
  <w:style w:type="character" w:styleId="FollowedHyperlink">
    <w:name w:val="FollowedHyperlink"/>
    <w:basedOn w:val="DefaultParagraphFont"/>
    <w:semiHidden/>
    <w:rsid w:val="003C1E4B"/>
    <w:rPr>
      <w:color w:val="0000FF"/>
      <w:u w:val="none"/>
    </w:rPr>
  </w:style>
  <w:style w:type="paragraph" w:customStyle="1" w:styleId="SMG">
    <w:name w:val="__S_M_G"/>
    <w:basedOn w:val="Normal"/>
    <w:next w:val="Normal"/>
    <w:rsid w:val="003C1E4B"/>
    <w:pPr>
      <w:keepNext/>
      <w:keepLines/>
      <w:spacing w:before="240" w:after="240" w:line="420" w:lineRule="exact"/>
      <w:ind w:left="1134" w:right="1134"/>
    </w:pPr>
    <w:rPr>
      <w:b/>
      <w:sz w:val="40"/>
    </w:rPr>
  </w:style>
  <w:style w:type="paragraph" w:customStyle="1" w:styleId="SLG">
    <w:name w:val="__S_L_G"/>
    <w:basedOn w:val="Normal"/>
    <w:next w:val="Normal"/>
    <w:rsid w:val="003C1E4B"/>
    <w:pPr>
      <w:keepNext/>
      <w:keepLines/>
      <w:spacing w:before="240" w:after="240" w:line="580" w:lineRule="exact"/>
      <w:ind w:left="1134" w:right="1134"/>
    </w:pPr>
    <w:rPr>
      <w:b/>
      <w:sz w:val="56"/>
    </w:rPr>
  </w:style>
  <w:style w:type="paragraph" w:customStyle="1" w:styleId="SSG">
    <w:name w:val="__S_S_G"/>
    <w:basedOn w:val="Normal"/>
    <w:next w:val="Normal"/>
    <w:rsid w:val="003C1E4B"/>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3C1E4B"/>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3C1E4B"/>
  </w:style>
  <w:style w:type="character" w:styleId="PageNumber">
    <w:name w:val="page number"/>
    <w:aliases w:val="7_G"/>
    <w:basedOn w:val="DefaultParagraphFont"/>
    <w:qFormat/>
    <w:rsid w:val="003C1E4B"/>
    <w:rPr>
      <w:rFonts w:ascii="Times New Roman" w:hAnsi="Times New Roman"/>
      <w:b/>
      <w:sz w:val="18"/>
      <w:lang w:val="fr-CH"/>
    </w:rPr>
  </w:style>
  <w:style w:type="paragraph" w:customStyle="1" w:styleId="XLargeG">
    <w:name w:val="__XLarge_G"/>
    <w:basedOn w:val="Normal"/>
    <w:next w:val="Normal"/>
    <w:rsid w:val="003C1E4B"/>
    <w:pPr>
      <w:keepNext/>
      <w:keepLines/>
      <w:spacing w:before="240" w:after="240" w:line="420" w:lineRule="exact"/>
      <w:ind w:left="1134" w:right="1134"/>
    </w:pPr>
    <w:rPr>
      <w:b/>
      <w:sz w:val="40"/>
    </w:rPr>
  </w:style>
  <w:style w:type="paragraph" w:customStyle="1" w:styleId="Bullet1G">
    <w:name w:val="_Bullet 1_G"/>
    <w:basedOn w:val="Normal"/>
    <w:qFormat/>
    <w:rsid w:val="003C1E4B"/>
    <w:pPr>
      <w:numPr>
        <w:numId w:val="8"/>
      </w:numPr>
      <w:spacing w:after="120"/>
      <w:ind w:right="1134"/>
      <w:jc w:val="both"/>
    </w:pPr>
  </w:style>
  <w:style w:type="paragraph" w:styleId="Footer">
    <w:name w:val="footer"/>
    <w:aliases w:val="3_G"/>
    <w:basedOn w:val="Normal"/>
    <w:next w:val="Normal"/>
    <w:link w:val="FooterChar"/>
    <w:qFormat/>
    <w:rsid w:val="003C1E4B"/>
    <w:rPr>
      <w:sz w:val="16"/>
    </w:rPr>
  </w:style>
  <w:style w:type="paragraph" w:customStyle="1" w:styleId="Bullet2G">
    <w:name w:val="_Bullet 2_G"/>
    <w:basedOn w:val="Normal"/>
    <w:qFormat/>
    <w:rsid w:val="003C1E4B"/>
    <w:pPr>
      <w:numPr>
        <w:numId w:val="9"/>
      </w:numPr>
      <w:spacing w:after="120"/>
      <w:ind w:right="1134"/>
      <w:jc w:val="both"/>
    </w:pPr>
  </w:style>
  <w:style w:type="paragraph" w:customStyle="1" w:styleId="H1G">
    <w:name w:val="_ H_1_G"/>
    <w:basedOn w:val="Normal"/>
    <w:next w:val="Normal"/>
    <w:qFormat/>
    <w:rsid w:val="003C1E4B"/>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3C1E4B"/>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3C1E4B"/>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3C1E4B"/>
    <w:pPr>
      <w:keepNext/>
      <w:keepLines/>
      <w:tabs>
        <w:tab w:val="right" w:pos="851"/>
      </w:tabs>
      <w:spacing w:before="240" w:after="120" w:line="240" w:lineRule="exact"/>
      <w:ind w:left="1134" w:right="1134" w:hanging="1134"/>
    </w:pPr>
  </w:style>
  <w:style w:type="character" w:customStyle="1" w:styleId="EndnoteTextChar">
    <w:name w:val="Endnote Text Char"/>
    <w:aliases w:val="2_G Char"/>
    <w:basedOn w:val="DefaultParagraphFont"/>
    <w:link w:val="EndnoteText"/>
    <w:rsid w:val="003C1E4B"/>
    <w:rPr>
      <w:rFonts w:eastAsiaTheme="minorHAnsi"/>
      <w:sz w:val="18"/>
      <w:lang w:val="en-GB" w:eastAsia="en-US"/>
    </w:rPr>
  </w:style>
  <w:style w:type="character" w:customStyle="1" w:styleId="Heading1Char">
    <w:name w:val="Heading 1 Char"/>
    <w:aliases w:val="Table_G Char"/>
    <w:basedOn w:val="DefaultParagraphFont"/>
    <w:link w:val="Heading1"/>
    <w:rsid w:val="003C1E4B"/>
    <w:rPr>
      <w:rFonts w:eastAsiaTheme="minorHAnsi"/>
      <w:lang w:val="en-GB" w:eastAsia="en-US"/>
    </w:rPr>
  </w:style>
  <w:style w:type="paragraph" w:customStyle="1" w:styleId="ParNoG">
    <w:name w:val="_ParNo_G"/>
    <w:basedOn w:val="SingleTxtG"/>
    <w:qFormat/>
    <w:rsid w:val="003C1E4B"/>
    <w:pPr>
      <w:numPr>
        <w:numId w:val="10"/>
      </w:numPr>
      <w:tabs>
        <w:tab w:val="clear" w:pos="1701"/>
      </w:tabs>
    </w:pPr>
    <w:rPr>
      <w:rFonts w:eastAsia="Times New Roman"/>
    </w:rPr>
  </w:style>
  <w:style w:type="character" w:styleId="UnresolvedMention">
    <w:name w:val="Unresolved Mention"/>
    <w:basedOn w:val="DefaultParagraphFont"/>
    <w:uiPriority w:val="99"/>
    <w:unhideWhenUsed/>
    <w:rsid w:val="00E7177C"/>
    <w:rPr>
      <w:color w:val="605E5C"/>
      <w:shd w:val="clear" w:color="auto" w:fill="E1DFDD"/>
    </w:rPr>
  </w:style>
  <w:style w:type="character" w:customStyle="1" w:styleId="Heading2Char">
    <w:name w:val="Heading 2 Char"/>
    <w:basedOn w:val="DefaultParagraphFont"/>
    <w:link w:val="Heading2"/>
    <w:semiHidden/>
    <w:rsid w:val="003C1E4B"/>
    <w:rPr>
      <w:rFonts w:eastAsiaTheme="minorHAnsi"/>
      <w:lang w:val="en-GB" w:eastAsia="en-US"/>
    </w:rPr>
  </w:style>
  <w:style w:type="character" w:customStyle="1" w:styleId="Heading3Char">
    <w:name w:val="Heading 3 Char"/>
    <w:basedOn w:val="DefaultParagraphFont"/>
    <w:link w:val="Heading3"/>
    <w:semiHidden/>
    <w:rsid w:val="003C1E4B"/>
    <w:rPr>
      <w:rFonts w:eastAsiaTheme="minorHAnsi"/>
      <w:lang w:val="en-GB" w:eastAsia="en-US"/>
    </w:rPr>
  </w:style>
  <w:style w:type="character" w:customStyle="1" w:styleId="Heading4Char">
    <w:name w:val="Heading 4 Char"/>
    <w:basedOn w:val="DefaultParagraphFont"/>
    <w:link w:val="Heading4"/>
    <w:semiHidden/>
    <w:rsid w:val="003C1E4B"/>
    <w:rPr>
      <w:rFonts w:eastAsiaTheme="minorHAnsi"/>
      <w:lang w:val="en-GB" w:eastAsia="en-US"/>
    </w:rPr>
  </w:style>
  <w:style w:type="character" w:customStyle="1" w:styleId="Heading5Char">
    <w:name w:val="Heading 5 Char"/>
    <w:basedOn w:val="DefaultParagraphFont"/>
    <w:link w:val="Heading5"/>
    <w:semiHidden/>
    <w:rsid w:val="003C1E4B"/>
    <w:rPr>
      <w:rFonts w:eastAsiaTheme="minorHAnsi"/>
      <w:lang w:val="en-GB" w:eastAsia="en-US"/>
    </w:rPr>
  </w:style>
  <w:style w:type="character" w:customStyle="1" w:styleId="Heading6Char">
    <w:name w:val="Heading 6 Char"/>
    <w:basedOn w:val="DefaultParagraphFont"/>
    <w:link w:val="Heading6"/>
    <w:semiHidden/>
    <w:rsid w:val="003C1E4B"/>
    <w:rPr>
      <w:rFonts w:eastAsiaTheme="minorHAnsi"/>
      <w:lang w:val="en-GB" w:eastAsia="en-US"/>
    </w:rPr>
  </w:style>
  <w:style w:type="character" w:customStyle="1" w:styleId="Heading7Char">
    <w:name w:val="Heading 7 Char"/>
    <w:basedOn w:val="DefaultParagraphFont"/>
    <w:link w:val="Heading7"/>
    <w:semiHidden/>
    <w:rsid w:val="003C1E4B"/>
    <w:rPr>
      <w:rFonts w:eastAsiaTheme="minorHAnsi"/>
      <w:lang w:val="en-GB" w:eastAsia="en-US"/>
    </w:rPr>
  </w:style>
  <w:style w:type="character" w:customStyle="1" w:styleId="HeaderChar">
    <w:name w:val="Header Char"/>
    <w:aliases w:val="6_G Char"/>
    <w:basedOn w:val="DefaultParagraphFont"/>
    <w:link w:val="Header"/>
    <w:rsid w:val="003C1E4B"/>
    <w:rPr>
      <w:b/>
      <w:sz w:val="18"/>
      <w:lang w:val="en-GB" w:eastAsia="en-US"/>
    </w:rPr>
  </w:style>
  <w:style w:type="character" w:customStyle="1" w:styleId="FooterChar">
    <w:name w:val="Footer Char"/>
    <w:aliases w:val="3_G Char"/>
    <w:basedOn w:val="DefaultParagraphFont"/>
    <w:link w:val="Footer"/>
    <w:rsid w:val="003C1E4B"/>
    <w:rPr>
      <w:rFonts w:eastAsiaTheme="minorHAnsi"/>
      <w:sz w:val="16"/>
      <w:lang w:val="en-GB" w:eastAsia="en-US"/>
    </w:rPr>
  </w:style>
  <w:style w:type="paragraph" w:customStyle="1" w:styleId="paragraph">
    <w:name w:val="paragraph"/>
    <w:basedOn w:val="Normal"/>
    <w:rsid w:val="00E7177C"/>
    <w:pPr>
      <w:spacing w:before="100" w:beforeAutospacing="1" w:after="100" w:afterAutospacing="1"/>
    </w:pPr>
    <w:rPr>
      <w:sz w:val="24"/>
      <w:szCs w:val="24"/>
      <w:lang w:val="en-US" w:eastAsia="zh-CN"/>
    </w:rPr>
  </w:style>
  <w:style w:type="character" w:customStyle="1" w:styleId="normaltextrun">
    <w:name w:val="normaltextrun"/>
    <w:basedOn w:val="DefaultParagraphFont"/>
    <w:rsid w:val="00E7177C"/>
  </w:style>
  <w:style w:type="character" w:customStyle="1" w:styleId="Heading8Char">
    <w:name w:val="Heading 8 Char"/>
    <w:basedOn w:val="DefaultParagraphFont"/>
    <w:link w:val="Heading8"/>
    <w:semiHidden/>
    <w:rsid w:val="003C1E4B"/>
    <w:rPr>
      <w:rFonts w:eastAsiaTheme="minorHAnsi"/>
      <w:lang w:val="en-GB" w:eastAsia="en-US"/>
    </w:rPr>
  </w:style>
  <w:style w:type="paragraph" w:styleId="NormalWeb">
    <w:name w:val="Normal (Web)"/>
    <w:basedOn w:val="Normal"/>
    <w:uiPriority w:val="99"/>
    <w:unhideWhenUsed/>
    <w:rsid w:val="00E7177C"/>
    <w:pPr>
      <w:spacing w:before="100" w:beforeAutospacing="1" w:after="100" w:afterAutospacing="1"/>
    </w:pPr>
    <w:rPr>
      <w:sz w:val="24"/>
      <w:szCs w:val="24"/>
      <w:lang w:val="en-US" w:eastAsia="zh-CN"/>
    </w:rPr>
  </w:style>
  <w:style w:type="character" w:styleId="Mention">
    <w:name w:val="Mention"/>
    <w:basedOn w:val="DefaultParagraphFont"/>
    <w:uiPriority w:val="99"/>
    <w:unhideWhenUsed/>
    <w:rsid w:val="00E7177C"/>
    <w:rPr>
      <w:color w:val="2B579A"/>
      <w:shd w:val="clear" w:color="auto" w:fill="E6E6E6"/>
    </w:rPr>
  </w:style>
  <w:style w:type="paragraph" w:styleId="Revision">
    <w:name w:val="Revision"/>
    <w:hidden/>
    <w:uiPriority w:val="99"/>
    <w:semiHidden/>
    <w:rsid w:val="00E7177C"/>
    <w:rPr>
      <w:rFonts w:asciiTheme="minorHAnsi" w:eastAsiaTheme="minorHAnsi" w:hAnsiTheme="minorHAnsi" w:cstheme="minorBidi"/>
      <w:sz w:val="22"/>
      <w:szCs w:val="22"/>
      <w:lang w:val="en-GB" w:eastAsia="en-US"/>
    </w:rPr>
  </w:style>
  <w:style w:type="character" w:customStyle="1" w:styleId="FootnoteTextChar">
    <w:name w:val="Footnote Text Char"/>
    <w:aliases w:val="5_G Char"/>
    <w:basedOn w:val="DefaultParagraphFont"/>
    <w:link w:val="FootnoteText"/>
    <w:rsid w:val="003C1E4B"/>
    <w:rPr>
      <w:rFonts w:eastAsiaTheme="minorHAnsi"/>
      <w:sz w:val="18"/>
      <w:lang w:val="en-GB" w:eastAsia="en-US"/>
    </w:rPr>
  </w:style>
  <w:style w:type="paragraph" w:styleId="ListNumber4">
    <w:name w:val="List Number 4"/>
    <w:basedOn w:val="Normal"/>
    <w:semiHidden/>
    <w:rsid w:val="00E7177C"/>
    <w:pPr>
      <w:numPr>
        <w:numId w:val="4"/>
      </w:numPr>
    </w:pPr>
  </w:style>
  <w:style w:type="character" w:customStyle="1" w:styleId="Heading9Char">
    <w:name w:val="Heading 9 Char"/>
    <w:basedOn w:val="DefaultParagraphFont"/>
    <w:link w:val="Heading9"/>
    <w:semiHidden/>
    <w:rsid w:val="003C1E4B"/>
    <w:rPr>
      <w:rFonts w:eastAsiaTheme="minorHAnsi"/>
      <w:lang w:val="en-GB" w:eastAsia="en-US"/>
    </w:rPr>
  </w:style>
  <w:style w:type="character" w:customStyle="1" w:styleId="Optional">
    <w:name w:val="Optional"/>
    <w:basedOn w:val="DefaultParagraphFont"/>
    <w:uiPriority w:val="1"/>
    <w:qFormat/>
    <w:rsid w:val="00E7177C"/>
    <w:rPr>
      <w:rFonts w:asciiTheme="majorHAnsi" w:hAnsiTheme="majorHAnsi"/>
      <w:color w:val="0070C0"/>
      <w:sz w:val="20"/>
      <w:szCs w:val="20"/>
    </w:rPr>
  </w:style>
  <w:style w:type="character" w:customStyle="1" w:styleId="SingleTxtGChar">
    <w:name w:val="_ Single Txt_G Char"/>
    <w:link w:val="SingleTxtG"/>
    <w:rsid w:val="00F74EBA"/>
    <w:rPr>
      <w:rFonts w:eastAsiaTheme="minorHAnsi"/>
      <w:lang w:val="en-GB" w:eastAsia="en-US"/>
    </w:rPr>
  </w:style>
  <w:style w:type="character" w:customStyle="1" w:styleId="ui-provider">
    <w:name w:val="ui-provider"/>
    <w:basedOn w:val="DefaultParagraphFont"/>
    <w:rsid w:val="00E7177C"/>
  </w:style>
  <w:style w:type="paragraph" w:styleId="NoSpacing">
    <w:name w:val="No Spacing"/>
    <w:uiPriority w:val="1"/>
    <w:qFormat/>
    <w:rsid w:val="00E7177C"/>
    <w:rPr>
      <w:rFonts w:asciiTheme="minorHAnsi" w:eastAsiaTheme="minorHAnsi" w:hAnsiTheme="minorHAnsi" w:cstheme="minorBidi"/>
      <w:sz w:val="22"/>
      <w:szCs w:val="22"/>
      <w:lang w:val="en-GB" w:eastAsia="en-US"/>
    </w:rPr>
  </w:style>
  <w:style w:type="character" w:styleId="Strong">
    <w:name w:val="Strong"/>
    <w:basedOn w:val="DefaultParagraphFont"/>
    <w:uiPriority w:val="22"/>
    <w:qFormat/>
    <w:rsid w:val="00E7177C"/>
    <w:rPr>
      <w:b/>
      <w:bCs/>
    </w:rPr>
  </w:style>
  <w:style w:type="paragraph" w:customStyle="1" w:styleId="SingleTxt">
    <w:name w:val="__Single Txt"/>
    <w:basedOn w:val="Normal"/>
    <w:rsid w:val="00E7177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spacing w:val="4"/>
      <w:w w:val="103"/>
      <w:kern w:val="14"/>
    </w:rPr>
  </w:style>
  <w:style w:type="paragraph" w:customStyle="1" w:styleId="TitleH1">
    <w:name w:val="Title_H1"/>
    <w:basedOn w:val="Normal"/>
    <w:next w:val="SingleTxt"/>
    <w:qFormat/>
    <w:rsid w:val="00E7177C"/>
    <w:pPr>
      <w:keepNext/>
      <w:keepLines/>
      <w:spacing w:line="270" w:lineRule="exact"/>
      <w:ind w:left="1267" w:right="1267" w:hanging="1267"/>
      <w:outlineLvl w:val="0"/>
    </w:pPr>
    <w:rPr>
      <w:b/>
      <w:spacing w:val="4"/>
      <w:w w:val="103"/>
      <w:kern w:val="14"/>
      <w:sz w:val="24"/>
    </w:rPr>
  </w:style>
  <w:style w:type="paragraph" w:customStyle="1" w:styleId="TitleHCH">
    <w:name w:val="Title_H_CH"/>
    <w:basedOn w:val="Normal"/>
    <w:next w:val="Normal"/>
    <w:qFormat/>
    <w:rsid w:val="00E7177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b/>
      <w:spacing w:val="-2"/>
      <w:w w:val="103"/>
      <w:kern w:val="14"/>
      <w:sz w:val="28"/>
    </w:rPr>
  </w:style>
  <w:style w:type="paragraph" w:customStyle="1" w:styleId="Session">
    <w:name w:val="Session"/>
    <w:basedOn w:val="Normal"/>
    <w:rsid w:val="00E7177C"/>
    <w:pPr>
      <w:ind w:left="1296" w:right="1296"/>
      <w:outlineLvl w:val="1"/>
    </w:pPr>
    <w:rPr>
      <w:b/>
      <w:spacing w:val="4"/>
      <w:w w:val="103"/>
      <w:kern w:val="14"/>
      <w:lang w:val="en-US"/>
    </w:rPr>
  </w:style>
  <w:style w:type="paragraph" w:styleId="HTMLPreformatted">
    <w:name w:val="HTML Preformatted"/>
    <w:basedOn w:val="Normal"/>
    <w:link w:val="HTMLPreformattedChar"/>
    <w:uiPriority w:val="99"/>
    <w:semiHidden/>
    <w:unhideWhenUsed/>
    <w:rsid w:val="00E7177C"/>
    <w:rPr>
      <w:rFonts w:ascii="Consolas" w:hAnsi="Consolas" w:cstheme="minorBidi"/>
    </w:rPr>
  </w:style>
  <w:style w:type="character" w:customStyle="1" w:styleId="HTMLPreformattedChar">
    <w:name w:val="HTML Preformatted Char"/>
    <w:basedOn w:val="DefaultParagraphFont"/>
    <w:link w:val="HTMLPreformatted"/>
    <w:uiPriority w:val="99"/>
    <w:semiHidden/>
    <w:rsid w:val="00E7177C"/>
    <w:rPr>
      <w:rFonts w:ascii="Consolas" w:eastAsiaTheme="minorHAnsi" w:hAnsi="Consolas" w:cstheme="minorBidi"/>
      <w:lang w:val="en-GB" w:eastAsia="en-US"/>
    </w:rPr>
  </w:style>
  <w:style w:type="character" w:styleId="CommentReference">
    <w:name w:val="annotation reference"/>
    <w:basedOn w:val="DefaultParagraphFont"/>
    <w:uiPriority w:val="99"/>
    <w:semiHidden/>
    <w:unhideWhenUsed/>
    <w:rsid w:val="00902292"/>
    <w:rPr>
      <w:sz w:val="16"/>
      <w:szCs w:val="16"/>
    </w:rPr>
  </w:style>
  <w:style w:type="paragraph" w:styleId="CommentText">
    <w:name w:val="annotation text"/>
    <w:basedOn w:val="Normal"/>
    <w:link w:val="CommentTextChar"/>
    <w:uiPriority w:val="99"/>
    <w:unhideWhenUsed/>
    <w:rsid w:val="00902292"/>
  </w:style>
  <w:style w:type="character" w:customStyle="1" w:styleId="CommentTextChar">
    <w:name w:val="Comment Text Char"/>
    <w:basedOn w:val="DefaultParagraphFont"/>
    <w:link w:val="CommentText"/>
    <w:uiPriority w:val="99"/>
    <w:rsid w:val="00902292"/>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902292"/>
    <w:rPr>
      <w:b/>
      <w:bCs/>
    </w:rPr>
  </w:style>
  <w:style w:type="character" w:customStyle="1" w:styleId="CommentSubjectChar">
    <w:name w:val="Comment Subject Char"/>
    <w:basedOn w:val="CommentTextChar"/>
    <w:link w:val="CommentSubject"/>
    <w:uiPriority w:val="99"/>
    <w:semiHidden/>
    <w:rsid w:val="00902292"/>
    <w:rPr>
      <w:rFonts w:eastAsiaTheme="minorHAnsi"/>
      <w:b/>
      <w:bCs/>
      <w:lang w:val="en-GB" w:eastAsia="en-US"/>
    </w:rPr>
  </w:style>
  <w:style w:type="character" w:customStyle="1" w:styleId="cf01">
    <w:name w:val="cf01"/>
    <w:basedOn w:val="DefaultParagraphFont"/>
    <w:rsid w:val="008C2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unispal/wp-content/uploads/2023/01/A.RES_.77.247_30122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l/BlobFolder/policy/nezivot_pkuda/he/03.02.00%20-%20%D7%9B%D7%9C%D7%9C%D7%99%D7%9D%20%D7%91%D7%99%D7%97%D7%A1%20%D7%9C%D7%90%D7%A1%D7%99%D7%A8%D7%99%D7%9D%20%D7%91%D7%98%D7%97%D7%95%D7%A0%D7%99%D7%99%D7%9D%20(1).pdf" TargetMode="External"/><Relationship Id="rId7" Type="http://schemas.openxmlformats.org/officeDocument/2006/relationships/hyperlink" Target="https://fs.knesset.gov.il/25/law/25_lsr_1840587.pdf" TargetMode="External"/><Relationship Id="rId2" Type="http://schemas.openxmlformats.org/officeDocument/2006/relationships/hyperlink" Target="https://ihl-databases.icrc.org/en/customary-ihl/v1/rule114" TargetMode="External"/><Relationship Id="rId1" Type="http://schemas.openxmlformats.org/officeDocument/2006/relationships/hyperlink" Target="http://undocs.org/en/CCPR/C/ISR/CO/5" TargetMode="External"/><Relationship Id="rId6" Type="http://schemas.openxmlformats.org/officeDocument/2006/relationships/hyperlink" Target="https://www.haaretz.com/israel-news/2023-02-02/ty-article/.premium/trolling-palestinian-prisoners-ben-gvir-could-drag-israel-into-another-gaza-war/00000186-0eb5-df4f-a787-1fb5e5090000" TargetMode="External"/><Relationship Id="rId5" Type="http://schemas.openxmlformats.org/officeDocument/2006/relationships/hyperlink" Target="https://supremedecisions.court.gov.il/Home/Download?path=HebrewVerdicts/17/140/063/z18&amp;fileName=17063140.Z18&amp;type=4" TargetMode="External"/><Relationship Id="rId4" Type="http://schemas.openxmlformats.org/officeDocument/2006/relationships/hyperlink" Target="https://www.gov.il/BlobFolder/policy/0044000/he/04.40.00%20-%20%D7%97%D7%95%D7%A4%D7%A9%D7%95%D7%AA%20%D7%90%D7%A1%D7%99%D7%A8%D7%99%D7%9D%2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355c6b-c987-4160-bb25-62777c98a04a" xsi:nil="true"/>
    <lcf76f155ced4ddcb4097134ff3c332f xmlns="472066fe-6871-4755-a034-3d84fb48fb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D56DB16371941B4A49EC39CDE7FC0" ma:contentTypeVersion="14" ma:contentTypeDescription="Create a new document." ma:contentTypeScope="" ma:versionID="e5298fad9b8fe0a2a5ba01f756282583">
  <xsd:schema xmlns:xsd="http://www.w3.org/2001/XMLSchema" xmlns:xs="http://www.w3.org/2001/XMLSchema" xmlns:p="http://schemas.microsoft.com/office/2006/metadata/properties" xmlns:ns2="64355c6b-c987-4160-bb25-62777c98a04a" xmlns:ns3="472066fe-6871-4755-a034-3d84fb48fbc9" targetNamespace="http://schemas.microsoft.com/office/2006/metadata/properties" ma:root="true" ma:fieldsID="f443612d5c521856c5f285c66cd03bda" ns2:_="" ns3:_="">
    <xsd:import namespace="64355c6b-c987-4160-bb25-62777c98a04a"/>
    <xsd:import namespace="472066fe-6871-4755-a034-3d84fb48fb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5c6b-c987-4160-bb25-62777c98a0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501b0a-efef-4634-b2ce-8c3804697749}" ma:internalName="TaxCatchAll" ma:showField="CatchAllData" ma:web="64355c6b-c987-4160-bb25-62777c98a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066fe-6871-4755-a034-3d84fb48f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83B7A-9D10-43A3-AAF9-4FFD8AADD69A}">
  <ds:schemaRefs>
    <ds:schemaRef ds:uri="http://schemas.openxmlformats.org/officeDocument/2006/bibliography"/>
  </ds:schemaRefs>
</ds:datastoreItem>
</file>

<file path=customXml/itemProps2.xml><?xml version="1.0" encoding="utf-8"?>
<ds:datastoreItem xmlns:ds="http://schemas.openxmlformats.org/officeDocument/2006/customXml" ds:itemID="{FDDF8B27-B9B2-476E-8900-D0F200CE17E3}">
  <ds:schemaRefs>
    <ds:schemaRef ds:uri="http://schemas.microsoft.com/office/2006/metadata/properties"/>
    <ds:schemaRef ds:uri="http://schemas.microsoft.com/office/infopath/2007/PartnerControls"/>
    <ds:schemaRef ds:uri="64355c6b-c987-4160-bb25-62777c98a04a"/>
    <ds:schemaRef ds:uri="472066fe-6871-4755-a034-3d84fb48fbc9"/>
  </ds:schemaRefs>
</ds:datastoreItem>
</file>

<file path=customXml/itemProps3.xml><?xml version="1.0" encoding="utf-8"?>
<ds:datastoreItem xmlns:ds="http://schemas.openxmlformats.org/officeDocument/2006/customXml" ds:itemID="{7593264E-DFCD-4BFB-BA11-7023B5F8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5c6b-c987-4160-bb25-62777c98a04a"/>
    <ds:schemaRef ds:uri="472066fe-6871-4755-a034-3d84fb48f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380E5-A700-459B-8C33-C995B5D25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7294</Words>
  <Characters>43038</Characters>
  <Application>Microsoft Office Word</Application>
  <DocSecurity>0</DocSecurity>
  <Lines>935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2023-10-31T17:16:00Z</dcterms:created>
  <dcterms:modified xsi:type="dcterms:W3CDTF">2023-10-31T18:10:00Z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0x0101005C6D56DB16371941B4A49EC39CDE7FC0</vt:lpwstr>
  </property>
</Properties>
</file>