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392A" w14:textId="77777777" w:rsidR="008A3DDD" w:rsidRPr="0026588C" w:rsidRDefault="008A3DDD" w:rsidP="008A3DDD">
      <w:pPr>
        <w:spacing w:after="120" w:line="720" w:lineRule="auto"/>
        <w:jc w:val="center"/>
        <w:rPr>
          <w:b/>
          <w:noProof/>
          <w:sz w:val="22"/>
          <w:szCs w:val="22"/>
          <w:lang w:val="en-US" w:eastAsia="da-DK"/>
        </w:rPr>
      </w:pPr>
      <w:r w:rsidRPr="00185ECE">
        <w:rPr>
          <w:noProof/>
          <w:lang w:val="da-DK" w:eastAsia="da-DK"/>
        </w:rPr>
        <w:drawing>
          <wp:inline distT="0" distB="0" distL="0" distR="0" wp14:anchorId="46C4EBE5" wp14:editId="0B9A7A00">
            <wp:extent cx="1407381" cy="670334"/>
            <wp:effectExtent l="0" t="0" r="2540" b="0"/>
            <wp:docPr id="2051" name="Picture 1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12" descr="image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58" cy="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3B">
        <w:rPr>
          <w:b/>
          <w:noProof/>
          <w:sz w:val="22"/>
          <w:szCs w:val="22"/>
          <w:lang w:val="en-US" w:eastAsia="da-DK"/>
        </w:rPr>
        <w:t xml:space="preserve">             </w:t>
      </w:r>
    </w:p>
    <w:p w14:paraId="3E8DE63C" w14:textId="77777777" w:rsidR="008A3DDD" w:rsidRDefault="008A3DDD" w:rsidP="008A3DDD">
      <w:pPr>
        <w:jc w:val="both"/>
        <w:rPr>
          <w:b/>
          <w:sz w:val="22"/>
          <w:szCs w:val="22"/>
          <w:lang w:val="en-US"/>
        </w:rPr>
      </w:pPr>
    </w:p>
    <w:p w14:paraId="64C66DE0" w14:textId="77777777" w:rsidR="008A3DDD" w:rsidRPr="0039705C" w:rsidRDefault="008A3DDD" w:rsidP="008A3DDD">
      <w:pPr>
        <w:jc w:val="center"/>
        <w:rPr>
          <w:rFonts w:ascii="Garamond" w:hAnsi="Garamond"/>
          <w:b/>
          <w:sz w:val="36"/>
          <w:szCs w:val="36"/>
          <w:lang w:val="en-US"/>
        </w:rPr>
      </w:pPr>
      <w:r w:rsidRPr="0039705C">
        <w:rPr>
          <w:rFonts w:ascii="Garamond" w:hAnsi="Garamond"/>
          <w:b/>
          <w:sz w:val="36"/>
          <w:szCs w:val="36"/>
          <w:lang w:val="en-US"/>
        </w:rPr>
        <w:t>Submission to the</w:t>
      </w:r>
    </w:p>
    <w:p w14:paraId="2B7221AA" w14:textId="77777777" w:rsidR="008A3DDD" w:rsidRPr="0039705C" w:rsidRDefault="008A3DDD" w:rsidP="008A3DDD">
      <w:pPr>
        <w:jc w:val="center"/>
        <w:rPr>
          <w:rFonts w:ascii="Garamond" w:hAnsi="Garamond"/>
          <w:b/>
          <w:sz w:val="36"/>
          <w:szCs w:val="36"/>
          <w:lang w:val="en-US"/>
        </w:rPr>
      </w:pPr>
    </w:p>
    <w:p w14:paraId="21980617" w14:textId="21F33B3D" w:rsidR="008A3DDD" w:rsidRPr="0039705C" w:rsidRDefault="0039705C" w:rsidP="008A3DDD">
      <w:pPr>
        <w:jc w:val="center"/>
        <w:rPr>
          <w:rFonts w:ascii="Garamond" w:hAnsi="Garamond"/>
          <w:b/>
          <w:sz w:val="36"/>
          <w:szCs w:val="36"/>
          <w:lang w:val="en-US"/>
        </w:rPr>
      </w:pPr>
      <w:r w:rsidRPr="0039705C">
        <w:rPr>
          <w:rFonts w:ascii="Garamond" w:hAnsi="Garamond"/>
          <w:b/>
          <w:sz w:val="36"/>
          <w:szCs w:val="36"/>
          <w:lang w:val="en-US"/>
        </w:rPr>
        <w:t xml:space="preserve">The Committee on Enforced Disappearances and the United Nations Working Group on Enforced or Involuntary Disappearances </w:t>
      </w:r>
    </w:p>
    <w:p w14:paraId="5E11E24E" w14:textId="77777777" w:rsidR="0039705C" w:rsidRPr="0039705C" w:rsidRDefault="0039705C" w:rsidP="008A3DDD">
      <w:pPr>
        <w:jc w:val="center"/>
        <w:rPr>
          <w:rFonts w:ascii="Garamond" w:hAnsi="Garamond"/>
          <w:b/>
          <w:sz w:val="36"/>
          <w:szCs w:val="36"/>
          <w:lang w:val="en-US"/>
        </w:rPr>
      </w:pPr>
    </w:p>
    <w:p w14:paraId="602E685C" w14:textId="2489C69A" w:rsidR="008A3DDD" w:rsidRPr="0039705C" w:rsidRDefault="0039705C" w:rsidP="008A3DDD">
      <w:pPr>
        <w:jc w:val="center"/>
        <w:rPr>
          <w:rFonts w:ascii="Garamond" w:hAnsi="Garamond"/>
          <w:b/>
          <w:sz w:val="36"/>
          <w:szCs w:val="36"/>
          <w:lang w:val="en-US"/>
        </w:rPr>
      </w:pPr>
      <w:r w:rsidRPr="0039705C">
        <w:rPr>
          <w:rFonts w:ascii="Garamond" w:hAnsi="Garamond"/>
          <w:b/>
          <w:sz w:val="36"/>
          <w:szCs w:val="36"/>
          <w:lang w:val="en-US"/>
        </w:rPr>
        <w:t xml:space="preserve">Response to the Committee and Working Group’s Call for inputs with a view to issuing a joint statement on the notion of short-term enforced </w:t>
      </w:r>
      <w:proofErr w:type="gramStart"/>
      <w:r w:rsidRPr="0039705C">
        <w:rPr>
          <w:rFonts w:ascii="Garamond" w:hAnsi="Garamond"/>
          <w:b/>
          <w:sz w:val="36"/>
          <w:szCs w:val="36"/>
          <w:lang w:val="en-US"/>
        </w:rPr>
        <w:t>disappearance</w:t>
      </w:r>
      <w:proofErr w:type="gramEnd"/>
    </w:p>
    <w:p w14:paraId="6F66809D" w14:textId="77777777" w:rsidR="008A3DDD" w:rsidRPr="0039705C" w:rsidRDefault="008A3DDD" w:rsidP="008A3DDD">
      <w:pPr>
        <w:jc w:val="center"/>
        <w:rPr>
          <w:rFonts w:ascii="Garamond" w:hAnsi="Garamond"/>
          <w:sz w:val="22"/>
          <w:szCs w:val="22"/>
          <w:lang w:val="en-US"/>
        </w:rPr>
      </w:pPr>
    </w:p>
    <w:p w14:paraId="4A60F627" w14:textId="77777777" w:rsidR="008A3DDD" w:rsidRPr="0039705C" w:rsidRDefault="008A3DDD" w:rsidP="008A3DDD">
      <w:pPr>
        <w:jc w:val="center"/>
        <w:rPr>
          <w:rFonts w:ascii="Garamond" w:hAnsi="Garamond"/>
          <w:sz w:val="22"/>
          <w:szCs w:val="22"/>
          <w:lang w:val="en-US"/>
        </w:rPr>
      </w:pPr>
    </w:p>
    <w:p w14:paraId="04D01E66" w14:textId="77777777" w:rsidR="008A3DDD" w:rsidRPr="0039705C" w:rsidRDefault="008A3DDD" w:rsidP="008A3DDD">
      <w:pPr>
        <w:jc w:val="center"/>
        <w:rPr>
          <w:rFonts w:ascii="Garamond" w:hAnsi="Garamond"/>
          <w:sz w:val="22"/>
          <w:szCs w:val="22"/>
          <w:lang w:val="en-US"/>
        </w:rPr>
      </w:pPr>
    </w:p>
    <w:p w14:paraId="3F2AD591" w14:textId="75ED713D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  <w:r w:rsidRPr="0039705C">
        <w:rPr>
          <w:rFonts w:ascii="Garamond" w:hAnsi="Garamond"/>
          <w:b/>
          <w:sz w:val="28"/>
          <w:szCs w:val="28"/>
          <w:lang w:val="en-US"/>
        </w:rPr>
        <w:t xml:space="preserve">Submitted </w:t>
      </w:r>
      <w:r w:rsidR="0039705C" w:rsidRPr="0039705C">
        <w:rPr>
          <w:rFonts w:ascii="Garamond" w:hAnsi="Garamond"/>
          <w:b/>
          <w:sz w:val="28"/>
          <w:szCs w:val="28"/>
          <w:lang w:val="en-US"/>
        </w:rPr>
        <w:t>15 August 2023</w:t>
      </w:r>
    </w:p>
    <w:p w14:paraId="69500373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3DA14292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6E83B52D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4DCA6CE4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69C0563F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12B98C8D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7351B2A5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203F5157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38203193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461AAC5E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0853756F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04CCCA4A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3F793DBE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29427918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762C43BD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1B2FA871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0E5DB76B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3C523879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394D4111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6DB795C6" w14:textId="77777777" w:rsidR="0039705C" w:rsidRPr="0039705C" w:rsidRDefault="0039705C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63C5EB1C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3AD98B61" w14:textId="77777777" w:rsidR="008A3DDD" w:rsidRPr="0039705C" w:rsidRDefault="008A3DDD" w:rsidP="008A3DDD">
      <w:pPr>
        <w:jc w:val="center"/>
        <w:rPr>
          <w:rFonts w:ascii="Garamond" w:hAnsi="Garamond"/>
          <w:b/>
          <w:sz w:val="28"/>
          <w:szCs w:val="28"/>
          <w:lang w:val="en-US"/>
        </w:rPr>
      </w:pPr>
      <w:r w:rsidRPr="0039705C">
        <w:rPr>
          <w:rFonts w:ascii="Garamond" w:hAnsi="Garamond"/>
          <w:b/>
          <w:sz w:val="28"/>
          <w:szCs w:val="28"/>
          <w:lang w:val="en-US"/>
        </w:rPr>
        <w:t xml:space="preserve"> </w:t>
      </w:r>
    </w:p>
    <w:p w14:paraId="1BFDEE6B" w14:textId="2ED5225E" w:rsidR="008A3DDD" w:rsidRDefault="008A3DDD" w:rsidP="008A3DDD">
      <w:pPr>
        <w:rPr>
          <w:rFonts w:ascii="Garamond" w:hAnsi="Garamond"/>
          <w:b/>
          <w:sz w:val="28"/>
          <w:szCs w:val="28"/>
          <w:u w:val="single"/>
        </w:rPr>
      </w:pPr>
    </w:p>
    <w:p w14:paraId="12948278" w14:textId="77777777" w:rsidR="0039705C" w:rsidRPr="0039705C" w:rsidRDefault="0039705C" w:rsidP="008A3DDD">
      <w:pPr>
        <w:rPr>
          <w:rFonts w:ascii="Garamond" w:hAnsi="Garamond"/>
          <w:b/>
          <w:sz w:val="28"/>
          <w:szCs w:val="28"/>
          <w:u w:val="single"/>
        </w:rPr>
      </w:pPr>
    </w:p>
    <w:p w14:paraId="138DD37E" w14:textId="3756CDE6" w:rsidR="00AB5B6F" w:rsidRPr="0039705C" w:rsidRDefault="00AB5B6F" w:rsidP="008A3DDD">
      <w:pPr>
        <w:rPr>
          <w:rFonts w:ascii="Garamond" w:hAnsi="Garamond"/>
          <w:sz w:val="24"/>
          <w:szCs w:val="24"/>
          <w:lang w:eastAsia="en-GB"/>
        </w:rPr>
      </w:pPr>
    </w:p>
    <w:p w14:paraId="42F74637" w14:textId="79096A75" w:rsidR="009F00AF" w:rsidRPr="0039705C" w:rsidRDefault="00DB0B9D" w:rsidP="009F00AF">
      <w:pPr>
        <w:pStyle w:val="BodyA"/>
        <w:outlineLvl w:val="0"/>
        <w:rPr>
          <w:rFonts w:ascii="Garamond" w:eastAsia="Times New Roman" w:hAnsi="Garamond" w:cs="Times New Roman"/>
          <w:bCs/>
          <w:color w:val="auto"/>
          <w:sz w:val="32"/>
          <w:szCs w:val="32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9705C">
        <w:rPr>
          <w:rFonts w:ascii="Garamond" w:eastAsia="Times New Roman" w:hAnsi="Garamond" w:cs="Times New Roman"/>
          <w:b/>
          <w:color w:val="auto"/>
          <w:sz w:val="32"/>
          <w:szCs w:val="32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About the </w:t>
      </w:r>
      <w:r w:rsidR="00D020CE" w:rsidRPr="0039705C">
        <w:rPr>
          <w:rFonts w:ascii="Garamond" w:eastAsia="Times New Roman" w:hAnsi="Garamond" w:cs="Times New Roman"/>
          <w:b/>
          <w:color w:val="auto"/>
          <w:sz w:val="32"/>
          <w:szCs w:val="32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39705C">
        <w:rPr>
          <w:rFonts w:ascii="Garamond" w:eastAsia="Times New Roman" w:hAnsi="Garamond" w:cs="Times New Roman"/>
          <w:b/>
          <w:color w:val="auto"/>
          <w:sz w:val="32"/>
          <w:szCs w:val="32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ubmitting </w:t>
      </w:r>
      <w:r w:rsidR="00D020CE" w:rsidRPr="0039705C">
        <w:rPr>
          <w:rFonts w:ascii="Garamond" w:eastAsia="Times New Roman" w:hAnsi="Garamond" w:cs="Times New Roman"/>
          <w:b/>
          <w:color w:val="auto"/>
          <w:sz w:val="32"/>
          <w:szCs w:val="32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O</w:t>
      </w:r>
      <w:r w:rsidRPr="0039705C">
        <w:rPr>
          <w:rFonts w:ascii="Garamond" w:eastAsia="Times New Roman" w:hAnsi="Garamond" w:cs="Times New Roman"/>
          <w:b/>
          <w:color w:val="auto"/>
          <w:sz w:val="32"/>
          <w:szCs w:val="32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rganization</w:t>
      </w:r>
    </w:p>
    <w:p w14:paraId="6BFE7B8D" w14:textId="1CD6B813" w:rsidR="00DB0B9D" w:rsidRPr="0039705C" w:rsidRDefault="00DB0B9D" w:rsidP="009F00AF">
      <w:pPr>
        <w:pStyle w:val="BodyA"/>
        <w:outlineLvl w:val="0"/>
        <w:rPr>
          <w:rFonts w:ascii="Garamond" w:eastAsia="Times New Roman" w:hAnsi="Garamond" w:cs="Times New Roman"/>
          <w:bCs/>
          <w:color w:val="auto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ACFE8E" w14:textId="66515F40" w:rsidR="00DB0B9D" w:rsidRPr="0039705C" w:rsidRDefault="00DB0B9D" w:rsidP="00DB0B9D">
      <w:pPr>
        <w:shd w:val="clear" w:color="auto" w:fill="FFFFFF"/>
        <w:spacing w:after="384"/>
        <w:textAlignment w:val="baseline"/>
        <w:rPr>
          <w:rFonts w:ascii="Garamond" w:hAnsi="Garamond" w:cstheme="majorBidi"/>
          <w:color w:val="000000"/>
          <w:sz w:val="24"/>
          <w:szCs w:val="24"/>
          <w:lang w:val="en-US" w:eastAsia="da-DK"/>
        </w:rPr>
      </w:pP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DIGNITY is an independent human rights and development organization. Our vision is a world free of torture and </w:t>
      </w:r>
      <w:r w:rsidR="00C470EC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other </w:t>
      </w: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cruel, inhuman, </w:t>
      </w:r>
      <w:r w:rsidR="00C470EC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or </w:t>
      </w: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>degrading treatment.</w:t>
      </w:r>
    </w:p>
    <w:p w14:paraId="0AAE84F3" w14:textId="6437E3CF" w:rsidR="00DB0B9D" w:rsidRPr="0039705C" w:rsidRDefault="00DB0B9D" w:rsidP="00DB0B9D">
      <w:pPr>
        <w:shd w:val="clear" w:color="auto" w:fill="FFFFFF"/>
        <w:spacing w:after="384"/>
        <w:textAlignment w:val="baseline"/>
        <w:rPr>
          <w:rFonts w:ascii="Garamond" w:hAnsi="Garamond" w:cstheme="majorBidi"/>
          <w:color w:val="000000"/>
          <w:sz w:val="24"/>
          <w:szCs w:val="24"/>
          <w:lang w:val="en-US" w:eastAsia="da-DK"/>
        </w:rPr>
      </w:pP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Founded in 1982, DIGNITY is one of the world’s first anti-torture NGOs and specialized treatment </w:t>
      </w:r>
      <w:r w:rsidRPr="0039705C">
        <w:rPr>
          <w:rFonts w:ascii="Garamond" w:hAnsi="Garamond" w:cstheme="majorBidi"/>
          <w:color w:val="000000"/>
          <w:sz w:val="24"/>
          <w:szCs w:val="24"/>
          <w:lang w:eastAsia="da-DK"/>
        </w:rPr>
        <w:t>centres</w:t>
      </w: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 for torture survivors. For 40 years, DIGNITY has been a leading civil society force in the global fight against torture</w:t>
      </w:r>
      <w:r w:rsidR="008C7A2D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 and today our programming spans the health, legal and political sectors. </w:t>
      </w:r>
    </w:p>
    <w:p w14:paraId="642F1F50" w14:textId="6E3BB6D7" w:rsidR="00DB0B9D" w:rsidRPr="0039705C" w:rsidRDefault="00DB0B9D" w:rsidP="00DB0B9D">
      <w:pPr>
        <w:shd w:val="clear" w:color="auto" w:fill="FFFFFF"/>
        <w:spacing w:after="384"/>
        <w:textAlignment w:val="baseline"/>
        <w:rPr>
          <w:rFonts w:ascii="Garamond" w:hAnsi="Garamond" w:cstheme="majorBidi"/>
          <w:color w:val="000000"/>
          <w:sz w:val="24"/>
          <w:szCs w:val="24"/>
          <w:lang w:val="en-US" w:eastAsia="da-DK"/>
        </w:rPr>
      </w:pP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>DIGNITY is headquartered in Copenhagen</w:t>
      </w:r>
      <w:r w:rsidR="008C7A2D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>,</w:t>
      </w:r>
      <w:r w:rsidR="003959D3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 Denmark,</w:t>
      </w:r>
      <w:r w:rsidR="008C7A2D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 has country offices i</w:t>
      </w:r>
      <w:r w:rsidR="009D555E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>n</w:t>
      </w:r>
      <w:r w:rsidR="008C7A2D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 Jordan and Tunisia,</w:t>
      </w: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 and currently employs around 140 staff globally. We have active partnerships with more than 30 local and international NGOs and research institutions around the world.</w:t>
      </w:r>
    </w:p>
    <w:p w14:paraId="7ED13360" w14:textId="2D9BF28F" w:rsidR="00DB0B9D" w:rsidRPr="0039705C" w:rsidRDefault="00DB0B9D" w:rsidP="00DB0B9D">
      <w:pPr>
        <w:shd w:val="clear" w:color="auto" w:fill="FFFFFF"/>
        <w:textAlignment w:val="baseline"/>
        <w:rPr>
          <w:rFonts w:ascii="Garamond" w:hAnsi="Garamond" w:cstheme="majorBidi"/>
          <w:color w:val="000000"/>
          <w:sz w:val="24"/>
          <w:szCs w:val="24"/>
          <w:lang w:val="en-US" w:eastAsia="da-DK"/>
        </w:rPr>
      </w:pP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DIGNITY operates in </w:t>
      </w:r>
      <w:r w:rsidR="003959D3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more than </w:t>
      </w: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20 countries in Africa, </w:t>
      </w:r>
      <w:r w:rsidR="0019408B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the </w:t>
      </w:r>
      <w:r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>Middle East, Asia, Eastern Europe, and Central America, where we work in close partnerships with human rights defenders, civil society organizations and, where possible, government authorities.</w:t>
      </w:r>
      <w:r w:rsidR="001C151C" w:rsidRPr="0039705C">
        <w:rPr>
          <w:rFonts w:ascii="Garamond" w:hAnsi="Garamond" w:cstheme="majorBidi"/>
          <w:color w:val="000000"/>
          <w:sz w:val="24"/>
          <w:szCs w:val="24"/>
          <w:lang w:val="en-US" w:eastAsia="da-DK"/>
        </w:rPr>
        <w:t xml:space="preserve"> DIGNITY is a </w:t>
      </w:r>
      <w:r w:rsidR="001C151C" w:rsidRPr="0039705C">
        <w:rPr>
          <w:rFonts w:ascii="Garamond" w:hAnsi="Garamond"/>
          <w:sz w:val="24"/>
          <w:szCs w:val="24"/>
        </w:rPr>
        <w:t>member of the World Health Organization’s Violence Prevention Alliance and the UN Sub-Committee on Prevention of Torture</w:t>
      </w:r>
      <w:r w:rsidR="00C37628" w:rsidRPr="0039705C">
        <w:rPr>
          <w:rFonts w:ascii="Garamond" w:hAnsi="Garamond"/>
          <w:sz w:val="24"/>
          <w:szCs w:val="24"/>
        </w:rPr>
        <w:t>.</w:t>
      </w:r>
    </w:p>
    <w:p w14:paraId="025D1D0C" w14:textId="77777777" w:rsidR="00630C7B" w:rsidRPr="0039705C" w:rsidRDefault="00630C7B" w:rsidP="00DB0B9D">
      <w:pPr>
        <w:shd w:val="clear" w:color="auto" w:fill="FFFFFF"/>
        <w:textAlignment w:val="baseline"/>
        <w:rPr>
          <w:rFonts w:ascii="Garamond" w:hAnsi="Garamond" w:cstheme="majorBidi"/>
          <w:color w:val="000000"/>
          <w:sz w:val="24"/>
          <w:szCs w:val="24"/>
          <w:lang w:val="en-US" w:eastAsia="da-DK"/>
        </w:rPr>
      </w:pPr>
    </w:p>
    <w:p w14:paraId="46DD864E" w14:textId="062DF532" w:rsidR="00DB0B9D" w:rsidRPr="0039705C" w:rsidRDefault="00DB0B9D" w:rsidP="009F00AF">
      <w:pPr>
        <w:pStyle w:val="BodyA"/>
        <w:outlineLvl w:val="0"/>
        <w:rPr>
          <w:rStyle w:val="None"/>
          <w:rFonts w:ascii="Garamond" w:hAnsi="Garamond" w:cs="Times New Roman"/>
          <w:b/>
          <w:bCs/>
        </w:rPr>
      </w:pPr>
    </w:p>
    <w:p w14:paraId="2C242574" w14:textId="77777777" w:rsidR="00630C7B" w:rsidRPr="0039705C" w:rsidRDefault="00630C7B" w:rsidP="009F00AF">
      <w:pPr>
        <w:pStyle w:val="BodyA"/>
        <w:outlineLvl w:val="0"/>
        <w:rPr>
          <w:rStyle w:val="None"/>
          <w:rFonts w:ascii="Garamond" w:hAnsi="Garamond" w:cs="Times New Roman"/>
          <w:b/>
          <w:bCs/>
        </w:rPr>
      </w:pPr>
    </w:p>
    <w:p w14:paraId="3EBA6194" w14:textId="63CB0564" w:rsidR="00630C7B" w:rsidRPr="0039705C" w:rsidRDefault="00630C7B" w:rsidP="00630C7B">
      <w:pPr>
        <w:pStyle w:val="Heading1"/>
        <w:ind w:left="0"/>
        <w:jc w:val="left"/>
        <w:rPr>
          <w:rFonts w:ascii="Garamond" w:hAnsi="Garamond" w:cstheme="majorBidi"/>
          <w:sz w:val="32"/>
          <w:szCs w:val="32"/>
          <w:u w:val="single"/>
        </w:rPr>
      </w:pPr>
      <w:bookmarkStart w:id="0" w:name="_Toc48734680"/>
    </w:p>
    <w:p w14:paraId="5FF4A0BC" w14:textId="77777777" w:rsidR="0039705C" w:rsidRPr="0039705C" w:rsidRDefault="0039705C" w:rsidP="0039705C">
      <w:pPr>
        <w:rPr>
          <w:rFonts w:ascii="Garamond" w:hAnsi="Garamond"/>
        </w:rPr>
      </w:pPr>
    </w:p>
    <w:p w14:paraId="610375E8" w14:textId="77777777" w:rsidR="0039705C" w:rsidRPr="0039705C" w:rsidRDefault="0039705C" w:rsidP="0039705C">
      <w:pPr>
        <w:rPr>
          <w:rFonts w:ascii="Garamond" w:hAnsi="Garamond"/>
        </w:rPr>
      </w:pPr>
    </w:p>
    <w:p w14:paraId="11F50DE9" w14:textId="77777777" w:rsidR="0039705C" w:rsidRPr="0039705C" w:rsidRDefault="0039705C" w:rsidP="0039705C">
      <w:pPr>
        <w:rPr>
          <w:rFonts w:ascii="Garamond" w:hAnsi="Garamond"/>
        </w:rPr>
      </w:pPr>
    </w:p>
    <w:p w14:paraId="43CF3210" w14:textId="77777777" w:rsidR="0039705C" w:rsidRPr="0039705C" w:rsidRDefault="0039705C" w:rsidP="0039705C">
      <w:pPr>
        <w:rPr>
          <w:rFonts w:ascii="Garamond" w:hAnsi="Garamond"/>
        </w:rPr>
      </w:pPr>
    </w:p>
    <w:p w14:paraId="372EE278" w14:textId="77777777" w:rsidR="0039705C" w:rsidRPr="0039705C" w:rsidRDefault="0039705C" w:rsidP="0039705C">
      <w:pPr>
        <w:rPr>
          <w:rFonts w:ascii="Garamond" w:hAnsi="Garamond"/>
        </w:rPr>
      </w:pPr>
    </w:p>
    <w:p w14:paraId="14CF6712" w14:textId="77777777" w:rsidR="0039705C" w:rsidRPr="0039705C" w:rsidRDefault="0039705C" w:rsidP="0039705C">
      <w:pPr>
        <w:rPr>
          <w:rFonts w:ascii="Garamond" w:hAnsi="Garamond"/>
        </w:rPr>
      </w:pPr>
    </w:p>
    <w:p w14:paraId="0B49EE7C" w14:textId="77777777" w:rsidR="0039705C" w:rsidRPr="0039705C" w:rsidRDefault="0039705C" w:rsidP="0039705C">
      <w:pPr>
        <w:rPr>
          <w:rFonts w:ascii="Garamond" w:hAnsi="Garamond"/>
        </w:rPr>
      </w:pPr>
    </w:p>
    <w:p w14:paraId="203A51F9" w14:textId="77777777" w:rsidR="0039705C" w:rsidRPr="0039705C" w:rsidRDefault="0039705C" w:rsidP="0039705C">
      <w:pPr>
        <w:rPr>
          <w:rFonts w:ascii="Garamond" w:hAnsi="Garamond"/>
        </w:rPr>
      </w:pPr>
    </w:p>
    <w:p w14:paraId="33D18D95" w14:textId="77777777" w:rsidR="0039705C" w:rsidRPr="0039705C" w:rsidRDefault="0039705C" w:rsidP="0039705C">
      <w:pPr>
        <w:rPr>
          <w:rFonts w:ascii="Garamond" w:hAnsi="Garamond"/>
        </w:rPr>
      </w:pPr>
    </w:p>
    <w:p w14:paraId="46BE0FF9" w14:textId="77777777" w:rsidR="0039705C" w:rsidRPr="0039705C" w:rsidRDefault="0039705C" w:rsidP="0039705C">
      <w:pPr>
        <w:rPr>
          <w:rFonts w:ascii="Garamond" w:hAnsi="Garamond"/>
        </w:rPr>
      </w:pPr>
    </w:p>
    <w:p w14:paraId="7CAEF4B5" w14:textId="77777777" w:rsidR="0039705C" w:rsidRPr="0039705C" w:rsidRDefault="0039705C" w:rsidP="0039705C">
      <w:pPr>
        <w:rPr>
          <w:rFonts w:ascii="Garamond" w:hAnsi="Garamond"/>
        </w:rPr>
      </w:pPr>
    </w:p>
    <w:p w14:paraId="0919DD2B" w14:textId="77777777" w:rsidR="0039705C" w:rsidRPr="0039705C" w:rsidRDefault="0039705C" w:rsidP="0039705C">
      <w:pPr>
        <w:rPr>
          <w:rFonts w:ascii="Garamond" w:hAnsi="Garamond"/>
        </w:rPr>
      </w:pPr>
    </w:p>
    <w:p w14:paraId="691A2554" w14:textId="77777777" w:rsidR="0039705C" w:rsidRPr="0039705C" w:rsidRDefault="0039705C" w:rsidP="0039705C">
      <w:pPr>
        <w:rPr>
          <w:rFonts w:ascii="Garamond" w:hAnsi="Garamond"/>
        </w:rPr>
      </w:pPr>
    </w:p>
    <w:p w14:paraId="2C735C52" w14:textId="77777777" w:rsidR="0039705C" w:rsidRPr="0039705C" w:rsidRDefault="0039705C" w:rsidP="0039705C">
      <w:pPr>
        <w:rPr>
          <w:rFonts w:ascii="Garamond" w:hAnsi="Garamond"/>
        </w:rPr>
      </w:pPr>
    </w:p>
    <w:p w14:paraId="61CD1E1E" w14:textId="77777777" w:rsidR="0039705C" w:rsidRPr="0039705C" w:rsidRDefault="0039705C" w:rsidP="0039705C">
      <w:pPr>
        <w:rPr>
          <w:rFonts w:ascii="Garamond" w:hAnsi="Garamond"/>
        </w:rPr>
      </w:pPr>
    </w:p>
    <w:p w14:paraId="22DD5A9D" w14:textId="77777777" w:rsidR="0039705C" w:rsidRPr="0039705C" w:rsidRDefault="0039705C" w:rsidP="0039705C">
      <w:pPr>
        <w:rPr>
          <w:rFonts w:ascii="Garamond" w:hAnsi="Garamond"/>
        </w:rPr>
      </w:pPr>
    </w:p>
    <w:p w14:paraId="4B25B81D" w14:textId="77777777" w:rsidR="0039705C" w:rsidRPr="0039705C" w:rsidRDefault="0039705C" w:rsidP="0039705C">
      <w:pPr>
        <w:rPr>
          <w:rFonts w:ascii="Garamond" w:hAnsi="Garamond"/>
        </w:rPr>
      </w:pPr>
    </w:p>
    <w:p w14:paraId="1DDA4675" w14:textId="77777777" w:rsidR="0039705C" w:rsidRPr="0039705C" w:rsidRDefault="0039705C" w:rsidP="0039705C">
      <w:pPr>
        <w:rPr>
          <w:rFonts w:ascii="Garamond" w:hAnsi="Garamond"/>
        </w:rPr>
      </w:pPr>
    </w:p>
    <w:p w14:paraId="4326F209" w14:textId="77777777" w:rsidR="0039705C" w:rsidRPr="0039705C" w:rsidRDefault="0039705C" w:rsidP="0039705C">
      <w:pPr>
        <w:rPr>
          <w:rFonts w:ascii="Garamond" w:hAnsi="Garamond"/>
        </w:rPr>
      </w:pPr>
    </w:p>
    <w:p w14:paraId="14CCD88B" w14:textId="77777777" w:rsidR="0039705C" w:rsidRPr="0039705C" w:rsidRDefault="0039705C" w:rsidP="0039705C">
      <w:pPr>
        <w:rPr>
          <w:rFonts w:ascii="Garamond" w:hAnsi="Garamond"/>
        </w:rPr>
      </w:pPr>
    </w:p>
    <w:p w14:paraId="296CDCFC" w14:textId="77777777" w:rsidR="0039705C" w:rsidRPr="0039705C" w:rsidRDefault="0039705C" w:rsidP="0039705C">
      <w:pPr>
        <w:rPr>
          <w:rFonts w:ascii="Garamond" w:hAnsi="Garamond"/>
        </w:rPr>
      </w:pPr>
    </w:p>
    <w:p w14:paraId="0436803E" w14:textId="77777777" w:rsidR="0039705C" w:rsidRPr="0039705C" w:rsidRDefault="0039705C" w:rsidP="0039705C">
      <w:pPr>
        <w:rPr>
          <w:rFonts w:ascii="Garamond" w:hAnsi="Garamond"/>
        </w:rPr>
      </w:pPr>
    </w:p>
    <w:p w14:paraId="402B41A1" w14:textId="77777777" w:rsidR="0039705C" w:rsidRPr="0039705C" w:rsidRDefault="0039705C" w:rsidP="0039705C">
      <w:pPr>
        <w:rPr>
          <w:rFonts w:ascii="Garamond" w:hAnsi="Garamond"/>
        </w:rPr>
      </w:pPr>
    </w:p>
    <w:p w14:paraId="461591FD" w14:textId="77777777" w:rsidR="0039705C" w:rsidRPr="0039705C" w:rsidRDefault="0039705C" w:rsidP="0039705C">
      <w:pPr>
        <w:rPr>
          <w:rFonts w:ascii="Garamond" w:hAnsi="Garamond"/>
        </w:rPr>
      </w:pPr>
    </w:p>
    <w:p w14:paraId="25D07B36" w14:textId="77777777" w:rsidR="0039705C" w:rsidRPr="0039705C" w:rsidRDefault="0039705C" w:rsidP="0039705C">
      <w:pPr>
        <w:rPr>
          <w:rFonts w:ascii="Garamond" w:hAnsi="Garamond"/>
        </w:rPr>
      </w:pPr>
    </w:p>
    <w:p w14:paraId="6AAF8053" w14:textId="77777777" w:rsidR="0039705C" w:rsidRPr="0039705C" w:rsidRDefault="0039705C" w:rsidP="0039705C">
      <w:pPr>
        <w:rPr>
          <w:rFonts w:ascii="Garamond" w:hAnsi="Garamond"/>
        </w:rPr>
      </w:pPr>
    </w:p>
    <w:p w14:paraId="7E9AB1F4" w14:textId="77777777" w:rsidR="00630C7B" w:rsidRPr="0039705C" w:rsidRDefault="00630C7B" w:rsidP="00630C7B">
      <w:pPr>
        <w:rPr>
          <w:rFonts w:ascii="Garamond" w:hAnsi="Garamond"/>
        </w:rPr>
      </w:pPr>
    </w:p>
    <w:p w14:paraId="003379F8" w14:textId="6FA4A5BF" w:rsidR="00630C7B" w:rsidRPr="0039705C" w:rsidRDefault="00630C7B" w:rsidP="00630C7B">
      <w:pPr>
        <w:pStyle w:val="Heading1"/>
        <w:ind w:left="0"/>
        <w:jc w:val="left"/>
        <w:rPr>
          <w:rFonts w:ascii="Garamond" w:hAnsi="Garamond" w:cstheme="majorBidi"/>
          <w:sz w:val="32"/>
          <w:szCs w:val="32"/>
          <w:u w:val="single"/>
        </w:rPr>
      </w:pPr>
    </w:p>
    <w:p w14:paraId="639696E2" w14:textId="77777777" w:rsidR="00630C7B" w:rsidRPr="0039705C" w:rsidRDefault="00630C7B" w:rsidP="00630C7B">
      <w:pPr>
        <w:rPr>
          <w:rFonts w:ascii="Garamond" w:hAnsi="Garamond"/>
        </w:rPr>
      </w:pPr>
    </w:p>
    <w:bookmarkEnd w:id="0"/>
    <w:p w14:paraId="29D8CEEE" w14:textId="6F723F2E" w:rsidR="003474A5" w:rsidRPr="0039705C" w:rsidRDefault="00C26965" w:rsidP="0039705C">
      <w:pPr>
        <w:shd w:val="clear" w:color="auto" w:fill="FFFFFF"/>
        <w:spacing w:line="259" w:lineRule="auto"/>
        <w:outlineLvl w:val="2"/>
        <w:rPr>
          <w:rFonts w:ascii="Garamond" w:hAnsi="Garamond" w:cstheme="majorBidi"/>
          <w:sz w:val="24"/>
          <w:szCs w:val="24"/>
        </w:rPr>
      </w:pPr>
    </w:p>
    <w:p w14:paraId="3B703C1C" w14:textId="77777777" w:rsidR="0039705C" w:rsidRDefault="0039705C" w:rsidP="0039705C">
      <w:pPr>
        <w:shd w:val="clear" w:color="auto" w:fill="FFFFFF"/>
        <w:spacing w:line="259" w:lineRule="auto"/>
        <w:outlineLvl w:val="2"/>
        <w:rPr>
          <w:rFonts w:ascii="Garamond" w:hAnsi="Garamond" w:cstheme="majorBidi"/>
          <w:sz w:val="24"/>
          <w:szCs w:val="24"/>
        </w:rPr>
      </w:pPr>
    </w:p>
    <w:p w14:paraId="3E470C3E" w14:textId="77777777" w:rsidR="0039705C" w:rsidRDefault="0039705C" w:rsidP="0039705C">
      <w:pPr>
        <w:shd w:val="clear" w:color="auto" w:fill="FFFFFF"/>
        <w:spacing w:line="259" w:lineRule="auto"/>
        <w:outlineLvl w:val="2"/>
        <w:rPr>
          <w:rFonts w:ascii="Garamond" w:hAnsi="Garamond" w:cstheme="majorBidi"/>
          <w:sz w:val="24"/>
          <w:szCs w:val="24"/>
        </w:rPr>
      </w:pPr>
    </w:p>
    <w:p w14:paraId="08B50660" w14:textId="77777777" w:rsidR="0039705C" w:rsidRDefault="0039705C" w:rsidP="0039705C">
      <w:pPr>
        <w:shd w:val="clear" w:color="auto" w:fill="FFFFFF"/>
        <w:spacing w:line="259" w:lineRule="auto"/>
        <w:outlineLvl w:val="2"/>
        <w:rPr>
          <w:rFonts w:ascii="Garamond" w:hAnsi="Garamond" w:cstheme="majorBidi"/>
          <w:sz w:val="24"/>
          <w:szCs w:val="24"/>
        </w:rPr>
      </w:pPr>
    </w:p>
    <w:p w14:paraId="5D8DF0AC" w14:textId="30ECD090" w:rsidR="00292E45" w:rsidRPr="00292E45" w:rsidRDefault="00292E45" w:rsidP="00C71D80">
      <w:pPr>
        <w:spacing w:before="100" w:beforeAutospacing="1" w:after="100" w:afterAutospacing="1"/>
        <w:rPr>
          <w:rFonts w:ascii="Garamond" w:hAnsi="Garamond"/>
          <w:b/>
          <w:bCs/>
          <w:sz w:val="32"/>
          <w:szCs w:val="32"/>
          <w:u w:val="single"/>
          <w:lang w:val="en-US" w:eastAsia="da-DK"/>
        </w:rPr>
      </w:pPr>
      <w:r w:rsidRPr="00292E45">
        <w:rPr>
          <w:rFonts w:ascii="Garamond" w:hAnsi="Garamond"/>
          <w:b/>
          <w:bCs/>
          <w:sz w:val="32"/>
          <w:szCs w:val="32"/>
          <w:u w:val="single"/>
          <w:lang w:val="en-US" w:eastAsia="da-DK"/>
        </w:rPr>
        <w:lastRenderedPageBreak/>
        <w:t>Contribution to joint statement on the notion of short-term enforced disappearance: impunity as enabling legal framework, a</w:t>
      </w:r>
      <w:r>
        <w:rPr>
          <w:rFonts w:ascii="Garamond" w:hAnsi="Garamond"/>
          <w:b/>
          <w:bCs/>
          <w:sz w:val="32"/>
          <w:szCs w:val="32"/>
          <w:u w:val="single"/>
          <w:lang w:val="en-US" w:eastAsia="da-DK"/>
        </w:rPr>
        <w:t xml:space="preserve"> brief</w:t>
      </w:r>
      <w:r w:rsidRPr="00292E45">
        <w:rPr>
          <w:rFonts w:ascii="Garamond" w:hAnsi="Garamond"/>
          <w:b/>
          <w:bCs/>
          <w:sz w:val="32"/>
          <w:szCs w:val="32"/>
          <w:u w:val="single"/>
          <w:lang w:val="en-US" w:eastAsia="da-DK"/>
        </w:rPr>
        <w:t xml:space="preserve"> case study of </w:t>
      </w:r>
      <w:proofErr w:type="gramStart"/>
      <w:r w:rsidRPr="00292E45">
        <w:rPr>
          <w:rFonts w:ascii="Garamond" w:hAnsi="Garamond"/>
          <w:b/>
          <w:bCs/>
          <w:sz w:val="32"/>
          <w:szCs w:val="32"/>
          <w:u w:val="single"/>
          <w:lang w:val="en-US" w:eastAsia="da-DK"/>
        </w:rPr>
        <w:t>Egypt</w:t>
      </w:r>
      <w:proofErr w:type="gramEnd"/>
    </w:p>
    <w:p w14:paraId="4C2AC3FA" w14:textId="13346EDE" w:rsidR="00C71D80" w:rsidRDefault="00421128" w:rsidP="00C71D80">
      <w:pPr>
        <w:spacing w:before="100" w:beforeAutospacing="1" w:after="100" w:afterAutospacing="1"/>
        <w:rPr>
          <w:rFonts w:ascii="Garamond" w:hAnsi="Garamond"/>
          <w:sz w:val="24"/>
          <w:szCs w:val="24"/>
          <w:lang w:val="en-US" w:eastAsia="da-DK"/>
        </w:rPr>
      </w:pPr>
      <w:r w:rsidRPr="0026375C">
        <w:rPr>
          <w:rFonts w:ascii="Garamond" w:hAnsi="Garamond"/>
          <w:sz w:val="24"/>
          <w:szCs w:val="24"/>
          <w:lang w:val="en-US" w:eastAsia="da-DK"/>
        </w:rPr>
        <w:t>The following submission is intended to provide information regarding the context</w:t>
      </w:r>
      <w:r w:rsidR="00E91F69">
        <w:rPr>
          <w:rFonts w:ascii="Garamond" w:hAnsi="Garamond"/>
          <w:sz w:val="24"/>
          <w:szCs w:val="24"/>
          <w:lang w:val="en-US" w:eastAsia="da-DK"/>
        </w:rPr>
        <w:t xml:space="preserve"> in Egypt</w:t>
      </w:r>
      <w:r w:rsidRPr="0026375C">
        <w:rPr>
          <w:rFonts w:ascii="Garamond" w:hAnsi="Garamond"/>
          <w:sz w:val="24"/>
          <w:szCs w:val="24"/>
          <w:lang w:val="en-US" w:eastAsia="da-DK"/>
        </w:rPr>
        <w:t xml:space="preserve"> </w:t>
      </w:r>
      <w:r w:rsidR="00C71D80">
        <w:rPr>
          <w:rFonts w:ascii="Garamond" w:hAnsi="Garamond"/>
          <w:sz w:val="24"/>
          <w:szCs w:val="24"/>
          <w:lang w:val="en-US" w:eastAsia="da-DK"/>
        </w:rPr>
        <w:t>where</w:t>
      </w:r>
      <w:r w:rsidR="00453002">
        <w:rPr>
          <w:rFonts w:ascii="Garamond" w:hAnsi="Garamond"/>
          <w:sz w:val="24"/>
          <w:szCs w:val="24"/>
          <w:lang w:val="en-US" w:eastAsia="da-DK"/>
        </w:rPr>
        <w:t xml:space="preserve"> </w:t>
      </w:r>
      <w:r w:rsidRPr="0026375C">
        <w:rPr>
          <w:rFonts w:ascii="Garamond" w:hAnsi="Garamond"/>
          <w:sz w:val="24"/>
          <w:szCs w:val="24"/>
          <w:lang w:val="en-US" w:eastAsia="da-DK"/>
        </w:rPr>
        <w:t>pervasive impunity</w:t>
      </w:r>
      <w:r w:rsidR="00D364F6">
        <w:rPr>
          <w:rFonts w:ascii="Garamond" w:hAnsi="Garamond"/>
          <w:sz w:val="24"/>
          <w:szCs w:val="24"/>
          <w:lang w:val="en-US" w:eastAsia="da-DK"/>
        </w:rPr>
        <w:t xml:space="preserve">, </w:t>
      </w:r>
      <w:r w:rsidRPr="0026375C">
        <w:rPr>
          <w:rFonts w:ascii="Garamond" w:hAnsi="Garamond"/>
          <w:sz w:val="24"/>
          <w:szCs w:val="24"/>
          <w:lang w:val="en-US" w:eastAsia="da-DK"/>
        </w:rPr>
        <w:t>at all levels of government and law enforcement</w:t>
      </w:r>
      <w:r w:rsidR="00D364F6">
        <w:rPr>
          <w:rFonts w:ascii="Garamond" w:hAnsi="Garamond"/>
          <w:sz w:val="24"/>
          <w:szCs w:val="24"/>
          <w:lang w:val="en-US" w:eastAsia="da-DK"/>
        </w:rPr>
        <w:t xml:space="preserve">, </w:t>
      </w:r>
      <w:r w:rsidRPr="0026375C">
        <w:rPr>
          <w:rFonts w:ascii="Garamond" w:hAnsi="Garamond"/>
          <w:sz w:val="24"/>
          <w:szCs w:val="24"/>
          <w:lang w:val="en-US" w:eastAsia="da-DK"/>
        </w:rPr>
        <w:t>facilitates and enables practices of short-term</w:t>
      </w:r>
      <w:r w:rsidR="00C92F22">
        <w:rPr>
          <w:rFonts w:ascii="Garamond" w:hAnsi="Garamond"/>
          <w:sz w:val="24"/>
          <w:szCs w:val="24"/>
          <w:lang w:val="en-US" w:eastAsia="da-DK"/>
        </w:rPr>
        <w:t xml:space="preserve"> enforced</w:t>
      </w:r>
      <w:r w:rsidRPr="0026375C">
        <w:rPr>
          <w:rFonts w:ascii="Garamond" w:hAnsi="Garamond"/>
          <w:sz w:val="24"/>
          <w:szCs w:val="24"/>
          <w:lang w:val="en-US" w:eastAsia="da-DK"/>
        </w:rPr>
        <w:t xml:space="preserve"> disappearance. </w:t>
      </w:r>
    </w:p>
    <w:p w14:paraId="66340F6A" w14:textId="77777777" w:rsidR="00C92F22" w:rsidRDefault="00C71D80" w:rsidP="00C71D80">
      <w:pPr>
        <w:spacing w:before="100" w:beforeAutospacing="1" w:after="100" w:afterAutospacing="1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 w:eastAsia="da-DK"/>
        </w:rPr>
        <w:t>Plainly</w:t>
      </w:r>
      <w:r w:rsidR="00E91F69">
        <w:rPr>
          <w:rFonts w:ascii="Garamond" w:hAnsi="Garamond"/>
          <w:sz w:val="24"/>
          <w:szCs w:val="24"/>
          <w:lang w:val="en-US" w:eastAsia="da-DK"/>
        </w:rPr>
        <w:t>, i</w:t>
      </w:r>
      <w:r w:rsidR="0039705C" w:rsidRPr="0026375C">
        <w:rPr>
          <w:rFonts w:ascii="Garamond" w:hAnsi="Garamond"/>
          <w:sz w:val="24"/>
          <w:szCs w:val="24"/>
          <w:lang w:val="en-US"/>
        </w:rPr>
        <w:t xml:space="preserve">mpunity </w:t>
      </w:r>
      <w:r w:rsidR="00E91F69">
        <w:rPr>
          <w:rFonts w:ascii="Garamond" w:hAnsi="Garamond"/>
          <w:sz w:val="24"/>
          <w:szCs w:val="24"/>
          <w:lang w:val="en-US"/>
        </w:rPr>
        <w:t xml:space="preserve">is </w:t>
      </w:r>
      <w:r w:rsidR="0026375C" w:rsidRPr="0026375C">
        <w:rPr>
          <w:rFonts w:ascii="Garamond" w:hAnsi="Garamond"/>
          <w:sz w:val="24"/>
          <w:szCs w:val="24"/>
          <w:lang w:val="en-US"/>
        </w:rPr>
        <w:t>the prevailing</w:t>
      </w:r>
      <w:r w:rsidR="0039705C" w:rsidRPr="0026375C">
        <w:rPr>
          <w:rFonts w:ascii="Garamond" w:hAnsi="Garamond"/>
          <w:sz w:val="24"/>
          <w:szCs w:val="24"/>
          <w:lang w:val="en-US"/>
        </w:rPr>
        <w:t xml:space="preserve"> framework supporting </w:t>
      </w:r>
      <w:r w:rsidR="00C92F22">
        <w:rPr>
          <w:rFonts w:ascii="Garamond" w:hAnsi="Garamond"/>
          <w:sz w:val="24"/>
          <w:szCs w:val="24"/>
          <w:lang w:val="en-US"/>
        </w:rPr>
        <w:t xml:space="preserve">widespread practices of </w:t>
      </w:r>
      <w:r w:rsidR="0039705C" w:rsidRPr="0026375C">
        <w:rPr>
          <w:rFonts w:ascii="Garamond" w:hAnsi="Garamond"/>
          <w:sz w:val="24"/>
          <w:szCs w:val="24"/>
          <w:lang w:val="en-US"/>
        </w:rPr>
        <w:t>enforced disappearance</w:t>
      </w:r>
      <w:r w:rsidR="00C92F22">
        <w:rPr>
          <w:rFonts w:ascii="Garamond" w:hAnsi="Garamond"/>
          <w:sz w:val="24"/>
          <w:szCs w:val="24"/>
          <w:lang w:val="en-US"/>
        </w:rPr>
        <w:t xml:space="preserve"> in Egypt. Egyptian legislation, judicial corruption and overall institutional capture by authoritarians work in concert to ensure a decade-long practice of politically motivated arbitrary arrests, enforced disappearances, torture and imprisonment</w:t>
      </w:r>
      <w:r w:rsidR="0039705C" w:rsidRPr="0026375C">
        <w:rPr>
          <w:rFonts w:ascii="Garamond" w:hAnsi="Garamond"/>
          <w:sz w:val="24"/>
          <w:szCs w:val="24"/>
          <w:lang w:val="en-US"/>
        </w:rPr>
        <w:t>.</w:t>
      </w:r>
    </w:p>
    <w:p w14:paraId="7059715C" w14:textId="119D6BFC" w:rsidR="0039705C" w:rsidRPr="00D364F6" w:rsidRDefault="00C92F22" w:rsidP="009A46D8">
      <w:pPr>
        <w:spacing w:after="160" w:line="259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In 2022 alone, Egypt’s Ministry of Interior and Army </w:t>
      </w:r>
      <w:r w:rsidR="0039154D">
        <w:rPr>
          <w:rFonts w:ascii="Garamond" w:hAnsi="Garamond"/>
          <w:sz w:val="24"/>
          <w:szCs w:val="24"/>
          <w:lang w:val="en-US"/>
        </w:rPr>
        <w:t>were responsible for the enforced disappearance of</w:t>
      </w:r>
      <w:r>
        <w:rPr>
          <w:rFonts w:ascii="Garamond" w:hAnsi="Garamond"/>
          <w:sz w:val="24"/>
          <w:szCs w:val="24"/>
          <w:lang w:val="en-US"/>
        </w:rPr>
        <w:t xml:space="preserve"> no less than 3,155 persons.</w:t>
      </w:r>
      <w:r>
        <w:rPr>
          <w:rStyle w:val="FootnoteReference"/>
          <w:rFonts w:ascii="Garamond" w:eastAsia="Garamond" w:hAnsi="Garamond" w:cs="Garamond"/>
          <w:sz w:val="24"/>
          <w:szCs w:val="24"/>
          <w:lang w:val="en-US"/>
        </w:rPr>
        <w:footnoteReference w:id="1"/>
      </w:r>
      <w:r>
        <w:rPr>
          <w:rFonts w:ascii="Garamond" w:hAnsi="Garamond"/>
          <w:sz w:val="24"/>
          <w:szCs w:val="24"/>
          <w:lang w:val="en-US"/>
        </w:rPr>
        <w:t xml:space="preserve"> In the preceding nine years, there were at least 16,955 cumulative cases</w:t>
      </w:r>
      <w:r w:rsidR="00E22DDE">
        <w:rPr>
          <w:rFonts w:ascii="Garamond" w:hAnsi="Garamond"/>
          <w:sz w:val="24"/>
          <w:szCs w:val="24"/>
          <w:lang w:val="en-US"/>
        </w:rPr>
        <w:t>.</w:t>
      </w:r>
      <w:r w:rsidR="00E22DDE">
        <w:rPr>
          <w:rStyle w:val="FootnoteReference"/>
          <w:rFonts w:ascii="Garamond" w:eastAsia="Garamond" w:hAnsi="Garamond" w:cs="Garamond"/>
          <w:sz w:val="24"/>
          <w:szCs w:val="24"/>
          <w:lang w:val="en-US"/>
        </w:rPr>
        <w:footnoteReference w:id="2"/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39705C" w:rsidRPr="0026375C">
        <w:rPr>
          <w:rFonts w:ascii="Garamond" w:hAnsi="Garamond"/>
          <w:sz w:val="24"/>
          <w:szCs w:val="24"/>
          <w:lang w:val="en-US"/>
        </w:rPr>
        <w:t xml:space="preserve"> </w:t>
      </w:r>
      <w:r w:rsidR="009A46D8">
        <w:rPr>
          <w:rFonts w:ascii="Garamond" w:hAnsi="Garamond" w:cstheme="minorHAnsi"/>
          <w:sz w:val="24"/>
          <w:szCs w:val="24"/>
        </w:rPr>
        <w:t>In February 2023, the Human Rights Committee, expressed concern for the “</w:t>
      </w:r>
      <w:r w:rsidR="009A46D8" w:rsidRPr="00E91F69">
        <w:rPr>
          <w:rFonts w:ascii="Garamond" w:hAnsi="Garamond"/>
          <w:sz w:val="24"/>
          <w:szCs w:val="24"/>
          <w:lang w:val="en-US"/>
        </w:rPr>
        <w:t>reportedly widespread use of incommunicado detention under counter-terrorism laws, which presents a significant systemic risk of short-term enforced disappearance, and reports of the enforced disappearance of individuals despite court orders for their release.</w:t>
      </w:r>
      <w:r w:rsidR="009A46D8">
        <w:rPr>
          <w:rFonts w:ascii="Garamond" w:hAnsi="Garamond"/>
          <w:sz w:val="24"/>
          <w:szCs w:val="24"/>
          <w:lang w:val="en-US"/>
        </w:rPr>
        <w:t>”</w:t>
      </w:r>
      <w:r w:rsidR="009A46D8">
        <w:rPr>
          <w:rStyle w:val="FootnoteReference"/>
          <w:rFonts w:ascii="Garamond" w:hAnsi="Garamond"/>
          <w:sz w:val="24"/>
          <w:szCs w:val="24"/>
          <w:lang w:val="en-US"/>
        </w:rPr>
        <w:footnoteReference w:id="3"/>
      </w:r>
      <w:r w:rsidR="009A46D8" w:rsidRPr="00E91F69">
        <w:rPr>
          <w:rFonts w:ascii="Garamond" w:hAnsi="Garamond"/>
          <w:sz w:val="24"/>
          <w:szCs w:val="24"/>
          <w:lang w:val="en-US"/>
        </w:rPr>
        <w:t xml:space="preserve"> </w:t>
      </w:r>
      <w:r w:rsidR="00A66EE1">
        <w:rPr>
          <w:rFonts w:ascii="Garamond" w:eastAsia="Garamond" w:hAnsi="Garamond" w:cs="Garamond"/>
          <w:sz w:val="24"/>
          <w:szCs w:val="24"/>
          <w:lang w:val="en-US"/>
        </w:rPr>
        <w:t>In such cases, a</w:t>
      </w:r>
      <w:r w:rsidR="0039705C" w:rsidRPr="0026375C">
        <w:rPr>
          <w:rFonts w:ascii="Garamond" w:eastAsia="Garamond" w:hAnsi="Garamond" w:cs="Garamond"/>
          <w:sz w:val="24"/>
          <w:szCs w:val="24"/>
          <w:lang w:val="en-US"/>
        </w:rPr>
        <w:t>uthorities arrest individuals without producing warrants and hold them in incommunicado detention in unspecified National Security Sector offices and police stations</w:t>
      </w:r>
      <w:r w:rsidR="00D364F6">
        <w:rPr>
          <w:rFonts w:ascii="Garamond" w:eastAsia="Garamond" w:hAnsi="Garamond" w:cs="Garamond"/>
          <w:sz w:val="24"/>
          <w:szCs w:val="24"/>
          <w:lang w:val="en-US"/>
        </w:rPr>
        <w:t xml:space="preserve"> for days or weeks a time</w:t>
      </w:r>
      <w:r w:rsidR="0039705C" w:rsidRPr="0026375C">
        <w:rPr>
          <w:rFonts w:ascii="Garamond" w:eastAsia="Garamond" w:hAnsi="Garamond" w:cs="Garamond"/>
          <w:sz w:val="24"/>
          <w:szCs w:val="24"/>
          <w:lang w:val="en-US"/>
        </w:rPr>
        <w:t>.</w:t>
      </w:r>
      <w:r w:rsidR="0039705C" w:rsidRPr="0026375C">
        <w:rPr>
          <w:rFonts w:ascii="Garamond" w:hAnsi="Garamond"/>
          <w:sz w:val="24"/>
          <w:szCs w:val="24"/>
          <w:vertAlign w:val="superscript"/>
        </w:rPr>
        <w:footnoteReference w:id="4"/>
      </w:r>
      <w:r w:rsidR="0039705C" w:rsidRPr="0026375C">
        <w:rPr>
          <w:rFonts w:ascii="Garamond" w:eastAsia="Garamond" w:hAnsi="Garamond" w:cs="Garamond"/>
          <w:sz w:val="24"/>
          <w:szCs w:val="24"/>
          <w:lang w:val="en-US"/>
        </w:rPr>
        <w:t xml:space="preserve"> </w:t>
      </w:r>
      <w:r w:rsidR="0039705C" w:rsidRPr="0026375C">
        <w:rPr>
          <w:rFonts w:ascii="Garamond" w:eastAsia="Garamond" w:hAnsi="Garamond" w:cs="Garamond"/>
          <w:sz w:val="24"/>
          <w:szCs w:val="24"/>
        </w:rPr>
        <w:t xml:space="preserve">Such persons are not included in official registers. </w:t>
      </w:r>
    </w:p>
    <w:p w14:paraId="60A82B82" w14:textId="77777777" w:rsidR="00681C8B" w:rsidRDefault="00D364F6" w:rsidP="009A46D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Garamond" w:hAnsi="Garamond" w:cstheme="minorHAnsi"/>
          <w:sz w:val="24"/>
          <w:szCs w:val="24"/>
          <w:highlight w:val="yellow"/>
        </w:rPr>
      </w:pPr>
      <w:r>
        <w:rPr>
          <w:rFonts w:ascii="Garamond" w:hAnsi="Garamond" w:cstheme="minorHAnsi"/>
          <w:sz w:val="24"/>
          <w:szCs w:val="24"/>
        </w:rPr>
        <w:t xml:space="preserve">Enforced disappearances at this scale </w:t>
      </w:r>
      <w:r w:rsidR="00E22DDE">
        <w:rPr>
          <w:rFonts w:ascii="Garamond" w:hAnsi="Garamond" w:cstheme="minorHAnsi"/>
          <w:sz w:val="24"/>
          <w:szCs w:val="24"/>
        </w:rPr>
        <w:t>are only possible within a culture of systemic impunity that</w:t>
      </w:r>
      <w:r w:rsidR="009A46D8">
        <w:rPr>
          <w:rFonts w:ascii="Garamond" w:hAnsi="Garamond" w:cstheme="minorHAnsi"/>
          <w:sz w:val="24"/>
          <w:szCs w:val="24"/>
        </w:rPr>
        <w:t xml:space="preserve"> </w:t>
      </w:r>
      <w:r w:rsidR="0097098D">
        <w:rPr>
          <w:rFonts w:ascii="Garamond" w:hAnsi="Garamond" w:cstheme="minorHAnsi"/>
          <w:sz w:val="24"/>
          <w:szCs w:val="24"/>
        </w:rPr>
        <w:t xml:space="preserve">finds its root in </w:t>
      </w:r>
      <w:proofErr w:type="spellStart"/>
      <w:r w:rsidR="0097098D">
        <w:rPr>
          <w:rFonts w:ascii="Garamond" w:hAnsi="Garamond" w:cstheme="minorHAnsi"/>
          <w:sz w:val="24"/>
          <w:szCs w:val="24"/>
        </w:rPr>
        <w:t>Eygpt’s</w:t>
      </w:r>
      <w:proofErr w:type="spellEnd"/>
      <w:r w:rsidR="0097098D">
        <w:rPr>
          <w:rFonts w:ascii="Garamond" w:hAnsi="Garamond" w:cstheme="minorHAnsi"/>
          <w:sz w:val="24"/>
          <w:szCs w:val="24"/>
        </w:rPr>
        <w:t xml:space="preserve"> web of legal and regulatory provisions </w:t>
      </w:r>
      <w:r w:rsidR="0097098D" w:rsidRPr="0097098D">
        <w:rPr>
          <w:rFonts w:ascii="Garamond" w:hAnsi="Garamond" w:cstheme="minorHAnsi"/>
          <w:sz w:val="24"/>
          <w:szCs w:val="24"/>
          <w:lang w:val="en-US"/>
        </w:rPr>
        <w:t>favoring</w:t>
      </w:r>
      <w:r w:rsidR="0097098D">
        <w:rPr>
          <w:rFonts w:ascii="Garamond" w:hAnsi="Garamond" w:cstheme="minorHAnsi"/>
          <w:sz w:val="24"/>
          <w:szCs w:val="24"/>
        </w:rPr>
        <w:t xml:space="preserve"> </w:t>
      </w:r>
      <w:r w:rsidR="0097098D" w:rsidRPr="00E91F69">
        <w:rPr>
          <w:rFonts w:ascii="Garamond" w:hAnsi="Garamond" w:cstheme="minorHAnsi"/>
          <w:sz w:val="24"/>
          <w:szCs w:val="24"/>
        </w:rPr>
        <w:t>‘security’ considerations over legal</w:t>
      </w:r>
      <w:r w:rsidR="0097098D" w:rsidRPr="00681C8B">
        <w:rPr>
          <w:rFonts w:ascii="Garamond" w:hAnsi="Garamond" w:cstheme="minorHAnsi"/>
          <w:sz w:val="24"/>
          <w:szCs w:val="24"/>
        </w:rPr>
        <w:t xml:space="preserve">, human rights-based and democratic ones. </w:t>
      </w:r>
    </w:p>
    <w:p w14:paraId="64DE6EB5" w14:textId="38CF671F" w:rsidR="00681C8B" w:rsidRDefault="00681C8B" w:rsidP="009A46D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Garamond" w:hAnsi="Garamond" w:cstheme="minorHAnsi"/>
          <w:sz w:val="24"/>
          <w:szCs w:val="24"/>
        </w:rPr>
      </w:pPr>
      <w:r w:rsidRPr="00681C8B">
        <w:rPr>
          <w:rFonts w:ascii="Garamond" w:hAnsi="Garamond" w:cstheme="minorHAnsi"/>
          <w:sz w:val="24"/>
          <w:szCs w:val="24"/>
        </w:rPr>
        <w:t>Foremost of</w:t>
      </w:r>
      <w:r>
        <w:rPr>
          <w:rFonts w:ascii="Garamond" w:hAnsi="Garamond" w:cstheme="minorHAnsi"/>
          <w:sz w:val="24"/>
          <w:szCs w:val="24"/>
        </w:rPr>
        <w:t xml:space="preserve"> these provisions is Egypt’s amended </w:t>
      </w:r>
      <w:r w:rsidR="000609C5">
        <w:rPr>
          <w:rFonts w:ascii="Garamond" w:hAnsi="Garamond" w:cstheme="minorHAnsi"/>
          <w:sz w:val="24"/>
          <w:szCs w:val="24"/>
        </w:rPr>
        <w:t>Anti</w:t>
      </w:r>
      <w:r>
        <w:rPr>
          <w:rFonts w:ascii="Garamond" w:hAnsi="Garamond" w:cstheme="minorHAnsi"/>
          <w:sz w:val="24"/>
          <w:szCs w:val="24"/>
        </w:rPr>
        <w:t xml:space="preserve">-Terrorism Law, which </w:t>
      </w:r>
      <w:r w:rsidR="000609C5">
        <w:rPr>
          <w:rFonts w:ascii="Garamond" w:hAnsi="Garamond" w:cstheme="minorHAnsi"/>
          <w:sz w:val="24"/>
          <w:szCs w:val="24"/>
        </w:rPr>
        <w:t xml:space="preserve">effectively codifies enforced disappearances by allowing individuals to be arrested and held incommunicado for up to 28 days. The law has routinely been criticized </w:t>
      </w:r>
      <w:r>
        <w:rPr>
          <w:rFonts w:ascii="Garamond" w:hAnsi="Garamond" w:cstheme="minorHAnsi"/>
          <w:sz w:val="24"/>
          <w:szCs w:val="24"/>
        </w:rPr>
        <w:t>UN Special Procedure Mandate</w:t>
      </w:r>
      <w:r w:rsidR="000609C5">
        <w:rPr>
          <w:rFonts w:ascii="Garamond" w:hAnsi="Garamond" w:cstheme="minorHAnsi"/>
          <w:sz w:val="24"/>
          <w:szCs w:val="24"/>
        </w:rPr>
        <w:t xml:space="preserve"> Holders for being vague, overbroad, and a cudgel the regime uses to silence legitimate criticism.</w:t>
      </w:r>
      <w:r w:rsidR="00383296">
        <w:rPr>
          <w:rStyle w:val="FootnoteReference"/>
          <w:rFonts w:ascii="Garamond" w:hAnsi="Garamond" w:cstheme="minorHAnsi"/>
          <w:sz w:val="24"/>
          <w:szCs w:val="24"/>
        </w:rPr>
        <w:footnoteReference w:id="5"/>
      </w:r>
      <w:r w:rsidR="000609C5">
        <w:rPr>
          <w:rFonts w:ascii="Garamond" w:hAnsi="Garamond" w:cstheme="minorHAnsi"/>
          <w:sz w:val="24"/>
          <w:szCs w:val="24"/>
        </w:rPr>
        <w:t xml:space="preserve"> </w:t>
      </w:r>
    </w:p>
    <w:p w14:paraId="28C1E1AE" w14:textId="73803F28" w:rsidR="007506AD" w:rsidRDefault="006E0947" w:rsidP="007506AD">
      <w:pPr>
        <w:shd w:val="clear" w:color="auto" w:fill="FFFFFF"/>
        <w:spacing w:line="259" w:lineRule="auto"/>
        <w:outlineLvl w:val="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Supplanting th</w:t>
      </w:r>
      <w:r w:rsidR="003162BB">
        <w:rPr>
          <w:rFonts w:ascii="Garamond" w:hAnsi="Garamond" w:cstheme="minorHAnsi"/>
          <w:sz w:val="24"/>
          <w:szCs w:val="24"/>
        </w:rPr>
        <w:t>is</w:t>
      </w:r>
      <w:r>
        <w:rPr>
          <w:rFonts w:ascii="Garamond" w:hAnsi="Garamond" w:cstheme="minorHAnsi"/>
          <w:sz w:val="24"/>
          <w:szCs w:val="24"/>
        </w:rPr>
        <w:t xml:space="preserve"> statutory permissibility enforced disappearance </w:t>
      </w:r>
      <w:r w:rsidR="003162BB">
        <w:rPr>
          <w:rFonts w:ascii="Garamond" w:hAnsi="Garamond" w:cstheme="minorHAnsi"/>
          <w:sz w:val="24"/>
          <w:szCs w:val="24"/>
        </w:rPr>
        <w:t xml:space="preserve">is an assemblage of other laws and judicial, prosecutorial, and law enforcement practices. For example, </w:t>
      </w:r>
      <w:r w:rsidR="0068792E" w:rsidRPr="00E91F69">
        <w:rPr>
          <w:rFonts w:ascii="Garamond" w:hAnsi="Garamond" w:cstheme="minorHAnsi"/>
          <w:sz w:val="24"/>
          <w:szCs w:val="24"/>
        </w:rPr>
        <w:t>Egyptian prosecutors are empowered to visit prisons unannounced and conduct investigations</w:t>
      </w:r>
      <w:r w:rsidR="007506AD">
        <w:rPr>
          <w:rFonts w:ascii="Garamond" w:hAnsi="Garamond" w:cstheme="minorHAnsi"/>
          <w:sz w:val="24"/>
          <w:szCs w:val="24"/>
        </w:rPr>
        <w:t>;</w:t>
      </w:r>
      <w:r w:rsidR="00D245CA">
        <w:rPr>
          <w:rFonts w:ascii="Garamond" w:hAnsi="Garamond" w:cstheme="minorHAnsi"/>
          <w:sz w:val="24"/>
          <w:szCs w:val="24"/>
        </w:rPr>
        <w:t xml:space="preserve"> </w:t>
      </w:r>
      <w:r w:rsidR="007506AD">
        <w:rPr>
          <w:rFonts w:ascii="Garamond" w:hAnsi="Garamond" w:cstheme="minorHAnsi"/>
          <w:sz w:val="24"/>
          <w:szCs w:val="24"/>
        </w:rPr>
        <w:t>h</w:t>
      </w:r>
      <w:r w:rsidR="00D245CA">
        <w:rPr>
          <w:rFonts w:ascii="Garamond" w:hAnsi="Garamond" w:cstheme="minorHAnsi"/>
          <w:sz w:val="24"/>
          <w:szCs w:val="24"/>
        </w:rPr>
        <w:t>owever, these</w:t>
      </w:r>
      <w:r w:rsidR="0068792E" w:rsidRPr="00E91F69">
        <w:rPr>
          <w:rFonts w:ascii="Garamond" w:hAnsi="Garamond" w:cstheme="minorHAnsi"/>
          <w:sz w:val="24"/>
          <w:szCs w:val="24"/>
        </w:rPr>
        <w:t xml:space="preserve"> powers</w:t>
      </w:r>
      <w:r w:rsidR="00D245CA">
        <w:rPr>
          <w:rFonts w:ascii="Garamond" w:hAnsi="Garamond" w:cstheme="minorHAnsi"/>
          <w:sz w:val="24"/>
          <w:szCs w:val="24"/>
        </w:rPr>
        <w:t xml:space="preserve"> </w:t>
      </w:r>
      <w:r w:rsidR="0068792E" w:rsidRPr="00E91F69">
        <w:rPr>
          <w:rFonts w:ascii="Garamond" w:hAnsi="Garamond" w:cstheme="minorHAnsi"/>
          <w:sz w:val="24"/>
          <w:szCs w:val="24"/>
        </w:rPr>
        <w:t>are not effectively exercise</w:t>
      </w:r>
      <w:r w:rsidR="00FE7834">
        <w:rPr>
          <w:rFonts w:ascii="Garamond" w:hAnsi="Garamond" w:cstheme="minorHAnsi"/>
          <w:sz w:val="24"/>
          <w:szCs w:val="24"/>
        </w:rPr>
        <w:t>d.</w:t>
      </w:r>
      <w:r w:rsidR="00FE7834">
        <w:rPr>
          <w:rStyle w:val="FootnoteReference"/>
          <w:rFonts w:ascii="Garamond" w:hAnsi="Garamond" w:cstheme="minorHAnsi"/>
          <w:sz w:val="24"/>
          <w:szCs w:val="24"/>
        </w:rPr>
        <w:footnoteReference w:id="6"/>
      </w:r>
      <w:r w:rsidR="0068792E" w:rsidRPr="00E91F69">
        <w:rPr>
          <w:rFonts w:ascii="Garamond" w:hAnsi="Garamond" w:cstheme="minorHAnsi"/>
          <w:sz w:val="24"/>
          <w:szCs w:val="24"/>
        </w:rPr>
        <w:t xml:space="preserve"> </w:t>
      </w:r>
      <w:r w:rsidR="00D245CA">
        <w:rPr>
          <w:rFonts w:ascii="Garamond" w:hAnsi="Garamond" w:cstheme="minorHAnsi"/>
          <w:sz w:val="24"/>
          <w:szCs w:val="24"/>
        </w:rPr>
        <w:t>In fact, d</w:t>
      </w:r>
      <w:r w:rsidR="0068792E" w:rsidRPr="00E91F69">
        <w:rPr>
          <w:rFonts w:ascii="Garamond" w:hAnsi="Garamond" w:cstheme="minorHAnsi"/>
          <w:sz w:val="24"/>
          <w:szCs w:val="24"/>
        </w:rPr>
        <w:t>irect complaints</w:t>
      </w:r>
      <w:r w:rsidR="00D245CA">
        <w:rPr>
          <w:rFonts w:ascii="Garamond" w:hAnsi="Garamond" w:cstheme="minorHAnsi"/>
          <w:sz w:val="24"/>
          <w:szCs w:val="24"/>
        </w:rPr>
        <w:t xml:space="preserve"> from </w:t>
      </w:r>
      <w:r w:rsidR="00D245CA">
        <w:rPr>
          <w:rFonts w:ascii="Garamond" w:hAnsi="Garamond" w:cstheme="minorHAnsi"/>
          <w:sz w:val="24"/>
          <w:szCs w:val="24"/>
        </w:rPr>
        <w:lastRenderedPageBreak/>
        <w:t>imprisoned persons</w:t>
      </w:r>
      <w:r w:rsidR="0068792E" w:rsidRPr="00E91F69">
        <w:rPr>
          <w:rFonts w:ascii="Garamond" w:hAnsi="Garamond" w:cstheme="minorHAnsi"/>
          <w:sz w:val="24"/>
          <w:szCs w:val="24"/>
        </w:rPr>
        <w:t xml:space="preserve"> to prosecutors </w:t>
      </w:r>
      <w:r w:rsidR="00D245CA">
        <w:rPr>
          <w:rFonts w:ascii="Garamond" w:hAnsi="Garamond" w:cstheme="minorHAnsi"/>
          <w:sz w:val="24"/>
          <w:szCs w:val="24"/>
        </w:rPr>
        <w:t>about allegations of torture other ill-treatment largely</w:t>
      </w:r>
      <w:r w:rsidR="0068792E" w:rsidRPr="00E91F69">
        <w:rPr>
          <w:rFonts w:ascii="Garamond" w:hAnsi="Garamond" w:cstheme="minorHAnsi"/>
          <w:sz w:val="24"/>
          <w:szCs w:val="24"/>
        </w:rPr>
        <w:t xml:space="preserve"> go unheeded.</w:t>
      </w:r>
      <w:r w:rsidR="00FE7834">
        <w:rPr>
          <w:rStyle w:val="FootnoteReference"/>
          <w:rFonts w:ascii="Garamond" w:hAnsi="Garamond" w:cstheme="minorHAnsi"/>
          <w:sz w:val="24"/>
          <w:szCs w:val="24"/>
        </w:rPr>
        <w:footnoteReference w:id="7"/>
      </w:r>
      <w:r w:rsidR="0068792E" w:rsidRPr="00E91F69">
        <w:rPr>
          <w:rFonts w:ascii="Garamond" w:hAnsi="Garamond" w:cstheme="minorHAnsi"/>
          <w:sz w:val="24"/>
          <w:szCs w:val="24"/>
        </w:rPr>
        <w:t xml:space="preserve"> </w:t>
      </w:r>
      <w:r w:rsidR="00D245CA">
        <w:rPr>
          <w:rFonts w:ascii="Garamond" w:hAnsi="Garamond" w:cstheme="minorHAnsi"/>
          <w:sz w:val="24"/>
          <w:szCs w:val="24"/>
        </w:rPr>
        <w:t>Moreover, even if a</w:t>
      </w:r>
      <w:r w:rsidR="007506AD">
        <w:rPr>
          <w:rFonts w:ascii="Garamond" w:hAnsi="Garamond" w:cstheme="minorHAnsi"/>
          <w:sz w:val="24"/>
          <w:szCs w:val="24"/>
        </w:rPr>
        <w:t>n</w:t>
      </w:r>
      <w:r w:rsidR="00D245CA">
        <w:rPr>
          <w:rFonts w:ascii="Garamond" w:hAnsi="Garamond" w:cstheme="minorHAnsi"/>
          <w:sz w:val="24"/>
          <w:szCs w:val="24"/>
        </w:rPr>
        <w:t xml:space="preserve"> investigation </w:t>
      </w:r>
      <w:r w:rsidR="007506AD">
        <w:rPr>
          <w:rFonts w:ascii="Garamond" w:hAnsi="Garamond" w:cstheme="minorHAnsi"/>
          <w:sz w:val="24"/>
          <w:szCs w:val="24"/>
        </w:rPr>
        <w:t>i</w:t>
      </w:r>
      <w:r w:rsidR="00D245CA">
        <w:rPr>
          <w:rFonts w:ascii="Garamond" w:hAnsi="Garamond" w:cstheme="minorHAnsi"/>
          <w:sz w:val="24"/>
          <w:szCs w:val="24"/>
        </w:rPr>
        <w:t>s made and a prosecutor pursue</w:t>
      </w:r>
      <w:r w:rsidR="00E223D3">
        <w:rPr>
          <w:rFonts w:ascii="Garamond" w:hAnsi="Garamond" w:cstheme="minorHAnsi"/>
          <w:sz w:val="24"/>
          <w:szCs w:val="24"/>
        </w:rPr>
        <w:t>s</w:t>
      </w:r>
      <w:r w:rsidR="00D245CA">
        <w:rPr>
          <w:rFonts w:ascii="Garamond" w:hAnsi="Garamond" w:cstheme="minorHAnsi"/>
          <w:sz w:val="24"/>
          <w:szCs w:val="24"/>
        </w:rPr>
        <w:t xml:space="preserve"> a case, </w:t>
      </w:r>
      <w:r w:rsidR="00D245CA" w:rsidRPr="00D245CA">
        <w:rPr>
          <w:rFonts w:ascii="Garamond" w:hAnsi="Garamond" w:cstheme="minorHAnsi"/>
          <w:sz w:val="24"/>
          <w:szCs w:val="24"/>
        </w:rPr>
        <w:t>court decisions are occasionally not implemented by the Ministry of Interior, specifically the police and prison administration.</w:t>
      </w:r>
      <w:r w:rsidR="00D245CA" w:rsidRPr="00D245CA">
        <w:rPr>
          <w:rStyle w:val="FootnoteReference"/>
          <w:rFonts w:ascii="Garamond" w:hAnsi="Garamond" w:cstheme="minorHAnsi"/>
          <w:sz w:val="24"/>
          <w:szCs w:val="24"/>
        </w:rPr>
        <w:footnoteReference w:id="8"/>
      </w:r>
      <w:r w:rsidR="00D245CA" w:rsidRPr="00D245CA">
        <w:rPr>
          <w:rFonts w:ascii="Garamond" w:hAnsi="Garamond" w:cstheme="majorBidi"/>
          <w:sz w:val="24"/>
          <w:szCs w:val="24"/>
        </w:rPr>
        <w:t xml:space="preserve"> </w:t>
      </w:r>
    </w:p>
    <w:p w14:paraId="3D761769" w14:textId="77777777" w:rsidR="007506AD" w:rsidRDefault="007506AD" w:rsidP="007506AD">
      <w:pPr>
        <w:shd w:val="clear" w:color="auto" w:fill="FFFFFF"/>
        <w:spacing w:line="259" w:lineRule="auto"/>
        <w:outlineLvl w:val="2"/>
        <w:rPr>
          <w:rFonts w:ascii="Garamond" w:hAnsi="Garamond" w:cstheme="minorHAnsi"/>
          <w:sz w:val="24"/>
          <w:szCs w:val="24"/>
        </w:rPr>
      </w:pPr>
    </w:p>
    <w:p w14:paraId="1EB079B2" w14:textId="26BFCA4E" w:rsidR="007506AD" w:rsidRDefault="007506AD" w:rsidP="007506AD">
      <w:pPr>
        <w:shd w:val="clear" w:color="auto" w:fill="FFFFFF"/>
        <w:spacing w:line="259" w:lineRule="auto"/>
        <w:outlineLvl w:val="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From a judicial standpoint,</w:t>
      </w:r>
      <w:r w:rsidR="0068792E" w:rsidRPr="00E91F69">
        <w:rPr>
          <w:rFonts w:ascii="Garamond" w:hAnsi="Garamond" w:cstheme="minorHAnsi"/>
          <w:sz w:val="24"/>
          <w:szCs w:val="24"/>
        </w:rPr>
        <w:t xml:space="preserve"> </w:t>
      </w:r>
      <w:r w:rsidR="00AA540E">
        <w:rPr>
          <w:rFonts w:ascii="Garamond" w:hAnsi="Garamond" w:cstheme="minorHAnsi"/>
          <w:sz w:val="24"/>
          <w:szCs w:val="24"/>
        </w:rPr>
        <w:t>judges overwhelmingly defer to the testimony and prerogatives of law enforcement</w:t>
      </w:r>
      <w:r w:rsidR="00AA540E" w:rsidRPr="00AA540E">
        <w:rPr>
          <w:rFonts w:ascii="Garamond" w:hAnsi="Garamond" w:cstheme="minorHAnsi"/>
          <w:sz w:val="24"/>
          <w:szCs w:val="24"/>
        </w:rPr>
        <w:t xml:space="preserve">. </w:t>
      </w:r>
      <w:r w:rsidR="00AA540E">
        <w:rPr>
          <w:rFonts w:ascii="Garamond" w:hAnsi="Garamond" w:cstheme="minorHAnsi"/>
          <w:sz w:val="24"/>
          <w:szCs w:val="24"/>
        </w:rPr>
        <w:t>Courts heavily rely</w:t>
      </w:r>
      <w:r w:rsidR="00AA540E" w:rsidRPr="00AA540E">
        <w:rPr>
          <w:rFonts w:ascii="Garamond" w:hAnsi="Garamond" w:cstheme="minorHAnsi"/>
          <w:sz w:val="24"/>
          <w:szCs w:val="24"/>
        </w:rPr>
        <w:t xml:space="preserve"> on the doctrine of </w:t>
      </w:r>
      <w:r w:rsidR="00AA540E" w:rsidRPr="00AA540E">
        <w:rPr>
          <w:rFonts w:ascii="Garamond" w:hAnsi="Garamond" w:cstheme="minorHAnsi"/>
          <w:i/>
          <w:iCs/>
          <w:sz w:val="24"/>
          <w:szCs w:val="24"/>
        </w:rPr>
        <w:t xml:space="preserve">in flagrante delicto </w:t>
      </w:r>
      <w:r w:rsidR="00AA540E" w:rsidRPr="00AA540E">
        <w:rPr>
          <w:rFonts w:ascii="Garamond" w:hAnsi="Garamond" w:cstheme="minorHAnsi"/>
          <w:sz w:val="24"/>
          <w:szCs w:val="24"/>
        </w:rPr>
        <w:t xml:space="preserve">(that the law enforcement officials acted in the heat of the crime) to provide leeway for procedural irregularities such as not ensuring the presence of a lawyer during interrogation. In the representative case (9115/2016), the Court explained that calling in a lawyer may </w:t>
      </w:r>
      <w:r w:rsidR="00C67087">
        <w:rPr>
          <w:rFonts w:ascii="Garamond" w:hAnsi="Garamond" w:cstheme="minorHAnsi"/>
          <w:sz w:val="24"/>
          <w:szCs w:val="24"/>
        </w:rPr>
        <w:t>“</w:t>
      </w:r>
      <w:r w:rsidR="00AA540E" w:rsidRPr="00AA540E">
        <w:rPr>
          <w:rFonts w:ascii="Garamond" w:hAnsi="Garamond" w:cstheme="minorHAnsi"/>
          <w:sz w:val="24"/>
          <w:szCs w:val="24"/>
        </w:rPr>
        <w:t>take time, and evidence may be lost due to the procedures</w:t>
      </w:r>
      <w:r w:rsidR="00C67087">
        <w:rPr>
          <w:rFonts w:ascii="Garamond" w:hAnsi="Garamond" w:cstheme="minorHAnsi"/>
          <w:sz w:val="24"/>
          <w:szCs w:val="24"/>
        </w:rPr>
        <w:t>”</w:t>
      </w:r>
      <w:r w:rsidR="00AA540E" w:rsidRPr="00AA540E">
        <w:rPr>
          <w:rFonts w:ascii="Garamond" w:hAnsi="Garamond" w:cstheme="minorHAnsi"/>
          <w:sz w:val="24"/>
          <w:szCs w:val="24"/>
        </w:rPr>
        <w:t xml:space="preserve"> mandated by the law – which in this case served as an overriding justification to overlook the absence of a lawyer.</w:t>
      </w:r>
      <w:r w:rsidR="00AA540E">
        <w:rPr>
          <w:rFonts w:ascii="Garamond" w:hAnsi="Garamond" w:cstheme="minorHAnsi"/>
          <w:sz w:val="24"/>
          <w:szCs w:val="24"/>
        </w:rPr>
        <w:t xml:space="preserve"> I</w:t>
      </w:r>
      <w:r w:rsidR="0068792E" w:rsidRPr="00E91F69">
        <w:rPr>
          <w:rFonts w:ascii="Garamond" w:hAnsi="Garamond" w:cstheme="minorHAnsi"/>
          <w:sz w:val="24"/>
          <w:szCs w:val="24"/>
        </w:rPr>
        <w:t>n some cases, especially if the accused has a political background or related to issues of national security, judges arbitrarily convict the accused persons even when they reported that their confession were made under torture.</w:t>
      </w:r>
      <w:r>
        <w:rPr>
          <w:rStyle w:val="FootnoteReference"/>
          <w:rFonts w:ascii="Garamond" w:hAnsi="Garamond" w:cstheme="minorHAnsi"/>
          <w:sz w:val="24"/>
          <w:szCs w:val="24"/>
        </w:rPr>
        <w:footnoteReference w:id="9"/>
      </w:r>
      <w:r w:rsidRPr="007506AD">
        <w:rPr>
          <w:rFonts w:ascii="Garamond" w:hAnsi="Garamond" w:cstheme="minorHAnsi"/>
          <w:sz w:val="24"/>
          <w:szCs w:val="24"/>
        </w:rPr>
        <w:t xml:space="preserve"> </w:t>
      </w:r>
    </w:p>
    <w:p w14:paraId="2B58C449" w14:textId="77777777" w:rsidR="00C67087" w:rsidRDefault="00C67087" w:rsidP="007506AD">
      <w:pPr>
        <w:shd w:val="clear" w:color="auto" w:fill="FFFFFF"/>
        <w:spacing w:line="259" w:lineRule="auto"/>
        <w:outlineLvl w:val="2"/>
        <w:rPr>
          <w:rFonts w:ascii="Garamond" w:hAnsi="Garamond" w:cstheme="minorHAnsi"/>
          <w:sz w:val="24"/>
          <w:szCs w:val="24"/>
        </w:rPr>
      </w:pPr>
    </w:p>
    <w:p w14:paraId="48885C70" w14:textId="1BEADD65" w:rsidR="00C67087" w:rsidRDefault="00C67087" w:rsidP="007506AD">
      <w:pPr>
        <w:shd w:val="clear" w:color="auto" w:fill="FFFFFF"/>
        <w:spacing w:line="259" w:lineRule="auto"/>
        <w:outlineLvl w:val="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Indeed, i</w:t>
      </w:r>
      <w:r w:rsidRPr="00E91F69">
        <w:rPr>
          <w:rFonts w:ascii="Garamond" w:hAnsi="Garamond" w:cstheme="minorHAnsi"/>
          <w:sz w:val="24"/>
          <w:szCs w:val="24"/>
        </w:rPr>
        <w:t xml:space="preserve">t is customary for judges and prosecutors to ignore allegations of torture during </w:t>
      </w:r>
      <w:r>
        <w:rPr>
          <w:rFonts w:ascii="Garamond" w:hAnsi="Garamond" w:cstheme="minorHAnsi"/>
          <w:sz w:val="24"/>
          <w:szCs w:val="24"/>
        </w:rPr>
        <w:t>periods of enforced disappearance</w:t>
      </w:r>
      <w:r w:rsidRPr="00E91F69">
        <w:rPr>
          <w:rFonts w:ascii="Garamond" w:hAnsi="Garamond" w:cstheme="minorHAnsi"/>
          <w:sz w:val="24"/>
          <w:szCs w:val="24"/>
        </w:rPr>
        <w:t>, before trial, or during trial sessions, despite the defendants’ assertions and descriptions to them of the method of torture used, especially in cases involving torture by National Security agents.</w:t>
      </w:r>
      <w:r>
        <w:rPr>
          <w:rStyle w:val="FootnoteReference"/>
          <w:rFonts w:ascii="Garamond" w:hAnsi="Garamond" w:cstheme="minorHAnsi"/>
          <w:sz w:val="24"/>
          <w:szCs w:val="24"/>
        </w:rPr>
        <w:footnoteReference w:id="10"/>
      </w:r>
      <w:r w:rsidRPr="00E91F69">
        <w:rPr>
          <w:rFonts w:ascii="Garamond" w:hAnsi="Garamond" w:cstheme="minorHAnsi"/>
          <w:sz w:val="24"/>
          <w:szCs w:val="24"/>
        </w:rPr>
        <w:t xml:space="preserve"> Judges and prosecutors do not explain to defendants or their lawyers why they do not take their torture claims seriously and take action.</w:t>
      </w:r>
    </w:p>
    <w:p w14:paraId="42024A94" w14:textId="77777777" w:rsidR="00E223D3" w:rsidRDefault="00E223D3" w:rsidP="007506AD">
      <w:pPr>
        <w:shd w:val="clear" w:color="auto" w:fill="FFFFFF"/>
        <w:spacing w:line="259" w:lineRule="auto"/>
        <w:outlineLvl w:val="2"/>
        <w:rPr>
          <w:rFonts w:ascii="Garamond" w:hAnsi="Garamond" w:cstheme="minorHAnsi"/>
          <w:sz w:val="24"/>
          <w:szCs w:val="24"/>
        </w:rPr>
      </w:pPr>
    </w:p>
    <w:p w14:paraId="626A1FB7" w14:textId="08CB042F" w:rsidR="00E223D3" w:rsidRPr="00E91F69" w:rsidRDefault="00E223D3" w:rsidP="00E223D3">
      <w:pPr>
        <w:spacing w:after="160" w:line="259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 trial, there are</w:t>
      </w:r>
      <w:r w:rsidRPr="00E91F69">
        <w:rPr>
          <w:rFonts w:ascii="Garamond" w:hAnsi="Garamond"/>
          <w:sz w:val="24"/>
          <w:szCs w:val="24"/>
        </w:rPr>
        <w:t xml:space="preserve"> countless </w:t>
      </w:r>
      <w:r>
        <w:rPr>
          <w:rFonts w:ascii="Garamond" w:hAnsi="Garamond"/>
          <w:sz w:val="24"/>
          <w:szCs w:val="24"/>
        </w:rPr>
        <w:t>instances where</w:t>
      </w:r>
      <w:r w:rsidRPr="00E91F69">
        <w:rPr>
          <w:rFonts w:ascii="Garamond" w:hAnsi="Garamond"/>
          <w:sz w:val="24"/>
          <w:szCs w:val="24"/>
        </w:rPr>
        <w:t xml:space="preserve"> courts overlook </w:t>
      </w:r>
      <w:r>
        <w:rPr>
          <w:rFonts w:ascii="Garamond" w:hAnsi="Garamond"/>
          <w:sz w:val="24"/>
          <w:szCs w:val="24"/>
        </w:rPr>
        <w:t xml:space="preserve">overt </w:t>
      </w:r>
      <w:r w:rsidRPr="00E91F69">
        <w:rPr>
          <w:rFonts w:ascii="Garamond" w:hAnsi="Garamond"/>
          <w:sz w:val="24"/>
          <w:szCs w:val="24"/>
        </w:rPr>
        <w:t>prosecutorial irregularities, including</w:t>
      </w:r>
      <w:r w:rsidR="002112DF">
        <w:rPr>
          <w:rFonts w:ascii="Garamond" w:hAnsi="Garamond"/>
          <w:sz w:val="24"/>
          <w:szCs w:val="24"/>
        </w:rPr>
        <w:t xml:space="preserve"> enforced disappearance and also extending to</w:t>
      </w:r>
      <w:r w:rsidRPr="00E91F69">
        <w:rPr>
          <w:rFonts w:ascii="Garamond" w:hAnsi="Garamond"/>
          <w:sz w:val="24"/>
          <w:szCs w:val="24"/>
        </w:rPr>
        <w:t>: contradictions of witness statements</w:t>
      </w:r>
      <w:r>
        <w:rPr>
          <w:rFonts w:ascii="Garamond" w:hAnsi="Garamond"/>
          <w:sz w:val="24"/>
          <w:szCs w:val="24"/>
        </w:rPr>
        <w:t>;</w:t>
      </w:r>
      <w:r w:rsidRPr="00E91F69">
        <w:rPr>
          <w:rFonts w:ascii="Garamond" w:hAnsi="Garamond"/>
          <w:sz w:val="24"/>
          <w:szCs w:val="24"/>
        </w:rPr>
        <w:t xml:space="preserve"> absence of evidence to prove the elements of the </w:t>
      </w:r>
      <w:r>
        <w:rPr>
          <w:rFonts w:ascii="Garamond" w:hAnsi="Garamond"/>
          <w:sz w:val="24"/>
          <w:szCs w:val="24"/>
        </w:rPr>
        <w:t xml:space="preserve">alleged </w:t>
      </w:r>
      <w:r w:rsidRPr="00E91F69">
        <w:rPr>
          <w:rFonts w:ascii="Garamond" w:hAnsi="Garamond"/>
          <w:sz w:val="24"/>
          <w:szCs w:val="24"/>
        </w:rPr>
        <w:t>crime; arresting officers</w:t>
      </w:r>
      <w:r>
        <w:rPr>
          <w:rFonts w:ascii="Garamond" w:hAnsi="Garamond"/>
          <w:sz w:val="24"/>
          <w:szCs w:val="24"/>
        </w:rPr>
        <w:t>’ lack of</w:t>
      </w:r>
      <w:r w:rsidRPr="00E91F69">
        <w:rPr>
          <w:rFonts w:ascii="Garamond" w:hAnsi="Garamond"/>
          <w:sz w:val="24"/>
          <w:szCs w:val="24"/>
        </w:rPr>
        <w:t xml:space="preserve"> recogni</w:t>
      </w:r>
      <w:r>
        <w:rPr>
          <w:rFonts w:ascii="Garamond" w:hAnsi="Garamond"/>
          <w:sz w:val="24"/>
          <w:szCs w:val="24"/>
        </w:rPr>
        <w:t>tion of</w:t>
      </w:r>
      <w:r w:rsidRPr="00E91F69">
        <w:rPr>
          <w:rFonts w:ascii="Garamond" w:hAnsi="Garamond"/>
          <w:sz w:val="24"/>
          <w:szCs w:val="24"/>
        </w:rPr>
        <w:t xml:space="preserve"> defendants; the invalidity of the arrest due to the absence of a case of flagrante delicto; the invalidity of the arrest report for dealing with the accused in a collective manner; the anonymity of sources and broadness of accusations in the seizure and investigation reports; the arbitrariness of the arrest; illegality of investigations and </w:t>
      </w:r>
      <w:r w:rsidR="002112DF">
        <w:rPr>
          <w:rFonts w:ascii="Garamond" w:hAnsi="Garamond"/>
          <w:sz w:val="24"/>
          <w:szCs w:val="24"/>
        </w:rPr>
        <w:t xml:space="preserve">unknown sources of </w:t>
      </w:r>
      <w:r w:rsidRPr="00E91F69">
        <w:rPr>
          <w:rFonts w:ascii="Garamond" w:hAnsi="Garamond"/>
          <w:sz w:val="24"/>
          <w:szCs w:val="24"/>
        </w:rPr>
        <w:t>evidence received</w:t>
      </w:r>
      <w:r w:rsidR="002112DF">
        <w:rPr>
          <w:rFonts w:ascii="Garamond" w:hAnsi="Garamond"/>
          <w:sz w:val="24"/>
          <w:szCs w:val="24"/>
        </w:rPr>
        <w:t xml:space="preserve"> during trial</w:t>
      </w:r>
      <w:r w:rsidRPr="00E91F69">
        <w:rPr>
          <w:rFonts w:ascii="Garamond" w:hAnsi="Garamond"/>
          <w:sz w:val="24"/>
          <w:szCs w:val="24"/>
        </w:rPr>
        <w:t xml:space="preserve">; </w:t>
      </w:r>
      <w:r w:rsidR="002112DF">
        <w:rPr>
          <w:rFonts w:ascii="Garamond" w:hAnsi="Garamond"/>
          <w:sz w:val="24"/>
          <w:szCs w:val="24"/>
        </w:rPr>
        <w:t>and</w:t>
      </w:r>
      <w:r w:rsidRPr="00E91F69">
        <w:rPr>
          <w:rFonts w:ascii="Garamond" w:hAnsi="Garamond"/>
          <w:sz w:val="24"/>
          <w:szCs w:val="24"/>
        </w:rPr>
        <w:t xml:space="preserve"> proven torture violations. </w:t>
      </w:r>
    </w:p>
    <w:p w14:paraId="4B1FF8B3" w14:textId="56C75BAA" w:rsidR="00C67087" w:rsidRPr="002112DF" w:rsidRDefault="007506AD" w:rsidP="002112DF">
      <w:pPr>
        <w:shd w:val="clear" w:color="auto" w:fill="FFFFFF"/>
        <w:spacing w:line="259" w:lineRule="auto"/>
        <w:outlineLvl w:val="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Collectively, </w:t>
      </w:r>
      <w:r w:rsidR="002112DF">
        <w:rPr>
          <w:rFonts w:ascii="Garamond" w:hAnsi="Garamond" w:cstheme="minorHAnsi"/>
          <w:sz w:val="24"/>
          <w:szCs w:val="24"/>
        </w:rPr>
        <w:t>t</w:t>
      </w:r>
      <w:r w:rsidR="002112DF" w:rsidRPr="00E91F69">
        <w:rPr>
          <w:rFonts w:ascii="Garamond" w:hAnsi="Garamond"/>
          <w:sz w:val="24"/>
          <w:szCs w:val="24"/>
          <w:lang w:val="en-US"/>
        </w:rPr>
        <w:t xml:space="preserve">he above examples show </w:t>
      </w:r>
      <w:r w:rsidR="002112DF">
        <w:rPr>
          <w:rFonts w:ascii="Garamond" w:hAnsi="Garamond"/>
          <w:sz w:val="24"/>
          <w:szCs w:val="24"/>
          <w:lang w:val="en-US"/>
        </w:rPr>
        <w:t xml:space="preserve">how Egypt’s widespread and systematic </w:t>
      </w:r>
      <w:r w:rsidR="009E07A8">
        <w:rPr>
          <w:rFonts w:ascii="Garamond" w:hAnsi="Garamond"/>
          <w:sz w:val="24"/>
          <w:szCs w:val="24"/>
          <w:lang w:val="en-US"/>
        </w:rPr>
        <w:t>practice</w:t>
      </w:r>
      <w:r w:rsidR="002112DF">
        <w:rPr>
          <w:rFonts w:ascii="Garamond" w:hAnsi="Garamond"/>
          <w:sz w:val="24"/>
          <w:szCs w:val="24"/>
          <w:lang w:val="en-US"/>
        </w:rPr>
        <w:t xml:space="preserve"> of short-term enforced disappearances is enabled and facilitated by equally widespread and systematic</w:t>
      </w:r>
      <w:r w:rsidR="002112DF" w:rsidRPr="00E91F69">
        <w:rPr>
          <w:rFonts w:ascii="Garamond" w:hAnsi="Garamond"/>
          <w:sz w:val="24"/>
          <w:szCs w:val="24"/>
          <w:lang w:val="en-US"/>
        </w:rPr>
        <w:t xml:space="preserve"> complicity and</w:t>
      </w:r>
      <w:r w:rsidR="002112DF">
        <w:rPr>
          <w:rFonts w:ascii="Garamond" w:hAnsi="Garamond"/>
          <w:sz w:val="24"/>
          <w:szCs w:val="24"/>
          <w:lang w:val="en-US"/>
        </w:rPr>
        <w:t xml:space="preserve"> impunity </w:t>
      </w:r>
      <w:r w:rsidR="002112DF" w:rsidRPr="00E91F69">
        <w:rPr>
          <w:rFonts w:ascii="Garamond" w:hAnsi="Garamond"/>
          <w:sz w:val="24"/>
          <w:szCs w:val="24"/>
          <w:lang w:val="en-US"/>
        </w:rPr>
        <w:t xml:space="preserve">pervading the many different parts in Egypt’s criminal justice apparatus. </w:t>
      </w:r>
      <w:r w:rsidR="009E07A8">
        <w:rPr>
          <w:rFonts w:ascii="Garamond" w:hAnsi="Garamond"/>
          <w:sz w:val="24"/>
          <w:szCs w:val="24"/>
          <w:lang w:val="en-US"/>
        </w:rPr>
        <w:t>Egypt’s p</w:t>
      </w:r>
      <w:proofErr w:type="spellStart"/>
      <w:r w:rsidR="002112DF">
        <w:rPr>
          <w:rFonts w:ascii="Garamond" w:hAnsi="Garamond"/>
          <w:sz w:val="24"/>
          <w:szCs w:val="24"/>
        </w:rPr>
        <w:t>olice</w:t>
      </w:r>
      <w:proofErr w:type="spellEnd"/>
      <w:r w:rsidR="002112DF">
        <w:rPr>
          <w:rFonts w:ascii="Garamond" w:hAnsi="Garamond"/>
          <w:sz w:val="24"/>
          <w:szCs w:val="24"/>
        </w:rPr>
        <w:t xml:space="preserve">, security officers, </w:t>
      </w:r>
      <w:r w:rsidR="00C67087" w:rsidRPr="00E91F69">
        <w:rPr>
          <w:rFonts w:ascii="Garamond" w:hAnsi="Garamond"/>
          <w:sz w:val="24"/>
          <w:szCs w:val="24"/>
        </w:rPr>
        <w:t>prosecut</w:t>
      </w:r>
      <w:r w:rsidR="002112DF">
        <w:rPr>
          <w:rFonts w:ascii="Garamond" w:hAnsi="Garamond"/>
          <w:sz w:val="24"/>
          <w:szCs w:val="24"/>
        </w:rPr>
        <w:t xml:space="preserve">ors, prison staff, and judges each and all </w:t>
      </w:r>
      <w:r w:rsidR="00C67087" w:rsidRPr="00E91F69">
        <w:rPr>
          <w:rFonts w:ascii="Garamond" w:hAnsi="Garamond"/>
          <w:sz w:val="24"/>
          <w:szCs w:val="24"/>
        </w:rPr>
        <w:t>collaborat</w:t>
      </w:r>
      <w:r w:rsidR="002112DF">
        <w:rPr>
          <w:rFonts w:ascii="Garamond" w:hAnsi="Garamond"/>
          <w:sz w:val="24"/>
          <w:szCs w:val="24"/>
        </w:rPr>
        <w:t>e</w:t>
      </w:r>
      <w:r w:rsidR="00C67087" w:rsidRPr="00E91F69">
        <w:rPr>
          <w:rFonts w:ascii="Garamond" w:hAnsi="Garamond"/>
          <w:sz w:val="24"/>
          <w:szCs w:val="24"/>
        </w:rPr>
        <w:t xml:space="preserve"> hand in glove with </w:t>
      </w:r>
      <w:r w:rsidR="002112DF">
        <w:rPr>
          <w:rFonts w:ascii="Garamond" w:hAnsi="Garamond"/>
          <w:sz w:val="24"/>
          <w:szCs w:val="24"/>
        </w:rPr>
        <w:t xml:space="preserve">the al-Sisi regime to </w:t>
      </w:r>
      <w:r w:rsidR="009E07A8">
        <w:rPr>
          <w:rFonts w:ascii="Garamond" w:hAnsi="Garamond"/>
          <w:sz w:val="24"/>
          <w:szCs w:val="24"/>
        </w:rPr>
        <w:t xml:space="preserve">ensure impunity to support short-term enforced disappearances as a tool </w:t>
      </w:r>
      <w:r w:rsidR="009E07A8" w:rsidRPr="00E91F69">
        <w:rPr>
          <w:rFonts w:ascii="Garamond" w:hAnsi="Garamond"/>
          <w:sz w:val="24"/>
          <w:szCs w:val="24"/>
          <w:lang w:val="en-US"/>
        </w:rPr>
        <w:t xml:space="preserve">to persecute political opponents and human rights defenders. </w:t>
      </w:r>
      <w:r w:rsidR="009E07A8" w:rsidRPr="00D245CA">
        <w:rPr>
          <w:rFonts w:ascii="Garamond" w:hAnsi="Garamond" w:cstheme="minorHAnsi"/>
          <w:strike/>
          <w:sz w:val="24"/>
          <w:szCs w:val="24"/>
        </w:rPr>
        <w:t xml:space="preserve"> </w:t>
      </w:r>
    </w:p>
    <w:p w14:paraId="54875D4B" w14:textId="783E1292" w:rsidR="003162BB" w:rsidRPr="00E223D3" w:rsidRDefault="003162BB" w:rsidP="00E223D3">
      <w:pPr>
        <w:spacing w:after="160" w:line="259" w:lineRule="auto"/>
        <w:rPr>
          <w:rFonts w:ascii="Garamond" w:hAnsi="Garamond"/>
          <w:sz w:val="24"/>
          <w:szCs w:val="24"/>
          <w:lang w:val="en-US"/>
        </w:rPr>
      </w:pPr>
    </w:p>
    <w:sectPr w:rsidR="003162BB" w:rsidRPr="00E223D3" w:rsidSect="00ED053D">
      <w:footerReference w:type="default" r:id="rId12"/>
      <w:headerReference w:type="first" r:id="rId13"/>
      <w:footerReference w:type="first" r:id="rId14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4634" w14:textId="77777777" w:rsidR="00A04F60" w:rsidRDefault="00A04F60" w:rsidP="009F00AF">
      <w:r>
        <w:separator/>
      </w:r>
    </w:p>
  </w:endnote>
  <w:endnote w:type="continuationSeparator" w:id="0">
    <w:p w14:paraId="7F1D67C1" w14:textId="77777777" w:rsidR="00A04F60" w:rsidRDefault="00A04F60" w:rsidP="009F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068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1D53F" w14:textId="5DED0E65" w:rsidR="00373EF9" w:rsidRDefault="009F0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0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6E9ADE" w14:textId="77777777" w:rsidR="00A93F3F" w:rsidRDefault="00C26965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0D86" w14:textId="77777777" w:rsidR="0044209B" w:rsidRPr="003F10CA" w:rsidRDefault="009F00AF" w:rsidP="0044209B">
    <w:pPr>
      <w:pStyle w:val="Footer"/>
      <w:tabs>
        <w:tab w:val="left" w:pos="567"/>
      </w:tabs>
    </w:pPr>
    <w:r w:rsidRPr="00904039">
      <w:rPr>
        <w:sz w:val="24"/>
      </w:rPr>
      <w:t xml:space="preserve"> </w:t>
    </w:r>
  </w:p>
  <w:p w14:paraId="2C78BA67" w14:textId="77777777" w:rsidR="00A93F3F" w:rsidRPr="00282983" w:rsidRDefault="009F00AF" w:rsidP="000448F9">
    <w:pPr>
      <w:pStyle w:val="Footer"/>
      <w:tabs>
        <w:tab w:val="left" w:pos="567"/>
      </w:tabs>
    </w:pPr>
    <w:r w:rsidRPr="00904039" w:rsidDel="0044209B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7A3F" w14:textId="77777777" w:rsidR="00A04F60" w:rsidRDefault="00A04F60" w:rsidP="009F00AF">
      <w:r>
        <w:separator/>
      </w:r>
    </w:p>
  </w:footnote>
  <w:footnote w:type="continuationSeparator" w:id="0">
    <w:p w14:paraId="19A2AC0B" w14:textId="77777777" w:rsidR="00A04F60" w:rsidRDefault="00A04F60" w:rsidP="009F00AF">
      <w:r>
        <w:continuationSeparator/>
      </w:r>
    </w:p>
  </w:footnote>
  <w:footnote w:id="1">
    <w:p w14:paraId="1C3EB499" w14:textId="77777777" w:rsidR="00C92F22" w:rsidRPr="00DA5965" w:rsidRDefault="00C92F22" w:rsidP="00C92F22">
      <w:pPr>
        <w:pStyle w:val="FootnoteText"/>
        <w:rPr>
          <w:rFonts w:ascii="Garamond" w:hAnsi="Garamond"/>
          <w:sz w:val="16"/>
          <w:szCs w:val="16"/>
        </w:rPr>
      </w:pPr>
      <w:r w:rsidRPr="00DA5965">
        <w:rPr>
          <w:rStyle w:val="FootnoteReference"/>
          <w:rFonts w:ascii="Garamond" w:hAnsi="Garamond"/>
          <w:sz w:val="16"/>
          <w:szCs w:val="16"/>
        </w:rPr>
        <w:footnoteRef/>
      </w:r>
      <w:r w:rsidRPr="00DA5965">
        <w:rPr>
          <w:rFonts w:ascii="Garamond" w:hAnsi="Garamond"/>
          <w:sz w:val="16"/>
          <w:szCs w:val="16"/>
        </w:rPr>
        <w:t xml:space="preserve"> United States State Department, Egypt 2022 Human Rights Report, p.5, </w:t>
      </w:r>
      <w:hyperlink r:id="rId1" w:history="1">
        <w:r w:rsidRPr="00DA5965">
          <w:rPr>
            <w:rStyle w:val="Hyperlink"/>
            <w:rFonts w:ascii="Garamond" w:hAnsi="Garamond"/>
            <w:sz w:val="16"/>
            <w:szCs w:val="16"/>
          </w:rPr>
          <w:t>https://www.state.gov/wp-content/uploads/2023/03/415610_EGYPT-2022-HUMAN-RIGHTS-REPORT.pdf</w:t>
        </w:r>
      </w:hyperlink>
      <w:r w:rsidRPr="00DA5965">
        <w:rPr>
          <w:rFonts w:ascii="Garamond" w:hAnsi="Garamond"/>
          <w:sz w:val="16"/>
          <w:szCs w:val="16"/>
        </w:rPr>
        <w:t xml:space="preserve">. </w:t>
      </w:r>
    </w:p>
  </w:footnote>
  <w:footnote w:id="2">
    <w:p w14:paraId="74101089" w14:textId="77777777" w:rsidR="00E22DDE" w:rsidRPr="00DA5965" w:rsidRDefault="00E22DDE" w:rsidP="00E22DDE">
      <w:pPr>
        <w:pStyle w:val="FootnoteText"/>
        <w:rPr>
          <w:rFonts w:ascii="Garamond" w:hAnsi="Garamond"/>
          <w:sz w:val="16"/>
          <w:szCs w:val="16"/>
        </w:rPr>
      </w:pPr>
      <w:r w:rsidRPr="00DA5965">
        <w:rPr>
          <w:rStyle w:val="FootnoteReference"/>
          <w:rFonts w:ascii="Garamond" w:hAnsi="Garamond"/>
          <w:sz w:val="16"/>
          <w:szCs w:val="16"/>
        </w:rPr>
        <w:footnoteRef/>
      </w:r>
      <w:r w:rsidRPr="00DA5965">
        <w:rPr>
          <w:rFonts w:ascii="Garamond" w:hAnsi="Garamond"/>
          <w:sz w:val="16"/>
          <w:szCs w:val="16"/>
        </w:rPr>
        <w:t xml:space="preserve"> United States State Department, Egypt 2022 Human Rights Report, p.5, </w:t>
      </w:r>
      <w:hyperlink r:id="rId2" w:history="1">
        <w:r w:rsidRPr="00DA5965">
          <w:rPr>
            <w:rStyle w:val="Hyperlink"/>
            <w:rFonts w:ascii="Garamond" w:hAnsi="Garamond"/>
            <w:sz w:val="16"/>
            <w:szCs w:val="16"/>
          </w:rPr>
          <w:t>https://www.state.gov/wp-content/uploads/2023/03/415610_EGYPT-2022-HUMAN-RIGHTS-REPORT.pdf</w:t>
        </w:r>
      </w:hyperlink>
      <w:r w:rsidRPr="00DA5965">
        <w:rPr>
          <w:rFonts w:ascii="Garamond" w:hAnsi="Garamond"/>
          <w:sz w:val="16"/>
          <w:szCs w:val="16"/>
        </w:rPr>
        <w:t xml:space="preserve">. </w:t>
      </w:r>
    </w:p>
  </w:footnote>
  <w:footnote w:id="3">
    <w:p w14:paraId="1AC1A32B" w14:textId="03BD3918" w:rsidR="009A46D8" w:rsidRPr="00DA5965" w:rsidRDefault="009A46D8" w:rsidP="00E95D41">
      <w:pPr>
        <w:spacing w:line="259" w:lineRule="auto"/>
        <w:rPr>
          <w:rFonts w:ascii="Garamond" w:hAnsi="Garamond"/>
          <w:sz w:val="16"/>
          <w:szCs w:val="16"/>
          <w:lang w:val="en-US"/>
        </w:rPr>
      </w:pPr>
      <w:r w:rsidRPr="00DA5965">
        <w:rPr>
          <w:rStyle w:val="FootnoteReference"/>
          <w:rFonts w:ascii="Garamond" w:hAnsi="Garamond"/>
          <w:sz w:val="16"/>
          <w:szCs w:val="16"/>
        </w:rPr>
        <w:footnoteRef/>
      </w:r>
      <w:r w:rsidRPr="00DA5965">
        <w:rPr>
          <w:rFonts w:ascii="Garamond" w:hAnsi="Garamond"/>
          <w:sz w:val="16"/>
          <w:szCs w:val="16"/>
        </w:rPr>
        <w:t xml:space="preserve"> United Nation Human Rights Committee, Concluding Observations of Egypt’s Fifth Periodic Review, U.N. Doc. CCPR/C/EGY/CO/5, para. 25, February 2023. </w:t>
      </w:r>
      <w:r w:rsidRPr="00DA5965">
        <w:rPr>
          <w:rFonts w:ascii="Garamond" w:hAnsi="Garamond"/>
          <w:i/>
          <w:iCs/>
          <w:sz w:val="16"/>
          <w:szCs w:val="16"/>
        </w:rPr>
        <w:t>See also</w:t>
      </w:r>
      <w:r w:rsidRPr="00DA5965">
        <w:rPr>
          <w:rFonts w:ascii="Garamond" w:hAnsi="Garamond"/>
          <w:sz w:val="16"/>
          <w:szCs w:val="16"/>
        </w:rPr>
        <w:t xml:space="preserve"> United Nations Committee against Torture, List of Issues in advance of the fifth periodic revie of Egypt, U.N. Doc. CAT/C/EGY/Q/5/Add.1, para. 4, 7 June 2023: </w:t>
      </w:r>
      <w:r w:rsidRPr="00DA5965">
        <w:rPr>
          <w:rFonts w:ascii="Garamond" w:hAnsi="Garamond"/>
          <w:sz w:val="16"/>
          <w:szCs w:val="16"/>
          <w:lang w:val="en-US"/>
        </w:rPr>
        <w:t>Please also describe the steps taken to: (a) explicitly criminalize enforced disappearance in domestic legislation; (b) investigate all allegations of enforced disappearance, ascertain the whereabouts of disappeared persons and, if they are dead, return their remains to families; (c) establish a central public registry of all places of detention; and (d) ensure that victims of enforced disappearances and their relatives have access to effective remedies.</w:t>
      </w:r>
    </w:p>
  </w:footnote>
  <w:footnote w:id="4">
    <w:p w14:paraId="02C34BA1" w14:textId="77777777" w:rsidR="0039705C" w:rsidRPr="00DA5965" w:rsidRDefault="0039705C" w:rsidP="0039705C">
      <w:pPr>
        <w:rPr>
          <w:rFonts w:ascii="Garamond" w:eastAsia="Garamond" w:hAnsi="Garamond" w:cs="Garamond"/>
          <w:sz w:val="16"/>
          <w:szCs w:val="16"/>
          <w:lang w:val="en-US"/>
        </w:rPr>
      </w:pPr>
      <w:r w:rsidRPr="00DA5965">
        <w:rPr>
          <w:rStyle w:val="FootnoteReference"/>
          <w:rFonts w:ascii="Garamond" w:hAnsi="Garamond"/>
          <w:sz w:val="16"/>
          <w:szCs w:val="16"/>
        </w:rPr>
        <w:footnoteRef/>
      </w:r>
      <w:r w:rsidRPr="00DA5965">
        <w:rPr>
          <w:rFonts w:ascii="Garamond" w:eastAsia="Garamond" w:hAnsi="Garamond" w:cs="Garamond"/>
          <w:sz w:val="16"/>
          <w:szCs w:val="16"/>
          <w:lang w:val="en-US"/>
        </w:rPr>
        <w:t xml:space="preserve">  </w:t>
      </w:r>
      <w:bookmarkStart w:id="1" w:name="_Hlk142317592"/>
      <w:r w:rsidRPr="00DA5965">
        <w:rPr>
          <w:rFonts w:ascii="Garamond" w:eastAsia="Garamond" w:hAnsi="Garamond" w:cs="Garamond"/>
          <w:i/>
          <w:sz w:val="16"/>
          <w:szCs w:val="16"/>
          <w:lang w:val="en-US"/>
        </w:rPr>
        <w:t>See</w:t>
      </w:r>
      <w:r w:rsidRPr="00DA5965">
        <w:rPr>
          <w:rFonts w:ascii="Garamond" w:eastAsia="Garamond" w:hAnsi="Garamond" w:cs="Garamond"/>
          <w:sz w:val="16"/>
          <w:szCs w:val="16"/>
          <w:lang w:val="en-US"/>
        </w:rPr>
        <w:t xml:space="preserve"> United States State Department, </w:t>
      </w:r>
      <w:r w:rsidRPr="00DA5965">
        <w:rPr>
          <w:rFonts w:ascii="Garamond" w:eastAsia="Garamond" w:hAnsi="Garamond" w:cs="Garamond"/>
          <w:i/>
          <w:sz w:val="16"/>
          <w:szCs w:val="16"/>
          <w:lang w:val="en-US"/>
        </w:rPr>
        <w:t>Egypt 2021 Human Rights Report</w:t>
      </w:r>
      <w:r w:rsidRPr="00DA5965">
        <w:rPr>
          <w:rFonts w:ascii="Garamond" w:eastAsia="Garamond" w:hAnsi="Garamond" w:cs="Garamond"/>
          <w:sz w:val="16"/>
          <w:szCs w:val="16"/>
          <w:lang w:val="en-US"/>
        </w:rPr>
        <w:t xml:space="preserve">, p.4, </w:t>
      </w:r>
      <w:hyperlink r:id="rId3">
        <w:r w:rsidRPr="00DA5965">
          <w:rPr>
            <w:rFonts w:ascii="Garamond" w:eastAsia="Garamond" w:hAnsi="Garamond" w:cs="Garamond"/>
            <w:color w:val="1155CC"/>
            <w:sz w:val="16"/>
            <w:szCs w:val="16"/>
            <w:u w:val="single"/>
            <w:lang w:val="en-US"/>
          </w:rPr>
          <w:t>https://www.state.gov/wp-content/uploads/2022/03/313615_EGYPT-2021-HUMAN-RIGHTS-REPORT.pdf</w:t>
        </w:r>
      </w:hyperlink>
      <w:r w:rsidRPr="00DA5965">
        <w:rPr>
          <w:rFonts w:ascii="Garamond" w:eastAsia="Garamond" w:hAnsi="Garamond" w:cs="Garamond"/>
          <w:sz w:val="16"/>
          <w:szCs w:val="16"/>
          <w:lang w:val="en-US"/>
        </w:rPr>
        <w:t>.</w:t>
      </w:r>
      <w:bookmarkEnd w:id="1"/>
    </w:p>
  </w:footnote>
  <w:footnote w:id="5">
    <w:p w14:paraId="7E8A2E37" w14:textId="04E5F384" w:rsidR="00383296" w:rsidRPr="00DA5965" w:rsidRDefault="00383296">
      <w:pPr>
        <w:pStyle w:val="FootnoteText"/>
        <w:rPr>
          <w:rFonts w:ascii="Garamond" w:hAnsi="Garamond"/>
          <w:lang w:val="en-US"/>
        </w:rPr>
      </w:pPr>
      <w:r w:rsidRPr="00DA5965">
        <w:rPr>
          <w:rStyle w:val="FootnoteReference"/>
          <w:rFonts w:ascii="Garamond" w:hAnsi="Garamond"/>
          <w:sz w:val="16"/>
          <w:szCs w:val="16"/>
        </w:rPr>
        <w:footnoteRef/>
      </w:r>
      <w:r w:rsidRPr="00DA5965">
        <w:rPr>
          <w:rFonts w:ascii="Garamond" w:hAnsi="Garamond"/>
          <w:sz w:val="16"/>
          <w:szCs w:val="16"/>
        </w:rPr>
        <w:t xml:space="preserve"> Press Release, Egypt uses terrorism trials to target human rights activists, say UN experts, </w:t>
      </w:r>
      <w:r w:rsidRPr="00DA5965">
        <w:rPr>
          <w:rFonts w:ascii="Garamond" w:hAnsi="Garamond"/>
          <w:sz w:val="16"/>
          <w:szCs w:val="16"/>
          <w:lang w:val="en-US"/>
        </w:rPr>
        <w:t xml:space="preserve">UN Office of the High Commissioner for Human Rights, 8 October 2020, </w:t>
      </w:r>
      <w:hyperlink r:id="rId4" w:history="1">
        <w:r w:rsidRPr="00DA5965">
          <w:rPr>
            <w:rStyle w:val="Hyperlink"/>
            <w:rFonts w:ascii="Garamond" w:hAnsi="Garamond"/>
            <w:sz w:val="16"/>
            <w:szCs w:val="16"/>
            <w:lang w:val="en-US"/>
          </w:rPr>
          <w:t>https://www.ohchr.org/en/press-releases/2020/10/egypt-uses-terrorism-trials-target-human-rights-activists-say-un-experts</w:t>
        </w:r>
      </w:hyperlink>
      <w:r w:rsidRPr="00DA5965">
        <w:rPr>
          <w:rFonts w:ascii="Garamond" w:hAnsi="Garamond"/>
          <w:sz w:val="16"/>
          <w:szCs w:val="16"/>
          <w:lang w:val="en-US"/>
        </w:rPr>
        <w:t xml:space="preserve">; Press Release, Egypt’s updated terrorism law opens the door to more rights abuses, says UN expert, UN Office of the High Commissioner for Human Rights, 9 April 2020, </w:t>
      </w:r>
      <w:hyperlink r:id="rId5" w:history="1">
        <w:r w:rsidRPr="00DA5965">
          <w:rPr>
            <w:rStyle w:val="Hyperlink"/>
            <w:rFonts w:ascii="Garamond" w:hAnsi="Garamond"/>
            <w:sz w:val="16"/>
            <w:szCs w:val="16"/>
            <w:lang w:val="en-US"/>
          </w:rPr>
          <w:t>https://www.ohchr.org/en/press-releases/2020/04/egypts-updated-terrorism-law-opens-door-more-rights-abuses-says-un-expert</w:t>
        </w:r>
      </w:hyperlink>
      <w:r w:rsidRPr="00DA5965">
        <w:rPr>
          <w:rFonts w:ascii="Garamond" w:hAnsi="Garamond"/>
          <w:sz w:val="16"/>
          <w:szCs w:val="16"/>
          <w:lang w:val="en-US"/>
        </w:rPr>
        <w:t xml:space="preserve">; </w:t>
      </w:r>
      <w:r w:rsidR="00DA5965" w:rsidRPr="00DA5965">
        <w:rPr>
          <w:rFonts w:ascii="Garamond" w:hAnsi="Garamond"/>
          <w:sz w:val="16"/>
          <w:szCs w:val="16"/>
          <w:lang w:val="en-US"/>
        </w:rPr>
        <w:t xml:space="preserve">Letter from UN Special Procedures to Egyptian Authorities concerning amendments to counter-terrorism legislation, 28 February 2020, </w:t>
      </w:r>
      <w:hyperlink r:id="rId6" w:history="1">
        <w:r w:rsidR="00DA5965" w:rsidRPr="00DA5965">
          <w:rPr>
            <w:rStyle w:val="Hyperlink"/>
            <w:rFonts w:ascii="Garamond" w:hAnsi="Garamond"/>
            <w:sz w:val="16"/>
            <w:szCs w:val="16"/>
            <w:lang w:val="en-US"/>
          </w:rPr>
          <w:t>https://spcommreports.ohchr.org/TMResultsBase/DownLoadPublicCommunicationFile?gId=25072</w:t>
        </w:r>
      </w:hyperlink>
      <w:r w:rsidR="00DA5965" w:rsidRPr="00DA5965">
        <w:rPr>
          <w:rFonts w:ascii="Garamond" w:hAnsi="Garamond"/>
          <w:sz w:val="16"/>
          <w:szCs w:val="16"/>
          <w:lang w:val="en-US"/>
        </w:rPr>
        <w:t>.</w:t>
      </w:r>
    </w:p>
  </w:footnote>
  <w:footnote w:id="6">
    <w:p w14:paraId="3FD54507" w14:textId="55C30953" w:rsidR="00FE7834" w:rsidRPr="003162BB" w:rsidRDefault="00FE7834" w:rsidP="00FE7834">
      <w:pPr>
        <w:pStyle w:val="FootnoteText"/>
        <w:rPr>
          <w:rFonts w:ascii="Garamond" w:hAnsi="Garamond"/>
          <w:sz w:val="16"/>
          <w:szCs w:val="16"/>
        </w:rPr>
      </w:pPr>
      <w:r w:rsidRPr="003162BB">
        <w:rPr>
          <w:rStyle w:val="FootnoteReference"/>
          <w:rFonts w:ascii="Garamond" w:hAnsi="Garamond"/>
          <w:sz w:val="16"/>
          <w:szCs w:val="16"/>
        </w:rPr>
        <w:footnoteRef/>
      </w:r>
      <w:r w:rsidRPr="003162BB">
        <w:rPr>
          <w:rFonts w:ascii="Garamond" w:hAnsi="Garamond"/>
          <w:sz w:val="16"/>
          <w:szCs w:val="16"/>
        </w:rPr>
        <w:t xml:space="preserve"> Amnesty International, </w:t>
      </w:r>
      <w:r w:rsidRPr="003162BB">
        <w:rPr>
          <w:rFonts w:ascii="Garamond" w:hAnsi="Garamond"/>
          <w:i/>
          <w:iCs/>
          <w:sz w:val="16"/>
          <w:szCs w:val="16"/>
        </w:rPr>
        <w:t>‘What do I care if you die?’ Negligence and Denial of Health Care in Egyptian Prisons</w:t>
      </w:r>
      <w:r w:rsidRPr="003162BB">
        <w:rPr>
          <w:rFonts w:ascii="Garamond" w:hAnsi="Garamond"/>
          <w:sz w:val="16"/>
          <w:szCs w:val="16"/>
        </w:rPr>
        <w:t xml:space="preserve">, </w:t>
      </w:r>
      <w:r>
        <w:rPr>
          <w:rFonts w:ascii="Garamond" w:hAnsi="Garamond"/>
          <w:sz w:val="16"/>
          <w:szCs w:val="16"/>
        </w:rPr>
        <w:t xml:space="preserve">p. 59, </w:t>
      </w:r>
      <w:r w:rsidRPr="003162BB">
        <w:rPr>
          <w:rFonts w:ascii="Garamond" w:hAnsi="Garamond"/>
          <w:sz w:val="16"/>
          <w:szCs w:val="16"/>
        </w:rPr>
        <w:t>2021.</w:t>
      </w:r>
    </w:p>
  </w:footnote>
  <w:footnote w:id="7">
    <w:p w14:paraId="13B3C069" w14:textId="77777777" w:rsidR="00FE7834" w:rsidRPr="003162BB" w:rsidRDefault="00FE7834" w:rsidP="00FE7834">
      <w:pPr>
        <w:pStyle w:val="FootnoteText"/>
        <w:rPr>
          <w:rFonts w:ascii="Garamond" w:hAnsi="Garamond"/>
          <w:sz w:val="16"/>
          <w:szCs w:val="16"/>
        </w:rPr>
      </w:pPr>
      <w:r w:rsidRPr="003162BB">
        <w:rPr>
          <w:rStyle w:val="FootnoteReference"/>
          <w:rFonts w:ascii="Garamond" w:hAnsi="Garamond"/>
          <w:sz w:val="16"/>
          <w:szCs w:val="16"/>
        </w:rPr>
        <w:footnoteRef/>
      </w:r>
      <w:r w:rsidRPr="003162BB">
        <w:rPr>
          <w:rFonts w:ascii="Garamond" w:hAnsi="Garamond"/>
          <w:sz w:val="16"/>
          <w:szCs w:val="16"/>
        </w:rPr>
        <w:t xml:space="preserve"> Amnesty International, </w:t>
      </w:r>
      <w:r w:rsidRPr="003162BB">
        <w:rPr>
          <w:rFonts w:ascii="Garamond" w:hAnsi="Garamond"/>
          <w:i/>
          <w:iCs/>
          <w:sz w:val="16"/>
          <w:szCs w:val="16"/>
        </w:rPr>
        <w:t>‘What do I care if you die?’ Negligence and Denial of Health Care in Egyptian Prisons</w:t>
      </w:r>
      <w:r w:rsidRPr="003162BB">
        <w:rPr>
          <w:rFonts w:ascii="Garamond" w:hAnsi="Garamond"/>
          <w:sz w:val="16"/>
          <w:szCs w:val="16"/>
        </w:rPr>
        <w:t xml:space="preserve">, </w:t>
      </w:r>
      <w:r>
        <w:rPr>
          <w:rFonts w:ascii="Garamond" w:hAnsi="Garamond"/>
          <w:sz w:val="16"/>
          <w:szCs w:val="16"/>
        </w:rPr>
        <w:t xml:space="preserve">p. 59, </w:t>
      </w:r>
      <w:r w:rsidRPr="003162BB">
        <w:rPr>
          <w:rFonts w:ascii="Garamond" w:hAnsi="Garamond"/>
          <w:sz w:val="16"/>
          <w:szCs w:val="16"/>
        </w:rPr>
        <w:t>2021.</w:t>
      </w:r>
    </w:p>
  </w:footnote>
  <w:footnote w:id="8">
    <w:p w14:paraId="0A12A631" w14:textId="77777777" w:rsidR="00D245CA" w:rsidRPr="007506AD" w:rsidRDefault="00D245CA" w:rsidP="00D245CA">
      <w:pPr>
        <w:pStyle w:val="FootnoteText"/>
        <w:rPr>
          <w:rFonts w:ascii="Garamond" w:hAnsi="Garamond"/>
          <w:sz w:val="16"/>
          <w:szCs w:val="16"/>
        </w:rPr>
      </w:pPr>
      <w:r w:rsidRPr="007506AD">
        <w:rPr>
          <w:rStyle w:val="FootnoteReference"/>
          <w:rFonts w:ascii="Garamond" w:hAnsi="Garamond"/>
          <w:sz w:val="16"/>
          <w:szCs w:val="16"/>
        </w:rPr>
        <w:footnoteRef/>
      </w:r>
      <w:r w:rsidRPr="007506AD">
        <w:rPr>
          <w:rFonts w:ascii="Garamond" w:hAnsi="Garamond"/>
          <w:sz w:val="16"/>
          <w:szCs w:val="16"/>
        </w:rPr>
        <w:t xml:space="preserve"> Amnesty International, </w:t>
      </w:r>
      <w:r w:rsidRPr="007506AD">
        <w:rPr>
          <w:rFonts w:ascii="Garamond" w:hAnsi="Garamond"/>
          <w:i/>
          <w:iCs/>
          <w:sz w:val="16"/>
          <w:szCs w:val="16"/>
        </w:rPr>
        <w:t>‘What do I care if you die?’ Negligence and Denial of Health Care in Egyptian Prisons</w:t>
      </w:r>
      <w:r w:rsidRPr="007506AD">
        <w:rPr>
          <w:rFonts w:ascii="Garamond" w:hAnsi="Garamond"/>
          <w:sz w:val="16"/>
          <w:szCs w:val="16"/>
        </w:rPr>
        <w:t>, p. 58, 2021.</w:t>
      </w:r>
    </w:p>
  </w:footnote>
  <w:footnote w:id="9">
    <w:p w14:paraId="69254212" w14:textId="70A6D850" w:rsidR="007506AD" w:rsidRPr="007506AD" w:rsidRDefault="007506AD">
      <w:pPr>
        <w:pStyle w:val="FootnoteText"/>
      </w:pPr>
      <w:r w:rsidRPr="007506AD">
        <w:rPr>
          <w:rStyle w:val="FootnoteReference"/>
          <w:rFonts w:ascii="Garamond" w:hAnsi="Garamond"/>
          <w:sz w:val="16"/>
          <w:szCs w:val="16"/>
        </w:rPr>
        <w:footnoteRef/>
      </w:r>
      <w:r w:rsidRPr="007506AD">
        <w:rPr>
          <w:rFonts w:ascii="Garamond" w:hAnsi="Garamond"/>
          <w:sz w:val="16"/>
          <w:szCs w:val="16"/>
        </w:rPr>
        <w:t xml:space="preserve"> DIGNITY, Adalah, Cairo Institute for Human Rights Studies, Committee for Justice, El Nadeem, Egyptian Commission for Human Rights, Joint Submission for Egypt’s Third Cycle Universal Periodic Review, p. 7 (2019).</w:t>
      </w:r>
      <w:r>
        <w:t xml:space="preserve"> </w:t>
      </w:r>
    </w:p>
  </w:footnote>
  <w:footnote w:id="10">
    <w:p w14:paraId="1C3C34C0" w14:textId="5E1E27A2" w:rsidR="00C67087" w:rsidRPr="00C67087" w:rsidRDefault="00C67087">
      <w:pPr>
        <w:pStyle w:val="FootnoteText"/>
        <w:rPr>
          <w:rFonts w:ascii="Garamond" w:hAnsi="Garamond"/>
          <w:sz w:val="16"/>
          <w:szCs w:val="16"/>
        </w:rPr>
      </w:pPr>
      <w:r w:rsidRPr="00C67087">
        <w:rPr>
          <w:rStyle w:val="FootnoteReference"/>
          <w:rFonts w:ascii="Garamond" w:hAnsi="Garamond"/>
          <w:sz w:val="16"/>
          <w:szCs w:val="16"/>
        </w:rPr>
        <w:footnoteRef/>
      </w:r>
      <w:r w:rsidRPr="00C67087">
        <w:rPr>
          <w:rFonts w:ascii="Garamond" w:hAnsi="Garamond"/>
          <w:sz w:val="16"/>
          <w:szCs w:val="16"/>
        </w:rPr>
        <w:t xml:space="preserve"> </w:t>
      </w:r>
      <w:r w:rsidRPr="00C67087">
        <w:rPr>
          <w:rFonts w:ascii="Garamond" w:hAnsi="Garamond" w:cstheme="minorHAnsi"/>
          <w:sz w:val="16"/>
          <w:szCs w:val="16"/>
        </w:rPr>
        <w:t>UN C</w:t>
      </w:r>
      <w:r>
        <w:rPr>
          <w:rFonts w:ascii="Garamond" w:hAnsi="Garamond" w:cstheme="minorHAnsi"/>
          <w:sz w:val="16"/>
          <w:szCs w:val="16"/>
        </w:rPr>
        <w:t xml:space="preserve">ommittee against </w:t>
      </w:r>
      <w:r w:rsidRPr="00C67087">
        <w:rPr>
          <w:rFonts w:ascii="Garamond" w:hAnsi="Garamond" w:cstheme="minorHAnsi"/>
          <w:sz w:val="16"/>
          <w:szCs w:val="16"/>
        </w:rPr>
        <w:t>T</w:t>
      </w:r>
      <w:r>
        <w:rPr>
          <w:rFonts w:ascii="Garamond" w:hAnsi="Garamond" w:cstheme="minorHAnsi"/>
          <w:sz w:val="16"/>
          <w:szCs w:val="16"/>
        </w:rPr>
        <w:t>orture</w:t>
      </w:r>
      <w:r w:rsidRPr="00C67087">
        <w:rPr>
          <w:rFonts w:ascii="Garamond" w:hAnsi="Garamond" w:cstheme="minorHAnsi"/>
          <w:sz w:val="16"/>
          <w:szCs w:val="16"/>
        </w:rPr>
        <w:t xml:space="preserve">, </w:t>
      </w:r>
      <w:r>
        <w:rPr>
          <w:rFonts w:ascii="Garamond" w:hAnsi="Garamond" w:cstheme="minorHAnsi"/>
          <w:sz w:val="16"/>
          <w:szCs w:val="16"/>
        </w:rPr>
        <w:t xml:space="preserve">report under Art. 20, </w:t>
      </w:r>
      <w:r w:rsidRPr="00C67087">
        <w:rPr>
          <w:rFonts w:ascii="Garamond" w:hAnsi="Garamond" w:cstheme="minorHAnsi"/>
          <w:sz w:val="16"/>
          <w:szCs w:val="16"/>
        </w:rPr>
        <w:t>§§</w:t>
      </w:r>
      <w:r>
        <w:rPr>
          <w:rFonts w:ascii="Garamond" w:hAnsi="Garamond" w:cstheme="minorHAnsi"/>
          <w:sz w:val="16"/>
          <w:szCs w:val="16"/>
        </w:rPr>
        <w:t xml:space="preserve"> </w:t>
      </w:r>
      <w:r w:rsidRPr="00C67087">
        <w:rPr>
          <w:rFonts w:ascii="Garamond" w:hAnsi="Garamond" w:cstheme="minorHAnsi"/>
          <w:sz w:val="16"/>
          <w:szCs w:val="16"/>
        </w:rPr>
        <w:t>58-71</w:t>
      </w:r>
      <w:r>
        <w:rPr>
          <w:rFonts w:ascii="Garamond" w:hAnsi="Garamond" w:cstheme="minorHAnsi"/>
          <w:sz w:val="16"/>
          <w:szCs w:val="16"/>
        </w:rPr>
        <w:t>, U.N. Doc. A/72/44,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A283" w14:textId="77777777" w:rsidR="00A93F3F" w:rsidRDefault="00C26965" w:rsidP="000448F9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120"/>
      <w:jc w:val="center"/>
      <w:rPr>
        <w:sz w:val="14"/>
        <w:szCs w:val="14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8D4"/>
    <w:multiLevelType w:val="hybridMultilevel"/>
    <w:tmpl w:val="C7A0CCE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BA"/>
    <w:multiLevelType w:val="hybridMultilevel"/>
    <w:tmpl w:val="EB0A80B6"/>
    <w:lvl w:ilvl="0" w:tplc="0406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65E2"/>
    <w:multiLevelType w:val="hybridMultilevel"/>
    <w:tmpl w:val="5C50FA82"/>
    <w:lvl w:ilvl="0" w:tplc="1D06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4B7173"/>
    <w:multiLevelType w:val="hybridMultilevel"/>
    <w:tmpl w:val="0E38C64C"/>
    <w:lvl w:ilvl="0" w:tplc="0406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78F5A37"/>
    <w:multiLevelType w:val="hybridMultilevel"/>
    <w:tmpl w:val="8DC2EBA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69CE"/>
    <w:multiLevelType w:val="hybridMultilevel"/>
    <w:tmpl w:val="E5BCFE54"/>
    <w:lvl w:ilvl="0" w:tplc="0406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3701"/>
    <w:multiLevelType w:val="hybridMultilevel"/>
    <w:tmpl w:val="DFE6219E"/>
    <w:lvl w:ilvl="0" w:tplc="0406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1A755CC"/>
    <w:multiLevelType w:val="hybridMultilevel"/>
    <w:tmpl w:val="84D2088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5295E"/>
    <w:multiLevelType w:val="hybridMultilevel"/>
    <w:tmpl w:val="4C42CF4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106AA"/>
    <w:multiLevelType w:val="hybridMultilevel"/>
    <w:tmpl w:val="A1F4AEB8"/>
    <w:lvl w:ilvl="0" w:tplc="040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67544753"/>
    <w:multiLevelType w:val="multilevel"/>
    <w:tmpl w:val="3A7615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9"/>
      <w:numFmt w:val="bullet"/>
      <w:lvlText w:val="-"/>
      <w:lvlJc w:val="left"/>
      <w:pPr>
        <w:ind w:left="1224" w:hanging="504"/>
      </w:pPr>
      <w:rPr>
        <w:rFonts w:ascii="Times New Roman" w:hAnsi="Times New Roman" w:cs="Times New Roman"/>
        <w:i/>
      </w:rPr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C964F1"/>
    <w:multiLevelType w:val="hybridMultilevel"/>
    <w:tmpl w:val="E6004E36"/>
    <w:lvl w:ilvl="0" w:tplc="E95C2486">
      <w:start w:val="5"/>
      <w:numFmt w:val="bullet"/>
      <w:lvlText w:val="-"/>
      <w:lvlJc w:val="left"/>
      <w:pPr>
        <w:ind w:left="717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E7470A2"/>
    <w:multiLevelType w:val="multilevel"/>
    <w:tmpl w:val="A75872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363762">
    <w:abstractNumId w:val="11"/>
  </w:num>
  <w:num w:numId="2" w16cid:durableId="1139691070">
    <w:abstractNumId w:val="3"/>
  </w:num>
  <w:num w:numId="3" w16cid:durableId="1070689699">
    <w:abstractNumId w:val="12"/>
  </w:num>
  <w:num w:numId="4" w16cid:durableId="1424036798">
    <w:abstractNumId w:val="1"/>
  </w:num>
  <w:num w:numId="5" w16cid:durableId="1411779090">
    <w:abstractNumId w:val="5"/>
  </w:num>
  <w:num w:numId="6" w16cid:durableId="265432722">
    <w:abstractNumId w:val="8"/>
  </w:num>
  <w:num w:numId="7" w16cid:durableId="1690450610">
    <w:abstractNumId w:val="9"/>
  </w:num>
  <w:num w:numId="8" w16cid:durableId="1833136709">
    <w:abstractNumId w:val="10"/>
  </w:num>
  <w:num w:numId="9" w16cid:durableId="254018676">
    <w:abstractNumId w:val="0"/>
  </w:num>
  <w:num w:numId="10" w16cid:durableId="136069794">
    <w:abstractNumId w:val="6"/>
  </w:num>
  <w:num w:numId="11" w16cid:durableId="416948099">
    <w:abstractNumId w:val="7"/>
  </w:num>
  <w:num w:numId="12" w16cid:durableId="189808551">
    <w:abstractNumId w:val="4"/>
  </w:num>
  <w:num w:numId="13" w16cid:durableId="1142699645">
    <w:abstractNumId w:val="2"/>
  </w:num>
  <w:num w:numId="14" w16cid:durableId="704064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23"/>
    <w:rsid w:val="00000F11"/>
    <w:rsid w:val="0000659B"/>
    <w:rsid w:val="00012EB1"/>
    <w:rsid w:val="00036492"/>
    <w:rsid w:val="0004788C"/>
    <w:rsid w:val="000609C5"/>
    <w:rsid w:val="000659E3"/>
    <w:rsid w:val="000661EF"/>
    <w:rsid w:val="00071326"/>
    <w:rsid w:val="0008377B"/>
    <w:rsid w:val="00083C31"/>
    <w:rsid w:val="00094BA9"/>
    <w:rsid w:val="000971E3"/>
    <w:rsid w:val="000D0D72"/>
    <w:rsid w:val="000F544C"/>
    <w:rsid w:val="000F7936"/>
    <w:rsid w:val="00127C27"/>
    <w:rsid w:val="001350BD"/>
    <w:rsid w:val="00140D91"/>
    <w:rsid w:val="001429E1"/>
    <w:rsid w:val="001431B1"/>
    <w:rsid w:val="001504D9"/>
    <w:rsid w:val="00151A0F"/>
    <w:rsid w:val="00166A27"/>
    <w:rsid w:val="001673AA"/>
    <w:rsid w:val="00171FFF"/>
    <w:rsid w:val="00176A05"/>
    <w:rsid w:val="001807C0"/>
    <w:rsid w:val="0019408B"/>
    <w:rsid w:val="0019627D"/>
    <w:rsid w:val="00197C8B"/>
    <w:rsid w:val="001B1E8E"/>
    <w:rsid w:val="001C151C"/>
    <w:rsid w:val="001D2C04"/>
    <w:rsid w:val="001D336F"/>
    <w:rsid w:val="001E41BF"/>
    <w:rsid w:val="0020032F"/>
    <w:rsid w:val="00205ED4"/>
    <w:rsid w:val="002112DF"/>
    <w:rsid w:val="002128B4"/>
    <w:rsid w:val="00212F6D"/>
    <w:rsid w:val="00225B63"/>
    <w:rsid w:val="00240381"/>
    <w:rsid w:val="00241992"/>
    <w:rsid w:val="00250AD6"/>
    <w:rsid w:val="0025390D"/>
    <w:rsid w:val="0026375C"/>
    <w:rsid w:val="002656F6"/>
    <w:rsid w:val="00270206"/>
    <w:rsid w:val="0027563D"/>
    <w:rsid w:val="00280CB3"/>
    <w:rsid w:val="00282A0E"/>
    <w:rsid w:val="002834C4"/>
    <w:rsid w:val="00284872"/>
    <w:rsid w:val="00292E45"/>
    <w:rsid w:val="00295582"/>
    <w:rsid w:val="002E0F06"/>
    <w:rsid w:val="00310CB4"/>
    <w:rsid w:val="0031257B"/>
    <w:rsid w:val="00312D60"/>
    <w:rsid w:val="00314F99"/>
    <w:rsid w:val="003162BB"/>
    <w:rsid w:val="00324E62"/>
    <w:rsid w:val="00345F9F"/>
    <w:rsid w:val="00346BC0"/>
    <w:rsid w:val="00355220"/>
    <w:rsid w:val="003623BC"/>
    <w:rsid w:val="003642BA"/>
    <w:rsid w:val="00373FE3"/>
    <w:rsid w:val="00380F95"/>
    <w:rsid w:val="003830AB"/>
    <w:rsid w:val="00383296"/>
    <w:rsid w:val="00385795"/>
    <w:rsid w:val="00387ACF"/>
    <w:rsid w:val="0039154D"/>
    <w:rsid w:val="003959D3"/>
    <w:rsid w:val="0039705C"/>
    <w:rsid w:val="003A4B24"/>
    <w:rsid w:val="003C7C85"/>
    <w:rsid w:val="003E350E"/>
    <w:rsid w:val="003E6EF4"/>
    <w:rsid w:val="00403A5D"/>
    <w:rsid w:val="00421128"/>
    <w:rsid w:val="00423E66"/>
    <w:rsid w:val="00432756"/>
    <w:rsid w:val="004401C6"/>
    <w:rsid w:val="004528DF"/>
    <w:rsid w:val="00453002"/>
    <w:rsid w:val="0045339B"/>
    <w:rsid w:val="00465CAB"/>
    <w:rsid w:val="004734DB"/>
    <w:rsid w:val="004766AC"/>
    <w:rsid w:val="00482564"/>
    <w:rsid w:val="0049379E"/>
    <w:rsid w:val="004A5390"/>
    <w:rsid w:val="004D12E0"/>
    <w:rsid w:val="004D6EC2"/>
    <w:rsid w:val="004E04E4"/>
    <w:rsid w:val="004E388A"/>
    <w:rsid w:val="00510EC2"/>
    <w:rsid w:val="00513298"/>
    <w:rsid w:val="00515F3B"/>
    <w:rsid w:val="00521069"/>
    <w:rsid w:val="00522CD3"/>
    <w:rsid w:val="0053009B"/>
    <w:rsid w:val="00531BD8"/>
    <w:rsid w:val="005351DA"/>
    <w:rsid w:val="005435EE"/>
    <w:rsid w:val="00543F82"/>
    <w:rsid w:val="00555EB1"/>
    <w:rsid w:val="00567379"/>
    <w:rsid w:val="005A73B4"/>
    <w:rsid w:val="005D0036"/>
    <w:rsid w:val="005D63EA"/>
    <w:rsid w:val="005E2A64"/>
    <w:rsid w:val="005F7412"/>
    <w:rsid w:val="005F7B42"/>
    <w:rsid w:val="006245AF"/>
    <w:rsid w:val="00630C7B"/>
    <w:rsid w:val="00656CAA"/>
    <w:rsid w:val="00674C80"/>
    <w:rsid w:val="00681C8B"/>
    <w:rsid w:val="006878D1"/>
    <w:rsid w:val="0068792E"/>
    <w:rsid w:val="006B1DDE"/>
    <w:rsid w:val="006C3A4C"/>
    <w:rsid w:val="006D3BCE"/>
    <w:rsid w:val="006D4782"/>
    <w:rsid w:val="006E0947"/>
    <w:rsid w:val="006F3AEB"/>
    <w:rsid w:val="006F6BB9"/>
    <w:rsid w:val="006F7F8C"/>
    <w:rsid w:val="0071573E"/>
    <w:rsid w:val="00716777"/>
    <w:rsid w:val="007172F9"/>
    <w:rsid w:val="00726C9F"/>
    <w:rsid w:val="00741EC7"/>
    <w:rsid w:val="007450F5"/>
    <w:rsid w:val="007506AD"/>
    <w:rsid w:val="00756853"/>
    <w:rsid w:val="00787110"/>
    <w:rsid w:val="007A79F3"/>
    <w:rsid w:val="007C0561"/>
    <w:rsid w:val="007D6F54"/>
    <w:rsid w:val="007E0F9A"/>
    <w:rsid w:val="00801682"/>
    <w:rsid w:val="00804871"/>
    <w:rsid w:val="0080507B"/>
    <w:rsid w:val="0080753B"/>
    <w:rsid w:val="0081779C"/>
    <w:rsid w:val="008220D7"/>
    <w:rsid w:val="008269CB"/>
    <w:rsid w:val="00830520"/>
    <w:rsid w:val="00835651"/>
    <w:rsid w:val="008360A2"/>
    <w:rsid w:val="008457D4"/>
    <w:rsid w:val="00861310"/>
    <w:rsid w:val="0087345E"/>
    <w:rsid w:val="00875C91"/>
    <w:rsid w:val="008A3DDD"/>
    <w:rsid w:val="008A7265"/>
    <w:rsid w:val="008B2B66"/>
    <w:rsid w:val="008B5DBA"/>
    <w:rsid w:val="008C7A2D"/>
    <w:rsid w:val="008D08B3"/>
    <w:rsid w:val="008E64B4"/>
    <w:rsid w:val="008F0460"/>
    <w:rsid w:val="008F3F08"/>
    <w:rsid w:val="00917D7B"/>
    <w:rsid w:val="00920E8F"/>
    <w:rsid w:val="009242E0"/>
    <w:rsid w:val="00925962"/>
    <w:rsid w:val="00933727"/>
    <w:rsid w:val="009338F1"/>
    <w:rsid w:val="0093511D"/>
    <w:rsid w:val="0094246C"/>
    <w:rsid w:val="0094613A"/>
    <w:rsid w:val="009538C8"/>
    <w:rsid w:val="00955D97"/>
    <w:rsid w:val="00956F56"/>
    <w:rsid w:val="00957E22"/>
    <w:rsid w:val="0097098D"/>
    <w:rsid w:val="009727F8"/>
    <w:rsid w:val="00987063"/>
    <w:rsid w:val="009A46D8"/>
    <w:rsid w:val="009A4CA3"/>
    <w:rsid w:val="009B2AD0"/>
    <w:rsid w:val="009D555E"/>
    <w:rsid w:val="009E07A8"/>
    <w:rsid w:val="009F00AF"/>
    <w:rsid w:val="00A04F60"/>
    <w:rsid w:val="00A11532"/>
    <w:rsid w:val="00A11888"/>
    <w:rsid w:val="00A1228C"/>
    <w:rsid w:val="00A266E9"/>
    <w:rsid w:val="00A41F70"/>
    <w:rsid w:val="00A53464"/>
    <w:rsid w:val="00A63D6B"/>
    <w:rsid w:val="00A66EE1"/>
    <w:rsid w:val="00AA0BC4"/>
    <w:rsid w:val="00AA540E"/>
    <w:rsid w:val="00AA5C96"/>
    <w:rsid w:val="00AB3D9C"/>
    <w:rsid w:val="00AB5B6F"/>
    <w:rsid w:val="00AC42E7"/>
    <w:rsid w:val="00AD2FF5"/>
    <w:rsid w:val="00AD4287"/>
    <w:rsid w:val="00AE3C39"/>
    <w:rsid w:val="00AF56DF"/>
    <w:rsid w:val="00B045F9"/>
    <w:rsid w:val="00B15121"/>
    <w:rsid w:val="00B16233"/>
    <w:rsid w:val="00B35340"/>
    <w:rsid w:val="00B361CD"/>
    <w:rsid w:val="00B37055"/>
    <w:rsid w:val="00B44B02"/>
    <w:rsid w:val="00B74777"/>
    <w:rsid w:val="00B84755"/>
    <w:rsid w:val="00B92D21"/>
    <w:rsid w:val="00BE4AE4"/>
    <w:rsid w:val="00BF723A"/>
    <w:rsid w:val="00C01D72"/>
    <w:rsid w:val="00C03509"/>
    <w:rsid w:val="00C26965"/>
    <w:rsid w:val="00C3481B"/>
    <w:rsid w:val="00C37628"/>
    <w:rsid w:val="00C467C8"/>
    <w:rsid w:val="00C470EC"/>
    <w:rsid w:val="00C51247"/>
    <w:rsid w:val="00C55CD9"/>
    <w:rsid w:val="00C67087"/>
    <w:rsid w:val="00C71D80"/>
    <w:rsid w:val="00C732A2"/>
    <w:rsid w:val="00C861A7"/>
    <w:rsid w:val="00C86EEC"/>
    <w:rsid w:val="00C92F22"/>
    <w:rsid w:val="00CC5840"/>
    <w:rsid w:val="00CD0ABD"/>
    <w:rsid w:val="00D00443"/>
    <w:rsid w:val="00D019C0"/>
    <w:rsid w:val="00D020CE"/>
    <w:rsid w:val="00D06468"/>
    <w:rsid w:val="00D070B9"/>
    <w:rsid w:val="00D108AE"/>
    <w:rsid w:val="00D11247"/>
    <w:rsid w:val="00D1256C"/>
    <w:rsid w:val="00D15C18"/>
    <w:rsid w:val="00D23F6A"/>
    <w:rsid w:val="00D245CA"/>
    <w:rsid w:val="00D364F6"/>
    <w:rsid w:val="00D3792E"/>
    <w:rsid w:val="00D413E8"/>
    <w:rsid w:val="00D44EAC"/>
    <w:rsid w:val="00D6364E"/>
    <w:rsid w:val="00D7193C"/>
    <w:rsid w:val="00D72ADE"/>
    <w:rsid w:val="00D963FC"/>
    <w:rsid w:val="00D97DA0"/>
    <w:rsid w:val="00DA3780"/>
    <w:rsid w:val="00DA3A23"/>
    <w:rsid w:val="00DA5965"/>
    <w:rsid w:val="00DB0B9D"/>
    <w:rsid w:val="00DB6C07"/>
    <w:rsid w:val="00DC520E"/>
    <w:rsid w:val="00DC79E5"/>
    <w:rsid w:val="00DD1A2C"/>
    <w:rsid w:val="00DD46A2"/>
    <w:rsid w:val="00DF264A"/>
    <w:rsid w:val="00DF5308"/>
    <w:rsid w:val="00E06962"/>
    <w:rsid w:val="00E12539"/>
    <w:rsid w:val="00E12A64"/>
    <w:rsid w:val="00E15470"/>
    <w:rsid w:val="00E1794A"/>
    <w:rsid w:val="00E20289"/>
    <w:rsid w:val="00E223D3"/>
    <w:rsid w:val="00E22DDE"/>
    <w:rsid w:val="00E30207"/>
    <w:rsid w:val="00E421D1"/>
    <w:rsid w:val="00E61294"/>
    <w:rsid w:val="00E64C28"/>
    <w:rsid w:val="00E66F58"/>
    <w:rsid w:val="00E67FCD"/>
    <w:rsid w:val="00E74352"/>
    <w:rsid w:val="00E74B40"/>
    <w:rsid w:val="00E865A6"/>
    <w:rsid w:val="00E91F69"/>
    <w:rsid w:val="00E95D41"/>
    <w:rsid w:val="00EB722F"/>
    <w:rsid w:val="00EC012C"/>
    <w:rsid w:val="00EC5FDB"/>
    <w:rsid w:val="00EC7DF9"/>
    <w:rsid w:val="00ED0ADB"/>
    <w:rsid w:val="00EF4745"/>
    <w:rsid w:val="00EF59EC"/>
    <w:rsid w:val="00F02FA1"/>
    <w:rsid w:val="00F216ED"/>
    <w:rsid w:val="00F22B4A"/>
    <w:rsid w:val="00F45AF6"/>
    <w:rsid w:val="00F905D7"/>
    <w:rsid w:val="00F932D4"/>
    <w:rsid w:val="00F94A6D"/>
    <w:rsid w:val="00F96DF6"/>
    <w:rsid w:val="00FA122B"/>
    <w:rsid w:val="00FA2E0C"/>
    <w:rsid w:val="00FB01D7"/>
    <w:rsid w:val="00FB2CD5"/>
    <w:rsid w:val="00FD1AF7"/>
    <w:rsid w:val="00FE2B98"/>
    <w:rsid w:val="00FE7834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E1FA"/>
  <w15:chartTrackingRefBased/>
  <w15:docId w15:val="{99295A2E-0724-41CD-9951-E99CE03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F00AF"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0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0AF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rsid w:val="009F00AF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F00AF"/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9F0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A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9F00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00AF"/>
    <w:pPr>
      <w:ind w:left="720"/>
      <w:contextualSpacing/>
    </w:pPr>
  </w:style>
  <w:style w:type="paragraph" w:customStyle="1" w:styleId="Default">
    <w:name w:val="Default"/>
    <w:rsid w:val="009F00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BodyA">
    <w:name w:val="Body A"/>
    <w:uiPriority w:val="99"/>
    <w:rsid w:val="009F00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9F00AF"/>
  </w:style>
  <w:style w:type="character" w:customStyle="1" w:styleId="Hyperlink1">
    <w:name w:val="Hyperlink.1"/>
    <w:basedOn w:val="None"/>
    <w:rsid w:val="009F00AF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paragraph" w:styleId="NormalWeb">
    <w:name w:val="Normal (Web)"/>
    <w:basedOn w:val="Normal"/>
    <w:uiPriority w:val="99"/>
    <w:unhideWhenUsed/>
    <w:rsid w:val="009F00AF"/>
    <w:pPr>
      <w:spacing w:before="120"/>
    </w:pPr>
    <w:rPr>
      <w:rFonts w:ascii="Verdana" w:eastAsia="Helvetica Neue" w:hAnsi="Verdana"/>
      <w:szCs w:val="24"/>
      <w:lang w:val="en"/>
    </w:rPr>
  </w:style>
  <w:style w:type="character" w:customStyle="1" w:styleId="Instructions">
    <w:name w:val="Instructions"/>
    <w:basedOn w:val="DefaultParagraphFont"/>
    <w:uiPriority w:val="1"/>
    <w:qFormat/>
    <w:rsid w:val="009F00AF"/>
    <w:rPr>
      <w:color w:val="FF0000"/>
    </w:rPr>
  </w:style>
  <w:style w:type="character" w:styleId="Strong">
    <w:name w:val="Strong"/>
    <w:basedOn w:val="DefaultParagraphFont"/>
    <w:uiPriority w:val="22"/>
    <w:qFormat/>
    <w:rsid w:val="009F00AF"/>
    <w:rPr>
      <w:b/>
      <w:bCs/>
    </w:rPr>
  </w:style>
  <w:style w:type="paragraph" w:styleId="Revision">
    <w:name w:val="Revision"/>
    <w:hidden/>
    <w:uiPriority w:val="99"/>
    <w:semiHidden/>
    <w:rsid w:val="006D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D3BCE"/>
  </w:style>
  <w:style w:type="character" w:customStyle="1" w:styleId="FootnoteTextChar">
    <w:name w:val="Footnote Text Char"/>
    <w:basedOn w:val="DefaultParagraphFont"/>
    <w:link w:val="FootnoteText"/>
    <w:uiPriority w:val="99"/>
    <w:rsid w:val="006D3BC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D3BCE"/>
    <w:rPr>
      <w:vertAlign w:val="superscript"/>
    </w:rPr>
  </w:style>
  <w:style w:type="paragraph" w:customStyle="1" w:styleId="lexsitus-msoquotation">
    <w:name w:val="lexsitus-msoquotation"/>
    <w:basedOn w:val="Normal"/>
    <w:rsid w:val="00F22B4A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4E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88A"/>
  </w:style>
  <w:style w:type="character" w:customStyle="1" w:styleId="CommentTextChar">
    <w:name w:val="Comment Text Char"/>
    <w:basedOn w:val="DefaultParagraphFont"/>
    <w:link w:val="CommentText"/>
    <w:uiPriority w:val="99"/>
    <w:rsid w:val="004E388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88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4D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0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B3D9C"/>
    <w:rPr>
      <w:color w:val="954F72" w:themeColor="followedHyperlink"/>
      <w:u w:val="single"/>
    </w:rPr>
  </w:style>
  <w:style w:type="paragraph" w:customStyle="1" w:styleId="s5891fd46">
    <w:name w:val="s5891fd46"/>
    <w:basedOn w:val="Normal"/>
    <w:rsid w:val="0081779C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customStyle="1" w:styleId="s7d2086b4">
    <w:name w:val="s7d2086b4"/>
    <w:basedOn w:val="DefaultParagraphFont"/>
    <w:rsid w:val="0081779C"/>
  </w:style>
  <w:style w:type="paragraph" w:customStyle="1" w:styleId="sf4f42195">
    <w:name w:val="sf4f42195"/>
    <w:basedOn w:val="Normal"/>
    <w:rsid w:val="0081779C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customStyle="1" w:styleId="sa2b98c15">
    <w:name w:val="sa2b98c15"/>
    <w:basedOn w:val="DefaultParagraphFont"/>
    <w:rsid w:val="0081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ate.gov/wp-content/uploads/2022/03/313615_EGYPT-2021-HUMAN-RIGHTS-REPORT.pdf" TargetMode="External"/><Relationship Id="rId2" Type="http://schemas.openxmlformats.org/officeDocument/2006/relationships/hyperlink" Target="https://www.state.gov/wp-content/uploads/2023/03/415610_EGYPT-2022-HUMAN-RIGHTS-REPORT.pdf" TargetMode="External"/><Relationship Id="rId1" Type="http://schemas.openxmlformats.org/officeDocument/2006/relationships/hyperlink" Target="https://www.state.gov/wp-content/uploads/2023/03/415610_EGYPT-2022-HUMAN-RIGHTS-REPORT.pdf" TargetMode="External"/><Relationship Id="rId6" Type="http://schemas.openxmlformats.org/officeDocument/2006/relationships/hyperlink" Target="https://spcommreports.ohchr.org/TMResultsBase/DownLoadPublicCommunicationFile?gId=25072" TargetMode="External"/><Relationship Id="rId5" Type="http://schemas.openxmlformats.org/officeDocument/2006/relationships/hyperlink" Target="https://www.ohchr.org/en/press-releases/2020/04/egypts-updated-terrorism-law-opens-door-more-rights-abuses-says-un-expert" TargetMode="External"/><Relationship Id="rId4" Type="http://schemas.openxmlformats.org/officeDocument/2006/relationships/hyperlink" Target="https://www.ohchr.org/en/press-releases/2020/10/egypt-uses-terrorism-trials-target-human-rights-activists-say-un-exp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816A6-19CE-469B-84CE-C7D7B232B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E449B-CB6F-400B-BA6E-CF449830B8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0512E3-B462-4D90-B6F4-19294B3AD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86DDE2-4546-4C8C-A61F-307298C09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5928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Zarraluqui</dc:creator>
  <cp:keywords/>
  <dc:description/>
  <cp:lastModifiedBy>Koat Aleer</cp:lastModifiedBy>
  <cp:revision>2</cp:revision>
  <cp:lastPrinted>2022-01-19T10:44:00Z</cp:lastPrinted>
  <dcterms:created xsi:type="dcterms:W3CDTF">2023-08-15T12:56:00Z</dcterms:created>
  <dcterms:modified xsi:type="dcterms:W3CDTF">2023-08-15T12:56:00Z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