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1841E" w14:textId="2D658E4F" w:rsidR="00B2420F" w:rsidRPr="00D844DC" w:rsidRDefault="0051211B" w:rsidP="00B2420F">
      <w:pPr>
        <w:pStyle w:val="NoSpacing"/>
        <w:rPr>
          <w:b/>
          <w:bCs/>
          <w:color w:val="2F5496" w:themeColor="accent1" w:themeShade="BF"/>
          <w:sz w:val="28"/>
          <w:szCs w:val="28"/>
        </w:rPr>
      </w:pPr>
      <w:r w:rsidRPr="00D844DC">
        <w:rPr>
          <w:b/>
          <w:bCs/>
          <w:noProof/>
          <w:color w:val="2F5496" w:themeColor="accent1" w:themeShade="BF"/>
          <w:sz w:val="28"/>
          <w:szCs w:val="28"/>
        </w:rPr>
        <w:drawing>
          <wp:anchor distT="0" distB="0" distL="114300" distR="114300" simplePos="0" relativeHeight="251660288" behindDoc="1" locked="0" layoutInCell="1" allowOverlap="1" wp14:anchorId="7E9946FB" wp14:editId="73DC0C87">
            <wp:simplePos x="0" y="0"/>
            <wp:positionH relativeFrom="column">
              <wp:posOffset>5415774</wp:posOffset>
            </wp:positionH>
            <wp:positionV relativeFrom="paragraph">
              <wp:posOffset>-260219</wp:posOffset>
            </wp:positionV>
            <wp:extent cx="979816" cy="979816"/>
            <wp:effectExtent l="0" t="0" r="0" b="0"/>
            <wp:wrapNone/>
            <wp:docPr id="1" name="Picture 1" descr="The University of Melbourne Logo p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niversity of Melbourne Logo png 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9816" cy="979816"/>
                    </a:xfrm>
                    <a:prstGeom prst="rect">
                      <a:avLst/>
                    </a:prstGeom>
                    <a:noFill/>
                    <a:ln>
                      <a:noFill/>
                    </a:ln>
                  </pic:spPr>
                </pic:pic>
              </a:graphicData>
            </a:graphic>
            <wp14:sizeRelH relativeFrom="page">
              <wp14:pctWidth>0</wp14:pctWidth>
            </wp14:sizeRelH>
            <wp14:sizeRelV relativeFrom="page">
              <wp14:pctHeight>0</wp14:pctHeight>
            </wp14:sizeRelV>
          </wp:anchor>
        </w:drawing>
      </w:r>
      <w:r w:rsidR="00AE337F" w:rsidRPr="00D844DC">
        <w:rPr>
          <w:b/>
          <w:bCs/>
          <w:color w:val="2F5496" w:themeColor="accent1" w:themeShade="BF"/>
          <w:sz w:val="28"/>
          <w:szCs w:val="28"/>
        </w:rPr>
        <w:t xml:space="preserve">Submission to the United Nations Committee </w:t>
      </w:r>
    </w:p>
    <w:p w14:paraId="523A398D" w14:textId="77777777" w:rsidR="00B2420F" w:rsidRPr="00D844DC" w:rsidRDefault="00AE337F" w:rsidP="00B2420F">
      <w:pPr>
        <w:pStyle w:val="NoSpacing"/>
        <w:rPr>
          <w:b/>
          <w:bCs/>
          <w:color w:val="2F5496" w:themeColor="accent1" w:themeShade="BF"/>
          <w:sz w:val="28"/>
          <w:szCs w:val="28"/>
        </w:rPr>
      </w:pPr>
      <w:r w:rsidRPr="00D844DC">
        <w:rPr>
          <w:b/>
          <w:bCs/>
          <w:color w:val="2F5496" w:themeColor="accent1" w:themeShade="BF"/>
          <w:sz w:val="28"/>
          <w:szCs w:val="28"/>
        </w:rPr>
        <w:t xml:space="preserve">on the Rights of Persons with Disabilities regarding </w:t>
      </w:r>
    </w:p>
    <w:p w14:paraId="5FEF4AB8" w14:textId="3EE84D98" w:rsidR="00B2420F" w:rsidRPr="00B2420F" w:rsidRDefault="00AE337F" w:rsidP="00B2420F">
      <w:pPr>
        <w:pStyle w:val="NoSpacing"/>
        <w:rPr>
          <w:b/>
          <w:bCs/>
          <w:sz w:val="28"/>
          <w:szCs w:val="28"/>
        </w:rPr>
      </w:pPr>
      <w:r w:rsidRPr="00D844DC">
        <w:rPr>
          <w:b/>
          <w:bCs/>
          <w:color w:val="2F5496" w:themeColor="accent1" w:themeShade="BF"/>
          <w:sz w:val="28"/>
          <w:szCs w:val="28"/>
        </w:rPr>
        <w:t xml:space="preserve">the </w:t>
      </w:r>
      <w:bookmarkStart w:id="0" w:name="_Hlk126311027"/>
      <w:r w:rsidRPr="00D844DC">
        <w:rPr>
          <w:b/>
          <w:bCs/>
          <w:color w:val="2F5496" w:themeColor="accent1" w:themeShade="BF"/>
          <w:sz w:val="28"/>
          <w:szCs w:val="28"/>
        </w:rPr>
        <w:t xml:space="preserve">Day of General Discussion examining </w:t>
      </w:r>
      <w:r w:rsidR="00B2420F" w:rsidRPr="00D844DC">
        <w:rPr>
          <w:b/>
          <w:bCs/>
          <w:color w:val="2F5496" w:themeColor="accent1" w:themeShade="BF"/>
          <w:sz w:val="28"/>
          <w:szCs w:val="28"/>
        </w:rPr>
        <w:t>A</w:t>
      </w:r>
      <w:r w:rsidRPr="00D844DC">
        <w:rPr>
          <w:b/>
          <w:bCs/>
          <w:color w:val="2F5496" w:themeColor="accent1" w:themeShade="BF"/>
          <w:sz w:val="28"/>
          <w:szCs w:val="28"/>
        </w:rPr>
        <w:t>rticle 11 of the Convention</w:t>
      </w:r>
      <w:bookmarkEnd w:id="0"/>
      <w:r w:rsidRPr="00B2420F">
        <w:rPr>
          <w:b/>
          <w:bCs/>
          <w:sz w:val="28"/>
          <w:szCs w:val="28"/>
        </w:rPr>
        <w:t xml:space="preserve">. </w:t>
      </w:r>
    </w:p>
    <w:p w14:paraId="54E31235" w14:textId="746EF664" w:rsidR="00AE337F" w:rsidRPr="00B2420F" w:rsidRDefault="00AE337F" w:rsidP="00B2420F">
      <w:pPr>
        <w:pStyle w:val="NoSpacing"/>
        <w:rPr>
          <w:b/>
          <w:bCs/>
          <w:sz w:val="28"/>
          <w:szCs w:val="28"/>
        </w:rPr>
      </w:pPr>
      <w:r w:rsidRPr="00B2420F">
        <w:rPr>
          <w:b/>
          <w:bCs/>
          <w:sz w:val="28"/>
          <w:szCs w:val="28"/>
        </w:rPr>
        <w:t xml:space="preserve"> </w:t>
      </w:r>
    </w:p>
    <w:p w14:paraId="0D64E631" w14:textId="76C72852" w:rsidR="0051211B" w:rsidRDefault="00AE337F" w:rsidP="004640F1">
      <w:pPr>
        <w:rPr>
          <w:b/>
          <w:bCs/>
        </w:rPr>
      </w:pPr>
      <w:r>
        <w:rPr>
          <w:b/>
          <w:bCs/>
        </w:rPr>
        <w:t xml:space="preserve">Ms </w:t>
      </w:r>
      <w:r w:rsidRPr="00953804">
        <w:rPr>
          <w:b/>
          <w:bCs/>
        </w:rPr>
        <w:t>Heidi Peart, Dr Piers Gooding</w:t>
      </w:r>
      <w:r w:rsidR="00FF43C7">
        <w:rPr>
          <w:rStyle w:val="EndnoteReference"/>
          <w:b/>
          <w:bCs/>
        </w:rPr>
        <w:endnoteReference w:id="1"/>
      </w:r>
      <w:r w:rsidRPr="00953804">
        <w:rPr>
          <w:b/>
          <w:bCs/>
        </w:rPr>
        <w:t>, Professor Shanton Chang</w:t>
      </w:r>
      <w:r w:rsidR="00B37D68">
        <w:rPr>
          <w:rStyle w:val="EndnoteReference"/>
          <w:b/>
          <w:bCs/>
        </w:rPr>
        <w:endnoteReference w:id="2"/>
      </w:r>
      <w:r w:rsidRPr="00953804">
        <w:rPr>
          <w:b/>
          <w:bCs/>
        </w:rPr>
        <w:t>, Dr Jennifer Davidson</w:t>
      </w:r>
      <w:r w:rsidR="008035F3">
        <w:rPr>
          <w:rStyle w:val="EndnoteReference"/>
          <w:b/>
          <w:bCs/>
        </w:rPr>
        <w:endnoteReference w:id="3"/>
      </w:r>
      <w:r w:rsidRPr="00953804">
        <w:rPr>
          <w:b/>
          <w:bCs/>
        </w:rPr>
        <w:t>, and Professor Jeannie Marie Paterson</w:t>
      </w:r>
      <w:r w:rsidR="002129EE">
        <w:rPr>
          <w:rStyle w:val="EndnoteReference"/>
          <w:b/>
          <w:bCs/>
        </w:rPr>
        <w:endnoteReference w:id="4"/>
      </w:r>
      <w:r>
        <w:rPr>
          <w:b/>
          <w:bCs/>
        </w:rPr>
        <w:t xml:space="preserve">. </w:t>
      </w:r>
    </w:p>
    <w:p w14:paraId="1CB2927B" w14:textId="318A5149" w:rsidR="00A36EE7" w:rsidRPr="00A4251E" w:rsidRDefault="00E94886" w:rsidP="5CFBB3C0">
      <w:pPr>
        <w:pBdr>
          <w:top w:val="single" w:sz="4" w:space="1" w:color="auto"/>
          <w:left w:val="single" w:sz="4" w:space="4" w:color="auto"/>
          <w:bottom w:val="single" w:sz="4" w:space="1" w:color="auto"/>
          <w:right w:val="single" w:sz="4" w:space="4" w:color="auto"/>
        </w:pBdr>
      </w:pPr>
      <w:r>
        <w:t>I, Heidi Peart, am a</w:t>
      </w:r>
      <w:r w:rsidR="35AAD8BB">
        <w:t xml:space="preserve"> PhD </w:t>
      </w:r>
      <w:r w:rsidR="57ED1E2B">
        <w:t>candidate</w:t>
      </w:r>
      <w:r w:rsidR="019FC181">
        <w:t xml:space="preserve"> with the University of Melbourne</w:t>
      </w:r>
      <w:r w:rsidR="002D69CA">
        <w:t>, Australia</w:t>
      </w:r>
      <w:r w:rsidR="1D368FD4">
        <w:t xml:space="preserve"> in the School of </w:t>
      </w:r>
      <w:proofErr w:type="gramStart"/>
      <w:r w:rsidR="1D368FD4">
        <w:t>Computing</w:t>
      </w:r>
      <w:proofErr w:type="gramEnd"/>
      <w:r w:rsidR="1D368FD4">
        <w:t xml:space="preserve"> and Information Systems</w:t>
      </w:r>
      <w:r w:rsidR="00780D7E">
        <w:t>. My research is</w:t>
      </w:r>
      <w:r w:rsidR="748B9F29">
        <w:t xml:space="preserve"> focusing on accessible</w:t>
      </w:r>
      <w:r w:rsidR="00DB4671">
        <w:t xml:space="preserve"> digital</w:t>
      </w:r>
      <w:r w:rsidR="748B9F29">
        <w:t xml:space="preserve"> support for people with intellectual disabilit</w:t>
      </w:r>
      <w:r w:rsidR="00780D7E">
        <w:t xml:space="preserve">y </w:t>
      </w:r>
      <w:r w:rsidR="748B9F29">
        <w:t>during times of disaster and humanitarian risk</w:t>
      </w:r>
      <w:r w:rsidR="5E187B37">
        <w:t xml:space="preserve">. </w:t>
      </w:r>
      <w:r w:rsidR="00D87484">
        <w:t xml:space="preserve">In my career I have worked for a </w:t>
      </w:r>
      <w:r w:rsidR="5E187B37">
        <w:t xml:space="preserve">range of disability service providers, self advocacy groups and government agencies in policy and development roles working towards full and equal </w:t>
      </w:r>
      <w:r w:rsidR="00EF3544" w:rsidRPr="00F427B8">
        <w:t>community inclusion</w:t>
      </w:r>
      <w:r w:rsidR="00EF3544">
        <w:t xml:space="preserve"> </w:t>
      </w:r>
      <w:r w:rsidR="48F724A3">
        <w:t>for people with disability. This submission was written with input from my academic supervisors</w:t>
      </w:r>
      <w:r w:rsidR="00780D7E">
        <w:t xml:space="preserve"> at the University of Melbourne</w:t>
      </w:r>
      <w:r w:rsidR="2BA84C0A">
        <w:t xml:space="preserve"> representing the fields of Law, Social Work</w:t>
      </w:r>
      <w:r w:rsidR="00C3553E">
        <w:t xml:space="preserve">, </w:t>
      </w:r>
      <w:r w:rsidR="2BA84C0A">
        <w:t>Information Systems (IS)</w:t>
      </w:r>
      <w:r w:rsidR="00C3553E">
        <w:t xml:space="preserve"> and Information </w:t>
      </w:r>
      <w:r w:rsidR="00780D7E">
        <w:t>B</w:t>
      </w:r>
      <w:r w:rsidR="00C3553E">
        <w:t xml:space="preserve">ehaviour. </w:t>
      </w:r>
    </w:p>
    <w:p w14:paraId="7A783C5E" w14:textId="5CA4D84A" w:rsidR="00A7738A" w:rsidRPr="00783372" w:rsidRDefault="00A7738A" w:rsidP="00783372">
      <w:pPr>
        <w:pStyle w:val="ListParagraph"/>
        <w:numPr>
          <w:ilvl w:val="0"/>
          <w:numId w:val="8"/>
        </w:numPr>
        <w:rPr>
          <w:b/>
          <w:bCs/>
        </w:rPr>
      </w:pPr>
      <w:r w:rsidRPr="00783372">
        <w:rPr>
          <w:b/>
          <w:bCs/>
        </w:rPr>
        <w:t xml:space="preserve">Recommendations </w:t>
      </w:r>
    </w:p>
    <w:p w14:paraId="3C1FC373" w14:textId="2C81F5BD" w:rsidR="00FD71BA" w:rsidRPr="00780D7E" w:rsidRDefault="00FD71BA" w:rsidP="00FD71BA">
      <w:pPr>
        <w:pStyle w:val="NoSpacing"/>
      </w:pPr>
      <w:r w:rsidRPr="00FD71BA">
        <w:rPr>
          <w:sz w:val="22"/>
        </w:rPr>
        <w:t>This submission recommends the Committee emphasise the positive role digital technology - and particularly social media - can play in safeguarding the rights of persons with</w:t>
      </w:r>
      <w:r w:rsidR="00780D7E">
        <w:rPr>
          <w:sz w:val="22"/>
        </w:rPr>
        <w:t xml:space="preserve"> intellectual</w:t>
      </w:r>
      <w:r w:rsidRPr="00FD71BA">
        <w:rPr>
          <w:sz w:val="22"/>
        </w:rPr>
        <w:t xml:space="preserve"> disability in situations of humanitarian risk and natural disaster. To </w:t>
      </w:r>
      <w:r w:rsidR="00780D7E">
        <w:rPr>
          <w:sz w:val="22"/>
        </w:rPr>
        <w:t>secure</w:t>
      </w:r>
      <w:r w:rsidRPr="00FD71BA">
        <w:rPr>
          <w:sz w:val="22"/>
        </w:rPr>
        <w:t xml:space="preserve"> these benefits, governments and civil society must ensure online information is accessible and caters to the specific needs of persons with </w:t>
      </w:r>
      <w:r w:rsidR="00780D7E">
        <w:rPr>
          <w:sz w:val="22"/>
        </w:rPr>
        <w:t xml:space="preserve">intellectual </w:t>
      </w:r>
      <w:r w:rsidRPr="00780D7E">
        <w:rPr>
          <w:sz w:val="22"/>
        </w:rPr>
        <w:t>disabilit</w:t>
      </w:r>
      <w:r w:rsidR="00780D7E" w:rsidRPr="00780D7E">
        <w:rPr>
          <w:sz w:val="22"/>
        </w:rPr>
        <w:t>y</w:t>
      </w:r>
      <w:r w:rsidR="00780D7E">
        <w:rPr>
          <w:sz w:val="22"/>
        </w:rPr>
        <w:t xml:space="preserve">. </w:t>
      </w:r>
    </w:p>
    <w:p w14:paraId="1DAEAA3C" w14:textId="77777777" w:rsidR="00780D7E" w:rsidRDefault="00780D7E" w:rsidP="00FD71BA">
      <w:pPr>
        <w:pStyle w:val="NoSpacing"/>
      </w:pPr>
    </w:p>
    <w:p w14:paraId="2A5644A3" w14:textId="4CC05F56" w:rsidR="00494E3E" w:rsidRDefault="00494E3E" w:rsidP="00DB0111">
      <w:r w:rsidRPr="00494E3E">
        <w:t>In this submission, I wish to draw on my research concerning accessible online information for people with intellectual disabilit</w:t>
      </w:r>
      <w:r w:rsidR="00084F16">
        <w:t>y</w:t>
      </w:r>
      <w:r w:rsidRPr="00494E3E">
        <w:t xml:space="preserve"> during disasters</w:t>
      </w:r>
      <w:r w:rsidR="002E03A3">
        <w:rPr>
          <w:rStyle w:val="EndnoteReference"/>
        </w:rPr>
        <w:endnoteReference w:id="5"/>
      </w:r>
      <w:r w:rsidR="004241C4">
        <w:t xml:space="preserve"> </w:t>
      </w:r>
      <w:r w:rsidR="004241C4" w:rsidRPr="004241C4">
        <w:rPr>
          <w:b/>
          <w:bCs/>
        </w:rPr>
        <w:t>(Appendix one)</w:t>
      </w:r>
      <w:r w:rsidRPr="00494E3E">
        <w:t xml:space="preserve"> to make the following recommendations</w:t>
      </w:r>
      <w:r>
        <w:t xml:space="preserve">: </w:t>
      </w:r>
    </w:p>
    <w:p w14:paraId="6EB8B77F" w14:textId="4A0D72CC" w:rsidR="005942C6" w:rsidRDefault="005942C6" w:rsidP="23FE7B0D">
      <w:pPr>
        <w:pStyle w:val="ListParagraph"/>
        <w:numPr>
          <w:ilvl w:val="0"/>
          <w:numId w:val="7"/>
        </w:numPr>
        <w:spacing w:before="240"/>
        <w:ind w:left="1077"/>
      </w:pPr>
      <w:r>
        <w:rPr>
          <w14:numSpacing w14:val="proportional"/>
        </w:rPr>
        <w:t xml:space="preserve">That world governments </w:t>
      </w:r>
      <w:r w:rsidR="00827B8C">
        <w:rPr>
          <w14:numSpacing w14:val="proportional"/>
        </w:rPr>
        <w:t>listen carefully to</w:t>
      </w:r>
      <w:r>
        <w:rPr>
          <w14:numSpacing w14:val="proportional"/>
        </w:rPr>
        <w:t xml:space="preserve"> people with intellectual disability</w:t>
      </w:r>
      <w:r w:rsidR="00825F95">
        <w:rPr>
          <w14:numSpacing w14:val="proportional"/>
        </w:rPr>
        <w:t xml:space="preserve">, </w:t>
      </w:r>
      <w:r w:rsidR="00EC6FFB">
        <w:rPr>
          <w14:numSpacing w14:val="proportional"/>
        </w:rPr>
        <w:t>and work with them</w:t>
      </w:r>
      <w:r>
        <w:rPr>
          <w14:numSpacing w14:val="proportional"/>
        </w:rPr>
        <w:t xml:space="preserve"> to identify</w:t>
      </w:r>
      <w:r w:rsidR="00EC6FFB">
        <w:rPr>
          <w14:numSpacing w14:val="proportional"/>
        </w:rPr>
        <w:t xml:space="preserve"> strategies to address</w:t>
      </w:r>
      <w:r>
        <w:rPr>
          <w14:numSpacing w14:val="proportional"/>
        </w:rPr>
        <w:t xml:space="preserve"> </w:t>
      </w:r>
      <w:r w:rsidR="00970BA4">
        <w:rPr>
          <w14:numSpacing w14:val="proportional"/>
        </w:rPr>
        <w:t xml:space="preserve">the unique challenges they experience </w:t>
      </w:r>
      <w:r w:rsidR="00827B8C">
        <w:rPr>
          <w14:numSpacing w14:val="proportional"/>
        </w:rPr>
        <w:t xml:space="preserve">in preparing for, responding </w:t>
      </w:r>
      <w:proofErr w:type="gramStart"/>
      <w:r w:rsidR="00827B8C">
        <w:rPr>
          <w14:numSpacing w14:val="proportional"/>
        </w:rPr>
        <w:t>to</w:t>
      </w:r>
      <w:proofErr w:type="gramEnd"/>
      <w:r w:rsidR="00827B8C">
        <w:rPr>
          <w14:numSpacing w14:val="proportional"/>
        </w:rPr>
        <w:t xml:space="preserve"> and re</w:t>
      </w:r>
      <w:r w:rsidR="000852C0">
        <w:rPr>
          <w14:numSpacing w14:val="proportional"/>
        </w:rPr>
        <w:t xml:space="preserve">covering </w:t>
      </w:r>
      <w:r w:rsidR="00827B8C">
        <w:rPr>
          <w14:numSpacing w14:val="proportional"/>
        </w:rPr>
        <w:t xml:space="preserve">from humanitarian disasters. </w:t>
      </w:r>
    </w:p>
    <w:p w14:paraId="757CEE8D" w14:textId="6E50190F" w:rsidR="00D80FEA" w:rsidRPr="00D80FEA" w:rsidRDefault="00D80FEA" w:rsidP="00D80FEA">
      <w:pPr>
        <w:pStyle w:val="ListParagraph"/>
        <w:numPr>
          <w:ilvl w:val="0"/>
          <w:numId w:val="7"/>
        </w:numPr>
        <w:spacing w:before="240"/>
        <w:ind w:left="1077"/>
        <w:contextualSpacing w:val="0"/>
        <w:rPr>
          <w14:numSpacing w14:val="proportional"/>
        </w:rPr>
      </w:pPr>
      <w:r w:rsidRPr="00BE7C13">
        <w:rPr>
          <w14:numSpacing w14:val="proportional"/>
        </w:rPr>
        <w:t xml:space="preserve">That world governments carefully consider the role of ICT in ensuring full and equal community participation of people with intellectual disability and take steps to ensure that they are afforded equal access to devices and education. </w:t>
      </w:r>
    </w:p>
    <w:p w14:paraId="5D7D0236" w14:textId="39FB3715" w:rsidR="00D4624C" w:rsidRPr="00BE7C13" w:rsidRDefault="00D4624C" w:rsidP="00BE7C13">
      <w:pPr>
        <w:pStyle w:val="ListParagraph"/>
        <w:numPr>
          <w:ilvl w:val="0"/>
          <w:numId w:val="7"/>
        </w:numPr>
        <w:spacing w:before="240"/>
        <w:ind w:left="1077"/>
        <w:contextualSpacing w:val="0"/>
        <w:rPr>
          <w14:numSpacing w14:val="proportional"/>
        </w:rPr>
      </w:pPr>
      <w:r w:rsidRPr="00BE7C13">
        <w:rPr>
          <w14:numSpacing w14:val="proportional"/>
        </w:rPr>
        <w:t xml:space="preserve">That world governments, communities, and disability service providers take proactive steps to ensuring people with intellectual disability are afforded the skills and resources to exercise agency in emergencies, including recognising the role ICT can have in ensuring equitable access to information. </w:t>
      </w:r>
    </w:p>
    <w:p w14:paraId="39E0258C" w14:textId="1F76EF1A" w:rsidR="00DB0111" w:rsidRPr="00BE7C13" w:rsidRDefault="00036FA5" w:rsidP="00BE7C13">
      <w:pPr>
        <w:pStyle w:val="ListParagraph"/>
        <w:numPr>
          <w:ilvl w:val="0"/>
          <w:numId w:val="7"/>
        </w:numPr>
        <w:spacing w:before="240"/>
        <w:ind w:left="1077"/>
        <w:contextualSpacing w:val="0"/>
        <w:rPr>
          <w14:numSpacing w14:val="proportional"/>
        </w:rPr>
      </w:pPr>
      <w:r w:rsidRPr="00BE7C13">
        <w:rPr>
          <w14:numSpacing w14:val="proportional"/>
        </w:rPr>
        <w:t>That research institutions i</w:t>
      </w:r>
      <w:r w:rsidR="00DB0111" w:rsidRPr="00BE7C13">
        <w:rPr>
          <w14:numSpacing w14:val="proportional"/>
        </w:rPr>
        <w:t xml:space="preserve">nvest in and carefully monitor research examining how people with intellectual disability use social media in emergencies to determine if these platforms could be used to aid response and recovery efforts. </w:t>
      </w:r>
    </w:p>
    <w:p w14:paraId="7762B923" w14:textId="33F29FE0" w:rsidR="00783372" w:rsidRPr="00517975" w:rsidRDefault="00A90CA4" w:rsidP="00517975">
      <w:pPr>
        <w:pStyle w:val="ListParagraph"/>
        <w:numPr>
          <w:ilvl w:val="0"/>
          <w:numId w:val="7"/>
        </w:numPr>
        <w:spacing w:before="240"/>
        <w:ind w:left="1077"/>
        <w:contextualSpacing w:val="0"/>
        <w:rPr>
          <w14:numSpacing w14:val="proportional"/>
        </w:rPr>
      </w:pPr>
      <w:r w:rsidRPr="00BE7C13">
        <w:rPr>
          <w14:numSpacing w14:val="proportional"/>
        </w:rPr>
        <w:t>That world governments d</w:t>
      </w:r>
      <w:r w:rsidR="00DB0111" w:rsidRPr="00BE7C13">
        <w:rPr>
          <w14:numSpacing w14:val="proportional"/>
        </w:rPr>
        <w:t>evelop evidence-based standards for information distribution online in emergencies that is co-produced with people with</w:t>
      </w:r>
      <w:r w:rsidR="000B5A6B" w:rsidRPr="00BE7C13">
        <w:rPr>
          <w14:numSpacing w14:val="proportional"/>
        </w:rPr>
        <w:t xml:space="preserve"> intellectual disability from</w:t>
      </w:r>
      <w:r w:rsidR="00DB0111" w:rsidRPr="00BE7C13">
        <w:rPr>
          <w14:numSpacing w14:val="proportional"/>
        </w:rPr>
        <w:t xml:space="preserve"> civil society organisations, in particular self advocacy groups. </w:t>
      </w:r>
    </w:p>
    <w:p w14:paraId="5EB94B23" w14:textId="0044A022" w:rsidR="00A7738A" w:rsidRPr="00783372" w:rsidRDefault="00435D00" w:rsidP="00783372">
      <w:pPr>
        <w:pStyle w:val="ListParagraph"/>
        <w:numPr>
          <w:ilvl w:val="0"/>
          <w:numId w:val="8"/>
        </w:numPr>
        <w:rPr>
          <w:b/>
          <w:bCs/>
        </w:rPr>
      </w:pPr>
      <w:r w:rsidRPr="00783372">
        <w:rPr>
          <w:b/>
          <w:bCs/>
        </w:rPr>
        <w:t>Introduction</w:t>
      </w:r>
    </w:p>
    <w:p w14:paraId="04DF0387" w14:textId="774FC74B" w:rsidR="00F63D9F" w:rsidRDefault="00D66B63" w:rsidP="00A7738A">
      <w:r w:rsidRPr="00D66B63">
        <w:t>Thank you for the opportunity to</w:t>
      </w:r>
      <w:r w:rsidR="00EA1AE2">
        <w:t xml:space="preserve"> make a written submission to the committees</w:t>
      </w:r>
      <w:r w:rsidRPr="00D66B63">
        <w:t xml:space="preserve"> Day of General Discussion regarding </w:t>
      </w:r>
      <w:r w:rsidR="001A3374">
        <w:t>A</w:t>
      </w:r>
      <w:r w:rsidRPr="00D66B63">
        <w:t>rticle 11 of the Convention</w:t>
      </w:r>
      <w:r>
        <w:t xml:space="preserve"> on the Rights of Persons with Disabilities (CRPD). </w:t>
      </w:r>
    </w:p>
    <w:p w14:paraId="6DE35DFC" w14:textId="12D9C164" w:rsidR="00EE6558" w:rsidRPr="00C13AA3" w:rsidRDefault="00EC6B31" w:rsidP="004640F1">
      <w:r>
        <w:t xml:space="preserve">This submission </w:t>
      </w:r>
      <w:r w:rsidR="00BF1220">
        <w:t>highlights</w:t>
      </w:r>
      <w:r>
        <w:t xml:space="preserve"> </w:t>
      </w:r>
      <w:r w:rsidR="001A0282">
        <w:t xml:space="preserve">the </w:t>
      </w:r>
      <w:r w:rsidR="009B4723">
        <w:t>challenges</w:t>
      </w:r>
      <w:r w:rsidR="001A0282">
        <w:t xml:space="preserve"> people with intellectual disability face in emergencies, including </w:t>
      </w:r>
      <w:r w:rsidR="00084F16">
        <w:t>retrieving</w:t>
      </w:r>
      <w:r w:rsidR="00B05F1E">
        <w:t xml:space="preserve"> timely, accessible</w:t>
      </w:r>
      <w:r w:rsidR="001A0282">
        <w:t xml:space="preserve"> information online. </w:t>
      </w:r>
      <w:r w:rsidR="00AB4F6E">
        <w:t xml:space="preserve">We </w:t>
      </w:r>
      <w:r w:rsidR="003E29E8">
        <w:t>go on to</w:t>
      </w:r>
      <w:r w:rsidR="00AB4F6E">
        <w:t xml:space="preserve"> introduce </w:t>
      </w:r>
      <w:r w:rsidR="00474CD2">
        <w:t>the opportunities</w:t>
      </w:r>
      <w:r w:rsidR="009B4723">
        <w:t xml:space="preserve"> and challenges </w:t>
      </w:r>
      <w:r w:rsidR="00517975">
        <w:t>offered</w:t>
      </w:r>
      <w:r w:rsidR="00474CD2">
        <w:t xml:space="preserve"> by social media </w:t>
      </w:r>
      <w:r w:rsidR="00517975">
        <w:t>as a tool for</w:t>
      </w:r>
      <w:r w:rsidR="00474CD2">
        <w:t xml:space="preserve"> supporting emergency management response and recovery efforts. </w:t>
      </w:r>
      <w:r w:rsidR="006127CD">
        <w:t>Finally,</w:t>
      </w:r>
      <w:r w:rsidR="00517975">
        <w:t xml:space="preserve"> we suggest that </w:t>
      </w:r>
      <w:r w:rsidR="33DBCAFB">
        <w:t xml:space="preserve">further research </w:t>
      </w:r>
      <w:r w:rsidR="2104076C">
        <w:t xml:space="preserve">is needed to </w:t>
      </w:r>
      <w:r w:rsidR="003D7938">
        <w:t xml:space="preserve">ensure </w:t>
      </w:r>
      <w:r w:rsidR="227AC103">
        <w:t>equal digital inclusion</w:t>
      </w:r>
      <w:r w:rsidR="003D7938">
        <w:t xml:space="preserve"> and information access for</w:t>
      </w:r>
      <w:r w:rsidR="403B3CFE">
        <w:t xml:space="preserve"> people with intellectual disability</w:t>
      </w:r>
      <w:r w:rsidR="227AC103">
        <w:t xml:space="preserve"> in a crisis.</w:t>
      </w:r>
      <w:r w:rsidR="2104076C">
        <w:t xml:space="preserve"> </w:t>
      </w:r>
    </w:p>
    <w:p w14:paraId="68AAC633" w14:textId="0D57BC3A" w:rsidR="00210499" w:rsidRPr="00FD2250" w:rsidRDefault="009F27E9" w:rsidP="00FD2250">
      <w:pPr>
        <w:pStyle w:val="ListParagraph"/>
        <w:numPr>
          <w:ilvl w:val="0"/>
          <w:numId w:val="8"/>
        </w:numPr>
        <w:rPr>
          <w:b/>
          <w:bCs/>
        </w:rPr>
      </w:pPr>
      <w:r w:rsidRPr="00FD2250">
        <w:rPr>
          <w:b/>
          <w:bCs/>
        </w:rPr>
        <w:lastRenderedPageBreak/>
        <w:t xml:space="preserve">The experiences of people with intellectual disability in </w:t>
      </w:r>
      <w:r w:rsidR="000747DD" w:rsidRPr="00FD2250">
        <w:rPr>
          <w:b/>
          <w:bCs/>
        </w:rPr>
        <w:t>emergencies</w:t>
      </w:r>
    </w:p>
    <w:p w14:paraId="746A959B" w14:textId="3D37EF8D" w:rsidR="00EF3B0E" w:rsidRDefault="00FD2250" w:rsidP="007F4A31">
      <w:r>
        <w:t xml:space="preserve">As the committee would be aware people with intellectual disability experience unique challenges in emergencies. </w:t>
      </w:r>
      <w:r w:rsidR="00AF331D" w:rsidRPr="00C13AA3">
        <w:t>Describing themselves as the ‘</w:t>
      </w:r>
      <w:r w:rsidR="00AF331D" w:rsidRPr="00C13AA3">
        <w:rPr>
          <w:i/>
          <w:iCs/>
        </w:rPr>
        <w:t>Left behind of the left behind’</w:t>
      </w:r>
      <w:r w:rsidR="00C400FE">
        <w:rPr>
          <w:rStyle w:val="EndnoteReference"/>
          <w:i/>
          <w:iCs/>
        </w:rPr>
        <w:endnoteReference w:id="6"/>
      </w:r>
      <w:r w:rsidR="00AF331D" w:rsidRPr="00C13AA3">
        <w:t xml:space="preserve"> people with intellectual disability experience higher rates of </w:t>
      </w:r>
      <w:r w:rsidR="00AF331D">
        <w:t>distress, are more likely to be abused</w:t>
      </w:r>
      <w:r w:rsidR="00AF331D" w:rsidRPr="00C13AA3">
        <w:t xml:space="preserve"> and </w:t>
      </w:r>
      <w:r w:rsidR="00AF331D">
        <w:t xml:space="preserve">have higher mortality rates </w:t>
      </w:r>
      <w:r w:rsidR="00AF331D" w:rsidRPr="00C13AA3">
        <w:t xml:space="preserve">than people with disability </w:t>
      </w:r>
      <w:r w:rsidR="00AF331D" w:rsidRPr="00BC1546">
        <w:t>generally</w:t>
      </w:r>
      <w:r w:rsidR="00DB0111">
        <w:rPr>
          <w:rStyle w:val="EndnoteReference"/>
        </w:rPr>
        <w:endnoteReference w:id="7"/>
      </w:r>
      <w:r w:rsidR="00DB0111">
        <w:t xml:space="preserve">. </w:t>
      </w:r>
      <w:r w:rsidR="00AF331D" w:rsidRPr="00C13AA3">
        <w:t>There are many variables contributing to these outcomes including a history of ableism, segregation and marginalisation which exacerbate their exclusion from mainstream emergency responses</w:t>
      </w:r>
      <w:r w:rsidR="008C64FD">
        <w:rPr>
          <w:rStyle w:val="EndnoteReference"/>
        </w:rPr>
        <w:endnoteReference w:id="8"/>
      </w:r>
      <w:r w:rsidR="008C64FD">
        <w:t xml:space="preserve">. </w:t>
      </w:r>
      <w:r w:rsidR="00AF331D" w:rsidRPr="00C13AA3">
        <w:t xml:space="preserve"> </w:t>
      </w:r>
    </w:p>
    <w:p w14:paraId="019BA7FA" w14:textId="624DF728" w:rsidR="00426711" w:rsidRDefault="003C7D7A" w:rsidP="00426711">
      <w:pPr>
        <w:pStyle w:val="ListParagraph"/>
        <w:numPr>
          <w:ilvl w:val="0"/>
          <w:numId w:val="8"/>
        </w:numPr>
        <w:rPr>
          <w:b/>
          <w:bCs/>
        </w:rPr>
      </w:pPr>
      <w:r w:rsidRPr="00884AAF">
        <w:rPr>
          <w:b/>
          <w:bCs/>
        </w:rPr>
        <w:t>Article 21: Freedom of expression and opinion, and access to information</w:t>
      </w:r>
    </w:p>
    <w:p w14:paraId="640FB529" w14:textId="01B1CF2E" w:rsidR="00D02399" w:rsidRPr="00856894" w:rsidRDefault="00D02399" w:rsidP="00D02399">
      <w:r w:rsidRPr="00856894">
        <w:t xml:space="preserve">Article 21 of the CRPD </w:t>
      </w:r>
      <w:r w:rsidR="00A32D87" w:rsidRPr="00856894">
        <w:t>affirms</w:t>
      </w:r>
      <w:r w:rsidRPr="00856894">
        <w:t xml:space="preserve"> that States Parties </w:t>
      </w:r>
      <w:r w:rsidR="005C5A5E" w:rsidRPr="00856894">
        <w:t xml:space="preserve">will provide </w:t>
      </w:r>
      <w:r w:rsidR="00D754D6">
        <w:t xml:space="preserve">timely </w:t>
      </w:r>
      <w:r w:rsidR="005C5A5E" w:rsidRPr="00856894">
        <w:t xml:space="preserve">public information in </w:t>
      </w:r>
      <w:r w:rsidR="00D754D6">
        <w:t>accessible formats for people with disability</w:t>
      </w:r>
      <w:r w:rsidR="001B337D">
        <w:t xml:space="preserve">, </w:t>
      </w:r>
      <w:r w:rsidR="00D754D6">
        <w:t>including intellectual disability</w:t>
      </w:r>
      <w:r w:rsidR="00D754D6">
        <w:rPr>
          <w:rStyle w:val="EndnoteReference"/>
        </w:rPr>
        <w:endnoteReference w:id="9"/>
      </w:r>
      <w:r w:rsidR="00D754D6">
        <w:t xml:space="preserve">. </w:t>
      </w:r>
      <w:r w:rsidR="006626E0">
        <w:t>However,</w:t>
      </w:r>
      <w:r w:rsidR="001B337D">
        <w:t xml:space="preserve"> in situations of </w:t>
      </w:r>
      <w:r w:rsidR="00383398">
        <w:t xml:space="preserve">risk and </w:t>
      </w:r>
      <w:r w:rsidR="001B337D">
        <w:t xml:space="preserve">humanitarian </w:t>
      </w:r>
      <w:r w:rsidR="00383398">
        <w:t>disaster</w:t>
      </w:r>
      <w:r w:rsidR="006626E0">
        <w:t xml:space="preserve">, </w:t>
      </w:r>
      <w:r w:rsidR="00E00C1E">
        <w:t>people with intellectual disability continue to identify that access to information is challenging</w:t>
      </w:r>
      <w:r w:rsidR="00E00C1E">
        <w:rPr>
          <w:rStyle w:val="EndnoteReference"/>
        </w:rPr>
        <w:endnoteReference w:id="10"/>
      </w:r>
      <w:r w:rsidR="00E00C1E">
        <w:t>.</w:t>
      </w:r>
      <w:r w:rsidR="00E8222E">
        <w:t xml:space="preserve"> </w:t>
      </w:r>
    </w:p>
    <w:p w14:paraId="0E7BA48D" w14:textId="1246974F" w:rsidR="001D0B9C" w:rsidRDefault="00547DBC" w:rsidP="00D02399">
      <w:r w:rsidRPr="00C13AA3">
        <w:t xml:space="preserve">The COVID-19 pandemic was described as an </w:t>
      </w:r>
      <w:r>
        <w:t>‘</w:t>
      </w:r>
      <w:r w:rsidRPr="00C13AA3">
        <w:t>information crisis</w:t>
      </w:r>
      <w:r>
        <w:t>’</w:t>
      </w:r>
      <w:r w:rsidRPr="00C13AA3">
        <w:t xml:space="preserve"> which left people with intellectual disability overwhelmed</w:t>
      </w:r>
      <w:r>
        <w:t xml:space="preserve"> concurrently</w:t>
      </w:r>
      <w:r w:rsidRPr="00C13AA3">
        <w:t xml:space="preserve"> by a</w:t>
      </w:r>
      <w:r>
        <w:t>t first a</w:t>
      </w:r>
      <w:r w:rsidRPr="00C13AA3">
        <w:t xml:space="preserve"> deficit, and then an excess of information</w:t>
      </w:r>
      <w:r w:rsidR="001D0B9C">
        <w:t xml:space="preserve"> f</w:t>
      </w:r>
      <w:r w:rsidR="001A3374">
        <w:t>rom</w:t>
      </w:r>
      <w:r w:rsidR="001D0B9C">
        <w:t xml:space="preserve"> multiple sources</w:t>
      </w:r>
      <w:r w:rsidRPr="00C13AA3">
        <w:t xml:space="preserve"> </w:t>
      </w:r>
      <w:r>
        <w:t>as the crisis progressed</w:t>
      </w:r>
      <w:r w:rsidR="00EB757F">
        <w:rPr>
          <w:rStyle w:val="EndnoteReference"/>
        </w:rPr>
        <w:endnoteReference w:id="11"/>
      </w:r>
      <w:r w:rsidR="006A5899">
        <w:t xml:space="preserve">. </w:t>
      </w:r>
    </w:p>
    <w:p w14:paraId="6E7F0DE0" w14:textId="067A82FA" w:rsidR="00EB757F" w:rsidRDefault="005A6DBC" w:rsidP="00D02399">
      <w:r>
        <w:t xml:space="preserve">People with intellectual disability identified </w:t>
      </w:r>
      <w:r w:rsidR="00125C26">
        <w:t>several</w:t>
      </w:r>
      <w:r w:rsidR="001D0B9C">
        <w:t xml:space="preserve"> challenges</w:t>
      </w:r>
      <w:r w:rsidR="00DA0BBF">
        <w:t xml:space="preserve"> finding key health and safety messaging</w:t>
      </w:r>
      <w:r w:rsidR="001D0B9C">
        <w:t xml:space="preserve"> including </w:t>
      </w:r>
      <w:r w:rsidR="00DA0BBF">
        <w:t xml:space="preserve">limited </w:t>
      </w:r>
      <w:r w:rsidR="001D0B9C">
        <w:t>access to</w:t>
      </w:r>
      <w:r w:rsidR="00D75F3D">
        <w:t xml:space="preserve"> </w:t>
      </w:r>
      <w:r w:rsidR="001D0B9C">
        <w:t>suppo</w:t>
      </w:r>
      <w:r w:rsidR="00CB6FD7">
        <w:t>rt workers to aid the interpretation of information,</w:t>
      </w:r>
      <w:r w:rsidR="00D75F3D">
        <w:t xml:space="preserve"> </w:t>
      </w:r>
      <w:r w:rsidR="00DE6F48">
        <w:t xml:space="preserve">limited </w:t>
      </w:r>
      <w:r w:rsidR="00CB6FD7">
        <w:t>easy read</w:t>
      </w:r>
      <w:r w:rsidR="00DE6F48">
        <w:t xml:space="preserve"> documents</w:t>
      </w:r>
      <w:r w:rsidR="00C52B33">
        <w:t xml:space="preserve">, </w:t>
      </w:r>
      <w:r w:rsidR="00C54CC3">
        <w:t>and</w:t>
      </w:r>
      <w:r w:rsidR="00D75F3D">
        <w:t xml:space="preserve"> difficulty navigating online platforms where information</w:t>
      </w:r>
      <w:r w:rsidR="00DE350E">
        <w:t xml:space="preserve"> was held</w:t>
      </w:r>
      <w:r w:rsidR="00C54CC3">
        <w:rPr>
          <w:rStyle w:val="EndnoteReference"/>
        </w:rPr>
        <w:endnoteReference w:id="12"/>
      </w:r>
      <w:r w:rsidR="00DE6F48">
        <w:t>. Research</w:t>
      </w:r>
      <w:r w:rsidR="00EF6FDF">
        <w:t>ers</w:t>
      </w:r>
      <w:r w:rsidR="00DE6F48">
        <w:t xml:space="preserve"> also </w:t>
      </w:r>
      <w:r w:rsidR="00EF6FDF">
        <w:t xml:space="preserve">observed </w:t>
      </w:r>
      <w:r w:rsidR="00DE6F48">
        <w:t xml:space="preserve">that some people with intellectual disability experienced challenges in identifying which information </w:t>
      </w:r>
      <w:r w:rsidR="00904730">
        <w:t>online was trustworthy.</w:t>
      </w:r>
      <w:r w:rsidR="00904730">
        <w:rPr>
          <w:rStyle w:val="EndnoteReference"/>
        </w:rPr>
        <w:endnoteReference w:id="13"/>
      </w:r>
    </w:p>
    <w:p w14:paraId="0A16A231" w14:textId="66A385AA" w:rsidR="009044FF" w:rsidRDefault="00547DBC" w:rsidP="00D02399">
      <w:r w:rsidRPr="00C13AA3">
        <w:t xml:space="preserve">In Australia, </w:t>
      </w:r>
      <w:r w:rsidR="008827AF">
        <w:t xml:space="preserve">there are no </w:t>
      </w:r>
      <w:r w:rsidRPr="00C13AA3">
        <w:t xml:space="preserve">national emergency management </w:t>
      </w:r>
      <w:r>
        <w:t>standards to</w:t>
      </w:r>
      <w:r w:rsidRPr="00C13AA3">
        <w:t xml:space="preserve"> inform the delivery of </w:t>
      </w:r>
      <w:r>
        <w:t>responses,</w:t>
      </w:r>
      <w:r w:rsidRPr="00C13AA3">
        <w:t xml:space="preserve"> including information</w:t>
      </w:r>
      <w:r>
        <w:t xml:space="preserve"> provision</w:t>
      </w:r>
      <w:r w:rsidRPr="00C13AA3">
        <w:t>, that are disability inclusive or responsive</w:t>
      </w:r>
      <w:r w:rsidR="00DC35AF">
        <w:rPr>
          <w:rStyle w:val="EndnoteReference"/>
        </w:rPr>
        <w:endnoteReference w:id="14"/>
      </w:r>
      <w:r w:rsidR="00DC35AF">
        <w:t xml:space="preserve">. </w:t>
      </w:r>
      <w:r>
        <w:t>This is a problem because</w:t>
      </w:r>
      <w:r w:rsidR="006E70DF">
        <w:t xml:space="preserve"> it means there are </w:t>
      </w:r>
      <w:r w:rsidR="00DE10F1">
        <w:t xml:space="preserve">also </w:t>
      </w:r>
      <w:r w:rsidR="006E70DF">
        <w:t>no consistent standards for the provision of accessible</w:t>
      </w:r>
      <w:r w:rsidR="00DE10F1">
        <w:t>, targeted</w:t>
      </w:r>
      <w:r w:rsidR="006E70DF">
        <w:t xml:space="preserve"> information </w:t>
      </w:r>
      <w:r w:rsidR="00DE10F1">
        <w:t>for</w:t>
      </w:r>
      <w:r w:rsidR="006E70DF">
        <w:t xml:space="preserve"> people with intellectual disability</w:t>
      </w:r>
      <w:r w:rsidR="00DE10F1">
        <w:t>.</w:t>
      </w:r>
      <w:r w:rsidR="00483B64">
        <w:t xml:space="preserve"> T</w:t>
      </w:r>
      <w:r w:rsidR="006E70DF">
        <w:t>his</w:t>
      </w:r>
      <w:r w:rsidR="00483B64">
        <w:t xml:space="preserve"> </w:t>
      </w:r>
      <w:r w:rsidR="001A3374">
        <w:t xml:space="preserve">policy gap </w:t>
      </w:r>
      <w:r w:rsidR="006E70DF">
        <w:t>has the potential to</w:t>
      </w:r>
      <w:r w:rsidR="001E11E5">
        <w:t xml:space="preserve"> leave those without appropriate support vulnerable when </w:t>
      </w:r>
      <w:r w:rsidR="00E61510">
        <w:t>making decisions about what to do or where to seek help in a crisis.</w:t>
      </w:r>
      <w:r w:rsidR="00483B64">
        <w:rPr>
          <w:rStyle w:val="EndnoteReference"/>
        </w:rPr>
        <w:endnoteReference w:id="15"/>
      </w:r>
      <w:r w:rsidR="00E61510">
        <w:t xml:space="preserve"> </w:t>
      </w:r>
    </w:p>
    <w:p w14:paraId="3601035A" w14:textId="320F36B3" w:rsidR="000A3D8B" w:rsidRPr="000A3D8B" w:rsidRDefault="000A3D8B" w:rsidP="00FE376B">
      <w:pPr>
        <w:pStyle w:val="ListParagraph"/>
        <w:numPr>
          <w:ilvl w:val="0"/>
          <w:numId w:val="8"/>
        </w:numPr>
        <w:rPr>
          <w:b/>
          <w:bCs/>
        </w:rPr>
      </w:pPr>
      <w:r w:rsidRPr="000A3D8B">
        <w:rPr>
          <w:b/>
          <w:bCs/>
        </w:rPr>
        <w:t xml:space="preserve">Access to digital technology and social media in emergencies </w:t>
      </w:r>
    </w:p>
    <w:p w14:paraId="08D26E9A" w14:textId="4DD2C87E" w:rsidR="00FE376B" w:rsidRDefault="00DA5477" w:rsidP="00FE376B">
      <w:r>
        <w:t xml:space="preserve">As climate change </w:t>
      </w:r>
      <w:r w:rsidR="003A5481">
        <w:t xml:space="preserve">increases our exposure to </w:t>
      </w:r>
      <w:r w:rsidR="003A5722">
        <w:t>humanitarian disasters</w:t>
      </w:r>
      <w:r>
        <w:t xml:space="preserve">, </w:t>
      </w:r>
      <w:r w:rsidR="00D10709">
        <w:t xml:space="preserve">concurrently </w:t>
      </w:r>
      <w:r>
        <w:t>so too does our engagement with digital</w:t>
      </w:r>
      <w:r w:rsidR="0010448F">
        <w:t xml:space="preserve"> platforms, such as social media, which many use as a mechanism for connecting locally </w:t>
      </w:r>
      <w:r w:rsidR="009D3F9C">
        <w:t xml:space="preserve">and seeking real time information in an emergency. </w:t>
      </w:r>
    </w:p>
    <w:p w14:paraId="73B7ADD9" w14:textId="664023A4" w:rsidR="006873CB" w:rsidRDefault="009D3F9C" w:rsidP="00FE376B">
      <w:r w:rsidRPr="00C31357">
        <w:t xml:space="preserve">There is research to suggest that many people with intellectual disability are engaging with social media, indeed </w:t>
      </w:r>
      <w:r w:rsidR="00CE287C" w:rsidRPr="00C31357">
        <w:t xml:space="preserve">studies </w:t>
      </w:r>
      <w:r w:rsidR="00543CA3">
        <w:t xml:space="preserve">indicate </w:t>
      </w:r>
      <w:r w:rsidR="00CE287C" w:rsidRPr="00C31357">
        <w:t>this is the primary reason they go online</w:t>
      </w:r>
      <w:r w:rsidR="00CE287C" w:rsidRPr="00C31357">
        <w:rPr>
          <w:rStyle w:val="EndnoteReference"/>
        </w:rPr>
        <w:endnoteReference w:id="16"/>
      </w:r>
      <w:r w:rsidR="00CE287C" w:rsidRPr="00C31357">
        <w:t xml:space="preserve">. </w:t>
      </w:r>
      <w:r w:rsidR="00531894">
        <w:t xml:space="preserve">In </w:t>
      </w:r>
      <w:r w:rsidR="00AF071F" w:rsidRPr="00C31357">
        <w:t xml:space="preserve">everyday life </w:t>
      </w:r>
      <w:r w:rsidR="00531894">
        <w:t xml:space="preserve">they are using social media </w:t>
      </w:r>
      <w:r w:rsidR="009004C2" w:rsidRPr="00C31357">
        <w:t>to</w:t>
      </w:r>
      <w:r w:rsidR="00AF071F" w:rsidRPr="00C31357">
        <w:t xml:space="preserve"> express their identity, connect socially and explore their interests</w:t>
      </w:r>
      <w:r w:rsidR="00AF071F" w:rsidRPr="00C31357">
        <w:rPr>
          <w:rStyle w:val="EndnoteReference"/>
        </w:rPr>
        <w:endnoteReference w:id="17"/>
      </w:r>
      <w:r w:rsidR="00C31357">
        <w:t xml:space="preserve"> </w:t>
      </w:r>
    </w:p>
    <w:p w14:paraId="250B886F" w14:textId="7E6412D0" w:rsidR="00ED5FA2" w:rsidRDefault="00C31357" w:rsidP="00FE376B">
      <w:r>
        <w:t>However very little research exists to describe how people with intellectual disability are using social media in emergencies specifically</w:t>
      </w:r>
      <w:r w:rsidR="00ED5885">
        <w:rPr>
          <w:rStyle w:val="EndnoteReference"/>
        </w:rPr>
        <w:endnoteReference w:id="18"/>
      </w:r>
      <w:r>
        <w:t xml:space="preserve">. </w:t>
      </w:r>
      <w:r w:rsidR="001E409F">
        <w:t xml:space="preserve">Prompted by </w:t>
      </w:r>
      <w:r w:rsidR="003547F6">
        <w:t>the COVID-19</w:t>
      </w:r>
      <w:r w:rsidR="001E409F">
        <w:t xml:space="preserve"> pandemic</w:t>
      </w:r>
      <w:r w:rsidR="003547F6">
        <w:t xml:space="preserve"> a small number of studies showed</w:t>
      </w:r>
      <w:r w:rsidR="00AD531E">
        <w:t xml:space="preserve"> during the crisis</w:t>
      </w:r>
      <w:r w:rsidR="003547F6">
        <w:t xml:space="preserve"> people with intellectual</w:t>
      </w:r>
      <w:r w:rsidR="001A3374">
        <w:t xml:space="preserve"> disability</w:t>
      </w:r>
      <w:r w:rsidR="003547F6">
        <w:t xml:space="preserve"> were using social media to access services</w:t>
      </w:r>
      <w:r w:rsidR="003547F6">
        <w:rPr>
          <w:rStyle w:val="EndnoteReference"/>
        </w:rPr>
        <w:endnoteReference w:id="19"/>
      </w:r>
      <w:r w:rsidR="003547F6">
        <w:t>, leisure activities</w:t>
      </w:r>
      <w:r w:rsidR="003547F6">
        <w:rPr>
          <w:rStyle w:val="EndnoteReference"/>
        </w:rPr>
        <w:endnoteReference w:id="20"/>
      </w:r>
      <w:r w:rsidR="003547F6">
        <w:t xml:space="preserve">, </w:t>
      </w:r>
      <w:r w:rsidR="008827AF">
        <w:t>maintain connections</w:t>
      </w:r>
      <w:r w:rsidR="008827AF">
        <w:rPr>
          <w:rStyle w:val="EndnoteReference"/>
        </w:rPr>
        <w:endnoteReference w:id="21"/>
      </w:r>
      <w:r w:rsidR="008827AF">
        <w:t xml:space="preserve"> and for a small proportion, to access </w:t>
      </w:r>
      <w:r w:rsidR="006B161F">
        <w:t xml:space="preserve">essential </w:t>
      </w:r>
      <w:r w:rsidR="008827AF">
        <w:t xml:space="preserve">information </w:t>
      </w:r>
      <w:r w:rsidR="008827AF">
        <w:rPr>
          <w:rStyle w:val="EndnoteReference"/>
        </w:rPr>
        <w:endnoteReference w:id="22"/>
      </w:r>
      <w:r w:rsidR="006873CB">
        <w:t xml:space="preserve">. </w:t>
      </w:r>
    </w:p>
    <w:p w14:paraId="4550E724" w14:textId="063FCD9D" w:rsidR="00BB4F1D" w:rsidRDefault="00A371B7" w:rsidP="00FE376B">
      <w:r>
        <w:t xml:space="preserve">These </w:t>
      </w:r>
      <w:r w:rsidR="006B161F">
        <w:t>findings</w:t>
      </w:r>
      <w:r>
        <w:t xml:space="preserve"> </w:t>
      </w:r>
      <w:r w:rsidR="008646BC">
        <w:t>highlight differences in the way people with and without disability are accessing information online. Significantly it</w:t>
      </w:r>
      <w:r w:rsidR="006B161F">
        <w:t xml:space="preserve"> </w:t>
      </w:r>
      <w:r w:rsidR="00AA4B9B">
        <w:t xml:space="preserve">shows </w:t>
      </w:r>
      <w:r w:rsidR="00444832">
        <w:t xml:space="preserve">that </w:t>
      </w:r>
      <w:r>
        <w:t>people with intellectual disability</w:t>
      </w:r>
      <w:r w:rsidR="00444832">
        <w:t xml:space="preserve"> are</w:t>
      </w:r>
      <w:r>
        <w:t xml:space="preserve"> access</w:t>
      </w:r>
      <w:r w:rsidR="00444832">
        <w:t>ing</w:t>
      </w:r>
      <w:r>
        <w:t xml:space="preserve"> information online </w:t>
      </w:r>
      <w:r w:rsidR="00D606A7">
        <w:t>in emergencies</w:t>
      </w:r>
      <w:r w:rsidR="00444832">
        <w:t xml:space="preserve"> less than </w:t>
      </w:r>
      <w:r w:rsidR="00D606A7">
        <w:t>the general population</w:t>
      </w:r>
      <w:r w:rsidR="001A08A3">
        <w:rPr>
          <w:rStyle w:val="EndnoteReference"/>
        </w:rPr>
        <w:endnoteReference w:id="23"/>
      </w:r>
      <w:r w:rsidR="00D606A7">
        <w:t>.</w:t>
      </w:r>
      <w:r w:rsidR="006B161F">
        <w:t xml:space="preserve"> </w:t>
      </w:r>
      <w:r w:rsidR="004B40D8">
        <w:t xml:space="preserve"> </w:t>
      </w:r>
      <w:r w:rsidR="00913CCD">
        <w:t xml:space="preserve">Understanding this behaviour is important when we consider </w:t>
      </w:r>
      <w:r w:rsidR="00715170" w:rsidRPr="008807AD">
        <w:t xml:space="preserve">that </w:t>
      </w:r>
      <w:r w:rsidR="00C34147" w:rsidRPr="008807AD">
        <w:t>using social media is the primary reason people with intellectual disability are going online</w:t>
      </w:r>
      <w:r w:rsidR="008807AD" w:rsidRPr="008807AD">
        <w:t>.</w:t>
      </w:r>
      <w:r w:rsidR="008807AD">
        <w:t xml:space="preserve"> </w:t>
      </w:r>
    </w:p>
    <w:p w14:paraId="291DE60B" w14:textId="65A5600A" w:rsidR="00715170" w:rsidRPr="00715170" w:rsidRDefault="0003114E" w:rsidP="00FE376B">
      <w:r w:rsidRPr="00977B94">
        <w:t>The UN have cautioned that digital communication, including social media, is swiftly replacing other communication channels</w:t>
      </w:r>
      <w:r w:rsidR="0020300B" w:rsidRPr="00977B94">
        <w:t xml:space="preserve"> worldwide</w:t>
      </w:r>
      <w:r w:rsidRPr="00977B94">
        <w:t xml:space="preserve">, </w:t>
      </w:r>
      <w:r w:rsidR="007965BF" w:rsidRPr="00977B94">
        <w:t xml:space="preserve">and that </w:t>
      </w:r>
      <w:r w:rsidRPr="00977B94">
        <w:t>communities and governments must ensure people with disability aren’t left behind in this rapid transition</w:t>
      </w:r>
      <w:r w:rsidR="007965BF" w:rsidRPr="00977B94">
        <w:rPr>
          <w:rStyle w:val="EndnoteReference"/>
        </w:rPr>
        <w:endnoteReference w:id="24"/>
      </w:r>
      <w:r w:rsidR="007965BF" w:rsidRPr="00977B94">
        <w:t>.</w:t>
      </w:r>
      <w:r w:rsidR="007965BF">
        <w:t xml:space="preserve"> </w:t>
      </w:r>
      <w:r w:rsidR="002232F5">
        <w:t>Indeed,</w:t>
      </w:r>
      <w:r w:rsidR="00715170">
        <w:t xml:space="preserve"> failing to understand </w:t>
      </w:r>
      <w:r w:rsidR="00753C12">
        <w:t>the information behaviours</w:t>
      </w:r>
      <w:r w:rsidR="002232F5">
        <w:t xml:space="preserve"> of people with intellectual disability</w:t>
      </w:r>
      <w:r>
        <w:t xml:space="preserve"> in this context</w:t>
      </w:r>
      <w:r w:rsidR="00753C12">
        <w:t xml:space="preserve">, potentially prevents emergency </w:t>
      </w:r>
      <w:r w:rsidR="004D3E6E">
        <w:t>response teams</w:t>
      </w:r>
      <w:r w:rsidR="00753C12">
        <w:t xml:space="preserve"> from targeting key messages to </w:t>
      </w:r>
      <w:r w:rsidR="002232F5">
        <w:t xml:space="preserve">the </w:t>
      </w:r>
      <w:r w:rsidR="00753C12">
        <w:t xml:space="preserve">digital spaces </w:t>
      </w:r>
      <w:r w:rsidR="002232F5">
        <w:t xml:space="preserve">they </w:t>
      </w:r>
      <w:r w:rsidR="004D3E6E">
        <w:t xml:space="preserve">inhabit in ways they can easily engage with. </w:t>
      </w:r>
    </w:p>
    <w:p w14:paraId="415647BA" w14:textId="4B769869" w:rsidR="00536B0B" w:rsidRDefault="009D523F" w:rsidP="004640F1">
      <w:r w:rsidRPr="00D640F0">
        <w:lastRenderedPageBreak/>
        <w:t xml:space="preserve">Further </w:t>
      </w:r>
      <w:r w:rsidR="00D93844" w:rsidRPr="00D640F0">
        <w:t>studies also identified a number of barriers to equitable</w:t>
      </w:r>
      <w:r w:rsidR="00CC1C46">
        <w:t xml:space="preserve"> digital</w:t>
      </w:r>
      <w:r w:rsidR="00D93844" w:rsidRPr="00D640F0">
        <w:t xml:space="preserve"> access </w:t>
      </w:r>
      <w:r w:rsidR="00354CBD" w:rsidRPr="00D640F0">
        <w:t>including gatekeeping by families and carers</w:t>
      </w:r>
      <w:r w:rsidR="00272979">
        <w:rPr>
          <w:rStyle w:val="EndnoteReference"/>
        </w:rPr>
        <w:endnoteReference w:id="25"/>
      </w:r>
      <w:r w:rsidR="00CC1C46">
        <w:t xml:space="preserve">, </w:t>
      </w:r>
      <w:r w:rsidR="00536B0B">
        <w:t>unsuitable</w:t>
      </w:r>
      <w:r w:rsidR="00354CBD" w:rsidRPr="00D640F0">
        <w:t xml:space="preserve"> hardware</w:t>
      </w:r>
      <w:r w:rsidR="003905AE">
        <w:rPr>
          <w:rStyle w:val="EndnoteReference"/>
        </w:rPr>
        <w:endnoteReference w:id="26"/>
      </w:r>
      <w:r w:rsidR="00CC1C46">
        <w:t xml:space="preserve">, </w:t>
      </w:r>
      <w:r w:rsidR="00354CBD" w:rsidRPr="00D640F0">
        <w:t>inaccessible software</w:t>
      </w:r>
      <w:r w:rsidR="003905AE">
        <w:t xml:space="preserve">, </w:t>
      </w:r>
      <w:r w:rsidR="00354CBD" w:rsidRPr="00D640F0">
        <w:t>cost</w:t>
      </w:r>
      <w:r w:rsidR="003905AE">
        <w:rPr>
          <w:rStyle w:val="EndnoteReference"/>
        </w:rPr>
        <w:endnoteReference w:id="27"/>
      </w:r>
      <w:r w:rsidR="00CC1C46">
        <w:t xml:space="preserve">, </w:t>
      </w:r>
      <w:r w:rsidR="00354CBD" w:rsidRPr="00D640F0">
        <w:t>a lack of digital literacy</w:t>
      </w:r>
      <w:r w:rsidR="00B6041D">
        <w:rPr>
          <w:rStyle w:val="EndnoteReference"/>
        </w:rPr>
        <w:endnoteReference w:id="28"/>
      </w:r>
      <w:r w:rsidR="00354CBD" w:rsidRPr="00D640F0">
        <w:t xml:space="preserve"> and safety, both real and perceived</w:t>
      </w:r>
      <w:r w:rsidR="004C189F">
        <w:rPr>
          <w:rStyle w:val="EndnoteReference"/>
        </w:rPr>
        <w:endnoteReference w:id="29"/>
      </w:r>
      <w:r w:rsidR="000947B9">
        <w:t xml:space="preserve">. </w:t>
      </w:r>
      <w:r w:rsidR="00BB4F1D">
        <w:t>Indeed,</w:t>
      </w:r>
      <w:r w:rsidR="000F0276">
        <w:t xml:space="preserve"> without overcoming </w:t>
      </w:r>
      <w:r w:rsidR="007523FE">
        <w:t xml:space="preserve">these barriers people with intellectual disability will continue to experience </w:t>
      </w:r>
      <w:r w:rsidR="00AD3F6D">
        <w:t xml:space="preserve">disadvantage in emergencies as warning, and response information is increasingly digitised. </w:t>
      </w:r>
      <w:r w:rsidR="00AE3067">
        <w:t xml:space="preserve">Building a strong evidence base is the first step to developing policy to begin to address these challenges in </w:t>
      </w:r>
      <w:r w:rsidR="00121040">
        <w:t xml:space="preserve">communities and services. </w:t>
      </w:r>
    </w:p>
    <w:p w14:paraId="0823AA6B" w14:textId="28F87994" w:rsidR="00EB5779" w:rsidRPr="00371482" w:rsidRDefault="00EB5779" w:rsidP="00EB5779">
      <w:pPr>
        <w:pStyle w:val="ListParagraph"/>
        <w:numPr>
          <w:ilvl w:val="0"/>
          <w:numId w:val="8"/>
        </w:numPr>
        <w:rPr>
          <w:b/>
          <w:bCs/>
        </w:rPr>
      </w:pPr>
      <w:r w:rsidRPr="00371482">
        <w:rPr>
          <w:b/>
          <w:bCs/>
        </w:rPr>
        <w:t xml:space="preserve">Research exploring how people with intellectual disability use social media in Victoria, Australia </w:t>
      </w:r>
    </w:p>
    <w:p w14:paraId="631BD51D" w14:textId="5F14A654" w:rsidR="008174EC" w:rsidRDefault="00EB5779" w:rsidP="00EB5779">
      <w:r w:rsidRPr="00021956">
        <w:rPr>
          <w:b/>
          <w:bCs/>
        </w:rPr>
        <w:t>Appendix one</w:t>
      </w:r>
      <w:r w:rsidR="009644F9">
        <w:rPr>
          <w:b/>
          <w:bCs/>
        </w:rPr>
        <w:t>: ‘</w:t>
      </w:r>
      <w:r w:rsidR="009644F9" w:rsidRPr="009644F9">
        <w:rPr>
          <w:i/>
          <w:iCs/>
        </w:rPr>
        <w:t>Strengthening Connection for People with Intellectual Disability in Emergencies: Social Media and Access to Essential Information’</w:t>
      </w:r>
      <w:r w:rsidRPr="00021956">
        <w:t xml:space="preserve"> introduces research currently in development which will examine how people with intellectual disability in Australia are using social media in emergencies</w:t>
      </w:r>
      <w:r w:rsidR="00021956">
        <w:t xml:space="preserve">. </w:t>
      </w:r>
    </w:p>
    <w:p w14:paraId="4834A0C7" w14:textId="7A507DD0" w:rsidR="008174EC" w:rsidRPr="008174EC" w:rsidRDefault="008174EC" w:rsidP="00EB5779">
      <w:r w:rsidRPr="008174EC">
        <w:t xml:space="preserve">We ask that the committee review and consider this paper along with our submission. </w:t>
      </w:r>
    </w:p>
    <w:p w14:paraId="5B1A8728" w14:textId="0CEFF8D3" w:rsidR="00262E17" w:rsidRPr="00021956" w:rsidRDefault="009644F9" w:rsidP="00EB5779">
      <w:r>
        <w:t xml:space="preserve">Through </w:t>
      </w:r>
      <w:r w:rsidR="007823AF">
        <w:t>semi-structured interviews</w:t>
      </w:r>
      <w:r w:rsidR="00CC1C46">
        <w:t xml:space="preserve"> with people with intellectual disability</w:t>
      </w:r>
      <w:r w:rsidR="007823AF">
        <w:t xml:space="preserve"> this research will examine </w:t>
      </w:r>
      <w:r w:rsidR="00302E69">
        <w:t>the</w:t>
      </w:r>
      <w:r w:rsidR="00CC1C46">
        <w:t xml:space="preserve">ir </w:t>
      </w:r>
      <w:r w:rsidR="00302E69">
        <w:t xml:space="preserve">experiences </w:t>
      </w:r>
      <w:r w:rsidR="00F35E63">
        <w:t>on</w:t>
      </w:r>
      <w:r w:rsidR="00302E69">
        <w:t xml:space="preserve"> social media </w:t>
      </w:r>
      <w:r w:rsidR="00F35E63">
        <w:t>in emergencies</w:t>
      </w:r>
      <w:r w:rsidR="007823AF">
        <w:t xml:space="preserve">. Through this study we hope to </w:t>
      </w:r>
      <w:r w:rsidR="001D2539">
        <w:t>build a stronger evidence base for the development and distribution of emergenc</w:t>
      </w:r>
      <w:r w:rsidR="00DF1B36">
        <w:t>y</w:t>
      </w:r>
      <w:r w:rsidR="001D2539">
        <w:t xml:space="preserve"> communications. </w:t>
      </w:r>
    </w:p>
    <w:p w14:paraId="6B5F9753" w14:textId="70DFE14C" w:rsidR="00ED5FA2" w:rsidRPr="004A3AB8" w:rsidRDefault="00ED5FA2" w:rsidP="00ED5FA2">
      <w:pPr>
        <w:pStyle w:val="ListParagraph"/>
        <w:numPr>
          <w:ilvl w:val="0"/>
          <w:numId w:val="8"/>
        </w:numPr>
        <w:rPr>
          <w:b/>
          <w:bCs/>
        </w:rPr>
      </w:pPr>
      <w:r w:rsidRPr="004A3AB8">
        <w:rPr>
          <w:b/>
          <w:bCs/>
        </w:rPr>
        <w:t>Conclu</w:t>
      </w:r>
      <w:r w:rsidR="00371482" w:rsidRPr="004A3AB8">
        <w:rPr>
          <w:b/>
          <w:bCs/>
        </w:rPr>
        <w:t xml:space="preserve">ding comments </w:t>
      </w:r>
    </w:p>
    <w:p w14:paraId="35EC9D22" w14:textId="7E9BB25D" w:rsidR="000A2517" w:rsidRDefault="00CE2934" w:rsidP="00175B95">
      <w:r w:rsidRPr="004A3AB8">
        <w:t>In conclusion, w</w:t>
      </w:r>
      <w:r w:rsidR="00387708" w:rsidRPr="004A3AB8">
        <w:t>e know that</w:t>
      </w:r>
      <w:r w:rsidR="001B1855" w:rsidRPr="004A3AB8">
        <w:t xml:space="preserve"> there are differences</w:t>
      </w:r>
      <w:r w:rsidR="00387708" w:rsidRPr="004A3AB8">
        <w:t xml:space="preserve"> </w:t>
      </w:r>
      <w:r w:rsidR="00CB57E5" w:rsidRPr="004A3AB8">
        <w:t>in information behaviour between people</w:t>
      </w:r>
      <w:r w:rsidR="00CC1C46">
        <w:t xml:space="preserve"> with</w:t>
      </w:r>
      <w:r w:rsidR="00CB57E5" w:rsidRPr="004A3AB8">
        <w:t xml:space="preserve"> </w:t>
      </w:r>
      <w:r w:rsidR="004A3AB8" w:rsidRPr="004A3AB8">
        <w:t>intellectual</w:t>
      </w:r>
      <w:r w:rsidR="00CB57E5" w:rsidRPr="004A3AB8">
        <w:t xml:space="preserve"> disability and the broader community. </w:t>
      </w:r>
      <w:r w:rsidR="000A2517">
        <w:t>In a world where information is increasingly</w:t>
      </w:r>
      <w:r w:rsidR="0041539E">
        <w:t xml:space="preserve"> </w:t>
      </w:r>
      <w:r w:rsidR="00CC1C46">
        <w:t>published</w:t>
      </w:r>
      <w:r w:rsidR="000A2517">
        <w:t xml:space="preserve"> online, f</w:t>
      </w:r>
      <w:r w:rsidR="00747880">
        <w:t>ull and equal digital inclusion</w:t>
      </w:r>
      <w:r w:rsidR="00B25CDF">
        <w:t xml:space="preserve"> is one</w:t>
      </w:r>
      <w:r w:rsidR="0041539E">
        <w:t xml:space="preserve"> crucial</w:t>
      </w:r>
      <w:r w:rsidR="00B25CDF">
        <w:t xml:space="preserve"> step that is needed to ensure people with intellectual disability have the same access to information and services in an emergency. </w:t>
      </w:r>
    </w:p>
    <w:p w14:paraId="102D76CB" w14:textId="4A3E1B01" w:rsidR="00C05917" w:rsidRDefault="00D679A4" w:rsidP="00175B95">
      <w:r>
        <w:t xml:space="preserve">To </w:t>
      </w:r>
      <w:r w:rsidR="00AD782E">
        <w:t>achieve</w:t>
      </w:r>
      <w:r>
        <w:t xml:space="preserve"> equal </w:t>
      </w:r>
      <w:r w:rsidR="00AD782E">
        <w:t>access,</w:t>
      </w:r>
      <w:r>
        <w:t xml:space="preserve"> we </w:t>
      </w:r>
      <w:r w:rsidR="00CB722C">
        <w:t>must</w:t>
      </w:r>
      <w:r w:rsidR="00393373">
        <w:t xml:space="preserve"> ensure that people with intellectual disability are </w:t>
      </w:r>
      <w:r w:rsidR="00195795">
        <w:t xml:space="preserve">included in considered </w:t>
      </w:r>
      <w:r w:rsidR="00AD782E">
        <w:t>research relevant to their online behaviours, including</w:t>
      </w:r>
      <w:r w:rsidR="00554570">
        <w:t xml:space="preserve"> </w:t>
      </w:r>
      <w:r w:rsidR="00AD782E">
        <w:t>social media</w:t>
      </w:r>
      <w:r w:rsidR="00554570">
        <w:t xml:space="preserve"> use</w:t>
      </w:r>
      <w:r w:rsidR="00AD782E">
        <w:t xml:space="preserve">. </w:t>
      </w:r>
      <w:r w:rsidR="00C05917">
        <w:t xml:space="preserve">We anticipate that this could aid decision-makers to develop more responsive evidence-based </w:t>
      </w:r>
      <w:r w:rsidR="009A75E9">
        <w:t>policy</w:t>
      </w:r>
      <w:r w:rsidR="00435887">
        <w:t xml:space="preserve"> to</w:t>
      </w:r>
      <w:r w:rsidR="009A75E9">
        <w:t xml:space="preserve"> </w:t>
      </w:r>
      <w:r w:rsidR="00750800">
        <w:t xml:space="preserve">meet the support and information needs of people </w:t>
      </w:r>
      <w:r w:rsidR="00CB722C">
        <w:t xml:space="preserve">with </w:t>
      </w:r>
      <w:r w:rsidR="009A75E9">
        <w:t xml:space="preserve">intellectual disability in emergencies. </w:t>
      </w:r>
    </w:p>
    <w:p w14:paraId="39F8ABC5" w14:textId="406BE21E" w:rsidR="00AA5A5D" w:rsidRPr="00AA5A5D" w:rsidRDefault="00973C60" w:rsidP="008C767A">
      <w:pPr>
        <w:pBdr>
          <w:top w:val="single" w:sz="4" w:space="1" w:color="auto"/>
          <w:left w:val="single" w:sz="4" w:space="4" w:color="auto"/>
          <w:bottom w:val="single" w:sz="4" w:space="1" w:color="auto"/>
          <w:right w:val="single" w:sz="4" w:space="4" w:color="auto"/>
        </w:pBdr>
        <w:rPr>
          <w:b/>
          <w:bCs/>
        </w:rPr>
      </w:pPr>
      <w:r>
        <w:rPr>
          <w:b/>
          <w:bCs/>
        </w:rPr>
        <w:t>Appendix</w:t>
      </w:r>
      <w:r w:rsidR="00AA5A5D" w:rsidRPr="00AA5A5D">
        <w:rPr>
          <w:b/>
          <w:bCs/>
        </w:rPr>
        <w:t xml:space="preserve">: </w:t>
      </w:r>
    </w:p>
    <w:p w14:paraId="79CE3ACB" w14:textId="05B5DA1E" w:rsidR="00753820" w:rsidRPr="003540D1" w:rsidRDefault="00AA5A5D" w:rsidP="008C767A">
      <w:pPr>
        <w:pBdr>
          <w:top w:val="single" w:sz="4" w:space="1" w:color="auto"/>
          <w:left w:val="single" w:sz="4" w:space="4" w:color="auto"/>
          <w:bottom w:val="single" w:sz="4" w:space="1" w:color="auto"/>
          <w:right w:val="single" w:sz="4" w:space="4" w:color="auto"/>
        </w:pBdr>
      </w:pPr>
      <w:r w:rsidRPr="0091767E">
        <w:t>Peart, H., Chang, S., Gooding, P., Davidson, J. and Paterson, J (2022) Strengthening Connection for People with Intellectual Disability in Emergencies: Social Media and Access to Essential Information. ACIS 2022 Proceedings. 34.https://aisel.aisnet.org/acis2022/34</w:t>
      </w:r>
    </w:p>
    <w:p w14:paraId="5628B4CC" w14:textId="224D5866" w:rsidR="00706048" w:rsidRPr="00B60ABF" w:rsidRDefault="00706048">
      <w:pPr>
        <w:rPr>
          <w:rFonts w:cstheme="minorHAnsi"/>
          <w:sz w:val="20"/>
          <w:szCs w:val="20"/>
        </w:rPr>
      </w:pPr>
      <w:r>
        <w:br w:type="page"/>
      </w:r>
      <w:r w:rsidR="00A4331D" w:rsidRPr="00B60ABF">
        <w:rPr>
          <w:rFonts w:cstheme="minorHAnsi"/>
          <w:sz w:val="20"/>
          <w:szCs w:val="20"/>
        </w:rPr>
        <w:lastRenderedPageBreak/>
        <w:t xml:space="preserve"> </w:t>
      </w:r>
    </w:p>
    <w:p w14:paraId="689033E0" w14:textId="1582CE15" w:rsidR="00A7516C" w:rsidRPr="00BD1CBC" w:rsidRDefault="00B0138E" w:rsidP="00BD1CBC">
      <w:pPr>
        <w:rPr>
          <w:b/>
          <w:bCs/>
        </w:rPr>
      </w:pPr>
      <w:r w:rsidRPr="00B0138E">
        <w:rPr>
          <w:b/>
          <w:bCs/>
        </w:rPr>
        <w:t xml:space="preserve">References </w:t>
      </w:r>
    </w:p>
    <w:p w14:paraId="7F230AB6" w14:textId="77777777" w:rsidR="00A7516C" w:rsidRPr="00A7516C" w:rsidRDefault="00A7516C" w:rsidP="00A7516C">
      <w:pPr>
        <w:rPr>
          <w:rFonts w:cstheme="minorHAnsi"/>
          <w:sz w:val="20"/>
          <w:szCs w:val="20"/>
        </w:rPr>
      </w:pPr>
      <w:r w:rsidRPr="00A7516C">
        <w:rPr>
          <w:rFonts w:cstheme="minorHAnsi"/>
          <w:sz w:val="20"/>
          <w:szCs w:val="20"/>
        </w:rPr>
        <w:t xml:space="preserve">Barden, O., Be, A., Pritchard, E., Waite, L. (2022) Disability and Social Inclusion: Lessons from the Pandemic. </w:t>
      </w:r>
      <w:r w:rsidRPr="00A7516C">
        <w:rPr>
          <w:rFonts w:cstheme="minorHAnsi"/>
          <w:i/>
          <w:iCs/>
          <w:sz w:val="20"/>
          <w:szCs w:val="20"/>
        </w:rPr>
        <w:t>Social Inclusion</w:t>
      </w:r>
      <w:r w:rsidRPr="00A7516C">
        <w:rPr>
          <w:rFonts w:cstheme="minorHAnsi"/>
          <w:sz w:val="20"/>
          <w:szCs w:val="20"/>
        </w:rPr>
        <w:t>. 11 (1)</w:t>
      </w:r>
    </w:p>
    <w:p w14:paraId="7E5EEF5C" w14:textId="77777777" w:rsidR="00A7516C" w:rsidRPr="00A7516C" w:rsidRDefault="00A7516C" w:rsidP="00A7516C">
      <w:pPr>
        <w:rPr>
          <w:rFonts w:cstheme="minorHAnsi"/>
          <w:sz w:val="20"/>
          <w:szCs w:val="20"/>
        </w:rPr>
      </w:pPr>
      <w:r w:rsidRPr="00A7516C">
        <w:rPr>
          <w:rFonts w:cstheme="minorHAnsi"/>
          <w:sz w:val="20"/>
          <w:szCs w:val="20"/>
        </w:rPr>
        <w:t xml:space="preserve">Caton, S. &amp; Chapman, M. (2016) The use of social media and people with intellectual disability: A systematic review and thematic analysis. </w:t>
      </w:r>
      <w:r w:rsidRPr="00A7516C">
        <w:rPr>
          <w:rFonts w:cstheme="minorHAnsi"/>
          <w:i/>
          <w:iCs/>
          <w:sz w:val="20"/>
          <w:szCs w:val="20"/>
        </w:rPr>
        <w:t>Journal of Intellectual &amp; Developmental Disability.</w:t>
      </w:r>
      <w:r w:rsidRPr="00A7516C">
        <w:rPr>
          <w:rFonts w:cstheme="minorHAnsi"/>
          <w:sz w:val="20"/>
          <w:szCs w:val="20"/>
        </w:rPr>
        <w:t xml:space="preserve"> 41 (2) 125-139. </w:t>
      </w:r>
    </w:p>
    <w:p w14:paraId="1B119762" w14:textId="77777777" w:rsidR="00A7516C" w:rsidRPr="00A7516C" w:rsidRDefault="00A7516C" w:rsidP="00A7516C">
      <w:pPr>
        <w:rPr>
          <w:rFonts w:cstheme="minorHAnsi"/>
          <w:sz w:val="20"/>
          <w:szCs w:val="20"/>
        </w:rPr>
      </w:pPr>
      <w:r w:rsidRPr="00A7516C">
        <w:rPr>
          <w:rFonts w:cstheme="minorHAnsi"/>
          <w:sz w:val="20"/>
          <w:szCs w:val="20"/>
        </w:rPr>
        <w:t xml:space="preserve">Caton, S., Hatton, C., Gillooly, A., Oloidi, E., Clarke, L., Bradshaw, J., Flynn, S., Taggart, L., Mulhall, P., Jahoda, A., Maguire, R., Marriott, A., Todd, S., Abbott, D., Beyer, S., Gore, N., Heslop, P., Scior, K., &amp; Hastings, R. (2022). Online social connections and Internet use among people with intellectual disabilities in the United Kingdom during the COVID-19 pandemic. </w:t>
      </w:r>
      <w:r w:rsidRPr="00A7516C">
        <w:rPr>
          <w:rFonts w:cstheme="minorHAnsi"/>
          <w:i/>
          <w:iCs/>
          <w:sz w:val="20"/>
          <w:szCs w:val="20"/>
        </w:rPr>
        <w:t>New Media &amp; Society.</w:t>
      </w:r>
      <w:r w:rsidRPr="00A7516C">
        <w:rPr>
          <w:rFonts w:cstheme="minorHAnsi"/>
          <w:sz w:val="20"/>
          <w:szCs w:val="20"/>
        </w:rPr>
        <w:t xml:space="preserve"> Advance online publication.</w:t>
      </w:r>
    </w:p>
    <w:p w14:paraId="0CE940EE" w14:textId="77777777" w:rsidR="00A7516C" w:rsidRPr="00A7516C" w:rsidRDefault="00A7516C" w:rsidP="00A7516C">
      <w:pPr>
        <w:rPr>
          <w:rFonts w:cstheme="minorHAnsi"/>
          <w:sz w:val="20"/>
          <w:szCs w:val="20"/>
        </w:rPr>
      </w:pPr>
      <w:r w:rsidRPr="00A7516C">
        <w:rPr>
          <w:rFonts w:cstheme="minorHAnsi"/>
          <w:sz w:val="20"/>
          <w:szCs w:val="20"/>
        </w:rPr>
        <w:t xml:space="preserve">Chadwick, D., Ågren, K. A., Caton, S., Chiner, E., Danker, J., Gómez-Puerta, M., Heitplatz, V., Johansson, S., Normand, C. L., Murphy, E., Plichta, P., Strnadová, I., &amp; Wallén, E. F. (2022). Digital inclusion and participation of people with intellectual disabilities during COVID-19: A rapid review and international bricolage. </w:t>
      </w:r>
      <w:r w:rsidRPr="00A7516C">
        <w:rPr>
          <w:rFonts w:cstheme="minorHAnsi"/>
          <w:i/>
          <w:iCs/>
          <w:sz w:val="20"/>
          <w:szCs w:val="20"/>
        </w:rPr>
        <w:t>Journal of Policy and Practice in Intellectual Disabilities</w:t>
      </w:r>
      <w:r w:rsidRPr="00A7516C">
        <w:rPr>
          <w:rFonts w:cstheme="minorHAnsi"/>
          <w:sz w:val="20"/>
          <w:szCs w:val="20"/>
        </w:rPr>
        <w:t xml:space="preserve">. 19 (3), 242– 256. </w:t>
      </w:r>
    </w:p>
    <w:p w14:paraId="6B6C9205" w14:textId="77777777" w:rsidR="00A7516C" w:rsidRPr="00A7516C" w:rsidRDefault="00A7516C" w:rsidP="00A7516C">
      <w:pPr>
        <w:rPr>
          <w:rFonts w:cstheme="minorHAnsi"/>
          <w:sz w:val="20"/>
          <w:szCs w:val="20"/>
        </w:rPr>
      </w:pPr>
      <w:r w:rsidRPr="00A7516C">
        <w:rPr>
          <w:rFonts w:cstheme="minorHAnsi"/>
          <w:sz w:val="20"/>
          <w:szCs w:val="20"/>
        </w:rPr>
        <w:t xml:space="preserve">Council for Intellectual Disability (2020) CID consultations with people with intellectual disability on Australian Governments response to Coronavirus (COVID-19). </w:t>
      </w:r>
      <w:hyperlink r:id="rId9" w:history="1">
        <w:r w:rsidRPr="00A7516C">
          <w:rPr>
            <w:rStyle w:val="Hyperlink"/>
            <w:rFonts w:cstheme="minorHAnsi"/>
            <w:sz w:val="20"/>
            <w:szCs w:val="20"/>
          </w:rPr>
          <w:t>https://cid.org.au/resource/covid-19-leave-no-one-behind/</w:t>
        </w:r>
      </w:hyperlink>
      <w:r w:rsidRPr="00A7516C">
        <w:rPr>
          <w:rFonts w:cstheme="minorHAnsi"/>
          <w:sz w:val="20"/>
          <w:szCs w:val="20"/>
        </w:rPr>
        <w:t xml:space="preserve"> </w:t>
      </w:r>
    </w:p>
    <w:p w14:paraId="3F2AC66C" w14:textId="77777777" w:rsidR="00A7516C" w:rsidRPr="00A7516C" w:rsidRDefault="00A7516C" w:rsidP="00A7516C">
      <w:pPr>
        <w:rPr>
          <w:rFonts w:cstheme="minorHAnsi"/>
          <w:sz w:val="20"/>
          <w:szCs w:val="20"/>
        </w:rPr>
      </w:pPr>
      <w:r w:rsidRPr="00A7516C">
        <w:rPr>
          <w:rFonts w:cstheme="minorHAnsi"/>
          <w:sz w:val="20"/>
          <w:szCs w:val="20"/>
        </w:rPr>
        <w:t>Datlen, G. W., Gillian, W., &amp; Pandolfi, C. (2020). Developing an online art therapy group for learning disabled young adults using WhatsApp. International Journal of Art Therapy: Inscape, 25(4), 192– 201. doi:10.1080/17454832.2020.1845758</w:t>
      </w:r>
    </w:p>
    <w:p w14:paraId="670AF9C5" w14:textId="3AE9D8F4" w:rsidR="00A7516C" w:rsidRDefault="00A7516C" w:rsidP="00A7516C">
      <w:pPr>
        <w:pStyle w:val="NoSpacing"/>
        <w:rPr>
          <w:rFonts w:cstheme="minorHAnsi"/>
          <w:sz w:val="20"/>
          <w:szCs w:val="20"/>
          <w:shd w:val="clear" w:color="auto" w:fill="FFFFFF"/>
        </w:rPr>
      </w:pPr>
      <w:r w:rsidRPr="00A44A69">
        <w:rPr>
          <w:rFonts w:cstheme="minorHAnsi"/>
          <w:sz w:val="20"/>
          <w:szCs w:val="20"/>
          <w:shd w:val="clear" w:color="auto" w:fill="FFFFFF"/>
        </w:rPr>
        <w:t>Doody, O., &amp; Keenan, P. M. (2021). The reported effects of the COVID-19 pandemic on people with intellectual disability and their carers: a scoping review. </w:t>
      </w:r>
      <w:r w:rsidRPr="00A44A69">
        <w:rPr>
          <w:rFonts w:cstheme="minorHAnsi"/>
          <w:i/>
          <w:iCs/>
          <w:sz w:val="20"/>
          <w:szCs w:val="20"/>
          <w:shd w:val="clear" w:color="auto" w:fill="FFFFFF"/>
        </w:rPr>
        <w:t>Annals of medicine</w:t>
      </w:r>
      <w:r w:rsidRPr="00A44A69">
        <w:rPr>
          <w:rFonts w:cstheme="minorHAnsi"/>
          <w:sz w:val="20"/>
          <w:szCs w:val="20"/>
          <w:shd w:val="clear" w:color="auto" w:fill="FFFFFF"/>
        </w:rPr>
        <w:t>, </w:t>
      </w:r>
      <w:r w:rsidRPr="00A44A69">
        <w:rPr>
          <w:rFonts w:cstheme="minorHAnsi"/>
          <w:i/>
          <w:iCs/>
          <w:sz w:val="20"/>
          <w:szCs w:val="20"/>
          <w:shd w:val="clear" w:color="auto" w:fill="FFFFFF"/>
        </w:rPr>
        <w:t>53</w:t>
      </w:r>
      <w:r w:rsidRPr="00A44A69">
        <w:rPr>
          <w:rFonts w:cstheme="minorHAnsi"/>
          <w:sz w:val="20"/>
          <w:szCs w:val="20"/>
          <w:shd w:val="clear" w:color="auto" w:fill="FFFFFF"/>
        </w:rPr>
        <w:t xml:space="preserve">(1), 786–804. </w:t>
      </w:r>
    </w:p>
    <w:p w14:paraId="3834E21B" w14:textId="77777777" w:rsidR="00C400FE" w:rsidRDefault="00C400FE" w:rsidP="00A7516C">
      <w:pPr>
        <w:pStyle w:val="NoSpacing"/>
        <w:rPr>
          <w:rFonts w:cstheme="minorHAnsi"/>
          <w:sz w:val="20"/>
          <w:szCs w:val="20"/>
          <w:shd w:val="clear" w:color="auto" w:fill="FFFFFF"/>
        </w:rPr>
      </w:pPr>
    </w:p>
    <w:p w14:paraId="2B1CE0EC" w14:textId="77777777" w:rsidR="00A7516C" w:rsidRPr="00A7516C" w:rsidRDefault="00A7516C" w:rsidP="00A7516C">
      <w:pPr>
        <w:rPr>
          <w:shd w:val="clear" w:color="auto" w:fill="FFFFFF"/>
        </w:rPr>
      </w:pPr>
      <w:r w:rsidRPr="00A7516C">
        <w:rPr>
          <w:sz w:val="20"/>
          <w:szCs w:val="20"/>
        </w:rPr>
        <w:t>Hatton, C.</w:t>
      </w:r>
      <w:r w:rsidRPr="00A7516C">
        <w:rPr>
          <w:sz w:val="20"/>
          <w:szCs w:val="20"/>
          <w:shd w:val="clear" w:color="auto" w:fill="FFFFFF"/>
        </w:rPr>
        <w:t>, </w:t>
      </w:r>
      <w:r w:rsidRPr="00A7516C">
        <w:rPr>
          <w:sz w:val="20"/>
          <w:szCs w:val="20"/>
        </w:rPr>
        <w:t>Bailey, T.</w:t>
      </w:r>
      <w:r w:rsidRPr="00A7516C">
        <w:rPr>
          <w:sz w:val="20"/>
          <w:szCs w:val="20"/>
          <w:shd w:val="clear" w:color="auto" w:fill="FFFFFF"/>
        </w:rPr>
        <w:t>, </w:t>
      </w:r>
      <w:r w:rsidRPr="00A7516C">
        <w:rPr>
          <w:sz w:val="20"/>
          <w:szCs w:val="20"/>
        </w:rPr>
        <w:t>Bradshaw, J.</w:t>
      </w:r>
      <w:r w:rsidRPr="00A7516C">
        <w:rPr>
          <w:sz w:val="20"/>
          <w:szCs w:val="20"/>
          <w:shd w:val="clear" w:color="auto" w:fill="FFFFFF"/>
        </w:rPr>
        <w:t>, </w:t>
      </w:r>
      <w:r w:rsidRPr="00A7516C">
        <w:rPr>
          <w:sz w:val="20"/>
          <w:szCs w:val="20"/>
        </w:rPr>
        <w:t>Caton, S.</w:t>
      </w:r>
      <w:r w:rsidRPr="00A7516C">
        <w:rPr>
          <w:sz w:val="20"/>
          <w:szCs w:val="20"/>
          <w:shd w:val="clear" w:color="auto" w:fill="FFFFFF"/>
        </w:rPr>
        <w:t>, </w:t>
      </w:r>
      <w:r w:rsidRPr="00A7516C">
        <w:rPr>
          <w:sz w:val="20"/>
          <w:szCs w:val="20"/>
        </w:rPr>
        <w:t>Flynn, S.</w:t>
      </w:r>
      <w:r w:rsidRPr="00A7516C">
        <w:rPr>
          <w:sz w:val="20"/>
          <w:szCs w:val="20"/>
          <w:shd w:val="clear" w:color="auto" w:fill="FFFFFF"/>
        </w:rPr>
        <w:t>, </w:t>
      </w:r>
      <w:r w:rsidRPr="00A7516C">
        <w:rPr>
          <w:sz w:val="20"/>
          <w:szCs w:val="20"/>
        </w:rPr>
        <w:t>Gillooly, A.</w:t>
      </w:r>
      <w:r w:rsidRPr="00A7516C">
        <w:rPr>
          <w:sz w:val="20"/>
          <w:szCs w:val="20"/>
          <w:shd w:val="clear" w:color="auto" w:fill="FFFFFF"/>
        </w:rPr>
        <w:t>, </w:t>
      </w:r>
      <w:r w:rsidRPr="00A7516C">
        <w:rPr>
          <w:sz w:val="20"/>
          <w:szCs w:val="20"/>
        </w:rPr>
        <w:t>Jahoda, A.</w:t>
      </w:r>
      <w:r w:rsidRPr="00A7516C">
        <w:rPr>
          <w:sz w:val="20"/>
          <w:szCs w:val="20"/>
          <w:shd w:val="clear" w:color="auto" w:fill="FFFFFF"/>
        </w:rPr>
        <w:t>, </w:t>
      </w:r>
      <w:r w:rsidRPr="00A7516C">
        <w:rPr>
          <w:sz w:val="20"/>
          <w:szCs w:val="20"/>
        </w:rPr>
        <w:t>Maguire, R.</w:t>
      </w:r>
      <w:r w:rsidRPr="00A7516C">
        <w:rPr>
          <w:sz w:val="20"/>
          <w:szCs w:val="20"/>
          <w:shd w:val="clear" w:color="auto" w:fill="FFFFFF"/>
        </w:rPr>
        <w:t>, </w:t>
      </w:r>
      <w:r w:rsidRPr="00A7516C">
        <w:rPr>
          <w:sz w:val="20"/>
          <w:szCs w:val="20"/>
        </w:rPr>
        <w:t>Marriott, A.</w:t>
      </w:r>
      <w:r w:rsidRPr="00A7516C">
        <w:rPr>
          <w:sz w:val="20"/>
          <w:szCs w:val="20"/>
          <w:shd w:val="clear" w:color="auto" w:fill="FFFFFF"/>
        </w:rPr>
        <w:t>, </w:t>
      </w:r>
      <w:r w:rsidRPr="00A7516C">
        <w:rPr>
          <w:sz w:val="20"/>
          <w:szCs w:val="20"/>
        </w:rPr>
        <w:t>Mulhall, P.</w:t>
      </w:r>
      <w:r w:rsidRPr="00A7516C">
        <w:rPr>
          <w:sz w:val="20"/>
          <w:szCs w:val="20"/>
          <w:shd w:val="clear" w:color="auto" w:fill="FFFFFF"/>
        </w:rPr>
        <w:t>, </w:t>
      </w:r>
      <w:r w:rsidRPr="00A7516C">
        <w:rPr>
          <w:sz w:val="20"/>
          <w:szCs w:val="20"/>
        </w:rPr>
        <w:t>Oloidi, E.</w:t>
      </w:r>
      <w:r w:rsidRPr="00A7516C">
        <w:rPr>
          <w:sz w:val="20"/>
          <w:szCs w:val="20"/>
          <w:shd w:val="clear" w:color="auto" w:fill="FFFFFF"/>
        </w:rPr>
        <w:t>, </w:t>
      </w:r>
      <w:r w:rsidRPr="00A7516C">
        <w:rPr>
          <w:sz w:val="20"/>
          <w:szCs w:val="20"/>
        </w:rPr>
        <w:t>Taggart, L.</w:t>
      </w:r>
      <w:r w:rsidRPr="00A7516C">
        <w:rPr>
          <w:sz w:val="20"/>
          <w:szCs w:val="20"/>
          <w:shd w:val="clear" w:color="auto" w:fill="FFFFFF"/>
        </w:rPr>
        <w:t>, </w:t>
      </w:r>
      <w:r w:rsidRPr="00A7516C">
        <w:rPr>
          <w:sz w:val="20"/>
          <w:szCs w:val="20"/>
        </w:rPr>
        <w:t>Todd, S.</w:t>
      </w:r>
      <w:r w:rsidRPr="00A7516C">
        <w:rPr>
          <w:sz w:val="20"/>
          <w:szCs w:val="20"/>
          <w:shd w:val="clear" w:color="auto" w:fill="FFFFFF"/>
        </w:rPr>
        <w:t>, </w:t>
      </w:r>
      <w:r w:rsidRPr="00A7516C">
        <w:rPr>
          <w:sz w:val="20"/>
          <w:szCs w:val="20"/>
        </w:rPr>
        <w:t>Abbott, D.</w:t>
      </w:r>
      <w:r w:rsidRPr="00A7516C">
        <w:rPr>
          <w:sz w:val="20"/>
          <w:szCs w:val="20"/>
          <w:shd w:val="clear" w:color="auto" w:fill="FFFFFF"/>
        </w:rPr>
        <w:t>, </w:t>
      </w:r>
      <w:r w:rsidRPr="00A7516C">
        <w:rPr>
          <w:sz w:val="20"/>
          <w:szCs w:val="20"/>
        </w:rPr>
        <w:t>Beyer, S.</w:t>
      </w:r>
      <w:r w:rsidRPr="00A7516C">
        <w:rPr>
          <w:sz w:val="20"/>
          <w:szCs w:val="20"/>
          <w:shd w:val="clear" w:color="auto" w:fill="FFFFFF"/>
        </w:rPr>
        <w:t>, </w:t>
      </w:r>
      <w:r w:rsidRPr="00A7516C">
        <w:rPr>
          <w:sz w:val="20"/>
          <w:szCs w:val="20"/>
        </w:rPr>
        <w:t>Gore, N.</w:t>
      </w:r>
      <w:r w:rsidRPr="00A7516C">
        <w:rPr>
          <w:sz w:val="20"/>
          <w:szCs w:val="20"/>
          <w:shd w:val="clear" w:color="auto" w:fill="FFFFFF"/>
        </w:rPr>
        <w:t>, </w:t>
      </w:r>
      <w:r w:rsidRPr="00A7516C">
        <w:rPr>
          <w:sz w:val="20"/>
          <w:szCs w:val="20"/>
        </w:rPr>
        <w:t>Heslop, P.</w:t>
      </w:r>
      <w:r w:rsidRPr="00A7516C">
        <w:rPr>
          <w:sz w:val="20"/>
          <w:szCs w:val="20"/>
          <w:shd w:val="clear" w:color="auto" w:fill="FFFFFF"/>
        </w:rPr>
        <w:t>, </w:t>
      </w:r>
      <w:r w:rsidRPr="00A7516C">
        <w:rPr>
          <w:sz w:val="20"/>
          <w:szCs w:val="20"/>
        </w:rPr>
        <w:t>Scior, K.</w:t>
      </w:r>
      <w:r w:rsidRPr="00A7516C">
        <w:rPr>
          <w:sz w:val="20"/>
          <w:szCs w:val="20"/>
          <w:shd w:val="clear" w:color="auto" w:fill="FFFFFF"/>
        </w:rPr>
        <w:t>, and </w:t>
      </w:r>
      <w:r w:rsidRPr="00A7516C">
        <w:rPr>
          <w:sz w:val="20"/>
          <w:szCs w:val="20"/>
        </w:rPr>
        <w:t>Hastings, R. P.</w:t>
      </w:r>
      <w:r w:rsidRPr="00A7516C">
        <w:rPr>
          <w:sz w:val="20"/>
          <w:szCs w:val="20"/>
          <w:shd w:val="clear" w:color="auto" w:fill="FFFFFF"/>
        </w:rPr>
        <w:t> (</w:t>
      </w:r>
      <w:r w:rsidRPr="00A7516C">
        <w:rPr>
          <w:sz w:val="20"/>
          <w:szCs w:val="20"/>
        </w:rPr>
        <w:t>2021</w:t>
      </w:r>
      <w:r w:rsidRPr="00A7516C">
        <w:rPr>
          <w:sz w:val="20"/>
          <w:szCs w:val="20"/>
          <w:shd w:val="clear" w:color="auto" w:fill="FFFFFF"/>
        </w:rPr>
        <w:t>) </w:t>
      </w:r>
      <w:r w:rsidRPr="00A7516C">
        <w:rPr>
          <w:sz w:val="20"/>
          <w:szCs w:val="20"/>
        </w:rPr>
        <w:t>The willingness of UK adults with intellectual disabilities to take COVID-19 vaccines</w:t>
      </w:r>
      <w:r w:rsidRPr="00A7516C">
        <w:rPr>
          <w:sz w:val="20"/>
          <w:szCs w:val="20"/>
          <w:shd w:val="clear" w:color="auto" w:fill="FFFFFF"/>
        </w:rPr>
        <w:t>. Journal of Intellectual Disability Research, </w:t>
      </w:r>
      <w:r w:rsidRPr="00A7516C">
        <w:rPr>
          <w:sz w:val="20"/>
          <w:szCs w:val="20"/>
        </w:rPr>
        <w:t>65</w:t>
      </w:r>
      <w:r w:rsidRPr="00A7516C">
        <w:rPr>
          <w:sz w:val="20"/>
          <w:szCs w:val="20"/>
          <w:shd w:val="clear" w:color="auto" w:fill="FFFFFF"/>
        </w:rPr>
        <w:t>: </w:t>
      </w:r>
      <w:r w:rsidRPr="00A7516C">
        <w:rPr>
          <w:sz w:val="20"/>
          <w:szCs w:val="20"/>
        </w:rPr>
        <w:t>949</w:t>
      </w:r>
      <w:r w:rsidRPr="00A7516C">
        <w:rPr>
          <w:sz w:val="20"/>
          <w:szCs w:val="20"/>
          <w:shd w:val="clear" w:color="auto" w:fill="FFFFFF"/>
        </w:rPr>
        <w:t>– </w:t>
      </w:r>
      <w:r w:rsidRPr="00A7516C">
        <w:rPr>
          <w:sz w:val="20"/>
          <w:szCs w:val="20"/>
        </w:rPr>
        <w:t>961</w:t>
      </w:r>
      <w:r w:rsidRPr="00A7516C">
        <w:rPr>
          <w:sz w:val="20"/>
          <w:szCs w:val="20"/>
          <w:shd w:val="clear" w:color="auto" w:fill="FFFFFF"/>
        </w:rPr>
        <w:t>. </w:t>
      </w:r>
      <w:hyperlink r:id="rId10" w:history="1">
        <w:r w:rsidRPr="00A7516C">
          <w:rPr>
            <w:sz w:val="20"/>
            <w:szCs w:val="20"/>
          </w:rPr>
          <w:t>https://doi.org/10.1111/jir.12884</w:t>
        </w:r>
      </w:hyperlink>
      <w:r w:rsidRPr="00A7516C">
        <w:rPr>
          <w:shd w:val="clear" w:color="auto" w:fill="FFFFFF"/>
        </w:rPr>
        <w:t>.</w:t>
      </w:r>
    </w:p>
    <w:p w14:paraId="0DED75DC" w14:textId="77777777" w:rsidR="00A7516C" w:rsidRPr="00A7516C" w:rsidRDefault="00A7516C" w:rsidP="00A7516C">
      <w:pPr>
        <w:rPr>
          <w:rFonts w:cstheme="minorHAnsi"/>
          <w:sz w:val="20"/>
          <w:szCs w:val="20"/>
          <w:shd w:val="clear" w:color="auto" w:fill="FFFFFF"/>
        </w:rPr>
      </w:pPr>
      <w:r w:rsidRPr="00A7516C">
        <w:rPr>
          <w:sz w:val="20"/>
          <w:szCs w:val="20"/>
          <w:shd w:val="clear" w:color="auto" w:fill="FFFFFF"/>
        </w:rPr>
        <w:t>Navas, P., Amor, A. M., Crespo, M., Wolowiec, Z., &amp; Verdugo, M. Á. (2021). Supports for people with intellectual and developmental disabilities during the COVID-19 pandemic from their own perspective. </w:t>
      </w:r>
      <w:r w:rsidRPr="00A7516C">
        <w:rPr>
          <w:i/>
          <w:iCs/>
          <w:sz w:val="20"/>
          <w:szCs w:val="20"/>
          <w:shd w:val="clear" w:color="auto" w:fill="FFFFFF"/>
        </w:rPr>
        <w:t>Research in developmental disabilities</w:t>
      </w:r>
      <w:r w:rsidRPr="00A7516C">
        <w:rPr>
          <w:sz w:val="20"/>
          <w:szCs w:val="20"/>
          <w:shd w:val="clear" w:color="auto" w:fill="FFFFFF"/>
        </w:rPr>
        <w:t>, </w:t>
      </w:r>
      <w:r w:rsidRPr="00A7516C">
        <w:rPr>
          <w:i/>
          <w:iCs/>
          <w:sz w:val="20"/>
          <w:szCs w:val="20"/>
          <w:shd w:val="clear" w:color="auto" w:fill="FFFFFF"/>
        </w:rPr>
        <w:t>108</w:t>
      </w:r>
      <w:r w:rsidRPr="00A7516C">
        <w:rPr>
          <w:sz w:val="20"/>
          <w:szCs w:val="20"/>
          <w:shd w:val="clear" w:color="auto" w:fill="FFFFFF"/>
        </w:rPr>
        <w:t>, 103813. https://doi.org/10.1016/j.ridd.2020.103813</w:t>
      </w:r>
    </w:p>
    <w:p w14:paraId="69CF2E45" w14:textId="77777777" w:rsidR="00A7516C" w:rsidRPr="00A7516C" w:rsidRDefault="00A7516C" w:rsidP="00A7516C">
      <w:pPr>
        <w:rPr>
          <w:rFonts w:cstheme="minorHAnsi"/>
          <w:sz w:val="20"/>
          <w:szCs w:val="20"/>
        </w:rPr>
      </w:pPr>
      <w:r w:rsidRPr="00A7516C">
        <w:rPr>
          <w:rFonts w:cstheme="minorHAnsi"/>
          <w:sz w:val="20"/>
          <w:szCs w:val="20"/>
        </w:rPr>
        <w:t>Peart, H., Chang, S., Gooding, P., Davidson, J. and Paterson, J (2022) Strengthening Connection for People with Intellectual Disability in Emergencies: Social Media and Access to Essential Information. ACIS 2022 Proceedings. 34.https://aisel.aisnet.org/acis2022/34</w:t>
      </w:r>
    </w:p>
    <w:p w14:paraId="4DF7F446" w14:textId="4BEBAC7A" w:rsidR="00A7516C" w:rsidRPr="00A44A69" w:rsidRDefault="00A7516C" w:rsidP="005F7821">
      <w:pPr>
        <w:rPr>
          <w:rFonts w:cstheme="minorHAnsi"/>
          <w:sz w:val="20"/>
          <w:szCs w:val="20"/>
        </w:rPr>
      </w:pPr>
      <w:r w:rsidRPr="00A7516C">
        <w:rPr>
          <w:rFonts w:cstheme="minorHAnsi"/>
          <w:sz w:val="20"/>
          <w:szCs w:val="20"/>
        </w:rPr>
        <w:t>Rawlings, G. H., Gaskell, C., Rolling, K., &amp; Beail, N. (2021). Exploring how to deliver videoconference-mediated psychological therapy to adults with an intellectual disability during the coronavirus pandemic. Advances in Mental Health and Intellectual Disabilities, 15(1), 20– 32. https://doi.org/10.1108/AMHID-06-2020-0014</w:t>
      </w:r>
    </w:p>
    <w:p w14:paraId="52C9A032" w14:textId="47CB2CC9" w:rsidR="00A7516C" w:rsidRDefault="00A7516C" w:rsidP="00A7516C">
      <w:pPr>
        <w:rPr>
          <w:rFonts w:cstheme="minorHAnsi"/>
          <w:sz w:val="20"/>
          <w:szCs w:val="20"/>
        </w:rPr>
      </w:pPr>
      <w:r w:rsidRPr="00A7516C">
        <w:rPr>
          <w:rFonts w:cstheme="minorHAnsi"/>
          <w:sz w:val="20"/>
          <w:szCs w:val="20"/>
        </w:rPr>
        <w:t xml:space="preserve">United Nations (2022) </w:t>
      </w:r>
      <w:r w:rsidRPr="00A7516C">
        <w:rPr>
          <w:rFonts w:cstheme="minorHAnsi"/>
          <w:i/>
          <w:iCs/>
          <w:sz w:val="20"/>
          <w:szCs w:val="20"/>
        </w:rPr>
        <w:t>Innovation and technology advancing disability rights</w:t>
      </w:r>
      <w:r w:rsidRPr="00A7516C">
        <w:rPr>
          <w:rFonts w:cstheme="minorHAnsi"/>
          <w:sz w:val="20"/>
          <w:szCs w:val="20"/>
        </w:rPr>
        <w:t xml:space="preserve">. Conference of States Parties to the Convention on the Rights of Persons with Disabilities (15th : 2022 : New York) https ://digitallibrary.un.org/record/3969923 Accessed 4 August 2022 </w:t>
      </w:r>
    </w:p>
    <w:p w14:paraId="5881F801" w14:textId="560530D0" w:rsidR="00413A2E" w:rsidRPr="00A7516C" w:rsidRDefault="00413A2E" w:rsidP="00A7516C">
      <w:pPr>
        <w:rPr>
          <w:rFonts w:cstheme="minorHAnsi"/>
          <w:sz w:val="20"/>
          <w:szCs w:val="20"/>
        </w:rPr>
      </w:pPr>
      <w:r w:rsidRPr="00413A2E">
        <w:rPr>
          <w:rFonts w:cstheme="minorHAnsi"/>
          <w:sz w:val="20"/>
          <w:szCs w:val="20"/>
        </w:rPr>
        <w:t>United Nations Convention on the Rights of Persons with Disabilities (2007) Article 21 – Freedom of expression and opinion, and access to information</w:t>
      </w:r>
      <w:r>
        <w:rPr>
          <w:rFonts w:cstheme="minorHAnsi"/>
          <w:sz w:val="20"/>
          <w:szCs w:val="20"/>
        </w:rPr>
        <w:t xml:space="preserve">. </w:t>
      </w:r>
      <w:r w:rsidR="00F6563E" w:rsidRPr="00B0342B">
        <w:rPr>
          <w:rFonts w:cstheme="minorHAnsi"/>
          <w:sz w:val="20"/>
          <w:szCs w:val="20"/>
        </w:rPr>
        <w:t>https://www.un.org/development/desa/disabilities/convention-on-the-rights-of-persons-with-disabilities/article-21-freedom-of-expression-and-opinion-and-access-to-information.html</w:t>
      </w:r>
      <w:r w:rsidR="00F6563E">
        <w:rPr>
          <w:rFonts w:cstheme="minorHAnsi"/>
          <w:sz w:val="20"/>
          <w:szCs w:val="20"/>
        </w:rPr>
        <w:t xml:space="preserve"> </w:t>
      </w:r>
    </w:p>
    <w:p w14:paraId="1C138019" w14:textId="77777777" w:rsidR="00A7516C" w:rsidRPr="00A7516C" w:rsidRDefault="00A7516C" w:rsidP="00A7516C">
      <w:pPr>
        <w:rPr>
          <w:rFonts w:cstheme="minorHAnsi"/>
          <w:sz w:val="20"/>
          <w:szCs w:val="20"/>
        </w:rPr>
      </w:pPr>
      <w:r w:rsidRPr="00A7516C">
        <w:rPr>
          <w:rFonts w:cstheme="minorHAnsi"/>
          <w:sz w:val="20"/>
          <w:szCs w:val="20"/>
        </w:rPr>
        <w:t>Villeneuve, M. (2021) Building a roadmap for inclusive disaster risk reduction in Australian</w:t>
      </w:r>
      <w:r w:rsidRPr="00A7516C">
        <w:rPr>
          <w:rFonts w:cstheme="minorHAnsi"/>
          <w:b/>
          <w:bCs/>
          <w:sz w:val="20"/>
          <w:szCs w:val="20"/>
        </w:rPr>
        <w:t xml:space="preserve"> </w:t>
      </w:r>
      <w:r w:rsidRPr="00A7516C">
        <w:rPr>
          <w:rFonts w:cstheme="minorHAnsi"/>
          <w:sz w:val="20"/>
          <w:szCs w:val="20"/>
        </w:rPr>
        <w:t xml:space="preserve">communities. </w:t>
      </w:r>
      <w:r w:rsidRPr="00A7516C">
        <w:rPr>
          <w:rFonts w:cstheme="minorHAnsi"/>
          <w:i/>
          <w:iCs/>
          <w:sz w:val="20"/>
          <w:szCs w:val="20"/>
        </w:rPr>
        <w:t>Progress in Disaster Science.</w:t>
      </w:r>
      <w:r w:rsidRPr="00A7516C">
        <w:rPr>
          <w:rFonts w:cstheme="minorHAnsi"/>
          <w:sz w:val="20"/>
          <w:szCs w:val="20"/>
        </w:rPr>
        <w:t xml:space="preserve"> 10  </w:t>
      </w:r>
    </w:p>
    <w:sectPr w:rsidR="00A7516C" w:rsidRPr="00A7516C" w:rsidSect="00B2420F">
      <w:endnotePr>
        <w:numFmt w:val="decimal"/>
      </w:endnotePr>
      <w:pgSz w:w="11906" w:h="16838"/>
      <w:pgMar w:top="851" w:right="99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A9B7" w14:textId="77777777" w:rsidR="00F3563D" w:rsidRDefault="00F3563D" w:rsidP="00C400FE">
      <w:pPr>
        <w:spacing w:after="0" w:line="240" w:lineRule="auto"/>
      </w:pPr>
      <w:r>
        <w:separator/>
      </w:r>
    </w:p>
  </w:endnote>
  <w:endnote w:type="continuationSeparator" w:id="0">
    <w:p w14:paraId="570F5030" w14:textId="77777777" w:rsidR="00F3563D" w:rsidRDefault="00F3563D" w:rsidP="00C400FE">
      <w:pPr>
        <w:spacing w:after="0" w:line="240" w:lineRule="auto"/>
      </w:pPr>
      <w:r>
        <w:continuationSeparator/>
      </w:r>
    </w:p>
  </w:endnote>
  <w:endnote w:id="1">
    <w:p w14:paraId="1E261B06" w14:textId="4A08E37C" w:rsidR="00FF43C7" w:rsidRDefault="00FF43C7" w:rsidP="00B37D68">
      <w:pPr>
        <w:pStyle w:val="NoSpacing"/>
      </w:pPr>
      <w:r>
        <w:rPr>
          <w:rStyle w:val="EndnoteReference"/>
        </w:rPr>
        <w:endnoteRef/>
      </w:r>
      <w:r>
        <w:t xml:space="preserve"> </w:t>
      </w:r>
      <w:r w:rsidR="00B37D68" w:rsidRPr="00B37D68">
        <w:t>Dr Piers Gooding is a Senior Research Fellow at the Melbourne Law School, His work focuses on the law and politics of disability, and particularly mental health, with an interest in algorithmic and data-driven technology.</w:t>
      </w:r>
    </w:p>
  </w:endnote>
  <w:endnote w:id="2">
    <w:p w14:paraId="44090F79" w14:textId="1F9A9256" w:rsidR="00B37D68" w:rsidRDefault="00B37D68" w:rsidP="00B37D68">
      <w:pPr>
        <w:pStyle w:val="NoSpacing"/>
      </w:pPr>
      <w:r>
        <w:rPr>
          <w:rStyle w:val="EndnoteReference"/>
        </w:rPr>
        <w:endnoteRef/>
      </w:r>
      <w:r>
        <w:t xml:space="preserve"> </w:t>
      </w:r>
      <w:r w:rsidRPr="00B37D68">
        <w:t xml:space="preserve">Professor Shanton Chang is a research and teaching academic in the School of Computing and Information Systems, University of Melbourne. His work focuses on information security, and information behaviours from a social-technical perspective with a focus on health, business and educational </w:t>
      </w:r>
      <w:proofErr w:type="gramStart"/>
      <w:r w:rsidRPr="00B37D68">
        <w:t>contexts</w:t>
      </w:r>
      <w:proofErr w:type="gramEnd"/>
    </w:p>
  </w:endnote>
  <w:endnote w:id="3">
    <w:p w14:paraId="2060508E" w14:textId="21AC9AA7" w:rsidR="008035F3" w:rsidRDefault="008035F3" w:rsidP="008035F3">
      <w:pPr>
        <w:pStyle w:val="NoSpacing"/>
      </w:pPr>
      <w:r>
        <w:rPr>
          <w:rStyle w:val="EndnoteReference"/>
        </w:rPr>
        <w:endnoteRef/>
      </w:r>
      <w:r>
        <w:t xml:space="preserve"> </w:t>
      </w:r>
      <w:r w:rsidRPr="008035F3">
        <w:t>Dr Jennifer Davidson is a research and teaching academic with the school of Social Work, University of Melbourne. Her work is focused on how individuals and families can be supported to navigate and make decisions in complex service systems, in the context of social work, health, law and disability.</w:t>
      </w:r>
    </w:p>
  </w:endnote>
  <w:endnote w:id="4">
    <w:p w14:paraId="5162BE22" w14:textId="0AE3F7AE" w:rsidR="002129EE" w:rsidRDefault="002129EE" w:rsidP="00030308">
      <w:pPr>
        <w:pStyle w:val="NoSpacing"/>
      </w:pPr>
      <w:r>
        <w:rPr>
          <w:rStyle w:val="EndnoteReference"/>
        </w:rPr>
        <w:endnoteRef/>
      </w:r>
      <w:r>
        <w:t xml:space="preserve"> </w:t>
      </w:r>
      <w:proofErr w:type="gramStart"/>
      <w:r w:rsidRPr="002129EE">
        <w:t>Professor Jeannie Marie Paterson,</w:t>
      </w:r>
      <w:proofErr w:type="gramEnd"/>
      <w:r w:rsidRPr="002129EE">
        <w:t xml:space="preserve"> </w:t>
      </w:r>
      <w:r w:rsidR="00030308">
        <w:t xml:space="preserve">is </w:t>
      </w:r>
      <w:r w:rsidRPr="002129EE">
        <w:t xml:space="preserve">a research and teaching academic and the co-director of the Centre for AI and Digital Ethics, a collaborative research, teaching and policy centre. Her work is focused on consumer protection and consumer credit law, data privacy, and the regulation of emerging technologies, </w:t>
      </w:r>
      <w:proofErr w:type="gramStart"/>
      <w:r w:rsidRPr="002129EE">
        <w:t>AI</w:t>
      </w:r>
      <w:proofErr w:type="gramEnd"/>
      <w:r w:rsidRPr="002129EE">
        <w:t xml:space="preserve"> and robotics.</w:t>
      </w:r>
    </w:p>
  </w:endnote>
  <w:endnote w:id="5">
    <w:p w14:paraId="0524F217" w14:textId="42322C56" w:rsidR="002E03A3" w:rsidRPr="00026292" w:rsidRDefault="002E03A3" w:rsidP="00B0342B">
      <w:pPr>
        <w:pStyle w:val="NoSpacing"/>
        <w:rPr>
          <w:rFonts w:cstheme="minorHAnsi"/>
        </w:rPr>
      </w:pPr>
      <w:r w:rsidRPr="00026292">
        <w:rPr>
          <w:rStyle w:val="EndnoteReference"/>
          <w:szCs w:val="16"/>
        </w:rPr>
        <w:endnoteRef/>
      </w:r>
      <w:r w:rsidRPr="00026292">
        <w:t xml:space="preserve"> </w:t>
      </w:r>
      <w:r w:rsidRPr="00026292">
        <w:rPr>
          <w:rFonts w:cstheme="minorHAnsi"/>
        </w:rPr>
        <w:t xml:space="preserve">Peart, H., Chang, S., Gooding, P., Davidson, J. and Paterson, J (2022) Strengthening Connection for People with Intellectual Disability in Emergencies: </w:t>
      </w:r>
      <w:proofErr w:type="gramStart"/>
      <w:r w:rsidRPr="00026292">
        <w:rPr>
          <w:rFonts w:cstheme="minorHAnsi"/>
        </w:rPr>
        <w:t>Social Media</w:t>
      </w:r>
      <w:proofErr w:type="gramEnd"/>
      <w:r w:rsidRPr="00026292">
        <w:rPr>
          <w:rFonts w:cstheme="minorHAnsi"/>
        </w:rPr>
        <w:t xml:space="preserve"> and Access to Essential Information. ACIS 2022 Proceedings. 34.https://aisel.aisnet.org/acis2022/34</w:t>
      </w:r>
    </w:p>
  </w:endnote>
  <w:endnote w:id="6">
    <w:p w14:paraId="64966AE9" w14:textId="33D045C5" w:rsidR="00C400FE" w:rsidRPr="00026292" w:rsidRDefault="00C400FE" w:rsidP="00B0342B">
      <w:pPr>
        <w:pStyle w:val="NoSpacing"/>
        <w:rPr>
          <w:rFonts w:cstheme="minorHAnsi"/>
        </w:rPr>
      </w:pPr>
      <w:r w:rsidRPr="00026292">
        <w:rPr>
          <w:rStyle w:val="EndnoteReference"/>
          <w:szCs w:val="16"/>
        </w:rPr>
        <w:endnoteRef/>
      </w:r>
      <w:r w:rsidRPr="00026292">
        <w:t xml:space="preserve"> </w:t>
      </w:r>
      <w:r w:rsidRPr="00026292">
        <w:rPr>
          <w:rFonts w:cstheme="minorHAnsi"/>
        </w:rPr>
        <w:t xml:space="preserve">People first of Canada (2020) Editorial: Living with care, </w:t>
      </w:r>
      <w:proofErr w:type="gramStart"/>
      <w:r w:rsidRPr="00026292">
        <w:rPr>
          <w:rFonts w:cstheme="minorHAnsi"/>
        </w:rPr>
        <w:t>support</w:t>
      </w:r>
      <w:proofErr w:type="gramEnd"/>
      <w:r w:rsidRPr="00026292">
        <w:rPr>
          <w:rFonts w:cstheme="minorHAnsi"/>
        </w:rPr>
        <w:t xml:space="preserve"> and an intellectual disability during COVID-19. </w:t>
      </w:r>
      <w:r w:rsidRPr="00B0342B">
        <w:rPr>
          <w:rFonts w:cstheme="minorHAnsi"/>
          <w:szCs w:val="16"/>
        </w:rPr>
        <w:t>https://www.peoplefirstofcanada.ca/news/</w:t>
      </w:r>
      <w:r w:rsidRPr="00026292">
        <w:rPr>
          <w:rFonts w:cstheme="minorHAnsi"/>
        </w:rPr>
        <w:t xml:space="preserve"> </w:t>
      </w:r>
    </w:p>
  </w:endnote>
  <w:endnote w:id="7">
    <w:p w14:paraId="31DCB2D4" w14:textId="4B323CE8" w:rsidR="00DB0111" w:rsidRPr="00026292" w:rsidRDefault="00DB0111" w:rsidP="00B0342B">
      <w:pPr>
        <w:pStyle w:val="NoSpacing"/>
        <w:rPr>
          <w:rFonts w:cstheme="minorHAnsi"/>
        </w:rPr>
      </w:pPr>
      <w:r w:rsidRPr="00026292">
        <w:rPr>
          <w:rStyle w:val="EndnoteReference"/>
          <w:szCs w:val="16"/>
        </w:rPr>
        <w:endnoteRef/>
      </w:r>
      <w:r w:rsidRPr="00026292">
        <w:t xml:space="preserve"> </w:t>
      </w:r>
      <w:r w:rsidRPr="00026292">
        <w:rPr>
          <w:rFonts w:cstheme="minorHAnsi"/>
        </w:rPr>
        <w:t xml:space="preserve">Stough, L. (2015). World Report on Disability, Intellectual Disabilities, and Disaster Preparedness: Costa Rica as a Case Example. </w:t>
      </w:r>
      <w:r w:rsidRPr="00026292">
        <w:rPr>
          <w:rFonts w:cstheme="minorHAnsi"/>
          <w:i/>
          <w:iCs/>
        </w:rPr>
        <w:t>Journal of Policy and Practice in Intellectual Disabilities.</w:t>
      </w:r>
      <w:r w:rsidRPr="00026292">
        <w:rPr>
          <w:rFonts w:cstheme="minorHAnsi"/>
        </w:rPr>
        <w:t xml:space="preserve"> 12. </w:t>
      </w:r>
    </w:p>
  </w:endnote>
  <w:endnote w:id="8">
    <w:p w14:paraId="1449D755" w14:textId="6141DD8C" w:rsidR="008C64FD" w:rsidRPr="00026292" w:rsidRDefault="008C64FD" w:rsidP="00B0342B">
      <w:pPr>
        <w:pStyle w:val="NoSpacing"/>
        <w:rPr>
          <w:rFonts w:cstheme="minorHAnsi"/>
        </w:rPr>
      </w:pPr>
      <w:r w:rsidRPr="00026292">
        <w:rPr>
          <w:rStyle w:val="EndnoteReference"/>
          <w:szCs w:val="16"/>
        </w:rPr>
        <w:endnoteRef/>
      </w:r>
      <w:r w:rsidRPr="00026292">
        <w:t xml:space="preserve"> </w:t>
      </w:r>
      <w:r w:rsidR="00DD5211" w:rsidRPr="00026292">
        <w:rPr>
          <w:rFonts w:cstheme="minorHAnsi"/>
        </w:rPr>
        <w:t xml:space="preserve">Barden, O., Be, A., Pritchard, E., Waite, L. (2022) Disability and Social Inclusion: Lessons from the Pandemic. </w:t>
      </w:r>
      <w:r w:rsidR="00DD5211" w:rsidRPr="00026292">
        <w:rPr>
          <w:rFonts w:cstheme="minorHAnsi"/>
          <w:i/>
          <w:iCs/>
        </w:rPr>
        <w:t>Social Inclusion</w:t>
      </w:r>
      <w:r w:rsidR="00DD5211" w:rsidRPr="00026292">
        <w:rPr>
          <w:rFonts w:cstheme="minorHAnsi"/>
        </w:rPr>
        <w:t>. 11 (1)</w:t>
      </w:r>
    </w:p>
  </w:endnote>
  <w:endnote w:id="9">
    <w:p w14:paraId="440A2667" w14:textId="2CFB9B05" w:rsidR="00D754D6" w:rsidRPr="00F6563E" w:rsidRDefault="00D754D6" w:rsidP="00B0342B">
      <w:pPr>
        <w:pStyle w:val="NoSpacing"/>
        <w:rPr>
          <w:rFonts w:cstheme="minorHAnsi"/>
          <w:sz w:val="20"/>
          <w:szCs w:val="20"/>
        </w:rPr>
      </w:pPr>
      <w:r w:rsidRPr="00026292">
        <w:rPr>
          <w:rStyle w:val="EndnoteReference"/>
          <w:szCs w:val="16"/>
        </w:rPr>
        <w:endnoteRef/>
      </w:r>
      <w:r w:rsidRPr="00026292">
        <w:t xml:space="preserve"> </w:t>
      </w:r>
      <w:r w:rsidR="00F6563E" w:rsidRPr="00F6563E">
        <w:rPr>
          <w:rFonts w:cstheme="minorHAnsi"/>
        </w:rPr>
        <w:t xml:space="preserve">United Nations Convention on the Rights of Persons with Disabilities (2007) </w:t>
      </w:r>
      <w:r w:rsidR="00F6563E" w:rsidRPr="00413A2E">
        <w:rPr>
          <w:rFonts w:cstheme="minorHAnsi"/>
        </w:rPr>
        <w:t>Article 21 – Freedom of expression and opinion, and access to information</w:t>
      </w:r>
      <w:r w:rsidR="00F6563E" w:rsidRPr="00F6563E">
        <w:rPr>
          <w:rFonts w:cstheme="minorHAnsi"/>
        </w:rPr>
        <w:t xml:space="preserve">. </w:t>
      </w:r>
      <w:r w:rsidR="00F6563E" w:rsidRPr="00B0342B">
        <w:rPr>
          <w:rFonts w:cstheme="minorHAnsi"/>
          <w:szCs w:val="16"/>
        </w:rPr>
        <w:t>https://www.un.org/development/desa/disabilities/convention-on-the-rights-of-persons-with-disabilities/article-21-freedom-of-expression-and-opinion-and-access-to-information.html</w:t>
      </w:r>
      <w:r w:rsidR="00F6563E" w:rsidRPr="00F6563E">
        <w:rPr>
          <w:rFonts w:cstheme="minorHAnsi"/>
        </w:rPr>
        <w:t xml:space="preserve"> </w:t>
      </w:r>
    </w:p>
  </w:endnote>
  <w:endnote w:id="10">
    <w:p w14:paraId="5F7AE326" w14:textId="77969A0F" w:rsidR="00DD5211" w:rsidRPr="00026292" w:rsidRDefault="00E00C1E" w:rsidP="00B0342B">
      <w:pPr>
        <w:pStyle w:val="NoSpacing"/>
        <w:rPr>
          <w:rFonts w:cstheme="minorHAnsi"/>
        </w:rPr>
      </w:pPr>
      <w:r w:rsidRPr="00026292">
        <w:rPr>
          <w:rStyle w:val="EndnoteReference"/>
          <w:szCs w:val="16"/>
        </w:rPr>
        <w:endnoteRef/>
      </w:r>
      <w:r w:rsidRPr="00026292">
        <w:t xml:space="preserve"> </w:t>
      </w:r>
      <w:r w:rsidR="00DD5211" w:rsidRPr="00026292">
        <w:rPr>
          <w:rFonts w:cstheme="minorHAnsi"/>
        </w:rPr>
        <w:t xml:space="preserve">Chadwick, D., Ågren, K. A., Caton, S., Chiner, E., Danker, J., Gómez-Puerta, M., Heitplatz, V., Johansson, S., Normand, C. L., Murphy, E., Plichta, P., Strnadová, I., &amp; Wallén, E. F. (2022). Digital inclusion and participation of people with intellectual disabilities during COVID-19: A rapid review and international bricolage. </w:t>
      </w:r>
      <w:r w:rsidR="00DD5211" w:rsidRPr="00026292">
        <w:rPr>
          <w:rFonts w:cstheme="minorHAnsi"/>
          <w:i/>
          <w:iCs/>
        </w:rPr>
        <w:t>Journal of Policy and Practice in Intellectual Disabilities</w:t>
      </w:r>
      <w:r w:rsidR="00DD5211" w:rsidRPr="00026292">
        <w:rPr>
          <w:rFonts w:cstheme="minorHAnsi"/>
        </w:rPr>
        <w:t xml:space="preserve">. 19 (3), 242– 256. </w:t>
      </w:r>
    </w:p>
    <w:p w14:paraId="0A572AA2" w14:textId="709791F1" w:rsidR="00E00C1E" w:rsidRPr="00026292" w:rsidRDefault="005C2487" w:rsidP="00B0342B">
      <w:pPr>
        <w:pStyle w:val="NoSpacing"/>
        <w:rPr>
          <w:rFonts w:cstheme="minorHAnsi"/>
        </w:rPr>
      </w:pPr>
      <w:r w:rsidRPr="00026292">
        <w:rPr>
          <w:rFonts w:cstheme="minorHAnsi"/>
        </w:rPr>
        <w:t xml:space="preserve">Doody, O., &amp; Keenan, P. M. (2021). </w:t>
      </w:r>
      <w:bookmarkStart w:id="1" w:name="_Hlk126590169"/>
      <w:r w:rsidRPr="00026292">
        <w:rPr>
          <w:rFonts w:cstheme="minorHAnsi"/>
        </w:rPr>
        <w:t>The reported effects of the COVID-19 pandemic on people with intellectual disability and their carers: a scoping review</w:t>
      </w:r>
      <w:bookmarkEnd w:id="1"/>
      <w:r w:rsidRPr="00026292">
        <w:rPr>
          <w:rFonts w:cstheme="minorHAnsi"/>
        </w:rPr>
        <w:t>. Annals of medicine, 53(1), 786–804.</w:t>
      </w:r>
    </w:p>
  </w:endnote>
  <w:endnote w:id="11">
    <w:p w14:paraId="304DCA3B" w14:textId="58A314F6" w:rsidR="00EB757F" w:rsidRPr="00026292" w:rsidRDefault="00EB757F" w:rsidP="00B0342B">
      <w:pPr>
        <w:pStyle w:val="NoSpacing"/>
      </w:pPr>
      <w:r w:rsidRPr="00026292">
        <w:rPr>
          <w:rStyle w:val="EndnoteReference"/>
          <w:szCs w:val="16"/>
        </w:rPr>
        <w:endnoteRef/>
      </w:r>
      <w:r w:rsidRPr="00026292">
        <w:t xml:space="preserve"> Chadwick et al </w:t>
      </w:r>
      <w:r w:rsidR="000F571D" w:rsidRPr="00026292">
        <w:t>‘Digital inclusion</w:t>
      </w:r>
      <w:r w:rsidR="00EB5687" w:rsidRPr="00026292">
        <w:t xml:space="preserve">’ </w:t>
      </w:r>
    </w:p>
  </w:endnote>
  <w:endnote w:id="12">
    <w:p w14:paraId="16650FC5" w14:textId="7AC111DB" w:rsidR="00C54CC3" w:rsidRPr="00026292" w:rsidRDefault="00C54CC3" w:rsidP="00B0342B">
      <w:pPr>
        <w:pStyle w:val="NoSpacing"/>
      </w:pPr>
      <w:r w:rsidRPr="00026292">
        <w:rPr>
          <w:rStyle w:val="EndnoteReference"/>
          <w:szCs w:val="16"/>
        </w:rPr>
        <w:endnoteRef/>
      </w:r>
      <w:r w:rsidRPr="00026292">
        <w:t xml:space="preserve"> </w:t>
      </w:r>
      <w:r w:rsidR="000F571D" w:rsidRPr="00026292">
        <w:t>Chadwick et al ‘Digital inclusion</w:t>
      </w:r>
      <w:r w:rsidR="00EB5687" w:rsidRPr="00026292">
        <w:t>’</w:t>
      </w:r>
      <w:r w:rsidR="000F571D" w:rsidRPr="00026292">
        <w:t xml:space="preserve">; </w:t>
      </w:r>
      <w:r w:rsidRPr="00026292">
        <w:t xml:space="preserve">Doody &amp; Keenan </w:t>
      </w:r>
      <w:r w:rsidR="000F571D" w:rsidRPr="00026292">
        <w:t>‘The reported effects</w:t>
      </w:r>
      <w:r w:rsidR="00EB5687" w:rsidRPr="00026292">
        <w:t xml:space="preserve">’ </w:t>
      </w:r>
    </w:p>
  </w:endnote>
  <w:endnote w:id="13">
    <w:p w14:paraId="6BBDDCFC" w14:textId="1D944635" w:rsidR="00904730" w:rsidRPr="00026292" w:rsidRDefault="00904730" w:rsidP="00B0342B">
      <w:pPr>
        <w:pStyle w:val="NoSpacing"/>
      </w:pPr>
      <w:r w:rsidRPr="00026292">
        <w:rPr>
          <w:rStyle w:val="EndnoteReference"/>
          <w:szCs w:val="16"/>
        </w:rPr>
        <w:endnoteRef/>
      </w:r>
      <w:r w:rsidRPr="00026292">
        <w:t xml:space="preserve"> </w:t>
      </w:r>
      <w:r w:rsidR="000F571D" w:rsidRPr="00026292">
        <w:t>Chadwick et al ‘Digital inclusion</w:t>
      </w:r>
      <w:r w:rsidR="00EB5687" w:rsidRPr="00026292">
        <w:t>’</w:t>
      </w:r>
      <w:r w:rsidR="000F571D" w:rsidRPr="00026292">
        <w:t>; Doody &amp; Keenan ‘The reported effects</w:t>
      </w:r>
      <w:r w:rsidR="00EB5687" w:rsidRPr="00026292">
        <w:t xml:space="preserve">’ </w:t>
      </w:r>
    </w:p>
  </w:endnote>
  <w:endnote w:id="14">
    <w:p w14:paraId="7F630DBF" w14:textId="4EF4D3F7" w:rsidR="00DC35AF" w:rsidRPr="00026292" w:rsidRDefault="00DC35AF" w:rsidP="00B0342B">
      <w:pPr>
        <w:pStyle w:val="NoSpacing"/>
        <w:rPr>
          <w:rFonts w:cstheme="minorHAnsi"/>
        </w:rPr>
      </w:pPr>
      <w:r w:rsidRPr="00026292">
        <w:rPr>
          <w:rStyle w:val="EndnoteReference"/>
          <w:szCs w:val="16"/>
        </w:rPr>
        <w:endnoteRef/>
      </w:r>
      <w:r w:rsidRPr="00026292">
        <w:t xml:space="preserve"> </w:t>
      </w:r>
      <w:r w:rsidR="006F7D0E" w:rsidRPr="00026292">
        <w:rPr>
          <w:rFonts w:cstheme="minorHAnsi"/>
        </w:rPr>
        <w:t>Villeneuve, M. (2021) Building a roadmap for inclusive disaster risk reduction in Australian</w:t>
      </w:r>
      <w:r w:rsidR="006F7D0E" w:rsidRPr="00026292">
        <w:rPr>
          <w:rFonts w:cstheme="minorHAnsi"/>
          <w:b/>
          <w:bCs/>
        </w:rPr>
        <w:t xml:space="preserve"> </w:t>
      </w:r>
      <w:r w:rsidR="006F7D0E" w:rsidRPr="00026292">
        <w:rPr>
          <w:rFonts w:cstheme="minorHAnsi"/>
        </w:rPr>
        <w:t xml:space="preserve">communities. </w:t>
      </w:r>
      <w:r w:rsidR="006F7D0E" w:rsidRPr="00026292">
        <w:rPr>
          <w:rFonts w:cstheme="minorHAnsi"/>
          <w:i/>
          <w:iCs/>
        </w:rPr>
        <w:t>Progress in Disaster Science.</w:t>
      </w:r>
      <w:r w:rsidR="006F7D0E" w:rsidRPr="00026292">
        <w:rPr>
          <w:rFonts w:cstheme="minorHAnsi"/>
        </w:rPr>
        <w:t xml:space="preserve"> 10  </w:t>
      </w:r>
    </w:p>
  </w:endnote>
  <w:endnote w:id="15">
    <w:p w14:paraId="7B1E2F9C" w14:textId="06724127" w:rsidR="00483B64" w:rsidRPr="00026292" w:rsidRDefault="00483B64" w:rsidP="00B0342B">
      <w:pPr>
        <w:pStyle w:val="NoSpacing"/>
        <w:rPr>
          <w:rFonts w:cstheme="minorHAnsi"/>
        </w:rPr>
      </w:pPr>
      <w:r w:rsidRPr="00026292">
        <w:rPr>
          <w:rStyle w:val="EndnoteReference"/>
          <w:szCs w:val="16"/>
        </w:rPr>
        <w:endnoteRef/>
      </w:r>
      <w:r w:rsidRPr="00026292">
        <w:t xml:space="preserve"> </w:t>
      </w:r>
      <w:r w:rsidR="006F7D0E" w:rsidRPr="00026292">
        <w:rPr>
          <w:rFonts w:cstheme="minorHAnsi"/>
        </w:rPr>
        <w:t xml:space="preserve">Council for Intellectual Disability (2020) CID consultations with people with intellectual disability on Australian </w:t>
      </w:r>
      <w:r w:rsidR="002F3418" w:rsidRPr="00026292">
        <w:rPr>
          <w:rFonts w:cstheme="minorHAnsi"/>
        </w:rPr>
        <w:t>Government’s</w:t>
      </w:r>
      <w:r w:rsidR="006F7D0E" w:rsidRPr="00026292">
        <w:rPr>
          <w:rFonts w:cstheme="minorHAnsi"/>
        </w:rPr>
        <w:t xml:space="preserve"> response to Coronavirus (COVID-19). </w:t>
      </w:r>
    </w:p>
  </w:endnote>
  <w:endnote w:id="16">
    <w:p w14:paraId="3C04FBF6" w14:textId="43B51CF6" w:rsidR="00CE287C" w:rsidRPr="00026292" w:rsidRDefault="00CE287C" w:rsidP="00B0342B">
      <w:pPr>
        <w:pStyle w:val="NoSpacing"/>
        <w:rPr>
          <w:rFonts w:cstheme="minorHAnsi"/>
        </w:rPr>
      </w:pPr>
      <w:r w:rsidRPr="00026292">
        <w:rPr>
          <w:rStyle w:val="EndnoteReference"/>
          <w:szCs w:val="16"/>
        </w:rPr>
        <w:endnoteRef/>
      </w:r>
      <w:r w:rsidRPr="00026292">
        <w:t xml:space="preserve"> </w:t>
      </w:r>
      <w:r w:rsidR="00BF1696" w:rsidRPr="00026292">
        <w:rPr>
          <w:rFonts w:cstheme="minorHAnsi"/>
        </w:rPr>
        <w:t xml:space="preserve">Caton, S., Hatton, C., Gillooly, A., Oloidi, E., Clarke, L., Bradshaw, J., Flynn, S., Taggart, L., Mulhall, P., Jahoda, A., Maguire, R., Marriott, A., Todd, S., Abbott, D., Beyer, S., Gore, N., Heslop, P., Scior, K., &amp; Hastings, R. (2022). Online social connections and Internet use among people with intellectual disabilities in the United Kingdom during the COVID-19 pandemic. </w:t>
      </w:r>
      <w:r w:rsidR="00BF1696" w:rsidRPr="00026292">
        <w:rPr>
          <w:rFonts w:cstheme="minorHAnsi"/>
          <w:i/>
          <w:iCs/>
        </w:rPr>
        <w:t>New Media &amp; Society.</w:t>
      </w:r>
      <w:r w:rsidR="00BF1696" w:rsidRPr="00026292">
        <w:rPr>
          <w:rFonts w:cstheme="minorHAnsi"/>
        </w:rPr>
        <w:t xml:space="preserve"> Advance online publication.</w:t>
      </w:r>
    </w:p>
  </w:endnote>
  <w:endnote w:id="17">
    <w:p w14:paraId="33E18CEC" w14:textId="3784498D" w:rsidR="00AF071F" w:rsidRPr="00026292" w:rsidRDefault="00AF071F" w:rsidP="00B0342B">
      <w:pPr>
        <w:pStyle w:val="NoSpacing"/>
        <w:rPr>
          <w:rFonts w:cstheme="minorHAnsi"/>
        </w:rPr>
      </w:pPr>
      <w:r w:rsidRPr="00026292">
        <w:rPr>
          <w:rStyle w:val="EndnoteReference"/>
          <w:szCs w:val="16"/>
        </w:rPr>
        <w:endnoteRef/>
      </w:r>
      <w:r w:rsidRPr="00026292">
        <w:t xml:space="preserve"> </w:t>
      </w:r>
      <w:r w:rsidR="006F7D0E" w:rsidRPr="00026292">
        <w:rPr>
          <w:rFonts w:cstheme="minorHAnsi"/>
        </w:rPr>
        <w:t xml:space="preserve">Caton, S. &amp; Chapman, M. (2016) The use of social media and people with intellectual disability: A systematic review and thematic analysis. </w:t>
      </w:r>
      <w:r w:rsidR="006F7D0E" w:rsidRPr="00026292">
        <w:rPr>
          <w:rFonts w:cstheme="minorHAnsi"/>
          <w:i/>
          <w:iCs/>
        </w:rPr>
        <w:t>Journal of Intellectual &amp; Developmental Disability.</w:t>
      </w:r>
      <w:r w:rsidR="006F7D0E" w:rsidRPr="00026292">
        <w:rPr>
          <w:rFonts w:cstheme="minorHAnsi"/>
        </w:rPr>
        <w:t xml:space="preserve"> 41 (2) 125-139. </w:t>
      </w:r>
    </w:p>
  </w:endnote>
  <w:endnote w:id="18">
    <w:p w14:paraId="6C1446AF" w14:textId="55249AC3" w:rsidR="00ED5885" w:rsidRPr="00026292" w:rsidRDefault="00ED5885" w:rsidP="00B0342B">
      <w:pPr>
        <w:pStyle w:val="NoSpacing"/>
      </w:pPr>
      <w:r w:rsidRPr="00026292">
        <w:rPr>
          <w:rStyle w:val="EndnoteReference"/>
          <w:szCs w:val="16"/>
        </w:rPr>
        <w:endnoteRef/>
      </w:r>
      <w:r w:rsidRPr="00026292">
        <w:t xml:space="preserve"> Peart, et al, </w:t>
      </w:r>
      <w:r w:rsidR="006F7D0E" w:rsidRPr="00026292">
        <w:t>‘</w:t>
      </w:r>
      <w:r w:rsidR="006F7D0E" w:rsidRPr="00026292">
        <w:rPr>
          <w:rFonts w:cstheme="minorHAnsi"/>
        </w:rPr>
        <w:t xml:space="preserve">Strengthening </w:t>
      </w:r>
      <w:proofErr w:type="gramStart"/>
      <w:r w:rsidR="006F7D0E" w:rsidRPr="00026292">
        <w:rPr>
          <w:rFonts w:cstheme="minorHAnsi"/>
        </w:rPr>
        <w:t>Connection</w:t>
      </w:r>
      <w:r w:rsidR="00EB5687" w:rsidRPr="00026292">
        <w:rPr>
          <w:rFonts w:cstheme="minorHAnsi"/>
        </w:rPr>
        <w:t>’</w:t>
      </w:r>
      <w:proofErr w:type="gramEnd"/>
      <w:r w:rsidR="00EB5687" w:rsidRPr="00026292">
        <w:rPr>
          <w:rFonts w:cstheme="minorHAnsi"/>
        </w:rPr>
        <w:t xml:space="preserve"> </w:t>
      </w:r>
    </w:p>
  </w:endnote>
  <w:endnote w:id="19">
    <w:p w14:paraId="14C9A6C5" w14:textId="77777777" w:rsidR="00C36E10" w:rsidRPr="00026292" w:rsidRDefault="003547F6" w:rsidP="00B0342B">
      <w:pPr>
        <w:pStyle w:val="NoSpacing"/>
        <w:rPr>
          <w:rFonts w:cstheme="minorHAnsi"/>
        </w:rPr>
      </w:pPr>
      <w:r w:rsidRPr="00026292">
        <w:rPr>
          <w:rStyle w:val="EndnoteReference"/>
          <w:szCs w:val="16"/>
        </w:rPr>
        <w:endnoteRef/>
      </w:r>
      <w:r w:rsidRPr="00026292">
        <w:t xml:space="preserve"> </w:t>
      </w:r>
      <w:r w:rsidR="00D55363" w:rsidRPr="00026292">
        <w:rPr>
          <w:rFonts w:cstheme="minorHAnsi"/>
        </w:rPr>
        <w:t xml:space="preserve">Datlen, G. W., Gillian, W., &amp; Pandolfi, C. (2020). Developing an online art therapy group for learning disabled young adults using WhatsApp. </w:t>
      </w:r>
      <w:r w:rsidR="00D55363" w:rsidRPr="00026292">
        <w:rPr>
          <w:rFonts w:cstheme="minorHAnsi"/>
          <w:i/>
          <w:iCs/>
        </w:rPr>
        <w:t>International Journal of Art Therapy: Inscape,</w:t>
      </w:r>
      <w:r w:rsidR="00D55363" w:rsidRPr="00026292">
        <w:rPr>
          <w:rFonts w:cstheme="minorHAnsi"/>
        </w:rPr>
        <w:t xml:space="preserve"> 25(4), 192– 201. </w:t>
      </w:r>
    </w:p>
    <w:p w14:paraId="78C731B9" w14:textId="03CAC3E4" w:rsidR="003547F6" w:rsidRPr="00026292" w:rsidRDefault="007E41D3" w:rsidP="00B0342B">
      <w:pPr>
        <w:pStyle w:val="NoSpacing"/>
        <w:rPr>
          <w:rFonts w:cstheme="minorHAnsi"/>
        </w:rPr>
      </w:pPr>
      <w:r w:rsidRPr="00026292">
        <w:rPr>
          <w:rFonts w:cstheme="minorHAnsi"/>
        </w:rPr>
        <w:t xml:space="preserve">Rawlings, G. H., Gaskell, C., Rolling, K., &amp; Beail, N. (2021). Exploring how to deliver videoconference-mediated psychological therapy to adults with an intellectual disability during the coronavirus pandemic. </w:t>
      </w:r>
      <w:r w:rsidRPr="00026292">
        <w:rPr>
          <w:rFonts w:cstheme="minorHAnsi"/>
          <w:i/>
          <w:iCs/>
        </w:rPr>
        <w:t>Advances in Mental Health and Intellectual Disabilities,</w:t>
      </w:r>
      <w:r w:rsidRPr="00026292">
        <w:rPr>
          <w:rFonts w:cstheme="minorHAnsi"/>
        </w:rPr>
        <w:t xml:space="preserve"> 15(1), 20– 32. </w:t>
      </w:r>
    </w:p>
  </w:endnote>
  <w:endnote w:id="20">
    <w:p w14:paraId="0908430B" w14:textId="43A8CB6F" w:rsidR="003547F6" w:rsidRPr="00026292" w:rsidRDefault="003547F6" w:rsidP="00B0342B">
      <w:pPr>
        <w:pStyle w:val="NoSpacing"/>
      </w:pPr>
      <w:r w:rsidRPr="00026292">
        <w:rPr>
          <w:rStyle w:val="EndnoteReference"/>
          <w:szCs w:val="16"/>
        </w:rPr>
        <w:endnoteRef/>
      </w:r>
      <w:r w:rsidRPr="00026292">
        <w:t xml:space="preserve"> </w:t>
      </w:r>
      <w:r w:rsidR="00A30044" w:rsidRPr="00026292">
        <w:rPr>
          <w:rFonts w:cstheme="minorHAnsi"/>
        </w:rPr>
        <w:t xml:space="preserve">Datlen et al, ‘Developing an Online’; </w:t>
      </w:r>
      <w:r w:rsidR="00A30044" w:rsidRPr="00026292">
        <w:t>Caton et al ‘</w:t>
      </w:r>
      <w:r w:rsidR="00A30044" w:rsidRPr="00026292">
        <w:rPr>
          <w:rFonts w:cstheme="minorHAnsi"/>
        </w:rPr>
        <w:t>Online social connections’</w:t>
      </w:r>
    </w:p>
  </w:endnote>
  <w:endnote w:id="21">
    <w:p w14:paraId="144670B9" w14:textId="3C376DE1" w:rsidR="008827AF" w:rsidRPr="00026292" w:rsidRDefault="008827AF" w:rsidP="00B0342B">
      <w:pPr>
        <w:pStyle w:val="NoSpacing"/>
      </w:pPr>
      <w:r w:rsidRPr="00026292">
        <w:rPr>
          <w:rStyle w:val="EndnoteReference"/>
          <w:szCs w:val="16"/>
        </w:rPr>
        <w:endnoteRef/>
      </w:r>
      <w:r w:rsidRPr="00026292">
        <w:t xml:space="preserve"> </w:t>
      </w:r>
      <w:r w:rsidR="00BA35EB" w:rsidRPr="00026292">
        <w:t>Caton et al ‘</w:t>
      </w:r>
      <w:r w:rsidR="00BA35EB" w:rsidRPr="00026292">
        <w:rPr>
          <w:rFonts w:cstheme="minorHAnsi"/>
        </w:rPr>
        <w:t>Online social connections</w:t>
      </w:r>
      <w:r w:rsidR="00EB5687" w:rsidRPr="00026292">
        <w:rPr>
          <w:rFonts w:cstheme="minorHAnsi"/>
        </w:rPr>
        <w:t>’</w:t>
      </w:r>
    </w:p>
  </w:endnote>
  <w:endnote w:id="22">
    <w:p w14:paraId="0A9745C8" w14:textId="367882CD" w:rsidR="005F7821" w:rsidRPr="00026292" w:rsidRDefault="008827AF" w:rsidP="00B0342B">
      <w:pPr>
        <w:pStyle w:val="NoSpacing"/>
        <w:rPr>
          <w:rFonts w:cstheme="minorHAnsi"/>
        </w:rPr>
      </w:pPr>
      <w:r w:rsidRPr="00026292">
        <w:rPr>
          <w:rStyle w:val="EndnoteReference"/>
          <w:szCs w:val="16"/>
        </w:rPr>
        <w:endnoteRef/>
      </w:r>
      <w:r w:rsidR="005F7821" w:rsidRPr="00026292">
        <w:t xml:space="preserve"> </w:t>
      </w:r>
      <w:r w:rsidR="002F3418" w:rsidRPr="00026292">
        <w:t>Caton et al ‘</w:t>
      </w:r>
      <w:r w:rsidR="002F3418" w:rsidRPr="00026292">
        <w:rPr>
          <w:rFonts w:cstheme="minorHAnsi"/>
        </w:rPr>
        <w:t>Online social connections</w:t>
      </w:r>
      <w:r w:rsidR="00EB5687" w:rsidRPr="00026292">
        <w:rPr>
          <w:rFonts w:cstheme="minorHAnsi"/>
        </w:rPr>
        <w:t>’</w:t>
      </w:r>
    </w:p>
    <w:p w14:paraId="47D0BE89" w14:textId="170F9C1A" w:rsidR="005F7821" w:rsidRPr="00026292" w:rsidRDefault="005F7821" w:rsidP="00B0342B">
      <w:pPr>
        <w:pStyle w:val="NoSpacing"/>
        <w:rPr>
          <w:shd w:val="clear" w:color="auto" w:fill="FFFFFF"/>
        </w:rPr>
      </w:pPr>
      <w:r w:rsidRPr="00026292">
        <w:t>Hatton, C.</w:t>
      </w:r>
      <w:r w:rsidRPr="00026292">
        <w:rPr>
          <w:shd w:val="clear" w:color="auto" w:fill="FFFFFF"/>
        </w:rPr>
        <w:t>, </w:t>
      </w:r>
      <w:r w:rsidRPr="00026292">
        <w:t>Bailey, T.</w:t>
      </w:r>
      <w:r w:rsidRPr="00026292">
        <w:rPr>
          <w:shd w:val="clear" w:color="auto" w:fill="FFFFFF"/>
        </w:rPr>
        <w:t>, </w:t>
      </w:r>
      <w:r w:rsidRPr="00026292">
        <w:t>Bradshaw, J.</w:t>
      </w:r>
      <w:r w:rsidRPr="00026292">
        <w:rPr>
          <w:shd w:val="clear" w:color="auto" w:fill="FFFFFF"/>
        </w:rPr>
        <w:t>, </w:t>
      </w:r>
      <w:r w:rsidRPr="00026292">
        <w:t>Caton, S.</w:t>
      </w:r>
      <w:r w:rsidRPr="00026292">
        <w:rPr>
          <w:shd w:val="clear" w:color="auto" w:fill="FFFFFF"/>
        </w:rPr>
        <w:t>, </w:t>
      </w:r>
      <w:r w:rsidRPr="00026292">
        <w:t>Flynn, S.</w:t>
      </w:r>
      <w:r w:rsidRPr="00026292">
        <w:rPr>
          <w:shd w:val="clear" w:color="auto" w:fill="FFFFFF"/>
        </w:rPr>
        <w:t>, </w:t>
      </w:r>
      <w:r w:rsidRPr="00026292">
        <w:t>Gillooly, A.</w:t>
      </w:r>
      <w:r w:rsidRPr="00026292">
        <w:rPr>
          <w:shd w:val="clear" w:color="auto" w:fill="FFFFFF"/>
        </w:rPr>
        <w:t>, </w:t>
      </w:r>
      <w:r w:rsidRPr="00026292">
        <w:t>Jahoda, A.</w:t>
      </w:r>
      <w:r w:rsidRPr="00026292">
        <w:rPr>
          <w:shd w:val="clear" w:color="auto" w:fill="FFFFFF"/>
        </w:rPr>
        <w:t>, </w:t>
      </w:r>
      <w:r w:rsidRPr="00026292">
        <w:t>Maguire, R.</w:t>
      </w:r>
      <w:r w:rsidRPr="00026292">
        <w:rPr>
          <w:shd w:val="clear" w:color="auto" w:fill="FFFFFF"/>
        </w:rPr>
        <w:t>, </w:t>
      </w:r>
      <w:r w:rsidRPr="00026292">
        <w:t>Marriott, A.</w:t>
      </w:r>
      <w:r w:rsidRPr="00026292">
        <w:rPr>
          <w:shd w:val="clear" w:color="auto" w:fill="FFFFFF"/>
        </w:rPr>
        <w:t>, </w:t>
      </w:r>
      <w:r w:rsidRPr="00026292">
        <w:t>Mulhall, P.</w:t>
      </w:r>
      <w:r w:rsidRPr="00026292">
        <w:rPr>
          <w:shd w:val="clear" w:color="auto" w:fill="FFFFFF"/>
        </w:rPr>
        <w:t>, </w:t>
      </w:r>
      <w:r w:rsidRPr="00026292">
        <w:t>Oloidi, E.</w:t>
      </w:r>
      <w:r w:rsidRPr="00026292">
        <w:rPr>
          <w:shd w:val="clear" w:color="auto" w:fill="FFFFFF"/>
        </w:rPr>
        <w:t>, </w:t>
      </w:r>
      <w:r w:rsidRPr="00026292">
        <w:t>Taggart, L.</w:t>
      </w:r>
      <w:r w:rsidRPr="00026292">
        <w:rPr>
          <w:shd w:val="clear" w:color="auto" w:fill="FFFFFF"/>
        </w:rPr>
        <w:t>, </w:t>
      </w:r>
      <w:r w:rsidRPr="00026292">
        <w:t>Todd, S.</w:t>
      </w:r>
      <w:r w:rsidRPr="00026292">
        <w:rPr>
          <w:shd w:val="clear" w:color="auto" w:fill="FFFFFF"/>
        </w:rPr>
        <w:t>, </w:t>
      </w:r>
      <w:r w:rsidRPr="00026292">
        <w:t>Abbott, D.</w:t>
      </w:r>
      <w:r w:rsidRPr="00026292">
        <w:rPr>
          <w:shd w:val="clear" w:color="auto" w:fill="FFFFFF"/>
        </w:rPr>
        <w:t>, </w:t>
      </w:r>
      <w:r w:rsidRPr="00026292">
        <w:t>Beyer, S.</w:t>
      </w:r>
      <w:r w:rsidRPr="00026292">
        <w:rPr>
          <w:shd w:val="clear" w:color="auto" w:fill="FFFFFF"/>
        </w:rPr>
        <w:t>, </w:t>
      </w:r>
      <w:r w:rsidRPr="00026292">
        <w:t>Gore, N.</w:t>
      </w:r>
      <w:r w:rsidRPr="00026292">
        <w:rPr>
          <w:shd w:val="clear" w:color="auto" w:fill="FFFFFF"/>
        </w:rPr>
        <w:t>, </w:t>
      </w:r>
      <w:r w:rsidRPr="00026292">
        <w:t>Heslop, P.</w:t>
      </w:r>
      <w:r w:rsidRPr="00026292">
        <w:rPr>
          <w:shd w:val="clear" w:color="auto" w:fill="FFFFFF"/>
        </w:rPr>
        <w:t>, </w:t>
      </w:r>
      <w:r w:rsidRPr="00026292">
        <w:t>Scior, K.</w:t>
      </w:r>
      <w:r w:rsidRPr="00026292">
        <w:rPr>
          <w:shd w:val="clear" w:color="auto" w:fill="FFFFFF"/>
        </w:rPr>
        <w:t>, and </w:t>
      </w:r>
      <w:r w:rsidRPr="00026292">
        <w:t>Hastings, R. P.</w:t>
      </w:r>
      <w:r w:rsidRPr="00026292">
        <w:rPr>
          <w:shd w:val="clear" w:color="auto" w:fill="FFFFFF"/>
        </w:rPr>
        <w:t> (</w:t>
      </w:r>
      <w:r w:rsidRPr="00026292">
        <w:t>2021</w:t>
      </w:r>
      <w:r w:rsidRPr="00026292">
        <w:rPr>
          <w:shd w:val="clear" w:color="auto" w:fill="FFFFFF"/>
        </w:rPr>
        <w:t>) </w:t>
      </w:r>
      <w:r w:rsidRPr="00026292">
        <w:t>The willingness of UK adults with intellectual disabilities to take COVID-19 vaccines</w:t>
      </w:r>
      <w:r w:rsidRPr="00026292">
        <w:rPr>
          <w:shd w:val="clear" w:color="auto" w:fill="FFFFFF"/>
        </w:rPr>
        <w:t>. </w:t>
      </w:r>
      <w:r w:rsidRPr="00026292">
        <w:rPr>
          <w:i/>
          <w:iCs/>
          <w:shd w:val="clear" w:color="auto" w:fill="FFFFFF"/>
        </w:rPr>
        <w:t>Journal of Intellectual Disability Research,</w:t>
      </w:r>
      <w:r w:rsidRPr="00026292">
        <w:rPr>
          <w:shd w:val="clear" w:color="auto" w:fill="FFFFFF"/>
        </w:rPr>
        <w:t> </w:t>
      </w:r>
      <w:r w:rsidRPr="00026292">
        <w:t>65</w:t>
      </w:r>
      <w:r w:rsidRPr="00026292">
        <w:rPr>
          <w:shd w:val="clear" w:color="auto" w:fill="FFFFFF"/>
        </w:rPr>
        <w:t>: </w:t>
      </w:r>
      <w:r w:rsidRPr="00026292">
        <w:t>949</w:t>
      </w:r>
      <w:r w:rsidRPr="00026292">
        <w:rPr>
          <w:shd w:val="clear" w:color="auto" w:fill="FFFFFF"/>
        </w:rPr>
        <w:t>– </w:t>
      </w:r>
      <w:r w:rsidRPr="00026292">
        <w:t>961</w:t>
      </w:r>
      <w:r w:rsidRPr="00026292">
        <w:rPr>
          <w:shd w:val="clear" w:color="auto" w:fill="FFFFFF"/>
        </w:rPr>
        <w:t xml:space="preserve"> </w:t>
      </w:r>
    </w:p>
    <w:p w14:paraId="69FACC67" w14:textId="43CC0F42" w:rsidR="008827AF" w:rsidRPr="00026292" w:rsidRDefault="005F7821" w:rsidP="00B0342B">
      <w:pPr>
        <w:pStyle w:val="NoSpacing"/>
        <w:rPr>
          <w:shd w:val="clear" w:color="auto" w:fill="FFFFFF"/>
        </w:rPr>
      </w:pPr>
      <w:r w:rsidRPr="00026292">
        <w:rPr>
          <w:shd w:val="clear" w:color="auto" w:fill="FFFFFF"/>
        </w:rPr>
        <w:t>Navas, P., Amor, A. M., Crespo, M., Wolowiec, Z., &amp; Verdugo, M. Á. (2021). Supports for people with intellectual and developmental disabilities during the COVID-19 pandemic from their own perspective. </w:t>
      </w:r>
      <w:r w:rsidRPr="00026292">
        <w:rPr>
          <w:i/>
          <w:iCs/>
          <w:shd w:val="clear" w:color="auto" w:fill="FFFFFF"/>
        </w:rPr>
        <w:t>Research in developmental disabilities</w:t>
      </w:r>
      <w:r w:rsidRPr="00026292">
        <w:rPr>
          <w:shd w:val="clear" w:color="auto" w:fill="FFFFFF"/>
        </w:rPr>
        <w:t>, </w:t>
      </w:r>
      <w:r w:rsidRPr="00026292">
        <w:rPr>
          <w:i/>
          <w:iCs/>
          <w:shd w:val="clear" w:color="auto" w:fill="FFFFFF"/>
        </w:rPr>
        <w:t>108</w:t>
      </w:r>
      <w:r w:rsidRPr="00026292">
        <w:rPr>
          <w:shd w:val="clear" w:color="auto" w:fill="FFFFFF"/>
        </w:rPr>
        <w:t xml:space="preserve">, 103813. </w:t>
      </w:r>
    </w:p>
  </w:endnote>
  <w:endnote w:id="23">
    <w:p w14:paraId="42E6A575" w14:textId="3C08EE65" w:rsidR="001A08A3" w:rsidRPr="00026292" w:rsidRDefault="001A08A3" w:rsidP="00B0342B">
      <w:pPr>
        <w:pStyle w:val="NoSpacing"/>
      </w:pPr>
      <w:r w:rsidRPr="00026292">
        <w:rPr>
          <w:rStyle w:val="EndnoteReference"/>
          <w:szCs w:val="16"/>
        </w:rPr>
        <w:endnoteRef/>
      </w:r>
      <w:r w:rsidRPr="00026292">
        <w:t xml:space="preserve"> </w:t>
      </w:r>
      <w:r w:rsidR="00BA35EB" w:rsidRPr="00026292">
        <w:t>Caton et al ‘Online social connections</w:t>
      </w:r>
      <w:r w:rsidR="00E53AE9" w:rsidRPr="00026292">
        <w:t xml:space="preserve">’ </w:t>
      </w:r>
    </w:p>
  </w:endnote>
  <w:endnote w:id="24">
    <w:p w14:paraId="04A20F58" w14:textId="1EB93FAA" w:rsidR="007965BF" w:rsidRPr="00026292" w:rsidRDefault="007965BF" w:rsidP="00B0342B">
      <w:pPr>
        <w:pStyle w:val="NoSpacing"/>
      </w:pPr>
      <w:r w:rsidRPr="00026292">
        <w:rPr>
          <w:rStyle w:val="EndnoteReference"/>
          <w:szCs w:val="16"/>
        </w:rPr>
        <w:endnoteRef/>
      </w:r>
      <w:r w:rsidRPr="00026292">
        <w:t xml:space="preserve"> </w:t>
      </w:r>
      <w:r w:rsidR="00C36E10" w:rsidRPr="00026292">
        <w:t xml:space="preserve">United Nations (2022) “Innovation and technology advancing disability rights”. Conference of States Parties to the Convention on the Rights of Persons with Disabilities (15th : 2022 : New York) </w:t>
      </w:r>
    </w:p>
  </w:endnote>
  <w:endnote w:id="25">
    <w:p w14:paraId="5F32F358" w14:textId="4EDA77C8" w:rsidR="00272979" w:rsidRPr="00026292" w:rsidRDefault="00272979" w:rsidP="00B0342B">
      <w:pPr>
        <w:pStyle w:val="NoSpacing"/>
      </w:pPr>
      <w:r w:rsidRPr="00026292">
        <w:rPr>
          <w:rStyle w:val="EndnoteReference"/>
          <w:szCs w:val="16"/>
        </w:rPr>
        <w:endnoteRef/>
      </w:r>
      <w:r w:rsidRPr="00026292">
        <w:t xml:space="preserve"> </w:t>
      </w:r>
      <w:r w:rsidR="003571C8" w:rsidRPr="00026292">
        <w:t>Caton et al ‘</w:t>
      </w:r>
      <w:r w:rsidR="003571C8" w:rsidRPr="00026292">
        <w:rPr>
          <w:rFonts w:cstheme="minorHAnsi"/>
        </w:rPr>
        <w:t>Online social connections</w:t>
      </w:r>
      <w:r w:rsidR="00E53AE9" w:rsidRPr="00026292">
        <w:rPr>
          <w:rFonts w:cstheme="minorHAnsi"/>
        </w:rPr>
        <w:t xml:space="preserve">’ </w:t>
      </w:r>
    </w:p>
  </w:endnote>
  <w:endnote w:id="26">
    <w:p w14:paraId="3B2ECF9A" w14:textId="52BF4F0B" w:rsidR="003905AE" w:rsidRPr="00026292" w:rsidRDefault="003905AE" w:rsidP="00B0342B">
      <w:pPr>
        <w:pStyle w:val="NoSpacing"/>
      </w:pPr>
      <w:r w:rsidRPr="00026292">
        <w:rPr>
          <w:rStyle w:val="EndnoteReference"/>
          <w:szCs w:val="16"/>
        </w:rPr>
        <w:endnoteRef/>
      </w:r>
      <w:r w:rsidRPr="00026292">
        <w:t xml:space="preserve"> </w:t>
      </w:r>
      <w:bookmarkStart w:id="2" w:name="_Hlk126591757"/>
      <w:r w:rsidRPr="00026292">
        <w:t xml:space="preserve">Rawlings, </w:t>
      </w:r>
      <w:r w:rsidR="00B5310D" w:rsidRPr="00026292">
        <w:t xml:space="preserve">et al ‘Exploring </w:t>
      </w:r>
      <w:proofErr w:type="gramStart"/>
      <w:r w:rsidR="00B5310D" w:rsidRPr="00026292">
        <w:t>Video-</w:t>
      </w:r>
      <w:bookmarkEnd w:id="2"/>
      <w:r w:rsidR="00E322BC" w:rsidRPr="00026292">
        <w:t>conferencing</w:t>
      </w:r>
      <w:proofErr w:type="gramEnd"/>
      <w:r w:rsidR="00E322BC" w:rsidRPr="00026292">
        <w:t>’.</w:t>
      </w:r>
    </w:p>
  </w:endnote>
  <w:endnote w:id="27">
    <w:p w14:paraId="6A7FBB17" w14:textId="0F54B9AC" w:rsidR="003905AE" w:rsidRPr="00026292" w:rsidRDefault="003905AE" w:rsidP="00B0342B">
      <w:pPr>
        <w:pStyle w:val="NoSpacing"/>
      </w:pPr>
      <w:r w:rsidRPr="00026292">
        <w:rPr>
          <w:rStyle w:val="EndnoteReference"/>
          <w:szCs w:val="16"/>
        </w:rPr>
        <w:endnoteRef/>
      </w:r>
      <w:r w:rsidRPr="00026292">
        <w:t xml:space="preserve"> </w:t>
      </w:r>
      <w:r w:rsidR="003571C8" w:rsidRPr="00026292">
        <w:t>Caton et al ‘</w:t>
      </w:r>
      <w:r w:rsidR="003571C8" w:rsidRPr="00026292">
        <w:rPr>
          <w:rFonts w:cstheme="minorHAnsi"/>
        </w:rPr>
        <w:t>Online social connections</w:t>
      </w:r>
      <w:r w:rsidR="00E53AE9" w:rsidRPr="00026292">
        <w:rPr>
          <w:rFonts w:cstheme="minorHAnsi"/>
        </w:rPr>
        <w:t xml:space="preserve">’ </w:t>
      </w:r>
    </w:p>
  </w:endnote>
  <w:endnote w:id="28">
    <w:p w14:paraId="342101C9" w14:textId="33055B7F" w:rsidR="00B6041D" w:rsidRPr="00026292" w:rsidRDefault="00B6041D" w:rsidP="00B0342B">
      <w:pPr>
        <w:pStyle w:val="NoSpacing"/>
      </w:pPr>
      <w:r w:rsidRPr="00026292">
        <w:rPr>
          <w:rStyle w:val="EndnoteReference"/>
          <w:szCs w:val="16"/>
        </w:rPr>
        <w:endnoteRef/>
      </w:r>
      <w:r w:rsidRPr="00026292">
        <w:t xml:space="preserve">  </w:t>
      </w:r>
      <w:r w:rsidR="00E322BC" w:rsidRPr="00026292">
        <w:t xml:space="preserve">Rawlings, et al ‘Exploring </w:t>
      </w:r>
      <w:proofErr w:type="gramStart"/>
      <w:r w:rsidR="00E322BC" w:rsidRPr="00026292">
        <w:t>Video-conferencing</w:t>
      </w:r>
      <w:proofErr w:type="gramEnd"/>
      <w:r w:rsidR="00E322BC" w:rsidRPr="00026292">
        <w:t xml:space="preserve">’; </w:t>
      </w:r>
      <w:r w:rsidR="002F3418" w:rsidRPr="00026292">
        <w:t>Caton et al ‘</w:t>
      </w:r>
      <w:r w:rsidR="002F3418" w:rsidRPr="00026292">
        <w:rPr>
          <w:rFonts w:cstheme="minorHAnsi"/>
        </w:rPr>
        <w:t>Online social connections</w:t>
      </w:r>
      <w:r w:rsidR="00E53AE9" w:rsidRPr="00026292">
        <w:rPr>
          <w:rFonts w:cstheme="minorHAnsi"/>
        </w:rPr>
        <w:t>’</w:t>
      </w:r>
    </w:p>
  </w:endnote>
  <w:endnote w:id="29">
    <w:p w14:paraId="322E710A" w14:textId="6FA3684B" w:rsidR="004C189F" w:rsidRDefault="004C189F" w:rsidP="00B0342B">
      <w:pPr>
        <w:pStyle w:val="NoSpacing"/>
      </w:pPr>
      <w:r w:rsidRPr="00026292">
        <w:rPr>
          <w:rStyle w:val="EndnoteReference"/>
          <w:szCs w:val="16"/>
        </w:rPr>
        <w:endnoteRef/>
      </w:r>
      <w:r w:rsidRPr="00026292">
        <w:t xml:space="preserve">  </w:t>
      </w:r>
      <w:r w:rsidR="003571C8" w:rsidRPr="00026292">
        <w:t>Caton et al ‘</w:t>
      </w:r>
      <w:r w:rsidR="003571C8" w:rsidRPr="00026292">
        <w:rPr>
          <w:rFonts w:cstheme="minorHAnsi"/>
        </w:rPr>
        <w:t>Online social</w:t>
      </w:r>
      <w:r w:rsidR="003571C8" w:rsidRPr="00A7516C">
        <w:rPr>
          <w:rFonts w:cstheme="minorHAnsi"/>
        </w:rPr>
        <w:t xml:space="preserve"> </w:t>
      </w:r>
      <w:r w:rsidR="003571C8" w:rsidRPr="00E66E3E">
        <w:rPr>
          <w:rFonts w:cstheme="minorHAnsi"/>
        </w:rPr>
        <w:t>connections</w:t>
      </w:r>
      <w:r w:rsidR="00E53AE9" w:rsidRPr="00E66E3E">
        <w:rPr>
          <w:rFonts w:cstheme="minorHAns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4BF6" w14:textId="77777777" w:rsidR="00F3563D" w:rsidRDefault="00F3563D" w:rsidP="00C400FE">
      <w:pPr>
        <w:spacing w:after="0" w:line="240" w:lineRule="auto"/>
      </w:pPr>
      <w:r>
        <w:separator/>
      </w:r>
    </w:p>
  </w:footnote>
  <w:footnote w:type="continuationSeparator" w:id="0">
    <w:p w14:paraId="30A1A69E" w14:textId="77777777" w:rsidR="00F3563D" w:rsidRDefault="00F3563D" w:rsidP="00C40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C38FD"/>
    <w:multiLevelType w:val="hybridMultilevel"/>
    <w:tmpl w:val="F43A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76D58"/>
    <w:multiLevelType w:val="hybridMultilevel"/>
    <w:tmpl w:val="3FE6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85302"/>
    <w:multiLevelType w:val="hybridMultilevel"/>
    <w:tmpl w:val="56709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2D17AF"/>
    <w:multiLevelType w:val="hybridMultilevel"/>
    <w:tmpl w:val="E228C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65857"/>
    <w:multiLevelType w:val="hybridMultilevel"/>
    <w:tmpl w:val="9B72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F4269E"/>
    <w:multiLevelType w:val="hybridMultilevel"/>
    <w:tmpl w:val="18A03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F15CD0"/>
    <w:multiLevelType w:val="hybridMultilevel"/>
    <w:tmpl w:val="43E86842"/>
    <w:lvl w:ilvl="0" w:tplc="26DA03CC">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9F245E"/>
    <w:multiLevelType w:val="hybridMultilevel"/>
    <w:tmpl w:val="5F50E674"/>
    <w:lvl w:ilvl="0" w:tplc="D5E2C8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5876858">
    <w:abstractNumId w:val="6"/>
  </w:num>
  <w:num w:numId="2" w16cid:durableId="1469981514">
    <w:abstractNumId w:val="5"/>
  </w:num>
  <w:num w:numId="3" w16cid:durableId="883832058">
    <w:abstractNumId w:val="1"/>
  </w:num>
  <w:num w:numId="4" w16cid:durableId="1568682672">
    <w:abstractNumId w:val="4"/>
  </w:num>
  <w:num w:numId="5" w16cid:durableId="1818834944">
    <w:abstractNumId w:val="0"/>
  </w:num>
  <w:num w:numId="6" w16cid:durableId="2035378977">
    <w:abstractNumId w:val="2"/>
  </w:num>
  <w:num w:numId="7" w16cid:durableId="9450181">
    <w:abstractNumId w:val="7"/>
  </w:num>
  <w:num w:numId="8" w16cid:durableId="260070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49"/>
    <w:rsid w:val="00000444"/>
    <w:rsid w:val="00003568"/>
    <w:rsid w:val="000069D3"/>
    <w:rsid w:val="0001712D"/>
    <w:rsid w:val="00021956"/>
    <w:rsid w:val="00021D2C"/>
    <w:rsid w:val="000252B9"/>
    <w:rsid w:val="000253DF"/>
    <w:rsid w:val="00026292"/>
    <w:rsid w:val="0002632C"/>
    <w:rsid w:val="00030308"/>
    <w:rsid w:val="0003114E"/>
    <w:rsid w:val="00036FA5"/>
    <w:rsid w:val="00040D0B"/>
    <w:rsid w:val="00043BF7"/>
    <w:rsid w:val="00046400"/>
    <w:rsid w:val="0005134F"/>
    <w:rsid w:val="0005613D"/>
    <w:rsid w:val="000604E2"/>
    <w:rsid w:val="000666FD"/>
    <w:rsid w:val="000669E1"/>
    <w:rsid w:val="000747DD"/>
    <w:rsid w:val="00081373"/>
    <w:rsid w:val="00084F16"/>
    <w:rsid w:val="000852C0"/>
    <w:rsid w:val="000947B9"/>
    <w:rsid w:val="000960A3"/>
    <w:rsid w:val="00096C37"/>
    <w:rsid w:val="000A0B54"/>
    <w:rsid w:val="000A2517"/>
    <w:rsid w:val="000A3589"/>
    <w:rsid w:val="000A3D8B"/>
    <w:rsid w:val="000A4FB9"/>
    <w:rsid w:val="000A5D86"/>
    <w:rsid w:val="000A5E0B"/>
    <w:rsid w:val="000B00BA"/>
    <w:rsid w:val="000B09B9"/>
    <w:rsid w:val="000B5A6B"/>
    <w:rsid w:val="000D6229"/>
    <w:rsid w:val="000E1C37"/>
    <w:rsid w:val="000E444D"/>
    <w:rsid w:val="000E468A"/>
    <w:rsid w:val="000F0276"/>
    <w:rsid w:val="000F571D"/>
    <w:rsid w:val="0010448F"/>
    <w:rsid w:val="00107272"/>
    <w:rsid w:val="001144D2"/>
    <w:rsid w:val="00121040"/>
    <w:rsid w:val="00124EC0"/>
    <w:rsid w:val="00125C26"/>
    <w:rsid w:val="00130024"/>
    <w:rsid w:val="001333E4"/>
    <w:rsid w:val="00141BFA"/>
    <w:rsid w:val="00165B82"/>
    <w:rsid w:val="00167647"/>
    <w:rsid w:val="0017216E"/>
    <w:rsid w:val="00175B95"/>
    <w:rsid w:val="00183CC7"/>
    <w:rsid w:val="00195795"/>
    <w:rsid w:val="001A0282"/>
    <w:rsid w:val="001A08A3"/>
    <w:rsid w:val="001A3374"/>
    <w:rsid w:val="001A4298"/>
    <w:rsid w:val="001A74CC"/>
    <w:rsid w:val="001A7B7D"/>
    <w:rsid w:val="001B1855"/>
    <w:rsid w:val="001B337D"/>
    <w:rsid w:val="001B7189"/>
    <w:rsid w:val="001D0B9C"/>
    <w:rsid w:val="001D2438"/>
    <w:rsid w:val="001D2539"/>
    <w:rsid w:val="001D5913"/>
    <w:rsid w:val="001E11E5"/>
    <w:rsid w:val="001E409F"/>
    <w:rsid w:val="001F1C69"/>
    <w:rsid w:val="001F589D"/>
    <w:rsid w:val="0020300B"/>
    <w:rsid w:val="00210499"/>
    <w:rsid w:val="002129EE"/>
    <w:rsid w:val="002165FE"/>
    <w:rsid w:val="002232F5"/>
    <w:rsid w:val="002235C6"/>
    <w:rsid w:val="00225305"/>
    <w:rsid w:val="002258BE"/>
    <w:rsid w:val="00227263"/>
    <w:rsid w:val="00236F7A"/>
    <w:rsid w:val="002410DD"/>
    <w:rsid w:val="00243819"/>
    <w:rsid w:val="00244EA2"/>
    <w:rsid w:val="00251666"/>
    <w:rsid w:val="00254D5C"/>
    <w:rsid w:val="0025753C"/>
    <w:rsid w:val="00262E17"/>
    <w:rsid w:val="0027030A"/>
    <w:rsid w:val="00272979"/>
    <w:rsid w:val="002774F7"/>
    <w:rsid w:val="00283234"/>
    <w:rsid w:val="002835BD"/>
    <w:rsid w:val="00285ECE"/>
    <w:rsid w:val="002917B6"/>
    <w:rsid w:val="002B38B2"/>
    <w:rsid w:val="002C1A70"/>
    <w:rsid w:val="002C503F"/>
    <w:rsid w:val="002D2A5F"/>
    <w:rsid w:val="002D69CA"/>
    <w:rsid w:val="002E03A3"/>
    <w:rsid w:val="002E5245"/>
    <w:rsid w:val="002F22D9"/>
    <w:rsid w:val="002F32F2"/>
    <w:rsid w:val="002F3418"/>
    <w:rsid w:val="002F6FE0"/>
    <w:rsid w:val="002F7B5C"/>
    <w:rsid w:val="00301C91"/>
    <w:rsid w:val="00302E69"/>
    <w:rsid w:val="00323ACC"/>
    <w:rsid w:val="00323CE2"/>
    <w:rsid w:val="003302F6"/>
    <w:rsid w:val="003449B9"/>
    <w:rsid w:val="0034657E"/>
    <w:rsid w:val="00351597"/>
    <w:rsid w:val="003540D1"/>
    <w:rsid w:val="003547F6"/>
    <w:rsid w:val="00354CBD"/>
    <w:rsid w:val="003571C8"/>
    <w:rsid w:val="00357376"/>
    <w:rsid w:val="003577FC"/>
    <w:rsid w:val="00371482"/>
    <w:rsid w:val="00371A64"/>
    <w:rsid w:val="00376472"/>
    <w:rsid w:val="00381D77"/>
    <w:rsid w:val="00383398"/>
    <w:rsid w:val="00386D23"/>
    <w:rsid w:val="00387708"/>
    <w:rsid w:val="003905AE"/>
    <w:rsid w:val="00390688"/>
    <w:rsid w:val="00393373"/>
    <w:rsid w:val="003950B6"/>
    <w:rsid w:val="003A3B91"/>
    <w:rsid w:val="003A5481"/>
    <w:rsid w:val="003A5722"/>
    <w:rsid w:val="003A6AC2"/>
    <w:rsid w:val="003C7D7A"/>
    <w:rsid w:val="003D0828"/>
    <w:rsid w:val="003D34C6"/>
    <w:rsid w:val="003D7938"/>
    <w:rsid w:val="003E26CD"/>
    <w:rsid w:val="003E29E8"/>
    <w:rsid w:val="003E51FB"/>
    <w:rsid w:val="003E739D"/>
    <w:rsid w:val="003F0152"/>
    <w:rsid w:val="003F0312"/>
    <w:rsid w:val="003F7434"/>
    <w:rsid w:val="004042D5"/>
    <w:rsid w:val="004076D1"/>
    <w:rsid w:val="00412213"/>
    <w:rsid w:val="0041397E"/>
    <w:rsid w:val="00413A2E"/>
    <w:rsid w:val="0041539E"/>
    <w:rsid w:val="00415B2C"/>
    <w:rsid w:val="004214ED"/>
    <w:rsid w:val="004241C4"/>
    <w:rsid w:val="00424ADD"/>
    <w:rsid w:val="00426711"/>
    <w:rsid w:val="00432295"/>
    <w:rsid w:val="004331D2"/>
    <w:rsid w:val="00434B14"/>
    <w:rsid w:val="00435887"/>
    <w:rsid w:val="00435D00"/>
    <w:rsid w:val="004366B8"/>
    <w:rsid w:val="00444832"/>
    <w:rsid w:val="00451068"/>
    <w:rsid w:val="004618EC"/>
    <w:rsid w:val="004640F1"/>
    <w:rsid w:val="0047250A"/>
    <w:rsid w:val="00472E8E"/>
    <w:rsid w:val="00474CD2"/>
    <w:rsid w:val="00483B64"/>
    <w:rsid w:val="00486784"/>
    <w:rsid w:val="00490B5C"/>
    <w:rsid w:val="004911B6"/>
    <w:rsid w:val="004915FC"/>
    <w:rsid w:val="00494E3E"/>
    <w:rsid w:val="004A3AB8"/>
    <w:rsid w:val="004A42A8"/>
    <w:rsid w:val="004A647E"/>
    <w:rsid w:val="004B40D8"/>
    <w:rsid w:val="004B6D17"/>
    <w:rsid w:val="004C189F"/>
    <w:rsid w:val="004D20C9"/>
    <w:rsid w:val="004D3E6E"/>
    <w:rsid w:val="004D68AB"/>
    <w:rsid w:val="004D6FC2"/>
    <w:rsid w:val="004E71CD"/>
    <w:rsid w:val="004F6099"/>
    <w:rsid w:val="004F6FA7"/>
    <w:rsid w:val="005076A1"/>
    <w:rsid w:val="0051064A"/>
    <w:rsid w:val="0051211B"/>
    <w:rsid w:val="00512FAD"/>
    <w:rsid w:val="00514C75"/>
    <w:rsid w:val="00517027"/>
    <w:rsid w:val="00517975"/>
    <w:rsid w:val="00520FB4"/>
    <w:rsid w:val="00521C31"/>
    <w:rsid w:val="00531894"/>
    <w:rsid w:val="00536B0B"/>
    <w:rsid w:val="00543CA3"/>
    <w:rsid w:val="0054451E"/>
    <w:rsid w:val="00544989"/>
    <w:rsid w:val="00547DBC"/>
    <w:rsid w:val="005510DB"/>
    <w:rsid w:val="00554570"/>
    <w:rsid w:val="00556049"/>
    <w:rsid w:val="00562FBB"/>
    <w:rsid w:val="005645E3"/>
    <w:rsid w:val="0057099D"/>
    <w:rsid w:val="0058082A"/>
    <w:rsid w:val="005862F8"/>
    <w:rsid w:val="00594207"/>
    <w:rsid w:val="005942C6"/>
    <w:rsid w:val="00594DDD"/>
    <w:rsid w:val="005964B1"/>
    <w:rsid w:val="005A6DBC"/>
    <w:rsid w:val="005B30E3"/>
    <w:rsid w:val="005B510D"/>
    <w:rsid w:val="005B77CD"/>
    <w:rsid w:val="005C0CF3"/>
    <w:rsid w:val="005C2487"/>
    <w:rsid w:val="005C5A5E"/>
    <w:rsid w:val="005C6DAC"/>
    <w:rsid w:val="005D0F7D"/>
    <w:rsid w:val="005D5D66"/>
    <w:rsid w:val="005D5EE7"/>
    <w:rsid w:val="005D7D79"/>
    <w:rsid w:val="005E6AAF"/>
    <w:rsid w:val="005F17D6"/>
    <w:rsid w:val="005F6FC9"/>
    <w:rsid w:val="005F7821"/>
    <w:rsid w:val="006005D4"/>
    <w:rsid w:val="0060693C"/>
    <w:rsid w:val="006127CD"/>
    <w:rsid w:val="00616CC8"/>
    <w:rsid w:val="00621429"/>
    <w:rsid w:val="00630247"/>
    <w:rsid w:val="00635ECD"/>
    <w:rsid w:val="00637110"/>
    <w:rsid w:val="00643FC5"/>
    <w:rsid w:val="00654D88"/>
    <w:rsid w:val="00657710"/>
    <w:rsid w:val="00661438"/>
    <w:rsid w:val="006626E0"/>
    <w:rsid w:val="00675D94"/>
    <w:rsid w:val="006806C6"/>
    <w:rsid w:val="006873CB"/>
    <w:rsid w:val="00693CC6"/>
    <w:rsid w:val="006A5899"/>
    <w:rsid w:val="006B161F"/>
    <w:rsid w:val="006B32AA"/>
    <w:rsid w:val="006B7665"/>
    <w:rsid w:val="006D4AC5"/>
    <w:rsid w:val="006E4481"/>
    <w:rsid w:val="006E70DF"/>
    <w:rsid w:val="006F27C0"/>
    <w:rsid w:val="006F42EB"/>
    <w:rsid w:val="006F4662"/>
    <w:rsid w:val="006F5EB9"/>
    <w:rsid w:val="006F7D0E"/>
    <w:rsid w:val="00700B23"/>
    <w:rsid w:val="007015FF"/>
    <w:rsid w:val="00706048"/>
    <w:rsid w:val="00715170"/>
    <w:rsid w:val="00725275"/>
    <w:rsid w:val="00731266"/>
    <w:rsid w:val="007318D5"/>
    <w:rsid w:val="00736D59"/>
    <w:rsid w:val="00745C6F"/>
    <w:rsid w:val="00747880"/>
    <w:rsid w:val="00750800"/>
    <w:rsid w:val="007523FE"/>
    <w:rsid w:val="00753820"/>
    <w:rsid w:val="00753C12"/>
    <w:rsid w:val="00767DEE"/>
    <w:rsid w:val="00780D7E"/>
    <w:rsid w:val="007823AF"/>
    <w:rsid w:val="00783372"/>
    <w:rsid w:val="0078565D"/>
    <w:rsid w:val="00791095"/>
    <w:rsid w:val="00794198"/>
    <w:rsid w:val="007965BF"/>
    <w:rsid w:val="007A7DCA"/>
    <w:rsid w:val="007B30C2"/>
    <w:rsid w:val="007C43D0"/>
    <w:rsid w:val="007D0B73"/>
    <w:rsid w:val="007E41D3"/>
    <w:rsid w:val="007E594D"/>
    <w:rsid w:val="007F4A31"/>
    <w:rsid w:val="007F7B5B"/>
    <w:rsid w:val="008035F3"/>
    <w:rsid w:val="00811768"/>
    <w:rsid w:val="008174EC"/>
    <w:rsid w:val="008217AD"/>
    <w:rsid w:val="0082511F"/>
    <w:rsid w:val="00825F95"/>
    <w:rsid w:val="00827B8C"/>
    <w:rsid w:val="0083572D"/>
    <w:rsid w:val="00847E37"/>
    <w:rsid w:val="0084B2E7"/>
    <w:rsid w:val="00856894"/>
    <w:rsid w:val="008601CF"/>
    <w:rsid w:val="008611B8"/>
    <w:rsid w:val="008646BC"/>
    <w:rsid w:val="0087435B"/>
    <w:rsid w:val="008755E8"/>
    <w:rsid w:val="008759D8"/>
    <w:rsid w:val="008807AD"/>
    <w:rsid w:val="008827AF"/>
    <w:rsid w:val="00884AAF"/>
    <w:rsid w:val="00884DD9"/>
    <w:rsid w:val="00887DFB"/>
    <w:rsid w:val="0089657A"/>
    <w:rsid w:val="008A04AB"/>
    <w:rsid w:val="008A3AFF"/>
    <w:rsid w:val="008A41B1"/>
    <w:rsid w:val="008A6539"/>
    <w:rsid w:val="008A7A12"/>
    <w:rsid w:val="008B0E86"/>
    <w:rsid w:val="008C26F3"/>
    <w:rsid w:val="008C5EDA"/>
    <w:rsid w:val="008C64FD"/>
    <w:rsid w:val="008C767A"/>
    <w:rsid w:val="008D24FF"/>
    <w:rsid w:val="008E32D2"/>
    <w:rsid w:val="008F7618"/>
    <w:rsid w:val="009004C2"/>
    <w:rsid w:val="009044FF"/>
    <w:rsid w:val="00904730"/>
    <w:rsid w:val="0091354C"/>
    <w:rsid w:val="00913CCD"/>
    <w:rsid w:val="0091767E"/>
    <w:rsid w:val="00921E8B"/>
    <w:rsid w:val="0092399B"/>
    <w:rsid w:val="009249D1"/>
    <w:rsid w:val="00925E6D"/>
    <w:rsid w:val="00930ED0"/>
    <w:rsid w:val="0093190E"/>
    <w:rsid w:val="00947D8D"/>
    <w:rsid w:val="00953804"/>
    <w:rsid w:val="009540C7"/>
    <w:rsid w:val="00955A0F"/>
    <w:rsid w:val="00960AB4"/>
    <w:rsid w:val="009638DC"/>
    <w:rsid w:val="009644F9"/>
    <w:rsid w:val="009657DD"/>
    <w:rsid w:val="00966568"/>
    <w:rsid w:val="009675C6"/>
    <w:rsid w:val="00970BA4"/>
    <w:rsid w:val="00973C60"/>
    <w:rsid w:val="0097576F"/>
    <w:rsid w:val="00977641"/>
    <w:rsid w:val="00977B94"/>
    <w:rsid w:val="009843C9"/>
    <w:rsid w:val="009901A4"/>
    <w:rsid w:val="00997901"/>
    <w:rsid w:val="009A6EB1"/>
    <w:rsid w:val="009A75E9"/>
    <w:rsid w:val="009B1F25"/>
    <w:rsid w:val="009B4723"/>
    <w:rsid w:val="009B57F1"/>
    <w:rsid w:val="009B5C5E"/>
    <w:rsid w:val="009C1CAD"/>
    <w:rsid w:val="009D16C9"/>
    <w:rsid w:val="009D3F9C"/>
    <w:rsid w:val="009D4D2B"/>
    <w:rsid w:val="009D523F"/>
    <w:rsid w:val="009E0D63"/>
    <w:rsid w:val="009E1D99"/>
    <w:rsid w:val="009E4C66"/>
    <w:rsid w:val="009F27E9"/>
    <w:rsid w:val="009F5B30"/>
    <w:rsid w:val="00A30044"/>
    <w:rsid w:val="00A3285D"/>
    <w:rsid w:val="00A32D87"/>
    <w:rsid w:val="00A36307"/>
    <w:rsid w:val="00A36EE7"/>
    <w:rsid w:val="00A371B7"/>
    <w:rsid w:val="00A4251E"/>
    <w:rsid w:val="00A4331D"/>
    <w:rsid w:val="00A43EDB"/>
    <w:rsid w:val="00A44A69"/>
    <w:rsid w:val="00A47617"/>
    <w:rsid w:val="00A5078E"/>
    <w:rsid w:val="00A51AEF"/>
    <w:rsid w:val="00A51B49"/>
    <w:rsid w:val="00A54E7A"/>
    <w:rsid w:val="00A5614F"/>
    <w:rsid w:val="00A60966"/>
    <w:rsid w:val="00A6363C"/>
    <w:rsid w:val="00A7294B"/>
    <w:rsid w:val="00A74C6A"/>
    <w:rsid w:val="00A7516C"/>
    <w:rsid w:val="00A7738A"/>
    <w:rsid w:val="00A80D43"/>
    <w:rsid w:val="00A8141E"/>
    <w:rsid w:val="00A84876"/>
    <w:rsid w:val="00A90CA4"/>
    <w:rsid w:val="00AA27B2"/>
    <w:rsid w:val="00AA4410"/>
    <w:rsid w:val="00AA4B9B"/>
    <w:rsid w:val="00AA5A5D"/>
    <w:rsid w:val="00AB4F6E"/>
    <w:rsid w:val="00AC5CF8"/>
    <w:rsid w:val="00AD3F6D"/>
    <w:rsid w:val="00AD531E"/>
    <w:rsid w:val="00AD54D0"/>
    <w:rsid w:val="00AD782E"/>
    <w:rsid w:val="00AE3067"/>
    <w:rsid w:val="00AE337F"/>
    <w:rsid w:val="00AE355B"/>
    <w:rsid w:val="00AE6201"/>
    <w:rsid w:val="00AF071F"/>
    <w:rsid w:val="00AF331D"/>
    <w:rsid w:val="00AF6CDD"/>
    <w:rsid w:val="00B0138E"/>
    <w:rsid w:val="00B0291B"/>
    <w:rsid w:val="00B0342B"/>
    <w:rsid w:val="00B05F1E"/>
    <w:rsid w:val="00B063E3"/>
    <w:rsid w:val="00B13DD8"/>
    <w:rsid w:val="00B173C4"/>
    <w:rsid w:val="00B2420F"/>
    <w:rsid w:val="00B25CDF"/>
    <w:rsid w:val="00B30928"/>
    <w:rsid w:val="00B35B7D"/>
    <w:rsid w:val="00B37D68"/>
    <w:rsid w:val="00B404AC"/>
    <w:rsid w:val="00B4508C"/>
    <w:rsid w:val="00B5310D"/>
    <w:rsid w:val="00B532A3"/>
    <w:rsid w:val="00B6041D"/>
    <w:rsid w:val="00B60ABF"/>
    <w:rsid w:val="00B657BE"/>
    <w:rsid w:val="00B7306A"/>
    <w:rsid w:val="00B82215"/>
    <w:rsid w:val="00B91F0B"/>
    <w:rsid w:val="00B95475"/>
    <w:rsid w:val="00BA160F"/>
    <w:rsid w:val="00BA35EB"/>
    <w:rsid w:val="00BA595E"/>
    <w:rsid w:val="00BA5F7F"/>
    <w:rsid w:val="00BA613D"/>
    <w:rsid w:val="00BA6D5C"/>
    <w:rsid w:val="00BB3A56"/>
    <w:rsid w:val="00BB4F1D"/>
    <w:rsid w:val="00BC0846"/>
    <w:rsid w:val="00BC1546"/>
    <w:rsid w:val="00BC71B0"/>
    <w:rsid w:val="00BD1CBC"/>
    <w:rsid w:val="00BD68C2"/>
    <w:rsid w:val="00BE60EF"/>
    <w:rsid w:val="00BE6120"/>
    <w:rsid w:val="00BE7C13"/>
    <w:rsid w:val="00BE7EA4"/>
    <w:rsid w:val="00BF1220"/>
    <w:rsid w:val="00BF1696"/>
    <w:rsid w:val="00BF5308"/>
    <w:rsid w:val="00C028E5"/>
    <w:rsid w:val="00C042F9"/>
    <w:rsid w:val="00C05917"/>
    <w:rsid w:val="00C1077E"/>
    <w:rsid w:val="00C13AA3"/>
    <w:rsid w:val="00C15E70"/>
    <w:rsid w:val="00C245B3"/>
    <w:rsid w:val="00C26EB2"/>
    <w:rsid w:val="00C31357"/>
    <w:rsid w:val="00C34147"/>
    <w:rsid w:val="00C3553E"/>
    <w:rsid w:val="00C368E3"/>
    <w:rsid w:val="00C36E10"/>
    <w:rsid w:val="00C400FE"/>
    <w:rsid w:val="00C52B33"/>
    <w:rsid w:val="00C54CC3"/>
    <w:rsid w:val="00C63A54"/>
    <w:rsid w:val="00C73562"/>
    <w:rsid w:val="00C74374"/>
    <w:rsid w:val="00C80D9B"/>
    <w:rsid w:val="00C81ACF"/>
    <w:rsid w:val="00C83491"/>
    <w:rsid w:val="00C9622F"/>
    <w:rsid w:val="00C97FBD"/>
    <w:rsid w:val="00CB51C5"/>
    <w:rsid w:val="00CB57E5"/>
    <w:rsid w:val="00CB5933"/>
    <w:rsid w:val="00CB6FD7"/>
    <w:rsid w:val="00CB722C"/>
    <w:rsid w:val="00CB7838"/>
    <w:rsid w:val="00CC1C46"/>
    <w:rsid w:val="00CC613D"/>
    <w:rsid w:val="00CD09A1"/>
    <w:rsid w:val="00CD127D"/>
    <w:rsid w:val="00CE287C"/>
    <w:rsid w:val="00CE2934"/>
    <w:rsid w:val="00CE5DFC"/>
    <w:rsid w:val="00D02399"/>
    <w:rsid w:val="00D03B35"/>
    <w:rsid w:val="00D042F7"/>
    <w:rsid w:val="00D0698E"/>
    <w:rsid w:val="00D07BAF"/>
    <w:rsid w:val="00D10709"/>
    <w:rsid w:val="00D4624C"/>
    <w:rsid w:val="00D52274"/>
    <w:rsid w:val="00D55363"/>
    <w:rsid w:val="00D5710A"/>
    <w:rsid w:val="00D606A7"/>
    <w:rsid w:val="00D640F0"/>
    <w:rsid w:val="00D64F64"/>
    <w:rsid w:val="00D66B63"/>
    <w:rsid w:val="00D679A4"/>
    <w:rsid w:val="00D74111"/>
    <w:rsid w:val="00D754D6"/>
    <w:rsid w:val="00D75F3D"/>
    <w:rsid w:val="00D80FEA"/>
    <w:rsid w:val="00D82F12"/>
    <w:rsid w:val="00D844DC"/>
    <w:rsid w:val="00D87484"/>
    <w:rsid w:val="00D931DC"/>
    <w:rsid w:val="00D93844"/>
    <w:rsid w:val="00D93F38"/>
    <w:rsid w:val="00D9621B"/>
    <w:rsid w:val="00D9769E"/>
    <w:rsid w:val="00DA0BBF"/>
    <w:rsid w:val="00DA5477"/>
    <w:rsid w:val="00DB0111"/>
    <w:rsid w:val="00DB4671"/>
    <w:rsid w:val="00DB7BFC"/>
    <w:rsid w:val="00DC1777"/>
    <w:rsid w:val="00DC20CB"/>
    <w:rsid w:val="00DC35AF"/>
    <w:rsid w:val="00DC4B10"/>
    <w:rsid w:val="00DD1C6E"/>
    <w:rsid w:val="00DD5211"/>
    <w:rsid w:val="00DE10F1"/>
    <w:rsid w:val="00DE350E"/>
    <w:rsid w:val="00DE481C"/>
    <w:rsid w:val="00DE6F48"/>
    <w:rsid w:val="00DF1B36"/>
    <w:rsid w:val="00DF6693"/>
    <w:rsid w:val="00E00C1E"/>
    <w:rsid w:val="00E04FAA"/>
    <w:rsid w:val="00E0741B"/>
    <w:rsid w:val="00E1526E"/>
    <w:rsid w:val="00E26F18"/>
    <w:rsid w:val="00E322BC"/>
    <w:rsid w:val="00E36C6E"/>
    <w:rsid w:val="00E465C6"/>
    <w:rsid w:val="00E527AB"/>
    <w:rsid w:val="00E52E72"/>
    <w:rsid w:val="00E53AE9"/>
    <w:rsid w:val="00E5568F"/>
    <w:rsid w:val="00E61510"/>
    <w:rsid w:val="00E62248"/>
    <w:rsid w:val="00E66E3E"/>
    <w:rsid w:val="00E766FD"/>
    <w:rsid w:val="00E8222E"/>
    <w:rsid w:val="00E84687"/>
    <w:rsid w:val="00E84EFF"/>
    <w:rsid w:val="00E94886"/>
    <w:rsid w:val="00EA1AE2"/>
    <w:rsid w:val="00EA211A"/>
    <w:rsid w:val="00EA370C"/>
    <w:rsid w:val="00EB5687"/>
    <w:rsid w:val="00EB5779"/>
    <w:rsid w:val="00EB757F"/>
    <w:rsid w:val="00EC6B31"/>
    <w:rsid w:val="00EC6FFB"/>
    <w:rsid w:val="00ED5885"/>
    <w:rsid w:val="00ED5FA2"/>
    <w:rsid w:val="00ED65E4"/>
    <w:rsid w:val="00EE6558"/>
    <w:rsid w:val="00EF3544"/>
    <w:rsid w:val="00EF3B0E"/>
    <w:rsid w:val="00EF6FDF"/>
    <w:rsid w:val="00F05086"/>
    <w:rsid w:val="00F16791"/>
    <w:rsid w:val="00F17374"/>
    <w:rsid w:val="00F31DE4"/>
    <w:rsid w:val="00F3563D"/>
    <w:rsid w:val="00F35E63"/>
    <w:rsid w:val="00F427B8"/>
    <w:rsid w:val="00F47AA4"/>
    <w:rsid w:val="00F50D79"/>
    <w:rsid w:val="00F544D4"/>
    <w:rsid w:val="00F54EFF"/>
    <w:rsid w:val="00F5696D"/>
    <w:rsid w:val="00F63D9F"/>
    <w:rsid w:val="00F6563E"/>
    <w:rsid w:val="00F673F9"/>
    <w:rsid w:val="00F7012E"/>
    <w:rsid w:val="00F73466"/>
    <w:rsid w:val="00F77877"/>
    <w:rsid w:val="00F820D7"/>
    <w:rsid w:val="00F96E0F"/>
    <w:rsid w:val="00FA0F21"/>
    <w:rsid w:val="00FA5F5E"/>
    <w:rsid w:val="00FA64EA"/>
    <w:rsid w:val="00FB4A71"/>
    <w:rsid w:val="00FB54F0"/>
    <w:rsid w:val="00FC2406"/>
    <w:rsid w:val="00FC301B"/>
    <w:rsid w:val="00FC3B7C"/>
    <w:rsid w:val="00FC3ECC"/>
    <w:rsid w:val="00FD2250"/>
    <w:rsid w:val="00FD71BA"/>
    <w:rsid w:val="00FE1E65"/>
    <w:rsid w:val="00FE376B"/>
    <w:rsid w:val="00FE46AE"/>
    <w:rsid w:val="00FE593C"/>
    <w:rsid w:val="00FF3D43"/>
    <w:rsid w:val="00FF43C7"/>
    <w:rsid w:val="019FC181"/>
    <w:rsid w:val="027D09FD"/>
    <w:rsid w:val="034F2065"/>
    <w:rsid w:val="07F201AA"/>
    <w:rsid w:val="07FAFF5A"/>
    <w:rsid w:val="0BFABC13"/>
    <w:rsid w:val="0E687138"/>
    <w:rsid w:val="0E7CE499"/>
    <w:rsid w:val="11F0C69B"/>
    <w:rsid w:val="16BC4157"/>
    <w:rsid w:val="16CB7993"/>
    <w:rsid w:val="1D368FD4"/>
    <w:rsid w:val="1DD10974"/>
    <w:rsid w:val="1E587702"/>
    <w:rsid w:val="1E773DD3"/>
    <w:rsid w:val="20421F64"/>
    <w:rsid w:val="2104076C"/>
    <w:rsid w:val="227AC103"/>
    <w:rsid w:val="235BCFDB"/>
    <w:rsid w:val="23FE7B0D"/>
    <w:rsid w:val="245B6D14"/>
    <w:rsid w:val="281C9ECE"/>
    <w:rsid w:val="2962E322"/>
    <w:rsid w:val="2B7D64A2"/>
    <w:rsid w:val="2BA84C0A"/>
    <w:rsid w:val="2BAED264"/>
    <w:rsid w:val="2BC2BE2C"/>
    <w:rsid w:val="2C17FF0A"/>
    <w:rsid w:val="308C050D"/>
    <w:rsid w:val="33DBCAFB"/>
    <w:rsid w:val="34FA221A"/>
    <w:rsid w:val="35AAD8BB"/>
    <w:rsid w:val="363B5381"/>
    <w:rsid w:val="36874C04"/>
    <w:rsid w:val="37E4EA20"/>
    <w:rsid w:val="381F385D"/>
    <w:rsid w:val="38B49B49"/>
    <w:rsid w:val="3963CDF4"/>
    <w:rsid w:val="39E71541"/>
    <w:rsid w:val="3AC57E70"/>
    <w:rsid w:val="3B1EDB0E"/>
    <w:rsid w:val="3D3142C3"/>
    <w:rsid w:val="403B3CFE"/>
    <w:rsid w:val="40C92FF3"/>
    <w:rsid w:val="41C28FAB"/>
    <w:rsid w:val="41D774E9"/>
    <w:rsid w:val="41D8F1FC"/>
    <w:rsid w:val="454D19AA"/>
    <w:rsid w:val="45605D92"/>
    <w:rsid w:val="45ACAC0F"/>
    <w:rsid w:val="474EBBDE"/>
    <w:rsid w:val="47E67AAD"/>
    <w:rsid w:val="481C186A"/>
    <w:rsid w:val="48F724A3"/>
    <w:rsid w:val="4948D570"/>
    <w:rsid w:val="4B1C74E1"/>
    <w:rsid w:val="4E62737B"/>
    <w:rsid w:val="500ACD98"/>
    <w:rsid w:val="50EBC853"/>
    <w:rsid w:val="520D36AC"/>
    <w:rsid w:val="53E50020"/>
    <w:rsid w:val="5462713B"/>
    <w:rsid w:val="568C44DD"/>
    <w:rsid w:val="57ED1E2B"/>
    <w:rsid w:val="5A36E744"/>
    <w:rsid w:val="5ACE49DF"/>
    <w:rsid w:val="5CFBB3C0"/>
    <w:rsid w:val="5E187B37"/>
    <w:rsid w:val="5E25C432"/>
    <w:rsid w:val="5FD68B59"/>
    <w:rsid w:val="61F51B58"/>
    <w:rsid w:val="631E60E7"/>
    <w:rsid w:val="65B8573E"/>
    <w:rsid w:val="6799789E"/>
    <w:rsid w:val="6A1BEA7E"/>
    <w:rsid w:val="6A47CA58"/>
    <w:rsid w:val="70732247"/>
    <w:rsid w:val="730641CF"/>
    <w:rsid w:val="748B9F29"/>
    <w:rsid w:val="74F4AC70"/>
    <w:rsid w:val="75129777"/>
    <w:rsid w:val="75603DB4"/>
    <w:rsid w:val="773020C6"/>
    <w:rsid w:val="7777BDD9"/>
    <w:rsid w:val="78764510"/>
    <w:rsid w:val="7C40D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6C7D"/>
  <w15:chartTrackingRefBased/>
  <w15:docId w15:val="{8431D6E1-9165-4101-8B3F-C70E0C00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13A2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274"/>
    <w:rPr>
      <w:color w:val="0563C1" w:themeColor="hyperlink"/>
      <w:u w:val="single"/>
    </w:rPr>
  </w:style>
  <w:style w:type="character" w:styleId="UnresolvedMention">
    <w:name w:val="Unresolved Mention"/>
    <w:basedOn w:val="DefaultParagraphFont"/>
    <w:uiPriority w:val="99"/>
    <w:semiHidden/>
    <w:unhideWhenUsed/>
    <w:rsid w:val="00D52274"/>
    <w:rPr>
      <w:color w:val="605E5C"/>
      <w:shd w:val="clear" w:color="auto" w:fill="E1DFDD"/>
    </w:rPr>
  </w:style>
  <w:style w:type="paragraph" w:styleId="ListParagraph">
    <w:name w:val="List Paragraph"/>
    <w:basedOn w:val="Normal"/>
    <w:uiPriority w:val="34"/>
    <w:qFormat/>
    <w:rsid w:val="005076A1"/>
    <w:pPr>
      <w:ind w:left="720"/>
      <w:contextualSpacing/>
    </w:pPr>
  </w:style>
  <w:style w:type="paragraph" w:styleId="NoSpacing">
    <w:name w:val="No Spacing"/>
    <w:uiPriority w:val="1"/>
    <w:qFormat/>
    <w:rsid w:val="00B0342B"/>
    <w:pPr>
      <w:spacing w:after="0" w:line="240" w:lineRule="auto"/>
    </w:pPr>
    <w:rPr>
      <w:sz w:val="16"/>
    </w:rPr>
  </w:style>
  <w:style w:type="character" w:styleId="Strong">
    <w:name w:val="Strong"/>
    <w:basedOn w:val="DefaultParagraphFont"/>
    <w:uiPriority w:val="22"/>
    <w:qFormat/>
    <w:rsid w:val="002C503F"/>
    <w:rPr>
      <w:b/>
      <w:bCs/>
    </w:rPr>
  </w:style>
  <w:style w:type="character" w:customStyle="1" w:styleId="text">
    <w:name w:val="text"/>
    <w:basedOn w:val="DefaultParagraphFont"/>
    <w:rsid w:val="002C503F"/>
  </w:style>
  <w:style w:type="paragraph" w:customStyle="1" w:styleId="message">
    <w:name w:val="message"/>
    <w:basedOn w:val="Normal"/>
    <w:rsid w:val="002C50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26EB2"/>
    <w:rPr>
      <w:sz w:val="16"/>
      <w:szCs w:val="16"/>
    </w:rPr>
  </w:style>
  <w:style w:type="paragraph" w:styleId="CommentText">
    <w:name w:val="annotation text"/>
    <w:basedOn w:val="Normal"/>
    <w:link w:val="CommentTextChar"/>
    <w:uiPriority w:val="99"/>
    <w:unhideWhenUsed/>
    <w:rsid w:val="00C26EB2"/>
    <w:pPr>
      <w:spacing w:line="240" w:lineRule="auto"/>
    </w:pPr>
    <w:rPr>
      <w:sz w:val="20"/>
      <w:szCs w:val="20"/>
    </w:rPr>
  </w:style>
  <w:style w:type="character" w:customStyle="1" w:styleId="CommentTextChar">
    <w:name w:val="Comment Text Char"/>
    <w:basedOn w:val="DefaultParagraphFont"/>
    <w:link w:val="CommentText"/>
    <w:uiPriority w:val="99"/>
    <w:rsid w:val="00C26EB2"/>
    <w:rPr>
      <w:sz w:val="20"/>
      <w:szCs w:val="20"/>
    </w:rPr>
  </w:style>
  <w:style w:type="paragraph" w:styleId="CommentSubject">
    <w:name w:val="annotation subject"/>
    <w:basedOn w:val="CommentText"/>
    <w:next w:val="CommentText"/>
    <w:link w:val="CommentSubjectChar"/>
    <w:uiPriority w:val="99"/>
    <w:semiHidden/>
    <w:unhideWhenUsed/>
    <w:rsid w:val="00C26EB2"/>
    <w:rPr>
      <w:b/>
      <w:bCs/>
    </w:rPr>
  </w:style>
  <w:style w:type="character" w:customStyle="1" w:styleId="CommentSubjectChar">
    <w:name w:val="Comment Subject Char"/>
    <w:basedOn w:val="CommentTextChar"/>
    <w:link w:val="CommentSubject"/>
    <w:uiPriority w:val="99"/>
    <w:semiHidden/>
    <w:rsid w:val="00C26EB2"/>
    <w:rPr>
      <w:b/>
      <w:bCs/>
      <w:sz w:val="20"/>
      <w:szCs w:val="20"/>
    </w:rPr>
  </w:style>
  <w:style w:type="character" w:customStyle="1" w:styleId="author">
    <w:name w:val="author"/>
    <w:basedOn w:val="DefaultParagraphFont"/>
    <w:rsid w:val="00A54E7A"/>
  </w:style>
  <w:style w:type="character" w:customStyle="1" w:styleId="pubyear">
    <w:name w:val="pubyear"/>
    <w:basedOn w:val="DefaultParagraphFont"/>
    <w:rsid w:val="00A54E7A"/>
  </w:style>
  <w:style w:type="character" w:customStyle="1" w:styleId="articletitle">
    <w:name w:val="articletitle"/>
    <w:basedOn w:val="DefaultParagraphFont"/>
    <w:rsid w:val="00A54E7A"/>
  </w:style>
  <w:style w:type="character" w:customStyle="1" w:styleId="vol">
    <w:name w:val="vol"/>
    <w:basedOn w:val="DefaultParagraphFont"/>
    <w:rsid w:val="00A54E7A"/>
  </w:style>
  <w:style w:type="character" w:customStyle="1" w:styleId="pagefirst">
    <w:name w:val="pagefirst"/>
    <w:basedOn w:val="DefaultParagraphFont"/>
    <w:rsid w:val="00A54E7A"/>
  </w:style>
  <w:style w:type="character" w:customStyle="1" w:styleId="pagelast">
    <w:name w:val="pagelast"/>
    <w:basedOn w:val="DefaultParagraphFont"/>
    <w:rsid w:val="00A54E7A"/>
  </w:style>
  <w:style w:type="paragraph" w:styleId="EndnoteText">
    <w:name w:val="endnote text"/>
    <w:basedOn w:val="Normal"/>
    <w:link w:val="EndnoteTextChar"/>
    <w:uiPriority w:val="99"/>
    <w:semiHidden/>
    <w:unhideWhenUsed/>
    <w:rsid w:val="00C400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00FE"/>
    <w:rPr>
      <w:sz w:val="20"/>
      <w:szCs w:val="20"/>
    </w:rPr>
  </w:style>
  <w:style w:type="character" w:styleId="EndnoteReference">
    <w:name w:val="endnote reference"/>
    <w:basedOn w:val="DefaultParagraphFont"/>
    <w:uiPriority w:val="99"/>
    <w:semiHidden/>
    <w:unhideWhenUsed/>
    <w:rsid w:val="00C400FE"/>
    <w:rPr>
      <w:vertAlign w:val="superscript"/>
    </w:rPr>
  </w:style>
  <w:style w:type="paragraph" w:styleId="FootnoteText">
    <w:name w:val="footnote text"/>
    <w:basedOn w:val="Normal"/>
    <w:link w:val="FootnoteTextChar"/>
    <w:uiPriority w:val="99"/>
    <w:semiHidden/>
    <w:unhideWhenUsed/>
    <w:rsid w:val="00E52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E72"/>
    <w:rPr>
      <w:sz w:val="20"/>
      <w:szCs w:val="20"/>
    </w:rPr>
  </w:style>
  <w:style w:type="character" w:styleId="FootnoteReference">
    <w:name w:val="footnote reference"/>
    <w:basedOn w:val="DefaultParagraphFont"/>
    <w:uiPriority w:val="99"/>
    <w:semiHidden/>
    <w:unhideWhenUsed/>
    <w:rsid w:val="00E52E72"/>
    <w:rPr>
      <w:vertAlign w:val="superscript"/>
    </w:rPr>
  </w:style>
  <w:style w:type="paragraph" w:styleId="NormalWeb">
    <w:name w:val="Normal (Web)"/>
    <w:basedOn w:val="Normal"/>
    <w:uiPriority w:val="99"/>
    <w:unhideWhenUsed/>
    <w:rsid w:val="00D023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413A2E"/>
    <w:rPr>
      <w:rFonts w:ascii="Times New Roman" w:eastAsia="Times New Roman" w:hAnsi="Times New Roman" w:cs="Times New Roman"/>
      <w:b/>
      <w:bCs/>
      <w:sz w:val="36"/>
      <w:szCs w:val="36"/>
      <w:lang w:eastAsia="en-GB"/>
    </w:rPr>
  </w:style>
  <w:style w:type="character" w:customStyle="1" w:styleId="cf01">
    <w:name w:val="cf01"/>
    <w:basedOn w:val="DefaultParagraphFont"/>
    <w:rsid w:val="00FD71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69614">
      <w:bodyDiv w:val="1"/>
      <w:marLeft w:val="0"/>
      <w:marRight w:val="0"/>
      <w:marTop w:val="0"/>
      <w:marBottom w:val="0"/>
      <w:divBdr>
        <w:top w:val="none" w:sz="0" w:space="0" w:color="auto"/>
        <w:left w:val="none" w:sz="0" w:space="0" w:color="auto"/>
        <w:bottom w:val="none" w:sz="0" w:space="0" w:color="auto"/>
        <w:right w:val="none" w:sz="0" w:space="0" w:color="auto"/>
      </w:divBdr>
    </w:div>
    <w:div w:id="868226035">
      <w:bodyDiv w:val="1"/>
      <w:marLeft w:val="0"/>
      <w:marRight w:val="0"/>
      <w:marTop w:val="0"/>
      <w:marBottom w:val="0"/>
      <w:divBdr>
        <w:top w:val="none" w:sz="0" w:space="0" w:color="auto"/>
        <w:left w:val="none" w:sz="0" w:space="0" w:color="auto"/>
        <w:bottom w:val="none" w:sz="0" w:space="0" w:color="auto"/>
        <w:right w:val="none" w:sz="0" w:space="0" w:color="auto"/>
      </w:divBdr>
      <w:divsChild>
        <w:div w:id="535122507">
          <w:marLeft w:val="0"/>
          <w:marRight w:val="0"/>
          <w:marTop w:val="0"/>
          <w:marBottom w:val="0"/>
          <w:divBdr>
            <w:top w:val="none" w:sz="0" w:space="0" w:color="auto"/>
            <w:left w:val="none" w:sz="0" w:space="0" w:color="auto"/>
            <w:bottom w:val="none" w:sz="0" w:space="0" w:color="auto"/>
            <w:right w:val="none" w:sz="0" w:space="0" w:color="auto"/>
          </w:divBdr>
          <w:divsChild>
            <w:div w:id="466775055">
              <w:marLeft w:val="0"/>
              <w:marRight w:val="0"/>
              <w:marTop w:val="0"/>
              <w:marBottom w:val="0"/>
              <w:divBdr>
                <w:top w:val="none" w:sz="0" w:space="0" w:color="auto"/>
                <w:left w:val="none" w:sz="0" w:space="0" w:color="auto"/>
                <w:bottom w:val="none" w:sz="0" w:space="0" w:color="auto"/>
                <w:right w:val="none" w:sz="0" w:space="0" w:color="auto"/>
              </w:divBdr>
            </w:div>
          </w:divsChild>
        </w:div>
        <w:div w:id="989016109">
          <w:marLeft w:val="0"/>
          <w:marRight w:val="0"/>
          <w:marTop w:val="0"/>
          <w:marBottom w:val="0"/>
          <w:divBdr>
            <w:top w:val="none" w:sz="0" w:space="0" w:color="auto"/>
            <w:left w:val="none" w:sz="0" w:space="0" w:color="auto"/>
            <w:bottom w:val="none" w:sz="0" w:space="0" w:color="auto"/>
            <w:right w:val="none" w:sz="0" w:space="0" w:color="auto"/>
          </w:divBdr>
        </w:div>
        <w:div w:id="99450506">
          <w:marLeft w:val="0"/>
          <w:marRight w:val="0"/>
          <w:marTop w:val="0"/>
          <w:marBottom w:val="0"/>
          <w:divBdr>
            <w:top w:val="none" w:sz="0" w:space="0" w:color="auto"/>
            <w:left w:val="none" w:sz="0" w:space="0" w:color="auto"/>
            <w:bottom w:val="none" w:sz="0" w:space="0" w:color="auto"/>
            <w:right w:val="none" w:sz="0" w:space="0" w:color="auto"/>
          </w:divBdr>
          <w:divsChild>
            <w:div w:id="2008052784">
              <w:marLeft w:val="0"/>
              <w:marRight w:val="360"/>
              <w:marTop w:val="0"/>
              <w:marBottom w:val="0"/>
              <w:divBdr>
                <w:top w:val="none" w:sz="0" w:space="0" w:color="auto"/>
                <w:left w:val="none" w:sz="0" w:space="0" w:color="auto"/>
                <w:bottom w:val="none" w:sz="0" w:space="0" w:color="auto"/>
                <w:right w:val="none" w:sz="0" w:space="0" w:color="auto"/>
              </w:divBdr>
              <w:divsChild>
                <w:div w:id="11435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3461">
      <w:bodyDiv w:val="1"/>
      <w:marLeft w:val="0"/>
      <w:marRight w:val="0"/>
      <w:marTop w:val="0"/>
      <w:marBottom w:val="0"/>
      <w:divBdr>
        <w:top w:val="none" w:sz="0" w:space="0" w:color="auto"/>
        <w:left w:val="none" w:sz="0" w:space="0" w:color="auto"/>
        <w:bottom w:val="none" w:sz="0" w:space="0" w:color="auto"/>
        <w:right w:val="none" w:sz="0" w:space="0" w:color="auto"/>
      </w:divBdr>
    </w:div>
    <w:div w:id="1273367826">
      <w:bodyDiv w:val="1"/>
      <w:marLeft w:val="0"/>
      <w:marRight w:val="0"/>
      <w:marTop w:val="0"/>
      <w:marBottom w:val="0"/>
      <w:divBdr>
        <w:top w:val="none" w:sz="0" w:space="0" w:color="auto"/>
        <w:left w:val="none" w:sz="0" w:space="0" w:color="auto"/>
        <w:bottom w:val="none" w:sz="0" w:space="0" w:color="auto"/>
        <w:right w:val="none" w:sz="0" w:space="0" w:color="auto"/>
      </w:divBdr>
    </w:div>
    <w:div w:id="13417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111/jir.12884" TargetMode="External"/><Relationship Id="rId4" Type="http://schemas.openxmlformats.org/officeDocument/2006/relationships/settings" Target="settings.xml"/><Relationship Id="rId9" Type="http://schemas.openxmlformats.org/officeDocument/2006/relationships/hyperlink" Target="https://cid.org.au/resource/covid-19-leave-no-one-beh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88912-2DF1-4D37-AB0C-728053E3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Peart</dc:creator>
  <cp:keywords/>
  <dc:description/>
  <cp:lastModifiedBy>Heidi Peart</cp:lastModifiedBy>
  <cp:revision>35</cp:revision>
  <dcterms:created xsi:type="dcterms:W3CDTF">2023-02-12T00:14:00Z</dcterms:created>
  <dcterms:modified xsi:type="dcterms:W3CDTF">2023-02-12T01:36:00Z</dcterms:modified>
</cp:coreProperties>
</file>