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1678F" w14:textId="77777777" w:rsidR="00315052" w:rsidRPr="00523C38" w:rsidRDefault="00315052" w:rsidP="00523C38">
      <w:pPr>
        <w:autoSpaceDE w:val="0"/>
        <w:autoSpaceDN w:val="0"/>
        <w:adjustRightInd w:val="0"/>
        <w:spacing w:after="0" w:line="240" w:lineRule="auto"/>
        <w:jc w:val="both"/>
        <w:rPr>
          <w:rFonts w:ascii="Arial" w:hAnsi="Arial" w:cs="Arial"/>
          <w:b/>
          <w:color w:val="000000" w:themeColor="text1"/>
          <w:sz w:val="20"/>
          <w:szCs w:val="20"/>
          <w:lang w:val="fr-FR"/>
        </w:rPr>
      </w:pPr>
      <w:bookmarkStart w:id="0" w:name="_GoBack"/>
      <w:bookmarkEnd w:id="0"/>
    </w:p>
    <w:p w14:paraId="074EDB67" w14:textId="0BEEEB7F" w:rsidR="005A3D4C" w:rsidRPr="002720F5" w:rsidRDefault="00DD39E2" w:rsidP="00583B7D">
      <w:pPr>
        <w:autoSpaceDE w:val="0"/>
        <w:autoSpaceDN w:val="0"/>
        <w:adjustRightInd w:val="0"/>
        <w:spacing w:after="0" w:line="240" w:lineRule="auto"/>
        <w:ind w:left="1416"/>
        <w:jc w:val="both"/>
        <w:rPr>
          <w:rFonts w:ascii="Arial" w:hAnsi="Arial" w:cs="Arial"/>
          <w:b/>
          <w:color w:val="000000" w:themeColor="text1"/>
          <w:sz w:val="20"/>
          <w:szCs w:val="20"/>
          <w:lang w:val="fr-FR"/>
        </w:rPr>
      </w:pP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83B7D">
        <w:rPr>
          <w:rFonts w:ascii="Arial" w:hAnsi="Arial" w:cs="Arial"/>
          <w:color w:val="000000" w:themeColor="text1"/>
          <w:sz w:val="20"/>
          <w:szCs w:val="20"/>
          <w:lang w:val="fr-FR"/>
        </w:rPr>
        <w:tab/>
      </w:r>
      <w:r w:rsidR="005A3D4C" w:rsidRPr="002720F5">
        <w:rPr>
          <w:rFonts w:ascii="Arial" w:hAnsi="Arial" w:cs="Arial"/>
          <w:color w:val="000000" w:themeColor="text1"/>
          <w:sz w:val="20"/>
          <w:szCs w:val="20"/>
          <w:lang w:val="fr-FR"/>
        </w:rPr>
        <w:t xml:space="preserve">Berne, </w:t>
      </w:r>
      <w:r w:rsidR="007877A6">
        <w:rPr>
          <w:rFonts w:ascii="Arial" w:hAnsi="Arial" w:cs="Arial"/>
          <w:color w:val="000000" w:themeColor="text1"/>
          <w:sz w:val="20"/>
          <w:szCs w:val="20"/>
          <w:lang w:val="fr-FR"/>
        </w:rPr>
        <w:t>15 février</w:t>
      </w:r>
      <w:r w:rsidR="005A3D4C" w:rsidRPr="002720F5">
        <w:rPr>
          <w:rFonts w:ascii="Arial" w:hAnsi="Arial" w:cs="Arial"/>
          <w:color w:val="000000" w:themeColor="text1"/>
          <w:sz w:val="20"/>
          <w:szCs w:val="20"/>
          <w:lang w:val="fr-FR"/>
        </w:rPr>
        <w:t xml:space="preserve"> 2022</w:t>
      </w:r>
    </w:p>
    <w:p w14:paraId="7743BAF5" w14:textId="77777777" w:rsidR="00BB6914" w:rsidRPr="00583B7D" w:rsidRDefault="00BB6914" w:rsidP="00583B7D">
      <w:pPr>
        <w:autoSpaceDE w:val="0"/>
        <w:autoSpaceDN w:val="0"/>
        <w:adjustRightInd w:val="0"/>
        <w:spacing w:after="0" w:line="240" w:lineRule="auto"/>
        <w:jc w:val="both"/>
        <w:rPr>
          <w:rFonts w:ascii="Arial" w:hAnsi="Arial" w:cs="Arial"/>
          <w:color w:val="000000" w:themeColor="text1"/>
          <w:sz w:val="20"/>
          <w:szCs w:val="20"/>
          <w:lang w:val="fr-FR"/>
        </w:rPr>
      </w:pPr>
    </w:p>
    <w:p w14:paraId="7C684036" w14:textId="0585CE98" w:rsidR="00FC4E9C" w:rsidRPr="00583B7D" w:rsidRDefault="00503292" w:rsidP="00583B7D">
      <w:pPr>
        <w:pBdr>
          <w:bottom w:val="single" w:sz="6" w:space="0" w:color="auto"/>
        </w:pBdr>
        <w:autoSpaceDE w:val="0"/>
        <w:autoSpaceDN w:val="0"/>
        <w:adjustRightInd w:val="0"/>
        <w:spacing w:after="0" w:line="240" w:lineRule="auto"/>
        <w:jc w:val="both"/>
        <w:rPr>
          <w:rFonts w:ascii="Arial" w:hAnsi="Arial" w:cs="Arial"/>
          <w:b/>
          <w:color w:val="000000" w:themeColor="text1"/>
          <w:sz w:val="20"/>
          <w:szCs w:val="20"/>
          <w:lang w:val="fr-FR"/>
        </w:rPr>
      </w:pPr>
      <w:r w:rsidRPr="00583B7D">
        <w:rPr>
          <w:rFonts w:ascii="Arial" w:hAnsi="Arial" w:cs="Arial"/>
          <w:b/>
          <w:color w:val="000000" w:themeColor="text1"/>
          <w:sz w:val="20"/>
          <w:szCs w:val="20"/>
          <w:lang w:val="fr-FR"/>
        </w:rPr>
        <w:t xml:space="preserve">Réponse de la Suisse </w:t>
      </w:r>
      <w:r w:rsidR="00DD39E2" w:rsidRPr="00583B7D">
        <w:rPr>
          <w:rFonts w:ascii="Arial" w:hAnsi="Arial" w:cs="Arial"/>
          <w:b/>
          <w:color w:val="000000" w:themeColor="text1"/>
          <w:sz w:val="20"/>
          <w:szCs w:val="20"/>
          <w:lang w:val="fr-FR"/>
        </w:rPr>
        <w:t xml:space="preserve">à l’appel </w:t>
      </w:r>
      <w:r w:rsidR="007877A6" w:rsidRPr="007877A6">
        <w:rPr>
          <w:rFonts w:ascii="Arial" w:hAnsi="Arial" w:cs="Arial"/>
          <w:b/>
          <w:color w:val="000000" w:themeColor="text1"/>
          <w:sz w:val="20"/>
          <w:szCs w:val="20"/>
          <w:lang w:val="fr-FR"/>
        </w:rPr>
        <w:t>à contributions écrites concernant la Journée de discussion générale sur les personnes handicapées dans les situations de risque et d'urgence humanitaire (article 11 de la Convention relative aux droits des personnes handicapées [CDPH])</w:t>
      </w:r>
    </w:p>
    <w:p w14:paraId="46745785" w14:textId="77777777" w:rsidR="000B0391" w:rsidRPr="00583B7D" w:rsidRDefault="000B0391" w:rsidP="00583B7D">
      <w:pPr>
        <w:pBdr>
          <w:bottom w:val="single" w:sz="6" w:space="0" w:color="auto"/>
        </w:pBdr>
        <w:autoSpaceDE w:val="0"/>
        <w:autoSpaceDN w:val="0"/>
        <w:adjustRightInd w:val="0"/>
        <w:spacing w:after="0" w:line="240" w:lineRule="auto"/>
        <w:jc w:val="both"/>
        <w:rPr>
          <w:rFonts w:ascii="Arial" w:hAnsi="Arial" w:cs="Arial"/>
          <w:b/>
          <w:bCs/>
          <w:color w:val="000000" w:themeColor="text1"/>
          <w:sz w:val="20"/>
          <w:szCs w:val="20"/>
          <w:lang w:val="fr-CH"/>
        </w:rPr>
      </w:pPr>
    </w:p>
    <w:p w14:paraId="29CDB7C5" w14:textId="077A0C7D" w:rsidR="00DD39E2" w:rsidRDefault="00DD39E2" w:rsidP="00583B7D">
      <w:pPr>
        <w:spacing w:after="0" w:line="240" w:lineRule="auto"/>
        <w:jc w:val="both"/>
        <w:rPr>
          <w:rFonts w:ascii="Arial" w:hAnsi="Arial" w:cs="Arial"/>
          <w:sz w:val="20"/>
          <w:szCs w:val="20"/>
          <w:lang w:val="fr-CH"/>
        </w:rPr>
      </w:pPr>
    </w:p>
    <w:p w14:paraId="0D275D71" w14:textId="77777777" w:rsidR="007877A6" w:rsidRPr="0046206F" w:rsidRDefault="007877A6" w:rsidP="007877A6">
      <w:pPr>
        <w:jc w:val="both"/>
        <w:rPr>
          <w:rFonts w:ascii="Arial" w:hAnsi="Arial" w:cs="Arial"/>
          <w:b/>
          <w:bCs/>
          <w:sz w:val="20"/>
          <w:szCs w:val="20"/>
          <w:u w:val="single"/>
          <w:lang w:val="fr-CH"/>
        </w:rPr>
      </w:pPr>
      <w:r w:rsidRPr="5F18607A">
        <w:rPr>
          <w:rFonts w:ascii="Arial" w:hAnsi="Arial" w:cs="Arial"/>
          <w:b/>
          <w:bCs/>
          <w:sz w:val="20"/>
          <w:szCs w:val="20"/>
          <w:u w:val="single"/>
          <w:lang w:val="fr-CH"/>
        </w:rPr>
        <w:t>Entrée générale :</w:t>
      </w:r>
    </w:p>
    <w:p w14:paraId="3A387AAA" w14:textId="77777777" w:rsidR="007877A6" w:rsidRPr="0046206F" w:rsidRDefault="007877A6" w:rsidP="007877A6">
      <w:pPr>
        <w:jc w:val="both"/>
        <w:rPr>
          <w:rFonts w:ascii="Arial" w:hAnsi="Arial" w:cs="Arial"/>
          <w:sz w:val="20"/>
          <w:szCs w:val="20"/>
          <w:lang w:val="fr-CH"/>
        </w:rPr>
      </w:pPr>
    </w:p>
    <w:p w14:paraId="23C69198" w14:textId="77777777" w:rsidR="007877A6" w:rsidRPr="007052AA" w:rsidRDefault="007877A6" w:rsidP="007877A6">
      <w:pPr>
        <w:jc w:val="both"/>
        <w:rPr>
          <w:rFonts w:ascii="Arial" w:hAnsi="Arial" w:cs="Arial"/>
          <w:sz w:val="20"/>
          <w:szCs w:val="20"/>
          <w:lang w:val="fr-CH"/>
        </w:rPr>
      </w:pPr>
      <w:r w:rsidRPr="5F18607A">
        <w:rPr>
          <w:rFonts w:ascii="Arial" w:hAnsi="Arial" w:cs="Arial"/>
          <w:sz w:val="20"/>
          <w:szCs w:val="20"/>
          <w:lang w:val="fr-CH"/>
        </w:rPr>
        <w:t>La Suisse saisit cette occasion pour s'exprimer notamment sur l'élaboration prochaine d'une observation générale sur la protection et les droits des personnes handicapées dans les situations</w:t>
      </w:r>
      <w:r w:rsidRPr="5F18607A">
        <w:rPr>
          <w:rFonts w:ascii="Helvetica" w:eastAsia="Times New Roman" w:hAnsi="Helvetica" w:cs="Helvetica"/>
          <w:color w:val="000000" w:themeColor="text1"/>
          <w:sz w:val="20"/>
          <w:szCs w:val="20"/>
          <w:lang w:val="fr-CH" w:eastAsia="en-GB"/>
        </w:rPr>
        <w:t xml:space="preserve"> de risque et d'urgence humanitaire.</w:t>
      </w:r>
    </w:p>
    <w:p w14:paraId="13CC32C9" w14:textId="77777777" w:rsidR="007877A6" w:rsidRPr="007052AA" w:rsidRDefault="007877A6" w:rsidP="007877A6">
      <w:pPr>
        <w:jc w:val="both"/>
        <w:rPr>
          <w:rFonts w:ascii="Arial" w:hAnsi="Arial" w:cs="Arial"/>
          <w:sz w:val="20"/>
          <w:szCs w:val="20"/>
          <w:lang w:val="fr-CH"/>
        </w:rPr>
      </w:pPr>
    </w:p>
    <w:p w14:paraId="1BC51633" w14:textId="77777777" w:rsidR="007877A6" w:rsidRDefault="007877A6" w:rsidP="007877A6">
      <w:pPr>
        <w:jc w:val="both"/>
        <w:rPr>
          <w:rFonts w:ascii="Arial" w:hAnsi="Arial" w:cs="Arial"/>
          <w:sz w:val="20"/>
          <w:szCs w:val="20"/>
          <w:lang w:val="fr-CH"/>
        </w:rPr>
      </w:pPr>
      <w:r w:rsidRPr="5F18607A">
        <w:rPr>
          <w:rFonts w:ascii="Arial" w:hAnsi="Arial" w:cs="Arial"/>
          <w:sz w:val="20"/>
          <w:szCs w:val="20"/>
          <w:lang w:val="fr-CH"/>
        </w:rPr>
        <w:t>La Suisse salue l'élaboration d'une telle observation. Celui-ci peut apporter des précisions précieuses pour clarifier le contenu de l'article 11 de la Convention. Le Comité apporte ainsi une contribution bienvenue à la clarification du droit à la sécurité dans les situations d'urgence pour les personnes handicapées et des obligations de tous les acteurs impliqués dans la gestion des situations de risque, y compris les conflits armés, les crises humanitaires et les catastrophes naturelles.</w:t>
      </w:r>
    </w:p>
    <w:p w14:paraId="72F15972" w14:textId="77777777" w:rsidR="007877A6" w:rsidRPr="0046206F" w:rsidRDefault="007877A6" w:rsidP="007877A6">
      <w:pPr>
        <w:jc w:val="both"/>
        <w:rPr>
          <w:rFonts w:ascii="Arial" w:hAnsi="Arial" w:cs="Arial"/>
          <w:sz w:val="20"/>
          <w:szCs w:val="20"/>
          <w:lang w:val="fr-CH"/>
        </w:rPr>
      </w:pPr>
    </w:p>
    <w:p w14:paraId="30017016" w14:textId="77777777" w:rsidR="007877A6" w:rsidRPr="0046206F" w:rsidRDefault="007877A6" w:rsidP="007877A6">
      <w:pPr>
        <w:jc w:val="both"/>
        <w:rPr>
          <w:rFonts w:ascii="Arial" w:hAnsi="Arial" w:cs="Arial"/>
          <w:sz w:val="20"/>
          <w:szCs w:val="20"/>
          <w:lang w:val="fr-CH"/>
        </w:rPr>
      </w:pPr>
      <w:r w:rsidRPr="5F18607A">
        <w:rPr>
          <w:rFonts w:ascii="Arial" w:hAnsi="Arial" w:cs="Arial"/>
          <w:sz w:val="20"/>
          <w:szCs w:val="20"/>
          <w:lang w:val="fr-CH"/>
        </w:rPr>
        <w:t>Du point de vue de la Suisse, cela est d'autant plus pertinent que la CDPH inscrit pour la première fois dans le droit international le droit à la sécurité dans les situations d'urgence pour les personnes handicapées. Bien que les personnes avec handicap disposent des mêmes droits que les personnes sans handicap, même dans les situations d'urgence, elles sont souvent confrontées à des désavantages dans la pratique en raison du manque d'informations, d'accessibilité ou de l'absence de mesures adéquates. De plus, en raison de stéréotypes et de services qui ne résistent pas à la crise, les personnes handicapées peuvent être particulièrement vulnérables et exposées au risque d'abus dans les situations de crise.</w:t>
      </w:r>
    </w:p>
    <w:p w14:paraId="4235D7A1" w14:textId="77777777" w:rsidR="007877A6" w:rsidRPr="0046206F" w:rsidRDefault="007877A6" w:rsidP="007877A6">
      <w:pPr>
        <w:jc w:val="both"/>
        <w:rPr>
          <w:rFonts w:ascii="Arial" w:hAnsi="Arial" w:cs="Arial"/>
          <w:sz w:val="20"/>
          <w:szCs w:val="20"/>
          <w:lang w:val="fr-CH"/>
        </w:rPr>
      </w:pPr>
    </w:p>
    <w:p w14:paraId="269E1AF3" w14:textId="77777777" w:rsidR="007877A6" w:rsidRPr="00405F6F" w:rsidRDefault="007877A6" w:rsidP="007877A6">
      <w:pPr>
        <w:jc w:val="both"/>
        <w:rPr>
          <w:rFonts w:ascii="Arial" w:hAnsi="Arial" w:cs="Arial"/>
          <w:color w:val="000000" w:themeColor="text1"/>
          <w:sz w:val="20"/>
          <w:szCs w:val="20"/>
          <w:lang w:val="fr-CH"/>
        </w:rPr>
      </w:pPr>
      <w:r w:rsidRPr="00405F6F">
        <w:rPr>
          <w:rFonts w:ascii="Arial" w:hAnsi="Arial" w:cs="Arial"/>
          <w:color w:val="000000" w:themeColor="text1"/>
          <w:sz w:val="20"/>
          <w:szCs w:val="20"/>
          <w:lang w:val="fr-CH"/>
        </w:rPr>
        <w:t xml:space="preserve">En consacrant le droit concret à la protection et à la sécurité des personnes handicapées dans les situations de risque, y compris les conflits armés, les crises humanitaires et les catastrophes naturelles, l'art. 11 de la CDPH fonde, du point de vue de la Suisse, un droit minimal à satisfaire directement pour assurer la survie en situation d'urgence. Cela signifie que dans ces situations, qui menacent de manière très générale la population, les États doivent prendre toutes les mesures nécessaires pour protéger spécifiquement les personnes handicapées. Dans ce contexte, un non-respect constitue une présomption de violation des obligations de droit international public difficilement réfutable. </w:t>
      </w:r>
      <w:r w:rsidRPr="00405F6F">
        <w:rPr>
          <w:rFonts w:ascii="Arial" w:eastAsia="Arial" w:hAnsi="Arial" w:cs="Arial"/>
          <w:color w:val="000000" w:themeColor="text1"/>
          <w:sz w:val="20"/>
          <w:szCs w:val="20"/>
          <w:lang w:val="fr-CH"/>
        </w:rPr>
        <w:t>Il convient de mentionner le Cadre de Sendai pour la réduction des risques de catastrophes 2015-2030, qui est particulièrement pertinent dans la mesure où l'article 11 de la CRPD ne décrit pas seulement les crises et les conflits, mais aussi les situations de crise provoquées par des catastrophes naturelles. Le cadre vise à renforcer la prévention des catastrophes et souligne spécifiquement l'importance de l'intégration des personnes handicapées pendant les phases de rétablissement, de réhabilitation et de reconstruction.</w:t>
      </w:r>
    </w:p>
    <w:p w14:paraId="1A7C9F7E" w14:textId="77777777" w:rsidR="007877A6" w:rsidRPr="0046206F" w:rsidRDefault="007877A6" w:rsidP="007877A6">
      <w:pPr>
        <w:jc w:val="both"/>
        <w:rPr>
          <w:rFonts w:ascii="Arial" w:hAnsi="Arial" w:cs="Arial"/>
          <w:sz w:val="20"/>
          <w:szCs w:val="20"/>
          <w:lang w:val="fr-CH"/>
        </w:rPr>
      </w:pPr>
    </w:p>
    <w:p w14:paraId="39FF55A1" w14:textId="77777777" w:rsidR="007877A6" w:rsidRPr="0046206F" w:rsidRDefault="007877A6" w:rsidP="007877A6">
      <w:pPr>
        <w:jc w:val="both"/>
        <w:rPr>
          <w:rFonts w:ascii="Arial" w:hAnsi="Arial" w:cs="Arial"/>
          <w:sz w:val="20"/>
          <w:szCs w:val="20"/>
          <w:lang w:val="fr-CH"/>
        </w:rPr>
      </w:pPr>
      <w:r w:rsidRPr="5F18607A">
        <w:rPr>
          <w:rFonts w:ascii="Arial" w:eastAsia="Times New Roman" w:hAnsi="Arial" w:cs="Times New Roman"/>
          <w:sz w:val="20"/>
          <w:szCs w:val="20"/>
          <w:lang w:val="fr-CH"/>
        </w:rPr>
        <w:lastRenderedPageBreak/>
        <w:t xml:space="preserve">La Suisse souhaite notamment souligner l'importance particulière de la congruence thématique entre l'article 11 de la CDPH et la </w:t>
      </w:r>
      <w:r w:rsidRPr="5F18607A">
        <w:rPr>
          <w:rFonts w:ascii="Arial" w:eastAsia="Times New Roman" w:hAnsi="Arial" w:cs="Times New Roman"/>
          <w:b/>
          <w:bCs/>
          <w:sz w:val="20"/>
          <w:szCs w:val="20"/>
          <w:lang w:val="fr-CH"/>
        </w:rPr>
        <w:t>résolution 2475 sur la protection et les droits des personnes handicapées dans les conflits armés</w:t>
      </w:r>
      <w:r w:rsidRPr="5F18607A">
        <w:rPr>
          <w:rFonts w:ascii="Arial" w:eastAsia="Times New Roman" w:hAnsi="Arial" w:cs="Times New Roman"/>
          <w:sz w:val="20"/>
          <w:szCs w:val="20"/>
          <w:lang w:val="fr-CH"/>
        </w:rPr>
        <w:t>, adoptée à l'unanimité par le Conseil de sécurité des Nations unies le 20 juin 2019. Il s'agit de la toute première résolution de cet organe à aborder spécifiquement les besoins particuliers des personnes handicapées. Tout en reconnaissant l'</w:t>
      </w:r>
      <w:r w:rsidRPr="5F18607A">
        <w:rPr>
          <w:rFonts w:ascii="Arial" w:eastAsia="Times New Roman" w:hAnsi="Arial" w:cs="Times New Roman"/>
          <w:b/>
          <w:bCs/>
          <w:sz w:val="20"/>
          <w:szCs w:val="20"/>
          <w:lang w:val="fr-CH"/>
        </w:rPr>
        <w:t xml:space="preserve">impact </w:t>
      </w:r>
      <w:r w:rsidRPr="5F18607A">
        <w:rPr>
          <w:rFonts w:ascii="Arial" w:eastAsia="Times New Roman" w:hAnsi="Arial" w:cs="Times New Roman"/>
          <w:sz w:val="20"/>
          <w:szCs w:val="20"/>
          <w:lang w:val="fr-CH"/>
        </w:rPr>
        <w:t xml:space="preserve">disproportionné </w:t>
      </w:r>
      <w:r w:rsidRPr="5F18607A">
        <w:rPr>
          <w:rFonts w:ascii="Arial" w:eastAsia="Times New Roman" w:hAnsi="Arial" w:cs="Times New Roman"/>
          <w:b/>
          <w:bCs/>
          <w:sz w:val="20"/>
          <w:szCs w:val="20"/>
          <w:lang w:val="fr-CH"/>
        </w:rPr>
        <w:t xml:space="preserve">des conflits armés sur les personnes handicapées, </w:t>
      </w:r>
      <w:r w:rsidRPr="5F18607A">
        <w:rPr>
          <w:rFonts w:ascii="Arial" w:eastAsia="Times New Roman" w:hAnsi="Arial" w:cs="Times New Roman"/>
          <w:sz w:val="20"/>
          <w:szCs w:val="20"/>
          <w:lang w:val="fr-CH"/>
        </w:rPr>
        <w:t>cette résolution renforce les obligations des parties au conflit, des États membres et des Nations unies, conformément aux Conventions de Genève et à la Convention des Nations unies relative aux droits des personnes handicapées.</w:t>
      </w:r>
    </w:p>
    <w:p w14:paraId="1384C574" w14:textId="77777777" w:rsidR="007877A6" w:rsidRPr="0046206F" w:rsidRDefault="007877A6" w:rsidP="007877A6">
      <w:pPr>
        <w:jc w:val="both"/>
        <w:rPr>
          <w:rFonts w:ascii="Arial" w:hAnsi="Arial" w:cs="Arial"/>
          <w:sz w:val="20"/>
          <w:szCs w:val="20"/>
          <w:lang w:val="fr-CH"/>
        </w:rPr>
      </w:pPr>
    </w:p>
    <w:p w14:paraId="67979CF3" w14:textId="77777777" w:rsidR="007877A6" w:rsidRPr="0046206F" w:rsidRDefault="007877A6" w:rsidP="007877A6">
      <w:pPr>
        <w:jc w:val="both"/>
        <w:rPr>
          <w:rFonts w:ascii="Arial" w:hAnsi="Arial" w:cs="Arial"/>
          <w:sz w:val="20"/>
          <w:szCs w:val="20"/>
          <w:lang w:val="fr-CH"/>
        </w:rPr>
      </w:pPr>
      <w:r w:rsidRPr="5F18607A">
        <w:rPr>
          <w:rFonts w:ascii="Arial" w:eastAsia="Times New Roman" w:hAnsi="Arial" w:cs="Times New Roman"/>
          <w:sz w:val="20"/>
          <w:szCs w:val="20"/>
          <w:lang w:val="fr-CH"/>
        </w:rPr>
        <w:t>Trois ans après l'adoption de la résolution 2475 du Conseil de sécurité, qui a fait date, la promotion et la protection des droits des personnes handicapées dans les situations de crise humanitaire, notamment pendant et après les conflits armés, continuent de poser d'énormes défis. En outre, les</w:t>
      </w:r>
      <w:r w:rsidRPr="5F18607A">
        <w:rPr>
          <w:rFonts w:ascii="Arial" w:eastAsia="Times New Roman" w:hAnsi="Arial" w:cs="Times New Roman"/>
          <w:b/>
          <w:bCs/>
          <w:sz w:val="20"/>
          <w:szCs w:val="20"/>
          <w:lang w:val="fr-CH"/>
        </w:rPr>
        <w:t xml:space="preserve"> </w:t>
      </w:r>
      <w:r w:rsidRPr="5F18607A">
        <w:rPr>
          <w:rFonts w:ascii="Arial" w:eastAsia="Times New Roman" w:hAnsi="Arial" w:cs="Times New Roman"/>
          <w:sz w:val="20"/>
          <w:szCs w:val="20"/>
          <w:lang w:val="fr-CH"/>
        </w:rPr>
        <w:t xml:space="preserve">conflits nouveaux et existants, le changement climatique et la crise sanitaire mondiale persistante provoquée par la pandémie COVID-19 aggravent les défis existants. </w:t>
      </w:r>
    </w:p>
    <w:p w14:paraId="3E6CFDC1" w14:textId="77777777" w:rsidR="007877A6" w:rsidRPr="0046206F" w:rsidRDefault="007877A6" w:rsidP="007877A6">
      <w:pPr>
        <w:jc w:val="both"/>
        <w:rPr>
          <w:rFonts w:ascii="Arial" w:hAnsi="Arial" w:cs="Arial"/>
          <w:sz w:val="20"/>
          <w:szCs w:val="20"/>
          <w:lang w:val="fr-CH"/>
        </w:rPr>
      </w:pPr>
    </w:p>
    <w:p w14:paraId="764FA908" w14:textId="77777777" w:rsidR="007877A6" w:rsidRPr="0046206F" w:rsidRDefault="007877A6" w:rsidP="007877A6">
      <w:pPr>
        <w:jc w:val="both"/>
        <w:rPr>
          <w:rFonts w:ascii="Arial" w:hAnsi="Arial" w:cs="Arial"/>
          <w:sz w:val="20"/>
          <w:szCs w:val="20"/>
          <w:lang w:val="fr-CH"/>
        </w:rPr>
      </w:pPr>
      <w:r w:rsidRPr="5F18607A">
        <w:rPr>
          <w:rFonts w:ascii="Arial" w:eastAsia="Times New Roman" w:hAnsi="Arial" w:cs="Times New Roman"/>
          <w:sz w:val="20"/>
          <w:szCs w:val="20"/>
          <w:lang w:val="fr-CH"/>
        </w:rPr>
        <w:t xml:space="preserve">Dans ce contexte, la Suisse reconnaît la nécessité d'un renforcement des capacités et d'un </w:t>
      </w:r>
      <w:r w:rsidRPr="5F18607A">
        <w:rPr>
          <w:rFonts w:ascii="Arial" w:eastAsia="Times New Roman" w:hAnsi="Arial" w:cs="Times New Roman"/>
          <w:b/>
          <w:bCs/>
          <w:sz w:val="20"/>
          <w:szCs w:val="20"/>
          <w:lang w:val="fr-CH"/>
        </w:rPr>
        <w:t>dialogue continu entre tous les acteurs concernés</w:t>
      </w:r>
      <w:r w:rsidRPr="5F18607A">
        <w:rPr>
          <w:rFonts w:ascii="Arial" w:eastAsia="Times New Roman" w:hAnsi="Arial" w:cs="Times New Roman"/>
          <w:sz w:val="20"/>
          <w:szCs w:val="20"/>
          <w:lang w:val="fr-CH"/>
        </w:rPr>
        <w:t xml:space="preserve">, dont font partie, outre le </w:t>
      </w:r>
      <w:r w:rsidRPr="5F18607A">
        <w:rPr>
          <w:rFonts w:ascii="Arial" w:eastAsia="Times New Roman" w:hAnsi="Arial" w:cs="Times New Roman"/>
          <w:b/>
          <w:bCs/>
          <w:sz w:val="20"/>
          <w:szCs w:val="20"/>
          <w:lang w:val="fr-CH"/>
        </w:rPr>
        <w:t xml:space="preserve">Comité des droits des personnes handicapées, le Rapporteur spécial </w:t>
      </w:r>
      <w:r w:rsidRPr="5F18607A">
        <w:rPr>
          <w:rFonts w:ascii="Arial" w:eastAsia="Times New Roman" w:hAnsi="Arial" w:cs="Times New Roman"/>
          <w:sz w:val="20"/>
          <w:szCs w:val="20"/>
          <w:lang w:val="fr-CH"/>
        </w:rPr>
        <w:t xml:space="preserve">sur les droits des personnes handicapées et d'autres organes des Nations unies chargés des droits de l'homme, ainsi que les États parties et les représentants de la société civile. La résolution 2475 offre une base formelle solide et une boussole quant au contenu pour promouvoir un tel échange. Dans le cadre de son engagement au sein du Conseil de sécurité de l'ONU, la Suisse souhaite donc renforcer la prise en compte des </w:t>
      </w:r>
      <w:r w:rsidRPr="5F18607A">
        <w:rPr>
          <w:rFonts w:ascii="Arial" w:eastAsia="Times New Roman" w:hAnsi="Arial" w:cs="Times New Roman"/>
          <w:b/>
          <w:bCs/>
          <w:sz w:val="20"/>
          <w:szCs w:val="20"/>
          <w:lang w:val="fr-CH"/>
        </w:rPr>
        <w:t xml:space="preserve">droits de l'homme </w:t>
      </w:r>
      <w:r w:rsidRPr="5F18607A">
        <w:rPr>
          <w:rFonts w:ascii="Arial" w:eastAsia="Times New Roman" w:hAnsi="Arial" w:cs="Times New Roman"/>
          <w:sz w:val="20"/>
          <w:szCs w:val="20"/>
          <w:lang w:val="fr-CH"/>
        </w:rPr>
        <w:t xml:space="preserve">en général et contribuer de manière visible aux progrès réalisés dans </w:t>
      </w:r>
      <w:r w:rsidRPr="5F18607A">
        <w:rPr>
          <w:rFonts w:ascii="Arial" w:eastAsia="Times New Roman" w:hAnsi="Arial" w:cs="Times New Roman"/>
          <w:b/>
          <w:bCs/>
          <w:sz w:val="20"/>
          <w:szCs w:val="20"/>
          <w:lang w:val="fr-CH"/>
        </w:rPr>
        <w:t>la mise en œuvre de la résolution 2475</w:t>
      </w:r>
      <w:r w:rsidRPr="5F18607A">
        <w:rPr>
          <w:rFonts w:ascii="Arial" w:eastAsia="Times New Roman" w:hAnsi="Arial" w:cs="Times New Roman"/>
          <w:sz w:val="20"/>
          <w:szCs w:val="20"/>
          <w:lang w:val="fr-CH"/>
        </w:rPr>
        <w:t>.</w:t>
      </w:r>
    </w:p>
    <w:p w14:paraId="69148287" w14:textId="77777777" w:rsidR="007877A6" w:rsidRPr="0046206F" w:rsidRDefault="007877A6" w:rsidP="007877A6">
      <w:pPr>
        <w:jc w:val="both"/>
        <w:rPr>
          <w:rFonts w:ascii="Arial" w:hAnsi="Arial" w:cs="Arial"/>
          <w:sz w:val="20"/>
          <w:szCs w:val="20"/>
          <w:lang w:val="fr-CH"/>
        </w:rPr>
      </w:pPr>
    </w:p>
    <w:p w14:paraId="52E0612A" w14:textId="77777777" w:rsidR="007877A6" w:rsidRDefault="007877A6" w:rsidP="007877A6">
      <w:pPr>
        <w:jc w:val="both"/>
        <w:rPr>
          <w:rFonts w:ascii="Arial" w:hAnsi="Arial" w:cs="Arial"/>
          <w:sz w:val="20"/>
          <w:szCs w:val="20"/>
        </w:rPr>
      </w:pPr>
      <w:r w:rsidRPr="5F18607A">
        <w:rPr>
          <w:rFonts w:ascii="Arial" w:hAnsi="Arial" w:cs="Arial"/>
          <w:b/>
          <w:bCs/>
          <w:sz w:val="20"/>
          <w:szCs w:val="20"/>
          <w:u w:val="single"/>
        </w:rPr>
        <w:t>Entrée spécifique :</w:t>
      </w:r>
    </w:p>
    <w:p w14:paraId="04FC6639" w14:textId="77777777" w:rsidR="007877A6" w:rsidRPr="005211BA" w:rsidRDefault="007877A6" w:rsidP="007877A6">
      <w:pPr>
        <w:jc w:val="both"/>
        <w:rPr>
          <w:rFonts w:ascii="Arial" w:hAnsi="Arial" w:cs="Arial"/>
          <w:b/>
          <w:sz w:val="20"/>
          <w:szCs w:val="20"/>
          <w:u w:val="single"/>
        </w:rPr>
      </w:pPr>
    </w:p>
    <w:p w14:paraId="61EA43A4" w14:textId="77777777" w:rsidR="007877A6" w:rsidRPr="0046206F" w:rsidRDefault="007877A6" w:rsidP="007877A6">
      <w:pPr>
        <w:pStyle w:val="ListParagraph"/>
        <w:numPr>
          <w:ilvl w:val="0"/>
          <w:numId w:val="28"/>
        </w:numPr>
        <w:contextualSpacing/>
        <w:jc w:val="both"/>
        <w:rPr>
          <w:rFonts w:ascii="Arial" w:hAnsi="Arial" w:cs="Arial"/>
          <w:sz w:val="20"/>
          <w:szCs w:val="20"/>
          <w:lang w:val="fr-CH"/>
        </w:rPr>
      </w:pPr>
      <w:r w:rsidRPr="5F18607A">
        <w:rPr>
          <w:rFonts w:ascii="Arial" w:hAnsi="Arial" w:cs="Arial"/>
          <w:sz w:val="20"/>
          <w:szCs w:val="20"/>
          <w:lang w:val="fr-CH"/>
        </w:rPr>
        <w:t xml:space="preserve">Dans ce contexte, il convient de souligner, du point de vue de la Suisse, l'importance particulière de l'obligation inscrite à l'art. 9 de la CPDH (accessibilité), selon laquelle les États parties sont tenus de rendre leurs systèmes d'alerte, d'alarme et d'information ainsi que leurs ouvrages de protection accessibles aux personnes handicapées (CPDH, General Comment No. 2, para. 36). A cette fin, les systèmes d'alerte, d'alarme et d'information devraient être conçus selon le principe de la conception universelle (art. 2, par. 5, CPDH). Le manque d'accessibilité ou l'accessibilité limitée de tels systèmes constitue une discrimination au sens de l'article 5, paragraphe 1, de la CPDH, qui est directement justiciable. </w:t>
      </w:r>
    </w:p>
    <w:p w14:paraId="7331C77D" w14:textId="77777777" w:rsidR="007877A6" w:rsidRPr="0046206F" w:rsidRDefault="007877A6" w:rsidP="007877A6">
      <w:pPr>
        <w:pStyle w:val="ListParagraph"/>
        <w:ind w:left="360"/>
        <w:jc w:val="both"/>
        <w:rPr>
          <w:rFonts w:ascii="Arial" w:hAnsi="Arial" w:cs="Arial"/>
          <w:sz w:val="20"/>
          <w:szCs w:val="20"/>
          <w:lang w:val="fr-CH"/>
        </w:rPr>
      </w:pPr>
    </w:p>
    <w:p w14:paraId="57BEE93D" w14:textId="77777777" w:rsidR="007877A6" w:rsidRDefault="007877A6" w:rsidP="007877A6">
      <w:pPr>
        <w:pStyle w:val="ListParagraph"/>
        <w:ind w:left="360"/>
        <w:jc w:val="both"/>
        <w:rPr>
          <w:rFonts w:ascii="Arial" w:hAnsi="Arial" w:cs="Arial"/>
          <w:sz w:val="20"/>
          <w:szCs w:val="20"/>
          <w:lang w:val="fr-CH"/>
        </w:rPr>
      </w:pPr>
      <w:r w:rsidRPr="5F18607A">
        <w:rPr>
          <w:rFonts w:ascii="Arial" w:hAnsi="Arial" w:cs="Arial"/>
          <w:sz w:val="20"/>
          <w:szCs w:val="20"/>
          <w:lang w:val="fr-CH"/>
        </w:rPr>
        <w:t xml:space="preserve">Les bases légales fédérales et cantonales relatives à la protection de la population et à la protection civile ne font par exemple aucune distinction entre les personnes handicapées et les personnes non handicapées. La protection de la population suisse contre les situations de danger et les situations d'urgence humanitaire est régie par la loi fédérale sur la protection de la population et sur la protection civile (LPPCi, RS 520.1). Dans le cadre de la révision totale de la LPPCi, </w:t>
      </w:r>
      <w:r w:rsidRPr="5F18607A">
        <w:rPr>
          <w:rFonts w:ascii="Arial" w:hAnsi="Arial" w:cs="Arial"/>
          <w:i/>
          <w:iCs/>
          <w:sz w:val="20"/>
          <w:szCs w:val="20"/>
          <w:lang w:val="fr-CH"/>
        </w:rPr>
        <w:t>l'accessibilité des systèmes d'alerte des autorités en cas de danger imminent, de transmission de l’alarme à la population en cas d’événement et d'information de la population en cas de danger imminent et en cas d’événement</w:t>
      </w:r>
      <w:r w:rsidRPr="5F18607A">
        <w:rPr>
          <w:rFonts w:ascii="Arial" w:hAnsi="Arial" w:cs="Arial"/>
          <w:sz w:val="20"/>
          <w:szCs w:val="20"/>
          <w:lang w:val="fr-CH"/>
        </w:rPr>
        <w:t xml:space="preserve"> aux personnes handicapées a été inscrite dans la loi fin 2019 (art. 9 al. 5 LPPCi). </w:t>
      </w:r>
    </w:p>
    <w:p w14:paraId="5206B97A" w14:textId="77777777" w:rsidR="007877A6" w:rsidRDefault="007877A6" w:rsidP="007877A6">
      <w:pPr>
        <w:pStyle w:val="ListParagraph"/>
        <w:ind w:left="360"/>
        <w:jc w:val="both"/>
        <w:rPr>
          <w:rFonts w:ascii="Arial" w:hAnsi="Arial" w:cs="Arial"/>
          <w:sz w:val="20"/>
          <w:szCs w:val="20"/>
          <w:lang w:val="fr-CH"/>
        </w:rPr>
      </w:pPr>
    </w:p>
    <w:p w14:paraId="670661DF" w14:textId="77777777" w:rsidR="007877A6" w:rsidRPr="0046206F" w:rsidRDefault="007877A6" w:rsidP="007877A6">
      <w:pPr>
        <w:pStyle w:val="ListParagraph"/>
        <w:ind w:left="360"/>
        <w:jc w:val="both"/>
        <w:rPr>
          <w:rFonts w:ascii="Arial" w:hAnsi="Arial" w:cs="Arial"/>
          <w:sz w:val="20"/>
          <w:szCs w:val="20"/>
          <w:lang w:val="fr-CH"/>
        </w:rPr>
      </w:pPr>
      <w:r w:rsidRPr="5F18607A">
        <w:rPr>
          <w:rFonts w:ascii="Arial" w:hAnsi="Arial" w:cs="Arial"/>
          <w:sz w:val="20"/>
          <w:szCs w:val="20"/>
          <w:lang w:val="fr-CH"/>
        </w:rPr>
        <w:t xml:space="preserve">Grâce à ces systèmes, la Confédération avertit et informe sur les dangers tels que les intempéries, les catastrophes naturelles ou les accidents de centrales nucléaires. Il est évident que toutes les informations doivent ensuite être accessibles aux personnes aveugles, sourdes ou souffrant de troubles cognitifs et qu'elles doivent donc pouvoir être consultées de manière visuelle, acoustique ou dans un langage facile. Les nouvelles technologies peuvent être utilisées pour rendre l'alarme accessible aux personnes handicapées.  </w:t>
      </w:r>
    </w:p>
    <w:p w14:paraId="7AE59F12" w14:textId="77777777" w:rsidR="007877A6" w:rsidRPr="0046206F" w:rsidRDefault="007877A6" w:rsidP="007877A6">
      <w:pPr>
        <w:jc w:val="both"/>
        <w:rPr>
          <w:rFonts w:ascii="Arial" w:hAnsi="Arial" w:cs="Arial"/>
          <w:sz w:val="20"/>
          <w:szCs w:val="20"/>
          <w:lang w:val="fr-CH"/>
        </w:rPr>
      </w:pPr>
    </w:p>
    <w:p w14:paraId="5614676E" w14:textId="77777777" w:rsidR="007877A6" w:rsidRPr="0046206F" w:rsidRDefault="007877A6" w:rsidP="007877A6">
      <w:pPr>
        <w:pStyle w:val="ListParagraph"/>
        <w:numPr>
          <w:ilvl w:val="0"/>
          <w:numId w:val="28"/>
        </w:numPr>
        <w:contextualSpacing/>
        <w:jc w:val="both"/>
        <w:rPr>
          <w:rFonts w:ascii="Arial" w:hAnsi="Arial" w:cs="Arial"/>
          <w:sz w:val="20"/>
          <w:szCs w:val="20"/>
          <w:lang w:val="fr-CH"/>
        </w:rPr>
      </w:pPr>
      <w:r w:rsidRPr="5F18607A">
        <w:rPr>
          <w:rFonts w:ascii="Arial" w:hAnsi="Arial" w:cs="Arial"/>
          <w:sz w:val="20"/>
          <w:szCs w:val="20"/>
          <w:lang w:val="fr-CH"/>
        </w:rPr>
        <w:t>L'article 11 CDPH exige également des installations sanitaires accessibles et disponibles dans les abris d'urgence, des informations accessibles sur les itinéraires d'évacuation, l'aide humanitaire et les services d'urgence, des stratégies globales de protocoles dans des formats accessibles (par exemple en braille ou par d'autres moyens de communication) pour aider les personnes handicapées dans les situations d'urgence, ainsi que la garantie d'accès aux systèmes d'information, d'alerte et d'alarme par tous les canaux, y compris les téléphones mobiles et les médias sociaux, etc.</w:t>
      </w:r>
    </w:p>
    <w:p w14:paraId="67D0C465" w14:textId="77777777" w:rsidR="007877A6" w:rsidRPr="0046206F" w:rsidRDefault="007877A6" w:rsidP="007877A6">
      <w:pPr>
        <w:pStyle w:val="ListParagraph"/>
        <w:ind w:left="360"/>
        <w:jc w:val="both"/>
        <w:rPr>
          <w:rFonts w:ascii="Arial" w:hAnsi="Arial" w:cs="Arial"/>
          <w:sz w:val="20"/>
          <w:szCs w:val="20"/>
          <w:lang w:val="fr-CH"/>
        </w:rPr>
      </w:pPr>
    </w:p>
    <w:p w14:paraId="4F0B43F0" w14:textId="77777777" w:rsidR="007877A6" w:rsidRPr="00945FA6" w:rsidRDefault="007877A6" w:rsidP="007877A6">
      <w:pPr>
        <w:pStyle w:val="ListParagraph"/>
        <w:numPr>
          <w:ilvl w:val="0"/>
          <w:numId w:val="28"/>
        </w:numPr>
        <w:contextualSpacing/>
        <w:jc w:val="both"/>
        <w:rPr>
          <w:rFonts w:ascii="Arial" w:hAnsi="Arial" w:cs="Arial"/>
          <w:color w:val="000000" w:themeColor="text1"/>
          <w:sz w:val="20"/>
          <w:szCs w:val="20"/>
          <w:lang w:val="fr-CH"/>
        </w:rPr>
      </w:pPr>
      <w:r w:rsidRPr="5F18607A">
        <w:rPr>
          <w:rFonts w:ascii="Arial" w:hAnsi="Arial" w:cs="Arial"/>
          <w:sz w:val="20"/>
          <w:szCs w:val="20"/>
          <w:lang w:val="fr-CH"/>
        </w:rPr>
        <w:t xml:space="preserve">Du point de vue de la Suisse, il est essentiel que le développement de stratégies de prévention, de gestion et de réduction des risques en cas de situation d'urgence, ainsi que de méthodes d'alerte des personnes handicapées en cas de situation de danger, se fasse avec la participation et la collaboration des </w:t>
      </w:r>
      <w:r w:rsidRPr="00945FA6">
        <w:rPr>
          <w:rFonts w:ascii="Arial" w:hAnsi="Arial" w:cs="Arial"/>
          <w:color w:val="000000" w:themeColor="text1"/>
          <w:sz w:val="20"/>
          <w:szCs w:val="20"/>
          <w:lang w:val="fr-CH"/>
        </w:rPr>
        <w:t xml:space="preserve">organisations de personnes handicapées et des personnes concernées. Ici, la "Charte sur l'inclusion des personnes handicapées dans l'action humanitaire" est un exemple à suivre.   </w:t>
      </w:r>
    </w:p>
    <w:p w14:paraId="703DC7D0" w14:textId="77777777" w:rsidR="007877A6" w:rsidRPr="00583B7D" w:rsidRDefault="007877A6" w:rsidP="00583B7D">
      <w:pPr>
        <w:spacing w:after="0" w:line="240" w:lineRule="auto"/>
        <w:jc w:val="both"/>
        <w:rPr>
          <w:rFonts w:ascii="Arial" w:hAnsi="Arial" w:cs="Arial"/>
          <w:sz w:val="20"/>
          <w:szCs w:val="20"/>
          <w:lang w:val="fr-CH"/>
        </w:rPr>
      </w:pPr>
    </w:p>
    <w:sectPr w:rsidR="007877A6" w:rsidRPr="00583B7D" w:rsidSect="00911349">
      <w:headerReference w:type="default" r:id="rId8"/>
      <w:footerReference w:type="default" r:id="rId9"/>
      <w:headerReference w:type="first" r:id="rId10"/>
      <w:footerReference w:type="first" r:id="rId11"/>
      <w:pgSz w:w="11907" w:h="16840" w:code="9"/>
      <w:pgMar w:top="340" w:right="1134" w:bottom="907" w:left="1701" w:header="680"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9A671" w14:textId="77777777" w:rsidR="00DC6373" w:rsidRDefault="00DC6373">
      <w:pPr>
        <w:spacing w:line="240" w:lineRule="auto"/>
      </w:pPr>
      <w:r>
        <w:separator/>
      </w:r>
    </w:p>
  </w:endnote>
  <w:endnote w:type="continuationSeparator" w:id="0">
    <w:p w14:paraId="0DB1D965" w14:textId="77777777" w:rsidR="00DC6373" w:rsidRDefault="00DC6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Layout w:type="fixed"/>
      <w:tblCellMar>
        <w:left w:w="0" w:type="dxa"/>
        <w:right w:w="0" w:type="dxa"/>
      </w:tblCellMar>
      <w:tblLook w:val="01E0" w:firstRow="1" w:lastRow="1" w:firstColumn="1" w:lastColumn="1" w:noHBand="0" w:noVBand="0"/>
    </w:tblPr>
    <w:tblGrid>
      <w:gridCol w:w="9485"/>
      <w:gridCol w:w="409"/>
    </w:tblGrid>
    <w:tr w:rsidR="00754672" w:rsidRPr="00D33E17" w14:paraId="7F407D3B" w14:textId="77777777" w:rsidTr="00CC58A5">
      <w:trPr>
        <w:cantSplit/>
      </w:trPr>
      <w:tc>
        <w:tcPr>
          <w:tcW w:w="9611" w:type="dxa"/>
          <w:gridSpan w:val="2"/>
          <w:vAlign w:val="bottom"/>
        </w:tcPr>
        <w:p w14:paraId="75DECBE1" w14:textId="68CBA1C6" w:rsidR="00754672" w:rsidRPr="00D33E17" w:rsidRDefault="00754672" w:rsidP="00A4182F">
          <w:pPr>
            <w:pStyle w:val="Seite"/>
          </w:pPr>
          <w:r w:rsidRPr="00D33E17">
            <w:fldChar w:fldCharType="begin"/>
          </w:r>
          <w:r w:rsidRPr="00D33E17">
            <w:instrText xml:space="preserve"> PAGE  </w:instrText>
          </w:r>
          <w:r w:rsidRPr="00D33E17">
            <w:fldChar w:fldCharType="separate"/>
          </w:r>
          <w:r w:rsidR="00E0569D">
            <w:rPr>
              <w:noProof/>
            </w:rPr>
            <w:t>3</w:t>
          </w:r>
          <w:r w:rsidRPr="00D33E17">
            <w:fldChar w:fldCharType="end"/>
          </w:r>
          <w:r w:rsidRPr="00D33E17">
            <w:t>/</w:t>
          </w:r>
          <w:fldSimple w:instr=" NUMPAGES  ">
            <w:r w:rsidR="00E0569D">
              <w:rPr>
                <w:noProof/>
              </w:rPr>
              <w:t>3</w:t>
            </w:r>
          </w:fldSimple>
        </w:p>
      </w:tc>
    </w:tr>
    <w:tr w:rsidR="00754672" w:rsidRPr="00604327" w14:paraId="792E7BDB" w14:textId="77777777" w:rsidTr="00CC58A5">
      <w:trPr>
        <w:gridAfter w:val="1"/>
        <w:wAfter w:w="397" w:type="dxa"/>
        <w:cantSplit/>
        <w:trHeight w:hRule="exact" w:val="595"/>
      </w:trPr>
      <w:tc>
        <w:tcPr>
          <w:tcW w:w="9214" w:type="dxa"/>
          <w:vAlign w:val="bottom"/>
        </w:tcPr>
        <w:p w14:paraId="6811426F" w14:textId="77777777" w:rsidR="00754672" w:rsidRPr="00604327" w:rsidRDefault="00754672" w:rsidP="00A4182F">
          <w:pPr>
            <w:pStyle w:val="Pfad"/>
          </w:pPr>
        </w:p>
      </w:tc>
    </w:tr>
  </w:tbl>
  <w:p w14:paraId="0752711B" w14:textId="77777777" w:rsidR="00754672" w:rsidRPr="00604327" w:rsidRDefault="00754672" w:rsidP="00A4182F">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5" w:type="dxa"/>
      <w:tblCellMar>
        <w:left w:w="0" w:type="dxa"/>
        <w:right w:w="0" w:type="dxa"/>
      </w:tblCellMar>
      <w:tblLook w:val="01E0" w:firstRow="1" w:lastRow="1" w:firstColumn="1" w:lastColumn="1" w:noHBand="0" w:noVBand="0"/>
    </w:tblPr>
    <w:tblGrid>
      <w:gridCol w:w="4253"/>
      <w:gridCol w:w="4962"/>
    </w:tblGrid>
    <w:tr w:rsidR="00754672" w:rsidRPr="001F317A" w14:paraId="72E1D4CF" w14:textId="77777777" w:rsidTr="00CC58A5">
      <w:trPr>
        <w:cantSplit/>
        <w:trHeight w:val="1000"/>
      </w:trPr>
      <w:tc>
        <w:tcPr>
          <w:tcW w:w="4253" w:type="dxa"/>
        </w:tcPr>
        <w:p w14:paraId="2CEA2CCF" w14:textId="77777777" w:rsidR="00754672" w:rsidRPr="00D33E17" w:rsidRDefault="00754672" w:rsidP="00754672">
          <w:pPr>
            <w:pStyle w:val="Footer"/>
          </w:pPr>
        </w:p>
      </w:tc>
      <w:tc>
        <w:tcPr>
          <w:tcW w:w="4253" w:type="dxa"/>
        </w:tcPr>
        <w:p w14:paraId="2EC5BC9E" w14:textId="77777777" w:rsidR="00754672" w:rsidRPr="007B145E" w:rsidRDefault="00754672" w:rsidP="00754672">
          <w:pPr>
            <w:pStyle w:val="KopfDept"/>
            <w:spacing w:after="0"/>
            <w:rPr>
              <w:b/>
              <w:lang w:val="fr-FR"/>
            </w:rPr>
          </w:pPr>
        </w:p>
      </w:tc>
    </w:tr>
    <w:tr w:rsidR="00754672" w:rsidRPr="00604327" w14:paraId="1961208D" w14:textId="77777777" w:rsidTr="00CC58A5">
      <w:trPr>
        <w:cantSplit/>
        <w:trHeight w:hRule="exact" w:val="595"/>
      </w:trPr>
      <w:tc>
        <w:tcPr>
          <w:tcW w:w="9214" w:type="dxa"/>
          <w:gridSpan w:val="2"/>
          <w:vAlign w:val="bottom"/>
        </w:tcPr>
        <w:p w14:paraId="5CADFA1D" w14:textId="77777777" w:rsidR="00754672" w:rsidRPr="00604327" w:rsidRDefault="00754672" w:rsidP="00A4182F">
          <w:pPr>
            <w:pStyle w:val="Pfad"/>
          </w:pPr>
        </w:p>
      </w:tc>
    </w:tr>
  </w:tbl>
  <w:p w14:paraId="3E2A77EC" w14:textId="77777777" w:rsidR="00754672" w:rsidRPr="00604327" w:rsidRDefault="00754672" w:rsidP="00A4182F">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1C325" w14:textId="77777777" w:rsidR="00DC6373" w:rsidRDefault="00DC6373">
      <w:pPr>
        <w:spacing w:line="240" w:lineRule="auto"/>
      </w:pPr>
      <w:r>
        <w:separator/>
      </w:r>
    </w:p>
  </w:footnote>
  <w:footnote w:type="continuationSeparator" w:id="0">
    <w:p w14:paraId="1ED550E6" w14:textId="77777777" w:rsidR="00DC6373" w:rsidRDefault="00DC63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754672" w14:paraId="009C1FD3" w14:textId="77777777">
      <w:trPr>
        <w:cantSplit/>
        <w:trHeight w:hRule="exact" w:val="20"/>
      </w:trPr>
      <w:tc>
        <w:tcPr>
          <w:tcW w:w="4848" w:type="dxa"/>
        </w:tcPr>
        <w:p w14:paraId="620A8DBA" w14:textId="77777777" w:rsidR="00754672" w:rsidRPr="00E534A0" w:rsidRDefault="00754672" w:rsidP="00A4182F">
          <w:pPr>
            <w:pStyle w:val="Logo"/>
          </w:pPr>
        </w:p>
      </w:tc>
      <w:tc>
        <w:tcPr>
          <w:tcW w:w="4961" w:type="dxa"/>
        </w:tcPr>
        <w:p w14:paraId="49EC12DA" w14:textId="77777777" w:rsidR="00754672" w:rsidRPr="00D33E17" w:rsidRDefault="00754672" w:rsidP="00A4182F">
          <w:pPr>
            <w:pStyle w:val="Header"/>
          </w:pPr>
        </w:p>
      </w:tc>
    </w:tr>
  </w:tbl>
  <w:p w14:paraId="007D80FA" w14:textId="77777777" w:rsidR="00754672" w:rsidRPr="00BF5039" w:rsidRDefault="00754672" w:rsidP="00A4182F">
    <w:pPr>
      <w:pStyle w:val="Header"/>
      <w:rPr>
        <w:b/>
      </w:rPr>
    </w:pPr>
    <w:r w:rsidRPr="00BF5039">
      <w:rPr>
        <w:b/>
      </w:rPr>
      <w:fldChar w:fldCharType="begin"/>
    </w:r>
    <w:r w:rsidRPr="00BF5039">
      <w:rPr>
        <w:b/>
      </w:rPr>
      <w:instrText xml:space="preserve"> DOCVARIABLE  Klassifizierungsvermerk  \* MERGEFORMAT </w:instrText>
    </w:r>
    <w:r w:rsidRPr="00BF5039">
      <w:rPr>
        <w:b/>
      </w:rPr>
      <w:fldChar w:fldCharType="end"/>
    </w:r>
  </w:p>
  <w:p w14:paraId="69C9A773" w14:textId="77777777" w:rsidR="00754672" w:rsidRDefault="00754672" w:rsidP="00A4182F">
    <w:pPr>
      <w:pStyle w:val="Header"/>
      <w:spacing w:after="1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0" w:type="dxa"/>
        <w:right w:w="0" w:type="dxa"/>
      </w:tblCellMar>
      <w:tblLook w:val="01E0" w:firstRow="1" w:lastRow="1" w:firstColumn="1" w:lastColumn="1" w:noHBand="0" w:noVBand="0"/>
    </w:tblPr>
    <w:tblGrid>
      <w:gridCol w:w="4848"/>
      <w:gridCol w:w="4961"/>
    </w:tblGrid>
    <w:tr w:rsidR="00754672" w:rsidRPr="00565AE7" w14:paraId="2BA6BAA6" w14:textId="77777777" w:rsidTr="00CC58A5">
      <w:trPr>
        <w:cantSplit/>
        <w:trHeight w:hRule="exact" w:val="1840"/>
      </w:trPr>
      <w:tc>
        <w:tcPr>
          <w:tcW w:w="4848" w:type="dxa"/>
        </w:tcPr>
        <w:p w14:paraId="57B1E992" w14:textId="77777777" w:rsidR="00754672" w:rsidRPr="00E534A0" w:rsidRDefault="00A84A5A" w:rsidP="00A4182F">
          <w:pPr>
            <w:pStyle w:val="Logo"/>
          </w:pPr>
          <w:r>
            <w:rPr>
              <w:lang w:val="en-GB" w:eastAsia="en-GB"/>
            </w:rPr>
            <w:drawing>
              <wp:inline distT="0" distB="0" distL="0" distR="0" wp14:anchorId="5987D3D0" wp14:editId="4AD5C6B3">
                <wp:extent cx="2009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c>
        <w:tcPr>
          <w:tcW w:w="4961" w:type="dxa"/>
        </w:tcPr>
        <w:p w14:paraId="5F5A70D0" w14:textId="77777777" w:rsidR="00754672" w:rsidRPr="00CB3A78" w:rsidRDefault="00315052" w:rsidP="00B33013">
          <w:pPr>
            <w:pStyle w:val="KopfDept"/>
            <w:jc w:val="right"/>
            <w:rPr>
              <w:rFonts w:ascii="Arial" w:hAnsi="Arial" w:cs="Arial"/>
              <w:lang w:val="fr-CH"/>
            </w:rPr>
          </w:pPr>
          <w:r w:rsidRPr="00CB3A78">
            <w:rPr>
              <w:rFonts w:ascii="Arial" w:hAnsi="Arial" w:cs="Arial"/>
              <w:lang w:val="fr-FR"/>
            </w:rPr>
            <w:t>Département fédéral des affaires étrangères DFAE</w:t>
          </w:r>
        </w:p>
      </w:tc>
    </w:tr>
  </w:tbl>
  <w:p w14:paraId="3653390A" w14:textId="77777777" w:rsidR="00754672" w:rsidRPr="00315052" w:rsidRDefault="00754672" w:rsidP="00A4182F">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4A5"/>
    <w:multiLevelType w:val="hybridMultilevel"/>
    <w:tmpl w:val="6C8A7DE8"/>
    <w:lvl w:ilvl="0" w:tplc="EBE8DC84">
      <w:start w:val="13"/>
      <w:numFmt w:val="decimal"/>
      <w:lvlText w:val="%1."/>
      <w:lvlJc w:val="left"/>
      <w:pPr>
        <w:ind w:left="8352" w:hanging="360"/>
      </w:pPr>
      <w:rPr>
        <w:rFonts w:hint="default"/>
      </w:rPr>
    </w:lvl>
    <w:lvl w:ilvl="1" w:tplc="08070019" w:tentative="1">
      <w:start w:val="1"/>
      <w:numFmt w:val="lowerLetter"/>
      <w:lvlText w:val="%2."/>
      <w:lvlJc w:val="left"/>
      <w:pPr>
        <w:ind w:left="9072" w:hanging="360"/>
      </w:pPr>
    </w:lvl>
    <w:lvl w:ilvl="2" w:tplc="0807001B" w:tentative="1">
      <w:start w:val="1"/>
      <w:numFmt w:val="lowerRoman"/>
      <w:lvlText w:val="%3."/>
      <w:lvlJc w:val="right"/>
      <w:pPr>
        <w:ind w:left="9792" w:hanging="180"/>
      </w:pPr>
    </w:lvl>
    <w:lvl w:ilvl="3" w:tplc="0807000F" w:tentative="1">
      <w:start w:val="1"/>
      <w:numFmt w:val="decimal"/>
      <w:lvlText w:val="%4."/>
      <w:lvlJc w:val="left"/>
      <w:pPr>
        <w:ind w:left="10512" w:hanging="360"/>
      </w:pPr>
    </w:lvl>
    <w:lvl w:ilvl="4" w:tplc="08070019" w:tentative="1">
      <w:start w:val="1"/>
      <w:numFmt w:val="lowerLetter"/>
      <w:lvlText w:val="%5."/>
      <w:lvlJc w:val="left"/>
      <w:pPr>
        <w:ind w:left="11232" w:hanging="360"/>
      </w:pPr>
    </w:lvl>
    <w:lvl w:ilvl="5" w:tplc="0807001B" w:tentative="1">
      <w:start w:val="1"/>
      <w:numFmt w:val="lowerRoman"/>
      <w:lvlText w:val="%6."/>
      <w:lvlJc w:val="right"/>
      <w:pPr>
        <w:ind w:left="11952" w:hanging="180"/>
      </w:pPr>
    </w:lvl>
    <w:lvl w:ilvl="6" w:tplc="0807000F" w:tentative="1">
      <w:start w:val="1"/>
      <w:numFmt w:val="decimal"/>
      <w:lvlText w:val="%7."/>
      <w:lvlJc w:val="left"/>
      <w:pPr>
        <w:ind w:left="12672" w:hanging="360"/>
      </w:pPr>
    </w:lvl>
    <w:lvl w:ilvl="7" w:tplc="08070019" w:tentative="1">
      <w:start w:val="1"/>
      <w:numFmt w:val="lowerLetter"/>
      <w:lvlText w:val="%8."/>
      <w:lvlJc w:val="left"/>
      <w:pPr>
        <w:ind w:left="13392" w:hanging="360"/>
      </w:pPr>
    </w:lvl>
    <w:lvl w:ilvl="8" w:tplc="0807001B" w:tentative="1">
      <w:start w:val="1"/>
      <w:numFmt w:val="lowerRoman"/>
      <w:lvlText w:val="%9."/>
      <w:lvlJc w:val="right"/>
      <w:pPr>
        <w:ind w:left="14112" w:hanging="180"/>
      </w:pPr>
    </w:lvl>
  </w:abstractNum>
  <w:abstractNum w:abstractNumId="1" w15:restartNumberingAfterBreak="0">
    <w:nsid w:val="03B72E25"/>
    <w:multiLevelType w:val="hybridMultilevel"/>
    <w:tmpl w:val="D664787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40D24F1"/>
    <w:multiLevelType w:val="hybridMultilevel"/>
    <w:tmpl w:val="CE44C5BE"/>
    <w:lvl w:ilvl="0" w:tplc="217AB376">
      <w:start w:val="1"/>
      <w:numFmt w:val="bullet"/>
      <w:lvlText w:val="•"/>
      <w:lvlJc w:val="left"/>
      <w:pPr>
        <w:tabs>
          <w:tab w:val="num" w:pos="-360"/>
        </w:tabs>
        <w:ind w:left="-360" w:hanging="360"/>
      </w:pPr>
      <w:rPr>
        <w:rFonts w:ascii="Arial" w:hAnsi="Arial" w:hint="default"/>
      </w:rPr>
    </w:lvl>
    <w:lvl w:ilvl="1" w:tplc="6A7229D2" w:tentative="1">
      <w:start w:val="1"/>
      <w:numFmt w:val="bullet"/>
      <w:lvlText w:val="•"/>
      <w:lvlJc w:val="left"/>
      <w:pPr>
        <w:tabs>
          <w:tab w:val="num" w:pos="360"/>
        </w:tabs>
        <w:ind w:left="360" w:hanging="360"/>
      </w:pPr>
      <w:rPr>
        <w:rFonts w:ascii="Arial" w:hAnsi="Arial" w:hint="default"/>
      </w:rPr>
    </w:lvl>
    <w:lvl w:ilvl="2" w:tplc="E1E21B0A" w:tentative="1">
      <w:start w:val="1"/>
      <w:numFmt w:val="bullet"/>
      <w:lvlText w:val="•"/>
      <w:lvlJc w:val="left"/>
      <w:pPr>
        <w:tabs>
          <w:tab w:val="num" w:pos="1080"/>
        </w:tabs>
        <w:ind w:left="1080" w:hanging="360"/>
      </w:pPr>
      <w:rPr>
        <w:rFonts w:ascii="Arial" w:hAnsi="Arial" w:hint="default"/>
      </w:rPr>
    </w:lvl>
    <w:lvl w:ilvl="3" w:tplc="980EEAAA" w:tentative="1">
      <w:start w:val="1"/>
      <w:numFmt w:val="bullet"/>
      <w:lvlText w:val="•"/>
      <w:lvlJc w:val="left"/>
      <w:pPr>
        <w:tabs>
          <w:tab w:val="num" w:pos="1800"/>
        </w:tabs>
        <w:ind w:left="1800" w:hanging="360"/>
      </w:pPr>
      <w:rPr>
        <w:rFonts w:ascii="Arial" w:hAnsi="Arial" w:hint="default"/>
      </w:rPr>
    </w:lvl>
    <w:lvl w:ilvl="4" w:tplc="FDB239BC" w:tentative="1">
      <w:start w:val="1"/>
      <w:numFmt w:val="bullet"/>
      <w:lvlText w:val="•"/>
      <w:lvlJc w:val="left"/>
      <w:pPr>
        <w:tabs>
          <w:tab w:val="num" w:pos="2520"/>
        </w:tabs>
        <w:ind w:left="2520" w:hanging="360"/>
      </w:pPr>
      <w:rPr>
        <w:rFonts w:ascii="Arial" w:hAnsi="Arial" w:hint="default"/>
      </w:rPr>
    </w:lvl>
    <w:lvl w:ilvl="5" w:tplc="497A337C" w:tentative="1">
      <w:start w:val="1"/>
      <w:numFmt w:val="bullet"/>
      <w:lvlText w:val="•"/>
      <w:lvlJc w:val="left"/>
      <w:pPr>
        <w:tabs>
          <w:tab w:val="num" w:pos="3240"/>
        </w:tabs>
        <w:ind w:left="3240" w:hanging="360"/>
      </w:pPr>
      <w:rPr>
        <w:rFonts w:ascii="Arial" w:hAnsi="Arial" w:hint="default"/>
      </w:rPr>
    </w:lvl>
    <w:lvl w:ilvl="6" w:tplc="8424B89A" w:tentative="1">
      <w:start w:val="1"/>
      <w:numFmt w:val="bullet"/>
      <w:lvlText w:val="•"/>
      <w:lvlJc w:val="left"/>
      <w:pPr>
        <w:tabs>
          <w:tab w:val="num" w:pos="3960"/>
        </w:tabs>
        <w:ind w:left="3960" w:hanging="360"/>
      </w:pPr>
      <w:rPr>
        <w:rFonts w:ascii="Arial" w:hAnsi="Arial" w:hint="default"/>
      </w:rPr>
    </w:lvl>
    <w:lvl w:ilvl="7" w:tplc="97F4E394" w:tentative="1">
      <w:start w:val="1"/>
      <w:numFmt w:val="bullet"/>
      <w:lvlText w:val="•"/>
      <w:lvlJc w:val="left"/>
      <w:pPr>
        <w:tabs>
          <w:tab w:val="num" w:pos="4680"/>
        </w:tabs>
        <w:ind w:left="4680" w:hanging="360"/>
      </w:pPr>
      <w:rPr>
        <w:rFonts w:ascii="Arial" w:hAnsi="Arial" w:hint="default"/>
      </w:rPr>
    </w:lvl>
    <w:lvl w:ilvl="8" w:tplc="5A40B1F6" w:tentative="1">
      <w:start w:val="1"/>
      <w:numFmt w:val="bullet"/>
      <w:lvlText w:val="•"/>
      <w:lvlJc w:val="left"/>
      <w:pPr>
        <w:tabs>
          <w:tab w:val="num" w:pos="5400"/>
        </w:tabs>
        <w:ind w:left="5400" w:hanging="360"/>
      </w:pPr>
      <w:rPr>
        <w:rFonts w:ascii="Arial" w:hAnsi="Arial" w:hint="default"/>
      </w:rPr>
    </w:lvl>
  </w:abstractNum>
  <w:abstractNum w:abstractNumId="3" w15:restartNumberingAfterBreak="0">
    <w:nsid w:val="07CF4D43"/>
    <w:multiLevelType w:val="hybridMultilevel"/>
    <w:tmpl w:val="5278608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16086FF5"/>
    <w:multiLevelType w:val="hybridMultilevel"/>
    <w:tmpl w:val="5BF8AF7C"/>
    <w:lvl w:ilvl="0" w:tplc="FFFFFFFF">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6B97D1B"/>
    <w:multiLevelType w:val="hybridMultilevel"/>
    <w:tmpl w:val="F5289E86"/>
    <w:lvl w:ilvl="0" w:tplc="41C8EB3C">
      <w:start w:val="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F14A6D"/>
    <w:multiLevelType w:val="hybridMultilevel"/>
    <w:tmpl w:val="BC405F18"/>
    <w:lvl w:ilvl="0" w:tplc="C4BE58B0">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D7A6F1D"/>
    <w:multiLevelType w:val="hybridMultilevel"/>
    <w:tmpl w:val="170EEA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3AC0D13"/>
    <w:multiLevelType w:val="hybridMultilevel"/>
    <w:tmpl w:val="897A8C9E"/>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9DC5DCD"/>
    <w:multiLevelType w:val="hybridMultilevel"/>
    <w:tmpl w:val="D1D80552"/>
    <w:lvl w:ilvl="0" w:tplc="69D215E8">
      <w:start w:val="1"/>
      <w:numFmt w:val="decimal"/>
      <w:lvlText w:val="%1."/>
      <w:lvlJc w:val="left"/>
      <w:pPr>
        <w:ind w:left="720" w:hanging="360"/>
      </w:pPr>
      <w:rPr>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0AE0F92"/>
    <w:multiLevelType w:val="hybridMultilevel"/>
    <w:tmpl w:val="02247AE8"/>
    <w:lvl w:ilvl="0" w:tplc="A68E22F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2D94423"/>
    <w:multiLevelType w:val="hybridMultilevel"/>
    <w:tmpl w:val="75C69BE8"/>
    <w:lvl w:ilvl="0" w:tplc="08070019">
      <w:start w:val="1"/>
      <w:numFmt w:val="lowerLetter"/>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2" w15:restartNumberingAfterBreak="0">
    <w:nsid w:val="46976479"/>
    <w:multiLevelType w:val="hybridMultilevel"/>
    <w:tmpl w:val="69C2B816"/>
    <w:lvl w:ilvl="0" w:tplc="1FBA9CF4">
      <w:numFmt w:val="bullet"/>
      <w:lvlText w:val="-"/>
      <w:lvlJc w:val="left"/>
      <w:pPr>
        <w:ind w:left="785" w:hanging="360"/>
      </w:pPr>
      <w:rPr>
        <w:rFonts w:ascii="Arial" w:eastAsia="Times New Roman" w:hAnsi="Arial" w:cs="Arial" w:hint="default"/>
        <w:color w:val="000000" w:themeColor="text1"/>
      </w:rPr>
    </w:lvl>
    <w:lvl w:ilvl="1" w:tplc="08070003">
      <w:start w:val="1"/>
      <w:numFmt w:val="bullet"/>
      <w:lvlText w:val="o"/>
      <w:lvlJc w:val="left"/>
      <w:pPr>
        <w:ind w:left="1505" w:hanging="360"/>
      </w:pPr>
      <w:rPr>
        <w:rFonts w:ascii="Courier New" w:hAnsi="Courier New" w:cs="Courier New" w:hint="default"/>
      </w:rPr>
    </w:lvl>
    <w:lvl w:ilvl="2" w:tplc="08070005">
      <w:start w:val="1"/>
      <w:numFmt w:val="bullet"/>
      <w:lvlText w:val=""/>
      <w:lvlJc w:val="left"/>
      <w:pPr>
        <w:ind w:left="2225" w:hanging="360"/>
      </w:pPr>
      <w:rPr>
        <w:rFonts w:ascii="Wingdings" w:hAnsi="Wingdings" w:hint="default"/>
      </w:rPr>
    </w:lvl>
    <w:lvl w:ilvl="3" w:tplc="08070001">
      <w:start w:val="1"/>
      <w:numFmt w:val="bullet"/>
      <w:lvlText w:val=""/>
      <w:lvlJc w:val="left"/>
      <w:pPr>
        <w:ind w:left="2945" w:hanging="360"/>
      </w:pPr>
      <w:rPr>
        <w:rFonts w:ascii="Symbol" w:hAnsi="Symbol" w:hint="default"/>
      </w:rPr>
    </w:lvl>
    <w:lvl w:ilvl="4" w:tplc="08070003">
      <w:start w:val="1"/>
      <w:numFmt w:val="bullet"/>
      <w:lvlText w:val="o"/>
      <w:lvlJc w:val="left"/>
      <w:pPr>
        <w:ind w:left="3665" w:hanging="360"/>
      </w:pPr>
      <w:rPr>
        <w:rFonts w:ascii="Courier New" w:hAnsi="Courier New" w:cs="Courier New" w:hint="default"/>
      </w:rPr>
    </w:lvl>
    <w:lvl w:ilvl="5" w:tplc="08070005">
      <w:start w:val="1"/>
      <w:numFmt w:val="bullet"/>
      <w:lvlText w:val=""/>
      <w:lvlJc w:val="left"/>
      <w:pPr>
        <w:ind w:left="4385" w:hanging="360"/>
      </w:pPr>
      <w:rPr>
        <w:rFonts w:ascii="Wingdings" w:hAnsi="Wingdings" w:hint="default"/>
      </w:rPr>
    </w:lvl>
    <w:lvl w:ilvl="6" w:tplc="08070001">
      <w:start w:val="1"/>
      <w:numFmt w:val="bullet"/>
      <w:lvlText w:val=""/>
      <w:lvlJc w:val="left"/>
      <w:pPr>
        <w:ind w:left="5105" w:hanging="360"/>
      </w:pPr>
      <w:rPr>
        <w:rFonts w:ascii="Symbol" w:hAnsi="Symbol" w:hint="default"/>
      </w:rPr>
    </w:lvl>
    <w:lvl w:ilvl="7" w:tplc="08070003">
      <w:start w:val="1"/>
      <w:numFmt w:val="bullet"/>
      <w:lvlText w:val="o"/>
      <w:lvlJc w:val="left"/>
      <w:pPr>
        <w:ind w:left="5825" w:hanging="360"/>
      </w:pPr>
      <w:rPr>
        <w:rFonts w:ascii="Courier New" w:hAnsi="Courier New" w:cs="Courier New" w:hint="default"/>
      </w:rPr>
    </w:lvl>
    <w:lvl w:ilvl="8" w:tplc="08070005">
      <w:start w:val="1"/>
      <w:numFmt w:val="bullet"/>
      <w:lvlText w:val=""/>
      <w:lvlJc w:val="left"/>
      <w:pPr>
        <w:ind w:left="6545" w:hanging="360"/>
      </w:pPr>
      <w:rPr>
        <w:rFonts w:ascii="Wingdings" w:hAnsi="Wingdings" w:hint="default"/>
      </w:rPr>
    </w:lvl>
  </w:abstractNum>
  <w:abstractNum w:abstractNumId="13" w15:restartNumberingAfterBreak="0">
    <w:nsid w:val="46C36F5A"/>
    <w:multiLevelType w:val="hybridMultilevel"/>
    <w:tmpl w:val="496E5D22"/>
    <w:lvl w:ilvl="0" w:tplc="C8D65478">
      <w:start w:val="1"/>
      <w:numFmt w:val="bullet"/>
      <w:lvlText w:val="-"/>
      <w:lvlJc w:val="left"/>
      <w:pPr>
        <w:ind w:left="720" w:hanging="360"/>
      </w:pPr>
      <w:rPr>
        <w:rFonts w:ascii="Symbol" w:eastAsia="Times New Roman"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E6367DB"/>
    <w:multiLevelType w:val="hybridMultilevel"/>
    <w:tmpl w:val="F6DC1438"/>
    <w:lvl w:ilvl="0" w:tplc="6C88113E">
      <w:start w:val="5"/>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F134DCB"/>
    <w:multiLevelType w:val="hybridMultilevel"/>
    <w:tmpl w:val="53B83168"/>
    <w:lvl w:ilvl="0" w:tplc="9200A0A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F425F3C"/>
    <w:multiLevelType w:val="hybridMultilevel"/>
    <w:tmpl w:val="816A1CCA"/>
    <w:lvl w:ilvl="0" w:tplc="3A10F514">
      <w:start w:val="20"/>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2CC2C89"/>
    <w:multiLevelType w:val="hybridMultilevel"/>
    <w:tmpl w:val="8A567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74CC6"/>
    <w:multiLevelType w:val="hybridMultilevel"/>
    <w:tmpl w:val="00C4A66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D955B0B"/>
    <w:multiLevelType w:val="hybridMultilevel"/>
    <w:tmpl w:val="1B9ECB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ED7212D"/>
    <w:multiLevelType w:val="hybridMultilevel"/>
    <w:tmpl w:val="20A839C2"/>
    <w:lvl w:ilvl="0" w:tplc="C708EFE0">
      <w:start w:val="3"/>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67434CB1"/>
    <w:multiLevelType w:val="hybridMultilevel"/>
    <w:tmpl w:val="3FB0C6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6A6C6EB2"/>
    <w:multiLevelType w:val="hybridMultilevel"/>
    <w:tmpl w:val="FACC1D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A7C6E2C"/>
    <w:multiLevelType w:val="hybridMultilevel"/>
    <w:tmpl w:val="DA14E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DE40413"/>
    <w:multiLevelType w:val="hybridMultilevel"/>
    <w:tmpl w:val="74C4EEAA"/>
    <w:lvl w:ilvl="0" w:tplc="75DA9D02">
      <w:start w:val="1"/>
      <w:numFmt w:val="decimal"/>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78400838"/>
    <w:multiLevelType w:val="hybridMultilevel"/>
    <w:tmpl w:val="0A0A68B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7D2E2EEB"/>
    <w:multiLevelType w:val="hybridMultilevel"/>
    <w:tmpl w:val="4CC44F2A"/>
    <w:lvl w:ilvl="0" w:tplc="1E96DEC0">
      <w:start w:val="2"/>
      <w:numFmt w:val="decimal"/>
      <w:lvlText w:val="%1."/>
      <w:lvlJc w:val="left"/>
      <w:pPr>
        <w:ind w:left="360" w:hanging="360"/>
      </w:pPr>
      <w:rPr>
        <w:rFonts w:cs="Times New Roman"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12"/>
  </w:num>
  <w:num w:numId="2">
    <w:abstractNumId w:val="12"/>
  </w:num>
  <w:num w:numId="3">
    <w:abstractNumId w:val="10"/>
  </w:num>
  <w:num w:numId="4">
    <w:abstractNumId w:val="2"/>
  </w:num>
  <w:num w:numId="5">
    <w:abstractNumId w:val="22"/>
  </w:num>
  <w:num w:numId="6">
    <w:abstractNumId w:val="25"/>
  </w:num>
  <w:num w:numId="7">
    <w:abstractNumId w:val="7"/>
  </w:num>
  <w:num w:numId="8">
    <w:abstractNumId w:val="21"/>
  </w:num>
  <w:num w:numId="9">
    <w:abstractNumId w:val="14"/>
  </w:num>
  <w:num w:numId="10">
    <w:abstractNumId w:val="18"/>
  </w:num>
  <w:num w:numId="11">
    <w:abstractNumId w:val="3"/>
  </w:num>
  <w:num w:numId="12">
    <w:abstractNumId w:val="8"/>
  </w:num>
  <w:num w:numId="13">
    <w:abstractNumId w:val="26"/>
  </w:num>
  <w:num w:numId="14">
    <w:abstractNumId w:val="1"/>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6"/>
  </w:num>
  <w:num w:numId="19">
    <w:abstractNumId w:val="0"/>
  </w:num>
  <w:num w:numId="20">
    <w:abstractNumId w:val="15"/>
  </w:num>
  <w:num w:numId="21">
    <w:abstractNumId w:val="16"/>
  </w:num>
  <w:num w:numId="22">
    <w:abstractNumId w:val="24"/>
  </w:num>
  <w:num w:numId="23">
    <w:abstractNumId w:val="20"/>
  </w:num>
  <w:num w:numId="24">
    <w:abstractNumId w:val="5"/>
  </w:num>
  <w:num w:numId="25">
    <w:abstractNumId w:val="19"/>
  </w:num>
  <w:num w:numId="26">
    <w:abstractNumId w:val="1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52"/>
    <w:rsid w:val="000236FA"/>
    <w:rsid w:val="0003175D"/>
    <w:rsid w:val="000318AE"/>
    <w:rsid w:val="00042B0E"/>
    <w:rsid w:val="000666CB"/>
    <w:rsid w:val="0008262C"/>
    <w:rsid w:val="0009201D"/>
    <w:rsid w:val="000A4A24"/>
    <w:rsid w:val="000B022B"/>
    <w:rsid w:val="000B0391"/>
    <w:rsid w:val="000B61D4"/>
    <w:rsid w:val="000C22C7"/>
    <w:rsid w:val="000C30EF"/>
    <w:rsid w:val="000C34D0"/>
    <w:rsid w:val="000C5B67"/>
    <w:rsid w:val="000D3769"/>
    <w:rsid w:val="000E30B3"/>
    <w:rsid w:val="000E3474"/>
    <w:rsid w:val="00107992"/>
    <w:rsid w:val="001207CB"/>
    <w:rsid w:val="00121E06"/>
    <w:rsid w:val="001250A0"/>
    <w:rsid w:val="00171975"/>
    <w:rsid w:val="00187FAB"/>
    <w:rsid w:val="001A2FAE"/>
    <w:rsid w:val="001A5F3A"/>
    <w:rsid w:val="001C33B6"/>
    <w:rsid w:val="001E12C2"/>
    <w:rsid w:val="001E32A7"/>
    <w:rsid w:val="001F2A53"/>
    <w:rsid w:val="001F317A"/>
    <w:rsid w:val="001F77BD"/>
    <w:rsid w:val="00202696"/>
    <w:rsid w:val="002221EE"/>
    <w:rsid w:val="002720F5"/>
    <w:rsid w:val="00276D7D"/>
    <w:rsid w:val="002B0021"/>
    <w:rsid w:val="002B3C80"/>
    <w:rsid w:val="002E7B63"/>
    <w:rsid w:val="002F6508"/>
    <w:rsid w:val="00311EA3"/>
    <w:rsid w:val="00315052"/>
    <w:rsid w:val="00322D35"/>
    <w:rsid w:val="00364678"/>
    <w:rsid w:val="00384794"/>
    <w:rsid w:val="00384B6C"/>
    <w:rsid w:val="003C475B"/>
    <w:rsid w:val="003C4DC8"/>
    <w:rsid w:val="003D01DE"/>
    <w:rsid w:val="003D385E"/>
    <w:rsid w:val="003E662B"/>
    <w:rsid w:val="0042125E"/>
    <w:rsid w:val="00423BFF"/>
    <w:rsid w:val="00425937"/>
    <w:rsid w:val="0043572E"/>
    <w:rsid w:val="00445B4C"/>
    <w:rsid w:val="004462D7"/>
    <w:rsid w:val="0045068D"/>
    <w:rsid w:val="00456D4D"/>
    <w:rsid w:val="00463C46"/>
    <w:rsid w:val="00465A09"/>
    <w:rsid w:val="00473E87"/>
    <w:rsid w:val="00475100"/>
    <w:rsid w:val="00496147"/>
    <w:rsid w:val="004A3102"/>
    <w:rsid w:val="004B46F0"/>
    <w:rsid w:val="004C4652"/>
    <w:rsid w:val="004E3AC5"/>
    <w:rsid w:val="004F0B8C"/>
    <w:rsid w:val="004F5A3F"/>
    <w:rsid w:val="00503292"/>
    <w:rsid w:val="00510363"/>
    <w:rsid w:val="0051365B"/>
    <w:rsid w:val="00523C38"/>
    <w:rsid w:val="00523D9D"/>
    <w:rsid w:val="00531FA7"/>
    <w:rsid w:val="00550A28"/>
    <w:rsid w:val="00565AE7"/>
    <w:rsid w:val="005664E6"/>
    <w:rsid w:val="00567F37"/>
    <w:rsid w:val="00574DC7"/>
    <w:rsid w:val="00583B7D"/>
    <w:rsid w:val="00586AA3"/>
    <w:rsid w:val="005A3D4C"/>
    <w:rsid w:val="005A64AB"/>
    <w:rsid w:val="005B2F82"/>
    <w:rsid w:val="005C3E56"/>
    <w:rsid w:val="005D197D"/>
    <w:rsid w:val="005E62EB"/>
    <w:rsid w:val="005E6CB2"/>
    <w:rsid w:val="005F4E4D"/>
    <w:rsid w:val="0060170D"/>
    <w:rsid w:val="00637D01"/>
    <w:rsid w:val="00651EDB"/>
    <w:rsid w:val="006748CB"/>
    <w:rsid w:val="0069095D"/>
    <w:rsid w:val="0069777C"/>
    <w:rsid w:val="006B6419"/>
    <w:rsid w:val="006E00CF"/>
    <w:rsid w:val="006F0C08"/>
    <w:rsid w:val="007543DC"/>
    <w:rsid w:val="00754672"/>
    <w:rsid w:val="00755AF4"/>
    <w:rsid w:val="00765350"/>
    <w:rsid w:val="00767FEB"/>
    <w:rsid w:val="007877A6"/>
    <w:rsid w:val="007B145E"/>
    <w:rsid w:val="007F4878"/>
    <w:rsid w:val="00810612"/>
    <w:rsid w:val="00835461"/>
    <w:rsid w:val="008446E5"/>
    <w:rsid w:val="008577C8"/>
    <w:rsid w:val="008B0A3C"/>
    <w:rsid w:val="008C71C4"/>
    <w:rsid w:val="008F310B"/>
    <w:rsid w:val="0091119D"/>
    <w:rsid w:val="00911349"/>
    <w:rsid w:val="00920496"/>
    <w:rsid w:val="00920B47"/>
    <w:rsid w:val="0092697B"/>
    <w:rsid w:val="00945760"/>
    <w:rsid w:val="009527DB"/>
    <w:rsid w:val="0097218C"/>
    <w:rsid w:val="00990E67"/>
    <w:rsid w:val="009A119B"/>
    <w:rsid w:val="009B0F37"/>
    <w:rsid w:val="009D1677"/>
    <w:rsid w:val="009E1E43"/>
    <w:rsid w:val="009E6B77"/>
    <w:rsid w:val="009F6138"/>
    <w:rsid w:val="00A01AAD"/>
    <w:rsid w:val="00A204AF"/>
    <w:rsid w:val="00A353B4"/>
    <w:rsid w:val="00A35AF5"/>
    <w:rsid w:val="00A4182F"/>
    <w:rsid w:val="00A84A5A"/>
    <w:rsid w:val="00A84C6A"/>
    <w:rsid w:val="00A93048"/>
    <w:rsid w:val="00AB5344"/>
    <w:rsid w:val="00AE26CB"/>
    <w:rsid w:val="00AF745B"/>
    <w:rsid w:val="00B05EFE"/>
    <w:rsid w:val="00B14EA6"/>
    <w:rsid w:val="00B261A7"/>
    <w:rsid w:val="00B33013"/>
    <w:rsid w:val="00B34BD8"/>
    <w:rsid w:val="00B6521A"/>
    <w:rsid w:val="00B7052A"/>
    <w:rsid w:val="00B7363D"/>
    <w:rsid w:val="00B90126"/>
    <w:rsid w:val="00BA02E5"/>
    <w:rsid w:val="00BB6914"/>
    <w:rsid w:val="00C04675"/>
    <w:rsid w:val="00C16AD1"/>
    <w:rsid w:val="00C21216"/>
    <w:rsid w:val="00C4149C"/>
    <w:rsid w:val="00C603B0"/>
    <w:rsid w:val="00C9171C"/>
    <w:rsid w:val="00C9755F"/>
    <w:rsid w:val="00CA047B"/>
    <w:rsid w:val="00CA7E6D"/>
    <w:rsid w:val="00CB3A78"/>
    <w:rsid w:val="00CC58A5"/>
    <w:rsid w:val="00CD1DE3"/>
    <w:rsid w:val="00CD1FA7"/>
    <w:rsid w:val="00CD75BE"/>
    <w:rsid w:val="00CE3D6C"/>
    <w:rsid w:val="00CE4369"/>
    <w:rsid w:val="00D00E9F"/>
    <w:rsid w:val="00D51AA8"/>
    <w:rsid w:val="00D53635"/>
    <w:rsid w:val="00D64807"/>
    <w:rsid w:val="00D670D1"/>
    <w:rsid w:val="00D756EA"/>
    <w:rsid w:val="00D96723"/>
    <w:rsid w:val="00DA2685"/>
    <w:rsid w:val="00DB7674"/>
    <w:rsid w:val="00DC6373"/>
    <w:rsid w:val="00DD39E2"/>
    <w:rsid w:val="00DF3DF3"/>
    <w:rsid w:val="00DF53A6"/>
    <w:rsid w:val="00E0569D"/>
    <w:rsid w:val="00E14515"/>
    <w:rsid w:val="00E31A82"/>
    <w:rsid w:val="00E522BB"/>
    <w:rsid w:val="00E977F2"/>
    <w:rsid w:val="00EA3CD5"/>
    <w:rsid w:val="00EB760B"/>
    <w:rsid w:val="00EF0F1D"/>
    <w:rsid w:val="00EF6253"/>
    <w:rsid w:val="00F00B46"/>
    <w:rsid w:val="00F15939"/>
    <w:rsid w:val="00F16CF8"/>
    <w:rsid w:val="00F32216"/>
    <w:rsid w:val="00F609DC"/>
    <w:rsid w:val="00F64E32"/>
    <w:rsid w:val="00F93978"/>
    <w:rsid w:val="00F96024"/>
    <w:rsid w:val="00F97863"/>
    <w:rsid w:val="00FA20E3"/>
    <w:rsid w:val="00FB7502"/>
    <w:rsid w:val="00FC4E9C"/>
    <w:rsid w:val="00FD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FFF086"/>
  <w15:docId w15:val="{9EE894CA-4749-4148-8CE0-EA98A7A7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52"/>
    <w:pPr>
      <w:spacing w:after="160" w:line="259" w:lineRule="auto"/>
    </w:pPr>
    <w:rPr>
      <w:rFonts w:asciiTheme="minorHAnsi" w:eastAsiaTheme="minorEastAsia" w:hAnsiTheme="minorHAnsi" w:cstheme="minorBidi"/>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182F"/>
    <w:pPr>
      <w:suppressAutoHyphens/>
      <w:spacing w:line="200" w:lineRule="exact"/>
    </w:pPr>
    <w:rPr>
      <w:noProof/>
      <w:sz w:val="15"/>
    </w:rPr>
  </w:style>
  <w:style w:type="paragraph" w:styleId="Footer">
    <w:name w:val="footer"/>
    <w:basedOn w:val="Normal"/>
    <w:rsid w:val="00A4182F"/>
    <w:pPr>
      <w:suppressAutoHyphens/>
      <w:spacing w:line="200" w:lineRule="exact"/>
    </w:pPr>
    <w:rPr>
      <w:noProof/>
      <w:sz w:val="15"/>
      <w:szCs w:val="15"/>
    </w:rPr>
  </w:style>
  <w:style w:type="paragraph" w:customStyle="1" w:styleId="KopfDept">
    <w:name w:val="KopfDept"/>
    <w:basedOn w:val="Header"/>
    <w:next w:val="Normal"/>
    <w:rsid w:val="00A4182F"/>
    <w:pPr>
      <w:spacing w:after="100"/>
      <w:contextualSpacing/>
    </w:pPr>
  </w:style>
  <w:style w:type="paragraph" w:customStyle="1" w:styleId="Logo">
    <w:name w:val="Logo"/>
    <w:rsid w:val="00A4182F"/>
    <w:rPr>
      <w:rFonts w:ascii="Arial" w:hAnsi="Arial"/>
      <w:noProof/>
      <w:sz w:val="15"/>
      <w:lang w:val="de-CH" w:eastAsia="de-CH"/>
    </w:rPr>
  </w:style>
  <w:style w:type="paragraph" w:customStyle="1" w:styleId="Ref">
    <w:name w:val="Ref"/>
    <w:basedOn w:val="Normal"/>
    <w:next w:val="Normal"/>
    <w:rsid w:val="00A4182F"/>
    <w:pPr>
      <w:spacing w:line="200" w:lineRule="exact"/>
    </w:pPr>
    <w:rPr>
      <w:sz w:val="15"/>
    </w:rPr>
  </w:style>
  <w:style w:type="paragraph" w:customStyle="1" w:styleId="Form">
    <w:name w:val="Form"/>
    <w:basedOn w:val="Normal"/>
    <w:rsid w:val="00A4182F"/>
    <w:rPr>
      <w:sz w:val="15"/>
    </w:rPr>
  </w:style>
  <w:style w:type="paragraph" w:styleId="Title">
    <w:name w:val="Title"/>
    <w:basedOn w:val="Normal"/>
    <w:next w:val="Normal"/>
    <w:qFormat/>
    <w:rsid w:val="00A4182F"/>
    <w:pPr>
      <w:spacing w:line="480" w:lineRule="exact"/>
      <w:outlineLvl w:val="0"/>
    </w:pPr>
    <w:rPr>
      <w:rFonts w:cs="Arial"/>
      <w:b/>
      <w:bCs/>
      <w:kern w:val="28"/>
      <w:sz w:val="42"/>
      <w:szCs w:val="32"/>
    </w:rPr>
  </w:style>
  <w:style w:type="paragraph" w:customStyle="1" w:styleId="Pfad">
    <w:name w:val="Pfad"/>
    <w:next w:val="Footer"/>
    <w:rsid w:val="00A4182F"/>
    <w:pPr>
      <w:spacing w:line="160" w:lineRule="exact"/>
    </w:pPr>
    <w:rPr>
      <w:rFonts w:ascii="Arial" w:hAnsi="Arial"/>
      <w:noProof/>
      <w:sz w:val="12"/>
      <w:szCs w:val="12"/>
      <w:lang w:val="de-CH" w:eastAsia="de-CH"/>
    </w:rPr>
  </w:style>
  <w:style w:type="paragraph" w:customStyle="1" w:styleId="Linie1">
    <w:name w:val="Linie1"/>
    <w:basedOn w:val="Normal"/>
    <w:next w:val="Normal"/>
    <w:rsid w:val="00A4182F"/>
    <w:pPr>
      <w:pBdr>
        <w:top w:val="single" w:sz="2" w:space="1" w:color="auto"/>
      </w:pBdr>
      <w:spacing w:before="270" w:line="160" w:lineRule="exact"/>
      <w:ind w:left="28" w:right="28"/>
    </w:pPr>
  </w:style>
  <w:style w:type="paragraph" w:customStyle="1" w:styleId="Seite">
    <w:name w:val="Seite"/>
    <w:basedOn w:val="Normal"/>
    <w:rsid w:val="00A4182F"/>
    <w:pPr>
      <w:suppressAutoHyphens/>
      <w:spacing w:line="200" w:lineRule="exact"/>
      <w:jc w:val="right"/>
    </w:pPr>
    <w:rPr>
      <w:sz w:val="14"/>
      <w:szCs w:val="14"/>
    </w:rPr>
  </w:style>
  <w:style w:type="paragraph" w:customStyle="1" w:styleId="Linie2">
    <w:name w:val="Linie2"/>
    <w:basedOn w:val="Normal"/>
    <w:next w:val="Normal"/>
    <w:rsid w:val="00A4182F"/>
    <w:pPr>
      <w:pBdr>
        <w:bottom w:val="single" w:sz="2" w:space="1" w:color="auto"/>
      </w:pBdr>
      <w:spacing w:before="90" w:after="340"/>
    </w:pPr>
  </w:style>
  <w:style w:type="paragraph" w:customStyle="1" w:styleId="Platzhalter">
    <w:name w:val="Platzhalter"/>
    <w:basedOn w:val="Normal"/>
    <w:rsid w:val="00A4182F"/>
    <w:pPr>
      <w:spacing w:line="240" w:lineRule="auto"/>
    </w:pPr>
    <w:rPr>
      <w:sz w:val="2"/>
      <w:szCs w:val="2"/>
    </w:rPr>
  </w:style>
  <w:style w:type="paragraph" w:styleId="BalloonText">
    <w:name w:val="Balloon Text"/>
    <w:basedOn w:val="Normal"/>
    <w:semiHidden/>
    <w:rsid w:val="00496147"/>
    <w:rPr>
      <w:rFonts w:ascii="Tahoma" w:hAnsi="Tahoma" w:cs="Tahoma"/>
      <w:sz w:val="16"/>
      <w:szCs w:val="16"/>
    </w:rPr>
  </w:style>
  <w:style w:type="paragraph" w:styleId="EndnoteText">
    <w:name w:val="endnote text"/>
    <w:basedOn w:val="Normal"/>
    <w:link w:val="EndnoteTextChar"/>
    <w:uiPriority w:val="99"/>
    <w:semiHidden/>
    <w:unhideWhenUsed/>
    <w:rsid w:val="003150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5052"/>
    <w:rPr>
      <w:rFonts w:asciiTheme="minorHAnsi" w:eastAsiaTheme="minorEastAsia" w:hAnsiTheme="minorHAnsi" w:cstheme="minorBidi"/>
      <w:lang w:eastAsia="ko-KR"/>
    </w:rPr>
  </w:style>
  <w:style w:type="character" w:styleId="EndnoteReference">
    <w:name w:val="endnote reference"/>
    <w:basedOn w:val="DefaultParagraphFont"/>
    <w:uiPriority w:val="99"/>
    <w:semiHidden/>
    <w:unhideWhenUsed/>
    <w:rsid w:val="00315052"/>
    <w:rPr>
      <w:vertAlign w:val="superscript"/>
    </w:rPr>
  </w:style>
  <w:style w:type="character" w:styleId="Hyperlink">
    <w:name w:val="Hyperlink"/>
    <w:basedOn w:val="DefaultParagraphFont"/>
    <w:uiPriority w:val="99"/>
    <w:unhideWhenUsed/>
    <w:rsid w:val="00CE4369"/>
    <w:rPr>
      <w:color w:val="0000FF"/>
      <w:u w:val="single"/>
    </w:rPr>
  </w:style>
  <w:style w:type="paragraph" w:styleId="ListParagraph">
    <w:name w:val="List Paragraph"/>
    <w:basedOn w:val="Normal"/>
    <w:uiPriority w:val="34"/>
    <w:qFormat/>
    <w:rsid w:val="00CE4369"/>
    <w:pPr>
      <w:spacing w:after="0" w:line="240" w:lineRule="auto"/>
      <w:ind w:left="720"/>
    </w:pPr>
    <w:rPr>
      <w:rFonts w:ascii="Times New Roman" w:eastAsiaTheme="minorHAnsi" w:hAnsi="Times New Roman" w:cs="Times New Roman"/>
      <w:sz w:val="24"/>
      <w:szCs w:val="24"/>
      <w:lang w:val="de-CH" w:eastAsia="de-CH"/>
    </w:rPr>
  </w:style>
  <w:style w:type="character" w:styleId="CommentReference">
    <w:name w:val="annotation reference"/>
    <w:basedOn w:val="DefaultParagraphFont"/>
    <w:uiPriority w:val="99"/>
    <w:semiHidden/>
    <w:unhideWhenUsed/>
    <w:rsid w:val="00445B4C"/>
    <w:rPr>
      <w:sz w:val="16"/>
      <w:szCs w:val="16"/>
    </w:rPr>
  </w:style>
  <w:style w:type="paragraph" w:styleId="CommentText">
    <w:name w:val="annotation text"/>
    <w:basedOn w:val="Normal"/>
    <w:link w:val="CommentTextChar"/>
    <w:uiPriority w:val="99"/>
    <w:semiHidden/>
    <w:unhideWhenUsed/>
    <w:rsid w:val="00445B4C"/>
    <w:pPr>
      <w:spacing w:line="240" w:lineRule="auto"/>
    </w:pPr>
    <w:rPr>
      <w:sz w:val="20"/>
      <w:szCs w:val="20"/>
    </w:rPr>
  </w:style>
  <w:style w:type="character" w:customStyle="1" w:styleId="CommentTextChar">
    <w:name w:val="Comment Text Char"/>
    <w:basedOn w:val="DefaultParagraphFont"/>
    <w:link w:val="CommentText"/>
    <w:uiPriority w:val="99"/>
    <w:semiHidden/>
    <w:rsid w:val="00445B4C"/>
    <w:rPr>
      <w:rFonts w:asciiTheme="minorHAnsi" w:eastAsiaTheme="minorEastAsia" w:hAnsiTheme="minorHAnsi" w:cstheme="minorBidi"/>
      <w:lang w:eastAsia="ko-KR"/>
    </w:rPr>
  </w:style>
  <w:style w:type="paragraph" w:styleId="CommentSubject">
    <w:name w:val="annotation subject"/>
    <w:basedOn w:val="CommentText"/>
    <w:next w:val="CommentText"/>
    <w:link w:val="CommentSubjectChar"/>
    <w:uiPriority w:val="99"/>
    <w:semiHidden/>
    <w:unhideWhenUsed/>
    <w:rsid w:val="00445B4C"/>
    <w:rPr>
      <w:b/>
      <w:bCs/>
    </w:rPr>
  </w:style>
  <w:style w:type="character" w:customStyle="1" w:styleId="CommentSubjectChar">
    <w:name w:val="Comment Subject Char"/>
    <w:basedOn w:val="CommentTextChar"/>
    <w:link w:val="CommentSubject"/>
    <w:uiPriority w:val="99"/>
    <w:semiHidden/>
    <w:rsid w:val="00445B4C"/>
    <w:rPr>
      <w:rFonts w:asciiTheme="minorHAnsi" w:eastAsiaTheme="minorEastAsia" w:hAnsiTheme="minorHAnsi" w:cstheme="minorBidi"/>
      <w:b/>
      <w:bCs/>
      <w:lang w:eastAsia="ko-KR"/>
    </w:rPr>
  </w:style>
  <w:style w:type="paragraph" w:styleId="FootnoteText">
    <w:name w:val="footnote text"/>
    <w:basedOn w:val="Normal"/>
    <w:link w:val="FootnoteTextChar"/>
    <w:uiPriority w:val="99"/>
    <w:semiHidden/>
    <w:unhideWhenUsed/>
    <w:rsid w:val="00445B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B4C"/>
    <w:rPr>
      <w:rFonts w:asciiTheme="minorHAnsi" w:eastAsiaTheme="minorEastAsia" w:hAnsiTheme="minorHAnsi" w:cstheme="minorBidi"/>
      <w:lang w:eastAsia="ko-KR"/>
    </w:rPr>
  </w:style>
  <w:style w:type="character" w:styleId="FootnoteReference">
    <w:name w:val="footnote reference"/>
    <w:basedOn w:val="DefaultParagraphFont"/>
    <w:uiPriority w:val="99"/>
    <w:semiHidden/>
    <w:unhideWhenUsed/>
    <w:rsid w:val="00445B4C"/>
    <w:rPr>
      <w:vertAlign w:val="superscript"/>
    </w:rPr>
  </w:style>
  <w:style w:type="character" w:styleId="FollowedHyperlink">
    <w:name w:val="FollowedHyperlink"/>
    <w:basedOn w:val="DefaultParagraphFont"/>
    <w:uiPriority w:val="99"/>
    <w:semiHidden/>
    <w:unhideWhenUsed/>
    <w:rsid w:val="000E34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16633">
      <w:bodyDiv w:val="1"/>
      <w:marLeft w:val="0"/>
      <w:marRight w:val="0"/>
      <w:marTop w:val="0"/>
      <w:marBottom w:val="0"/>
      <w:divBdr>
        <w:top w:val="none" w:sz="0" w:space="0" w:color="auto"/>
        <w:left w:val="none" w:sz="0" w:space="0" w:color="auto"/>
        <w:bottom w:val="none" w:sz="0" w:space="0" w:color="auto"/>
        <w:right w:val="none" w:sz="0" w:space="0" w:color="auto"/>
      </w:divBdr>
    </w:div>
    <w:div w:id="700936014">
      <w:bodyDiv w:val="1"/>
      <w:marLeft w:val="0"/>
      <w:marRight w:val="0"/>
      <w:marTop w:val="0"/>
      <w:marBottom w:val="0"/>
      <w:divBdr>
        <w:top w:val="none" w:sz="0" w:space="0" w:color="auto"/>
        <w:left w:val="none" w:sz="0" w:space="0" w:color="auto"/>
        <w:bottom w:val="none" w:sz="0" w:space="0" w:color="auto"/>
        <w:right w:val="none" w:sz="0" w:space="0" w:color="auto"/>
      </w:divBdr>
    </w:div>
    <w:div w:id="741440956">
      <w:bodyDiv w:val="1"/>
      <w:marLeft w:val="0"/>
      <w:marRight w:val="0"/>
      <w:marTop w:val="0"/>
      <w:marBottom w:val="0"/>
      <w:divBdr>
        <w:top w:val="none" w:sz="0" w:space="0" w:color="auto"/>
        <w:left w:val="none" w:sz="0" w:space="0" w:color="auto"/>
        <w:bottom w:val="none" w:sz="0" w:space="0" w:color="auto"/>
        <w:right w:val="none" w:sz="0" w:space="0" w:color="auto"/>
      </w:divBdr>
    </w:div>
    <w:div w:id="779305082">
      <w:bodyDiv w:val="1"/>
      <w:marLeft w:val="0"/>
      <w:marRight w:val="0"/>
      <w:marTop w:val="0"/>
      <w:marBottom w:val="0"/>
      <w:divBdr>
        <w:top w:val="none" w:sz="0" w:space="0" w:color="auto"/>
        <w:left w:val="none" w:sz="0" w:space="0" w:color="auto"/>
        <w:bottom w:val="none" w:sz="0" w:space="0" w:color="auto"/>
        <w:right w:val="none" w:sz="0" w:space="0" w:color="auto"/>
      </w:divBdr>
    </w:div>
    <w:div w:id="1021469681">
      <w:bodyDiv w:val="1"/>
      <w:marLeft w:val="0"/>
      <w:marRight w:val="0"/>
      <w:marTop w:val="0"/>
      <w:marBottom w:val="0"/>
      <w:divBdr>
        <w:top w:val="none" w:sz="0" w:space="0" w:color="auto"/>
        <w:left w:val="none" w:sz="0" w:space="0" w:color="auto"/>
        <w:bottom w:val="none" w:sz="0" w:space="0" w:color="auto"/>
        <w:right w:val="none" w:sz="0" w:space="0" w:color="auto"/>
      </w:divBdr>
    </w:div>
    <w:div w:id="1150707995">
      <w:bodyDiv w:val="1"/>
      <w:marLeft w:val="0"/>
      <w:marRight w:val="0"/>
      <w:marTop w:val="0"/>
      <w:marBottom w:val="0"/>
      <w:divBdr>
        <w:top w:val="none" w:sz="0" w:space="0" w:color="auto"/>
        <w:left w:val="none" w:sz="0" w:space="0" w:color="auto"/>
        <w:bottom w:val="none" w:sz="0" w:space="0" w:color="auto"/>
        <w:right w:val="none" w:sz="0" w:space="0" w:color="auto"/>
      </w:divBdr>
    </w:div>
    <w:div w:id="1157069279">
      <w:bodyDiv w:val="1"/>
      <w:marLeft w:val="0"/>
      <w:marRight w:val="0"/>
      <w:marTop w:val="0"/>
      <w:marBottom w:val="0"/>
      <w:divBdr>
        <w:top w:val="none" w:sz="0" w:space="0" w:color="auto"/>
        <w:left w:val="none" w:sz="0" w:space="0" w:color="auto"/>
        <w:bottom w:val="none" w:sz="0" w:space="0" w:color="auto"/>
        <w:right w:val="none" w:sz="0" w:space="0" w:color="auto"/>
      </w:divBdr>
    </w:div>
    <w:div w:id="1585072514">
      <w:bodyDiv w:val="1"/>
      <w:marLeft w:val="0"/>
      <w:marRight w:val="0"/>
      <w:marTop w:val="0"/>
      <w:marBottom w:val="0"/>
      <w:divBdr>
        <w:top w:val="none" w:sz="0" w:space="0" w:color="auto"/>
        <w:left w:val="none" w:sz="0" w:space="0" w:color="auto"/>
        <w:bottom w:val="none" w:sz="0" w:space="0" w:color="auto"/>
        <w:right w:val="none" w:sz="0" w:space="0" w:color="auto"/>
      </w:divBdr>
    </w:div>
    <w:div w:id="1776092838">
      <w:bodyDiv w:val="1"/>
      <w:marLeft w:val="0"/>
      <w:marRight w:val="0"/>
      <w:marTop w:val="0"/>
      <w:marBottom w:val="0"/>
      <w:divBdr>
        <w:top w:val="none" w:sz="0" w:space="0" w:color="auto"/>
        <w:left w:val="none" w:sz="0" w:space="0" w:color="auto"/>
        <w:bottom w:val="none" w:sz="0" w:space="0" w:color="auto"/>
        <w:right w:val="none" w:sz="0" w:space="0" w:color="auto"/>
      </w:divBdr>
    </w:div>
    <w:div w:id="1862741467">
      <w:bodyDiv w:val="1"/>
      <w:marLeft w:val="0"/>
      <w:marRight w:val="0"/>
      <w:marTop w:val="0"/>
      <w:marBottom w:val="0"/>
      <w:divBdr>
        <w:top w:val="none" w:sz="0" w:space="0" w:color="auto"/>
        <w:left w:val="none" w:sz="0" w:space="0" w:color="auto"/>
        <w:bottom w:val="none" w:sz="0" w:space="0" w:color="auto"/>
        <w:right w:val="none" w:sz="0" w:space="0" w:color="auto"/>
      </w:divBdr>
    </w:div>
    <w:div w:id="19719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81F3-9B55-4C75-8C70-030F19C6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6959</Characters>
  <Application>Microsoft Office Word</Application>
  <DocSecurity>4</DocSecurity>
  <Lines>57</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Note de service</vt:lpstr>
      <vt:lpstr>Note de service</vt:lpstr>
    </vt:vector>
  </TitlesOfParts>
  <Company>EDA</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service</dc:title>
  <dc:creator>Friedmann Rémy EDA FRY</dc:creator>
  <cp:lastModifiedBy>EVIA ALSINA Laia</cp:lastModifiedBy>
  <cp:revision>2</cp:revision>
  <cp:lastPrinted>2007-03-02T11:19:00Z</cp:lastPrinted>
  <dcterms:created xsi:type="dcterms:W3CDTF">2023-02-15T14:54:00Z</dcterms:created>
  <dcterms:modified xsi:type="dcterms:W3CDTF">2023-02-15T14:54:00Z</dcterms:modified>
</cp:coreProperties>
</file>