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080"/>
      </w:tblGrid>
      <w:tr w:rsidR="007F1768" w:rsidRPr="00774A9E" w14:paraId="62935066" w14:textId="77777777" w:rsidTr="007D5F8E">
        <w:tc>
          <w:tcPr>
            <w:tcW w:w="1129" w:type="dxa"/>
          </w:tcPr>
          <w:p w14:paraId="3A6852B2" w14:textId="1900DF3E" w:rsidR="007F1768" w:rsidRPr="00774A9E" w:rsidRDefault="007F1768" w:rsidP="00780982">
            <w:pPr>
              <w:rPr>
                <w:rFonts w:ascii="Times New Roman" w:hAnsi="Times New Roman" w:cs="Times New Roman"/>
                <w:b/>
                <w:bCs/>
              </w:rPr>
            </w:pPr>
            <w:r w:rsidRPr="00774A9E">
              <w:rPr>
                <w:rFonts w:ascii="Times New Roman" w:hAnsi="Times New Roman" w:cs="Times New Roman"/>
                <w:b/>
                <w:bCs/>
              </w:rPr>
              <w:t>From:</w:t>
            </w:r>
          </w:p>
        </w:tc>
        <w:tc>
          <w:tcPr>
            <w:tcW w:w="8080" w:type="dxa"/>
          </w:tcPr>
          <w:p w14:paraId="4A19CF24" w14:textId="5A46EA03" w:rsidR="007F1768" w:rsidRPr="00774A9E" w:rsidRDefault="007F1768" w:rsidP="00780982">
            <w:pPr>
              <w:rPr>
                <w:rFonts w:ascii="Times New Roman" w:hAnsi="Times New Roman" w:cs="Times New Roman"/>
              </w:rPr>
            </w:pPr>
            <w:r w:rsidRPr="00774A9E">
              <w:rPr>
                <w:rFonts w:ascii="Times New Roman" w:hAnsi="Times New Roman" w:cs="Times New Roman"/>
              </w:rPr>
              <w:t>Dr Olga Gurgula</w:t>
            </w:r>
            <w:r w:rsidR="004D6ED4" w:rsidRPr="00774A9E">
              <w:rPr>
                <w:rFonts w:ascii="Times New Roman" w:hAnsi="Times New Roman" w:cs="Times New Roman"/>
              </w:rPr>
              <w:t xml:space="preserve">, </w:t>
            </w:r>
            <w:r w:rsidR="0061230A" w:rsidRPr="00774A9E">
              <w:rPr>
                <w:rFonts w:ascii="Times New Roman" w:hAnsi="Times New Roman" w:cs="Times New Roman"/>
              </w:rPr>
              <w:t xml:space="preserve">Senior Lecturer in Intellectual Property Law, </w:t>
            </w:r>
            <w:r w:rsidR="004D6ED4" w:rsidRPr="00774A9E">
              <w:rPr>
                <w:rFonts w:ascii="Times New Roman" w:hAnsi="Times New Roman" w:cs="Times New Roman"/>
              </w:rPr>
              <w:t>Brunel University London</w:t>
            </w:r>
            <w:r w:rsidR="00DF0B96">
              <w:rPr>
                <w:rFonts w:ascii="Times New Roman" w:hAnsi="Times New Roman" w:cs="Times New Roman"/>
              </w:rPr>
              <w:t xml:space="preserve">; </w:t>
            </w:r>
            <w:hyperlink r:id="rId11" w:history="1">
              <w:r w:rsidR="00DF0B96" w:rsidRPr="002B53CB">
                <w:rPr>
                  <w:rStyle w:val="Hyperlink"/>
                  <w:rFonts w:ascii="Times New Roman" w:hAnsi="Times New Roman" w:cs="Times New Roman"/>
                </w:rPr>
                <w:t>Olga.Gurgula@brunel.ac.uk</w:t>
              </w:r>
            </w:hyperlink>
            <w:r w:rsidR="00DF0B96">
              <w:rPr>
                <w:rFonts w:ascii="Times New Roman" w:hAnsi="Times New Roman" w:cs="Times New Roman"/>
              </w:rPr>
              <w:t xml:space="preserve"> </w:t>
            </w:r>
          </w:p>
          <w:p w14:paraId="4F394184" w14:textId="392C9CDA" w:rsidR="00780982" w:rsidRPr="00774A9E" w:rsidRDefault="00780982" w:rsidP="00780982">
            <w:pPr>
              <w:rPr>
                <w:rFonts w:ascii="Times New Roman" w:hAnsi="Times New Roman" w:cs="Times New Roman"/>
              </w:rPr>
            </w:pPr>
          </w:p>
        </w:tc>
      </w:tr>
      <w:tr w:rsidR="007F1768" w:rsidRPr="00774A9E" w14:paraId="187AAD38" w14:textId="77777777" w:rsidTr="007D5F8E">
        <w:tc>
          <w:tcPr>
            <w:tcW w:w="1129" w:type="dxa"/>
          </w:tcPr>
          <w:p w14:paraId="48804507" w14:textId="758291A1" w:rsidR="007F1768" w:rsidRPr="00774A9E" w:rsidRDefault="004D6ED4" w:rsidP="00780982">
            <w:pPr>
              <w:rPr>
                <w:rFonts w:ascii="Times New Roman" w:hAnsi="Times New Roman" w:cs="Times New Roman"/>
                <w:b/>
                <w:bCs/>
              </w:rPr>
            </w:pPr>
            <w:r w:rsidRPr="00774A9E">
              <w:rPr>
                <w:rFonts w:ascii="Times New Roman" w:hAnsi="Times New Roman" w:cs="Times New Roman"/>
                <w:b/>
                <w:bCs/>
              </w:rPr>
              <w:t>To:</w:t>
            </w:r>
          </w:p>
        </w:tc>
        <w:tc>
          <w:tcPr>
            <w:tcW w:w="8080" w:type="dxa"/>
          </w:tcPr>
          <w:p w14:paraId="54010BB2" w14:textId="4CC0BAED" w:rsidR="007F1768" w:rsidRPr="00774A9E" w:rsidRDefault="00F361EC" w:rsidP="00780982">
            <w:pPr>
              <w:rPr>
                <w:rFonts w:ascii="Times New Roman" w:hAnsi="Times New Roman" w:cs="Times New Roman"/>
              </w:rPr>
            </w:pPr>
            <w:r>
              <w:rPr>
                <w:rFonts w:ascii="Times New Roman" w:hAnsi="Times New Roman" w:cs="Times New Roman"/>
              </w:rPr>
              <w:t xml:space="preserve">The </w:t>
            </w:r>
            <w:r w:rsidR="000326F8" w:rsidRPr="00774A9E">
              <w:rPr>
                <w:rFonts w:ascii="Times New Roman" w:hAnsi="Times New Roman" w:cs="Times New Roman"/>
              </w:rPr>
              <w:t xml:space="preserve">Registry of </w:t>
            </w:r>
            <w:r w:rsidR="005D21C2" w:rsidRPr="00774A9E">
              <w:rPr>
                <w:rFonts w:ascii="Times New Roman" w:hAnsi="Times New Roman" w:cs="Times New Roman"/>
              </w:rPr>
              <w:t>t</w:t>
            </w:r>
            <w:r w:rsidR="007D5F8E" w:rsidRPr="00774A9E">
              <w:rPr>
                <w:rFonts w:ascii="Times New Roman" w:hAnsi="Times New Roman" w:cs="Times New Roman"/>
              </w:rPr>
              <w:t>he Office of the High Commissioner for Human Rights (OHCHR)</w:t>
            </w:r>
          </w:p>
          <w:p w14:paraId="7BE4ED90" w14:textId="64A402EB" w:rsidR="00780982" w:rsidRPr="00774A9E" w:rsidRDefault="00780982" w:rsidP="00780982">
            <w:pPr>
              <w:rPr>
                <w:rFonts w:ascii="Times New Roman" w:hAnsi="Times New Roman" w:cs="Times New Roman"/>
              </w:rPr>
            </w:pPr>
          </w:p>
        </w:tc>
      </w:tr>
      <w:tr w:rsidR="007F1768" w:rsidRPr="00774A9E" w14:paraId="3D02E842" w14:textId="77777777" w:rsidTr="007D5F8E">
        <w:tc>
          <w:tcPr>
            <w:tcW w:w="1129" w:type="dxa"/>
          </w:tcPr>
          <w:p w14:paraId="3553F338" w14:textId="32B3E79E" w:rsidR="007F1768" w:rsidRPr="00774A9E" w:rsidRDefault="00543A1D" w:rsidP="00780982">
            <w:pPr>
              <w:rPr>
                <w:rFonts w:ascii="Times New Roman" w:hAnsi="Times New Roman" w:cs="Times New Roman"/>
                <w:b/>
                <w:bCs/>
              </w:rPr>
            </w:pPr>
            <w:r w:rsidRPr="00774A9E">
              <w:rPr>
                <w:rFonts w:ascii="Times New Roman" w:hAnsi="Times New Roman" w:cs="Times New Roman"/>
                <w:b/>
                <w:bCs/>
              </w:rPr>
              <w:t>Re:</w:t>
            </w:r>
          </w:p>
        </w:tc>
        <w:tc>
          <w:tcPr>
            <w:tcW w:w="8080" w:type="dxa"/>
          </w:tcPr>
          <w:p w14:paraId="47951D69" w14:textId="21D8E815" w:rsidR="007F1768" w:rsidRPr="00C6633A" w:rsidRDefault="005D21C2" w:rsidP="00780982">
            <w:pPr>
              <w:rPr>
                <w:rFonts w:ascii="Times New Roman" w:hAnsi="Times New Roman" w:cs="Times New Roman"/>
                <w:b/>
                <w:bCs/>
              </w:rPr>
            </w:pPr>
            <w:r w:rsidRPr="00C6633A">
              <w:rPr>
                <w:rFonts w:ascii="Times New Roman" w:hAnsi="Times New Roman" w:cs="Times New Roman"/>
                <w:b/>
                <w:bCs/>
              </w:rPr>
              <w:t xml:space="preserve">Input to HRC resolution 50/13 </w:t>
            </w:r>
            <w:r w:rsidR="00780982" w:rsidRPr="00C6633A">
              <w:rPr>
                <w:rFonts w:ascii="Times New Roman" w:hAnsi="Times New Roman" w:cs="Times New Roman"/>
                <w:b/>
                <w:bCs/>
              </w:rPr>
              <w:t>–</w:t>
            </w:r>
            <w:r w:rsidRPr="00C6633A">
              <w:rPr>
                <w:rFonts w:ascii="Times New Roman" w:hAnsi="Times New Roman" w:cs="Times New Roman"/>
                <w:b/>
                <w:bCs/>
              </w:rPr>
              <w:t xml:space="preserve"> challenges</w:t>
            </w:r>
          </w:p>
          <w:p w14:paraId="70A675D2" w14:textId="3579DDAB" w:rsidR="00780982" w:rsidRPr="00774A9E" w:rsidRDefault="00780982" w:rsidP="00780982">
            <w:pPr>
              <w:rPr>
                <w:rFonts w:ascii="Times New Roman" w:hAnsi="Times New Roman" w:cs="Times New Roman"/>
              </w:rPr>
            </w:pPr>
          </w:p>
        </w:tc>
      </w:tr>
      <w:tr w:rsidR="007F1768" w:rsidRPr="00774A9E" w14:paraId="5CB6E650" w14:textId="77777777" w:rsidTr="007D5F8E">
        <w:tc>
          <w:tcPr>
            <w:tcW w:w="1129" w:type="dxa"/>
          </w:tcPr>
          <w:p w14:paraId="33950644" w14:textId="5AF4ADE5" w:rsidR="007F1768" w:rsidRPr="00774A9E" w:rsidRDefault="007D5F8E" w:rsidP="00780982">
            <w:pPr>
              <w:rPr>
                <w:rFonts w:ascii="Times New Roman" w:hAnsi="Times New Roman" w:cs="Times New Roman"/>
                <w:b/>
                <w:bCs/>
              </w:rPr>
            </w:pPr>
            <w:r w:rsidRPr="00774A9E">
              <w:rPr>
                <w:rFonts w:ascii="Times New Roman" w:hAnsi="Times New Roman" w:cs="Times New Roman"/>
                <w:b/>
                <w:bCs/>
              </w:rPr>
              <w:t xml:space="preserve">Date: </w:t>
            </w:r>
          </w:p>
        </w:tc>
        <w:tc>
          <w:tcPr>
            <w:tcW w:w="8080" w:type="dxa"/>
          </w:tcPr>
          <w:p w14:paraId="771E33D2" w14:textId="49091B27" w:rsidR="007F1768" w:rsidRPr="00774A9E" w:rsidRDefault="007D5F8E" w:rsidP="00780982">
            <w:pPr>
              <w:rPr>
                <w:rFonts w:ascii="Times New Roman" w:hAnsi="Times New Roman" w:cs="Times New Roman"/>
              </w:rPr>
            </w:pPr>
            <w:r w:rsidRPr="00774A9E">
              <w:rPr>
                <w:rFonts w:ascii="Times New Roman" w:hAnsi="Times New Roman" w:cs="Times New Roman"/>
              </w:rPr>
              <w:t>30 November 2023</w:t>
            </w:r>
          </w:p>
        </w:tc>
      </w:tr>
    </w:tbl>
    <w:p w14:paraId="4E481652" w14:textId="77777777" w:rsidR="00BE0085" w:rsidRPr="00774A9E" w:rsidRDefault="00BE0085" w:rsidP="00780982">
      <w:pPr>
        <w:spacing w:after="0"/>
      </w:pPr>
    </w:p>
    <w:p w14:paraId="19231489" w14:textId="77777777" w:rsidR="00780982" w:rsidRPr="00774A9E" w:rsidRDefault="00780982" w:rsidP="00780982">
      <w:pPr>
        <w:spacing w:after="0"/>
      </w:pPr>
    </w:p>
    <w:p w14:paraId="0317C17F" w14:textId="30796EA4" w:rsidR="007D5F8E" w:rsidRPr="00774A9E" w:rsidRDefault="00BE29F3" w:rsidP="00780982">
      <w:pPr>
        <w:spacing w:after="0"/>
        <w:jc w:val="both"/>
        <w:rPr>
          <w:rFonts w:ascii="Times New Roman" w:hAnsi="Times New Roman" w:cs="Times New Roman"/>
        </w:rPr>
      </w:pPr>
      <w:r w:rsidRPr="00774A9E">
        <w:rPr>
          <w:rFonts w:ascii="Times New Roman" w:hAnsi="Times New Roman" w:cs="Times New Roman"/>
        </w:rPr>
        <w:t>Dear Sir/Madam,</w:t>
      </w:r>
    </w:p>
    <w:p w14:paraId="737E6274" w14:textId="77777777" w:rsidR="00780982" w:rsidRPr="00774A9E" w:rsidRDefault="00780982" w:rsidP="00780982">
      <w:pPr>
        <w:spacing w:after="0"/>
        <w:jc w:val="both"/>
        <w:rPr>
          <w:rFonts w:ascii="Times New Roman" w:hAnsi="Times New Roman" w:cs="Times New Roman"/>
        </w:rPr>
      </w:pPr>
    </w:p>
    <w:p w14:paraId="6CBE8DC7" w14:textId="476D32CE" w:rsidR="00AE1C9C" w:rsidRPr="00774A9E" w:rsidRDefault="00116B2E" w:rsidP="00780982">
      <w:pPr>
        <w:spacing w:after="0"/>
        <w:jc w:val="both"/>
        <w:rPr>
          <w:rFonts w:ascii="Times New Roman" w:hAnsi="Times New Roman" w:cs="Times New Roman"/>
        </w:rPr>
      </w:pPr>
      <w:r w:rsidRPr="00774A9E">
        <w:rPr>
          <w:rFonts w:ascii="Times New Roman" w:hAnsi="Times New Roman" w:cs="Times New Roman"/>
        </w:rPr>
        <w:t>I would like to</w:t>
      </w:r>
      <w:r w:rsidR="009D27F9" w:rsidRPr="00774A9E">
        <w:rPr>
          <w:rFonts w:ascii="Times New Roman" w:hAnsi="Times New Roman" w:cs="Times New Roman"/>
        </w:rPr>
        <w:t xml:space="preserve"> </w:t>
      </w:r>
      <w:r w:rsidR="00A405F8" w:rsidRPr="00774A9E">
        <w:rPr>
          <w:rFonts w:ascii="Times New Roman" w:hAnsi="Times New Roman" w:cs="Times New Roman"/>
        </w:rPr>
        <w:t xml:space="preserve">submit </w:t>
      </w:r>
      <w:r w:rsidR="009D27F9" w:rsidRPr="00774A9E">
        <w:rPr>
          <w:rFonts w:ascii="Times New Roman" w:hAnsi="Times New Roman" w:cs="Times New Roman"/>
        </w:rPr>
        <w:t xml:space="preserve">my input </w:t>
      </w:r>
      <w:r w:rsidR="00A405F8" w:rsidRPr="00774A9E">
        <w:rPr>
          <w:rFonts w:ascii="Times New Roman" w:hAnsi="Times New Roman" w:cs="Times New Roman"/>
        </w:rPr>
        <w:t>to assist the OHCHR in preparing its analytical study on key challenges in ensuring access to medicines, vaccines and other health products to be presented to the Human Rights Council at the fifty-sixth session in June 2024.</w:t>
      </w:r>
      <w:r w:rsidR="00780982" w:rsidRPr="00774A9E">
        <w:rPr>
          <w:rFonts w:ascii="Times New Roman" w:hAnsi="Times New Roman" w:cs="Times New Roman"/>
        </w:rPr>
        <w:t xml:space="preserve"> Th</w:t>
      </w:r>
      <w:r w:rsidR="00C523CC" w:rsidRPr="00774A9E">
        <w:rPr>
          <w:rFonts w:ascii="Times New Roman" w:hAnsi="Times New Roman" w:cs="Times New Roman"/>
        </w:rPr>
        <w:t>is</w:t>
      </w:r>
      <w:r w:rsidR="00780982" w:rsidRPr="00774A9E">
        <w:rPr>
          <w:rFonts w:ascii="Times New Roman" w:hAnsi="Times New Roman" w:cs="Times New Roman"/>
        </w:rPr>
        <w:t xml:space="preserve"> contribution is focused on the following question:</w:t>
      </w:r>
    </w:p>
    <w:p w14:paraId="0EE63484" w14:textId="77777777" w:rsidR="00780982" w:rsidRPr="00774A9E" w:rsidRDefault="00780982" w:rsidP="00780982">
      <w:pPr>
        <w:spacing w:after="0"/>
        <w:jc w:val="both"/>
        <w:rPr>
          <w:rFonts w:ascii="Times New Roman" w:hAnsi="Times New Roman" w:cs="Times New Roman"/>
          <w:b/>
          <w:bCs/>
          <w:i/>
          <w:iCs/>
        </w:rPr>
      </w:pPr>
    </w:p>
    <w:p w14:paraId="6839FB14" w14:textId="75BE3DA9" w:rsidR="0093716E" w:rsidRPr="00774A9E" w:rsidRDefault="00AE1C9C" w:rsidP="0093716E">
      <w:pPr>
        <w:jc w:val="both"/>
        <w:rPr>
          <w:rFonts w:ascii="Times New Roman" w:hAnsi="Times New Roman" w:cs="Times New Roman"/>
          <w:b/>
          <w:bCs/>
          <w:i/>
          <w:iCs/>
          <w:color w:val="000000"/>
        </w:rPr>
      </w:pPr>
      <w:r w:rsidRPr="00774A9E">
        <w:rPr>
          <w:rFonts w:ascii="Times New Roman" w:hAnsi="Times New Roman" w:cs="Times New Roman"/>
          <w:b/>
          <w:bCs/>
          <w:i/>
          <w:iCs/>
        </w:rPr>
        <w:t xml:space="preserve">(f) What impact, if any, does the existing intellectual property rights regime have on access to medicines, vaccines and other health products. </w:t>
      </w:r>
      <w:r w:rsidR="0093716E" w:rsidRPr="00774A9E">
        <w:rPr>
          <w:rFonts w:ascii="Times New Roman" w:hAnsi="Times New Roman" w:cs="Times New Roman"/>
          <w:b/>
          <w:bCs/>
          <w:i/>
          <w:iCs/>
        </w:rPr>
        <w:t>How can global efforts better address intellectual property rights and technology transfer issues to enhance access to medicines, vaccines and other health products?</w:t>
      </w:r>
    </w:p>
    <w:p w14:paraId="176D5A70" w14:textId="1362124C" w:rsidR="00AE1C9C" w:rsidRPr="00774A9E" w:rsidRDefault="00AE1C9C" w:rsidP="00780982">
      <w:pPr>
        <w:spacing w:after="0"/>
        <w:jc w:val="both"/>
        <w:rPr>
          <w:rFonts w:ascii="Times New Roman" w:hAnsi="Times New Roman" w:cs="Times New Roman"/>
          <w:b/>
          <w:bCs/>
          <w:i/>
          <w:iCs/>
        </w:rPr>
      </w:pPr>
    </w:p>
    <w:p w14:paraId="0B1BCD95" w14:textId="30904C74" w:rsidR="0034330C" w:rsidRPr="00774A9E" w:rsidRDefault="0034330C" w:rsidP="00205E37">
      <w:pPr>
        <w:pStyle w:val="ListParagraph"/>
        <w:numPr>
          <w:ilvl w:val="0"/>
          <w:numId w:val="1"/>
        </w:numPr>
        <w:spacing w:after="0"/>
        <w:ind w:left="567" w:hanging="567"/>
        <w:jc w:val="both"/>
        <w:rPr>
          <w:rFonts w:ascii="Times New Roman" w:hAnsi="Times New Roman" w:cs="Times New Roman"/>
          <w:b/>
          <w:bCs/>
          <w:i/>
          <w:iCs/>
        </w:rPr>
      </w:pPr>
      <w:r w:rsidRPr="00774A9E">
        <w:rPr>
          <w:rFonts w:ascii="Times New Roman" w:hAnsi="Times New Roman" w:cs="Times New Roman"/>
          <w:b/>
          <w:bCs/>
          <w:i/>
          <w:iCs/>
        </w:rPr>
        <w:t>Regarding the impact of the existing intellectual property rights regime on access to medicines, vaccines and other health products</w:t>
      </w:r>
    </w:p>
    <w:p w14:paraId="651F8251" w14:textId="77777777" w:rsidR="00F438B8" w:rsidRPr="00774A9E" w:rsidRDefault="00F438B8" w:rsidP="00780982">
      <w:pPr>
        <w:spacing w:after="0"/>
        <w:jc w:val="both"/>
        <w:rPr>
          <w:rFonts w:ascii="Times New Roman" w:hAnsi="Times New Roman" w:cs="Times New Roman"/>
        </w:rPr>
      </w:pPr>
    </w:p>
    <w:p w14:paraId="402B84EA" w14:textId="2C470844" w:rsidR="00973A88" w:rsidRPr="00651C1A" w:rsidRDefault="00973A88" w:rsidP="00973A88">
      <w:pPr>
        <w:spacing w:after="0" w:line="276" w:lineRule="auto"/>
        <w:jc w:val="both"/>
        <w:rPr>
          <w:rFonts w:ascii="Times New Roman" w:eastAsia="Times New Roman" w:hAnsi="Times New Roman" w:cs="Times New Roman"/>
          <w:color w:val="000000"/>
        </w:rPr>
      </w:pPr>
      <w:r w:rsidRPr="00651C1A">
        <w:rPr>
          <w:rFonts w:ascii="Times New Roman" w:eastAsia="Times New Roman" w:hAnsi="Times New Roman" w:cs="Times New Roman"/>
          <w:color w:val="000000"/>
        </w:rPr>
        <w:t>When the COVID-19 outbreak began in late 2019 – and with the WHO declaring the COVID-19 outbreak a global pandemic on 11 March 2020 - the world faced a number of serious challenges. The first enormous task was to swiftly develop vaccines against this coronavirus. While the development of a vaccine typically requires significant time,</w:t>
      </w:r>
      <w:r w:rsidRPr="00651C1A">
        <w:rPr>
          <w:rFonts w:ascii="Times New Roman" w:eastAsia="Times New Roman" w:hAnsi="Times New Roman" w:cs="Times New Roman"/>
          <w:color w:val="000000"/>
          <w:vertAlign w:val="superscript"/>
        </w:rPr>
        <w:footnoteReference w:id="1"/>
      </w:r>
      <w:r w:rsidRPr="00651C1A">
        <w:rPr>
          <w:rFonts w:ascii="Times New Roman" w:eastAsia="Times New Roman" w:hAnsi="Times New Roman" w:cs="Times New Roman"/>
          <w:color w:val="000000"/>
        </w:rPr>
        <w:t xml:space="preserve"> this challenge was successfully overcome within a relatively short period.</w:t>
      </w:r>
      <w:r w:rsidRPr="00651C1A">
        <w:rPr>
          <w:rFonts w:ascii="Times New Roman" w:eastAsia="Times New Roman" w:hAnsi="Times New Roman" w:cs="Times New Roman"/>
          <w:color w:val="000000"/>
          <w:vertAlign w:val="superscript"/>
        </w:rPr>
        <w:footnoteReference w:id="2"/>
      </w:r>
      <w:r w:rsidRPr="00651C1A">
        <w:rPr>
          <w:rFonts w:ascii="Times New Roman" w:eastAsia="Times New Roman" w:hAnsi="Times New Roman" w:cs="Times New Roman"/>
          <w:color w:val="000000"/>
        </w:rPr>
        <w:t xml:space="preserve"> This was possible because of international collaboration on an unprecedented scale. The open publication of the genetic sequence of COVID-19 virus in early January 2020 by a team of Chinese and Australian researchers made this information freely available for access by researchers worldwide.</w:t>
      </w:r>
      <w:r w:rsidRPr="00651C1A">
        <w:rPr>
          <w:rFonts w:ascii="Times New Roman" w:eastAsia="Times New Roman" w:hAnsi="Times New Roman" w:cs="Times New Roman"/>
          <w:color w:val="000000"/>
          <w:vertAlign w:val="superscript"/>
        </w:rPr>
        <w:footnoteReference w:id="3"/>
      </w:r>
      <w:r w:rsidRPr="00651C1A">
        <w:rPr>
          <w:rFonts w:ascii="Times New Roman" w:eastAsia="Times New Roman" w:hAnsi="Times New Roman" w:cs="Times New Roman"/>
          <w:color w:val="000000"/>
        </w:rPr>
        <w:t xml:space="preserve"> The subsequent development of life-saving vaccines would not have been possible without this collaborative research.</w:t>
      </w:r>
      <w:r w:rsidRPr="00651C1A">
        <w:rPr>
          <w:rFonts w:ascii="Times New Roman" w:eastAsia="Times New Roman" w:hAnsi="Times New Roman" w:cs="Times New Roman"/>
          <w:color w:val="000000"/>
          <w:vertAlign w:val="superscript"/>
        </w:rPr>
        <w:footnoteReference w:id="4"/>
      </w:r>
      <w:r w:rsidRPr="00651C1A">
        <w:rPr>
          <w:rFonts w:ascii="Times New Roman" w:eastAsia="Times New Roman" w:hAnsi="Times New Roman" w:cs="Times New Roman"/>
          <w:color w:val="000000"/>
        </w:rPr>
        <w:t xml:space="preserve"> </w:t>
      </w:r>
      <w:r w:rsidR="00550AE6" w:rsidRPr="00651C1A">
        <w:rPr>
          <w:rFonts w:ascii="Times New Roman" w:eastAsia="Times New Roman" w:hAnsi="Times New Roman" w:cs="Times New Roman"/>
          <w:color w:val="000000"/>
        </w:rPr>
        <w:t>However</w:t>
      </w:r>
      <w:r w:rsidRPr="00651C1A">
        <w:rPr>
          <w:rFonts w:ascii="Times New Roman" w:eastAsia="Times New Roman" w:hAnsi="Times New Roman" w:cs="Times New Roman"/>
          <w:color w:val="000000"/>
        </w:rPr>
        <w:t xml:space="preserve">, there </w:t>
      </w:r>
      <w:r w:rsidR="00E64C7F" w:rsidRPr="00651C1A">
        <w:rPr>
          <w:rFonts w:ascii="Times New Roman" w:eastAsia="Times New Roman" w:hAnsi="Times New Roman" w:cs="Times New Roman"/>
          <w:color w:val="000000"/>
        </w:rPr>
        <w:t>was</w:t>
      </w:r>
      <w:r w:rsidRPr="00651C1A">
        <w:rPr>
          <w:rFonts w:ascii="Times New Roman" w:eastAsia="Times New Roman" w:hAnsi="Times New Roman" w:cs="Times New Roman"/>
          <w:color w:val="000000"/>
        </w:rPr>
        <w:t xml:space="preserve"> a stark contrast between the open approach to the sharing of the genetic sequence of the virus, and the subsequent </w:t>
      </w:r>
      <w:r w:rsidR="00E64C7F" w:rsidRPr="00651C1A">
        <w:rPr>
          <w:rFonts w:ascii="Times New Roman" w:eastAsia="Times New Roman" w:hAnsi="Times New Roman" w:cs="Times New Roman"/>
          <w:color w:val="000000"/>
        </w:rPr>
        <w:t xml:space="preserve">strategies </w:t>
      </w:r>
      <w:r w:rsidRPr="00651C1A">
        <w:rPr>
          <w:rFonts w:ascii="Times New Roman" w:eastAsia="Times New Roman" w:hAnsi="Times New Roman" w:cs="Times New Roman"/>
          <w:color w:val="000000"/>
        </w:rPr>
        <w:t>taken by pharmaceutical companies to the vaccine technologies.</w:t>
      </w:r>
    </w:p>
    <w:p w14:paraId="0BCFE4F1" w14:textId="77777777" w:rsidR="00973A88" w:rsidRPr="00651C1A" w:rsidRDefault="00973A88" w:rsidP="00D77F75">
      <w:pPr>
        <w:pStyle w:val="Default"/>
        <w:spacing w:line="276" w:lineRule="auto"/>
        <w:jc w:val="both"/>
        <w:rPr>
          <w:rFonts w:ascii="Times New Roman" w:hAnsi="Times New Roman" w:cs="Times New Roman"/>
          <w:sz w:val="22"/>
          <w:szCs w:val="22"/>
        </w:rPr>
      </w:pPr>
    </w:p>
    <w:p w14:paraId="6B91D399" w14:textId="77905962" w:rsidR="00D74CDF" w:rsidRPr="00651C1A" w:rsidRDefault="00D74CDF" w:rsidP="00D74CDF">
      <w:pPr>
        <w:spacing w:after="0" w:line="276" w:lineRule="auto"/>
        <w:jc w:val="both"/>
        <w:rPr>
          <w:rFonts w:ascii="Times New Roman" w:eastAsia="Times New Roman" w:hAnsi="Times New Roman" w:cs="Times New Roman"/>
          <w:color w:val="000000"/>
        </w:rPr>
      </w:pPr>
      <w:r w:rsidRPr="00651C1A">
        <w:rPr>
          <w:rFonts w:ascii="Times New Roman" w:eastAsia="Times New Roman" w:hAnsi="Times New Roman" w:cs="Times New Roman"/>
          <w:color w:val="000000"/>
        </w:rPr>
        <w:t xml:space="preserve">Once viable vaccine candidates emerged, the next significant hurdle in combating the pandemic concerned the manufacture and distribution of the COVID-19 vaccines across the globe in a speedy, equitable and affordable manner. Once vaccines became viable, the global scientific community expressed the view that the most effective way to end the COVID-19 pandemic would be through the </w:t>
      </w:r>
      <w:r w:rsidRPr="00651C1A">
        <w:rPr>
          <w:rFonts w:ascii="Times New Roman" w:eastAsia="Times New Roman" w:hAnsi="Times New Roman" w:cs="Times New Roman"/>
          <w:color w:val="000000"/>
        </w:rPr>
        <w:lastRenderedPageBreak/>
        <w:t>mass vaccination of populations around the world.</w:t>
      </w:r>
      <w:r w:rsidRPr="00651C1A">
        <w:rPr>
          <w:rFonts w:ascii="Times New Roman" w:eastAsia="Times New Roman" w:hAnsi="Times New Roman" w:cs="Times New Roman"/>
          <w:color w:val="000000"/>
          <w:vertAlign w:val="superscript"/>
        </w:rPr>
        <w:footnoteReference w:id="5"/>
      </w:r>
      <w:r w:rsidRPr="00651C1A">
        <w:rPr>
          <w:rFonts w:ascii="Times New Roman" w:eastAsia="Times New Roman" w:hAnsi="Times New Roman" w:cs="Times New Roman"/>
          <w:color w:val="000000"/>
        </w:rPr>
        <w:t xml:space="preserve"> Given the global dimension of the pandemic, billions of vaccine doses need</w:t>
      </w:r>
      <w:r w:rsidR="003D64AA" w:rsidRPr="00651C1A">
        <w:rPr>
          <w:rFonts w:ascii="Times New Roman" w:eastAsia="Times New Roman" w:hAnsi="Times New Roman" w:cs="Times New Roman"/>
          <w:color w:val="000000"/>
        </w:rPr>
        <w:t>ed</w:t>
      </w:r>
      <w:r w:rsidRPr="00651C1A">
        <w:rPr>
          <w:rFonts w:ascii="Times New Roman" w:eastAsia="Times New Roman" w:hAnsi="Times New Roman" w:cs="Times New Roman"/>
          <w:color w:val="000000"/>
        </w:rPr>
        <w:t xml:space="preserve"> to be produced and distributed worldwide to contain the rapid spread and mutation of the virus across the globe. At the height of the pandemic, particularly during 2021, companies were simply unable to produce enough vaccines to inoculate the majority of the world population within an optimal period to contain the pandemic.</w:t>
      </w:r>
      <w:r w:rsidRPr="00651C1A">
        <w:rPr>
          <w:rFonts w:ascii="Times New Roman" w:eastAsia="Times New Roman" w:hAnsi="Times New Roman" w:cs="Times New Roman"/>
          <w:color w:val="000000"/>
          <w:vertAlign w:val="superscript"/>
        </w:rPr>
        <w:footnoteReference w:id="6"/>
      </w:r>
      <w:r w:rsidRPr="00651C1A">
        <w:rPr>
          <w:rFonts w:ascii="Times New Roman" w:eastAsia="Times New Roman" w:hAnsi="Times New Roman" w:cs="Times New Roman"/>
          <w:color w:val="000000"/>
        </w:rPr>
        <w:t xml:space="preserve"> The failure to achieve vaccine equity has contributed to the prolonging of the COVID-19 pandemic le</w:t>
      </w:r>
      <w:r w:rsidR="0052635E">
        <w:rPr>
          <w:rFonts w:ascii="Times New Roman" w:eastAsia="Times New Roman" w:hAnsi="Times New Roman" w:cs="Times New Roman"/>
          <w:color w:val="000000"/>
        </w:rPr>
        <w:t>a</w:t>
      </w:r>
      <w:r w:rsidRPr="00651C1A">
        <w:rPr>
          <w:rFonts w:ascii="Times New Roman" w:eastAsia="Times New Roman" w:hAnsi="Times New Roman" w:cs="Times New Roman"/>
          <w:color w:val="000000"/>
        </w:rPr>
        <w:t>d</w:t>
      </w:r>
      <w:r w:rsidR="0052635E">
        <w:rPr>
          <w:rFonts w:ascii="Times New Roman" w:eastAsia="Times New Roman" w:hAnsi="Times New Roman" w:cs="Times New Roman"/>
          <w:color w:val="000000"/>
        </w:rPr>
        <w:t>ing</w:t>
      </w:r>
      <w:r w:rsidR="004E22B6">
        <w:rPr>
          <w:rFonts w:ascii="Times New Roman" w:eastAsia="Times New Roman" w:hAnsi="Times New Roman" w:cs="Times New Roman"/>
          <w:color w:val="000000"/>
        </w:rPr>
        <w:t xml:space="preserve"> </w:t>
      </w:r>
      <w:r w:rsidR="00FD05EF">
        <w:rPr>
          <w:rFonts w:ascii="Times New Roman" w:eastAsia="Times New Roman" w:hAnsi="Times New Roman" w:cs="Times New Roman"/>
          <w:color w:val="000000"/>
        </w:rPr>
        <w:t xml:space="preserve">to </w:t>
      </w:r>
      <w:r w:rsidR="004E22B6">
        <w:rPr>
          <w:rFonts w:ascii="Times New Roman" w:eastAsia="Times New Roman" w:hAnsi="Times New Roman" w:cs="Times New Roman"/>
          <w:color w:val="000000"/>
        </w:rPr>
        <w:t>millions o</w:t>
      </w:r>
      <w:r w:rsidR="00302735">
        <w:rPr>
          <w:rFonts w:ascii="Times New Roman" w:eastAsia="Times New Roman" w:hAnsi="Times New Roman" w:cs="Times New Roman"/>
          <w:color w:val="000000"/>
        </w:rPr>
        <w:t>f deaths</w:t>
      </w:r>
      <w:r w:rsidR="004D614C">
        <w:rPr>
          <w:rFonts w:ascii="Times New Roman" w:eastAsia="Times New Roman" w:hAnsi="Times New Roman" w:cs="Times New Roman"/>
          <w:color w:val="000000"/>
        </w:rPr>
        <w:t xml:space="preserve"> (as of </w:t>
      </w:r>
      <w:r w:rsidR="0082218D">
        <w:rPr>
          <w:rFonts w:ascii="Times New Roman" w:eastAsia="Times New Roman" w:hAnsi="Times New Roman" w:cs="Times New Roman"/>
          <w:color w:val="000000"/>
        </w:rPr>
        <w:t xml:space="preserve">22 November 2023, there have been </w:t>
      </w:r>
      <w:r w:rsidR="0082218D" w:rsidRPr="000412E1">
        <w:rPr>
          <w:rFonts w:ascii="Times New Roman" w:eastAsia="Times New Roman" w:hAnsi="Times New Roman" w:cs="Times New Roman"/>
          <w:color w:val="000000"/>
        </w:rPr>
        <w:t>6,981,263 deaths reported to the WHO)</w:t>
      </w:r>
      <w:r w:rsidR="000412E1">
        <w:rPr>
          <w:rFonts w:ascii="Times New Roman" w:eastAsia="Times New Roman" w:hAnsi="Times New Roman" w:cs="Times New Roman"/>
          <w:color w:val="000000"/>
        </w:rPr>
        <w:t>.</w:t>
      </w:r>
      <w:r w:rsidR="004A1F8C" w:rsidRPr="000412E1">
        <w:rPr>
          <w:rFonts w:ascii="Times New Roman" w:eastAsia="Times New Roman" w:hAnsi="Times New Roman" w:cs="Times New Roman"/>
          <w:color w:val="000000"/>
          <w:vertAlign w:val="superscript"/>
        </w:rPr>
        <w:footnoteReference w:id="7"/>
      </w:r>
    </w:p>
    <w:p w14:paraId="3113A707" w14:textId="77777777" w:rsidR="004668E3" w:rsidRPr="00651C1A" w:rsidRDefault="004668E3" w:rsidP="00D77F75">
      <w:pPr>
        <w:pStyle w:val="Default"/>
        <w:spacing w:line="276" w:lineRule="auto"/>
        <w:jc w:val="both"/>
        <w:rPr>
          <w:rFonts w:ascii="Times New Roman" w:hAnsi="Times New Roman" w:cs="Times New Roman"/>
          <w:sz w:val="22"/>
          <w:szCs w:val="22"/>
        </w:rPr>
      </w:pPr>
    </w:p>
    <w:p w14:paraId="2172C062" w14:textId="232FDAB2" w:rsidR="004668E3" w:rsidRPr="00651C1A" w:rsidRDefault="004668E3" w:rsidP="00D77F75">
      <w:pPr>
        <w:pStyle w:val="Default"/>
        <w:spacing w:line="276" w:lineRule="auto"/>
        <w:jc w:val="both"/>
        <w:rPr>
          <w:rFonts w:ascii="Times New Roman" w:eastAsia="Times New Roman" w:hAnsi="Times New Roman" w:cs="Times New Roman"/>
          <w:sz w:val="22"/>
          <w:szCs w:val="22"/>
        </w:rPr>
      </w:pPr>
      <w:r w:rsidRPr="00651C1A">
        <w:rPr>
          <w:rFonts w:ascii="Times New Roman" w:eastAsia="Times New Roman" w:hAnsi="Times New Roman" w:cs="Times New Roman"/>
          <w:sz w:val="22"/>
          <w:szCs w:val="22"/>
        </w:rPr>
        <w:t>Global vaccine inequity was predictable. Anticipating the inadequacy of the vaccine development and manufacturing mechanisms, numerous calls for sharing vaccine technologies to boost the production of vaccines were made early on, starting in May 2020 with the WHO COVID-19 Technology Access Pool (C-TAP).</w:t>
      </w:r>
      <w:r w:rsidRPr="00651C1A">
        <w:rPr>
          <w:rFonts w:ascii="Times New Roman" w:eastAsia="Times New Roman" w:hAnsi="Times New Roman" w:cs="Times New Roman"/>
          <w:sz w:val="22"/>
          <w:szCs w:val="22"/>
          <w:vertAlign w:val="superscript"/>
        </w:rPr>
        <w:footnoteReference w:id="8"/>
      </w:r>
      <w:r w:rsidRPr="00651C1A">
        <w:rPr>
          <w:rFonts w:ascii="Times New Roman" w:eastAsia="Times New Roman" w:hAnsi="Times New Roman" w:cs="Times New Roman"/>
          <w:sz w:val="22"/>
          <w:szCs w:val="22"/>
        </w:rPr>
        <w:t xml:space="preserve"> C-TAP calls for action within the global community, and most importantly by pharmaceutical companies, to voluntarily share knowledge, intellectual property and data necessary to combat COVID-19. However, C-TAP attracted no contributions from major vaccine producers, as pharmaceutical companies refused to share their vaccine technologies with this or other similar initiatives such as the WHO mRNA Hub in South Africa.</w:t>
      </w:r>
      <w:r w:rsidRPr="00651C1A">
        <w:rPr>
          <w:rFonts w:ascii="Times New Roman" w:eastAsia="Times New Roman" w:hAnsi="Times New Roman" w:cs="Times New Roman"/>
          <w:sz w:val="22"/>
          <w:szCs w:val="22"/>
          <w:vertAlign w:val="superscript"/>
        </w:rPr>
        <w:footnoteReference w:id="9"/>
      </w:r>
      <w:r w:rsidRPr="00651C1A">
        <w:rPr>
          <w:rFonts w:ascii="Times New Roman" w:eastAsia="Times New Roman" w:hAnsi="Times New Roman" w:cs="Times New Roman"/>
          <w:sz w:val="22"/>
          <w:szCs w:val="22"/>
        </w:rPr>
        <w:t xml:space="preserve"> </w:t>
      </w:r>
      <w:r w:rsidR="009B4577">
        <w:rPr>
          <w:rFonts w:ascii="Times New Roman" w:eastAsia="Times New Roman" w:hAnsi="Times New Roman" w:cs="Times New Roman"/>
          <w:sz w:val="22"/>
          <w:szCs w:val="22"/>
        </w:rPr>
        <w:t>Moreover d</w:t>
      </w:r>
      <w:r w:rsidRPr="00651C1A">
        <w:rPr>
          <w:rFonts w:ascii="Times New Roman" w:eastAsia="Times New Roman" w:hAnsi="Times New Roman" w:cs="Times New Roman"/>
          <w:sz w:val="22"/>
          <w:szCs w:val="22"/>
        </w:rPr>
        <w:t xml:space="preserve">espite production levels falling short, </w:t>
      </w:r>
      <w:r w:rsidR="00E37737" w:rsidRPr="00651C1A">
        <w:rPr>
          <w:rFonts w:ascii="Times New Roman" w:hAnsi="Times New Roman" w:cs="Times New Roman"/>
          <w:sz w:val="22"/>
          <w:szCs w:val="22"/>
        </w:rPr>
        <w:t>r</w:t>
      </w:r>
      <w:r w:rsidR="00E37737" w:rsidRPr="00651C1A">
        <w:rPr>
          <w:rFonts w:ascii="Times New Roman" w:eastAsia="Times New Roman" w:hAnsi="Times New Roman" w:cs="Times New Roman"/>
          <w:sz w:val="22"/>
          <w:szCs w:val="22"/>
        </w:rPr>
        <w:t xml:space="preserve">elying on strong IP protection </w:t>
      </w:r>
      <w:r w:rsidRPr="00651C1A">
        <w:rPr>
          <w:rFonts w:ascii="Times New Roman" w:eastAsia="Times New Roman" w:hAnsi="Times New Roman" w:cs="Times New Roman"/>
          <w:sz w:val="22"/>
          <w:szCs w:val="22"/>
        </w:rPr>
        <w:t>pharmaceutical companies rejected vaccine technology licensing requests from several pharmaceutical manufacturers,</w:t>
      </w:r>
      <w:r w:rsidRPr="00651C1A">
        <w:rPr>
          <w:rFonts w:ascii="Times New Roman" w:eastAsia="Times New Roman" w:hAnsi="Times New Roman" w:cs="Times New Roman"/>
          <w:sz w:val="22"/>
          <w:szCs w:val="22"/>
          <w:vertAlign w:val="superscript"/>
        </w:rPr>
        <w:footnoteReference w:id="10"/>
      </w:r>
      <w:r w:rsidRPr="00651C1A">
        <w:rPr>
          <w:rFonts w:ascii="Times New Roman" w:eastAsia="Times New Roman" w:hAnsi="Times New Roman" w:cs="Times New Roman"/>
          <w:sz w:val="22"/>
          <w:szCs w:val="22"/>
        </w:rPr>
        <w:t xml:space="preserve"> including quality assured manufacturers in Canada, Bangladesh, and Denmark.</w:t>
      </w:r>
      <w:r w:rsidRPr="00651C1A">
        <w:rPr>
          <w:rFonts w:ascii="Times New Roman" w:eastAsia="Times New Roman" w:hAnsi="Times New Roman" w:cs="Times New Roman"/>
          <w:sz w:val="22"/>
          <w:szCs w:val="22"/>
          <w:vertAlign w:val="superscript"/>
        </w:rPr>
        <w:footnoteReference w:id="11"/>
      </w:r>
      <w:r w:rsidRPr="00651C1A">
        <w:rPr>
          <w:rFonts w:ascii="Times New Roman" w:eastAsia="Times New Roman" w:hAnsi="Times New Roman" w:cs="Times New Roman"/>
          <w:sz w:val="22"/>
          <w:szCs w:val="22"/>
        </w:rPr>
        <w:t xml:space="preserve"> Instead, pharmaceutical companies – </w:t>
      </w:r>
      <w:r w:rsidR="00C10661">
        <w:rPr>
          <w:rFonts w:ascii="Times New Roman" w:eastAsia="Times New Roman" w:hAnsi="Times New Roman" w:cs="Times New Roman"/>
          <w:sz w:val="22"/>
          <w:szCs w:val="22"/>
        </w:rPr>
        <w:t xml:space="preserve">in </w:t>
      </w:r>
      <w:r w:rsidRPr="00651C1A">
        <w:rPr>
          <w:rFonts w:ascii="Times New Roman" w:eastAsia="Times New Roman" w:hAnsi="Times New Roman" w:cs="Times New Roman"/>
          <w:sz w:val="22"/>
          <w:szCs w:val="22"/>
        </w:rPr>
        <w:t xml:space="preserve">particular mRNA vaccine technology holders Moderna and Pfizer-BioNTech </w:t>
      </w:r>
      <w:r w:rsidR="00C10661" w:rsidRPr="00651C1A">
        <w:rPr>
          <w:rFonts w:ascii="Times New Roman" w:eastAsia="Times New Roman" w:hAnsi="Times New Roman" w:cs="Times New Roman"/>
          <w:sz w:val="22"/>
          <w:szCs w:val="22"/>
        </w:rPr>
        <w:t>–</w:t>
      </w:r>
      <w:r w:rsidRPr="00651C1A">
        <w:rPr>
          <w:rFonts w:ascii="Times New Roman" w:eastAsia="Times New Roman" w:hAnsi="Times New Roman" w:cs="Times New Roman"/>
          <w:sz w:val="22"/>
          <w:szCs w:val="22"/>
        </w:rPr>
        <w:t xml:space="preserve"> prioritised keeping a tight </w:t>
      </w:r>
      <w:r w:rsidR="00C10661">
        <w:rPr>
          <w:rFonts w:ascii="Times New Roman" w:eastAsia="Times New Roman" w:hAnsi="Times New Roman" w:cs="Times New Roman"/>
          <w:sz w:val="22"/>
          <w:szCs w:val="22"/>
        </w:rPr>
        <w:t>control of</w:t>
      </w:r>
      <w:r w:rsidRPr="00651C1A">
        <w:rPr>
          <w:rFonts w:ascii="Times New Roman" w:eastAsia="Times New Roman" w:hAnsi="Times New Roman" w:cs="Times New Roman"/>
          <w:sz w:val="22"/>
          <w:szCs w:val="22"/>
        </w:rPr>
        <w:t xml:space="preserve"> IP, concentrating on their own manufacturing capacities and only striking limited bilateral deals.</w:t>
      </w:r>
      <w:r w:rsidRPr="00651C1A">
        <w:rPr>
          <w:rFonts w:ascii="Times New Roman" w:eastAsia="Times New Roman" w:hAnsi="Times New Roman" w:cs="Times New Roman"/>
          <w:sz w:val="22"/>
          <w:szCs w:val="22"/>
          <w:vertAlign w:val="superscript"/>
        </w:rPr>
        <w:footnoteReference w:id="12"/>
      </w:r>
      <w:r w:rsidR="00E37737" w:rsidRPr="00651C1A">
        <w:rPr>
          <w:rFonts w:ascii="Times New Roman" w:eastAsia="Times New Roman" w:hAnsi="Times New Roman" w:cs="Times New Roman"/>
          <w:sz w:val="22"/>
          <w:szCs w:val="22"/>
        </w:rPr>
        <w:t xml:space="preserve"> </w:t>
      </w:r>
    </w:p>
    <w:p w14:paraId="2C212154" w14:textId="77777777" w:rsidR="00B56408" w:rsidRPr="00651C1A" w:rsidRDefault="00B56408" w:rsidP="00D77F75">
      <w:pPr>
        <w:pStyle w:val="Default"/>
        <w:spacing w:line="276" w:lineRule="auto"/>
        <w:jc w:val="both"/>
        <w:rPr>
          <w:rFonts w:ascii="Times New Roman" w:eastAsia="Times New Roman" w:hAnsi="Times New Roman" w:cs="Times New Roman"/>
          <w:sz w:val="22"/>
          <w:szCs w:val="22"/>
        </w:rPr>
      </w:pPr>
    </w:p>
    <w:p w14:paraId="621AB206" w14:textId="77777777" w:rsidR="00B56408" w:rsidRPr="00651C1A" w:rsidRDefault="00B56408" w:rsidP="00B56408">
      <w:pPr>
        <w:spacing w:after="0" w:line="276" w:lineRule="auto"/>
        <w:jc w:val="both"/>
        <w:rPr>
          <w:rFonts w:ascii="Times New Roman" w:eastAsia="Times New Roman" w:hAnsi="Times New Roman" w:cs="Times New Roman"/>
          <w:color w:val="000000"/>
        </w:rPr>
      </w:pPr>
      <w:r w:rsidRPr="00651C1A">
        <w:rPr>
          <w:rFonts w:ascii="Times New Roman" w:eastAsia="Times New Roman" w:hAnsi="Times New Roman" w:cs="Times New Roman"/>
          <w:color w:val="000000"/>
        </w:rPr>
        <w:t>Fundamentally, this pandemic has shown that the current system of medical innovation and access to medicines is not designed to tackle such extraordinary situations as the COVID-19 pandemic.</w:t>
      </w:r>
      <w:r w:rsidRPr="00651C1A">
        <w:rPr>
          <w:rFonts w:ascii="Times New Roman" w:eastAsia="Times New Roman" w:hAnsi="Times New Roman" w:cs="Times New Roman"/>
          <w:color w:val="000000"/>
          <w:vertAlign w:val="superscript"/>
        </w:rPr>
        <w:footnoteReference w:id="13"/>
      </w:r>
      <w:r w:rsidRPr="00651C1A">
        <w:rPr>
          <w:rFonts w:ascii="Times New Roman" w:eastAsia="Times New Roman" w:hAnsi="Times New Roman" w:cs="Times New Roman"/>
          <w:color w:val="000000"/>
        </w:rPr>
        <w:t xml:space="preserve"> In normal times, the IP system is supposed to balance the private interests of companies and the public </w:t>
      </w:r>
      <w:r w:rsidRPr="00651C1A">
        <w:rPr>
          <w:rFonts w:ascii="Times New Roman" w:eastAsia="Times New Roman" w:hAnsi="Times New Roman" w:cs="Times New Roman"/>
          <w:color w:val="000000"/>
        </w:rPr>
        <w:lastRenderedPageBreak/>
        <w:t>interest in access to health technologies (although the adequacy of this balance has been increasingly questioned).</w:t>
      </w:r>
      <w:r w:rsidRPr="00651C1A">
        <w:rPr>
          <w:rFonts w:ascii="Times New Roman" w:eastAsia="Times New Roman" w:hAnsi="Times New Roman" w:cs="Times New Roman"/>
          <w:color w:val="000000"/>
          <w:vertAlign w:val="superscript"/>
        </w:rPr>
        <w:footnoteReference w:id="14"/>
      </w:r>
      <w:r w:rsidRPr="00651C1A">
        <w:rPr>
          <w:rFonts w:ascii="Times New Roman" w:eastAsia="Times New Roman" w:hAnsi="Times New Roman" w:cs="Times New Roman"/>
          <w:color w:val="000000"/>
        </w:rPr>
        <w:t xml:space="preserve"> A lesson of the COVID-19 pandemic is that during emergencies, this system should be rebalanced with the public interest in protecting (global) public health taking precedence over private financial interests of pharmaceutical corporations.  </w:t>
      </w:r>
    </w:p>
    <w:p w14:paraId="6FA683C9" w14:textId="77777777" w:rsidR="00B56408" w:rsidRPr="00651C1A" w:rsidRDefault="00B56408" w:rsidP="00D77F75">
      <w:pPr>
        <w:pStyle w:val="Default"/>
        <w:spacing w:line="276" w:lineRule="auto"/>
        <w:jc w:val="both"/>
        <w:rPr>
          <w:rFonts w:ascii="Times New Roman" w:hAnsi="Times New Roman" w:cs="Times New Roman"/>
          <w:sz w:val="22"/>
          <w:szCs w:val="22"/>
        </w:rPr>
      </w:pPr>
    </w:p>
    <w:p w14:paraId="467523E4" w14:textId="2C6EFDBB" w:rsidR="00D77F75" w:rsidRPr="00651C1A" w:rsidRDefault="00D77F75" w:rsidP="00D77F75">
      <w:pPr>
        <w:pStyle w:val="Default"/>
        <w:spacing w:line="276" w:lineRule="auto"/>
        <w:jc w:val="both"/>
        <w:rPr>
          <w:rFonts w:ascii="Times New Roman" w:eastAsia="Times New Roman" w:hAnsi="Times New Roman" w:cs="Times New Roman"/>
          <w:sz w:val="22"/>
          <w:szCs w:val="22"/>
          <w:lang w:eastAsia="en-GB"/>
        </w:rPr>
      </w:pPr>
    </w:p>
    <w:p w14:paraId="2B2B2ACE" w14:textId="77777777" w:rsidR="0062693B" w:rsidRPr="00651C1A" w:rsidRDefault="0062693B" w:rsidP="0062693B">
      <w:pPr>
        <w:pStyle w:val="ListParagraph"/>
        <w:numPr>
          <w:ilvl w:val="0"/>
          <w:numId w:val="1"/>
        </w:numPr>
        <w:ind w:left="567" w:hanging="567"/>
        <w:jc w:val="both"/>
        <w:rPr>
          <w:rFonts w:ascii="Times New Roman" w:hAnsi="Times New Roman" w:cs="Times New Roman"/>
          <w:b/>
          <w:bCs/>
          <w:i/>
          <w:iCs/>
          <w:color w:val="000000"/>
        </w:rPr>
      </w:pPr>
      <w:r w:rsidRPr="00651C1A">
        <w:rPr>
          <w:rFonts w:ascii="Times New Roman" w:hAnsi="Times New Roman" w:cs="Times New Roman"/>
          <w:b/>
          <w:bCs/>
          <w:i/>
          <w:iCs/>
        </w:rPr>
        <w:t>How can global efforts better address intellectual property rights and technology transfer issues to enhance access to medicines, vaccines and other health products?</w:t>
      </w:r>
    </w:p>
    <w:p w14:paraId="0337384D" w14:textId="77777777" w:rsidR="00B11242" w:rsidRDefault="00B11242" w:rsidP="009D15A4">
      <w:pPr>
        <w:pBdr>
          <w:top w:val="nil"/>
          <w:left w:val="nil"/>
          <w:bottom w:val="nil"/>
          <w:right w:val="nil"/>
          <w:between w:val="nil"/>
        </w:pBdr>
        <w:shd w:val="clear" w:color="auto" w:fill="FFFFFF"/>
        <w:spacing w:after="0" w:line="276" w:lineRule="auto"/>
        <w:jc w:val="both"/>
        <w:rPr>
          <w:rFonts w:ascii="Times New Roman" w:hAnsi="Times New Roman" w:cs="Times New Roman"/>
        </w:rPr>
      </w:pPr>
    </w:p>
    <w:p w14:paraId="095CDD33" w14:textId="4EC64098" w:rsidR="0060423E" w:rsidRDefault="003F4CEF" w:rsidP="009D15A4">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rPr>
      </w:pPr>
      <w:r w:rsidRPr="00651C1A">
        <w:rPr>
          <w:rFonts w:ascii="Times New Roman" w:hAnsi="Times New Roman" w:cs="Times New Roman"/>
        </w:rPr>
        <w:t>W</w:t>
      </w:r>
      <w:r w:rsidR="009D11E8" w:rsidRPr="00651C1A">
        <w:rPr>
          <w:rFonts w:ascii="Times New Roman" w:hAnsi="Times New Roman" w:cs="Times New Roman"/>
        </w:rPr>
        <w:t xml:space="preserve">hile voluntary agreements remain the most efficient tool to enable rapid </w:t>
      </w:r>
      <w:r w:rsidR="0007389E" w:rsidRPr="00651C1A">
        <w:rPr>
          <w:rFonts w:ascii="Times New Roman" w:hAnsi="Times New Roman" w:cs="Times New Roman"/>
        </w:rPr>
        <w:t xml:space="preserve">transfer </w:t>
      </w:r>
      <w:r w:rsidR="00044553" w:rsidRPr="00651C1A">
        <w:rPr>
          <w:rFonts w:ascii="Times New Roman" w:hAnsi="Times New Roman" w:cs="Times New Roman"/>
        </w:rPr>
        <w:t xml:space="preserve">of </w:t>
      </w:r>
      <w:r w:rsidR="00357E9A" w:rsidRPr="00651C1A">
        <w:rPr>
          <w:rFonts w:ascii="Times New Roman" w:hAnsi="Times New Roman" w:cs="Times New Roman"/>
        </w:rPr>
        <w:t>IP</w:t>
      </w:r>
      <w:r w:rsidR="009D11E8" w:rsidRPr="00651C1A">
        <w:rPr>
          <w:rFonts w:ascii="Times New Roman" w:hAnsi="Times New Roman" w:cs="Times New Roman"/>
        </w:rPr>
        <w:t xml:space="preserve">-protected </w:t>
      </w:r>
      <w:r w:rsidR="00044553" w:rsidRPr="00651C1A">
        <w:rPr>
          <w:rFonts w:ascii="Times New Roman" w:hAnsi="Times New Roman" w:cs="Times New Roman"/>
        </w:rPr>
        <w:t>technologies</w:t>
      </w:r>
      <w:r w:rsidR="009D11E8" w:rsidRPr="00651C1A">
        <w:rPr>
          <w:rFonts w:ascii="Times New Roman" w:hAnsi="Times New Roman" w:cs="Times New Roman"/>
        </w:rPr>
        <w:t>, including in crises, there may be cases where such voluntary agreements are not available or appropriate.</w:t>
      </w:r>
      <w:r w:rsidR="009D11E8" w:rsidRPr="00651C1A">
        <w:rPr>
          <w:rStyle w:val="FootnoteReference"/>
          <w:rFonts w:ascii="Times New Roman" w:hAnsi="Times New Roman" w:cs="Times New Roman"/>
        </w:rPr>
        <w:t xml:space="preserve"> </w:t>
      </w:r>
      <w:r w:rsidR="00D02EFB" w:rsidRPr="00651C1A">
        <w:rPr>
          <w:rFonts w:ascii="Times New Roman" w:eastAsia="Times New Roman" w:hAnsi="Times New Roman" w:cs="Times New Roman"/>
          <w:color w:val="000000"/>
        </w:rPr>
        <w:t>Th</w:t>
      </w:r>
      <w:r w:rsidR="005652C4">
        <w:rPr>
          <w:rFonts w:ascii="Times New Roman" w:eastAsia="Times New Roman" w:hAnsi="Times New Roman" w:cs="Times New Roman"/>
          <w:color w:val="000000"/>
        </w:rPr>
        <w:t>e</w:t>
      </w:r>
      <w:r w:rsidR="00D02EFB" w:rsidRPr="00651C1A">
        <w:rPr>
          <w:rFonts w:ascii="Times New Roman" w:eastAsia="Times New Roman" w:hAnsi="Times New Roman" w:cs="Times New Roman"/>
          <w:color w:val="000000"/>
        </w:rPr>
        <w:t xml:space="preserve"> failure of voluntary engagement </w:t>
      </w:r>
      <w:r w:rsidR="005652C4">
        <w:rPr>
          <w:rFonts w:ascii="Times New Roman" w:eastAsia="Times New Roman" w:hAnsi="Times New Roman" w:cs="Times New Roman"/>
          <w:color w:val="000000"/>
        </w:rPr>
        <w:t xml:space="preserve">by pharmaceutical companies </w:t>
      </w:r>
      <w:r w:rsidR="00A50EB6">
        <w:rPr>
          <w:rFonts w:ascii="Times New Roman" w:eastAsia="Times New Roman" w:hAnsi="Times New Roman" w:cs="Times New Roman"/>
          <w:color w:val="000000"/>
        </w:rPr>
        <w:t xml:space="preserve">– vaccine technology owners – </w:t>
      </w:r>
      <w:r w:rsidR="00180EEC">
        <w:rPr>
          <w:rFonts w:ascii="Times New Roman" w:eastAsia="Times New Roman" w:hAnsi="Times New Roman" w:cs="Times New Roman"/>
          <w:color w:val="000000"/>
        </w:rPr>
        <w:t xml:space="preserve">during the COVID-19 pandemic </w:t>
      </w:r>
      <w:r w:rsidR="002F3EC5" w:rsidRPr="00651C1A">
        <w:rPr>
          <w:rFonts w:ascii="Times New Roman" w:eastAsia="Times New Roman" w:hAnsi="Times New Roman" w:cs="Times New Roman"/>
          <w:color w:val="000000"/>
        </w:rPr>
        <w:t>highlight</w:t>
      </w:r>
      <w:r w:rsidR="00D13B6D">
        <w:rPr>
          <w:rFonts w:ascii="Times New Roman" w:eastAsia="Times New Roman" w:hAnsi="Times New Roman" w:cs="Times New Roman"/>
          <w:color w:val="000000"/>
        </w:rPr>
        <w:t>s</w:t>
      </w:r>
      <w:r w:rsidR="002F3EC5" w:rsidRPr="00651C1A">
        <w:rPr>
          <w:rFonts w:ascii="Times New Roman" w:eastAsia="Times New Roman" w:hAnsi="Times New Roman" w:cs="Times New Roman"/>
          <w:color w:val="000000"/>
        </w:rPr>
        <w:t xml:space="preserve"> the </w:t>
      </w:r>
      <w:r w:rsidR="008E409D">
        <w:rPr>
          <w:rFonts w:ascii="Times New Roman" w:eastAsia="Times New Roman" w:hAnsi="Times New Roman" w:cs="Times New Roman"/>
          <w:color w:val="000000"/>
        </w:rPr>
        <w:t xml:space="preserve">crucial </w:t>
      </w:r>
      <w:r w:rsidR="002F3EC5" w:rsidRPr="00651C1A">
        <w:rPr>
          <w:rFonts w:ascii="Times New Roman" w:eastAsia="Times New Roman" w:hAnsi="Times New Roman" w:cs="Times New Roman"/>
          <w:color w:val="000000"/>
        </w:rPr>
        <w:t xml:space="preserve">importance </w:t>
      </w:r>
      <w:r w:rsidR="00CD2CAE">
        <w:rPr>
          <w:rFonts w:ascii="Times New Roman" w:eastAsia="Times New Roman" w:hAnsi="Times New Roman" w:cs="Times New Roman"/>
          <w:color w:val="000000"/>
        </w:rPr>
        <w:t>of</w:t>
      </w:r>
      <w:r w:rsidR="0026035F">
        <w:rPr>
          <w:rFonts w:ascii="Times New Roman" w:eastAsia="Times New Roman" w:hAnsi="Times New Roman" w:cs="Times New Roman"/>
          <w:color w:val="000000"/>
        </w:rPr>
        <w:t xml:space="preserve"> </w:t>
      </w:r>
      <w:r w:rsidR="002F3EC5" w:rsidRPr="00651C1A">
        <w:rPr>
          <w:rFonts w:ascii="Times New Roman" w:eastAsia="Times New Roman" w:hAnsi="Times New Roman" w:cs="Times New Roman"/>
          <w:color w:val="000000"/>
        </w:rPr>
        <w:t>review</w:t>
      </w:r>
      <w:r w:rsidR="00CD2CAE">
        <w:rPr>
          <w:rFonts w:ascii="Times New Roman" w:eastAsia="Times New Roman" w:hAnsi="Times New Roman" w:cs="Times New Roman"/>
          <w:color w:val="000000"/>
        </w:rPr>
        <w:t>ing</w:t>
      </w:r>
      <w:r w:rsidR="002F3EC5" w:rsidRPr="00651C1A">
        <w:rPr>
          <w:rFonts w:ascii="Times New Roman" w:eastAsia="Times New Roman" w:hAnsi="Times New Roman" w:cs="Times New Roman"/>
          <w:color w:val="000000"/>
        </w:rPr>
        <w:t xml:space="preserve"> the currently available mechanisms of </w:t>
      </w:r>
      <w:r w:rsidR="00DA10FD" w:rsidRPr="00651C1A">
        <w:rPr>
          <w:rFonts w:ascii="Times New Roman" w:eastAsia="Times New Roman" w:hAnsi="Times New Roman" w:cs="Times New Roman"/>
          <w:color w:val="000000"/>
        </w:rPr>
        <w:t xml:space="preserve">involuntary technology transfer to make them more effective. </w:t>
      </w:r>
      <w:r w:rsidR="008E409D">
        <w:rPr>
          <w:rFonts w:ascii="Times New Roman" w:eastAsia="Times New Roman" w:hAnsi="Times New Roman" w:cs="Times New Roman"/>
          <w:color w:val="000000"/>
        </w:rPr>
        <w:t xml:space="preserve"> </w:t>
      </w:r>
    </w:p>
    <w:p w14:paraId="42686DF8" w14:textId="77777777" w:rsidR="0060423E" w:rsidRDefault="0060423E" w:rsidP="009D15A4">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rPr>
      </w:pPr>
    </w:p>
    <w:p w14:paraId="6CB346CB" w14:textId="4CCC3CD3" w:rsidR="00A15916" w:rsidRPr="0060423E" w:rsidRDefault="00B3262E" w:rsidP="009D15A4">
      <w:pPr>
        <w:pBdr>
          <w:top w:val="nil"/>
          <w:left w:val="nil"/>
          <w:bottom w:val="nil"/>
          <w:right w:val="nil"/>
          <w:between w:val="nil"/>
        </w:pBdr>
        <w:shd w:val="clear" w:color="auto" w:fill="FFFFFF"/>
        <w:spacing w:after="0" w:line="276" w:lineRule="auto"/>
        <w:jc w:val="both"/>
        <w:rPr>
          <w:rFonts w:ascii="Times New Roman" w:hAnsi="Times New Roman" w:cs="Times New Roman"/>
          <w:color w:val="000000"/>
          <w:kern w:val="0"/>
        </w:rPr>
      </w:pPr>
      <w:r w:rsidRPr="00651C1A">
        <w:rPr>
          <w:rFonts w:ascii="Times New Roman" w:eastAsia="Times New Roman" w:hAnsi="Times New Roman" w:cs="Times New Roman"/>
          <w:color w:val="000000"/>
        </w:rPr>
        <w:t>P</w:t>
      </w:r>
      <w:r w:rsidRPr="00651C1A">
        <w:rPr>
          <w:rFonts w:ascii="Times New Roman" w:hAnsi="Times New Roman" w:cs="Times New Roman"/>
          <w:color w:val="000000"/>
          <w:kern w:val="0"/>
        </w:rPr>
        <w:t xml:space="preserve">atent law contains </w:t>
      </w:r>
      <w:r w:rsidR="00E2487A" w:rsidRPr="00651C1A">
        <w:rPr>
          <w:rFonts w:ascii="Times New Roman" w:hAnsi="Times New Roman" w:cs="Times New Roman"/>
          <w:color w:val="000000"/>
          <w:kern w:val="0"/>
        </w:rPr>
        <w:t xml:space="preserve">a specific tool for </w:t>
      </w:r>
      <w:r w:rsidR="000D2D37">
        <w:rPr>
          <w:rFonts w:ascii="Times New Roman" w:hAnsi="Times New Roman" w:cs="Times New Roman"/>
          <w:color w:val="000000"/>
          <w:kern w:val="0"/>
        </w:rPr>
        <w:t>involuntary</w:t>
      </w:r>
      <w:r w:rsidR="00E2487A" w:rsidRPr="00651C1A">
        <w:rPr>
          <w:rFonts w:ascii="Times New Roman" w:hAnsi="Times New Roman" w:cs="Times New Roman"/>
          <w:color w:val="000000"/>
          <w:kern w:val="0"/>
        </w:rPr>
        <w:t xml:space="preserve"> technology transfer in the form of </w:t>
      </w:r>
      <w:r w:rsidRPr="00651C1A">
        <w:rPr>
          <w:rFonts w:ascii="Times New Roman" w:hAnsi="Times New Roman" w:cs="Times New Roman"/>
          <w:color w:val="000000"/>
          <w:kern w:val="0"/>
        </w:rPr>
        <w:t>compulsory licensing</w:t>
      </w:r>
      <w:r w:rsidR="00A34A85" w:rsidRPr="00651C1A">
        <w:rPr>
          <w:rFonts w:ascii="Times New Roman" w:hAnsi="Times New Roman" w:cs="Times New Roman"/>
          <w:color w:val="000000"/>
          <w:kern w:val="0"/>
        </w:rPr>
        <w:t xml:space="preserve">. </w:t>
      </w:r>
      <w:r w:rsidR="0039140E" w:rsidRPr="00651C1A">
        <w:rPr>
          <w:rFonts w:ascii="Times New Roman" w:hAnsi="Times New Roman" w:cs="Times New Roman"/>
        </w:rPr>
        <w:t>A compulsory licence is the permission granted by a state authority that authorises a third party to use a patented invention without the patent holder’s consent.</w:t>
      </w:r>
      <w:r w:rsidR="0039140E" w:rsidRPr="00651C1A">
        <w:rPr>
          <w:rStyle w:val="FootnoteReference"/>
          <w:rFonts w:ascii="Times New Roman" w:hAnsi="Times New Roman" w:cs="Times New Roman"/>
        </w:rPr>
        <w:footnoteReference w:id="15"/>
      </w:r>
      <w:r w:rsidR="0039140E" w:rsidRPr="00651C1A">
        <w:rPr>
          <w:rFonts w:ascii="Times New Roman" w:hAnsi="Times New Roman" w:cs="Times New Roman"/>
        </w:rPr>
        <w:t xml:space="preserve"> </w:t>
      </w:r>
      <w:r w:rsidR="0039140E" w:rsidRPr="00651C1A">
        <w:rPr>
          <w:rFonts w:ascii="Times New Roman" w:hAnsi="Times New Roman" w:cs="Times New Roman"/>
          <w:color w:val="202124"/>
          <w14:ligatures w14:val="none"/>
        </w:rPr>
        <w:t xml:space="preserve">At the international level, the use of this mechanism </w:t>
      </w:r>
      <w:r w:rsidR="0039140E" w:rsidRPr="00651C1A">
        <w:rPr>
          <w:rFonts w:ascii="Times New Roman" w:hAnsi="Times New Roman" w:cs="Times New Roman"/>
          <w:color w:val="000000"/>
          <w:kern w:val="0"/>
        </w:rPr>
        <w:t>in relation to the domestic market</w:t>
      </w:r>
      <w:r w:rsidR="0039140E" w:rsidRPr="00651C1A">
        <w:rPr>
          <w:rFonts w:ascii="Times New Roman" w:hAnsi="Times New Roman" w:cs="Times New Roman"/>
          <w:color w:val="202124"/>
          <w14:ligatures w14:val="none"/>
        </w:rPr>
        <w:t xml:space="preserve"> is regulated by Article 31 of th</w:t>
      </w:r>
      <w:r w:rsidR="0039140E" w:rsidRPr="00651C1A">
        <w:rPr>
          <w:rFonts w:ascii="Times New Roman" w:hAnsi="Times New Roman" w:cs="Times New Roman"/>
          <w:kern w:val="0"/>
        </w:rPr>
        <w:t>e WTO Agreement on Trade Related Aspects of Intellectual Property Rights (‘TRIPS’),</w:t>
      </w:r>
      <w:r w:rsidR="0039140E" w:rsidRPr="00651C1A">
        <w:rPr>
          <w:rStyle w:val="FootnoteReference"/>
          <w:rFonts w:ascii="Times New Roman" w:hAnsi="Times New Roman" w:cs="Times New Roman"/>
          <w:shd w:val="clear" w:color="auto" w:fill="FFFFFF"/>
        </w:rPr>
        <w:footnoteReference w:id="16"/>
      </w:r>
      <w:r w:rsidR="0039140E" w:rsidRPr="00651C1A">
        <w:rPr>
          <w:rFonts w:ascii="Times New Roman" w:hAnsi="Times New Roman" w:cs="Times New Roman"/>
          <w:kern w:val="0"/>
        </w:rPr>
        <w:t xml:space="preserve"> </w:t>
      </w:r>
      <w:r w:rsidR="005F05AC" w:rsidRPr="00651C1A">
        <w:rPr>
          <w:rFonts w:ascii="Times New Roman" w:hAnsi="Times New Roman" w:cs="Times New Roman"/>
          <w:kern w:val="0"/>
        </w:rPr>
        <w:t xml:space="preserve">while </w:t>
      </w:r>
      <w:r w:rsidR="0039140E" w:rsidRPr="00651C1A">
        <w:rPr>
          <w:rFonts w:ascii="Times New Roman" w:hAnsi="Times New Roman" w:cs="Times New Roman"/>
          <w:color w:val="000000"/>
          <w:kern w:val="0"/>
        </w:rPr>
        <w:t>Article 31</w:t>
      </w:r>
      <w:r w:rsidR="0039140E" w:rsidRPr="000B6519">
        <w:rPr>
          <w:rFonts w:ascii="Times New Roman" w:hAnsi="Times New Roman" w:cs="Times New Roman"/>
          <w:i/>
          <w:iCs/>
          <w:color w:val="000000"/>
          <w:kern w:val="0"/>
        </w:rPr>
        <w:t>bis</w:t>
      </w:r>
      <w:r w:rsidR="0039140E" w:rsidRPr="00651C1A">
        <w:rPr>
          <w:rFonts w:ascii="Times New Roman" w:hAnsi="Times New Roman" w:cs="Times New Roman"/>
          <w:color w:val="000000"/>
          <w:kern w:val="0"/>
        </w:rPr>
        <w:t xml:space="preserve"> TRIPS regulates the process of issuing a </w:t>
      </w:r>
      <w:r w:rsidR="0039140E" w:rsidRPr="00651C1A">
        <w:rPr>
          <w:rFonts w:ascii="Times New Roman" w:hAnsi="Times New Roman" w:cs="Times New Roman"/>
        </w:rPr>
        <w:t>compulsory licence of patents for the manufacturing and export of pharmaceutical products to third countries with public health concerns.</w:t>
      </w:r>
      <w:r w:rsidR="00A15916" w:rsidRPr="00651C1A">
        <w:rPr>
          <w:rFonts w:ascii="Times New Roman" w:hAnsi="Times New Roman" w:cs="Times New Roman"/>
        </w:rPr>
        <w:t xml:space="preserve"> At the beginning of the pandemic several countries issued COVID-19-related compulsory licences</w:t>
      </w:r>
      <w:r w:rsidR="00A15916" w:rsidRPr="00651C1A">
        <w:rPr>
          <w:rFonts w:ascii="Times New Roman" w:hAnsi="Times New Roman" w:cs="Times New Roman"/>
          <w:shd w:val="clear" w:color="auto" w:fill="FFFFFF"/>
        </w:rPr>
        <w:t xml:space="preserve"> on the existing small molecule medicines, which were thought to be efficient against COVID-19 virus. I</w:t>
      </w:r>
      <w:r w:rsidR="00A15916" w:rsidRPr="00651C1A">
        <w:rPr>
          <w:rFonts w:ascii="Times New Roman" w:hAnsi="Times New Roman" w:cs="Times New Roman"/>
        </w:rPr>
        <w:t>n particular, Hungary and Russia granted compulsory licences for Remdesivir, and Israel for Lopinavir/Ritonavir.</w:t>
      </w:r>
      <w:r w:rsidR="00A15916" w:rsidRPr="00651C1A">
        <w:rPr>
          <w:rStyle w:val="FootnoteReference"/>
          <w:rFonts w:ascii="Times New Roman" w:hAnsi="Times New Roman" w:cs="Times New Roman"/>
        </w:rPr>
        <w:footnoteReference w:id="17"/>
      </w:r>
      <w:r w:rsidR="00A15916" w:rsidRPr="00651C1A">
        <w:rPr>
          <w:rStyle w:val="FootnoteReference"/>
          <w:rFonts w:ascii="Times New Roman" w:hAnsi="Times New Roman" w:cs="Times New Roman"/>
        </w:rPr>
        <w:t xml:space="preserve"> </w:t>
      </w:r>
      <w:r w:rsidR="00A15916" w:rsidRPr="00651C1A">
        <w:rPr>
          <w:rFonts w:ascii="Times New Roman" w:hAnsi="Times New Roman" w:cs="Times New Roman"/>
        </w:rPr>
        <w:t xml:space="preserve">Moreover, </w:t>
      </w:r>
      <w:r w:rsidR="00A15916" w:rsidRPr="00651C1A">
        <w:rPr>
          <w:rFonts w:ascii="Times New Roman" w:eastAsia="Times New Roman" w:hAnsi="Times New Roman" w:cs="Times New Roman"/>
        </w:rPr>
        <w:t xml:space="preserve">in anticipation of possible challenging access to yet to be developed COVID-19 medicines and vaccines, some countries began to take certain measures to prevent situations in which patents and other exclusivities would create barriers to access. This includes amendments to national compulsory licensing laws by e.g. </w:t>
      </w:r>
      <w:r w:rsidR="00A15916" w:rsidRPr="00651C1A">
        <w:rPr>
          <w:rFonts w:ascii="Times New Roman" w:hAnsi="Times New Roman" w:cs="Times New Roman"/>
        </w:rPr>
        <w:t>Australia, Canada and Germany.</w:t>
      </w:r>
      <w:r w:rsidR="00A15916" w:rsidRPr="00651C1A">
        <w:rPr>
          <w:rStyle w:val="FootnoteReference"/>
          <w:rFonts w:ascii="Times New Roman" w:hAnsi="Times New Roman" w:cs="Times New Roman"/>
        </w:rPr>
        <w:footnoteReference w:id="18"/>
      </w:r>
      <w:r w:rsidR="00A15916" w:rsidRPr="00651C1A">
        <w:rPr>
          <w:rFonts w:ascii="Times New Roman" w:hAnsi="Times New Roman" w:cs="Times New Roman"/>
        </w:rPr>
        <w:t xml:space="preserve"> These legislative changes are particularly interesting because pre-pandemic this mechanism was mainly used by developing countries, while developed countries avoided using it following the rationale put forward by pharmaceutical companies that granting a compulsory licence would affect their incentives to innovate. O</w:t>
      </w:r>
      <w:r w:rsidR="00A15916" w:rsidRPr="00651C1A">
        <w:rPr>
          <w:rFonts w:ascii="Times New Roman" w:eastAsia="Times New Roman" w:hAnsi="Times New Roman" w:cs="Times New Roman"/>
        </w:rPr>
        <w:t>nce COVID-19 medicines and vaccines were developed,</w:t>
      </w:r>
      <w:r w:rsidR="00A15916" w:rsidRPr="00651C1A">
        <w:rPr>
          <w:rFonts w:ascii="Times New Roman" w:hAnsi="Times New Roman" w:cs="Times New Roman"/>
        </w:rPr>
        <w:t xml:space="preserve"> s</w:t>
      </w:r>
      <w:r w:rsidR="00A15916" w:rsidRPr="00651C1A">
        <w:rPr>
          <w:rFonts w:ascii="Times New Roman" w:eastAsia="Times New Roman" w:hAnsi="Times New Roman" w:cs="Times New Roman"/>
        </w:rPr>
        <w:t xml:space="preserve">uch changes to national patent legislations proved to be </w:t>
      </w:r>
      <w:r w:rsidR="00A15916" w:rsidRPr="00651C1A">
        <w:rPr>
          <w:rFonts w:ascii="Times New Roman" w:eastAsia="Times New Roman" w:hAnsi="Times New Roman" w:cs="Times New Roman"/>
        </w:rPr>
        <w:lastRenderedPageBreak/>
        <w:t>justified in light of the actions of some vaccine manufacturers who</w:t>
      </w:r>
      <w:r w:rsidR="00EB0F8A" w:rsidRPr="00651C1A">
        <w:rPr>
          <w:rFonts w:ascii="Times New Roman" w:eastAsia="Times New Roman" w:hAnsi="Times New Roman" w:cs="Times New Roman"/>
        </w:rPr>
        <w:t>, as was discussed above,</w:t>
      </w:r>
      <w:r w:rsidR="00A15916" w:rsidRPr="00651C1A">
        <w:rPr>
          <w:rFonts w:ascii="Times New Roman" w:eastAsia="Times New Roman" w:hAnsi="Times New Roman" w:cs="Times New Roman"/>
        </w:rPr>
        <w:t xml:space="preserve"> refused to voluntarily license their vaccine technologies to the technology pools (such as the WHO C-TAP),</w:t>
      </w:r>
      <w:r w:rsidR="00A15916" w:rsidRPr="00651C1A">
        <w:rPr>
          <w:rStyle w:val="FootnoteReference"/>
          <w:rFonts w:ascii="Times New Roman" w:hAnsi="Times New Roman" w:cs="Times New Roman"/>
        </w:rPr>
        <w:footnoteReference w:id="19"/>
      </w:r>
      <w:r w:rsidR="00A15916" w:rsidRPr="00651C1A">
        <w:rPr>
          <w:rFonts w:ascii="Times New Roman" w:eastAsia="Times New Roman" w:hAnsi="Times New Roman" w:cs="Times New Roman"/>
        </w:rPr>
        <w:t xml:space="preserve"> and other manufacturers with production capacities, thwarting governments’ plans to rapidly vaccinate their populations to fight the pandemic. </w:t>
      </w:r>
    </w:p>
    <w:p w14:paraId="34AFD741" w14:textId="77777777" w:rsidR="00A15916" w:rsidRPr="00651C1A" w:rsidRDefault="00A15916" w:rsidP="00A15916">
      <w:pPr>
        <w:spacing w:after="0" w:line="276" w:lineRule="auto"/>
        <w:jc w:val="both"/>
        <w:rPr>
          <w:rFonts w:ascii="Times New Roman" w:eastAsia="Times New Roman" w:hAnsi="Times New Roman" w:cs="Times New Roman"/>
        </w:rPr>
      </w:pPr>
    </w:p>
    <w:p w14:paraId="6A7FA87B" w14:textId="65F69B11" w:rsidR="0039140E" w:rsidRPr="00651C1A" w:rsidRDefault="00A15916" w:rsidP="00A15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rPr>
      </w:pPr>
      <w:r w:rsidRPr="00651C1A">
        <w:rPr>
          <w:rFonts w:ascii="Times New Roman" w:eastAsia="Times New Roman" w:hAnsi="Times New Roman" w:cs="Times New Roman"/>
        </w:rPr>
        <w:t xml:space="preserve">Despite the catastrophic failure to promptly inoculate people worldwide due to the limited supply, on the one hand, and the resistance of pharmaceutical companies to share their vaccine technologies with other manufacturers who had the capacity to produce vaccines and thus accelerate their production, on the other hand, none of the countries issued any compulsory licences on COVID-19 vaccines. The only exception was the US that </w:t>
      </w:r>
      <w:r w:rsidRPr="00651C1A">
        <w:rPr>
          <w:rFonts w:ascii="Times New Roman" w:eastAsia="Times New Roman" w:hAnsi="Times New Roman" w:cs="Times New Roman"/>
          <w:color w:val="000000"/>
        </w:rPr>
        <w:t>issued 59 compulsory licences to these very pharmaceutical companies – the COVID-19 vaccine technology owners – as part of the vaccine development scheme Operation Warp Speed.</w:t>
      </w:r>
      <w:r w:rsidRPr="00651C1A">
        <w:rPr>
          <w:rStyle w:val="FootnoteReference"/>
          <w:rFonts w:ascii="Times New Roman" w:eastAsia="Times New Roman" w:hAnsi="Times New Roman" w:cs="Times New Roman"/>
          <w:color w:val="000000"/>
        </w:rPr>
        <w:footnoteReference w:id="20"/>
      </w:r>
      <w:r w:rsidRPr="00651C1A">
        <w:rPr>
          <w:rFonts w:ascii="Times New Roman" w:eastAsia="Times New Roman" w:hAnsi="Times New Roman" w:cs="Times New Roman"/>
          <w:color w:val="000000"/>
        </w:rPr>
        <w:t xml:space="preserve"> </w:t>
      </w:r>
      <w:r w:rsidRPr="00651C1A">
        <w:rPr>
          <w:rFonts w:ascii="Times New Roman" w:eastAsia="Times New Roman" w:hAnsi="Times New Roman" w:cs="Times New Roman"/>
        </w:rPr>
        <w:t>The main reason for restraining issuance of compulsory licences of COVID-19 vaccines was political. Nevertheless, even if a government would be willing to issue a compulsory licence on patents protecting a vaccine, this would not be sufficient for the compulsory licensee to be able to produce a COVID-19 vaccine because the current mechanism</w:t>
      </w:r>
      <w:r w:rsidR="005B5CDB">
        <w:rPr>
          <w:rFonts w:ascii="Times New Roman" w:eastAsia="Times New Roman" w:hAnsi="Times New Roman" w:cs="Times New Roman"/>
        </w:rPr>
        <w:t xml:space="preserve"> </w:t>
      </w:r>
      <w:r w:rsidR="00AE6239">
        <w:rPr>
          <w:rFonts w:ascii="Times New Roman" w:eastAsia="Times New Roman" w:hAnsi="Times New Roman" w:cs="Times New Roman"/>
        </w:rPr>
        <w:t xml:space="preserve">of compulsory licensing </w:t>
      </w:r>
      <w:r w:rsidRPr="00651C1A">
        <w:rPr>
          <w:rFonts w:ascii="Times New Roman" w:eastAsia="Times New Roman" w:hAnsi="Times New Roman" w:cs="Times New Roman"/>
        </w:rPr>
        <w:t xml:space="preserve">is inadequate in the case </w:t>
      </w:r>
      <w:r w:rsidR="00095BB1">
        <w:rPr>
          <w:rFonts w:ascii="Times New Roman" w:eastAsia="Times New Roman" w:hAnsi="Times New Roman" w:cs="Times New Roman"/>
        </w:rPr>
        <w:t xml:space="preserve">of </w:t>
      </w:r>
      <w:r w:rsidRPr="00651C1A">
        <w:rPr>
          <w:rFonts w:ascii="Times New Roman" w:eastAsia="Times New Roman" w:hAnsi="Times New Roman" w:cs="Times New Roman"/>
        </w:rPr>
        <w:t>vaccines.</w:t>
      </w:r>
    </w:p>
    <w:p w14:paraId="600AAA78" w14:textId="77777777" w:rsidR="00610BA3" w:rsidRPr="00651C1A" w:rsidRDefault="00610BA3" w:rsidP="00D02EFB">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rPr>
      </w:pPr>
    </w:p>
    <w:p w14:paraId="0D5B5AA6" w14:textId="60FD1209" w:rsidR="0015411F" w:rsidRDefault="006D0F9A" w:rsidP="000B1AAE">
      <w:pPr>
        <w:pBdr>
          <w:top w:val="nil"/>
          <w:left w:val="nil"/>
          <w:bottom w:val="nil"/>
          <w:right w:val="nil"/>
          <w:between w:val="nil"/>
        </w:pBdr>
        <w:shd w:val="clear" w:color="auto" w:fill="FFFFFF"/>
        <w:spacing w:after="0" w:line="276" w:lineRule="auto"/>
        <w:jc w:val="both"/>
        <w:rPr>
          <w:rFonts w:ascii="Times New Roman" w:hAnsi="Times New Roman" w:cs="Times New Roman"/>
        </w:rPr>
      </w:pPr>
      <w:r w:rsidRPr="00651C1A">
        <w:rPr>
          <w:rFonts w:ascii="Times New Roman" w:hAnsi="Times New Roman" w:cs="Times New Roman"/>
        </w:rPr>
        <w:t xml:space="preserve">Vaccines are complex biologics, and their manufacture is challenging because of, </w:t>
      </w:r>
      <w:r w:rsidRPr="00651C1A">
        <w:rPr>
          <w:rFonts w:ascii="Times New Roman" w:hAnsi="Times New Roman" w:cs="Times New Roman"/>
          <w:i/>
          <w:iCs/>
        </w:rPr>
        <w:t>inter alia</w:t>
      </w:r>
      <w:r w:rsidRPr="00651C1A">
        <w:rPr>
          <w:rFonts w:ascii="Times New Roman" w:hAnsi="Times New Roman" w:cs="Times New Roman"/>
        </w:rPr>
        <w:t>, the special facilities and equipment needed, the complex processes involved, and the specialist knowledge and experience required.</w:t>
      </w:r>
      <w:r w:rsidRPr="00651C1A">
        <w:rPr>
          <w:rStyle w:val="FootnoteReference"/>
          <w:rFonts w:ascii="Times New Roman" w:hAnsi="Times New Roman" w:cs="Times New Roman"/>
        </w:rPr>
        <w:footnoteReference w:id="21"/>
      </w:r>
      <w:r w:rsidRPr="00651C1A">
        <w:rPr>
          <w:rFonts w:ascii="Times New Roman" w:hAnsi="Times New Roman" w:cs="Times New Roman"/>
          <w:shd w:val="clear" w:color="auto" w:fill="FFFFFF"/>
        </w:rPr>
        <w:t xml:space="preserve"> Such knowledge is typically protected by patents and, more importantly, by trade secrets. Unlike small-molecule drugs that are easier to reverse engineer and reproduce by others without them needing to know a specific manufacturing process, with such a complex biological therapy as a vaccine, the knowledge on how to produce it may be critical.</w:t>
      </w:r>
      <w:r w:rsidRPr="00651C1A">
        <w:rPr>
          <w:rStyle w:val="FootnoteReference"/>
          <w:rFonts w:ascii="Times New Roman" w:hAnsi="Times New Roman" w:cs="Times New Roman"/>
          <w:shd w:val="clear" w:color="auto" w:fill="FFFFFF"/>
        </w:rPr>
        <w:footnoteReference w:id="22"/>
      </w:r>
      <w:r w:rsidRPr="00651C1A">
        <w:rPr>
          <w:rFonts w:ascii="Times New Roman" w:hAnsi="Times New Roman" w:cs="Times New Roman"/>
          <w:shd w:val="clear" w:color="auto" w:fill="FFFFFF"/>
        </w:rPr>
        <w:t xml:space="preserve"> Some argue that in the area of vaccines, ‘a manufacturing process is a product’.</w:t>
      </w:r>
      <w:r w:rsidRPr="00651C1A">
        <w:rPr>
          <w:rStyle w:val="FootnoteReference"/>
          <w:rFonts w:ascii="Times New Roman" w:hAnsi="Times New Roman" w:cs="Times New Roman"/>
          <w:shd w:val="clear" w:color="auto" w:fill="FFFFFF"/>
        </w:rPr>
        <w:footnoteReference w:id="23"/>
      </w:r>
      <w:r w:rsidRPr="00651C1A">
        <w:rPr>
          <w:rFonts w:ascii="Times New Roman" w:hAnsi="Times New Roman" w:cs="Times New Roman"/>
          <w:shd w:val="clear" w:color="auto" w:fill="FFFFFF"/>
        </w:rPr>
        <w:t xml:space="preserve"> </w:t>
      </w:r>
      <w:r w:rsidR="00DF7339" w:rsidRPr="00651C1A">
        <w:rPr>
          <w:rFonts w:ascii="Times New Roman" w:hAnsi="Times New Roman" w:cs="Times New Roman"/>
          <w:shd w:val="clear" w:color="auto" w:fill="FFFFFF"/>
        </w:rPr>
        <w:t>Therefore, without such knowledge, a compulsory licence of patents would be insufficient,</w:t>
      </w:r>
      <w:r w:rsidR="00DB5EDD">
        <w:rPr>
          <w:rStyle w:val="FootnoteReference"/>
          <w:rFonts w:ascii="Times New Roman" w:hAnsi="Times New Roman" w:cs="Times New Roman"/>
          <w:shd w:val="clear" w:color="auto" w:fill="FFFFFF"/>
        </w:rPr>
        <w:footnoteReference w:id="24"/>
      </w:r>
      <w:r w:rsidR="007249B9" w:rsidRPr="00651C1A">
        <w:rPr>
          <w:rFonts w:ascii="Times New Roman" w:hAnsi="Times New Roman" w:cs="Times New Roman"/>
          <w:shd w:val="clear" w:color="auto" w:fill="FFFFFF"/>
        </w:rPr>
        <w:t xml:space="preserve"> </w:t>
      </w:r>
      <w:r w:rsidR="00DF7339" w:rsidRPr="00651C1A">
        <w:rPr>
          <w:rFonts w:ascii="Times New Roman" w:hAnsi="Times New Roman" w:cs="Times New Roman"/>
          <w:shd w:val="clear" w:color="auto" w:fill="FFFFFF"/>
        </w:rPr>
        <w:t xml:space="preserve">and there is no </w:t>
      </w:r>
      <w:r w:rsidR="00DF7339" w:rsidRPr="00651C1A">
        <w:rPr>
          <w:rFonts w:ascii="Times New Roman" w:hAnsi="Times New Roman" w:cs="Times New Roman"/>
        </w:rPr>
        <w:t>obligation for patent owners to pro</w:t>
      </w:r>
      <w:r w:rsidR="00DF7339" w:rsidRPr="00651C1A">
        <w:rPr>
          <w:rFonts w:ascii="Times New Roman" w:hAnsi="Times New Roman" w:cs="Times New Roman"/>
        </w:rPr>
        <w:softHyphen/>
        <w:t>vide any additional information under a compulsory licence beyond what is included in a patent specification.</w:t>
      </w:r>
      <w:r w:rsidR="00DF7339" w:rsidRPr="00651C1A">
        <w:rPr>
          <w:rStyle w:val="FootnoteReference"/>
          <w:rFonts w:ascii="Times New Roman" w:hAnsi="Times New Roman" w:cs="Times New Roman"/>
        </w:rPr>
        <w:footnoteReference w:id="25"/>
      </w:r>
      <w:r w:rsidR="00DF7339" w:rsidRPr="00651C1A">
        <w:rPr>
          <w:rFonts w:ascii="Times New Roman" w:hAnsi="Times New Roman" w:cs="Times New Roman"/>
        </w:rPr>
        <w:t xml:space="preserve"> </w:t>
      </w:r>
    </w:p>
    <w:p w14:paraId="1E9E290A" w14:textId="77777777" w:rsidR="0015411F" w:rsidRDefault="0015411F" w:rsidP="000B1AAE">
      <w:pPr>
        <w:pBdr>
          <w:top w:val="nil"/>
          <w:left w:val="nil"/>
          <w:bottom w:val="nil"/>
          <w:right w:val="nil"/>
          <w:between w:val="nil"/>
        </w:pBdr>
        <w:shd w:val="clear" w:color="auto" w:fill="FFFFFF"/>
        <w:spacing w:after="0" w:line="276" w:lineRule="auto"/>
        <w:jc w:val="both"/>
        <w:rPr>
          <w:rFonts w:ascii="Times New Roman" w:hAnsi="Times New Roman" w:cs="Times New Roman"/>
        </w:rPr>
      </w:pPr>
    </w:p>
    <w:p w14:paraId="4AE8A6D3" w14:textId="2DFAACA0" w:rsidR="00003153" w:rsidRPr="00651C1A" w:rsidRDefault="00DF7339" w:rsidP="000B1AAE">
      <w:pPr>
        <w:pBdr>
          <w:top w:val="nil"/>
          <w:left w:val="nil"/>
          <w:bottom w:val="nil"/>
          <w:right w:val="nil"/>
          <w:between w:val="nil"/>
        </w:pBdr>
        <w:shd w:val="clear" w:color="auto" w:fill="FFFFFF"/>
        <w:spacing w:after="0" w:line="276" w:lineRule="auto"/>
        <w:jc w:val="both"/>
        <w:rPr>
          <w:rFonts w:ascii="Times New Roman" w:hAnsi="Times New Roman" w:cs="Times New Roman"/>
          <w:shd w:val="clear" w:color="auto" w:fill="FFFFFF"/>
        </w:rPr>
      </w:pPr>
      <w:r w:rsidRPr="00651C1A">
        <w:rPr>
          <w:rFonts w:ascii="Times New Roman" w:hAnsi="Times New Roman" w:cs="Times New Roman"/>
        </w:rPr>
        <w:t xml:space="preserve">Therefore, even if some countries would have attempted to initiate an involuntary technology transfer of a COVID-19 vaccine, they would not be able to do this because currently there is no equivalent mechanism in IP laws for compulsory licensing of trade secrets similar to the mechanism of compulsory </w:t>
      </w:r>
      <w:r w:rsidRPr="00651C1A">
        <w:rPr>
          <w:rFonts w:ascii="Times New Roman" w:hAnsi="Times New Roman" w:cs="Times New Roman"/>
        </w:rPr>
        <w:lastRenderedPageBreak/>
        <w:t>licensing developed for patents</w:t>
      </w:r>
      <w:r w:rsidR="000B1AAE" w:rsidRPr="00651C1A">
        <w:rPr>
          <w:rFonts w:ascii="Times New Roman" w:hAnsi="Times New Roman" w:cs="Times New Roman"/>
        </w:rPr>
        <w:t xml:space="preserve"> (there are, however, some limited tools in other laws,</w:t>
      </w:r>
      <w:r w:rsidR="000B1AAE" w:rsidRPr="00651C1A">
        <w:rPr>
          <w:rStyle w:val="FootnoteReference"/>
          <w:rFonts w:ascii="Times New Roman" w:hAnsi="Times New Roman" w:cs="Times New Roman"/>
        </w:rPr>
        <w:footnoteReference w:id="26"/>
      </w:r>
      <w:r w:rsidR="000B1AAE" w:rsidRPr="00651C1A">
        <w:rPr>
          <w:rFonts w:ascii="Times New Roman" w:hAnsi="Times New Roman" w:cs="Times New Roman"/>
        </w:rPr>
        <w:t xml:space="preserve"> as those, for instance, available under competition law</w:t>
      </w:r>
      <w:r w:rsidR="000B1AAE" w:rsidRPr="00651C1A">
        <w:rPr>
          <w:rStyle w:val="FootnoteReference"/>
          <w:rFonts w:ascii="Times New Roman" w:hAnsi="Times New Roman" w:cs="Times New Roman"/>
        </w:rPr>
        <w:footnoteReference w:id="27"/>
      </w:r>
      <w:r w:rsidR="000B1AAE" w:rsidRPr="00651C1A">
        <w:rPr>
          <w:rFonts w:ascii="Times New Roman" w:hAnsi="Times New Roman" w:cs="Times New Roman"/>
        </w:rPr>
        <w:t>).</w:t>
      </w:r>
      <w:r w:rsidR="000B1AAE" w:rsidRPr="00651C1A">
        <w:rPr>
          <w:rStyle w:val="FootnoteReference"/>
          <w:rFonts w:ascii="Times New Roman" w:hAnsi="Times New Roman" w:cs="Times New Roman"/>
        </w:rPr>
        <w:footnoteReference w:id="28"/>
      </w:r>
      <w:r w:rsidR="000B1AAE" w:rsidRPr="00651C1A">
        <w:rPr>
          <w:rFonts w:ascii="Times New Roman" w:hAnsi="Times New Roman" w:cs="Times New Roman"/>
        </w:rPr>
        <w:t xml:space="preserve"> </w:t>
      </w:r>
      <w:r w:rsidR="00003153" w:rsidRPr="00651C1A">
        <w:rPr>
          <w:rFonts w:ascii="Times New Roman" w:hAnsi="Times New Roman" w:cs="Times New Roman"/>
        </w:rPr>
        <w:t>This results in a dependence of countries, both developed and developing, upon pharmaceutical companies, resulting in countries’ inability to promptly protect public health.</w:t>
      </w:r>
      <w:r w:rsidR="00003153" w:rsidRPr="00651C1A">
        <w:rPr>
          <w:rStyle w:val="FootnoteReference"/>
          <w:rFonts w:ascii="Times New Roman" w:hAnsi="Times New Roman" w:cs="Times New Roman"/>
        </w:rPr>
        <w:footnoteReference w:id="29"/>
      </w:r>
      <w:r w:rsidR="00003153" w:rsidRPr="00651C1A">
        <w:rPr>
          <w:rFonts w:ascii="Times New Roman" w:hAnsi="Times New Roman" w:cs="Times New Roman"/>
        </w:rPr>
        <w:t xml:space="preserve"> This is even though, the research for most of the vaccines was heavily subsidised by public funding.</w:t>
      </w:r>
      <w:r w:rsidR="00003153" w:rsidRPr="00651C1A">
        <w:rPr>
          <w:rStyle w:val="FootnoteReference"/>
          <w:rFonts w:ascii="Times New Roman" w:hAnsi="Times New Roman" w:cs="Times New Roman"/>
        </w:rPr>
        <w:footnoteReference w:id="30"/>
      </w:r>
      <w:r w:rsidR="00003153" w:rsidRPr="00651C1A">
        <w:rPr>
          <w:rFonts w:ascii="Times New Roman" w:hAnsi="Times New Roman" w:cs="Times New Roman"/>
        </w:rPr>
        <w:t xml:space="preserve"> Therefore, the development of a mechanism that would supplement compulsory licensing of patents</w:t>
      </w:r>
      <w:r w:rsidR="000774F4">
        <w:rPr>
          <w:rFonts w:ascii="Times New Roman" w:hAnsi="Times New Roman" w:cs="Times New Roman"/>
        </w:rPr>
        <w:t xml:space="preserve"> </w:t>
      </w:r>
      <w:r w:rsidR="00003153" w:rsidRPr="00651C1A">
        <w:rPr>
          <w:rFonts w:ascii="Times New Roman" w:hAnsi="Times New Roman" w:cs="Times New Roman"/>
        </w:rPr>
        <w:t>and allow compulsory access to and transfer of the trade secrets that protect vaccine technologies</w:t>
      </w:r>
      <w:r w:rsidR="004C7873">
        <w:rPr>
          <w:rFonts w:ascii="Times New Roman" w:hAnsi="Times New Roman" w:cs="Times New Roman"/>
        </w:rPr>
        <w:t xml:space="preserve"> and </w:t>
      </w:r>
      <w:r w:rsidR="00B84CCF">
        <w:rPr>
          <w:rFonts w:ascii="Times New Roman" w:hAnsi="Times New Roman" w:cs="Times New Roman"/>
        </w:rPr>
        <w:t xml:space="preserve">other </w:t>
      </w:r>
      <w:r w:rsidR="00D13D18">
        <w:rPr>
          <w:rFonts w:ascii="Times New Roman" w:hAnsi="Times New Roman" w:cs="Times New Roman"/>
        </w:rPr>
        <w:t>biologic medicines</w:t>
      </w:r>
      <w:r w:rsidR="00003153" w:rsidRPr="00651C1A">
        <w:rPr>
          <w:rFonts w:ascii="Times New Roman" w:hAnsi="Times New Roman" w:cs="Times New Roman"/>
        </w:rPr>
        <w:t xml:space="preserve"> is urgently needed.</w:t>
      </w:r>
      <w:r w:rsidR="00F97ED2">
        <w:rPr>
          <w:rStyle w:val="FootnoteReference"/>
          <w:rFonts w:ascii="Times New Roman" w:hAnsi="Times New Roman" w:cs="Times New Roman"/>
        </w:rPr>
        <w:footnoteReference w:id="31"/>
      </w:r>
      <w:r w:rsidR="00003153" w:rsidRPr="00651C1A">
        <w:rPr>
          <w:rFonts w:ascii="Times New Roman" w:hAnsi="Times New Roman" w:cs="Times New Roman"/>
        </w:rPr>
        <w:t xml:space="preserve"> </w:t>
      </w:r>
    </w:p>
    <w:p w14:paraId="71B9DE62" w14:textId="77777777" w:rsidR="003935DC" w:rsidRPr="00651C1A" w:rsidRDefault="003935DC" w:rsidP="00780982">
      <w:pPr>
        <w:spacing w:after="0"/>
        <w:jc w:val="both"/>
        <w:rPr>
          <w:rFonts w:ascii="Times New Roman" w:hAnsi="Times New Roman" w:cs="Times New Roman"/>
        </w:rPr>
      </w:pPr>
    </w:p>
    <w:p w14:paraId="2E579D6B" w14:textId="2C8D8939" w:rsidR="000C0613" w:rsidRPr="009C0CFF" w:rsidRDefault="00BB3DB2" w:rsidP="00B11242">
      <w:pPr>
        <w:spacing w:after="0"/>
        <w:jc w:val="both"/>
        <w:rPr>
          <w:rFonts w:ascii="Times New Roman" w:hAnsi="Times New Roman" w:cs="Times New Roman"/>
        </w:rPr>
      </w:pPr>
      <w:r w:rsidRPr="00651C1A">
        <w:rPr>
          <w:rFonts w:ascii="Times New Roman" w:hAnsi="Times New Roman" w:cs="Times New Roman"/>
        </w:rPr>
        <w:t xml:space="preserve">It is important to note that </w:t>
      </w:r>
      <w:r w:rsidR="00A921DF">
        <w:rPr>
          <w:rFonts w:ascii="Times New Roman" w:hAnsi="Times New Roman" w:cs="Times New Roman"/>
        </w:rPr>
        <w:t xml:space="preserve">in April 2023 </w:t>
      </w:r>
      <w:r w:rsidRPr="00651C1A">
        <w:rPr>
          <w:rFonts w:ascii="Times New Roman" w:hAnsi="Times New Roman" w:cs="Times New Roman"/>
          <w:color w:val="202124"/>
          <w:lang w:val="en"/>
          <w14:ligatures w14:val="none"/>
        </w:rPr>
        <w:t xml:space="preserve">the European Commission proposed to implement a new </w:t>
      </w:r>
      <w:r w:rsidR="00C811A0" w:rsidRPr="00651C1A">
        <w:rPr>
          <w:rFonts w:ascii="Times New Roman" w:hAnsi="Times New Roman" w:cs="Times New Roman"/>
          <w:color w:val="202124"/>
          <w:lang w:val="en"/>
          <w14:ligatures w14:val="none"/>
        </w:rPr>
        <w:t xml:space="preserve">EU-wide </w:t>
      </w:r>
      <w:r w:rsidRPr="00651C1A">
        <w:rPr>
          <w:rFonts w:ascii="Times New Roman" w:hAnsi="Times New Roman" w:cs="Times New Roman"/>
          <w:color w:val="202124"/>
          <w:lang w:val="en"/>
          <w14:ligatures w14:val="none"/>
        </w:rPr>
        <w:t xml:space="preserve">compulsory licensing </w:t>
      </w:r>
      <w:r w:rsidR="00C811A0" w:rsidRPr="00651C1A">
        <w:rPr>
          <w:rFonts w:ascii="Times New Roman" w:hAnsi="Times New Roman" w:cs="Times New Roman"/>
          <w:color w:val="202124"/>
          <w:lang w:val="en"/>
          <w14:ligatures w14:val="none"/>
        </w:rPr>
        <w:t>regime</w:t>
      </w:r>
      <w:r w:rsidR="00CA576F">
        <w:rPr>
          <w:rFonts w:ascii="Times New Roman" w:hAnsi="Times New Roman" w:cs="Times New Roman"/>
          <w:color w:val="202124"/>
          <w:lang w:val="en"/>
          <w14:ligatures w14:val="none"/>
        </w:rPr>
        <w:t>.</w:t>
      </w:r>
      <w:r w:rsidR="00607063" w:rsidRPr="00651C1A">
        <w:rPr>
          <w:rStyle w:val="FootnoteReference"/>
          <w:rFonts w:ascii="Times New Roman" w:hAnsi="Times New Roman" w:cs="Times New Roman"/>
          <w:color w:val="202124"/>
          <w:lang w:val="en"/>
          <w14:ligatures w14:val="none"/>
        </w:rPr>
        <w:footnoteReference w:id="32"/>
      </w:r>
      <w:r w:rsidR="00C811A0" w:rsidRPr="00651C1A">
        <w:rPr>
          <w:rFonts w:ascii="Times New Roman" w:hAnsi="Times New Roman" w:cs="Times New Roman"/>
          <w:color w:val="202124"/>
          <w:lang w:val="en"/>
          <w14:ligatures w14:val="none"/>
        </w:rPr>
        <w:t xml:space="preserve"> </w:t>
      </w:r>
      <w:r w:rsidR="00CA576F">
        <w:rPr>
          <w:rFonts w:ascii="Times New Roman" w:hAnsi="Times New Roman" w:cs="Times New Roman"/>
          <w:color w:val="202124"/>
          <w:lang w:val="en"/>
          <w14:ligatures w14:val="none"/>
        </w:rPr>
        <w:t xml:space="preserve">In its proposal the Commission </w:t>
      </w:r>
      <w:r w:rsidR="00C811A0" w:rsidRPr="00651C1A">
        <w:rPr>
          <w:rFonts w:ascii="Times New Roman" w:hAnsi="Times New Roman" w:cs="Times New Roman"/>
          <w:color w:val="202124"/>
          <w:lang w:val="en"/>
          <w14:ligatures w14:val="none"/>
        </w:rPr>
        <w:t>seems</w:t>
      </w:r>
      <w:r w:rsidR="006A3060">
        <w:rPr>
          <w:rFonts w:ascii="Times New Roman" w:hAnsi="Times New Roman" w:cs="Times New Roman"/>
          <w:color w:val="202124"/>
          <w:lang w:val="en"/>
          <w14:ligatures w14:val="none"/>
        </w:rPr>
        <w:t xml:space="preserve"> </w:t>
      </w:r>
      <w:r w:rsidR="00E7292D">
        <w:rPr>
          <w:rFonts w:ascii="Times New Roman" w:hAnsi="Times New Roman" w:cs="Times New Roman"/>
          <w:color w:val="202124"/>
          <w:lang w:val="en"/>
          <w14:ligatures w14:val="none"/>
        </w:rPr>
        <w:t>to</w:t>
      </w:r>
      <w:r w:rsidR="00C811A0" w:rsidRPr="00651C1A">
        <w:rPr>
          <w:rFonts w:ascii="Times New Roman" w:hAnsi="Times New Roman" w:cs="Times New Roman"/>
          <w:color w:val="202124"/>
          <w:lang w:val="en"/>
          <w14:ligatures w14:val="none"/>
        </w:rPr>
        <w:t xml:space="preserve"> </w:t>
      </w:r>
      <w:r w:rsidR="00B86035" w:rsidRPr="00651C1A">
        <w:rPr>
          <w:rFonts w:ascii="Times New Roman" w:eastAsia="Times New Roman" w:hAnsi="Times New Roman" w:cs="Times New Roman"/>
          <w:color w:val="202124"/>
          <w:kern w:val="0"/>
          <w:lang w:val="en"/>
          <w14:ligatures w14:val="none"/>
        </w:rPr>
        <w:t>appreciate th</w:t>
      </w:r>
      <w:r w:rsidR="00602F98">
        <w:rPr>
          <w:rFonts w:ascii="Times New Roman" w:eastAsia="Times New Roman" w:hAnsi="Times New Roman" w:cs="Times New Roman"/>
          <w:color w:val="202124"/>
          <w:kern w:val="0"/>
          <w:lang w:val="en"/>
          <w14:ligatures w14:val="none"/>
        </w:rPr>
        <w:t>e</w:t>
      </w:r>
      <w:r w:rsidR="00B86035" w:rsidRPr="00651C1A">
        <w:rPr>
          <w:rFonts w:ascii="Times New Roman" w:eastAsia="Times New Roman" w:hAnsi="Times New Roman" w:cs="Times New Roman"/>
          <w:color w:val="202124"/>
          <w:kern w:val="0"/>
          <w:lang w:val="en"/>
          <w14:ligatures w14:val="none"/>
        </w:rPr>
        <w:t xml:space="preserve"> challenge</w:t>
      </w:r>
      <w:r w:rsidR="00602F98">
        <w:rPr>
          <w:rFonts w:ascii="Times New Roman" w:eastAsia="Times New Roman" w:hAnsi="Times New Roman" w:cs="Times New Roman"/>
          <w:color w:val="202124"/>
          <w:kern w:val="0"/>
          <w:lang w:val="en"/>
          <w14:ligatures w14:val="none"/>
        </w:rPr>
        <w:t xml:space="preserve"> discussed above</w:t>
      </w:r>
      <w:r w:rsidR="00B86035" w:rsidRPr="00651C1A">
        <w:rPr>
          <w:rFonts w:ascii="Times New Roman" w:eastAsia="Times New Roman" w:hAnsi="Times New Roman" w:cs="Times New Roman"/>
          <w:color w:val="202124"/>
          <w:kern w:val="0"/>
          <w:lang w:val="en"/>
          <w14:ligatures w14:val="none"/>
        </w:rPr>
        <w:t xml:space="preserve"> and implicitly addresses this problem by proposing that it may also require additional information from the patent owner to fulfill the purpose of the compulsory licence.</w:t>
      </w:r>
      <w:r w:rsidR="00EA5922" w:rsidRPr="00651C1A">
        <w:rPr>
          <w:rStyle w:val="FootnoteReference"/>
          <w:rFonts w:ascii="Times New Roman" w:eastAsia="Times New Roman" w:hAnsi="Times New Roman" w:cs="Times New Roman"/>
          <w:color w:val="202124"/>
          <w:kern w:val="0"/>
          <w:lang w:val="en"/>
          <w14:ligatures w14:val="none"/>
        </w:rPr>
        <w:footnoteReference w:id="33"/>
      </w:r>
      <w:r w:rsidR="00EA5922" w:rsidRPr="00651C1A">
        <w:rPr>
          <w:rFonts w:ascii="Times New Roman" w:eastAsia="Times New Roman" w:hAnsi="Times New Roman" w:cs="Times New Roman"/>
          <w:color w:val="202124"/>
          <w:kern w:val="0"/>
          <w:lang w:val="en"/>
          <w14:ligatures w14:val="none"/>
        </w:rPr>
        <w:t xml:space="preserve"> </w:t>
      </w:r>
      <w:r w:rsidR="005C17EB" w:rsidRPr="00651C1A">
        <w:rPr>
          <w:rFonts w:ascii="Times New Roman" w:hAnsi="Times New Roman" w:cs="Times New Roman"/>
        </w:rPr>
        <w:t>T</w:t>
      </w:r>
      <w:r w:rsidR="00410720" w:rsidRPr="00651C1A">
        <w:rPr>
          <w:rFonts w:ascii="Times New Roman" w:hAnsi="Times New Roman" w:cs="Times New Roman"/>
        </w:rPr>
        <w:t xml:space="preserve">he power of the Commission to request additional information is strengthened by its right to impose </w:t>
      </w:r>
      <w:r w:rsidR="00410720" w:rsidRPr="00651C1A">
        <w:rPr>
          <w:rFonts w:ascii="Times New Roman" w:eastAsia="Times New Roman" w:hAnsi="Times New Roman" w:cs="Times New Roman"/>
          <w:color w:val="202124"/>
          <w:kern w:val="0"/>
          <w:lang w:val="en"/>
          <w14:ligatures w14:val="none"/>
        </w:rPr>
        <w:t xml:space="preserve">financial sanctions on the rights-holder in case of </w:t>
      </w:r>
      <w:r w:rsidR="00410720" w:rsidRPr="00651C1A">
        <w:rPr>
          <w:rFonts w:ascii="Times New Roman" w:eastAsia="Times New Roman" w:hAnsi="Times New Roman" w:cs="Times New Roman"/>
          <w:color w:val="202124"/>
          <w:kern w:val="0"/>
          <w14:ligatures w14:val="none"/>
        </w:rPr>
        <w:t>f</w:t>
      </w:r>
      <w:r w:rsidR="00410720" w:rsidRPr="00651C1A">
        <w:rPr>
          <w:rFonts w:ascii="Times New Roman" w:eastAsia="Times New Roman" w:hAnsi="Times New Roman" w:cs="Times New Roman"/>
          <w:color w:val="202124"/>
          <w:kern w:val="0"/>
          <w:lang w:val="en"/>
          <w14:ligatures w14:val="none"/>
        </w:rPr>
        <w:t>ailure to provide such information.</w:t>
      </w:r>
      <w:r w:rsidR="00410720" w:rsidRPr="00651C1A">
        <w:rPr>
          <w:rStyle w:val="FootnoteReference"/>
          <w:rFonts w:ascii="Times New Roman" w:hAnsi="Times New Roman" w:cs="Times New Roman"/>
        </w:rPr>
        <w:footnoteReference w:id="34"/>
      </w:r>
      <w:r w:rsidR="00410720" w:rsidRPr="00651C1A">
        <w:rPr>
          <w:rFonts w:ascii="Times New Roman" w:hAnsi="Times New Roman" w:cs="Times New Roman"/>
        </w:rPr>
        <w:t xml:space="preserve"> </w:t>
      </w:r>
      <w:r w:rsidR="00EA5922" w:rsidRPr="00651C1A">
        <w:rPr>
          <w:rFonts w:ascii="Times New Roman" w:eastAsia="Times New Roman" w:hAnsi="Times New Roman" w:cs="Times New Roman"/>
          <w:color w:val="202124"/>
          <w:kern w:val="0"/>
          <w:lang w:val="en"/>
          <w14:ligatures w14:val="none"/>
        </w:rPr>
        <w:t xml:space="preserve">Moreover, in its </w:t>
      </w:r>
      <w:r w:rsidR="005F5FA9" w:rsidRPr="00651C1A">
        <w:rPr>
          <w:rFonts w:ascii="Times New Roman" w:eastAsia="Times New Roman" w:hAnsi="Times New Roman" w:cs="Times New Roman"/>
          <w:color w:val="202124"/>
          <w:kern w:val="0"/>
          <w:lang w:val="en"/>
          <w14:ligatures w14:val="none"/>
        </w:rPr>
        <w:t>draft report</w:t>
      </w:r>
      <w:r w:rsidR="00D6316E" w:rsidRPr="00651C1A">
        <w:rPr>
          <w:rFonts w:ascii="Times New Roman" w:eastAsia="Times New Roman" w:hAnsi="Times New Roman" w:cs="Times New Roman"/>
          <w:color w:val="202124"/>
          <w:kern w:val="0"/>
          <w:lang w:val="en"/>
          <w14:ligatures w14:val="none"/>
        </w:rPr>
        <w:t xml:space="preserve"> </w:t>
      </w:r>
      <w:r w:rsidR="00383EE2">
        <w:rPr>
          <w:rFonts w:ascii="Times New Roman" w:eastAsia="Times New Roman" w:hAnsi="Times New Roman" w:cs="Times New Roman"/>
          <w:color w:val="202124"/>
          <w:kern w:val="0"/>
          <w:lang w:val="en"/>
          <w14:ligatures w14:val="none"/>
        </w:rPr>
        <w:t>on</w:t>
      </w:r>
      <w:r w:rsidR="00124EB4">
        <w:rPr>
          <w:rFonts w:ascii="Times New Roman" w:eastAsia="Times New Roman" w:hAnsi="Times New Roman" w:cs="Times New Roman"/>
          <w:color w:val="202124"/>
          <w:kern w:val="0"/>
          <w:lang w:val="en"/>
          <w14:ligatures w14:val="none"/>
        </w:rPr>
        <w:t xml:space="preserve"> t</w:t>
      </w:r>
      <w:r w:rsidR="00D6316E" w:rsidRPr="00651C1A">
        <w:rPr>
          <w:rFonts w:ascii="Times New Roman" w:eastAsia="Times New Roman" w:hAnsi="Times New Roman" w:cs="Times New Roman"/>
          <w:color w:val="202124"/>
          <w:kern w:val="0"/>
          <w:lang w:val="en"/>
          <w14:ligatures w14:val="none"/>
        </w:rPr>
        <w:t>he Commission’s proposal</w:t>
      </w:r>
      <w:r w:rsidR="00230A5A" w:rsidRPr="00651C1A">
        <w:rPr>
          <w:rFonts w:ascii="Times New Roman" w:eastAsia="Times New Roman" w:hAnsi="Times New Roman" w:cs="Times New Roman"/>
          <w:color w:val="202124"/>
          <w:kern w:val="0"/>
          <w:lang w:val="en"/>
          <w14:ligatures w14:val="none"/>
        </w:rPr>
        <w:t xml:space="preserve"> </w:t>
      </w:r>
      <w:r w:rsidR="0034050F" w:rsidRPr="00651C1A">
        <w:rPr>
          <w:rFonts w:ascii="Times New Roman" w:hAnsi="Times New Roman" w:cs="Times New Roman"/>
        </w:rPr>
        <w:t xml:space="preserve">the </w:t>
      </w:r>
      <w:r w:rsidR="00313520">
        <w:rPr>
          <w:rFonts w:ascii="Times New Roman" w:hAnsi="Times New Roman" w:cs="Times New Roman"/>
        </w:rPr>
        <w:t xml:space="preserve">European Parliament’s </w:t>
      </w:r>
      <w:r w:rsidR="0034050F" w:rsidRPr="00651C1A">
        <w:rPr>
          <w:rFonts w:ascii="Times New Roman" w:hAnsi="Times New Roman" w:cs="Times New Roman"/>
        </w:rPr>
        <w:t>Committee on Legal Affairs has proposed two amendments to Recital 32</w:t>
      </w:r>
      <w:r w:rsidR="00383EE2">
        <w:rPr>
          <w:rFonts w:ascii="Times New Roman" w:hAnsi="Times New Roman" w:cs="Times New Roman"/>
        </w:rPr>
        <w:t>. I</w:t>
      </w:r>
      <w:r w:rsidR="00566F32">
        <w:rPr>
          <w:rFonts w:ascii="Times New Roman" w:hAnsi="Times New Roman" w:cs="Times New Roman"/>
        </w:rPr>
        <w:t>t</w:t>
      </w:r>
      <w:r w:rsidR="004E11C1">
        <w:rPr>
          <w:rFonts w:ascii="Times New Roman" w:hAnsi="Times New Roman" w:cs="Times New Roman"/>
        </w:rPr>
        <w:t xml:space="preserve"> </w:t>
      </w:r>
      <w:r w:rsidR="000F0D3A">
        <w:rPr>
          <w:rFonts w:ascii="Times New Roman" w:hAnsi="Times New Roman" w:cs="Times New Roman"/>
        </w:rPr>
        <w:t xml:space="preserve">proposes to </w:t>
      </w:r>
      <w:r w:rsidR="004E11C1">
        <w:rPr>
          <w:rFonts w:ascii="Times New Roman" w:hAnsi="Times New Roman" w:cs="Times New Roman"/>
        </w:rPr>
        <w:t xml:space="preserve">require </w:t>
      </w:r>
      <w:r w:rsidR="0034050F" w:rsidRPr="00651C1A">
        <w:rPr>
          <w:rFonts w:ascii="Times New Roman" w:hAnsi="Times New Roman" w:cs="Times New Roman"/>
        </w:rPr>
        <w:t xml:space="preserve">not </w:t>
      </w:r>
      <w:r w:rsidR="003F6533">
        <w:rPr>
          <w:rFonts w:ascii="Times New Roman" w:hAnsi="Times New Roman" w:cs="Times New Roman"/>
        </w:rPr>
        <w:t>only</w:t>
      </w:r>
      <w:r w:rsidR="000F0D3A">
        <w:rPr>
          <w:rFonts w:ascii="Times New Roman" w:hAnsi="Times New Roman" w:cs="Times New Roman"/>
        </w:rPr>
        <w:t xml:space="preserve"> </w:t>
      </w:r>
      <w:r w:rsidR="0034050F" w:rsidRPr="00651C1A">
        <w:rPr>
          <w:rFonts w:ascii="Times New Roman" w:hAnsi="Times New Roman" w:cs="Times New Roman"/>
        </w:rPr>
        <w:t>the disclosure of necessary information, but specifically refer</w:t>
      </w:r>
      <w:r w:rsidR="00566F32">
        <w:rPr>
          <w:rFonts w:ascii="Times New Roman" w:hAnsi="Times New Roman" w:cs="Times New Roman"/>
        </w:rPr>
        <w:t>s</w:t>
      </w:r>
      <w:r w:rsidR="0034050F" w:rsidRPr="00651C1A">
        <w:rPr>
          <w:rFonts w:ascii="Times New Roman" w:hAnsi="Times New Roman" w:cs="Times New Roman"/>
        </w:rPr>
        <w:t xml:space="preserve"> to the disclosure of trade secrets and establish</w:t>
      </w:r>
      <w:r w:rsidR="00566F32">
        <w:rPr>
          <w:rFonts w:ascii="Times New Roman" w:hAnsi="Times New Roman" w:cs="Times New Roman"/>
        </w:rPr>
        <w:t>es</w:t>
      </w:r>
      <w:r w:rsidR="0034050F" w:rsidRPr="00651C1A">
        <w:rPr>
          <w:rFonts w:ascii="Times New Roman" w:hAnsi="Times New Roman" w:cs="Times New Roman"/>
        </w:rPr>
        <w:t xml:space="preserve"> of what essentially results in the obligation of the right holder to support the licensee in obtaining a marketing authorisation of its generic medicine under the compulsory licen</w:t>
      </w:r>
      <w:r w:rsidR="0034050F" w:rsidRPr="009C0CFF">
        <w:rPr>
          <w:rFonts w:ascii="Times New Roman" w:hAnsi="Times New Roman" w:cs="Times New Roman"/>
        </w:rPr>
        <w:t>ce.</w:t>
      </w:r>
      <w:r w:rsidR="00D6316E" w:rsidRPr="009C0CFF">
        <w:rPr>
          <w:rStyle w:val="FootnoteReference"/>
          <w:rFonts w:ascii="Times New Roman" w:hAnsi="Times New Roman" w:cs="Times New Roman"/>
        </w:rPr>
        <w:footnoteReference w:id="35"/>
      </w:r>
      <w:r w:rsidR="005763CC" w:rsidRPr="009C0CFF">
        <w:rPr>
          <w:rFonts w:ascii="Times New Roman" w:hAnsi="Times New Roman" w:cs="Times New Roman"/>
        </w:rPr>
        <w:t xml:space="preserve"> This is an important </w:t>
      </w:r>
      <w:r w:rsidR="00906FBA" w:rsidRPr="009C0CFF">
        <w:rPr>
          <w:rFonts w:ascii="Times New Roman" w:hAnsi="Times New Roman" w:cs="Times New Roman"/>
        </w:rPr>
        <w:t xml:space="preserve">clarification </w:t>
      </w:r>
      <w:r w:rsidR="00B149A5" w:rsidRPr="009C0CFF">
        <w:rPr>
          <w:rFonts w:ascii="Times New Roman" w:hAnsi="Times New Roman" w:cs="Times New Roman"/>
        </w:rPr>
        <w:t xml:space="preserve">that </w:t>
      </w:r>
      <w:r w:rsidR="00906FBA" w:rsidRPr="009C0CFF">
        <w:rPr>
          <w:rFonts w:ascii="Times New Roman" w:hAnsi="Times New Roman" w:cs="Times New Roman"/>
        </w:rPr>
        <w:t>will undoubtedly help to significantly improve this compulsory licensing regime</w:t>
      </w:r>
      <w:r w:rsidR="00B149A5" w:rsidRPr="009C0CFF">
        <w:rPr>
          <w:rFonts w:ascii="Times New Roman" w:hAnsi="Times New Roman" w:cs="Times New Roman"/>
        </w:rPr>
        <w:t xml:space="preserve">. Other countries should implement </w:t>
      </w:r>
      <w:r w:rsidR="009C0CFF" w:rsidRPr="009C0CFF">
        <w:rPr>
          <w:rFonts w:ascii="Times New Roman" w:hAnsi="Times New Roman" w:cs="Times New Roman"/>
        </w:rPr>
        <w:t xml:space="preserve">similar </w:t>
      </w:r>
      <w:r w:rsidR="00B149A5" w:rsidRPr="009C0CFF">
        <w:rPr>
          <w:rFonts w:ascii="Times New Roman" w:hAnsi="Times New Roman" w:cs="Times New Roman"/>
        </w:rPr>
        <w:t>provisions</w:t>
      </w:r>
      <w:r w:rsidR="009C0CFF" w:rsidRPr="009C0CFF">
        <w:rPr>
          <w:rFonts w:ascii="Times New Roman" w:hAnsi="Times New Roman" w:cs="Times New Roman"/>
        </w:rPr>
        <w:t xml:space="preserve"> to make their compulsory licensing mechanisms more effective. </w:t>
      </w:r>
      <w:r w:rsidR="00B149A5" w:rsidRPr="009C0CFF">
        <w:rPr>
          <w:rFonts w:ascii="Times New Roman" w:hAnsi="Times New Roman" w:cs="Times New Roman"/>
        </w:rPr>
        <w:t xml:space="preserve">  </w:t>
      </w:r>
    </w:p>
    <w:p w14:paraId="5FA7AE36" w14:textId="77777777" w:rsidR="00B11242" w:rsidRDefault="00B11242" w:rsidP="00B11242">
      <w:pPr>
        <w:spacing w:after="0"/>
        <w:jc w:val="both"/>
        <w:rPr>
          <w:rFonts w:ascii="Times New Roman" w:hAnsi="Times New Roman" w:cs="Times New Roman"/>
          <w:b/>
          <w:bCs/>
        </w:rPr>
      </w:pPr>
    </w:p>
    <w:p w14:paraId="2708A72D" w14:textId="3F7CB5CF" w:rsidR="00FC455E" w:rsidRPr="00581673" w:rsidRDefault="00581673" w:rsidP="00780982">
      <w:pPr>
        <w:spacing w:after="0" w:line="276" w:lineRule="auto"/>
        <w:jc w:val="both"/>
        <w:rPr>
          <w:rFonts w:ascii="Times New Roman" w:hAnsi="Times New Roman" w:cs="Times New Roman"/>
          <w:b/>
          <w:bCs/>
          <w:color w:val="0562C1"/>
        </w:rPr>
      </w:pPr>
      <w:r w:rsidRPr="00581673">
        <w:rPr>
          <w:rFonts w:ascii="Times New Roman" w:hAnsi="Times New Roman" w:cs="Times New Roman"/>
          <w:b/>
          <w:bCs/>
        </w:rPr>
        <w:lastRenderedPageBreak/>
        <w:t xml:space="preserve">PS. If you need more information regarding the above, please do not hesitate to contact me at </w:t>
      </w:r>
      <w:hyperlink r:id="rId12" w:history="1">
        <w:r w:rsidRPr="00581673">
          <w:rPr>
            <w:rStyle w:val="Hyperlink"/>
            <w:rFonts w:ascii="Times New Roman" w:hAnsi="Times New Roman" w:cs="Times New Roman"/>
            <w:b/>
            <w:bCs/>
          </w:rPr>
          <w:t>Olga.Gurgula@brunel.ac.uk</w:t>
        </w:r>
      </w:hyperlink>
    </w:p>
    <w:p w14:paraId="6F9E1C8D" w14:textId="77777777" w:rsidR="000C0613" w:rsidRDefault="000C0613" w:rsidP="00780982">
      <w:pPr>
        <w:spacing w:after="0" w:line="276" w:lineRule="auto"/>
        <w:jc w:val="both"/>
        <w:rPr>
          <w:rFonts w:ascii="Times New Roman" w:hAnsi="Times New Roman" w:cs="Times New Roman"/>
          <w:b/>
          <w:bCs/>
          <w:u w:val="single"/>
        </w:rPr>
      </w:pPr>
    </w:p>
    <w:p w14:paraId="458A4AC3" w14:textId="77777777" w:rsidR="000C0613" w:rsidRDefault="000C0613" w:rsidP="00780982">
      <w:pPr>
        <w:spacing w:after="0" w:line="276" w:lineRule="auto"/>
        <w:jc w:val="both"/>
        <w:rPr>
          <w:rFonts w:ascii="Times New Roman" w:hAnsi="Times New Roman" w:cs="Times New Roman"/>
          <w:b/>
          <w:bCs/>
          <w:u w:val="single"/>
        </w:rPr>
      </w:pPr>
    </w:p>
    <w:p w14:paraId="22A48E1D" w14:textId="77777777" w:rsidR="000C0613" w:rsidRDefault="000C0613" w:rsidP="00780982">
      <w:pPr>
        <w:spacing w:after="0" w:line="276" w:lineRule="auto"/>
        <w:jc w:val="both"/>
        <w:rPr>
          <w:rFonts w:ascii="Times New Roman" w:hAnsi="Times New Roman" w:cs="Times New Roman"/>
          <w:b/>
          <w:bCs/>
          <w:u w:val="single"/>
        </w:rPr>
      </w:pPr>
    </w:p>
    <w:p w14:paraId="2C10BC0A" w14:textId="65630430" w:rsidR="00F438B8" w:rsidRDefault="00F438B8" w:rsidP="00780982">
      <w:pPr>
        <w:spacing w:after="0" w:line="276" w:lineRule="auto"/>
        <w:jc w:val="both"/>
        <w:rPr>
          <w:rFonts w:ascii="Times New Roman" w:hAnsi="Times New Roman" w:cs="Times New Roman"/>
          <w:b/>
          <w:bCs/>
          <w:u w:val="single"/>
        </w:rPr>
      </w:pPr>
      <w:r w:rsidRPr="00774A9E">
        <w:rPr>
          <w:rFonts w:ascii="Times New Roman" w:hAnsi="Times New Roman" w:cs="Times New Roman"/>
          <w:b/>
          <w:bCs/>
          <w:u w:val="single"/>
        </w:rPr>
        <w:t>For a more detailed discussion on these issues, please see:</w:t>
      </w:r>
    </w:p>
    <w:p w14:paraId="54CF96CD" w14:textId="77777777" w:rsidR="00412C97" w:rsidRPr="00774A9E" w:rsidRDefault="00412C97" w:rsidP="00780982">
      <w:pPr>
        <w:spacing w:after="0" w:line="276" w:lineRule="auto"/>
        <w:jc w:val="both"/>
        <w:rPr>
          <w:rFonts w:ascii="Times New Roman" w:hAnsi="Times New Roman" w:cs="Times New Roman"/>
          <w:b/>
          <w:bCs/>
          <w:u w:val="single"/>
        </w:rPr>
      </w:pPr>
    </w:p>
    <w:p w14:paraId="4B50F156" w14:textId="20DB298D" w:rsidR="00B229E5" w:rsidRPr="00ED2143" w:rsidRDefault="00B229E5" w:rsidP="00BA3C6E">
      <w:pPr>
        <w:pStyle w:val="ListParagraph"/>
        <w:numPr>
          <w:ilvl w:val="0"/>
          <w:numId w:val="2"/>
        </w:numPr>
        <w:spacing w:after="0" w:line="240" w:lineRule="auto"/>
        <w:ind w:left="567" w:hanging="567"/>
        <w:jc w:val="both"/>
        <w:rPr>
          <w:rFonts w:ascii="Times New Roman" w:eastAsia="Times New Roman" w:hAnsi="Times New Roman" w:cs="Times New Roman"/>
        </w:rPr>
      </w:pPr>
      <w:r w:rsidRPr="00ED2143">
        <w:rPr>
          <w:rFonts w:ascii="Times New Roman" w:eastAsia="Times New Roman" w:hAnsi="Times New Roman" w:cs="Times New Roman"/>
        </w:rPr>
        <w:t>Olga Gurgula and John Hull, ‘Compulsory licensing of trade secrets: ensuring access to COVID-19 vaccines via involuntary technology transfer’ (2021) 16 Journal of Intellectual Property Law &amp; Practice 1242.</w:t>
      </w:r>
      <w:r w:rsidR="00EF1C58" w:rsidRPr="00ED2143">
        <w:rPr>
          <w:rFonts w:ascii="Times New Roman" w:eastAsia="Times New Roman" w:hAnsi="Times New Roman" w:cs="Times New Roman"/>
        </w:rPr>
        <w:t xml:space="preserve"> </w:t>
      </w:r>
      <w:r w:rsidR="004832C7" w:rsidRPr="00ED2143">
        <w:rPr>
          <w:rFonts w:ascii="Times New Roman" w:eastAsia="Times New Roman" w:hAnsi="Times New Roman" w:cs="Times New Roman"/>
        </w:rPr>
        <w:t>&lt;</w:t>
      </w:r>
      <w:hyperlink r:id="rId13" w:history="1">
        <w:r w:rsidR="004832C7" w:rsidRPr="00ED2143">
          <w:rPr>
            <w:rStyle w:val="Hyperlink"/>
            <w:rFonts w:ascii="Times New Roman" w:eastAsia="Times New Roman" w:hAnsi="Times New Roman" w:cs="Times New Roman"/>
          </w:rPr>
          <w:t>https://academic.oup.com/jiplp/article/16/11/1242/6446977</w:t>
        </w:r>
      </w:hyperlink>
      <w:r w:rsidR="004832C7" w:rsidRPr="00ED2143">
        <w:rPr>
          <w:rFonts w:ascii="Times New Roman" w:eastAsia="Times New Roman" w:hAnsi="Times New Roman" w:cs="Times New Roman"/>
        </w:rPr>
        <w:t>&gt;</w:t>
      </w:r>
      <w:r w:rsidR="00EF1C58" w:rsidRPr="00ED2143">
        <w:rPr>
          <w:rFonts w:ascii="Times New Roman" w:eastAsia="Times New Roman" w:hAnsi="Times New Roman" w:cs="Times New Roman"/>
        </w:rPr>
        <w:t xml:space="preserve"> </w:t>
      </w:r>
    </w:p>
    <w:p w14:paraId="0EEA9060" w14:textId="77777777" w:rsidR="00F563E8" w:rsidRPr="00ED2143" w:rsidRDefault="00F563E8" w:rsidP="00BA3C6E">
      <w:pPr>
        <w:spacing w:after="0" w:line="240" w:lineRule="auto"/>
        <w:ind w:left="567" w:hanging="567"/>
        <w:jc w:val="both"/>
        <w:rPr>
          <w:rFonts w:ascii="Times New Roman" w:eastAsia="Times New Roman" w:hAnsi="Times New Roman" w:cs="Times New Roman"/>
        </w:rPr>
      </w:pPr>
    </w:p>
    <w:p w14:paraId="4E9BBABE" w14:textId="75EC8375" w:rsidR="00F563E8" w:rsidRPr="00ED2143" w:rsidRDefault="00F563E8" w:rsidP="00BA3C6E">
      <w:pPr>
        <w:pStyle w:val="ListParagraph"/>
        <w:numPr>
          <w:ilvl w:val="0"/>
          <w:numId w:val="2"/>
        </w:numPr>
        <w:spacing w:after="0" w:line="240" w:lineRule="auto"/>
        <w:ind w:left="567" w:hanging="567"/>
        <w:jc w:val="both"/>
        <w:rPr>
          <w:rFonts w:ascii="Times New Roman" w:eastAsia="Times New Roman" w:hAnsi="Times New Roman" w:cs="Times New Roman"/>
        </w:rPr>
      </w:pPr>
      <w:r w:rsidRPr="00412C97">
        <w:rPr>
          <w:rFonts w:ascii="Times New Roman" w:hAnsi="Times New Roman" w:cs="Times New Roman"/>
          <w:shd w:val="clear" w:color="auto" w:fill="FFFFFF"/>
        </w:rPr>
        <w:t>Olga Gurgula, ‘Accelerating COVID-19 Vaccine Production via Involuntary Technology Transfer’ (2021) The South Centre policy brief 102</w:t>
      </w:r>
      <w:r w:rsidRPr="00ED2143">
        <w:rPr>
          <w:rFonts w:ascii="Times New Roman" w:hAnsi="Times New Roman" w:cs="Times New Roman"/>
          <w:color w:val="505050"/>
          <w:shd w:val="clear" w:color="auto" w:fill="FFFFFF"/>
        </w:rPr>
        <w:t xml:space="preserve"> </w:t>
      </w:r>
      <w:r w:rsidR="004832C7" w:rsidRPr="00ED2143">
        <w:rPr>
          <w:rFonts w:ascii="Times New Roman" w:hAnsi="Times New Roman" w:cs="Times New Roman"/>
          <w:color w:val="505050"/>
          <w:shd w:val="clear" w:color="auto" w:fill="FFFFFF"/>
        </w:rPr>
        <w:t>&lt;</w:t>
      </w:r>
      <w:hyperlink r:id="rId14" w:history="1">
        <w:r w:rsidR="004832C7" w:rsidRPr="00ED2143">
          <w:rPr>
            <w:rStyle w:val="Hyperlink"/>
            <w:rFonts w:ascii="Times New Roman" w:hAnsi="Times New Roman" w:cs="Times New Roman"/>
            <w:shd w:val="clear" w:color="auto" w:fill="FFFFFF"/>
          </w:rPr>
          <w:t>https://www.southcentre.int/wp-content/uploads/2021/09/PB102_Accelerating-COVID-19-Vaccine-Production-via-Involuntary-Technology-Transfer_EN.pdf</w:t>
        </w:r>
      </w:hyperlink>
      <w:r w:rsidR="004832C7" w:rsidRPr="00ED2143">
        <w:rPr>
          <w:rFonts w:ascii="Times New Roman" w:hAnsi="Times New Roman" w:cs="Times New Roman"/>
          <w:color w:val="505050"/>
          <w:shd w:val="clear" w:color="auto" w:fill="FFFFFF"/>
        </w:rPr>
        <w:t>&gt;</w:t>
      </w:r>
      <w:r w:rsidR="002A2D9C" w:rsidRPr="00ED2143">
        <w:rPr>
          <w:rFonts w:ascii="Times New Roman" w:hAnsi="Times New Roman" w:cs="Times New Roman"/>
          <w:color w:val="505050"/>
          <w:shd w:val="clear" w:color="auto" w:fill="FFFFFF"/>
        </w:rPr>
        <w:t xml:space="preserve"> </w:t>
      </w:r>
    </w:p>
    <w:p w14:paraId="799B71AB" w14:textId="77777777" w:rsidR="00B229E5" w:rsidRPr="00ED2143" w:rsidRDefault="00B229E5" w:rsidP="00BA3C6E">
      <w:pPr>
        <w:spacing w:after="0" w:line="240" w:lineRule="auto"/>
        <w:ind w:left="567" w:hanging="567"/>
        <w:jc w:val="both"/>
        <w:rPr>
          <w:rFonts w:ascii="Times New Roman" w:eastAsia="Times New Roman" w:hAnsi="Times New Roman" w:cs="Times New Roman"/>
        </w:rPr>
      </w:pPr>
    </w:p>
    <w:p w14:paraId="1F390E80" w14:textId="5A18DB59" w:rsidR="002A2D9C" w:rsidRPr="00ED2143" w:rsidRDefault="00563F29" w:rsidP="00BA3C6E">
      <w:pPr>
        <w:pStyle w:val="ListParagraph"/>
        <w:numPr>
          <w:ilvl w:val="0"/>
          <w:numId w:val="2"/>
        </w:numPr>
        <w:spacing w:after="0" w:line="240" w:lineRule="auto"/>
        <w:ind w:left="567" w:hanging="567"/>
        <w:jc w:val="both"/>
        <w:rPr>
          <w:rFonts w:ascii="Times New Roman" w:hAnsi="Times New Roman" w:cs="Times New Roman"/>
          <w:b/>
          <w:bCs/>
          <w:i/>
          <w:iCs/>
        </w:rPr>
      </w:pPr>
      <w:r w:rsidRPr="00412C97">
        <w:rPr>
          <w:rFonts w:ascii="Times New Roman" w:hAnsi="Times New Roman" w:cs="Times New Roman"/>
          <w:shd w:val="clear" w:color="auto" w:fill="FFFFFF"/>
        </w:rPr>
        <w:t xml:space="preserve">Olga Gurgula, ‘Compulsory Licensing vs. the IP Waiver: What Is the Best Way to End the COVID-19 Pandemic?’ (2021) </w:t>
      </w:r>
      <w:r w:rsidR="00412C97">
        <w:rPr>
          <w:rFonts w:ascii="Times New Roman" w:hAnsi="Times New Roman" w:cs="Times New Roman"/>
          <w:shd w:val="clear" w:color="auto" w:fill="FFFFFF"/>
        </w:rPr>
        <w:t>T</w:t>
      </w:r>
      <w:r w:rsidR="00412C97" w:rsidRPr="00412C97">
        <w:rPr>
          <w:rFonts w:ascii="Times New Roman" w:hAnsi="Times New Roman" w:cs="Times New Roman"/>
          <w:shd w:val="clear" w:color="auto" w:fill="FFFFFF"/>
        </w:rPr>
        <w:t xml:space="preserve">he South Centre </w:t>
      </w:r>
      <w:r w:rsidRPr="00412C97">
        <w:rPr>
          <w:rFonts w:ascii="Times New Roman" w:hAnsi="Times New Roman" w:cs="Times New Roman"/>
          <w:shd w:val="clear" w:color="auto" w:fill="FFFFFF"/>
        </w:rPr>
        <w:t>Policy brief 10</w:t>
      </w:r>
      <w:r w:rsidR="00412C97">
        <w:rPr>
          <w:rFonts w:ascii="Times New Roman" w:hAnsi="Times New Roman" w:cs="Times New Roman"/>
          <w:shd w:val="clear" w:color="auto" w:fill="FFFFFF"/>
        </w:rPr>
        <w:t xml:space="preserve">4 </w:t>
      </w:r>
      <w:r w:rsidR="004832C7" w:rsidRPr="00ED2143">
        <w:rPr>
          <w:rFonts w:ascii="Times New Roman" w:hAnsi="Times New Roman" w:cs="Times New Roman"/>
          <w:color w:val="505050"/>
          <w:shd w:val="clear" w:color="auto" w:fill="FFFFFF"/>
        </w:rPr>
        <w:t>&lt;</w:t>
      </w:r>
      <w:hyperlink r:id="rId15" w:history="1">
        <w:r w:rsidR="00ED2143" w:rsidRPr="00ED2143">
          <w:rPr>
            <w:rStyle w:val="Hyperlink"/>
            <w:rFonts w:ascii="Times New Roman" w:hAnsi="Times New Roman" w:cs="Times New Roman"/>
            <w:shd w:val="clear" w:color="auto" w:fill="FFFFFF"/>
          </w:rPr>
          <w:t>https://www.southcentre.int/wp-content/uploads/2021/10/PB104_Compulsory-licensing-vs.-the-IP-waiver_EN-2.pdf</w:t>
        </w:r>
      </w:hyperlink>
      <w:r w:rsidR="004832C7" w:rsidRPr="00ED2143">
        <w:rPr>
          <w:rFonts w:ascii="Times New Roman" w:hAnsi="Times New Roman" w:cs="Times New Roman"/>
          <w:color w:val="505050"/>
          <w:shd w:val="clear" w:color="auto" w:fill="FFFFFF"/>
        </w:rPr>
        <w:t>&gt;</w:t>
      </w:r>
    </w:p>
    <w:p w14:paraId="2DE9E655" w14:textId="77777777" w:rsidR="004832C7" w:rsidRPr="00ED2143" w:rsidRDefault="004832C7" w:rsidP="00BA3C6E">
      <w:pPr>
        <w:spacing w:after="0" w:line="240" w:lineRule="auto"/>
        <w:ind w:left="567" w:hanging="567"/>
        <w:jc w:val="both"/>
        <w:rPr>
          <w:rFonts w:ascii="Times New Roman" w:hAnsi="Times New Roman" w:cs="Times New Roman"/>
          <w:b/>
          <w:bCs/>
          <w:i/>
          <w:iCs/>
        </w:rPr>
      </w:pPr>
    </w:p>
    <w:p w14:paraId="4A26D6A2" w14:textId="77777777" w:rsidR="00412C97" w:rsidRPr="00ED2143" w:rsidRDefault="00412C97" w:rsidP="00BA3C6E">
      <w:pPr>
        <w:pStyle w:val="ListParagraph"/>
        <w:numPr>
          <w:ilvl w:val="0"/>
          <w:numId w:val="2"/>
        </w:numPr>
        <w:spacing w:after="0" w:line="240" w:lineRule="auto"/>
        <w:ind w:left="567" w:hanging="567"/>
        <w:jc w:val="both"/>
        <w:rPr>
          <w:rFonts w:ascii="Times New Roman" w:hAnsi="Times New Roman" w:cs="Times New Roman"/>
          <w:b/>
          <w:bCs/>
          <w:i/>
          <w:iCs/>
        </w:rPr>
      </w:pPr>
      <w:r w:rsidRPr="00ED2143">
        <w:rPr>
          <w:rFonts w:ascii="Times New Roman" w:hAnsi="Times New Roman" w:cs="Times New Roman"/>
          <w:shd w:val="clear" w:color="auto" w:fill="FFFFFF"/>
        </w:rPr>
        <w:t>Olga Gurgula and Luke McDonagh, ‘Access Denied: the Role of Trade Secrets in Preventing Global Equitable Access to COVID-19 Tools’ (2023)  STOPAIDS &amp; JUST TREATMENT</w:t>
      </w:r>
      <w:r>
        <w:rPr>
          <w:rFonts w:ascii="Times New Roman" w:hAnsi="Times New Roman" w:cs="Times New Roman"/>
          <w:shd w:val="clear" w:color="auto" w:fill="FFFFFF"/>
        </w:rPr>
        <w:t xml:space="preserve"> </w:t>
      </w:r>
      <w:r w:rsidRPr="00ED2143">
        <w:rPr>
          <w:rFonts w:ascii="Times New Roman" w:hAnsi="Times New Roman" w:cs="Times New Roman"/>
          <w:shd w:val="clear" w:color="auto" w:fill="FFFFFF"/>
        </w:rPr>
        <w:t>&lt;</w:t>
      </w:r>
      <w:hyperlink r:id="rId16" w:history="1">
        <w:r w:rsidRPr="00ED2143">
          <w:rPr>
            <w:rStyle w:val="Hyperlink"/>
            <w:rFonts w:ascii="Times New Roman" w:hAnsi="Times New Roman" w:cs="Times New Roman"/>
            <w:shd w:val="clear" w:color="auto" w:fill="FFFFFF"/>
          </w:rPr>
          <w:t>https://stopaids.org.uk/wp-content/uploads/2023/03/Trade-Secrets-Report-FINAL-1.pdf</w:t>
        </w:r>
      </w:hyperlink>
      <w:r w:rsidRPr="00ED2143">
        <w:rPr>
          <w:rFonts w:ascii="NexusSansWebPro" w:hAnsi="NexusSansWebPro"/>
          <w:color w:val="505050"/>
          <w:shd w:val="clear" w:color="auto" w:fill="FFFFFF"/>
        </w:rPr>
        <w:t xml:space="preserve">&gt; </w:t>
      </w:r>
    </w:p>
    <w:p w14:paraId="0B94BECF" w14:textId="77777777" w:rsidR="00412C97" w:rsidRDefault="00412C97" w:rsidP="00BA3C6E">
      <w:pPr>
        <w:pStyle w:val="FootnoteText"/>
        <w:ind w:left="567"/>
        <w:jc w:val="both"/>
        <w:rPr>
          <w:rFonts w:ascii="Times New Roman" w:hAnsi="Times New Roman" w:cs="Times New Roman"/>
          <w:sz w:val="22"/>
          <w:szCs w:val="22"/>
        </w:rPr>
      </w:pPr>
    </w:p>
    <w:p w14:paraId="757C0CFA" w14:textId="4F04F0BF" w:rsidR="00526EBF" w:rsidRPr="00ED2143" w:rsidRDefault="00526EBF" w:rsidP="00BA3C6E">
      <w:pPr>
        <w:pStyle w:val="FootnoteText"/>
        <w:numPr>
          <w:ilvl w:val="0"/>
          <w:numId w:val="2"/>
        </w:numPr>
        <w:ind w:left="567" w:hanging="567"/>
        <w:jc w:val="both"/>
        <w:rPr>
          <w:rFonts w:ascii="Times New Roman" w:hAnsi="Times New Roman" w:cs="Times New Roman"/>
          <w:sz w:val="22"/>
          <w:szCs w:val="22"/>
        </w:rPr>
      </w:pPr>
      <w:r w:rsidRPr="00ED2143">
        <w:rPr>
          <w:rFonts w:ascii="Times New Roman" w:hAnsi="Times New Roman" w:cs="Times New Roman"/>
          <w:sz w:val="22"/>
          <w:szCs w:val="22"/>
        </w:rPr>
        <w:t xml:space="preserve">Olga </w:t>
      </w:r>
      <w:r w:rsidRPr="00ED2143">
        <w:rPr>
          <w:rFonts w:ascii="Times New Roman" w:hAnsi="Times New Roman" w:cs="Times New Roman"/>
          <w:sz w:val="22"/>
          <w:szCs w:val="22"/>
          <w:shd w:val="clear" w:color="auto" w:fill="FFFFFF"/>
        </w:rPr>
        <w:t>Gurgula, ‘On the European Commission’s Proposal to Create a New EU-wide Compulsory Licensing Regime’ (2023) Forthcoming in the European Intellectual Property Review (EIPR)</w:t>
      </w:r>
      <w:r w:rsidR="00D93876" w:rsidRPr="00ED2143">
        <w:rPr>
          <w:rFonts w:ascii="Times New Roman" w:hAnsi="Times New Roman" w:cs="Times New Roman"/>
          <w:sz w:val="22"/>
          <w:szCs w:val="22"/>
          <w:shd w:val="clear" w:color="auto" w:fill="FFFFFF"/>
        </w:rPr>
        <w:t xml:space="preserve"> </w:t>
      </w:r>
      <w:r w:rsidR="00412C97">
        <w:rPr>
          <w:rFonts w:ascii="Times New Roman" w:hAnsi="Times New Roman" w:cs="Times New Roman"/>
          <w:sz w:val="22"/>
          <w:szCs w:val="22"/>
          <w:shd w:val="clear" w:color="auto" w:fill="FFFFFF"/>
        </w:rPr>
        <w:t>&lt;</w:t>
      </w:r>
      <w:hyperlink r:id="rId17" w:history="1">
        <w:r w:rsidR="00412C97" w:rsidRPr="00BD4023">
          <w:rPr>
            <w:rStyle w:val="Hyperlink"/>
            <w:rFonts w:ascii="Times New Roman" w:hAnsi="Times New Roman" w:cs="Times New Roman"/>
            <w:sz w:val="22"/>
            <w:szCs w:val="22"/>
            <w:shd w:val="clear" w:color="auto" w:fill="FFFFFF"/>
          </w:rPr>
          <w:t>https://papers.ssrn.com/sol3/papers.cfm?abstract_id=4552851</w:t>
        </w:r>
      </w:hyperlink>
      <w:r w:rsidR="00412C97">
        <w:rPr>
          <w:rFonts w:ascii="Times New Roman" w:hAnsi="Times New Roman" w:cs="Times New Roman"/>
          <w:sz w:val="22"/>
          <w:szCs w:val="22"/>
          <w:shd w:val="clear" w:color="auto" w:fill="FFFFFF"/>
        </w:rPr>
        <w:t>&gt;</w:t>
      </w:r>
      <w:r w:rsidR="00D93876" w:rsidRPr="00ED2143">
        <w:rPr>
          <w:rFonts w:ascii="Times New Roman" w:hAnsi="Times New Roman" w:cs="Times New Roman"/>
          <w:sz w:val="22"/>
          <w:szCs w:val="22"/>
          <w:shd w:val="clear" w:color="auto" w:fill="FFFFFF"/>
        </w:rPr>
        <w:t xml:space="preserve"> </w:t>
      </w:r>
      <w:r w:rsidRPr="00ED2143">
        <w:rPr>
          <w:rFonts w:ascii="Times New Roman" w:hAnsi="Times New Roman" w:cs="Times New Roman"/>
          <w:sz w:val="22"/>
          <w:szCs w:val="22"/>
        </w:rPr>
        <w:t xml:space="preserve"> </w:t>
      </w:r>
    </w:p>
    <w:p w14:paraId="74E0F74C" w14:textId="77777777" w:rsidR="00526EBF" w:rsidRPr="00ED2143" w:rsidRDefault="00526EBF" w:rsidP="00ED2143">
      <w:pPr>
        <w:spacing w:after="0"/>
        <w:ind w:left="567" w:hanging="567"/>
        <w:jc w:val="both"/>
        <w:rPr>
          <w:rFonts w:ascii="Times New Roman" w:hAnsi="Times New Roman" w:cs="Times New Roman"/>
          <w:b/>
          <w:bCs/>
          <w:i/>
          <w:iCs/>
        </w:rPr>
      </w:pPr>
    </w:p>
    <w:p w14:paraId="335F49BA" w14:textId="77777777" w:rsidR="00412C97" w:rsidRPr="00ED2143" w:rsidRDefault="00412C97" w:rsidP="00412C97">
      <w:pPr>
        <w:pStyle w:val="ListParagraph"/>
        <w:spacing w:after="0"/>
        <w:ind w:left="567"/>
        <w:jc w:val="both"/>
        <w:rPr>
          <w:rFonts w:ascii="Times New Roman" w:hAnsi="Times New Roman" w:cs="Times New Roman"/>
          <w:b/>
          <w:bCs/>
          <w:i/>
          <w:iCs/>
        </w:rPr>
      </w:pPr>
    </w:p>
    <w:sectPr w:rsidR="00412C97" w:rsidRPr="00ED214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282D" w14:textId="77777777" w:rsidR="003056FE" w:rsidRDefault="003056FE" w:rsidP="00B51F27">
      <w:pPr>
        <w:spacing w:after="0" w:line="240" w:lineRule="auto"/>
      </w:pPr>
      <w:r>
        <w:separator/>
      </w:r>
    </w:p>
  </w:endnote>
  <w:endnote w:type="continuationSeparator" w:id="0">
    <w:p w14:paraId="321104CC" w14:textId="77777777" w:rsidR="003056FE" w:rsidRDefault="003056FE" w:rsidP="00B51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47123"/>
      <w:docPartObj>
        <w:docPartGallery w:val="Page Numbers (Bottom of Page)"/>
        <w:docPartUnique/>
      </w:docPartObj>
    </w:sdtPr>
    <w:sdtEndPr>
      <w:rPr>
        <w:noProof/>
      </w:rPr>
    </w:sdtEndPr>
    <w:sdtContent>
      <w:p w14:paraId="55D0F39E" w14:textId="1406F762" w:rsidR="000B1563" w:rsidRDefault="000B15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E6C951" w14:textId="77777777" w:rsidR="000B1563" w:rsidRDefault="000B1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6D66" w14:textId="77777777" w:rsidR="003056FE" w:rsidRDefault="003056FE" w:rsidP="00B51F27">
      <w:pPr>
        <w:spacing w:after="0" w:line="240" w:lineRule="auto"/>
      </w:pPr>
      <w:r>
        <w:separator/>
      </w:r>
    </w:p>
  </w:footnote>
  <w:footnote w:type="continuationSeparator" w:id="0">
    <w:p w14:paraId="6AD4FF20" w14:textId="77777777" w:rsidR="003056FE" w:rsidRDefault="003056FE" w:rsidP="00B51F27">
      <w:pPr>
        <w:spacing w:after="0" w:line="240" w:lineRule="auto"/>
      </w:pPr>
      <w:r>
        <w:continuationSeparator/>
      </w:r>
    </w:p>
  </w:footnote>
  <w:footnote w:id="1">
    <w:p w14:paraId="6096E66A" w14:textId="5C0A7F62" w:rsidR="00973A88" w:rsidRPr="004B51C5" w:rsidRDefault="00973A88" w:rsidP="00DB5EDD">
      <w:pPr>
        <w:pBdr>
          <w:top w:val="nil"/>
          <w:left w:val="nil"/>
          <w:bottom w:val="nil"/>
          <w:right w:val="nil"/>
          <w:between w:val="nil"/>
        </w:pBdr>
        <w:spacing w:after="120" w:line="240" w:lineRule="auto"/>
        <w:ind w:left="567" w:hanging="567"/>
        <w:jc w:val="both"/>
        <w:rPr>
          <w:rFonts w:ascii="Times New Roman" w:eastAsia="Times New Roman" w:hAnsi="Times New Roman" w:cs="Times New Roman"/>
          <w:color w:val="000000" w:themeColor="text1"/>
          <w:sz w:val="18"/>
          <w:szCs w:val="18"/>
        </w:rPr>
      </w:pPr>
      <w:r w:rsidRPr="004B51C5">
        <w:rPr>
          <w:rStyle w:val="FootnoteReference"/>
          <w:rFonts w:ascii="Times New Roman" w:hAnsi="Times New Roman" w:cs="Times New Roman"/>
          <w:color w:val="000000" w:themeColor="text1"/>
          <w:sz w:val="18"/>
          <w:szCs w:val="18"/>
        </w:rPr>
        <w:footnoteRef/>
      </w:r>
      <w:r w:rsidRPr="004B51C5">
        <w:rPr>
          <w:rFonts w:ascii="Times New Roman" w:eastAsia="Times New Roman" w:hAnsi="Times New Roman" w:cs="Times New Roman"/>
          <w:color w:val="000000" w:themeColor="text1"/>
          <w:sz w:val="18"/>
          <w:szCs w:val="18"/>
        </w:rPr>
        <w:t xml:space="preserve"> </w:t>
      </w:r>
      <w:r w:rsidR="004B51C5">
        <w:rPr>
          <w:rFonts w:ascii="Times New Roman" w:eastAsia="Times New Roman" w:hAnsi="Times New Roman" w:cs="Times New Roman"/>
          <w:color w:val="000000" w:themeColor="text1"/>
          <w:sz w:val="18"/>
          <w:szCs w:val="18"/>
        </w:rPr>
        <w:tab/>
      </w:r>
      <w:r w:rsidRPr="004B51C5">
        <w:rPr>
          <w:rFonts w:ascii="Times New Roman" w:eastAsia="Times New Roman" w:hAnsi="Times New Roman" w:cs="Times New Roman"/>
          <w:color w:val="000000" w:themeColor="text1"/>
          <w:sz w:val="18"/>
          <w:szCs w:val="18"/>
          <w:highlight w:val="white"/>
        </w:rPr>
        <w:t xml:space="preserve">Hilde Stevens </w:t>
      </w:r>
      <w:r w:rsidRPr="00F2041F">
        <w:rPr>
          <w:rFonts w:ascii="Times New Roman" w:eastAsia="Times New Roman" w:hAnsi="Times New Roman" w:cs="Times New Roman"/>
          <w:i/>
          <w:color w:val="000000" w:themeColor="text1"/>
          <w:sz w:val="18"/>
          <w:szCs w:val="18"/>
          <w:highlight w:val="white"/>
        </w:rPr>
        <w:t>et al.</w:t>
      </w:r>
      <w:r w:rsidRPr="004B51C5">
        <w:rPr>
          <w:rFonts w:ascii="Times New Roman" w:eastAsia="Times New Roman" w:hAnsi="Times New Roman" w:cs="Times New Roman"/>
          <w:iCs/>
          <w:color w:val="000000" w:themeColor="text1"/>
          <w:sz w:val="18"/>
          <w:szCs w:val="18"/>
          <w:highlight w:val="white"/>
        </w:rPr>
        <w:t>,</w:t>
      </w:r>
      <w:r w:rsidRPr="004B51C5">
        <w:rPr>
          <w:rFonts w:ascii="Times New Roman" w:eastAsia="Times New Roman" w:hAnsi="Times New Roman" w:cs="Times New Roman"/>
          <w:color w:val="000000" w:themeColor="text1"/>
          <w:sz w:val="18"/>
          <w:szCs w:val="18"/>
          <w:highlight w:val="white"/>
        </w:rPr>
        <w:t xml:space="preserve"> ‘</w:t>
      </w:r>
      <w:r w:rsidRPr="004B51C5">
        <w:rPr>
          <w:rFonts w:ascii="Times New Roman" w:eastAsia="Times New Roman" w:hAnsi="Times New Roman" w:cs="Times New Roman"/>
          <w:color w:val="000000" w:themeColor="text1"/>
          <w:sz w:val="18"/>
          <w:szCs w:val="18"/>
        </w:rPr>
        <w:t>Vaccines: Accelerating Innovation and Access. Global Challenges Report’ WIPO (2017) 14 &lt;</w:t>
      </w:r>
      <w:hyperlink r:id="rId1">
        <w:r w:rsidRPr="004B51C5">
          <w:rPr>
            <w:rFonts w:ascii="Times New Roman" w:eastAsia="Times New Roman" w:hAnsi="Times New Roman" w:cs="Times New Roman"/>
            <w:color w:val="000000" w:themeColor="text1"/>
            <w:sz w:val="18"/>
            <w:szCs w:val="18"/>
          </w:rPr>
          <w:t>https://www.wipo.int/publications/en/details.jsp?id=4224</w:t>
        </w:r>
      </w:hyperlink>
      <w:r w:rsidRPr="004B51C5">
        <w:rPr>
          <w:rFonts w:ascii="Times New Roman" w:eastAsia="Times New Roman" w:hAnsi="Times New Roman" w:cs="Times New Roman"/>
          <w:color w:val="000000" w:themeColor="text1"/>
          <w:sz w:val="18"/>
          <w:szCs w:val="18"/>
        </w:rPr>
        <w:t>&gt;.</w:t>
      </w:r>
    </w:p>
  </w:footnote>
  <w:footnote w:id="2">
    <w:p w14:paraId="18124F72" w14:textId="19C5AEEA" w:rsidR="00973A88" w:rsidRPr="00C259AE" w:rsidRDefault="00973A88" w:rsidP="00DB5EDD">
      <w:pPr>
        <w:pStyle w:val="Heading1"/>
        <w:shd w:val="clear" w:color="auto" w:fill="FFFFFF"/>
        <w:spacing w:before="0" w:beforeAutospacing="0" w:after="120" w:afterAutospacing="0"/>
        <w:ind w:left="567" w:hanging="567"/>
        <w:jc w:val="both"/>
        <w:rPr>
          <w:b w:val="0"/>
          <w:bCs w:val="0"/>
          <w:color w:val="000000" w:themeColor="text1"/>
          <w:sz w:val="18"/>
          <w:szCs w:val="18"/>
        </w:rPr>
      </w:pPr>
      <w:r w:rsidRPr="004B51C5">
        <w:rPr>
          <w:rStyle w:val="FootnoteReference"/>
          <w:b w:val="0"/>
          <w:bCs w:val="0"/>
          <w:color w:val="000000" w:themeColor="text1"/>
          <w:sz w:val="18"/>
          <w:szCs w:val="18"/>
        </w:rPr>
        <w:footnoteRef/>
      </w:r>
      <w:r w:rsidRPr="004B51C5">
        <w:rPr>
          <w:b w:val="0"/>
          <w:bCs w:val="0"/>
          <w:color w:val="000000" w:themeColor="text1"/>
          <w:sz w:val="18"/>
          <w:szCs w:val="18"/>
        </w:rPr>
        <w:t xml:space="preserve"> </w:t>
      </w:r>
      <w:r w:rsidR="004B51C5">
        <w:rPr>
          <w:b w:val="0"/>
          <w:bCs w:val="0"/>
          <w:color w:val="000000" w:themeColor="text1"/>
          <w:sz w:val="18"/>
          <w:szCs w:val="18"/>
        </w:rPr>
        <w:tab/>
      </w:r>
      <w:hyperlink r:id="rId2">
        <w:r w:rsidRPr="004B51C5">
          <w:rPr>
            <w:b w:val="0"/>
            <w:bCs w:val="0"/>
            <w:color w:val="000000" w:themeColor="text1"/>
            <w:sz w:val="18"/>
            <w:szCs w:val="18"/>
          </w:rPr>
          <w:t>William Petri</w:t>
        </w:r>
      </w:hyperlink>
      <w:r w:rsidRPr="004B51C5">
        <w:rPr>
          <w:b w:val="0"/>
          <w:bCs w:val="0"/>
          <w:color w:val="000000" w:themeColor="text1"/>
          <w:sz w:val="18"/>
          <w:szCs w:val="18"/>
        </w:rPr>
        <w:t>, ‘COVID-19 vaccines were developed in record time – but are these game-changers safe?’ The Conversation (2020) &lt;</w:t>
      </w:r>
      <w:hyperlink r:id="rId3">
        <w:r w:rsidRPr="00C259AE">
          <w:rPr>
            <w:b w:val="0"/>
            <w:bCs w:val="0"/>
            <w:color w:val="000000" w:themeColor="text1"/>
            <w:sz w:val="18"/>
            <w:szCs w:val="18"/>
          </w:rPr>
          <w:t>https://theconversation.com/covid-19-vaccines-were-developed-in-record-time-but-are-these-game-changers-safe-150249</w:t>
        </w:r>
      </w:hyperlink>
      <w:r w:rsidRPr="00C259AE">
        <w:rPr>
          <w:b w:val="0"/>
          <w:bCs w:val="0"/>
          <w:color w:val="000000" w:themeColor="text1"/>
          <w:sz w:val="18"/>
          <w:szCs w:val="18"/>
        </w:rPr>
        <w:t xml:space="preserve">&gt; </w:t>
      </w:r>
      <w:r w:rsidR="006D666D" w:rsidRPr="00C259AE">
        <w:rPr>
          <w:b w:val="0"/>
          <w:bCs w:val="0"/>
          <w:color w:val="000000" w:themeColor="text1"/>
          <w:sz w:val="18"/>
          <w:szCs w:val="18"/>
        </w:rPr>
        <w:t>.</w:t>
      </w:r>
    </w:p>
  </w:footnote>
  <w:footnote w:id="3">
    <w:p w14:paraId="117E8136" w14:textId="5E791855" w:rsidR="00973A88" w:rsidRPr="004B51C5" w:rsidRDefault="00973A88" w:rsidP="00DB5EDD">
      <w:pPr>
        <w:spacing w:after="120" w:line="240" w:lineRule="auto"/>
        <w:ind w:left="567" w:hanging="567"/>
        <w:jc w:val="both"/>
        <w:rPr>
          <w:rFonts w:ascii="Times New Roman" w:eastAsia="Times New Roman" w:hAnsi="Times New Roman" w:cs="Times New Roman"/>
          <w:color w:val="000000" w:themeColor="text1"/>
          <w:sz w:val="18"/>
          <w:szCs w:val="18"/>
        </w:rPr>
      </w:pPr>
      <w:r w:rsidRPr="004B51C5">
        <w:rPr>
          <w:rStyle w:val="FootnoteReference"/>
          <w:rFonts w:ascii="Times New Roman" w:hAnsi="Times New Roman" w:cs="Times New Roman"/>
          <w:color w:val="000000" w:themeColor="text1"/>
          <w:sz w:val="18"/>
          <w:szCs w:val="18"/>
        </w:rPr>
        <w:footnoteRef/>
      </w:r>
      <w:r w:rsidRPr="004B51C5">
        <w:rPr>
          <w:rFonts w:ascii="Times New Roman" w:eastAsia="Times New Roman" w:hAnsi="Times New Roman" w:cs="Times New Roman"/>
          <w:color w:val="000000" w:themeColor="text1"/>
          <w:sz w:val="18"/>
          <w:szCs w:val="18"/>
        </w:rPr>
        <w:t xml:space="preserve"> </w:t>
      </w:r>
      <w:r w:rsidR="004B51C5">
        <w:rPr>
          <w:rFonts w:ascii="Times New Roman" w:eastAsia="Times New Roman" w:hAnsi="Times New Roman" w:cs="Times New Roman"/>
          <w:color w:val="000000" w:themeColor="text1"/>
          <w:sz w:val="18"/>
          <w:szCs w:val="18"/>
        </w:rPr>
        <w:tab/>
      </w:r>
      <w:hyperlink r:id="rId4">
        <w:r w:rsidRPr="004B51C5">
          <w:rPr>
            <w:rFonts w:ascii="Times New Roman" w:eastAsia="Times New Roman" w:hAnsi="Times New Roman" w:cs="Times New Roman"/>
            <w:color w:val="000000" w:themeColor="text1"/>
            <w:sz w:val="18"/>
            <w:szCs w:val="18"/>
          </w:rPr>
          <w:t>Mukhisa Kituyi</w:t>
        </w:r>
      </w:hyperlink>
      <w:r w:rsidRPr="004B51C5">
        <w:rPr>
          <w:rFonts w:ascii="Times New Roman" w:eastAsia="Times New Roman" w:hAnsi="Times New Roman" w:cs="Times New Roman"/>
          <w:color w:val="000000" w:themeColor="text1"/>
          <w:sz w:val="18"/>
          <w:szCs w:val="18"/>
        </w:rPr>
        <w:t xml:space="preserve">, Secretary-General, UNCTAD, ‘Covid-19: Collaboration is the engine of global science – especially for developing countries’ World Economic Forum (2020) &lt;https://www.weforum.org/agenda/2020/05/global-science-collaboration-open-source-covid-19/&gt;. </w:t>
      </w:r>
    </w:p>
  </w:footnote>
  <w:footnote w:id="4">
    <w:p w14:paraId="3D2FC251" w14:textId="30D5AD1C" w:rsidR="00973A88" w:rsidRPr="004B51C5" w:rsidRDefault="00973A88" w:rsidP="00DB5EDD">
      <w:pPr>
        <w:spacing w:after="120" w:line="240" w:lineRule="auto"/>
        <w:ind w:left="567" w:hanging="567"/>
        <w:jc w:val="both"/>
        <w:rPr>
          <w:rFonts w:ascii="Times New Roman" w:eastAsia="Times New Roman" w:hAnsi="Times New Roman" w:cs="Times New Roman"/>
          <w:color w:val="000000" w:themeColor="text1"/>
          <w:sz w:val="18"/>
          <w:szCs w:val="18"/>
        </w:rPr>
      </w:pPr>
      <w:r w:rsidRPr="004B51C5">
        <w:rPr>
          <w:rStyle w:val="FootnoteReference"/>
          <w:rFonts w:ascii="Times New Roman" w:hAnsi="Times New Roman" w:cs="Times New Roman"/>
          <w:color w:val="000000" w:themeColor="text1"/>
          <w:sz w:val="18"/>
          <w:szCs w:val="18"/>
        </w:rPr>
        <w:footnoteRef/>
      </w:r>
      <w:r w:rsidRPr="004B51C5">
        <w:rPr>
          <w:rFonts w:ascii="Times New Roman" w:eastAsia="Times New Roman" w:hAnsi="Times New Roman" w:cs="Times New Roman"/>
          <w:color w:val="000000" w:themeColor="text1"/>
          <w:sz w:val="18"/>
          <w:szCs w:val="18"/>
        </w:rPr>
        <w:t xml:space="preserve"> </w:t>
      </w:r>
      <w:r w:rsidR="004B51C5">
        <w:rPr>
          <w:rFonts w:ascii="Times New Roman" w:eastAsia="Times New Roman" w:hAnsi="Times New Roman" w:cs="Times New Roman"/>
          <w:color w:val="000000" w:themeColor="text1"/>
          <w:sz w:val="18"/>
          <w:szCs w:val="18"/>
        </w:rPr>
        <w:tab/>
      </w:r>
      <w:r w:rsidR="0062693B">
        <w:rPr>
          <w:rFonts w:ascii="Times New Roman" w:eastAsia="Times New Roman" w:hAnsi="Times New Roman" w:cs="Times New Roman"/>
          <w:color w:val="000000" w:themeColor="text1"/>
          <w:sz w:val="18"/>
          <w:szCs w:val="18"/>
        </w:rPr>
        <w:t>i</w:t>
      </w:r>
      <w:r w:rsidRPr="004B51C5">
        <w:rPr>
          <w:rFonts w:ascii="Times New Roman" w:eastAsia="Times New Roman" w:hAnsi="Times New Roman" w:cs="Times New Roman"/>
          <w:color w:val="000000" w:themeColor="text1"/>
          <w:sz w:val="18"/>
          <w:szCs w:val="18"/>
        </w:rPr>
        <w:t>bid.</w:t>
      </w:r>
    </w:p>
  </w:footnote>
  <w:footnote w:id="5">
    <w:p w14:paraId="546F73F7" w14:textId="4FD41874" w:rsidR="00D74CDF" w:rsidRPr="004B51C5" w:rsidRDefault="00D74CDF" w:rsidP="00DB5EDD">
      <w:pPr>
        <w:shd w:val="clear" w:color="auto" w:fill="FFFFFF"/>
        <w:spacing w:after="120" w:line="240" w:lineRule="auto"/>
        <w:ind w:left="567" w:hanging="567"/>
        <w:jc w:val="both"/>
        <w:rPr>
          <w:rFonts w:ascii="Times New Roman" w:eastAsia="Times New Roman" w:hAnsi="Times New Roman" w:cs="Times New Roman"/>
          <w:color w:val="000000" w:themeColor="text1"/>
          <w:sz w:val="18"/>
          <w:szCs w:val="18"/>
          <w:highlight w:val="white"/>
        </w:rPr>
      </w:pPr>
      <w:r w:rsidRPr="004B51C5">
        <w:rPr>
          <w:rStyle w:val="FootnoteReference"/>
          <w:rFonts w:ascii="Times New Roman" w:hAnsi="Times New Roman" w:cs="Times New Roman"/>
          <w:color w:val="000000" w:themeColor="text1"/>
          <w:sz w:val="18"/>
          <w:szCs w:val="18"/>
        </w:rPr>
        <w:footnoteRef/>
      </w:r>
      <w:r w:rsidRPr="004B51C5">
        <w:rPr>
          <w:rFonts w:ascii="Times New Roman" w:eastAsia="Times New Roman" w:hAnsi="Times New Roman" w:cs="Times New Roman"/>
          <w:color w:val="000000" w:themeColor="text1"/>
          <w:sz w:val="18"/>
          <w:szCs w:val="18"/>
        </w:rPr>
        <w:t xml:space="preserve"> </w:t>
      </w:r>
      <w:r w:rsidR="00B90272">
        <w:rPr>
          <w:rFonts w:ascii="Times New Roman" w:eastAsia="Times New Roman" w:hAnsi="Times New Roman" w:cs="Times New Roman"/>
          <w:color w:val="000000" w:themeColor="text1"/>
          <w:sz w:val="18"/>
          <w:szCs w:val="18"/>
        </w:rPr>
        <w:tab/>
      </w:r>
      <w:r w:rsidRPr="004B51C5">
        <w:rPr>
          <w:rFonts w:ascii="Times New Roman" w:eastAsia="Times New Roman" w:hAnsi="Times New Roman" w:cs="Times New Roman"/>
          <w:color w:val="000000" w:themeColor="text1"/>
          <w:sz w:val="18"/>
          <w:szCs w:val="18"/>
        </w:rPr>
        <w:t xml:space="preserve">OECD, </w:t>
      </w:r>
      <w:r w:rsidRPr="004B51C5">
        <w:rPr>
          <w:rFonts w:ascii="Times New Roman" w:eastAsia="Times New Roman" w:hAnsi="Times New Roman" w:cs="Times New Roman"/>
          <w:color w:val="000000" w:themeColor="text1"/>
          <w:sz w:val="18"/>
          <w:szCs w:val="18"/>
          <w:highlight w:val="white"/>
        </w:rPr>
        <w:t>‘</w:t>
      </w:r>
      <w:hyperlink r:id="rId5">
        <w:r w:rsidRPr="004B51C5">
          <w:rPr>
            <w:rFonts w:ascii="Times New Roman" w:eastAsia="Times New Roman" w:hAnsi="Times New Roman" w:cs="Times New Roman"/>
            <w:color w:val="000000" w:themeColor="text1"/>
            <w:sz w:val="18"/>
            <w:szCs w:val="18"/>
            <w:highlight w:val="white"/>
          </w:rPr>
          <w:t>OECD Policy Responses to Coronavirus (COVID-19)</w:t>
        </w:r>
      </w:hyperlink>
      <w:r w:rsidRPr="004B51C5">
        <w:rPr>
          <w:rFonts w:ascii="Times New Roman" w:eastAsia="Times New Roman" w:hAnsi="Times New Roman" w:cs="Times New Roman"/>
          <w:color w:val="000000" w:themeColor="text1"/>
          <w:sz w:val="18"/>
          <w:szCs w:val="18"/>
          <w:highlight w:val="white"/>
        </w:rPr>
        <w:t>. Enhancing public trust in COVID-19 vaccination: The role of governments’ (</w:t>
      </w:r>
      <w:r w:rsidRPr="004B51C5">
        <w:rPr>
          <w:rFonts w:ascii="Times New Roman" w:eastAsia="Times New Roman" w:hAnsi="Times New Roman" w:cs="Times New Roman"/>
          <w:color w:val="000000" w:themeColor="text1"/>
          <w:sz w:val="18"/>
          <w:szCs w:val="18"/>
        </w:rPr>
        <w:t>2021) &lt;https://www.oecd.org/coronavirus/policy-responses/enhancing-public-trust-in-covid-19-vaccination-the-role-of-governments-eae0ec5a/&gt;.</w:t>
      </w:r>
    </w:p>
  </w:footnote>
  <w:footnote w:id="6">
    <w:p w14:paraId="52C0AD69" w14:textId="30527A06" w:rsidR="00D74CDF" w:rsidRPr="000412E1" w:rsidRDefault="00D74CDF" w:rsidP="000412E1">
      <w:pPr>
        <w:spacing w:after="120" w:line="240" w:lineRule="auto"/>
        <w:ind w:left="567" w:hanging="567"/>
        <w:jc w:val="both"/>
        <w:rPr>
          <w:rFonts w:ascii="Times New Roman" w:eastAsia="Times New Roman" w:hAnsi="Times New Roman" w:cs="Times New Roman"/>
          <w:color w:val="000000" w:themeColor="text1"/>
          <w:sz w:val="18"/>
          <w:szCs w:val="18"/>
        </w:rPr>
      </w:pPr>
      <w:r w:rsidRPr="004B51C5">
        <w:rPr>
          <w:rStyle w:val="FootnoteReference"/>
          <w:rFonts w:ascii="Times New Roman" w:hAnsi="Times New Roman" w:cs="Times New Roman"/>
          <w:color w:val="000000" w:themeColor="text1"/>
          <w:sz w:val="18"/>
          <w:szCs w:val="18"/>
        </w:rPr>
        <w:footnoteRef/>
      </w:r>
      <w:r w:rsidRPr="004B51C5">
        <w:rPr>
          <w:rFonts w:ascii="Times New Roman" w:eastAsia="Times New Roman" w:hAnsi="Times New Roman" w:cs="Times New Roman"/>
          <w:color w:val="000000" w:themeColor="text1"/>
          <w:sz w:val="18"/>
          <w:szCs w:val="18"/>
        </w:rPr>
        <w:t xml:space="preserve"> </w:t>
      </w:r>
      <w:r w:rsidR="00B90272">
        <w:rPr>
          <w:rFonts w:ascii="Times New Roman" w:eastAsia="Times New Roman" w:hAnsi="Times New Roman" w:cs="Times New Roman"/>
          <w:color w:val="000000" w:themeColor="text1"/>
          <w:sz w:val="18"/>
          <w:szCs w:val="18"/>
        </w:rPr>
        <w:tab/>
      </w:r>
      <w:r w:rsidRPr="004B51C5">
        <w:rPr>
          <w:rFonts w:ascii="Times New Roman" w:eastAsia="Times New Roman" w:hAnsi="Times New Roman" w:cs="Times New Roman"/>
          <w:color w:val="000000" w:themeColor="text1"/>
          <w:sz w:val="18"/>
          <w:szCs w:val="18"/>
        </w:rPr>
        <w:t>Sarah Newey, ‘</w:t>
      </w:r>
      <w:r w:rsidRPr="004B51C5">
        <w:rPr>
          <w:rFonts w:ascii="Times New Roman" w:eastAsia="Times New Roman" w:hAnsi="Times New Roman" w:cs="Times New Roman"/>
          <w:color w:val="000000" w:themeColor="text1"/>
          <w:sz w:val="18"/>
          <w:szCs w:val="18"/>
          <w:highlight w:val="white"/>
        </w:rPr>
        <w:t xml:space="preserve">Pharmaceutical leaders admit 'we dismally failed' at global Covid vaccine rollout’ </w:t>
      </w:r>
      <w:r w:rsidR="004910EE">
        <w:rPr>
          <w:rFonts w:ascii="Times New Roman" w:eastAsia="Times New Roman" w:hAnsi="Times New Roman" w:cs="Times New Roman"/>
          <w:color w:val="000000" w:themeColor="text1"/>
          <w:sz w:val="18"/>
          <w:szCs w:val="18"/>
        </w:rPr>
        <w:t>(</w:t>
      </w:r>
      <w:r w:rsidRPr="004910EE">
        <w:rPr>
          <w:rFonts w:ascii="Times New Roman" w:eastAsia="Times New Roman" w:hAnsi="Times New Roman" w:cs="Times New Roman"/>
          <w:i/>
          <w:iCs/>
          <w:color w:val="000000" w:themeColor="text1"/>
          <w:sz w:val="18"/>
          <w:szCs w:val="18"/>
        </w:rPr>
        <w:t>The Telegraph</w:t>
      </w:r>
      <w:r w:rsidR="004910EE">
        <w:rPr>
          <w:rFonts w:ascii="Times New Roman" w:eastAsia="Times New Roman" w:hAnsi="Times New Roman" w:cs="Times New Roman"/>
          <w:i/>
          <w:iCs/>
          <w:color w:val="000000" w:themeColor="text1"/>
          <w:sz w:val="18"/>
          <w:szCs w:val="18"/>
        </w:rPr>
        <w:t xml:space="preserve">, </w:t>
      </w:r>
      <w:r w:rsidRPr="004B51C5">
        <w:rPr>
          <w:rFonts w:ascii="Times New Roman" w:eastAsia="Times New Roman" w:hAnsi="Times New Roman" w:cs="Times New Roman"/>
          <w:color w:val="000000" w:themeColor="text1"/>
          <w:sz w:val="18"/>
          <w:szCs w:val="18"/>
          <w:highlight w:val="white"/>
        </w:rPr>
        <w:t>16 Decembe</w:t>
      </w:r>
      <w:r w:rsidRPr="000412E1">
        <w:rPr>
          <w:rFonts w:ascii="Times New Roman" w:eastAsia="Times New Roman" w:hAnsi="Times New Roman" w:cs="Times New Roman"/>
          <w:color w:val="000000" w:themeColor="text1"/>
          <w:sz w:val="18"/>
          <w:szCs w:val="18"/>
          <w:highlight w:val="white"/>
        </w:rPr>
        <w:t>r 2021) &lt;https://www.telegraph.co.uk/global-health/science-and-disease/pharmaceutical-leaders-admit-dismally-failed-global-covid-vaccine/&gt;</w:t>
      </w:r>
      <w:r w:rsidRPr="000412E1">
        <w:rPr>
          <w:rFonts w:ascii="Times New Roman" w:eastAsia="Times New Roman" w:hAnsi="Times New Roman" w:cs="Times New Roman"/>
          <w:color w:val="000000" w:themeColor="text1"/>
          <w:sz w:val="18"/>
          <w:szCs w:val="18"/>
        </w:rPr>
        <w:t>.</w:t>
      </w:r>
    </w:p>
  </w:footnote>
  <w:footnote w:id="7">
    <w:p w14:paraId="5C1A3A68" w14:textId="06ADD5F0" w:rsidR="004A1F8C" w:rsidRPr="000412E1" w:rsidRDefault="004A1F8C" w:rsidP="000412E1">
      <w:pPr>
        <w:pStyle w:val="FootnoteText"/>
        <w:spacing w:after="120"/>
        <w:ind w:left="567" w:hanging="567"/>
        <w:rPr>
          <w:rFonts w:ascii="Times New Roman" w:hAnsi="Times New Roman" w:cs="Times New Roman"/>
        </w:rPr>
      </w:pPr>
      <w:r w:rsidRPr="000412E1">
        <w:rPr>
          <w:rStyle w:val="FootnoteReference"/>
          <w:rFonts w:ascii="Times New Roman" w:hAnsi="Times New Roman" w:cs="Times New Roman"/>
        </w:rPr>
        <w:footnoteRef/>
      </w:r>
      <w:r w:rsidRPr="000412E1">
        <w:rPr>
          <w:rFonts w:ascii="Times New Roman" w:hAnsi="Times New Roman" w:cs="Times New Roman"/>
        </w:rPr>
        <w:t xml:space="preserve"> </w:t>
      </w:r>
      <w:r w:rsidR="000412E1">
        <w:rPr>
          <w:rFonts w:ascii="Times New Roman" w:hAnsi="Times New Roman" w:cs="Times New Roman"/>
        </w:rPr>
        <w:tab/>
      </w:r>
      <w:r w:rsidRPr="000412E1">
        <w:rPr>
          <w:rFonts w:ascii="Times New Roman" w:eastAsia="Times New Roman" w:hAnsi="Times New Roman" w:cs="Times New Roman"/>
          <w:color w:val="000000" w:themeColor="text1"/>
          <w:sz w:val="18"/>
          <w:szCs w:val="18"/>
          <w:highlight w:val="white"/>
        </w:rPr>
        <w:t>WHO, ‘</w:t>
      </w:r>
      <w:hyperlink r:id="rId6" w:history="1">
        <w:r w:rsidRPr="000412E1">
          <w:rPr>
            <w:rFonts w:ascii="Times New Roman" w:eastAsia="Times New Roman" w:hAnsi="Times New Roman" w:cs="Times New Roman"/>
            <w:color w:val="000000" w:themeColor="text1"/>
            <w:sz w:val="18"/>
            <w:szCs w:val="18"/>
            <w:highlight w:val="white"/>
          </w:rPr>
          <w:t>WHO Coronavirus (COVID-19) Dashboard</w:t>
        </w:r>
      </w:hyperlink>
      <w:r w:rsidRPr="000412E1">
        <w:rPr>
          <w:rFonts w:ascii="Times New Roman" w:eastAsia="Times New Roman" w:hAnsi="Times New Roman" w:cs="Times New Roman"/>
          <w:color w:val="000000" w:themeColor="text1"/>
          <w:sz w:val="18"/>
          <w:szCs w:val="18"/>
          <w:highlight w:val="white"/>
        </w:rPr>
        <w:t>’ &lt;https://covid19.who.int/?mapFilter=deaths</w:t>
      </w:r>
      <w:r w:rsidRPr="000412E1">
        <w:rPr>
          <w:rFonts w:ascii="Times New Roman" w:eastAsia="Times New Roman" w:hAnsi="Times New Roman" w:cs="Times New Roman"/>
          <w:color w:val="000000" w:themeColor="text1"/>
          <w:sz w:val="18"/>
          <w:szCs w:val="18"/>
        </w:rPr>
        <w:t>&gt;.</w:t>
      </w:r>
    </w:p>
  </w:footnote>
  <w:footnote w:id="8">
    <w:p w14:paraId="3FB5C621" w14:textId="7C098A4F" w:rsidR="004668E3" w:rsidRPr="004910EE" w:rsidRDefault="004668E3" w:rsidP="000412E1">
      <w:pPr>
        <w:pBdr>
          <w:top w:val="nil"/>
          <w:left w:val="nil"/>
          <w:bottom w:val="nil"/>
          <w:right w:val="nil"/>
          <w:between w:val="nil"/>
        </w:pBdr>
        <w:spacing w:after="120" w:line="240" w:lineRule="auto"/>
        <w:ind w:left="567" w:hanging="567"/>
        <w:jc w:val="both"/>
        <w:rPr>
          <w:rFonts w:ascii="Times New Roman" w:eastAsia="Times New Roman" w:hAnsi="Times New Roman" w:cs="Times New Roman"/>
          <w:color w:val="000000" w:themeColor="text1"/>
          <w:sz w:val="18"/>
          <w:szCs w:val="18"/>
        </w:rPr>
      </w:pPr>
      <w:r w:rsidRPr="000412E1">
        <w:rPr>
          <w:rStyle w:val="FootnoteReference"/>
          <w:rFonts w:ascii="Times New Roman" w:hAnsi="Times New Roman" w:cs="Times New Roman"/>
          <w:color w:val="000000" w:themeColor="text1"/>
          <w:sz w:val="18"/>
          <w:szCs w:val="18"/>
        </w:rPr>
        <w:footnoteRef/>
      </w:r>
      <w:r w:rsidRPr="000412E1">
        <w:rPr>
          <w:rFonts w:ascii="Times New Roman" w:eastAsia="Times New Roman" w:hAnsi="Times New Roman" w:cs="Times New Roman"/>
          <w:color w:val="000000" w:themeColor="text1"/>
          <w:sz w:val="18"/>
          <w:szCs w:val="18"/>
        </w:rPr>
        <w:t xml:space="preserve"> </w:t>
      </w:r>
      <w:r w:rsidR="00B90272" w:rsidRPr="000412E1">
        <w:rPr>
          <w:rFonts w:ascii="Times New Roman" w:eastAsia="Times New Roman" w:hAnsi="Times New Roman" w:cs="Times New Roman"/>
          <w:color w:val="000000" w:themeColor="text1"/>
          <w:sz w:val="18"/>
          <w:szCs w:val="18"/>
        </w:rPr>
        <w:tab/>
      </w:r>
      <w:r w:rsidRPr="000412E1">
        <w:rPr>
          <w:rFonts w:ascii="Times New Roman" w:eastAsia="Times New Roman" w:hAnsi="Times New Roman" w:cs="Times New Roman"/>
          <w:color w:val="000000" w:themeColor="text1"/>
          <w:sz w:val="18"/>
          <w:szCs w:val="18"/>
        </w:rPr>
        <w:t>WHO, ‘W</w:t>
      </w:r>
      <w:r w:rsidRPr="004B51C5">
        <w:rPr>
          <w:rFonts w:ascii="Times New Roman" w:eastAsia="Times New Roman" w:hAnsi="Times New Roman" w:cs="Times New Roman"/>
          <w:color w:val="000000" w:themeColor="text1"/>
          <w:sz w:val="18"/>
          <w:szCs w:val="18"/>
        </w:rPr>
        <w:t>HO COVID-19 Technology Access Pool’ &lt;https://www.who.int/initiatives//covid-19-technology-access-pool&gt;.</w:t>
      </w:r>
    </w:p>
  </w:footnote>
  <w:footnote w:id="9">
    <w:p w14:paraId="3B7EA60C" w14:textId="7DC44A29" w:rsidR="004668E3" w:rsidRPr="004910EE" w:rsidRDefault="004668E3" w:rsidP="00DB5EDD">
      <w:pPr>
        <w:pStyle w:val="Heading1"/>
        <w:spacing w:before="0" w:beforeAutospacing="0" w:after="120" w:afterAutospacing="0"/>
        <w:ind w:left="567" w:hanging="567"/>
        <w:jc w:val="both"/>
        <w:rPr>
          <w:b w:val="0"/>
          <w:bCs w:val="0"/>
          <w:color w:val="000000" w:themeColor="text1"/>
          <w:sz w:val="18"/>
          <w:szCs w:val="18"/>
        </w:rPr>
      </w:pPr>
      <w:r w:rsidRPr="004910EE">
        <w:rPr>
          <w:rStyle w:val="FootnoteReference"/>
          <w:b w:val="0"/>
          <w:bCs w:val="0"/>
          <w:color w:val="000000" w:themeColor="text1"/>
          <w:sz w:val="18"/>
          <w:szCs w:val="18"/>
        </w:rPr>
        <w:footnoteRef/>
      </w:r>
      <w:r w:rsidRPr="004910EE">
        <w:rPr>
          <w:b w:val="0"/>
          <w:bCs w:val="0"/>
          <w:color w:val="000000" w:themeColor="text1"/>
          <w:sz w:val="18"/>
          <w:szCs w:val="18"/>
        </w:rPr>
        <w:t xml:space="preserve"> </w:t>
      </w:r>
      <w:r w:rsidR="00914871" w:rsidRPr="004910EE">
        <w:rPr>
          <w:b w:val="0"/>
          <w:bCs w:val="0"/>
          <w:color w:val="000000" w:themeColor="text1"/>
          <w:sz w:val="18"/>
          <w:szCs w:val="18"/>
        </w:rPr>
        <w:tab/>
      </w:r>
      <w:hyperlink r:id="rId7">
        <w:r w:rsidRPr="004910EE">
          <w:rPr>
            <w:b w:val="0"/>
            <w:bCs w:val="0"/>
            <w:color w:val="000000" w:themeColor="text1"/>
            <w:sz w:val="18"/>
            <w:szCs w:val="18"/>
          </w:rPr>
          <w:t>Michael Safi</w:t>
        </w:r>
      </w:hyperlink>
      <w:r w:rsidRPr="004910EE">
        <w:rPr>
          <w:b w:val="0"/>
          <w:bCs w:val="0"/>
          <w:color w:val="000000" w:themeColor="text1"/>
          <w:sz w:val="18"/>
          <w:szCs w:val="18"/>
        </w:rPr>
        <w:t>, ‘WHO platform for pharmaceutical firms unused since pandemic began</w:t>
      </w:r>
      <w:r w:rsidR="007F145C">
        <w:rPr>
          <w:b w:val="0"/>
          <w:bCs w:val="0"/>
          <w:color w:val="000000" w:themeColor="text1"/>
          <w:sz w:val="18"/>
          <w:szCs w:val="18"/>
        </w:rPr>
        <w:t>’ (</w:t>
      </w:r>
      <w:r w:rsidRPr="007F145C">
        <w:rPr>
          <w:b w:val="0"/>
          <w:bCs w:val="0"/>
          <w:i/>
          <w:color w:val="000000" w:themeColor="text1"/>
          <w:sz w:val="18"/>
          <w:szCs w:val="18"/>
        </w:rPr>
        <w:t>The Guardian</w:t>
      </w:r>
      <w:r w:rsidR="007F145C">
        <w:rPr>
          <w:b w:val="0"/>
          <w:bCs w:val="0"/>
          <w:i/>
          <w:color w:val="000000" w:themeColor="text1"/>
          <w:sz w:val="18"/>
          <w:szCs w:val="18"/>
        </w:rPr>
        <w:t xml:space="preserve">, </w:t>
      </w:r>
      <w:r w:rsidRPr="004910EE">
        <w:rPr>
          <w:b w:val="0"/>
          <w:bCs w:val="0"/>
          <w:color w:val="000000" w:themeColor="text1"/>
          <w:sz w:val="18"/>
          <w:szCs w:val="18"/>
        </w:rPr>
        <w:t>22 January 2021) &lt;</w:t>
      </w:r>
      <w:hyperlink r:id="rId8">
        <w:r w:rsidRPr="004910EE">
          <w:rPr>
            <w:b w:val="0"/>
            <w:bCs w:val="0"/>
            <w:color w:val="000000" w:themeColor="text1"/>
            <w:sz w:val="18"/>
            <w:szCs w:val="18"/>
          </w:rPr>
          <w:t>https://www.theguardian.com/world/2021/jan/22/who-platform-for-pharmaceutical-firms-unused-since-pandemic-began</w:t>
        </w:r>
      </w:hyperlink>
      <w:r w:rsidRPr="004910EE">
        <w:rPr>
          <w:b w:val="0"/>
          <w:bCs w:val="0"/>
          <w:color w:val="000000" w:themeColor="text1"/>
          <w:sz w:val="18"/>
          <w:szCs w:val="18"/>
        </w:rPr>
        <w:t>&gt;; WEMOS ‘Covid-19 Technology Access Pool (C-TAP)’ &lt;</w:t>
      </w:r>
      <w:hyperlink r:id="rId9">
        <w:r w:rsidRPr="004910EE">
          <w:rPr>
            <w:b w:val="0"/>
            <w:bCs w:val="0"/>
            <w:color w:val="000000" w:themeColor="text1"/>
            <w:sz w:val="18"/>
            <w:szCs w:val="18"/>
          </w:rPr>
          <w:t>https://covid19response.org/c-tap/</w:t>
        </w:r>
      </w:hyperlink>
      <w:r w:rsidRPr="004910EE">
        <w:rPr>
          <w:b w:val="0"/>
          <w:bCs w:val="0"/>
          <w:color w:val="000000" w:themeColor="text1"/>
          <w:sz w:val="18"/>
          <w:szCs w:val="18"/>
        </w:rPr>
        <w:t>&gt;</w:t>
      </w:r>
      <w:r w:rsidR="000E010A" w:rsidRPr="004910EE">
        <w:rPr>
          <w:b w:val="0"/>
          <w:bCs w:val="0"/>
          <w:color w:val="000000" w:themeColor="text1"/>
          <w:sz w:val="18"/>
          <w:szCs w:val="18"/>
        </w:rPr>
        <w:t>.</w:t>
      </w:r>
    </w:p>
  </w:footnote>
  <w:footnote w:id="10">
    <w:p w14:paraId="04B4EDD5" w14:textId="41CCC01F" w:rsidR="004668E3" w:rsidRPr="004910EE" w:rsidRDefault="004668E3" w:rsidP="00DB5EDD">
      <w:pPr>
        <w:pStyle w:val="Heading1"/>
        <w:shd w:val="clear" w:color="auto" w:fill="FFFFFF"/>
        <w:spacing w:before="0" w:beforeAutospacing="0" w:after="120" w:afterAutospacing="0"/>
        <w:ind w:left="567" w:hanging="567"/>
        <w:jc w:val="both"/>
        <w:rPr>
          <w:b w:val="0"/>
          <w:bCs w:val="0"/>
          <w:color w:val="000000" w:themeColor="text1"/>
          <w:sz w:val="18"/>
          <w:szCs w:val="18"/>
        </w:rPr>
      </w:pPr>
      <w:r w:rsidRPr="004910EE">
        <w:rPr>
          <w:rStyle w:val="FootnoteReference"/>
          <w:b w:val="0"/>
          <w:bCs w:val="0"/>
          <w:color w:val="000000" w:themeColor="text1"/>
          <w:sz w:val="18"/>
          <w:szCs w:val="18"/>
        </w:rPr>
        <w:footnoteRef/>
      </w:r>
      <w:r w:rsidRPr="004910EE">
        <w:rPr>
          <w:b w:val="0"/>
          <w:bCs w:val="0"/>
          <w:color w:val="000000" w:themeColor="text1"/>
          <w:sz w:val="18"/>
          <w:szCs w:val="18"/>
        </w:rPr>
        <w:t xml:space="preserve"> </w:t>
      </w:r>
      <w:r w:rsidRPr="004910EE">
        <w:rPr>
          <w:b w:val="0"/>
          <w:bCs w:val="0"/>
          <w:smallCaps/>
          <w:color w:val="000000" w:themeColor="text1"/>
          <w:sz w:val="18"/>
          <w:szCs w:val="18"/>
        </w:rPr>
        <w:t> </w:t>
      </w:r>
      <w:r w:rsidR="00914871" w:rsidRPr="004910EE">
        <w:rPr>
          <w:b w:val="0"/>
          <w:bCs w:val="0"/>
          <w:smallCaps/>
          <w:color w:val="000000" w:themeColor="text1"/>
          <w:sz w:val="18"/>
          <w:szCs w:val="18"/>
        </w:rPr>
        <w:tab/>
      </w:r>
      <w:r w:rsidRPr="004910EE">
        <w:rPr>
          <w:b w:val="0"/>
          <w:bCs w:val="0"/>
          <w:color w:val="000000" w:themeColor="text1"/>
          <w:sz w:val="18"/>
          <w:szCs w:val="18"/>
        </w:rPr>
        <w:t>Carlos M. Correa, ‘Expanding the production of COVID-19 vaccines to reach developing countries’ (2021) 91 South Centre Policy Brief &lt;</w:t>
      </w:r>
      <w:hyperlink r:id="rId10">
        <w:r w:rsidRPr="004910EE">
          <w:rPr>
            <w:b w:val="0"/>
            <w:bCs w:val="0"/>
            <w:color w:val="000000" w:themeColor="text1"/>
            <w:sz w:val="18"/>
            <w:szCs w:val="18"/>
          </w:rPr>
          <w:t>https://www.southcentre.int/wp-content/uploads/2021/04/PB-92.pdf</w:t>
        </w:r>
      </w:hyperlink>
      <w:r w:rsidRPr="004910EE">
        <w:rPr>
          <w:b w:val="0"/>
          <w:bCs w:val="0"/>
          <w:color w:val="000000" w:themeColor="text1"/>
          <w:sz w:val="18"/>
          <w:szCs w:val="18"/>
        </w:rPr>
        <w:t xml:space="preserve">&gt;; Arianna Schouten, ‘Canada based Biolyse Pharma Seeks to Manufacture COVID-19 Vaccines for Low Income Countries, may test Canada’s compulsory licensing for export law’ </w:t>
      </w:r>
      <w:r w:rsidR="00AD1E3F">
        <w:rPr>
          <w:b w:val="0"/>
          <w:bCs w:val="0"/>
          <w:color w:val="000000" w:themeColor="text1"/>
          <w:sz w:val="18"/>
          <w:szCs w:val="18"/>
        </w:rPr>
        <w:t>(</w:t>
      </w:r>
      <w:r w:rsidRPr="00AD1E3F">
        <w:rPr>
          <w:b w:val="0"/>
          <w:bCs w:val="0"/>
          <w:i/>
          <w:color w:val="000000" w:themeColor="text1"/>
          <w:sz w:val="18"/>
          <w:szCs w:val="18"/>
        </w:rPr>
        <w:t>KEI</w:t>
      </w:r>
      <w:r w:rsidR="00AD1E3F">
        <w:rPr>
          <w:b w:val="0"/>
          <w:bCs w:val="0"/>
          <w:i/>
          <w:color w:val="000000" w:themeColor="text1"/>
          <w:sz w:val="18"/>
          <w:szCs w:val="18"/>
        </w:rPr>
        <w:t xml:space="preserve">, </w:t>
      </w:r>
      <w:r w:rsidRPr="004910EE">
        <w:rPr>
          <w:b w:val="0"/>
          <w:bCs w:val="0"/>
          <w:color w:val="000000" w:themeColor="text1"/>
          <w:sz w:val="18"/>
          <w:szCs w:val="18"/>
        </w:rPr>
        <w:t xml:space="preserve">12 March 2021) </w:t>
      </w:r>
      <w:r w:rsidRPr="004910EE">
        <w:rPr>
          <w:b w:val="0"/>
          <w:bCs w:val="0"/>
          <w:i/>
          <w:color w:val="000000" w:themeColor="text1"/>
          <w:sz w:val="18"/>
          <w:szCs w:val="18"/>
        </w:rPr>
        <w:t>&lt;</w:t>
      </w:r>
      <w:hyperlink r:id="rId11">
        <w:r w:rsidRPr="004910EE">
          <w:rPr>
            <w:b w:val="0"/>
            <w:bCs w:val="0"/>
            <w:color w:val="000000" w:themeColor="text1"/>
            <w:sz w:val="18"/>
            <w:szCs w:val="18"/>
          </w:rPr>
          <w:t>https://www.keionline.org/35587</w:t>
        </w:r>
      </w:hyperlink>
      <w:r w:rsidRPr="004910EE">
        <w:rPr>
          <w:b w:val="0"/>
          <w:bCs w:val="0"/>
          <w:color w:val="000000" w:themeColor="text1"/>
          <w:sz w:val="18"/>
          <w:szCs w:val="18"/>
        </w:rPr>
        <w:t xml:space="preserve">&gt; . </w:t>
      </w:r>
    </w:p>
  </w:footnote>
  <w:footnote w:id="11">
    <w:p w14:paraId="2C14C532" w14:textId="1F12CDE3" w:rsidR="004668E3" w:rsidRPr="00D1093B" w:rsidRDefault="004668E3" w:rsidP="00DB5EDD">
      <w:pPr>
        <w:spacing w:after="120" w:line="240" w:lineRule="auto"/>
        <w:ind w:left="567" w:hanging="567"/>
        <w:jc w:val="both"/>
        <w:rPr>
          <w:rFonts w:ascii="Times New Roman" w:eastAsia="Times New Roman" w:hAnsi="Times New Roman" w:cs="Times New Roman"/>
          <w:sz w:val="18"/>
          <w:szCs w:val="18"/>
        </w:rPr>
      </w:pPr>
      <w:r w:rsidRPr="00914871">
        <w:rPr>
          <w:rStyle w:val="FootnoteReference"/>
          <w:rFonts w:ascii="Times New Roman" w:hAnsi="Times New Roman" w:cs="Times New Roman"/>
          <w:color w:val="000000" w:themeColor="text1"/>
          <w:sz w:val="18"/>
          <w:szCs w:val="18"/>
        </w:rPr>
        <w:footnoteRef/>
      </w:r>
      <w:r w:rsidRPr="00914871">
        <w:rPr>
          <w:rFonts w:ascii="Times New Roman" w:eastAsia="Times New Roman" w:hAnsi="Times New Roman" w:cs="Times New Roman"/>
          <w:color w:val="000000" w:themeColor="text1"/>
          <w:sz w:val="18"/>
          <w:szCs w:val="18"/>
        </w:rPr>
        <w:t xml:space="preserve"> </w:t>
      </w:r>
      <w:r w:rsidR="00914871">
        <w:rPr>
          <w:rFonts w:ascii="Times New Roman" w:eastAsia="Times New Roman" w:hAnsi="Times New Roman" w:cs="Times New Roman"/>
          <w:color w:val="000000" w:themeColor="text1"/>
          <w:sz w:val="18"/>
          <w:szCs w:val="18"/>
        </w:rPr>
        <w:tab/>
      </w:r>
      <w:r w:rsidRPr="00914871">
        <w:rPr>
          <w:rFonts w:ascii="Times New Roman" w:eastAsia="Times New Roman" w:hAnsi="Times New Roman" w:cs="Times New Roman"/>
          <w:color w:val="000000" w:themeColor="text1"/>
          <w:sz w:val="18"/>
          <w:szCs w:val="18"/>
        </w:rPr>
        <w:t>Brook K. Baker, ‘Third-Way Proposals from Big Pharma and the WTO are the Same-Old Way – Commercial Control of Supply, Price, and Distribution’ (2021) The People’s Vaccine Policy Brief</w:t>
      </w:r>
      <w:r w:rsidR="00D1093B">
        <w:rPr>
          <w:rFonts w:ascii="Times New Roman" w:eastAsia="Times New Roman" w:hAnsi="Times New Roman" w:cs="Times New Roman"/>
          <w:color w:val="000000" w:themeColor="text1"/>
          <w:sz w:val="18"/>
          <w:szCs w:val="18"/>
        </w:rPr>
        <w:t xml:space="preserve"> </w:t>
      </w:r>
      <w:r w:rsidR="00D1093B" w:rsidRPr="00D1093B">
        <w:rPr>
          <w:rFonts w:ascii="Times New Roman" w:eastAsia="Times New Roman" w:hAnsi="Times New Roman" w:cs="Times New Roman"/>
          <w:sz w:val="18"/>
          <w:szCs w:val="18"/>
        </w:rPr>
        <w:t>&lt;</w:t>
      </w:r>
      <w:hyperlink r:id="rId12" w:history="1">
        <w:r w:rsidRPr="00D1093B">
          <w:rPr>
            <w:rStyle w:val="Hyperlink"/>
            <w:rFonts w:ascii="Times New Roman" w:eastAsia="Times New Roman" w:hAnsi="Times New Roman" w:cs="Times New Roman"/>
            <w:color w:val="auto"/>
            <w:sz w:val="18"/>
            <w:szCs w:val="18"/>
            <w:u w:val="none"/>
          </w:rPr>
          <w:t>https://healthgap.org/wp-content/uploads/2021/05/Baker.The-Third-Way-is-the-Same-Old-Way-Final1.pdf</w:t>
        </w:r>
      </w:hyperlink>
      <w:r w:rsidR="00D1093B" w:rsidRPr="00D1093B">
        <w:rPr>
          <w:rStyle w:val="Hyperlink"/>
          <w:rFonts w:ascii="Times New Roman" w:eastAsia="Times New Roman" w:hAnsi="Times New Roman" w:cs="Times New Roman"/>
          <w:color w:val="auto"/>
          <w:sz w:val="18"/>
          <w:szCs w:val="18"/>
          <w:u w:val="none"/>
        </w:rPr>
        <w:t>&gt;</w:t>
      </w:r>
      <w:r w:rsidRPr="00D1093B">
        <w:rPr>
          <w:rFonts w:ascii="Times New Roman" w:eastAsia="Times New Roman" w:hAnsi="Times New Roman" w:cs="Times New Roman"/>
          <w:sz w:val="18"/>
          <w:szCs w:val="18"/>
        </w:rPr>
        <w:t xml:space="preserve"> </w:t>
      </w:r>
    </w:p>
  </w:footnote>
  <w:footnote w:id="12">
    <w:p w14:paraId="33DDC736" w14:textId="0A5E48F0" w:rsidR="004668E3" w:rsidRPr="00D1093B" w:rsidRDefault="004668E3" w:rsidP="00DB5EDD">
      <w:pPr>
        <w:pStyle w:val="Heading1"/>
        <w:shd w:val="clear" w:color="auto" w:fill="FFFFFF"/>
        <w:spacing w:before="0" w:beforeAutospacing="0" w:after="120" w:afterAutospacing="0"/>
        <w:ind w:left="567" w:hanging="567"/>
        <w:jc w:val="both"/>
        <w:rPr>
          <w:b w:val="0"/>
          <w:bCs w:val="0"/>
          <w:sz w:val="18"/>
          <w:szCs w:val="18"/>
        </w:rPr>
      </w:pPr>
      <w:r w:rsidRPr="00914871">
        <w:rPr>
          <w:rStyle w:val="FootnoteReference"/>
          <w:b w:val="0"/>
          <w:bCs w:val="0"/>
          <w:color w:val="000000" w:themeColor="text1"/>
          <w:sz w:val="18"/>
          <w:szCs w:val="18"/>
        </w:rPr>
        <w:footnoteRef/>
      </w:r>
      <w:r w:rsidRPr="00914871">
        <w:rPr>
          <w:b w:val="0"/>
          <w:bCs w:val="0"/>
          <w:color w:val="000000" w:themeColor="text1"/>
          <w:sz w:val="18"/>
          <w:szCs w:val="18"/>
        </w:rPr>
        <w:t xml:space="preserve"> </w:t>
      </w:r>
      <w:r w:rsidR="00914871">
        <w:rPr>
          <w:b w:val="0"/>
          <w:bCs w:val="0"/>
          <w:color w:val="000000" w:themeColor="text1"/>
          <w:sz w:val="18"/>
          <w:szCs w:val="18"/>
        </w:rPr>
        <w:tab/>
      </w:r>
      <w:hyperlink r:id="rId13" w:anchor="author-0">
        <w:r w:rsidRPr="00914871">
          <w:rPr>
            <w:b w:val="0"/>
            <w:bCs w:val="0"/>
            <w:color w:val="000000" w:themeColor="text1"/>
            <w:sz w:val="18"/>
            <w:szCs w:val="18"/>
          </w:rPr>
          <w:t>Aisling Irwin</w:t>
        </w:r>
      </w:hyperlink>
      <w:r w:rsidRPr="00914871">
        <w:rPr>
          <w:b w:val="0"/>
          <w:bCs w:val="0"/>
          <w:color w:val="000000" w:themeColor="text1"/>
          <w:sz w:val="18"/>
          <w:szCs w:val="18"/>
        </w:rPr>
        <w:t xml:space="preserve">, </w:t>
      </w:r>
      <w:r w:rsidR="00AD1E3F">
        <w:rPr>
          <w:b w:val="0"/>
          <w:bCs w:val="0"/>
          <w:color w:val="000000" w:themeColor="text1"/>
          <w:sz w:val="18"/>
          <w:szCs w:val="18"/>
        </w:rPr>
        <w:t>‘</w:t>
      </w:r>
      <w:r w:rsidRPr="00914871">
        <w:rPr>
          <w:b w:val="0"/>
          <w:bCs w:val="0"/>
          <w:color w:val="000000" w:themeColor="text1"/>
          <w:sz w:val="18"/>
          <w:szCs w:val="18"/>
        </w:rPr>
        <w:t>What it will take to vaccinate the world against COVID-19</w:t>
      </w:r>
      <w:r w:rsidR="00B955B8">
        <w:rPr>
          <w:b w:val="0"/>
          <w:bCs w:val="0"/>
          <w:color w:val="000000" w:themeColor="text1"/>
          <w:sz w:val="18"/>
          <w:szCs w:val="18"/>
        </w:rPr>
        <w:t>’ (2021)</w:t>
      </w:r>
      <w:r w:rsidRPr="00914871">
        <w:rPr>
          <w:b w:val="0"/>
          <w:bCs w:val="0"/>
          <w:color w:val="000000" w:themeColor="text1"/>
          <w:sz w:val="18"/>
          <w:szCs w:val="18"/>
        </w:rPr>
        <w:t xml:space="preserve"> Nature &lt;</w:t>
      </w:r>
      <w:hyperlink r:id="rId14">
        <w:r w:rsidRPr="00914871">
          <w:rPr>
            <w:b w:val="0"/>
            <w:bCs w:val="0"/>
            <w:color w:val="000000" w:themeColor="text1"/>
            <w:sz w:val="18"/>
            <w:szCs w:val="18"/>
          </w:rPr>
          <w:t>https://www.nature.com/articles/d41586-021-00727-3</w:t>
        </w:r>
      </w:hyperlink>
      <w:r w:rsidRPr="00914871">
        <w:rPr>
          <w:b w:val="0"/>
          <w:bCs w:val="0"/>
          <w:color w:val="000000" w:themeColor="text1"/>
          <w:sz w:val="18"/>
          <w:szCs w:val="18"/>
        </w:rPr>
        <w:t>&gt;; K M Gopakumar, Chetali Rao and Sangeeta Shashikant</w:t>
      </w:r>
      <w:r w:rsidRPr="00914871">
        <w:rPr>
          <w:b w:val="0"/>
          <w:bCs w:val="0"/>
          <w:i/>
          <w:color w:val="000000" w:themeColor="text1"/>
          <w:sz w:val="18"/>
          <w:szCs w:val="18"/>
        </w:rPr>
        <w:t xml:space="preserve">, </w:t>
      </w:r>
      <w:r w:rsidR="00B955B8">
        <w:rPr>
          <w:b w:val="0"/>
          <w:bCs w:val="0"/>
          <w:i/>
          <w:color w:val="000000" w:themeColor="text1"/>
          <w:sz w:val="18"/>
          <w:szCs w:val="18"/>
        </w:rPr>
        <w:t>‘</w:t>
      </w:r>
      <w:r w:rsidRPr="00914871">
        <w:rPr>
          <w:b w:val="0"/>
          <w:bCs w:val="0"/>
          <w:color w:val="000000" w:themeColor="text1"/>
          <w:sz w:val="18"/>
          <w:szCs w:val="18"/>
        </w:rPr>
        <w:t>Trade secrets protection and vaccines: The role of medicine regulatory agencies’ (2021) Third W</w:t>
      </w:r>
      <w:r w:rsidRPr="00D1093B">
        <w:rPr>
          <w:b w:val="0"/>
          <w:bCs w:val="0"/>
          <w:sz w:val="18"/>
          <w:szCs w:val="18"/>
        </w:rPr>
        <w:t>orld Network Briefing Paper.</w:t>
      </w:r>
    </w:p>
  </w:footnote>
  <w:footnote w:id="13">
    <w:p w14:paraId="352C81B2" w14:textId="72242AA1" w:rsidR="00B56408" w:rsidRPr="00D1093B" w:rsidRDefault="00B56408" w:rsidP="00DB5EDD">
      <w:pPr>
        <w:spacing w:after="120" w:line="240" w:lineRule="auto"/>
        <w:ind w:left="567" w:hanging="567"/>
        <w:jc w:val="both"/>
        <w:rPr>
          <w:rFonts w:ascii="Times New Roman" w:eastAsia="Times New Roman" w:hAnsi="Times New Roman" w:cs="Times New Roman"/>
          <w:sz w:val="18"/>
          <w:szCs w:val="18"/>
        </w:rPr>
      </w:pPr>
      <w:r w:rsidRPr="00D1093B">
        <w:rPr>
          <w:rStyle w:val="FootnoteReference"/>
          <w:rFonts w:ascii="Times New Roman" w:hAnsi="Times New Roman" w:cs="Times New Roman"/>
          <w:sz w:val="18"/>
          <w:szCs w:val="18"/>
        </w:rPr>
        <w:footnoteRef/>
      </w:r>
      <w:r w:rsidRPr="00D1093B">
        <w:rPr>
          <w:rFonts w:ascii="Times New Roman" w:eastAsia="Times New Roman" w:hAnsi="Times New Roman" w:cs="Times New Roman"/>
          <w:sz w:val="18"/>
          <w:szCs w:val="18"/>
        </w:rPr>
        <w:t xml:space="preserve"> </w:t>
      </w:r>
      <w:r w:rsidR="00914871" w:rsidRPr="00D1093B">
        <w:rPr>
          <w:rFonts w:ascii="Times New Roman" w:eastAsia="Times New Roman" w:hAnsi="Times New Roman" w:cs="Times New Roman"/>
          <w:sz w:val="18"/>
          <w:szCs w:val="18"/>
        </w:rPr>
        <w:tab/>
      </w:r>
      <w:r w:rsidRPr="00D1093B">
        <w:rPr>
          <w:rFonts w:ascii="Times New Roman" w:eastAsia="Times New Roman" w:hAnsi="Times New Roman" w:cs="Times New Roman"/>
          <w:sz w:val="18"/>
          <w:szCs w:val="18"/>
        </w:rPr>
        <w:t xml:space="preserve">E. Richard Gold, ‘What the COVID-19 pandemic revealed about intellectual property’ (2022) 40 Nat Biotechnol 1428 </w:t>
      </w:r>
      <w:r w:rsidR="00D1093B" w:rsidRPr="00D1093B">
        <w:rPr>
          <w:rFonts w:ascii="Times New Roman" w:eastAsia="Times New Roman" w:hAnsi="Times New Roman" w:cs="Times New Roman"/>
          <w:sz w:val="18"/>
          <w:szCs w:val="18"/>
        </w:rPr>
        <w:t>&lt;</w:t>
      </w:r>
      <w:hyperlink r:id="rId15" w:history="1">
        <w:r w:rsidR="00D1093B" w:rsidRPr="00D1093B">
          <w:rPr>
            <w:rStyle w:val="Hyperlink"/>
            <w:rFonts w:ascii="Times New Roman" w:eastAsia="Times New Roman" w:hAnsi="Times New Roman" w:cs="Times New Roman"/>
            <w:color w:val="auto"/>
            <w:sz w:val="18"/>
            <w:szCs w:val="18"/>
            <w:u w:val="none"/>
          </w:rPr>
          <w:t>https://doi.org/10.1038/s41587-022-01485-x</w:t>
        </w:r>
      </w:hyperlink>
      <w:r w:rsidR="00D1093B" w:rsidRPr="00D1093B">
        <w:rPr>
          <w:rStyle w:val="Hyperlink"/>
          <w:rFonts w:ascii="Times New Roman" w:eastAsia="Times New Roman" w:hAnsi="Times New Roman" w:cs="Times New Roman"/>
          <w:color w:val="auto"/>
          <w:sz w:val="18"/>
          <w:szCs w:val="18"/>
          <w:u w:val="none"/>
        </w:rPr>
        <w:t>&gt;</w:t>
      </w:r>
      <w:r w:rsidRPr="00D1093B">
        <w:rPr>
          <w:rFonts w:ascii="Times New Roman" w:eastAsia="Times New Roman" w:hAnsi="Times New Roman" w:cs="Times New Roman"/>
          <w:sz w:val="18"/>
          <w:szCs w:val="18"/>
        </w:rPr>
        <w:t xml:space="preserve">. </w:t>
      </w:r>
    </w:p>
  </w:footnote>
  <w:footnote w:id="14">
    <w:p w14:paraId="07786AA0" w14:textId="57894D9D" w:rsidR="00B56408" w:rsidRPr="00914871" w:rsidRDefault="00B56408" w:rsidP="00DB5EDD">
      <w:pPr>
        <w:pBdr>
          <w:top w:val="nil"/>
          <w:left w:val="nil"/>
          <w:bottom w:val="nil"/>
          <w:right w:val="nil"/>
          <w:between w:val="nil"/>
        </w:pBdr>
        <w:spacing w:after="120" w:line="240" w:lineRule="auto"/>
        <w:ind w:left="567" w:hanging="567"/>
        <w:jc w:val="both"/>
        <w:rPr>
          <w:rFonts w:ascii="Times New Roman" w:eastAsia="Times New Roman" w:hAnsi="Times New Roman" w:cs="Times New Roman"/>
          <w:color w:val="000000" w:themeColor="text1"/>
          <w:sz w:val="18"/>
          <w:szCs w:val="18"/>
        </w:rPr>
      </w:pPr>
      <w:r w:rsidRPr="00914871">
        <w:rPr>
          <w:rStyle w:val="FootnoteReference"/>
          <w:rFonts w:ascii="Times New Roman" w:hAnsi="Times New Roman" w:cs="Times New Roman"/>
          <w:color w:val="000000" w:themeColor="text1"/>
          <w:sz w:val="18"/>
          <w:szCs w:val="18"/>
        </w:rPr>
        <w:footnoteRef/>
      </w:r>
      <w:r w:rsidRPr="00914871">
        <w:rPr>
          <w:rFonts w:ascii="Times New Roman" w:eastAsia="Times New Roman" w:hAnsi="Times New Roman" w:cs="Times New Roman"/>
          <w:color w:val="000000" w:themeColor="text1"/>
          <w:sz w:val="18"/>
          <w:szCs w:val="18"/>
        </w:rPr>
        <w:t xml:space="preserve"> </w:t>
      </w:r>
      <w:r w:rsidR="00914871">
        <w:rPr>
          <w:rFonts w:ascii="Times New Roman" w:eastAsia="Times New Roman" w:hAnsi="Times New Roman" w:cs="Times New Roman"/>
          <w:color w:val="000000" w:themeColor="text1"/>
          <w:sz w:val="18"/>
          <w:szCs w:val="18"/>
        </w:rPr>
        <w:tab/>
      </w:r>
      <w:r w:rsidRPr="00914871">
        <w:rPr>
          <w:rFonts w:ascii="Times New Roman" w:eastAsia="Times New Roman" w:hAnsi="Times New Roman" w:cs="Times New Roman"/>
          <w:color w:val="000000" w:themeColor="text1"/>
          <w:sz w:val="18"/>
          <w:szCs w:val="18"/>
        </w:rPr>
        <w:t>Olga Gurgula, ‘Drug Prices, Patents and Access to Life-Saving Medicines: Changes Are Urgently Needed in the COVID-19 Era’ (2021) 43 European Intellectual Property Review 381.</w:t>
      </w:r>
    </w:p>
  </w:footnote>
  <w:footnote w:id="15">
    <w:p w14:paraId="540001D8" w14:textId="513F49C2" w:rsidR="0039140E" w:rsidRPr="00105EDB" w:rsidRDefault="0039140E" w:rsidP="00DB5EDD">
      <w:pPr>
        <w:pStyle w:val="FootnoteText"/>
        <w:spacing w:after="120"/>
        <w:ind w:left="567" w:hanging="567"/>
        <w:jc w:val="both"/>
        <w:rPr>
          <w:rFonts w:ascii="Times New Roman" w:hAnsi="Times New Roman" w:cs="Times New Roman"/>
          <w:sz w:val="18"/>
          <w:szCs w:val="18"/>
        </w:rPr>
      </w:pPr>
      <w:r w:rsidRPr="00105EDB">
        <w:rPr>
          <w:rStyle w:val="FootnoteReference"/>
          <w:rFonts w:ascii="Times New Roman" w:hAnsi="Times New Roman" w:cs="Times New Roman"/>
          <w:sz w:val="18"/>
          <w:szCs w:val="18"/>
        </w:rPr>
        <w:footnoteRef/>
      </w:r>
      <w:r w:rsidRPr="00105EDB">
        <w:rPr>
          <w:rFonts w:ascii="Times New Roman" w:hAnsi="Times New Roman" w:cs="Times New Roman"/>
          <w:sz w:val="18"/>
          <w:szCs w:val="18"/>
        </w:rPr>
        <w:t xml:space="preserve"> </w:t>
      </w:r>
      <w:r w:rsidRPr="00105EDB">
        <w:rPr>
          <w:rFonts w:ascii="Times New Roman" w:hAnsi="Times New Roman" w:cs="Times New Roman"/>
          <w:sz w:val="18"/>
          <w:szCs w:val="18"/>
        </w:rPr>
        <w:tab/>
      </w:r>
      <w:r w:rsidRPr="00105EDB">
        <w:rPr>
          <w:rFonts w:ascii="Times New Roman" w:eastAsia="Times New Roman" w:hAnsi="Times New Roman" w:cs="Times New Roman"/>
          <w:color w:val="000000"/>
          <w:sz w:val="18"/>
          <w:szCs w:val="18"/>
        </w:rPr>
        <w:t>Olga Gurgula, ‘Compulsory Licensing vs. the IP Waiver: What Is the Best Way to End the COVID-19 Pandemic?’ (2021) 104 South Centre Policy Brief &lt;https://www.southcentre.int/policy-brief-104-october-2021/&gt;.</w:t>
      </w:r>
    </w:p>
  </w:footnote>
  <w:footnote w:id="16">
    <w:p w14:paraId="1F53A3B2" w14:textId="77777777" w:rsidR="0039140E" w:rsidRPr="00105EDB" w:rsidRDefault="0039140E" w:rsidP="00DB5EDD">
      <w:pPr>
        <w:autoSpaceDE w:val="0"/>
        <w:autoSpaceDN w:val="0"/>
        <w:adjustRightInd w:val="0"/>
        <w:spacing w:after="120" w:line="240" w:lineRule="auto"/>
        <w:ind w:left="567" w:hanging="567"/>
        <w:jc w:val="both"/>
        <w:rPr>
          <w:rFonts w:ascii="Times New Roman" w:hAnsi="Times New Roman" w:cs="Times New Roman"/>
          <w:sz w:val="18"/>
          <w:szCs w:val="18"/>
        </w:rPr>
      </w:pPr>
      <w:r w:rsidRPr="00105EDB">
        <w:rPr>
          <w:rStyle w:val="FootnoteReference"/>
          <w:rFonts w:ascii="Times New Roman" w:hAnsi="Times New Roman" w:cs="Times New Roman"/>
          <w:sz w:val="18"/>
          <w:szCs w:val="18"/>
        </w:rPr>
        <w:footnoteRef/>
      </w:r>
      <w:r w:rsidRPr="00105EDB">
        <w:rPr>
          <w:rFonts w:ascii="Times New Roman" w:hAnsi="Times New Roman" w:cs="Times New Roman"/>
          <w:sz w:val="18"/>
          <w:szCs w:val="18"/>
        </w:rPr>
        <w:t xml:space="preserve"> </w:t>
      </w:r>
      <w:r w:rsidRPr="00105EDB">
        <w:rPr>
          <w:rFonts w:ascii="Times New Roman" w:hAnsi="Times New Roman" w:cs="Times New Roman"/>
          <w:sz w:val="18"/>
          <w:szCs w:val="18"/>
        </w:rPr>
        <w:tab/>
        <w:t>WTO Agreement on Trade-Related Intellectual Property Rights, Marrakesh Agreement Establishing the World Trade Organization, Annex 1C, 15 April 1994, as amended on 23 January 2017.</w:t>
      </w:r>
    </w:p>
  </w:footnote>
  <w:footnote w:id="17">
    <w:p w14:paraId="61380F79" w14:textId="63498C84" w:rsidR="00A15916" w:rsidRPr="00105EDB" w:rsidRDefault="00A15916" w:rsidP="00DB5EDD">
      <w:pPr>
        <w:pStyle w:val="FootnoteText"/>
        <w:spacing w:after="120"/>
        <w:ind w:left="567" w:hanging="567"/>
        <w:jc w:val="both"/>
        <w:rPr>
          <w:rFonts w:ascii="Times New Roman" w:hAnsi="Times New Roman" w:cs="Times New Roman"/>
          <w:sz w:val="18"/>
          <w:szCs w:val="18"/>
        </w:rPr>
      </w:pPr>
      <w:r w:rsidRPr="00105EDB">
        <w:rPr>
          <w:rStyle w:val="FootnoteReference"/>
          <w:rFonts w:ascii="Times New Roman" w:hAnsi="Times New Roman" w:cs="Times New Roman"/>
          <w:sz w:val="18"/>
          <w:szCs w:val="18"/>
        </w:rPr>
        <w:footnoteRef/>
      </w:r>
      <w:r w:rsidRPr="00105EDB">
        <w:rPr>
          <w:rFonts w:ascii="Times New Roman" w:hAnsi="Times New Roman" w:cs="Times New Roman"/>
          <w:sz w:val="18"/>
          <w:szCs w:val="18"/>
        </w:rPr>
        <w:t xml:space="preserve"> </w:t>
      </w:r>
      <w:r w:rsidRPr="00105EDB">
        <w:rPr>
          <w:rFonts w:ascii="Times New Roman" w:hAnsi="Times New Roman" w:cs="Times New Roman"/>
          <w:sz w:val="18"/>
          <w:szCs w:val="18"/>
        </w:rPr>
        <w:tab/>
        <w:t>The South Centre, ‘Scope of Compulsory Lice</w:t>
      </w:r>
      <w:r w:rsidRPr="00FC5936">
        <w:rPr>
          <w:rFonts w:ascii="Times New Roman" w:hAnsi="Times New Roman" w:cs="Times New Roman"/>
          <w:sz w:val="18"/>
          <w:szCs w:val="18"/>
        </w:rPr>
        <w:t xml:space="preserve">nse and Government Use of Patented Medicines in the Context of the COVID-19 Pandemic’ (2021) the </w:t>
      </w:r>
      <w:r w:rsidRPr="00FC5936">
        <w:rPr>
          <w:rFonts w:ascii="Times New Roman" w:eastAsia="Times New Roman" w:hAnsi="Times New Roman" w:cs="Times New Roman"/>
          <w:sz w:val="18"/>
          <w:szCs w:val="18"/>
        </w:rPr>
        <w:t>South Centre</w:t>
      </w:r>
      <w:r w:rsidRPr="00FC5936">
        <w:rPr>
          <w:rFonts w:ascii="Times New Roman" w:hAnsi="Times New Roman" w:cs="Times New Roman"/>
          <w:sz w:val="18"/>
          <w:szCs w:val="18"/>
        </w:rPr>
        <w:t xml:space="preserve"> &lt;</w:t>
      </w:r>
      <w:hyperlink r:id="rId16" w:history="1">
        <w:r w:rsidRPr="00FC5936">
          <w:rPr>
            <w:rStyle w:val="Hyperlink"/>
            <w:rFonts w:ascii="Times New Roman" w:hAnsi="Times New Roman" w:cs="Times New Roman"/>
            <w:color w:val="auto"/>
            <w:sz w:val="18"/>
            <w:szCs w:val="18"/>
            <w:u w:val="none"/>
          </w:rPr>
          <w:t>https://www.southcentre.int/covid-19-compulsory-licenses-table-march-2021/</w:t>
        </w:r>
      </w:hyperlink>
      <w:r w:rsidRPr="00FC5936">
        <w:rPr>
          <w:rFonts w:ascii="Times New Roman" w:hAnsi="Times New Roman" w:cs="Times New Roman"/>
          <w:sz w:val="18"/>
          <w:szCs w:val="18"/>
        </w:rPr>
        <w:t xml:space="preserve">&gt;; Katrina Perehudoff , Ellen 't Hoen and </w:t>
      </w:r>
      <w:r w:rsidRPr="00105EDB">
        <w:rPr>
          <w:rFonts w:ascii="Times New Roman" w:hAnsi="Times New Roman" w:cs="Times New Roman"/>
          <w:sz w:val="18"/>
          <w:szCs w:val="18"/>
        </w:rPr>
        <w:t>Pascale Boulet, ‘Overriding drug and medical technology patents for pandemic recovery: a legitimate move for high-income countries, too’ (2021) BMJ Global Health 2021;6:e005518. doi:10.1136/ bmjgh-2021-005518.</w:t>
      </w:r>
    </w:p>
  </w:footnote>
  <w:footnote w:id="18">
    <w:p w14:paraId="3EB677F0" w14:textId="055C8B86" w:rsidR="00A15916" w:rsidRPr="00DD38D2" w:rsidRDefault="00A15916" w:rsidP="00DB5EDD">
      <w:pPr>
        <w:autoSpaceDE w:val="0"/>
        <w:autoSpaceDN w:val="0"/>
        <w:adjustRightInd w:val="0"/>
        <w:spacing w:before="120" w:after="120" w:line="240" w:lineRule="auto"/>
        <w:ind w:left="567" w:hanging="567"/>
        <w:jc w:val="both"/>
        <w:rPr>
          <w:rFonts w:ascii="Times New Roman" w:hAnsi="Times New Roman" w:cs="Times New Roman"/>
          <w:b/>
          <w:bCs/>
          <w:sz w:val="18"/>
          <w:szCs w:val="18"/>
        </w:rPr>
      </w:pPr>
      <w:r w:rsidRPr="00105EDB">
        <w:rPr>
          <w:rStyle w:val="FootnoteReference"/>
          <w:rFonts w:ascii="Times New Roman" w:hAnsi="Times New Roman" w:cs="Times New Roman"/>
          <w:sz w:val="18"/>
          <w:szCs w:val="18"/>
        </w:rPr>
        <w:footnoteRef/>
      </w:r>
      <w:r w:rsidRPr="00105EDB">
        <w:rPr>
          <w:rFonts w:ascii="Times New Roman" w:hAnsi="Times New Roman" w:cs="Times New Roman"/>
          <w:sz w:val="18"/>
          <w:szCs w:val="18"/>
        </w:rPr>
        <w:t xml:space="preserve"> </w:t>
      </w:r>
      <w:r w:rsidRPr="00105EDB">
        <w:rPr>
          <w:rFonts w:ascii="Times New Roman" w:hAnsi="Times New Roman" w:cs="Times New Roman"/>
          <w:sz w:val="18"/>
          <w:szCs w:val="18"/>
        </w:rPr>
        <w:tab/>
        <w:t>MSF Briefing Document,</w:t>
      </w:r>
      <w:r w:rsidRPr="00105EDB">
        <w:rPr>
          <w:rFonts w:ascii="Times New Roman" w:hAnsi="Times New Roman" w:cs="Times New Roman"/>
          <w:i/>
          <w:iCs/>
          <w:sz w:val="18"/>
          <w:szCs w:val="18"/>
        </w:rPr>
        <w:t xml:space="preserve"> </w:t>
      </w:r>
      <w:r w:rsidRPr="00105EDB">
        <w:rPr>
          <w:rFonts w:ascii="Times New Roman" w:hAnsi="Times New Roman" w:cs="Times New Roman"/>
          <w:sz w:val="18"/>
          <w:szCs w:val="18"/>
        </w:rPr>
        <w:t xml:space="preserve">‘Compulsory Licenses, the TRIPS Waiver and Access to COVID-19 Medical Technologies’ (May 2021) </w:t>
      </w:r>
      <w:r w:rsidRPr="00DD38D2">
        <w:rPr>
          <w:rFonts w:ascii="Times New Roman" w:hAnsi="Times New Roman" w:cs="Times New Roman"/>
          <w:sz w:val="18"/>
          <w:szCs w:val="18"/>
        </w:rPr>
        <w:t>&lt;</w:t>
      </w:r>
      <w:hyperlink r:id="rId17" w:history="1">
        <w:r w:rsidRPr="00DD38D2">
          <w:rPr>
            <w:rStyle w:val="Hyperlink"/>
            <w:rFonts w:ascii="Times New Roman" w:hAnsi="Times New Roman" w:cs="Times New Roman"/>
            <w:color w:val="auto"/>
            <w:sz w:val="18"/>
            <w:szCs w:val="18"/>
            <w:u w:val="none"/>
          </w:rPr>
          <w:t>https://msfaccess.org/compulsory-licenses-trips-waiver-and-access-covid-19-medical-technologies</w:t>
        </w:r>
      </w:hyperlink>
      <w:r w:rsidRPr="00DD38D2">
        <w:rPr>
          <w:rStyle w:val="Hyperlink"/>
          <w:rFonts w:ascii="Times New Roman" w:hAnsi="Times New Roman" w:cs="Times New Roman"/>
          <w:color w:val="auto"/>
          <w:sz w:val="18"/>
          <w:szCs w:val="18"/>
          <w:u w:val="none"/>
        </w:rPr>
        <w:t>&gt;</w:t>
      </w:r>
      <w:r w:rsidRPr="00DD38D2">
        <w:rPr>
          <w:rFonts w:ascii="Times New Roman" w:hAnsi="Times New Roman" w:cs="Times New Roman"/>
          <w:sz w:val="18"/>
          <w:szCs w:val="18"/>
        </w:rPr>
        <w:t xml:space="preserve">; </w:t>
      </w:r>
      <w:hyperlink r:id="rId18" w:tgtFrame="_blank" w:tooltip="View this authors biography on their website" w:history="1">
        <w:r w:rsidRPr="00DD38D2">
          <w:rPr>
            <w:rFonts w:ascii="Times New Roman" w:hAnsi="Times New Roman" w:cs="Times New Roman"/>
            <w:sz w:val="18"/>
            <w:szCs w:val="18"/>
          </w:rPr>
          <w:t>Louis Lozouet</w:t>
        </w:r>
      </w:hyperlink>
      <w:r w:rsidRPr="00DD38D2">
        <w:rPr>
          <w:rFonts w:ascii="Times New Roman" w:hAnsi="Times New Roman" w:cs="Times New Roman"/>
          <w:sz w:val="18"/>
          <w:szCs w:val="18"/>
        </w:rPr>
        <w:t>, ‘Brazil: New Compulsory Licensing Rules For Patents In Brazil’ (</w:t>
      </w:r>
      <w:r w:rsidRPr="00DD38D2">
        <w:rPr>
          <w:rFonts w:ascii="Times New Roman" w:hAnsi="Times New Roman" w:cs="Times New Roman"/>
          <w:i/>
          <w:iCs/>
          <w:sz w:val="18"/>
          <w:szCs w:val="18"/>
        </w:rPr>
        <w:t>Montag</w:t>
      </w:r>
      <w:r w:rsidRPr="00DD38D2">
        <w:rPr>
          <w:rFonts w:ascii="Times New Roman" w:hAnsi="Times New Roman" w:cs="Times New Roman"/>
          <w:sz w:val="18"/>
          <w:szCs w:val="18"/>
        </w:rPr>
        <w:t>, 17 September 2021) &lt;</w:t>
      </w:r>
      <w:hyperlink r:id="rId19" w:history="1">
        <w:r w:rsidRPr="00DD38D2">
          <w:rPr>
            <w:rStyle w:val="Hyperlink"/>
            <w:rFonts w:ascii="Times New Roman" w:hAnsi="Times New Roman" w:cs="Times New Roman"/>
            <w:color w:val="auto"/>
            <w:sz w:val="18"/>
            <w:szCs w:val="18"/>
            <w:u w:val="none"/>
          </w:rPr>
          <w:t>https://www.mondaq.com/Article/1111706</w:t>
        </w:r>
      </w:hyperlink>
      <w:r w:rsidRPr="00DD38D2">
        <w:rPr>
          <w:rStyle w:val="Hyperlink"/>
          <w:rFonts w:ascii="Times New Roman" w:hAnsi="Times New Roman" w:cs="Times New Roman"/>
          <w:color w:val="auto"/>
          <w:sz w:val="18"/>
          <w:szCs w:val="18"/>
          <w:u w:val="none"/>
        </w:rPr>
        <w:t>&gt;.</w:t>
      </w:r>
    </w:p>
  </w:footnote>
  <w:footnote w:id="19">
    <w:p w14:paraId="79240A00" w14:textId="5E95E98B" w:rsidR="00A15916" w:rsidRPr="009C6580" w:rsidRDefault="00A15916" w:rsidP="00DB5EDD">
      <w:pPr>
        <w:spacing w:after="120" w:line="240" w:lineRule="auto"/>
        <w:ind w:left="567" w:hanging="567"/>
        <w:jc w:val="both"/>
        <w:outlineLvl w:val="0"/>
        <w:rPr>
          <w:rFonts w:ascii="Times New Roman" w:eastAsia="Times New Roman" w:hAnsi="Times New Roman" w:cs="Times New Roman"/>
          <w:kern w:val="36"/>
          <w:sz w:val="18"/>
          <w:szCs w:val="18"/>
        </w:rPr>
      </w:pPr>
      <w:r w:rsidRPr="00105EDB">
        <w:rPr>
          <w:rStyle w:val="FootnoteReference"/>
          <w:rFonts w:ascii="Times New Roman" w:hAnsi="Times New Roman" w:cs="Times New Roman"/>
          <w:sz w:val="18"/>
          <w:szCs w:val="18"/>
        </w:rPr>
        <w:footnoteRef/>
      </w:r>
      <w:r w:rsidRPr="00105EDB">
        <w:rPr>
          <w:rFonts w:ascii="Times New Roman" w:hAnsi="Times New Roman" w:cs="Times New Roman"/>
          <w:sz w:val="18"/>
          <w:szCs w:val="18"/>
        </w:rPr>
        <w:t xml:space="preserve"> </w:t>
      </w:r>
      <w:r w:rsidRPr="00105EDB">
        <w:rPr>
          <w:rFonts w:ascii="Times New Roman" w:hAnsi="Times New Roman" w:cs="Times New Roman"/>
          <w:sz w:val="18"/>
          <w:szCs w:val="18"/>
        </w:rPr>
        <w:tab/>
        <w:t>‘</w:t>
      </w:r>
      <w:r w:rsidRPr="009C6580">
        <w:rPr>
          <w:rFonts w:ascii="Times New Roman" w:eastAsia="Times New Roman" w:hAnsi="Times New Roman" w:cs="Times New Roman"/>
          <w:kern w:val="36"/>
          <w:sz w:val="18"/>
          <w:szCs w:val="18"/>
        </w:rPr>
        <w:t>WHO COVID-19 Technology Access Pool’ &lt;</w:t>
      </w:r>
      <w:hyperlink r:id="rId20" w:history="1">
        <w:r w:rsidRPr="009C6580">
          <w:rPr>
            <w:rStyle w:val="Hyperlink"/>
            <w:rFonts w:ascii="Times New Roman" w:hAnsi="Times New Roman" w:cs="Times New Roman"/>
            <w:color w:val="auto"/>
            <w:sz w:val="18"/>
            <w:szCs w:val="18"/>
            <w:u w:val="none"/>
          </w:rPr>
          <w:t>https://www.who.int/initiatives/covid-19-technology-access-pool</w:t>
        </w:r>
      </w:hyperlink>
      <w:r w:rsidRPr="009C6580">
        <w:rPr>
          <w:rStyle w:val="Hyperlink"/>
          <w:rFonts w:ascii="Times New Roman" w:hAnsi="Times New Roman" w:cs="Times New Roman"/>
          <w:color w:val="auto"/>
          <w:sz w:val="18"/>
          <w:szCs w:val="18"/>
          <w:u w:val="none"/>
        </w:rPr>
        <w:t>&gt;.</w:t>
      </w:r>
    </w:p>
  </w:footnote>
  <w:footnote w:id="20">
    <w:p w14:paraId="0ACEFE67" w14:textId="46EA6DA9" w:rsidR="00A15916" w:rsidRPr="009C6580" w:rsidRDefault="00A15916" w:rsidP="00DB5EDD">
      <w:pPr>
        <w:pStyle w:val="Heading1"/>
        <w:shd w:val="clear" w:color="auto" w:fill="FFFFFF"/>
        <w:spacing w:before="0" w:beforeAutospacing="0" w:after="0" w:afterAutospacing="0"/>
        <w:ind w:left="567" w:hanging="567"/>
        <w:jc w:val="both"/>
        <w:rPr>
          <w:b w:val="0"/>
          <w:bCs w:val="0"/>
          <w:sz w:val="18"/>
          <w:szCs w:val="18"/>
        </w:rPr>
      </w:pPr>
      <w:r w:rsidRPr="009C6580">
        <w:rPr>
          <w:b w:val="0"/>
          <w:bCs w:val="0"/>
          <w:sz w:val="18"/>
          <w:szCs w:val="18"/>
          <w:vertAlign w:val="superscript"/>
        </w:rPr>
        <w:footnoteRef/>
      </w:r>
      <w:r w:rsidRPr="009C6580">
        <w:rPr>
          <w:b w:val="0"/>
          <w:bCs w:val="0"/>
          <w:sz w:val="18"/>
          <w:szCs w:val="18"/>
        </w:rPr>
        <w:t xml:space="preserve"> </w:t>
      </w:r>
      <w:r w:rsidRPr="009C6580">
        <w:rPr>
          <w:b w:val="0"/>
          <w:bCs w:val="0"/>
          <w:sz w:val="18"/>
          <w:szCs w:val="18"/>
        </w:rPr>
        <w:tab/>
      </w:r>
      <w:hyperlink r:id="rId21" w:tooltip="View all posts by James Love" w:history="1">
        <w:r w:rsidRPr="009C6580">
          <w:rPr>
            <w:b w:val="0"/>
            <w:bCs w:val="0"/>
            <w:sz w:val="18"/>
            <w:szCs w:val="18"/>
          </w:rPr>
          <w:t>James Love</w:t>
        </w:r>
      </w:hyperlink>
      <w:r w:rsidRPr="009C6580">
        <w:rPr>
          <w:b w:val="0"/>
          <w:bCs w:val="0"/>
          <w:sz w:val="18"/>
          <w:szCs w:val="18"/>
        </w:rPr>
        <w:t>, ‘KEI review of 62 COVID 19 contracts reveals 59 authorizations for non-voluntary use of third party patents under 28 USC 1498</w:t>
      </w:r>
      <w:r w:rsidR="00C54274">
        <w:rPr>
          <w:b w:val="0"/>
          <w:bCs w:val="0"/>
          <w:sz w:val="18"/>
          <w:szCs w:val="18"/>
        </w:rPr>
        <w:t xml:space="preserve">’ </w:t>
      </w:r>
      <w:r w:rsidRPr="009C6580">
        <w:rPr>
          <w:b w:val="0"/>
          <w:bCs w:val="0"/>
          <w:sz w:val="18"/>
          <w:szCs w:val="18"/>
        </w:rPr>
        <w:t>(</w:t>
      </w:r>
      <w:r w:rsidRPr="009C6580">
        <w:rPr>
          <w:b w:val="0"/>
          <w:bCs w:val="0"/>
          <w:i/>
          <w:iCs/>
          <w:sz w:val="18"/>
          <w:szCs w:val="18"/>
        </w:rPr>
        <w:t>KEI</w:t>
      </w:r>
      <w:r w:rsidRPr="009C6580">
        <w:rPr>
          <w:b w:val="0"/>
          <w:bCs w:val="0"/>
          <w:sz w:val="18"/>
          <w:szCs w:val="18"/>
        </w:rPr>
        <w:t>, 20 July 2022) &lt;</w:t>
      </w:r>
      <w:hyperlink r:id="rId22" w:history="1">
        <w:r w:rsidRPr="009C6580">
          <w:rPr>
            <w:rStyle w:val="Hyperlink"/>
            <w:b w:val="0"/>
            <w:bCs w:val="0"/>
            <w:color w:val="auto"/>
            <w:sz w:val="18"/>
            <w:szCs w:val="18"/>
            <w:u w:val="none"/>
          </w:rPr>
          <w:t>https://www.keionline.org/37987</w:t>
        </w:r>
      </w:hyperlink>
      <w:r w:rsidRPr="009C6580">
        <w:rPr>
          <w:b w:val="0"/>
          <w:bCs w:val="0"/>
          <w:sz w:val="18"/>
          <w:szCs w:val="18"/>
        </w:rPr>
        <w:t>&gt;.</w:t>
      </w:r>
    </w:p>
  </w:footnote>
  <w:footnote w:id="21">
    <w:p w14:paraId="569A4443" w14:textId="05314C3B" w:rsidR="006D0F9A" w:rsidRPr="009C6580" w:rsidRDefault="006D0F9A" w:rsidP="00DB5EDD">
      <w:pPr>
        <w:pStyle w:val="Heading1"/>
        <w:shd w:val="clear" w:color="auto" w:fill="FFFFFF"/>
        <w:spacing w:before="120" w:beforeAutospacing="0" w:after="120" w:afterAutospacing="0"/>
        <w:ind w:left="567" w:hanging="567"/>
        <w:jc w:val="both"/>
        <w:rPr>
          <w:b w:val="0"/>
          <w:bCs w:val="0"/>
          <w:sz w:val="18"/>
          <w:szCs w:val="18"/>
        </w:rPr>
      </w:pPr>
      <w:r w:rsidRPr="009C6580">
        <w:rPr>
          <w:rStyle w:val="FootnoteReference"/>
          <w:b w:val="0"/>
          <w:bCs w:val="0"/>
          <w:sz w:val="18"/>
          <w:szCs w:val="18"/>
        </w:rPr>
        <w:footnoteRef/>
      </w:r>
      <w:r w:rsidRPr="009C6580">
        <w:rPr>
          <w:b w:val="0"/>
          <w:bCs w:val="0"/>
          <w:sz w:val="18"/>
          <w:szCs w:val="18"/>
        </w:rPr>
        <w:t xml:space="preserve"> </w:t>
      </w:r>
      <w:r w:rsidRPr="009C6580">
        <w:rPr>
          <w:b w:val="0"/>
          <w:bCs w:val="0"/>
          <w:sz w:val="18"/>
          <w:szCs w:val="18"/>
        </w:rPr>
        <w:tab/>
      </w:r>
      <w:hyperlink r:id="rId23" w:history="1">
        <w:r w:rsidRPr="009C6580">
          <w:rPr>
            <w:rFonts w:eastAsiaTheme="minorHAnsi"/>
            <w:b w:val="0"/>
            <w:bCs w:val="0"/>
            <w:kern w:val="0"/>
            <w:sz w:val="18"/>
            <w:szCs w:val="18"/>
            <w:shd w:val="clear" w:color="auto" w:fill="FFFFFF"/>
            <w:lang w:eastAsia="en-US"/>
          </w:rPr>
          <w:t>John Smeaton</w:t>
        </w:r>
      </w:hyperlink>
      <w:r w:rsidRPr="009C6580">
        <w:rPr>
          <w:rFonts w:eastAsiaTheme="minorHAnsi"/>
          <w:b w:val="0"/>
          <w:bCs w:val="0"/>
          <w:kern w:val="0"/>
          <w:sz w:val="18"/>
          <w:szCs w:val="18"/>
          <w:shd w:val="clear" w:color="auto" w:fill="FFFFFF"/>
          <w:lang w:eastAsia="en-US"/>
        </w:rPr>
        <w:t xml:space="preserve"> and </w:t>
      </w:r>
      <w:hyperlink r:id="rId24" w:history="1">
        <w:r w:rsidRPr="009C6580">
          <w:rPr>
            <w:rFonts w:eastAsiaTheme="minorHAnsi"/>
            <w:b w:val="0"/>
            <w:bCs w:val="0"/>
            <w:kern w:val="0"/>
            <w:sz w:val="18"/>
            <w:szCs w:val="18"/>
            <w:shd w:val="clear" w:color="auto" w:fill="FFFFFF"/>
            <w:lang w:eastAsia="en-US"/>
          </w:rPr>
          <w:t>Lydia Harriss</w:t>
        </w:r>
      </w:hyperlink>
      <w:r w:rsidRPr="009C6580">
        <w:rPr>
          <w:rFonts w:eastAsiaTheme="minorHAnsi"/>
          <w:b w:val="0"/>
          <w:bCs w:val="0"/>
          <w:kern w:val="0"/>
          <w:sz w:val="18"/>
          <w:szCs w:val="18"/>
          <w:shd w:val="clear" w:color="auto" w:fill="FFFFFF"/>
          <w:lang w:eastAsia="en-US"/>
        </w:rPr>
        <w:t xml:space="preserve">, </w:t>
      </w:r>
      <w:r w:rsidR="00BF6896" w:rsidRPr="009C6580">
        <w:rPr>
          <w:rFonts w:eastAsiaTheme="minorHAnsi"/>
          <w:b w:val="0"/>
          <w:bCs w:val="0"/>
          <w:kern w:val="0"/>
          <w:sz w:val="18"/>
          <w:szCs w:val="18"/>
          <w:shd w:val="clear" w:color="auto" w:fill="FFFFFF"/>
          <w:lang w:eastAsia="en-US"/>
        </w:rPr>
        <w:t>‘</w:t>
      </w:r>
      <w:r w:rsidRPr="009C6580">
        <w:rPr>
          <w:rFonts w:eastAsiaTheme="minorHAnsi"/>
          <w:b w:val="0"/>
          <w:bCs w:val="0"/>
          <w:kern w:val="0"/>
          <w:sz w:val="18"/>
          <w:szCs w:val="18"/>
          <w:shd w:val="clear" w:color="auto" w:fill="FFFFFF"/>
          <w:lang w:eastAsia="en-US"/>
        </w:rPr>
        <w:t>Manufacturing COVID-19 vaccines</w:t>
      </w:r>
      <w:r w:rsidR="00BF6896" w:rsidRPr="009C6580">
        <w:rPr>
          <w:rFonts w:eastAsiaTheme="minorHAnsi"/>
          <w:b w:val="0"/>
          <w:bCs w:val="0"/>
          <w:kern w:val="0"/>
          <w:sz w:val="18"/>
          <w:szCs w:val="18"/>
          <w:shd w:val="clear" w:color="auto" w:fill="FFFFFF"/>
          <w:lang w:eastAsia="en-US"/>
        </w:rPr>
        <w:t>’ (</w:t>
      </w:r>
      <w:r w:rsidRPr="009C6580">
        <w:rPr>
          <w:rFonts w:eastAsiaTheme="minorHAnsi"/>
          <w:b w:val="0"/>
          <w:bCs w:val="0"/>
          <w:i/>
          <w:iCs/>
          <w:kern w:val="0"/>
          <w:sz w:val="18"/>
          <w:szCs w:val="18"/>
          <w:shd w:val="clear" w:color="auto" w:fill="FFFFFF"/>
          <w:lang w:eastAsia="en-US"/>
        </w:rPr>
        <w:t>UK Parliament,</w:t>
      </w:r>
      <w:r w:rsidRPr="009C6580">
        <w:rPr>
          <w:rFonts w:eastAsiaTheme="minorHAnsi"/>
          <w:b w:val="0"/>
          <w:bCs w:val="0"/>
          <w:kern w:val="0"/>
          <w:sz w:val="18"/>
          <w:szCs w:val="18"/>
          <w:shd w:val="clear" w:color="auto" w:fill="FFFFFF"/>
          <w:lang w:eastAsia="en-US"/>
        </w:rPr>
        <w:t xml:space="preserve"> 14 January 2021</w:t>
      </w:r>
      <w:r w:rsidR="00BF6896" w:rsidRPr="009C6580">
        <w:rPr>
          <w:rFonts w:eastAsiaTheme="minorHAnsi"/>
          <w:b w:val="0"/>
          <w:bCs w:val="0"/>
          <w:kern w:val="0"/>
          <w:sz w:val="18"/>
          <w:szCs w:val="18"/>
          <w:shd w:val="clear" w:color="auto" w:fill="FFFFFF"/>
          <w:lang w:eastAsia="en-US"/>
        </w:rPr>
        <w:t>) &lt;</w:t>
      </w:r>
      <w:hyperlink r:id="rId25" w:history="1">
        <w:r w:rsidRPr="009C6580">
          <w:rPr>
            <w:rStyle w:val="Hyperlink"/>
            <w:rFonts w:eastAsiaTheme="majorEastAsia"/>
            <w:b w:val="0"/>
            <w:bCs w:val="0"/>
            <w:color w:val="auto"/>
            <w:sz w:val="18"/>
            <w:szCs w:val="18"/>
            <w:u w:val="none"/>
            <w:shd w:val="clear" w:color="auto" w:fill="FFFFFF"/>
          </w:rPr>
          <w:t>https://post.parliament.uk/manufacturing-covid-19-vaccines/</w:t>
        </w:r>
      </w:hyperlink>
      <w:r w:rsidR="00BF6896" w:rsidRPr="009C6580">
        <w:rPr>
          <w:rStyle w:val="Hyperlink"/>
          <w:rFonts w:eastAsiaTheme="majorEastAsia"/>
          <w:b w:val="0"/>
          <w:bCs w:val="0"/>
          <w:color w:val="auto"/>
          <w:sz w:val="18"/>
          <w:szCs w:val="18"/>
          <w:u w:val="none"/>
          <w:shd w:val="clear" w:color="auto" w:fill="FFFFFF"/>
        </w:rPr>
        <w:t>&gt;</w:t>
      </w:r>
      <w:r w:rsidRPr="009C6580">
        <w:rPr>
          <w:b w:val="0"/>
          <w:bCs w:val="0"/>
          <w:sz w:val="18"/>
          <w:szCs w:val="18"/>
          <w:shd w:val="clear" w:color="auto" w:fill="FFFFFF"/>
        </w:rPr>
        <w:t>; Derek Lowe</w:t>
      </w:r>
      <w:r w:rsidRPr="009C6580">
        <w:rPr>
          <w:rStyle w:val="ally-focus-within"/>
          <w:rFonts w:eastAsiaTheme="majorEastAsia"/>
          <w:b w:val="0"/>
          <w:bCs w:val="0"/>
          <w:sz w:val="18"/>
          <w:szCs w:val="18"/>
          <w:shd w:val="clear" w:color="auto" w:fill="FFFFFF"/>
        </w:rPr>
        <w:t xml:space="preserve">, </w:t>
      </w:r>
      <w:r w:rsidR="00BF6896" w:rsidRPr="009C6580">
        <w:rPr>
          <w:rStyle w:val="ally-focus-within"/>
          <w:rFonts w:eastAsiaTheme="majorEastAsia"/>
          <w:b w:val="0"/>
          <w:bCs w:val="0"/>
          <w:sz w:val="18"/>
          <w:szCs w:val="18"/>
          <w:shd w:val="clear" w:color="auto" w:fill="FFFFFF"/>
        </w:rPr>
        <w:t>‘</w:t>
      </w:r>
      <w:r w:rsidRPr="009C6580">
        <w:rPr>
          <w:rStyle w:val="ally-focus-within"/>
          <w:rFonts w:eastAsiaTheme="majorEastAsia"/>
          <w:b w:val="0"/>
          <w:bCs w:val="0"/>
          <w:sz w:val="18"/>
          <w:szCs w:val="18"/>
          <w:shd w:val="clear" w:color="auto" w:fill="FFFFFF"/>
        </w:rPr>
        <w:t xml:space="preserve">COVID_19: </w:t>
      </w:r>
      <w:r w:rsidRPr="009C6580">
        <w:rPr>
          <w:b w:val="0"/>
          <w:bCs w:val="0"/>
          <w:sz w:val="18"/>
          <w:szCs w:val="18"/>
        </w:rPr>
        <w:t>Myths of Vaccine Manufacturing</w:t>
      </w:r>
      <w:r w:rsidR="00BF6896" w:rsidRPr="009C6580">
        <w:rPr>
          <w:b w:val="0"/>
          <w:bCs w:val="0"/>
          <w:sz w:val="18"/>
          <w:szCs w:val="18"/>
        </w:rPr>
        <w:t>’ (</w:t>
      </w:r>
      <w:r w:rsidRPr="009C6580">
        <w:rPr>
          <w:b w:val="0"/>
          <w:bCs w:val="0"/>
          <w:i/>
          <w:iCs/>
          <w:sz w:val="18"/>
          <w:szCs w:val="18"/>
          <w:shd w:val="clear" w:color="auto" w:fill="FFFFFF"/>
        </w:rPr>
        <w:t xml:space="preserve">Science Translational Medicine blog, </w:t>
      </w:r>
      <w:r w:rsidRPr="009C6580">
        <w:rPr>
          <w:b w:val="0"/>
          <w:bCs w:val="0"/>
          <w:sz w:val="18"/>
          <w:szCs w:val="18"/>
          <w:shd w:val="clear" w:color="auto" w:fill="FFFFFF"/>
        </w:rPr>
        <w:t>2 February 2021</w:t>
      </w:r>
      <w:r w:rsidR="00BF6896" w:rsidRPr="009C6580">
        <w:rPr>
          <w:b w:val="0"/>
          <w:bCs w:val="0"/>
          <w:sz w:val="18"/>
          <w:szCs w:val="18"/>
          <w:shd w:val="clear" w:color="auto" w:fill="FFFFFF"/>
        </w:rPr>
        <w:t xml:space="preserve">) </w:t>
      </w:r>
      <w:r w:rsidRPr="009C6580">
        <w:rPr>
          <w:b w:val="0"/>
          <w:bCs w:val="0"/>
          <w:sz w:val="18"/>
          <w:szCs w:val="18"/>
          <w:shd w:val="clear" w:color="auto" w:fill="FFFFFF"/>
        </w:rPr>
        <w:t xml:space="preserve"> </w:t>
      </w:r>
      <w:r w:rsidR="00BF6896" w:rsidRPr="009C6580">
        <w:rPr>
          <w:b w:val="0"/>
          <w:bCs w:val="0"/>
          <w:sz w:val="18"/>
          <w:szCs w:val="18"/>
          <w:shd w:val="clear" w:color="auto" w:fill="FFFFFF"/>
        </w:rPr>
        <w:t>&lt;</w:t>
      </w:r>
      <w:hyperlink r:id="rId26" w:history="1">
        <w:r w:rsidR="00BF6896" w:rsidRPr="009C6580">
          <w:rPr>
            <w:rStyle w:val="Hyperlink"/>
            <w:rFonts w:eastAsiaTheme="majorEastAsia"/>
            <w:b w:val="0"/>
            <w:bCs w:val="0"/>
            <w:color w:val="auto"/>
            <w:sz w:val="18"/>
            <w:szCs w:val="18"/>
            <w:u w:val="none"/>
            <w:shd w:val="clear" w:color="auto" w:fill="FFFFFF"/>
          </w:rPr>
          <w:t>https://blogs.sciencemag.org/pipeline/archives/2021/02/02/myths-of-vaccine-manufacturing</w:t>
        </w:r>
      </w:hyperlink>
      <w:r w:rsidR="00BF6896" w:rsidRPr="009C6580">
        <w:rPr>
          <w:rStyle w:val="Hyperlink"/>
          <w:rFonts w:eastAsiaTheme="majorEastAsia"/>
          <w:b w:val="0"/>
          <w:bCs w:val="0"/>
          <w:color w:val="auto"/>
          <w:sz w:val="18"/>
          <w:szCs w:val="18"/>
          <w:u w:val="none"/>
          <w:shd w:val="clear" w:color="auto" w:fill="FFFFFF"/>
        </w:rPr>
        <w:t>&gt;</w:t>
      </w:r>
      <w:r w:rsidRPr="009C6580">
        <w:rPr>
          <w:b w:val="0"/>
          <w:bCs w:val="0"/>
          <w:sz w:val="18"/>
          <w:szCs w:val="18"/>
          <w:shd w:val="clear" w:color="auto" w:fill="FFFFFF"/>
        </w:rPr>
        <w:t>.</w:t>
      </w:r>
    </w:p>
  </w:footnote>
  <w:footnote w:id="22">
    <w:p w14:paraId="7739A30A" w14:textId="319FF70B" w:rsidR="006D0F9A" w:rsidRPr="009C6580" w:rsidRDefault="006D0F9A" w:rsidP="00DB5EDD">
      <w:pPr>
        <w:autoSpaceDE w:val="0"/>
        <w:autoSpaceDN w:val="0"/>
        <w:adjustRightInd w:val="0"/>
        <w:spacing w:after="120" w:line="240" w:lineRule="auto"/>
        <w:ind w:left="567" w:hanging="567"/>
        <w:jc w:val="both"/>
        <w:rPr>
          <w:rFonts w:ascii="Times New Roman" w:hAnsi="Times New Roman" w:cs="Times New Roman"/>
          <w:sz w:val="18"/>
          <w:szCs w:val="18"/>
        </w:rPr>
      </w:pPr>
      <w:r w:rsidRPr="009C6580">
        <w:rPr>
          <w:rStyle w:val="FootnoteReference"/>
          <w:rFonts w:ascii="Times New Roman" w:hAnsi="Times New Roman" w:cs="Times New Roman"/>
          <w:sz w:val="18"/>
          <w:szCs w:val="18"/>
        </w:rPr>
        <w:footnoteRef/>
      </w:r>
      <w:r w:rsidRPr="009C6580">
        <w:rPr>
          <w:rFonts w:ascii="Times New Roman" w:hAnsi="Times New Roman" w:cs="Times New Roman"/>
          <w:sz w:val="18"/>
          <w:szCs w:val="18"/>
        </w:rPr>
        <w:t xml:space="preserve"> </w:t>
      </w:r>
      <w:r w:rsidRPr="009C6580">
        <w:rPr>
          <w:rFonts w:ascii="Times New Roman" w:hAnsi="Times New Roman" w:cs="Times New Roman"/>
          <w:sz w:val="18"/>
          <w:szCs w:val="18"/>
        </w:rPr>
        <w:tab/>
      </w:r>
      <w:r w:rsidRPr="009C6580">
        <w:rPr>
          <w:rFonts w:ascii="Times New Roman" w:hAnsi="Times New Roman" w:cs="Times New Roman"/>
          <w:sz w:val="18"/>
          <w:szCs w:val="18"/>
          <w:shd w:val="clear" w:color="auto" w:fill="FFFFFF"/>
        </w:rPr>
        <w:t xml:space="preserve">Aisling McMahon, </w:t>
      </w:r>
      <w:r w:rsidR="00BF6896" w:rsidRPr="009C6580">
        <w:rPr>
          <w:rFonts w:ascii="Times New Roman" w:hAnsi="Times New Roman" w:cs="Times New Roman"/>
          <w:sz w:val="18"/>
          <w:szCs w:val="18"/>
          <w:shd w:val="clear" w:color="auto" w:fill="FFFFFF"/>
        </w:rPr>
        <w:t>‘</w:t>
      </w:r>
      <w:r w:rsidRPr="009C6580">
        <w:rPr>
          <w:rFonts w:ascii="Times New Roman" w:hAnsi="Times New Roman" w:cs="Times New Roman"/>
          <w:sz w:val="18"/>
          <w:szCs w:val="18"/>
          <w:shd w:val="clear" w:color="auto" w:fill="FFFFFF"/>
        </w:rPr>
        <w:t>Patients</w:t>
      </w:r>
      <w:r w:rsidRPr="009C6580">
        <w:rPr>
          <w:rFonts w:ascii="Times New Roman" w:hAnsi="Times New Roman" w:cs="Times New Roman"/>
          <w:sz w:val="18"/>
          <w:szCs w:val="18"/>
        </w:rPr>
        <w:t>, access to health and COVID 19 – the role of compulsory and government-use licensing in Ireland</w:t>
      </w:r>
      <w:r w:rsidR="001D6DEF" w:rsidRPr="009C6580">
        <w:rPr>
          <w:rFonts w:ascii="Times New Roman" w:hAnsi="Times New Roman" w:cs="Times New Roman"/>
          <w:sz w:val="18"/>
          <w:szCs w:val="18"/>
        </w:rPr>
        <w:t>’ (2020) 7(3)</w:t>
      </w:r>
      <w:r w:rsidRPr="009C6580">
        <w:rPr>
          <w:rFonts w:ascii="Times New Roman" w:hAnsi="Times New Roman" w:cs="Times New Roman"/>
          <w:sz w:val="18"/>
          <w:szCs w:val="18"/>
        </w:rPr>
        <w:t xml:space="preserve"> </w:t>
      </w:r>
      <w:r w:rsidRPr="009C6580">
        <w:rPr>
          <w:rFonts w:ascii="Times New Roman" w:hAnsi="Times New Roman" w:cs="Times New Roman"/>
          <w:i/>
          <w:iCs/>
          <w:sz w:val="18"/>
          <w:szCs w:val="18"/>
        </w:rPr>
        <w:t>NI Legal Quarterly</w:t>
      </w:r>
      <w:r w:rsidRPr="009C6580">
        <w:rPr>
          <w:rFonts w:ascii="Times New Roman" w:hAnsi="Times New Roman" w:cs="Times New Roman"/>
          <w:sz w:val="18"/>
          <w:szCs w:val="18"/>
        </w:rPr>
        <w:t xml:space="preserve"> 338; Sara Eve Crager, </w:t>
      </w:r>
      <w:r w:rsidR="00C95458" w:rsidRPr="009C6580">
        <w:rPr>
          <w:rFonts w:ascii="Times New Roman" w:hAnsi="Times New Roman" w:cs="Times New Roman"/>
          <w:sz w:val="18"/>
          <w:szCs w:val="18"/>
        </w:rPr>
        <w:t>‘</w:t>
      </w:r>
      <w:r w:rsidRPr="009C6580">
        <w:rPr>
          <w:rFonts w:ascii="Times New Roman" w:hAnsi="Times New Roman" w:cs="Times New Roman"/>
          <w:sz w:val="18"/>
          <w:szCs w:val="18"/>
        </w:rPr>
        <w:t>Improving Global Access to New Vaccines: Intellectual Property, Technology Transfer and Regulatory Pathways</w:t>
      </w:r>
      <w:r w:rsidR="00C95458" w:rsidRPr="009C6580">
        <w:rPr>
          <w:rFonts w:ascii="Times New Roman" w:hAnsi="Times New Roman" w:cs="Times New Roman"/>
          <w:sz w:val="18"/>
          <w:szCs w:val="18"/>
        </w:rPr>
        <w:t>’ (2014) 104(11)</w:t>
      </w:r>
      <w:r w:rsidRPr="009C6580">
        <w:rPr>
          <w:rFonts w:ascii="Times New Roman" w:hAnsi="Times New Roman" w:cs="Times New Roman"/>
          <w:sz w:val="18"/>
          <w:szCs w:val="18"/>
        </w:rPr>
        <w:t xml:space="preserve"> </w:t>
      </w:r>
      <w:r w:rsidRPr="009C6580">
        <w:rPr>
          <w:rFonts w:ascii="Times New Roman" w:hAnsi="Times New Roman" w:cs="Times New Roman"/>
          <w:i/>
          <w:iCs/>
          <w:sz w:val="18"/>
          <w:szCs w:val="18"/>
        </w:rPr>
        <w:t>Am Jo Pub Health</w:t>
      </w:r>
      <w:r w:rsidRPr="009C6580">
        <w:rPr>
          <w:rFonts w:ascii="Times New Roman" w:hAnsi="Times New Roman" w:cs="Times New Roman"/>
          <w:sz w:val="18"/>
          <w:szCs w:val="18"/>
        </w:rPr>
        <w:t xml:space="preserve"> e87</w:t>
      </w:r>
      <w:r w:rsidR="006C3646" w:rsidRPr="009C6580">
        <w:rPr>
          <w:rFonts w:ascii="Times New Roman" w:hAnsi="Times New Roman" w:cs="Times New Roman"/>
          <w:sz w:val="18"/>
          <w:szCs w:val="18"/>
        </w:rPr>
        <w:t>.</w:t>
      </w:r>
      <w:r w:rsidRPr="009C6580">
        <w:rPr>
          <w:rFonts w:ascii="Times New Roman" w:hAnsi="Times New Roman" w:cs="Times New Roman"/>
          <w:sz w:val="18"/>
          <w:szCs w:val="18"/>
        </w:rPr>
        <w:t xml:space="preserve"> </w:t>
      </w:r>
    </w:p>
  </w:footnote>
  <w:footnote w:id="23">
    <w:p w14:paraId="7930BBA1" w14:textId="28563AC1" w:rsidR="006D0F9A" w:rsidRPr="009C6580" w:rsidRDefault="006D0F9A" w:rsidP="00DB5EDD">
      <w:pPr>
        <w:pStyle w:val="FootnoteText"/>
        <w:spacing w:after="120"/>
        <w:ind w:left="567" w:hanging="567"/>
        <w:jc w:val="both"/>
        <w:rPr>
          <w:rFonts w:ascii="Times New Roman" w:hAnsi="Times New Roman" w:cs="Times New Roman"/>
          <w:sz w:val="18"/>
          <w:szCs w:val="18"/>
        </w:rPr>
      </w:pPr>
      <w:r w:rsidRPr="009C6580">
        <w:rPr>
          <w:rStyle w:val="FootnoteReference"/>
          <w:rFonts w:ascii="Times New Roman" w:hAnsi="Times New Roman" w:cs="Times New Roman"/>
          <w:sz w:val="18"/>
          <w:szCs w:val="18"/>
        </w:rPr>
        <w:footnoteRef/>
      </w:r>
      <w:r w:rsidRPr="009C6580">
        <w:rPr>
          <w:rFonts w:ascii="Times New Roman" w:hAnsi="Times New Roman" w:cs="Times New Roman"/>
          <w:sz w:val="18"/>
          <w:szCs w:val="18"/>
        </w:rPr>
        <w:t xml:space="preserve"> </w:t>
      </w:r>
      <w:r w:rsidRPr="009C6580">
        <w:rPr>
          <w:rFonts w:ascii="Times New Roman" w:hAnsi="Times New Roman" w:cs="Times New Roman"/>
          <w:sz w:val="18"/>
          <w:szCs w:val="18"/>
        </w:rPr>
        <w:tab/>
        <w:t xml:space="preserve">For a discussion see </w:t>
      </w:r>
      <w:hyperlink r:id="rId27" w:history="1">
        <w:r w:rsidRPr="009C6580">
          <w:rPr>
            <w:rFonts w:ascii="Times New Roman" w:hAnsi="Times New Roman" w:cs="Times New Roman"/>
            <w:sz w:val="18"/>
            <w:szCs w:val="18"/>
          </w:rPr>
          <w:t>Nicola Searle</w:t>
        </w:r>
      </w:hyperlink>
      <w:r w:rsidRPr="009C6580">
        <w:rPr>
          <w:rFonts w:ascii="Times New Roman" w:hAnsi="Times New Roman" w:cs="Times New Roman"/>
          <w:sz w:val="18"/>
          <w:szCs w:val="18"/>
        </w:rPr>
        <w:t xml:space="preserve">, </w:t>
      </w:r>
      <w:r w:rsidR="006C3646" w:rsidRPr="009C6580">
        <w:rPr>
          <w:rFonts w:ascii="Times New Roman" w:hAnsi="Times New Roman" w:cs="Times New Roman"/>
          <w:sz w:val="18"/>
          <w:szCs w:val="18"/>
        </w:rPr>
        <w:t>‘</w:t>
      </w:r>
      <w:r w:rsidRPr="009C6580">
        <w:rPr>
          <w:rFonts w:ascii="Times New Roman" w:hAnsi="Times New Roman" w:cs="Times New Roman"/>
          <w:sz w:val="18"/>
          <w:szCs w:val="18"/>
        </w:rPr>
        <w:t>The</w:t>
      </w:r>
      <w:r w:rsidRPr="009C6580">
        <w:rPr>
          <w:rFonts w:ascii="Times New Roman" w:hAnsi="Times New Roman" w:cs="Times New Roman"/>
          <w:sz w:val="18"/>
          <w:szCs w:val="18"/>
          <w:shd w:val="clear" w:color="auto" w:fill="FFFFFF"/>
        </w:rPr>
        <w:t xml:space="preserve"> process may (or may not) be the product: trade secrets and COVID research</w:t>
      </w:r>
      <w:r w:rsidR="006C3646" w:rsidRPr="009C6580">
        <w:rPr>
          <w:rFonts w:ascii="Times New Roman" w:hAnsi="Times New Roman" w:cs="Times New Roman"/>
          <w:sz w:val="18"/>
          <w:szCs w:val="18"/>
          <w:shd w:val="clear" w:color="auto" w:fill="FFFFFF"/>
        </w:rPr>
        <w:t>’ (</w:t>
      </w:r>
      <w:r w:rsidRPr="009C6580">
        <w:rPr>
          <w:rFonts w:ascii="Times New Roman" w:hAnsi="Times New Roman" w:cs="Times New Roman"/>
          <w:i/>
          <w:iCs/>
          <w:sz w:val="18"/>
          <w:szCs w:val="18"/>
          <w:shd w:val="clear" w:color="auto" w:fill="FFFFFF"/>
        </w:rPr>
        <w:t>the IPKat</w:t>
      </w:r>
      <w:r w:rsidRPr="009C6580">
        <w:rPr>
          <w:rFonts w:ascii="Times New Roman" w:hAnsi="Times New Roman" w:cs="Times New Roman"/>
          <w:sz w:val="18"/>
          <w:szCs w:val="18"/>
          <w:shd w:val="clear" w:color="auto" w:fill="FFFFFF"/>
        </w:rPr>
        <w:t>, 3 August 2020</w:t>
      </w:r>
      <w:r w:rsidR="006C3646" w:rsidRPr="009C6580">
        <w:rPr>
          <w:rFonts w:ascii="Times New Roman" w:hAnsi="Times New Roman" w:cs="Times New Roman"/>
          <w:sz w:val="18"/>
          <w:szCs w:val="18"/>
          <w:shd w:val="clear" w:color="auto" w:fill="FFFFFF"/>
        </w:rPr>
        <w:t>) &lt;</w:t>
      </w:r>
      <w:hyperlink r:id="rId28" w:history="1">
        <w:r w:rsidRPr="009C6580">
          <w:rPr>
            <w:rStyle w:val="Hyperlink"/>
            <w:rFonts w:ascii="Times New Roman" w:hAnsi="Times New Roman" w:cs="Times New Roman"/>
            <w:color w:val="auto"/>
            <w:sz w:val="18"/>
            <w:szCs w:val="18"/>
            <w:u w:val="none"/>
          </w:rPr>
          <w:t>https://ipkitten.blogspot.com/2020/08/the-process-may-or-may-not-be-product.htm</w:t>
        </w:r>
      </w:hyperlink>
      <w:r w:rsidRPr="009C6580">
        <w:rPr>
          <w:rFonts w:ascii="Times New Roman" w:hAnsi="Times New Roman" w:cs="Times New Roman"/>
          <w:sz w:val="18"/>
          <w:szCs w:val="18"/>
        </w:rPr>
        <w:t>./</w:t>
      </w:r>
      <w:r w:rsidR="006C3646" w:rsidRPr="009C6580">
        <w:rPr>
          <w:rFonts w:ascii="Times New Roman" w:hAnsi="Times New Roman" w:cs="Times New Roman"/>
          <w:sz w:val="18"/>
          <w:szCs w:val="18"/>
        </w:rPr>
        <w:t>&gt;.</w:t>
      </w:r>
    </w:p>
  </w:footnote>
  <w:footnote w:id="24">
    <w:p w14:paraId="3404F68C" w14:textId="54544AF3" w:rsidR="00DB5EDD" w:rsidRPr="009C6580" w:rsidRDefault="00DB5EDD" w:rsidP="00BE5AC7">
      <w:pPr>
        <w:spacing w:after="120" w:line="240" w:lineRule="auto"/>
        <w:ind w:left="567" w:hanging="567"/>
        <w:jc w:val="both"/>
      </w:pPr>
      <w:r w:rsidRPr="009C6580">
        <w:rPr>
          <w:rStyle w:val="FootnoteReference"/>
          <w:rFonts w:ascii="Times New Roman" w:hAnsi="Times New Roman" w:cs="Times New Roman"/>
          <w:sz w:val="18"/>
          <w:szCs w:val="18"/>
        </w:rPr>
        <w:footnoteRef/>
      </w:r>
      <w:r w:rsidRPr="009C6580">
        <w:rPr>
          <w:rFonts w:ascii="Times New Roman" w:hAnsi="Times New Roman" w:cs="Times New Roman"/>
          <w:sz w:val="18"/>
          <w:szCs w:val="18"/>
        </w:rPr>
        <w:t xml:space="preserve"> </w:t>
      </w:r>
      <w:r w:rsidRPr="009C6580">
        <w:rPr>
          <w:rFonts w:ascii="Times New Roman" w:hAnsi="Times New Roman" w:cs="Times New Roman"/>
          <w:sz w:val="18"/>
          <w:szCs w:val="18"/>
        </w:rPr>
        <w:tab/>
      </w:r>
      <w:r w:rsidRPr="009C6580">
        <w:rPr>
          <w:rFonts w:ascii="Times New Roman" w:eastAsia="Times New Roman" w:hAnsi="Times New Roman" w:cs="Times New Roman"/>
          <w:sz w:val="18"/>
          <w:szCs w:val="18"/>
        </w:rPr>
        <w:t xml:space="preserve">Olga Gurgula and John Hull, ‘Compulsory licensing of trade secrets: ensuring access to COVID-19 vaccines via involuntary technology transfer’ (2021) 16 Journal of Intellectual Property Law &amp; Practice 1242. </w:t>
      </w:r>
    </w:p>
  </w:footnote>
  <w:footnote w:id="25">
    <w:p w14:paraId="76913B28" w14:textId="4AD8BC9E" w:rsidR="00DF7339" w:rsidRPr="00105EDB" w:rsidRDefault="00DF7339" w:rsidP="00DB5EDD">
      <w:pPr>
        <w:spacing w:after="120" w:line="240" w:lineRule="auto"/>
        <w:ind w:left="567" w:hanging="567"/>
        <w:jc w:val="both"/>
        <w:rPr>
          <w:rFonts w:ascii="Times New Roman" w:hAnsi="Times New Roman" w:cs="Times New Roman"/>
          <w:sz w:val="18"/>
          <w:szCs w:val="18"/>
        </w:rPr>
      </w:pPr>
      <w:r w:rsidRPr="009C6580">
        <w:rPr>
          <w:rFonts w:ascii="Times New Roman" w:eastAsia="Times New Roman" w:hAnsi="Times New Roman" w:cs="Times New Roman"/>
          <w:sz w:val="18"/>
          <w:szCs w:val="18"/>
          <w:vertAlign w:val="superscript"/>
        </w:rPr>
        <w:footnoteRef/>
      </w:r>
      <w:r w:rsidRPr="009C6580">
        <w:rPr>
          <w:rFonts w:ascii="Times New Roman" w:eastAsia="Times New Roman" w:hAnsi="Times New Roman" w:cs="Times New Roman"/>
          <w:sz w:val="18"/>
          <w:szCs w:val="18"/>
        </w:rPr>
        <w:t xml:space="preserve"> </w:t>
      </w:r>
      <w:r w:rsidRPr="009C6580">
        <w:rPr>
          <w:rFonts w:ascii="Times New Roman" w:eastAsia="Times New Roman" w:hAnsi="Times New Roman" w:cs="Times New Roman"/>
          <w:sz w:val="18"/>
          <w:szCs w:val="18"/>
        </w:rPr>
        <w:tab/>
        <w:t>Olga Gurgula and Luke McDonagh, ‘Access Denied: the</w:t>
      </w:r>
      <w:r w:rsidRPr="00105EDB">
        <w:rPr>
          <w:rFonts w:ascii="Times New Roman" w:eastAsia="Times New Roman" w:hAnsi="Times New Roman" w:cs="Times New Roman"/>
          <w:sz w:val="18"/>
          <w:szCs w:val="18"/>
        </w:rPr>
        <w:t xml:space="preserve"> Role of Trade Secrets in Preventing Global Equitable Access to COVID-19 Tools’ (2023) STOPAIDS &amp; JUST TREATMENT &lt;</w:t>
      </w:r>
      <w:hyperlink r:id="rId29" w:history="1">
        <w:r w:rsidRPr="00105EDB">
          <w:rPr>
            <w:rFonts w:ascii="Times New Roman" w:eastAsia="Times New Roman" w:hAnsi="Times New Roman" w:cs="Times New Roman"/>
            <w:sz w:val="18"/>
            <w:szCs w:val="18"/>
          </w:rPr>
          <w:t>https://papers.ssrn.com/sol3/papers.cfm?abstract_id=4484507</w:t>
        </w:r>
      </w:hyperlink>
      <w:r w:rsidRPr="00105EDB">
        <w:rPr>
          <w:rFonts w:ascii="Times New Roman" w:eastAsia="Times New Roman" w:hAnsi="Times New Roman" w:cs="Times New Roman"/>
          <w:sz w:val="18"/>
          <w:szCs w:val="18"/>
        </w:rPr>
        <w:t>&gt;.</w:t>
      </w:r>
    </w:p>
  </w:footnote>
  <w:footnote w:id="26">
    <w:p w14:paraId="418E42A0" w14:textId="3875DCA1" w:rsidR="000B1AAE" w:rsidRPr="009E6E61" w:rsidRDefault="000B1AAE" w:rsidP="00DB5EDD">
      <w:pPr>
        <w:pStyle w:val="FootnoteText"/>
        <w:spacing w:after="120"/>
        <w:ind w:left="567" w:hanging="567"/>
        <w:jc w:val="both"/>
        <w:rPr>
          <w:rFonts w:ascii="Times New Roman" w:hAnsi="Times New Roman" w:cs="Times New Roman"/>
          <w:sz w:val="18"/>
          <w:szCs w:val="18"/>
        </w:rPr>
      </w:pPr>
      <w:r w:rsidRPr="007A2DB4">
        <w:rPr>
          <w:rStyle w:val="FootnoteReference"/>
          <w:rFonts w:ascii="Times New Roman" w:hAnsi="Times New Roman" w:cs="Times New Roman"/>
          <w:sz w:val="18"/>
          <w:szCs w:val="18"/>
        </w:rPr>
        <w:footnoteRef/>
      </w:r>
      <w:r w:rsidRPr="007A2DB4">
        <w:rPr>
          <w:rFonts w:ascii="Times New Roman" w:hAnsi="Times New Roman" w:cs="Times New Roman"/>
          <w:sz w:val="18"/>
          <w:szCs w:val="18"/>
        </w:rPr>
        <w:t xml:space="preserve"> </w:t>
      </w:r>
      <w:r w:rsidRPr="007A2DB4">
        <w:rPr>
          <w:rFonts w:ascii="Times New Roman" w:hAnsi="Times New Roman" w:cs="Times New Roman"/>
          <w:sz w:val="18"/>
          <w:szCs w:val="18"/>
        </w:rPr>
        <w:tab/>
      </w:r>
      <w:r w:rsidRPr="007A2DB4">
        <w:rPr>
          <w:rFonts w:ascii="Times New Roman" w:hAnsi="Times New Roman" w:cs="Times New Roman"/>
          <w:i/>
          <w:iCs/>
          <w:sz w:val="18"/>
          <w:szCs w:val="18"/>
        </w:rPr>
        <w:t>E.g</w:t>
      </w:r>
      <w:r w:rsidRPr="007A2DB4">
        <w:rPr>
          <w:rFonts w:ascii="Times New Roman" w:hAnsi="Times New Roman" w:cs="Times New Roman"/>
          <w:sz w:val="18"/>
          <w:szCs w:val="18"/>
        </w:rPr>
        <w:t>.,</w:t>
      </w:r>
      <w:r>
        <w:rPr>
          <w:rFonts w:ascii="Times New Roman" w:hAnsi="Times New Roman" w:cs="Times New Roman"/>
          <w:sz w:val="18"/>
          <w:szCs w:val="18"/>
        </w:rPr>
        <w:t xml:space="preserve"> based on</w:t>
      </w:r>
      <w:r w:rsidRPr="007A2DB4">
        <w:rPr>
          <w:rFonts w:ascii="Times New Roman" w:hAnsi="Times New Roman" w:cs="Times New Roman"/>
          <w:sz w:val="18"/>
          <w:szCs w:val="18"/>
        </w:rPr>
        <w:t xml:space="preserve"> the US Defense Production Act </w:t>
      </w:r>
      <w:r w:rsidRPr="0076774D">
        <w:rPr>
          <w:rFonts w:ascii="Times New Roman" w:hAnsi="Times New Roman" w:cs="Times New Roman"/>
          <w:sz w:val="18"/>
          <w:szCs w:val="18"/>
        </w:rPr>
        <w:t xml:space="preserve">of 1950 </w:t>
      </w:r>
      <w:r w:rsidRPr="007A2DB4">
        <w:rPr>
          <w:rFonts w:ascii="Times New Roman" w:hAnsi="Times New Roman" w:cs="Times New Roman"/>
          <w:sz w:val="18"/>
          <w:szCs w:val="18"/>
        </w:rPr>
        <w:t xml:space="preserve">(‘DPA’) the President </w:t>
      </w:r>
      <w:r>
        <w:rPr>
          <w:rFonts w:ascii="Times New Roman" w:hAnsi="Times New Roman" w:cs="Times New Roman"/>
          <w:sz w:val="18"/>
          <w:szCs w:val="18"/>
        </w:rPr>
        <w:t xml:space="preserve">has the power </w:t>
      </w:r>
      <w:r w:rsidRPr="007A2DB4">
        <w:rPr>
          <w:rFonts w:ascii="Times New Roman" w:hAnsi="Times New Roman" w:cs="Times New Roman"/>
          <w:sz w:val="18"/>
          <w:szCs w:val="18"/>
        </w:rPr>
        <w:t xml:space="preserve">to </w:t>
      </w:r>
      <w:r w:rsidRPr="007A2DB4">
        <w:rPr>
          <w:rFonts w:ascii="Times New Roman" w:eastAsia="Times New Roman" w:hAnsi="Times New Roman" w:cs="Times New Roman"/>
          <w:sz w:val="18"/>
          <w:szCs w:val="18"/>
          <w:lang w:eastAsia="en-GB"/>
        </w:rPr>
        <w:t>require pharmaceutical com</w:t>
      </w:r>
      <w:r w:rsidRPr="009E6E61">
        <w:rPr>
          <w:rFonts w:ascii="Times New Roman" w:eastAsia="Times New Roman" w:hAnsi="Times New Roman" w:cs="Times New Roman"/>
          <w:sz w:val="18"/>
          <w:szCs w:val="18"/>
          <w:lang w:eastAsia="en-GB"/>
        </w:rPr>
        <w:t xml:space="preserve">panies that produce COVID-19 vaccines to share information and data needed to facilitate increased production. </w:t>
      </w:r>
      <w:r w:rsidRPr="009E6E61">
        <w:rPr>
          <w:rFonts w:ascii="Times New Roman" w:eastAsia="Times New Roman" w:hAnsi="Times New Roman" w:cs="Times New Roman"/>
          <w:i/>
          <w:iCs/>
          <w:sz w:val="18"/>
          <w:szCs w:val="18"/>
          <w:lang w:eastAsia="en-GB"/>
        </w:rPr>
        <w:t>See</w:t>
      </w:r>
      <w:r w:rsidRPr="009E6E61">
        <w:rPr>
          <w:rFonts w:ascii="Times New Roman" w:eastAsia="Times New Roman" w:hAnsi="Times New Roman" w:cs="Times New Roman"/>
          <w:sz w:val="18"/>
          <w:szCs w:val="18"/>
          <w:lang w:eastAsia="en-GB"/>
        </w:rPr>
        <w:t xml:space="preserve"> </w:t>
      </w:r>
      <w:r w:rsidRPr="009E6E61">
        <w:rPr>
          <w:rFonts w:ascii="Times New Roman" w:hAnsi="Times New Roman" w:cs="Times New Roman"/>
          <w:sz w:val="18"/>
          <w:szCs w:val="18"/>
          <w:shd w:val="clear" w:color="auto" w:fill="FFFFFF"/>
        </w:rPr>
        <w:t>Amy Kapczynski and Jishian Ravinthiran, ‘How to vaccinate the world. Part 2’</w:t>
      </w:r>
      <w:r w:rsidR="000F0CAC" w:rsidRPr="009E6E61">
        <w:rPr>
          <w:rFonts w:ascii="Times New Roman" w:hAnsi="Times New Roman" w:cs="Times New Roman"/>
          <w:sz w:val="18"/>
          <w:szCs w:val="18"/>
          <w:shd w:val="clear" w:color="auto" w:fill="FFFFFF"/>
        </w:rPr>
        <w:t xml:space="preserve"> (</w:t>
      </w:r>
      <w:r w:rsidRPr="009E6E61">
        <w:rPr>
          <w:rFonts w:ascii="Times New Roman" w:hAnsi="Times New Roman" w:cs="Times New Roman"/>
          <w:i/>
          <w:iCs/>
          <w:sz w:val="18"/>
          <w:szCs w:val="18"/>
          <w:shd w:val="clear" w:color="auto" w:fill="FFFFFF"/>
        </w:rPr>
        <w:t>LPE Project</w:t>
      </w:r>
      <w:r w:rsidRPr="009E6E61">
        <w:rPr>
          <w:rFonts w:ascii="Times New Roman" w:hAnsi="Times New Roman" w:cs="Times New Roman"/>
          <w:sz w:val="18"/>
          <w:szCs w:val="18"/>
          <w:shd w:val="clear" w:color="auto" w:fill="FFFFFF"/>
        </w:rPr>
        <w:t>, 4 April 2021</w:t>
      </w:r>
      <w:r w:rsidR="000F0CAC" w:rsidRPr="009E6E61">
        <w:rPr>
          <w:rFonts w:ascii="Times New Roman" w:hAnsi="Times New Roman" w:cs="Times New Roman"/>
          <w:sz w:val="18"/>
          <w:szCs w:val="18"/>
          <w:shd w:val="clear" w:color="auto" w:fill="FFFFFF"/>
        </w:rPr>
        <w:t>) &lt;</w:t>
      </w:r>
      <w:hyperlink r:id="rId30" w:history="1">
        <w:r w:rsidRPr="009E6E61">
          <w:rPr>
            <w:rStyle w:val="Hyperlink"/>
            <w:rFonts w:ascii="Times New Roman" w:hAnsi="Times New Roman" w:cs="Times New Roman"/>
            <w:color w:val="auto"/>
            <w:sz w:val="18"/>
            <w:szCs w:val="18"/>
            <w:u w:val="none"/>
            <w:shd w:val="clear" w:color="auto" w:fill="FFFFFF"/>
          </w:rPr>
          <w:t>https://lpeproject.org/blog/how-to-vaccinate-the-world-part-2/</w:t>
        </w:r>
      </w:hyperlink>
      <w:r w:rsidR="000F0CAC" w:rsidRPr="009E6E61">
        <w:rPr>
          <w:rStyle w:val="Hyperlink"/>
          <w:rFonts w:ascii="Times New Roman" w:hAnsi="Times New Roman" w:cs="Times New Roman"/>
          <w:color w:val="auto"/>
          <w:sz w:val="18"/>
          <w:szCs w:val="18"/>
          <w:u w:val="none"/>
          <w:shd w:val="clear" w:color="auto" w:fill="FFFFFF"/>
        </w:rPr>
        <w:t>&gt;</w:t>
      </w:r>
      <w:r w:rsidRPr="009E6E61">
        <w:rPr>
          <w:rFonts w:ascii="Times New Roman" w:hAnsi="Times New Roman" w:cs="Times New Roman"/>
          <w:sz w:val="18"/>
          <w:szCs w:val="18"/>
          <w:shd w:val="clear" w:color="auto" w:fill="FFFFFF"/>
        </w:rPr>
        <w:t>.</w:t>
      </w:r>
    </w:p>
  </w:footnote>
  <w:footnote w:id="27">
    <w:p w14:paraId="099EC520" w14:textId="6C683B8E" w:rsidR="000B1AAE" w:rsidRPr="00471B1C" w:rsidRDefault="000B1AAE" w:rsidP="00DB5EDD">
      <w:pPr>
        <w:pStyle w:val="Heading1"/>
        <w:shd w:val="clear" w:color="auto" w:fill="FFFFFF"/>
        <w:spacing w:before="0" w:beforeAutospacing="0" w:after="120" w:afterAutospacing="0"/>
        <w:ind w:left="567" w:hanging="567"/>
        <w:jc w:val="both"/>
        <w:rPr>
          <w:b w:val="0"/>
          <w:bCs w:val="0"/>
        </w:rPr>
      </w:pPr>
      <w:r w:rsidRPr="009E6E61">
        <w:rPr>
          <w:rFonts w:eastAsiaTheme="minorHAnsi"/>
          <w:b w:val="0"/>
          <w:bCs w:val="0"/>
          <w:sz w:val="18"/>
          <w:szCs w:val="18"/>
          <w:vertAlign w:val="superscript"/>
        </w:rPr>
        <w:footnoteRef/>
      </w:r>
      <w:r w:rsidRPr="009E6E61">
        <w:rPr>
          <w:rFonts w:eastAsiaTheme="minorHAnsi"/>
          <w:b w:val="0"/>
          <w:bCs w:val="0"/>
          <w:kern w:val="0"/>
          <w:sz w:val="18"/>
          <w:szCs w:val="18"/>
          <w:vertAlign w:val="superscript"/>
          <w:lang w:eastAsia="en-US"/>
        </w:rPr>
        <w:t xml:space="preserve"> </w:t>
      </w:r>
      <w:r w:rsidRPr="009E6E61">
        <w:rPr>
          <w:rFonts w:eastAsiaTheme="minorHAnsi"/>
          <w:b w:val="0"/>
          <w:bCs w:val="0"/>
          <w:kern w:val="0"/>
          <w:sz w:val="18"/>
          <w:szCs w:val="18"/>
          <w:lang w:eastAsia="en-US"/>
        </w:rPr>
        <w:tab/>
      </w:r>
      <w:r w:rsidRPr="009E6E61">
        <w:rPr>
          <w:rFonts w:eastAsiaTheme="minorHAnsi"/>
          <w:b w:val="0"/>
          <w:bCs w:val="0"/>
          <w:i/>
          <w:iCs/>
          <w:kern w:val="0"/>
          <w:sz w:val="18"/>
          <w:szCs w:val="18"/>
          <w:lang w:eastAsia="en-US"/>
        </w:rPr>
        <w:t>See</w:t>
      </w:r>
      <w:r w:rsidRPr="009E6E61">
        <w:rPr>
          <w:rFonts w:eastAsiaTheme="minorHAnsi"/>
          <w:b w:val="0"/>
          <w:bCs w:val="0"/>
          <w:kern w:val="0"/>
          <w:sz w:val="18"/>
          <w:szCs w:val="18"/>
          <w:lang w:eastAsia="en-US"/>
        </w:rPr>
        <w:t xml:space="preserve">, e.g., </w:t>
      </w:r>
      <w:r w:rsidRPr="009E6E61">
        <w:rPr>
          <w:rFonts w:eastAsiaTheme="minorHAnsi"/>
          <w:b w:val="0"/>
          <w:bCs w:val="0"/>
          <w:i/>
          <w:iCs/>
          <w:kern w:val="0"/>
          <w:sz w:val="18"/>
          <w:szCs w:val="18"/>
          <w:lang w:eastAsia="en-US"/>
        </w:rPr>
        <w:t>FTC v Mallinckrodt Ard Inc</w:t>
      </w:r>
      <w:r w:rsidRPr="009E6E61">
        <w:rPr>
          <w:rFonts w:eastAsiaTheme="minorHAnsi"/>
          <w:b w:val="0"/>
          <w:bCs w:val="0"/>
          <w:kern w:val="0"/>
          <w:sz w:val="18"/>
          <w:szCs w:val="18"/>
          <w:lang w:eastAsia="en-US"/>
        </w:rPr>
        <w:t>, ‘Stipulated Order for Permanent Injunction and Equitable Monetary Relief’, Case Number: 1:17-Cv-120 EGS (20 January 2017, US District Court for the District of Columbia)</w:t>
      </w:r>
      <w:r w:rsidR="000F0CAC" w:rsidRPr="009E6E61">
        <w:rPr>
          <w:rFonts w:eastAsiaTheme="minorHAnsi"/>
          <w:b w:val="0"/>
          <w:bCs w:val="0"/>
          <w:kern w:val="0"/>
          <w:sz w:val="18"/>
          <w:szCs w:val="18"/>
          <w:lang w:eastAsia="en-US"/>
        </w:rPr>
        <w:t xml:space="preserve"> &lt;</w:t>
      </w:r>
      <w:hyperlink r:id="rId31" w:history="1">
        <w:r w:rsidRPr="009E6E61">
          <w:rPr>
            <w:rStyle w:val="Hyperlink"/>
            <w:rFonts w:eastAsiaTheme="minorHAnsi"/>
            <w:b w:val="0"/>
            <w:bCs w:val="0"/>
            <w:color w:val="auto"/>
            <w:sz w:val="18"/>
            <w:szCs w:val="18"/>
            <w:u w:val="none"/>
            <w:lang w:eastAsia="en-US"/>
          </w:rPr>
          <w:t>https://www.ftc.gov/system/files/documents/cases/stipulated_order_for_permanent_injunction_mallinckrodt.pdf</w:t>
        </w:r>
      </w:hyperlink>
      <w:r w:rsidR="000F0CAC" w:rsidRPr="009E6E61">
        <w:rPr>
          <w:rStyle w:val="Hyperlink"/>
          <w:rFonts w:eastAsiaTheme="minorHAnsi"/>
          <w:b w:val="0"/>
          <w:bCs w:val="0"/>
          <w:color w:val="auto"/>
          <w:kern w:val="0"/>
          <w:sz w:val="18"/>
          <w:szCs w:val="18"/>
          <w:u w:val="none"/>
          <w:lang w:eastAsia="en-US"/>
        </w:rPr>
        <w:t>&gt;</w:t>
      </w:r>
      <w:r w:rsidR="00851B8E">
        <w:rPr>
          <w:rFonts w:eastAsiaTheme="minorHAnsi"/>
          <w:b w:val="0"/>
          <w:bCs w:val="0"/>
          <w:kern w:val="0"/>
          <w:sz w:val="18"/>
          <w:szCs w:val="18"/>
          <w:lang w:eastAsia="en-US"/>
        </w:rPr>
        <w:t xml:space="preserve"> </w:t>
      </w:r>
      <w:r w:rsidR="000F0CAC" w:rsidRPr="009E6E61">
        <w:rPr>
          <w:rFonts w:eastAsiaTheme="minorHAnsi"/>
          <w:b w:val="0"/>
          <w:bCs w:val="0"/>
          <w:kern w:val="0"/>
          <w:sz w:val="18"/>
          <w:szCs w:val="18"/>
          <w:lang w:eastAsia="en-US"/>
        </w:rPr>
        <w:t>(</w:t>
      </w:r>
      <w:r w:rsidRPr="009E6E61">
        <w:rPr>
          <w:rFonts w:eastAsiaTheme="minorHAnsi"/>
          <w:b w:val="0"/>
          <w:bCs w:val="0"/>
          <w:kern w:val="0"/>
          <w:sz w:val="18"/>
          <w:szCs w:val="18"/>
          <w:lang w:eastAsia="en-US"/>
        </w:rPr>
        <w:t>In this decision the US Federal Trade Commission imposed a compulsory licence on a pharmaceutical company, according to which the company had to share its technology related to a biologic drug, adrenocorticotropic hormone (ACTH), including patents a</w:t>
      </w:r>
      <w:r w:rsidRPr="00471B1C">
        <w:rPr>
          <w:rFonts w:eastAsiaTheme="minorHAnsi"/>
          <w:b w:val="0"/>
          <w:bCs w:val="0"/>
          <w:kern w:val="0"/>
          <w:sz w:val="18"/>
          <w:szCs w:val="18"/>
          <w:lang w:eastAsia="en-US"/>
        </w:rPr>
        <w:t xml:space="preserve">nd trade secrets, with a designated third-party licensee). </w:t>
      </w:r>
    </w:p>
  </w:footnote>
  <w:footnote w:id="28">
    <w:p w14:paraId="2C8E4E9F" w14:textId="17B63537" w:rsidR="000B1AAE" w:rsidRPr="00471B1C" w:rsidRDefault="000B1AAE" w:rsidP="00DB5EDD">
      <w:pPr>
        <w:pStyle w:val="FootnoteText"/>
        <w:spacing w:after="120"/>
        <w:ind w:left="567" w:hanging="567"/>
        <w:jc w:val="both"/>
        <w:rPr>
          <w:rFonts w:ascii="Times New Roman" w:hAnsi="Times New Roman" w:cs="Times New Roman"/>
          <w:sz w:val="18"/>
          <w:szCs w:val="18"/>
        </w:rPr>
      </w:pPr>
      <w:r w:rsidRPr="00471B1C">
        <w:rPr>
          <w:rStyle w:val="FootnoteReference"/>
          <w:rFonts w:ascii="Times New Roman" w:hAnsi="Times New Roman" w:cs="Times New Roman"/>
          <w:sz w:val="18"/>
          <w:szCs w:val="18"/>
        </w:rPr>
        <w:footnoteRef/>
      </w:r>
      <w:r w:rsidRPr="00471B1C">
        <w:rPr>
          <w:rFonts w:ascii="Times New Roman" w:hAnsi="Times New Roman" w:cs="Times New Roman"/>
          <w:sz w:val="18"/>
          <w:szCs w:val="18"/>
        </w:rPr>
        <w:t xml:space="preserve"> </w:t>
      </w:r>
      <w:r w:rsidRPr="00471B1C">
        <w:rPr>
          <w:rFonts w:ascii="Times New Roman" w:hAnsi="Times New Roman" w:cs="Times New Roman"/>
          <w:sz w:val="18"/>
          <w:szCs w:val="18"/>
        </w:rPr>
        <w:tab/>
      </w:r>
      <w:r w:rsidR="00471B1C" w:rsidRPr="00471B1C">
        <w:rPr>
          <w:rFonts w:ascii="Times New Roman" w:hAnsi="Times New Roman" w:cs="Times New Roman"/>
          <w:kern w:val="0"/>
          <w:sz w:val="18"/>
          <w:szCs w:val="18"/>
        </w:rPr>
        <w:t>Gurgula and Hull (n 2</w:t>
      </w:r>
      <w:r w:rsidR="000434BE">
        <w:rPr>
          <w:rFonts w:ascii="Times New Roman" w:hAnsi="Times New Roman" w:cs="Times New Roman"/>
          <w:kern w:val="0"/>
          <w:sz w:val="18"/>
          <w:szCs w:val="18"/>
        </w:rPr>
        <w:t>4</w:t>
      </w:r>
      <w:r w:rsidR="00471B1C" w:rsidRPr="00471B1C">
        <w:rPr>
          <w:rFonts w:ascii="Times New Roman" w:hAnsi="Times New Roman" w:cs="Times New Roman"/>
          <w:kern w:val="0"/>
          <w:sz w:val="18"/>
          <w:szCs w:val="18"/>
        </w:rPr>
        <w:t>).</w:t>
      </w:r>
    </w:p>
  </w:footnote>
  <w:footnote w:id="29">
    <w:p w14:paraId="0C8E060E" w14:textId="75C19717" w:rsidR="00003153" w:rsidRPr="001F28AC" w:rsidRDefault="00003153" w:rsidP="00DB5EDD">
      <w:pPr>
        <w:shd w:val="clear" w:color="auto" w:fill="FFFFFF"/>
        <w:spacing w:after="120" w:line="240" w:lineRule="auto"/>
        <w:ind w:left="567" w:hanging="567"/>
        <w:jc w:val="both"/>
        <w:rPr>
          <w:rFonts w:ascii="Times New Roman" w:hAnsi="Times New Roman" w:cs="Times New Roman"/>
          <w:sz w:val="18"/>
          <w:szCs w:val="18"/>
        </w:rPr>
      </w:pPr>
      <w:r w:rsidRPr="008501C5">
        <w:rPr>
          <w:rStyle w:val="FootnoteReference"/>
          <w:rFonts w:ascii="Times New Roman" w:hAnsi="Times New Roman" w:cs="Times New Roman"/>
          <w:sz w:val="18"/>
          <w:szCs w:val="18"/>
        </w:rPr>
        <w:footnoteRef/>
      </w:r>
      <w:r w:rsidRPr="008501C5">
        <w:rPr>
          <w:rFonts w:ascii="Times New Roman" w:hAnsi="Times New Roman" w:cs="Times New Roman"/>
          <w:sz w:val="18"/>
          <w:szCs w:val="18"/>
        </w:rPr>
        <w:t xml:space="preserve"> </w:t>
      </w:r>
      <w:r w:rsidRPr="008501C5">
        <w:rPr>
          <w:rFonts w:ascii="Times New Roman" w:hAnsi="Times New Roman" w:cs="Times New Roman"/>
          <w:sz w:val="18"/>
          <w:szCs w:val="18"/>
        </w:rPr>
        <w:tab/>
        <w:t xml:space="preserve">Safi (n </w:t>
      </w:r>
      <w:r w:rsidR="00742C11">
        <w:rPr>
          <w:rFonts w:ascii="Times New Roman" w:hAnsi="Times New Roman" w:cs="Times New Roman"/>
          <w:sz w:val="18"/>
          <w:szCs w:val="18"/>
        </w:rPr>
        <w:t>9</w:t>
      </w:r>
      <w:r w:rsidRPr="008501C5">
        <w:rPr>
          <w:rFonts w:ascii="Times New Roman" w:hAnsi="Times New Roman" w:cs="Times New Roman"/>
          <w:sz w:val="18"/>
          <w:szCs w:val="18"/>
        </w:rPr>
        <w:t xml:space="preserve">); </w:t>
      </w:r>
      <w:hyperlink r:id="rId32" w:tooltip="Posts by Grace Ren" w:history="1">
        <w:r w:rsidRPr="008501C5">
          <w:rPr>
            <w:rFonts w:ascii="Times New Roman" w:hAnsi="Times New Roman" w:cs="Times New Roman"/>
            <w:sz w:val="18"/>
            <w:szCs w:val="18"/>
          </w:rPr>
          <w:t>Grace Ren</w:t>
        </w:r>
      </w:hyperlink>
      <w:r w:rsidRPr="008501C5">
        <w:rPr>
          <w:rFonts w:ascii="Times New Roman" w:hAnsi="Times New Roman" w:cs="Times New Roman"/>
          <w:sz w:val="18"/>
          <w:szCs w:val="18"/>
        </w:rPr>
        <w:t xml:space="preserve">, </w:t>
      </w:r>
      <w:r w:rsidR="00AF5FE7">
        <w:rPr>
          <w:rFonts w:ascii="Times New Roman" w:hAnsi="Times New Roman" w:cs="Times New Roman"/>
          <w:sz w:val="18"/>
          <w:szCs w:val="18"/>
        </w:rPr>
        <w:t>‘</w:t>
      </w:r>
      <w:r w:rsidRPr="008501C5">
        <w:rPr>
          <w:rFonts w:ascii="Times New Roman" w:hAnsi="Times New Roman" w:cs="Times New Roman"/>
          <w:sz w:val="18"/>
          <w:szCs w:val="18"/>
        </w:rPr>
        <w:t>Progress on COVID-19 Technology Pool Inches Along as Sister Initiative to Pool Vaccine Procurement Accelerates</w:t>
      </w:r>
      <w:r w:rsidR="00AF5FE7">
        <w:rPr>
          <w:rFonts w:ascii="Times New Roman" w:hAnsi="Times New Roman" w:cs="Times New Roman"/>
          <w:sz w:val="18"/>
          <w:szCs w:val="18"/>
        </w:rPr>
        <w:t>’</w:t>
      </w:r>
      <w:r w:rsidRPr="008501C5">
        <w:rPr>
          <w:rFonts w:ascii="Times New Roman" w:hAnsi="Times New Roman" w:cs="Times New Roman"/>
          <w:sz w:val="18"/>
          <w:szCs w:val="18"/>
        </w:rPr>
        <w:t xml:space="preserve">, </w:t>
      </w:r>
      <w:r w:rsidRPr="008501C5">
        <w:rPr>
          <w:rFonts w:ascii="Times New Roman" w:hAnsi="Times New Roman" w:cs="Times New Roman"/>
          <w:i/>
          <w:iCs/>
          <w:sz w:val="18"/>
          <w:szCs w:val="18"/>
        </w:rPr>
        <w:t>Health Policy Watch</w:t>
      </w:r>
      <w:r w:rsidRPr="008501C5">
        <w:rPr>
          <w:rFonts w:ascii="Times New Roman" w:hAnsi="Times New Roman" w:cs="Times New Roman"/>
          <w:sz w:val="18"/>
          <w:szCs w:val="18"/>
        </w:rPr>
        <w:t>, 25 September 2020</w:t>
      </w:r>
      <w:r w:rsidR="00AF5FE7">
        <w:rPr>
          <w:rFonts w:ascii="Times New Roman" w:hAnsi="Times New Roman" w:cs="Times New Roman"/>
          <w:sz w:val="18"/>
          <w:szCs w:val="18"/>
        </w:rPr>
        <w:t>) &lt;</w:t>
      </w:r>
      <w:hyperlink r:id="rId33" w:history="1">
        <w:r w:rsidRPr="001F28AC">
          <w:rPr>
            <w:rStyle w:val="Hyperlink"/>
            <w:rFonts w:ascii="Times New Roman" w:hAnsi="Times New Roman" w:cs="Times New Roman"/>
            <w:color w:val="auto"/>
            <w:sz w:val="18"/>
            <w:szCs w:val="18"/>
            <w:u w:val="none"/>
          </w:rPr>
          <w:t>https://healthpolicy-watch.news/progress-on-covid-19-technology-pool-inches-along-as-sister-initiative-to-pool-vaccine-procurement-accelerates/</w:t>
        </w:r>
      </w:hyperlink>
      <w:r w:rsidR="00AF5FE7" w:rsidRPr="001F28AC">
        <w:rPr>
          <w:rStyle w:val="Hyperlink"/>
          <w:rFonts w:ascii="Times New Roman" w:hAnsi="Times New Roman" w:cs="Times New Roman"/>
          <w:color w:val="auto"/>
          <w:sz w:val="18"/>
          <w:szCs w:val="18"/>
          <w:u w:val="none"/>
        </w:rPr>
        <w:t>&gt;.</w:t>
      </w:r>
      <w:r w:rsidRPr="001F28AC">
        <w:rPr>
          <w:rFonts w:ascii="Times New Roman" w:hAnsi="Times New Roman" w:cs="Times New Roman"/>
          <w:sz w:val="18"/>
          <w:szCs w:val="18"/>
        </w:rPr>
        <w:t xml:space="preserve"> </w:t>
      </w:r>
    </w:p>
  </w:footnote>
  <w:footnote w:id="30">
    <w:p w14:paraId="3F8B04AD" w14:textId="77777777" w:rsidR="00003153" w:rsidRPr="001F28AC" w:rsidRDefault="00003153" w:rsidP="00F97ED2">
      <w:pPr>
        <w:pStyle w:val="FootnoteText"/>
        <w:spacing w:after="120"/>
        <w:ind w:left="567" w:hanging="567"/>
        <w:jc w:val="both"/>
        <w:rPr>
          <w:rFonts w:ascii="Times New Roman" w:hAnsi="Times New Roman" w:cs="Times New Roman"/>
          <w:sz w:val="18"/>
          <w:szCs w:val="18"/>
        </w:rPr>
      </w:pPr>
      <w:r w:rsidRPr="001F28AC">
        <w:rPr>
          <w:rStyle w:val="FootnoteReference"/>
          <w:rFonts w:ascii="Times New Roman" w:hAnsi="Times New Roman" w:cs="Times New Roman"/>
          <w:sz w:val="18"/>
          <w:szCs w:val="18"/>
        </w:rPr>
        <w:footnoteRef/>
      </w:r>
      <w:r w:rsidRPr="001F28AC">
        <w:rPr>
          <w:rFonts w:ascii="Times New Roman" w:hAnsi="Times New Roman" w:cs="Times New Roman"/>
          <w:sz w:val="18"/>
          <w:szCs w:val="18"/>
        </w:rPr>
        <w:t xml:space="preserve"> </w:t>
      </w:r>
      <w:r w:rsidRPr="001F28AC">
        <w:rPr>
          <w:rFonts w:ascii="Times New Roman" w:hAnsi="Times New Roman" w:cs="Times New Roman"/>
          <w:sz w:val="18"/>
          <w:szCs w:val="18"/>
        </w:rPr>
        <w:tab/>
      </w:r>
      <w:hyperlink r:id="rId34" w:tooltip="Correspondence information about the author Kayvan Bozorgmehr" w:history="1">
        <w:r w:rsidRPr="001F28AC">
          <w:rPr>
            <w:rFonts w:ascii="Times New Roman" w:hAnsi="Times New Roman" w:cs="Times New Roman"/>
            <w:sz w:val="18"/>
            <w:szCs w:val="18"/>
          </w:rPr>
          <w:t>Kayvan Bozorgmehr</w:t>
        </w:r>
      </w:hyperlink>
      <w:r w:rsidRPr="001F28AC">
        <w:rPr>
          <w:rFonts w:ascii="Times New Roman" w:hAnsi="Times New Roman" w:cs="Times New Roman"/>
          <w:sz w:val="18"/>
          <w:szCs w:val="18"/>
        </w:rPr>
        <w:t xml:space="preserve"> </w:t>
      </w:r>
      <w:r w:rsidRPr="001F28AC">
        <w:rPr>
          <w:rFonts w:ascii="Times New Roman" w:hAnsi="Times New Roman" w:cs="Times New Roman"/>
          <w:i/>
          <w:iCs/>
          <w:sz w:val="18"/>
          <w:szCs w:val="18"/>
        </w:rPr>
        <w:t>et</w:t>
      </w:r>
      <w:r w:rsidRPr="001F28AC">
        <w:rPr>
          <w:rFonts w:ascii="Times New Roman" w:hAnsi="Times New Roman" w:cs="Times New Roman"/>
          <w:sz w:val="18"/>
          <w:szCs w:val="18"/>
        </w:rPr>
        <w:t xml:space="preserve"> </w:t>
      </w:r>
      <w:r w:rsidRPr="001F28AC">
        <w:rPr>
          <w:rFonts w:ascii="Times New Roman" w:hAnsi="Times New Roman" w:cs="Times New Roman"/>
          <w:i/>
          <w:iCs/>
          <w:sz w:val="18"/>
          <w:szCs w:val="18"/>
        </w:rPr>
        <w:t>al</w:t>
      </w:r>
      <w:r w:rsidRPr="001F28AC">
        <w:rPr>
          <w:rFonts w:ascii="Times New Roman" w:hAnsi="Times New Roman" w:cs="Times New Roman"/>
          <w:sz w:val="18"/>
          <w:szCs w:val="18"/>
        </w:rPr>
        <w:t>, ‘Free licensing of vaccines to end the COVID-19 crisis’ (2021) 397 the Lancet 1261 (‘These pharmaceutical companies have benefited greatly from huge sums of public funding for research and development and advance purchase commitments, amounting to between US$2.2 billion and $4.1 billion (by Feb 1, 2021) from Germany, the UK, and North America combined’).</w:t>
      </w:r>
    </w:p>
  </w:footnote>
  <w:footnote w:id="31">
    <w:p w14:paraId="434671EB" w14:textId="3619D7E4" w:rsidR="00F97ED2" w:rsidRDefault="00F97ED2" w:rsidP="00F97ED2">
      <w:pPr>
        <w:pStyle w:val="FootnoteText"/>
        <w:spacing w:after="120"/>
        <w:ind w:left="567" w:hanging="567"/>
        <w:jc w:val="both"/>
      </w:pPr>
      <w:r>
        <w:rPr>
          <w:rStyle w:val="FootnoteReference"/>
        </w:rPr>
        <w:footnoteRef/>
      </w:r>
      <w:r>
        <w:t xml:space="preserve"> </w:t>
      </w:r>
      <w:r>
        <w:tab/>
      </w:r>
      <w:r w:rsidRPr="00471B1C">
        <w:rPr>
          <w:rFonts w:ascii="Times New Roman" w:hAnsi="Times New Roman" w:cs="Times New Roman"/>
          <w:kern w:val="0"/>
          <w:sz w:val="18"/>
          <w:szCs w:val="18"/>
        </w:rPr>
        <w:t>Gurgula and Hull (n 2</w:t>
      </w:r>
      <w:r>
        <w:rPr>
          <w:rFonts w:ascii="Times New Roman" w:hAnsi="Times New Roman" w:cs="Times New Roman"/>
          <w:kern w:val="0"/>
          <w:sz w:val="18"/>
          <w:szCs w:val="18"/>
        </w:rPr>
        <w:t>5</w:t>
      </w:r>
      <w:r w:rsidRPr="00471B1C">
        <w:rPr>
          <w:rFonts w:ascii="Times New Roman" w:hAnsi="Times New Roman" w:cs="Times New Roman"/>
          <w:kern w:val="0"/>
          <w:sz w:val="18"/>
          <w:szCs w:val="18"/>
        </w:rPr>
        <w:t>).</w:t>
      </w:r>
    </w:p>
  </w:footnote>
  <w:footnote w:id="32">
    <w:p w14:paraId="2DBDDFB6" w14:textId="6B3D3BCC" w:rsidR="00607063" w:rsidRPr="001F28AC" w:rsidRDefault="00607063" w:rsidP="00F97ED2">
      <w:pPr>
        <w:pStyle w:val="FootnoteText"/>
        <w:spacing w:after="120"/>
        <w:ind w:left="567" w:hanging="567"/>
        <w:jc w:val="both"/>
        <w:rPr>
          <w:rFonts w:ascii="Times New Roman" w:hAnsi="Times New Roman" w:cs="Times New Roman"/>
          <w:sz w:val="18"/>
          <w:szCs w:val="18"/>
        </w:rPr>
      </w:pPr>
      <w:r w:rsidRPr="001F28AC">
        <w:rPr>
          <w:rStyle w:val="FootnoteReference"/>
          <w:rFonts w:ascii="Times New Roman" w:hAnsi="Times New Roman" w:cs="Times New Roman"/>
          <w:sz w:val="18"/>
          <w:szCs w:val="18"/>
        </w:rPr>
        <w:footnoteRef/>
      </w:r>
      <w:r w:rsidRPr="001F28AC">
        <w:rPr>
          <w:rFonts w:ascii="Times New Roman" w:hAnsi="Times New Roman" w:cs="Times New Roman"/>
          <w:sz w:val="18"/>
          <w:szCs w:val="18"/>
        </w:rPr>
        <w:t xml:space="preserve"> </w:t>
      </w:r>
      <w:r w:rsidR="006A6D04" w:rsidRPr="001F28AC">
        <w:rPr>
          <w:rFonts w:ascii="Times New Roman" w:hAnsi="Times New Roman" w:cs="Times New Roman"/>
          <w:sz w:val="18"/>
          <w:szCs w:val="18"/>
        </w:rPr>
        <w:tab/>
      </w:r>
      <w:r w:rsidRPr="001F28AC">
        <w:rPr>
          <w:rFonts w:ascii="Times New Roman" w:hAnsi="Times New Roman" w:cs="Times New Roman"/>
          <w:sz w:val="18"/>
          <w:szCs w:val="18"/>
        </w:rPr>
        <w:t>European Commission, ‘</w:t>
      </w:r>
      <w:r w:rsidRPr="001F28AC">
        <w:rPr>
          <w:rFonts w:ascii="Times New Roman" w:eastAsiaTheme="minorEastAsia" w:hAnsi="Times New Roman" w:cs="Times New Roman"/>
          <w:sz w:val="18"/>
          <w:szCs w:val="18"/>
          <w:lang w:eastAsia="en-GB"/>
        </w:rPr>
        <w:t>Proposal for a Regulation of the European Parliament and of the Council on compulsory licensing for crisis management and amending Regulation (EC) 816/2006’ (Brussels, 27.4.2023 COM(2023) 224 final).</w:t>
      </w:r>
    </w:p>
  </w:footnote>
  <w:footnote w:id="33">
    <w:p w14:paraId="1FA413DE" w14:textId="5154AAD1" w:rsidR="00EA5922" w:rsidRPr="001F28AC" w:rsidRDefault="00EA5922" w:rsidP="00DB5EDD">
      <w:pPr>
        <w:pStyle w:val="FootnoteText"/>
        <w:spacing w:after="120"/>
        <w:ind w:left="567" w:hanging="567"/>
        <w:jc w:val="both"/>
        <w:rPr>
          <w:rFonts w:ascii="Times New Roman" w:hAnsi="Times New Roman" w:cs="Times New Roman"/>
          <w:sz w:val="18"/>
          <w:szCs w:val="18"/>
        </w:rPr>
      </w:pPr>
      <w:r w:rsidRPr="001F28AC">
        <w:rPr>
          <w:rStyle w:val="FootnoteReference"/>
          <w:rFonts w:ascii="Times New Roman" w:hAnsi="Times New Roman" w:cs="Times New Roman"/>
          <w:sz w:val="18"/>
          <w:szCs w:val="18"/>
        </w:rPr>
        <w:footnoteRef/>
      </w:r>
      <w:r w:rsidRPr="001F28AC">
        <w:rPr>
          <w:rFonts w:ascii="Times New Roman" w:hAnsi="Times New Roman" w:cs="Times New Roman"/>
          <w:sz w:val="18"/>
          <w:szCs w:val="18"/>
        </w:rPr>
        <w:t xml:space="preserve"> </w:t>
      </w:r>
      <w:r w:rsidR="006A6D04" w:rsidRPr="001F28AC">
        <w:rPr>
          <w:rFonts w:ascii="Times New Roman" w:hAnsi="Times New Roman" w:cs="Times New Roman"/>
          <w:sz w:val="18"/>
          <w:szCs w:val="18"/>
        </w:rPr>
        <w:tab/>
      </w:r>
      <w:r w:rsidR="00642916">
        <w:rPr>
          <w:rFonts w:ascii="Times New Roman" w:eastAsiaTheme="minorEastAsia" w:hAnsi="Times New Roman" w:cs="Times New Roman"/>
          <w:sz w:val="18"/>
          <w:szCs w:val="18"/>
          <w:lang w:eastAsia="en-GB"/>
        </w:rPr>
        <w:t>ibid</w:t>
      </w:r>
      <w:r w:rsidRPr="001F28AC">
        <w:rPr>
          <w:rFonts w:ascii="Times New Roman" w:eastAsiaTheme="minorEastAsia" w:hAnsi="Times New Roman" w:cs="Times New Roman"/>
          <w:sz w:val="18"/>
          <w:szCs w:val="18"/>
          <w:lang w:eastAsia="en-GB"/>
        </w:rPr>
        <w:t xml:space="preserve">, text of the Proposed Regulation, </w:t>
      </w:r>
      <w:r w:rsidRPr="001F28AC">
        <w:rPr>
          <w:rFonts w:ascii="Times New Roman" w:hAnsi="Times New Roman" w:cs="Times New Roman"/>
          <w:sz w:val="18"/>
          <w:szCs w:val="18"/>
          <w:shd w:val="clear" w:color="auto" w:fill="FFFFFF"/>
        </w:rPr>
        <w:t>Recital </w:t>
      </w:r>
      <w:r w:rsidRPr="001F28AC">
        <w:rPr>
          <w:rFonts w:ascii="Times New Roman" w:hAnsi="Times New Roman" w:cs="Times New Roman"/>
          <w:sz w:val="18"/>
          <w:szCs w:val="18"/>
        </w:rPr>
        <w:t>32.</w:t>
      </w:r>
    </w:p>
  </w:footnote>
  <w:footnote w:id="34">
    <w:p w14:paraId="25046A24" w14:textId="5C61375C" w:rsidR="00410720" w:rsidRPr="001F28AC" w:rsidRDefault="00410720" w:rsidP="00DB5EDD">
      <w:pPr>
        <w:pStyle w:val="FootnoteText"/>
        <w:spacing w:after="120"/>
        <w:ind w:left="567" w:hanging="567"/>
        <w:jc w:val="both"/>
        <w:rPr>
          <w:rFonts w:ascii="Times New Roman" w:hAnsi="Times New Roman" w:cs="Times New Roman"/>
          <w:sz w:val="18"/>
          <w:szCs w:val="18"/>
        </w:rPr>
      </w:pPr>
      <w:r w:rsidRPr="001F28AC">
        <w:rPr>
          <w:rStyle w:val="FootnoteReference"/>
          <w:rFonts w:ascii="Times New Roman" w:hAnsi="Times New Roman" w:cs="Times New Roman"/>
          <w:sz w:val="18"/>
          <w:szCs w:val="18"/>
        </w:rPr>
        <w:footnoteRef/>
      </w:r>
      <w:r w:rsidRPr="001F28AC">
        <w:rPr>
          <w:rFonts w:ascii="Times New Roman" w:hAnsi="Times New Roman" w:cs="Times New Roman"/>
          <w:sz w:val="18"/>
          <w:szCs w:val="18"/>
        </w:rPr>
        <w:t xml:space="preserve"> </w:t>
      </w:r>
      <w:r w:rsidRPr="001F28AC">
        <w:rPr>
          <w:rFonts w:ascii="Times New Roman" w:hAnsi="Times New Roman" w:cs="Times New Roman"/>
          <w:sz w:val="18"/>
          <w:szCs w:val="18"/>
        </w:rPr>
        <w:tab/>
      </w:r>
      <w:r w:rsidR="00706639">
        <w:rPr>
          <w:rFonts w:ascii="Times New Roman" w:eastAsiaTheme="minorEastAsia" w:hAnsi="Times New Roman" w:cs="Times New Roman"/>
          <w:sz w:val="18"/>
          <w:szCs w:val="18"/>
          <w:lang w:eastAsia="en-GB"/>
        </w:rPr>
        <w:t>ibid</w:t>
      </w:r>
      <w:r w:rsidRPr="001F28AC">
        <w:rPr>
          <w:rFonts w:ascii="Times New Roman" w:eastAsiaTheme="minorEastAsia" w:hAnsi="Times New Roman" w:cs="Times New Roman"/>
          <w:sz w:val="18"/>
          <w:szCs w:val="18"/>
          <w:lang w:eastAsia="en-GB"/>
        </w:rPr>
        <w:t xml:space="preserve">, text of the Proposed Regulation, </w:t>
      </w:r>
      <w:r w:rsidRPr="001F28AC">
        <w:rPr>
          <w:rFonts w:ascii="Times New Roman" w:hAnsi="Times New Roman" w:cs="Times New Roman"/>
          <w:sz w:val="18"/>
          <w:szCs w:val="18"/>
          <w:shd w:val="clear" w:color="auto" w:fill="FFFFFF"/>
        </w:rPr>
        <w:t>Recital </w:t>
      </w:r>
      <w:r w:rsidRPr="001F28AC">
        <w:rPr>
          <w:rFonts w:ascii="Times New Roman" w:hAnsi="Times New Roman" w:cs="Times New Roman"/>
          <w:sz w:val="18"/>
          <w:szCs w:val="18"/>
        </w:rPr>
        <w:t>34, Articles 15 and 16.</w:t>
      </w:r>
    </w:p>
  </w:footnote>
  <w:footnote w:id="35">
    <w:p w14:paraId="671AB68A" w14:textId="0CC9D14B" w:rsidR="00D6316E" w:rsidRPr="00706639" w:rsidRDefault="00D6316E" w:rsidP="00DB5EDD">
      <w:pPr>
        <w:pStyle w:val="FootnoteText"/>
        <w:ind w:left="567" w:hanging="567"/>
        <w:jc w:val="both"/>
        <w:rPr>
          <w:rFonts w:ascii="Times New Roman" w:hAnsi="Times New Roman" w:cs="Times New Roman"/>
          <w:sz w:val="18"/>
          <w:szCs w:val="18"/>
        </w:rPr>
      </w:pPr>
      <w:r w:rsidRPr="001F28AC">
        <w:rPr>
          <w:rStyle w:val="FootnoteReference"/>
          <w:rFonts w:ascii="Times New Roman" w:hAnsi="Times New Roman" w:cs="Times New Roman"/>
          <w:sz w:val="18"/>
          <w:szCs w:val="18"/>
        </w:rPr>
        <w:footnoteRef/>
      </w:r>
      <w:r w:rsidRPr="001F28AC">
        <w:rPr>
          <w:rFonts w:ascii="Times New Roman" w:hAnsi="Times New Roman" w:cs="Times New Roman"/>
          <w:sz w:val="18"/>
          <w:szCs w:val="18"/>
        </w:rPr>
        <w:t xml:space="preserve"> </w:t>
      </w:r>
      <w:r w:rsidR="00FC635D" w:rsidRPr="001F28AC">
        <w:rPr>
          <w:rFonts w:ascii="Times New Roman" w:hAnsi="Times New Roman" w:cs="Times New Roman"/>
          <w:sz w:val="18"/>
          <w:szCs w:val="18"/>
        </w:rPr>
        <w:tab/>
      </w:r>
      <w:r w:rsidRPr="001F28AC">
        <w:rPr>
          <w:rFonts w:ascii="Times New Roman" w:hAnsi="Times New Roman" w:cs="Times New Roman"/>
          <w:sz w:val="18"/>
          <w:szCs w:val="18"/>
          <w:lang w:val="en"/>
          <w14:ligatures w14:val="none"/>
        </w:rPr>
        <w:t xml:space="preserve">See e.g. </w:t>
      </w:r>
      <w:r w:rsidRPr="001F28AC">
        <w:rPr>
          <w:rFonts w:ascii="Times New Roman" w:hAnsi="Times New Roman" w:cs="Times New Roman"/>
          <w:sz w:val="18"/>
          <w:szCs w:val="18"/>
        </w:rPr>
        <w:t>European Parliament Committee on Legal Affairs, ‘Draft Report on the proposal for a regulation of the European Parliament and of the Council on compulsory licensing for crisis management and amending Regulation (EC) 816/2006 (COM(2023)0224 – C9-0151/2023 – 2023/0129(COD))’ (16 September 2023) &lt;https://www.europarl.europa.e</w:t>
      </w:r>
      <w:r w:rsidRPr="004C3E77">
        <w:rPr>
          <w:rFonts w:ascii="Times New Roman" w:hAnsi="Times New Roman" w:cs="Times New Roman"/>
          <w:sz w:val="18"/>
          <w:szCs w:val="18"/>
        </w:rPr>
        <w:t>u/doceo/document/JURI-PR-753706_EN.pdf&gt;</w:t>
      </w:r>
      <w:r w:rsidR="001F28AC" w:rsidRPr="004C3E77">
        <w:rPr>
          <w:rFonts w:ascii="Times New Roman" w:hAnsi="Times New Roman" w:cs="Times New Roman"/>
          <w:sz w:val="18"/>
          <w:szCs w:val="18"/>
        </w:rPr>
        <w:t>.</w:t>
      </w:r>
      <w:r w:rsidR="004C3E77" w:rsidRPr="004C3E77">
        <w:rPr>
          <w:rFonts w:ascii="Times New Roman" w:hAnsi="Times New Roman" w:cs="Times New Roman"/>
          <w:sz w:val="18"/>
          <w:szCs w:val="18"/>
        </w:rPr>
        <w:t xml:space="preserve"> </w:t>
      </w:r>
      <w:r w:rsidR="00456187">
        <w:rPr>
          <w:rFonts w:ascii="Times New Roman" w:hAnsi="Times New Roman" w:cs="Times New Roman"/>
          <w:sz w:val="18"/>
          <w:szCs w:val="18"/>
        </w:rPr>
        <w:t>F</w:t>
      </w:r>
      <w:r w:rsidR="004C3E77" w:rsidRPr="004C3E77">
        <w:rPr>
          <w:rFonts w:ascii="Times New Roman" w:hAnsi="Times New Roman" w:cs="Times New Roman"/>
          <w:sz w:val="18"/>
          <w:szCs w:val="18"/>
        </w:rPr>
        <w:t xml:space="preserve">or a more detailed discussion of the Commission’s proposal </w:t>
      </w:r>
      <w:r w:rsidR="00445D5E">
        <w:rPr>
          <w:rFonts w:ascii="Times New Roman" w:hAnsi="Times New Roman" w:cs="Times New Roman"/>
          <w:sz w:val="18"/>
          <w:szCs w:val="18"/>
        </w:rPr>
        <w:t xml:space="preserve">see </w:t>
      </w:r>
      <w:r w:rsidR="004C3E77">
        <w:rPr>
          <w:rFonts w:ascii="Times New Roman" w:hAnsi="Times New Roman" w:cs="Times New Roman"/>
          <w:sz w:val="18"/>
          <w:szCs w:val="18"/>
        </w:rPr>
        <w:t xml:space="preserve">Olga </w:t>
      </w:r>
      <w:r w:rsidR="004C3E77" w:rsidRPr="004C3E77">
        <w:rPr>
          <w:rFonts w:ascii="Times New Roman" w:hAnsi="Times New Roman" w:cs="Times New Roman"/>
          <w:sz w:val="18"/>
          <w:szCs w:val="18"/>
          <w:shd w:val="clear" w:color="auto" w:fill="FFFFFF"/>
        </w:rPr>
        <w:t xml:space="preserve">Gurgula, </w:t>
      </w:r>
      <w:r w:rsidR="004C3E77">
        <w:rPr>
          <w:rFonts w:ascii="Times New Roman" w:hAnsi="Times New Roman" w:cs="Times New Roman"/>
          <w:sz w:val="18"/>
          <w:szCs w:val="18"/>
          <w:shd w:val="clear" w:color="auto" w:fill="FFFFFF"/>
        </w:rPr>
        <w:t>‘</w:t>
      </w:r>
      <w:r w:rsidR="004C3E77" w:rsidRPr="004C3E77">
        <w:rPr>
          <w:rFonts w:ascii="Times New Roman" w:hAnsi="Times New Roman" w:cs="Times New Roman"/>
          <w:sz w:val="18"/>
          <w:szCs w:val="18"/>
          <w:shd w:val="clear" w:color="auto" w:fill="FFFFFF"/>
        </w:rPr>
        <w:t xml:space="preserve">On the European Commission’s Proposal to Create a New EU-wide </w:t>
      </w:r>
      <w:r w:rsidR="004C3E77" w:rsidRPr="00706639">
        <w:rPr>
          <w:rFonts w:ascii="Times New Roman" w:hAnsi="Times New Roman" w:cs="Times New Roman"/>
          <w:sz w:val="18"/>
          <w:szCs w:val="18"/>
          <w:shd w:val="clear" w:color="auto" w:fill="FFFFFF"/>
        </w:rPr>
        <w:t>Compulsory Licensing Regime’ (2023) Forthcoming in the European Intellectual Property Review (EIPR) &lt;</w:t>
      </w:r>
      <w:hyperlink r:id="rId35" w:history="1">
        <w:r w:rsidR="00706639" w:rsidRPr="00706639">
          <w:rPr>
            <w:rStyle w:val="Hyperlink"/>
            <w:rFonts w:ascii="Times New Roman" w:hAnsi="Times New Roman" w:cs="Times New Roman"/>
            <w:color w:val="auto"/>
            <w:sz w:val="18"/>
            <w:szCs w:val="18"/>
            <w:u w:val="none"/>
            <w:shd w:val="clear" w:color="auto" w:fill="FFFFFF"/>
          </w:rPr>
          <w:t>https://papers.ssrn.com/sol3/papers.cfm?abstract_id=4552851</w:t>
        </w:r>
      </w:hyperlink>
      <w:r w:rsidR="004C3E77" w:rsidRPr="00706639">
        <w:rPr>
          <w:rFonts w:ascii="Times New Roman" w:hAnsi="Times New Roman" w:cs="Times New Roman"/>
          <w:sz w:val="18"/>
          <w:szCs w:val="18"/>
        </w:rPr>
        <w:t xml:space="preserve">&gt;.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47FA6"/>
    <w:multiLevelType w:val="hybridMultilevel"/>
    <w:tmpl w:val="43AEF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B371C4"/>
    <w:multiLevelType w:val="hybridMultilevel"/>
    <w:tmpl w:val="960E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1901418">
    <w:abstractNumId w:val="0"/>
  </w:num>
  <w:num w:numId="2" w16cid:durableId="3515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0F"/>
    <w:rsid w:val="00003153"/>
    <w:rsid w:val="000326F8"/>
    <w:rsid w:val="000340E0"/>
    <w:rsid w:val="000412E1"/>
    <w:rsid w:val="000434BE"/>
    <w:rsid w:val="00044553"/>
    <w:rsid w:val="0007389E"/>
    <w:rsid w:val="000774F4"/>
    <w:rsid w:val="00086F3B"/>
    <w:rsid w:val="000937F4"/>
    <w:rsid w:val="00094240"/>
    <w:rsid w:val="00095BB1"/>
    <w:rsid w:val="000B1563"/>
    <w:rsid w:val="000B1AAE"/>
    <w:rsid w:val="000B6519"/>
    <w:rsid w:val="000C0613"/>
    <w:rsid w:val="000D2D37"/>
    <w:rsid w:val="000E010A"/>
    <w:rsid w:val="000F0CAC"/>
    <w:rsid w:val="000F0D3A"/>
    <w:rsid w:val="0011372B"/>
    <w:rsid w:val="00116B2E"/>
    <w:rsid w:val="00124EB4"/>
    <w:rsid w:val="001277CC"/>
    <w:rsid w:val="0015411F"/>
    <w:rsid w:val="00154EC9"/>
    <w:rsid w:val="00167F80"/>
    <w:rsid w:val="001722F1"/>
    <w:rsid w:val="00180EEC"/>
    <w:rsid w:val="001D40E8"/>
    <w:rsid w:val="001D6DEF"/>
    <w:rsid w:val="001F28AC"/>
    <w:rsid w:val="001F53ED"/>
    <w:rsid w:val="002020AA"/>
    <w:rsid w:val="00205E37"/>
    <w:rsid w:val="002072AF"/>
    <w:rsid w:val="00230A5A"/>
    <w:rsid w:val="0026035F"/>
    <w:rsid w:val="002A2D9C"/>
    <w:rsid w:val="002A30FA"/>
    <w:rsid w:val="002A3EEA"/>
    <w:rsid w:val="002C1B56"/>
    <w:rsid w:val="002C7BCF"/>
    <w:rsid w:val="002D77A7"/>
    <w:rsid w:val="002F084C"/>
    <w:rsid w:val="002F3EC5"/>
    <w:rsid w:val="00302735"/>
    <w:rsid w:val="003056FE"/>
    <w:rsid w:val="00313520"/>
    <w:rsid w:val="0034050F"/>
    <w:rsid w:val="0034330C"/>
    <w:rsid w:val="00346BE1"/>
    <w:rsid w:val="00357E9A"/>
    <w:rsid w:val="00383EE2"/>
    <w:rsid w:val="0038484F"/>
    <w:rsid w:val="0039140E"/>
    <w:rsid w:val="003935DC"/>
    <w:rsid w:val="0039488E"/>
    <w:rsid w:val="003D6089"/>
    <w:rsid w:val="003D64AA"/>
    <w:rsid w:val="003F4CEF"/>
    <w:rsid w:val="003F6533"/>
    <w:rsid w:val="00410720"/>
    <w:rsid w:val="004123FB"/>
    <w:rsid w:val="00412C97"/>
    <w:rsid w:val="00445D5E"/>
    <w:rsid w:val="00456187"/>
    <w:rsid w:val="00461CA6"/>
    <w:rsid w:val="00464FF3"/>
    <w:rsid w:val="004668E3"/>
    <w:rsid w:val="00471B1C"/>
    <w:rsid w:val="004832C7"/>
    <w:rsid w:val="004910EE"/>
    <w:rsid w:val="004A1F8C"/>
    <w:rsid w:val="004A53EE"/>
    <w:rsid w:val="004B51C5"/>
    <w:rsid w:val="004C3E77"/>
    <w:rsid w:val="004C7873"/>
    <w:rsid w:val="004D1545"/>
    <w:rsid w:val="004D614C"/>
    <w:rsid w:val="004D6ED4"/>
    <w:rsid w:val="004E11C1"/>
    <w:rsid w:val="004E22B6"/>
    <w:rsid w:val="004F445B"/>
    <w:rsid w:val="00523B43"/>
    <w:rsid w:val="0052635E"/>
    <w:rsid w:val="00526EBF"/>
    <w:rsid w:val="0053762E"/>
    <w:rsid w:val="00543A1D"/>
    <w:rsid w:val="00543D0C"/>
    <w:rsid w:val="0054443C"/>
    <w:rsid w:val="00550AE6"/>
    <w:rsid w:val="00563F29"/>
    <w:rsid w:val="005652C4"/>
    <w:rsid w:val="00566F32"/>
    <w:rsid w:val="005763CC"/>
    <w:rsid w:val="00581673"/>
    <w:rsid w:val="005848D9"/>
    <w:rsid w:val="005A5071"/>
    <w:rsid w:val="005A59FB"/>
    <w:rsid w:val="005B5CDB"/>
    <w:rsid w:val="005C17EB"/>
    <w:rsid w:val="005D21C2"/>
    <w:rsid w:val="005F05AC"/>
    <w:rsid w:val="005F5FA9"/>
    <w:rsid w:val="00602F98"/>
    <w:rsid w:val="0060423E"/>
    <w:rsid w:val="00607063"/>
    <w:rsid w:val="00610BA3"/>
    <w:rsid w:val="0061230A"/>
    <w:rsid w:val="00620D0A"/>
    <w:rsid w:val="0062693B"/>
    <w:rsid w:val="00632FAC"/>
    <w:rsid w:val="00642916"/>
    <w:rsid w:val="00651C1A"/>
    <w:rsid w:val="0067691F"/>
    <w:rsid w:val="006A3060"/>
    <w:rsid w:val="006A6D04"/>
    <w:rsid w:val="006C3646"/>
    <w:rsid w:val="006D0F9A"/>
    <w:rsid w:val="006D666D"/>
    <w:rsid w:val="006F283F"/>
    <w:rsid w:val="00706639"/>
    <w:rsid w:val="007249B9"/>
    <w:rsid w:val="00742C11"/>
    <w:rsid w:val="00774A9E"/>
    <w:rsid w:val="00780982"/>
    <w:rsid w:val="007B0920"/>
    <w:rsid w:val="007D5F8E"/>
    <w:rsid w:val="007F145C"/>
    <w:rsid w:val="007F1768"/>
    <w:rsid w:val="0082218D"/>
    <w:rsid w:val="00840799"/>
    <w:rsid w:val="00845927"/>
    <w:rsid w:val="00851B8E"/>
    <w:rsid w:val="00871A0E"/>
    <w:rsid w:val="00882D4D"/>
    <w:rsid w:val="008C490F"/>
    <w:rsid w:val="008C7FFE"/>
    <w:rsid w:val="008D6F2F"/>
    <w:rsid w:val="008E409D"/>
    <w:rsid w:val="008F7A6E"/>
    <w:rsid w:val="00906FBA"/>
    <w:rsid w:val="00914871"/>
    <w:rsid w:val="00935EB6"/>
    <w:rsid w:val="0093716E"/>
    <w:rsid w:val="00953EDE"/>
    <w:rsid w:val="00973A88"/>
    <w:rsid w:val="009B079E"/>
    <w:rsid w:val="009B4577"/>
    <w:rsid w:val="009C0CFF"/>
    <w:rsid w:val="009C6580"/>
    <w:rsid w:val="009D11E8"/>
    <w:rsid w:val="009D15A4"/>
    <w:rsid w:val="009D27F9"/>
    <w:rsid w:val="009E6E61"/>
    <w:rsid w:val="00A03261"/>
    <w:rsid w:val="00A15916"/>
    <w:rsid w:val="00A17FF0"/>
    <w:rsid w:val="00A20C94"/>
    <w:rsid w:val="00A34686"/>
    <w:rsid w:val="00A34A85"/>
    <w:rsid w:val="00A405F8"/>
    <w:rsid w:val="00A50EB6"/>
    <w:rsid w:val="00A72607"/>
    <w:rsid w:val="00A921DF"/>
    <w:rsid w:val="00AB3CD7"/>
    <w:rsid w:val="00AD1E3F"/>
    <w:rsid w:val="00AD28A7"/>
    <w:rsid w:val="00AE1C9C"/>
    <w:rsid w:val="00AE6239"/>
    <w:rsid w:val="00AF5FE7"/>
    <w:rsid w:val="00B05C46"/>
    <w:rsid w:val="00B11242"/>
    <w:rsid w:val="00B149A5"/>
    <w:rsid w:val="00B229E5"/>
    <w:rsid w:val="00B3262E"/>
    <w:rsid w:val="00B51F27"/>
    <w:rsid w:val="00B56408"/>
    <w:rsid w:val="00B61205"/>
    <w:rsid w:val="00B8033A"/>
    <w:rsid w:val="00B84CCF"/>
    <w:rsid w:val="00B86035"/>
    <w:rsid w:val="00B90272"/>
    <w:rsid w:val="00B955B8"/>
    <w:rsid w:val="00BA3C6E"/>
    <w:rsid w:val="00BB3DB2"/>
    <w:rsid w:val="00BB4C91"/>
    <w:rsid w:val="00BE0085"/>
    <w:rsid w:val="00BE29F3"/>
    <w:rsid w:val="00BE5AC7"/>
    <w:rsid w:val="00BE6E6A"/>
    <w:rsid w:val="00BF6896"/>
    <w:rsid w:val="00C06ED1"/>
    <w:rsid w:val="00C10661"/>
    <w:rsid w:val="00C15FE0"/>
    <w:rsid w:val="00C20888"/>
    <w:rsid w:val="00C21C68"/>
    <w:rsid w:val="00C225E6"/>
    <w:rsid w:val="00C259AE"/>
    <w:rsid w:val="00C4271E"/>
    <w:rsid w:val="00C523CC"/>
    <w:rsid w:val="00C54274"/>
    <w:rsid w:val="00C653EA"/>
    <w:rsid w:val="00C6633A"/>
    <w:rsid w:val="00C72B2F"/>
    <w:rsid w:val="00C73F34"/>
    <w:rsid w:val="00C811A0"/>
    <w:rsid w:val="00C82682"/>
    <w:rsid w:val="00C93452"/>
    <w:rsid w:val="00C95458"/>
    <w:rsid w:val="00CA02D3"/>
    <w:rsid w:val="00CA3B6F"/>
    <w:rsid w:val="00CA576F"/>
    <w:rsid w:val="00CB044A"/>
    <w:rsid w:val="00CD2CAE"/>
    <w:rsid w:val="00CE61E4"/>
    <w:rsid w:val="00D02EFB"/>
    <w:rsid w:val="00D1093B"/>
    <w:rsid w:val="00D13B6D"/>
    <w:rsid w:val="00D13D18"/>
    <w:rsid w:val="00D31109"/>
    <w:rsid w:val="00D47035"/>
    <w:rsid w:val="00D6316E"/>
    <w:rsid w:val="00D74CDF"/>
    <w:rsid w:val="00D77F75"/>
    <w:rsid w:val="00D84171"/>
    <w:rsid w:val="00D87EAE"/>
    <w:rsid w:val="00D93876"/>
    <w:rsid w:val="00D97256"/>
    <w:rsid w:val="00DA10FD"/>
    <w:rsid w:val="00DA2A89"/>
    <w:rsid w:val="00DB5EDD"/>
    <w:rsid w:val="00DC206E"/>
    <w:rsid w:val="00DC3041"/>
    <w:rsid w:val="00DD2F7D"/>
    <w:rsid w:val="00DD38D2"/>
    <w:rsid w:val="00DD52C7"/>
    <w:rsid w:val="00DE1DCC"/>
    <w:rsid w:val="00DF0B96"/>
    <w:rsid w:val="00DF2DAB"/>
    <w:rsid w:val="00DF7339"/>
    <w:rsid w:val="00E1508C"/>
    <w:rsid w:val="00E2487A"/>
    <w:rsid w:val="00E37737"/>
    <w:rsid w:val="00E64C7F"/>
    <w:rsid w:val="00E7292D"/>
    <w:rsid w:val="00EA1321"/>
    <w:rsid w:val="00EA5922"/>
    <w:rsid w:val="00EB0F8A"/>
    <w:rsid w:val="00EC36CE"/>
    <w:rsid w:val="00ED2143"/>
    <w:rsid w:val="00EE020E"/>
    <w:rsid w:val="00EE4DF0"/>
    <w:rsid w:val="00EF1C58"/>
    <w:rsid w:val="00F2041F"/>
    <w:rsid w:val="00F361EC"/>
    <w:rsid w:val="00F42356"/>
    <w:rsid w:val="00F438B8"/>
    <w:rsid w:val="00F563E8"/>
    <w:rsid w:val="00F75ADB"/>
    <w:rsid w:val="00F90F13"/>
    <w:rsid w:val="00F97CC5"/>
    <w:rsid w:val="00F97ED2"/>
    <w:rsid w:val="00FB3DB3"/>
    <w:rsid w:val="00FC3C57"/>
    <w:rsid w:val="00FC455E"/>
    <w:rsid w:val="00FC5936"/>
    <w:rsid w:val="00FC635D"/>
    <w:rsid w:val="00FD05EF"/>
    <w:rsid w:val="00FD5DD1"/>
    <w:rsid w:val="00FF4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C7B4"/>
  <w15:chartTrackingRefBased/>
  <w15:docId w15:val="{251E9698-CC28-407D-B9E6-AEA00E58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5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unhideWhenUsed/>
    <w:qFormat/>
    <w:rsid w:val="005A59FB"/>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D74C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7F75"/>
    <w:pPr>
      <w:autoSpaceDE w:val="0"/>
      <w:autoSpaceDN w:val="0"/>
      <w:adjustRightInd w:val="0"/>
      <w:spacing w:after="0" w:line="240" w:lineRule="auto"/>
    </w:pPr>
    <w:rPr>
      <w:rFonts w:ascii="Arial" w:hAnsi="Arial" w:cs="Arial"/>
      <w:color w:val="000000"/>
      <w:kern w:val="0"/>
      <w:sz w:val="24"/>
      <w:szCs w:val="24"/>
      <w14:ligatures w14:val="none"/>
    </w:rPr>
  </w:style>
  <w:style w:type="paragraph" w:styleId="FootnoteText">
    <w:name w:val="footnote text"/>
    <w:aliases w:val="Footnote ak,Footnote text,footnote ak,Footnote,f,Geneva 9,Font: Geneva 9,Boston 10,fn,footnote text,ft,Footnote Text Char Char Char Char Char,Thesis Footnote Text,Footnote Text Char Char Char,Footnote Text Char Char,single space,Car"/>
    <w:basedOn w:val="Normal"/>
    <w:link w:val="FootnoteTextChar"/>
    <w:uiPriority w:val="99"/>
    <w:unhideWhenUsed/>
    <w:qFormat/>
    <w:rsid w:val="00B51F27"/>
    <w:pPr>
      <w:spacing w:after="0" w:line="240" w:lineRule="auto"/>
    </w:pPr>
    <w:rPr>
      <w:sz w:val="20"/>
      <w:szCs w:val="20"/>
    </w:rPr>
  </w:style>
  <w:style w:type="character" w:customStyle="1" w:styleId="FootnoteTextChar">
    <w:name w:val="Footnote Text Char"/>
    <w:aliases w:val="Footnote ak Char,Footnote text Char,footnote ak Char,Footnote Char,f Char,Geneva 9 Char,Font: Geneva 9 Char,Boston 10 Char,fn Char,footnote text Char,ft Char,Footnote Text Char Char Char Char Char Char,Thesis Footnote Text Char"/>
    <w:basedOn w:val="DefaultParagraphFont"/>
    <w:link w:val="FootnoteText"/>
    <w:uiPriority w:val="99"/>
    <w:rsid w:val="00B51F27"/>
    <w:rPr>
      <w:sz w:val="20"/>
      <w:szCs w:val="20"/>
    </w:rPr>
  </w:style>
  <w:style w:type="character" w:styleId="FootnoteReference">
    <w:name w:val="footnote reference"/>
    <w:aliases w:val="Ref,de nota al pie,註腳內容,de nota al pie + (Asian) MS Mincho,11 pt,Footnote Reference1,Ref1,de nota al pie1,JLIS,Footnotes refss,Footnote number,opcalrc,callout,4_G"/>
    <w:basedOn w:val="DefaultParagraphFont"/>
    <w:uiPriority w:val="99"/>
    <w:unhideWhenUsed/>
    <w:qFormat/>
    <w:rsid w:val="00B51F27"/>
    <w:rPr>
      <w:vertAlign w:val="superscript"/>
    </w:rPr>
  </w:style>
  <w:style w:type="character" w:customStyle="1" w:styleId="Heading1Char">
    <w:name w:val="Heading 1 Char"/>
    <w:basedOn w:val="DefaultParagraphFont"/>
    <w:link w:val="Heading1"/>
    <w:uiPriority w:val="9"/>
    <w:rsid w:val="005A59FB"/>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5A59FB"/>
    <w:rPr>
      <w:rFonts w:asciiTheme="majorHAnsi" w:eastAsiaTheme="majorEastAsia" w:hAnsiTheme="majorHAnsi" w:cstheme="majorBidi"/>
      <w:color w:val="2F5496" w:themeColor="accent1" w:themeShade="BF"/>
      <w:kern w:val="0"/>
      <w:sz w:val="26"/>
      <w:szCs w:val="26"/>
      <w14:ligatures w14:val="none"/>
    </w:rPr>
  </w:style>
  <w:style w:type="paragraph" w:styleId="NormalWeb">
    <w:name w:val="Normal (Web)"/>
    <w:basedOn w:val="Normal"/>
    <w:uiPriority w:val="99"/>
    <w:unhideWhenUsed/>
    <w:rsid w:val="005A59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A59FB"/>
    <w:rPr>
      <w:color w:val="0000FF"/>
      <w:u w:val="single"/>
    </w:rPr>
  </w:style>
  <w:style w:type="character" w:customStyle="1" w:styleId="ally-focus-within">
    <w:name w:val="ally-focus-within"/>
    <w:basedOn w:val="DefaultParagraphFont"/>
    <w:rsid w:val="005A59FB"/>
  </w:style>
  <w:style w:type="paragraph" w:styleId="ListParagraph">
    <w:name w:val="List Paragraph"/>
    <w:basedOn w:val="Normal"/>
    <w:uiPriority w:val="34"/>
    <w:qFormat/>
    <w:rsid w:val="005A59FB"/>
    <w:pPr>
      <w:ind w:left="720"/>
      <w:contextualSpacing/>
    </w:pPr>
    <w:rPr>
      <w:kern w:val="0"/>
      <w14:ligatures w14:val="none"/>
    </w:rPr>
  </w:style>
  <w:style w:type="character" w:customStyle="1" w:styleId="Heading3Char">
    <w:name w:val="Heading 3 Char"/>
    <w:basedOn w:val="DefaultParagraphFont"/>
    <w:link w:val="Heading3"/>
    <w:uiPriority w:val="9"/>
    <w:semiHidden/>
    <w:rsid w:val="00D74CD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D1093B"/>
    <w:rPr>
      <w:color w:val="605E5C"/>
      <w:shd w:val="clear" w:color="auto" w:fill="E1DFDD"/>
    </w:rPr>
  </w:style>
  <w:style w:type="paragraph" w:styleId="Header">
    <w:name w:val="header"/>
    <w:basedOn w:val="Normal"/>
    <w:link w:val="HeaderChar"/>
    <w:uiPriority w:val="99"/>
    <w:unhideWhenUsed/>
    <w:rsid w:val="000B1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563"/>
  </w:style>
  <w:style w:type="paragraph" w:styleId="Footer">
    <w:name w:val="footer"/>
    <w:basedOn w:val="Normal"/>
    <w:link w:val="FooterChar"/>
    <w:uiPriority w:val="99"/>
    <w:unhideWhenUsed/>
    <w:rsid w:val="000B1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oup.com/jiplp/article/16/11/1242/644697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ga.Gurgula@brunel.ac.uk" TargetMode="External"/><Relationship Id="rId17" Type="http://schemas.openxmlformats.org/officeDocument/2006/relationships/hyperlink" Target="https://papers.ssrn.com/sol3/papers.cfm?abstract_id=4552851" TargetMode="External"/><Relationship Id="rId2" Type="http://schemas.openxmlformats.org/officeDocument/2006/relationships/customXml" Target="../customXml/item2.xml"/><Relationship Id="rId16" Type="http://schemas.openxmlformats.org/officeDocument/2006/relationships/hyperlink" Target="https://stopaids.org.uk/wp-content/uploads/2023/03/Trade-Secrets-Report-FINAL-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ga.Gurgula@brunel.ac.uk" TargetMode="External"/><Relationship Id="rId5" Type="http://schemas.openxmlformats.org/officeDocument/2006/relationships/numbering" Target="numbering.xml"/><Relationship Id="rId15" Type="http://schemas.openxmlformats.org/officeDocument/2006/relationships/hyperlink" Target="https://www.southcentre.int/wp-content/uploads/2021/10/PB104_Compulsory-licensing-vs.-the-IP-waiver_EN-2.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centre.int/wp-content/uploads/2021/09/PB102_Accelerating-COVID-19-Vaccine-Production-via-Involuntary-Technology-Transfer_EN.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nature.com/articles/d41586-021-00727-3" TargetMode="External"/><Relationship Id="rId18" Type="http://schemas.openxmlformats.org/officeDocument/2006/relationships/hyperlink" Target="https://www.mondaq.com/Home/Redirect/1956174?mode=author&amp;article_id=1111706" TargetMode="External"/><Relationship Id="rId26" Type="http://schemas.openxmlformats.org/officeDocument/2006/relationships/hyperlink" Target="https://blogs.sciencemag.org/pipeline/archives/2021/02/02/myths-of-vaccine-manufacturing" TargetMode="External"/><Relationship Id="rId3" Type="http://schemas.openxmlformats.org/officeDocument/2006/relationships/hyperlink" Target="https://theconversation.com/covid-19-vaccines-were-developed-in-record-time-but-are-these-game-changers-safe-150249" TargetMode="External"/><Relationship Id="rId21" Type="http://schemas.openxmlformats.org/officeDocument/2006/relationships/hyperlink" Target="https://www.keionline.org/author/james-love" TargetMode="External"/><Relationship Id="rId34" Type="http://schemas.openxmlformats.org/officeDocument/2006/relationships/hyperlink" Target="https://www.thelancet.com/journals/lancet/article/PIIS0140-6736(21)00467-0/fulltext" TargetMode="External"/><Relationship Id="rId7" Type="http://schemas.openxmlformats.org/officeDocument/2006/relationships/hyperlink" Target="https://www.theguardian.com/profile/michael-safi" TargetMode="External"/><Relationship Id="rId12" Type="http://schemas.openxmlformats.org/officeDocument/2006/relationships/hyperlink" Target="https://healthgap.org/wp-content/uploads/2021/05/Baker.The-Third-Way-is-the-Same-Old-Way-Final1.pdf" TargetMode="External"/><Relationship Id="rId17" Type="http://schemas.openxmlformats.org/officeDocument/2006/relationships/hyperlink" Target="https://msfaccess.org/compulsory-licenses-trips-waiver-and-access-covid-19-medical-technologies" TargetMode="External"/><Relationship Id="rId25" Type="http://schemas.openxmlformats.org/officeDocument/2006/relationships/hyperlink" Target="https://post.parliament.uk/manufacturing-covid-19-vaccines/" TargetMode="External"/><Relationship Id="rId33" Type="http://schemas.openxmlformats.org/officeDocument/2006/relationships/hyperlink" Target="https://healthpolicy-watch.news/progress-on-covid-19-technology-pool-inches-along-as-sister-initiative-to-pool-vaccine-procurement-accelerates/" TargetMode="External"/><Relationship Id="rId2" Type="http://schemas.openxmlformats.org/officeDocument/2006/relationships/hyperlink" Target="https://theconversation.com/profiles/william-petri-947533" TargetMode="External"/><Relationship Id="rId16" Type="http://schemas.openxmlformats.org/officeDocument/2006/relationships/hyperlink" Target="https://www.southcentre.int/covid-19-compulsory-licenses-table-march-2021/" TargetMode="External"/><Relationship Id="rId20" Type="http://schemas.openxmlformats.org/officeDocument/2006/relationships/hyperlink" Target="https://www.who.int/initiatives/covid-19-technology-access-pool" TargetMode="External"/><Relationship Id="rId29" Type="http://schemas.openxmlformats.org/officeDocument/2006/relationships/hyperlink" Target="https://papers.ssrn.com/sol3/papers.cfm?abstract_id=4484507" TargetMode="External"/><Relationship Id="rId1" Type="http://schemas.openxmlformats.org/officeDocument/2006/relationships/hyperlink" Target="https://www.wipo.int/publications/en/details.jsp?id=4224" TargetMode="External"/><Relationship Id="rId6" Type="http://schemas.openxmlformats.org/officeDocument/2006/relationships/hyperlink" Target="https://covid19.who.int/" TargetMode="External"/><Relationship Id="rId11" Type="http://schemas.openxmlformats.org/officeDocument/2006/relationships/hyperlink" Target="https://www.keionline.org/35587" TargetMode="External"/><Relationship Id="rId24" Type="http://schemas.openxmlformats.org/officeDocument/2006/relationships/hyperlink" Target="https://post.parliament.uk/authors/lydia-harriss/" TargetMode="External"/><Relationship Id="rId32" Type="http://schemas.openxmlformats.org/officeDocument/2006/relationships/hyperlink" Target="https://healthpolicy-watch.news/author/grace-ren/" TargetMode="External"/><Relationship Id="rId5" Type="http://schemas.openxmlformats.org/officeDocument/2006/relationships/hyperlink" Target="https://www.oecd.org/coronavirus/en/policy-responses" TargetMode="External"/><Relationship Id="rId15" Type="http://schemas.openxmlformats.org/officeDocument/2006/relationships/hyperlink" Target="https://doi.org/10.1038/s41587-022-01485-x" TargetMode="External"/><Relationship Id="rId23" Type="http://schemas.openxmlformats.org/officeDocument/2006/relationships/hyperlink" Target="https://post.parliament.uk/authors/john-smeaton/" TargetMode="External"/><Relationship Id="rId28" Type="http://schemas.openxmlformats.org/officeDocument/2006/relationships/hyperlink" Target="https://ipkitten.blogspot.com/2020/08/the-process-may-or-may-not-be-product.htm" TargetMode="External"/><Relationship Id="rId10" Type="http://schemas.openxmlformats.org/officeDocument/2006/relationships/hyperlink" Target="https://www.southcentre.int/wp-content/uploads/2021/04/PB-92.pdf" TargetMode="External"/><Relationship Id="rId19" Type="http://schemas.openxmlformats.org/officeDocument/2006/relationships/hyperlink" Target="https://www.mondaq.com/Article/1111706" TargetMode="External"/><Relationship Id="rId31" Type="http://schemas.openxmlformats.org/officeDocument/2006/relationships/hyperlink" Target="https://www.ftc.gov/system/files/documents/cases/stipulated_order_for_permanent_injunction_mallinckrodt.pdf" TargetMode="External"/><Relationship Id="rId4" Type="http://schemas.openxmlformats.org/officeDocument/2006/relationships/hyperlink" Target="https://www.weforum.org/agenda/authors/mukhisa-kituyi" TargetMode="External"/><Relationship Id="rId9" Type="http://schemas.openxmlformats.org/officeDocument/2006/relationships/hyperlink" Target="https://covid19response.org/c-tap/" TargetMode="External"/><Relationship Id="rId14" Type="http://schemas.openxmlformats.org/officeDocument/2006/relationships/hyperlink" Target="https://www.nature.com/articles/d41586-021-00727-3" TargetMode="External"/><Relationship Id="rId22" Type="http://schemas.openxmlformats.org/officeDocument/2006/relationships/hyperlink" Target="https://www.keionline.org/37987" TargetMode="External"/><Relationship Id="rId27" Type="http://schemas.openxmlformats.org/officeDocument/2006/relationships/hyperlink" Target="https://www.gold.ac.uk/icce/staff/searle-nicola/" TargetMode="External"/><Relationship Id="rId30" Type="http://schemas.openxmlformats.org/officeDocument/2006/relationships/hyperlink" Target="https://lpeproject.org/blog/how-to-vaccinate-the-world-part-2/" TargetMode="External"/><Relationship Id="rId35" Type="http://schemas.openxmlformats.org/officeDocument/2006/relationships/hyperlink" Target="https://papers.ssrn.com/sol3/papers.cfm?abstract_id=4552851" TargetMode="External"/><Relationship Id="rId8" Type="http://schemas.openxmlformats.org/officeDocument/2006/relationships/hyperlink" Target="https://www.theguardian.com/world/2021/jan/22/who-platform-for-pharmaceutical-firms-unused-since-pandemic-be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Intellectual Property Law Brunel University London UK</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37D5-1268-4FED-A3FA-88EB42543C0A}">
  <ds:schemaRefs>
    <ds:schemaRef ds:uri="http://schemas.microsoft.com/sharepoint/v3/contenttype/forms"/>
  </ds:schemaRefs>
</ds:datastoreItem>
</file>

<file path=customXml/itemProps2.xml><?xml version="1.0" encoding="utf-8"?>
<ds:datastoreItem xmlns:ds="http://schemas.openxmlformats.org/officeDocument/2006/customXml" ds:itemID="{AEC542C6-C340-4D3D-8774-F9FB978F02CE}"/>
</file>

<file path=customXml/itemProps3.xml><?xml version="1.0" encoding="utf-8"?>
<ds:datastoreItem xmlns:ds="http://schemas.openxmlformats.org/officeDocument/2006/customXml" ds:itemID="{CAC517BF-06EE-4B39-848C-107DA35C28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42BFF8-124C-4F79-BF0A-45107603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2112</Words>
  <Characters>12039</Characters>
  <Application>Microsoft Office Word</Application>
  <DocSecurity>0</DocSecurity>
  <Lines>100</Lines>
  <Paragraphs>28</Paragraphs>
  <ScaleCrop>false</ScaleCrop>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Gurgula</dc:creator>
  <cp:keywords/>
  <dc:description/>
  <cp:lastModifiedBy>ESCR</cp:lastModifiedBy>
  <cp:revision>2</cp:revision>
  <dcterms:created xsi:type="dcterms:W3CDTF">2023-12-14T19:38:00Z</dcterms:created>
  <dcterms:modified xsi:type="dcterms:W3CDTF">2023-12-14T19:38:00Z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