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4002" w14:textId="6B46623B" w:rsidR="00A406A5" w:rsidRDefault="00A406A5" w:rsidP="002B49CE">
      <w:pPr>
        <w:rPr>
          <w:rFonts w:cstheme="minorHAnsi"/>
          <w:b/>
          <w:bCs/>
          <w:sz w:val="28"/>
          <w:szCs w:val="28"/>
        </w:rPr>
      </w:pPr>
      <w:r w:rsidRPr="002B49CE">
        <w:rPr>
          <w:rFonts w:cstheme="minorHAnsi"/>
          <w:b/>
          <w:bCs/>
          <w:sz w:val="28"/>
          <w:szCs w:val="28"/>
        </w:rPr>
        <w:t>Asunto: Convocatoria de contribuciones - Estudio analítico del ACNUDH sobre las principales dificultades para garantizar el acceso a los medicamentos, las vacunas y otros productos sanitarios (resolución 50/13 del Consejo de Derechos Humanos)</w:t>
      </w:r>
    </w:p>
    <w:p w14:paraId="5F43F250" w14:textId="5EC949B8" w:rsidR="002B49CE" w:rsidRDefault="002B49CE" w:rsidP="002B49CE">
      <w:pPr>
        <w:jc w:val="center"/>
        <w:rPr>
          <w:rFonts w:cstheme="minorHAnsi"/>
          <w:b/>
          <w:bCs/>
          <w:sz w:val="24"/>
          <w:szCs w:val="24"/>
        </w:rPr>
      </w:pPr>
      <w:r w:rsidRPr="002B49CE">
        <w:rPr>
          <w:rFonts w:cstheme="minorHAnsi"/>
          <w:b/>
          <w:bCs/>
          <w:sz w:val="24"/>
          <w:szCs w:val="24"/>
        </w:rPr>
        <w:t>Contribuciones de Salud por Derecho</w:t>
      </w:r>
    </w:p>
    <w:p w14:paraId="6EF529CF" w14:textId="4E2A4BA6" w:rsidR="002B49CE" w:rsidRPr="002B49CE" w:rsidRDefault="002B49CE" w:rsidP="002B49CE">
      <w:pPr>
        <w:jc w:val="center"/>
        <w:rPr>
          <w:rFonts w:cstheme="minorHAnsi"/>
          <w:b/>
          <w:bCs/>
          <w:sz w:val="24"/>
          <w:szCs w:val="24"/>
        </w:rPr>
      </w:pPr>
      <w:r w:rsidRPr="002B49CE">
        <w:rPr>
          <w:rFonts w:cstheme="minorHAnsi"/>
          <w:b/>
          <w:bCs/>
          <w:sz w:val="24"/>
          <w:szCs w:val="24"/>
        </w:rPr>
        <w:t>22/11/2023</w:t>
      </w:r>
    </w:p>
    <w:p w14:paraId="17AFE6C2" w14:textId="77777777" w:rsidR="002B49CE" w:rsidRPr="002B49CE" w:rsidRDefault="002B49CE" w:rsidP="002B49CE">
      <w:pPr>
        <w:pBdr>
          <w:bottom w:val="single" w:sz="4" w:space="1" w:color="auto"/>
        </w:pBdr>
        <w:rPr>
          <w:rFonts w:cstheme="minorHAnsi"/>
          <w:b/>
          <w:bCs/>
          <w:sz w:val="24"/>
          <w:szCs w:val="24"/>
        </w:rPr>
      </w:pPr>
    </w:p>
    <w:p w14:paraId="2A4CE950" w14:textId="1CDA4ECA" w:rsidR="002870A7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>(a)</w:t>
      </w:r>
      <w:r w:rsidR="003001C9" w:rsidRPr="00BC00A9">
        <w:rPr>
          <w:b/>
          <w:bCs/>
          <w:sz w:val="21"/>
          <w:szCs w:val="21"/>
        </w:rPr>
        <w:t xml:space="preserve"> </w:t>
      </w:r>
      <w:r w:rsidRPr="00BC00A9">
        <w:rPr>
          <w:b/>
          <w:bCs/>
          <w:sz w:val="21"/>
          <w:szCs w:val="21"/>
        </w:rPr>
        <w:t xml:space="preserve">¿Cuáles son los principales obstáculos a nivel nacional, regional e internacional para garantizar el acceso equitativo a los medicamentos, las vacunas y otros productos sanitarios? </w:t>
      </w:r>
    </w:p>
    <w:p w14:paraId="0E4B00F3" w14:textId="4F497523" w:rsidR="008D40CF" w:rsidRPr="00BC00A9" w:rsidRDefault="0086115E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 xml:space="preserve">A escala mundial, la pandemia de COVID-19 puso de manifiesto numerosas lagunas en la arquitectura mundial, especialmente en lo que respecta a la preparación y la respuesta a las amenazas para la salud mundial. Estas lagunas reflejaban la propia naturaleza del ecosistema de innovación farmacéutica, dejando claro que </w:t>
      </w:r>
      <w:r w:rsidR="004408A5" w:rsidRPr="00BC00A9">
        <w:rPr>
          <w:sz w:val="21"/>
          <w:szCs w:val="21"/>
        </w:rPr>
        <w:t>es</w:t>
      </w:r>
      <w:r w:rsidRPr="00BC00A9">
        <w:rPr>
          <w:sz w:val="21"/>
          <w:szCs w:val="21"/>
        </w:rPr>
        <w:t xml:space="preserve"> necesaria una transformación completa de la forma en que se accede a los tratamientos, vacunas y diagnósticos y se gestionan colectivamente para el bien público. </w:t>
      </w:r>
      <w:r w:rsidR="00557A50" w:rsidRPr="00BC00A9">
        <w:rPr>
          <w:sz w:val="21"/>
          <w:szCs w:val="21"/>
        </w:rPr>
        <w:t xml:space="preserve">El actual sistema de </w:t>
      </w:r>
      <w:r w:rsidR="003D1F85" w:rsidRPr="00BC00A9">
        <w:rPr>
          <w:sz w:val="21"/>
          <w:szCs w:val="21"/>
        </w:rPr>
        <w:t xml:space="preserve">innovación farmacéutica </w:t>
      </w:r>
      <w:r w:rsidR="00376B7C" w:rsidRPr="00BC00A9">
        <w:rPr>
          <w:sz w:val="21"/>
          <w:szCs w:val="21"/>
        </w:rPr>
        <w:t>está domin</w:t>
      </w:r>
      <w:r w:rsidR="000D2372" w:rsidRPr="00BC00A9">
        <w:rPr>
          <w:sz w:val="21"/>
          <w:szCs w:val="21"/>
        </w:rPr>
        <w:t xml:space="preserve">ado por lógicas de mercado que no son apropiadas para hacer frente a problemas de salud pública y salud global </w:t>
      </w:r>
      <w:r w:rsidR="00944875" w:rsidRPr="00BC00A9">
        <w:rPr>
          <w:sz w:val="21"/>
          <w:szCs w:val="21"/>
        </w:rPr>
        <w:t>apremiantes</w:t>
      </w:r>
      <w:r w:rsidR="000D2372" w:rsidRPr="00BC00A9">
        <w:rPr>
          <w:sz w:val="21"/>
          <w:szCs w:val="21"/>
        </w:rPr>
        <w:t>. La</w:t>
      </w:r>
      <w:r w:rsidR="001934B9" w:rsidRPr="00BC00A9">
        <w:rPr>
          <w:sz w:val="21"/>
          <w:szCs w:val="21"/>
        </w:rPr>
        <w:t xml:space="preserve"> </w:t>
      </w:r>
      <w:hyperlink r:id="rId9" w:history="1">
        <w:r w:rsidR="001934B9" w:rsidRPr="00383AC8">
          <w:rPr>
            <w:rStyle w:val="Hyperlink"/>
            <w:i/>
            <w:iCs/>
            <w:sz w:val="21"/>
            <w:szCs w:val="21"/>
          </w:rPr>
          <w:t>financiarización</w:t>
        </w:r>
      </w:hyperlink>
      <w:r w:rsidR="001934B9" w:rsidRPr="00BC00A9">
        <w:rPr>
          <w:sz w:val="21"/>
          <w:szCs w:val="21"/>
        </w:rPr>
        <w:t xml:space="preserve"> de un modelo extractivo que se sustenta en prácticas</w:t>
      </w:r>
      <w:r w:rsidR="003D1F85" w:rsidRPr="00BC00A9">
        <w:rPr>
          <w:sz w:val="21"/>
          <w:szCs w:val="21"/>
        </w:rPr>
        <w:t xml:space="preserve"> monopolísticas </w:t>
      </w:r>
      <w:hyperlink r:id="rId10">
        <w:r w:rsidR="0070722B" w:rsidRPr="20D223A0">
          <w:rPr>
            <w:rStyle w:val="Hyperlink"/>
          </w:rPr>
          <w:t>da prioridad a l</w:t>
        </w:r>
        <w:r w:rsidR="00F56148" w:rsidRPr="20D223A0">
          <w:rPr>
            <w:rStyle w:val="Hyperlink"/>
          </w:rPr>
          <w:t>os pagos de los accionistas</w:t>
        </w:r>
      </w:hyperlink>
      <w:r w:rsidR="00F56148" w:rsidRPr="20D223A0">
        <w:t xml:space="preserve"> frente al interés público global</w:t>
      </w:r>
      <w:r w:rsidR="00944875" w:rsidRPr="20D223A0">
        <w:t xml:space="preserve"> es una gran barrera para el acceso</w:t>
      </w:r>
      <w:r w:rsidR="00F56148" w:rsidRPr="20D223A0">
        <w:t xml:space="preserve">. </w:t>
      </w:r>
      <w:r w:rsidR="00F56148" w:rsidRPr="00BC00A9">
        <w:rPr>
          <w:sz w:val="21"/>
          <w:szCs w:val="21"/>
        </w:rPr>
        <w:t>La arquitectura del sistema de propiedad intelectual</w:t>
      </w:r>
      <w:r w:rsidR="00B2704A" w:rsidRPr="00BC00A9">
        <w:rPr>
          <w:sz w:val="21"/>
          <w:szCs w:val="21"/>
        </w:rPr>
        <w:t xml:space="preserve"> global</w:t>
      </w:r>
      <w:r w:rsidR="0076096A" w:rsidRPr="00BC00A9">
        <w:rPr>
          <w:sz w:val="21"/>
          <w:szCs w:val="21"/>
        </w:rPr>
        <w:t xml:space="preserve"> establecida a partir de los ADPIC genera un sistema</w:t>
      </w:r>
      <w:r w:rsidR="00B01F3A" w:rsidRPr="00BC00A9">
        <w:rPr>
          <w:sz w:val="21"/>
          <w:szCs w:val="21"/>
        </w:rPr>
        <w:t xml:space="preserve"> basado en los </w:t>
      </w:r>
      <w:r w:rsidR="0012009C" w:rsidRPr="00BC00A9">
        <w:rPr>
          <w:sz w:val="21"/>
          <w:szCs w:val="21"/>
        </w:rPr>
        <w:t>mayores</w:t>
      </w:r>
      <w:r w:rsidR="00B01F3A" w:rsidRPr="00BC00A9">
        <w:rPr>
          <w:sz w:val="21"/>
          <w:szCs w:val="21"/>
        </w:rPr>
        <w:t xml:space="preserve"> precios </w:t>
      </w:r>
      <w:r w:rsidR="0012009C" w:rsidRPr="00BC00A9">
        <w:rPr>
          <w:sz w:val="21"/>
          <w:szCs w:val="21"/>
        </w:rPr>
        <w:t>que se está dispuesto a pagar</w:t>
      </w:r>
      <w:r w:rsidR="00B01F3A" w:rsidRPr="00BC00A9">
        <w:rPr>
          <w:sz w:val="21"/>
          <w:szCs w:val="21"/>
        </w:rPr>
        <w:t xml:space="preserve">, la falta de transparencia a lo largo de </w:t>
      </w:r>
      <w:r w:rsidR="001A024B" w:rsidRPr="00BC00A9">
        <w:rPr>
          <w:sz w:val="21"/>
          <w:szCs w:val="21"/>
        </w:rPr>
        <w:t>todo el ciclo</w:t>
      </w:r>
      <w:r w:rsidR="00B01F3A" w:rsidRPr="00BC00A9">
        <w:rPr>
          <w:sz w:val="21"/>
          <w:szCs w:val="21"/>
        </w:rPr>
        <w:t xml:space="preserve"> de vida de las tecnologías sanitari</w:t>
      </w:r>
      <w:r w:rsidR="00F109DC">
        <w:rPr>
          <w:sz w:val="21"/>
          <w:szCs w:val="21"/>
        </w:rPr>
        <w:t>a</w:t>
      </w:r>
      <w:r w:rsidR="00B01F3A" w:rsidRPr="00BC00A9">
        <w:rPr>
          <w:sz w:val="21"/>
          <w:szCs w:val="21"/>
        </w:rPr>
        <w:t>s</w:t>
      </w:r>
      <w:r w:rsidR="00057FD9" w:rsidRPr="00BC00A9">
        <w:rPr>
          <w:sz w:val="21"/>
          <w:szCs w:val="21"/>
        </w:rPr>
        <w:t xml:space="preserve"> y una distribución del R&amp;D y </w:t>
      </w:r>
      <w:r w:rsidR="000200B0" w:rsidRPr="00BC00A9">
        <w:rPr>
          <w:sz w:val="21"/>
          <w:szCs w:val="21"/>
        </w:rPr>
        <w:t xml:space="preserve">la producción inequitativa a nivel global </w:t>
      </w:r>
      <w:r w:rsidR="00944875" w:rsidRPr="00BC00A9">
        <w:rPr>
          <w:sz w:val="21"/>
          <w:szCs w:val="21"/>
        </w:rPr>
        <w:t xml:space="preserve">que </w:t>
      </w:r>
      <w:r w:rsidR="000200B0" w:rsidRPr="00BC00A9">
        <w:rPr>
          <w:sz w:val="21"/>
          <w:szCs w:val="21"/>
        </w:rPr>
        <w:t>impide el acceso</w:t>
      </w:r>
      <w:r w:rsidR="00944875" w:rsidRPr="00BC00A9">
        <w:rPr>
          <w:sz w:val="21"/>
          <w:szCs w:val="21"/>
        </w:rPr>
        <w:t xml:space="preserve"> a </w:t>
      </w:r>
      <w:r w:rsidR="00B779CF" w:rsidRPr="00BC00A9">
        <w:rPr>
          <w:sz w:val="21"/>
          <w:szCs w:val="21"/>
        </w:rPr>
        <w:t xml:space="preserve">las tecnologías </w:t>
      </w:r>
      <w:r w:rsidR="004D353E" w:rsidRPr="00BC00A9">
        <w:rPr>
          <w:sz w:val="21"/>
          <w:szCs w:val="21"/>
        </w:rPr>
        <w:t>sanitarias</w:t>
      </w:r>
      <w:r w:rsidR="00B779CF" w:rsidRPr="00BC00A9">
        <w:rPr>
          <w:sz w:val="21"/>
          <w:szCs w:val="21"/>
        </w:rPr>
        <w:t xml:space="preserve"> o contramedidas pandémicas necesarias,</w:t>
      </w:r>
      <w:r w:rsidR="000200B0" w:rsidRPr="00BC00A9">
        <w:rPr>
          <w:sz w:val="21"/>
          <w:szCs w:val="21"/>
        </w:rPr>
        <w:t xml:space="preserve"> tanto en situaciones de emergencia y pandemia, como para hacer frente a las cargas de enfermedad</w:t>
      </w:r>
      <w:r w:rsidR="001A024B" w:rsidRPr="00BC00A9">
        <w:rPr>
          <w:sz w:val="21"/>
          <w:szCs w:val="21"/>
        </w:rPr>
        <w:t xml:space="preserve"> rutinarias de los países.</w:t>
      </w:r>
      <w:r w:rsidR="00D2737D" w:rsidRPr="00BC00A9">
        <w:rPr>
          <w:sz w:val="21"/>
          <w:szCs w:val="21"/>
        </w:rPr>
        <w:t xml:space="preserve"> Es especialmente preocupante </w:t>
      </w:r>
      <w:r w:rsidR="00C965DF" w:rsidRPr="00BC00A9">
        <w:rPr>
          <w:sz w:val="21"/>
          <w:szCs w:val="21"/>
        </w:rPr>
        <w:t xml:space="preserve">el desarrollo de normas y legislaciones </w:t>
      </w:r>
      <w:hyperlink r:id="rId11">
        <w:r w:rsidR="00C965DF" w:rsidRPr="20D223A0">
          <w:rPr>
            <w:rStyle w:val="Hyperlink"/>
          </w:rPr>
          <w:t xml:space="preserve">ADPIC-plus, que repercuten en un </w:t>
        </w:r>
        <w:r w:rsidR="00E32572" w:rsidRPr="20D223A0">
          <w:rPr>
            <w:rStyle w:val="Hyperlink"/>
          </w:rPr>
          <w:t>monopolios farmacéuticos con mayores costes</w:t>
        </w:r>
      </w:hyperlink>
      <w:r w:rsidR="00E32572" w:rsidRPr="20D223A0">
        <w:t xml:space="preserve"> para pacientes y países</w:t>
      </w:r>
      <w:r w:rsidR="00E46676" w:rsidRPr="20D223A0">
        <w:t>, así como menor disponibilidad global</w:t>
      </w:r>
      <w:r w:rsidR="00237673" w:rsidRPr="20D223A0">
        <w:t>. Un ejemplo relevante para la salud global son</w:t>
      </w:r>
      <w:r w:rsidR="009766FD" w:rsidRPr="20D223A0">
        <w:t xml:space="preserve"> las </w:t>
      </w:r>
      <w:hyperlink r:id="rId12">
        <w:r w:rsidR="009766FD" w:rsidRPr="20D223A0">
          <w:rPr>
            <w:rStyle w:val="Hyperlink"/>
          </w:rPr>
          <w:t>negociaciones de los acuerdos de libre comercio, donde</w:t>
        </w:r>
        <w:r w:rsidR="0015586A" w:rsidRPr="20D223A0">
          <w:rPr>
            <w:rStyle w:val="Hyperlink"/>
          </w:rPr>
          <w:t xml:space="preserve"> </w:t>
        </w:r>
        <w:r w:rsidR="00334FFE" w:rsidRPr="20D223A0">
          <w:rPr>
            <w:rStyle w:val="Hyperlink"/>
          </w:rPr>
          <w:t>la</w:t>
        </w:r>
        <w:r w:rsidR="0015586A" w:rsidRPr="20D223A0">
          <w:rPr>
            <w:rStyle w:val="Hyperlink"/>
          </w:rPr>
          <w:t xml:space="preserve"> ampliación del período de patentes o</w:t>
        </w:r>
        <w:r w:rsidR="003E3804" w:rsidRPr="20D223A0">
          <w:rPr>
            <w:rStyle w:val="Hyperlink"/>
          </w:rPr>
          <w:t xml:space="preserve"> la exclusividad de datos</w:t>
        </w:r>
        <w:r w:rsidR="00334FFE" w:rsidRPr="20D223A0">
          <w:rPr>
            <w:rStyle w:val="Hyperlink"/>
          </w:rPr>
          <w:t xml:space="preserve"> es omnipresente</w:t>
        </w:r>
      </w:hyperlink>
      <w:r w:rsidR="00334FFE" w:rsidRPr="20D223A0">
        <w:t xml:space="preserve"> en las </w:t>
      </w:r>
      <w:r w:rsidR="00EC74F8" w:rsidRPr="20D223A0">
        <w:t>discusiones.</w:t>
      </w:r>
      <w:r w:rsidR="004D353E" w:rsidRPr="20D223A0">
        <w:t xml:space="preserve"> </w:t>
      </w:r>
      <w:r w:rsidR="004D353E" w:rsidRPr="00BC00A9">
        <w:rPr>
          <w:sz w:val="21"/>
          <w:szCs w:val="21"/>
        </w:rPr>
        <w:t xml:space="preserve">La falta de transferencia de conocimiento y tecnología, </w:t>
      </w:r>
      <w:r w:rsidR="009D4655" w:rsidRPr="00BC00A9">
        <w:rPr>
          <w:sz w:val="21"/>
          <w:szCs w:val="21"/>
        </w:rPr>
        <w:t xml:space="preserve">el bloqueo de la innovación que produce el sistema de patentes, los altos precios por diseño que generan los monopolios </w:t>
      </w:r>
      <w:r w:rsidR="009E1308" w:rsidRPr="00BC00A9">
        <w:rPr>
          <w:sz w:val="21"/>
          <w:szCs w:val="21"/>
        </w:rPr>
        <w:t xml:space="preserve">farmacéuticos, </w:t>
      </w:r>
      <w:hyperlink r:id="rId13">
        <w:r w:rsidR="009E1308" w:rsidRPr="20D223A0">
          <w:rPr>
            <w:rStyle w:val="Hyperlink"/>
          </w:rPr>
          <w:t>una agenda de investigación orientada hacia intereses comerciales</w:t>
        </w:r>
      </w:hyperlink>
      <w:r w:rsidR="009E1308" w:rsidRPr="00BC00A9">
        <w:rPr>
          <w:sz w:val="21"/>
          <w:szCs w:val="21"/>
        </w:rPr>
        <w:t xml:space="preserve"> </w:t>
      </w:r>
      <w:r w:rsidR="009E638B" w:rsidRPr="00BC00A9">
        <w:rPr>
          <w:sz w:val="21"/>
          <w:szCs w:val="21"/>
        </w:rPr>
        <w:t>con escaso liderazgo público</w:t>
      </w:r>
      <w:r w:rsidR="00FE1315" w:rsidRPr="00BC00A9">
        <w:rPr>
          <w:sz w:val="21"/>
          <w:szCs w:val="21"/>
        </w:rPr>
        <w:t xml:space="preserve">, las barreras para el </w:t>
      </w:r>
      <w:hyperlink r:id="rId14">
        <w:r w:rsidR="00FE1315" w:rsidRPr="20D223A0">
          <w:rPr>
            <w:rStyle w:val="Hyperlink"/>
          </w:rPr>
          <w:t>uso de las flexibilidades de los ADPIC</w:t>
        </w:r>
      </w:hyperlink>
      <w:r w:rsidR="00E10EC3" w:rsidRPr="00BC00A9">
        <w:rPr>
          <w:sz w:val="21"/>
          <w:szCs w:val="21"/>
        </w:rPr>
        <w:t xml:space="preserve"> como las licencias obligatorias</w:t>
      </w:r>
      <w:r w:rsidR="009E638B" w:rsidRPr="00BC00A9">
        <w:rPr>
          <w:sz w:val="21"/>
          <w:szCs w:val="21"/>
        </w:rPr>
        <w:t>; así como</w:t>
      </w:r>
      <w:r w:rsidR="009E1308" w:rsidRPr="00BC00A9">
        <w:rPr>
          <w:sz w:val="21"/>
          <w:szCs w:val="21"/>
        </w:rPr>
        <w:t xml:space="preserve"> la </w:t>
      </w:r>
      <w:hyperlink r:id="rId15" w:anchor="B1.">
        <w:r w:rsidR="009E1308" w:rsidRPr="20D223A0">
          <w:rPr>
            <w:rStyle w:val="Hyperlink"/>
          </w:rPr>
          <w:t>falta de transferencia</w:t>
        </w:r>
      </w:hyperlink>
      <w:r w:rsidR="009E1308" w:rsidRPr="00BC00A9">
        <w:rPr>
          <w:sz w:val="21"/>
          <w:szCs w:val="21"/>
        </w:rPr>
        <w:t xml:space="preserve"> sobre coste, precios y acuerdos en torno a estos temas, son las barreras más apremiantes a tener en cuenta en el marco global</w:t>
      </w:r>
      <w:r w:rsidR="00B8044B" w:rsidRPr="00BC00A9">
        <w:rPr>
          <w:sz w:val="21"/>
          <w:szCs w:val="21"/>
        </w:rPr>
        <w:t xml:space="preserve"> y que deben ser consideradas en </w:t>
      </w:r>
      <w:hyperlink r:id="rId16">
        <w:r w:rsidR="00B8044B" w:rsidRPr="20D223A0">
          <w:rPr>
            <w:rStyle w:val="Hyperlink"/>
          </w:rPr>
          <w:t>procesos tales como el acuerdo de pandemias</w:t>
        </w:r>
      </w:hyperlink>
      <w:r w:rsidR="00B8044B" w:rsidRPr="00BC00A9">
        <w:rPr>
          <w:sz w:val="21"/>
          <w:szCs w:val="21"/>
        </w:rPr>
        <w:t xml:space="preserve">, </w:t>
      </w:r>
      <w:r w:rsidR="00EB33FD" w:rsidRPr="00BC00A9">
        <w:rPr>
          <w:sz w:val="21"/>
          <w:szCs w:val="21"/>
        </w:rPr>
        <w:t>las negociaciones de las IHR o en el diseño de plataformas globales como el MCM</w:t>
      </w:r>
      <w:r w:rsidR="00237673" w:rsidRPr="00BC00A9">
        <w:rPr>
          <w:sz w:val="21"/>
          <w:szCs w:val="21"/>
        </w:rPr>
        <w:t>.</w:t>
      </w:r>
    </w:p>
    <w:p w14:paraId="6792C15F" w14:textId="2F3DB9D3" w:rsidR="00911148" w:rsidRPr="00BC00A9" w:rsidRDefault="009E638B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A nivel regional en la Unión Europea</w:t>
      </w:r>
      <w:r w:rsidR="004F401B" w:rsidRPr="00BC00A9">
        <w:rPr>
          <w:sz w:val="21"/>
          <w:szCs w:val="21"/>
        </w:rPr>
        <w:t xml:space="preserve"> (UE)</w:t>
      </w:r>
      <w:r w:rsidRPr="00BC00A9">
        <w:rPr>
          <w:sz w:val="21"/>
          <w:szCs w:val="21"/>
        </w:rPr>
        <w:t>, l</w:t>
      </w:r>
      <w:r w:rsidR="0095169D" w:rsidRPr="00BC00A9">
        <w:rPr>
          <w:sz w:val="21"/>
          <w:szCs w:val="21"/>
        </w:rPr>
        <w:t>as barreras son similares.</w:t>
      </w:r>
      <w:r w:rsidR="004F401B" w:rsidRPr="00BC00A9">
        <w:rPr>
          <w:sz w:val="21"/>
          <w:szCs w:val="21"/>
        </w:rPr>
        <w:t xml:space="preserve"> El sistema de incentivos de la innovación farmacéutica se sustenta, además de en </w:t>
      </w:r>
      <w:r w:rsidR="00F40D2D" w:rsidRPr="00BC00A9">
        <w:rPr>
          <w:sz w:val="21"/>
          <w:szCs w:val="21"/>
        </w:rPr>
        <w:t>la arquitectura global arriba explicada, en</w:t>
      </w:r>
      <w:r w:rsidR="0031381B" w:rsidRPr="00BC00A9">
        <w:rPr>
          <w:sz w:val="21"/>
          <w:szCs w:val="21"/>
        </w:rPr>
        <w:t xml:space="preserve"> </w:t>
      </w:r>
      <w:r w:rsidR="00285660" w:rsidRPr="00BC00A9">
        <w:rPr>
          <w:sz w:val="21"/>
          <w:szCs w:val="21"/>
        </w:rPr>
        <w:t>incentivos ADPIC plus como</w:t>
      </w:r>
      <w:r w:rsidR="00F40D2D" w:rsidRPr="00BC00A9">
        <w:rPr>
          <w:sz w:val="21"/>
          <w:szCs w:val="21"/>
        </w:rPr>
        <w:t xml:space="preserve"> </w:t>
      </w:r>
      <w:r w:rsidR="00911148" w:rsidRPr="00BC00A9">
        <w:rPr>
          <w:sz w:val="21"/>
          <w:szCs w:val="21"/>
        </w:rPr>
        <w:t>la exclusividad de datos</w:t>
      </w:r>
      <w:r w:rsidR="00285660" w:rsidRPr="00BC00A9">
        <w:rPr>
          <w:sz w:val="21"/>
          <w:szCs w:val="21"/>
        </w:rPr>
        <w:t xml:space="preserve">, </w:t>
      </w:r>
      <w:r w:rsidR="00911148" w:rsidRPr="00BC00A9">
        <w:rPr>
          <w:sz w:val="21"/>
          <w:szCs w:val="21"/>
        </w:rPr>
        <w:t xml:space="preserve">la exclusividad </w:t>
      </w:r>
      <w:r w:rsidR="00283087" w:rsidRPr="00BC00A9">
        <w:rPr>
          <w:sz w:val="21"/>
          <w:szCs w:val="21"/>
        </w:rPr>
        <w:t>mediante protecciones de</w:t>
      </w:r>
      <w:r w:rsidR="00911148" w:rsidRPr="00BC00A9">
        <w:rPr>
          <w:sz w:val="21"/>
          <w:szCs w:val="21"/>
        </w:rPr>
        <w:t xml:space="preserve"> mercado </w:t>
      </w:r>
      <w:r w:rsidR="00FF32C3" w:rsidRPr="00BC00A9">
        <w:rPr>
          <w:sz w:val="21"/>
          <w:szCs w:val="21"/>
        </w:rPr>
        <w:t xml:space="preserve">o certificados complementarios de protección </w:t>
      </w:r>
      <w:r w:rsidR="00F40D2D" w:rsidRPr="00BC00A9">
        <w:rPr>
          <w:sz w:val="21"/>
          <w:szCs w:val="21"/>
        </w:rPr>
        <w:t>que aumentan la duración</w:t>
      </w:r>
      <w:r w:rsidR="00B60C60" w:rsidRPr="00BC00A9">
        <w:rPr>
          <w:sz w:val="21"/>
          <w:szCs w:val="21"/>
        </w:rPr>
        <w:t xml:space="preserve"> </w:t>
      </w:r>
      <w:r w:rsidR="00B60C60" w:rsidRPr="00BC00A9">
        <w:rPr>
          <w:i/>
          <w:iCs/>
          <w:sz w:val="21"/>
          <w:szCs w:val="21"/>
        </w:rPr>
        <w:t>de facto</w:t>
      </w:r>
      <w:r w:rsidR="00F40D2D" w:rsidRPr="00BC00A9">
        <w:rPr>
          <w:sz w:val="21"/>
          <w:szCs w:val="21"/>
        </w:rPr>
        <w:t xml:space="preserve"> de los </w:t>
      </w:r>
      <w:r w:rsidR="00911148" w:rsidRPr="00BC00A9">
        <w:rPr>
          <w:sz w:val="21"/>
          <w:szCs w:val="21"/>
        </w:rPr>
        <w:t>monopolios</w:t>
      </w:r>
      <w:r w:rsidR="0031381B" w:rsidRPr="00BC00A9">
        <w:rPr>
          <w:sz w:val="21"/>
          <w:szCs w:val="21"/>
        </w:rPr>
        <w:t xml:space="preserve"> mediante diferentes mecanismos</w:t>
      </w:r>
      <w:r w:rsidR="00B818A8" w:rsidRPr="00BC00A9">
        <w:rPr>
          <w:sz w:val="21"/>
          <w:szCs w:val="21"/>
        </w:rPr>
        <w:t xml:space="preserve">. </w:t>
      </w:r>
      <w:r w:rsidR="00D56832" w:rsidRPr="00BC00A9">
        <w:rPr>
          <w:sz w:val="21"/>
          <w:szCs w:val="21"/>
        </w:rPr>
        <w:t xml:space="preserve">Estos incentivos son especialmente relevantes en los medicamentos huérfanos, </w:t>
      </w:r>
      <w:r w:rsidR="009A721C" w:rsidRPr="00BC00A9">
        <w:rPr>
          <w:sz w:val="21"/>
          <w:szCs w:val="21"/>
        </w:rPr>
        <w:t>llegándose a convertir en superventas</w:t>
      </w:r>
      <w:r w:rsidR="00530295" w:rsidRPr="00BC00A9">
        <w:rPr>
          <w:sz w:val="21"/>
          <w:szCs w:val="21"/>
        </w:rPr>
        <w:t xml:space="preserve">. </w:t>
      </w:r>
      <w:r w:rsidR="00A0713A" w:rsidRPr="00BC00A9">
        <w:rPr>
          <w:sz w:val="21"/>
          <w:szCs w:val="21"/>
        </w:rPr>
        <w:t xml:space="preserve">La insistencia en </w:t>
      </w:r>
      <w:r w:rsidR="00BA5CBB" w:rsidRPr="00BC00A9">
        <w:rPr>
          <w:sz w:val="21"/>
          <w:szCs w:val="21"/>
        </w:rPr>
        <w:t xml:space="preserve">estos incentivos ocurre a pesar de que en su forma actual </w:t>
      </w:r>
      <w:hyperlink r:id="rId17">
        <w:r w:rsidR="00BA5CBB" w:rsidRPr="20D223A0">
          <w:rPr>
            <w:rStyle w:val="Hyperlink"/>
          </w:rPr>
          <w:t>no suponen una mejora del acceso</w:t>
        </w:r>
      </w:hyperlink>
      <w:r w:rsidR="00647A2E" w:rsidRPr="20D223A0">
        <w:t xml:space="preserve">. </w:t>
      </w:r>
      <w:r w:rsidR="006C780A" w:rsidRPr="00BC00A9">
        <w:rPr>
          <w:sz w:val="21"/>
          <w:szCs w:val="21"/>
        </w:rPr>
        <w:t xml:space="preserve">La </w:t>
      </w:r>
      <w:hyperlink r:id="rId18">
        <w:r w:rsidR="006C780A" w:rsidRPr="20D223A0">
          <w:rPr>
            <w:rStyle w:val="Hyperlink"/>
          </w:rPr>
          <w:t xml:space="preserve">falta de condicionalidades </w:t>
        </w:r>
        <w:r w:rsidR="009E3C48" w:rsidRPr="20D223A0">
          <w:rPr>
            <w:rStyle w:val="Hyperlink"/>
          </w:rPr>
          <w:t xml:space="preserve">que defiendan el interés y retorno público </w:t>
        </w:r>
        <w:r w:rsidR="006C780A" w:rsidRPr="20D223A0">
          <w:rPr>
            <w:rStyle w:val="Hyperlink"/>
          </w:rPr>
          <w:t>a cualquier incentivo</w:t>
        </w:r>
      </w:hyperlink>
      <w:r w:rsidR="006C780A" w:rsidRPr="00BC00A9">
        <w:rPr>
          <w:sz w:val="21"/>
          <w:szCs w:val="21"/>
        </w:rPr>
        <w:t xml:space="preserve"> que sea </w:t>
      </w:r>
      <w:r w:rsidR="006C780A" w:rsidRPr="00BC00A9">
        <w:rPr>
          <w:sz w:val="21"/>
          <w:szCs w:val="21"/>
        </w:rPr>
        <w:lastRenderedPageBreak/>
        <w:t>diseñado para</w:t>
      </w:r>
      <w:r w:rsidR="004540E3" w:rsidRPr="00BC00A9">
        <w:rPr>
          <w:sz w:val="21"/>
          <w:szCs w:val="21"/>
        </w:rPr>
        <w:t xml:space="preserve"> </w:t>
      </w:r>
      <w:r w:rsidR="00E87A73" w:rsidRPr="00BC00A9">
        <w:rPr>
          <w:sz w:val="21"/>
          <w:szCs w:val="21"/>
        </w:rPr>
        <w:t>asegurar la cobertura de</w:t>
      </w:r>
      <w:r w:rsidR="004540E3" w:rsidRPr="00BC00A9">
        <w:rPr>
          <w:sz w:val="21"/>
          <w:szCs w:val="21"/>
        </w:rPr>
        <w:t xml:space="preserve"> las inversiones en I+D supondrá a la larga una barrera para el acceso a las tecnologías sanitarias.</w:t>
      </w:r>
      <w:r w:rsidR="00CA1438" w:rsidRPr="00BC00A9">
        <w:rPr>
          <w:sz w:val="21"/>
          <w:szCs w:val="21"/>
        </w:rPr>
        <w:t xml:space="preserve"> Si el retorno de la inversión es la justificación de la existencia de todos estos incentivos, entonces la falta de transparencia en los costes de la I+D y la falta de planes de acceso global</w:t>
      </w:r>
      <w:r w:rsidR="00AE139A" w:rsidRPr="00BC00A9">
        <w:rPr>
          <w:sz w:val="21"/>
          <w:szCs w:val="21"/>
        </w:rPr>
        <w:t xml:space="preserve"> y acuerdos de precios en fases iniciales serán obstáculos</w:t>
      </w:r>
      <w:r w:rsidR="00474FE8" w:rsidRPr="00BC00A9">
        <w:rPr>
          <w:sz w:val="21"/>
          <w:szCs w:val="21"/>
        </w:rPr>
        <w:t xml:space="preserve"> que acabarán siendo insalvables</w:t>
      </w:r>
      <w:r w:rsidR="00AC7D1F" w:rsidRPr="00BC00A9">
        <w:rPr>
          <w:sz w:val="21"/>
          <w:szCs w:val="21"/>
        </w:rPr>
        <w:t xml:space="preserve"> en el futuro.</w:t>
      </w:r>
    </w:p>
    <w:p w14:paraId="0DD87FF6" w14:textId="27DDF23D" w:rsidR="00B442B2" w:rsidRPr="00BC00A9" w:rsidRDefault="00B442B2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A nivel nacional</w:t>
      </w:r>
      <w:r w:rsidR="006C63B6" w:rsidRPr="00BC00A9">
        <w:rPr>
          <w:sz w:val="21"/>
          <w:szCs w:val="21"/>
        </w:rPr>
        <w:t xml:space="preserve"> en España</w:t>
      </w:r>
      <w:r w:rsidR="007653F0" w:rsidRPr="00BC00A9">
        <w:rPr>
          <w:sz w:val="21"/>
          <w:szCs w:val="21"/>
        </w:rPr>
        <w:t xml:space="preserve">, al igual que en el resto de </w:t>
      </w:r>
      <w:r w:rsidR="003F1C9B" w:rsidRPr="00BC00A9">
        <w:rPr>
          <w:sz w:val="21"/>
          <w:szCs w:val="21"/>
        </w:rPr>
        <w:t>los países</w:t>
      </w:r>
      <w:r w:rsidR="007653F0" w:rsidRPr="00BC00A9">
        <w:rPr>
          <w:sz w:val="21"/>
          <w:szCs w:val="21"/>
        </w:rPr>
        <w:t xml:space="preserve"> del entorno, </w:t>
      </w:r>
      <w:r w:rsidR="00D102B6" w:rsidRPr="00BC00A9">
        <w:rPr>
          <w:sz w:val="21"/>
          <w:szCs w:val="21"/>
        </w:rPr>
        <w:t xml:space="preserve">una de las principales barreras es la financiación pública de medicamentos </w:t>
      </w:r>
      <w:r w:rsidR="005057C6" w:rsidRPr="00BC00A9">
        <w:rPr>
          <w:sz w:val="21"/>
          <w:szCs w:val="21"/>
        </w:rPr>
        <w:t xml:space="preserve">y la fijación de precios </w:t>
      </w:r>
      <w:r w:rsidR="0078308F" w:rsidRPr="00BC00A9">
        <w:rPr>
          <w:sz w:val="21"/>
          <w:szCs w:val="21"/>
        </w:rPr>
        <w:t>de medicamentos innovadores. El uso de sistema de fijación de precios</w:t>
      </w:r>
      <w:r w:rsidR="00A33272" w:rsidRPr="00BC00A9">
        <w:rPr>
          <w:sz w:val="21"/>
          <w:szCs w:val="21"/>
        </w:rPr>
        <w:t xml:space="preserve"> en función a precio por valor en cualquier modalidad (pargo por AVAC, </w:t>
      </w:r>
      <w:r w:rsidR="008828E2" w:rsidRPr="00BC00A9">
        <w:rPr>
          <w:sz w:val="21"/>
          <w:szCs w:val="21"/>
        </w:rPr>
        <w:t>etc.</w:t>
      </w:r>
      <w:r w:rsidR="00A33272" w:rsidRPr="00BC00A9">
        <w:rPr>
          <w:sz w:val="21"/>
          <w:szCs w:val="21"/>
        </w:rPr>
        <w:t>)</w:t>
      </w:r>
      <w:r w:rsidR="00BA0B6A" w:rsidRPr="00BC00A9">
        <w:rPr>
          <w:sz w:val="21"/>
          <w:szCs w:val="21"/>
        </w:rPr>
        <w:t xml:space="preserve"> o de cost-efectividad genera una espiral de precios ya que el comparador es un precio ya abusivo. </w:t>
      </w:r>
      <w:r w:rsidR="002C1338" w:rsidRPr="00BC00A9">
        <w:rPr>
          <w:sz w:val="21"/>
          <w:szCs w:val="21"/>
        </w:rPr>
        <w:t xml:space="preserve">Siempre que se fije el precio en función al valor que dicho medicamento tiene para el sistema público mediante la cuantificación del beneficio y de la disponibilidad a pagar por el mismo, y no en función al coste real, el acceso a medicamentos innovadores se verá cada vez más limitado al supeditar la accesibilidad a la capacidad de negociación y las dinámicas de mercado. Al igual que en la región, los </w:t>
      </w:r>
      <w:r w:rsidR="008828E2" w:rsidRPr="00BC00A9">
        <w:rPr>
          <w:sz w:val="21"/>
          <w:szCs w:val="21"/>
        </w:rPr>
        <w:t>desabastecimientos</w:t>
      </w:r>
      <w:r w:rsidR="002C1338" w:rsidRPr="00BC00A9">
        <w:rPr>
          <w:sz w:val="21"/>
          <w:szCs w:val="21"/>
        </w:rPr>
        <w:t xml:space="preserve"> de medicamentos también son una realidad cada vez más común.</w:t>
      </w:r>
      <w:r w:rsidR="00D057F0" w:rsidRPr="00BC00A9">
        <w:rPr>
          <w:sz w:val="21"/>
          <w:szCs w:val="21"/>
        </w:rPr>
        <w:t xml:space="preserve"> La falta de información sobre el motivo real </w:t>
      </w:r>
      <w:r w:rsidR="006D4D4A" w:rsidRPr="00BC00A9">
        <w:rPr>
          <w:sz w:val="21"/>
          <w:szCs w:val="21"/>
        </w:rPr>
        <w:t>de</w:t>
      </w:r>
      <w:r w:rsidR="00D057F0" w:rsidRPr="00BC00A9">
        <w:rPr>
          <w:sz w:val="21"/>
          <w:szCs w:val="21"/>
        </w:rPr>
        <w:t xml:space="preserve"> la escasez, de medidas efectivas de prevención y disuasorias, en especial para aquellos casos donde el corte del suministro se deba a motivaciones comerciales,</w:t>
      </w:r>
      <w:r w:rsidR="00ED62BD" w:rsidRPr="00BC00A9">
        <w:rPr>
          <w:sz w:val="21"/>
          <w:szCs w:val="21"/>
        </w:rPr>
        <w:t xml:space="preserve"> así como la falta de autonomía estrategia</w:t>
      </w:r>
      <w:r w:rsidR="0027170A" w:rsidRPr="00BC00A9">
        <w:rPr>
          <w:sz w:val="21"/>
          <w:szCs w:val="21"/>
        </w:rPr>
        <w:t xml:space="preserve"> y libertad para operar</w:t>
      </w:r>
      <w:r w:rsidR="00ED62BD" w:rsidRPr="00BC00A9">
        <w:rPr>
          <w:sz w:val="21"/>
          <w:szCs w:val="21"/>
        </w:rPr>
        <w:t xml:space="preserve"> que daría una producción regional liderada desde el sector público para algun</w:t>
      </w:r>
      <w:r w:rsidR="0027170A" w:rsidRPr="00BC00A9">
        <w:rPr>
          <w:sz w:val="21"/>
          <w:szCs w:val="21"/>
        </w:rPr>
        <w:t>as áreas terapéuticas, son las principales barreras a día de hoy.</w:t>
      </w:r>
      <w:r w:rsidR="0090361E" w:rsidRPr="00BC00A9">
        <w:rPr>
          <w:sz w:val="21"/>
          <w:szCs w:val="21"/>
        </w:rPr>
        <w:t xml:space="preserve"> A nivel nacional encontramos como barreras que impactan en el acceso equitativo la falta de un diseño en el sistema que garantice </w:t>
      </w:r>
      <w:r w:rsidR="0090361E" w:rsidRPr="57B56445">
        <w:rPr>
          <w:sz w:val="21"/>
          <w:szCs w:val="21"/>
        </w:rPr>
        <w:t>la</w:t>
      </w:r>
      <w:r w:rsidR="0090361E" w:rsidRPr="00BC00A9">
        <w:rPr>
          <w:sz w:val="21"/>
          <w:szCs w:val="21"/>
        </w:rPr>
        <w:t xml:space="preserve"> independencia de los profesionales sanitarios del sector público</w:t>
      </w:r>
      <w:r w:rsidR="00F65F5B" w:rsidRPr="00BC00A9">
        <w:rPr>
          <w:sz w:val="21"/>
          <w:szCs w:val="21"/>
        </w:rPr>
        <w:t xml:space="preserve"> y establezca claramente las incompatibilidades de los decisores políticos</w:t>
      </w:r>
      <w:r w:rsidR="00DA715D" w:rsidRPr="00BC00A9">
        <w:rPr>
          <w:sz w:val="21"/>
          <w:szCs w:val="21"/>
        </w:rPr>
        <w:t>, la financiación de la investigación clínica independiente</w:t>
      </w:r>
      <w:r w:rsidR="4F083844" w:rsidRPr="78A165C5">
        <w:rPr>
          <w:sz w:val="21"/>
          <w:szCs w:val="21"/>
        </w:rPr>
        <w:t>,</w:t>
      </w:r>
      <w:r w:rsidR="00DA715D" w:rsidRPr="00BC00A9">
        <w:rPr>
          <w:sz w:val="21"/>
          <w:szCs w:val="21"/>
        </w:rPr>
        <w:t xml:space="preserve"> así como la aplicación de las medidas de la resolución WHA72.8</w:t>
      </w:r>
      <w:r w:rsidR="00F65F5B" w:rsidRPr="00BC00A9">
        <w:rPr>
          <w:sz w:val="21"/>
          <w:szCs w:val="21"/>
        </w:rPr>
        <w:t xml:space="preserve"> sobre transparencia de los mercados. </w:t>
      </w:r>
      <w:r w:rsidR="006D4D4A" w:rsidRPr="00BC00A9">
        <w:rPr>
          <w:sz w:val="21"/>
          <w:szCs w:val="21"/>
        </w:rPr>
        <w:t>Finalmente, a nivel de la demanda, el copago farmacéutico es una gran barrera al a</w:t>
      </w:r>
      <w:r w:rsidR="007918B9" w:rsidRPr="00BC00A9">
        <w:rPr>
          <w:sz w:val="21"/>
          <w:szCs w:val="21"/>
        </w:rPr>
        <w:t xml:space="preserve">cceso equitativo que no tiene un impacto en la reducción del gasto farmacéutico, que sigue en una tendencia alcista </w:t>
      </w:r>
      <w:r w:rsidR="001058FD" w:rsidRPr="00BC00A9">
        <w:rPr>
          <w:sz w:val="21"/>
          <w:szCs w:val="21"/>
        </w:rPr>
        <w:t>dominado por factores más arriba de la corriente con un impacto mucho mayor, como los arriba descritos</w:t>
      </w:r>
      <w:r w:rsidR="00F109DC">
        <w:rPr>
          <w:sz w:val="21"/>
          <w:szCs w:val="21"/>
        </w:rPr>
        <w:t>. Igualmente, las barreras legislativas de acceso al sistema nacional de salud que discriminan a personas migrantes en situación administrativa irregular contribuyen a la inequidad en el acceso</w:t>
      </w:r>
      <w:r w:rsidR="00E90E20">
        <w:rPr>
          <w:sz w:val="21"/>
          <w:szCs w:val="21"/>
        </w:rPr>
        <w:t>, como se explica en el siguiente punto b)</w:t>
      </w:r>
      <w:r w:rsidR="001058FD" w:rsidRPr="00BC00A9">
        <w:rPr>
          <w:sz w:val="21"/>
          <w:szCs w:val="21"/>
        </w:rPr>
        <w:t>.</w:t>
      </w:r>
    </w:p>
    <w:p w14:paraId="621BA43F" w14:textId="77777777" w:rsidR="001359F6" w:rsidRPr="00BC00A9" w:rsidRDefault="001359F6" w:rsidP="00571E14">
      <w:pPr>
        <w:jc w:val="both"/>
        <w:rPr>
          <w:sz w:val="21"/>
          <w:szCs w:val="21"/>
        </w:rPr>
      </w:pPr>
    </w:p>
    <w:p w14:paraId="3DB06064" w14:textId="6B562022" w:rsidR="001C3446" w:rsidRPr="00BC00A9" w:rsidRDefault="002870A7" w:rsidP="00571E14">
      <w:pPr>
        <w:jc w:val="both"/>
        <w:rPr>
          <w:sz w:val="21"/>
          <w:szCs w:val="21"/>
        </w:rPr>
      </w:pPr>
      <w:r w:rsidRPr="00BC00A9">
        <w:rPr>
          <w:b/>
          <w:bCs/>
          <w:sz w:val="21"/>
          <w:szCs w:val="21"/>
        </w:rPr>
        <w:t>(b) Sírvanse explicar en detalle los obstáculos concretos, si los hubiere, que enfrentan las mujeres y las niñas, las personas de edad, los niños, las personas que viven en la pobreza u otras personas o grupos en situaciones de vulnerabilidad o marginación para acceder a los medicamentos, las vacunas y otros productos sanitarios</w:t>
      </w:r>
      <w:r w:rsidRPr="00BC00A9">
        <w:rPr>
          <w:sz w:val="21"/>
          <w:szCs w:val="21"/>
        </w:rPr>
        <w:t xml:space="preserve">. </w:t>
      </w:r>
    </w:p>
    <w:p w14:paraId="5D29D776" w14:textId="36B5A57D" w:rsidR="001C3446" w:rsidRPr="00BC00A9" w:rsidRDefault="00A05F36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Primero, desde una perspectiva más global el actual sistema</w:t>
      </w:r>
      <w:r w:rsidR="0062399A" w:rsidRPr="00BC00A9">
        <w:rPr>
          <w:sz w:val="21"/>
          <w:szCs w:val="21"/>
        </w:rPr>
        <w:t xml:space="preserve"> no tiene la equidad como parte de su diseño, ya que está es incompatible con el funcionamiento en base de los ADPIC (plus)</w:t>
      </w:r>
      <w:r w:rsidR="007D5EF7" w:rsidRPr="00BC00A9">
        <w:rPr>
          <w:sz w:val="21"/>
          <w:szCs w:val="21"/>
        </w:rPr>
        <w:t xml:space="preserve">, la falta de transparencia y las agendas de investigación destinadas al interés comercial. Por lo </w:t>
      </w:r>
      <w:r w:rsidR="00660CD3" w:rsidRPr="00BC00A9">
        <w:rPr>
          <w:sz w:val="21"/>
          <w:szCs w:val="21"/>
        </w:rPr>
        <w:t>tanto,</w:t>
      </w:r>
      <w:r w:rsidR="007D5EF7" w:rsidRPr="00BC00A9">
        <w:rPr>
          <w:sz w:val="21"/>
          <w:szCs w:val="21"/>
        </w:rPr>
        <w:t xml:space="preserve"> se genera un sistema que está diseñado para servir a las necesidades del Norte Global, provocando</w:t>
      </w:r>
      <w:r w:rsidR="00C075A3" w:rsidRPr="00BC00A9">
        <w:rPr>
          <w:sz w:val="21"/>
          <w:szCs w:val="21"/>
        </w:rPr>
        <w:t xml:space="preserve"> situaciones de </w:t>
      </w:r>
      <w:hyperlink r:id="rId19">
        <w:r w:rsidR="00C075A3" w:rsidRPr="20D223A0">
          <w:rPr>
            <w:rStyle w:val="Hyperlink"/>
          </w:rPr>
          <w:t>apartheid del acceso a tecnologías sanitarias</w:t>
        </w:r>
      </w:hyperlink>
      <w:r w:rsidR="00C075A3" w:rsidRPr="00BC00A9">
        <w:rPr>
          <w:sz w:val="21"/>
          <w:szCs w:val="21"/>
        </w:rPr>
        <w:t xml:space="preserve">, como las experimentadas durante la </w:t>
      </w:r>
      <w:r w:rsidR="00660CD3" w:rsidRPr="00BC00A9">
        <w:rPr>
          <w:sz w:val="21"/>
          <w:szCs w:val="21"/>
        </w:rPr>
        <w:t>COVID</w:t>
      </w:r>
      <w:r w:rsidR="00C075A3" w:rsidRPr="00BC00A9">
        <w:rPr>
          <w:sz w:val="21"/>
          <w:szCs w:val="21"/>
        </w:rPr>
        <w:t>.</w:t>
      </w:r>
      <w:r w:rsidR="00CB5744" w:rsidRPr="00BC00A9">
        <w:rPr>
          <w:sz w:val="21"/>
          <w:szCs w:val="21"/>
        </w:rPr>
        <w:t xml:space="preserve"> Un ejemplo concreto fue el </w:t>
      </w:r>
      <w:hyperlink r:id="rId20">
        <w:r w:rsidR="00CB5744" w:rsidRPr="20D223A0">
          <w:rPr>
            <w:rStyle w:val="Hyperlink"/>
          </w:rPr>
          <w:t>nacionalismo de vacunas</w:t>
        </w:r>
      </w:hyperlink>
      <w:r w:rsidR="00CB5744" w:rsidRPr="00BC00A9">
        <w:rPr>
          <w:sz w:val="21"/>
          <w:szCs w:val="21"/>
        </w:rPr>
        <w:t xml:space="preserve"> durante la última pandemia global, donde los países ricos</w:t>
      </w:r>
      <w:r w:rsidR="00382CA5" w:rsidRPr="00BC00A9">
        <w:rPr>
          <w:sz w:val="21"/>
          <w:szCs w:val="21"/>
        </w:rPr>
        <w:t xml:space="preserve"> aseguraron mediante contratos de compra adelantada cantidades de vacunas mucho mayores a sus necesidades, dejando de lado esfuerzos multilaterales equitativos como COVAX</w:t>
      </w:r>
      <w:r w:rsidR="00D22C4B" w:rsidRPr="00BC00A9">
        <w:rPr>
          <w:sz w:val="21"/>
          <w:szCs w:val="21"/>
        </w:rPr>
        <w:t xml:space="preserve"> que pretendí</w:t>
      </w:r>
      <w:r w:rsidR="006A020C" w:rsidRPr="00BC00A9">
        <w:rPr>
          <w:sz w:val="21"/>
          <w:szCs w:val="21"/>
        </w:rPr>
        <w:t>a</w:t>
      </w:r>
      <w:r w:rsidR="00D22C4B" w:rsidRPr="00BC00A9">
        <w:rPr>
          <w:sz w:val="21"/>
          <w:szCs w:val="21"/>
        </w:rPr>
        <w:t xml:space="preserve"> repartir las dosis disponibles </w:t>
      </w:r>
      <w:r w:rsidR="00C772A2" w:rsidRPr="00BC00A9">
        <w:rPr>
          <w:sz w:val="21"/>
          <w:szCs w:val="21"/>
        </w:rPr>
        <w:t>con los países más empobrecidos</w:t>
      </w:r>
      <w:r w:rsidR="00382CA5" w:rsidRPr="00BC00A9">
        <w:rPr>
          <w:sz w:val="21"/>
          <w:szCs w:val="21"/>
        </w:rPr>
        <w:t xml:space="preserve">. Las compañías farmacéuticas priorizaron lo que </w:t>
      </w:r>
      <w:r w:rsidR="7B81795F" w:rsidRPr="53D61ABC">
        <w:rPr>
          <w:sz w:val="21"/>
          <w:szCs w:val="21"/>
        </w:rPr>
        <w:t>más</w:t>
      </w:r>
      <w:r w:rsidR="00382CA5" w:rsidRPr="00BC00A9">
        <w:rPr>
          <w:sz w:val="21"/>
          <w:szCs w:val="21"/>
        </w:rPr>
        <w:t xml:space="preserve"> beneficio les podía</w:t>
      </w:r>
      <w:r w:rsidR="006F3312" w:rsidRPr="00BC00A9">
        <w:rPr>
          <w:sz w:val="21"/>
          <w:szCs w:val="21"/>
        </w:rPr>
        <w:t xml:space="preserve"> repercutir, dejando claro que no se puede dejar al mercado decidir sobre el interés público global.</w:t>
      </w:r>
      <w:r w:rsidR="003469E1" w:rsidRPr="00BC00A9">
        <w:rPr>
          <w:sz w:val="21"/>
          <w:szCs w:val="21"/>
        </w:rPr>
        <w:t xml:space="preserve"> Estos obstáculos que marginan a la mayor parte de la población mundial deben ser abordados de manera vinculantes en los instrumentos multilaterales en negociación y futuros.</w:t>
      </w:r>
    </w:p>
    <w:p w14:paraId="427B411A" w14:textId="5B17F921" w:rsidR="00CF75E2" w:rsidRPr="00BC00A9" w:rsidRDefault="00CF75E2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lastRenderedPageBreak/>
        <w:t xml:space="preserve">A nivel de la infancia, </w:t>
      </w:r>
      <w:r w:rsidR="00334F01" w:rsidRPr="00BC00A9">
        <w:rPr>
          <w:sz w:val="21"/>
          <w:szCs w:val="21"/>
        </w:rPr>
        <w:t>existe una falta de formulaciones pediátricas de nuevos antibióticos</w:t>
      </w:r>
      <w:r w:rsidR="00EB4CB8" w:rsidRPr="00BC00A9">
        <w:rPr>
          <w:sz w:val="21"/>
          <w:szCs w:val="21"/>
        </w:rPr>
        <w:t>, así como de acceso a servicios de laboratorios de microbiología de calidad</w:t>
      </w:r>
      <w:r w:rsidR="00257009" w:rsidRPr="00BC00A9">
        <w:rPr>
          <w:sz w:val="21"/>
          <w:szCs w:val="21"/>
        </w:rPr>
        <w:t>, particularmente en LMICs. Falta de interés por parte de la industria, una infraestructura de ensayos clínicos para investigación en antibióticos</w:t>
      </w:r>
      <w:r w:rsidR="003B506E" w:rsidRPr="00BC00A9">
        <w:rPr>
          <w:sz w:val="21"/>
          <w:szCs w:val="21"/>
        </w:rPr>
        <w:t xml:space="preserve"> para necesidades pediátricas y el fracaso en el diseño de incentivos que solucionen estos problemas son obstáculos concretos para el acceso de</w:t>
      </w:r>
      <w:r w:rsidR="00F96463" w:rsidRPr="00BC00A9">
        <w:rPr>
          <w:sz w:val="21"/>
          <w:szCs w:val="21"/>
        </w:rPr>
        <w:t xml:space="preserve"> la infancia a la innovación.</w:t>
      </w:r>
      <w:r w:rsidR="00117E64" w:rsidRPr="00BC00A9">
        <w:rPr>
          <w:sz w:val="21"/>
          <w:szCs w:val="21"/>
        </w:rPr>
        <w:t xml:space="preserve"> </w:t>
      </w:r>
      <w:r w:rsidR="00117E64" w:rsidRPr="20D223A0">
        <w:t xml:space="preserve">La falta de la aplicación de la </w:t>
      </w:r>
      <w:hyperlink r:id="rId21">
        <w:r w:rsidR="00117E64" w:rsidRPr="20D223A0">
          <w:rPr>
            <w:rStyle w:val="Hyperlink"/>
          </w:rPr>
          <w:t>Resolución WHA69.20</w:t>
        </w:r>
      </w:hyperlink>
      <w:r w:rsidR="00117E64" w:rsidRPr="00BC00A9">
        <w:rPr>
          <w:sz w:val="21"/>
          <w:szCs w:val="21"/>
        </w:rPr>
        <w:t xml:space="preserve"> sobre la</w:t>
      </w:r>
      <w:r w:rsidR="00843FF0" w:rsidRPr="00BC00A9">
        <w:rPr>
          <w:sz w:val="21"/>
          <w:szCs w:val="21"/>
        </w:rPr>
        <w:t xml:space="preserve"> promoción y el acceso a medicamentos por niñas y niños</w:t>
      </w:r>
      <w:r w:rsidR="008E2FE8" w:rsidRPr="00BC00A9">
        <w:rPr>
          <w:sz w:val="21"/>
          <w:szCs w:val="21"/>
        </w:rPr>
        <w:t xml:space="preserve">, así como </w:t>
      </w:r>
      <w:r w:rsidR="00167413" w:rsidRPr="00BC00A9">
        <w:rPr>
          <w:sz w:val="21"/>
          <w:szCs w:val="21"/>
        </w:rPr>
        <w:t>el establecimiento de</w:t>
      </w:r>
      <w:r w:rsidR="008E2FE8" w:rsidRPr="00BC00A9">
        <w:rPr>
          <w:sz w:val="21"/>
          <w:szCs w:val="21"/>
        </w:rPr>
        <w:t xml:space="preserve"> incentivos a la innovación en antibióticos que son poco efectivos y reinciden en modelos monopolísticos</w:t>
      </w:r>
      <w:r w:rsidR="00167413" w:rsidRPr="00BC00A9">
        <w:rPr>
          <w:sz w:val="21"/>
          <w:szCs w:val="21"/>
        </w:rPr>
        <w:t xml:space="preserve">, son </w:t>
      </w:r>
      <w:r w:rsidR="006C63B6" w:rsidRPr="00BC00A9">
        <w:rPr>
          <w:sz w:val="21"/>
          <w:szCs w:val="21"/>
        </w:rPr>
        <w:t>obstáculos a salvar.</w:t>
      </w:r>
    </w:p>
    <w:p w14:paraId="16EAF9FB" w14:textId="034952F7" w:rsidR="006C63B6" w:rsidRPr="00BC00A9" w:rsidRDefault="006C63B6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Finalmente, a nivel nacional en España</w:t>
      </w:r>
      <w:r w:rsidR="0038082C" w:rsidRPr="00BC00A9">
        <w:rPr>
          <w:sz w:val="21"/>
          <w:szCs w:val="21"/>
        </w:rPr>
        <w:t xml:space="preserve"> </w:t>
      </w:r>
      <w:r w:rsidR="00651E2C" w:rsidRPr="00BC00A9">
        <w:rPr>
          <w:sz w:val="21"/>
          <w:szCs w:val="21"/>
        </w:rPr>
        <w:t xml:space="preserve">el modelo de cobertura que </w:t>
      </w:r>
      <w:r w:rsidR="00A71DDB" w:rsidRPr="00BC00A9">
        <w:rPr>
          <w:sz w:val="21"/>
          <w:szCs w:val="21"/>
        </w:rPr>
        <w:t xml:space="preserve">pretendía alcanzar la universalidad </w:t>
      </w:r>
      <w:r w:rsidR="0038082C" w:rsidRPr="00BC00A9">
        <w:rPr>
          <w:sz w:val="21"/>
          <w:szCs w:val="21"/>
        </w:rPr>
        <w:t>se vio interrumpido con la aprobación del Real Decreto-ley 16/2012. Hasta el momento</w:t>
      </w:r>
      <w:r w:rsidR="002157BB" w:rsidRPr="00BC00A9">
        <w:rPr>
          <w:sz w:val="21"/>
          <w:szCs w:val="21"/>
        </w:rPr>
        <w:t>, bajo el Real Decreto-ley 7/2018</w:t>
      </w:r>
      <w:r w:rsidR="0038082C" w:rsidRPr="00BC00A9">
        <w:rPr>
          <w:sz w:val="21"/>
          <w:szCs w:val="21"/>
        </w:rPr>
        <w:t xml:space="preserve">, </w:t>
      </w:r>
      <w:r w:rsidR="00E6560F" w:rsidRPr="00BC00A9">
        <w:rPr>
          <w:sz w:val="21"/>
          <w:szCs w:val="21"/>
        </w:rPr>
        <w:t xml:space="preserve">no se ha restablecido el grado de </w:t>
      </w:r>
      <w:r w:rsidR="0038082C" w:rsidRPr="00BC00A9">
        <w:rPr>
          <w:sz w:val="21"/>
          <w:szCs w:val="21"/>
        </w:rPr>
        <w:t>universalidad</w:t>
      </w:r>
      <w:r w:rsidR="00E6560F" w:rsidRPr="00BC00A9">
        <w:rPr>
          <w:sz w:val="21"/>
          <w:szCs w:val="21"/>
        </w:rPr>
        <w:t xml:space="preserve"> previo</w:t>
      </w:r>
      <w:r w:rsidR="00AE2F5C" w:rsidRPr="00BC00A9">
        <w:rPr>
          <w:sz w:val="21"/>
          <w:szCs w:val="21"/>
        </w:rPr>
        <w:t xml:space="preserve"> </w:t>
      </w:r>
      <w:hyperlink r:id="rId22">
        <w:r w:rsidR="00AE2F5C" w:rsidRPr="20D223A0">
          <w:rPr>
            <w:rStyle w:val="Hyperlink"/>
          </w:rPr>
          <w:t>y a día de hoy</w:t>
        </w:r>
        <w:r w:rsidR="0038082C" w:rsidRPr="20D223A0">
          <w:rPr>
            <w:rStyle w:val="Hyperlink"/>
          </w:rPr>
          <w:t xml:space="preserve"> persisten grupos excluidos del sistema</w:t>
        </w:r>
      </w:hyperlink>
      <w:r w:rsidR="0038082C" w:rsidRPr="00BC00A9">
        <w:rPr>
          <w:sz w:val="21"/>
          <w:szCs w:val="21"/>
        </w:rPr>
        <w:t xml:space="preserve">, siendo los inmigrantes en situación </w:t>
      </w:r>
      <w:r w:rsidR="008F1F23" w:rsidRPr="00BC00A9">
        <w:rPr>
          <w:sz w:val="21"/>
          <w:szCs w:val="21"/>
        </w:rPr>
        <w:t>administrativa irregular</w:t>
      </w:r>
      <w:r w:rsidR="0038082C" w:rsidRPr="00BC00A9">
        <w:rPr>
          <w:sz w:val="21"/>
          <w:szCs w:val="21"/>
        </w:rPr>
        <w:t xml:space="preserve"> especialmente afectados</w:t>
      </w:r>
      <w:r w:rsidR="00922C8D" w:rsidRPr="00BC00A9">
        <w:rPr>
          <w:sz w:val="21"/>
          <w:szCs w:val="21"/>
        </w:rPr>
        <w:t xml:space="preserve">. La ley actual </w:t>
      </w:r>
      <w:r w:rsidR="00E90E20">
        <w:rPr>
          <w:sz w:val="21"/>
          <w:szCs w:val="21"/>
        </w:rPr>
        <w:t xml:space="preserve">no </w:t>
      </w:r>
      <w:r w:rsidR="00922C8D" w:rsidRPr="00BC00A9">
        <w:rPr>
          <w:sz w:val="21"/>
          <w:szCs w:val="21"/>
        </w:rPr>
        <w:t xml:space="preserve">provee una especial protección a mujeres embarazadas o menores, incrementándose la desprotección </w:t>
      </w:r>
      <w:r w:rsidR="004774DA" w:rsidRPr="00BC00A9">
        <w:rPr>
          <w:sz w:val="21"/>
          <w:szCs w:val="21"/>
        </w:rPr>
        <w:t>en comparación con la ley anterior</w:t>
      </w:r>
      <w:r w:rsidR="00922C8D" w:rsidRPr="00BC00A9">
        <w:rPr>
          <w:sz w:val="21"/>
          <w:szCs w:val="21"/>
        </w:rPr>
        <w:t>.</w:t>
      </w:r>
      <w:r w:rsidR="00C67D62" w:rsidRPr="00BC00A9">
        <w:rPr>
          <w:sz w:val="21"/>
          <w:szCs w:val="21"/>
        </w:rPr>
        <w:t xml:space="preserve"> </w:t>
      </w:r>
      <w:r w:rsidR="009B35B2" w:rsidRPr="00BC00A9">
        <w:rPr>
          <w:sz w:val="21"/>
          <w:szCs w:val="21"/>
        </w:rPr>
        <w:t xml:space="preserve">Esta exclusión del sistema sanitario tiene como consecuencia la falta de acceso a tecnologías sanitarias, bien por no poder conseguir atención médica, bien por tener un copago desproporcionado. </w:t>
      </w:r>
      <w:r w:rsidR="00E23AE0" w:rsidRPr="00BC00A9">
        <w:rPr>
          <w:sz w:val="21"/>
          <w:szCs w:val="21"/>
        </w:rPr>
        <w:t xml:space="preserve">Más allá de las barreras legislativas, existen barreras relacionadas con </w:t>
      </w:r>
      <w:r w:rsidR="00B379C1" w:rsidRPr="00BC00A9">
        <w:rPr>
          <w:sz w:val="21"/>
          <w:szCs w:val="21"/>
        </w:rPr>
        <w:t xml:space="preserve">el </w:t>
      </w:r>
      <w:hyperlink r:id="rId23">
        <w:r w:rsidR="00B379C1" w:rsidRPr="20D223A0">
          <w:rPr>
            <w:rStyle w:val="Hyperlink"/>
          </w:rPr>
          <w:t>racismo</w:t>
        </w:r>
      </w:hyperlink>
      <w:r w:rsidR="00B91DE9" w:rsidRPr="00BC00A9">
        <w:rPr>
          <w:sz w:val="21"/>
          <w:szCs w:val="21"/>
        </w:rPr>
        <w:t xml:space="preserve"> y una </w:t>
      </w:r>
      <w:r w:rsidR="001676CA" w:rsidRPr="00BC00A9">
        <w:rPr>
          <w:sz w:val="21"/>
          <w:szCs w:val="21"/>
        </w:rPr>
        <w:t>miríada</w:t>
      </w:r>
      <w:r w:rsidR="00B91DE9" w:rsidRPr="00BC00A9">
        <w:rPr>
          <w:sz w:val="21"/>
          <w:szCs w:val="21"/>
        </w:rPr>
        <w:t xml:space="preserve"> de determinantes sociales de la salud, incluyendo vivienda</w:t>
      </w:r>
      <w:r w:rsidR="001676CA" w:rsidRPr="00BC00A9">
        <w:rPr>
          <w:sz w:val="21"/>
          <w:szCs w:val="21"/>
        </w:rPr>
        <w:t xml:space="preserve"> o trabajo, que suponen limitaciones de facto al acceso al sistema y por lo tanto a los medicamentos</w:t>
      </w:r>
      <w:r w:rsidR="008D3F1A" w:rsidRPr="00BC00A9">
        <w:rPr>
          <w:sz w:val="21"/>
          <w:szCs w:val="21"/>
        </w:rPr>
        <w:t xml:space="preserve"> prescritos dentro del mismo.</w:t>
      </w:r>
    </w:p>
    <w:p w14:paraId="74C131D9" w14:textId="77777777" w:rsidR="001C3446" w:rsidRPr="00BC00A9" w:rsidRDefault="002870A7" w:rsidP="00571E14">
      <w:pPr>
        <w:jc w:val="both"/>
        <w:rPr>
          <w:sz w:val="21"/>
          <w:szCs w:val="21"/>
        </w:rPr>
      </w:pPr>
      <w:r w:rsidRPr="00BC00A9">
        <w:rPr>
          <w:b/>
          <w:bCs/>
          <w:sz w:val="21"/>
          <w:szCs w:val="21"/>
        </w:rPr>
        <w:t>(c) ¿Existen desafíos legales o regulatorios que afecten la accesibilidad y asequibilidad de los medicamentos, las vacunas y otros productos sanitarios</w:t>
      </w:r>
      <w:r w:rsidRPr="00BC00A9">
        <w:rPr>
          <w:sz w:val="21"/>
          <w:szCs w:val="21"/>
        </w:rPr>
        <w:t xml:space="preserve">? </w:t>
      </w:r>
    </w:p>
    <w:p w14:paraId="65C4D3F4" w14:textId="33CC7B3B" w:rsidR="00735AC6" w:rsidRPr="00BC00A9" w:rsidRDefault="00EC74F8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Ver respuestas a</w:t>
      </w:r>
      <w:r w:rsidR="002E0BC7" w:rsidRPr="00BC00A9">
        <w:rPr>
          <w:sz w:val="21"/>
          <w:szCs w:val="21"/>
        </w:rPr>
        <w:t>) y b)</w:t>
      </w:r>
      <w:r w:rsidR="00A71AB5" w:rsidRPr="00BC00A9">
        <w:rPr>
          <w:sz w:val="21"/>
          <w:szCs w:val="21"/>
        </w:rPr>
        <w:t>.</w:t>
      </w:r>
    </w:p>
    <w:p w14:paraId="56AA23FB" w14:textId="77777777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 xml:space="preserve">(d) Sírvanse explicar en detalle el impacto de los modelos de investigación y desarrollo de productos farmacéuticos y otras tecnologías sanitarias, incluidas las nuevas tecnologías digitales, en el acceso a los medicamentos, las vacunas y otros productos sanitarios. </w:t>
      </w:r>
    </w:p>
    <w:p w14:paraId="3D543B0B" w14:textId="6D422CF9" w:rsidR="001C3446" w:rsidRPr="00BC00A9" w:rsidRDefault="00067711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El actual modelo predominante de I+D</w:t>
      </w:r>
      <w:r w:rsidR="00A71043" w:rsidRPr="00BC00A9">
        <w:rPr>
          <w:sz w:val="21"/>
          <w:szCs w:val="21"/>
        </w:rPr>
        <w:t>, la mayor parte de la investigación en fases iniciales se lleva a cabo por instituciones académicas y empresas medianas y pequeñas, muchas de ellas con financiación pública, muy presenta esta en las fases de mayor riesgo de la investigación</w:t>
      </w:r>
      <w:r w:rsidR="000505B1" w:rsidRPr="00BC00A9">
        <w:rPr>
          <w:sz w:val="21"/>
          <w:szCs w:val="21"/>
        </w:rPr>
        <w:t>. En contra de los planteamos tradicionales de una gran compañía farmacéutica que se encarga de todo el ciclo de vida</w:t>
      </w:r>
      <w:r w:rsidR="00BE757A" w:rsidRPr="00BC00A9">
        <w:rPr>
          <w:sz w:val="21"/>
          <w:szCs w:val="21"/>
        </w:rPr>
        <w:t xml:space="preserve"> del producto desde su incepción a su comercialización, </w:t>
      </w:r>
      <w:hyperlink r:id="rId24">
        <w:r w:rsidR="00BE757A" w:rsidRPr="20D223A0">
          <w:rPr>
            <w:rStyle w:val="Hyperlink"/>
          </w:rPr>
          <w:t>la evidencia nos muestra una imagen muy distinta</w:t>
        </w:r>
      </w:hyperlink>
      <w:r w:rsidR="00BE757A" w:rsidRPr="20D223A0">
        <w:t>.</w:t>
      </w:r>
      <w:r w:rsidR="00FA49C7" w:rsidRPr="00BC00A9">
        <w:rPr>
          <w:sz w:val="21"/>
          <w:szCs w:val="21"/>
        </w:rPr>
        <w:t xml:space="preserve"> Lo que encontramos en realidad es una s</w:t>
      </w:r>
      <w:r w:rsidR="00C117D0" w:rsidRPr="00BC00A9">
        <w:rPr>
          <w:sz w:val="21"/>
          <w:szCs w:val="21"/>
        </w:rPr>
        <w:t>ecuencia horizontal donde participan múltiples actores, con múltiples acuerdos en las diferentes fases que hacen que el producto cambie de manos</w:t>
      </w:r>
      <w:r w:rsidR="00A23640" w:rsidRPr="00BC00A9">
        <w:rPr>
          <w:sz w:val="21"/>
          <w:szCs w:val="21"/>
        </w:rPr>
        <w:t>. En cada acuerdo</w:t>
      </w:r>
      <w:r w:rsidR="00A6401E" w:rsidRPr="00BC00A9">
        <w:rPr>
          <w:sz w:val="21"/>
          <w:szCs w:val="21"/>
        </w:rPr>
        <w:t xml:space="preserve"> (de licencia o </w:t>
      </w:r>
      <w:r w:rsidR="00974498" w:rsidRPr="00BC00A9">
        <w:rPr>
          <w:sz w:val="21"/>
          <w:szCs w:val="21"/>
        </w:rPr>
        <w:t>via fusiones/</w:t>
      </w:r>
      <w:r w:rsidR="00A6401E" w:rsidRPr="00BC00A9">
        <w:rPr>
          <w:sz w:val="21"/>
          <w:szCs w:val="21"/>
        </w:rPr>
        <w:t>adquisici</w:t>
      </w:r>
      <w:r w:rsidR="00974498" w:rsidRPr="00BC00A9">
        <w:rPr>
          <w:sz w:val="21"/>
          <w:szCs w:val="21"/>
        </w:rPr>
        <w:t>ones</w:t>
      </w:r>
      <w:r w:rsidR="00FB70DC" w:rsidRPr="00BC00A9">
        <w:rPr>
          <w:sz w:val="21"/>
          <w:szCs w:val="21"/>
        </w:rPr>
        <w:t>) se produce una recompensa económica</w:t>
      </w:r>
      <w:r w:rsidR="0016730B" w:rsidRPr="00BC00A9">
        <w:rPr>
          <w:sz w:val="21"/>
          <w:szCs w:val="21"/>
        </w:rPr>
        <w:t>, que disminuye el riesgo de la siguiente inversión. Las grandes compañías, con mayor poder de compra, tienden a hacerse con los proyectos en las últimas fases de la I+D</w:t>
      </w:r>
      <w:r w:rsidR="004A674D" w:rsidRPr="00BC00A9">
        <w:rPr>
          <w:sz w:val="21"/>
          <w:szCs w:val="21"/>
        </w:rPr>
        <w:t xml:space="preserve"> (donde el riesgo es menor) y fijan un precio que no es reflejo del coste total de la I+D</w:t>
      </w:r>
      <w:r w:rsidR="0077529A" w:rsidRPr="00BC00A9">
        <w:rPr>
          <w:sz w:val="21"/>
          <w:szCs w:val="21"/>
        </w:rPr>
        <w:t xml:space="preserve">, sino de </w:t>
      </w:r>
      <w:r w:rsidR="00A50E29" w:rsidRPr="00BC00A9">
        <w:rPr>
          <w:sz w:val="21"/>
          <w:szCs w:val="21"/>
        </w:rPr>
        <w:t>esta serie de inversiones intermedias donde cada actor busca el beneficio para sus inversores</w:t>
      </w:r>
      <w:r w:rsidR="00762AEA" w:rsidRPr="00BC00A9">
        <w:rPr>
          <w:sz w:val="21"/>
          <w:szCs w:val="21"/>
        </w:rPr>
        <w:t xml:space="preserve"> y que es, por tanto, de naturaleza eminentemente especulativa y extractiva. En todo este </w:t>
      </w:r>
      <w:r w:rsidR="00A957CF" w:rsidRPr="00BC00A9">
        <w:rPr>
          <w:sz w:val="21"/>
          <w:szCs w:val="21"/>
        </w:rPr>
        <w:t>proceso</w:t>
      </w:r>
      <w:r w:rsidR="00762AEA" w:rsidRPr="00BC00A9">
        <w:rPr>
          <w:sz w:val="21"/>
          <w:szCs w:val="21"/>
        </w:rPr>
        <w:t xml:space="preserve">, se acaba por enmascarar las aportaciones públicas, que son de muy diversa índole, ya sea financiación directa </w:t>
      </w:r>
      <w:r w:rsidR="00762AEA" w:rsidRPr="00EC4CEA">
        <w:rPr>
          <w:i/>
          <w:iCs/>
          <w:sz w:val="21"/>
          <w:szCs w:val="21"/>
        </w:rPr>
        <w:t>push</w:t>
      </w:r>
      <w:r w:rsidR="00762AEA" w:rsidRPr="00BC00A9">
        <w:rPr>
          <w:sz w:val="21"/>
          <w:szCs w:val="21"/>
        </w:rPr>
        <w:t xml:space="preserve"> o </w:t>
      </w:r>
      <w:r w:rsidR="00762AEA" w:rsidRPr="00EC4CEA">
        <w:rPr>
          <w:i/>
          <w:iCs/>
          <w:sz w:val="21"/>
          <w:szCs w:val="21"/>
        </w:rPr>
        <w:t>pull</w:t>
      </w:r>
      <w:r w:rsidR="00762AEA" w:rsidRPr="00BC00A9">
        <w:rPr>
          <w:sz w:val="21"/>
          <w:szCs w:val="21"/>
        </w:rPr>
        <w:t xml:space="preserve"> (</w:t>
      </w:r>
      <w:r w:rsidR="002101FE" w:rsidRPr="00BC00A9">
        <w:rPr>
          <w:sz w:val="21"/>
          <w:szCs w:val="21"/>
        </w:rPr>
        <w:t>subvenciones a la investigación, acuerdos de compra anticipada, la propia fijación del precio), indirecta (incentivos fiscales, préstamos blandos, etc</w:t>
      </w:r>
      <w:r w:rsidR="00741873" w:rsidRPr="00BC00A9">
        <w:rPr>
          <w:sz w:val="21"/>
          <w:szCs w:val="21"/>
        </w:rPr>
        <w:t>) o mediante la falta de condiciones a la investigación en centros públicos que acabe en empresas privadas, así como la utilización de recursos públicos como la infraestructura de ensayos clínicos. Todas esas aportaciones</w:t>
      </w:r>
      <w:r w:rsidR="000A5311" w:rsidRPr="00BC00A9">
        <w:rPr>
          <w:sz w:val="21"/>
          <w:szCs w:val="21"/>
        </w:rPr>
        <w:t xml:space="preserve"> no se ven reflejadas ni en la asequibilidad ni en el acceso general a los productos. Esto puede ser extendido a un marco global, donde mientras países del Sur Global garantizan el acceso a patógenos necesario para poder </w:t>
      </w:r>
      <w:r w:rsidR="000A5311" w:rsidRPr="00BC00A9">
        <w:rPr>
          <w:sz w:val="21"/>
          <w:szCs w:val="21"/>
        </w:rPr>
        <w:lastRenderedPageBreak/>
        <w:t>producir contramedidas sanitarias, no ven reciprocidad en el acceso a las propias tecnologías producidas en base al conocimiento producido en sus territorios.</w:t>
      </w:r>
    </w:p>
    <w:p w14:paraId="4975BB5A" w14:textId="0190EFEE" w:rsidR="000A5311" w:rsidRPr="00BC00A9" w:rsidRDefault="009C228E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Además</w:t>
      </w:r>
      <w:r w:rsidR="000A5311" w:rsidRPr="00BC00A9">
        <w:rPr>
          <w:sz w:val="21"/>
          <w:szCs w:val="21"/>
        </w:rPr>
        <w:t>, como se ha venido explicando, el modelo</w:t>
      </w:r>
      <w:r w:rsidR="00172423" w:rsidRPr="00BC00A9">
        <w:rPr>
          <w:sz w:val="21"/>
          <w:szCs w:val="21"/>
        </w:rPr>
        <w:t xml:space="preserve"> busca principalmente el retorno económico a los inversores, lo que lleva a descuidar enfermedades o indicaciones donde el mercado no anticipa un retorno suficiente de su inversión. Esto lleva a que exista un</w:t>
      </w:r>
      <w:r w:rsidR="00283892" w:rsidRPr="00BC00A9">
        <w:rPr>
          <w:sz w:val="21"/>
          <w:szCs w:val="21"/>
        </w:rPr>
        <w:t>a disminución de la innovación global para hacer frente a necesidades médicas no atendidas, como la resistencia a antimicrobianos</w:t>
      </w:r>
      <w:r w:rsidR="007D0A83" w:rsidRPr="00BC00A9">
        <w:rPr>
          <w:sz w:val="21"/>
          <w:szCs w:val="21"/>
        </w:rPr>
        <w:t xml:space="preserve"> (y sus formulaciones pediátricas)</w:t>
      </w:r>
      <w:r w:rsidR="000718FA" w:rsidRPr="00BC00A9">
        <w:rPr>
          <w:sz w:val="21"/>
          <w:szCs w:val="21"/>
        </w:rPr>
        <w:t xml:space="preserve"> o</w:t>
      </w:r>
      <w:r w:rsidR="00283892" w:rsidRPr="00BC00A9">
        <w:rPr>
          <w:sz w:val="21"/>
          <w:szCs w:val="21"/>
        </w:rPr>
        <w:t xml:space="preserve"> las enfermedades </w:t>
      </w:r>
      <w:r w:rsidR="007D0A83" w:rsidRPr="00BC00A9">
        <w:rPr>
          <w:sz w:val="21"/>
          <w:szCs w:val="21"/>
        </w:rPr>
        <w:t>tropicales desatendidas</w:t>
      </w:r>
      <w:r w:rsidR="000718FA" w:rsidRPr="00BC00A9">
        <w:rPr>
          <w:sz w:val="21"/>
          <w:szCs w:val="21"/>
        </w:rPr>
        <w:t>.</w:t>
      </w:r>
      <w:r w:rsidR="004D51D4" w:rsidRPr="00BC00A9">
        <w:rPr>
          <w:sz w:val="21"/>
          <w:szCs w:val="21"/>
        </w:rPr>
        <w:t xml:space="preserve"> </w:t>
      </w:r>
      <w:r w:rsidR="004D51D4" w:rsidRPr="20D223A0">
        <w:t>La inversión global en I+D de las propias compañías</w:t>
      </w:r>
      <w:r w:rsidR="004533C1" w:rsidRPr="20D223A0">
        <w:t xml:space="preserve"> </w:t>
      </w:r>
      <w:hyperlink r:id="rId25">
        <w:r w:rsidR="004533C1" w:rsidRPr="20D223A0">
          <w:rPr>
            <w:rStyle w:val="Hyperlink"/>
          </w:rPr>
          <w:t>no supera el 22%</w:t>
        </w:r>
      </w:hyperlink>
      <w:r w:rsidR="004533C1" w:rsidRPr="20D223A0">
        <w:t xml:space="preserve"> de sus ingresos por ventas</w:t>
      </w:r>
      <w:r w:rsidR="0051468D" w:rsidRPr="20D223A0">
        <w:t xml:space="preserve"> en el mejor de los casos</w:t>
      </w:r>
      <w:r w:rsidR="007B164F" w:rsidRPr="20D223A0">
        <w:t xml:space="preserve">, </w:t>
      </w:r>
      <w:hyperlink r:id="rId26">
        <w:r w:rsidR="007B164F" w:rsidRPr="20D223A0">
          <w:rPr>
            <w:rStyle w:val="Hyperlink"/>
          </w:rPr>
          <w:t>lo cual hace injustificable los altos precios</w:t>
        </w:r>
      </w:hyperlink>
      <w:r w:rsidR="007B164F" w:rsidRPr="20D223A0">
        <w:t xml:space="preserve"> en aras de una innovación constante,</w:t>
      </w:r>
      <w:r w:rsidR="00B116F5" w:rsidRPr="20D223A0">
        <w:t xml:space="preserve"> y la mayoría de los medicamentos que reciben aprobación regulatori</w:t>
      </w:r>
      <w:r w:rsidR="00EA4D29" w:rsidRPr="20D223A0">
        <w:t xml:space="preserve">a </w:t>
      </w:r>
      <w:hyperlink r:id="rId27">
        <w:r w:rsidR="00EA4D29" w:rsidRPr="20D223A0">
          <w:rPr>
            <w:rStyle w:val="Hyperlink"/>
          </w:rPr>
          <w:t>no suponen un beneficio adicional a las que ya existen</w:t>
        </w:r>
      </w:hyperlink>
    </w:p>
    <w:p w14:paraId="71ABDD08" w14:textId="77777777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 xml:space="preserve">(e) Desde su perspectiva, ¿cuáles son los principales desafíos en términos de cooperación internacional, asociaciones y colaboración para garantizar el acceso a los medicamentos, las vacunas y otros productos sanitarios? </w:t>
      </w:r>
    </w:p>
    <w:p w14:paraId="0FDF502E" w14:textId="47E0147E" w:rsidR="001C3446" w:rsidRPr="00BC00A9" w:rsidRDefault="00636FCD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A nivel de cooperación internacional, el sistema es muy dependiente en las donaciones de países ricos o compañías farmacéuticas hacia países pobres, perpetuando mecanismos coloniales</w:t>
      </w:r>
      <w:r w:rsidR="00C56DD5" w:rsidRPr="00BC00A9">
        <w:rPr>
          <w:sz w:val="21"/>
          <w:szCs w:val="21"/>
        </w:rPr>
        <w:t xml:space="preserve"> y dependencias que perjudican a la salud global. </w:t>
      </w:r>
      <w:r w:rsidR="00F9446A" w:rsidRPr="00BC00A9">
        <w:rPr>
          <w:sz w:val="21"/>
          <w:szCs w:val="21"/>
        </w:rPr>
        <w:t>Mercados de poco atractivo como aquellos de los países de bajos ingresos</w:t>
      </w:r>
      <w:r w:rsidR="00706D45" w:rsidRPr="00BC00A9">
        <w:rPr>
          <w:sz w:val="21"/>
          <w:szCs w:val="21"/>
        </w:rPr>
        <w:t xml:space="preserve"> no son un objetivo para hacer los medicamentos disponibles por las compañías farmacéuticas</w:t>
      </w:r>
      <w:r w:rsidR="0025478A" w:rsidRPr="00BC00A9">
        <w:rPr>
          <w:sz w:val="21"/>
          <w:szCs w:val="21"/>
        </w:rPr>
        <w:t>. Por ejemplo</w:t>
      </w:r>
      <w:r w:rsidR="00241B84" w:rsidRPr="00BC00A9">
        <w:rPr>
          <w:sz w:val="21"/>
          <w:szCs w:val="21"/>
        </w:rPr>
        <w:t xml:space="preserve">, a 10 de agosto de 2023, el medicamento CAB-LA que supone una revolución en el manejo del VIH solo estaba registrado en la UE y otros 7 países, con 14 esperando </w:t>
      </w:r>
      <w:r w:rsidR="00E9542E" w:rsidRPr="00BC00A9">
        <w:rPr>
          <w:sz w:val="21"/>
          <w:szCs w:val="21"/>
        </w:rPr>
        <w:t xml:space="preserve">respuesta del registro. </w:t>
      </w:r>
      <w:hyperlink r:id="rId28">
        <w:r w:rsidR="00E9542E" w:rsidRPr="20D223A0">
          <w:rPr>
            <w:rStyle w:val="Hyperlink"/>
          </w:rPr>
          <w:t>Muchos países con una alta carga e incidencia de VIH deben aún esperar a que la compañía lleve a cabo el registro</w:t>
        </w:r>
      </w:hyperlink>
      <w:r w:rsidR="00855521" w:rsidRPr="20D223A0">
        <w:t xml:space="preserve"> para autorizar su comercialización nacional</w:t>
      </w:r>
      <w:r w:rsidR="00E9542E" w:rsidRPr="20D223A0">
        <w:t>.</w:t>
      </w:r>
      <w:r w:rsidR="001141FE" w:rsidRPr="20D223A0">
        <w:t xml:space="preserve"> </w:t>
      </w:r>
      <w:r w:rsidR="0002504A" w:rsidRPr="00BC00A9">
        <w:rPr>
          <w:sz w:val="21"/>
          <w:szCs w:val="21"/>
        </w:rPr>
        <w:t>Con una única compañía controlando el monopolio y suministro global de este medicamento tan necesario</w:t>
      </w:r>
      <w:r w:rsidR="00855521" w:rsidRPr="00BC00A9">
        <w:rPr>
          <w:sz w:val="21"/>
          <w:szCs w:val="21"/>
        </w:rPr>
        <w:t xml:space="preserve">, </w:t>
      </w:r>
      <w:r w:rsidR="009B3F2B">
        <w:rPr>
          <w:sz w:val="21"/>
          <w:szCs w:val="21"/>
        </w:rPr>
        <w:t xml:space="preserve">ante </w:t>
      </w:r>
      <w:r w:rsidR="00855521" w:rsidRPr="00BC00A9">
        <w:rPr>
          <w:sz w:val="21"/>
          <w:szCs w:val="21"/>
        </w:rPr>
        <w:t>un sistema de</w:t>
      </w:r>
      <w:r w:rsidR="00BE6DC6" w:rsidRPr="00BC00A9">
        <w:rPr>
          <w:sz w:val="21"/>
          <w:szCs w:val="21"/>
        </w:rPr>
        <w:t xml:space="preserve"> salvaguardas (</w:t>
      </w:r>
      <w:r w:rsidR="00FC3213">
        <w:rPr>
          <w:sz w:val="21"/>
          <w:szCs w:val="21"/>
        </w:rPr>
        <w:t>por ejemplo, las</w:t>
      </w:r>
      <w:r w:rsidR="00855521" w:rsidRPr="00BC00A9">
        <w:rPr>
          <w:sz w:val="21"/>
          <w:szCs w:val="21"/>
        </w:rPr>
        <w:t xml:space="preserve"> licencias obligatorias</w:t>
      </w:r>
      <w:r w:rsidR="00BE6DC6" w:rsidRPr="00BC00A9">
        <w:rPr>
          <w:sz w:val="21"/>
          <w:szCs w:val="21"/>
        </w:rPr>
        <w:t>)</w:t>
      </w:r>
      <w:r w:rsidR="00855521" w:rsidRPr="00BC00A9">
        <w:rPr>
          <w:sz w:val="21"/>
          <w:szCs w:val="21"/>
        </w:rPr>
        <w:t xml:space="preserve"> que</w:t>
      </w:r>
      <w:r w:rsidR="00BE6DC6" w:rsidRPr="00BC00A9">
        <w:rPr>
          <w:sz w:val="21"/>
          <w:szCs w:val="21"/>
        </w:rPr>
        <w:t xml:space="preserve"> no </w:t>
      </w:r>
      <w:r w:rsidR="002E7C76">
        <w:rPr>
          <w:sz w:val="21"/>
          <w:szCs w:val="21"/>
        </w:rPr>
        <w:t xml:space="preserve">siempre </w:t>
      </w:r>
      <w:r w:rsidR="00BE6DC6" w:rsidRPr="00BC00A9">
        <w:rPr>
          <w:sz w:val="21"/>
          <w:szCs w:val="21"/>
        </w:rPr>
        <w:t xml:space="preserve">es adecuado </w:t>
      </w:r>
      <w:r w:rsidR="009B3F2B">
        <w:rPr>
          <w:sz w:val="21"/>
          <w:szCs w:val="21"/>
        </w:rPr>
        <w:t xml:space="preserve">para determinadas situaciones </w:t>
      </w:r>
      <w:r w:rsidR="00BE6DC6" w:rsidRPr="00BC00A9">
        <w:rPr>
          <w:sz w:val="21"/>
          <w:szCs w:val="21"/>
        </w:rPr>
        <w:t>por los largos tiempos</w:t>
      </w:r>
      <w:r w:rsidR="00AD3002">
        <w:rPr>
          <w:sz w:val="21"/>
          <w:szCs w:val="21"/>
        </w:rPr>
        <w:t xml:space="preserve"> y barreras</w:t>
      </w:r>
      <w:r w:rsidR="00BE6DC6" w:rsidRPr="00BC00A9">
        <w:rPr>
          <w:sz w:val="21"/>
          <w:szCs w:val="21"/>
        </w:rPr>
        <w:t xml:space="preserve"> </w:t>
      </w:r>
      <w:r w:rsidR="009B3F2B">
        <w:rPr>
          <w:sz w:val="21"/>
          <w:szCs w:val="21"/>
        </w:rPr>
        <w:t>intrínsec</w:t>
      </w:r>
      <w:r w:rsidR="00AD3002">
        <w:rPr>
          <w:sz w:val="21"/>
          <w:szCs w:val="21"/>
        </w:rPr>
        <w:t>a</w:t>
      </w:r>
      <w:r w:rsidR="009B3F2B">
        <w:rPr>
          <w:sz w:val="21"/>
          <w:szCs w:val="21"/>
        </w:rPr>
        <w:t>s al proceso</w:t>
      </w:r>
      <w:r w:rsidR="00BE6DC6" w:rsidRPr="00BC00A9">
        <w:rPr>
          <w:sz w:val="21"/>
          <w:szCs w:val="21"/>
        </w:rPr>
        <w:t xml:space="preserve">, el principal desafío es el desarrollo de un instrumento internacional vinculante que </w:t>
      </w:r>
      <w:hyperlink r:id="rId29" w:history="1">
        <w:r w:rsidR="00BE6DC6" w:rsidRPr="0035185B">
          <w:rPr>
            <w:rStyle w:val="Hyperlink"/>
            <w:sz w:val="21"/>
            <w:szCs w:val="21"/>
          </w:rPr>
          <w:t xml:space="preserve">tenga la equidad y </w:t>
        </w:r>
        <w:r w:rsidR="009B3F2B" w:rsidRPr="0035185B">
          <w:rPr>
            <w:rStyle w:val="Hyperlink"/>
            <w:sz w:val="21"/>
            <w:szCs w:val="21"/>
          </w:rPr>
          <w:t>justicia</w:t>
        </w:r>
        <w:r w:rsidR="00BE6DC6" w:rsidRPr="0035185B">
          <w:rPr>
            <w:rStyle w:val="Hyperlink"/>
            <w:sz w:val="21"/>
            <w:szCs w:val="21"/>
          </w:rPr>
          <w:t xml:space="preserve"> global en el centro del diseño de su política de acceso a tecnologías sanitarias</w:t>
        </w:r>
      </w:hyperlink>
      <w:r w:rsidR="00BE6DC6" w:rsidRPr="00BC00A9">
        <w:rPr>
          <w:sz w:val="21"/>
          <w:szCs w:val="21"/>
        </w:rPr>
        <w:t>.</w:t>
      </w:r>
    </w:p>
    <w:p w14:paraId="65B0F1B2" w14:textId="14FF4BFE" w:rsidR="00BE6DC6" w:rsidRPr="00BC00A9" w:rsidRDefault="00BE6DC6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A nivel de colaboraciones, hemos visto en los últimos años un florecimiento de partenariados público</w:t>
      </w:r>
      <w:r w:rsidR="1E665763" w:rsidRPr="681B05D7">
        <w:rPr>
          <w:sz w:val="21"/>
          <w:szCs w:val="21"/>
        </w:rPr>
        <w:t>-</w:t>
      </w:r>
      <w:r w:rsidRPr="00BC00A9">
        <w:rPr>
          <w:sz w:val="21"/>
          <w:szCs w:val="21"/>
        </w:rPr>
        <w:t>privados, como muy buenos casos de existo como GARDP o DNDi</w:t>
      </w:r>
      <w:r w:rsidR="001936EF" w:rsidRPr="00BC00A9">
        <w:rPr>
          <w:sz w:val="21"/>
          <w:szCs w:val="21"/>
        </w:rPr>
        <w:t>, que han logrado llevar medicamentos hasta los pacientes en áreas abandonadas por las compañías farmacéuticas</w:t>
      </w:r>
      <w:r w:rsidR="00DE0607" w:rsidRPr="00BC00A9">
        <w:rPr>
          <w:sz w:val="21"/>
          <w:szCs w:val="21"/>
        </w:rPr>
        <w:t>. El principal reto para estos partenariados es la necesidad de adjuntar condiciones que salvaguardan el acceso</w:t>
      </w:r>
      <w:r w:rsidR="00EE7406" w:rsidRPr="00BC00A9">
        <w:rPr>
          <w:sz w:val="21"/>
          <w:szCs w:val="21"/>
        </w:rPr>
        <w:t xml:space="preserve"> final del producto</w:t>
      </w:r>
      <w:r w:rsidR="0928FEE8" w:rsidRPr="00BC00A9">
        <w:rPr>
          <w:sz w:val="21"/>
          <w:szCs w:val="21"/>
        </w:rPr>
        <w:t xml:space="preserve"> que impidan el abuso más </w:t>
      </w:r>
      <w:r w:rsidR="0928FEE8" w:rsidRPr="20D223A0">
        <w:t>adelante</w:t>
      </w:r>
      <w:r w:rsidR="003E6C20" w:rsidRPr="00BC00A9">
        <w:rPr>
          <w:sz w:val="21"/>
          <w:szCs w:val="21"/>
        </w:rPr>
        <w:t>, teniendo planes de gestión de la propiedad intelectual desde el inicio con consideraciones globales</w:t>
      </w:r>
      <w:r w:rsidR="009A48AE" w:rsidRPr="00BC00A9">
        <w:rPr>
          <w:sz w:val="21"/>
          <w:szCs w:val="21"/>
        </w:rPr>
        <w:t xml:space="preserve">, </w:t>
      </w:r>
      <w:hyperlink r:id="rId30">
        <w:r w:rsidR="009A48AE" w:rsidRPr="00BC00A9">
          <w:rPr>
            <w:rStyle w:val="Hyperlink"/>
            <w:sz w:val="21"/>
            <w:szCs w:val="21"/>
          </w:rPr>
          <w:t>siguiendo ejemplos de éxito que están funcionando</w:t>
        </w:r>
      </w:hyperlink>
      <w:r w:rsidR="009A48AE" w:rsidRPr="00BC00A9">
        <w:rPr>
          <w:sz w:val="21"/>
          <w:szCs w:val="21"/>
        </w:rPr>
        <w:t>.</w:t>
      </w:r>
    </w:p>
    <w:p w14:paraId="605E51A1" w14:textId="77777777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 xml:space="preserve">(f) ¿Qué impacto, en su caso, tiene el régimen vigente de derechos de propiedad intelectual en el acceso a los medicamentos, las vacunas y otros productos sanitarios? ¿Cómo pueden los esfuerzos mundiales abordar mejor las cuestiones relativas a los derechos de propiedad intelectual y la transferencia de tecnología para mejorar el acceso a los medicamentos, las vacunas y otros productos sanitarios? </w:t>
      </w:r>
    </w:p>
    <w:p w14:paraId="2DBF236C" w14:textId="0454ACAE" w:rsidR="004167A8" w:rsidRPr="00BC00A9" w:rsidRDefault="009A48AE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Para la primera pregunta, ver puntos anteriores.</w:t>
      </w:r>
    </w:p>
    <w:p w14:paraId="1B69B98B" w14:textId="7344F3D5" w:rsidR="007D4963" w:rsidRPr="00BC00A9" w:rsidRDefault="007D4963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En lo relativo a los esfuerzos mundiales, como ya se ha explicado anteriormente hay que priorizar la equidad en el acceso por diseño.  Esto incluye</w:t>
      </w:r>
      <w:r w:rsidR="00390E7D" w:rsidRPr="00BC00A9">
        <w:rPr>
          <w:sz w:val="21"/>
          <w:szCs w:val="21"/>
        </w:rPr>
        <w:t xml:space="preserve"> la promoción de </w:t>
      </w:r>
      <w:r w:rsidR="00390E7D" w:rsidRPr="0035185B">
        <w:rPr>
          <w:i/>
          <w:iCs/>
          <w:sz w:val="21"/>
          <w:szCs w:val="21"/>
        </w:rPr>
        <w:t>hubs</w:t>
      </w:r>
      <w:r w:rsidR="00390E7D" w:rsidRPr="00BC00A9">
        <w:rPr>
          <w:sz w:val="21"/>
          <w:szCs w:val="21"/>
        </w:rPr>
        <w:t xml:space="preserve"> regionales de I+D y redes de ensayos clínicos independientes con el objetivo de desvincular el precio final de los medicamentos del coste de la I+D</w:t>
      </w:r>
      <w:r w:rsidR="0084312E" w:rsidRPr="00BC00A9">
        <w:rPr>
          <w:sz w:val="21"/>
          <w:szCs w:val="21"/>
        </w:rPr>
        <w:t>. Producción local/regional que responda a necesidades locales</w:t>
      </w:r>
      <w:r w:rsidR="00AA6E62" w:rsidRPr="00BC00A9">
        <w:rPr>
          <w:sz w:val="21"/>
          <w:szCs w:val="21"/>
        </w:rPr>
        <w:t xml:space="preserve"> y la libertad para operar </w:t>
      </w:r>
      <w:hyperlink r:id="rId31">
        <w:r w:rsidR="00AA6E62" w:rsidRPr="20D223A0">
          <w:rPr>
            <w:rStyle w:val="Hyperlink"/>
          </w:rPr>
          <w:t xml:space="preserve">y adaptar plataformas tecnológicas mediante </w:t>
        </w:r>
        <w:r w:rsidR="00BC2816" w:rsidRPr="20D223A0">
          <w:rPr>
            <w:rStyle w:val="Hyperlink"/>
          </w:rPr>
          <w:t>“</w:t>
        </w:r>
        <w:r w:rsidR="00AA6E62" w:rsidRPr="20D223A0">
          <w:rPr>
            <w:rStyle w:val="Hyperlink"/>
          </w:rPr>
          <w:t>innovaciones de</w:t>
        </w:r>
        <w:r w:rsidR="00BC2816" w:rsidRPr="20D223A0">
          <w:rPr>
            <w:rStyle w:val="Hyperlink"/>
          </w:rPr>
          <w:t xml:space="preserve"> último tramo”</w:t>
        </w:r>
      </w:hyperlink>
      <w:r w:rsidR="00820147" w:rsidRPr="20D223A0">
        <w:t>.</w:t>
      </w:r>
      <w:r w:rsidR="00820147" w:rsidRPr="00BC00A9">
        <w:rPr>
          <w:sz w:val="21"/>
          <w:szCs w:val="21"/>
        </w:rPr>
        <w:t xml:space="preserve"> Así mismo, </w:t>
      </w:r>
      <w:r w:rsidR="00820147" w:rsidRPr="00BC00A9">
        <w:rPr>
          <w:sz w:val="21"/>
          <w:szCs w:val="21"/>
        </w:rPr>
        <w:lastRenderedPageBreak/>
        <w:t xml:space="preserve">mientras las capacidades locales son </w:t>
      </w:r>
      <w:r w:rsidR="00A13C07" w:rsidRPr="00BC00A9">
        <w:rPr>
          <w:sz w:val="21"/>
          <w:szCs w:val="21"/>
        </w:rPr>
        <w:t xml:space="preserve">desarrolladas, hay que apoyar, impulsar y condicionar vinculantemente en las fases incipientes de la I+D el uso de plataformas </w:t>
      </w:r>
      <w:r w:rsidR="00DE0DDB" w:rsidRPr="00BC00A9">
        <w:rPr>
          <w:sz w:val="21"/>
          <w:szCs w:val="21"/>
        </w:rPr>
        <w:t xml:space="preserve">de gestión mancomunada de la propiedad intelectual </w:t>
      </w:r>
      <w:r w:rsidR="00812A87" w:rsidRPr="00BC00A9">
        <w:rPr>
          <w:sz w:val="21"/>
          <w:szCs w:val="21"/>
        </w:rPr>
        <w:t>(</w:t>
      </w:r>
      <w:r w:rsidR="00D86EFA" w:rsidRPr="00BC00A9">
        <w:rPr>
          <w:sz w:val="21"/>
          <w:szCs w:val="21"/>
        </w:rPr>
        <w:t>MPP, H</w:t>
      </w:r>
      <w:r w:rsidR="00812A87" w:rsidRPr="00BC00A9">
        <w:rPr>
          <w:sz w:val="21"/>
          <w:szCs w:val="21"/>
        </w:rPr>
        <w:t>-TAP</w:t>
      </w:r>
      <w:r w:rsidR="00D86EFA">
        <w:rPr>
          <w:sz w:val="21"/>
          <w:szCs w:val="21"/>
        </w:rPr>
        <w:t>, etc.</w:t>
      </w:r>
      <w:r w:rsidR="00812A87" w:rsidRPr="00BC00A9">
        <w:rPr>
          <w:sz w:val="21"/>
          <w:szCs w:val="21"/>
        </w:rPr>
        <w:t xml:space="preserve">) </w:t>
      </w:r>
      <w:r w:rsidR="00DE0DDB" w:rsidRPr="00BC00A9">
        <w:rPr>
          <w:sz w:val="21"/>
          <w:szCs w:val="21"/>
        </w:rPr>
        <w:t>para toda aquella tecnología sanitaria que haya recibido inversión pública</w:t>
      </w:r>
      <w:r w:rsidR="00812A87" w:rsidRPr="00BC00A9">
        <w:rPr>
          <w:sz w:val="21"/>
          <w:szCs w:val="21"/>
        </w:rPr>
        <w:t>, ampliando el espectro a un mayor número de necesidades no cubiertas</w:t>
      </w:r>
    </w:p>
    <w:p w14:paraId="343EBC7C" w14:textId="434C11AA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>(g) ¿Cuáles son los principales retos para garantizar la calidad, seguridad y eficacia de los medicamentos y las vacunas?</w:t>
      </w:r>
    </w:p>
    <w:p w14:paraId="5F80ECEA" w14:textId="488473AF" w:rsidR="7428BDBC" w:rsidRDefault="7428BDBC" w:rsidP="00571E14">
      <w:pPr>
        <w:jc w:val="both"/>
      </w:pPr>
      <w:r w:rsidRPr="20D223A0">
        <w:t xml:space="preserve">Es importante señalar que </w:t>
      </w:r>
      <w:r w:rsidR="3E40E8CC" w:rsidRPr="20D223A0">
        <w:t>la autorización condicional</w:t>
      </w:r>
      <w:r w:rsidR="504F01B0" w:rsidRPr="20D223A0">
        <w:t xml:space="preserve"> de comercialización</w:t>
      </w:r>
      <w:r w:rsidR="34AE23C3" w:rsidRPr="20D223A0">
        <w:t>, así como otros procesos</w:t>
      </w:r>
      <w:r w:rsidR="555BB12A" w:rsidRPr="20D223A0">
        <w:t xml:space="preserve"> acelerados de revisión,</w:t>
      </w:r>
      <w:r w:rsidR="5C820D79" w:rsidRPr="20D223A0">
        <w:t xml:space="preserve"> es una </w:t>
      </w:r>
      <w:hyperlink r:id="rId32">
        <w:r w:rsidR="5C820D79" w:rsidRPr="20D223A0">
          <w:rPr>
            <w:rStyle w:val="Hyperlink"/>
          </w:rPr>
          <w:t>tendencia al alza</w:t>
        </w:r>
      </w:hyperlink>
      <w:r w:rsidR="1AF19F6E" w:rsidRPr="20D223A0">
        <w:t>, en especial en Europa</w:t>
      </w:r>
      <w:r w:rsidR="3A5E10E7" w:rsidRPr="20D223A0">
        <w:t xml:space="preserve">. En estos procesos existe un mayor grado de incertidumbre </w:t>
      </w:r>
      <w:r w:rsidR="00F4728F">
        <w:t>sobre la</w:t>
      </w:r>
      <w:r w:rsidR="3A5E10E7" w:rsidRPr="20D223A0">
        <w:t xml:space="preserve"> se</w:t>
      </w:r>
      <w:r w:rsidR="3181F51E" w:rsidRPr="20D223A0">
        <w:t>guridad y eficacia, al requerirse menor evidencia para la decisión</w:t>
      </w:r>
      <w:r w:rsidR="00F4728F">
        <w:t xml:space="preserve"> de autorización</w:t>
      </w:r>
      <w:r w:rsidR="3181F51E" w:rsidRPr="20D223A0">
        <w:t xml:space="preserve">. Si bien estás vías son de especial relevancia para ciertos casos de salud pública, no puede convertirse en el nuevo estándar. </w:t>
      </w:r>
      <w:r w:rsidR="4BC8EC21" w:rsidRPr="20D223A0">
        <w:t>El reto es exigir a los titulares de una autorización de comercialización condicional que aporten evidencia clínicamente concluyente</w:t>
      </w:r>
      <w:r w:rsidR="6FB0E147" w:rsidRPr="20D223A0">
        <w:t xml:space="preserve"> en los plazos debidos para tener la seguridad del paciente en el centro.</w:t>
      </w:r>
    </w:p>
    <w:p w14:paraId="3D7CE0DC" w14:textId="77777777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 xml:space="preserve">(h) ¿Qué obstáculos ve para garantizar la asequibilidad de los medicamentos, las vacunas y otros productos sanitarios? </w:t>
      </w:r>
    </w:p>
    <w:p w14:paraId="5FA2BE9F" w14:textId="0DC35D84" w:rsidR="001C3446" w:rsidRPr="00BC00A9" w:rsidRDefault="007D3E43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 xml:space="preserve">Ver puntos anteriores. </w:t>
      </w:r>
      <w:r w:rsidR="00995390" w:rsidRPr="00BC00A9">
        <w:rPr>
          <w:sz w:val="21"/>
          <w:szCs w:val="21"/>
        </w:rPr>
        <w:t xml:space="preserve">La falta de inversión en modelos alternativos de </w:t>
      </w:r>
      <w:r w:rsidR="009B2C8F" w:rsidRPr="00BC00A9">
        <w:rPr>
          <w:sz w:val="21"/>
          <w:szCs w:val="21"/>
        </w:rPr>
        <w:t xml:space="preserve">innovación farmacéutica que permitan desvincular el precio final del coste del proceso de desarrollo, así como el régimen actual </w:t>
      </w:r>
      <w:r w:rsidR="00894E05" w:rsidRPr="00BC00A9">
        <w:rPr>
          <w:sz w:val="21"/>
          <w:szCs w:val="21"/>
        </w:rPr>
        <w:t xml:space="preserve">que depende exclusivamente de las patentes como método de recompensa a la innovación y que </w:t>
      </w:r>
      <w:r w:rsidR="00573E2B" w:rsidRPr="00BC00A9">
        <w:rPr>
          <w:sz w:val="21"/>
          <w:szCs w:val="21"/>
        </w:rPr>
        <w:t>es la base de los monopolios</w:t>
      </w:r>
      <w:r w:rsidR="00280DA8" w:rsidRPr="00BC00A9">
        <w:rPr>
          <w:sz w:val="21"/>
          <w:szCs w:val="21"/>
        </w:rPr>
        <w:t xml:space="preserve"> farmacéuticos. Igualmente, la falta de </w:t>
      </w:r>
      <w:r w:rsidRPr="00BC00A9">
        <w:rPr>
          <w:sz w:val="21"/>
          <w:szCs w:val="21"/>
        </w:rPr>
        <w:t>condiciones</w:t>
      </w:r>
      <w:r w:rsidR="00191BA4" w:rsidRPr="00BC00A9">
        <w:rPr>
          <w:sz w:val="21"/>
          <w:szCs w:val="21"/>
        </w:rPr>
        <w:t xml:space="preserve"> de la inversión pública en la investigación en fases iniciales</w:t>
      </w:r>
      <w:r w:rsidRPr="00BC00A9">
        <w:rPr>
          <w:sz w:val="21"/>
          <w:szCs w:val="21"/>
        </w:rPr>
        <w:t xml:space="preserve"> del I+D</w:t>
      </w:r>
    </w:p>
    <w:p w14:paraId="6D5C3120" w14:textId="77777777" w:rsidR="001C3446" w:rsidRPr="00BC00A9" w:rsidRDefault="002870A7" w:rsidP="00571E14">
      <w:pPr>
        <w:jc w:val="both"/>
        <w:rPr>
          <w:b/>
          <w:bCs/>
          <w:sz w:val="21"/>
          <w:szCs w:val="21"/>
        </w:rPr>
      </w:pPr>
      <w:r w:rsidRPr="00BC00A9">
        <w:rPr>
          <w:b/>
          <w:bCs/>
          <w:sz w:val="21"/>
          <w:szCs w:val="21"/>
        </w:rPr>
        <w:t xml:space="preserve">(i) ¿Qué recomendaciones concretas haría para mejorar el acceso a los medicamentos, las vacunas y otros productos sanitarios? </w:t>
      </w:r>
    </w:p>
    <w:p w14:paraId="6A833CE5" w14:textId="3E72A0F4" w:rsidR="0090507F" w:rsidRPr="00BC00A9" w:rsidRDefault="0090507F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>Ver puntos anteriores.</w:t>
      </w:r>
    </w:p>
    <w:p w14:paraId="7CD553B8" w14:textId="4ADDA7FD" w:rsidR="0090507F" w:rsidRPr="00BC00A9" w:rsidRDefault="0090507F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 xml:space="preserve">Más allá de la reforma internacional del sistema de patentes, el papel de los gobiernos condicionando toda ayuda pública al interés y retorno público, el desarrollo de normas vinculantes para responder equitativamente a emergencias sanitarias y para redistribuir mejor dónde se lleva a cabo la innovación y la fabricación, es importante el impulso de modelos alternativos de innovación farmacéutica. </w:t>
      </w:r>
      <w:r w:rsidRPr="20D223A0">
        <w:t xml:space="preserve">Existen numerosos ejemplos de </w:t>
      </w:r>
      <w:r w:rsidR="002A2B67" w:rsidRPr="20D223A0">
        <w:t>cómo</w:t>
      </w:r>
      <w:r w:rsidRPr="20D223A0">
        <w:t xml:space="preserve"> mejorarlo, desde utilizar </w:t>
      </w:r>
      <w:hyperlink r:id="rId33">
        <w:r w:rsidRPr="20D223A0">
          <w:rPr>
            <w:rStyle w:val="Hyperlink"/>
          </w:rPr>
          <w:t>incentivos mejor diseñados para aumenta la innovación antibióticos</w:t>
        </w:r>
      </w:hyperlink>
      <w:r w:rsidRPr="20D223A0">
        <w:t xml:space="preserve">, a las aproximaciones colaborativas y con el acceso en el centro como es el caso de las </w:t>
      </w:r>
      <w:hyperlink r:id="rId34" w:anchor="ch4.s1">
        <w:r w:rsidRPr="20D223A0">
          <w:rPr>
            <w:rStyle w:val="Hyperlink"/>
          </w:rPr>
          <w:t>enfermedades olvidadas de la pobreza</w:t>
        </w:r>
      </w:hyperlink>
      <w:r w:rsidRPr="20D223A0">
        <w:t xml:space="preserve">. </w:t>
      </w:r>
    </w:p>
    <w:p w14:paraId="5C1DC016" w14:textId="2A2327BB" w:rsidR="00E14F4B" w:rsidRPr="00BC00A9" w:rsidRDefault="00612245" w:rsidP="00571E14">
      <w:pPr>
        <w:jc w:val="both"/>
        <w:rPr>
          <w:sz w:val="21"/>
          <w:szCs w:val="21"/>
        </w:rPr>
      </w:pPr>
      <w:r w:rsidRPr="00BC00A9">
        <w:rPr>
          <w:sz w:val="21"/>
          <w:szCs w:val="21"/>
        </w:rPr>
        <w:t xml:space="preserve">Existen sin embargo modelos alternativos que ya están ocurriendo y suponen ejemplos de buenas prácticas. </w:t>
      </w:r>
      <w:r w:rsidR="00904A9D" w:rsidRPr="00BC00A9">
        <w:rPr>
          <w:sz w:val="21"/>
          <w:szCs w:val="21"/>
        </w:rPr>
        <w:t>Un ejemplo que destacar</w:t>
      </w:r>
      <w:r w:rsidRPr="00BC00A9">
        <w:rPr>
          <w:sz w:val="21"/>
          <w:szCs w:val="21"/>
        </w:rPr>
        <w:t xml:space="preserve"> es el de la </w:t>
      </w:r>
      <w:hyperlink r:id="rId35">
        <w:r w:rsidRPr="20D223A0">
          <w:rPr>
            <w:rStyle w:val="Hyperlink"/>
          </w:rPr>
          <w:t>exención hospitalaria en Europa</w:t>
        </w:r>
      </w:hyperlink>
      <w:r w:rsidRPr="20D223A0">
        <w:t>.</w:t>
      </w:r>
      <w:r w:rsidRPr="00BC00A9">
        <w:rPr>
          <w:sz w:val="21"/>
          <w:szCs w:val="21"/>
        </w:rPr>
        <w:t xml:space="preserve"> En 2007, el Reglamento (CE) nº 1394/2007 sobre medicamentos de terapia avanzada habilitó una vía reguladora alternativa conocida como exención hospitalaria. Esta vía ha mejorado considerablemente el acceso de los pacientes a estas terapias innovadoras en la Unión Europea. En la actualidad, está siendo revisada como parte de la reforma de la legislación farmacéutica de la UE y está encontrando una fuerte oposición por parte de la industria. Este mecanismo ha demostrado ser una herramienta excelente para que los pacientes puedan acceder a los ATMP en el momento oportuno, a un coste menor y garantizando al mismo tiempo la calidad, la seguridad y la eficacia. </w:t>
      </w:r>
      <w:hyperlink r:id="rId36">
        <w:r w:rsidRPr="20D223A0">
          <w:rPr>
            <w:rStyle w:val="Hyperlink"/>
          </w:rPr>
          <w:t>España ha liderado este enfoque, acuñando el "Modelo Español".</w:t>
        </w:r>
      </w:hyperlink>
      <w:r w:rsidRPr="00BC00A9">
        <w:rPr>
          <w:sz w:val="21"/>
          <w:szCs w:val="21"/>
        </w:rPr>
        <w:t xml:space="preserve"> No se trata sólo de que los pacientes obtengan lo que necesitan cuando lo necesitan con grandes mejoras logísticas y de personalización; también es un impulso para las capacidades de innovación, regulación, transferencia de conocimiento y fabricación de las instituciones académicas y sanitarias. Además, reduce a un tercio el coste de las terapias comerciales ATMP CAR-T. Es un beneficio mutuo para la producción local y el interés público.</w:t>
      </w:r>
      <w:r w:rsidR="0090507F" w:rsidRPr="00BC00A9">
        <w:rPr>
          <w:sz w:val="21"/>
          <w:szCs w:val="21"/>
        </w:rPr>
        <w:t xml:space="preserve"> Esta exención debe ser reforzada y explorada su utilidad en otros contextos.</w:t>
      </w:r>
    </w:p>
    <w:sectPr w:rsidR="00E14F4B" w:rsidRPr="00BC00A9" w:rsidSect="00167B12">
      <w:headerReference w:type="default" r:id="rId3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F02D" w14:textId="77777777" w:rsidR="00284DA6" w:rsidRDefault="00284DA6" w:rsidP="00541D1D">
      <w:pPr>
        <w:spacing w:after="0" w:line="240" w:lineRule="auto"/>
      </w:pPr>
      <w:r>
        <w:separator/>
      </w:r>
    </w:p>
  </w:endnote>
  <w:endnote w:type="continuationSeparator" w:id="0">
    <w:p w14:paraId="280FB795" w14:textId="77777777" w:rsidR="00284DA6" w:rsidRDefault="00284DA6" w:rsidP="0054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AFA3" w14:textId="77777777" w:rsidR="00284DA6" w:rsidRDefault="00284DA6" w:rsidP="00541D1D">
      <w:pPr>
        <w:spacing w:after="0" w:line="240" w:lineRule="auto"/>
      </w:pPr>
      <w:r>
        <w:separator/>
      </w:r>
    </w:p>
  </w:footnote>
  <w:footnote w:type="continuationSeparator" w:id="0">
    <w:p w14:paraId="5CD602B9" w14:textId="77777777" w:rsidR="00284DA6" w:rsidRDefault="00284DA6" w:rsidP="0054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91F0" w14:textId="0E478380" w:rsidR="00541D1D" w:rsidRDefault="00541D1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BE3DC8" wp14:editId="109C6C1F">
          <wp:simplePos x="0" y="0"/>
          <wp:positionH relativeFrom="column">
            <wp:posOffset>5479084</wp:posOffset>
          </wp:positionH>
          <wp:positionV relativeFrom="paragraph">
            <wp:posOffset>-298975</wp:posOffset>
          </wp:positionV>
          <wp:extent cx="540744" cy="468533"/>
          <wp:effectExtent l="0" t="0" r="0" b="8255"/>
          <wp:wrapNone/>
          <wp:docPr id="607155883" name="Imagen 1" descr="Salud por Dere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ud por Dere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44" cy="468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A7"/>
    <w:rsid w:val="000200B0"/>
    <w:rsid w:val="0002504A"/>
    <w:rsid w:val="000505B1"/>
    <w:rsid w:val="00057FD9"/>
    <w:rsid w:val="00067711"/>
    <w:rsid w:val="000718FA"/>
    <w:rsid w:val="0009057C"/>
    <w:rsid w:val="000A5311"/>
    <w:rsid w:val="000D2372"/>
    <w:rsid w:val="001058FD"/>
    <w:rsid w:val="001141FE"/>
    <w:rsid w:val="00117E64"/>
    <w:rsid w:val="0012009C"/>
    <w:rsid w:val="001359F6"/>
    <w:rsid w:val="0015586A"/>
    <w:rsid w:val="0016730B"/>
    <w:rsid w:val="00167413"/>
    <w:rsid w:val="001676CA"/>
    <w:rsid w:val="00167B12"/>
    <w:rsid w:val="00172423"/>
    <w:rsid w:val="00191BA4"/>
    <w:rsid w:val="001934B9"/>
    <w:rsid w:val="001936EF"/>
    <w:rsid w:val="00197B73"/>
    <w:rsid w:val="001A024B"/>
    <w:rsid w:val="001C3446"/>
    <w:rsid w:val="001F0EC2"/>
    <w:rsid w:val="001F39EF"/>
    <w:rsid w:val="002101FE"/>
    <w:rsid w:val="002157BB"/>
    <w:rsid w:val="00225327"/>
    <w:rsid w:val="00232E27"/>
    <w:rsid w:val="00237673"/>
    <w:rsid w:val="00241B84"/>
    <w:rsid w:val="002430F9"/>
    <w:rsid w:val="0025478A"/>
    <w:rsid w:val="00257009"/>
    <w:rsid w:val="002704B3"/>
    <w:rsid w:val="0027170A"/>
    <w:rsid w:val="00280DA8"/>
    <w:rsid w:val="00283087"/>
    <w:rsid w:val="00283892"/>
    <w:rsid w:val="00284DA6"/>
    <w:rsid w:val="00285660"/>
    <w:rsid w:val="002870A7"/>
    <w:rsid w:val="00293B61"/>
    <w:rsid w:val="002A004D"/>
    <w:rsid w:val="002A2B67"/>
    <w:rsid w:val="002B49CE"/>
    <w:rsid w:val="002C1338"/>
    <w:rsid w:val="002C205D"/>
    <w:rsid w:val="002D4DD0"/>
    <w:rsid w:val="002E0BC7"/>
    <w:rsid w:val="002E7C76"/>
    <w:rsid w:val="003001C9"/>
    <w:rsid w:val="0031381B"/>
    <w:rsid w:val="00321F37"/>
    <w:rsid w:val="00334F01"/>
    <w:rsid w:val="00334FFE"/>
    <w:rsid w:val="003469E1"/>
    <w:rsid w:val="00346B0B"/>
    <w:rsid w:val="0035185B"/>
    <w:rsid w:val="00370124"/>
    <w:rsid w:val="00376B7C"/>
    <w:rsid w:val="0038082C"/>
    <w:rsid w:val="00382CA5"/>
    <w:rsid w:val="00383AC8"/>
    <w:rsid w:val="00390E7D"/>
    <w:rsid w:val="003B506E"/>
    <w:rsid w:val="003D1F85"/>
    <w:rsid w:val="003E3804"/>
    <w:rsid w:val="003E6C20"/>
    <w:rsid w:val="003F1C9B"/>
    <w:rsid w:val="004167A8"/>
    <w:rsid w:val="0042349C"/>
    <w:rsid w:val="004408A5"/>
    <w:rsid w:val="00445266"/>
    <w:rsid w:val="004533C1"/>
    <w:rsid w:val="00453F55"/>
    <w:rsid w:val="004540E3"/>
    <w:rsid w:val="00474FE8"/>
    <w:rsid w:val="004774DA"/>
    <w:rsid w:val="004A674D"/>
    <w:rsid w:val="004D353E"/>
    <w:rsid w:val="004D392B"/>
    <w:rsid w:val="004D51D4"/>
    <w:rsid w:val="004E01F0"/>
    <w:rsid w:val="004F401B"/>
    <w:rsid w:val="004F52EE"/>
    <w:rsid w:val="005057C6"/>
    <w:rsid w:val="0051468D"/>
    <w:rsid w:val="0052651E"/>
    <w:rsid w:val="00530295"/>
    <w:rsid w:val="00541D1D"/>
    <w:rsid w:val="005431FD"/>
    <w:rsid w:val="00557A50"/>
    <w:rsid w:val="00571E14"/>
    <w:rsid w:val="00573E2B"/>
    <w:rsid w:val="0060380C"/>
    <w:rsid w:val="00605B4A"/>
    <w:rsid w:val="00612245"/>
    <w:rsid w:val="0062399A"/>
    <w:rsid w:val="00625E87"/>
    <w:rsid w:val="00636FCD"/>
    <w:rsid w:val="00647A2E"/>
    <w:rsid w:val="00651E2C"/>
    <w:rsid w:val="00660CD3"/>
    <w:rsid w:val="006A020C"/>
    <w:rsid w:val="006B269A"/>
    <w:rsid w:val="006C63B6"/>
    <w:rsid w:val="006C780A"/>
    <w:rsid w:val="006D4D4A"/>
    <w:rsid w:val="006F3312"/>
    <w:rsid w:val="00706D45"/>
    <w:rsid w:val="0070722B"/>
    <w:rsid w:val="00714D15"/>
    <w:rsid w:val="00735AC6"/>
    <w:rsid w:val="00741873"/>
    <w:rsid w:val="00743D53"/>
    <w:rsid w:val="0076096A"/>
    <w:rsid w:val="00762AEA"/>
    <w:rsid w:val="007653F0"/>
    <w:rsid w:val="0077529A"/>
    <w:rsid w:val="0078308F"/>
    <w:rsid w:val="007918B9"/>
    <w:rsid w:val="007A197F"/>
    <w:rsid w:val="007B164F"/>
    <w:rsid w:val="007D0A83"/>
    <w:rsid w:val="007D32E4"/>
    <w:rsid w:val="007D3E43"/>
    <w:rsid w:val="007D4963"/>
    <w:rsid w:val="007D5EF7"/>
    <w:rsid w:val="007F080A"/>
    <w:rsid w:val="00812A87"/>
    <w:rsid w:val="00820147"/>
    <w:rsid w:val="00836CFC"/>
    <w:rsid w:val="0084312E"/>
    <w:rsid w:val="00843FF0"/>
    <w:rsid w:val="00855521"/>
    <w:rsid w:val="0086115E"/>
    <w:rsid w:val="008828E2"/>
    <w:rsid w:val="00884E38"/>
    <w:rsid w:val="00894E05"/>
    <w:rsid w:val="008D3F1A"/>
    <w:rsid w:val="008D40CF"/>
    <w:rsid w:val="008E2FE8"/>
    <w:rsid w:val="008F1F23"/>
    <w:rsid w:val="009028AC"/>
    <w:rsid w:val="0090361E"/>
    <w:rsid w:val="00904A9D"/>
    <w:rsid w:val="0090507F"/>
    <w:rsid w:val="00911148"/>
    <w:rsid w:val="00922C8D"/>
    <w:rsid w:val="00931190"/>
    <w:rsid w:val="00944875"/>
    <w:rsid w:val="0095169D"/>
    <w:rsid w:val="00974498"/>
    <w:rsid w:val="009766FD"/>
    <w:rsid w:val="00983442"/>
    <w:rsid w:val="00995390"/>
    <w:rsid w:val="009A48AE"/>
    <w:rsid w:val="009A721C"/>
    <w:rsid w:val="009B2C8F"/>
    <w:rsid w:val="009B35B2"/>
    <w:rsid w:val="009B3F2B"/>
    <w:rsid w:val="009C228E"/>
    <w:rsid w:val="009D4655"/>
    <w:rsid w:val="009E1308"/>
    <w:rsid w:val="009E3C48"/>
    <w:rsid w:val="009E638B"/>
    <w:rsid w:val="00A05F36"/>
    <w:rsid w:val="00A0713A"/>
    <w:rsid w:val="00A13C07"/>
    <w:rsid w:val="00A20F6B"/>
    <w:rsid w:val="00A23640"/>
    <w:rsid w:val="00A33272"/>
    <w:rsid w:val="00A406A5"/>
    <w:rsid w:val="00A42FBF"/>
    <w:rsid w:val="00A50012"/>
    <w:rsid w:val="00A50E29"/>
    <w:rsid w:val="00A63DB8"/>
    <w:rsid w:val="00A6401E"/>
    <w:rsid w:val="00A66C32"/>
    <w:rsid w:val="00A71043"/>
    <w:rsid w:val="00A71AB5"/>
    <w:rsid w:val="00A71DDB"/>
    <w:rsid w:val="00A82B2A"/>
    <w:rsid w:val="00A957CF"/>
    <w:rsid w:val="00AA6E62"/>
    <w:rsid w:val="00AB0B9F"/>
    <w:rsid w:val="00AC7B35"/>
    <w:rsid w:val="00AC7D1F"/>
    <w:rsid w:val="00AD3002"/>
    <w:rsid w:val="00AE139A"/>
    <w:rsid w:val="00AE28AC"/>
    <w:rsid w:val="00AE2F5C"/>
    <w:rsid w:val="00B01F3A"/>
    <w:rsid w:val="00B06734"/>
    <w:rsid w:val="00B116F5"/>
    <w:rsid w:val="00B2704A"/>
    <w:rsid w:val="00B379C1"/>
    <w:rsid w:val="00B442B2"/>
    <w:rsid w:val="00B567FF"/>
    <w:rsid w:val="00B60C60"/>
    <w:rsid w:val="00B6132C"/>
    <w:rsid w:val="00B779CF"/>
    <w:rsid w:val="00B8044B"/>
    <w:rsid w:val="00B818A8"/>
    <w:rsid w:val="00B85F1C"/>
    <w:rsid w:val="00B91DE9"/>
    <w:rsid w:val="00BA0B6A"/>
    <w:rsid w:val="00BA5CBB"/>
    <w:rsid w:val="00BC00A9"/>
    <w:rsid w:val="00BC2816"/>
    <w:rsid w:val="00BE6DC6"/>
    <w:rsid w:val="00BE757A"/>
    <w:rsid w:val="00C075A3"/>
    <w:rsid w:val="00C117D0"/>
    <w:rsid w:val="00C22BB2"/>
    <w:rsid w:val="00C374D7"/>
    <w:rsid w:val="00C51963"/>
    <w:rsid w:val="00C5318E"/>
    <w:rsid w:val="00C56DD5"/>
    <w:rsid w:val="00C67D62"/>
    <w:rsid w:val="00C772A2"/>
    <w:rsid w:val="00C965DF"/>
    <w:rsid w:val="00CA0CD2"/>
    <w:rsid w:val="00CA1438"/>
    <w:rsid w:val="00CA3841"/>
    <w:rsid w:val="00CB5744"/>
    <w:rsid w:val="00CE7585"/>
    <w:rsid w:val="00CF75E2"/>
    <w:rsid w:val="00D057F0"/>
    <w:rsid w:val="00D102B6"/>
    <w:rsid w:val="00D22C4B"/>
    <w:rsid w:val="00D2737D"/>
    <w:rsid w:val="00D56832"/>
    <w:rsid w:val="00D86EFA"/>
    <w:rsid w:val="00DA715D"/>
    <w:rsid w:val="00DD5A0B"/>
    <w:rsid w:val="00DE0607"/>
    <w:rsid w:val="00DE0DDB"/>
    <w:rsid w:val="00E10EC3"/>
    <w:rsid w:val="00E14F4B"/>
    <w:rsid w:val="00E23AE0"/>
    <w:rsid w:val="00E32572"/>
    <w:rsid w:val="00E46676"/>
    <w:rsid w:val="00E6560F"/>
    <w:rsid w:val="00E87A73"/>
    <w:rsid w:val="00E90E20"/>
    <w:rsid w:val="00E9542E"/>
    <w:rsid w:val="00EA4D29"/>
    <w:rsid w:val="00EB33FD"/>
    <w:rsid w:val="00EB4CB8"/>
    <w:rsid w:val="00EC4CEA"/>
    <w:rsid w:val="00EC74F8"/>
    <w:rsid w:val="00ED1FBD"/>
    <w:rsid w:val="00ED62BD"/>
    <w:rsid w:val="00EE7406"/>
    <w:rsid w:val="00F043BB"/>
    <w:rsid w:val="00F109DC"/>
    <w:rsid w:val="00F300F1"/>
    <w:rsid w:val="00F40D2D"/>
    <w:rsid w:val="00F4728F"/>
    <w:rsid w:val="00F56148"/>
    <w:rsid w:val="00F65F5B"/>
    <w:rsid w:val="00F7377D"/>
    <w:rsid w:val="00F87D7D"/>
    <w:rsid w:val="00F9446A"/>
    <w:rsid w:val="00F96463"/>
    <w:rsid w:val="00FA49C7"/>
    <w:rsid w:val="00FB70DC"/>
    <w:rsid w:val="00FC0771"/>
    <w:rsid w:val="00FC3213"/>
    <w:rsid w:val="00FE1315"/>
    <w:rsid w:val="00FF32C3"/>
    <w:rsid w:val="01ACD214"/>
    <w:rsid w:val="0928FEE8"/>
    <w:rsid w:val="10DDDF07"/>
    <w:rsid w:val="1733F82E"/>
    <w:rsid w:val="1AF19F6E"/>
    <w:rsid w:val="1E665763"/>
    <w:rsid w:val="20D223A0"/>
    <w:rsid w:val="2DC14B02"/>
    <w:rsid w:val="3048F0D0"/>
    <w:rsid w:val="3181F51E"/>
    <w:rsid w:val="31E4C131"/>
    <w:rsid w:val="34AE23C3"/>
    <w:rsid w:val="35CC5CE7"/>
    <w:rsid w:val="3A5E10E7"/>
    <w:rsid w:val="3E40E8CC"/>
    <w:rsid w:val="4858EBA8"/>
    <w:rsid w:val="4BC8EC21"/>
    <w:rsid w:val="4BCD95D3"/>
    <w:rsid w:val="4F083844"/>
    <w:rsid w:val="504F01B0"/>
    <w:rsid w:val="514FD2FA"/>
    <w:rsid w:val="53D61ABC"/>
    <w:rsid w:val="555BB12A"/>
    <w:rsid w:val="57B56445"/>
    <w:rsid w:val="5C820D79"/>
    <w:rsid w:val="5F2347E5"/>
    <w:rsid w:val="66282D10"/>
    <w:rsid w:val="681B05D7"/>
    <w:rsid w:val="6FB0E147"/>
    <w:rsid w:val="7428BDBC"/>
    <w:rsid w:val="76D0BA3F"/>
    <w:rsid w:val="78A165C5"/>
    <w:rsid w:val="7B81795F"/>
    <w:rsid w:val="7D8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56C5"/>
  <w15:chartTrackingRefBased/>
  <w15:docId w15:val="{0071F7E7-13EA-4DA1-A616-4E2A43D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2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5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0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0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07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7D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1D"/>
  </w:style>
  <w:style w:type="paragraph" w:styleId="Footer">
    <w:name w:val="footer"/>
    <w:basedOn w:val="Normal"/>
    <w:link w:val="FooterChar"/>
    <w:uiPriority w:val="99"/>
    <w:unhideWhenUsed/>
    <w:rsid w:val="00541D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25104602/" TargetMode="External"/><Relationship Id="rId18" Type="http://schemas.openxmlformats.org/officeDocument/2006/relationships/hyperlink" Target="https://saludporderecho.org/wp-content/uploads/2022/11/Documento_Politico_A2M_SxD_181022_ES.pdf" TargetMode="External"/><Relationship Id="rId26" Type="http://schemas.openxmlformats.org/officeDocument/2006/relationships/hyperlink" Target="https://www.bmj.com/content/380/bmj-2022-0717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who.int/publications/i/item/promoting-innovation-and-access-to-quality-safe-efficacious-and-affordable-medicines-for-children" TargetMode="External"/><Relationship Id="rId34" Type="http://schemas.openxmlformats.org/officeDocument/2006/relationships/hyperlink" Target="https://www.ncbi.nlm.nih.gov/books/NBK587827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wn.my/title2/health.info/2023/hi230705.htm" TargetMode="External"/><Relationship Id="rId17" Type="http://schemas.openxmlformats.org/officeDocument/2006/relationships/hyperlink" Target="https://www.ncbi.nlm.nih.gov/pmc/articles/PMC6958714/" TargetMode="External"/><Relationship Id="rId25" Type="http://schemas.openxmlformats.org/officeDocument/2006/relationships/hyperlink" Target="https://www.statista.com/statistics/265100/us-pharmaceutical-industry-spending-on-research-and-development-since-1990/" TargetMode="External"/><Relationship Id="rId33" Type="http://schemas.openxmlformats.org/officeDocument/2006/relationships/hyperlink" Target="https://saludporderecho.org/wp-content/uploads/2023/05/INNOVACION-EN-ANTIBIOTICOS_SXD_ESP.pdf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aludporderecho.org/el-nuevo-acuerdo-de-prevencion-y-preparacion-frente-a-pandemias-es-insuficiente/" TargetMode="External"/><Relationship Id="rId20" Type="http://schemas.openxmlformats.org/officeDocument/2006/relationships/hyperlink" Target="https://tropmedhealth.biomedcentral.com/articles/10.1186/s41182-021-00394-0" TargetMode="External"/><Relationship Id="rId29" Type="http://schemas.openxmlformats.org/officeDocument/2006/relationships/hyperlink" Target="https://saludporderecho.org/el-nuevo-acuerdo-de-prevencion-y-preparacion-frente-a-pandemias-es-insuficient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izationandhealth.biomedcentral.com/articles/10.1186/s12992-022-00826-4" TargetMode="External"/><Relationship Id="rId24" Type="http://schemas.openxmlformats.org/officeDocument/2006/relationships/hyperlink" Target="https://www.ncbi.nlm.nih.gov/books/NBK587835/" TargetMode="External"/><Relationship Id="rId32" Type="http://schemas.openxmlformats.org/officeDocument/2006/relationships/hyperlink" Target="https://www.ncbi.nlm.nih.gov/pmc/articles/PMC7537471/" TargetMode="External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ncbi.nlm.nih.gov/pmc/articles/PMC9563227/" TargetMode="External"/><Relationship Id="rId23" Type="http://schemas.openxmlformats.org/officeDocument/2006/relationships/hyperlink" Target="https://equityhealthj.biomedcentral.com/articles/10.1186/s12939-019-0958-6" TargetMode="External"/><Relationship Id="rId28" Type="http://schemas.openxmlformats.org/officeDocument/2006/relationships/hyperlink" Target="https://msfaccess.org/sites/default/files/2023-08/HIV_Q%26A_CAB-LA_EN_Aug2023.pdf" TargetMode="External"/><Relationship Id="rId36" Type="http://schemas.openxmlformats.org/officeDocument/2006/relationships/hyperlink" Target="https://saludporderecho.org/wp-content/uploads/2023/11/HE_SaludporDerecho_ES.pdf" TargetMode="External"/><Relationship Id="rId10" Type="http://schemas.openxmlformats.org/officeDocument/2006/relationships/hyperlink" Target="https://www.somo.nl/wp-content/uploads/2020/04/Rapport-The-financialisation-of-Big-Pharma-def.pdf" TargetMode="External"/><Relationship Id="rId19" Type="http://schemas.openxmlformats.org/officeDocument/2006/relationships/hyperlink" Target="https://www.ncbi.nlm.nih.gov/pmc/articles/PMC9272166/" TargetMode="External"/><Relationship Id="rId31" Type="http://schemas.openxmlformats.org/officeDocument/2006/relationships/hyperlink" Target="https://www.thelancet.com/journals/langlo/article/PIIS2214-109X(23)00328-5/fulltext" TargetMode="External"/><Relationship Id="rId4" Type="http://schemas.openxmlformats.org/officeDocument/2006/relationships/styles" Target="styles.xml"/><Relationship Id="rId9" Type="http://schemas.openxmlformats.org/officeDocument/2006/relationships/hyperlink" Target="https://pubmed.ncbi.nlm.nih.gov/33966657/" TargetMode="External"/><Relationship Id="rId14" Type="http://schemas.openxmlformats.org/officeDocument/2006/relationships/hyperlink" Target="https://www.ncbi.nlm.nih.gov/pmc/articles/PMC5840629/" TargetMode="External"/><Relationship Id="rId22" Type="http://schemas.openxmlformats.org/officeDocument/2006/relationships/hyperlink" Target="https://www.reder162012.org/informes/" TargetMode="External"/><Relationship Id="rId27" Type="http://schemas.openxmlformats.org/officeDocument/2006/relationships/hyperlink" Target="https://pubmed.ncbi.nlm.nih.gov/31292109/" TargetMode="External"/><Relationship Id="rId30" Type="http://schemas.openxmlformats.org/officeDocument/2006/relationships/hyperlink" Target="https://academic.oup.com/jiplp/article/18/4/323/7115852" TargetMode="External"/><Relationship Id="rId35" Type="http://schemas.openxmlformats.org/officeDocument/2006/relationships/hyperlink" Target="https://saludporderecho.org/wp-content/uploads/2023/11/HE_SaludporDerecho_ES.pdf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Doctype xmlns="d42e65b2-cf21-49c1-b27d-d23f90380c0e">input</Doctype>
    <Contributor xmlns="d42e65b2-cf21-49c1-b27d-d23f90380c0e">Salud por Derecho – Right to Health Foundation</Contributor>
    <Postingdate xmlns="d42e65b2-cf21-49c1-b27d-d23f90380c0e" xsi:nil="true"/>
    <Postedonline xmlns="d42e65b2-cf21-49c1-b27d-d23f90380c0e">false</Postedonlin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E840-7281-4615-8427-F6EA47457330}">
  <ds:schemaRefs>
    <ds:schemaRef ds:uri="http://schemas.microsoft.com/office/2006/metadata/properties"/>
    <ds:schemaRef ds:uri="http://schemas.microsoft.com/office/infopath/2007/PartnerControls"/>
    <ds:schemaRef ds:uri="4cb30769-cb05-4dcc-a7f7-9721390c730f"/>
    <ds:schemaRef ds:uri="394d60c0-cc66-4d8a-949a-5b8663777065"/>
  </ds:schemaRefs>
</ds:datastoreItem>
</file>

<file path=customXml/itemProps2.xml><?xml version="1.0" encoding="utf-8"?>
<ds:datastoreItem xmlns:ds="http://schemas.openxmlformats.org/officeDocument/2006/customXml" ds:itemID="{26614B29-9BC3-4094-8BB1-8E07B9D3B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8B7C-85C7-4470-B4C7-CF39B23F93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3379</Words>
  <Characters>19263</Characters>
  <Application>Microsoft Office Word</Application>
  <DocSecurity>0</DocSecurity>
  <Lines>160</Lines>
  <Paragraphs>45</Paragraphs>
  <ScaleCrop>false</ScaleCrop>
  <Company/>
  <LinksUpToDate>false</LinksUpToDate>
  <CharactersWithSpaces>22597</CharactersWithSpaces>
  <SharedDoc>false</SharedDoc>
  <HLinks>
    <vt:vector size="168" baseType="variant">
      <vt:variant>
        <vt:i4>1441867</vt:i4>
      </vt:variant>
      <vt:variant>
        <vt:i4>81</vt:i4>
      </vt:variant>
      <vt:variant>
        <vt:i4>0</vt:i4>
      </vt:variant>
      <vt:variant>
        <vt:i4>5</vt:i4>
      </vt:variant>
      <vt:variant>
        <vt:lpwstr>https://saludporderecho.org/wp-content/uploads/2023/11/HE_SaludporDerecho_ES.pdf</vt:lpwstr>
      </vt:variant>
      <vt:variant>
        <vt:lpwstr/>
      </vt:variant>
      <vt:variant>
        <vt:i4>1441867</vt:i4>
      </vt:variant>
      <vt:variant>
        <vt:i4>78</vt:i4>
      </vt:variant>
      <vt:variant>
        <vt:i4>0</vt:i4>
      </vt:variant>
      <vt:variant>
        <vt:i4>5</vt:i4>
      </vt:variant>
      <vt:variant>
        <vt:lpwstr>https://saludporderecho.org/wp-content/uploads/2023/11/HE_SaludporDerecho_ES.pdf</vt:lpwstr>
      </vt:variant>
      <vt:variant>
        <vt:lpwstr/>
      </vt:variant>
      <vt:variant>
        <vt:i4>7143546</vt:i4>
      </vt:variant>
      <vt:variant>
        <vt:i4>75</vt:i4>
      </vt:variant>
      <vt:variant>
        <vt:i4>0</vt:i4>
      </vt:variant>
      <vt:variant>
        <vt:i4>5</vt:i4>
      </vt:variant>
      <vt:variant>
        <vt:lpwstr>https://www.ncbi.nlm.nih.gov/books/NBK587827/</vt:lpwstr>
      </vt:variant>
      <vt:variant>
        <vt:lpwstr>ch4.s1</vt:lpwstr>
      </vt:variant>
      <vt:variant>
        <vt:i4>89</vt:i4>
      </vt:variant>
      <vt:variant>
        <vt:i4>72</vt:i4>
      </vt:variant>
      <vt:variant>
        <vt:i4>0</vt:i4>
      </vt:variant>
      <vt:variant>
        <vt:i4>5</vt:i4>
      </vt:variant>
      <vt:variant>
        <vt:lpwstr>https://saludporderecho.org/wp-content/uploads/2023/05/INNOVACION-EN-ANTIBIOTICOS_SXD_ESP.pdf</vt:lpwstr>
      </vt:variant>
      <vt:variant>
        <vt:lpwstr/>
      </vt:variant>
      <vt:variant>
        <vt:i4>1376327</vt:i4>
      </vt:variant>
      <vt:variant>
        <vt:i4>69</vt:i4>
      </vt:variant>
      <vt:variant>
        <vt:i4>0</vt:i4>
      </vt:variant>
      <vt:variant>
        <vt:i4>5</vt:i4>
      </vt:variant>
      <vt:variant>
        <vt:lpwstr>https://www.ncbi.nlm.nih.gov/pmc/articles/PMC7537471/</vt:lpwstr>
      </vt:variant>
      <vt:variant>
        <vt:lpwstr/>
      </vt:variant>
      <vt:variant>
        <vt:i4>3670137</vt:i4>
      </vt:variant>
      <vt:variant>
        <vt:i4>66</vt:i4>
      </vt:variant>
      <vt:variant>
        <vt:i4>0</vt:i4>
      </vt:variant>
      <vt:variant>
        <vt:i4>5</vt:i4>
      </vt:variant>
      <vt:variant>
        <vt:lpwstr>https://www.thelancet.com/journals/langlo/article/PIIS2214-109X(23)00328-5/fulltext</vt:lpwstr>
      </vt:variant>
      <vt:variant>
        <vt:lpwstr/>
      </vt:variant>
      <vt:variant>
        <vt:i4>7143481</vt:i4>
      </vt:variant>
      <vt:variant>
        <vt:i4>63</vt:i4>
      </vt:variant>
      <vt:variant>
        <vt:i4>0</vt:i4>
      </vt:variant>
      <vt:variant>
        <vt:i4>5</vt:i4>
      </vt:variant>
      <vt:variant>
        <vt:lpwstr>https://academic.oup.com/jiplp/article/18/4/323/7115852</vt:lpwstr>
      </vt:variant>
      <vt:variant>
        <vt:lpwstr/>
      </vt:variant>
      <vt:variant>
        <vt:i4>5439494</vt:i4>
      </vt:variant>
      <vt:variant>
        <vt:i4>60</vt:i4>
      </vt:variant>
      <vt:variant>
        <vt:i4>0</vt:i4>
      </vt:variant>
      <vt:variant>
        <vt:i4>5</vt:i4>
      </vt:variant>
      <vt:variant>
        <vt:lpwstr>https://saludporderecho.org/el-nuevo-acuerdo-de-prevencion-y-preparacion-frente-a-pandemias-es-insuficiente/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https://msfaccess.org/sites/default/files/2023-08/HIV_Q%26A_CAB-LA_EN_Aug2023.pdf</vt:lpwstr>
      </vt:variant>
      <vt:variant>
        <vt:lpwstr/>
      </vt:variant>
      <vt:variant>
        <vt:i4>655364</vt:i4>
      </vt:variant>
      <vt:variant>
        <vt:i4>54</vt:i4>
      </vt:variant>
      <vt:variant>
        <vt:i4>0</vt:i4>
      </vt:variant>
      <vt:variant>
        <vt:i4>5</vt:i4>
      </vt:variant>
      <vt:variant>
        <vt:lpwstr>https://pubmed.ncbi.nlm.nih.gov/31292109/</vt:lpwstr>
      </vt:variant>
      <vt:variant>
        <vt:lpwstr/>
      </vt:variant>
      <vt:variant>
        <vt:i4>7602300</vt:i4>
      </vt:variant>
      <vt:variant>
        <vt:i4>51</vt:i4>
      </vt:variant>
      <vt:variant>
        <vt:i4>0</vt:i4>
      </vt:variant>
      <vt:variant>
        <vt:i4>5</vt:i4>
      </vt:variant>
      <vt:variant>
        <vt:lpwstr>https://www.bmj.com/content/380/bmj-2022-071710</vt:lpwstr>
      </vt:variant>
      <vt:variant>
        <vt:lpwstr/>
      </vt:variant>
      <vt:variant>
        <vt:i4>3211303</vt:i4>
      </vt:variant>
      <vt:variant>
        <vt:i4>48</vt:i4>
      </vt:variant>
      <vt:variant>
        <vt:i4>0</vt:i4>
      </vt:variant>
      <vt:variant>
        <vt:i4>5</vt:i4>
      </vt:variant>
      <vt:variant>
        <vt:lpwstr>https://www.statista.com/statistics/265100/us-pharmaceutical-industry-spending-on-research-and-development-since-1990/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https://www.ncbi.nlm.nih.gov/books/NBK587835/</vt:lpwstr>
      </vt:variant>
      <vt:variant>
        <vt:lpwstr/>
      </vt:variant>
      <vt:variant>
        <vt:i4>2687100</vt:i4>
      </vt:variant>
      <vt:variant>
        <vt:i4>42</vt:i4>
      </vt:variant>
      <vt:variant>
        <vt:i4>0</vt:i4>
      </vt:variant>
      <vt:variant>
        <vt:i4>5</vt:i4>
      </vt:variant>
      <vt:variant>
        <vt:lpwstr>https://equityhealthj.biomedcentral.com/articles/10.1186/s12939-019-0958-6</vt:lpwstr>
      </vt:variant>
      <vt:variant>
        <vt:lpwstr/>
      </vt:variant>
      <vt:variant>
        <vt:i4>1441792</vt:i4>
      </vt:variant>
      <vt:variant>
        <vt:i4>39</vt:i4>
      </vt:variant>
      <vt:variant>
        <vt:i4>0</vt:i4>
      </vt:variant>
      <vt:variant>
        <vt:i4>5</vt:i4>
      </vt:variant>
      <vt:variant>
        <vt:lpwstr>https://www.reder162012.org/informes/</vt:lpwstr>
      </vt:variant>
      <vt:variant>
        <vt:lpwstr/>
      </vt:variant>
      <vt:variant>
        <vt:i4>4718597</vt:i4>
      </vt:variant>
      <vt:variant>
        <vt:i4>36</vt:i4>
      </vt:variant>
      <vt:variant>
        <vt:i4>0</vt:i4>
      </vt:variant>
      <vt:variant>
        <vt:i4>5</vt:i4>
      </vt:variant>
      <vt:variant>
        <vt:lpwstr>https://www.who.int/publications/i/item/promoting-innovation-and-access-to-quality-safe-efficacious-and-affordable-medicines-for-children</vt:lpwstr>
      </vt:variant>
      <vt:variant>
        <vt:lpwstr/>
      </vt:variant>
      <vt:variant>
        <vt:i4>2818157</vt:i4>
      </vt:variant>
      <vt:variant>
        <vt:i4>33</vt:i4>
      </vt:variant>
      <vt:variant>
        <vt:i4>0</vt:i4>
      </vt:variant>
      <vt:variant>
        <vt:i4>5</vt:i4>
      </vt:variant>
      <vt:variant>
        <vt:lpwstr>https://tropmedhealth.biomedcentral.com/articles/10.1186/s41182-021-00394-0</vt:lpwstr>
      </vt:variant>
      <vt:variant>
        <vt:lpwstr/>
      </vt:variant>
      <vt:variant>
        <vt:i4>1900612</vt:i4>
      </vt:variant>
      <vt:variant>
        <vt:i4>30</vt:i4>
      </vt:variant>
      <vt:variant>
        <vt:i4>0</vt:i4>
      </vt:variant>
      <vt:variant>
        <vt:i4>5</vt:i4>
      </vt:variant>
      <vt:variant>
        <vt:lpwstr>https://www.ncbi.nlm.nih.gov/pmc/articles/PMC9272166/</vt:lpwstr>
      </vt:variant>
      <vt:variant>
        <vt:lpwstr/>
      </vt:variant>
      <vt:variant>
        <vt:i4>327727</vt:i4>
      </vt:variant>
      <vt:variant>
        <vt:i4>27</vt:i4>
      </vt:variant>
      <vt:variant>
        <vt:i4>0</vt:i4>
      </vt:variant>
      <vt:variant>
        <vt:i4>5</vt:i4>
      </vt:variant>
      <vt:variant>
        <vt:lpwstr>https://saludporderecho.org/wp-content/uploads/2022/11/Documento_Politico_A2M_SxD_181022_ES.pdf</vt:lpwstr>
      </vt:variant>
      <vt:variant>
        <vt:lpwstr/>
      </vt:variant>
      <vt:variant>
        <vt:i4>1310786</vt:i4>
      </vt:variant>
      <vt:variant>
        <vt:i4>24</vt:i4>
      </vt:variant>
      <vt:variant>
        <vt:i4>0</vt:i4>
      </vt:variant>
      <vt:variant>
        <vt:i4>5</vt:i4>
      </vt:variant>
      <vt:variant>
        <vt:lpwstr>https://www.ncbi.nlm.nih.gov/pmc/articles/PMC6958714/</vt:lpwstr>
      </vt:variant>
      <vt:variant>
        <vt:lpwstr/>
      </vt:variant>
      <vt:variant>
        <vt:i4>5439494</vt:i4>
      </vt:variant>
      <vt:variant>
        <vt:i4>21</vt:i4>
      </vt:variant>
      <vt:variant>
        <vt:i4>0</vt:i4>
      </vt:variant>
      <vt:variant>
        <vt:i4>5</vt:i4>
      </vt:variant>
      <vt:variant>
        <vt:lpwstr>https://saludporderecho.org/el-nuevo-acuerdo-de-prevencion-y-preparacion-frente-a-pandemias-es-insuficiente/</vt:lpwstr>
      </vt:variant>
      <vt:variant>
        <vt:lpwstr/>
      </vt:variant>
      <vt:variant>
        <vt:i4>3080228</vt:i4>
      </vt:variant>
      <vt:variant>
        <vt:i4>18</vt:i4>
      </vt:variant>
      <vt:variant>
        <vt:i4>0</vt:i4>
      </vt:variant>
      <vt:variant>
        <vt:i4>5</vt:i4>
      </vt:variant>
      <vt:variant>
        <vt:lpwstr>https://www.ncbi.nlm.nih.gov/pmc/articles/PMC9563227/</vt:lpwstr>
      </vt:variant>
      <vt:variant>
        <vt:lpwstr>B1.</vt:lpwstr>
      </vt:variant>
      <vt:variant>
        <vt:i4>1704008</vt:i4>
      </vt:variant>
      <vt:variant>
        <vt:i4>15</vt:i4>
      </vt:variant>
      <vt:variant>
        <vt:i4>0</vt:i4>
      </vt:variant>
      <vt:variant>
        <vt:i4>5</vt:i4>
      </vt:variant>
      <vt:variant>
        <vt:lpwstr>https://www.ncbi.nlm.nih.gov/pmc/articles/PMC5840629/</vt:lpwstr>
      </vt:variant>
      <vt:variant>
        <vt:lpwstr/>
      </vt:variant>
      <vt:variant>
        <vt:i4>720896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https://pubmed.ncbi.nlm.nih.gov/25104602/</vt:lpwstr>
      </vt:variant>
      <vt:variant>
        <vt:lpwstr/>
      </vt:variant>
      <vt:variant>
        <vt:i4>6291554</vt:i4>
      </vt:variant>
      <vt:variant>
        <vt:i4>9</vt:i4>
      </vt:variant>
      <vt:variant>
        <vt:i4>0</vt:i4>
      </vt:variant>
      <vt:variant>
        <vt:i4>5</vt:i4>
      </vt:variant>
      <vt:variant>
        <vt:lpwstr>https://www.twn.my/title2/health.info/2023/hi230705.htm</vt:lpwstr>
      </vt:variant>
      <vt:variant>
        <vt:lpwstr/>
      </vt:variant>
      <vt:variant>
        <vt:i4>1769500</vt:i4>
      </vt:variant>
      <vt:variant>
        <vt:i4>6</vt:i4>
      </vt:variant>
      <vt:variant>
        <vt:i4>0</vt:i4>
      </vt:variant>
      <vt:variant>
        <vt:i4>5</vt:i4>
      </vt:variant>
      <vt:variant>
        <vt:lpwstr>https://globalizationandhealth.biomedcentral.com/articles/10.1186/s12992-022-00826-4</vt:lpwstr>
      </vt:variant>
      <vt:variant>
        <vt:lpwstr/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https://www.somo.nl/wp-content/uploads/2020/04/Rapport-The-financialisation-of-Big-Pharma-def.pdf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https://pubmed.ncbi.nlm.nih.gov/33966657/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Manzano</dc:creator>
  <cp:keywords/>
  <dc:description/>
  <cp:lastModifiedBy>ESCR</cp:lastModifiedBy>
  <cp:revision>2</cp:revision>
  <dcterms:created xsi:type="dcterms:W3CDTF">2023-12-14T20:24:00Z</dcterms:created>
  <dcterms:modified xsi:type="dcterms:W3CDTF">2023-12-14T20:24:00Z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