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A4B94" w14:textId="1BF3848E" w:rsidR="006B0F55" w:rsidRPr="00CB6B46" w:rsidRDefault="0088326B" w:rsidP="003C49D9">
      <w:pPr>
        <w:pStyle w:val="H1G"/>
        <w:jc w:val="center"/>
        <w:rPr>
          <w:lang w:val="es-CO"/>
        </w:rPr>
      </w:pPr>
      <w:r w:rsidRPr="00CB6B46">
        <w:rPr>
          <w:bCs/>
          <w:lang w:val="es-CO"/>
        </w:rPr>
        <w:t xml:space="preserve">Curriculum Vitae of </w:t>
      </w:r>
      <w:r w:rsidR="00CB6B46" w:rsidRPr="00CB6B46">
        <w:rPr>
          <w:bCs/>
          <w:lang w:val="es-CO"/>
        </w:rPr>
        <w:t xml:space="preserve">Rodrigo Uprimny Yepes </w:t>
      </w:r>
      <w:r w:rsidR="006B0F55" w:rsidRPr="00CB6B46">
        <w:rPr>
          <w:lang w:val="es-CO"/>
        </w:rPr>
        <w:t>(</w:t>
      </w:r>
      <w:r w:rsidR="00CB6B46">
        <w:rPr>
          <w:lang w:val="es-CO"/>
        </w:rPr>
        <w:t>Colombia</w:t>
      </w:r>
      <w:r w:rsidR="006B0F55" w:rsidRPr="00CB6B46">
        <w:rPr>
          <w:lang w:val="es-CO"/>
        </w:rPr>
        <w:t>)</w:t>
      </w: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5085"/>
      </w:tblGrid>
      <w:tr w:rsidR="006B0F55" w:rsidRPr="00BA52FF" w14:paraId="266835B1" w14:textId="77777777" w:rsidTr="00DC720F">
        <w:tc>
          <w:tcPr>
            <w:tcW w:w="2234" w:type="dxa"/>
            <w:shd w:val="clear" w:color="auto" w:fill="auto"/>
          </w:tcPr>
          <w:p w14:paraId="4A426480" w14:textId="77777777" w:rsidR="006B0F55" w:rsidRPr="00BA52FF" w:rsidRDefault="006B0F55" w:rsidP="000A5452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0" w:right="40"/>
              <w:jc w:val="left"/>
            </w:pPr>
            <w:r w:rsidRPr="00CE1B0C">
              <w:t>Date and place of birth:</w:t>
            </w:r>
          </w:p>
        </w:tc>
        <w:tc>
          <w:tcPr>
            <w:tcW w:w="5085" w:type="dxa"/>
            <w:shd w:val="clear" w:color="auto" w:fill="auto"/>
          </w:tcPr>
          <w:p w14:paraId="70166687" w14:textId="2FD0CF79" w:rsidR="006B0F55" w:rsidRPr="00BA52FF" w:rsidRDefault="003C4940" w:rsidP="000A5452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144" w:right="43"/>
              <w:jc w:val="left"/>
            </w:pPr>
            <w:r>
              <w:rPr>
                <w:bCs/>
                <w:lang w:val="en-US"/>
              </w:rPr>
              <w:t>13 April 1959</w:t>
            </w:r>
            <w:r w:rsidR="00AA24AA" w:rsidRPr="00AA24AA">
              <w:rPr>
                <w:bCs/>
                <w:lang w:val="en-US"/>
              </w:rPr>
              <w:t xml:space="preserve">; </w:t>
            </w:r>
            <w:r>
              <w:rPr>
                <w:bCs/>
                <w:lang w:val="en-US"/>
              </w:rPr>
              <w:t xml:space="preserve">Bogotá, Colombia </w:t>
            </w:r>
          </w:p>
        </w:tc>
      </w:tr>
      <w:tr w:rsidR="006B0F55" w:rsidRPr="00BA52FF" w14:paraId="621BF0B0" w14:textId="77777777" w:rsidTr="00DC720F">
        <w:tc>
          <w:tcPr>
            <w:tcW w:w="2234" w:type="dxa"/>
            <w:shd w:val="clear" w:color="auto" w:fill="auto"/>
          </w:tcPr>
          <w:p w14:paraId="06E08977" w14:textId="77777777" w:rsidR="006B0F55" w:rsidRPr="00BA52FF" w:rsidRDefault="006B0F55" w:rsidP="000A5452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0" w:right="40"/>
              <w:jc w:val="left"/>
            </w:pPr>
            <w:r w:rsidRPr="00CE1B0C">
              <w:t>Working languages:</w:t>
            </w:r>
          </w:p>
        </w:tc>
        <w:tc>
          <w:tcPr>
            <w:tcW w:w="5085" w:type="dxa"/>
            <w:shd w:val="clear" w:color="auto" w:fill="auto"/>
          </w:tcPr>
          <w:p w14:paraId="6F065C9D" w14:textId="100D70B0" w:rsidR="006B0F55" w:rsidRPr="00BA52FF" w:rsidRDefault="003C4940" w:rsidP="000A545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line="240" w:lineRule="auto"/>
              <w:ind w:left="191" w:right="40"/>
              <w:jc w:val="left"/>
            </w:pPr>
            <w:r>
              <w:t>Spanish, French and English</w:t>
            </w:r>
          </w:p>
        </w:tc>
      </w:tr>
    </w:tbl>
    <w:p w14:paraId="64ED814D" w14:textId="77777777" w:rsidR="006B0F55" w:rsidRDefault="006B0F55" w:rsidP="000A5452">
      <w:pPr>
        <w:pStyle w:val="H23G"/>
        <w:spacing w:before="0" w:line="240" w:lineRule="auto"/>
      </w:pPr>
      <w:r>
        <w:tab/>
      </w:r>
      <w:r>
        <w:tab/>
      </w:r>
      <w:r w:rsidRPr="006B0F55">
        <w:t xml:space="preserve">Education </w:t>
      </w:r>
    </w:p>
    <w:p w14:paraId="1D05AC74" w14:textId="043BED17" w:rsidR="00E31C40" w:rsidRPr="00E31C40" w:rsidRDefault="00195EC1" w:rsidP="000A5452">
      <w:pPr>
        <w:pStyle w:val="SingleTxtG"/>
        <w:spacing w:after="0" w:line="240" w:lineRule="auto"/>
        <w:ind w:left="2410" w:hanging="1276"/>
        <w:rPr>
          <w:lang w:val="en-US" w:bidi="en-US"/>
        </w:rPr>
      </w:pPr>
      <w:r>
        <w:rPr>
          <w:lang w:val="en-US" w:bidi="en-US"/>
        </w:rPr>
        <w:t>1999</w:t>
      </w:r>
      <w:r w:rsidR="00E31C40" w:rsidRPr="00E31C40">
        <w:rPr>
          <w:lang w:val="en-US" w:bidi="en-US"/>
        </w:rPr>
        <w:tab/>
        <w:t>Postgraduate diplôme</w:t>
      </w:r>
      <w:r w:rsidR="00E31C40">
        <w:rPr>
          <w:lang w:val="en-US" w:bidi="en-US"/>
        </w:rPr>
        <w:t xml:space="preserve"> </w:t>
      </w:r>
      <w:r w:rsidR="00E31C40" w:rsidRPr="00E31C40">
        <w:rPr>
          <w:lang w:val="en-US" w:bidi="en-US"/>
        </w:rPr>
        <w:t>in</w:t>
      </w:r>
      <w:r w:rsidR="00E31C40">
        <w:rPr>
          <w:lang w:val="en-US" w:bidi="en-US"/>
        </w:rPr>
        <w:t xml:space="preserve"> conflict </w:t>
      </w:r>
      <w:r w:rsidR="00E31C40" w:rsidRPr="00E31C40">
        <w:rPr>
          <w:lang w:val="en-US" w:bidi="en-US"/>
        </w:rPr>
        <w:t>resolution</w:t>
      </w:r>
      <w:r w:rsidR="00E31C40">
        <w:rPr>
          <w:lang w:val="en-US" w:bidi="en-US"/>
        </w:rPr>
        <w:t xml:space="preserve">. Uppsala University, Sweden </w:t>
      </w:r>
    </w:p>
    <w:p w14:paraId="0686605C" w14:textId="5CF100F8" w:rsidR="006718B2" w:rsidRPr="00E31C40" w:rsidRDefault="003C4940" w:rsidP="000A5452">
      <w:pPr>
        <w:pStyle w:val="SingleTxtG"/>
        <w:spacing w:after="0" w:line="240" w:lineRule="auto"/>
        <w:ind w:left="2410" w:hanging="1276"/>
        <w:rPr>
          <w:lang w:val="fr-FR" w:bidi="en-US"/>
        </w:rPr>
      </w:pPr>
      <w:r w:rsidRPr="000A5452">
        <w:rPr>
          <w:lang w:val="en-US" w:bidi="en-US"/>
        </w:rPr>
        <w:t>1992</w:t>
      </w:r>
      <w:r w:rsidR="006718B2" w:rsidRPr="000A5452">
        <w:rPr>
          <w:lang w:val="en-US" w:bidi="en-US"/>
        </w:rPr>
        <w:tab/>
      </w:r>
      <w:r w:rsidRPr="000A5452">
        <w:rPr>
          <w:lang w:val="en-US" w:bidi="en-US"/>
        </w:rPr>
        <w:t>P</w:t>
      </w:r>
      <w:r w:rsidR="00E31C40" w:rsidRPr="000A5452">
        <w:rPr>
          <w:lang w:val="en-US" w:bidi="en-US"/>
        </w:rPr>
        <w:t>hD in E</w:t>
      </w:r>
      <w:r w:rsidRPr="000A5452">
        <w:rPr>
          <w:lang w:val="en-US" w:bidi="en-US"/>
        </w:rPr>
        <w:t>conomics, Université Jules Verne</w:t>
      </w:r>
      <w:r w:rsidR="00E31C40" w:rsidRPr="000A5452">
        <w:rPr>
          <w:lang w:val="en-US" w:bidi="en-US"/>
        </w:rPr>
        <w:t xml:space="preserve">. </w:t>
      </w:r>
      <w:r w:rsidR="00E31C40">
        <w:rPr>
          <w:lang w:val="fr-FR" w:bidi="en-US"/>
        </w:rPr>
        <w:t>Amiens, France</w:t>
      </w:r>
      <w:r w:rsidRPr="00E31C40">
        <w:rPr>
          <w:lang w:val="fr-FR" w:bidi="en-US"/>
        </w:rPr>
        <w:t xml:space="preserve"> </w:t>
      </w:r>
    </w:p>
    <w:p w14:paraId="6C2B66C9" w14:textId="796D2926" w:rsidR="006718B2" w:rsidRPr="000A5452" w:rsidRDefault="003C4940" w:rsidP="000A5452">
      <w:pPr>
        <w:pStyle w:val="SingleTxtG"/>
        <w:spacing w:after="0" w:line="240" w:lineRule="auto"/>
        <w:ind w:left="2410" w:hanging="1276"/>
        <w:rPr>
          <w:lang w:val="en-US" w:bidi="en-US"/>
        </w:rPr>
      </w:pPr>
      <w:r w:rsidRPr="00E31C40">
        <w:rPr>
          <w:lang w:val="fr-FR" w:bidi="en-US"/>
        </w:rPr>
        <w:t>1986</w:t>
      </w:r>
      <w:r w:rsidR="006718B2" w:rsidRPr="00E31C40">
        <w:rPr>
          <w:lang w:val="fr-FR" w:bidi="en-US"/>
        </w:rPr>
        <w:tab/>
      </w:r>
      <w:r w:rsidRPr="00E31C40">
        <w:rPr>
          <w:lang w:val="fr-FR" w:bidi="en-US"/>
        </w:rPr>
        <w:t>Master (DEA) in Sociology of Development Université Paris I (Institut d´Etudes du Development Economique et  Social IEDES)</w:t>
      </w:r>
      <w:r w:rsidR="00E31C40">
        <w:rPr>
          <w:lang w:val="fr-FR" w:bidi="en-US"/>
        </w:rPr>
        <w:t xml:space="preserve">. </w:t>
      </w:r>
      <w:r w:rsidR="00E31C40" w:rsidRPr="000A5452">
        <w:rPr>
          <w:lang w:val="en-US" w:bidi="en-US"/>
        </w:rPr>
        <w:t>France</w:t>
      </w:r>
      <w:r w:rsidRPr="000A5452">
        <w:rPr>
          <w:lang w:val="en-US" w:bidi="en-US"/>
        </w:rPr>
        <w:t xml:space="preserve"> </w:t>
      </w:r>
    </w:p>
    <w:p w14:paraId="58132428" w14:textId="6BD08266" w:rsidR="006718B2" w:rsidRPr="000A5452" w:rsidRDefault="003C4940" w:rsidP="000A5452">
      <w:pPr>
        <w:pStyle w:val="SingleTxtG"/>
        <w:spacing w:after="0" w:line="240" w:lineRule="auto"/>
        <w:ind w:left="2410" w:hanging="1276"/>
        <w:rPr>
          <w:lang w:val="en-US" w:bidi="en-US"/>
        </w:rPr>
      </w:pPr>
      <w:r w:rsidRPr="000A5452">
        <w:rPr>
          <w:lang w:val="en-US" w:bidi="en-US"/>
        </w:rPr>
        <w:t>1984</w:t>
      </w:r>
      <w:r w:rsidR="006718B2" w:rsidRPr="000A5452">
        <w:rPr>
          <w:lang w:val="en-US" w:bidi="en-US"/>
        </w:rPr>
        <w:tab/>
      </w:r>
      <w:r w:rsidR="00E31C40" w:rsidRPr="000A5452">
        <w:rPr>
          <w:lang w:val="en-US" w:bidi="en-US"/>
        </w:rPr>
        <w:t xml:space="preserve">Bachelor in Law. Universidad Externado de </w:t>
      </w:r>
      <w:r w:rsidRPr="000A5452">
        <w:rPr>
          <w:lang w:val="en-US" w:bidi="en-US"/>
        </w:rPr>
        <w:t>Colombia</w:t>
      </w:r>
      <w:r w:rsidR="00E31C40" w:rsidRPr="000A5452">
        <w:rPr>
          <w:lang w:val="en-US" w:bidi="en-US"/>
        </w:rPr>
        <w:t>. Colombia</w:t>
      </w:r>
      <w:r w:rsidRPr="000A5452">
        <w:rPr>
          <w:lang w:val="en-US" w:bidi="en-US"/>
        </w:rPr>
        <w:t xml:space="preserve"> </w:t>
      </w:r>
    </w:p>
    <w:p w14:paraId="6EA0FA8C" w14:textId="77777777" w:rsidR="003C4940" w:rsidRPr="000A5452" w:rsidRDefault="003C4940" w:rsidP="000A5452">
      <w:pPr>
        <w:pStyle w:val="SingleTxtG"/>
        <w:spacing w:after="0" w:line="240" w:lineRule="auto"/>
        <w:ind w:left="2410" w:hanging="1276"/>
        <w:rPr>
          <w:lang w:val="en-US" w:bidi="en-US"/>
        </w:rPr>
      </w:pPr>
    </w:p>
    <w:p w14:paraId="4957911C" w14:textId="77777777" w:rsidR="006B0F55" w:rsidRDefault="006B0F55" w:rsidP="000A5452">
      <w:pPr>
        <w:pStyle w:val="H23G"/>
        <w:spacing w:before="0" w:line="240" w:lineRule="auto"/>
      </w:pPr>
      <w:r w:rsidRPr="000A5452">
        <w:rPr>
          <w:lang w:val="en-US"/>
        </w:rPr>
        <w:tab/>
      </w:r>
      <w:r w:rsidRPr="000A5452">
        <w:rPr>
          <w:lang w:val="en-US"/>
        </w:rPr>
        <w:tab/>
      </w:r>
      <w:r>
        <w:t>Professional activities</w:t>
      </w:r>
    </w:p>
    <w:p w14:paraId="6389919D" w14:textId="21CB0543" w:rsidR="006718B2" w:rsidRPr="006718B2" w:rsidRDefault="00E31C40" w:rsidP="000A5452">
      <w:pPr>
        <w:pStyle w:val="SingleTxtG"/>
        <w:spacing w:after="0" w:line="240" w:lineRule="auto"/>
        <w:ind w:left="3005" w:hanging="1871"/>
        <w:rPr>
          <w:lang w:bidi="en-US"/>
        </w:rPr>
      </w:pPr>
      <w:r>
        <w:rPr>
          <w:lang w:bidi="en-US"/>
        </w:rPr>
        <w:t>01</w:t>
      </w:r>
      <w:r w:rsidR="006718B2" w:rsidRPr="006718B2">
        <w:rPr>
          <w:lang w:bidi="en-US"/>
        </w:rPr>
        <w:t>/</w:t>
      </w:r>
      <w:r>
        <w:rPr>
          <w:lang w:bidi="en-US"/>
        </w:rPr>
        <w:t>1988</w:t>
      </w:r>
      <w:r w:rsidR="006718B2" w:rsidRPr="006718B2">
        <w:rPr>
          <w:lang w:bidi="en-US"/>
        </w:rPr>
        <w:t>–</w:t>
      </w:r>
      <w:r w:rsidR="003C4940">
        <w:rPr>
          <w:lang w:bidi="en-US"/>
        </w:rPr>
        <w:t xml:space="preserve"> </w:t>
      </w:r>
      <w:r>
        <w:rPr>
          <w:lang w:bidi="en-US"/>
        </w:rPr>
        <w:t>01/1994</w:t>
      </w:r>
      <w:r w:rsidR="006718B2" w:rsidRPr="006718B2">
        <w:rPr>
          <w:lang w:bidi="en-US"/>
        </w:rPr>
        <w:tab/>
      </w:r>
      <w:r>
        <w:rPr>
          <w:lang w:bidi="en-US"/>
        </w:rPr>
        <w:t>La</w:t>
      </w:r>
      <w:r w:rsidR="0062614A">
        <w:rPr>
          <w:lang w:bidi="en-US"/>
        </w:rPr>
        <w:t>wyer and researcher at the Colo</w:t>
      </w:r>
      <w:r>
        <w:rPr>
          <w:lang w:bidi="en-US"/>
        </w:rPr>
        <w:t xml:space="preserve">mbian Commission of Jurists in Bogotá </w:t>
      </w:r>
    </w:p>
    <w:p w14:paraId="2FA41658" w14:textId="0606AA68" w:rsidR="006718B2" w:rsidRPr="006718B2" w:rsidRDefault="00E31C40" w:rsidP="000A5452">
      <w:pPr>
        <w:pStyle w:val="SingleTxtG"/>
        <w:spacing w:after="0" w:line="240" w:lineRule="auto"/>
        <w:ind w:left="3005" w:hanging="1871"/>
        <w:rPr>
          <w:lang w:bidi="en-US"/>
        </w:rPr>
      </w:pPr>
      <w:r>
        <w:rPr>
          <w:lang w:bidi="en-US"/>
        </w:rPr>
        <w:t>01/1994</w:t>
      </w:r>
      <w:r w:rsidR="006718B2" w:rsidRPr="006718B2">
        <w:rPr>
          <w:lang w:bidi="en-US"/>
        </w:rPr>
        <w:t xml:space="preserve"> –</w:t>
      </w:r>
      <w:r w:rsidR="006718B2">
        <w:rPr>
          <w:lang w:bidi="en-US"/>
        </w:rPr>
        <w:t xml:space="preserve"> </w:t>
      </w:r>
      <w:r>
        <w:rPr>
          <w:lang w:bidi="en-US"/>
        </w:rPr>
        <w:t>01/2005</w:t>
      </w:r>
      <w:r w:rsidR="006718B2" w:rsidRPr="006718B2">
        <w:rPr>
          <w:lang w:bidi="en-US"/>
        </w:rPr>
        <w:tab/>
      </w:r>
      <w:r>
        <w:rPr>
          <w:lang w:bidi="en-US"/>
        </w:rPr>
        <w:t xml:space="preserve">Deputy Justice at the Colombian Constitutional Court </w:t>
      </w:r>
    </w:p>
    <w:p w14:paraId="44F9ED6F" w14:textId="20D00C2C" w:rsidR="006718B2" w:rsidRDefault="0062614A" w:rsidP="000A5452">
      <w:pPr>
        <w:pStyle w:val="SingleTxtG"/>
        <w:spacing w:after="0" w:line="240" w:lineRule="auto"/>
        <w:ind w:left="3005" w:hanging="1871"/>
        <w:rPr>
          <w:lang w:bidi="en-US"/>
        </w:rPr>
      </w:pPr>
      <w:r>
        <w:rPr>
          <w:lang w:bidi="en-US"/>
        </w:rPr>
        <w:t>2011</w:t>
      </w:r>
      <w:r w:rsidR="006718B2" w:rsidRPr="006718B2">
        <w:rPr>
          <w:lang w:bidi="en-US"/>
        </w:rPr>
        <w:t xml:space="preserve"> – </w:t>
      </w:r>
      <w:r>
        <w:rPr>
          <w:lang w:bidi="en-US"/>
        </w:rPr>
        <w:t>2013</w:t>
      </w:r>
      <w:r w:rsidR="006718B2" w:rsidRPr="006718B2">
        <w:rPr>
          <w:lang w:bidi="en-US"/>
        </w:rPr>
        <w:tab/>
      </w:r>
      <w:r>
        <w:rPr>
          <w:lang w:bidi="en-US"/>
        </w:rPr>
        <w:t xml:space="preserve">Member of the Advisory Committee on Criminal Policy. Colombia </w:t>
      </w:r>
    </w:p>
    <w:p w14:paraId="6F19505B" w14:textId="26DAA939" w:rsidR="0062614A" w:rsidRPr="006718B2" w:rsidRDefault="0062614A" w:rsidP="000A5452">
      <w:pPr>
        <w:pStyle w:val="SingleTxtG"/>
        <w:spacing w:after="0" w:line="240" w:lineRule="auto"/>
        <w:ind w:left="3005" w:hanging="1871"/>
        <w:rPr>
          <w:lang w:bidi="en-US"/>
        </w:rPr>
      </w:pPr>
      <w:r>
        <w:rPr>
          <w:lang w:bidi="en-US"/>
        </w:rPr>
        <w:t>06/2009- 09/2009      Visiting professor of the UNESCO Chair in Education for Peace, Human Rights and Democracy at the University of Utrecht in  the Netherlands.</w:t>
      </w:r>
    </w:p>
    <w:p w14:paraId="43168F65" w14:textId="0A2601A2" w:rsidR="006718B2" w:rsidRPr="006718B2" w:rsidRDefault="0062614A" w:rsidP="000A5452">
      <w:pPr>
        <w:pStyle w:val="SingleTxtG"/>
        <w:spacing w:after="0" w:line="240" w:lineRule="auto"/>
        <w:ind w:left="3005" w:hanging="1871"/>
        <w:rPr>
          <w:lang w:bidi="en-US"/>
        </w:rPr>
      </w:pPr>
      <w:r>
        <w:rPr>
          <w:lang w:bidi="en-US"/>
        </w:rPr>
        <w:t>2015  - 2022</w:t>
      </w:r>
      <w:r w:rsidR="006718B2" w:rsidRPr="006718B2">
        <w:rPr>
          <w:lang w:bidi="en-US"/>
        </w:rPr>
        <w:tab/>
      </w:r>
      <w:r>
        <w:rPr>
          <w:lang w:bidi="en-US"/>
        </w:rPr>
        <w:t xml:space="preserve">Member  of the United Nations Committee on Economic, Social and Cultural Rights </w:t>
      </w:r>
    </w:p>
    <w:p w14:paraId="5387E7E3" w14:textId="4B65FA6C" w:rsidR="006718B2" w:rsidRPr="006718B2" w:rsidRDefault="006718B2" w:rsidP="000A5452">
      <w:pPr>
        <w:pStyle w:val="SingleTxtG"/>
        <w:spacing w:after="0" w:line="240" w:lineRule="auto"/>
        <w:ind w:left="3005" w:hanging="1871"/>
        <w:rPr>
          <w:lang w:bidi="en-US"/>
        </w:rPr>
      </w:pPr>
      <w:r w:rsidRPr="006718B2">
        <w:rPr>
          <w:lang w:bidi="en-US"/>
        </w:rPr>
        <w:t xml:space="preserve">2006 </w:t>
      </w:r>
      <w:r w:rsidR="0062614A">
        <w:rPr>
          <w:lang w:bidi="en-US"/>
        </w:rPr>
        <w:t xml:space="preserve"> till 2022</w:t>
      </w:r>
      <w:r w:rsidRPr="006718B2">
        <w:rPr>
          <w:lang w:bidi="en-US"/>
        </w:rPr>
        <w:tab/>
      </w:r>
      <w:r w:rsidR="0062614A">
        <w:rPr>
          <w:lang w:bidi="en-US"/>
        </w:rPr>
        <w:t>Visting professor at the Human Rights Academy of the American Univers</w:t>
      </w:r>
      <w:r w:rsidR="001A643E">
        <w:rPr>
          <w:lang w:bidi="en-US"/>
        </w:rPr>
        <w:t>i</w:t>
      </w:r>
      <w:r w:rsidR="0062614A">
        <w:rPr>
          <w:lang w:bidi="en-US"/>
        </w:rPr>
        <w:t xml:space="preserve">ty, Washington DC, United States </w:t>
      </w:r>
    </w:p>
    <w:p w14:paraId="7DBCE16A" w14:textId="231708E7" w:rsidR="004E0E09" w:rsidRPr="0030228A" w:rsidRDefault="006B0F55" w:rsidP="000A5452">
      <w:pPr>
        <w:pStyle w:val="H23G"/>
        <w:spacing w:before="0" w:line="240" w:lineRule="auto"/>
        <w:rPr>
          <w:lang w:val="en-US"/>
        </w:rPr>
      </w:pPr>
      <w:r>
        <w:tab/>
      </w:r>
      <w:r>
        <w:tab/>
        <w:t>Current position(s)</w:t>
      </w:r>
    </w:p>
    <w:p w14:paraId="350645D5" w14:textId="68109954" w:rsidR="004E0E09" w:rsidRPr="00910E40" w:rsidRDefault="00E31C40" w:rsidP="000A5452">
      <w:pPr>
        <w:pStyle w:val="SingleTxtG"/>
        <w:spacing w:after="0" w:line="240" w:lineRule="auto"/>
        <w:ind w:left="2977" w:hanging="1843"/>
      </w:pPr>
      <w:r>
        <w:rPr>
          <w:lang w:bidi="en-US"/>
        </w:rPr>
        <w:t>07</w:t>
      </w:r>
      <w:r w:rsidR="004E0E09" w:rsidRPr="002F3185">
        <w:rPr>
          <w:lang w:bidi="en-US"/>
        </w:rPr>
        <w:t>/</w:t>
      </w:r>
      <w:r>
        <w:rPr>
          <w:lang w:bidi="en-US"/>
        </w:rPr>
        <w:t>1993 till present:</w:t>
      </w:r>
      <w:r>
        <w:rPr>
          <w:lang w:bidi="en-US"/>
        </w:rPr>
        <w:tab/>
        <w:t xml:space="preserve">Professor at the Faculty of Law. Universidad Nacional de Colombia </w:t>
      </w:r>
    </w:p>
    <w:p w14:paraId="25E9B226" w14:textId="5FD724D3" w:rsidR="004E0E09" w:rsidRPr="00910E40" w:rsidRDefault="00E31C40" w:rsidP="000A5452">
      <w:pPr>
        <w:pStyle w:val="SingleTxtG"/>
        <w:spacing w:after="0" w:line="240" w:lineRule="auto"/>
        <w:ind w:left="2977" w:hanging="1843"/>
        <w:rPr>
          <w:lang w:val="en-US" w:bidi="en-US"/>
        </w:rPr>
      </w:pPr>
      <w:r>
        <w:rPr>
          <w:lang w:bidi="en-US"/>
        </w:rPr>
        <w:t>01</w:t>
      </w:r>
      <w:r w:rsidR="00C042A1">
        <w:rPr>
          <w:lang w:bidi="en-US"/>
        </w:rPr>
        <w:t>/</w:t>
      </w:r>
      <w:r>
        <w:rPr>
          <w:lang w:bidi="en-US"/>
        </w:rPr>
        <w:t>2005 till present:</w:t>
      </w:r>
      <w:r w:rsidR="004E0E09" w:rsidRPr="00910E40">
        <w:rPr>
          <w:lang w:bidi="en-US"/>
        </w:rPr>
        <w:tab/>
        <w:t xml:space="preserve">Member </w:t>
      </w:r>
      <w:r>
        <w:rPr>
          <w:lang w:bidi="en-US"/>
        </w:rPr>
        <w:t xml:space="preserve">and senior researcher at the Center of Studies on Law, Justice and Society, Dejusticia, in  Colombia </w:t>
      </w:r>
    </w:p>
    <w:p w14:paraId="557B554E" w14:textId="0CBC6C2C" w:rsidR="0062614A" w:rsidRPr="00910E40" w:rsidRDefault="0062614A" w:rsidP="000A5452">
      <w:pPr>
        <w:pStyle w:val="SingleTxtG"/>
        <w:spacing w:after="0" w:line="240" w:lineRule="auto"/>
        <w:ind w:left="2977" w:hanging="1843"/>
        <w:rPr>
          <w:lang w:val="en-US" w:bidi="en-US"/>
        </w:rPr>
      </w:pPr>
      <w:r>
        <w:rPr>
          <w:lang w:bidi="en-US"/>
        </w:rPr>
        <w:t>01/2015 till present:</w:t>
      </w:r>
      <w:r w:rsidRPr="00910E40">
        <w:rPr>
          <w:lang w:bidi="en-US"/>
        </w:rPr>
        <w:tab/>
        <w:t xml:space="preserve">Member </w:t>
      </w:r>
      <w:r>
        <w:rPr>
          <w:lang w:bidi="en-US"/>
        </w:rPr>
        <w:t xml:space="preserve">of the International Commission of Jurists </w:t>
      </w:r>
    </w:p>
    <w:p w14:paraId="2DC5262B" w14:textId="77777777" w:rsidR="0084116C" w:rsidRDefault="00910E40" w:rsidP="000A5452">
      <w:pPr>
        <w:pStyle w:val="H23G"/>
        <w:spacing w:before="0"/>
        <w:ind w:left="360" w:firstLine="0"/>
      </w:pPr>
      <w:r>
        <w:tab/>
      </w:r>
      <w:r>
        <w:tab/>
      </w:r>
      <w:r>
        <w:rPr>
          <w:lang w:val="az-Latn-AZ"/>
        </w:rPr>
        <w:t>Publication</w:t>
      </w:r>
      <w:r>
        <w:t>s</w:t>
      </w:r>
    </w:p>
    <w:p w14:paraId="06D89DD8" w14:textId="4DB3468C" w:rsidR="00002970" w:rsidRPr="007B7E65" w:rsidRDefault="0084116C" w:rsidP="000A5452">
      <w:pPr>
        <w:pStyle w:val="SingleTxtG"/>
        <w:rPr>
          <w:sz w:val="22"/>
          <w:szCs w:val="22"/>
          <w:lang w:val="en-US"/>
        </w:rPr>
      </w:pPr>
      <w:r>
        <w:t>A</w:t>
      </w:r>
      <w:r w:rsidRPr="00F7417C">
        <w:rPr>
          <w:lang w:val="en-US"/>
        </w:rPr>
        <w:t xml:space="preserve">uthor </w:t>
      </w:r>
      <w:r w:rsidRPr="00F7417C">
        <w:rPr>
          <w:color w:val="333333"/>
          <w:lang w:val="en-US"/>
        </w:rPr>
        <w:t xml:space="preserve">of numerous books and articles on human rights, constitutional law, ESCR, and transitional justice. </w:t>
      </w:r>
      <w:r w:rsidRPr="00F7417C">
        <w:rPr>
          <w:lang w:val="en-US"/>
        </w:rPr>
        <w:t xml:space="preserve">Some of his publications from the past </w:t>
      </w:r>
      <w:r>
        <w:rPr>
          <w:lang w:val="en-US"/>
        </w:rPr>
        <w:t xml:space="preserve">fifteen </w:t>
      </w:r>
      <w:r w:rsidRPr="00F7417C">
        <w:rPr>
          <w:lang w:val="en-US"/>
        </w:rPr>
        <w:t>years related to ESCR include</w:t>
      </w:r>
      <w:r>
        <w:rPr>
          <w:lang w:val="en-US"/>
        </w:rPr>
        <w:t>:</w:t>
      </w:r>
      <w:r w:rsidRPr="00055DB4">
        <w:rPr>
          <w:lang w:bidi="en-US"/>
        </w:rPr>
        <w:t xml:space="preserve"> </w:t>
      </w:r>
    </w:p>
    <w:p w14:paraId="188019B2" w14:textId="30B37C4A" w:rsidR="00002970" w:rsidRPr="00564511" w:rsidRDefault="00002970" w:rsidP="00604BA3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n-US"/>
        </w:rPr>
        <w:t xml:space="preserve"> “The Constitutional Court and Control of Presidential Extraordinary Powers in Colombia” in Siri Gloppen, Roberto Gargarella and Elin Skaar (Eds). </w:t>
      </w:r>
      <w:r w:rsidRPr="00564511">
        <w:rPr>
          <w:i/>
          <w:lang w:val="en-US"/>
        </w:rPr>
        <w:t>Democratization and the Judiciary</w:t>
      </w:r>
      <w:r w:rsidRPr="00564511">
        <w:rPr>
          <w:iCs/>
          <w:lang w:val="en-US"/>
        </w:rPr>
        <w:t xml:space="preserve">: London, Frank Cass, 2003. </w:t>
      </w:r>
      <w:r w:rsidRPr="00564511">
        <w:rPr>
          <w:lang w:val="en-US"/>
        </w:rPr>
        <w:t xml:space="preserve"> </w:t>
      </w:r>
      <w:r w:rsidRPr="00564511">
        <w:rPr>
          <w:lang w:val="es-CO"/>
        </w:rPr>
        <w:t xml:space="preserve"> </w:t>
      </w:r>
    </w:p>
    <w:p w14:paraId="05667631" w14:textId="77777777" w:rsidR="00002970" w:rsidRPr="00564511" w:rsidRDefault="00002970" w:rsidP="000A5452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n-US"/>
        </w:rPr>
        <w:t xml:space="preserve">Co-author with César Rodríguez and Mauricio García “Justice and Society in Colombia: A Sociological Analysis of Colombian Courts” in Lawrence Friedman and Rogelio Pérez-Perdomo (Eds) </w:t>
      </w:r>
      <w:r w:rsidRPr="00564511">
        <w:rPr>
          <w:i/>
          <w:iCs/>
          <w:lang w:val="en-US"/>
        </w:rPr>
        <w:t>Legal Culture in the Age of Globalization</w:t>
      </w:r>
      <w:r w:rsidRPr="00564511">
        <w:rPr>
          <w:lang w:val="en-US"/>
        </w:rPr>
        <w:t xml:space="preserve">. </w:t>
      </w:r>
      <w:r w:rsidRPr="00564511">
        <w:t xml:space="preserve">Stanford, Stanford University Press, 2003. </w:t>
      </w:r>
    </w:p>
    <w:p w14:paraId="46D0F5F0" w14:textId="77777777" w:rsidR="00002970" w:rsidRPr="00564511" w:rsidRDefault="00002970" w:rsidP="000A5452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n-US"/>
        </w:rPr>
        <w:t xml:space="preserve">Co-author with Mauricio García. “The Constitutional Court and Social Emancipation in Colombia” in Boaventura de Sousa Santos. </w:t>
      </w:r>
      <w:r w:rsidRPr="00564511">
        <w:rPr>
          <w:i/>
          <w:lang w:val="en-US"/>
        </w:rPr>
        <w:t>Democratizing Democracy</w:t>
      </w:r>
      <w:r w:rsidRPr="00564511">
        <w:rPr>
          <w:lang w:val="en-US"/>
        </w:rPr>
        <w:t xml:space="preserve">. </w:t>
      </w:r>
      <w:r w:rsidRPr="00564511">
        <w:t xml:space="preserve">London, Verso Vnahanen, 2005.  </w:t>
      </w:r>
    </w:p>
    <w:p w14:paraId="678A0824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s-CO"/>
        </w:rPr>
        <w:t xml:space="preserve">“El rol del sistema judicial colombiano en el ejercicio del derecho a la educación: experiencia, crítica y propuesta” in </w:t>
      </w:r>
      <w:r w:rsidRPr="00564511">
        <w:rPr>
          <w:i/>
          <w:lang w:val="es-CO"/>
        </w:rPr>
        <w:t>El derecho a la educación de niños y niñas en situación de desplazamiento y de extrema pobreza en Colombia</w:t>
      </w:r>
      <w:r w:rsidRPr="00564511">
        <w:rPr>
          <w:lang w:val="es-CO"/>
        </w:rPr>
        <w:t xml:space="preserve">. Bogotá, DPLF, Instituto Pensar, 2005. </w:t>
      </w:r>
    </w:p>
    <w:p w14:paraId="35673441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n-US"/>
        </w:rPr>
        <w:t xml:space="preserve">Co-author with Mauricio García and Cesar Rodríguez. </w:t>
      </w:r>
      <w:r w:rsidRPr="00564511">
        <w:rPr>
          <w:i/>
          <w:lang w:val="es-CO"/>
        </w:rPr>
        <w:t>¿Justicia para todos? Derechos sociales, sistema judicial y democracia en Colombia</w:t>
      </w:r>
      <w:r w:rsidRPr="00564511">
        <w:rPr>
          <w:lang w:val="es-CO"/>
        </w:rPr>
        <w:t xml:space="preserve">. </w:t>
      </w:r>
      <w:r w:rsidRPr="00564511">
        <w:rPr>
          <w:lang w:val="en-US"/>
        </w:rPr>
        <w:t xml:space="preserve">Bogotá, Norma, 2006.  </w:t>
      </w:r>
    </w:p>
    <w:p w14:paraId="534C8006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t xml:space="preserve">“The Enforcement of Social Rights by the Colombian Constitutional Court: Cases and Debates” in </w:t>
      </w:r>
      <w:r w:rsidRPr="00564511">
        <w:rPr>
          <w:color w:val="000000"/>
        </w:rPr>
        <w:t xml:space="preserve">Roberto Gargarella, Pilar Domingo and Theunis Roux (Eds). </w:t>
      </w:r>
      <w:r w:rsidRPr="00564511">
        <w:rPr>
          <w:i/>
          <w:color w:val="000000"/>
        </w:rPr>
        <w:t>Courts and Social Transformation in New Democracies: An Institutional Voice for the Poor</w:t>
      </w:r>
      <w:r w:rsidRPr="00564511">
        <w:rPr>
          <w:color w:val="000000"/>
        </w:rPr>
        <w:t xml:space="preserve">? </w:t>
      </w:r>
      <w:r w:rsidRPr="00564511">
        <w:rPr>
          <w:color w:val="000000"/>
          <w:lang w:val="en-US"/>
        </w:rPr>
        <w:t xml:space="preserve">Ashgate, 2006. </w:t>
      </w:r>
    </w:p>
    <w:p w14:paraId="38D83AED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n-US"/>
        </w:rPr>
        <w:t>“Should Courts Enforce Social Rights? The Experience of the Colombian Constitutional Court” in Fons Coomans</w:t>
      </w:r>
      <w:r w:rsidRPr="00564511" w:rsidDel="00A750EB">
        <w:rPr>
          <w:lang w:val="en-US"/>
        </w:rPr>
        <w:t xml:space="preserve"> </w:t>
      </w:r>
      <w:r w:rsidRPr="00564511">
        <w:rPr>
          <w:lang w:val="en-US"/>
        </w:rPr>
        <w:t xml:space="preserve"> (Ed.), </w:t>
      </w:r>
      <w:r w:rsidRPr="00564511">
        <w:rPr>
          <w:rFonts w:eastAsia="Batang"/>
          <w:i/>
          <w:lang w:val="en-US"/>
        </w:rPr>
        <w:t>Justiciability of Economic and Social Rights: Experiences from Domestic Systems</w:t>
      </w:r>
      <w:r w:rsidRPr="00564511">
        <w:rPr>
          <w:rFonts w:eastAsia="Batang"/>
          <w:lang w:val="en-US"/>
        </w:rPr>
        <w:t xml:space="preserve">. Antwerpen-Oxford, Intersentia, 2006. </w:t>
      </w:r>
    </w:p>
    <w:p w14:paraId="5A595A48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n-US"/>
        </w:rPr>
        <w:t xml:space="preserve">Co-author with Inés Margarita Uprimny and Oscar Parra. </w:t>
      </w:r>
      <w:r w:rsidRPr="00564511">
        <w:rPr>
          <w:i/>
          <w:lang w:val="es-CO"/>
        </w:rPr>
        <w:t>Derechos humanos y derecho internacional humanitario.</w:t>
      </w:r>
      <w:r w:rsidRPr="00564511">
        <w:rPr>
          <w:lang w:val="es-CO"/>
        </w:rPr>
        <w:t xml:space="preserve"> Bogotá, Escuela Judicial Lara Bonilla, Consejo Superior de la Judicatura, 2006.</w:t>
      </w:r>
      <w:r w:rsidRPr="00564511">
        <w:rPr>
          <w:rFonts w:eastAsia="Batang"/>
          <w:lang w:val="es-CO"/>
        </w:rPr>
        <w:t xml:space="preserve"> </w:t>
      </w:r>
    </w:p>
    <w:p w14:paraId="430960B0" w14:textId="40E25A2F" w:rsidR="00002970" w:rsidRPr="00564511" w:rsidRDefault="00564511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1A643E">
        <w:rPr>
          <w:lang w:val="es-CO"/>
        </w:rPr>
        <w:t xml:space="preserve"> </w:t>
      </w:r>
      <w:r w:rsidR="00002970" w:rsidRPr="00564511">
        <w:rPr>
          <w:lang w:val="en-US"/>
        </w:rPr>
        <w:t xml:space="preserve">“Judicialization of Politics in Colombia: Cases, Merits and Risks.” </w:t>
      </w:r>
      <w:r w:rsidR="00002970" w:rsidRPr="00564511">
        <w:rPr>
          <w:i/>
          <w:lang w:val="en-US"/>
        </w:rPr>
        <w:t>Sur – International Journal of Human Rights,</w:t>
      </w:r>
      <w:r w:rsidR="00002970" w:rsidRPr="00564511">
        <w:rPr>
          <w:lang w:val="en-US"/>
        </w:rPr>
        <w:t xml:space="preserve"> 4 (6): 52-69, 2007 </w:t>
      </w:r>
    </w:p>
    <w:p w14:paraId="59CF1FFF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fr-FR"/>
        </w:rPr>
      </w:pPr>
      <w:r w:rsidRPr="00564511">
        <w:rPr>
          <w:lang w:val="fr-FR"/>
        </w:rPr>
        <w:t xml:space="preserve">“La justice au coeur du politique: potentialités et risques d’une judiciarisation en Colombie”, in J. Commaille and M. Kaluszynski (Dir.), in </w:t>
      </w:r>
      <w:r w:rsidRPr="00564511">
        <w:rPr>
          <w:i/>
          <w:lang w:val="fr-FR"/>
        </w:rPr>
        <w:t>La fonction politique de la justice.</w:t>
      </w:r>
      <w:r w:rsidRPr="00564511">
        <w:rPr>
          <w:lang w:val="fr-FR"/>
        </w:rPr>
        <w:t xml:space="preserve"> Paris, La Découverte, 2007. </w:t>
      </w:r>
    </w:p>
    <w:p w14:paraId="7A0B4E3A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s-CO"/>
        </w:rPr>
        <w:t xml:space="preserve">“Aplicación y aplicabilidad del Derecho Internacional de los Derechos Humanos en el ordenamiento interno colombiano: realidades y desafíos” in Antonio José Rengifo Lozano (Comp) </w:t>
      </w:r>
      <w:r w:rsidRPr="00564511">
        <w:rPr>
          <w:i/>
          <w:lang w:val="es-CO"/>
        </w:rPr>
        <w:t>Derecho internacional de los derechos humanos y sistemas internos de protección y reparación</w:t>
      </w:r>
      <w:r w:rsidRPr="00564511">
        <w:rPr>
          <w:lang w:val="es-CO"/>
        </w:rPr>
        <w:t xml:space="preserve">. </w:t>
      </w:r>
      <w:r w:rsidRPr="00564511">
        <w:t>Bogotá, Universidad Nacional, Ministerio de Relaciones Exteriores, 2008</w:t>
      </w:r>
      <w:r w:rsidRPr="00564511">
        <w:rPr>
          <w:rFonts w:eastAsia="Batang"/>
        </w:rPr>
        <w:t xml:space="preserve">. </w:t>
      </w:r>
    </w:p>
    <w:p w14:paraId="1EC50A0C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s-CO"/>
        </w:rPr>
        <w:t>With other co-authors.</w:t>
      </w:r>
      <w:r w:rsidRPr="00564511">
        <w:rPr>
          <w:i/>
          <w:lang w:val="es-CO"/>
        </w:rPr>
        <w:t xml:space="preserve"> El derecho a la salud en perspectiva de derechos humanos</w:t>
      </w:r>
      <w:r w:rsidRPr="00564511">
        <w:rPr>
          <w:lang w:val="es-CO"/>
        </w:rPr>
        <w:t xml:space="preserve">. </w:t>
      </w:r>
      <w:r w:rsidRPr="00564511">
        <w:t>Bogotá, Procuraduría General de la Nación, Dejusticia, 2008.</w:t>
      </w:r>
      <w:r w:rsidRPr="00564511">
        <w:rPr>
          <w:rFonts w:eastAsia="Batang"/>
        </w:rPr>
        <w:t xml:space="preserve"> </w:t>
      </w:r>
    </w:p>
    <w:p w14:paraId="081F3552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s-CO"/>
        </w:rPr>
        <w:lastRenderedPageBreak/>
        <w:t xml:space="preserve">Co-author with Diana Guarnizo “¿Es posible una dogmática adecuada sobre la prohibición de regresividad? Un enfoque desde la jurisprudencia constitucional colombiana” en Eduardo Ferrer Mac-Gregor and Arturo Zaldívar Lelo de Larrea (Coord.). </w:t>
      </w:r>
      <w:r w:rsidRPr="00564511">
        <w:rPr>
          <w:i/>
          <w:lang w:val="es-CO"/>
        </w:rPr>
        <w:t>La ciencia del derecho procesal constitucional. Estudios en homenaje a Héctor Fix-Zamudio en sus cincuenta años como investigador del derecho, T. IV Derechos Fundamentales y tutela constitucional</w:t>
      </w:r>
      <w:r w:rsidRPr="00564511">
        <w:rPr>
          <w:lang w:val="es-CO"/>
        </w:rPr>
        <w:t xml:space="preserve">. </w:t>
      </w:r>
      <w:r w:rsidRPr="00564511">
        <w:rPr>
          <w:lang w:val="en-US"/>
        </w:rPr>
        <w:t>México, UNAM, Instituto de Investigaciones Jurídicas, 2008</w:t>
      </w:r>
      <w:r w:rsidRPr="00564511">
        <w:rPr>
          <w:rFonts w:eastAsia="Batang"/>
          <w:lang w:val="en-US"/>
        </w:rPr>
        <w:t xml:space="preserve">. </w:t>
      </w:r>
    </w:p>
    <w:p w14:paraId="304D3ECA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color w:val="000000"/>
          <w:lang w:val="en-US"/>
        </w:rPr>
        <w:t>“</w:t>
      </w:r>
      <w:r w:rsidRPr="00564511">
        <w:rPr>
          <w:rStyle w:val="yshortcuts"/>
          <w:color w:val="000000"/>
          <w:lang w:val="en-US"/>
        </w:rPr>
        <w:t>Transformative</w:t>
      </w:r>
      <w:r w:rsidRPr="00564511">
        <w:rPr>
          <w:color w:val="000000"/>
          <w:lang w:val="en-US"/>
        </w:rPr>
        <w:t xml:space="preserve"> Reparations of Massive Gross </w:t>
      </w:r>
      <w:r w:rsidRPr="00564511">
        <w:rPr>
          <w:rStyle w:val="yshortcuts"/>
          <w:color w:val="000000"/>
          <w:lang w:val="en-US"/>
        </w:rPr>
        <w:t>Human Rights Violations</w:t>
      </w:r>
      <w:r w:rsidRPr="00564511">
        <w:rPr>
          <w:color w:val="000000"/>
          <w:lang w:val="en-US"/>
        </w:rPr>
        <w:t xml:space="preserve">: Between Corrective and </w:t>
      </w:r>
      <w:r w:rsidRPr="00564511">
        <w:rPr>
          <w:rStyle w:val="yshortcuts"/>
          <w:color w:val="000000"/>
          <w:lang w:val="en-US"/>
        </w:rPr>
        <w:t>Distributive Justice.</w:t>
      </w:r>
      <w:r w:rsidRPr="00564511">
        <w:rPr>
          <w:color w:val="000000"/>
          <w:lang w:val="en-US"/>
        </w:rPr>
        <w:t xml:space="preserve">” </w:t>
      </w:r>
      <w:r w:rsidRPr="00564511">
        <w:rPr>
          <w:i/>
          <w:color w:val="000000"/>
          <w:lang w:val="en-US"/>
        </w:rPr>
        <w:t>Netherlands Quarterly of Human Rights</w:t>
      </w:r>
      <w:r w:rsidRPr="00564511">
        <w:rPr>
          <w:color w:val="000000"/>
          <w:lang w:val="en-US"/>
        </w:rPr>
        <w:t>, 27 (4), 2009</w:t>
      </w:r>
      <w:r w:rsidRPr="00564511">
        <w:rPr>
          <w:rFonts w:eastAsia="Batang"/>
          <w:lang w:val="en-US"/>
        </w:rPr>
        <w:t xml:space="preserve">. </w:t>
      </w:r>
    </w:p>
    <w:p w14:paraId="1E6EA779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n-US"/>
        </w:rPr>
        <w:t xml:space="preserve">Co-author with Maria Paula Saffon. </w:t>
      </w:r>
      <w:r w:rsidRPr="00564511">
        <w:rPr>
          <w:lang w:val="it-IT"/>
        </w:rPr>
        <w:t xml:space="preserve">“Report on Colombia” in Cherif Bassiouni (Ed.) </w:t>
      </w:r>
      <w:r w:rsidRPr="00564511">
        <w:rPr>
          <w:i/>
          <w:lang w:val="en-US"/>
        </w:rPr>
        <w:t>The Pursuit of International Criminal Justice: A World Study on Conflicts, Victimization and Post Conflict Justice</w:t>
      </w:r>
      <w:r w:rsidRPr="00564511">
        <w:rPr>
          <w:lang w:val="en-US"/>
        </w:rPr>
        <w:t>. Antwerp, Intersentia, 2010.</w:t>
      </w:r>
      <w:r w:rsidRPr="00564511">
        <w:rPr>
          <w:rFonts w:eastAsia="Batang"/>
          <w:lang w:val="en-US"/>
        </w:rPr>
        <w:t xml:space="preserve"> </w:t>
      </w:r>
    </w:p>
    <w:p w14:paraId="161B8981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s-CO"/>
        </w:rPr>
        <w:t xml:space="preserve">“Estado social de derecho, derechos económicos, sociales y culturales, y objetivos del milenio: tensiones y complementariedades” in Consuelo Corredor Martínez. </w:t>
      </w:r>
      <w:r w:rsidRPr="00564511">
        <w:rPr>
          <w:i/>
          <w:lang w:val="es-CO"/>
        </w:rPr>
        <w:t>Los Objetivos de Desarrollo del Milenio: un compromiso con los derechos económicos, sociales y culturales.</w:t>
      </w:r>
      <w:r w:rsidRPr="00564511">
        <w:rPr>
          <w:lang w:val="es-CO"/>
        </w:rPr>
        <w:t xml:space="preserve"> </w:t>
      </w:r>
      <w:r w:rsidRPr="00564511">
        <w:t xml:space="preserve">Bogotá, PNUD, Universidad Nacional, 2010. </w:t>
      </w:r>
    </w:p>
    <w:p w14:paraId="3976C459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n-US"/>
        </w:rPr>
        <w:t xml:space="preserve">Co-author with Nelson Camilo Sánchez. </w:t>
      </w:r>
      <w:r w:rsidRPr="00564511">
        <w:rPr>
          <w:lang w:val="es-ES_tradnl"/>
        </w:rPr>
        <w:t xml:space="preserve">“Juzgar y medir. El uso de indicadores de derechos humanos por la Corte Constitucional de </w:t>
      </w:r>
      <w:r w:rsidRPr="00564511">
        <w:rPr>
          <w:rStyle w:val="yshortcuts"/>
          <w:lang w:val="es-ES_tradnl"/>
        </w:rPr>
        <w:t>Colombia</w:t>
      </w:r>
      <w:r w:rsidRPr="00564511">
        <w:rPr>
          <w:lang w:val="es-ES_tradnl"/>
        </w:rPr>
        <w:t>” in Victor Abramovich and Laura Pautassi (</w:t>
      </w:r>
      <w:r w:rsidRPr="00564511">
        <w:rPr>
          <w:rStyle w:val="yshortcuts"/>
          <w:lang w:val="es-ES_tradnl"/>
        </w:rPr>
        <w:t>Eds</w:t>
      </w:r>
      <w:r w:rsidRPr="00564511">
        <w:rPr>
          <w:lang w:val="es-ES_tradnl"/>
        </w:rPr>
        <w:t xml:space="preserve">) </w:t>
      </w:r>
      <w:r w:rsidRPr="00564511">
        <w:rPr>
          <w:i/>
          <w:lang w:val="es-ES_tradnl"/>
        </w:rPr>
        <w:t>La medición de derechos en las políticas sociales</w:t>
      </w:r>
      <w:r w:rsidRPr="00564511">
        <w:rPr>
          <w:lang w:val="es-ES_tradnl"/>
        </w:rPr>
        <w:t xml:space="preserve">. </w:t>
      </w:r>
      <w:r w:rsidRPr="00564511">
        <w:rPr>
          <w:rStyle w:val="yshortcuts"/>
          <w:lang w:val="es-ES_tradnl"/>
        </w:rPr>
        <w:t>Buenos Aires</w:t>
      </w:r>
      <w:r w:rsidRPr="00564511">
        <w:rPr>
          <w:lang w:val="es-ES_tradnl"/>
        </w:rPr>
        <w:t xml:space="preserve">, Editores del Puerto, 2010. </w:t>
      </w:r>
      <w:r w:rsidRPr="00564511">
        <w:rPr>
          <w:rFonts w:eastAsia="Batang"/>
        </w:rPr>
        <w:t xml:space="preserve"> </w:t>
      </w:r>
    </w:p>
    <w:p w14:paraId="1C5763CD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n-US"/>
        </w:rPr>
        <w:t xml:space="preserve">Co-author with Diana Guzmán. </w:t>
      </w:r>
      <w:r w:rsidRPr="00564511">
        <w:rPr>
          <w:lang w:val="es-CO"/>
        </w:rPr>
        <w:t xml:space="preserve">“En búsqueda de un concepto transformador y participativo para las reparaciones en contextos transicionales” </w:t>
      </w:r>
      <w:r w:rsidRPr="00564511">
        <w:rPr>
          <w:rFonts w:eastAsia="Batang"/>
          <w:i/>
          <w:iCs/>
          <w:lang w:val="es-CO" w:eastAsia="ko-KR"/>
        </w:rPr>
        <w:t>International Law - Revista Colombiana de Derecho Internacional</w:t>
      </w:r>
      <w:r w:rsidRPr="00564511">
        <w:rPr>
          <w:rFonts w:eastAsia="Batang"/>
          <w:lang w:val="es-CO" w:eastAsia="ko-KR"/>
        </w:rPr>
        <w:t xml:space="preserve"> 17, 2010.</w:t>
      </w:r>
    </w:p>
    <w:p w14:paraId="5F9C5E4D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shd w:val="clear" w:color="auto" w:fill="FFFFFF"/>
          <w:lang w:val="en-US"/>
        </w:rPr>
        <w:t>“The Recent Transformation of Constitutional Law in Latin America: Trends and Challenges.”</w:t>
      </w:r>
      <w:r w:rsidRPr="00564511">
        <w:rPr>
          <w:rStyle w:val="apple-converted-space"/>
          <w:shd w:val="clear" w:color="auto" w:fill="FFFFFF"/>
          <w:lang w:val="en-US"/>
        </w:rPr>
        <w:t> </w:t>
      </w:r>
      <w:r w:rsidRPr="00564511">
        <w:rPr>
          <w:rStyle w:val="nfasis"/>
          <w:bCs/>
          <w:iCs w:val="0"/>
          <w:shd w:val="clear" w:color="auto" w:fill="FFFFFF"/>
          <w:lang w:val="en-US"/>
        </w:rPr>
        <w:t>Texas</w:t>
      </w:r>
      <w:r w:rsidRPr="00564511">
        <w:rPr>
          <w:rStyle w:val="apple-converted-space"/>
          <w:i/>
          <w:shd w:val="clear" w:color="auto" w:fill="FFFFFF"/>
          <w:lang w:val="en-US"/>
        </w:rPr>
        <w:t> </w:t>
      </w:r>
      <w:r w:rsidRPr="00564511">
        <w:rPr>
          <w:i/>
          <w:shd w:val="clear" w:color="auto" w:fill="FFFFFF"/>
          <w:lang w:val="en-US"/>
        </w:rPr>
        <w:t>Law</w:t>
      </w:r>
      <w:r w:rsidRPr="00564511">
        <w:rPr>
          <w:rStyle w:val="apple-converted-space"/>
          <w:i/>
          <w:shd w:val="clear" w:color="auto" w:fill="FFFFFF"/>
          <w:lang w:val="en-US"/>
        </w:rPr>
        <w:t> </w:t>
      </w:r>
      <w:r w:rsidRPr="00564511">
        <w:rPr>
          <w:rStyle w:val="nfasis"/>
          <w:bCs/>
          <w:iCs w:val="0"/>
          <w:shd w:val="clear" w:color="auto" w:fill="FFFFFF"/>
          <w:lang w:val="en-US"/>
        </w:rPr>
        <w:t>Review</w:t>
      </w:r>
      <w:r w:rsidRPr="00564511">
        <w:rPr>
          <w:rStyle w:val="apple-converted-space"/>
          <w:i/>
          <w:shd w:val="clear" w:color="auto" w:fill="FFFFFF"/>
          <w:lang w:val="en-US"/>
        </w:rPr>
        <w:t> </w:t>
      </w:r>
      <w:r w:rsidRPr="00564511">
        <w:rPr>
          <w:shd w:val="clear" w:color="auto" w:fill="FFFFFF"/>
          <w:lang w:val="en-US"/>
        </w:rPr>
        <w:t>89(7): 1587-1610, 2011.</w:t>
      </w:r>
      <w:r w:rsidRPr="00564511">
        <w:rPr>
          <w:rFonts w:eastAsia="Batang"/>
          <w:lang w:val="en-US"/>
        </w:rPr>
        <w:t xml:space="preserve"> </w:t>
      </w:r>
    </w:p>
    <w:p w14:paraId="0CDA9DF9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n-US"/>
        </w:rPr>
        <w:t xml:space="preserve">Co-author with Luz María Sánchez. </w:t>
      </w:r>
      <w:r w:rsidRPr="00564511">
        <w:rPr>
          <w:lang w:val="es-CO"/>
        </w:rPr>
        <w:t xml:space="preserve">“Los derechos culturales: entre el protagonismo político  y el subdesarrollo jurídico” en Rodrigo Uprimny y Luz María Sánchez (Eds). </w:t>
      </w:r>
      <w:r w:rsidRPr="00564511">
        <w:rPr>
          <w:i/>
          <w:lang w:val="es-CO"/>
        </w:rPr>
        <w:t>Derechos Culturales en la Ciudad</w:t>
      </w:r>
      <w:r w:rsidRPr="00564511">
        <w:rPr>
          <w:lang w:val="es-CO"/>
        </w:rPr>
        <w:t>. Bogotá, Dejusticia, Alcaldía de Bogotá, 2011</w:t>
      </w:r>
      <w:r w:rsidRPr="00564511">
        <w:rPr>
          <w:rFonts w:eastAsia="Batang"/>
          <w:lang w:val="es-CO"/>
        </w:rPr>
        <w:t xml:space="preserve">. </w:t>
      </w:r>
    </w:p>
    <w:p w14:paraId="39EAFF72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n-US"/>
        </w:rPr>
        <w:t xml:space="preserve">Co-author with Luz María Sánchez. </w:t>
      </w:r>
      <w:r w:rsidRPr="00564511">
        <w:rPr>
          <w:lang w:val="es-CO"/>
        </w:rPr>
        <w:t xml:space="preserve">“Constitución de 1991, justicia constitucional y cambio democrático: un balance dos décadas después” in </w:t>
      </w:r>
      <w:r w:rsidRPr="00564511">
        <w:rPr>
          <w:i/>
          <w:lang w:val="es-CO"/>
        </w:rPr>
        <w:t>Cahiers des Amériques Latines</w:t>
      </w:r>
      <w:r w:rsidRPr="00564511">
        <w:rPr>
          <w:lang w:val="es-CO"/>
        </w:rPr>
        <w:t xml:space="preserve"> 71, 2013.</w:t>
      </w:r>
    </w:p>
    <w:p w14:paraId="075695C7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s-CO"/>
        </w:rPr>
      </w:pPr>
      <w:r w:rsidRPr="00564511">
        <w:rPr>
          <w:lang w:val="es-CO"/>
        </w:rPr>
        <w:t xml:space="preserve">Estado de derecho en </w:t>
      </w:r>
      <w:r w:rsidRPr="00564511">
        <w:rPr>
          <w:bCs/>
          <w:i/>
          <w:lang w:val="es-CO"/>
        </w:rPr>
        <w:t>Eunomía, Revista en cultura de la legalidad</w:t>
      </w:r>
      <w:r w:rsidRPr="00564511">
        <w:rPr>
          <w:bCs/>
          <w:lang w:val="es-CO"/>
        </w:rPr>
        <w:t>, No 5 , 2013</w:t>
      </w:r>
    </w:p>
    <w:p w14:paraId="1FBCB336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s-CO"/>
        </w:rPr>
        <w:t xml:space="preserve">With Juanita Durán </w:t>
      </w:r>
      <w:r w:rsidRPr="00564511">
        <w:rPr>
          <w:i/>
          <w:lang w:val="es-CO"/>
        </w:rPr>
        <w:t xml:space="preserve"> Equidad y protección judicial del derecho a la salud</w:t>
      </w:r>
      <w:r w:rsidRPr="00564511">
        <w:rPr>
          <w:lang w:val="es-CO"/>
        </w:rPr>
        <w:t xml:space="preserve">. </w:t>
      </w:r>
      <w:r w:rsidRPr="00564511">
        <w:t>Santiago de Chile. Cepal, serie Políticas Sociales No 17. 2013</w:t>
      </w:r>
    </w:p>
    <w:p w14:paraId="2533CFC6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it-IT"/>
        </w:rPr>
        <w:t xml:space="preserve">With Miguel La Rosta, Sebastian Lalinde and Sandra Mora. </w:t>
      </w:r>
      <w:r w:rsidRPr="00564511">
        <w:rPr>
          <w:i/>
          <w:lang w:val="es-CO"/>
        </w:rPr>
        <w:t>Ante la Justicia: Necesidades jurídicas y acceso a la justicia en Colombia</w:t>
      </w:r>
      <w:r w:rsidRPr="00564511">
        <w:rPr>
          <w:lang w:val="es-CO"/>
        </w:rPr>
        <w:t xml:space="preserve">. </w:t>
      </w:r>
      <w:r w:rsidRPr="00564511">
        <w:t xml:space="preserve">Bogotá, Dejusticia. 2014 </w:t>
      </w:r>
    </w:p>
    <w:p w14:paraId="4FB69866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n-US"/>
        </w:rPr>
        <w:t xml:space="preserve">With With Sergio Chaparro and others. </w:t>
      </w:r>
      <w:r w:rsidRPr="00564511">
        <w:rPr>
          <w:i/>
          <w:lang w:val="es-CO"/>
        </w:rPr>
        <w:t>Mitigando la adicción punitiva: alternativas al encarcelamiento para delitos de drogas</w:t>
      </w:r>
      <w:r w:rsidRPr="00564511">
        <w:rPr>
          <w:lang w:val="es-CO"/>
        </w:rPr>
        <w:t xml:space="preserve">. </w:t>
      </w:r>
      <w:r w:rsidRPr="00564511">
        <w:rPr>
          <w:lang w:val="en-US"/>
        </w:rPr>
        <w:t>Bogotá, CEDD</w:t>
      </w:r>
      <w:r w:rsidRPr="00564511">
        <w:rPr>
          <w:rFonts w:eastAsia="Batang"/>
        </w:rPr>
        <w:t>, 2015</w:t>
      </w:r>
    </w:p>
    <w:p w14:paraId="2B01671C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n-US"/>
        </w:rPr>
        <w:t xml:space="preserve">With Catalina Pérez Correa and Sergio Chaparro. “Regulation of Possession and the Criminalisation of Drug Users in Latin America” en VV.AA </w:t>
      </w:r>
      <w:r w:rsidRPr="00564511">
        <w:rPr>
          <w:i/>
          <w:lang w:val="en-US"/>
        </w:rPr>
        <w:t>After de drug wars. Report of the LSE Expert Group on the Economics of Drug Policy</w:t>
      </w:r>
      <w:r w:rsidRPr="00564511">
        <w:rPr>
          <w:lang w:val="en-US"/>
        </w:rPr>
        <w:t>. London. LSE, 2016.</w:t>
      </w:r>
    </w:p>
    <w:p w14:paraId="6FDD5FC8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n-US"/>
        </w:rPr>
        <w:t>With Diana Guzmán. “</w:t>
      </w:r>
      <w:hyperlink r:id="rId10" w:history="1">
        <w:r w:rsidRPr="00564511">
          <w:rPr>
            <w:rStyle w:val="Hipervnculo"/>
            <w:lang w:val="en-US"/>
          </w:rPr>
          <w:t>Seeking Alternatives to Repression: Drug Policies and the Rule of Law in Colombia</w:t>
        </w:r>
      </w:hyperlink>
      <w:r w:rsidRPr="00564511">
        <w:rPr>
          <w:lang w:val="en-US"/>
        </w:rPr>
        <w:t xml:space="preserve">” en Beatriz Caiuby Labate, Clancy Cavnar, Thiago Rodrigues. </w:t>
      </w:r>
      <w:r w:rsidRPr="00564511">
        <w:rPr>
          <w:i/>
          <w:lang w:val="en-US"/>
        </w:rPr>
        <w:t>Drug Policies and the Politics of Drugs in the Americas</w:t>
      </w:r>
      <w:r w:rsidRPr="00564511">
        <w:rPr>
          <w:lang w:val="en-US"/>
        </w:rPr>
        <w:t xml:space="preserve">.. </w:t>
      </w:r>
      <w:r w:rsidRPr="00564511">
        <w:rPr>
          <w:lang w:val="es-CO"/>
        </w:rPr>
        <w:t xml:space="preserve">Springer, 2016 </w:t>
      </w:r>
    </w:p>
    <w:p w14:paraId="1AB067DB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s-CO"/>
        </w:rPr>
        <w:t xml:space="preserve">With Aura Bolivar, Laura Gutiérrez and Camilo Sánchez. </w:t>
      </w:r>
      <w:r w:rsidRPr="00564511">
        <w:rPr>
          <w:i/>
          <w:lang w:val="es-CO"/>
        </w:rPr>
        <w:t>Debates sobre la acción de restitución</w:t>
      </w:r>
      <w:r w:rsidRPr="00564511">
        <w:rPr>
          <w:lang w:val="es-CO"/>
        </w:rPr>
        <w:t xml:space="preserve">. Bogotá, Dejusticia. </w:t>
      </w:r>
      <w:r w:rsidRPr="00564511">
        <w:t>2017.</w:t>
      </w:r>
    </w:p>
    <w:p w14:paraId="7C8CFB1F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t xml:space="preserve">With </w:t>
      </w:r>
      <w:r w:rsidRPr="00564511">
        <w:rPr>
          <w:lang w:val="en-US"/>
        </w:rPr>
        <w:t xml:space="preserve">Nelson Camilo Sánchez: “Transitional Justice in Conflict: Reflections on the Colombian Experience” </w:t>
      </w:r>
      <w:r w:rsidRPr="00564511">
        <w:rPr>
          <w:i/>
          <w:lang w:val="en-US"/>
        </w:rPr>
        <w:t xml:space="preserve">EN: </w:t>
      </w:r>
      <w:r w:rsidRPr="00564511">
        <w:rPr>
          <w:lang w:val="en-US"/>
        </w:rPr>
        <w:t xml:space="preserve">DUTHIE, ROGER &amp; SEILS, PAUL (Edit.) JUSTICE MOSAICS How Context Shapes Transitional Justice in Fractured Societies. </w:t>
      </w:r>
      <w:r w:rsidRPr="00564511">
        <w:t>ICTJ. NEW YORK, 2017.</w:t>
      </w:r>
    </w:p>
    <w:p w14:paraId="478AC7CD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rFonts w:eastAsia="Batang"/>
          <w:lang w:val="en-US"/>
        </w:rPr>
        <w:t xml:space="preserve">With </w:t>
      </w:r>
      <w:r w:rsidRPr="00564511">
        <w:rPr>
          <w:lang w:val="en-US"/>
        </w:rPr>
        <w:t xml:space="preserve">Sergio Chaparro. “Inequality, Human Rights, and Social Rights: Tensions and Complementarities” in </w:t>
      </w:r>
      <w:hyperlink r:id="rId11" w:history="1">
        <w:r w:rsidRPr="00564511">
          <w:rPr>
            <w:rStyle w:val="Hipervnculo"/>
            <w:i/>
            <w:lang w:val="en-US"/>
          </w:rPr>
          <w:t>Humanity: An International Journal of Human Rights, Humanitarianism, and Development</w:t>
        </w:r>
      </w:hyperlink>
      <w:r w:rsidRPr="00564511">
        <w:rPr>
          <w:i/>
          <w:lang w:val="en-US"/>
        </w:rPr>
        <w:t xml:space="preserve">. </w:t>
      </w:r>
      <w:hyperlink r:id="rId12" w:history="1">
        <w:r w:rsidRPr="00564511">
          <w:rPr>
            <w:rStyle w:val="Hipervnculo"/>
            <w:lang w:val="en-US"/>
          </w:rPr>
          <w:t>University of Pennsylvania Press</w:t>
        </w:r>
      </w:hyperlink>
      <w:r w:rsidRPr="00564511">
        <w:rPr>
          <w:lang w:val="en-US"/>
        </w:rPr>
        <w:t xml:space="preserve">.  </w:t>
      </w:r>
      <w:hyperlink r:id="rId13" w:history="1">
        <w:r w:rsidRPr="00564511">
          <w:rPr>
            <w:rStyle w:val="Hipervnculo"/>
            <w:lang w:val="en-US"/>
          </w:rPr>
          <w:t>Volume 10, Number 3, Winter 2019</w:t>
        </w:r>
      </w:hyperlink>
      <w:r w:rsidRPr="00564511">
        <w:rPr>
          <w:lang w:val="en-US"/>
        </w:rPr>
        <w:t xml:space="preserve">, </w:t>
      </w:r>
    </w:p>
    <w:p w14:paraId="321FE0E9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n-US"/>
        </w:rPr>
        <w:t xml:space="preserve">- With Sergio Chaparro and Andres Araujo (). Bridging the Gap: The Evolving Doctrine on ESCR and ‘Maximum Available Resources’. In A. Sen (Author) &amp; K. Young (Ed.), The Future of Economic and Social Rights (Globalization and Human Rights, pp. 624-653). </w:t>
      </w:r>
      <w:r w:rsidRPr="00564511">
        <w:t>Cambridge: Cambridge University Press, 2019</w:t>
      </w:r>
    </w:p>
    <w:p w14:paraId="0C041188" w14:textId="1E2EA802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</w:rPr>
      </w:pPr>
      <w:r w:rsidRPr="00564511">
        <w:rPr>
          <w:lang w:val="es-CO"/>
        </w:rPr>
        <w:t xml:space="preserve">¿Qué hacer con el narcotráfico y las drogas ilícitas en Colombia? Elementos metodológicos para una política de Estado en Análisis Político. </w:t>
      </w:r>
      <w:r w:rsidRPr="00564511">
        <w:t>Vol. 34 Núm. 103. 202</w:t>
      </w:r>
      <w:r w:rsidR="009C2387">
        <w:t>1</w:t>
      </w:r>
      <w:bookmarkStart w:id="0" w:name="_GoBack"/>
      <w:bookmarkEnd w:id="0"/>
    </w:p>
    <w:p w14:paraId="13213B71" w14:textId="77777777" w:rsidR="00002970" w:rsidRPr="00564511" w:rsidRDefault="00002970" w:rsidP="00002970">
      <w:pPr>
        <w:numPr>
          <w:ilvl w:val="0"/>
          <w:numId w:val="20"/>
        </w:numPr>
        <w:tabs>
          <w:tab w:val="clear" w:pos="720"/>
          <w:tab w:val="num" w:pos="1134"/>
        </w:tabs>
        <w:suppressAutoHyphens w:val="0"/>
        <w:spacing w:line="240" w:lineRule="auto"/>
        <w:ind w:left="1134" w:firstLine="0"/>
        <w:rPr>
          <w:rFonts w:eastAsia="Batang"/>
          <w:lang w:val="en-US"/>
        </w:rPr>
      </w:pPr>
      <w:r w:rsidRPr="00564511">
        <w:rPr>
          <w:lang w:val="en-US"/>
        </w:rPr>
        <w:t>With Diana Isabel Guiza  “Legitimizing and enshrining peace commitments Inclusivity and constitution-building in the Colombian peace process” en The Colombian Peace Agreement A Multidisciplinary Assessment. Edited ByJorge Luis Fabra-Zamora, Andrés Molina-Ochoa, Nancy C. Doubleday. Routledge. 2021</w:t>
      </w:r>
    </w:p>
    <w:p w14:paraId="16F33ED8" w14:textId="77777777" w:rsidR="00002970" w:rsidRDefault="00002970" w:rsidP="00002970">
      <w:pPr>
        <w:pStyle w:val="SingleTxtG"/>
        <w:ind w:left="2268"/>
        <w:rPr>
          <w:lang w:bidi="en-US"/>
        </w:rPr>
      </w:pPr>
    </w:p>
    <w:p w14:paraId="488328A8" w14:textId="77777777" w:rsidR="0084116C" w:rsidRDefault="0084116C" w:rsidP="00002970">
      <w:pPr>
        <w:pStyle w:val="SingleTxtG"/>
        <w:ind w:left="2268"/>
        <w:rPr>
          <w:lang w:bidi="en-US"/>
        </w:rPr>
      </w:pPr>
    </w:p>
    <w:p w14:paraId="34545FB3" w14:textId="17E5087C" w:rsidR="0089269D" w:rsidRPr="0089269D" w:rsidRDefault="0089269D" w:rsidP="00002970">
      <w:pPr>
        <w:pStyle w:val="SingleTxtG"/>
        <w:spacing w:before="240" w:after="0" w:line="240" w:lineRule="atLeast"/>
        <w:ind w:left="226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sectPr w:rsidR="0089269D" w:rsidRPr="0089269D" w:rsidSect="00564511">
      <w:endnotePr>
        <w:numFmt w:val="decimal"/>
      </w:endnotePr>
      <w:pgSz w:w="11906" w:h="16838" w:code="9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A486A" w14:textId="77777777" w:rsidR="007173BE" w:rsidRDefault="007173BE" w:rsidP="00F95C08"/>
  </w:endnote>
  <w:endnote w:type="continuationSeparator" w:id="0">
    <w:p w14:paraId="03E0C415" w14:textId="77777777" w:rsidR="007173BE" w:rsidRPr="00AC3823" w:rsidRDefault="007173BE" w:rsidP="00AC3823">
      <w:pPr>
        <w:pStyle w:val="Piedepgina"/>
      </w:pPr>
    </w:p>
  </w:endnote>
  <w:endnote w:type="continuationNotice" w:id="1">
    <w:p w14:paraId="02E30EBA" w14:textId="77777777" w:rsidR="007173BE" w:rsidRDefault="00717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9D529" w14:textId="77777777" w:rsidR="007173BE" w:rsidRPr="00AC3823" w:rsidRDefault="007173BE" w:rsidP="00AC3823">
      <w:pPr>
        <w:pStyle w:val="Piedepgina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AE27C3" w14:textId="77777777" w:rsidR="007173BE" w:rsidRPr="00AC3823" w:rsidRDefault="007173BE" w:rsidP="00AC3823">
      <w:pPr>
        <w:pStyle w:val="Piedepgina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AA4BD43" w14:textId="77777777" w:rsidR="007173BE" w:rsidRPr="00AC3823" w:rsidRDefault="007173BE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5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</w:r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401E5D"/>
    <w:multiLevelType w:val="hybridMultilevel"/>
    <w:tmpl w:val="F9468EE8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E9D3E88"/>
    <w:multiLevelType w:val="hybridMultilevel"/>
    <w:tmpl w:val="54A256E8"/>
    <w:lvl w:ilvl="0" w:tplc="7A36E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647C6"/>
    <w:multiLevelType w:val="hybridMultilevel"/>
    <w:tmpl w:val="CEE47844"/>
    <w:lvl w:ilvl="0" w:tplc="A5F4E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74D2C"/>
    <w:multiLevelType w:val="hybridMultilevel"/>
    <w:tmpl w:val="998C14A0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17"/>
  </w:num>
  <w:num w:numId="18">
    <w:abstractNumId w:val="12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5"/>
    <w:rsid w:val="00002970"/>
    <w:rsid w:val="00017F94"/>
    <w:rsid w:val="00023842"/>
    <w:rsid w:val="000334F9"/>
    <w:rsid w:val="00055DB4"/>
    <w:rsid w:val="0007796D"/>
    <w:rsid w:val="000A5452"/>
    <w:rsid w:val="000B7790"/>
    <w:rsid w:val="000C390E"/>
    <w:rsid w:val="000E404C"/>
    <w:rsid w:val="00111F2F"/>
    <w:rsid w:val="00125BFC"/>
    <w:rsid w:val="0014365E"/>
    <w:rsid w:val="0014660A"/>
    <w:rsid w:val="00150DB2"/>
    <w:rsid w:val="00176178"/>
    <w:rsid w:val="00195868"/>
    <w:rsid w:val="00195EC1"/>
    <w:rsid w:val="001A643E"/>
    <w:rsid w:val="001F525A"/>
    <w:rsid w:val="00217FFB"/>
    <w:rsid w:val="00223272"/>
    <w:rsid w:val="0024779E"/>
    <w:rsid w:val="00257666"/>
    <w:rsid w:val="00291F1D"/>
    <w:rsid w:val="0029407C"/>
    <w:rsid w:val="00295484"/>
    <w:rsid w:val="002D1E0D"/>
    <w:rsid w:val="002F3185"/>
    <w:rsid w:val="0030228A"/>
    <w:rsid w:val="00350987"/>
    <w:rsid w:val="00353ED5"/>
    <w:rsid w:val="003613C8"/>
    <w:rsid w:val="00382A1F"/>
    <w:rsid w:val="00390178"/>
    <w:rsid w:val="003A7818"/>
    <w:rsid w:val="003C4940"/>
    <w:rsid w:val="003C49D9"/>
    <w:rsid w:val="003D1AD0"/>
    <w:rsid w:val="00446FE5"/>
    <w:rsid w:val="00452396"/>
    <w:rsid w:val="004C22F3"/>
    <w:rsid w:val="004D1CEB"/>
    <w:rsid w:val="004E0E09"/>
    <w:rsid w:val="005505B7"/>
    <w:rsid w:val="00564511"/>
    <w:rsid w:val="005706C8"/>
    <w:rsid w:val="00573BE5"/>
    <w:rsid w:val="00586ED3"/>
    <w:rsid w:val="00596AA9"/>
    <w:rsid w:val="005F360B"/>
    <w:rsid w:val="006122C4"/>
    <w:rsid w:val="0062614A"/>
    <w:rsid w:val="00662BA9"/>
    <w:rsid w:val="00665951"/>
    <w:rsid w:val="006718B2"/>
    <w:rsid w:val="006B0F55"/>
    <w:rsid w:val="006E2C9B"/>
    <w:rsid w:val="0071601D"/>
    <w:rsid w:val="007173BE"/>
    <w:rsid w:val="0076624F"/>
    <w:rsid w:val="00766CEC"/>
    <w:rsid w:val="00770252"/>
    <w:rsid w:val="007A62E6"/>
    <w:rsid w:val="007C411A"/>
    <w:rsid w:val="0080684C"/>
    <w:rsid w:val="00815502"/>
    <w:rsid w:val="0084116C"/>
    <w:rsid w:val="00845D2D"/>
    <w:rsid w:val="00871C75"/>
    <w:rsid w:val="008776DC"/>
    <w:rsid w:val="0088326B"/>
    <w:rsid w:val="0089269D"/>
    <w:rsid w:val="008F2A1D"/>
    <w:rsid w:val="00910E40"/>
    <w:rsid w:val="00957790"/>
    <w:rsid w:val="009705C8"/>
    <w:rsid w:val="009C2387"/>
    <w:rsid w:val="00A12AB5"/>
    <w:rsid w:val="00AA24AA"/>
    <w:rsid w:val="00AC3823"/>
    <w:rsid w:val="00AE323C"/>
    <w:rsid w:val="00AE360B"/>
    <w:rsid w:val="00AE7D9F"/>
    <w:rsid w:val="00B00181"/>
    <w:rsid w:val="00B43C66"/>
    <w:rsid w:val="00B55090"/>
    <w:rsid w:val="00B765F7"/>
    <w:rsid w:val="00B873CC"/>
    <w:rsid w:val="00BA0CA9"/>
    <w:rsid w:val="00BB3E59"/>
    <w:rsid w:val="00BE1F4C"/>
    <w:rsid w:val="00BE23E4"/>
    <w:rsid w:val="00BE4745"/>
    <w:rsid w:val="00BF3C2C"/>
    <w:rsid w:val="00C02897"/>
    <w:rsid w:val="00C042A1"/>
    <w:rsid w:val="00C83554"/>
    <w:rsid w:val="00CB6B46"/>
    <w:rsid w:val="00CB6D05"/>
    <w:rsid w:val="00CF3AE1"/>
    <w:rsid w:val="00D07425"/>
    <w:rsid w:val="00D3439C"/>
    <w:rsid w:val="00D40AEB"/>
    <w:rsid w:val="00DA22F4"/>
    <w:rsid w:val="00DB1831"/>
    <w:rsid w:val="00DD3BFD"/>
    <w:rsid w:val="00DF6678"/>
    <w:rsid w:val="00E22CF2"/>
    <w:rsid w:val="00E31C40"/>
    <w:rsid w:val="00E33F14"/>
    <w:rsid w:val="00E44A12"/>
    <w:rsid w:val="00E44FFB"/>
    <w:rsid w:val="00E52D9F"/>
    <w:rsid w:val="00EE05E7"/>
    <w:rsid w:val="00F12269"/>
    <w:rsid w:val="00F164B0"/>
    <w:rsid w:val="00F32998"/>
    <w:rsid w:val="00F57EA8"/>
    <w:rsid w:val="00F660DF"/>
    <w:rsid w:val="00F80094"/>
    <w:rsid w:val="00F87933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4018"/>
  <w15:chartTrackingRefBased/>
  <w15:docId w15:val="{95D4429A-80B6-46C3-AA5A-45CEDC6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55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Ttulo1">
    <w:name w:val="heading 1"/>
    <w:aliases w:val="Table_G"/>
    <w:basedOn w:val="SingleTxtG"/>
    <w:next w:val="SingleTxtG"/>
    <w:link w:val="Ttulo1C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Ttulo2">
    <w:name w:val="heading 2"/>
    <w:basedOn w:val="Normal"/>
    <w:next w:val="Normal"/>
    <w:link w:val="Ttulo2Car"/>
    <w:semiHidden/>
    <w:qFormat/>
    <w:rsid w:val="00023842"/>
    <w:pPr>
      <w:outlineLvl w:val="1"/>
    </w:pPr>
  </w:style>
  <w:style w:type="paragraph" w:styleId="Ttulo3">
    <w:name w:val="heading 3"/>
    <w:basedOn w:val="Normal"/>
    <w:next w:val="Normal"/>
    <w:link w:val="Ttulo3Car"/>
    <w:semiHidden/>
    <w:qFormat/>
    <w:rsid w:val="00023842"/>
    <w:pPr>
      <w:outlineLvl w:val="2"/>
    </w:pPr>
  </w:style>
  <w:style w:type="paragraph" w:styleId="Ttulo4">
    <w:name w:val="heading 4"/>
    <w:basedOn w:val="Normal"/>
    <w:next w:val="Normal"/>
    <w:link w:val="Ttulo4Car"/>
    <w:semiHidden/>
    <w:qFormat/>
    <w:rsid w:val="00023842"/>
    <w:pPr>
      <w:outlineLvl w:val="3"/>
    </w:pPr>
  </w:style>
  <w:style w:type="paragraph" w:styleId="Ttulo5">
    <w:name w:val="heading 5"/>
    <w:basedOn w:val="Normal"/>
    <w:next w:val="Normal"/>
    <w:link w:val="Ttulo5Car"/>
    <w:semiHidden/>
    <w:qFormat/>
    <w:rsid w:val="00023842"/>
    <w:pPr>
      <w:outlineLvl w:val="4"/>
    </w:pPr>
  </w:style>
  <w:style w:type="paragraph" w:styleId="Ttulo6">
    <w:name w:val="heading 6"/>
    <w:basedOn w:val="Normal"/>
    <w:next w:val="Normal"/>
    <w:link w:val="Ttulo6Car"/>
    <w:semiHidden/>
    <w:qFormat/>
    <w:rsid w:val="00023842"/>
    <w:pPr>
      <w:outlineLvl w:val="5"/>
    </w:pPr>
  </w:style>
  <w:style w:type="paragraph" w:styleId="Ttulo7">
    <w:name w:val="heading 7"/>
    <w:basedOn w:val="Normal"/>
    <w:next w:val="Normal"/>
    <w:link w:val="Ttulo7Car"/>
    <w:semiHidden/>
    <w:qFormat/>
    <w:rsid w:val="00023842"/>
    <w:pPr>
      <w:outlineLvl w:val="6"/>
    </w:pPr>
  </w:style>
  <w:style w:type="paragraph" w:styleId="Ttulo8">
    <w:name w:val="heading 8"/>
    <w:basedOn w:val="Normal"/>
    <w:next w:val="Normal"/>
    <w:link w:val="Ttulo8Car"/>
    <w:semiHidden/>
    <w:qFormat/>
    <w:rsid w:val="00023842"/>
    <w:pPr>
      <w:outlineLvl w:val="7"/>
    </w:pPr>
  </w:style>
  <w:style w:type="paragraph" w:styleId="Ttulo9">
    <w:name w:val="heading 9"/>
    <w:basedOn w:val="Normal"/>
    <w:next w:val="Normal"/>
    <w:link w:val="Ttulo9Car"/>
    <w:semiHidden/>
    <w:qFormat/>
    <w:rsid w:val="00023842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6_G"/>
    <w:basedOn w:val="Normal"/>
    <w:link w:val="EncabezadoC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EncabezadoCar">
    <w:name w:val="Encabezado Car"/>
    <w:aliases w:val="6_G Car"/>
    <w:basedOn w:val="Fuentedeprrafopredeter"/>
    <w:link w:val="Encabezado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Piedepgina">
    <w:name w:val="footer"/>
    <w:aliases w:val="3_G"/>
    <w:basedOn w:val="Normal"/>
    <w:next w:val="Normal"/>
    <w:link w:val="PiedepginaCar"/>
    <w:qFormat/>
    <w:rsid w:val="0080684C"/>
    <w:rPr>
      <w:sz w:val="16"/>
    </w:rPr>
  </w:style>
  <w:style w:type="character" w:customStyle="1" w:styleId="PiedepginaCar">
    <w:name w:val="Pie de página Car"/>
    <w:aliases w:val="3_G Car"/>
    <w:basedOn w:val="Fuentedeprrafopredeter"/>
    <w:link w:val="Piedepgina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Refdenotaalpie">
    <w:name w:val="footnote reference"/>
    <w:aliases w:val="4_G"/>
    <w:basedOn w:val="Fuentedeprrafopredeter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Refdenotaalfinal">
    <w:name w:val="endnote reference"/>
    <w:aliases w:val="1_G"/>
    <w:basedOn w:val="Refdenotaalpi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aconcuadrcula">
    <w:name w:val="Table Grid"/>
    <w:basedOn w:val="Tabla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vnculo">
    <w:name w:val="Hyperlink"/>
    <w:basedOn w:val="Fuentedeprrafopredeter"/>
    <w:semiHidden/>
    <w:rsid w:val="00957790"/>
    <w:rPr>
      <w:color w:val="0000FF"/>
      <w:u w:val="none"/>
    </w:rPr>
  </w:style>
  <w:style w:type="character" w:styleId="Hipervnculovisitado">
    <w:name w:val="FollowedHyperlink"/>
    <w:basedOn w:val="Fuentedeprrafopredeter"/>
    <w:semiHidden/>
    <w:rsid w:val="00957790"/>
    <w:rPr>
      <w:color w:val="0000FF"/>
      <w:u w:val="none"/>
    </w:rPr>
  </w:style>
  <w:style w:type="paragraph" w:styleId="Textonotapie">
    <w:name w:val="footnote text"/>
    <w:aliases w:val="5_G"/>
    <w:basedOn w:val="Normal"/>
    <w:link w:val="Textonotapi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TextonotapieCar">
    <w:name w:val="Texto nota pie Car"/>
    <w:aliases w:val="5_G Car"/>
    <w:basedOn w:val="Fuentedeprrafopredeter"/>
    <w:link w:val="Textonotapi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Textonotaalfinal">
    <w:name w:val="endnote text"/>
    <w:aliases w:val="2_G"/>
    <w:basedOn w:val="Textonotapie"/>
    <w:link w:val="TextonotaalfinalCar"/>
    <w:qFormat/>
    <w:rsid w:val="0080684C"/>
  </w:style>
  <w:style w:type="character" w:customStyle="1" w:styleId="TextonotaalfinalCar">
    <w:name w:val="Texto nota al final Car"/>
    <w:aliases w:val="2_G Car"/>
    <w:basedOn w:val="Fuentedeprrafopredeter"/>
    <w:link w:val="Textonotaalfinal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merodepgina">
    <w:name w:val="page number"/>
    <w:aliases w:val="7_G"/>
    <w:basedOn w:val="Fuentedeprrafopredeter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tulo1Car">
    <w:name w:val="Título 1 Car"/>
    <w:aliases w:val="Table_G Car"/>
    <w:basedOn w:val="Fuentedeprrafopredeter"/>
    <w:link w:val="Ttulo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6Car">
    <w:name w:val="Título 6 Car"/>
    <w:basedOn w:val="Fuentedeprrafopredeter"/>
    <w:link w:val="Ttulo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8Car">
    <w:name w:val="Título 8 Car"/>
    <w:basedOn w:val="Fuentedeprrafopredeter"/>
    <w:link w:val="Ttulo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tulo9Car">
    <w:name w:val="Título 9 Car"/>
    <w:basedOn w:val="Fuentedeprrafopredeter"/>
    <w:link w:val="Ttulo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1">
    <w:name w:val="_ H_1"/>
    <w:basedOn w:val="Normal"/>
    <w:next w:val="SingleTxt"/>
    <w:rsid w:val="006B0F5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23">
    <w:name w:val="_ H_2/3"/>
    <w:basedOn w:val="Normal"/>
    <w:next w:val="Normal"/>
    <w:rsid w:val="006B0F55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6B0F5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character" w:styleId="nfasis">
    <w:name w:val="Emphasis"/>
    <w:qFormat/>
    <w:rsid w:val="00002970"/>
    <w:rPr>
      <w:rFonts w:cs="Times New Roman"/>
      <w:i/>
      <w:iCs/>
    </w:rPr>
  </w:style>
  <w:style w:type="character" w:customStyle="1" w:styleId="yshortcuts">
    <w:name w:val="yshortcuts"/>
    <w:rsid w:val="00002970"/>
    <w:rPr>
      <w:rFonts w:cs="Times New Roman"/>
    </w:rPr>
  </w:style>
  <w:style w:type="character" w:customStyle="1" w:styleId="apple-converted-space">
    <w:name w:val="apple-converted-space"/>
    <w:rsid w:val="000029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use.jhu.edu/issue/4174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se.jhu.edu/search?action=browse&amp;limit=publisher_id: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se.jhu.edu/journal/49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ink.springer.com/chapter/10.1007/978-3-319-29082-9_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6B735-27E3-4B69-A78A-E1ECFA4F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20ff-48ad-4b90-98f4-7161a6f3b63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1D374-45B7-4A5E-8D7B-8B5B85EC634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</ds:schemaRefs>
</ds:datastoreItem>
</file>

<file path=customXml/itemProps3.xml><?xml version="1.0" encoding="utf-8"?>
<ds:datastoreItem xmlns:ds="http://schemas.openxmlformats.org/officeDocument/2006/customXml" ds:itemID="{A130AD66-E6D8-4AB4-935B-756F355FA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1411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Celine Reynaud</vt:lpstr>
      <vt:lpstr/>
    </vt:vector>
  </TitlesOfParts>
  <Company>OHCHR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Celine Reynaud</dc:title>
  <dc:subject/>
  <dc:creator>SONJAK SARF Zala</dc:creator>
  <cp:keywords/>
  <dc:description/>
  <cp:lastModifiedBy>WINDOWS 7</cp:lastModifiedBy>
  <cp:revision>5</cp:revision>
  <cp:lastPrinted>2014-05-14T10:59:00Z</cp:lastPrinted>
  <dcterms:created xsi:type="dcterms:W3CDTF">2023-11-21T19:51:00Z</dcterms:created>
  <dcterms:modified xsi:type="dcterms:W3CDTF">2023-11-21T20:16:00Z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CESCR - Election nominations - Azerbaijan</vt:lpwstr>
  </property>
</Properties>
</file>