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511F" w:rsidRPr="004A1F2C" w:rsidRDefault="004A1F2C" w:rsidP="004A1F2C">
      <w:pPr>
        <w:ind w:left="0" w:hanging="2"/>
        <w:jc w:val="center"/>
        <w:rPr>
          <w:sz w:val="24"/>
          <w:szCs w:val="24"/>
          <w:u w:val="single"/>
          <w:lang w:val="es-MX"/>
        </w:rPr>
      </w:pPr>
      <w:r w:rsidRPr="004A1F2C">
        <w:rPr>
          <w:b/>
          <w:sz w:val="24"/>
          <w:szCs w:val="24"/>
          <w:u w:val="single"/>
          <w:lang w:val="es-MX"/>
        </w:rPr>
        <w:t>Annex V</w:t>
      </w:r>
    </w:p>
    <w:p w14:paraId="00000002" w14:textId="77777777" w:rsidR="007D511F" w:rsidRPr="004A1F2C" w:rsidRDefault="007D511F" w:rsidP="004A1F2C">
      <w:pPr>
        <w:ind w:left="0" w:hanging="2"/>
        <w:jc w:val="center"/>
        <w:rPr>
          <w:sz w:val="24"/>
          <w:szCs w:val="24"/>
          <w:lang w:val="es-MX"/>
        </w:rPr>
      </w:pPr>
    </w:p>
    <w:p w14:paraId="00000003" w14:textId="77777777" w:rsidR="007D511F" w:rsidRPr="004A1F2C" w:rsidRDefault="004A1F2C" w:rsidP="004A1F2C">
      <w:pPr>
        <w:ind w:left="0" w:hanging="2"/>
        <w:jc w:val="center"/>
        <w:rPr>
          <w:sz w:val="24"/>
          <w:szCs w:val="24"/>
          <w:u w:val="single"/>
          <w:lang w:val="es-MX"/>
        </w:rPr>
      </w:pPr>
      <w:r w:rsidRPr="004A1F2C">
        <w:rPr>
          <w:b/>
          <w:sz w:val="24"/>
          <w:szCs w:val="24"/>
          <w:u w:val="single"/>
          <w:lang w:val="es-MX"/>
        </w:rPr>
        <w:t>CURRICULUM VITAE OF LAURA ELISA PÉREZ GÓMEZ</w:t>
      </w:r>
    </w:p>
    <w:p w14:paraId="00000004" w14:textId="77777777" w:rsidR="007D511F" w:rsidRPr="004A1F2C" w:rsidRDefault="007D511F" w:rsidP="004A1F2C">
      <w:pPr>
        <w:ind w:left="0" w:hanging="2"/>
        <w:jc w:val="both"/>
        <w:rPr>
          <w:sz w:val="24"/>
          <w:szCs w:val="24"/>
          <w:lang w:val="es-MX"/>
        </w:rPr>
      </w:pPr>
    </w:p>
    <w:p w14:paraId="00000005" w14:textId="77777777" w:rsidR="007D511F" w:rsidRPr="004A1F2C" w:rsidRDefault="007D511F" w:rsidP="004A1F2C">
      <w:pPr>
        <w:ind w:left="0" w:hanging="2"/>
        <w:jc w:val="both"/>
        <w:rPr>
          <w:sz w:val="24"/>
          <w:szCs w:val="24"/>
          <w:lang w:val="es-MX"/>
        </w:rPr>
      </w:pPr>
    </w:p>
    <w:p w14:paraId="00000006" w14:textId="77777777" w:rsidR="007D511F" w:rsidRDefault="004A1F2C" w:rsidP="004A1F2C">
      <w:pPr>
        <w:ind w:left="0" w:hanging="2"/>
        <w:jc w:val="both"/>
        <w:rPr>
          <w:sz w:val="24"/>
          <w:szCs w:val="24"/>
        </w:rPr>
      </w:pPr>
      <w:r>
        <w:rPr>
          <w:b/>
          <w:sz w:val="24"/>
          <w:szCs w:val="24"/>
          <w:u w:val="single"/>
        </w:rPr>
        <w:t>NAME.</w:t>
      </w:r>
      <w:r>
        <w:rPr>
          <w:sz w:val="24"/>
          <w:szCs w:val="24"/>
        </w:rPr>
        <w:t xml:space="preserve"> LAURA ELISA PÉREZ GÓMEZ</w:t>
      </w:r>
    </w:p>
    <w:p w14:paraId="00000007" w14:textId="77777777" w:rsidR="007D511F" w:rsidRDefault="007D511F" w:rsidP="004A1F2C">
      <w:pPr>
        <w:ind w:left="0" w:hanging="2"/>
        <w:jc w:val="both"/>
        <w:rPr>
          <w:sz w:val="24"/>
          <w:szCs w:val="24"/>
        </w:rPr>
      </w:pPr>
    </w:p>
    <w:p w14:paraId="00000008" w14:textId="77777777" w:rsidR="007D511F" w:rsidRDefault="004A1F2C" w:rsidP="004A1F2C">
      <w:pPr>
        <w:ind w:left="0" w:hanging="2"/>
        <w:jc w:val="both"/>
        <w:rPr>
          <w:sz w:val="24"/>
          <w:szCs w:val="24"/>
        </w:rPr>
      </w:pPr>
      <w:r>
        <w:rPr>
          <w:b/>
          <w:sz w:val="24"/>
          <w:szCs w:val="24"/>
          <w:u w:val="single"/>
        </w:rPr>
        <w:t>DATE AND PLACE OF BIRTH.</w:t>
      </w:r>
      <w:r>
        <w:rPr>
          <w:sz w:val="24"/>
          <w:szCs w:val="24"/>
        </w:rPr>
        <w:t xml:space="preserve"> December 16, 1959. Mexico City</w:t>
      </w:r>
    </w:p>
    <w:p w14:paraId="00000009" w14:textId="77777777" w:rsidR="007D511F" w:rsidRDefault="007D511F" w:rsidP="004A1F2C">
      <w:pPr>
        <w:ind w:left="0" w:hanging="2"/>
        <w:jc w:val="both"/>
        <w:rPr>
          <w:sz w:val="24"/>
          <w:szCs w:val="24"/>
        </w:rPr>
      </w:pPr>
    </w:p>
    <w:p w14:paraId="0000000A" w14:textId="77777777" w:rsidR="007D511F" w:rsidRDefault="004A1F2C" w:rsidP="004A1F2C">
      <w:pPr>
        <w:ind w:left="0" w:hanging="2"/>
        <w:jc w:val="both"/>
        <w:rPr>
          <w:sz w:val="24"/>
          <w:szCs w:val="24"/>
        </w:rPr>
      </w:pPr>
      <w:r>
        <w:rPr>
          <w:b/>
          <w:sz w:val="24"/>
          <w:szCs w:val="24"/>
          <w:u w:val="single"/>
        </w:rPr>
        <w:t>NATIONALITY.</w:t>
      </w:r>
      <w:r>
        <w:rPr>
          <w:sz w:val="24"/>
          <w:szCs w:val="24"/>
        </w:rPr>
        <w:t xml:space="preserve"> Mexican nationality</w:t>
      </w:r>
    </w:p>
    <w:p w14:paraId="0000000B" w14:textId="77777777" w:rsidR="007D511F" w:rsidRDefault="007D511F" w:rsidP="004A1F2C">
      <w:pPr>
        <w:ind w:left="0" w:hanging="2"/>
        <w:jc w:val="both"/>
        <w:rPr>
          <w:sz w:val="24"/>
          <w:szCs w:val="24"/>
        </w:rPr>
      </w:pPr>
    </w:p>
    <w:p w14:paraId="00000015" w14:textId="77777777" w:rsidR="007D511F" w:rsidRDefault="004A1F2C" w:rsidP="004A1F2C">
      <w:pPr>
        <w:ind w:left="0" w:hanging="2"/>
        <w:jc w:val="both"/>
        <w:rPr>
          <w:sz w:val="24"/>
          <w:szCs w:val="24"/>
          <w:u w:val="single"/>
        </w:rPr>
      </w:pPr>
      <w:r>
        <w:rPr>
          <w:b/>
          <w:sz w:val="24"/>
          <w:szCs w:val="24"/>
          <w:u w:val="single"/>
        </w:rPr>
        <w:t>WORKING LANGUAGE(S)</w:t>
      </w:r>
    </w:p>
    <w:p w14:paraId="00000016" w14:textId="77777777" w:rsidR="007D511F" w:rsidRDefault="004A1F2C" w:rsidP="004A1F2C">
      <w:pPr>
        <w:ind w:left="0" w:hanging="2"/>
        <w:jc w:val="both"/>
        <w:rPr>
          <w:sz w:val="24"/>
          <w:szCs w:val="24"/>
        </w:rPr>
      </w:pPr>
      <w:r>
        <w:rPr>
          <w:sz w:val="24"/>
          <w:szCs w:val="24"/>
        </w:rPr>
        <w:t>Spanish, mother tongue. English, translation and spoken level. French, translation level.</w:t>
      </w:r>
    </w:p>
    <w:p w14:paraId="00000017" w14:textId="77777777" w:rsidR="007D511F" w:rsidRDefault="007D511F" w:rsidP="004A1F2C">
      <w:pPr>
        <w:ind w:left="0" w:hanging="2"/>
        <w:jc w:val="both"/>
        <w:rPr>
          <w:sz w:val="24"/>
          <w:szCs w:val="24"/>
        </w:rPr>
      </w:pPr>
    </w:p>
    <w:p w14:paraId="00000018" w14:textId="77777777" w:rsidR="007D511F" w:rsidRDefault="004A1F2C" w:rsidP="004A1F2C">
      <w:pPr>
        <w:ind w:left="0" w:hanging="2"/>
        <w:jc w:val="both"/>
        <w:rPr>
          <w:sz w:val="24"/>
          <w:szCs w:val="24"/>
          <w:u w:val="single"/>
        </w:rPr>
      </w:pPr>
      <w:r>
        <w:rPr>
          <w:b/>
          <w:sz w:val="24"/>
          <w:szCs w:val="24"/>
          <w:u w:val="single"/>
        </w:rPr>
        <w:t>EDUCATION</w:t>
      </w:r>
    </w:p>
    <w:p w14:paraId="00000019" w14:textId="77777777" w:rsidR="007D511F" w:rsidRDefault="004A1F2C" w:rsidP="004A1F2C">
      <w:pPr>
        <w:ind w:left="0" w:hanging="2"/>
        <w:jc w:val="both"/>
        <w:rPr>
          <w:sz w:val="24"/>
          <w:szCs w:val="24"/>
        </w:rPr>
      </w:pPr>
      <w:r>
        <w:rPr>
          <w:sz w:val="24"/>
          <w:szCs w:val="24"/>
        </w:rPr>
        <w:t>ACTUARY. School of Science, National Autonomous University of Mexico (UNAM), 1983.</w:t>
      </w:r>
    </w:p>
    <w:p w14:paraId="0000001A" w14:textId="39B9D1C5" w:rsidR="007D511F" w:rsidRDefault="004A1F2C" w:rsidP="004A1F2C">
      <w:pPr>
        <w:ind w:left="0" w:hanging="2"/>
        <w:jc w:val="both"/>
        <w:rPr>
          <w:sz w:val="24"/>
          <w:szCs w:val="24"/>
        </w:rPr>
      </w:pPr>
      <w:r>
        <w:rPr>
          <w:sz w:val="24"/>
          <w:szCs w:val="24"/>
        </w:rPr>
        <w:t>OPERATIONS RESEARCH MASTER'S DEGREE (PLANNING). School of Engineering, Division of Graduate Studies, UNAM, 1986.</w:t>
      </w:r>
    </w:p>
    <w:p w14:paraId="0000001B" w14:textId="77777777" w:rsidR="007D511F" w:rsidRDefault="007D511F" w:rsidP="004A1F2C">
      <w:pPr>
        <w:ind w:left="0" w:hanging="2"/>
        <w:jc w:val="both"/>
        <w:rPr>
          <w:sz w:val="24"/>
          <w:szCs w:val="24"/>
        </w:rPr>
      </w:pPr>
    </w:p>
    <w:p w14:paraId="0000001C" w14:textId="77777777" w:rsidR="007D511F" w:rsidRDefault="004A1F2C" w:rsidP="004A1F2C">
      <w:pPr>
        <w:ind w:left="0" w:hanging="2"/>
        <w:jc w:val="both"/>
        <w:rPr>
          <w:sz w:val="24"/>
          <w:szCs w:val="24"/>
          <w:u w:val="single"/>
        </w:rPr>
      </w:pPr>
      <w:r>
        <w:rPr>
          <w:b/>
          <w:sz w:val="24"/>
          <w:szCs w:val="24"/>
          <w:u w:val="single"/>
        </w:rPr>
        <w:t>PROFESSIONAL ACTIVITIES</w:t>
      </w:r>
    </w:p>
    <w:p w14:paraId="0000001D" w14:textId="77777777" w:rsidR="007D511F" w:rsidRDefault="004A1F2C" w:rsidP="004A1F2C">
      <w:pPr>
        <w:ind w:left="0" w:hanging="2"/>
        <w:jc w:val="both"/>
        <w:rPr>
          <w:sz w:val="24"/>
          <w:szCs w:val="24"/>
        </w:rPr>
      </w:pPr>
      <w:r>
        <w:rPr>
          <w:sz w:val="24"/>
          <w:szCs w:val="24"/>
        </w:rPr>
        <w:t>Worked as an expert in the preparation of the main public policy documents for human rights in Mexico, since 2003, including the Diagnosis on the situation of Human Rights, the First Evaluation Report of the National Human Rights Program, the Proposal Reform for Constitutional Law on human rights (2010), as well as the projects for the National Human Rights Programs for 2008-2012, 2014-2018 and 2019-2024.</w:t>
      </w:r>
    </w:p>
    <w:p w14:paraId="0000001E" w14:textId="77777777" w:rsidR="007D511F" w:rsidRDefault="004A1F2C" w:rsidP="004A1F2C">
      <w:pPr>
        <w:ind w:left="0" w:hanging="2"/>
        <w:jc w:val="both"/>
        <w:rPr>
          <w:sz w:val="24"/>
          <w:szCs w:val="24"/>
        </w:rPr>
      </w:pPr>
      <w:r>
        <w:rPr>
          <w:sz w:val="24"/>
          <w:szCs w:val="24"/>
        </w:rPr>
        <w:t>Researcher in the Human Rights University Program of the National Autonomous University of Mexico, since 2013, coordinating the development of indicators for the evaluation of human rights, where research has been developed as well as specialized publications on public policies with a human rights perspective. Also participates in the development, monitoring and updating of the official information platform of the National Human Rights Evaluation System</w:t>
      </w:r>
      <w:r>
        <w:rPr>
          <w:sz w:val="24"/>
          <w:szCs w:val="24"/>
          <w:vertAlign w:val="superscript"/>
        </w:rPr>
        <w:footnoteReference w:id="1"/>
      </w:r>
      <w:r>
        <w:rPr>
          <w:sz w:val="24"/>
          <w:szCs w:val="24"/>
        </w:rPr>
        <w:t>, which contains almost 900 indicators.</w:t>
      </w:r>
    </w:p>
    <w:p w14:paraId="0000001F" w14:textId="545822A4" w:rsidR="007D511F" w:rsidRDefault="004A1F2C" w:rsidP="004A1F2C">
      <w:pPr>
        <w:ind w:left="0" w:hanging="2"/>
        <w:jc w:val="both"/>
        <w:rPr>
          <w:sz w:val="24"/>
          <w:szCs w:val="24"/>
        </w:rPr>
      </w:pPr>
      <w:r>
        <w:rPr>
          <w:sz w:val="24"/>
          <w:szCs w:val="24"/>
        </w:rPr>
        <w:t xml:space="preserve">Was part of the Working Group of the Protocol of San Salvador (WGPSS), during 2014-2023, being its </w:t>
      </w:r>
      <w:r>
        <w:rPr>
          <w:i/>
          <w:sz w:val="24"/>
          <w:szCs w:val="24"/>
        </w:rPr>
        <w:t>pro tempore</w:t>
      </w:r>
      <w:r>
        <w:rPr>
          <w:sz w:val="24"/>
          <w:szCs w:val="24"/>
        </w:rPr>
        <w:t xml:space="preserve"> President (Aug/2020 - Oct/2021)</w:t>
      </w:r>
      <w:r>
        <w:rPr>
          <w:sz w:val="24"/>
          <w:szCs w:val="24"/>
          <w:vertAlign w:val="superscript"/>
        </w:rPr>
        <w:footnoteReference w:id="2"/>
      </w:r>
      <w:r>
        <w:rPr>
          <w:sz w:val="24"/>
          <w:szCs w:val="24"/>
        </w:rPr>
        <w:t xml:space="preserve">, where she contributed with strategic recommendations for public policy with rights-based approach for the inter-American region countries, </w:t>
      </w:r>
      <w:r w:rsidRPr="004A1F2C">
        <w:rPr>
          <w:sz w:val="24"/>
          <w:szCs w:val="24"/>
        </w:rPr>
        <w:t xml:space="preserve">specifying </w:t>
      </w:r>
      <w:r>
        <w:rPr>
          <w:sz w:val="24"/>
          <w:szCs w:val="24"/>
        </w:rPr>
        <w:t>technical aspects for the indicators and conceptualization for progressivity evaluation, also with proposals to strengthen the Group.</w:t>
      </w:r>
    </w:p>
    <w:p w14:paraId="00000020" w14:textId="77777777" w:rsidR="007D511F" w:rsidRPr="00094810" w:rsidRDefault="007D511F">
      <w:pPr>
        <w:ind w:left="0" w:hanging="2"/>
        <w:jc w:val="both"/>
        <w:rPr>
          <w:sz w:val="24"/>
          <w:szCs w:val="24"/>
        </w:rPr>
      </w:pPr>
    </w:p>
    <w:p w14:paraId="00000021" w14:textId="77777777" w:rsidR="007D511F" w:rsidRDefault="004A1F2C" w:rsidP="004A1F2C">
      <w:pPr>
        <w:keepNext/>
        <w:spacing w:before="60"/>
        <w:ind w:left="0" w:hanging="2"/>
        <w:jc w:val="left"/>
        <w:rPr>
          <w:sz w:val="24"/>
          <w:szCs w:val="24"/>
          <w:u w:val="single"/>
        </w:rPr>
      </w:pPr>
      <w:r>
        <w:rPr>
          <w:b/>
          <w:sz w:val="24"/>
          <w:szCs w:val="24"/>
          <w:u w:val="single"/>
        </w:rPr>
        <w:t>CURRENT POSITION(S)</w:t>
      </w:r>
    </w:p>
    <w:p w14:paraId="00000022" w14:textId="77777777" w:rsidR="007D511F" w:rsidRDefault="004A1F2C" w:rsidP="004A1F2C">
      <w:pPr>
        <w:spacing w:before="60"/>
        <w:ind w:left="0" w:hanging="2"/>
        <w:jc w:val="left"/>
        <w:rPr>
          <w:sz w:val="24"/>
          <w:szCs w:val="24"/>
        </w:rPr>
      </w:pPr>
      <w:r>
        <w:rPr>
          <w:sz w:val="24"/>
          <w:szCs w:val="24"/>
        </w:rPr>
        <w:t>Researcher at the Human Rights University Program, the National Autonomous University of Mexico (from 2013 to date)</w:t>
      </w:r>
      <w:r>
        <w:rPr>
          <w:sz w:val="24"/>
          <w:szCs w:val="24"/>
          <w:vertAlign w:val="superscript"/>
        </w:rPr>
        <w:footnoteReference w:id="3"/>
      </w:r>
      <w:r>
        <w:rPr>
          <w:sz w:val="24"/>
          <w:szCs w:val="24"/>
        </w:rPr>
        <w:t>.</w:t>
      </w:r>
    </w:p>
    <w:p w14:paraId="00000023" w14:textId="3238171E" w:rsidR="007D511F" w:rsidRDefault="004A1F2C" w:rsidP="004A1F2C">
      <w:pPr>
        <w:spacing w:before="60"/>
        <w:ind w:left="0" w:hanging="2"/>
        <w:jc w:val="left"/>
        <w:rPr>
          <w:sz w:val="24"/>
          <w:szCs w:val="24"/>
        </w:rPr>
      </w:pPr>
      <w:r>
        <w:rPr>
          <w:sz w:val="24"/>
          <w:szCs w:val="24"/>
        </w:rPr>
        <w:t>Member of the Citizen Advisory Council for Population Policy of Population National Council (CONAPO)</w:t>
      </w:r>
      <w:r>
        <w:rPr>
          <w:sz w:val="24"/>
          <w:szCs w:val="24"/>
          <w:vertAlign w:val="superscript"/>
        </w:rPr>
        <w:footnoteReference w:id="4"/>
      </w:r>
      <w:r>
        <w:rPr>
          <w:sz w:val="24"/>
          <w:szCs w:val="24"/>
        </w:rPr>
        <w:t>.</w:t>
      </w:r>
    </w:p>
    <w:p w14:paraId="00000024" w14:textId="7799E621" w:rsidR="007D511F" w:rsidRDefault="004A1F2C" w:rsidP="004A1F2C">
      <w:pPr>
        <w:spacing w:before="60"/>
        <w:ind w:left="0" w:hanging="2"/>
        <w:jc w:val="left"/>
        <w:rPr>
          <w:sz w:val="24"/>
          <w:szCs w:val="24"/>
        </w:rPr>
      </w:pPr>
      <w:r>
        <w:rPr>
          <w:sz w:val="24"/>
          <w:szCs w:val="24"/>
        </w:rPr>
        <w:t xml:space="preserve">Member of the </w:t>
      </w:r>
      <w:r w:rsidRPr="004A1F2C">
        <w:rPr>
          <w:sz w:val="24"/>
          <w:szCs w:val="24"/>
        </w:rPr>
        <w:t>Monitoring and Strategy Committee</w:t>
      </w:r>
      <w:r>
        <w:rPr>
          <w:sz w:val="24"/>
          <w:szCs w:val="24"/>
        </w:rPr>
        <w:t xml:space="preserve"> for the 2030 Agenda National Council (Sep/2018 to date)</w:t>
      </w:r>
      <w:r>
        <w:rPr>
          <w:sz w:val="24"/>
          <w:szCs w:val="24"/>
          <w:vertAlign w:val="superscript"/>
        </w:rPr>
        <w:footnoteReference w:id="5"/>
      </w:r>
      <w:r>
        <w:rPr>
          <w:sz w:val="24"/>
          <w:szCs w:val="24"/>
        </w:rPr>
        <w:t>.</w:t>
      </w:r>
    </w:p>
    <w:p w14:paraId="00000025" w14:textId="77777777" w:rsidR="007D511F" w:rsidRDefault="007D511F">
      <w:pPr>
        <w:spacing w:before="60"/>
        <w:jc w:val="left"/>
        <w:rPr>
          <w:sz w:val="12"/>
          <w:szCs w:val="12"/>
        </w:rPr>
      </w:pPr>
    </w:p>
    <w:p w14:paraId="00000026" w14:textId="77777777" w:rsidR="007D511F" w:rsidRDefault="004A1F2C" w:rsidP="004A1F2C">
      <w:pPr>
        <w:spacing w:before="60"/>
        <w:ind w:left="0" w:hanging="2"/>
        <w:jc w:val="left"/>
        <w:rPr>
          <w:sz w:val="24"/>
          <w:szCs w:val="24"/>
          <w:u w:val="single"/>
        </w:rPr>
      </w:pPr>
      <w:r>
        <w:rPr>
          <w:b/>
          <w:sz w:val="24"/>
          <w:szCs w:val="24"/>
          <w:u w:val="single"/>
        </w:rPr>
        <w:lastRenderedPageBreak/>
        <w:t>PUBLICATIONS</w:t>
      </w:r>
      <w:r>
        <w:rPr>
          <w:b/>
          <w:sz w:val="24"/>
          <w:szCs w:val="24"/>
          <w:u w:val="single"/>
          <w:vertAlign w:val="superscript"/>
        </w:rPr>
        <w:footnoteReference w:id="6"/>
      </w:r>
    </w:p>
    <w:p w14:paraId="00000027" w14:textId="77777777" w:rsidR="007D511F" w:rsidRPr="004A1F2C" w:rsidRDefault="004A1F2C" w:rsidP="004A1F2C">
      <w:pPr>
        <w:spacing w:before="120"/>
        <w:ind w:left="0" w:hanging="2"/>
        <w:jc w:val="left"/>
        <w:rPr>
          <w:sz w:val="23"/>
          <w:szCs w:val="23"/>
          <w:lang w:val="es-MX"/>
        </w:rPr>
      </w:pPr>
      <w:r>
        <w:rPr>
          <w:sz w:val="24"/>
          <w:szCs w:val="24"/>
        </w:rPr>
        <w:t>Human Rights University Program</w:t>
      </w:r>
      <w:r>
        <w:rPr>
          <w:sz w:val="23"/>
          <w:szCs w:val="23"/>
        </w:rPr>
        <w:t xml:space="preserve"> (PUDH-UNAM). </w:t>
      </w:r>
      <w:r>
        <w:rPr>
          <w:i/>
          <w:sz w:val="23"/>
          <w:szCs w:val="23"/>
        </w:rPr>
        <w:t>Study on the regional situation of the right to a Healthy Environment in Latin America</w:t>
      </w:r>
      <w:r>
        <w:rPr>
          <w:sz w:val="23"/>
          <w:szCs w:val="23"/>
        </w:rPr>
        <w:t xml:space="preserve">. </w:t>
      </w:r>
      <w:r w:rsidRPr="004A1F2C">
        <w:rPr>
          <w:sz w:val="23"/>
          <w:szCs w:val="23"/>
          <w:lang w:val="es-MX"/>
        </w:rPr>
        <w:t>Laura Elisa Pérez Gómez and Amilcar Paris Mandoki. 147 pp. October, 2023</w:t>
      </w:r>
      <w:r>
        <w:rPr>
          <w:sz w:val="23"/>
          <w:szCs w:val="23"/>
          <w:vertAlign w:val="superscript"/>
        </w:rPr>
        <w:footnoteReference w:id="7"/>
      </w:r>
      <w:r w:rsidRPr="004A1F2C">
        <w:rPr>
          <w:sz w:val="23"/>
          <w:szCs w:val="23"/>
          <w:lang w:val="es-MX"/>
        </w:rPr>
        <w:t>.</w:t>
      </w:r>
    </w:p>
    <w:p w14:paraId="00000028" w14:textId="77777777" w:rsidR="007D511F" w:rsidRDefault="004A1F2C" w:rsidP="004A1F2C">
      <w:pPr>
        <w:spacing w:before="120"/>
        <w:ind w:left="0" w:hanging="2"/>
        <w:jc w:val="left"/>
        <w:rPr>
          <w:sz w:val="23"/>
          <w:szCs w:val="23"/>
        </w:rPr>
      </w:pPr>
      <w:r>
        <w:rPr>
          <w:sz w:val="23"/>
          <w:szCs w:val="23"/>
        </w:rPr>
        <w:t xml:space="preserve">PUDH-UNAM/OAS. </w:t>
      </w:r>
      <w:r>
        <w:rPr>
          <w:i/>
          <w:sz w:val="23"/>
          <w:szCs w:val="23"/>
        </w:rPr>
        <w:t xml:space="preserve">Study on the regional situation of the right to culture in Latin America based on the reports presented by the States parties to the Working Group of the Protocol of San Salvador </w:t>
      </w:r>
      <w:r>
        <w:rPr>
          <w:sz w:val="23"/>
          <w:szCs w:val="23"/>
        </w:rPr>
        <w:t>(WGPSS). OEA/</w:t>
      </w:r>
      <w:proofErr w:type="spellStart"/>
      <w:r>
        <w:rPr>
          <w:sz w:val="23"/>
          <w:szCs w:val="23"/>
        </w:rPr>
        <w:t>Ser.D</w:t>
      </w:r>
      <w:proofErr w:type="spellEnd"/>
      <w:r>
        <w:rPr>
          <w:sz w:val="23"/>
          <w:szCs w:val="23"/>
        </w:rPr>
        <w:t>/XXVI.53. ISBN 978-0-8270-7646-4. 152 pp. July, 2023</w:t>
      </w:r>
      <w:r>
        <w:rPr>
          <w:sz w:val="23"/>
          <w:szCs w:val="23"/>
          <w:vertAlign w:val="superscript"/>
        </w:rPr>
        <w:footnoteReference w:id="8"/>
      </w:r>
      <w:r>
        <w:rPr>
          <w:sz w:val="23"/>
          <w:szCs w:val="23"/>
        </w:rPr>
        <w:t>.</w:t>
      </w:r>
    </w:p>
    <w:p w14:paraId="00000029" w14:textId="77777777" w:rsidR="007D511F" w:rsidRDefault="004A1F2C" w:rsidP="004A1F2C">
      <w:pPr>
        <w:spacing w:before="120"/>
        <w:ind w:left="0" w:hanging="2"/>
        <w:jc w:val="left"/>
        <w:rPr>
          <w:sz w:val="23"/>
          <w:szCs w:val="23"/>
        </w:rPr>
      </w:pPr>
      <w:r>
        <w:rPr>
          <w:sz w:val="23"/>
          <w:szCs w:val="23"/>
        </w:rPr>
        <w:t xml:space="preserve">University of Buenos Aires, Faculty of Law. </w:t>
      </w:r>
      <w:r>
        <w:rPr>
          <w:i/>
          <w:sz w:val="23"/>
          <w:szCs w:val="23"/>
        </w:rPr>
        <w:t>Right to adequate food in Latin America and the Caribbean. Challenges and keys for its guarantee, protection and realization</w:t>
      </w:r>
      <w:r>
        <w:rPr>
          <w:sz w:val="23"/>
          <w:szCs w:val="23"/>
        </w:rPr>
        <w:t xml:space="preserve">. Laura </w:t>
      </w:r>
      <w:proofErr w:type="spellStart"/>
      <w:r>
        <w:rPr>
          <w:sz w:val="23"/>
          <w:szCs w:val="23"/>
        </w:rPr>
        <w:t>Pautassi</w:t>
      </w:r>
      <w:proofErr w:type="spellEnd"/>
      <w:r>
        <w:rPr>
          <w:sz w:val="23"/>
          <w:szCs w:val="23"/>
        </w:rPr>
        <w:t xml:space="preserve">; Laura Elisa Pérez Gómez; et. to the. </w:t>
      </w:r>
      <w:r>
        <w:rPr>
          <w:i/>
          <w:sz w:val="23"/>
          <w:szCs w:val="23"/>
        </w:rPr>
        <w:t>Chapter 2. Progress indicators for the right to adequate food in eight Latin American countries</w:t>
      </w:r>
      <w:r>
        <w:rPr>
          <w:sz w:val="23"/>
          <w:szCs w:val="23"/>
        </w:rPr>
        <w:t>. pp. 73-154. ISBN 978-950-23-3261-1. June 2022</w:t>
      </w:r>
      <w:r>
        <w:rPr>
          <w:sz w:val="23"/>
          <w:szCs w:val="23"/>
          <w:vertAlign w:val="superscript"/>
        </w:rPr>
        <w:footnoteReference w:id="9"/>
      </w:r>
      <w:r>
        <w:rPr>
          <w:sz w:val="23"/>
          <w:szCs w:val="23"/>
        </w:rPr>
        <w:t>.</w:t>
      </w:r>
    </w:p>
    <w:p w14:paraId="0000002A" w14:textId="77777777" w:rsidR="007D511F" w:rsidRDefault="004A1F2C" w:rsidP="004A1F2C">
      <w:pPr>
        <w:spacing w:before="120"/>
        <w:ind w:left="0" w:hanging="2"/>
        <w:jc w:val="left"/>
        <w:rPr>
          <w:sz w:val="23"/>
          <w:szCs w:val="23"/>
        </w:rPr>
      </w:pPr>
      <w:r>
        <w:rPr>
          <w:sz w:val="23"/>
          <w:szCs w:val="23"/>
        </w:rPr>
        <w:t xml:space="preserve">PUDH-UNAM. </w:t>
      </w:r>
      <w:r>
        <w:rPr>
          <w:i/>
          <w:sz w:val="23"/>
          <w:szCs w:val="23"/>
        </w:rPr>
        <w:t xml:space="preserve">Proposal for a system of monitoring indicators for the </w:t>
      </w:r>
      <w:proofErr w:type="spellStart"/>
      <w:r>
        <w:rPr>
          <w:i/>
          <w:sz w:val="23"/>
          <w:szCs w:val="23"/>
        </w:rPr>
        <w:t>Escazú</w:t>
      </w:r>
      <w:proofErr w:type="spellEnd"/>
      <w:r>
        <w:rPr>
          <w:i/>
          <w:sz w:val="23"/>
          <w:szCs w:val="23"/>
        </w:rPr>
        <w:t xml:space="preserve"> Agreement</w:t>
      </w:r>
      <w:r>
        <w:rPr>
          <w:sz w:val="23"/>
          <w:szCs w:val="23"/>
        </w:rPr>
        <w:t>. 2021</w:t>
      </w:r>
      <w:r>
        <w:rPr>
          <w:sz w:val="23"/>
          <w:szCs w:val="23"/>
          <w:vertAlign w:val="superscript"/>
        </w:rPr>
        <w:footnoteReference w:id="10"/>
      </w:r>
      <w:r>
        <w:rPr>
          <w:sz w:val="23"/>
          <w:szCs w:val="23"/>
        </w:rPr>
        <w:t>.</w:t>
      </w:r>
    </w:p>
    <w:p w14:paraId="0000002B" w14:textId="77777777" w:rsidR="007D511F" w:rsidRDefault="004A1F2C" w:rsidP="004A1F2C">
      <w:pPr>
        <w:spacing w:before="120"/>
        <w:ind w:left="0" w:hanging="2"/>
        <w:jc w:val="left"/>
        <w:rPr>
          <w:sz w:val="23"/>
          <w:szCs w:val="23"/>
        </w:rPr>
      </w:pPr>
      <w:r>
        <w:rPr>
          <w:sz w:val="23"/>
          <w:szCs w:val="23"/>
        </w:rPr>
        <w:t xml:space="preserve">National Autonomous University of Mexico and National University of Colombia. </w:t>
      </w:r>
      <w:r>
        <w:rPr>
          <w:i/>
          <w:sz w:val="23"/>
          <w:szCs w:val="23"/>
        </w:rPr>
        <w:t>Evaluation indicators and strategic proposals for intercultural public policies with focus on human rights. Main findings for intercultural public policies in Mexico and Colombia</w:t>
      </w:r>
      <w:r>
        <w:rPr>
          <w:sz w:val="23"/>
          <w:szCs w:val="23"/>
        </w:rPr>
        <w:t>. eBook. July, 2021</w:t>
      </w:r>
      <w:r>
        <w:rPr>
          <w:sz w:val="23"/>
          <w:szCs w:val="23"/>
          <w:vertAlign w:val="superscript"/>
        </w:rPr>
        <w:footnoteReference w:id="11"/>
      </w:r>
      <w:r>
        <w:rPr>
          <w:sz w:val="23"/>
          <w:szCs w:val="23"/>
        </w:rPr>
        <w:t>.</w:t>
      </w:r>
    </w:p>
    <w:p w14:paraId="0000002C" w14:textId="77777777" w:rsidR="007D511F" w:rsidRDefault="004A1F2C" w:rsidP="004A1F2C">
      <w:pPr>
        <w:spacing w:before="120"/>
        <w:ind w:left="0" w:hanging="2"/>
        <w:jc w:val="left"/>
        <w:rPr>
          <w:sz w:val="23"/>
          <w:szCs w:val="23"/>
        </w:rPr>
      </w:pPr>
      <w:r>
        <w:rPr>
          <w:sz w:val="23"/>
          <w:szCs w:val="23"/>
        </w:rPr>
        <w:t xml:space="preserve">Economic Commission for Latin America and the Caribbean (ECLAC). </w:t>
      </w:r>
      <w:r>
        <w:rPr>
          <w:i/>
          <w:sz w:val="23"/>
          <w:szCs w:val="23"/>
        </w:rPr>
        <w:t>Systematization of the concept of vital minimum and its legal, political and budgetary implications</w:t>
      </w:r>
      <w:r>
        <w:rPr>
          <w:sz w:val="23"/>
          <w:szCs w:val="23"/>
        </w:rPr>
        <w:t>. In “Principle of the Minimum Vital in Jalisco, implications in the processes for planning and budgeting: study with a recommendation nature”; Section I, pp. 9-38; Annexes A1-A4, pp. 117-139. April, 2019</w:t>
      </w:r>
      <w:r>
        <w:rPr>
          <w:sz w:val="23"/>
          <w:szCs w:val="23"/>
          <w:vertAlign w:val="superscript"/>
        </w:rPr>
        <w:footnoteReference w:id="12"/>
      </w:r>
      <w:r>
        <w:rPr>
          <w:sz w:val="23"/>
          <w:szCs w:val="23"/>
        </w:rPr>
        <w:t>.</w:t>
      </w:r>
    </w:p>
    <w:p w14:paraId="0000002D" w14:textId="77777777" w:rsidR="007D511F" w:rsidRDefault="004A1F2C" w:rsidP="004A1F2C">
      <w:pPr>
        <w:spacing w:before="120"/>
        <w:ind w:left="0" w:hanging="2"/>
        <w:jc w:val="left"/>
        <w:rPr>
          <w:sz w:val="23"/>
          <w:szCs w:val="23"/>
        </w:rPr>
      </w:pPr>
      <w:r>
        <w:rPr>
          <w:sz w:val="23"/>
          <w:szCs w:val="23"/>
        </w:rPr>
        <w:t xml:space="preserve">National Council to prevent Discrimination. </w:t>
      </w:r>
      <w:r>
        <w:rPr>
          <w:i/>
          <w:sz w:val="23"/>
          <w:szCs w:val="23"/>
        </w:rPr>
        <w:t>Guide for generation of indicators on discriminatory practices and their effects</w:t>
      </w:r>
      <w:r>
        <w:rPr>
          <w:sz w:val="23"/>
          <w:szCs w:val="23"/>
        </w:rPr>
        <w:t>. CONAPRED/PUDH-UNAM agreement. December, 2018</w:t>
      </w:r>
      <w:r>
        <w:rPr>
          <w:sz w:val="23"/>
          <w:szCs w:val="23"/>
          <w:vertAlign w:val="superscript"/>
        </w:rPr>
        <w:footnoteReference w:id="13"/>
      </w:r>
      <w:r>
        <w:rPr>
          <w:sz w:val="23"/>
          <w:szCs w:val="23"/>
        </w:rPr>
        <w:t>.</w:t>
      </w:r>
    </w:p>
    <w:p w14:paraId="0000002E" w14:textId="77777777" w:rsidR="007D511F" w:rsidRDefault="004A1F2C" w:rsidP="004A1F2C">
      <w:pPr>
        <w:spacing w:before="120"/>
        <w:ind w:left="0" w:hanging="2"/>
        <w:jc w:val="left"/>
        <w:rPr>
          <w:sz w:val="23"/>
          <w:szCs w:val="23"/>
        </w:rPr>
      </w:pPr>
      <w:r>
        <w:rPr>
          <w:sz w:val="23"/>
          <w:szCs w:val="23"/>
        </w:rPr>
        <w:t xml:space="preserve">General Secretariat of the Organization of American States (GS/OAS). </w:t>
      </w:r>
      <w:r>
        <w:rPr>
          <w:i/>
          <w:sz w:val="23"/>
          <w:szCs w:val="23"/>
        </w:rPr>
        <w:t>Guide for preparation and presentation of progress indicators for the Protocol of San Salvador</w:t>
      </w:r>
      <w:r>
        <w:rPr>
          <w:sz w:val="23"/>
          <w:szCs w:val="23"/>
        </w:rPr>
        <w:t>. 198 pp. August, 2018</w:t>
      </w:r>
      <w:r>
        <w:rPr>
          <w:sz w:val="23"/>
          <w:szCs w:val="23"/>
          <w:vertAlign w:val="superscript"/>
        </w:rPr>
        <w:footnoteReference w:id="14"/>
      </w:r>
      <w:r>
        <w:rPr>
          <w:sz w:val="23"/>
          <w:szCs w:val="23"/>
        </w:rPr>
        <w:t>.</w:t>
      </w:r>
    </w:p>
    <w:p w14:paraId="0000002F" w14:textId="77777777" w:rsidR="007D511F" w:rsidRDefault="004A1F2C" w:rsidP="007D511F">
      <w:pPr>
        <w:spacing w:before="120"/>
        <w:ind w:left="0" w:hanging="2"/>
        <w:jc w:val="left"/>
        <w:rPr>
          <w:sz w:val="23"/>
          <w:szCs w:val="23"/>
        </w:rPr>
      </w:pPr>
      <w:r>
        <w:rPr>
          <w:sz w:val="23"/>
          <w:szCs w:val="23"/>
        </w:rPr>
        <w:t xml:space="preserve">University of Manizales. </w:t>
      </w:r>
      <w:r>
        <w:rPr>
          <w:i/>
          <w:sz w:val="23"/>
          <w:szCs w:val="23"/>
        </w:rPr>
        <w:t>Right to Food in Latin America and the Caribbean 2017</w:t>
      </w:r>
      <w:r>
        <w:rPr>
          <w:sz w:val="23"/>
          <w:szCs w:val="23"/>
        </w:rPr>
        <w:t xml:space="preserve">. </w:t>
      </w:r>
      <w:r>
        <w:rPr>
          <w:i/>
          <w:sz w:val="23"/>
          <w:szCs w:val="23"/>
        </w:rPr>
        <w:t xml:space="preserve">Chap. 7: Linking the measurement instrument for the Protocol of San Salvador </w:t>
      </w:r>
      <w:r w:rsidRPr="004A1F2C">
        <w:rPr>
          <w:i/>
          <w:sz w:val="23"/>
          <w:szCs w:val="23"/>
        </w:rPr>
        <w:t>for monitoring</w:t>
      </w:r>
      <w:r>
        <w:rPr>
          <w:i/>
          <w:sz w:val="23"/>
          <w:szCs w:val="23"/>
        </w:rPr>
        <w:t xml:space="preserve"> the 2030 Agenda and its application for public policy design for the right to food</w:t>
      </w:r>
      <w:r>
        <w:rPr>
          <w:sz w:val="23"/>
          <w:szCs w:val="23"/>
        </w:rPr>
        <w:t>, pp. 175-193</w:t>
      </w:r>
      <w:r>
        <w:rPr>
          <w:sz w:val="23"/>
          <w:szCs w:val="23"/>
          <w:vertAlign w:val="superscript"/>
        </w:rPr>
        <w:footnoteReference w:id="15"/>
      </w:r>
      <w:r>
        <w:rPr>
          <w:sz w:val="23"/>
          <w:szCs w:val="23"/>
        </w:rPr>
        <w:t>.</w:t>
      </w:r>
    </w:p>
    <w:sectPr w:rsidR="007D511F">
      <w:headerReference w:type="even" r:id="rId7"/>
      <w:headerReference w:type="default" r:id="rId8"/>
      <w:pgSz w:w="11907" w:h="16840"/>
      <w:pgMar w:top="1418" w:right="1418" w:bottom="737" w:left="1418"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55D" w14:textId="77777777" w:rsidR="00DA037D" w:rsidRDefault="00DA037D" w:rsidP="004A1F2C">
      <w:pPr>
        <w:spacing w:line="240" w:lineRule="auto"/>
        <w:ind w:left="0" w:hanging="2"/>
      </w:pPr>
      <w:r>
        <w:separator/>
      </w:r>
    </w:p>
  </w:endnote>
  <w:endnote w:type="continuationSeparator" w:id="0">
    <w:p w14:paraId="0855F2F0" w14:textId="77777777" w:rsidR="00DA037D" w:rsidRDefault="00DA037D" w:rsidP="004A1F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313D" w14:textId="77777777" w:rsidR="00DA037D" w:rsidRDefault="00DA037D" w:rsidP="004A1F2C">
      <w:pPr>
        <w:spacing w:line="240" w:lineRule="auto"/>
        <w:ind w:left="0" w:hanging="2"/>
      </w:pPr>
      <w:r>
        <w:separator/>
      </w:r>
    </w:p>
  </w:footnote>
  <w:footnote w:type="continuationSeparator" w:id="0">
    <w:p w14:paraId="5DD00077" w14:textId="77777777" w:rsidR="00DA037D" w:rsidRDefault="00DA037D" w:rsidP="004A1F2C">
      <w:pPr>
        <w:spacing w:line="240" w:lineRule="auto"/>
        <w:ind w:left="0" w:hanging="2"/>
      </w:pPr>
      <w:r>
        <w:continuationSeparator/>
      </w:r>
    </w:p>
  </w:footnote>
  <w:footnote w:id="1">
    <w:p w14:paraId="00000030"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
        <w:r>
          <w:rPr>
            <w:color w:val="0000FF"/>
            <w:sz w:val="16"/>
            <w:szCs w:val="16"/>
            <w:u w:val="single"/>
          </w:rPr>
          <w:t>https://snedh.segob.gob.mx/</w:t>
        </w:r>
      </w:hyperlink>
    </w:p>
  </w:footnote>
  <w:footnote w:id="2">
    <w:p w14:paraId="00000031"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2">
        <w:r>
          <w:rPr>
            <w:color w:val="0000FF"/>
            <w:sz w:val="16"/>
            <w:szCs w:val="16"/>
            <w:u w:val="single"/>
          </w:rPr>
          <w:t>https://www.oas.org/es/sadye/inclusion-social/protocolo-ssv/docs/GTPSS_Nota_oficial_eleccion_Presidencia.pdf</w:t>
        </w:r>
      </w:hyperlink>
    </w:p>
  </w:footnote>
  <w:footnote w:id="3">
    <w:p w14:paraId="00000032"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3">
        <w:r>
          <w:rPr>
            <w:color w:val="0000FF"/>
            <w:sz w:val="16"/>
            <w:szCs w:val="16"/>
            <w:u w:val="single"/>
          </w:rPr>
          <w:t>http://www.pudh.unam.mx/directorio_pudh.html</w:t>
        </w:r>
      </w:hyperlink>
    </w:p>
  </w:footnote>
  <w:footnote w:id="4">
    <w:p w14:paraId="00000033"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4">
        <w:r>
          <w:rPr>
            <w:color w:val="0000FF"/>
            <w:sz w:val="16"/>
            <w:szCs w:val="16"/>
            <w:u w:val="single"/>
          </w:rPr>
          <w:t>https://www.gob.mx/conapo/es/articulos/consejo-consultivo-ciudadano-para-la-politica-de-poblacion-22242?idiom=es</w:t>
        </w:r>
      </w:hyperlink>
    </w:p>
  </w:footnote>
  <w:footnote w:id="5">
    <w:p w14:paraId="00000034"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5">
        <w:r>
          <w:rPr>
            <w:color w:val="0000FF"/>
            <w:sz w:val="16"/>
            <w:szCs w:val="16"/>
            <w:u w:val="single"/>
          </w:rPr>
          <w:t>https://www.gob.mx/agenda2030/documentos/estrategia-nacional-de-la-implementacion-de-la-agenda-2030-para-el-desarrollo-sostenible-en-mexico</w:t>
        </w:r>
      </w:hyperlink>
    </w:p>
  </w:footnote>
  <w:footnote w:id="6">
    <w:p w14:paraId="00000035"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Other publications available at:</w:t>
      </w:r>
      <w:hyperlink r:id="rId6">
        <w:r>
          <w:rPr>
            <w:color w:val="0000FF"/>
            <w:sz w:val="16"/>
            <w:szCs w:val="16"/>
            <w:u w:val="single"/>
          </w:rPr>
          <w:t>http://www.pudh.unam.mx/index_publicaciones.html</w:t>
        </w:r>
      </w:hyperlink>
    </w:p>
  </w:footnote>
  <w:footnote w:id="7">
    <w:p w14:paraId="00000036"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7">
        <w:r>
          <w:rPr>
            <w:color w:val="0000FF"/>
            <w:sz w:val="16"/>
            <w:szCs w:val="16"/>
            <w:u w:val="single"/>
          </w:rPr>
          <w:t>http://www.pudh.unam.mx/publicaciones/Estudio_situacion_regional_derecho_medio_ambiente.pdf</w:t>
        </w:r>
      </w:hyperlink>
      <w:r>
        <w:rPr>
          <w:color w:val="000000"/>
          <w:sz w:val="16"/>
          <w:szCs w:val="16"/>
        </w:rPr>
        <w:t xml:space="preserve"> </w:t>
      </w:r>
    </w:p>
  </w:footnote>
  <w:footnote w:id="8">
    <w:p w14:paraId="00000037"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8">
        <w:r>
          <w:rPr>
            <w:color w:val="0000FF"/>
            <w:sz w:val="16"/>
            <w:szCs w:val="16"/>
            <w:u w:val="single"/>
          </w:rPr>
          <w:t>https://www.oas.org/es/sadye/inclusion-social/protocolo-ssv/docs/Estudio_situacionregional_derecho.pdf</w:t>
        </w:r>
      </w:hyperlink>
    </w:p>
  </w:footnote>
  <w:footnote w:id="9">
    <w:p w14:paraId="00000038"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9">
        <w:r>
          <w:rPr>
            <w:color w:val="0000FF"/>
            <w:sz w:val="16"/>
            <w:szCs w:val="16"/>
            <w:u w:val="single"/>
          </w:rPr>
          <w:t>https://www.fao.org/3/cc0275es/cc0275es.pdf</w:t>
        </w:r>
      </w:hyperlink>
    </w:p>
  </w:footnote>
  <w:footnote w:id="10">
    <w:p w14:paraId="00000039"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0">
        <w:r>
          <w:rPr>
            <w:color w:val="0000FF"/>
            <w:sz w:val="16"/>
            <w:szCs w:val="16"/>
            <w:u w:val="single"/>
          </w:rPr>
          <w:t>http://www.pudh.unam.mx/publicaciones/propuesta_sistema_indicadores_acuerdo_escazu.pdf</w:t>
        </w:r>
      </w:hyperlink>
    </w:p>
  </w:footnote>
  <w:footnote w:id="11">
    <w:p w14:paraId="0000003A"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1">
        <w:r>
          <w:rPr>
            <w:color w:val="0000FF"/>
            <w:sz w:val="16"/>
            <w:szCs w:val="16"/>
            <w:u w:val="single"/>
          </w:rPr>
          <w:t>https://biblioteca-repositorio.clacso.edu.ar/handle/CLACSO/3942</w:t>
        </w:r>
      </w:hyperlink>
    </w:p>
  </w:footnote>
  <w:footnote w:id="12">
    <w:p w14:paraId="0000003B"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2">
        <w:r>
          <w:rPr>
            <w:color w:val="0000FF"/>
            <w:sz w:val="16"/>
            <w:szCs w:val="16"/>
            <w:u w:val="single"/>
          </w:rPr>
          <w:t>https://www.cepal.org/es/publicaciones/44582-principio-minimo-vital-jalisco-implicaciones-procesos-la-planeacion</w:t>
        </w:r>
      </w:hyperlink>
    </w:p>
  </w:footnote>
  <w:footnote w:id="13">
    <w:p w14:paraId="0000003C"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3">
        <w:r>
          <w:rPr>
            <w:color w:val="0000FF"/>
            <w:sz w:val="16"/>
            <w:szCs w:val="16"/>
            <w:u w:val="single"/>
          </w:rPr>
          <w:t>http://sindis.conapred.org.mx/investigaciones/guia-para-la-generacion-de-indicadores-sobre-practicas-discriminatorias-y-sus-efectos-2/</w:t>
        </w:r>
      </w:hyperlink>
    </w:p>
  </w:footnote>
  <w:footnote w:id="14">
    <w:p w14:paraId="0000003D"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4">
        <w:r>
          <w:rPr>
            <w:color w:val="0000FF"/>
            <w:sz w:val="16"/>
            <w:szCs w:val="16"/>
            <w:u w:val="single"/>
          </w:rPr>
          <w:t>http://www.oas.org/es/sadye/inclusion-social/protocolo-ssv/docs/MANUAL_INDICADORES.pdf</w:t>
        </w:r>
      </w:hyperlink>
    </w:p>
  </w:footnote>
  <w:footnote w:id="15">
    <w:p w14:paraId="0000003E" w14:textId="77777777" w:rsidR="007D511F" w:rsidRDefault="004A1F2C" w:rsidP="004A1F2C">
      <w:pPr>
        <w:pBdr>
          <w:top w:val="nil"/>
          <w:left w:val="nil"/>
          <w:bottom w:val="nil"/>
          <w:right w:val="nil"/>
          <w:between w:val="nil"/>
        </w:pBdr>
        <w:spacing w:line="240" w:lineRule="auto"/>
        <w:ind w:left="0" w:hanging="2"/>
        <w:jc w:val="left"/>
        <w:rPr>
          <w:color w:val="000000"/>
          <w:sz w:val="16"/>
          <w:szCs w:val="16"/>
        </w:rPr>
      </w:pPr>
      <w:r>
        <w:rPr>
          <w:vertAlign w:val="superscript"/>
        </w:rPr>
        <w:footnoteRef/>
      </w:r>
      <w:r>
        <w:rPr>
          <w:color w:val="000000"/>
          <w:sz w:val="16"/>
          <w:szCs w:val="16"/>
        </w:rPr>
        <w:t xml:space="preserve"> </w:t>
      </w:r>
      <w:hyperlink r:id="rId15">
        <w:r>
          <w:rPr>
            <w:color w:val="0000FF"/>
            <w:sz w:val="16"/>
            <w:szCs w:val="16"/>
            <w:u w:val="single"/>
          </w:rPr>
          <w:t>http://www.fao.org/right-to-food/resources/resources-detail/es/c/1418178/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7D511F" w:rsidRDefault="004A1F2C" w:rsidP="004A1F2C">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94810">
      <w:rPr>
        <w:noProof/>
        <w:color w:val="000000"/>
      </w:rPr>
      <w:t>2</w:t>
    </w:r>
    <w:r>
      <w:rPr>
        <w:color w:val="000000"/>
      </w:rPr>
      <w:fldChar w:fldCharType="end"/>
    </w:r>
  </w:p>
  <w:p w14:paraId="00000044" w14:textId="77777777" w:rsidR="007D511F" w:rsidRDefault="007D511F" w:rsidP="004A1F2C">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7D511F" w:rsidRDefault="004A1F2C" w:rsidP="004A1F2C">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94810">
      <w:rPr>
        <w:noProof/>
        <w:color w:val="000000"/>
      </w:rPr>
      <w:t>1</w:t>
    </w:r>
    <w:r>
      <w:rPr>
        <w:color w:val="000000"/>
      </w:rPr>
      <w:fldChar w:fldCharType="end"/>
    </w:r>
  </w:p>
  <w:p w14:paraId="00000040" w14:textId="77777777" w:rsidR="007D511F" w:rsidRDefault="007D511F" w:rsidP="004A1F2C">
    <w:pPr>
      <w:pBdr>
        <w:top w:val="nil"/>
        <w:left w:val="nil"/>
        <w:bottom w:val="nil"/>
        <w:right w:val="nil"/>
        <w:between w:val="nil"/>
      </w:pBdr>
      <w:tabs>
        <w:tab w:val="center" w:pos="4153"/>
        <w:tab w:val="right" w:pos="8306"/>
      </w:tabs>
      <w:spacing w:line="240" w:lineRule="auto"/>
      <w:ind w:left="0" w:hanging="2"/>
      <w:jc w:val="center"/>
      <w:rPr>
        <w:color w:val="000000"/>
      </w:rPr>
    </w:pPr>
  </w:p>
  <w:p w14:paraId="00000041" w14:textId="77777777" w:rsidR="007D511F" w:rsidRDefault="007D511F" w:rsidP="004A1F2C">
    <w:pPr>
      <w:pBdr>
        <w:top w:val="nil"/>
        <w:left w:val="nil"/>
        <w:bottom w:val="nil"/>
        <w:right w:val="nil"/>
        <w:between w:val="nil"/>
      </w:pBdr>
      <w:tabs>
        <w:tab w:val="center" w:pos="4153"/>
        <w:tab w:val="right" w:pos="8306"/>
      </w:tabs>
      <w:spacing w:line="240" w:lineRule="auto"/>
      <w:ind w:left="0" w:hanging="2"/>
      <w:jc w:val="center"/>
      <w:rPr>
        <w:color w:val="000000"/>
      </w:rPr>
    </w:pPr>
  </w:p>
  <w:p w14:paraId="00000042" w14:textId="77777777" w:rsidR="007D511F" w:rsidRDefault="007D511F" w:rsidP="004A1F2C">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1F"/>
    <w:rsid w:val="00040AC7"/>
    <w:rsid w:val="00094810"/>
    <w:rsid w:val="004A1F2C"/>
    <w:rsid w:val="004E3AB2"/>
    <w:rsid w:val="007D511F"/>
    <w:rsid w:val="00DA0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4B22F-4240-48BA-B84B-A7BA2283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MX"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ar-SA"/>
    </w:rPr>
  </w:style>
  <w:style w:type="paragraph" w:styleId="Ttulo1">
    <w:name w:val="heading 1"/>
    <w:basedOn w:val="Normal"/>
    <w:next w:val="Normal"/>
    <w:pPr>
      <w:keepNext/>
      <w:ind w:left="2880" w:hanging="2880"/>
      <w:jc w:val="both"/>
    </w:pPr>
    <w:rPr>
      <w:b/>
      <w:bCs/>
      <w:sz w:val="28"/>
      <w:u w:val="single"/>
    </w:rPr>
  </w:style>
  <w:style w:type="paragraph" w:styleId="Ttulo2">
    <w:name w:val="heading 2"/>
    <w:basedOn w:val="Normal"/>
    <w:next w:val="Normal"/>
    <w:pPr>
      <w:keepNext/>
      <w:jc w:val="lowKashida"/>
      <w:outlineLvl w:val="1"/>
    </w:pPr>
    <w:rPr>
      <w:b/>
      <w:bCs/>
      <w:sz w:val="32"/>
      <w:u w:val="single"/>
    </w:rPr>
  </w:style>
  <w:style w:type="paragraph" w:styleId="Ttulo3">
    <w:name w:val="heading 3"/>
    <w:basedOn w:val="Normal"/>
    <w:next w:val="Normal"/>
    <w:pPr>
      <w:keepNext/>
      <w:jc w:val="center"/>
      <w:outlineLvl w:val="2"/>
    </w:pPr>
    <w:rPr>
      <w:b/>
      <w:sz w:val="24"/>
      <w:u w:val="single"/>
    </w:rPr>
  </w:style>
  <w:style w:type="paragraph" w:styleId="Ttulo4">
    <w:name w:val="heading 4"/>
    <w:basedOn w:val="Normal"/>
    <w:next w:val="Normal"/>
    <w:pPr>
      <w:keepNext/>
      <w:ind w:left="2880" w:hanging="2880"/>
      <w:jc w:val="center"/>
      <w:outlineLvl w:val="3"/>
    </w:pPr>
    <w:rPr>
      <w:b/>
      <w:sz w:val="24"/>
      <w:u w:val="single"/>
    </w:rPr>
  </w:style>
  <w:style w:type="paragraph" w:styleId="Ttulo5">
    <w:name w:val="heading 5"/>
    <w:basedOn w:val="Normal"/>
    <w:next w:val="Normal"/>
    <w:pPr>
      <w:keepNext/>
      <w:jc w:val="center"/>
      <w:outlineLvl w:val="4"/>
    </w:pPr>
    <w:rPr>
      <w:b/>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Address">
    <w:name w:val="Address"/>
    <w:basedOn w:val="Textoindependiente"/>
    <w:pPr>
      <w:keepLines/>
      <w:spacing w:after="0"/>
      <w:ind w:left="-1080" w:right="3960"/>
      <w:jc w:val="left"/>
    </w:pPr>
  </w:style>
  <w:style w:type="paragraph" w:styleId="Textoindependiente">
    <w:name w:val="Body Text"/>
    <w:basedOn w:val="Normal"/>
    <w:pPr>
      <w:spacing w:after="120"/>
      <w:ind w:left="0"/>
    </w:pPr>
  </w:style>
  <w:style w:type="paragraph" w:styleId="Encabezado">
    <w:name w:val="header"/>
    <w:basedOn w:val="Normal"/>
    <w:pPr>
      <w:tabs>
        <w:tab w:val="center" w:pos="4153"/>
        <w:tab w:val="right" w:pos="8306"/>
      </w:tabs>
      <w:ind w:left="0"/>
    </w:p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153"/>
        <w:tab w:val="right" w:pos="8306"/>
      </w:tabs>
      <w:ind w:left="0"/>
    </w:pPr>
  </w:style>
  <w:style w:type="paragraph" w:styleId="Sangradetextonormal">
    <w:name w:val="Body Text Indent"/>
    <w:basedOn w:val="Normal"/>
    <w:pPr>
      <w:ind w:left="2880" w:hanging="2880"/>
      <w:jc w:val="both"/>
    </w:pPr>
    <w:rPr>
      <w:b/>
      <w:bCs/>
      <w:sz w:val="28"/>
    </w:rPr>
  </w:style>
  <w:style w:type="paragraph" w:styleId="Sangra2detindependiente">
    <w:name w:val="Body Text Indent 2"/>
    <w:basedOn w:val="Normal"/>
    <w:pPr>
      <w:ind w:left="2835" w:hanging="2835"/>
      <w:jc w:val="both"/>
    </w:pPr>
    <w:rPr>
      <w:b/>
      <w:bCs/>
      <w:sz w:val="28"/>
    </w:rPr>
  </w:style>
  <w:style w:type="paragraph" w:styleId="Sangra3detindependiente">
    <w:name w:val="Body Text Indent 3"/>
    <w:basedOn w:val="Normal"/>
    <w:pPr>
      <w:ind w:left="2880"/>
      <w:jc w:val="left"/>
    </w:pPr>
    <w:rPr>
      <w:b/>
      <w:bCs/>
      <w:sz w:val="28"/>
      <w:szCs w:val="28"/>
    </w:rPr>
  </w:style>
  <w:style w:type="paragraph" w:styleId="Textoindependiente2">
    <w:name w:val="Body Text 2"/>
    <w:basedOn w:val="Normal"/>
    <w:pPr>
      <w:jc w:val="both"/>
    </w:pPr>
    <w:rPr>
      <w:b/>
    </w:rPr>
  </w:style>
  <w:style w:type="paragraph" w:styleId="Textodeglobo">
    <w:name w:val="Balloon Text"/>
    <w:basedOn w:val="Normal"/>
    <w:rPr>
      <w:rFonts w:ascii="Tahoma" w:hAnsi="Tahoma" w:cs="Tahoma"/>
      <w:sz w:val="16"/>
      <w:szCs w:val="16"/>
    </w:rPr>
  </w:style>
  <w:style w:type="paragraph" w:styleId="Textonotapie">
    <w:name w:val="footnote text"/>
    <w:basedOn w:val="Normal"/>
  </w:style>
  <w:style w:type="character" w:customStyle="1" w:styleId="TextonotapieCar">
    <w:name w:val="Texto nota pie Car"/>
    <w:rPr>
      <w:w w:val="100"/>
      <w:position w:val="-1"/>
      <w:effect w:val="none"/>
      <w:vertAlign w:val="baseline"/>
      <w:cs w:val="0"/>
      <w:em w:val="none"/>
      <w:lang w:val="en-US" w:eastAsia="ar-SA"/>
    </w:rPr>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sadye/inclusion-social/protocolo-ssv/docs/Estudio_situacionregional_derecho.pdf" TargetMode="External"/><Relationship Id="rId13" Type="http://schemas.openxmlformats.org/officeDocument/2006/relationships/hyperlink" Target="http://sindis.conapred.org.mx/investigaciones/guia-para-la-generacion-de-indicadores-sobre-practicas-discriminatorias-y-sus-efectos-2/" TargetMode="External"/><Relationship Id="rId3" Type="http://schemas.openxmlformats.org/officeDocument/2006/relationships/hyperlink" Target="http://www.pudh.unam.mx/directorio_pudh.html" TargetMode="External"/><Relationship Id="rId7" Type="http://schemas.openxmlformats.org/officeDocument/2006/relationships/hyperlink" Target="http://www.pudh.unam.mx/publicaciones/Estudio_situacion_regional_derecho_medio_ambiente.pdf" TargetMode="External"/><Relationship Id="rId12" Type="http://schemas.openxmlformats.org/officeDocument/2006/relationships/hyperlink" Target="https://www.cepal.org/es/publicaciones/44582-principio-minimo-vital-jalisco-implicaciones-procesos-la-planeacion" TargetMode="External"/><Relationship Id="rId2" Type="http://schemas.openxmlformats.org/officeDocument/2006/relationships/hyperlink" Target="https://www.oas.org/es/sadye/inclusion-social/protocolo-ssv/docs/GTPSS_Nota_oficial_eleccion_Presidencia.pdf" TargetMode="External"/><Relationship Id="rId1" Type="http://schemas.openxmlformats.org/officeDocument/2006/relationships/hyperlink" Target="https://snedh.segob.gob.mx/" TargetMode="External"/><Relationship Id="rId6" Type="http://schemas.openxmlformats.org/officeDocument/2006/relationships/hyperlink" Target="http://www.pudh.unam.mx/index_publicaciones.html" TargetMode="External"/><Relationship Id="rId11" Type="http://schemas.openxmlformats.org/officeDocument/2006/relationships/hyperlink" Target="https://biblioteca-repositorio.clacso.edu.ar/handle/CLACSO/3942" TargetMode="External"/><Relationship Id="rId5" Type="http://schemas.openxmlformats.org/officeDocument/2006/relationships/hyperlink" Target="https://www.gob.mx/agenda2030/documentos/estrategia-nacional-de-la-implementacion-de-la-agenda-2030-para-el-desarrollo-sostenible-en-mexico" TargetMode="External"/><Relationship Id="rId15" Type="http://schemas.openxmlformats.org/officeDocument/2006/relationships/hyperlink" Target="http://www.fao.org/right-to-food/resources/resources-detail/es/c/1418178/" TargetMode="External"/><Relationship Id="rId10" Type="http://schemas.openxmlformats.org/officeDocument/2006/relationships/hyperlink" Target="http://www.pudh.unam.mx/publicaciones/propuesta_sistema_indicadores_acuerdo_escazu.pdf" TargetMode="External"/><Relationship Id="rId4" Type="http://schemas.openxmlformats.org/officeDocument/2006/relationships/hyperlink" Target="https://www.gob.mx/conapo/es/articulos/consejo-consultivo-ciudadano-para-la-politica-de-poblacion-22242?idiom=es" TargetMode="External"/><Relationship Id="rId9" Type="http://schemas.openxmlformats.org/officeDocument/2006/relationships/hyperlink" Target="https://www.fao.org/3/cc0275es/cc0275es.pdf" TargetMode="External"/><Relationship Id="rId14" Type="http://schemas.openxmlformats.org/officeDocument/2006/relationships/hyperlink" Target="http://www.oas.org/es/sadye/inclusion-social/protocolo-ssv/docs/MANUAL_INDICAD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30mvyQGNIASOGM2zI1v2Roa2Q==">CgMxLjA4AHIhMVpXS0lpQjFrUU5kVjhZSkNNLV9vT3Z1eUx1NzR5UElU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بنك المعلومات</dc:creator>
  <cp:lastModifiedBy>Paulina Ceballos</cp:lastModifiedBy>
  <cp:revision>2</cp:revision>
  <dcterms:created xsi:type="dcterms:W3CDTF">2023-11-28T13:21:00Z</dcterms:created>
  <dcterms:modified xsi:type="dcterms:W3CDTF">2023-11-28T13:21:00Z</dcterms:modified>
</cp:coreProperties>
</file>