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0BEF8" w14:textId="77777777" w:rsidR="00C74EE4" w:rsidRPr="003B2D7D" w:rsidRDefault="004A4762" w:rsidP="004A4762">
      <w:pPr>
        <w:jc w:val="center"/>
        <w:rPr>
          <w:rFonts w:cstheme="minorHAnsi"/>
          <w:b/>
          <w:i/>
          <w:sz w:val="24"/>
          <w:szCs w:val="24"/>
        </w:rPr>
      </w:pPr>
      <w:r w:rsidRPr="003B2D7D">
        <w:rPr>
          <w:rFonts w:cstheme="minorHAnsi"/>
          <w:b/>
          <w:sz w:val="24"/>
          <w:szCs w:val="24"/>
        </w:rPr>
        <w:t xml:space="preserve">Comentarios sobre el Proyecto de esquema de la Observación General Nº 6 sobre la convergencia entre la </w:t>
      </w:r>
      <w:r w:rsidRPr="003B2D7D">
        <w:rPr>
          <w:rFonts w:cstheme="minorHAnsi"/>
          <w:b/>
          <w:i/>
          <w:sz w:val="24"/>
          <w:szCs w:val="24"/>
        </w:rPr>
        <w:t>Convención Internacional sobre la Protección de los Derechos de Todos los Trabajadores Migratorios y de sus Familiares</w:t>
      </w:r>
      <w:r w:rsidRPr="003B2D7D">
        <w:rPr>
          <w:rFonts w:cstheme="minorHAnsi"/>
          <w:b/>
          <w:sz w:val="24"/>
          <w:szCs w:val="24"/>
        </w:rPr>
        <w:t xml:space="preserve"> y el </w:t>
      </w:r>
      <w:r w:rsidRPr="003B2D7D">
        <w:rPr>
          <w:rFonts w:cstheme="minorHAnsi"/>
          <w:b/>
          <w:i/>
          <w:sz w:val="24"/>
          <w:szCs w:val="24"/>
        </w:rPr>
        <w:t>Pacto Mundial para la Migración Segura, Ordenada y Regular.</w:t>
      </w:r>
    </w:p>
    <w:p w14:paraId="113AD7BC" w14:textId="77777777" w:rsidR="00CF620B" w:rsidRPr="003B2D7D" w:rsidRDefault="00CF620B" w:rsidP="003B2D7D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3B2D7D">
        <w:rPr>
          <w:rFonts w:asciiTheme="majorHAnsi" w:hAnsiTheme="majorHAnsi" w:cstheme="majorHAnsi"/>
          <w:b/>
          <w:i/>
          <w:sz w:val="24"/>
          <w:szCs w:val="24"/>
        </w:rPr>
        <w:t xml:space="preserve">Comentario General: </w:t>
      </w:r>
    </w:p>
    <w:p w14:paraId="1972FE26" w14:textId="77777777" w:rsidR="00CF620B" w:rsidRDefault="00CF620B" w:rsidP="00CF620B">
      <w:pPr>
        <w:jc w:val="both"/>
        <w:rPr>
          <w:rFonts w:cstheme="minorHAnsi"/>
          <w:sz w:val="24"/>
          <w:szCs w:val="24"/>
        </w:rPr>
      </w:pPr>
      <w:r w:rsidRPr="00CF620B">
        <w:rPr>
          <w:rFonts w:cstheme="minorHAnsi"/>
          <w:sz w:val="24"/>
          <w:szCs w:val="24"/>
        </w:rPr>
        <w:t xml:space="preserve">Para esta Comisión de Derechos Humanos de la Ciudad de México resulta indispensable </w:t>
      </w:r>
      <w:r w:rsidR="00EA03ED">
        <w:rPr>
          <w:rFonts w:cstheme="minorHAnsi"/>
          <w:sz w:val="24"/>
          <w:szCs w:val="24"/>
        </w:rPr>
        <w:t>reconocer</w:t>
      </w:r>
      <w:r w:rsidRPr="00CF620B">
        <w:rPr>
          <w:rFonts w:cstheme="minorHAnsi"/>
          <w:sz w:val="24"/>
          <w:szCs w:val="24"/>
        </w:rPr>
        <w:t xml:space="preserve"> dentro del proyecto de Observación General </w:t>
      </w:r>
      <w:r w:rsidR="00EA03ED">
        <w:rPr>
          <w:rFonts w:cstheme="minorHAnsi"/>
          <w:sz w:val="24"/>
          <w:szCs w:val="24"/>
        </w:rPr>
        <w:t>que</w:t>
      </w:r>
      <w:r>
        <w:rPr>
          <w:rFonts w:cstheme="minorHAnsi"/>
          <w:sz w:val="24"/>
          <w:szCs w:val="24"/>
        </w:rPr>
        <w:t xml:space="preserve"> </w:t>
      </w:r>
      <w:r w:rsidR="00EA03ED">
        <w:rPr>
          <w:rFonts w:cstheme="minorHAnsi"/>
          <w:sz w:val="24"/>
          <w:szCs w:val="24"/>
        </w:rPr>
        <w:t xml:space="preserve">ambos instrumentos forman parte </w:t>
      </w:r>
      <w:r w:rsidRPr="00CF620B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>l</w:t>
      </w:r>
      <w:r w:rsidRPr="00CF620B">
        <w:rPr>
          <w:rFonts w:cstheme="minorHAnsi"/>
          <w:sz w:val="24"/>
          <w:szCs w:val="24"/>
        </w:rPr>
        <w:t xml:space="preserve"> </w:t>
      </w:r>
      <w:r w:rsidRPr="00CF620B">
        <w:rPr>
          <w:rFonts w:cstheme="minorHAnsi"/>
          <w:i/>
          <w:sz w:val="24"/>
          <w:szCs w:val="24"/>
        </w:rPr>
        <w:t>corpus iuris</w:t>
      </w:r>
      <w:r w:rsidRPr="00CF620B">
        <w:rPr>
          <w:rFonts w:cstheme="minorHAnsi"/>
          <w:sz w:val="24"/>
          <w:szCs w:val="24"/>
        </w:rPr>
        <w:t xml:space="preserve"> desarrollado en materia de protección</w:t>
      </w:r>
      <w:r w:rsidR="003B2D7D">
        <w:rPr>
          <w:rFonts w:cstheme="minorHAnsi"/>
          <w:sz w:val="24"/>
          <w:szCs w:val="24"/>
        </w:rPr>
        <w:t xml:space="preserve"> no solo de personas migrantes sino de </w:t>
      </w:r>
      <w:r w:rsidRPr="00CF620B">
        <w:rPr>
          <w:rFonts w:cstheme="minorHAnsi"/>
          <w:sz w:val="24"/>
          <w:szCs w:val="24"/>
        </w:rPr>
        <w:t xml:space="preserve">derechos humanos </w:t>
      </w:r>
      <w:r w:rsidR="00EA03ED">
        <w:rPr>
          <w:rFonts w:cstheme="minorHAnsi"/>
          <w:sz w:val="24"/>
          <w:szCs w:val="24"/>
        </w:rPr>
        <w:t>por lo que</w:t>
      </w:r>
      <w:r w:rsidR="003B2D7D">
        <w:rPr>
          <w:rFonts w:cstheme="minorHAnsi"/>
          <w:sz w:val="24"/>
          <w:szCs w:val="24"/>
        </w:rPr>
        <w:t>,</w:t>
      </w:r>
      <w:r w:rsidR="00EA03ED">
        <w:rPr>
          <w:rFonts w:cstheme="minorHAnsi"/>
          <w:sz w:val="24"/>
          <w:szCs w:val="24"/>
        </w:rPr>
        <w:t xml:space="preserve"> podría aplicarse a casos concretos cualquier otra convención o tratado que brinde mayor protección a las personas. </w:t>
      </w:r>
    </w:p>
    <w:p w14:paraId="6B8CA9C8" w14:textId="77777777" w:rsidR="003B2D7D" w:rsidRPr="003B2D7D" w:rsidRDefault="003B2D7D" w:rsidP="00CF620B">
      <w:pPr>
        <w:jc w:val="both"/>
        <w:rPr>
          <w:rFonts w:cstheme="minorHAnsi"/>
          <w:b/>
          <w:i/>
          <w:sz w:val="24"/>
          <w:szCs w:val="24"/>
        </w:rPr>
      </w:pPr>
      <w:r w:rsidRPr="003B2D7D">
        <w:rPr>
          <w:rFonts w:cstheme="minorHAnsi"/>
          <w:b/>
          <w:i/>
          <w:sz w:val="24"/>
          <w:szCs w:val="24"/>
        </w:rPr>
        <w:t>Comentarios particulares</w:t>
      </w: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6658"/>
        <w:gridCol w:w="6378"/>
      </w:tblGrid>
      <w:tr w:rsidR="00937B51" w:rsidRPr="0098367C" w14:paraId="20244FB2" w14:textId="77777777" w:rsidTr="00EF4192">
        <w:tc>
          <w:tcPr>
            <w:tcW w:w="6658" w:type="dxa"/>
            <w:shd w:val="clear" w:color="auto" w:fill="D9D9D9" w:themeFill="background1" w:themeFillShade="D9"/>
          </w:tcPr>
          <w:p w14:paraId="0E5A3D6B" w14:textId="77777777" w:rsidR="00937B51" w:rsidRPr="0098367C" w:rsidRDefault="00E1592F" w:rsidP="00EC60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67C">
              <w:rPr>
                <w:sz w:val="24"/>
                <w:szCs w:val="24"/>
              </w:rPr>
              <w:t>Apartado del Proyecto de esquema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14:paraId="36F2EABE" w14:textId="77777777" w:rsidR="00937B51" w:rsidRPr="0098367C" w:rsidRDefault="00937B51" w:rsidP="00EC60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67C">
              <w:rPr>
                <w:sz w:val="24"/>
                <w:szCs w:val="24"/>
              </w:rPr>
              <w:t>Comentario</w:t>
            </w:r>
          </w:p>
        </w:tc>
      </w:tr>
      <w:tr w:rsidR="00937B51" w:rsidRPr="0098367C" w14:paraId="74E875A9" w14:textId="77777777" w:rsidTr="00BB0B15">
        <w:trPr>
          <w:trHeight w:val="3205"/>
        </w:trPr>
        <w:tc>
          <w:tcPr>
            <w:tcW w:w="6658" w:type="dxa"/>
          </w:tcPr>
          <w:p w14:paraId="2C121CE2" w14:textId="77777777" w:rsidR="005D1E20" w:rsidRPr="0098367C" w:rsidRDefault="00D67C06" w:rsidP="00EC60C9">
            <w:pPr>
              <w:pStyle w:val="Heading2"/>
              <w:spacing w:before="0" w:beforeAutospacing="0" w:after="120" w:afterAutospacing="0" w:line="276" w:lineRule="auto"/>
              <w:jc w:val="both"/>
              <w:outlineLvl w:val="1"/>
              <w:rPr>
                <w:rFonts w:asciiTheme="minorHAnsi" w:eastAsiaTheme="minorEastAsia" w:hAnsiTheme="minorHAnsi" w:cstheme="minorBidi"/>
                <w:bCs w:val="0"/>
                <w:sz w:val="24"/>
                <w:szCs w:val="24"/>
                <w:lang w:val="es-ES"/>
              </w:rPr>
            </w:pPr>
            <w:r w:rsidRPr="0098367C">
              <w:rPr>
                <w:rFonts w:asciiTheme="minorHAnsi" w:eastAsiaTheme="minorEastAsia" w:hAnsiTheme="minorHAnsi" w:cstheme="minorBidi"/>
                <w:bCs w:val="0"/>
                <w:sz w:val="24"/>
                <w:szCs w:val="24"/>
                <w:lang w:val="es-ES"/>
              </w:rPr>
              <w:t>I. Introducción.</w:t>
            </w:r>
            <w:r w:rsidR="005D1E20" w:rsidRPr="0098367C">
              <w:rPr>
                <w:rFonts w:asciiTheme="minorHAnsi" w:eastAsiaTheme="minorEastAsia" w:hAnsiTheme="minorHAnsi" w:cstheme="minorBidi"/>
                <w:bCs w:val="0"/>
                <w:sz w:val="24"/>
                <w:szCs w:val="24"/>
                <w:lang w:val="es-ES"/>
              </w:rPr>
              <w:t xml:space="preserve"> </w:t>
            </w:r>
          </w:p>
          <w:p w14:paraId="4DEACCF0" w14:textId="77777777" w:rsidR="00937B51" w:rsidRPr="0098367C" w:rsidRDefault="005D1E20" w:rsidP="00EC60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n-GB"/>
              </w:rPr>
            </w:pPr>
            <w:r w:rsidRPr="0098367C">
              <w:rPr>
                <w:rFonts w:asciiTheme="majorHAnsi" w:hAnsiTheme="majorHAnsi"/>
                <w:sz w:val="24"/>
                <w:szCs w:val="24"/>
              </w:rPr>
              <w:t>“</w:t>
            </w:r>
            <w:r w:rsidR="00FF6E94">
              <w:rPr>
                <w:rFonts w:asciiTheme="majorHAnsi" w:hAnsiTheme="majorHAnsi"/>
                <w:sz w:val="24"/>
                <w:szCs w:val="24"/>
              </w:rPr>
              <w:t xml:space="preserve">(…) </w:t>
            </w:r>
            <w:r w:rsidRPr="0098367C">
              <w:rPr>
                <w:rFonts w:asciiTheme="majorHAnsi" w:hAnsiTheme="majorHAnsi"/>
                <w:sz w:val="24"/>
                <w:szCs w:val="24"/>
              </w:rPr>
              <w:t>Los migrantes pueden encontrarse en situaciones de vulnerabilidad debido a las condiciones que les obligan a abandonar su país de origen, las circunstancias en las que viajan o las situaciones a las que se enfrentan a su llegada, incluidas las situaciones de conflicto, o debido a características personales como su edad, sexo, identidad de género, origen étnico, nacional o social, discapacidad o estado de salud, entre otras</w:t>
            </w:r>
            <w:r w:rsidR="00FF6E94">
              <w:rPr>
                <w:rFonts w:asciiTheme="majorHAnsi" w:hAnsiTheme="majorHAnsi"/>
                <w:sz w:val="24"/>
                <w:szCs w:val="24"/>
              </w:rPr>
              <w:t xml:space="preserve"> (…)</w:t>
            </w:r>
            <w:r w:rsidRPr="0098367C">
              <w:rPr>
                <w:rFonts w:asciiTheme="majorHAnsi" w:hAnsiTheme="majorHAnsi"/>
                <w:sz w:val="24"/>
                <w:szCs w:val="24"/>
              </w:rPr>
              <w:t>”</w:t>
            </w:r>
          </w:p>
        </w:tc>
        <w:tc>
          <w:tcPr>
            <w:tcW w:w="6378" w:type="dxa"/>
          </w:tcPr>
          <w:p w14:paraId="43C4EDED" w14:textId="77777777" w:rsidR="00937B51" w:rsidRPr="0098367C" w:rsidRDefault="00E90612" w:rsidP="00EC60C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 la Observación General</w:t>
            </w:r>
            <w:r w:rsidR="005D1E20" w:rsidRPr="0098367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se </w:t>
            </w:r>
            <w:r w:rsidR="005D1E20" w:rsidRPr="0098367C">
              <w:rPr>
                <w:rFonts w:asciiTheme="majorHAnsi" w:hAnsiTheme="majorHAnsi"/>
                <w:sz w:val="24"/>
                <w:szCs w:val="24"/>
              </w:rPr>
              <w:t>recomienda mencionar explícitamente</w:t>
            </w:r>
            <w:r w:rsidR="00DE5D06" w:rsidRPr="0098367C">
              <w:rPr>
                <w:rFonts w:asciiTheme="majorHAnsi" w:hAnsiTheme="majorHAnsi"/>
                <w:sz w:val="24"/>
                <w:szCs w:val="24"/>
              </w:rPr>
              <w:t xml:space="preserve"> a</w:t>
            </w:r>
            <w:r w:rsidR="005D1E20" w:rsidRPr="0098367C">
              <w:rPr>
                <w:rFonts w:asciiTheme="majorHAnsi" w:hAnsiTheme="majorHAnsi"/>
                <w:sz w:val="24"/>
                <w:szCs w:val="24"/>
              </w:rPr>
              <w:t xml:space="preserve"> las ideas políticas</w:t>
            </w:r>
            <w:r w:rsidR="002C6607" w:rsidRPr="0098367C">
              <w:rPr>
                <w:rFonts w:asciiTheme="majorHAnsi" w:hAnsiTheme="majorHAnsi"/>
                <w:sz w:val="24"/>
                <w:szCs w:val="24"/>
              </w:rPr>
              <w:t xml:space="preserve"> y </w:t>
            </w:r>
            <w:r w:rsidR="00106C42" w:rsidRPr="0098367C">
              <w:rPr>
                <w:rFonts w:asciiTheme="majorHAnsi" w:hAnsiTheme="majorHAnsi"/>
                <w:sz w:val="24"/>
                <w:szCs w:val="24"/>
              </w:rPr>
              <w:t xml:space="preserve">las ideas </w:t>
            </w:r>
            <w:r w:rsidR="002C6607" w:rsidRPr="0098367C">
              <w:rPr>
                <w:rFonts w:asciiTheme="majorHAnsi" w:hAnsiTheme="majorHAnsi"/>
                <w:sz w:val="24"/>
                <w:szCs w:val="24"/>
              </w:rPr>
              <w:t>religiosas</w:t>
            </w:r>
            <w:r w:rsidR="005D1E20" w:rsidRPr="0098367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816FC" w:rsidRPr="0098367C">
              <w:rPr>
                <w:rFonts w:asciiTheme="majorHAnsi" w:hAnsiTheme="majorHAnsi"/>
                <w:sz w:val="24"/>
                <w:szCs w:val="24"/>
              </w:rPr>
              <w:t xml:space="preserve">como </w:t>
            </w:r>
            <w:r w:rsidR="00106C42" w:rsidRPr="0098367C">
              <w:rPr>
                <w:rFonts w:asciiTheme="majorHAnsi" w:hAnsiTheme="majorHAnsi"/>
                <w:sz w:val="24"/>
                <w:szCs w:val="24"/>
              </w:rPr>
              <w:t>c</w:t>
            </w:r>
            <w:r w:rsidR="001816FC" w:rsidRPr="0098367C">
              <w:rPr>
                <w:rFonts w:asciiTheme="majorHAnsi" w:hAnsiTheme="majorHAnsi"/>
                <w:sz w:val="24"/>
                <w:szCs w:val="24"/>
              </w:rPr>
              <w:t>aracter</w:t>
            </w:r>
            <w:r w:rsidR="00853669" w:rsidRPr="0098367C">
              <w:rPr>
                <w:rFonts w:asciiTheme="majorHAnsi" w:hAnsiTheme="majorHAnsi"/>
                <w:sz w:val="24"/>
                <w:szCs w:val="24"/>
              </w:rPr>
              <w:t>ística</w:t>
            </w:r>
            <w:r w:rsidR="00106C42" w:rsidRPr="0098367C">
              <w:rPr>
                <w:rFonts w:asciiTheme="majorHAnsi" w:hAnsiTheme="majorHAnsi"/>
                <w:sz w:val="24"/>
                <w:szCs w:val="24"/>
              </w:rPr>
              <w:t>s</w:t>
            </w:r>
            <w:r w:rsidR="00853669" w:rsidRPr="0098367C">
              <w:rPr>
                <w:rFonts w:asciiTheme="majorHAnsi" w:hAnsiTheme="majorHAnsi"/>
                <w:sz w:val="24"/>
                <w:szCs w:val="24"/>
              </w:rPr>
              <w:t xml:space="preserve"> personal</w:t>
            </w:r>
            <w:r w:rsidR="00106C42" w:rsidRPr="0098367C">
              <w:rPr>
                <w:rFonts w:asciiTheme="majorHAnsi" w:hAnsiTheme="majorHAnsi"/>
                <w:sz w:val="24"/>
                <w:szCs w:val="24"/>
              </w:rPr>
              <w:t>es</w:t>
            </w:r>
            <w:r w:rsidR="00853669" w:rsidRPr="0098367C">
              <w:rPr>
                <w:rFonts w:asciiTheme="majorHAnsi" w:hAnsiTheme="majorHAnsi"/>
                <w:sz w:val="24"/>
                <w:szCs w:val="24"/>
              </w:rPr>
              <w:t xml:space="preserve"> que pueden propiciar condici</w:t>
            </w:r>
            <w:r w:rsidR="002C6607" w:rsidRPr="0098367C">
              <w:rPr>
                <w:rFonts w:asciiTheme="majorHAnsi" w:hAnsiTheme="majorHAnsi"/>
                <w:sz w:val="24"/>
                <w:szCs w:val="24"/>
              </w:rPr>
              <w:t>ones</w:t>
            </w:r>
            <w:r w:rsidR="00853669" w:rsidRPr="0098367C">
              <w:rPr>
                <w:rFonts w:asciiTheme="majorHAnsi" w:hAnsiTheme="majorHAnsi"/>
                <w:sz w:val="24"/>
                <w:szCs w:val="24"/>
              </w:rPr>
              <w:t xml:space="preserve"> de vulnerabilidad </w:t>
            </w:r>
            <w:r w:rsidR="00791555">
              <w:rPr>
                <w:rFonts w:asciiTheme="majorHAnsi" w:hAnsiTheme="majorHAnsi"/>
                <w:sz w:val="24"/>
                <w:szCs w:val="24"/>
              </w:rPr>
              <w:t>para</w:t>
            </w:r>
            <w:r w:rsidR="00853669" w:rsidRPr="0098367C">
              <w:rPr>
                <w:rFonts w:asciiTheme="majorHAnsi" w:hAnsiTheme="majorHAnsi"/>
                <w:sz w:val="24"/>
                <w:szCs w:val="24"/>
              </w:rPr>
              <w:t xml:space="preserve"> una persona migrante</w:t>
            </w:r>
            <w:r w:rsidR="00D664A3">
              <w:rPr>
                <w:rFonts w:asciiTheme="majorHAnsi" w:hAnsiTheme="majorHAnsi"/>
                <w:sz w:val="24"/>
                <w:szCs w:val="24"/>
              </w:rPr>
              <w:t>, obstaculizando el ejercicio pleno de sus derechos</w:t>
            </w:r>
            <w:r w:rsidR="00853669" w:rsidRPr="0098367C">
              <w:rPr>
                <w:rFonts w:asciiTheme="majorHAnsi" w:hAnsiTheme="majorHAnsi"/>
                <w:sz w:val="24"/>
                <w:szCs w:val="24"/>
              </w:rPr>
              <w:t xml:space="preserve">. Esto es importante porque las ideas políticas </w:t>
            </w:r>
            <w:r w:rsidR="002C6607" w:rsidRPr="0098367C">
              <w:rPr>
                <w:rFonts w:asciiTheme="majorHAnsi" w:hAnsiTheme="majorHAnsi"/>
                <w:sz w:val="24"/>
                <w:szCs w:val="24"/>
              </w:rPr>
              <w:t xml:space="preserve">y religiosas </w:t>
            </w:r>
            <w:r w:rsidR="00853669" w:rsidRPr="0098367C">
              <w:rPr>
                <w:rFonts w:asciiTheme="majorHAnsi" w:hAnsiTheme="majorHAnsi"/>
                <w:sz w:val="24"/>
                <w:szCs w:val="24"/>
              </w:rPr>
              <w:t>son independientes de la existencia de situaciones de conflicto vigentes en el país de origen</w:t>
            </w:r>
            <w:r w:rsidR="002C6607" w:rsidRPr="0098367C">
              <w:rPr>
                <w:rFonts w:asciiTheme="majorHAnsi" w:hAnsiTheme="majorHAnsi"/>
                <w:sz w:val="24"/>
                <w:szCs w:val="24"/>
              </w:rPr>
              <w:t>, del origen étnico, nacional o social y del resto de las características mencionadas en el Proyecto de esquema</w:t>
            </w:r>
            <w:r w:rsidR="00853669" w:rsidRPr="0098367C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937B51" w:rsidRPr="0098367C" w14:paraId="4B649AB6" w14:textId="77777777" w:rsidTr="00AC2144">
        <w:trPr>
          <w:trHeight w:val="2258"/>
        </w:trPr>
        <w:tc>
          <w:tcPr>
            <w:tcW w:w="6658" w:type="dxa"/>
          </w:tcPr>
          <w:p w14:paraId="14F6C910" w14:textId="77777777" w:rsidR="00937B51" w:rsidRPr="0098367C" w:rsidRDefault="00C3461A" w:rsidP="00EC60C9">
            <w:pPr>
              <w:pStyle w:val="Heading2"/>
              <w:spacing w:before="0" w:beforeAutospacing="0" w:after="120" w:afterAutospacing="0" w:line="276" w:lineRule="auto"/>
              <w:jc w:val="both"/>
              <w:outlineLvl w:val="1"/>
              <w:rPr>
                <w:rFonts w:asciiTheme="minorHAnsi" w:eastAsiaTheme="minorEastAsia" w:hAnsiTheme="minorHAnsi" w:cstheme="minorBidi"/>
                <w:bCs w:val="0"/>
                <w:sz w:val="24"/>
                <w:szCs w:val="24"/>
                <w:lang w:val="es-ES"/>
              </w:rPr>
            </w:pPr>
            <w:r w:rsidRPr="0098367C">
              <w:rPr>
                <w:rFonts w:asciiTheme="minorHAnsi" w:eastAsiaTheme="minorEastAsia" w:hAnsiTheme="minorHAnsi" w:cstheme="minorBidi"/>
                <w:bCs w:val="0"/>
                <w:sz w:val="24"/>
                <w:szCs w:val="24"/>
                <w:lang w:val="es-ES"/>
              </w:rPr>
              <w:lastRenderedPageBreak/>
              <w:t>II. Origen y antecedentes históricos de la adopción de la Convención y del Pacto Mundial.</w:t>
            </w:r>
          </w:p>
        </w:tc>
        <w:tc>
          <w:tcPr>
            <w:tcW w:w="6378" w:type="dxa"/>
          </w:tcPr>
          <w:p w14:paraId="5A8C173E" w14:textId="77777777" w:rsidR="00937B51" w:rsidRPr="0098367C" w:rsidRDefault="006F0679" w:rsidP="00EC60C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8367C">
              <w:rPr>
                <w:rFonts w:asciiTheme="majorHAnsi" w:hAnsiTheme="majorHAnsi"/>
                <w:sz w:val="24"/>
                <w:szCs w:val="24"/>
              </w:rPr>
              <w:t xml:space="preserve">Se considera </w:t>
            </w:r>
            <w:r w:rsidR="00971DC2" w:rsidRPr="0098367C">
              <w:rPr>
                <w:rFonts w:asciiTheme="majorHAnsi" w:hAnsiTheme="majorHAnsi"/>
                <w:sz w:val="24"/>
                <w:szCs w:val="24"/>
              </w:rPr>
              <w:t>pertinente</w:t>
            </w:r>
            <w:r w:rsidRPr="0098367C">
              <w:rPr>
                <w:rFonts w:asciiTheme="majorHAnsi" w:hAnsiTheme="majorHAnsi"/>
                <w:sz w:val="24"/>
                <w:szCs w:val="24"/>
              </w:rPr>
              <w:t xml:space="preserve"> cerrar el apartado explicando que el Pacto Mundial es un instrumento político reciente, </w:t>
            </w:r>
            <w:r w:rsidR="00C930DD" w:rsidRPr="0098367C">
              <w:rPr>
                <w:rFonts w:asciiTheme="majorHAnsi" w:hAnsiTheme="majorHAnsi"/>
                <w:sz w:val="24"/>
                <w:szCs w:val="24"/>
              </w:rPr>
              <w:t xml:space="preserve">aprobado </w:t>
            </w:r>
            <w:r w:rsidR="00F61F5C" w:rsidRPr="0098367C">
              <w:rPr>
                <w:rFonts w:asciiTheme="majorHAnsi" w:hAnsiTheme="majorHAnsi"/>
                <w:sz w:val="24"/>
                <w:szCs w:val="24"/>
              </w:rPr>
              <w:t xml:space="preserve">en 2018, </w:t>
            </w:r>
            <w:r w:rsidR="00C930DD" w:rsidRPr="0098367C">
              <w:rPr>
                <w:rFonts w:asciiTheme="majorHAnsi" w:hAnsiTheme="majorHAnsi"/>
                <w:sz w:val="24"/>
                <w:szCs w:val="24"/>
              </w:rPr>
              <w:t xml:space="preserve">en un contexto mucho más cercano </w:t>
            </w:r>
            <w:r w:rsidRPr="0098367C">
              <w:rPr>
                <w:rFonts w:asciiTheme="majorHAnsi" w:hAnsiTheme="majorHAnsi"/>
                <w:sz w:val="24"/>
                <w:szCs w:val="24"/>
              </w:rPr>
              <w:t xml:space="preserve">a las circunstancias </w:t>
            </w:r>
            <w:r w:rsidR="00C930DD" w:rsidRPr="0098367C">
              <w:rPr>
                <w:rFonts w:asciiTheme="majorHAnsi" w:hAnsiTheme="majorHAnsi"/>
                <w:sz w:val="24"/>
                <w:szCs w:val="24"/>
              </w:rPr>
              <w:t>actuales</w:t>
            </w:r>
            <w:r w:rsidR="00F61F5C" w:rsidRPr="0098367C">
              <w:rPr>
                <w:rFonts w:asciiTheme="majorHAnsi" w:hAnsiTheme="majorHAnsi"/>
                <w:sz w:val="24"/>
                <w:szCs w:val="24"/>
              </w:rPr>
              <w:t xml:space="preserve"> que las que prevalecían en 1990, cuando se adoptó la Convención</w:t>
            </w:r>
            <w:r w:rsidR="00921AE5" w:rsidRPr="0098367C">
              <w:rPr>
                <w:rFonts w:asciiTheme="majorHAnsi" w:hAnsiTheme="majorHAnsi"/>
                <w:sz w:val="24"/>
                <w:szCs w:val="24"/>
              </w:rPr>
              <w:t>.</w:t>
            </w:r>
            <w:r w:rsidR="00F61F5C" w:rsidRPr="0098367C">
              <w:rPr>
                <w:rFonts w:asciiTheme="majorHAnsi" w:hAnsiTheme="majorHAnsi"/>
                <w:sz w:val="24"/>
                <w:szCs w:val="24"/>
              </w:rPr>
              <w:t xml:space="preserve"> Este es un argumento que respalda la implementación del proceso de convergencia.</w:t>
            </w:r>
          </w:p>
        </w:tc>
      </w:tr>
      <w:tr w:rsidR="00937B51" w:rsidRPr="0098367C" w14:paraId="5C19BA93" w14:textId="77777777" w:rsidTr="00BB0B15">
        <w:trPr>
          <w:trHeight w:val="918"/>
        </w:trPr>
        <w:tc>
          <w:tcPr>
            <w:tcW w:w="6658" w:type="dxa"/>
          </w:tcPr>
          <w:p w14:paraId="6D901540" w14:textId="77777777" w:rsidR="00937B51" w:rsidRPr="0098367C" w:rsidRDefault="00BE3CD8" w:rsidP="00EC60C9">
            <w:pPr>
              <w:pStyle w:val="Heading2"/>
              <w:spacing w:before="0" w:beforeAutospacing="0" w:after="120" w:afterAutospacing="0" w:line="276" w:lineRule="auto"/>
              <w:jc w:val="both"/>
              <w:outlineLvl w:val="1"/>
              <w:rPr>
                <w:rFonts w:asciiTheme="minorHAnsi" w:eastAsiaTheme="minorEastAsia" w:hAnsiTheme="minorHAnsi" w:cstheme="minorBidi"/>
                <w:bCs w:val="0"/>
                <w:sz w:val="24"/>
                <w:szCs w:val="24"/>
                <w:lang w:val="es-ES"/>
              </w:rPr>
            </w:pPr>
            <w:r w:rsidRPr="0098367C">
              <w:rPr>
                <w:rFonts w:asciiTheme="minorHAnsi" w:eastAsiaTheme="minorEastAsia" w:hAnsiTheme="minorHAnsi" w:cstheme="minorBidi"/>
                <w:bCs w:val="0"/>
                <w:sz w:val="24"/>
                <w:szCs w:val="24"/>
                <w:lang w:val="es-ES"/>
              </w:rPr>
              <w:t>III. Contexto actual de la aplicación de la Convención y del Pacto Mundial</w:t>
            </w:r>
            <w:r w:rsidR="00F05CE9" w:rsidRPr="0098367C">
              <w:rPr>
                <w:rFonts w:asciiTheme="minorHAnsi" w:eastAsiaTheme="minorEastAsia" w:hAnsiTheme="minorHAnsi" w:cstheme="minorBidi"/>
                <w:bCs w:val="0"/>
                <w:sz w:val="24"/>
                <w:szCs w:val="24"/>
                <w:lang w:val="es-ES"/>
              </w:rPr>
              <w:t>.</w:t>
            </w:r>
          </w:p>
        </w:tc>
        <w:tc>
          <w:tcPr>
            <w:tcW w:w="6378" w:type="dxa"/>
          </w:tcPr>
          <w:p w14:paraId="4B8C2FFC" w14:textId="77777777" w:rsidR="008F5092" w:rsidRPr="0098367C" w:rsidRDefault="00BE3CD8" w:rsidP="00EC60C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8367C">
              <w:rPr>
                <w:rFonts w:asciiTheme="majorHAnsi" w:hAnsiTheme="majorHAnsi"/>
                <w:sz w:val="24"/>
                <w:szCs w:val="24"/>
              </w:rPr>
              <w:t xml:space="preserve">Se </w:t>
            </w:r>
            <w:r w:rsidR="0093733E" w:rsidRPr="0098367C">
              <w:rPr>
                <w:rFonts w:asciiTheme="majorHAnsi" w:hAnsiTheme="majorHAnsi"/>
                <w:sz w:val="24"/>
                <w:szCs w:val="24"/>
              </w:rPr>
              <w:t>sugiere</w:t>
            </w:r>
            <w:r w:rsidRPr="0098367C">
              <w:rPr>
                <w:rFonts w:asciiTheme="majorHAnsi" w:hAnsiTheme="majorHAnsi"/>
                <w:sz w:val="24"/>
                <w:szCs w:val="24"/>
              </w:rPr>
              <w:t xml:space="preserve"> añadir que</w:t>
            </w:r>
            <w:r w:rsidR="00DD5440" w:rsidRPr="0098367C">
              <w:rPr>
                <w:rFonts w:asciiTheme="majorHAnsi" w:hAnsiTheme="majorHAnsi"/>
                <w:sz w:val="24"/>
                <w:szCs w:val="24"/>
              </w:rPr>
              <w:t>, en tanto instrumento no vinculante, el Pacto Mundial contiene un conjunto amplio</w:t>
            </w:r>
            <w:r w:rsidR="00F05CE9" w:rsidRPr="0098367C">
              <w:rPr>
                <w:rFonts w:asciiTheme="majorHAnsi" w:hAnsiTheme="majorHAnsi"/>
                <w:sz w:val="24"/>
                <w:szCs w:val="24"/>
              </w:rPr>
              <w:t xml:space="preserve"> (aunque no limitativo)</w:t>
            </w:r>
            <w:r w:rsidR="00DD5440" w:rsidRPr="0098367C">
              <w:rPr>
                <w:rFonts w:asciiTheme="majorHAnsi" w:hAnsiTheme="majorHAnsi"/>
                <w:sz w:val="24"/>
                <w:szCs w:val="24"/>
              </w:rPr>
              <w:t xml:space="preserve"> de políticas del que los Estados pueden seleccionar opciones concretas que les permitan abordar las cuestiones apremiantes de la migración internacional de acuerdo con sus</w:t>
            </w:r>
            <w:r w:rsidR="00365C64" w:rsidRPr="0098367C">
              <w:rPr>
                <w:rFonts w:asciiTheme="majorHAnsi" w:hAnsiTheme="majorHAnsi"/>
                <w:sz w:val="24"/>
                <w:szCs w:val="24"/>
              </w:rPr>
              <w:t xml:space="preserve"> contextos y</w:t>
            </w:r>
            <w:r w:rsidR="00DD5440" w:rsidRPr="0098367C">
              <w:rPr>
                <w:rFonts w:asciiTheme="majorHAnsi" w:hAnsiTheme="majorHAnsi"/>
                <w:sz w:val="24"/>
                <w:szCs w:val="24"/>
              </w:rPr>
              <w:t xml:space="preserve"> necesidades.</w:t>
            </w:r>
            <w:r w:rsidR="00DB7422" w:rsidRPr="0098367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A0082D" w:rsidRPr="0098367C">
              <w:rPr>
                <w:rFonts w:asciiTheme="majorHAnsi" w:hAnsiTheme="majorHAnsi"/>
                <w:sz w:val="24"/>
                <w:szCs w:val="24"/>
              </w:rPr>
              <w:t>Esta flexibilidad</w:t>
            </w:r>
            <w:r w:rsidR="008F5092" w:rsidRPr="0098367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D634D" w:rsidRPr="0098367C">
              <w:rPr>
                <w:rFonts w:asciiTheme="majorHAnsi" w:hAnsiTheme="majorHAnsi"/>
                <w:sz w:val="24"/>
                <w:szCs w:val="24"/>
              </w:rPr>
              <w:t xml:space="preserve">se </w:t>
            </w:r>
            <w:r w:rsidR="008F5092" w:rsidRPr="0098367C">
              <w:rPr>
                <w:rFonts w:asciiTheme="majorHAnsi" w:hAnsiTheme="majorHAnsi"/>
                <w:sz w:val="24"/>
                <w:szCs w:val="24"/>
              </w:rPr>
              <w:t>puede aprovecha</w:t>
            </w:r>
            <w:r w:rsidR="009D634D" w:rsidRPr="0098367C">
              <w:rPr>
                <w:rFonts w:asciiTheme="majorHAnsi" w:hAnsiTheme="majorHAnsi"/>
                <w:sz w:val="24"/>
                <w:szCs w:val="24"/>
              </w:rPr>
              <w:t>r durante</w:t>
            </w:r>
            <w:r w:rsidR="008F5092" w:rsidRPr="0098367C">
              <w:rPr>
                <w:rFonts w:asciiTheme="majorHAnsi" w:hAnsiTheme="majorHAnsi"/>
                <w:sz w:val="24"/>
                <w:szCs w:val="24"/>
              </w:rPr>
              <w:t xml:space="preserve"> el proceso de convergencia.</w:t>
            </w:r>
            <w:r w:rsidR="00A0082D" w:rsidRPr="0098367C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0339C3" w:rsidRPr="0098367C" w14:paraId="14706CE8" w14:textId="77777777" w:rsidTr="00C901B7">
        <w:trPr>
          <w:trHeight w:val="3894"/>
        </w:trPr>
        <w:tc>
          <w:tcPr>
            <w:tcW w:w="6658" w:type="dxa"/>
          </w:tcPr>
          <w:p w14:paraId="6217860C" w14:textId="77777777" w:rsidR="000339C3" w:rsidRPr="0098367C" w:rsidRDefault="000339C3" w:rsidP="00EC60C9">
            <w:pPr>
              <w:pStyle w:val="Heading2"/>
              <w:spacing w:before="0" w:beforeAutospacing="0" w:after="120" w:afterAutospacing="0" w:line="276" w:lineRule="auto"/>
              <w:jc w:val="both"/>
              <w:outlineLvl w:val="1"/>
              <w:rPr>
                <w:rFonts w:asciiTheme="minorHAnsi" w:eastAsiaTheme="minorEastAsia" w:hAnsiTheme="minorHAnsi" w:cstheme="minorBidi"/>
                <w:bCs w:val="0"/>
                <w:sz w:val="24"/>
                <w:szCs w:val="24"/>
                <w:lang w:val="es-ES"/>
              </w:rPr>
            </w:pPr>
            <w:r w:rsidRPr="0098367C">
              <w:rPr>
                <w:rFonts w:asciiTheme="minorHAnsi" w:eastAsiaTheme="minorEastAsia" w:hAnsiTheme="minorHAnsi" w:cstheme="minorBidi"/>
                <w:bCs w:val="0"/>
                <w:sz w:val="24"/>
                <w:szCs w:val="24"/>
                <w:lang w:val="es-ES"/>
              </w:rPr>
              <w:t>IV. Convergencia de la Convención y el Pacto Mundial en cuanto a los principios de derechos humanos.</w:t>
            </w:r>
          </w:p>
          <w:p w14:paraId="3B7E62BC" w14:textId="77777777" w:rsidR="00C33B57" w:rsidRPr="0098367C" w:rsidRDefault="00C33B57" w:rsidP="00EC60C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8367C">
              <w:rPr>
                <w:rFonts w:asciiTheme="majorHAnsi" w:hAnsiTheme="majorHAnsi"/>
                <w:sz w:val="24"/>
                <w:szCs w:val="24"/>
              </w:rPr>
              <w:t xml:space="preserve">“Algunos puntos comunes y complementarios entre la Convención y el Pacto Mundial son los siguientes: </w:t>
            </w:r>
          </w:p>
          <w:p w14:paraId="7A9EA11B" w14:textId="77777777" w:rsidR="00B13F05" w:rsidRPr="0098367C" w:rsidRDefault="00B13F05" w:rsidP="00EC60C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(…)</w:t>
            </w:r>
          </w:p>
          <w:p w14:paraId="32978EB5" w14:textId="77777777" w:rsidR="000339C3" w:rsidRPr="0098367C" w:rsidRDefault="000339C3" w:rsidP="00EC60C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8367C">
              <w:rPr>
                <w:rFonts w:asciiTheme="majorHAnsi" w:hAnsiTheme="majorHAnsi"/>
                <w:sz w:val="24"/>
                <w:szCs w:val="24"/>
              </w:rPr>
              <w:t>•Trabajo decente y no discriminación</w:t>
            </w:r>
          </w:p>
          <w:p w14:paraId="7B4A8001" w14:textId="77777777" w:rsidR="000339C3" w:rsidRPr="0098367C" w:rsidRDefault="000339C3" w:rsidP="00EC60C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8367C">
              <w:rPr>
                <w:rFonts w:asciiTheme="majorHAnsi" w:hAnsiTheme="majorHAnsi"/>
                <w:sz w:val="24"/>
                <w:szCs w:val="24"/>
              </w:rPr>
              <w:t>-Ambos textos coinciden en la importancia de la dimensión humana en sus compromisos (artículos 17 y 70 de la Convención, objetivo 8 de los ODS y objetivo 17 del Pacto Mundial).</w:t>
            </w:r>
          </w:p>
          <w:p w14:paraId="741DA6CA" w14:textId="77777777" w:rsidR="000339C3" w:rsidRPr="0098367C" w:rsidRDefault="000339C3" w:rsidP="00EC60C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8367C">
              <w:rPr>
                <w:rFonts w:asciiTheme="majorHAnsi" w:hAnsiTheme="majorHAnsi"/>
                <w:sz w:val="24"/>
                <w:szCs w:val="24"/>
              </w:rPr>
              <w:t>-La Convención y el Pacto Mundial respetan los principios de no regresión y no discriminación.”</w:t>
            </w:r>
          </w:p>
          <w:p w14:paraId="30947A1C" w14:textId="77777777" w:rsidR="000339C3" w:rsidRPr="0098367C" w:rsidRDefault="000339C3" w:rsidP="00EC60C9">
            <w:pPr>
              <w:pStyle w:val="Heading2"/>
              <w:spacing w:before="0" w:beforeAutospacing="0" w:after="120" w:afterAutospacing="0" w:line="276" w:lineRule="auto"/>
              <w:jc w:val="both"/>
              <w:outlineLvl w:val="1"/>
              <w:rPr>
                <w:rFonts w:asciiTheme="minorHAnsi" w:eastAsiaTheme="minorEastAsia" w:hAnsiTheme="minorHAnsi" w:cstheme="minorBidi"/>
                <w:bCs w:val="0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B1D5F36" w14:textId="77777777" w:rsidR="000C5C05" w:rsidRPr="0098367C" w:rsidRDefault="00315188" w:rsidP="00EC60C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8367C">
              <w:rPr>
                <w:rFonts w:asciiTheme="majorHAnsi" w:hAnsiTheme="majorHAnsi"/>
                <w:sz w:val="24"/>
                <w:szCs w:val="24"/>
              </w:rPr>
              <w:lastRenderedPageBreak/>
              <w:t>Se re</w:t>
            </w:r>
            <w:r w:rsidR="000C5C05" w:rsidRPr="0098367C">
              <w:rPr>
                <w:rFonts w:asciiTheme="majorHAnsi" w:hAnsiTheme="majorHAnsi"/>
                <w:sz w:val="24"/>
                <w:szCs w:val="24"/>
              </w:rPr>
              <w:t xml:space="preserve">comienda incluir que ambos textos señalan la responsabilidad de los Estados de prevenir activamente la xenofobia, la apología del odio nacional, racial o religioso que puedan traducirse en comportamientos hostiles y violentos (artículo 13, numeral 3, inciso d, de la Convención; Objetivos 16 y 17 del Pacto Mundial). </w:t>
            </w:r>
          </w:p>
          <w:p w14:paraId="40DA68B1" w14:textId="77777777" w:rsidR="000C5C05" w:rsidRPr="0098367C" w:rsidRDefault="000C5C05" w:rsidP="00EC60C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15EF327C" w14:textId="77777777" w:rsidR="006F7231" w:rsidRPr="006F7231" w:rsidRDefault="000C5C05" w:rsidP="003B2D7D">
            <w:pPr>
              <w:spacing w:line="276" w:lineRule="auto"/>
              <w:jc w:val="both"/>
              <w:rPr>
                <w:rFonts w:asciiTheme="majorHAnsi" w:hAnsiTheme="majorHAnsi"/>
                <w:sz w:val="10"/>
                <w:szCs w:val="24"/>
              </w:rPr>
            </w:pPr>
            <w:r w:rsidRPr="0098367C">
              <w:rPr>
                <w:rFonts w:asciiTheme="majorHAnsi" w:hAnsiTheme="majorHAnsi"/>
                <w:sz w:val="24"/>
                <w:szCs w:val="24"/>
              </w:rPr>
              <w:t xml:space="preserve">Esta adición posiciona en </w:t>
            </w:r>
            <w:r w:rsidR="00EA37E6" w:rsidRPr="0098367C">
              <w:rPr>
                <w:rFonts w:asciiTheme="majorHAnsi" w:hAnsiTheme="majorHAnsi"/>
                <w:sz w:val="24"/>
                <w:szCs w:val="24"/>
              </w:rPr>
              <w:t xml:space="preserve">la agenda la necesidad de establecer mecanismos para evitar que las autoridades políticas, los medios de comunicación y los líderes religiosos y comunitarios, difundan mensajes xenófobos, </w:t>
            </w:r>
            <w:r w:rsidR="00123001" w:rsidRPr="0098367C">
              <w:rPr>
                <w:rFonts w:asciiTheme="majorHAnsi" w:hAnsiTheme="majorHAnsi"/>
                <w:sz w:val="24"/>
                <w:szCs w:val="24"/>
              </w:rPr>
              <w:t>o</w:t>
            </w:r>
            <w:r w:rsidR="00EA37E6" w:rsidRPr="0098367C">
              <w:rPr>
                <w:rFonts w:asciiTheme="majorHAnsi" w:hAnsiTheme="majorHAnsi"/>
                <w:sz w:val="24"/>
                <w:szCs w:val="24"/>
              </w:rPr>
              <w:t xml:space="preserve"> establecer sanciones adecuadas en caso de que esto suceda. También visibiliza la responsabilidad de los </w:t>
            </w:r>
            <w:r w:rsidR="00EA37E6" w:rsidRPr="0098367C">
              <w:rPr>
                <w:rFonts w:asciiTheme="majorHAnsi" w:hAnsiTheme="majorHAnsi"/>
                <w:sz w:val="24"/>
                <w:szCs w:val="24"/>
              </w:rPr>
              <w:lastRenderedPageBreak/>
              <w:t>Estados de</w:t>
            </w:r>
            <w:r w:rsidR="00C901B7" w:rsidRPr="0098367C">
              <w:rPr>
                <w:rFonts w:asciiTheme="majorHAnsi" w:hAnsiTheme="majorHAnsi"/>
                <w:sz w:val="24"/>
                <w:szCs w:val="24"/>
              </w:rPr>
              <w:t xml:space="preserve"> implementar</w:t>
            </w:r>
            <w:r w:rsidR="00EA37E6" w:rsidRPr="0098367C">
              <w:rPr>
                <w:rFonts w:asciiTheme="majorHAnsi" w:hAnsiTheme="majorHAnsi"/>
                <w:sz w:val="24"/>
                <w:szCs w:val="24"/>
              </w:rPr>
              <w:t xml:space="preserve"> campañas </w:t>
            </w:r>
            <w:r w:rsidR="00C901B7" w:rsidRPr="0098367C">
              <w:rPr>
                <w:rFonts w:asciiTheme="majorHAnsi" w:hAnsiTheme="majorHAnsi"/>
                <w:sz w:val="24"/>
                <w:szCs w:val="24"/>
              </w:rPr>
              <w:t xml:space="preserve">que promuevan la convivencia armónica y el respeto a las diferencias </w:t>
            </w:r>
            <w:r w:rsidR="00B04124" w:rsidRPr="0098367C">
              <w:rPr>
                <w:rFonts w:asciiTheme="majorHAnsi" w:hAnsiTheme="majorHAnsi"/>
                <w:sz w:val="24"/>
                <w:szCs w:val="24"/>
              </w:rPr>
              <w:t xml:space="preserve">religiosas, </w:t>
            </w:r>
            <w:r w:rsidR="00C901B7" w:rsidRPr="0098367C">
              <w:rPr>
                <w:rFonts w:asciiTheme="majorHAnsi" w:hAnsiTheme="majorHAnsi"/>
                <w:sz w:val="24"/>
                <w:szCs w:val="24"/>
              </w:rPr>
              <w:t>lingüísticas y culturales de</w:t>
            </w:r>
            <w:r w:rsidR="00EA37E6" w:rsidRPr="0098367C">
              <w:rPr>
                <w:rFonts w:asciiTheme="majorHAnsi" w:hAnsiTheme="majorHAnsi"/>
                <w:sz w:val="24"/>
                <w:szCs w:val="24"/>
              </w:rPr>
              <w:t xml:space="preserve"> todos los miembros de la sociedad</w:t>
            </w:r>
            <w:r w:rsidR="00192502" w:rsidRPr="0098367C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5C61BF" w:rsidRPr="0098367C" w14:paraId="75E9432A" w14:textId="77777777" w:rsidTr="00BB0B15">
        <w:trPr>
          <w:trHeight w:val="6163"/>
        </w:trPr>
        <w:tc>
          <w:tcPr>
            <w:tcW w:w="6658" w:type="dxa"/>
          </w:tcPr>
          <w:p w14:paraId="380EBA0D" w14:textId="77777777" w:rsidR="005C61BF" w:rsidRPr="0098367C" w:rsidRDefault="005C61BF" w:rsidP="00EC60C9">
            <w:pPr>
              <w:spacing w:line="276" w:lineRule="auto"/>
              <w:jc w:val="both"/>
              <w:rPr>
                <w:rFonts w:eastAsiaTheme="minorEastAsia"/>
                <w:b/>
                <w:sz w:val="24"/>
                <w:szCs w:val="24"/>
                <w:lang w:val="es-ES" w:eastAsia="de-DE"/>
              </w:rPr>
            </w:pPr>
            <w:r w:rsidRPr="0098367C">
              <w:rPr>
                <w:rFonts w:eastAsiaTheme="minorEastAsia"/>
                <w:b/>
                <w:sz w:val="24"/>
                <w:szCs w:val="24"/>
                <w:lang w:val="es-ES" w:eastAsia="de-DE"/>
              </w:rPr>
              <w:lastRenderedPageBreak/>
              <w:t>VI. Llenar las lagunas jurídicas y de derechos humanos del Pacto Mundial mediante una interpretación concomitante de la Convención y el Pacto Mundial.</w:t>
            </w:r>
          </w:p>
          <w:p w14:paraId="28046049" w14:textId="77777777" w:rsidR="005C61BF" w:rsidRPr="0098367C" w:rsidRDefault="005C61BF" w:rsidP="00EC60C9">
            <w:pPr>
              <w:spacing w:line="276" w:lineRule="auto"/>
              <w:jc w:val="both"/>
              <w:rPr>
                <w:b/>
                <w:sz w:val="24"/>
                <w:szCs w:val="24"/>
                <w:lang w:val="es-ES"/>
              </w:rPr>
            </w:pPr>
          </w:p>
          <w:p w14:paraId="4AEEA902" w14:textId="77777777" w:rsidR="005C61BF" w:rsidRPr="00F75751" w:rsidRDefault="005C61BF" w:rsidP="00EC60C9">
            <w:pPr>
              <w:spacing w:line="276" w:lineRule="auto"/>
              <w:jc w:val="both"/>
              <w:rPr>
                <w:rFonts w:asciiTheme="majorHAnsi" w:eastAsiaTheme="minorEastAsia" w:hAnsiTheme="majorHAnsi"/>
                <w:sz w:val="24"/>
                <w:szCs w:val="24"/>
                <w:highlight w:val="yellow"/>
                <w:lang w:val="es-ES"/>
              </w:rPr>
            </w:pPr>
          </w:p>
        </w:tc>
        <w:tc>
          <w:tcPr>
            <w:tcW w:w="6378" w:type="dxa"/>
          </w:tcPr>
          <w:p w14:paraId="40D69F6C" w14:textId="77777777" w:rsidR="005C61BF" w:rsidRPr="0098367C" w:rsidRDefault="005C61BF" w:rsidP="00EC60C9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8367C">
              <w:rPr>
                <w:rFonts w:asciiTheme="majorHAnsi" w:hAnsiTheme="majorHAnsi" w:cstheme="majorHAnsi"/>
                <w:sz w:val="24"/>
                <w:szCs w:val="24"/>
              </w:rPr>
              <w:t>Se recomienda incluir</w:t>
            </w:r>
            <w:r w:rsidR="00643BAD"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 en esta sección</w:t>
            </w:r>
            <w:r w:rsidR="00E90612">
              <w:rPr>
                <w:rFonts w:asciiTheme="majorHAnsi" w:hAnsiTheme="majorHAnsi" w:cstheme="majorHAnsi"/>
                <w:sz w:val="24"/>
                <w:szCs w:val="24"/>
              </w:rPr>
              <w:t xml:space="preserve"> de la Observación General</w:t>
            </w:r>
            <w:r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 que el Pacto Mundial podría otorgar un valor añadido a la Convención por su adopción explícita de una </w:t>
            </w:r>
            <w:r w:rsidRPr="0098367C">
              <w:rPr>
                <w:rFonts w:asciiTheme="majorHAnsi" w:hAnsiTheme="majorHAnsi" w:cstheme="majorHAnsi"/>
                <w:i/>
                <w:sz w:val="24"/>
                <w:szCs w:val="24"/>
              </w:rPr>
              <w:t>Perspectiva infantil</w:t>
            </w:r>
            <w:r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 traducida en la defensa del </w:t>
            </w:r>
            <w:r w:rsidRPr="0098367C">
              <w:rPr>
                <w:rFonts w:asciiTheme="majorHAnsi" w:hAnsiTheme="majorHAnsi" w:cstheme="majorHAnsi"/>
                <w:i/>
                <w:sz w:val="24"/>
                <w:szCs w:val="24"/>
              </w:rPr>
              <w:t>principio del interés superior de la niñez</w:t>
            </w:r>
            <w:r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 como consideración primordial en cualquier situación que afecte a los niños, niñas y adolescentes (NNA) en el contexto de la migración internacional, incluidos los no acompañados y separados de sus familiares. </w:t>
            </w:r>
          </w:p>
          <w:p w14:paraId="04AEC915" w14:textId="77777777" w:rsidR="005C61BF" w:rsidRPr="0098367C" w:rsidRDefault="005C61BF" w:rsidP="00EC60C9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064CBBF" w14:textId="77777777" w:rsidR="005C61BF" w:rsidRPr="0098367C" w:rsidRDefault="005C61BF" w:rsidP="00EC60C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Esto es importante porque el </w:t>
            </w:r>
            <w:r w:rsidRPr="0098367C">
              <w:rPr>
                <w:rFonts w:asciiTheme="majorHAnsi" w:hAnsiTheme="majorHAnsi" w:cstheme="majorHAnsi"/>
                <w:i/>
                <w:sz w:val="24"/>
                <w:szCs w:val="24"/>
              </w:rPr>
              <w:t>principio del interés superior de la niñez</w:t>
            </w:r>
            <w:r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 no se menciona en la Convención y su consideración explícita favorecería la interpretación de algunos artículos de la misma, que abordan las cuestiones referentes a la privación de la libertad de NNA migrantes y las garantías de debido proceso legal que deberían asegurárseles (art. 17), el impacto de estos procesos en su derecho a la vida familiar (art. 44) y el ejercicio de sus derechos económicos, sociales y culturales, con un énfasis particular en los derechos a la salud y a la educación (arts. 12, 30 y 45).</w:t>
            </w:r>
          </w:p>
        </w:tc>
      </w:tr>
      <w:tr w:rsidR="005C61BF" w:rsidRPr="0098367C" w14:paraId="48FC6256" w14:textId="77777777" w:rsidTr="00BB0B15">
        <w:trPr>
          <w:trHeight w:val="1768"/>
        </w:trPr>
        <w:tc>
          <w:tcPr>
            <w:tcW w:w="6658" w:type="dxa"/>
          </w:tcPr>
          <w:p w14:paraId="10C287DD" w14:textId="77777777" w:rsidR="005C61BF" w:rsidRPr="0098367C" w:rsidRDefault="005C61BF" w:rsidP="00EC60C9">
            <w:pPr>
              <w:spacing w:line="276" w:lineRule="auto"/>
              <w:jc w:val="both"/>
              <w:rPr>
                <w:b/>
                <w:sz w:val="24"/>
                <w:szCs w:val="24"/>
                <w:lang w:val="es-ES"/>
              </w:rPr>
            </w:pPr>
            <w:r w:rsidRPr="0098367C">
              <w:rPr>
                <w:rFonts w:eastAsiaTheme="minorEastAsia"/>
                <w:b/>
                <w:sz w:val="24"/>
                <w:szCs w:val="24"/>
                <w:lang w:val="es-ES" w:eastAsia="de-DE"/>
              </w:rPr>
              <w:t xml:space="preserve">VII. ¿Qué puede aportar la Convención al Pacto Mundial en cuanto a la protección de los derechos humanos de los migrantes, y viceversa, </w:t>
            </w:r>
            <w:proofErr w:type="gramStart"/>
            <w:r w:rsidRPr="0098367C">
              <w:rPr>
                <w:rFonts w:eastAsiaTheme="minorEastAsia"/>
                <w:b/>
                <w:sz w:val="24"/>
                <w:szCs w:val="24"/>
                <w:lang w:val="es-ES" w:eastAsia="de-DE"/>
              </w:rPr>
              <w:t>qué puede aportar el Pacto Mundial a la Convención en cuanto a la operatividad de las disposiciones de la Convención y la contribución a la gobernanza de la migración?</w:t>
            </w:r>
            <w:proofErr w:type="gramEnd"/>
          </w:p>
        </w:tc>
        <w:tc>
          <w:tcPr>
            <w:tcW w:w="6378" w:type="dxa"/>
          </w:tcPr>
          <w:p w14:paraId="11E2E874" w14:textId="77777777" w:rsidR="005C61BF" w:rsidRPr="0098367C" w:rsidRDefault="005C61BF" w:rsidP="00EC60C9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Se recomienda añadir que el Pacto Mundial aborda los movimientos migratorios derivados de los desastres naturales repentinos y de evolución lenta, aquellos causados por los efectos adversos del cambio climático, la degradación ambiental y otras situaciones precarias que han diversificado e intensificado las causas de vulnerabilidad en muchas </w:t>
            </w:r>
            <w:r w:rsidRPr="0098367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comunidades (Objetivo 2 incisos h, i, j, k, l, del Pacto Mundial), que no están considerados en la Convención y que pueden implicar necesidades especiales de protección para los trabajadores migratorios y sus familias cuyo hogar y/o fuente de trabajo hayan o estén siendo dañados o destruidos por este tipo de fenómenos.</w:t>
            </w:r>
          </w:p>
        </w:tc>
      </w:tr>
      <w:tr w:rsidR="008E03E8" w:rsidRPr="0098367C" w14:paraId="544D1F62" w14:textId="77777777" w:rsidTr="00400A9E">
        <w:trPr>
          <w:trHeight w:val="3327"/>
        </w:trPr>
        <w:tc>
          <w:tcPr>
            <w:tcW w:w="6658" w:type="dxa"/>
          </w:tcPr>
          <w:p w14:paraId="15555FED" w14:textId="77777777" w:rsidR="008E03E8" w:rsidRPr="0098367C" w:rsidRDefault="008E03E8" w:rsidP="00EC60C9">
            <w:pPr>
              <w:spacing w:line="276" w:lineRule="auto"/>
              <w:jc w:val="both"/>
              <w:rPr>
                <w:b/>
                <w:sz w:val="24"/>
                <w:szCs w:val="24"/>
                <w:lang w:val="es-ES"/>
              </w:rPr>
            </w:pPr>
            <w:r w:rsidRPr="0098367C">
              <w:rPr>
                <w:rFonts w:eastAsiaTheme="minorEastAsia"/>
                <w:b/>
                <w:sz w:val="24"/>
                <w:szCs w:val="24"/>
                <w:lang w:val="es-ES" w:eastAsia="de-DE"/>
              </w:rPr>
              <w:lastRenderedPageBreak/>
              <w:t xml:space="preserve">VII. ¿Qué puede aportar la Convención al Pacto Mundial en cuanto a la protección de los derechos humanos de los migrantes, y viceversa, </w:t>
            </w:r>
            <w:proofErr w:type="gramStart"/>
            <w:r w:rsidRPr="0098367C">
              <w:rPr>
                <w:rFonts w:eastAsiaTheme="minorEastAsia"/>
                <w:b/>
                <w:sz w:val="24"/>
                <w:szCs w:val="24"/>
                <w:lang w:val="es-ES" w:eastAsia="de-DE"/>
              </w:rPr>
              <w:t>qué puede aportar el Pacto Mundial a la Convención en cuanto a la operatividad de las disposiciones de la Convención y la contribución a la gobernanza de la migración?</w:t>
            </w:r>
            <w:proofErr w:type="gramEnd"/>
          </w:p>
        </w:tc>
        <w:tc>
          <w:tcPr>
            <w:tcW w:w="6378" w:type="dxa"/>
          </w:tcPr>
          <w:p w14:paraId="074DC30B" w14:textId="77777777" w:rsidR="008E03E8" w:rsidRPr="0098367C" w:rsidRDefault="008E03E8" w:rsidP="00EC60C9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Se propone </w:t>
            </w:r>
            <w:r w:rsidR="002177E5"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incluir </w:t>
            </w:r>
            <w:r w:rsidR="00377B1E">
              <w:rPr>
                <w:rFonts w:asciiTheme="majorHAnsi" w:hAnsiTheme="majorHAnsi" w:cstheme="majorHAnsi"/>
                <w:sz w:val="24"/>
                <w:szCs w:val="24"/>
              </w:rPr>
              <w:t>en la Observación General un apartado</w:t>
            </w:r>
            <w:r w:rsidR="002177E5"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90612">
              <w:rPr>
                <w:rFonts w:asciiTheme="majorHAnsi" w:hAnsiTheme="majorHAnsi" w:cstheme="majorHAnsi"/>
                <w:sz w:val="24"/>
                <w:szCs w:val="24"/>
              </w:rPr>
              <w:t>señalando</w:t>
            </w:r>
            <w:r w:rsidR="002177E5"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 que el Pacto Mundial fomenta la produc</w:t>
            </w:r>
            <w:r w:rsidR="00601C11" w:rsidRPr="0098367C">
              <w:rPr>
                <w:rFonts w:asciiTheme="majorHAnsi" w:hAnsiTheme="majorHAnsi" w:cstheme="majorHAnsi"/>
                <w:sz w:val="24"/>
                <w:szCs w:val="24"/>
              </w:rPr>
              <w:t>ción de</w:t>
            </w:r>
            <w:r w:rsidR="002177E5"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 información estadística relacionada con la migración</w:t>
            </w:r>
            <w:r w:rsidR="00601C11"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 (Objetivo 1 del Pacto Mundial).</w:t>
            </w:r>
            <w:r w:rsidR="009526A6"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3E30D9" w:rsidRPr="0098367C">
              <w:rPr>
                <w:rFonts w:asciiTheme="majorHAnsi" w:hAnsiTheme="majorHAnsi" w:cstheme="majorHAnsi"/>
                <w:sz w:val="24"/>
                <w:szCs w:val="24"/>
              </w:rPr>
              <w:t>Una</w:t>
            </w:r>
            <w:r w:rsidR="002177E5"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 mayor disponibilidad de información es un insumo </w:t>
            </w:r>
            <w:r w:rsidR="00601C11" w:rsidRPr="0098367C">
              <w:rPr>
                <w:rFonts w:asciiTheme="majorHAnsi" w:hAnsiTheme="majorHAnsi" w:cstheme="majorHAnsi"/>
                <w:sz w:val="24"/>
                <w:szCs w:val="24"/>
              </w:rPr>
              <w:t>para la formulación de políticas que</w:t>
            </w:r>
            <w:r w:rsidR="002177E5"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 mejor</w:t>
            </w:r>
            <w:r w:rsidR="00601C11" w:rsidRPr="0098367C">
              <w:rPr>
                <w:rFonts w:asciiTheme="majorHAnsi" w:hAnsiTheme="majorHAnsi" w:cstheme="majorHAnsi"/>
                <w:sz w:val="24"/>
                <w:szCs w:val="24"/>
              </w:rPr>
              <w:t>en</w:t>
            </w:r>
            <w:r w:rsidR="002177E5"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 la operatividad de las disposiciones de la Convención</w:t>
            </w:r>
            <w:r w:rsidR="006A379D" w:rsidRPr="0098367C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="00601C11"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 permitan dar seguimiento y evaluar el cumplimiento de los compromisos de los Estados a lo largo del tiempo.</w:t>
            </w:r>
          </w:p>
          <w:p w14:paraId="4D403C76" w14:textId="77777777" w:rsidR="009526A6" w:rsidRPr="0098367C" w:rsidRDefault="009526A6" w:rsidP="00EC60C9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45C4EF0" w14:textId="77777777" w:rsidR="009526A6" w:rsidRPr="0098367C" w:rsidRDefault="009526A6" w:rsidP="00EC60C9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8367C">
              <w:rPr>
                <w:rFonts w:asciiTheme="majorHAnsi" w:hAnsiTheme="majorHAnsi" w:cstheme="majorHAnsi"/>
                <w:sz w:val="24"/>
                <w:szCs w:val="24"/>
              </w:rPr>
              <w:t>Conviene resaltar que el uso de registros administrativos y demográficos desglosados por sexo, edad, estatus migratorio y otras características pertinentes deben realizarse respetando el derecho a la privacidad y protegiendo los datos personales.</w:t>
            </w:r>
          </w:p>
        </w:tc>
      </w:tr>
      <w:tr w:rsidR="00CC0ED7" w:rsidRPr="0098367C" w14:paraId="6772D80B" w14:textId="77777777" w:rsidTr="002F7DE1">
        <w:trPr>
          <w:trHeight w:val="918"/>
        </w:trPr>
        <w:tc>
          <w:tcPr>
            <w:tcW w:w="6658" w:type="dxa"/>
          </w:tcPr>
          <w:p w14:paraId="2DB9D668" w14:textId="77777777" w:rsidR="00EA3A48" w:rsidRPr="0098367C" w:rsidRDefault="00CC0ED7" w:rsidP="00EC60C9">
            <w:pPr>
              <w:spacing w:line="276" w:lineRule="auto"/>
              <w:jc w:val="both"/>
              <w:rPr>
                <w:b/>
                <w:sz w:val="24"/>
                <w:szCs w:val="24"/>
                <w:lang w:val="es-ES"/>
              </w:rPr>
            </w:pPr>
            <w:r w:rsidRPr="0098367C">
              <w:rPr>
                <w:rFonts w:eastAsiaTheme="minorEastAsia"/>
                <w:b/>
                <w:sz w:val="24"/>
                <w:szCs w:val="24"/>
                <w:lang w:val="es-ES" w:eastAsia="de-DE"/>
              </w:rPr>
              <w:t>VI</w:t>
            </w:r>
            <w:r w:rsidR="00EA3A48" w:rsidRPr="0098367C">
              <w:rPr>
                <w:rFonts w:eastAsiaTheme="minorEastAsia"/>
                <w:b/>
                <w:sz w:val="24"/>
                <w:szCs w:val="24"/>
                <w:lang w:val="es-ES" w:eastAsia="de-DE"/>
              </w:rPr>
              <w:t>.</w:t>
            </w:r>
            <w:r w:rsidRPr="0098367C">
              <w:rPr>
                <w:rFonts w:eastAsiaTheme="minorEastAsia"/>
                <w:b/>
                <w:sz w:val="24"/>
                <w:szCs w:val="24"/>
                <w:lang w:val="es-ES" w:eastAsia="de-DE"/>
              </w:rPr>
              <w:t xml:space="preserve"> </w:t>
            </w:r>
            <w:r w:rsidR="00EA3A48" w:rsidRPr="0098367C">
              <w:rPr>
                <w:b/>
                <w:sz w:val="24"/>
                <w:szCs w:val="24"/>
                <w:lang w:val="es-ES"/>
              </w:rPr>
              <w:t>Llenar las lagunas jurídicas y de derechos humanos del Pacto Mundial mediante una interpretación concomitante de la Convención y el Pacto Mundial.</w:t>
            </w:r>
          </w:p>
          <w:p w14:paraId="4D632B86" w14:textId="77777777" w:rsidR="00EA3A48" w:rsidRPr="0098367C" w:rsidRDefault="00EA3A48" w:rsidP="00EC60C9">
            <w:pPr>
              <w:spacing w:line="276" w:lineRule="auto"/>
              <w:jc w:val="both"/>
              <w:rPr>
                <w:rFonts w:eastAsiaTheme="minorEastAsia"/>
                <w:b/>
                <w:sz w:val="24"/>
                <w:szCs w:val="24"/>
                <w:lang w:val="es-ES" w:eastAsia="de-DE"/>
              </w:rPr>
            </w:pPr>
          </w:p>
          <w:p w14:paraId="7089820D" w14:textId="77777777" w:rsidR="00EA3A48" w:rsidRPr="0098367C" w:rsidRDefault="00EA3A48" w:rsidP="00EC60C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8367C">
              <w:rPr>
                <w:rFonts w:asciiTheme="majorHAnsi" w:hAnsiTheme="majorHAnsi"/>
                <w:sz w:val="24"/>
                <w:szCs w:val="24"/>
              </w:rPr>
              <w:t xml:space="preserve">“Entre otros temas, el Pacto Mundial también podría aportar un valor añadido a la Convención en lo que respecta a la aplicación del </w:t>
            </w:r>
            <w:r w:rsidRPr="0098367C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artículo 68 de la Convención en relación con la reducción de la migración irregular y la erradicación de la trata de personas en el contexto de la migración y el tráfico ilícito de migrantes (objetivos 9 y 10). Aunque la Convención no menciona explícitamente las palabras trata y tráfico ilícito, el Comité siempre ha proporcionado a los </w:t>
            </w:r>
            <w:proofErr w:type="gramStart"/>
            <w:r w:rsidRPr="0098367C">
              <w:rPr>
                <w:rFonts w:asciiTheme="majorHAnsi" w:hAnsiTheme="majorHAnsi"/>
                <w:sz w:val="24"/>
                <w:szCs w:val="24"/>
              </w:rPr>
              <w:t>Estados partes</w:t>
            </w:r>
            <w:proofErr w:type="gramEnd"/>
            <w:r w:rsidRPr="0098367C">
              <w:rPr>
                <w:rFonts w:asciiTheme="majorHAnsi" w:hAnsiTheme="majorHAnsi"/>
                <w:sz w:val="24"/>
                <w:szCs w:val="24"/>
              </w:rPr>
              <w:t xml:space="preserve"> recomendaciones a este respecto en sus observaciones finales tras el examen de los respectivos informes de los Estados partes. A la inversa, la Convención protege los derechos de los trabajadores temporeros (artículos 57 a 63), mientras que éstos no se mencionan en el Pacto Mundial”. </w:t>
            </w:r>
          </w:p>
          <w:p w14:paraId="664F2CC6" w14:textId="77777777" w:rsidR="00EA3A48" w:rsidRPr="0098367C" w:rsidRDefault="00EA3A48" w:rsidP="00EC60C9">
            <w:pPr>
              <w:spacing w:line="276" w:lineRule="auto"/>
              <w:jc w:val="both"/>
              <w:rPr>
                <w:rFonts w:eastAsiaTheme="minorEastAsia"/>
                <w:b/>
                <w:sz w:val="24"/>
                <w:szCs w:val="24"/>
                <w:lang w:val="es-ES" w:eastAsia="de-DE"/>
              </w:rPr>
            </w:pPr>
          </w:p>
        </w:tc>
        <w:tc>
          <w:tcPr>
            <w:tcW w:w="6378" w:type="dxa"/>
          </w:tcPr>
          <w:p w14:paraId="0675921B" w14:textId="77777777" w:rsidR="00CC0ED7" w:rsidRPr="0098367C" w:rsidRDefault="00BD5803" w:rsidP="00EC60C9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8367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Además de los trabajadores temporeros, </w:t>
            </w:r>
            <w:r w:rsidR="00EA3A48"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se recomienda </w:t>
            </w:r>
            <w:r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incluir </w:t>
            </w:r>
            <w:r w:rsidR="00377B1E">
              <w:rPr>
                <w:rFonts w:asciiTheme="majorHAnsi" w:hAnsiTheme="majorHAnsi" w:cstheme="majorHAnsi"/>
                <w:sz w:val="24"/>
                <w:szCs w:val="24"/>
              </w:rPr>
              <w:t xml:space="preserve">en la Observación General </w:t>
            </w:r>
            <w:r w:rsidRPr="0098367C">
              <w:rPr>
                <w:rFonts w:asciiTheme="majorHAnsi" w:hAnsiTheme="majorHAnsi" w:cstheme="majorHAnsi"/>
                <w:sz w:val="24"/>
                <w:szCs w:val="24"/>
              </w:rPr>
              <w:t>un apartado que aborde otras categorías específicas de trabajadores migrantes, cuyas condiciones de empleo implican vulnerabilidades y necesidades de protección específicas consideradas en el derecho internacional, como l</w:t>
            </w:r>
            <w:r w:rsidR="008C3BD7" w:rsidRPr="0098367C">
              <w:rPr>
                <w:rFonts w:asciiTheme="majorHAnsi" w:hAnsiTheme="majorHAnsi" w:cstheme="majorHAnsi"/>
                <w:sz w:val="24"/>
                <w:szCs w:val="24"/>
              </w:rPr>
              <w:t>as y los</w:t>
            </w:r>
            <w:r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 trabajador</w:t>
            </w:r>
            <w:r w:rsidR="008C3BD7" w:rsidRPr="0098367C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Pr="0098367C">
              <w:rPr>
                <w:rFonts w:asciiTheme="majorHAnsi" w:hAnsiTheme="majorHAnsi" w:cstheme="majorHAnsi"/>
                <w:sz w:val="24"/>
                <w:szCs w:val="24"/>
              </w:rPr>
              <w:t>s doméstic</w:t>
            </w:r>
            <w:r w:rsidR="008C3BD7" w:rsidRPr="0098367C">
              <w:rPr>
                <w:rFonts w:asciiTheme="majorHAnsi" w:hAnsiTheme="majorHAnsi" w:cstheme="majorHAnsi"/>
                <w:sz w:val="24"/>
                <w:szCs w:val="24"/>
              </w:rPr>
              <w:t>o</w:t>
            </w:r>
            <w:r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s (categoría </w:t>
            </w:r>
            <w:r w:rsidRPr="0098367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abordada en el Pacto Mundial y protegida en el Convenio sobre las Trabajadoras y los Trabajadores Domésticos, 2011; pero no en la Convención)</w:t>
            </w:r>
            <w:r w:rsidR="008C3BD7"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 y aquellos definidos en el artículo 2 de la Convención como son l</w:t>
            </w:r>
            <w:r w:rsidR="00DB19D4" w:rsidRPr="0098367C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="008C3BD7" w:rsidRPr="0098367C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DB19D4"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 y los</w:t>
            </w:r>
            <w:r w:rsidR="008C3BD7"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 trabajadores fronterizos, </w:t>
            </w:r>
            <w:r w:rsidR="00DB19D4" w:rsidRPr="0098367C">
              <w:rPr>
                <w:rFonts w:asciiTheme="majorHAnsi" w:hAnsiTheme="majorHAnsi" w:cstheme="majorHAnsi"/>
                <w:sz w:val="24"/>
                <w:szCs w:val="24"/>
              </w:rPr>
              <w:t>las y los</w:t>
            </w:r>
            <w:r w:rsidR="008C3BD7"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 trabajadores itinerantes, </w:t>
            </w:r>
            <w:r w:rsidR="00DB19D4"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las y los </w:t>
            </w:r>
            <w:r w:rsidR="008C3BD7"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trabajadores vinculados a un proyecto, </w:t>
            </w:r>
            <w:r w:rsidR="00DB19D4"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las y los </w:t>
            </w:r>
            <w:r w:rsidR="008C3BD7"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trabajadores con empleo concreto y </w:t>
            </w:r>
            <w:r w:rsidR="00DB19D4" w:rsidRPr="0098367C">
              <w:rPr>
                <w:rFonts w:asciiTheme="majorHAnsi" w:hAnsiTheme="majorHAnsi" w:cstheme="majorHAnsi"/>
                <w:sz w:val="24"/>
                <w:szCs w:val="24"/>
              </w:rPr>
              <w:t>las y los</w:t>
            </w:r>
            <w:r w:rsidR="008C3BD7"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 trabajadores por cuenta propia.</w:t>
            </w:r>
            <w:r w:rsidR="00802B10"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 Al incluirlos, se</w:t>
            </w:r>
            <w:r w:rsidR="00241BBB"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 visibiliza su situación y se enfatiza la necesidad de observar</w:t>
            </w:r>
            <w:r w:rsidR="00802B10"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 las disposiciones aplicables a dichas categorías específicas de trabajadores y sus familiares, contenidas en la Parte V de la Convención (artículos 57 a 63).</w:t>
            </w:r>
          </w:p>
        </w:tc>
      </w:tr>
      <w:tr w:rsidR="008E03E8" w:rsidRPr="0098367C" w14:paraId="5B084965" w14:textId="77777777" w:rsidTr="00BB0B15">
        <w:trPr>
          <w:trHeight w:val="4339"/>
        </w:trPr>
        <w:tc>
          <w:tcPr>
            <w:tcW w:w="6658" w:type="dxa"/>
          </w:tcPr>
          <w:p w14:paraId="3BD70DB7" w14:textId="77777777" w:rsidR="008E03E8" w:rsidRPr="0098367C" w:rsidRDefault="008E03E8" w:rsidP="00EC60C9">
            <w:pPr>
              <w:spacing w:line="276" w:lineRule="auto"/>
              <w:jc w:val="both"/>
              <w:rPr>
                <w:b/>
                <w:sz w:val="24"/>
                <w:szCs w:val="24"/>
                <w:lang w:val="es-ES"/>
              </w:rPr>
            </w:pPr>
            <w:r w:rsidRPr="0098367C">
              <w:rPr>
                <w:b/>
                <w:sz w:val="24"/>
                <w:szCs w:val="24"/>
                <w:lang w:val="es-ES"/>
              </w:rPr>
              <w:lastRenderedPageBreak/>
              <w:t>IX. Impacto de la pandemia de COVID-19 en los derechos humanos de los migrantes.</w:t>
            </w:r>
          </w:p>
          <w:p w14:paraId="4435F8A7" w14:textId="77777777" w:rsidR="008E03E8" w:rsidRPr="0098367C" w:rsidRDefault="008E03E8" w:rsidP="00EC60C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6590E9F8" w14:textId="77777777" w:rsidR="008E03E8" w:rsidRPr="0098367C" w:rsidRDefault="008E03E8" w:rsidP="00EC60C9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</w:pPr>
            <w:r w:rsidRPr="0098367C">
              <w:rPr>
                <w:rFonts w:asciiTheme="majorHAnsi" w:hAnsiTheme="majorHAnsi"/>
                <w:sz w:val="24"/>
                <w:szCs w:val="24"/>
              </w:rPr>
              <w:t xml:space="preserve">“Los </w:t>
            </w:r>
            <w:proofErr w:type="gramStart"/>
            <w:r w:rsidRPr="0098367C">
              <w:rPr>
                <w:rFonts w:asciiTheme="majorHAnsi" w:hAnsiTheme="majorHAnsi"/>
                <w:sz w:val="24"/>
                <w:szCs w:val="24"/>
              </w:rPr>
              <w:t>Estados Partes</w:t>
            </w:r>
            <w:proofErr w:type="gramEnd"/>
            <w:r w:rsidRPr="0098367C">
              <w:rPr>
                <w:rFonts w:asciiTheme="majorHAnsi" w:hAnsiTheme="majorHAnsi"/>
                <w:sz w:val="24"/>
                <w:szCs w:val="24"/>
              </w:rPr>
              <w:t xml:space="preserve"> deben tomar todas las medidas necesarias para prevenir el brote de COVID-19 en estos entornos, </w:t>
            </w:r>
            <w:r w:rsidRPr="0098367C">
              <w:rPr>
                <w:rFonts w:asciiTheme="majorHAnsi" w:hAnsiTheme="majorHAnsi"/>
                <w:i/>
                <w:sz w:val="24"/>
                <w:szCs w:val="24"/>
              </w:rPr>
              <w:t>incluso considerando</w:t>
            </w:r>
            <w:r w:rsidRPr="0098367C">
              <w:rPr>
                <w:rFonts w:asciiTheme="majorHAnsi" w:hAnsiTheme="majorHAnsi"/>
                <w:sz w:val="24"/>
                <w:szCs w:val="24"/>
              </w:rPr>
              <w:t xml:space="preserve"> alternativas a la detención, como la puesta en libertad.” (itálicas añadidas)</w:t>
            </w:r>
          </w:p>
        </w:tc>
        <w:tc>
          <w:tcPr>
            <w:tcW w:w="6378" w:type="dxa"/>
          </w:tcPr>
          <w:p w14:paraId="036CBDFE" w14:textId="77777777" w:rsidR="008E03E8" w:rsidRPr="0098367C" w:rsidRDefault="008E03E8" w:rsidP="00EC60C9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Se sugiere cambiar la redacción de este apartado </w:t>
            </w:r>
            <w:r w:rsidR="00377B1E">
              <w:rPr>
                <w:rFonts w:asciiTheme="majorHAnsi" w:hAnsiTheme="majorHAnsi" w:cstheme="majorHAnsi"/>
                <w:sz w:val="24"/>
                <w:szCs w:val="24"/>
              </w:rPr>
              <w:t>en la Observación General</w:t>
            </w:r>
            <w:r w:rsidRPr="0098367C">
              <w:rPr>
                <w:rFonts w:asciiTheme="majorHAnsi" w:hAnsiTheme="majorHAnsi" w:cstheme="majorHAnsi"/>
                <w:sz w:val="24"/>
                <w:szCs w:val="24"/>
              </w:rPr>
              <w:t xml:space="preserve"> sustituyendo los términos “incluso considerando” por el término “priorizando”, para quedar de la siguiente manera:</w:t>
            </w:r>
          </w:p>
          <w:p w14:paraId="7DC16627" w14:textId="77777777" w:rsidR="008E03E8" w:rsidRPr="0098367C" w:rsidRDefault="008E03E8" w:rsidP="00EC60C9">
            <w:pPr>
              <w:spacing w:before="240" w:line="276" w:lineRule="auto"/>
              <w:ind w:left="32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8367C">
              <w:rPr>
                <w:rFonts w:asciiTheme="majorHAnsi" w:hAnsiTheme="majorHAnsi"/>
                <w:sz w:val="24"/>
                <w:szCs w:val="24"/>
              </w:rPr>
              <w:t xml:space="preserve">“Los </w:t>
            </w:r>
            <w:proofErr w:type="gramStart"/>
            <w:r w:rsidRPr="0098367C">
              <w:rPr>
                <w:rFonts w:asciiTheme="majorHAnsi" w:hAnsiTheme="majorHAnsi"/>
                <w:sz w:val="24"/>
                <w:szCs w:val="24"/>
              </w:rPr>
              <w:t>Estados Partes</w:t>
            </w:r>
            <w:proofErr w:type="gramEnd"/>
            <w:r w:rsidRPr="0098367C">
              <w:rPr>
                <w:rFonts w:asciiTheme="majorHAnsi" w:hAnsiTheme="majorHAnsi"/>
                <w:sz w:val="24"/>
                <w:szCs w:val="24"/>
              </w:rPr>
              <w:t xml:space="preserve"> deben tomar todas las medidas necesarias para prevenir el brote de COVID-19 en estos entornos, </w:t>
            </w:r>
            <w:r w:rsidRPr="0098367C">
              <w:rPr>
                <w:rFonts w:asciiTheme="majorHAnsi" w:hAnsiTheme="majorHAnsi"/>
                <w:b/>
                <w:sz w:val="24"/>
                <w:szCs w:val="24"/>
              </w:rPr>
              <w:t>priorizando</w:t>
            </w:r>
            <w:r w:rsidRPr="0098367C">
              <w:rPr>
                <w:rFonts w:asciiTheme="majorHAnsi" w:hAnsiTheme="majorHAnsi"/>
                <w:sz w:val="24"/>
                <w:szCs w:val="24"/>
              </w:rPr>
              <w:t xml:space="preserve"> alternativas a la detención, como la puesta en libertad.”</w:t>
            </w:r>
          </w:p>
          <w:p w14:paraId="7F78DECD" w14:textId="77777777" w:rsidR="008E03E8" w:rsidRPr="0098367C" w:rsidRDefault="008E03E8" w:rsidP="00EC60C9">
            <w:pPr>
              <w:spacing w:before="240"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8367C">
              <w:rPr>
                <w:rFonts w:asciiTheme="majorHAnsi" w:hAnsiTheme="majorHAnsi" w:cstheme="majorHAnsi"/>
                <w:sz w:val="24"/>
                <w:szCs w:val="24"/>
              </w:rPr>
              <w:t>Esta redacción es más fiel al Objetivo 13 del Pacto Mundial, que hace un llamado explícito a “Utilizar la detención de migrantes solo como último recurso y buscar otras alternativas”.</w:t>
            </w:r>
          </w:p>
        </w:tc>
      </w:tr>
      <w:tr w:rsidR="00405892" w:rsidRPr="0098367C" w14:paraId="5D3E9858" w14:textId="77777777" w:rsidTr="00BB0B15">
        <w:trPr>
          <w:trHeight w:val="4339"/>
        </w:trPr>
        <w:tc>
          <w:tcPr>
            <w:tcW w:w="6658" w:type="dxa"/>
          </w:tcPr>
          <w:p w14:paraId="67F48952" w14:textId="77777777" w:rsidR="00405892" w:rsidRPr="0098367C" w:rsidRDefault="00405892" w:rsidP="00405892">
            <w:pPr>
              <w:spacing w:line="276" w:lineRule="auto"/>
              <w:jc w:val="both"/>
              <w:rPr>
                <w:b/>
                <w:sz w:val="24"/>
                <w:szCs w:val="24"/>
                <w:lang w:val="es-ES"/>
              </w:rPr>
            </w:pPr>
            <w:r w:rsidRPr="0098367C">
              <w:rPr>
                <w:b/>
                <w:sz w:val="24"/>
                <w:szCs w:val="24"/>
                <w:lang w:val="es-ES"/>
              </w:rPr>
              <w:lastRenderedPageBreak/>
              <w:t>IX. Impacto de la pandemia de COVID-19 en los derechos humanos de los migrantes.</w:t>
            </w:r>
          </w:p>
          <w:p w14:paraId="2B4502A1" w14:textId="77777777" w:rsidR="00405892" w:rsidRPr="00405892" w:rsidRDefault="00405892" w:rsidP="0040589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b/>
                <w:lang w:val="es-ES"/>
              </w:rPr>
            </w:pPr>
            <w:r w:rsidRPr="00F75751">
              <w:rPr>
                <w:rFonts w:asciiTheme="majorHAnsi" w:hAnsiTheme="majorHAnsi"/>
                <w:lang w:val="es-ES"/>
              </w:rPr>
              <w:t xml:space="preserve">“En vista de las vulnerabilidades a las que se enfrentaron los trabajadores migrantes en particular durante la pandemia de COVID-19, el comentario general nº 6 incluirá una sección sobre las medidas de protección para los trabajadores migrantes durante las emergencias </w:t>
            </w:r>
            <w:r w:rsidRPr="00F75751">
              <w:rPr>
                <w:rFonts w:asciiTheme="majorHAnsi" w:hAnsiTheme="majorHAnsi"/>
                <w:i/>
                <w:lang w:val="es-ES"/>
              </w:rPr>
              <w:t>(en general)</w:t>
            </w:r>
            <w:r w:rsidRPr="00F75751">
              <w:rPr>
                <w:rFonts w:asciiTheme="majorHAnsi" w:hAnsiTheme="majorHAnsi"/>
                <w:lang w:val="es-ES"/>
              </w:rPr>
              <w:t xml:space="preserve">, ya que los trabajadores migrantes son indispensables para mantener las economías y los mercados en funcionamiento durante una emergencia, como durante la pandemia de COVID-19.” </w:t>
            </w:r>
            <w:r>
              <w:rPr>
                <w:rFonts w:asciiTheme="majorHAnsi" w:hAnsiTheme="majorHAnsi"/>
              </w:rPr>
              <w:t>(</w:t>
            </w:r>
            <w:proofErr w:type="spellStart"/>
            <w:r>
              <w:rPr>
                <w:rFonts w:asciiTheme="majorHAnsi" w:hAnsiTheme="majorHAnsi"/>
              </w:rPr>
              <w:t>itálicas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añadidas</w:t>
            </w:r>
            <w:proofErr w:type="spellEnd"/>
            <w:r>
              <w:rPr>
                <w:rFonts w:asciiTheme="majorHAnsi" w:hAnsiTheme="majorHAnsi"/>
              </w:rPr>
              <w:t>)</w:t>
            </w:r>
            <w:permStart w:id="1648585860" w:edGrp="everyone"/>
            <w:permEnd w:id="1648585860"/>
          </w:p>
        </w:tc>
        <w:tc>
          <w:tcPr>
            <w:tcW w:w="6378" w:type="dxa"/>
          </w:tcPr>
          <w:p w14:paraId="1182AD4A" w14:textId="77777777" w:rsidR="00405892" w:rsidRPr="00D01ACD" w:rsidRDefault="00405892" w:rsidP="00EC60C9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01ACD">
              <w:rPr>
                <w:rFonts w:asciiTheme="majorHAnsi" w:hAnsiTheme="majorHAnsi" w:cstheme="majorHAnsi"/>
                <w:sz w:val="24"/>
                <w:szCs w:val="24"/>
              </w:rPr>
              <w:t xml:space="preserve">Se recomienda incluir </w:t>
            </w:r>
            <w:r w:rsidR="00AC5ACB" w:rsidRPr="00D01ACD">
              <w:rPr>
                <w:rFonts w:asciiTheme="majorHAnsi" w:hAnsiTheme="majorHAnsi" w:cstheme="majorHAnsi"/>
                <w:sz w:val="24"/>
                <w:szCs w:val="24"/>
              </w:rPr>
              <w:t>en</w:t>
            </w:r>
            <w:r w:rsidRPr="00D01AC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E1A9A" w:rsidRPr="00D01ACD">
              <w:rPr>
                <w:rFonts w:asciiTheme="majorHAnsi" w:hAnsiTheme="majorHAnsi" w:cstheme="majorHAnsi"/>
                <w:sz w:val="24"/>
                <w:szCs w:val="24"/>
              </w:rPr>
              <w:t>la Observación</w:t>
            </w:r>
            <w:r w:rsidRPr="00D01ACD">
              <w:rPr>
                <w:rFonts w:asciiTheme="majorHAnsi" w:hAnsiTheme="majorHAnsi" w:cstheme="majorHAnsi"/>
                <w:sz w:val="24"/>
                <w:szCs w:val="24"/>
              </w:rPr>
              <w:t xml:space="preserve"> General </w:t>
            </w:r>
            <w:r w:rsidR="00AC5ACB" w:rsidRPr="00D01ACD">
              <w:rPr>
                <w:rFonts w:asciiTheme="majorHAnsi" w:hAnsiTheme="majorHAnsi" w:cstheme="majorHAnsi"/>
                <w:sz w:val="24"/>
                <w:szCs w:val="24"/>
              </w:rPr>
              <w:t xml:space="preserve">un apartado dedicado a abordar las medidas de protección para los trabajadores migrantes en situaciones de conflicto bélico </w:t>
            </w:r>
            <w:r w:rsidR="009E78D7" w:rsidRPr="00D01ACD">
              <w:rPr>
                <w:rFonts w:asciiTheme="majorHAnsi" w:hAnsiTheme="majorHAnsi" w:cstheme="majorHAnsi"/>
                <w:sz w:val="24"/>
                <w:szCs w:val="24"/>
              </w:rPr>
              <w:t>y ruptura de las relaciones diplomáticos entre Estados</w:t>
            </w:r>
            <w:r w:rsidR="00ED79F4" w:rsidRPr="00D01ACD">
              <w:rPr>
                <w:rFonts w:asciiTheme="majorHAnsi" w:hAnsiTheme="majorHAnsi" w:cstheme="majorHAnsi"/>
                <w:sz w:val="24"/>
                <w:szCs w:val="24"/>
              </w:rPr>
              <w:t>. E</w:t>
            </w:r>
            <w:r w:rsidR="00D37733" w:rsidRPr="00D01ACD">
              <w:rPr>
                <w:rFonts w:asciiTheme="majorHAnsi" w:hAnsiTheme="majorHAnsi" w:cstheme="majorHAnsi"/>
                <w:sz w:val="24"/>
                <w:szCs w:val="24"/>
              </w:rPr>
              <w:t>l escenario geopolítico actual requiere</w:t>
            </w:r>
            <w:r w:rsidR="00377B1E" w:rsidRPr="00D01ACD">
              <w:rPr>
                <w:rFonts w:asciiTheme="majorHAnsi" w:hAnsiTheme="majorHAnsi" w:cstheme="majorHAnsi"/>
                <w:sz w:val="24"/>
                <w:szCs w:val="24"/>
              </w:rPr>
              <w:t xml:space="preserve"> fortalecer los mecanismos</w:t>
            </w:r>
            <w:r w:rsidR="00D307E5" w:rsidRPr="00D01ACD">
              <w:rPr>
                <w:rFonts w:asciiTheme="majorHAnsi" w:hAnsiTheme="majorHAnsi" w:cstheme="majorHAnsi"/>
                <w:sz w:val="24"/>
                <w:szCs w:val="24"/>
              </w:rPr>
              <w:t xml:space="preserve"> para </w:t>
            </w:r>
            <w:r w:rsidR="00D01ACD" w:rsidRPr="00D01ACD">
              <w:rPr>
                <w:rFonts w:asciiTheme="majorHAnsi" w:hAnsiTheme="majorHAnsi" w:cstheme="majorHAnsi"/>
                <w:sz w:val="24"/>
                <w:szCs w:val="24"/>
              </w:rPr>
              <w:t>garantizar los derechos humanos de las personas desplazadas a causa de las guerras</w:t>
            </w:r>
            <w:r w:rsidR="00377B1E" w:rsidRPr="00D01AC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D01ACD" w:rsidRPr="00D01ACD">
              <w:rPr>
                <w:rFonts w:asciiTheme="majorHAnsi" w:hAnsiTheme="majorHAnsi" w:cstheme="majorHAnsi"/>
                <w:sz w:val="24"/>
                <w:szCs w:val="24"/>
              </w:rPr>
              <w:t xml:space="preserve">y </w:t>
            </w:r>
            <w:r w:rsidR="00A32D31">
              <w:rPr>
                <w:rFonts w:asciiTheme="majorHAnsi" w:hAnsiTheme="majorHAnsi" w:cstheme="majorHAnsi"/>
                <w:sz w:val="24"/>
                <w:szCs w:val="24"/>
              </w:rPr>
              <w:t>retomar</w:t>
            </w:r>
            <w:r w:rsidR="00BC249A">
              <w:rPr>
                <w:rFonts w:asciiTheme="majorHAnsi" w:hAnsiTheme="majorHAnsi" w:cstheme="majorHAnsi"/>
                <w:sz w:val="24"/>
                <w:szCs w:val="24"/>
              </w:rPr>
              <w:t xml:space="preserve"> las</w:t>
            </w:r>
            <w:r w:rsidR="00D01ACD" w:rsidRPr="00D01AC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D01ACD" w:rsidRPr="00D01ACD">
              <w:rPr>
                <w:rFonts w:asciiTheme="majorHAnsi" w:hAnsiTheme="majorHAnsi" w:cstheme="majorHAnsi"/>
                <w:i/>
              </w:rPr>
              <w:t>Directrices para la Protección de los Migrantes en Países Afectados por Conflictos o Desastres Naturales</w:t>
            </w:r>
            <w:r w:rsidR="00D01ACD" w:rsidRPr="00D01ACD">
              <w:rPr>
                <w:rFonts w:asciiTheme="majorHAnsi" w:hAnsiTheme="majorHAnsi" w:cstheme="majorHAnsi"/>
              </w:rPr>
              <w:t xml:space="preserve">, mencionado en el Objetivo 2 del Pacto Mundial, puede ser un primer paso </w:t>
            </w:r>
            <w:r w:rsidR="00BC249A">
              <w:rPr>
                <w:rFonts w:asciiTheme="majorHAnsi" w:hAnsiTheme="majorHAnsi" w:cstheme="majorHAnsi"/>
              </w:rPr>
              <w:t>en ese sentido.</w:t>
            </w:r>
          </w:p>
        </w:tc>
      </w:tr>
    </w:tbl>
    <w:p w14:paraId="4567451B" w14:textId="77777777" w:rsidR="00F71D92" w:rsidRPr="0098367C" w:rsidRDefault="00F71D92" w:rsidP="00FE7250">
      <w:pPr>
        <w:rPr>
          <w:rFonts w:ascii="Arial" w:hAnsi="Arial" w:cs="Arial"/>
          <w:b/>
          <w:sz w:val="24"/>
          <w:szCs w:val="24"/>
        </w:rPr>
      </w:pPr>
    </w:p>
    <w:sectPr w:rsidR="00F71D92" w:rsidRPr="0098367C" w:rsidSect="00EF4192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D6587" w14:textId="77777777" w:rsidR="00C0067F" w:rsidRDefault="00C0067F" w:rsidP="004A4762">
      <w:pPr>
        <w:spacing w:after="0" w:line="240" w:lineRule="auto"/>
      </w:pPr>
      <w:r>
        <w:separator/>
      </w:r>
    </w:p>
  </w:endnote>
  <w:endnote w:type="continuationSeparator" w:id="0">
    <w:p w14:paraId="5DE94401" w14:textId="77777777" w:rsidR="00C0067F" w:rsidRDefault="00C0067F" w:rsidP="004A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26470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BD4818" w14:textId="77777777" w:rsidR="00BB0B15" w:rsidRDefault="00BB0B15">
            <w:pPr>
              <w:pStyle w:val="Footer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2D7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2D7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838D5F" w14:textId="77777777" w:rsidR="00BB0B15" w:rsidRDefault="00BB0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2EE2F" w14:textId="77777777" w:rsidR="00C0067F" w:rsidRDefault="00C0067F" w:rsidP="004A4762">
      <w:pPr>
        <w:spacing w:after="0" w:line="240" w:lineRule="auto"/>
      </w:pPr>
      <w:r>
        <w:separator/>
      </w:r>
    </w:p>
  </w:footnote>
  <w:footnote w:type="continuationSeparator" w:id="0">
    <w:p w14:paraId="5F560590" w14:textId="77777777" w:rsidR="00C0067F" w:rsidRDefault="00C0067F" w:rsidP="004A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9801B" w14:textId="77777777" w:rsidR="004A4762" w:rsidRPr="002D20B7" w:rsidRDefault="004A4762" w:rsidP="004A4762">
    <w:pPr>
      <w:pStyle w:val="Header"/>
      <w:jc w:val="right"/>
      <w:rPr>
        <w:rFonts w:ascii="Arial Narrow" w:hAnsi="Arial Narrow"/>
        <w:b/>
      </w:rPr>
    </w:pPr>
    <w:r w:rsidRPr="002D20B7">
      <w:rPr>
        <w:rFonts w:ascii="Arial Narrow" w:hAnsi="Arial Narrow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1CE4D4C9" wp14:editId="11C3D560">
          <wp:simplePos x="0" y="0"/>
          <wp:positionH relativeFrom="margin">
            <wp:align>left</wp:align>
          </wp:positionH>
          <wp:positionV relativeFrom="paragraph">
            <wp:posOffset>-52705</wp:posOffset>
          </wp:positionV>
          <wp:extent cx="666750" cy="666750"/>
          <wp:effectExtent l="0" t="0" r="0" b="0"/>
          <wp:wrapTight wrapText="bothSides">
            <wp:wrapPolygon edited="0">
              <wp:start x="5554" y="0"/>
              <wp:lineTo x="0" y="3703"/>
              <wp:lineTo x="0" y="15429"/>
              <wp:lineTo x="3086" y="19749"/>
              <wp:lineTo x="5554" y="20983"/>
              <wp:lineTo x="15429" y="20983"/>
              <wp:lineTo x="17897" y="19749"/>
              <wp:lineTo x="20983" y="15429"/>
              <wp:lineTo x="20983" y="3703"/>
              <wp:lineTo x="15429" y="0"/>
              <wp:lineTo x="5554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́mbolo-CDH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20B7">
      <w:rPr>
        <w:rFonts w:ascii="Arial Narrow" w:hAnsi="Arial Narrow"/>
        <w:b/>
      </w:rPr>
      <w:t>COMISIÓN DE DERECHOS HUMANOS DE LA CIUDAD DE MÉXICO</w:t>
    </w:r>
  </w:p>
  <w:p w14:paraId="14B44043" w14:textId="77777777" w:rsidR="004A4762" w:rsidRDefault="004A4762">
    <w:pPr>
      <w:pStyle w:val="Header"/>
    </w:pPr>
  </w:p>
  <w:p w14:paraId="62120382" w14:textId="77777777" w:rsidR="004A4762" w:rsidRDefault="004A4762">
    <w:pPr>
      <w:pStyle w:val="Header"/>
    </w:pPr>
  </w:p>
  <w:p w14:paraId="681D82C4" w14:textId="77777777" w:rsidR="004A4762" w:rsidRDefault="004A47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0626F"/>
    <w:multiLevelType w:val="hybridMultilevel"/>
    <w:tmpl w:val="55307082"/>
    <w:lvl w:ilvl="0" w:tplc="36DAC42C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F26E99"/>
    <w:multiLevelType w:val="hybridMultilevel"/>
    <w:tmpl w:val="81308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D368C"/>
    <w:multiLevelType w:val="hybridMultilevel"/>
    <w:tmpl w:val="782C8A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080E4B"/>
    <w:multiLevelType w:val="hybridMultilevel"/>
    <w:tmpl w:val="E6724D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IVdL7ZAYMHylxwt0GYFTu7wM+7ySpNPRRSKCMpk4wzHa6dbHvu5sdblJ/q23l8s12fBJnXYogUf7rg68Kauwg==" w:salt="WCLDrPvagay65jMVFm2IZ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62"/>
    <w:rsid w:val="0002409D"/>
    <w:rsid w:val="000254E8"/>
    <w:rsid w:val="000339C3"/>
    <w:rsid w:val="000622EF"/>
    <w:rsid w:val="00071C29"/>
    <w:rsid w:val="000C5C05"/>
    <w:rsid w:val="000F3BD1"/>
    <w:rsid w:val="001044C7"/>
    <w:rsid w:val="00106C42"/>
    <w:rsid w:val="00123001"/>
    <w:rsid w:val="00126303"/>
    <w:rsid w:val="001816FC"/>
    <w:rsid w:val="00192502"/>
    <w:rsid w:val="001E18A1"/>
    <w:rsid w:val="002177E5"/>
    <w:rsid w:val="00217B3B"/>
    <w:rsid w:val="00241663"/>
    <w:rsid w:val="00241BBB"/>
    <w:rsid w:val="00242C73"/>
    <w:rsid w:val="00247220"/>
    <w:rsid w:val="002922CF"/>
    <w:rsid w:val="00295111"/>
    <w:rsid w:val="002A5178"/>
    <w:rsid w:val="002B347D"/>
    <w:rsid w:val="002C6607"/>
    <w:rsid w:val="002E063E"/>
    <w:rsid w:val="002F7DE1"/>
    <w:rsid w:val="00302771"/>
    <w:rsid w:val="00304527"/>
    <w:rsid w:val="00315188"/>
    <w:rsid w:val="00365C64"/>
    <w:rsid w:val="0037408A"/>
    <w:rsid w:val="00377B1E"/>
    <w:rsid w:val="00382AB4"/>
    <w:rsid w:val="003A4131"/>
    <w:rsid w:val="003B2D7D"/>
    <w:rsid w:val="003E30D9"/>
    <w:rsid w:val="00400A9E"/>
    <w:rsid w:val="00405892"/>
    <w:rsid w:val="00406569"/>
    <w:rsid w:val="0049404E"/>
    <w:rsid w:val="004A4762"/>
    <w:rsid w:val="004B6A8E"/>
    <w:rsid w:val="004C23B6"/>
    <w:rsid w:val="004D1DEF"/>
    <w:rsid w:val="004F5BE8"/>
    <w:rsid w:val="00524123"/>
    <w:rsid w:val="00556A64"/>
    <w:rsid w:val="00567EF6"/>
    <w:rsid w:val="005A5631"/>
    <w:rsid w:val="005C0003"/>
    <w:rsid w:val="005C61BF"/>
    <w:rsid w:val="005C6970"/>
    <w:rsid w:val="005D1E20"/>
    <w:rsid w:val="00601C11"/>
    <w:rsid w:val="00643942"/>
    <w:rsid w:val="00643BAD"/>
    <w:rsid w:val="006A379D"/>
    <w:rsid w:val="006B4FDF"/>
    <w:rsid w:val="006D419D"/>
    <w:rsid w:val="006E5830"/>
    <w:rsid w:val="006F0679"/>
    <w:rsid w:val="006F7231"/>
    <w:rsid w:val="0072205A"/>
    <w:rsid w:val="0075787A"/>
    <w:rsid w:val="00766893"/>
    <w:rsid w:val="00777242"/>
    <w:rsid w:val="00791555"/>
    <w:rsid w:val="007B06BA"/>
    <w:rsid w:val="007D01AF"/>
    <w:rsid w:val="007D3067"/>
    <w:rsid w:val="00802B10"/>
    <w:rsid w:val="0083383E"/>
    <w:rsid w:val="00853669"/>
    <w:rsid w:val="0089363E"/>
    <w:rsid w:val="0089577B"/>
    <w:rsid w:val="008C3BD7"/>
    <w:rsid w:val="008E03E8"/>
    <w:rsid w:val="008F5092"/>
    <w:rsid w:val="00903BD8"/>
    <w:rsid w:val="00921AE5"/>
    <w:rsid w:val="0093733E"/>
    <w:rsid w:val="00937B51"/>
    <w:rsid w:val="009526A6"/>
    <w:rsid w:val="00971DC2"/>
    <w:rsid w:val="00976B0F"/>
    <w:rsid w:val="0098367C"/>
    <w:rsid w:val="009C1E06"/>
    <w:rsid w:val="009D0A72"/>
    <w:rsid w:val="009D634D"/>
    <w:rsid w:val="009E78D7"/>
    <w:rsid w:val="009F6DDD"/>
    <w:rsid w:val="00A0082D"/>
    <w:rsid w:val="00A25CC7"/>
    <w:rsid w:val="00A32D31"/>
    <w:rsid w:val="00A470EF"/>
    <w:rsid w:val="00AC2144"/>
    <w:rsid w:val="00AC5ACB"/>
    <w:rsid w:val="00AE05B1"/>
    <w:rsid w:val="00B04124"/>
    <w:rsid w:val="00B06811"/>
    <w:rsid w:val="00B13F05"/>
    <w:rsid w:val="00B238D8"/>
    <w:rsid w:val="00BB0B15"/>
    <w:rsid w:val="00BC249A"/>
    <w:rsid w:val="00BC4BBC"/>
    <w:rsid w:val="00BD0040"/>
    <w:rsid w:val="00BD5803"/>
    <w:rsid w:val="00BE1FAD"/>
    <w:rsid w:val="00BE3CD8"/>
    <w:rsid w:val="00BF0A8B"/>
    <w:rsid w:val="00C0067F"/>
    <w:rsid w:val="00C33B57"/>
    <w:rsid w:val="00C3461A"/>
    <w:rsid w:val="00C74EE4"/>
    <w:rsid w:val="00C901B7"/>
    <w:rsid w:val="00C930DD"/>
    <w:rsid w:val="00CA652E"/>
    <w:rsid w:val="00CC003E"/>
    <w:rsid w:val="00CC0ED7"/>
    <w:rsid w:val="00CC5A92"/>
    <w:rsid w:val="00CF620B"/>
    <w:rsid w:val="00D01ACD"/>
    <w:rsid w:val="00D24D00"/>
    <w:rsid w:val="00D307E5"/>
    <w:rsid w:val="00D37733"/>
    <w:rsid w:val="00D664A3"/>
    <w:rsid w:val="00D67C06"/>
    <w:rsid w:val="00D70B57"/>
    <w:rsid w:val="00D92A6C"/>
    <w:rsid w:val="00DA2398"/>
    <w:rsid w:val="00DB19D4"/>
    <w:rsid w:val="00DB7422"/>
    <w:rsid w:val="00DD5440"/>
    <w:rsid w:val="00DE5D06"/>
    <w:rsid w:val="00DF60A3"/>
    <w:rsid w:val="00DF7F0D"/>
    <w:rsid w:val="00E1001D"/>
    <w:rsid w:val="00E1592F"/>
    <w:rsid w:val="00E463C9"/>
    <w:rsid w:val="00E73651"/>
    <w:rsid w:val="00E90612"/>
    <w:rsid w:val="00EA03ED"/>
    <w:rsid w:val="00EA37E6"/>
    <w:rsid w:val="00EA3A48"/>
    <w:rsid w:val="00EB76C0"/>
    <w:rsid w:val="00EC60C9"/>
    <w:rsid w:val="00ED79F4"/>
    <w:rsid w:val="00EE1A9A"/>
    <w:rsid w:val="00EE2FAB"/>
    <w:rsid w:val="00EF4192"/>
    <w:rsid w:val="00F05CE9"/>
    <w:rsid w:val="00F1688F"/>
    <w:rsid w:val="00F43D5E"/>
    <w:rsid w:val="00F45F76"/>
    <w:rsid w:val="00F502E4"/>
    <w:rsid w:val="00F61F5C"/>
    <w:rsid w:val="00F71D92"/>
    <w:rsid w:val="00F746F4"/>
    <w:rsid w:val="00F75751"/>
    <w:rsid w:val="00F92C74"/>
    <w:rsid w:val="00FB1432"/>
    <w:rsid w:val="00FC3F33"/>
    <w:rsid w:val="00FC45AF"/>
    <w:rsid w:val="00FE7250"/>
    <w:rsid w:val="00FF49F5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4853A"/>
  <w15:chartTrackingRefBased/>
  <w15:docId w15:val="{095380FE-2780-4496-A028-2A9A1161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7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7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762"/>
  </w:style>
  <w:style w:type="paragraph" w:styleId="Footer">
    <w:name w:val="footer"/>
    <w:basedOn w:val="Normal"/>
    <w:link w:val="FooterChar"/>
    <w:uiPriority w:val="99"/>
    <w:unhideWhenUsed/>
    <w:rsid w:val="004A47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762"/>
  </w:style>
  <w:style w:type="character" w:customStyle="1" w:styleId="Heading2Char">
    <w:name w:val="Heading 2 Char"/>
    <w:basedOn w:val="DefaultParagraphFont"/>
    <w:link w:val="Heading2"/>
    <w:uiPriority w:val="9"/>
    <w:rsid w:val="00937B51"/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table" w:styleId="TableGrid">
    <w:name w:val="Table Grid"/>
    <w:basedOn w:val="TableNormal"/>
    <w:uiPriority w:val="39"/>
    <w:rsid w:val="00937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937B51"/>
    <w:rPr>
      <w:vertAlign w:val="superscript"/>
    </w:rPr>
  </w:style>
  <w:style w:type="character" w:customStyle="1" w:styleId="markedcontent">
    <w:name w:val="markedcontent"/>
    <w:basedOn w:val="DefaultParagraphFont"/>
    <w:rsid w:val="00937B51"/>
  </w:style>
  <w:style w:type="paragraph" w:styleId="NormalWeb">
    <w:name w:val="Normal (Web)"/>
    <w:basedOn w:val="Normal"/>
    <w:uiPriority w:val="99"/>
    <w:unhideWhenUsed/>
    <w:rsid w:val="0093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E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1665</Words>
  <Characters>9497</Characters>
  <Application>Microsoft Office Word</Application>
  <DocSecurity>8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CDHCM</dc:creator>
  <cp:keywords/>
  <dc:description/>
  <cp:lastModifiedBy>FLECHE Isabelle</cp:lastModifiedBy>
  <cp:revision>3</cp:revision>
  <cp:lastPrinted>2022-09-06T16:34:00Z</cp:lastPrinted>
  <dcterms:created xsi:type="dcterms:W3CDTF">2022-09-12T22:07:00Z</dcterms:created>
  <dcterms:modified xsi:type="dcterms:W3CDTF">2022-09-23T16:33:00Z</dcterms:modified>
</cp:coreProperties>
</file>