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525C" w14:textId="77777777" w:rsidR="00F65BC4" w:rsidRDefault="00F65BC4" w:rsidP="00F65BC4"/>
    <w:p w14:paraId="0A9571D6" w14:textId="28148564" w:rsidR="00F65BC4" w:rsidRDefault="00F65BC4" w:rsidP="00F65BC4">
      <w:pPr>
        <w:ind w:left="-142"/>
        <w:jc w:val="both"/>
        <w:rPr>
          <w:rFonts w:ascii="Arial" w:hAnsi="Arial" w:cs="Arial"/>
          <w:b/>
          <w:bCs/>
        </w:rPr>
      </w:pPr>
      <w:r w:rsidRPr="00F65BC4">
        <w:rPr>
          <w:rFonts w:ascii="Arial" w:hAnsi="Arial" w:cs="Arial"/>
          <w:b/>
          <w:bCs/>
        </w:rPr>
        <w:t xml:space="preserve">Con relación al “Proyecto de Observación General </w:t>
      </w:r>
      <w:proofErr w:type="spellStart"/>
      <w:r w:rsidRPr="00F65BC4">
        <w:rPr>
          <w:rFonts w:ascii="Arial" w:hAnsi="Arial" w:cs="Arial"/>
          <w:b/>
          <w:bCs/>
        </w:rPr>
        <w:t>N°</w:t>
      </w:r>
      <w:proofErr w:type="spellEnd"/>
      <w:r w:rsidRPr="00F65BC4">
        <w:rPr>
          <w:rFonts w:ascii="Arial" w:hAnsi="Arial" w:cs="Arial"/>
          <w:b/>
          <w:bCs/>
        </w:rPr>
        <w:t xml:space="preserve"> 6 sobre la convergencia entre la Convención Internacional para la Protección de los Derechos de Todos los Trabajadores Migrantes y sus Familias y el Pacto Mundial para la Migración Segura, Ordenada y Regular”, se transmiten los comentarios del Estado peruano:</w:t>
      </w:r>
    </w:p>
    <w:p w14:paraId="364E19E8" w14:textId="77777777" w:rsidR="00F65BC4" w:rsidRPr="00F65BC4" w:rsidRDefault="00F65BC4" w:rsidP="00F65BC4">
      <w:pPr>
        <w:ind w:left="-142"/>
        <w:jc w:val="both"/>
        <w:rPr>
          <w:rFonts w:ascii="Arial" w:hAnsi="Arial" w:cs="Arial"/>
          <w:b/>
          <w:bCs/>
        </w:rPr>
      </w:pPr>
    </w:p>
    <w:p w14:paraId="223CCD20" w14:textId="4F821760" w:rsidR="00F65BC4" w:rsidRPr="00F65BC4" w:rsidRDefault="00F65BC4" w:rsidP="00501E00">
      <w:pPr>
        <w:pStyle w:val="ListParagraph"/>
        <w:ind w:left="-142"/>
        <w:jc w:val="both"/>
        <w:rPr>
          <w:rFonts w:ascii="Arial" w:hAnsi="Arial" w:cs="Arial"/>
          <w:b/>
          <w:bCs/>
        </w:rPr>
      </w:pPr>
      <w:r w:rsidRPr="00F65BC4">
        <w:rPr>
          <w:rFonts w:ascii="Arial" w:hAnsi="Arial" w:cs="Arial"/>
          <w:b/>
          <w:bCs/>
        </w:rPr>
        <w:t>Introducción</w:t>
      </w:r>
    </w:p>
    <w:p w14:paraId="162B34C5" w14:textId="77777777" w:rsidR="00501E00" w:rsidRDefault="00F65BC4" w:rsidP="00501E00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cuarto párrafo, colocar completo el significado de “PO 7” – </w:t>
      </w:r>
      <w:r w:rsidR="00501E00">
        <w:rPr>
          <w:rFonts w:ascii="Arial" w:hAnsi="Arial" w:cs="Arial"/>
        </w:rPr>
        <w:t xml:space="preserve"> </w:t>
      </w:r>
    </w:p>
    <w:p w14:paraId="097BC8E9" w14:textId="19C0D800" w:rsidR="00F65BC4" w:rsidRPr="00501E00" w:rsidRDefault="00F65BC4" w:rsidP="00501E00">
      <w:pPr>
        <w:ind w:left="-142"/>
        <w:jc w:val="both"/>
        <w:rPr>
          <w:rFonts w:ascii="Arial" w:hAnsi="Arial" w:cs="Arial"/>
        </w:rPr>
      </w:pPr>
      <w:r w:rsidRPr="00501E00">
        <w:rPr>
          <w:rFonts w:ascii="Arial" w:hAnsi="Arial" w:cs="Arial"/>
          <w:b/>
          <w:bCs/>
        </w:rPr>
        <w:t>Origen y antecedentes históricos de la adopción de la Convención y del Pacto Mundial</w:t>
      </w:r>
    </w:p>
    <w:p w14:paraId="18F1ED37" w14:textId="25429AF2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segundo párrafo, colocar completo el significado de “ONU” – </w:t>
      </w:r>
      <w:r w:rsidR="00501E00">
        <w:rPr>
          <w:rFonts w:ascii="Arial" w:hAnsi="Arial" w:cs="Arial"/>
        </w:rPr>
        <w:t xml:space="preserve"> </w:t>
      </w:r>
    </w:p>
    <w:p w14:paraId="1426055D" w14:textId="129428F5" w:rsidR="00F65BC4" w:rsidRPr="00F65BC4" w:rsidRDefault="00F65BC4" w:rsidP="00501E00">
      <w:pPr>
        <w:pStyle w:val="ListParagraph"/>
        <w:ind w:left="-142"/>
        <w:jc w:val="both"/>
        <w:rPr>
          <w:rFonts w:ascii="Arial" w:hAnsi="Arial" w:cs="Arial"/>
          <w:b/>
          <w:bCs/>
        </w:rPr>
      </w:pPr>
      <w:r w:rsidRPr="00F65BC4">
        <w:rPr>
          <w:rFonts w:ascii="Arial" w:hAnsi="Arial" w:cs="Arial"/>
          <w:b/>
          <w:bCs/>
        </w:rPr>
        <w:t>Contexto actual de la aplicación de la Convención y del Pacto Mundial</w:t>
      </w:r>
    </w:p>
    <w:p w14:paraId="71EC0AC9" w14:textId="77777777" w:rsidR="00501E00" w:rsidRDefault="00F65BC4" w:rsidP="00501E00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tercer párrafo, colocar completo el significado de “ODS” – </w:t>
      </w:r>
      <w:r w:rsidR="00501E00">
        <w:rPr>
          <w:rFonts w:ascii="Arial" w:hAnsi="Arial" w:cs="Arial"/>
        </w:rPr>
        <w:t xml:space="preserve"> </w:t>
      </w:r>
    </w:p>
    <w:p w14:paraId="2D408A19" w14:textId="25380A33" w:rsidR="00F65BC4" w:rsidRPr="00501E00" w:rsidRDefault="00F65BC4" w:rsidP="00501E00">
      <w:pPr>
        <w:ind w:left="-142"/>
        <w:jc w:val="both"/>
        <w:rPr>
          <w:rFonts w:ascii="Arial" w:hAnsi="Arial" w:cs="Arial"/>
        </w:rPr>
      </w:pPr>
      <w:r w:rsidRPr="00501E00">
        <w:rPr>
          <w:rFonts w:ascii="Arial" w:hAnsi="Arial" w:cs="Arial"/>
          <w:b/>
          <w:bCs/>
        </w:rPr>
        <w:t>Convergencia de la Convención y el Pacto Mundial en cuanto a los principios de derechos humanos</w:t>
      </w:r>
    </w:p>
    <w:p w14:paraId="1FFEB621" w14:textId="1ED77B7E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los párrafos de “Trabajo decente y no discriminación”, considerar los Objetivos 6 y 17, así como el número de párrafo que señala los principios del Pacto Mundial – </w:t>
      </w:r>
      <w:proofErr w:type="gramStart"/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  <w:proofErr w:type="gramEnd"/>
    </w:p>
    <w:p w14:paraId="099DC9B0" w14:textId="3A0AA1A3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párrafo de “Reunificación familiar”, colocar que “este tema también se encuentra en el Objetivo 16 (c) del Pacto Mundial.” - </w:t>
      </w:r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</w:p>
    <w:p w14:paraId="054F132C" w14:textId="0673ABA3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párrafo de “Protección de las categorías vulnerables de migrantes/tratamiento humano”, colocar completo el significado de “OACDH” - </w:t>
      </w:r>
      <w:proofErr w:type="gramStart"/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  <w:proofErr w:type="gramEnd"/>
    </w:p>
    <w:p w14:paraId="459F353C" w14:textId="14337BA5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párrafo de “permisos de residencia” corregir la palabra “prevé” y añadir “El Pacto no sólo se enfoca en la confiscación y/o destrucción de documentos de identidad, sino también </w:t>
      </w:r>
      <w:r w:rsidR="00501E00">
        <w:rPr>
          <w:rFonts w:ascii="Arial" w:hAnsi="Arial" w:cs="Arial"/>
        </w:rPr>
        <w:t>en la</w:t>
      </w:r>
      <w:r w:rsidRPr="00F65BC4">
        <w:rPr>
          <w:rFonts w:ascii="Arial" w:hAnsi="Arial" w:cs="Arial"/>
        </w:rPr>
        <w:t xml:space="preserve"> identidad jurídica y documentación adecuada (Objetivo 4), aspecto importante para la regularización y el acceso a trabajo en los países de acogida.” - </w:t>
      </w:r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</w:p>
    <w:p w14:paraId="07CA05C2" w14:textId="08CE0D6F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párrafo de “Acceso a un recurso efectivo”, colocar que “el artículo 83 también hace mención </w:t>
      </w:r>
      <w:proofErr w:type="gramStart"/>
      <w:r w:rsidRPr="00F65BC4">
        <w:rPr>
          <w:rFonts w:ascii="Arial" w:hAnsi="Arial" w:cs="Arial"/>
        </w:rPr>
        <w:t>a</w:t>
      </w:r>
      <w:proofErr w:type="gramEnd"/>
      <w:r w:rsidRPr="00F65BC4">
        <w:rPr>
          <w:rFonts w:ascii="Arial" w:hAnsi="Arial" w:cs="Arial"/>
        </w:rPr>
        <w:t xml:space="preserve"> la reparación efectiva de la violación recibida.” - </w:t>
      </w:r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</w:p>
    <w:p w14:paraId="2AFEFF69" w14:textId="0D37101D" w:rsid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párrafo de “Reintegración”, se sugiere colocar coma después de “basa” - </w:t>
      </w:r>
      <w:proofErr w:type="gramStart"/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  <w:proofErr w:type="gramEnd"/>
    </w:p>
    <w:p w14:paraId="13991BC4" w14:textId="0766AD12" w:rsidR="00F65BC4" w:rsidRPr="00F65BC4" w:rsidRDefault="00F65BC4" w:rsidP="00501E00">
      <w:pPr>
        <w:pStyle w:val="ListParagraph"/>
        <w:ind w:left="-142"/>
        <w:jc w:val="both"/>
        <w:rPr>
          <w:rFonts w:ascii="Arial" w:hAnsi="Arial" w:cs="Arial"/>
          <w:b/>
          <w:bCs/>
        </w:rPr>
      </w:pPr>
      <w:r w:rsidRPr="00F65BC4">
        <w:rPr>
          <w:rFonts w:ascii="Arial" w:hAnsi="Arial" w:cs="Arial"/>
          <w:b/>
          <w:bCs/>
        </w:rPr>
        <w:t>Convergencia de la Convención y el Pacto Mundial en cuanto a los principios de derechos humanos</w:t>
      </w:r>
    </w:p>
    <w:p w14:paraId="73CADFA7" w14:textId="6D2986BF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cuarto párrafo, </w:t>
      </w:r>
      <w:proofErr w:type="gramStart"/>
      <w:r w:rsidRPr="00F65BC4">
        <w:rPr>
          <w:rFonts w:ascii="Arial" w:hAnsi="Arial" w:cs="Arial"/>
        </w:rPr>
        <w:t>añadir</w:t>
      </w:r>
      <w:proofErr w:type="gramEnd"/>
      <w:r w:rsidRPr="00F65BC4">
        <w:rPr>
          <w:rFonts w:ascii="Arial" w:hAnsi="Arial" w:cs="Arial"/>
        </w:rPr>
        <w:t xml:space="preserve"> que “Estado de Derecho y garantías procesales también se encuentran como parte de los principios del Pacto.” - </w:t>
      </w:r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</w:p>
    <w:p w14:paraId="7C1F4FF0" w14:textId="090A3C52" w:rsidR="00F65BC4" w:rsidRPr="00501E00" w:rsidRDefault="00F65BC4" w:rsidP="00501E00">
      <w:pPr>
        <w:jc w:val="both"/>
        <w:rPr>
          <w:rFonts w:ascii="Arial" w:hAnsi="Arial" w:cs="Arial"/>
          <w:b/>
          <w:bCs/>
        </w:rPr>
      </w:pPr>
      <w:r w:rsidRPr="00501E00">
        <w:rPr>
          <w:rFonts w:ascii="Arial" w:hAnsi="Arial" w:cs="Arial"/>
          <w:b/>
          <w:bCs/>
        </w:rPr>
        <w:t>Llenar las lagunas jurídicas y de derechos humanos del Pacto Mundial mediante una interpretación concomitante de la Convención y el Pacto Mundial</w:t>
      </w:r>
    </w:p>
    <w:p w14:paraId="4177E718" w14:textId="7A149D43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segundo párrafo, </w:t>
      </w:r>
      <w:proofErr w:type="gramStart"/>
      <w:r w:rsidRPr="00F65BC4">
        <w:rPr>
          <w:rFonts w:ascii="Arial" w:hAnsi="Arial" w:cs="Arial"/>
        </w:rPr>
        <w:t>añadir</w:t>
      </w:r>
      <w:proofErr w:type="gramEnd"/>
      <w:r w:rsidRPr="00F65BC4">
        <w:rPr>
          <w:rFonts w:ascii="Arial" w:hAnsi="Arial" w:cs="Arial"/>
        </w:rPr>
        <w:t xml:space="preserve"> que “El trabajo temporal y los permisos de trabajo temporales se menciona en el Pacto Mundial, en los Objetivos 5 (d) y (g).” - </w:t>
      </w:r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</w:p>
    <w:p w14:paraId="5F7B936C" w14:textId="161B1C92" w:rsidR="00F65BC4" w:rsidRPr="00F65BC4" w:rsidRDefault="00F65BC4" w:rsidP="00501E00">
      <w:pPr>
        <w:pStyle w:val="ListParagraph"/>
        <w:ind w:left="-142"/>
        <w:jc w:val="both"/>
        <w:rPr>
          <w:rFonts w:ascii="Arial" w:hAnsi="Arial" w:cs="Arial"/>
          <w:b/>
          <w:bCs/>
        </w:rPr>
      </w:pPr>
      <w:r w:rsidRPr="00F65BC4">
        <w:rPr>
          <w:rFonts w:ascii="Arial" w:hAnsi="Arial" w:cs="Arial"/>
          <w:b/>
          <w:bCs/>
        </w:rPr>
        <w:t>Impacto de la pandemia del COVID-19 en los derechos humanos de los migrantes</w:t>
      </w:r>
    </w:p>
    <w:p w14:paraId="2800323A" w14:textId="4676E330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segundo párrafo, colocar “que los expone” en vez de “lo que expone” - </w:t>
      </w:r>
      <w:proofErr w:type="gramStart"/>
      <w:r w:rsidR="00501E00">
        <w:rPr>
          <w:rFonts w:ascii="Arial" w:hAnsi="Arial" w:cs="Arial"/>
        </w:rPr>
        <w:t xml:space="preserve">  </w:t>
      </w:r>
      <w:r w:rsidRPr="00F65BC4">
        <w:rPr>
          <w:rFonts w:ascii="Arial" w:hAnsi="Arial" w:cs="Arial"/>
        </w:rPr>
        <w:t>.</w:t>
      </w:r>
      <w:proofErr w:type="gramEnd"/>
    </w:p>
    <w:p w14:paraId="7C88033B" w14:textId="7201C7CA" w:rsidR="00F65BC4" w:rsidRPr="00501E00" w:rsidRDefault="00F65BC4" w:rsidP="00501E00">
      <w:pPr>
        <w:ind w:left="-142"/>
        <w:jc w:val="both"/>
        <w:rPr>
          <w:rFonts w:ascii="Arial" w:hAnsi="Arial" w:cs="Arial"/>
        </w:rPr>
      </w:pPr>
      <w:r w:rsidRPr="00501E00">
        <w:rPr>
          <w:rFonts w:ascii="Arial" w:hAnsi="Arial" w:cs="Arial"/>
          <w:b/>
          <w:bCs/>
        </w:rPr>
        <w:lastRenderedPageBreak/>
        <w:t>Conclusiones</w:t>
      </w:r>
    </w:p>
    <w:p w14:paraId="2AAE1A3E" w14:textId="5BA1C33F" w:rsidR="00F65BC4" w:rsidRPr="00F65BC4" w:rsidRDefault="00F65BC4" w:rsidP="00F65BC4">
      <w:pPr>
        <w:ind w:left="-142"/>
        <w:jc w:val="both"/>
        <w:rPr>
          <w:rFonts w:ascii="Arial" w:hAnsi="Arial" w:cs="Arial"/>
        </w:rPr>
      </w:pPr>
      <w:r w:rsidRPr="00F65BC4">
        <w:rPr>
          <w:rFonts w:ascii="Arial" w:hAnsi="Arial" w:cs="Arial"/>
        </w:rPr>
        <w:t xml:space="preserve">En el tercer párrafo se debe corregir la repetición de “Convención” y colocar “El Pacto Mundial propone una serie de herramientas para la aplicación de la Convención, es decir, medidas y acciones que pueden contribuir a la operatividad de las disposiciones de </w:t>
      </w:r>
      <w:proofErr w:type="gramStart"/>
      <w:r w:rsidRPr="00F65BC4">
        <w:rPr>
          <w:rFonts w:ascii="Arial" w:hAnsi="Arial" w:cs="Arial"/>
        </w:rPr>
        <w:t>la misma</w:t>
      </w:r>
      <w:proofErr w:type="gramEnd"/>
      <w:r w:rsidRPr="00F65BC4">
        <w:rPr>
          <w:rFonts w:ascii="Arial" w:hAnsi="Arial" w:cs="Arial"/>
        </w:rPr>
        <w:t xml:space="preserve"> y ampliar la interpretación de ciertos derechos y normas mínimas establecidas por ella.” – </w:t>
      </w:r>
      <w:r w:rsidR="00501E00">
        <w:rPr>
          <w:rFonts w:ascii="Arial" w:hAnsi="Arial" w:cs="Arial"/>
        </w:rPr>
        <w:t xml:space="preserve"> </w:t>
      </w:r>
      <w:permStart w:id="1505709173" w:edGrp="everyone"/>
      <w:permEnd w:id="1505709173"/>
    </w:p>
    <w:p w14:paraId="1682D08D" w14:textId="77777777" w:rsidR="006F3361" w:rsidRPr="00F65BC4" w:rsidRDefault="006F3361" w:rsidP="00F65BC4">
      <w:pPr>
        <w:ind w:left="-142"/>
        <w:jc w:val="both"/>
        <w:rPr>
          <w:rFonts w:ascii="Arial" w:hAnsi="Arial" w:cs="Arial"/>
        </w:rPr>
      </w:pPr>
    </w:p>
    <w:sectPr w:rsidR="006F3361" w:rsidRPr="00F65BC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060F7" w14:textId="77777777" w:rsidR="00F65BC4" w:rsidRDefault="00F65BC4" w:rsidP="00F65BC4">
      <w:pPr>
        <w:spacing w:after="0" w:line="240" w:lineRule="auto"/>
      </w:pPr>
      <w:r>
        <w:separator/>
      </w:r>
    </w:p>
  </w:endnote>
  <w:endnote w:type="continuationSeparator" w:id="0">
    <w:p w14:paraId="71E2CC5F" w14:textId="77777777" w:rsidR="00F65BC4" w:rsidRDefault="00F65BC4" w:rsidP="00F6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921767"/>
      <w:docPartObj>
        <w:docPartGallery w:val="Page Numbers (Bottom of Page)"/>
        <w:docPartUnique/>
      </w:docPartObj>
    </w:sdtPr>
    <w:sdtEndPr/>
    <w:sdtContent>
      <w:p w14:paraId="3FE4245E" w14:textId="798FA27D" w:rsidR="00F65BC4" w:rsidRDefault="00F65B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4E28CD3" w14:textId="77777777" w:rsidR="00F65BC4" w:rsidRDefault="00F65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A368" w14:textId="77777777" w:rsidR="00F65BC4" w:rsidRDefault="00F65BC4" w:rsidP="00F65BC4">
      <w:pPr>
        <w:spacing w:after="0" w:line="240" w:lineRule="auto"/>
      </w:pPr>
      <w:r>
        <w:separator/>
      </w:r>
    </w:p>
  </w:footnote>
  <w:footnote w:type="continuationSeparator" w:id="0">
    <w:p w14:paraId="7B9CD525" w14:textId="77777777" w:rsidR="00F65BC4" w:rsidRDefault="00F65BC4" w:rsidP="00F6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16F43"/>
    <w:multiLevelType w:val="hybridMultilevel"/>
    <w:tmpl w:val="00E82472"/>
    <w:lvl w:ilvl="0" w:tplc="DB247F7A">
      <w:start w:val="1"/>
      <w:numFmt w:val="upperRoman"/>
      <w:lvlText w:val="%1."/>
      <w:lvlJc w:val="left"/>
      <w:pPr>
        <w:ind w:left="2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40" w:hanging="360"/>
      </w:pPr>
    </w:lvl>
    <w:lvl w:ilvl="2" w:tplc="0C0A001B" w:tentative="1">
      <w:start w:val="1"/>
      <w:numFmt w:val="lowerRoman"/>
      <w:lvlText w:val="%3."/>
      <w:lvlJc w:val="right"/>
      <w:pPr>
        <w:ind w:left="3860" w:hanging="180"/>
      </w:pPr>
    </w:lvl>
    <w:lvl w:ilvl="3" w:tplc="0C0A000F" w:tentative="1">
      <w:start w:val="1"/>
      <w:numFmt w:val="decimal"/>
      <w:lvlText w:val="%4."/>
      <w:lvlJc w:val="left"/>
      <w:pPr>
        <w:ind w:left="4580" w:hanging="360"/>
      </w:pPr>
    </w:lvl>
    <w:lvl w:ilvl="4" w:tplc="0C0A0019" w:tentative="1">
      <w:start w:val="1"/>
      <w:numFmt w:val="lowerLetter"/>
      <w:lvlText w:val="%5."/>
      <w:lvlJc w:val="left"/>
      <w:pPr>
        <w:ind w:left="5300" w:hanging="360"/>
      </w:pPr>
    </w:lvl>
    <w:lvl w:ilvl="5" w:tplc="0C0A001B" w:tentative="1">
      <w:start w:val="1"/>
      <w:numFmt w:val="lowerRoman"/>
      <w:lvlText w:val="%6."/>
      <w:lvlJc w:val="right"/>
      <w:pPr>
        <w:ind w:left="6020" w:hanging="180"/>
      </w:pPr>
    </w:lvl>
    <w:lvl w:ilvl="6" w:tplc="0C0A000F" w:tentative="1">
      <w:start w:val="1"/>
      <w:numFmt w:val="decimal"/>
      <w:lvlText w:val="%7."/>
      <w:lvlJc w:val="left"/>
      <w:pPr>
        <w:ind w:left="6740" w:hanging="360"/>
      </w:pPr>
    </w:lvl>
    <w:lvl w:ilvl="7" w:tplc="0C0A0019" w:tentative="1">
      <w:start w:val="1"/>
      <w:numFmt w:val="lowerLetter"/>
      <w:lvlText w:val="%8."/>
      <w:lvlJc w:val="left"/>
      <w:pPr>
        <w:ind w:left="7460" w:hanging="360"/>
      </w:pPr>
    </w:lvl>
    <w:lvl w:ilvl="8" w:tplc="0C0A001B" w:tentative="1">
      <w:start w:val="1"/>
      <w:numFmt w:val="lowerRoman"/>
      <w:lvlText w:val="%9."/>
      <w:lvlJc w:val="right"/>
      <w:pPr>
        <w:ind w:left="8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zP2O0Zl0Eb2EI4ohDheC2MXrdg0MJAa+YIvpSGptXXt8qNll+VSuiNE3NTri6P5QOGdGDRcknWWeL0luGR1sw==" w:salt="i0ez+nHcsDUxO0l29WFL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C4"/>
    <w:rsid w:val="002821C9"/>
    <w:rsid w:val="003C57D3"/>
    <w:rsid w:val="00501E00"/>
    <w:rsid w:val="00514AB8"/>
    <w:rsid w:val="006F3361"/>
    <w:rsid w:val="00F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580D"/>
  <w15:chartTrackingRefBased/>
  <w15:docId w15:val="{A35A5D9F-DF01-4344-8018-F1C7122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C4"/>
  </w:style>
  <w:style w:type="paragraph" w:styleId="Footer">
    <w:name w:val="footer"/>
    <w:basedOn w:val="Normal"/>
    <w:link w:val="FooterChar"/>
    <w:uiPriority w:val="99"/>
    <w:unhideWhenUsed/>
    <w:rsid w:val="00F6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431</Words>
  <Characters>2461</Characters>
  <Application>Microsoft Office Word</Application>
  <DocSecurity>8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 Perú Ginebra Misión Perú</dc:creator>
  <cp:keywords/>
  <dc:description/>
  <cp:lastModifiedBy>FLECHE Isabelle</cp:lastModifiedBy>
  <cp:revision>3</cp:revision>
  <dcterms:created xsi:type="dcterms:W3CDTF">2022-10-04T15:44:00Z</dcterms:created>
  <dcterms:modified xsi:type="dcterms:W3CDTF">2022-10-05T15:51:00Z</dcterms:modified>
</cp:coreProperties>
</file>