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D5A8E" w14:textId="236DAB97" w:rsidR="00E95676" w:rsidRPr="00A6302B" w:rsidRDefault="00E95676" w:rsidP="00CF77B2">
      <w:pPr>
        <w:tabs>
          <w:tab w:val="left" w:pos="1896"/>
        </w:tabs>
        <w:spacing w:line="240" w:lineRule="auto"/>
        <w:jc w:val="right"/>
        <w:rPr>
          <w:color w:val="002060"/>
          <w:sz w:val="24"/>
          <w:szCs w:val="24"/>
        </w:rPr>
      </w:pPr>
      <w:bookmarkStart w:id="0" w:name="_GoBack"/>
      <w:bookmarkEnd w:id="0"/>
      <w:r w:rsidRPr="00A6302B">
        <w:rPr>
          <w:color w:val="002060"/>
          <w:sz w:val="24"/>
          <w:szCs w:val="24"/>
        </w:rPr>
        <w:t xml:space="preserve">Strasbourg, </w:t>
      </w:r>
      <w:r w:rsidR="00461A70">
        <w:rPr>
          <w:color w:val="002060"/>
          <w:sz w:val="24"/>
          <w:szCs w:val="24"/>
        </w:rPr>
        <w:t>2</w:t>
      </w:r>
      <w:r w:rsidR="00974CA3">
        <w:rPr>
          <w:color w:val="002060"/>
          <w:sz w:val="24"/>
          <w:szCs w:val="24"/>
        </w:rPr>
        <w:t>2</w:t>
      </w:r>
      <w:r w:rsidR="00E74938" w:rsidRPr="00A6302B">
        <w:rPr>
          <w:color w:val="002060"/>
          <w:sz w:val="24"/>
          <w:szCs w:val="24"/>
        </w:rPr>
        <w:t xml:space="preserve"> </w:t>
      </w:r>
      <w:r w:rsidR="0089022C" w:rsidRPr="00A6302B">
        <w:rPr>
          <w:color w:val="002060"/>
          <w:sz w:val="24"/>
          <w:szCs w:val="24"/>
        </w:rPr>
        <w:t>June 2021</w:t>
      </w:r>
    </w:p>
    <w:p w14:paraId="3077CF74" w14:textId="415C89CF" w:rsidR="00E95676" w:rsidRPr="00A6302B" w:rsidRDefault="00BE2CDE" w:rsidP="00CF77B2">
      <w:pPr>
        <w:tabs>
          <w:tab w:val="left" w:pos="5985"/>
        </w:tabs>
        <w:spacing w:after="0" w:line="240" w:lineRule="auto"/>
        <w:jc w:val="center"/>
        <w:rPr>
          <w:b/>
          <w:color w:val="002060"/>
          <w:sz w:val="24"/>
          <w:szCs w:val="24"/>
        </w:rPr>
      </w:pPr>
      <w:r>
        <w:rPr>
          <w:b/>
          <w:color w:val="002060"/>
          <w:sz w:val="24"/>
          <w:szCs w:val="24"/>
        </w:rPr>
        <w:t>Con</w:t>
      </w:r>
      <w:r w:rsidR="005E3C39">
        <w:rPr>
          <w:b/>
          <w:color w:val="002060"/>
          <w:sz w:val="24"/>
          <w:szCs w:val="24"/>
        </w:rPr>
        <w:t>t</w:t>
      </w:r>
      <w:r>
        <w:rPr>
          <w:b/>
          <w:color w:val="002060"/>
          <w:sz w:val="24"/>
          <w:szCs w:val="24"/>
        </w:rPr>
        <w:t>ribution</w:t>
      </w:r>
      <w:r w:rsidR="00E95676" w:rsidRPr="00A6302B">
        <w:rPr>
          <w:b/>
          <w:color w:val="002060"/>
          <w:sz w:val="24"/>
          <w:szCs w:val="24"/>
        </w:rPr>
        <w:t xml:space="preserve"> by the Council of Europe</w:t>
      </w:r>
      <w:r w:rsidR="00C445B1">
        <w:rPr>
          <w:b/>
          <w:color w:val="002060"/>
          <w:sz w:val="24"/>
          <w:szCs w:val="24"/>
        </w:rPr>
        <w:t xml:space="preserve"> Secretariat</w:t>
      </w:r>
    </w:p>
    <w:p w14:paraId="2F5696BA" w14:textId="5746F59C" w:rsidR="008173B7" w:rsidRPr="00A6302B" w:rsidRDefault="0089022C" w:rsidP="008173B7">
      <w:pPr>
        <w:tabs>
          <w:tab w:val="left" w:pos="5985"/>
        </w:tabs>
        <w:spacing w:after="0" w:line="240" w:lineRule="auto"/>
        <w:jc w:val="center"/>
        <w:rPr>
          <w:b/>
          <w:color w:val="002060"/>
          <w:sz w:val="24"/>
          <w:szCs w:val="24"/>
        </w:rPr>
      </w:pPr>
      <w:proofErr w:type="gramStart"/>
      <w:r w:rsidRPr="00A6302B">
        <w:rPr>
          <w:b/>
          <w:color w:val="002060"/>
          <w:sz w:val="24"/>
          <w:szCs w:val="24"/>
        </w:rPr>
        <w:t>to</w:t>
      </w:r>
      <w:proofErr w:type="gramEnd"/>
      <w:r w:rsidRPr="00A6302B">
        <w:rPr>
          <w:b/>
          <w:color w:val="002060"/>
          <w:sz w:val="24"/>
          <w:szCs w:val="24"/>
        </w:rPr>
        <w:t xml:space="preserve"> </w:t>
      </w:r>
      <w:r w:rsidR="00E95676" w:rsidRPr="00A6302B">
        <w:rPr>
          <w:b/>
          <w:color w:val="002060"/>
          <w:sz w:val="24"/>
          <w:szCs w:val="24"/>
        </w:rPr>
        <w:t>the UN Committee on the Rights of the Child</w:t>
      </w:r>
      <w:r w:rsidR="00BE2CDE">
        <w:rPr>
          <w:b/>
          <w:color w:val="002060"/>
          <w:sz w:val="24"/>
          <w:szCs w:val="24"/>
        </w:rPr>
        <w:t>’s</w:t>
      </w:r>
      <w:r w:rsidRPr="00A6302B">
        <w:rPr>
          <w:b/>
          <w:color w:val="002060"/>
          <w:sz w:val="24"/>
          <w:szCs w:val="24"/>
        </w:rPr>
        <w:t xml:space="preserve"> Day of General Discussion </w:t>
      </w:r>
      <w:r w:rsidR="008173B7" w:rsidRPr="00A6302B">
        <w:rPr>
          <w:b/>
          <w:color w:val="002060"/>
          <w:sz w:val="24"/>
          <w:szCs w:val="24"/>
        </w:rPr>
        <w:t xml:space="preserve">on </w:t>
      </w:r>
    </w:p>
    <w:p w14:paraId="7F5E751F" w14:textId="584950DD" w:rsidR="00E95676" w:rsidRPr="00A6302B" w:rsidRDefault="008173B7" w:rsidP="008173B7">
      <w:pPr>
        <w:tabs>
          <w:tab w:val="left" w:pos="5985"/>
        </w:tabs>
        <w:spacing w:after="0" w:line="240" w:lineRule="auto"/>
        <w:jc w:val="center"/>
        <w:rPr>
          <w:b/>
          <w:color w:val="002060"/>
          <w:sz w:val="24"/>
          <w:szCs w:val="24"/>
        </w:rPr>
      </w:pPr>
      <w:r w:rsidRPr="00A6302B">
        <w:rPr>
          <w:b/>
          <w:color w:val="002060"/>
          <w:sz w:val="24"/>
          <w:szCs w:val="24"/>
        </w:rPr>
        <w:t>"Children’s Rights and Alternative Care"</w:t>
      </w:r>
      <w:r w:rsidR="00BE2CDE">
        <w:rPr>
          <w:b/>
          <w:color w:val="002060"/>
          <w:sz w:val="24"/>
          <w:szCs w:val="24"/>
        </w:rPr>
        <w:t>,</w:t>
      </w:r>
      <w:r w:rsidRPr="00A6302B">
        <w:rPr>
          <w:b/>
          <w:color w:val="002060"/>
          <w:sz w:val="24"/>
          <w:szCs w:val="24"/>
        </w:rPr>
        <w:t xml:space="preserve"> 16-17 September 2021</w:t>
      </w:r>
      <w:r w:rsidR="00E95676" w:rsidRPr="00A6302B">
        <w:rPr>
          <w:b/>
          <w:color w:val="002060"/>
          <w:sz w:val="24"/>
          <w:szCs w:val="24"/>
        </w:rPr>
        <w:t xml:space="preserve"> </w:t>
      </w:r>
    </w:p>
    <w:p w14:paraId="5EF8FCFC" w14:textId="09E47AA5" w:rsidR="008173B7" w:rsidRDefault="008173B7" w:rsidP="008A2E41">
      <w:pPr>
        <w:spacing w:line="240" w:lineRule="auto"/>
        <w:jc w:val="both"/>
        <w:rPr>
          <w:color w:val="002060"/>
          <w:sz w:val="24"/>
          <w:szCs w:val="24"/>
        </w:rPr>
      </w:pPr>
    </w:p>
    <w:p w14:paraId="2E7ECBC4" w14:textId="7545EE9D" w:rsidR="00BE2CDE" w:rsidRPr="008629F3" w:rsidRDefault="00E95676" w:rsidP="00737DCF">
      <w:pPr>
        <w:autoSpaceDE w:val="0"/>
        <w:autoSpaceDN w:val="0"/>
        <w:adjustRightInd w:val="0"/>
        <w:spacing w:after="0" w:line="240" w:lineRule="auto"/>
        <w:jc w:val="both"/>
        <w:rPr>
          <w:color w:val="002060"/>
        </w:rPr>
      </w:pPr>
      <w:r w:rsidRPr="008629F3">
        <w:rPr>
          <w:color w:val="002060"/>
        </w:rPr>
        <w:t xml:space="preserve">The </w:t>
      </w:r>
      <w:r w:rsidR="008E5B7B" w:rsidRPr="008629F3">
        <w:rPr>
          <w:color w:val="002060"/>
        </w:rPr>
        <w:t>Council of Europe</w:t>
      </w:r>
      <w:r w:rsidR="00C445B1" w:rsidRPr="008629F3">
        <w:rPr>
          <w:color w:val="002060"/>
        </w:rPr>
        <w:t xml:space="preserve"> Secretariat </w:t>
      </w:r>
      <w:r w:rsidR="00814CE1" w:rsidRPr="008629F3">
        <w:rPr>
          <w:rStyle w:val="FootnoteReference"/>
          <w:bCs/>
          <w:color w:val="002060"/>
          <w:sz w:val="24"/>
          <w:szCs w:val="24"/>
        </w:rPr>
        <w:footnoteReference w:id="1"/>
      </w:r>
      <w:r w:rsidR="008E5B7B" w:rsidRPr="008629F3">
        <w:rPr>
          <w:color w:val="002060"/>
        </w:rPr>
        <w:t xml:space="preserve"> </w:t>
      </w:r>
      <w:r w:rsidR="008173B7" w:rsidRPr="008629F3">
        <w:rPr>
          <w:color w:val="002060"/>
        </w:rPr>
        <w:t xml:space="preserve">welcomes the opportunity offered by </w:t>
      </w:r>
      <w:r w:rsidRPr="008629F3">
        <w:rPr>
          <w:color w:val="002060"/>
        </w:rPr>
        <w:t>the UN Committee o</w:t>
      </w:r>
      <w:r w:rsidR="001A6510" w:rsidRPr="008629F3">
        <w:rPr>
          <w:color w:val="002060"/>
        </w:rPr>
        <w:t>n</w:t>
      </w:r>
      <w:r w:rsidRPr="008629F3">
        <w:rPr>
          <w:color w:val="002060"/>
        </w:rPr>
        <w:t xml:space="preserve"> the Rights of the Child </w:t>
      </w:r>
      <w:r w:rsidR="00814CE1" w:rsidRPr="008629F3">
        <w:rPr>
          <w:color w:val="002060"/>
        </w:rPr>
        <w:t xml:space="preserve">(UNCRC) </w:t>
      </w:r>
      <w:r w:rsidRPr="008629F3">
        <w:rPr>
          <w:color w:val="002060"/>
        </w:rPr>
        <w:t xml:space="preserve">to </w:t>
      </w:r>
      <w:r w:rsidR="00BE2CDE" w:rsidRPr="008629F3">
        <w:rPr>
          <w:color w:val="002060"/>
        </w:rPr>
        <w:t>contribute to its Day of General Discussion</w:t>
      </w:r>
      <w:r w:rsidR="008173B7" w:rsidRPr="008629F3">
        <w:rPr>
          <w:color w:val="002060"/>
        </w:rPr>
        <w:t xml:space="preserve"> </w:t>
      </w:r>
      <w:r w:rsidRPr="008629F3">
        <w:rPr>
          <w:color w:val="002060"/>
        </w:rPr>
        <w:t>on children’s rights</w:t>
      </w:r>
      <w:r w:rsidR="008173B7" w:rsidRPr="008629F3">
        <w:rPr>
          <w:color w:val="002060"/>
        </w:rPr>
        <w:t xml:space="preserve"> and alternative care</w:t>
      </w:r>
      <w:r w:rsidRPr="008629F3">
        <w:rPr>
          <w:color w:val="002060"/>
        </w:rPr>
        <w:t xml:space="preserve">. </w:t>
      </w:r>
      <w:r w:rsidR="00BE2CDE" w:rsidRPr="008629F3">
        <w:rPr>
          <w:color w:val="002060"/>
        </w:rPr>
        <w:t xml:space="preserve">This contribution </w:t>
      </w:r>
      <w:r w:rsidR="00102E11" w:rsidRPr="008629F3">
        <w:rPr>
          <w:color w:val="002060"/>
        </w:rPr>
        <w:t xml:space="preserve">outlines </w:t>
      </w:r>
      <w:r w:rsidR="00BE2CDE" w:rsidRPr="008629F3">
        <w:rPr>
          <w:color w:val="002060"/>
        </w:rPr>
        <w:t xml:space="preserve">the Council of Europe’s acquis in this area, and takes into account the outcome of a </w:t>
      </w:r>
      <w:hyperlink r:id="rId11" w:history="1">
        <w:r w:rsidR="00BE2CDE" w:rsidRPr="008629F3">
          <w:rPr>
            <w:rStyle w:val="Hyperlink"/>
          </w:rPr>
          <w:t>Regional Discussion organised in the run-up to the General Discussion on 1 June 2021</w:t>
        </w:r>
      </w:hyperlink>
      <w:r w:rsidR="003D0DD4" w:rsidRPr="008629F3">
        <w:rPr>
          <w:color w:val="002060"/>
        </w:rPr>
        <w:t xml:space="preserve"> </w:t>
      </w:r>
      <w:r w:rsidR="00BE2CDE" w:rsidRPr="008629F3">
        <w:rPr>
          <w:color w:val="002060"/>
        </w:rPr>
        <w:t>.</w:t>
      </w:r>
      <w:r w:rsidR="001A1A8F" w:rsidRPr="008629F3">
        <w:rPr>
          <w:color w:val="002060"/>
        </w:rPr>
        <w:t xml:space="preserve"> </w:t>
      </w:r>
      <w:r w:rsidR="003D0DD4" w:rsidRPr="008629F3">
        <w:rPr>
          <w:color w:val="002060"/>
        </w:rPr>
        <w:t>The program</w:t>
      </w:r>
      <w:r w:rsidR="00814CE1" w:rsidRPr="008629F3">
        <w:rPr>
          <w:color w:val="002060"/>
        </w:rPr>
        <w:t>me</w:t>
      </w:r>
      <w:r w:rsidR="003D0DD4" w:rsidRPr="008629F3">
        <w:rPr>
          <w:color w:val="002060"/>
        </w:rPr>
        <w:t xml:space="preserve"> of this event </w:t>
      </w:r>
      <w:proofErr w:type="gramStart"/>
      <w:r w:rsidR="003D0DD4" w:rsidRPr="008629F3">
        <w:rPr>
          <w:color w:val="002060"/>
        </w:rPr>
        <w:t>is attached</w:t>
      </w:r>
      <w:proofErr w:type="gramEnd"/>
      <w:r w:rsidR="003D0DD4" w:rsidRPr="008629F3">
        <w:rPr>
          <w:color w:val="002060"/>
        </w:rPr>
        <w:t xml:space="preserve"> as </w:t>
      </w:r>
      <w:r w:rsidR="00814CE1" w:rsidRPr="008629F3">
        <w:rPr>
          <w:color w:val="002060"/>
        </w:rPr>
        <w:t>A</w:t>
      </w:r>
      <w:r w:rsidR="003D0DD4" w:rsidRPr="008629F3">
        <w:rPr>
          <w:color w:val="002060"/>
        </w:rPr>
        <w:t xml:space="preserve">nnex I. </w:t>
      </w:r>
      <w:proofErr w:type="gramStart"/>
      <w:r w:rsidR="001A1A8F" w:rsidRPr="008629F3">
        <w:rPr>
          <w:color w:val="002060"/>
        </w:rPr>
        <w:t xml:space="preserve">The </w:t>
      </w:r>
      <w:r w:rsidR="003D0DD4" w:rsidRPr="008629F3">
        <w:rPr>
          <w:color w:val="002060"/>
        </w:rPr>
        <w:t>Regional Discussion</w:t>
      </w:r>
      <w:r w:rsidR="001A1A8F" w:rsidRPr="008629F3">
        <w:rPr>
          <w:color w:val="002060"/>
        </w:rPr>
        <w:t>, which was organised in an online format</w:t>
      </w:r>
      <w:r w:rsidR="003D0DD4" w:rsidRPr="008629F3">
        <w:rPr>
          <w:color w:val="002060"/>
        </w:rPr>
        <w:t xml:space="preserve"> under the auspices of the Hungarian </w:t>
      </w:r>
      <w:r w:rsidR="00814CE1" w:rsidRPr="008629F3">
        <w:rPr>
          <w:color w:val="002060"/>
        </w:rPr>
        <w:t xml:space="preserve">Presidency </w:t>
      </w:r>
      <w:r w:rsidR="003D0DD4" w:rsidRPr="008629F3">
        <w:rPr>
          <w:color w:val="002060"/>
        </w:rPr>
        <w:t xml:space="preserve">to the </w:t>
      </w:r>
      <w:r w:rsidR="00636547" w:rsidRPr="008629F3">
        <w:rPr>
          <w:color w:val="002060"/>
        </w:rPr>
        <w:t xml:space="preserve">Committee of Ministers of the </w:t>
      </w:r>
      <w:r w:rsidR="003D0DD4" w:rsidRPr="008629F3">
        <w:rPr>
          <w:color w:val="002060"/>
        </w:rPr>
        <w:t>Council of Europe</w:t>
      </w:r>
      <w:r w:rsidR="001A1A8F" w:rsidRPr="008629F3">
        <w:rPr>
          <w:color w:val="002060"/>
        </w:rPr>
        <w:t xml:space="preserve">, brought together national delegations, </w:t>
      </w:r>
      <w:r w:rsidR="003D0DD4" w:rsidRPr="008629F3">
        <w:rPr>
          <w:color w:val="002060"/>
        </w:rPr>
        <w:t>participants,</w:t>
      </w:r>
      <w:r w:rsidR="001A1A8F" w:rsidRPr="008629F3">
        <w:rPr>
          <w:color w:val="002060"/>
        </w:rPr>
        <w:t xml:space="preserve"> and observers of the Council of the Council of Europe Committee for the Rights of the Child (CDENF), </w:t>
      </w:r>
      <w:r w:rsidR="00102E11" w:rsidRPr="008629F3">
        <w:rPr>
          <w:color w:val="002060"/>
        </w:rPr>
        <w:t>representative</w:t>
      </w:r>
      <w:r w:rsidR="00646A72" w:rsidRPr="008629F3">
        <w:rPr>
          <w:color w:val="002060"/>
        </w:rPr>
        <w:t>s</w:t>
      </w:r>
      <w:r w:rsidR="00102E11" w:rsidRPr="008629F3">
        <w:rPr>
          <w:color w:val="002060"/>
        </w:rPr>
        <w:t xml:space="preserve"> of the</w:t>
      </w:r>
      <w:r w:rsidR="001A1A8F" w:rsidRPr="008629F3">
        <w:rPr>
          <w:color w:val="002060"/>
        </w:rPr>
        <w:t xml:space="preserve"> </w:t>
      </w:r>
      <w:r w:rsidR="005057B3" w:rsidRPr="008629F3">
        <w:rPr>
          <w:color w:val="002060"/>
        </w:rPr>
        <w:t>Committee of the Parties to the Council of Europe</w:t>
      </w:r>
      <w:r w:rsidR="003D0DD4" w:rsidRPr="008629F3">
        <w:rPr>
          <w:color w:val="002060"/>
        </w:rPr>
        <w:t xml:space="preserve"> </w:t>
      </w:r>
      <w:r w:rsidR="005057B3" w:rsidRPr="008629F3">
        <w:rPr>
          <w:color w:val="002060"/>
        </w:rPr>
        <w:t>Convention on the protection of children against sexual exploitation and sexual abuse (</w:t>
      </w:r>
      <w:r w:rsidR="001A1A8F" w:rsidRPr="008629F3">
        <w:rPr>
          <w:color w:val="002060"/>
        </w:rPr>
        <w:t>Lanzarote Committee</w:t>
      </w:r>
      <w:r w:rsidR="005057B3" w:rsidRPr="008629F3">
        <w:rPr>
          <w:color w:val="002060"/>
        </w:rPr>
        <w:t>)</w:t>
      </w:r>
      <w:r w:rsidR="001A1A8F" w:rsidRPr="008629F3">
        <w:rPr>
          <w:color w:val="002060"/>
        </w:rPr>
        <w:t xml:space="preserve"> and of the </w:t>
      </w:r>
      <w:bookmarkStart w:id="1" w:name="_Hlk74856896"/>
      <w:r w:rsidR="001A1A8F" w:rsidRPr="008629F3">
        <w:rPr>
          <w:color w:val="002060"/>
        </w:rPr>
        <w:t>Committee of Experts on the Rights and the Best Interests of the Child in Parental Separation and in Care Proceedings (</w:t>
      </w:r>
      <w:hyperlink r:id="rId12" w:history="1">
        <w:r w:rsidR="001A1A8F" w:rsidRPr="008629F3">
          <w:rPr>
            <w:color w:val="002060"/>
          </w:rPr>
          <w:t>CJ/ENF-ISE</w:t>
        </w:r>
      </w:hyperlink>
      <w:r w:rsidR="001A1A8F" w:rsidRPr="008629F3">
        <w:rPr>
          <w:color w:val="002060"/>
        </w:rPr>
        <w:t xml:space="preserve">), </w:t>
      </w:r>
      <w:bookmarkEnd w:id="1"/>
      <w:r w:rsidR="001A1A8F" w:rsidRPr="008629F3">
        <w:rPr>
          <w:color w:val="002060"/>
        </w:rPr>
        <w:t>as well as other experts and stakeholder representatives</w:t>
      </w:r>
      <w:r w:rsidR="00814CE1" w:rsidRPr="008629F3">
        <w:rPr>
          <w:color w:val="002060"/>
        </w:rPr>
        <w:t>.</w:t>
      </w:r>
      <w:proofErr w:type="gramEnd"/>
      <w:r w:rsidR="00814CE1" w:rsidRPr="008629F3">
        <w:rPr>
          <w:color w:val="002060"/>
        </w:rPr>
        <w:t xml:space="preserve"> Participants</w:t>
      </w:r>
      <w:r w:rsidR="001A1A8F" w:rsidRPr="008629F3">
        <w:rPr>
          <w:color w:val="002060"/>
        </w:rPr>
        <w:t xml:space="preserve"> exchange</w:t>
      </w:r>
      <w:r w:rsidR="003D0DD4" w:rsidRPr="008629F3">
        <w:rPr>
          <w:color w:val="002060"/>
        </w:rPr>
        <w:t>d</w:t>
      </w:r>
      <w:r w:rsidR="001A1A8F" w:rsidRPr="008629F3">
        <w:rPr>
          <w:color w:val="002060"/>
        </w:rPr>
        <w:t xml:space="preserve"> on how best to address some of the main </w:t>
      </w:r>
      <w:r w:rsidR="008629F3" w:rsidRPr="008629F3">
        <w:rPr>
          <w:color w:val="002060"/>
        </w:rPr>
        <w:t>challenges’</w:t>
      </w:r>
      <w:r w:rsidR="001A1A8F" w:rsidRPr="008629F3">
        <w:rPr>
          <w:color w:val="002060"/>
        </w:rPr>
        <w:t xml:space="preserve"> states are facing</w:t>
      </w:r>
      <w:r w:rsidR="005057B3" w:rsidRPr="008629F3">
        <w:rPr>
          <w:color w:val="002060"/>
        </w:rPr>
        <w:t xml:space="preserve"> in the context of alternative care</w:t>
      </w:r>
      <w:r w:rsidR="001A1A8F" w:rsidRPr="008629F3">
        <w:rPr>
          <w:color w:val="002060"/>
        </w:rPr>
        <w:t xml:space="preserve">, taking </w:t>
      </w:r>
      <w:proofErr w:type="gramStart"/>
      <w:r w:rsidR="001A1A8F" w:rsidRPr="008629F3">
        <w:rPr>
          <w:color w:val="002060"/>
        </w:rPr>
        <w:t>into</w:t>
      </w:r>
      <w:proofErr w:type="gramEnd"/>
      <w:r w:rsidR="001A1A8F" w:rsidRPr="008629F3">
        <w:rPr>
          <w:color w:val="002060"/>
        </w:rPr>
        <w:t xml:space="preserve"> account </w:t>
      </w:r>
      <w:r w:rsidR="00814CE1" w:rsidRPr="008629F3">
        <w:rPr>
          <w:color w:val="002060"/>
        </w:rPr>
        <w:t xml:space="preserve">recent </w:t>
      </w:r>
      <w:r w:rsidR="001A1A8F" w:rsidRPr="008629F3">
        <w:rPr>
          <w:color w:val="002060"/>
        </w:rPr>
        <w:t>examples of good practice and relevant standards. </w:t>
      </w:r>
      <w:r w:rsidR="00C742AF" w:rsidRPr="008629F3">
        <w:rPr>
          <w:color w:val="002060"/>
        </w:rPr>
        <w:t xml:space="preserve">The event </w:t>
      </w:r>
      <w:proofErr w:type="gramStart"/>
      <w:r w:rsidR="00C742AF" w:rsidRPr="008629F3">
        <w:rPr>
          <w:color w:val="002060"/>
        </w:rPr>
        <w:t>was informed</w:t>
      </w:r>
      <w:proofErr w:type="gramEnd"/>
      <w:r w:rsidR="00C742AF" w:rsidRPr="008629F3">
        <w:rPr>
          <w:color w:val="002060"/>
        </w:rPr>
        <w:t xml:space="preserve"> by an internal survey carried out by the Children’s Rights Division in April – May 2021</w:t>
      </w:r>
      <w:r w:rsidR="003D0DD4" w:rsidRPr="008629F3">
        <w:rPr>
          <w:color w:val="002060"/>
        </w:rPr>
        <w:t>,</w:t>
      </w:r>
      <w:r w:rsidR="00C742AF" w:rsidRPr="008629F3">
        <w:rPr>
          <w:color w:val="002060"/>
        </w:rPr>
        <w:t xml:space="preserve"> to which </w:t>
      </w:r>
      <w:r w:rsidR="003D0DD4" w:rsidRPr="008629F3">
        <w:rPr>
          <w:color w:val="002060"/>
        </w:rPr>
        <w:t>twenty</w:t>
      </w:r>
      <w:r w:rsidR="00C742AF" w:rsidRPr="008629F3">
        <w:rPr>
          <w:color w:val="002060"/>
        </w:rPr>
        <w:t xml:space="preserve"> </w:t>
      </w:r>
      <w:r w:rsidR="00636547" w:rsidRPr="008629F3">
        <w:rPr>
          <w:color w:val="002060"/>
        </w:rPr>
        <w:t>national</w:t>
      </w:r>
      <w:r w:rsidR="00C742AF" w:rsidRPr="008629F3">
        <w:rPr>
          <w:color w:val="002060"/>
        </w:rPr>
        <w:t xml:space="preserve"> </w:t>
      </w:r>
      <w:r w:rsidR="00636547" w:rsidRPr="008629F3">
        <w:rPr>
          <w:color w:val="002060"/>
        </w:rPr>
        <w:t xml:space="preserve">delegations </w:t>
      </w:r>
      <w:r w:rsidR="00C742AF" w:rsidRPr="008629F3">
        <w:rPr>
          <w:color w:val="002060"/>
        </w:rPr>
        <w:t xml:space="preserve">and </w:t>
      </w:r>
      <w:r w:rsidR="000F1F01" w:rsidRPr="008629F3">
        <w:rPr>
          <w:color w:val="002060"/>
        </w:rPr>
        <w:t>two non-governmental organisations</w:t>
      </w:r>
      <w:r w:rsidR="00C742AF" w:rsidRPr="008629F3">
        <w:rPr>
          <w:color w:val="002060"/>
        </w:rPr>
        <w:t xml:space="preserve"> </w:t>
      </w:r>
      <w:r w:rsidR="00814CE1" w:rsidRPr="008629F3">
        <w:rPr>
          <w:color w:val="002060"/>
        </w:rPr>
        <w:t xml:space="preserve">had </w:t>
      </w:r>
      <w:r w:rsidR="00C742AF" w:rsidRPr="008629F3">
        <w:rPr>
          <w:color w:val="002060"/>
        </w:rPr>
        <w:t>responded (</w:t>
      </w:r>
      <w:r w:rsidR="003D0DD4" w:rsidRPr="008629F3">
        <w:rPr>
          <w:color w:val="002060"/>
        </w:rPr>
        <w:t>referred to as “</w:t>
      </w:r>
      <w:r w:rsidR="00C742AF" w:rsidRPr="008629F3">
        <w:rPr>
          <w:color w:val="002060"/>
        </w:rPr>
        <w:t>COE 2021 survey</w:t>
      </w:r>
      <w:r w:rsidR="003D0DD4" w:rsidRPr="008629F3">
        <w:rPr>
          <w:color w:val="002060"/>
        </w:rPr>
        <w:t>”, not published</w:t>
      </w:r>
      <w:r w:rsidR="00C742AF" w:rsidRPr="008629F3">
        <w:rPr>
          <w:color w:val="002060"/>
        </w:rPr>
        <w:t>)</w:t>
      </w:r>
      <w:r w:rsidR="003D0DD4" w:rsidRPr="008629F3">
        <w:rPr>
          <w:color w:val="002060"/>
        </w:rPr>
        <w:t>.</w:t>
      </w:r>
    </w:p>
    <w:p w14:paraId="4CF4B5F3" w14:textId="77777777" w:rsidR="00BE2CDE" w:rsidRPr="008629F3" w:rsidRDefault="00BE2CDE" w:rsidP="000F1F01">
      <w:pPr>
        <w:spacing w:line="240" w:lineRule="auto"/>
        <w:jc w:val="both"/>
        <w:rPr>
          <w:color w:val="002060"/>
        </w:rPr>
      </w:pPr>
    </w:p>
    <w:p w14:paraId="27525E2D" w14:textId="0FA7B6B6" w:rsidR="00E10C95" w:rsidRPr="008629F3" w:rsidRDefault="00E10C95" w:rsidP="008A2E41">
      <w:pPr>
        <w:spacing w:line="240" w:lineRule="auto"/>
        <w:jc w:val="both"/>
        <w:rPr>
          <w:color w:val="002060"/>
          <w:u w:val="single"/>
        </w:rPr>
      </w:pPr>
      <w:r w:rsidRPr="008629F3">
        <w:rPr>
          <w:color w:val="002060"/>
          <w:u w:val="single"/>
        </w:rPr>
        <w:t>Building a Europe for and with children</w:t>
      </w:r>
    </w:p>
    <w:p w14:paraId="00C7B90F" w14:textId="3D24A168" w:rsidR="00814CE1" w:rsidRPr="008629F3" w:rsidRDefault="003D0DD4" w:rsidP="008A2E41">
      <w:pPr>
        <w:spacing w:line="240" w:lineRule="auto"/>
        <w:jc w:val="both"/>
        <w:rPr>
          <w:color w:val="002060"/>
        </w:rPr>
      </w:pPr>
      <w:r w:rsidRPr="008629F3">
        <w:rPr>
          <w:color w:val="002060"/>
        </w:rPr>
        <w:t xml:space="preserve">Within the framework of its </w:t>
      </w:r>
      <w:r w:rsidR="00814CE1" w:rsidRPr="008629F3">
        <w:rPr>
          <w:color w:val="002060"/>
        </w:rPr>
        <w:t>programme</w:t>
      </w:r>
      <w:r w:rsidRPr="008629F3">
        <w:rPr>
          <w:color w:val="002060"/>
        </w:rPr>
        <w:t xml:space="preserve"> "Building a Europe for and with children", </w:t>
      </w:r>
      <w:r w:rsidR="000F1F01" w:rsidRPr="008629F3">
        <w:rPr>
          <w:color w:val="002060"/>
        </w:rPr>
        <w:t>t</w:t>
      </w:r>
      <w:r w:rsidR="00F2410A" w:rsidRPr="008629F3">
        <w:rPr>
          <w:color w:val="002060"/>
        </w:rPr>
        <w:t>he</w:t>
      </w:r>
      <w:r w:rsidR="00E95676" w:rsidRPr="008629F3">
        <w:rPr>
          <w:color w:val="002060"/>
        </w:rPr>
        <w:t xml:space="preserve"> Council of Europe </w:t>
      </w:r>
      <w:r w:rsidR="000F1F01" w:rsidRPr="008629F3">
        <w:rPr>
          <w:color w:val="002060"/>
        </w:rPr>
        <w:t>promotes and protects the rights of 150 million children in Europe. The Council of Europe</w:t>
      </w:r>
      <w:r w:rsidR="00E10C95" w:rsidRPr="008629F3">
        <w:rPr>
          <w:color w:val="002060"/>
        </w:rPr>
        <w:t>’s</w:t>
      </w:r>
      <w:r w:rsidR="000F1F01" w:rsidRPr="008629F3">
        <w:rPr>
          <w:color w:val="002060"/>
        </w:rPr>
        <w:t xml:space="preserve"> </w:t>
      </w:r>
      <w:r w:rsidR="00E95676" w:rsidRPr="008629F3">
        <w:rPr>
          <w:color w:val="002060"/>
        </w:rPr>
        <w:t xml:space="preserve">work on children’s rights in relation to </w:t>
      </w:r>
      <w:r w:rsidR="008173B7" w:rsidRPr="008629F3">
        <w:rPr>
          <w:color w:val="002060"/>
        </w:rPr>
        <w:t xml:space="preserve">alternative care </w:t>
      </w:r>
      <w:proofErr w:type="gramStart"/>
      <w:r w:rsidR="00E95676" w:rsidRPr="008629F3">
        <w:rPr>
          <w:color w:val="002060"/>
        </w:rPr>
        <w:t>is strongly grounded</w:t>
      </w:r>
      <w:proofErr w:type="gramEnd"/>
      <w:r w:rsidR="00E95676" w:rsidRPr="008629F3">
        <w:rPr>
          <w:color w:val="002060"/>
        </w:rPr>
        <w:t xml:space="preserve"> in the UN Convention on the Rights of the Child and its Optional Protocols. The standards developed by the Council of Europe provide further guidance to its member </w:t>
      </w:r>
      <w:r w:rsidR="00E96235" w:rsidRPr="008629F3">
        <w:rPr>
          <w:color w:val="002060"/>
        </w:rPr>
        <w:t>state</w:t>
      </w:r>
      <w:r w:rsidR="00E95676" w:rsidRPr="008629F3">
        <w:rPr>
          <w:color w:val="002060"/>
        </w:rPr>
        <w:t>s</w:t>
      </w:r>
      <w:r w:rsidR="00A03707" w:rsidRPr="008629F3">
        <w:rPr>
          <w:color w:val="002060"/>
        </w:rPr>
        <w:t>,</w:t>
      </w:r>
      <w:r w:rsidR="00E95676" w:rsidRPr="008629F3">
        <w:rPr>
          <w:color w:val="002060"/>
        </w:rPr>
        <w:t xml:space="preserve"> thus complementing the efforts at global level. </w:t>
      </w:r>
      <w:proofErr w:type="gramStart"/>
      <w:r w:rsidR="00C742AF" w:rsidRPr="008629F3">
        <w:rPr>
          <w:color w:val="002060"/>
        </w:rPr>
        <w:t xml:space="preserve">The European Convention on Human Rights, </w:t>
      </w:r>
      <w:r w:rsidR="000F1F01" w:rsidRPr="008629F3">
        <w:rPr>
          <w:color w:val="002060"/>
        </w:rPr>
        <w:t>as interpreted by the important body of case-law of the European Court of Human Rights</w:t>
      </w:r>
      <w:r w:rsidR="000261FA" w:rsidRPr="008629F3">
        <w:rPr>
          <w:rStyle w:val="FootnoteReference"/>
          <w:color w:val="002060"/>
        </w:rPr>
        <w:footnoteReference w:id="2"/>
      </w:r>
      <w:r w:rsidR="000F1F01" w:rsidRPr="008629F3">
        <w:rPr>
          <w:color w:val="002060"/>
        </w:rPr>
        <w:t xml:space="preserve">, </w:t>
      </w:r>
      <w:r w:rsidR="00C742AF" w:rsidRPr="008629F3">
        <w:rPr>
          <w:color w:val="002060"/>
        </w:rPr>
        <w:t>together with t</w:t>
      </w:r>
      <w:r w:rsidR="002B606E" w:rsidRPr="008629F3">
        <w:rPr>
          <w:color w:val="002060"/>
        </w:rPr>
        <w:t>he</w:t>
      </w:r>
      <w:r w:rsidR="00E95676" w:rsidRPr="008629F3">
        <w:rPr>
          <w:color w:val="002060"/>
        </w:rPr>
        <w:t xml:space="preserve"> </w:t>
      </w:r>
      <w:hyperlink r:id="rId13" w:history="1">
        <w:r w:rsidR="002B606E" w:rsidRPr="008629F3">
          <w:rPr>
            <w:rStyle w:val="Hyperlink"/>
            <w:color w:val="002060"/>
          </w:rPr>
          <w:t>Convention on Protection of children against sexual exploitation and sexual abuse</w:t>
        </w:r>
      </w:hyperlink>
      <w:r w:rsidR="002B606E" w:rsidRPr="008629F3">
        <w:rPr>
          <w:color w:val="002060"/>
        </w:rPr>
        <w:t xml:space="preserve"> (“Lanzarote Convention”)</w:t>
      </w:r>
      <w:r w:rsidR="00C742AF" w:rsidRPr="008629F3">
        <w:rPr>
          <w:color w:val="002060"/>
        </w:rPr>
        <w:t xml:space="preserve"> and</w:t>
      </w:r>
      <w:r w:rsidR="002B606E" w:rsidRPr="008629F3">
        <w:rPr>
          <w:color w:val="002060"/>
        </w:rPr>
        <w:t xml:space="preserve"> the </w:t>
      </w:r>
      <w:hyperlink r:id="rId14" w:history="1">
        <w:r w:rsidR="00BF6CCA" w:rsidRPr="008629F3">
          <w:rPr>
            <w:rStyle w:val="Hyperlink"/>
            <w:color w:val="002060"/>
          </w:rPr>
          <w:t>C</w:t>
        </w:r>
        <w:r w:rsidR="002B606E" w:rsidRPr="008629F3">
          <w:rPr>
            <w:rStyle w:val="Hyperlink"/>
            <w:color w:val="002060"/>
          </w:rPr>
          <w:t xml:space="preserve">onvention on Preventing and </w:t>
        </w:r>
        <w:r w:rsidR="00E77D03" w:rsidRPr="008629F3">
          <w:rPr>
            <w:rStyle w:val="Hyperlink"/>
            <w:color w:val="002060"/>
          </w:rPr>
          <w:t>c</w:t>
        </w:r>
        <w:r w:rsidR="002B606E" w:rsidRPr="008629F3">
          <w:rPr>
            <w:rStyle w:val="Hyperlink"/>
            <w:color w:val="002060"/>
          </w:rPr>
          <w:t xml:space="preserve">ombating </w:t>
        </w:r>
        <w:r w:rsidR="00E77D03" w:rsidRPr="008629F3">
          <w:rPr>
            <w:rStyle w:val="Hyperlink"/>
            <w:color w:val="002060"/>
          </w:rPr>
          <w:t>v</w:t>
        </w:r>
        <w:r w:rsidR="002B606E" w:rsidRPr="008629F3">
          <w:rPr>
            <w:rStyle w:val="Hyperlink"/>
            <w:color w:val="002060"/>
          </w:rPr>
          <w:t xml:space="preserve">iolence against </w:t>
        </w:r>
        <w:r w:rsidR="00E77D03" w:rsidRPr="008629F3">
          <w:rPr>
            <w:rStyle w:val="Hyperlink"/>
            <w:color w:val="002060"/>
          </w:rPr>
          <w:t>w</w:t>
        </w:r>
        <w:r w:rsidR="002B606E" w:rsidRPr="008629F3">
          <w:rPr>
            <w:rStyle w:val="Hyperlink"/>
            <w:color w:val="002060"/>
          </w:rPr>
          <w:t xml:space="preserve">omen and </w:t>
        </w:r>
        <w:r w:rsidR="00E77D03" w:rsidRPr="008629F3">
          <w:rPr>
            <w:rStyle w:val="Hyperlink"/>
            <w:color w:val="002060"/>
          </w:rPr>
          <w:t>d</w:t>
        </w:r>
        <w:r w:rsidR="002B606E" w:rsidRPr="008629F3">
          <w:rPr>
            <w:rStyle w:val="Hyperlink"/>
            <w:color w:val="002060"/>
          </w:rPr>
          <w:t xml:space="preserve">omestic </w:t>
        </w:r>
        <w:r w:rsidR="00E77D03" w:rsidRPr="008629F3">
          <w:rPr>
            <w:rStyle w:val="Hyperlink"/>
            <w:color w:val="002060"/>
          </w:rPr>
          <w:t>v</w:t>
        </w:r>
        <w:r w:rsidR="002B606E" w:rsidRPr="008629F3">
          <w:rPr>
            <w:rStyle w:val="Hyperlink"/>
            <w:color w:val="002060"/>
          </w:rPr>
          <w:t>iolence</w:t>
        </w:r>
      </w:hyperlink>
      <w:r w:rsidR="002B606E" w:rsidRPr="008629F3">
        <w:rPr>
          <w:color w:val="002060"/>
        </w:rPr>
        <w:t xml:space="preserve"> (“Istanbul Convention”)</w:t>
      </w:r>
      <w:r w:rsidR="005B7558" w:rsidRPr="008629F3">
        <w:rPr>
          <w:color w:val="002060"/>
        </w:rPr>
        <w:t xml:space="preserve"> </w:t>
      </w:r>
      <w:r w:rsidR="00C742AF" w:rsidRPr="008629F3">
        <w:rPr>
          <w:color w:val="002060"/>
        </w:rPr>
        <w:t xml:space="preserve">form a solid set of rules safeguarding the rights of all </w:t>
      </w:r>
      <w:r w:rsidR="00814CE1" w:rsidRPr="008629F3">
        <w:rPr>
          <w:color w:val="002060"/>
        </w:rPr>
        <w:t>c</w:t>
      </w:r>
      <w:r w:rsidR="00C742AF" w:rsidRPr="008629F3">
        <w:rPr>
          <w:color w:val="002060"/>
        </w:rPr>
        <w:t>hildren living across the 47 member states of the Council of Europe.</w:t>
      </w:r>
      <w:proofErr w:type="gramEnd"/>
      <w:r w:rsidR="000F1F01" w:rsidRPr="008629F3">
        <w:rPr>
          <w:color w:val="002060"/>
        </w:rPr>
        <w:t xml:space="preserve"> </w:t>
      </w:r>
    </w:p>
    <w:p w14:paraId="15BBE9FC" w14:textId="50FA9C62" w:rsidR="00E95676" w:rsidRPr="008629F3" w:rsidRDefault="000F1F01" w:rsidP="008A2E41">
      <w:pPr>
        <w:spacing w:line="240" w:lineRule="auto"/>
        <w:jc w:val="both"/>
        <w:rPr>
          <w:color w:val="002060"/>
        </w:rPr>
      </w:pPr>
      <w:proofErr w:type="gramStart"/>
      <w:r w:rsidRPr="008629F3">
        <w:rPr>
          <w:color w:val="002060"/>
        </w:rPr>
        <w:t xml:space="preserve">These legally binding texts are complemented by other </w:t>
      </w:r>
      <w:r w:rsidR="000261FA" w:rsidRPr="008629F3">
        <w:rPr>
          <w:color w:val="002060"/>
        </w:rPr>
        <w:t xml:space="preserve">relevant </w:t>
      </w:r>
      <w:r w:rsidRPr="008629F3">
        <w:rPr>
          <w:color w:val="002060"/>
        </w:rPr>
        <w:t xml:space="preserve">instruments and tools, such as </w:t>
      </w:r>
      <w:r w:rsidR="00E24617" w:rsidRPr="008629F3">
        <w:rPr>
          <w:color w:val="002060"/>
        </w:rPr>
        <w:t xml:space="preserve">Recommendations </w:t>
      </w:r>
      <w:hyperlink r:id="rId15" w:history="1">
        <w:r w:rsidR="00E24617" w:rsidRPr="008629F3">
          <w:rPr>
            <w:rStyle w:val="Hyperlink"/>
            <w:color w:val="002060"/>
          </w:rPr>
          <w:t xml:space="preserve">Rec(2005)5 on </w:t>
        </w:r>
        <w:r w:rsidR="00974CA3" w:rsidRPr="008629F3">
          <w:rPr>
            <w:rStyle w:val="Hyperlink"/>
            <w:color w:val="002060"/>
          </w:rPr>
          <w:t>t</w:t>
        </w:r>
        <w:r w:rsidR="00E24617" w:rsidRPr="008629F3">
          <w:rPr>
            <w:rStyle w:val="Hyperlink"/>
            <w:color w:val="002060"/>
          </w:rPr>
          <w:t>he rights of children living in residential institutions</w:t>
        </w:r>
      </w:hyperlink>
      <w:r w:rsidR="00E24617" w:rsidRPr="008629F3">
        <w:rPr>
          <w:rStyle w:val="Hyperlink"/>
          <w:color w:val="002060"/>
          <w:u w:val="none"/>
        </w:rPr>
        <w:t xml:space="preserve">, </w:t>
      </w:r>
      <w:hyperlink r:id="rId16" w:history="1">
        <w:r w:rsidR="005B7558" w:rsidRPr="008629F3">
          <w:rPr>
            <w:rStyle w:val="Hyperlink"/>
            <w:color w:val="002060"/>
          </w:rPr>
          <w:t xml:space="preserve">Rec(2006)19 on </w:t>
        </w:r>
        <w:r w:rsidR="00814CE1" w:rsidRPr="008629F3">
          <w:rPr>
            <w:rStyle w:val="Hyperlink"/>
            <w:color w:val="002060"/>
          </w:rPr>
          <w:t>P</w:t>
        </w:r>
        <w:r w:rsidR="005B7558" w:rsidRPr="008629F3">
          <w:rPr>
            <w:rStyle w:val="Hyperlink"/>
            <w:color w:val="002060"/>
          </w:rPr>
          <w:t>olicy to support positive parenting</w:t>
        </w:r>
      </w:hyperlink>
      <w:r w:rsidR="005B7558" w:rsidRPr="008629F3">
        <w:rPr>
          <w:color w:val="002060"/>
        </w:rPr>
        <w:t xml:space="preserve">, </w:t>
      </w:r>
      <w:hyperlink r:id="rId17" w:history="1">
        <w:r w:rsidR="00E24617" w:rsidRPr="008629F3">
          <w:rPr>
            <w:rStyle w:val="Hyperlink"/>
          </w:rPr>
          <w:t>Rec(2010)2 on deinstitutionalisation and community living of children with disabilities</w:t>
        </w:r>
      </w:hyperlink>
      <w:r w:rsidR="00E24617" w:rsidRPr="008629F3">
        <w:rPr>
          <w:color w:val="002060"/>
        </w:rPr>
        <w:t xml:space="preserve"> and </w:t>
      </w:r>
      <w:hyperlink r:id="rId18" w:history="1">
        <w:r w:rsidR="00E24617" w:rsidRPr="008629F3">
          <w:rPr>
            <w:rStyle w:val="Hyperlink"/>
            <w:color w:val="002060"/>
          </w:rPr>
          <w:t>R</w:t>
        </w:r>
        <w:bookmarkStart w:id="2" w:name="_Hlk74924339"/>
        <w:r w:rsidR="00E24617" w:rsidRPr="008629F3">
          <w:rPr>
            <w:rStyle w:val="Hyperlink"/>
            <w:color w:val="002060"/>
          </w:rPr>
          <w:t>ec(2011)12 on Children’s rights and social services friendly to children and families</w:t>
        </w:r>
        <w:bookmarkEnd w:id="2"/>
      </w:hyperlink>
      <w:r w:rsidR="00E24617" w:rsidRPr="008629F3">
        <w:rPr>
          <w:color w:val="002060"/>
        </w:rPr>
        <w:t>.</w:t>
      </w:r>
      <w:proofErr w:type="gramEnd"/>
      <w:r w:rsidR="00E24617" w:rsidRPr="008629F3">
        <w:rPr>
          <w:color w:val="002060"/>
        </w:rPr>
        <w:t xml:space="preserve"> </w:t>
      </w:r>
    </w:p>
    <w:p w14:paraId="2B39C226" w14:textId="3D4211B8" w:rsidR="00E10C95" w:rsidRPr="008629F3" w:rsidRDefault="00E10C95" w:rsidP="008A2E41">
      <w:pPr>
        <w:spacing w:line="240" w:lineRule="auto"/>
        <w:jc w:val="both"/>
        <w:rPr>
          <w:b/>
          <w:bCs/>
          <w:color w:val="002060"/>
          <w:sz w:val="24"/>
          <w:szCs w:val="24"/>
        </w:rPr>
      </w:pPr>
      <w:r w:rsidRPr="008629F3">
        <w:rPr>
          <w:b/>
          <w:bCs/>
          <w:color w:val="002060"/>
          <w:sz w:val="24"/>
          <w:szCs w:val="24"/>
        </w:rPr>
        <w:t>Children and alternative care</w:t>
      </w:r>
    </w:p>
    <w:p w14:paraId="7E956105" w14:textId="7EF27B66" w:rsidR="00F21E00" w:rsidRPr="008629F3" w:rsidRDefault="005B7558" w:rsidP="005B7558">
      <w:pPr>
        <w:spacing w:after="0" w:line="240" w:lineRule="auto"/>
        <w:jc w:val="both"/>
        <w:rPr>
          <w:rFonts w:ascii="Calibri" w:hAnsi="Calibri" w:cs="Calibri"/>
          <w:color w:val="002060"/>
        </w:rPr>
      </w:pPr>
      <w:r w:rsidRPr="008629F3">
        <w:rPr>
          <w:rFonts w:ascii="Calibri" w:hAnsi="Calibri" w:cs="Calibri"/>
          <w:color w:val="002060"/>
        </w:rPr>
        <w:lastRenderedPageBreak/>
        <w:t xml:space="preserve">All children should live in a supportive, </w:t>
      </w:r>
      <w:r w:rsidR="008629F3" w:rsidRPr="008629F3">
        <w:rPr>
          <w:rFonts w:ascii="Calibri" w:hAnsi="Calibri" w:cs="Calibri"/>
          <w:color w:val="002060"/>
        </w:rPr>
        <w:t>protective,</w:t>
      </w:r>
      <w:r w:rsidRPr="008629F3">
        <w:rPr>
          <w:rFonts w:ascii="Calibri" w:hAnsi="Calibri" w:cs="Calibri"/>
          <w:color w:val="002060"/>
        </w:rPr>
        <w:t xml:space="preserve"> and caring environment that helps them develop their full potential. </w:t>
      </w:r>
      <w:r w:rsidR="00102E11" w:rsidRPr="008629F3">
        <w:rPr>
          <w:rFonts w:ascii="Calibri" w:hAnsi="Calibri" w:cs="Calibri"/>
          <w:color w:val="002060"/>
        </w:rPr>
        <w:t xml:space="preserve">Due to such concerns as stigma, discrimination and social exclusion, some groups of children, such as those with disabilities, children with challenging behaviours, and Roma and Traveller children, may also become more at risk of being placed in alternative care. </w:t>
      </w:r>
      <w:r w:rsidRPr="008629F3">
        <w:rPr>
          <w:rFonts w:ascii="Calibri" w:hAnsi="Calibri" w:cs="Calibri"/>
          <w:color w:val="002060"/>
        </w:rPr>
        <w:t>When a child’s own family is unable,</w:t>
      </w:r>
      <w:r w:rsidR="006A2C56" w:rsidRPr="008629F3">
        <w:rPr>
          <w:rFonts w:ascii="Calibri" w:hAnsi="Calibri" w:cs="Calibri"/>
          <w:color w:val="002060"/>
        </w:rPr>
        <w:t xml:space="preserve"> even with support, to provide safe and </w:t>
      </w:r>
      <w:r w:rsidR="00F75565" w:rsidRPr="008629F3">
        <w:rPr>
          <w:rFonts w:ascii="Calibri" w:hAnsi="Calibri" w:cs="Calibri"/>
          <w:color w:val="002060"/>
        </w:rPr>
        <w:t>necessary</w:t>
      </w:r>
      <w:r w:rsidRPr="008629F3">
        <w:rPr>
          <w:rFonts w:ascii="Calibri" w:hAnsi="Calibri" w:cs="Calibri"/>
          <w:color w:val="002060"/>
        </w:rPr>
        <w:t xml:space="preserve"> care for the child, the </w:t>
      </w:r>
      <w:r w:rsidR="00E96235" w:rsidRPr="008629F3">
        <w:rPr>
          <w:rFonts w:ascii="Calibri" w:hAnsi="Calibri" w:cs="Calibri"/>
          <w:color w:val="002060"/>
        </w:rPr>
        <w:t>state</w:t>
      </w:r>
      <w:r w:rsidRPr="008629F3">
        <w:rPr>
          <w:rFonts w:ascii="Calibri" w:hAnsi="Calibri" w:cs="Calibri"/>
          <w:color w:val="002060"/>
        </w:rPr>
        <w:t xml:space="preserve"> is responsible for ensuring </w:t>
      </w:r>
      <w:r w:rsidR="00F75565" w:rsidRPr="008629F3">
        <w:rPr>
          <w:rFonts w:ascii="Calibri" w:hAnsi="Calibri" w:cs="Calibri"/>
          <w:color w:val="002060"/>
        </w:rPr>
        <w:t xml:space="preserve">suitable </w:t>
      </w:r>
      <w:r w:rsidRPr="008629F3">
        <w:rPr>
          <w:rFonts w:ascii="Calibri" w:hAnsi="Calibri" w:cs="Calibri"/>
          <w:color w:val="002060"/>
        </w:rPr>
        <w:t xml:space="preserve">alternative care. An estimated 1.5 million children in the Council of Europe member </w:t>
      </w:r>
      <w:r w:rsidR="00E96235" w:rsidRPr="008629F3">
        <w:rPr>
          <w:rFonts w:ascii="Calibri" w:hAnsi="Calibri" w:cs="Calibri"/>
          <w:color w:val="002060"/>
        </w:rPr>
        <w:t>state</w:t>
      </w:r>
      <w:r w:rsidRPr="008629F3">
        <w:rPr>
          <w:rFonts w:ascii="Calibri" w:hAnsi="Calibri" w:cs="Calibri"/>
          <w:color w:val="002060"/>
        </w:rPr>
        <w:t>s live in some form of alternative care. Children living in</w:t>
      </w:r>
      <w:r w:rsidR="00F75565" w:rsidRPr="008629F3">
        <w:rPr>
          <w:rFonts w:ascii="Calibri" w:hAnsi="Calibri" w:cs="Calibri"/>
          <w:color w:val="002060"/>
        </w:rPr>
        <w:t xml:space="preserve"> all forms of</w:t>
      </w:r>
      <w:r w:rsidRPr="008629F3">
        <w:rPr>
          <w:rFonts w:ascii="Calibri" w:hAnsi="Calibri" w:cs="Calibri"/>
          <w:color w:val="002060"/>
        </w:rPr>
        <w:t xml:space="preserve"> alternative care may be more at risk of having their human rights violated. </w:t>
      </w:r>
      <w:r w:rsidR="00324C85" w:rsidRPr="008629F3">
        <w:rPr>
          <w:rFonts w:ascii="Calibri" w:hAnsi="Calibri" w:cs="Calibri"/>
          <w:color w:val="002060"/>
        </w:rPr>
        <w:t>For example, t</w:t>
      </w:r>
      <w:r w:rsidR="00DB18FB" w:rsidRPr="008629F3">
        <w:rPr>
          <w:rFonts w:ascii="Calibri" w:hAnsi="Calibri" w:cs="Calibri"/>
          <w:color w:val="002060"/>
        </w:rPr>
        <w:t xml:space="preserve">hey may be </w:t>
      </w:r>
      <w:r w:rsidRPr="008629F3">
        <w:rPr>
          <w:rFonts w:ascii="Calibri" w:hAnsi="Calibri" w:cs="Calibri"/>
          <w:color w:val="002060"/>
        </w:rPr>
        <w:t xml:space="preserve">isolated from their families and communities, lack </w:t>
      </w:r>
      <w:r w:rsidR="003F0DF1" w:rsidRPr="008629F3">
        <w:rPr>
          <w:rFonts w:ascii="Calibri" w:hAnsi="Calibri" w:cs="Calibri"/>
          <w:color w:val="002060"/>
        </w:rPr>
        <w:t xml:space="preserve">the </w:t>
      </w:r>
      <w:r w:rsidRPr="008629F3">
        <w:rPr>
          <w:rFonts w:ascii="Calibri" w:hAnsi="Calibri" w:cs="Calibri"/>
          <w:color w:val="002060"/>
        </w:rPr>
        <w:t xml:space="preserve">suitable care </w:t>
      </w:r>
      <w:r w:rsidR="003F0DF1" w:rsidRPr="008629F3">
        <w:rPr>
          <w:rFonts w:ascii="Calibri" w:hAnsi="Calibri" w:cs="Calibri"/>
          <w:color w:val="002060"/>
        </w:rPr>
        <w:t>that meets their</w:t>
      </w:r>
      <w:r w:rsidRPr="008629F3">
        <w:rPr>
          <w:rFonts w:ascii="Calibri" w:hAnsi="Calibri" w:cs="Calibri"/>
          <w:color w:val="002060"/>
        </w:rPr>
        <w:t xml:space="preserve"> individual needs</w:t>
      </w:r>
      <w:r w:rsidR="005A24B1" w:rsidRPr="008629F3">
        <w:rPr>
          <w:rFonts w:ascii="Calibri" w:hAnsi="Calibri" w:cs="Calibri"/>
          <w:color w:val="002060"/>
        </w:rPr>
        <w:t xml:space="preserve"> and best interests</w:t>
      </w:r>
      <w:r w:rsidRPr="008629F3">
        <w:rPr>
          <w:rFonts w:ascii="Calibri" w:hAnsi="Calibri" w:cs="Calibri"/>
          <w:color w:val="002060"/>
        </w:rPr>
        <w:t>, suffer from unstable relationships</w:t>
      </w:r>
      <w:r w:rsidR="00DB18FB" w:rsidRPr="008629F3">
        <w:rPr>
          <w:rFonts w:ascii="Calibri" w:hAnsi="Calibri" w:cs="Calibri"/>
          <w:color w:val="002060"/>
        </w:rPr>
        <w:t>,</w:t>
      </w:r>
      <w:r w:rsidRPr="008629F3">
        <w:rPr>
          <w:rFonts w:ascii="Calibri" w:hAnsi="Calibri" w:cs="Calibri"/>
          <w:color w:val="002060"/>
        </w:rPr>
        <w:t xml:space="preserve"> and be at higher risk of </w:t>
      </w:r>
      <w:r w:rsidR="0071068D" w:rsidRPr="008629F3">
        <w:rPr>
          <w:rFonts w:ascii="Calibri" w:hAnsi="Calibri" w:cs="Calibri"/>
          <w:color w:val="002060"/>
        </w:rPr>
        <w:t>experiencing</w:t>
      </w:r>
      <w:r w:rsidRPr="008629F3">
        <w:rPr>
          <w:rFonts w:ascii="Calibri" w:hAnsi="Calibri" w:cs="Calibri"/>
          <w:color w:val="002060"/>
        </w:rPr>
        <w:t xml:space="preserve"> violence and abuse</w:t>
      </w:r>
      <w:r w:rsidR="00B206FF" w:rsidRPr="008629F3">
        <w:rPr>
          <w:rFonts w:ascii="Calibri" w:hAnsi="Calibri" w:cs="Calibri"/>
          <w:color w:val="002060"/>
        </w:rPr>
        <w:t>, including sexual exploitation and sexual abuse</w:t>
      </w:r>
      <w:r w:rsidRPr="008629F3">
        <w:rPr>
          <w:rFonts w:ascii="Calibri" w:hAnsi="Calibri" w:cs="Calibri"/>
          <w:color w:val="002060"/>
        </w:rPr>
        <w:t xml:space="preserve">. </w:t>
      </w:r>
    </w:p>
    <w:p w14:paraId="54780940" w14:textId="77777777" w:rsidR="00914258" w:rsidRPr="008629F3" w:rsidRDefault="00914258" w:rsidP="005B7558">
      <w:pPr>
        <w:spacing w:after="0" w:line="240" w:lineRule="auto"/>
        <w:jc w:val="both"/>
        <w:rPr>
          <w:rFonts w:ascii="Calibri" w:hAnsi="Calibri" w:cs="Calibri"/>
          <w:color w:val="002060"/>
        </w:rPr>
      </w:pPr>
    </w:p>
    <w:p w14:paraId="1DA7D4BE" w14:textId="3DCAA2EE" w:rsidR="00914258" w:rsidRPr="008629F3" w:rsidRDefault="00914258" w:rsidP="00914258">
      <w:pPr>
        <w:spacing w:after="0" w:line="240" w:lineRule="auto"/>
        <w:jc w:val="both"/>
        <w:rPr>
          <w:rFonts w:ascii="Calibri" w:hAnsi="Calibri" w:cs="Calibri"/>
          <w:color w:val="002060"/>
        </w:rPr>
      </w:pPr>
      <w:bookmarkStart w:id="3" w:name="_Hlk74923539"/>
      <w:r w:rsidRPr="008629F3">
        <w:rPr>
          <w:rFonts w:ascii="Calibri" w:hAnsi="Calibri" w:cs="Calibri"/>
          <w:color w:val="002060"/>
        </w:rPr>
        <w:t xml:space="preserve">Primary consideration should always be given to prioritising prevention of unnecessary separation and provision of support, </w:t>
      </w:r>
      <w:proofErr w:type="gramStart"/>
      <w:r w:rsidRPr="008629F3">
        <w:rPr>
          <w:rFonts w:ascii="Calibri" w:hAnsi="Calibri" w:cs="Calibri"/>
          <w:color w:val="002060"/>
        </w:rPr>
        <w:t>both to the child and their</w:t>
      </w:r>
      <w:proofErr w:type="gramEnd"/>
      <w:r w:rsidRPr="008629F3">
        <w:rPr>
          <w:rFonts w:ascii="Calibri" w:hAnsi="Calibri" w:cs="Calibri"/>
          <w:color w:val="002060"/>
        </w:rPr>
        <w:t xml:space="preserve"> families, to attain this important goal. This includes determination of the circumstances of the child and their family and all decisions </w:t>
      </w:r>
      <w:proofErr w:type="gramStart"/>
      <w:r w:rsidRPr="008629F3">
        <w:rPr>
          <w:rFonts w:ascii="Calibri" w:hAnsi="Calibri" w:cs="Calibri"/>
          <w:color w:val="002060"/>
        </w:rPr>
        <w:t>being made</w:t>
      </w:r>
      <w:proofErr w:type="gramEnd"/>
      <w:r w:rsidRPr="008629F3">
        <w:rPr>
          <w:rFonts w:ascii="Calibri" w:hAnsi="Calibri" w:cs="Calibri"/>
          <w:color w:val="002060"/>
        </w:rPr>
        <w:t xml:space="preserve"> in a participatory manner that guarantee the rights and best interests of the child. In this manner, states should provide </w:t>
      </w:r>
      <w:r w:rsidR="000B6B4E" w:rsidRPr="008629F3">
        <w:rPr>
          <w:rFonts w:ascii="Calibri" w:hAnsi="Calibri" w:cs="Calibri"/>
          <w:color w:val="002060"/>
        </w:rPr>
        <w:t xml:space="preserve">child-friendly </w:t>
      </w:r>
      <w:r w:rsidRPr="008629F3">
        <w:rPr>
          <w:rFonts w:ascii="Calibri" w:hAnsi="Calibri" w:cs="Calibri"/>
          <w:color w:val="002060"/>
        </w:rPr>
        <w:t xml:space="preserve">social services that respect, </w:t>
      </w:r>
      <w:r w:rsidR="008629F3" w:rsidRPr="008629F3">
        <w:rPr>
          <w:rFonts w:ascii="Calibri" w:hAnsi="Calibri" w:cs="Calibri"/>
          <w:color w:val="002060"/>
        </w:rPr>
        <w:t>protect,</w:t>
      </w:r>
      <w:r w:rsidRPr="008629F3">
        <w:rPr>
          <w:rFonts w:ascii="Calibri" w:hAnsi="Calibri" w:cs="Calibri"/>
          <w:color w:val="002060"/>
        </w:rPr>
        <w:t xml:space="preserve"> and fulfil the rights of every child, including the right to provision, participation and protection and the principle of the best interest of the child.</w:t>
      </w:r>
      <w:r w:rsidRPr="008629F3">
        <w:rPr>
          <w:rStyle w:val="FootnoteReference"/>
          <w:rFonts w:ascii="Calibri" w:hAnsi="Calibri" w:cs="Calibri"/>
          <w:color w:val="002060"/>
        </w:rPr>
        <w:footnoteReference w:id="3"/>
      </w:r>
      <w:r w:rsidRPr="008629F3">
        <w:rPr>
          <w:rFonts w:ascii="Calibri" w:hAnsi="Calibri" w:cs="Calibri"/>
          <w:color w:val="002060"/>
        </w:rPr>
        <w:t xml:space="preserve"> </w:t>
      </w:r>
    </w:p>
    <w:bookmarkEnd w:id="3"/>
    <w:p w14:paraId="01A3345E" w14:textId="08CA7DC4" w:rsidR="00E10C95" w:rsidRPr="008629F3" w:rsidRDefault="00E10C95" w:rsidP="00BE3E4F">
      <w:pPr>
        <w:tabs>
          <w:tab w:val="left" w:pos="5400"/>
        </w:tabs>
        <w:spacing w:after="0" w:line="240" w:lineRule="auto"/>
        <w:jc w:val="both"/>
        <w:rPr>
          <w:rFonts w:ascii="Calibri" w:hAnsi="Calibri" w:cs="Calibri"/>
          <w:color w:val="002060"/>
        </w:rPr>
      </w:pPr>
    </w:p>
    <w:p w14:paraId="00DBB9AB" w14:textId="48D45E7C" w:rsidR="00C12E3C" w:rsidRPr="008629F3" w:rsidRDefault="00C12E3C" w:rsidP="00C12E3C">
      <w:pPr>
        <w:spacing w:line="240" w:lineRule="auto"/>
        <w:jc w:val="both"/>
        <w:rPr>
          <w:color w:val="002060"/>
        </w:rPr>
      </w:pPr>
      <w:r w:rsidRPr="008629F3">
        <w:rPr>
          <w:color w:val="002060"/>
        </w:rPr>
        <w:t>For the purpose of the present contribution, the Council of Europe</w:t>
      </w:r>
      <w:r w:rsidR="00646A72" w:rsidRPr="008629F3">
        <w:rPr>
          <w:color w:val="002060"/>
        </w:rPr>
        <w:t>, among the areas suggested by the UNCRC Committee,</w:t>
      </w:r>
      <w:r w:rsidRPr="008629F3">
        <w:rPr>
          <w:color w:val="002060"/>
        </w:rPr>
        <w:t xml:space="preserve"> has decided to focus on three key areas</w:t>
      </w:r>
      <w:r w:rsidR="00B240F0" w:rsidRPr="008629F3">
        <w:rPr>
          <w:color w:val="002060"/>
        </w:rPr>
        <w:t xml:space="preserve"> outlined below</w:t>
      </w:r>
      <w:r w:rsidR="00646A72" w:rsidRPr="008629F3">
        <w:rPr>
          <w:color w:val="002060"/>
        </w:rPr>
        <w:t>, keeping in mind their particular relevance for the ongoing and future work of the organisation.</w:t>
      </w:r>
    </w:p>
    <w:p w14:paraId="7931A6DF" w14:textId="77777777" w:rsidR="00C12E3C" w:rsidRPr="008629F3" w:rsidRDefault="00C12E3C" w:rsidP="005B7558">
      <w:pPr>
        <w:spacing w:after="0" w:line="240" w:lineRule="auto"/>
        <w:jc w:val="both"/>
        <w:rPr>
          <w:rFonts w:ascii="Calibri" w:hAnsi="Calibri" w:cs="Calibri"/>
          <w:color w:val="002060"/>
        </w:rPr>
      </w:pPr>
    </w:p>
    <w:p w14:paraId="519F4B58" w14:textId="02F0722E" w:rsidR="00F70028" w:rsidRPr="008629F3" w:rsidRDefault="005B7558" w:rsidP="00737DCF">
      <w:pPr>
        <w:spacing w:line="240" w:lineRule="auto"/>
        <w:jc w:val="both"/>
        <w:rPr>
          <w:b/>
          <w:bCs/>
          <w:color w:val="002060"/>
          <w:sz w:val="24"/>
          <w:szCs w:val="24"/>
        </w:rPr>
      </w:pPr>
      <w:r w:rsidRPr="008629F3">
        <w:rPr>
          <w:b/>
          <w:bCs/>
          <w:color w:val="002060"/>
          <w:sz w:val="24"/>
          <w:szCs w:val="24"/>
        </w:rPr>
        <w:lastRenderedPageBreak/>
        <w:t>FOCUS 1: PUTTING AN END TO ABUSE WITHIN DIFFERENT ALTERNATIVE CARE-SETTINGS</w:t>
      </w:r>
      <w:r w:rsidR="00E10C95" w:rsidRPr="008629F3">
        <w:rPr>
          <w:b/>
          <w:bCs/>
          <w:color w:val="002060"/>
          <w:sz w:val="24"/>
          <w:szCs w:val="24"/>
        </w:rPr>
        <w:t xml:space="preserve">: </w:t>
      </w:r>
      <w:r w:rsidRPr="008629F3">
        <w:rPr>
          <w:b/>
          <w:bCs/>
          <w:color w:val="002060"/>
          <w:sz w:val="24"/>
          <w:szCs w:val="24"/>
        </w:rPr>
        <w:t>LEARNING FROM PAST ABUSE</w:t>
      </w:r>
    </w:p>
    <w:p w14:paraId="204BF60D" w14:textId="6A2794AD" w:rsidR="002B45AC" w:rsidRPr="008629F3" w:rsidRDefault="009E3F58" w:rsidP="000646C9">
      <w:pPr>
        <w:spacing w:line="240" w:lineRule="auto"/>
        <w:jc w:val="both"/>
        <w:rPr>
          <w:rFonts w:ascii="Calibri" w:hAnsi="Calibri" w:cs="Calibri"/>
          <w:color w:val="002060"/>
        </w:rPr>
      </w:pPr>
      <w:r w:rsidRPr="008629F3">
        <w:rPr>
          <w:rFonts w:ascii="Calibri" w:eastAsia="Times New Roman" w:hAnsi="Calibri" w:cs="Calibri"/>
          <w:color w:val="002060"/>
          <w:shd w:val="clear" w:color="auto" w:fill="FFFFFF"/>
          <w:lang w:eastAsia="es-ES_tradnl"/>
        </w:rPr>
        <w:t xml:space="preserve">Under the consistent case-law of the European Court of Human Rights, state </w:t>
      </w:r>
      <w:r w:rsidR="001932B0" w:rsidRPr="008629F3">
        <w:rPr>
          <w:rFonts w:ascii="Calibri" w:eastAsia="Times New Roman" w:hAnsi="Calibri" w:cs="Calibri"/>
          <w:color w:val="002060"/>
          <w:shd w:val="clear" w:color="auto" w:fill="FFFFFF"/>
          <w:lang w:eastAsia="es-ES_tradnl"/>
        </w:rPr>
        <w:t xml:space="preserve">parties </w:t>
      </w:r>
      <w:r w:rsidRPr="008629F3">
        <w:rPr>
          <w:rFonts w:ascii="Calibri" w:eastAsia="Times New Roman" w:hAnsi="Calibri" w:cs="Calibri"/>
          <w:color w:val="002060"/>
          <w:shd w:val="clear" w:color="auto" w:fill="FFFFFF"/>
          <w:lang w:eastAsia="es-ES_tradnl"/>
        </w:rPr>
        <w:t xml:space="preserve">have a positive obligation to </w:t>
      </w:r>
      <w:r w:rsidR="00B1560A" w:rsidRPr="008629F3">
        <w:rPr>
          <w:rFonts w:ascii="Calibri" w:eastAsia="Times New Roman" w:hAnsi="Calibri" w:cs="Calibri"/>
          <w:color w:val="002060"/>
          <w:shd w:val="clear" w:color="auto" w:fill="FFFFFF"/>
          <w:lang w:eastAsia="es-ES_tradnl"/>
        </w:rPr>
        <w:t xml:space="preserve">grant effective protection </w:t>
      </w:r>
      <w:r w:rsidR="0022739A" w:rsidRPr="008629F3">
        <w:rPr>
          <w:rFonts w:ascii="Calibri" w:eastAsia="Times New Roman" w:hAnsi="Calibri" w:cs="Calibri"/>
          <w:color w:val="002060"/>
          <w:shd w:val="clear" w:color="auto" w:fill="FFFFFF"/>
          <w:lang w:eastAsia="es-ES_tradnl"/>
        </w:rPr>
        <w:t xml:space="preserve">from abuse </w:t>
      </w:r>
      <w:r w:rsidR="00B1560A" w:rsidRPr="008629F3">
        <w:rPr>
          <w:rFonts w:ascii="Calibri" w:eastAsia="Times New Roman" w:hAnsi="Calibri" w:cs="Calibri"/>
          <w:color w:val="002060"/>
          <w:shd w:val="clear" w:color="auto" w:fill="FFFFFF"/>
          <w:lang w:eastAsia="es-ES_tradnl"/>
        </w:rPr>
        <w:t>to</w:t>
      </w:r>
      <w:r w:rsidR="001932B0" w:rsidRPr="008629F3">
        <w:rPr>
          <w:rFonts w:ascii="Calibri" w:eastAsia="Times New Roman" w:hAnsi="Calibri" w:cs="Calibri"/>
          <w:color w:val="002060"/>
          <w:shd w:val="clear" w:color="auto" w:fill="FFFFFF"/>
          <w:lang w:eastAsia="es-ES_tradnl"/>
        </w:rPr>
        <w:t xml:space="preserve"> any person under their authority, and, in particular, </w:t>
      </w:r>
      <w:r w:rsidR="0022739A" w:rsidRPr="008629F3">
        <w:rPr>
          <w:rFonts w:ascii="Calibri" w:eastAsia="Times New Roman" w:hAnsi="Calibri" w:cs="Calibri"/>
          <w:color w:val="002060"/>
          <w:shd w:val="clear" w:color="auto" w:fill="FFFFFF"/>
          <w:lang w:eastAsia="es-ES_tradnl"/>
        </w:rPr>
        <w:t xml:space="preserve">to </w:t>
      </w:r>
      <w:r w:rsidR="001932B0" w:rsidRPr="008629F3">
        <w:rPr>
          <w:rFonts w:ascii="Calibri" w:eastAsia="Times New Roman" w:hAnsi="Calibri" w:cs="Calibri"/>
          <w:color w:val="002060"/>
          <w:shd w:val="clear" w:color="auto" w:fill="FFFFFF"/>
          <w:lang w:eastAsia="es-ES_tradnl"/>
        </w:rPr>
        <w:t>vulnerable persons such as children.</w:t>
      </w:r>
      <w:r w:rsidR="001932B0" w:rsidRPr="008629F3">
        <w:rPr>
          <w:rStyle w:val="FootnoteReference"/>
          <w:rFonts w:ascii="Calibri" w:eastAsia="Times New Roman" w:hAnsi="Calibri" w:cs="Calibri"/>
          <w:color w:val="002060"/>
          <w:shd w:val="clear" w:color="auto" w:fill="FFFFFF"/>
          <w:lang w:eastAsia="es-ES_tradnl"/>
        </w:rPr>
        <w:footnoteReference w:id="4"/>
      </w:r>
      <w:r w:rsidR="00246647" w:rsidRPr="008629F3">
        <w:rPr>
          <w:rFonts w:ascii="Calibri" w:eastAsia="Times New Roman" w:hAnsi="Calibri" w:cs="Calibri"/>
          <w:color w:val="002060"/>
          <w:shd w:val="clear" w:color="auto" w:fill="FFFFFF"/>
          <w:lang w:eastAsia="es-ES_tradnl"/>
        </w:rPr>
        <w:t xml:space="preserve"> </w:t>
      </w:r>
      <w:r w:rsidR="00CB47FA" w:rsidRPr="008629F3">
        <w:rPr>
          <w:rFonts w:ascii="Calibri" w:hAnsi="Calibri" w:cs="Calibri"/>
          <w:color w:val="002060"/>
        </w:rPr>
        <w:t xml:space="preserve">This is specified in more details in </w:t>
      </w:r>
      <w:r w:rsidR="004D18DF" w:rsidRPr="008629F3">
        <w:rPr>
          <w:rFonts w:ascii="Calibri" w:hAnsi="Calibri" w:cs="Calibri"/>
          <w:color w:val="002060"/>
        </w:rPr>
        <w:t xml:space="preserve">the </w:t>
      </w:r>
      <w:hyperlink r:id="rId19" w:history="1">
        <w:proofErr w:type="gramStart"/>
        <w:r w:rsidR="004D18DF" w:rsidRPr="008629F3">
          <w:rPr>
            <w:rStyle w:val="Hyperlink"/>
            <w:rFonts w:ascii="Calibri" w:hAnsi="Calibri" w:cs="Calibri"/>
          </w:rPr>
          <w:t>Lanzarote Convention</w:t>
        </w:r>
      </w:hyperlink>
      <w:r w:rsidR="004D18DF" w:rsidRPr="008629F3">
        <w:rPr>
          <w:rFonts w:ascii="Calibri" w:hAnsi="Calibri" w:cs="Calibri"/>
          <w:color w:val="002060"/>
        </w:rPr>
        <w:t>”</w:t>
      </w:r>
      <w:r w:rsidR="004D18DF" w:rsidRPr="008629F3">
        <w:rPr>
          <w:rStyle w:val="FootnoteReference"/>
          <w:rFonts w:ascii="Calibri" w:hAnsi="Calibri" w:cs="Calibri"/>
          <w:color w:val="002060"/>
        </w:rPr>
        <w:footnoteReference w:id="5"/>
      </w:r>
      <w:r w:rsidR="004D18DF" w:rsidRPr="008629F3">
        <w:rPr>
          <w:rFonts w:ascii="Calibri" w:hAnsi="Calibri" w:cs="Calibri"/>
          <w:color w:val="002060"/>
        </w:rPr>
        <w:t xml:space="preserve">, </w:t>
      </w:r>
      <w:r w:rsidR="00CB47FA" w:rsidRPr="008629F3">
        <w:rPr>
          <w:rFonts w:ascii="Calibri" w:hAnsi="Calibri" w:cs="Calibri"/>
          <w:color w:val="002060"/>
        </w:rPr>
        <w:t xml:space="preserve">and </w:t>
      </w:r>
      <w:r w:rsidR="004D18DF" w:rsidRPr="008629F3">
        <w:rPr>
          <w:rFonts w:ascii="Calibri" w:hAnsi="Calibri" w:cs="Calibri"/>
          <w:color w:val="002060"/>
        </w:rPr>
        <w:t xml:space="preserve">the </w:t>
      </w:r>
      <w:hyperlink r:id="rId20" w:history="1">
        <w:r w:rsidR="00CB47FA" w:rsidRPr="008629F3">
          <w:rPr>
            <w:rStyle w:val="Hyperlink"/>
            <w:rFonts w:ascii="Calibri" w:hAnsi="Calibri" w:cs="Calibri"/>
          </w:rPr>
          <w:t>Istanbul Convention</w:t>
        </w:r>
      </w:hyperlink>
      <w:r w:rsidR="004D18DF" w:rsidRPr="008629F3">
        <w:rPr>
          <w:rFonts w:ascii="Calibri" w:hAnsi="Calibri" w:cs="Calibri"/>
          <w:color w:val="002060"/>
        </w:rPr>
        <w:t>”</w:t>
      </w:r>
      <w:r w:rsidR="004D18DF" w:rsidRPr="008629F3">
        <w:rPr>
          <w:rStyle w:val="FootnoteReference"/>
          <w:rFonts w:ascii="Calibri" w:hAnsi="Calibri" w:cs="Calibri"/>
          <w:color w:val="002060"/>
        </w:rPr>
        <w:footnoteReference w:id="6"/>
      </w:r>
      <w:proofErr w:type="gramEnd"/>
      <w:r w:rsidR="00CB47FA" w:rsidRPr="008629F3">
        <w:rPr>
          <w:rFonts w:ascii="Calibri" w:hAnsi="Calibri" w:cs="Calibri"/>
          <w:color w:val="002060"/>
        </w:rPr>
        <w:t xml:space="preserve">. </w:t>
      </w:r>
      <w:r w:rsidR="000646C9" w:rsidRPr="008629F3">
        <w:rPr>
          <w:rFonts w:ascii="Calibri" w:hAnsi="Calibri" w:cs="Calibri"/>
          <w:color w:val="002060"/>
        </w:rPr>
        <w:t>In 2019, the Lanzarote Committee</w:t>
      </w:r>
      <w:r w:rsidR="000646C9" w:rsidRPr="008629F3">
        <w:rPr>
          <w:rStyle w:val="FootnoteReference"/>
          <w:rFonts w:ascii="Calibri" w:hAnsi="Calibri" w:cs="Calibri"/>
          <w:color w:val="002060"/>
        </w:rPr>
        <w:footnoteReference w:id="7"/>
      </w:r>
      <w:r w:rsidR="000646C9" w:rsidRPr="008629F3">
        <w:rPr>
          <w:rFonts w:ascii="Calibri" w:hAnsi="Calibri" w:cs="Calibri"/>
          <w:color w:val="002060"/>
        </w:rPr>
        <w:t xml:space="preserve"> adopted a specific </w:t>
      </w:r>
      <w:hyperlink r:id="rId21" w:history="1">
        <w:r w:rsidR="000646C9" w:rsidRPr="008629F3">
          <w:rPr>
            <w:rStyle w:val="Hyperlink"/>
            <w:rFonts w:ascii="Calibri" w:hAnsi="Calibri" w:cs="Calibri"/>
          </w:rPr>
          <w:t>Declaration on protecting children in out-of-home care from sexual exploitation and sexual abuse</w:t>
        </w:r>
      </w:hyperlink>
      <w:r w:rsidR="000646C9" w:rsidRPr="008629F3">
        <w:rPr>
          <w:rFonts w:ascii="Calibri" w:hAnsi="Calibri" w:cs="Calibri"/>
          <w:color w:val="002060"/>
        </w:rPr>
        <w:t xml:space="preserve">. </w:t>
      </w:r>
    </w:p>
    <w:p w14:paraId="1AF5F8F9" w14:textId="69642BA5" w:rsidR="00814CE1" w:rsidRPr="008629F3" w:rsidRDefault="007102A4" w:rsidP="00154E38">
      <w:pPr>
        <w:spacing w:line="240" w:lineRule="auto"/>
        <w:jc w:val="both"/>
        <w:rPr>
          <w:rFonts w:ascii="Calibri" w:hAnsi="Calibri" w:cs="Calibri"/>
          <w:color w:val="002060"/>
        </w:rPr>
      </w:pPr>
      <w:r w:rsidRPr="008629F3">
        <w:rPr>
          <w:rFonts w:ascii="Calibri" w:hAnsi="Calibri" w:cs="Calibri"/>
          <w:color w:val="002060"/>
        </w:rPr>
        <w:t xml:space="preserve">However, on a daily basis, children continue to </w:t>
      </w:r>
      <w:proofErr w:type="gramStart"/>
      <w:r w:rsidRPr="008629F3">
        <w:rPr>
          <w:rFonts w:ascii="Calibri" w:hAnsi="Calibri" w:cs="Calibri"/>
          <w:color w:val="002060"/>
        </w:rPr>
        <w:t>be placed</w:t>
      </w:r>
      <w:proofErr w:type="gramEnd"/>
      <w:r w:rsidRPr="008629F3">
        <w:rPr>
          <w:rFonts w:ascii="Calibri" w:hAnsi="Calibri" w:cs="Calibri"/>
          <w:color w:val="002060"/>
        </w:rPr>
        <w:t xml:space="preserve"> in alter</w:t>
      </w:r>
      <w:r w:rsidR="001932B0" w:rsidRPr="008629F3">
        <w:rPr>
          <w:rFonts w:ascii="Calibri" w:hAnsi="Calibri" w:cs="Calibri"/>
          <w:color w:val="002060"/>
        </w:rPr>
        <w:t>n</w:t>
      </w:r>
      <w:r w:rsidRPr="008629F3">
        <w:rPr>
          <w:rFonts w:ascii="Calibri" w:hAnsi="Calibri" w:cs="Calibri"/>
          <w:color w:val="002060"/>
        </w:rPr>
        <w:t>ative care</w:t>
      </w:r>
      <w:r w:rsidR="00154E38" w:rsidRPr="008629F3">
        <w:rPr>
          <w:rFonts w:ascii="Calibri" w:hAnsi="Calibri" w:cs="Calibri"/>
          <w:color w:val="002060"/>
        </w:rPr>
        <w:t xml:space="preserve">. Many children </w:t>
      </w:r>
      <w:r w:rsidR="009E0AD9" w:rsidRPr="008629F3">
        <w:rPr>
          <w:rFonts w:ascii="Calibri" w:hAnsi="Calibri" w:cs="Calibri"/>
          <w:color w:val="002060"/>
        </w:rPr>
        <w:t>enter</w:t>
      </w:r>
      <w:r w:rsidR="00154E38" w:rsidRPr="008629F3">
        <w:rPr>
          <w:rFonts w:ascii="Calibri" w:hAnsi="Calibri" w:cs="Calibri"/>
          <w:color w:val="002060"/>
        </w:rPr>
        <w:t xml:space="preserve"> care </w:t>
      </w:r>
      <w:r w:rsidR="009E0AD9" w:rsidRPr="008629F3">
        <w:rPr>
          <w:rFonts w:ascii="Calibri" w:hAnsi="Calibri" w:cs="Calibri"/>
          <w:color w:val="002060"/>
        </w:rPr>
        <w:t xml:space="preserve">who are </w:t>
      </w:r>
      <w:r w:rsidR="00154E38" w:rsidRPr="008629F3">
        <w:rPr>
          <w:rFonts w:ascii="Calibri" w:hAnsi="Calibri" w:cs="Calibri"/>
          <w:color w:val="002060"/>
        </w:rPr>
        <w:t xml:space="preserve">victims of different forms of violence, including sexual violence in their homes. Upon arriving at the institutions for alternative care, they often do not receive the necessary support (i.e. psychological support, restitution/compensation, victim support, </w:t>
      </w:r>
      <w:proofErr w:type="spellStart"/>
      <w:r w:rsidR="00154E38" w:rsidRPr="008629F3">
        <w:rPr>
          <w:rFonts w:ascii="Calibri" w:hAnsi="Calibri" w:cs="Calibri"/>
          <w:color w:val="002060"/>
        </w:rPr>
        <w:t>etc</w:t>
      </w:r>
      <w:proofErr w:type="spellEnd"/>
      <w:r w:rsidR="00154E38" w:rsidRPr="008629F3">
        <w:rPr>
          <w:rFonts w:ascii="Calibri" w:hAnsi="Calibri" w:cs="Calibri"/>
          <w:color w:val="002060"/>
        </w:rPr>
        <w:t xml:space="preserve">) to deal with the past abuse, </w:t>
      </w:r>
      <w:r w:rsidR="008629F3" w:rsidRPr="008629F3">
        <w:rPr>
          <w:rFonts w:ascii="Calibri" w:hAnsi="Calibri" w:cs="Calibri"/>
          <w:color w:val="002060"/>
        </w:rPr>
        <w:t>trauma,</w:t>
      </w:r>
      <w:r w:rsidR="00154E38" w:rsidRPr="008629F3">
        <w:rPr>
          <w:rFonts w:ascii="Calibri" w:hAnsi="Calibri" w:cs="Calibri"/>
          <w:color w:val="002060"/>
        </w:rPr>
        <w:t xml:space="preserve"> and suffering</w:t>
      </w:r>
      <w:r w:rsidR="00814CE1" w:rsidRPr="008629F3">
        <w:rPr>
          <w:rFonts w:ascii="Calibri" w:hAnsi="Calibri" w:cs="Calibri"/>
          <w:color w:val="002060"/>
        </w:rPr>
        <w:t>.</w:t>
      </w:r>
    </w:p>
    <w:p w14:paraId="2E2A7863" w14:textId="5767F2A6" w:rsidR="003C7DFB" w:rsidRPr="008629F3" w:rsidRDefault="00814CE1" w:rsidP="00154E38">
      <w:pPr>
        <w:spacing w:line="240" w:lineRule="auto"/>
        <w:jc w:val="both"/>
        <w:rPr>
          <w:rFonts w:ascii="Calibri" w:hAnsi="Calibri" w:cs="Calibri"/>
          <w:color w:val="002060"/>
        </w:rPr>
      </w:pPr>
      <w:r w:rsidRPr="008629F3">
        <w:rPr>
          <w:rFonts w:ascii="Calibri" w:hAnsi="Calibri" w:cs="Calibri"/>
          <w:color w:val="002060"/>
        </w:rPr>
        <w:t>They also</w:t>
      </w:r>
      <w:r w:rsidR="00154E38" w:rsidRPr="008629F3">
        <w:rPr>
          <w:rFonts w:ascii="Calibri" w:hAnsi="Calibri" w:cs="Calibri"/>
          <w:color w:val="002060"/>
        </w:rPr>
        <w:t xml:space="preserve"> often experience violence and abuse of different forms within the alternative care facility where they </w:t>
      </w:r>
      <w:proofErr w:type="gramStart"/>
      <w:r w:rsidR="00154E38" w:rsidRPr="008629F3">
        <w:rPr>
          <w:rFonts w:ascii="Calibri" w:hAnsi="Calibri" w:cs="Calibri"/>
          <w:color w:val="002060"/>
        </w:rPr>
        <w:t>are placed</w:t>
      </w:r>
      <w:proofErr w:type="gramEnd"/>
      <w:r w:rsidR="00141086" w:rsidRPr="008629F3">
        <w:rPr>
          <w:rFonts w:ascii="Calibri" w:hAnsi="Calibri" w:cs="Calibri"/>
          <w:color w:val="002060"/>
        </w:rPr>
        <w:t>, including by professional</w:t>
      </w:r>
      <w:r w:rsidRPr="008629F3">
        <w:rPr>
          <w:rFonts w:ascii="Calibri" w:hAnsi="Calibri" w:cs="Calibri"/>
          <w:color w:val="002060"/>
        </w:rPr>
        <w:t>s</w:t>
      </w:r>
      <w:r w:rsidR="00141086" w:rsidRPr="008629F3">
        <w:rPr>
          <w:rFonts w:ascii="Calibri" w:hAnsi="Calibri" w:cs="Calibri"/>
          <w:color w:val="002060"/>
        </w:rPr>
        <w:t xml:space="preserve"> </w:t>
      </w:r>
      <w:r w:rsidRPr="008629F3">
        <w:rPr>
          <w:rFonts w:ascii="Calibri" w:hAnsi="Calibri" w:cs="Calibri"/>
          <w:color w:val="002060"/>
        </w:rPr>
        <w:t xml:space="preserve">or </w:t>
      </w:r>
      <w:r w:rsidR="00141086" w:rsidRPr="008629F3">
        <w:rPr>
          <w:rFonts w:ascii="Calibri" w:hAnsi="Calibri" w:cs="Calibri"/>
          <w:color w:val="002060"/>
        </w:rPr>
        <w:t>volunteers,</w:t>
      </w:r>
      <w:r w:rsidR="00154E38" w:rsidRPr="008629F3">
        <w:rPr>
          <w:rFonts w:ascii="Calibri" w:hAnsi="Calibri" w:cs="Calibri"/>
          <w:color w:val="002060"/>
        </w:rPr>
        <w:t xml:space="preserve"> (experiencing re-victimisation and most likely not being able to access services to complain and protect them). </w:t>
      </w:r>
      <w:r w:rsidR="00A753BD" w:rsidRPr="008629F3">
        <w:rPr>
          <w:rFonts w:ascii="Calibri" w:hAnsi="Calibri" w:cs="Calibri"/>
          <w:color w:val="002060"/>
        </w:rPr>
        <w:t xml:space="preserve">This is occurring in all forms of alternative </w:t>
      </w:r>
      <w:r w:rsidR="00444B5E" w:rsidRPr="008629F3">
        <w:rPr>
          <w:rFonts w:ascii="Calibri" w:hAnsi="Calibri" w:cs="Calibri"/>
          <w:color w:val="002060"/>
        </w:rPr>
        <w:t>care settings</w:t>
      </w:r>
      <w:r w:rsidR="00A753BD" w:rsidRPr="008629F3">
        <w:rPr>
          <w:rFonts w:ascii="Calibri" w:hAnsi="Calibri" w:cs="Calibri"/>
          <w:color w:val="002060"/>
        </w:rPr>
        <w:t>.</w:t>
      </w:r>
      <w:r w:rsidR="001932B0" w:rsidRPr="008629F3">
        <w:rPr>
          <w:color w:val="002060"/>
        </w:rPr>
        <w:t xml:space="preserve"> </w:t>
      </w:r>
      <w:r w:rsidR="004D18DF" w:rsidRPr="008629F3">
        <w:rPr>
          <w:color w:val="002060"/>
        </w:rPr>
        <w:t>Although</w:t>
      </w:r>
      <w:r w:rsidR="00F130F6" w:rsidRPr="008629F3">
        <w:rPr>
          <w:color w:val="002060"/>
        </w:rPr>
        <w:t xml:space="preserve"> d</w:t>
      </w:r>
      <w:r w:rsidR="00D649E5" w:rsidRPr="008629F3">
        <w:rPr>
          <w:color w:val="002060"/>
        </w:rPr>
        <w:t xml:space="preserve">evelopments </w:t>
      </w:r>
      <w:proofErr w:type="gramStart"/>
      <w:r w:rsidR="00D649E5" w:rsidRPr="008629F3">
        <w:rPr>
          <w:color w:val="002060"/>
        </w:rPr>
        <w:t>are being made</w:t>
      </w:r>
      <w:proofErr w:type="gramEnd"/>
      <w:r w:rsidR="00D649E5" w:rsidRPr="008629F3">
        <w:rPr>
          <w:color w:val="002060"/>
        </w:rPr>
        <w:t xml:space="preserve"> toward increasing</w:t>
      </w:r>
      <w:r w:rsidR="00307326" w:rsidRPr="008629F3">
        <w:rPr>
          <w:color w:val="002060"/>
        </w:rPr>
        <w:t xml:space="preserve"> </w:t>
      </w:r>
      <w:r w:rsidR="00FE2242" w:rsidRPr="008629F3">
        <w:rPr>
          <w:color w:val="002060"/>
        </w:rPr>
        <w:t xml:space="preserve">provision of </w:t>
      </w:r>
      <w:r w:rsidR="00307326" w:rsidRPr="008629F3">
        <w:rPr>
          <w:color w:val="002060"/>
        </w:rPr>
        <w:t xml:space="preserve">family-based alternative care, evidence suggests </w:t>
      </w:r>
      <w:r w:rsidR="004A0E16" w:rsidRPr="008629F3">
        <w:rPr>
          <w:color w:val="002060"/>
        </w:rPr>
        <w:t xml:space="preserve">that </w:t>
      </w:r>
      <w:r w:rsidR="00307326" w:rsidRPr="008629F3">
        <w:rPr>
          <w:color w:val="002060"/>
        </w:rPr>
        <w:t xml:space="preserve">the lack of sufficient resources, guidance, rigour and safeguards mean children’s rights and best interests are not </w:t>
      </w:r>
      <w:r w:rsidR="00A83162" w:rsidRPr="008629F3">
        <w:rPr>
          <w:color w:val="002060"/>
        </w:rPr>
        <w:t xml:space="preserve">always </w:t>
      </w:r>
      <w:r w:rsidR="00307326" w:rsidRPr="008629F3">
        <w:rPr>
          <w:color w:val="002060"/>
        </w:rPr>
        <w:t xml:space="preserve">being </w:t>
      </w:r>
      <w:r w:rsidR="00307326" w:rsidRPr="008629F3">
        <w:rPr>
          <w:color w:val="002060"/>
        </w:rPr>
        <w:lastRenderedPageBreak/>
        <w:t xml:space="preserve">met, and violations </w:t>
      </w:r>
      <w:r w:rsidR="00794AF7" w:rsidRPr="008629F3">
        <w:rPr>
          <w:color w:val="002060"/>
        </w:rPr>
        <w:t>occur</w:t>
      </w:r>
      <w:r w:rsidR="002411C4" w:rsidRPr="008629F3">
        <w:rPr>
          <w:color w:val="002060"/>
        </w:rPr>
        <w:t>.</w:t>
      </w:r>
      <w:r w:rsidR="00F718B4" w:rsidRPr="008629F3">
        <w:rPr>
          <w:rStyle w:val="FootnoteReference"/>
          <w:color w:val="002060"/>
        </w:rPr>
        <w:footnoteReference w:id="8"/>
      </w:r>
      <w:r w:rsidR="00307326" w:rsidRPr="008629F3">
        <w:rPr>
          <w:color w:val="002060"/>
        </w:rPr>
        <w:t xml:space="preserve"> </w:t>
      </w:r>
      <w:r w:rsidR="00444B5E" w:rsidRPr="008629F3">
        <w:rPr>
          <w:color w:val="002060"/>
        </w:rPr>
        <w:t>Abuse has</w:t>
      </w:r>
      <w:r w:rsidR="00FE2242" w:rsidRPr="008629F3">
        <w:rPr>
          <w:color w:val="002060"/>
        </w:rPr>
        <w:t xml:space="preserve"> long been reported in large residential institutions </w:t>
      </w:r>
      <w:r w:rsidR="00F5304E" w:rsidRPr="008629F3">
        <w:rPr>
          <w:color w:val="002060"/>
        </w:rPr>
        <w:t>where</w:t>
      </w:r>
      <w:r w:rsidR="001932B0" w:rsidRPr="008629F3">
        <w:rPr>
          <w:color w:val="002060"/>
        </w:rPr>
        <w:t xml:space="preserve"> some</w:t>
      </w:r>
      <w:r w:rsidR="00F5304E" w:rsidRPr="008629F3">
        <w:rPr>
          <w:color w:val="002060"/>
        </w:rPr>
        <w:t xml:space="preserve"> </w:t>
      </w:r>
      <w:r w:rsidR="007D7F4F" w:rsidRPr="008629F3">
        <w:rPr>
          <w:color w:val="002060"/>
        </w:rPr>
        <w:t xml:space="preserve">children endure, </w:t>
      </w:r>
      <w:r w:rsidR="00794AF7" w:rsidRPr="008629F3">
        <w:rPr>
          <w:color w:val="002060"/>
        </w:rPr>
        <w:t>‘</w:t>
      </w:r>
      <w:r w:rsidR="007D7F4F" w:rsidRPr="008629F3">
        <w:rPr>
          <w:color w:val="002060"/>
        </w:rPr>
        <w:t>appalling</w:t>
      </w:r>
      <w:r w:rsidR="00F5304E" w:rsidRPr="008629F3">
        <w:rPr>
          <w:color w:val="002060"/>
        </w:rPr>
        <w:t xml:space="preserve"> treatment</w:t>
      </w:r>
      <w:r w:rsidR="007D7F4F" w:rsidRPr="008629F3">
        <w:rPr>
          <w:color w:val="002060"/>
        </w:rPr>
        <w:t>’</w:t>
      </w:r>
      <w:r w:rsidR="00766AE3" w:rsidRPr="008629F3">
        <w:rPr>
          <w:color w:val="002060"/>
        </w:rPr>
        <w:t>.</w:t>
      </w:r>
      <w:r w:rsidR="007B2093" w:rsidRPr="008629F3">
        <w:rPr>
          <w:rStyle w:val="FootnoteReference"/>
          <w:color w:val="002060"/>
        </w:rPr>
        <w:footnoteReference w:id="9"/>
      </w:r>
      <w:r w:rsidR="00292596" w:rsidRPr="008629F3">
        <w:rPr>
          <w:color w:val="002060"/>
        </w:rPr>
        <w:t xml:space="preserve"> Furthermore, </w:t>
      </w:r>
      <w:r w:rsidR="002964D0" w:rsidRPr="008629F3">
        <w:rPr>
          <w:color w:val="002060"/>
        </w:rPr>
        <w:t xml:space="preserve">concerns </w:t>
      </w:r>
      <w:r w:rsidR="00292596" w:rsidRPr="008629F3">
        <w:rPr>
          <w:color w:val="002060"/>
        </w:rPr>
        <w:t xml:space="preserve">persist </w:t>
      </w:r>
      <w:r w:rsidR="005A5F11" w:rsidRPr="008629F3">
        <w:rPr>
          <w:color w:val="002060"/>
        </w:rPr>
        <w:t>due to</w:t>
      </w:r>
      <w:r w:rsidR="00766AE3" w:rsidRPr="008629F3">
        <w:rPr>
          <w:color w:val="002060"/>
        </w:rPr>
        <w:t xml:space="preserve"> </w:t>
      </w:r>
      <w:r w:rsidR="002964D0" w:rsidRPr="008629F3">
        <w:rPr>
          <w:color w:val="002060"/>
        </w:rPr>
        <w:t>lack of protection</w:t>
      </w:r>
      <w:r w:rsidR="005A5F11" w:rsidRPr="008629F3">
        <w:rPr>
          <w:color w:val="002060"/>
        </w:rPr>
        <w:t xml:space="preserve"> </w:t>
      </w:r>
      <w:proofErr w:type="gramStart"/>
      <w:r w:rsidR="005A5F11" w:rsidRPr="008629F3">
        <w:rPr>
          <w:color w:val="002060"/>
        </w:rPr>
        <w:t xml:space="preserve">identified </w:t>
      </w:r>
      <w:r w:rsidR="002964D0" w:rsidRPr="008629F3">
        <w:rPr>
          <w:color w:val="002060"/>
        </w:rPr>
        <w:t xml:space="preserve"> in</w:t>
      </w:r>
      <w:proofErr w:type="gramEnd"/>
      <w:r w:rsidR="002964D0" w:rsidRPr="008629F3">
        <w:rPr>
          <w:color w:val="002060"/>
        </w:rPr>
        <w:t xml:space="preserve"> </w:t>
      </w:r>
      <w:r w:rsidR="005A5F11" w:rsidRPr="008629F3">
        <w:rPr>
          <w:color w:val="002060"/>
        </w:rPr>
        <w:t xml:space="preserve">some </w:t>
      </w:r>
      <w:r w:rsidR="002964D0" w:rsidRPr="008629F3">
        <w:rPr>
          <w:color w:val="002060"/>
        </w:rPr>
        <w:t>small scale residential care</w:t>
      </w:r>
      <w:r w:rsidR="005A5F11" w:rsidRPr="008629F3">
        <w:rPr>
          <w:color w:val="002060"/>
        </w:rPr>
        <w:t xml:space="preserve"> settings</w:t>
      </w:r>
      <w:r w:rsidR="002964D0" w:rsidRPr="008629F3">
        <w:rPr>
          <w:color w:val="002060"/>
        </w:rPr>
        <w:t>.</w:t>
      </w:r>
      <w:r w:rsidR="002C39D3" w:rsidRPr="008629F3">
        <w:rPr>
          <w:rStyle w:val="FootnoteReference"/>
          <w:color w:val="002060"/>
        </w:rPr>
        <w:footnoteReference w:id="10"/>
      </w:r>
      <w:r w:rsidR="006526EB" w:rsidRPr="008629F3">
        <w:rPr>
          <w:color w:val="002060"/>
        </w:rPr>
        <w:t xml:space="preserve"> </w:t>
      </w:r>
    </w:p>
    <w:p w14:paraId="5731AB54" w14:textId="3DCB52A6" w:rsidR="007D7F4F" w:rsidRPr="008629F3" w:rsidRDefault="001734A8" w:rsidP="007F643B">
      <w:pPr>
        <w:spacing w:line="240" w:lineRule="auto"/>
        <w:jc w:val="both"/>
        <w:rPr>
          <w:color w:val="002060"/>
        </w:rPr>
      </w:pPr>
      <w:r w:rsidRPr="008629F3">
        <w:rPr>
          <w:color w:val="002060"/>
        </w:rPr>
        <w:t xml:space="preserve">Along with these </w:t>
      </w:r>
      <w:r w:rsidR="00447FE7" w:rsidRPr="008629F3">
        <w:rPr>
          <w:color w:val="002060"/>
        </w:rPr>
        <w:t xml:space="preserve">enduring </w:t>
      </w:r>
      <w:r w:rsidR="00766AE3" w:rsidRPr="008629F3">
        <w:rPr>
          <w:color w:val="002060"/>
        </w:rPr>
        <w:t>concerns</w:t>
      </w:r>
      <w:r w:rsidR="00811909" w:rsidRPr="008629F3">
        <w:rPr>
          <w:color w:val="002060"/>
        </w:rPr>
        <w:t xml:space="preserve">, </w:t>
      </w:r>
      <w:r w:rsidRPr="008629F3">
        <w:rPr>
          <w:color w:val="002060"/>
        </w:rPr>
        <w:t xml:space="preserve">gaps </w:t>
      </w:r>
      <w:r w:rsidR="004A0E16" w:rsidRPr="008629F3">
        <w:rPr>
          <w:color w:val="002060"/>
        </w:rPr>
        <w:t xml:space="preserve">remain </w:t>
      </w:r>
      <w:r w:rsidRPr="008629F3">
        <w:rPr>
          <w:color w:val="002060"/>
        </w:rPr>
        <w:t xml:space="preserve">in </w:t>
      </w:r>
      <w:r w:rsidR="00811909" w:rsidRPr="008629F3">
        <w:rPr>
          <w:color w:val="002060"/>
        </w:rPr>
        <w:t xml:space="preserve">research </w:t>
      </w:r>
      <w:r w:rsidR="005A5F11" w:rsidRPr="008629F3">
        <w:rPr>
          <w:color w:val="002060"/>
        </w:rPr>
        <w:t xml:space="preserve">that would </w:t>
      </w:r>
      <w:r w:rsidRPr="008629F3">
        <w:rPr>
          <w:color w:val="002060"/>
        </w:rPr>
        <w:t>provid</w:t>
      </w:r>
      <w:r w:rsidR="005A5F11" w:rsidRPr="008629F3">
        <w:rPr>
          <w:color w:val="002060"/>
        </w:rPr>
        <w:t>e</w:t>
      </w:r>
      <w:r w:rsidRPr="008629F3">
        <w:rPr>
          <w:color w:val="002060"/>
        </w:rPr>
        <w:t xml:space="preserve"> </w:t>
      </w:r>
      <w:r w:rsidR="00C670CF" w:rsidRPr="008629F3">
        <w:rPr>
          <w:color w:val="002060"/>
        </w:rPr>
        <w:t xml:space="preserve">rigorous </w:t>
      </w:r>
      <w:r w:rsidRPr="008629F3">
        <w:rPr>
          <w:color w:val="002060"/>
        </w:rPr>
        <w:t xml:space="preserve">evidence of </w:t>
      </w:r>
      <w:r w:rsidR="003C7DFB" w:rsidRPr="008629F3">
        <w:rPr>
          <w:color w:val="002060"/>
        </w:rPr>
        <w:t xml:space="preserve">the plight of </w:t>
      </w:r>
      <w:r w:rsidRPr="008629F3">
        <w:rPr>
          <w:color w:val="002060"/>
        </w:rPr>
        <w:t>children</w:t>
      </w:r>
      <w:r w:rsidR="003C7DFB" w:rsidRPr="008629F3">
        <w:rPr>
          <w:color w:val="002060"/>
        </w:rPr>
        <w:t xml:space="preserve"> in all forms of care, </w:t>
      </w:r>
      <w:r w:rsidR="00766AE3" w:rsidRPr="008629F3">
        <w:rPr>
          <w:color w:val="002060"/>
        </w:rPr>
        <w:t xml:space="preserve">especially </w:t>
      </w:r>
      <w:r w:rsidR="0069348B" w:rsidRPr="008629F3">
        <w:rPr>
          <w:color w:val="002060"/>
        </w:rPr>
        <w:t>from</w:t>
      </w:r>
      <w:r w:rsidR="00766AE3" w:rsidRPr="008629F3">
        <w:rPr>
          <w:color w:val="002060"/>
        </w:rPr>
        <w:t xml:space="preserve"> middle and </w:t>
      </w:r>
      <w:proofErr w:type="gramStart"/>
      <w:r w:rsidR="00766AE3" w:rsidRPr="008629F3">
        <w:rPr>
          <w:color w:val="002060"/>
        </w:rPr>
        <w:t>low income</w:t>
      </w:r>
      <w:proofErr w:type="gramEnd"/>
      <w:r w:rsidR="00766AE3" w:rsidRPr="008629F3">
        <w:rPr>
          <w:color w:val="002060"/>
        </w:rPr>
        <w:t xml:space="preserve"> countries</w:t>
      </w:r>
      <w:r w:rsidR="002411C4" w:rsidRPr="008629F3">
        <w:rPr>
          <w:color w:val="002060"/>
        </w:rPr>
        <w:t>.</w:t>
      </w:r>
      <w:r w:rsidR="008156FF" w:rsidRPr="008629F3">
        <w:rPr>
          <w:rStyle w:val="FootnoteReference"/>
          <w:color w:val="002060"/>
        </w:rPr>
        <w:footnoteReference w:id="11"/>
      </w:r>
      <w:r w:rsidR="00766AE3" w:rsidRPr="008629F3">
        <w:rPr>
          <w:color w:val="002060"/>
        </w:rPr>
        <w:t xml:space="preserve"> </w:t>
      </w:r>
      <w:r w:rsidR="0002557D" w:rsidRPr="008629F3">
        <w:rPr>
          <w:color w:val="002060"/>
        </w:rPr>
        <w:t xml:space="preserve">For example, </w:t>
      </w:r>
      <w:r w:rsidR="008609B2" w:rsidRPr="008629F3">
        <w:rPr>
          <w:color w:val="002060"/>
        </w:rPr>
        <w:t xml:space="preserve">ten out of twenty states </w:t>
      </w:r>
      <w:r w:rsidR="00BE3E4F" w:rsidRPr="008629F3">
        <w:rPr>
          <w:color w:val="002060"/>
        </w:rPr>
        <w:t>having replied</w:t>
      </w:r>
      <w:r w:rsidR="006009FB" w:rsidRPr="008629F3">
        <w:rPr>
          <w:color w:val="002060"/>
        </w:rPr>
        <w:t xml:space="preserve"> to </w:t>
      </w:r>
      <w:r w:rsidR="004A0E16" w:rsidRPr="008629F3">
        <w:rPr>
          <w:color w:val="002060"/>
        </w:rPr>
        <w:t>the</w:t>
      </w:r>
      <w:r w:rsidR="006009FB" w:rsidRPr="008629F3">
        <w:rPr>
          <w:color w:val="002060"/>
        </w:rPr>
        <w:t xml:space="preserve"> </w:t>
      </w:r>
      <w:r w:rsidR="008F08CA" w:rsidRPr="008629F3">
        <w:rPr>
          <w:color w:val="002060"/>
        </w:rPr>
        <w:t>COE 2</w:t>
      </w:r>
      <w:r w:rsidR="004079FB" w:rsidRPr="008629F3">
        <w:rPr>
          <w:color w:val="002060"/>
        </w:rPr>
        <w:t>0</w:t>
      </w:r>
      <w:r w:rsidR="008F08CA" w:rsidRPr="008629F3">
        <w:rPr>
          <w:color w:val="002060"/>
        </w:rPr>
        <w:t xml:space="preserve">21 </w:t>
      </w:r>
      <w:proofErr w:type="gramStart"/>
      <w:r w:rsidR="008F08CA" w:rsidRPr="008629F3">
        <w:rPr>
          <w:color w:val="002060"/>
        </w:rPr>
        <w:t>survey</w:t>
      </w:r>
      <w:r w:rsidR="00811909" w:rsidRPr="008629F3">
        <w:rPr>
          <w:color w:val="002060"/>
        </w:rPr>
        <w:t>,</w:t>
      </w:r>
      <w:proofErr w:type="gramEnd"/>
      <w:r w:rsidR="00811909" w:rsidRPr="008629F3">
        <w:rPr>
          <w:color w:val="002060"/>
        </w:rPr>
        <w:t xml:space="preserve"> </w:t>
      </w:r>
      <w:r w:rsidR="007A7C7A" w:rsidRPr="008629F3">
        <w:rPr>
          <w:color w:val="002060"/>
        </w:rPr>
        <w:t xml:space="preserve">were not aware </w:t>
      </w:r>
      <w:r w:rsidR="007A7C7A" w:rsidRPr="008629F3">
        <w:rPr>
          <w:rFonts w:ascii="Calibri" w:hAnsi="Calibri" w:cs="Calibri"/>
          <w:color w:val="002060"/>
        </w:rPr>
        <w:t xml:space="preserve">of any research or reports that </w:t>
      </w:r>
      <w:r w:rsidR="00AA3812" w:rsidRPr="008629F3">
        <w:rPr>
          <w:rFonts w:ascii="Calibri" w:hAnsi="Calibri" w:cs="Calibri"/>
          <w:color w:val="002060"/>
        </w:rPr>
        <w:t xml:space="preserve">would </w:t>
      </w:r>
      <w:r w:rsidR="007A7C7A" w:rsidRPr="008629F3">
        <w:rPr>
          <w:rFonts w:ascii="Calibri" w:hAnsi="Calibri" w:cs="Calibri"/>
          <w:color w:val="002060"/>
        </w:rPr>
        <w:t>provide</w:t>
      </w:r>
      <w:r w:rsidR="00AA3812" w:rsidRPr="008629F3">
        <w:rPr>
          <w:rFonts w:ascii="Calibri" w:hAnsi="Calibri" w:cs="Calibri"/>
          <w:color w:val="002060"/>
        </w:rPr>
        <w:t xml:space="preserve"> information on</w:t>
      </w:r>
      <w:r w:rsidR="007A7C7A" w:rsidRPr="008629F3">
        <w:rPr>
          <w:rFonts w:ascii="Calibri" w:hAnsi="Calibri" w:cs="Calibri"/>
          <w:color w:val="002060"/>
        </w:rPr>
        <w:t xml:space="preserve"> abuse in different forms of formal alternative care settings in their country.</w:t>
      </w:r>
    </w:p>
    <w:p w14:paraId="05BB2744" w14:textId="15BA1DD7" w:rsidR="00447FE7" w:rsidRPr="008629F3" w:rsidRDefault="00447FE7" w:rsidP="002D5C2E">
      <w:pPr>
        <w:jc w:val="both"/>
        <w:rPr>
          <w:color w:val="002060"/>
        </w:rPr>
      </w:pPr>
      <w:proofErr w:type="gramStart"/>
      <w:r w:rsidRPr="008629F3">
        <w:rPr>
          <w:rFonts w:ascii="Calibri" w:hAnsi="Calibri" w:cs="Calibri"/>
          <w:color w:val="002060"/>
        </w:rPr>
        <w:t>The importance of le</w:t>
      </w:r>
      <w:r w:rsidRPr="008629F3">
        <w:rPr>
          <w:color w:val="002060"/>
        </w:rPr>
        <w:t>arning lessons from past failings in view of safeguarding the rights of all children in alternative care settings was demonstrated during the Regional Discussion by a presentation o</w:t>
      </w:r>
      <w:r w:rsidR="00441141" w:rsidRPr="008629F3">
        <w:rPr>
          <w:color w:val="002060"/>
        </w:rPr>
        <w:t>n</w:t>
      </w:r>
      <w:r w:rsidRPr="008629F3">
        <w:rPr>
          <w:color w:val="002060"/>
        </w:rPr>
        <w:t xml:space="preserve"> the Portuguese cas</w:t>
      </w:r>
      <w:r w:rsidR="00E10C95" w:rsidRPr="008629F3">
        <w:rPr>
          <w:color w:val="002060"/>
        </w:rPr>
        <w:t>a</w:t>
      </w:r>
      <w:r w:rsidRPr="008629F3">
        <w:rPr>
          <w:color w:val="002060"/>
        </w:rPr>
        <w:t xml:space="preserve"> pia care-homes</w:t>
      </w:r>
      <w:r w:rsidR="00E24617" w:rsidRPr="008629F3">
        <w:rPr>
          <w:rStyle w:val="FootnoteReference"/>
          <w:color w:val="002060"/>
        </w:rPr>
        <w:footnoteReference w:id="12"/>
      </w:r>
      <w:r w:rsidRPr="008629F3">
        <w:rPr>
          <w:color w:val="002060"/>
        </w:rPr>
        <w:t xml:space="preserve">, which </w:t>
      </w:r>
      <w:r w:rsidR="00E10C95" w:rsidRPr="008629F3">
        <w:rPr>
          <w:color w:val="002060"/>
        </w:rPr>
        <w:t xml:space="preserve">responded to the finding of past abuse by instituting a reform process which led, inter alia, to the establishment </w:t>
      </w:r>
      <w:r w:rsidR="00E10C95" w:rsidRPr="008629F3">
        <w:rPr>
          <w:color w:val="002060"/>
        </w:rPr>
        <w:lastRenderedPageBreak/>
        <w:t>of an integrated Social Skills Program</w:t>
      </w:r>
      <w:r w:rsidR="00E10C95" w:rsidRPr="008629F3">
        <w:rPr>
          <w:b/>
          <w:bCs/>
          <w:color w:val="002060"/>
        </w:rPr>
        <w:t xml:space="preserve"> </w:t>
      </w:r>
      <w:r w:rsidR="00E10C95" w:rsidRPr="008629F3">
        <w:rPr>
          <w:color w:val="002060"/>
        </w:rPr>
        <w:t>to strengthen and promote the social skills of all children under their care</w:t>
      </w:r>
      <w:r w:rsidR="00154E38" w:rsidRPr="008629F3">
        <w:rPr>
          <w:color w:val="002060"/>
        </w:rPr>
        <w:t xml:space="preserve">, including by strengthening children’s participation in </w:t>
      </w:r>
      <w:r w:rsidR="0069455B" w:rsidRPr="008629F3">
        <w:rPr>
          <w:color w:val="002060"/>
        </w:rPr>
        <w:t xml:space="preserve">the development of </w:t>
      </w:r>
      <w:r w:rsidR="00154E38" w:rsidRPr="008629F3">
        <w:rPr>
          <w:color w:val="002060"/>
        </w:rPr>
        <w:t>their individual care plan</w:t>
      </w:r>
      <w:r w:rsidR="00E10C95" w:rsidRPr="008629F3">
        <w:rPr>
          <w:color w:val="002060"/>
        </w:rPr>
        <w:t>.</w:t>
      </w:r>
      <w:proofErr w:type="gramEnd"/>
      <w:r w:rsidR="00E10C95" w:rsidRPr="008629F3">
        <w:rPr>
          <w:color w:val="002060"/>
        </w:rPr>
        <w:t xml:space="preserve"> </w:t>
      </w:r>
    </w:p>
    <w:p w14:paraId="21777749" w14:textId="394E31FF" w:rsidR="004602F5" w:rsidRPr="008629F3" w:rsidRDefault="001E44ED" w:rsidP="002D5C2E">
      <w:pPr>
        <w:jc w:val="both"/>
        <w:rPr>
          <w:color w:val="002060"/>
        </w:rPr>
      </w:pPr>
      <w:r w:rsidRPr="008629F3">
        <w:rPr>
          <w:color w:val="002060"/>
        </w:rPr>
        <w:t xml:space="preserve">Children </w:t>
      </w:r>
      <w:r w:rsidR="00AA3812" w:rsidRPr="008629F3">
        <w:rPr>
          <w:color w:val="002060"/>
        </w:rPr>
        <w:t xml:space="preserve">not only have a right to protection but also </w:t>
      </w:r>
      <w:r w:rsidR="00520301" w:rsidRPr="008629F3">
        <w:rPr>
          <w:color w:val="002060"/>
        </w:rPr>
        <w:t xml:space="preserve">to </w:t>
      </w:r>
      <w:proofErr w:type="gramStart"/>
      <w:r w:rsidR="00520301" w:rsidRPr="008629F3">
        <w:rPr>
          <w:color w:val="002060"/>
        </w:rPr>
        <w:t>be heard</w:t>
      </w:r>
      <w:proofErr w:type="gramEnd"/>
      <w:r w:rsidR="00520301" w:rsidRPr="008629F3">
        <w:rPr>
          <w:color w:val="002060"/>
        </w:rPr>
        <w:t xml:space="preserve"> </w:t>
      </w:r>
      <w:r w:rsidR="00C445B1" w:rsidRPr="008629F3">
        <w:rPr>
          <w:color w:val="002060"/>
        </w:rPr>
        <w:t>i</w:t>
      </w:r>
      <w:r w:rsidR="00520301" w:rsidRPr="008629F3">
        <w:rPr>
          <w:color w:val="002060"/>
        </w:rPr>
        <w:t xml:space="preserve">n matters </w:t>
      </w:r>
      <w:r w:rsidR="001D0666" w:rsidRPr="008629F3">
        <w:rPr>
          <w:color w:val="002060"/>
        </w:rPr>
        <w:t>affecting their</w:t>
      </w:r>
      <w:r w:rsidR="00520301" w:rsidRPr="008629F3">
        <w:rPr>
          <w:color w:val="002060"/>
        </w:rPr>
        <w:t xml:space="preserve"> lives</w:t>
      </w:r>
      <w:r w:rsidR="00AB4D8B" w:rsidRPr="008629F3">
        <w:rPr>
          <w:color w:val="002060"/>
        </w:rPr>
        <w:t>,</w:t>
      </w:r>
      <w:r w:rsidR="00EA6606" w:rsidRPr="008629F3">
        <w:rPr>
          <w:color w:val="002060"/>
        </w:rPr>
        <w:t xml:space="preserve"> including the ability to </w:t>
      </w:r>
      <w:r w:rsidR="004B6F85" w:rsidRPr="008629F3">
        <w:rPr>
          <w:color w:val="002060"/>
        </w:rPr>
        <w:t xml:space="preserve">speak </w:t>
      </w:r>
      <w:r w:rsidR="00AA3812" w:rsidRPr="008629F3">
        <w:rPr>
          <w:color w:val="002060"/>
        </w:rPr>
        <w:t xml:space="preserve">out </w:t>
      </w:r>
      <w:r w:rsidR="004B6F85" w:rsidRPr="008629F3">
        <w:rPr>
          <w:color w:val="002060"/>
        </w:rPr>
        <w:t>about</w:t>
      </w:r>
      <w:r w:rsidR="007B24BE" w:rsidRPr="008629F3">
        <w:rPr>
          <w:color w:val="002060"/>
        </w:rPr>
        <w:t xml:space="preserve"> </w:t>
      </w:r>
      <w:r w:rsidR="00A9500E" w:rsidRPr="008629F3">
        <w:rPr>
          <w:color w:val="002060"/>
        </w:rPr>
        <w:t>abuse</w:t>
      </w:r>
      <w:r w:rsidR="00520301" w:rsidRPr="008629F3">
        <w:rPr>
          <w:color w:val="002060"/>
        </w:rPr>
        <w:t>.</w:t>
      </w:r>
      <w:r w:rsidR="00DE2F1A" w:rsidRPr="008629F3">
        <w:rPr>
          <w:rStyle w:val="FootnoteReference"/>
          <w:color w:val="002060"/>
        </w:rPr>
        <w:footnoteReference w:id="13"/>
      </w:r>
      <w:r w:rsidR="002411C4" w:rsidRPr="008629F3">
        <w:rPr>
          <w:color w:val="002060"/>
        </w:rPr>
        <w:t xml:space="preserve"> </w:t>
      </w:r>
      <w:proofErr w:type="gramStart"/>
      <w:r w:rsidR="007B24BE" w:rsidRPr="008629F3">
        <w:rPr>
          <w:rFonts w:ascii="Calibri" w:hAnsi="Calibri" w:cs="Calibri"/>
          <w:color w:val="002060"/>
        </w:rPr>
        <w:t xml:space="preserve">Noting the prevalence of </w:t>
      </w:r>
      <w:r w:rsidR="00A9500E" w:rsidRPr="008629F3">
        <w:rPr>
          <w:rFonts w:ascii="Calibri" w:hAnsi="Calibri" w:cs="Calibri"/>
          <w:color w:val="002060"/>
        </w:rPr>
        <w:t>abuse</w:t>
      </w:r>
      <w:r w:rsidR="007B24BE" w:rsidRPr="008629F3">
        <w:rPr>
          <w:rFonts w:ascii="Calibri" w:hAnsi="Calibri" w:cs="Calibri"/>
          <w:color w:val="002060"/>
        </w:rPr>
        <w:t xml:space="preserve"> in all forms of alternative c</w:t>
      </w:r>
      <w:r w:rsidR="00DE2F1A" w:rsidRPr="008629F3">
        <w:rPr>
          <w:rFonts w:ascii="Calibri" w:hAnsi="Calibri" w:cs="Calibri"/>
          <w:color w:val="002060"/>
        </w:rPr>
        <w:t>are,</w:t>
      </w:r>
      <w:proofErr w:type="gramEnd"/>
      <w:r w:rsidR="00DE2F1A" w:rsidRPr="008629F3">
        <w:rPr>
          <w:rFonts w:ascii="Calibri" w:hAnsi="Calibri" w:cs="Calibri"/>
          <w:color w:val="002060"/>
        </w:rPr>
        <w:t xml:space="preserve"> </w:t>
      </w:r>
      <w:proofErr w:type="gramStart"/>
      <w:r w:rsidR="00DE2F1A" w:rsidRPr="008629F3">
        <w:rPr>
          <w:rFonts w:ascii="Calibri" w:hAnsi="Calibri" w:cs="Calibri"/>
          <w:color w:val="002060"/>
        </w:rPr>
        <w:t>it</w:t>
      </w:r>
      <w:proofErr w:type="gramEnd"/>
      <w:r w:rsidR="00DE2F1A" w:rsidRPr="008629F3">
        <w:rPr>
          <w:rFonts w:ascii="Calibri" w:hAnsi="Calibri" w:cs="Calibri"/>
          <w:color w:val="002060"/>
        </w:rPr>
        <w:t xml:space="preserve"> is essential that children </w:t>
      </w:r>
      <w:r w:rsidR="007B24BE" w:rsidRPr="008629F3">
        <w:rPr>
          <w:rFonts w:ascii="Calibri" w:hAnsi="Calibri" w:cs="Calibri"/>
          <w:color w:val="002060"/>
        </w:rPr>
        <w:t xml:space="preserve">exposed to violence have access to safeguarding mechanisms </w:t>
      </w:r>
      <w:r w:rsidR="00802141" w:rsidRPr="008629F3">
        <w:rPr>
          <w:rFonts w:ascii="Calibri" w:hAnsi="Calibri" w:cs="Calibri"/>
          <w:color w:val="002060"/>
        </w:rPr>
        <w:t xml:space="preserve">by which they can </w:t>
      </w:r>
      <w:r w:rsidR="007B24BE" w:rsidRPr="008629F3">
        <w:rPr>
          <w:rFonts w:ascii="Calibri" w:hAnsi="Calibri" w:cs="Calibri"/>
          <w:color w:val="002060"/>
        </w:rPr>
        <w:t xml:space="preserve">safely </w:t>
      </w:r>
      <w:r w:rsidR="00802141" w:rsidRPr="008629F3">
        <w:rPr>
          <w:rFonts w:ascii="Calibri" w:hAnsi="Calibri" w:cs="Calibri"/>
          <w:color w:val="002060"/>
        </w:rPr>
        <w:t xml:space="preserve">and confidentially report </w:t>
      </w:r>
      <w:r w:rsidR="007B24BE" w:rsidRPr="008629F3">
        <w:rPr>
          <w:rFonts w:ascii="Calibri" w:hAnsi="Calibri" w:cs="Calibri"/>
          <w:color w:val="002060"/>
        </w:rPr>
        <w:t>violations.</w:t>
      </w:r>
      <w:r w:rsidR="00CF2055" w:rsidRPr="008629F3">
        <w:rPr>
          <w:rStyle w:val="FootnoteReference"/>
          <w:rFonts w:ascii="Calibri" w:hAnsi="Calibri" w:cs="Calibri"/>
          <w:color w:val="002060"/>
        </w:rPr>
        <w:footnoteReference w:id="14"/>
      </w:r>
      <w:r w:rsidR="007B24BE" w:rsidRPr="008629F3">
        <w:rPr>
          <w:rFonts w:ascii="Calibri" w:hAnsi="Calibri" w:cs="Calibri"/>
          <w:color w:val="002060"/>
        </w:rPr>
        <w:t xml:space="preserve"> </w:t>
      </w:r>
      <w:r w:rsidRPr="008629F3">
        <w:rPr>
          <w:color w:val="002060"/>
        </w:rPr>
        <w:t xml:space="preserve">However, </w:t>
      </w:r>
      <w:r w:rsidR="00D53364" w:rsidRPr="008629F3">
        <w:rPr>
          <w:color w:val="002060"/>
        </w:rPr>
        <w:t>such</w:t>
      </w:r>
      <w:r w:rsidRPr="008629F3">
        <w:rPr>
          <w:color w:val="002060"/>
        </w:rPr>
        <w:t xml:space="preserve"> </w:t>
      </w:r>
      <w:r w:rsidR="00D85A8C" w:rsidRPr="008629F3">
        <w:rPr>
          <w:color w:val="002060"/>
        </w:rPr>
        <w:t xml:space="preserve">access to </w:t>
      </w:r>
      <w:r w:rsidRPr="008629F3">
        <w:rPr>
          <w:color w:val="002060"/>
        </w:rPr>
        <w:t>safe</w:t>
      </w:r>
      <w:r w:rsidR="00F67FA4" w:rsidRPr="008629F3">
        <w:rPr>
          <w:color w:val="002060"/>
        </w:rPr>
        <w:t xml:space="preserve">, </w:t>
      </w:r>
      <w:r w:rsidRPr="008629F3">
        <w:rPr>
          <w:color w:val="002060"/>
        </w:rPr>
        <w:t xml:space="preserve">confidential </w:t>
      </w:r>
      <w:r w:rsidR="00F67FA4" w:rsidRPr="008629F3">
        <w:rPr>
          <w:color w:val="002060"/>
        </w:rPr>
        <w:t xml:space="preserve">and impartial </w:t>
      </w:r>
      <w:r w:rsidRPr="008629F3">
        <w:rPr>
          <w:color w:val="002060"/>
        </w:rPr>
        <w:t xml:space="preserve">reporting </w:t>
      </w:r>
      <w:r w:rsidR="00D85A8C" w:rsidRPr="008629F3">
        <w:rPr>
          <w:color w:val="002060"/>
        </w:rPr>
        <w:t xml:space="preserve">and safeguarding </w:t>
      </w:r>
      <w:r w:rsidRPr="008629F3">
        <w:rPr>
          <w:color w:val="002060"/>
        </w:rPr>
        <w:t>mechanisms</w:t>
      </w:r>
      <w:r w:rsidR="00D53364" w:rsidRPr="008629F3">
        <w:rPr>
          <w:color w:val="002060"/>
        </w:rPr>
        <w:t xml:space="preserve"> </w:t>
      </w:r>
      <w:r w:rsidR="0069455B" w:rsidRPr="008629F3">
        <w:rPr>
          <w:color w:val="002060"/>
        </w:rPr>
        <w:t xml:space="preserve">is </w:t>
      </w:r>
      <w:r w:rsidR="00D53364" w:rsidRPr="008629F3">
        <w:rPr>
          <w:color w:val="002060"/>
        </w:rPr>
        <w:t>frequently absent</w:t>
      </w:r>
      <w:r w:rsidR="00367A6A" w:rsidRPr="008629F3">
        <w:rPr>
          <w:color w:val="002060"/>
        </w:rPr>
        <w:t>.</w:t>
      </w:r>
      <w:r w:rsidR="00367A6A" w:rsidRPr="008629F3">
        <w:rPr>
          <w:rStyle w:val="FootnoteReference"/>
          <w:color w:val="002060"/>
        </w:rPr>
        <w:footnoteReference w:id="15"/>
      </w:r>
      <w:r w:rsidR="00F67FA4" w:rsidRPr="008629F3">
        <w:rPr>
          <w:rFonts w:ascii="Calibri" w:hAnsi="Calibri" w:cs="Calibri"/>
          <w:color w:val="002060"/>
        </w:rPr>
        <w:t xml:space="preserve"> </w:t>
      </w:r>
      <w:r w:rsidR="002448A8" w:rsidRPr="008629F3">
        <w:rPr>
          <w:rFonts w:ascii="Calibri" w:hAnsi="Calibri" w:cs="Calibri"/>
          <w:color w:val="002060"/>
        </w:rPr>
        <w:t xml:space="preserve">In addition to which, </w:t>
      </w:r>
      <w:r w:rsidR="004B6F85" w:rsidRPr="008629F3">
        <w:rPr>
          <w:rFonts w:ascii="Calibri" w:hAnsi="Calibri" w:cs="Calibri"/>
          <w:color w:val="002060"/>
        </w:rPr>
        <w:t>inde</w:t>
      </w:r>
      <w:r w:rsidR="004B6F85" w:rsidRPr="008629F3">
        <w:rPr>
          <w:color w:val="002060"/>
        </w:rPr>
        <w:t xml:space="preserve">pendent </w:t>
      </w:r>
      <w:r w:rsidR="003F7322" w:rsidRPr="008629F3">
        <w:rPr>
          <w:color w:val="002060"/>
        </w:rPr>
        <w:t xml:space="preserve">and rigorous </w:t>
      </w:r>
      <w:r w:rsidR="004B6F85" w:rsidRPr="008629F3">
        <w:rPr>
          <w:color w:val="002060"/>
        </w:rPr>
        <w:t xml:space="preserve">monitoring of </w:t>
      </w:r>
      <w:r w:rsidR="00E96235" w:rsidRPr="008629F3">
        <w:rPr>
          <w:color w:val="002060"/>
        </w:rPr>
        <w:t>state</w:t>
      </w:r>
      <w:r w:rsidR="004F6066" w:rsidRPr="008629F3">
        <w:rPr>
          <w:color w:val="002060"/>
        </w:rPr>
        <w:t xml:space="preserve"> and non-governmental </w:t>
      </w:r>
      <w:r w:rsidR="004B6F85" w:rsidRPr="008629F3">
        <w:rPr>
          <w:color w:val="002060"/>
        </w:rPr>
        <w:t xml:space="preserve">care providers </w:t>
      </w:r>
      <w:r w:rsidR="003F7322" w:rsidRPr="008629F3">
        <w:rPr>
          <w:color w:val="002060"/>
        </w:rPr>
        <w:t xml:space="preserve">may </w:t>
      </w:r>
      <w:r w:rsidR="00B946CA" w:rsidRPr="008629F3">
        <w:rPr>
          <w:color w:val="002060"/>
        </w:rPr>
        <w:t xml:space="preserve">either </w:t>
      </w:r>
      <w:r w:rsidR="003F7322" w:rsidRPr="008629F3">
        <w:rPr>
          <w:color w:val="002060"/>
        </w:rPr>
        <w:t>be</w:t>
      </w:r>
      <w:r w:rsidR="00D53364" w:rsidRPr="008629F3">
        <w:rPr>
          <w:color w:val="002060"/>
        </w:rPr>
        <w:t xml:space="preserve"> </w:t>
      </w:r>
      <w:r w:rsidR="004B6F85" w:rsidRPr="008629F3">
        <w:rPr>
          <w:color w:val="002060"/>
        </w:rPr>
        <w:t>lacking completely or</w:t>
      </w:r>
      <w:r w:rsidR="00FA4A4C" w:rsidRPr="008629F3">
        <w:rPr>
          <w:color w:val="002060"/>
        </w:rPr>
        <w:t xml:space="preserve">, </w:t>
      </w:r>
      <w:r w:rsidR="00447FE7" w:rsidRPr="008629F3">
        <w:rPr>
          <w:color w:val="002060"/>
        </w:rPr>
        <w:t xml:space="preserve">be </w:t>
      </w:r>
      <w:r w:rsidR="005E2C37" w:rsidRPr="008629F3">
        <w:rPr>
          <w:color w:val="002060"/>
        </w:rPr>
        <w:t>seriously inadequate</w:t>
      </w:r>
      <w:r w:rsidR="00F67FA4" w:rsidRPr="008629F3">
        <w:rPr>
          <w:color w:val="002060"/>
        </w:rPr>
        <w:t>.</w:t>
      </w:r>
      <w:r w:rsidR="00F67FA4" w:rsidRPr="008629F3">
        <w:rPr>
          <w:rStyle w:val="FootnoteReference"/>
          <w:rFonts w:ascii="Calibri" w:hAnsi="Calibri" w:cs="Calibri"/>
          <w:color w:val="002060"/>
        </w:rPr>
        <w:footnoteReference w:id="16"/>
      </w:r>
      <w:r w:rsidR="00770D2A" w:rsidRPr="008629F3">
        <w:rPr>
          <w:color w:val="002060"/>
        </w:rPr>
        <w:t xml:space="preserve"> </w:t>
      </w:r>
    </w:p>
    <w:p w14:paraId="03E50FF3" w14:textId="1FD7D8B6" w:rsidR="004A0E16" w:rsidRPr="008629F3" w:rsidRDefault="004A0E16">
      <w:pPr>
        <w:rPr>
          <w:color w:val="002060"/>
        </w:rPr>
      </w:pPr>
      <w:r w:rsidRPr="008629F3">
        <w:rPr>
          <w:color w:val="002060"/>
        </w:rPr>
        <w:br w:type="page"/>
      </w:r>
    </w:p>
    <w:p w14:paraId="638819C4" w14:textId="48B67D44" w:rsidR="009731E9" w:rsidRPr="008629F3" w:rsidRDefault="005B7558" w:rsidP="00BE3E4F">
      <w:pPr>
        <w:spacing w:line="240" w:lineRule="auto"/>
        <w:jc w:val="both"/>
        <w:rPr>
          <w:rFonts w:ascii="Calibri" w:eastAsia="Times New Roman" w:hAnsi="Calibri" w:cs="Calibri"/>
          <w:b/>
          <w:bCs/>
          <w:color w:val="002060"/>
          <w:sz w:val="24"/>
          <w:szCs w:val="24"/>
          <w:shd w:val="clear" w:color="auto" w:fill="FFFFFF"/>
          <w:lang w:eastAsia="es-ES_tradnl"/>
        </w:rPr>
      </w:pPr>
      <w:r w:rsidRPr="008629F3">
        <w:rPr>
          <w:rFonts w:ascii="Calibri" w:eastAsia="Times New Roman" w:hAnsi="Calibri" w:cs="Calibri"/>
          <w:b/>
          <w:bCs/>
          <w:color w:val="002060"/>
          <w:sz w:val="24"/>
          <w:szCs w:val="24"/>
          <w:shd w:val="clear" w:color="auto" w:fill="FFFFFF"/>
          <w:lang w:eastAsia="es-ES_tradnl"/>
        </w:rPr>
        <w:lastRenderedPageBreak/>
        <w:t xml:space="preserve">FOCUS 2: </w:t>
      </w:r>
      <w:r w:rsidR="00346A08" w:rsidRPr="008629F3">
        <w:rPr>
          <w:rFonts w:ascii="Calibri" w:eastAsia="Times New Roman" w:hAnsi="Calibri" w:cs="Calibri"/>
          <w:b/>
          <w:bCs/>
          <w:color w:val="002060"/>
          <w:sz w:val="24"/>
          <w:szCs w:val="24"/>
          <w:shd w:val="clear" w:color="auto" w:fill="FFFFFF"/>
          <w:lang w:eastAsia="es-ES_tradnl"/>
        </w:rPr>
        <w:t>SUPPORTING CHILDREN WITH CHALLENGING BEHAVIOURS: FAMILY AND COMMUNITY BASED PROGRAMMES WITH THE AIM OF AVOIDING FAMILY SEPARATION</w:t>
      </w:r>
    </w:p>
    <w:p w14:paraId="0B05ABF9" w14:textId="07E0C7AD" w:rsidR="00D30C33" w:rsidRPr="008629F3" w:rsidRDefault="00CF2055" w:rsidP="00716897">
      <w:pPr>
        <w:jc w:val="both"/>
        <w:rPr>
          <w:color w:val="002060"/>
        </w:rPr>
      </w:pPr>
      <w:r w:rsidRPr="008629F3">
        <w:rPr>
          <w:rFonts w:ascii="Calibri" w:eastAsia="Times New Roman" w:hAnsi="Calibri" w:cs="Calibri"/>
          <w:color w:val="002060"/>
          <w:shd w:val="clear" w:color="auto" w:fill="FFFFFF"/>
          <w:lang w:eastAsia="es-ES_tradnl"/>
        </w:rPr>
        <w:t xml:space="preserve">In </w:t>
      </w:r>
      <w:r w:rsidR="0089233D" w:rsidRPr="008629F3">
        <w:rPr>
          <w:rFonts w:ascii="Calibri" w:eastAsia="Times New Roman" w:hAnsi="Calibri" w:cs="Calibri"/>
          <w:color w:val="002060"/>
          <w:shd w:val="clear" w:color="auto" w:fill="FFFFFF"/>
          <w:lang w:eastAsia="es-ES_tradnl"/>
        </w:rPr>
        <w:t xml:space="preserve">the first instance, all efforts </w:t>
      </w:r>
      <w:proofErr w:type="gramStart"/>
      <w:r w:rsidR="0089233D" w:rsidRPr="008629F3">
        <w:rPr>
          <w:rFonts w:ascii="Calibri" w:eastAsia="Times New Roman" w:hAnsi="Calibri" w:cs="Calibri"/>
          <w:color w:val="002060"/>
          <w:shd w:val="clear" w:color="auto" w:fill="FFFFFF"/>
          <w:lang w:eastAsia="es-ES_tradnl"/>
        </w:rPr>
        <w:t>must be made</w:t>
      </w:r>
      <w:proofErr w:type="gramEnd"/>
      <w:r w:rsidR="0089233D" w:rsidRPr="008629F3">
        <w:rPr>
          <w:rFonts w:ascii="Calibri" w:eastAsia="Times New Roman" w:hAnsi="Calibri" w:cs="Calibri"/>
          <w:color w:val="002060"/>
          <w:shd w:val="clear" w:color="auto" w:fill="FFFFFF"/>
          <w:lang w:eastAsia="es-ES_tradnl"/>
        </w:rPr>
        <w:t xml:space="preserve"> to prevent unnecessary separation </w:t>
      </w:r>
      <w:r w:rsidR="002423B0" w:rsidRPr="008629F3">
        <w:rPr>
          <w:rFonts w:ascii="Calibri" w:eastAsia="Times New Roman" w:hAnsi="Calibri" w:cs="Calibri"/>
          <w:color w:val="002060"/>
          <w:shd w:val="clear" w:color="auto" w:fill="FFFFFF"/>
          <w:lang w:eastAsia="es-ES_tradnl"/>
        </w:rPr>
        <w:t>of children from parental care</w:t>
      </w:r>
      <w:r w:rsidR="00C37DDA" w:rsidRPr="008629F3">
        <w:rPr>
          <w:rFonts w:ascii="Calibri" w:eastAsia="Times New Roman" w:hAnsi="Calibri" w:cs="Calibri"/>
          <w:color w:val="002060"/>
          <w:shd w:val="clear" w:color="auto" w:fill="FFFFFF"/>
          <w:lang w:eastAsia="es-ES_tradnl"/>
        </w:rPr>
        <w:t xml:space="preserve"> and</w:t>
      </w:r>
      <w:r w:rsidR="00FB0F08" w:rsidRPr="008629F3">
        <w:rPr>
          <w:rFonts w:ascii="Calibri" w:eastAsia="Times New Roman" w:hAnsi="Calibri" w:cs="Calibri"/>
          <w:color w:val="002060"/>
          <w:shd w:val="clear" w:color="auto" w:fill="FFFFFF"/>
          <w:lang w:eastAsia="es-ES_tradnl"/>
        </w:rPr>
        <w:t xml:space="preserve"> to ensure</w:t>
      </w:r>
      <w:r w:rsidR="00C37DDA" w:rsidRPr="008629F3">
        <w:rPr>
          <w:rFonts w:ascii="Calibri" w:eastAsia="Times New Roman" w:hAnsi="Calibri" w:cs="Calibri"/>
          <w:color w:val="002060"/>
          <w:shd w:val="clear" w:color="auto" w:fill="FFFFFF"/>
          <w:lang w:eastAsia="es-ES_tradnl"/>
        </w:rPr>
        <w:t xml:space="preserve"> </w:t>
      </w:r>
      <w:r w:rsidR="00783759" w:rsidRPr="008629F3">
        <w:rPr>
          <w:rFonts w:ascii="Calibri" w:eastAsia="Times New Roman" w:hAnsi="Calibri" w:cs="Calibri"/>
          <w:color w:val="002060"/>
          <w:shd w:val="clear" w:color="auto" w:fill="FFFFFF"/>
          <w:lang w:eastAsia="es-ES_tradnl"/>
        </w:rPr>
        <w:t>family</w:t>
      </w:r>
      <w:r w:rsidR="00C37DDA" w:rsidRPr="008629F3">
        <w:rPr>
          <w:rFonts w:ascii="Calibri" w:eastAsia="Times New Roman" w:hAnsi="Calibri" w:cs="Calibri"/>
          <w:color w:val="002060"/>
          <w:shd w:val="clear" w:color="auto" w:fill="FFFFFF"/>
          <w:lang w:eastAsia="es-ES_tradnl"/>
        </w:rPr>
        <w:t xml:space="preserve"> reunification as soon as it is safe to do so</w:t>
      </w:r>
      <w:r w:rsidR="002423B0" w:rsidRPr="008629F3">
        <w:rPr>
          <w:rFonts w:ascii="Calibri" w:eastAsia="Times New Roman" w:hAnsi="Calibri" w:cs="Calibri"/>
          <w:color w:val="002060"/>
          <w:shd w:val="clear" w:color="auto" w:fill="FFFFFF"/>
          <w:lang w:eastAsia="es-ES_tradnl"/>
        </w:rPr>
        <w:t>.</w:t>
      </w:r>
      <w:r w:rsidR="00B914B6" w:rsidRPr="008629F3">
        <w:rPr>
          <w:rStyle w:val="FootnoteReference"/>
          <w:rFonts w:ascii="Calibri" w:eastAsia="Times New Roman" w:hAnsi="Calibri" w:cs="Calibri"/>
          <w:color w:val="002060"/>
          <w:shd w:val="clear" w:color="auto" w:fill="FFFFFF"/>
          <w:lang w:eastAsia="es-ES_tradnl"/>
        </w:rPr>
        <w:footnoteReference w:id="17"/>
      </w:r>
      <w:r w:rsidR="002423B0" w:rsidRPr="008629F3">
        <w:rPr>
          <w:rFonts w:ascii="Calibri" w:eastAsia="Times New Roman" w:hAnsi="Calibri" w:cs="Calibri"/>
          <w:color w:val="002060"/>
          <w:shd w:val="clear" w:color="auto" w:fill="FFFFFF"/>
          <w:lang w:eastAsia="es-ES_tradnl"/>
        </w:rPr>
        <w:t xml:space="preserve"> This requires </w:t>
      </w:r>
      <w:r w:rsidR="00E96235" w:rsidRPr="008629F3">
        <w:rPr>
          <w:rFonts w:ascii="Calibri" w:eastAsia="Times New Roman" w:hAnsi="Calibri" w:cs="Calibri"/>
          <w:color w:val="002060"/>
          <w:shd w:val="clear" w:color="auto" w:fill="FFFFFF"/>
          <w:lang w:eastAsia="es-ES_tradnl"/>
        </w:rPr>
        <w:t>state</w:t>
      </w:r>
      <w:r w:rsidR="008939A0" w:rsidRPr="008629F3">
        <w:rPr>
          <w:rFonts w:ascii="Calibri" w:eastAsia="Times New Roman" w:hAnsi="Calibri" w:cs="Calibri"/>
          <w:color w:val="002060"/>
          <w:shd w:val="clear" w:color="auto" w:fill="FFFFFF"/>
          <w:lang w:eastAsia="es-ES_tradnl"/>
        </w:rPr>
        <w:t>s ‘</w:t>
      </w:r>
      <w:r w:rsidR="008939A0" w:rsidRPr="008629F3">
        <w:rPr>
          <w:color w:val="002060"/>
        </w:rPr>
        <w:t>to take effective action to provide support to families’</w:t>
      </w:r>
      <w:r w:rsidR="003506EC" w:rsidRPr="008629F3">
        <w:rPr>
          <w:color w:val="002060"/>
        </w:rPr>
        <w:t xml:space="preserve"> </w:t>
      </w:r>
      <w:r w:rsidR="00E149A7" w:rsidRPr="008629F3">
        <w:rPr>
          <w:color w:val="002060"/>
        </w:rPr>
        <w:t>with the ‘best interest of the child as the primary consideration</w:t>
      </w:r>
      <w:r w:rsidR="003506EC" w:rsidRPr="008629F3">
        <w:rPr>
          <w:color w:val="002060"/>
        </w:rPr>
        <w:t>’</w:t>
      </w:r>
      <w:r w:rsidR="00E149A7" w:rsidRPr="008629F3">
        <w:rPr>
          <w:color w:val="002060"/>
        </w:rPr>
        <w:t>.</w:t>
      </w:r>
      <w:r w:rsidR="00E149A7" w:rsidRPr="008629F3">
        <w:rPr>
          <w:rStyle w:val="FootnoteReference"/>
          <w:color w:val="002060"/>
        </w:rPr>
        <w:footnoteReference w:id="18"/>
      </w:r>
      <w:r w:rsidR="00E149A7" w:rsidRPr="008629F3">
        <w:rPr>
          <w:color w:val="002060"/>
        </w:rPr>
        <w:t xml:space="preserve"> </w:t>
      </w:r>
      <w:r w:rsidR="00D93E5F" w:rsidRPr="008629F3">
        <w:rPr>
          <w:color w:val="002060"/>
        </w:rPr>
        <w:t xml:space="preserve">It </w:t>
      </w:r>
      <w:proofErr w:type="gramStart"/>
      <w:r w:rsidR="00D93E5F" w:rsidRPr="008629F3">
        <w:rPr>
          <w:color w:val="002060"/>
        </w:rPr>
        <w:t>is</w:t>
      </w:r>
      <w:r w:rsidR="00783759" w:rsidRPr="008629F3">
        <w:rPr>
          <w:color w:val="002060"/>
        </w:rPr>
        <w:t xml:space="preserve"> also recognise</w:t>
      </w:r>
      <w:r w:rsidR="00D93E5F" w:rsidRPr="008629F3">
        <w:rPr>
          <w:color w:val="002060"/>
        </w:rPr>
        <w:t>d</w:t>
      </w:r>
      <w:proofErr w:type="gramEnd"/>
      <w:r w:rsidR="00D93E5F" w:rsidRPr="008629F3">
        <w:rPr>
          <w:color w:val="002060"/>
        </w:rPr>
        <w:t xml:space="preserve"> how</w:t>
      </w:r>
      <w:r w:rsidR="00783759" w:rsidRPr="008629F3">
        <w:rPr>
          <w:color w:val="002060"/>
        </w:rPr>
        <w:t xml:space="preserve"> importan</w:t>
      </w:r>
      <w:r w:rsidR="00D93E5F" w:rsidRPr="008629F3">
        <w:rPr>
          <w:color w:val="002060"/>
        </w:rPr>
        <w:t>t</w:t>
      </w:r>
      <w:r w:rsidR="00BD7541" w:rsidRPr="008629F3">
        <w:rPr>
          <w:color w:val="002060"/>
        </w:rPr>
        <w:t xml:space="preserve"> </w:t>
      </w:r>
      <w:r w:rsidR="00D93E5F" w:rsidRPr="008629F3">
        <w:rPr>
          <w:color w:val="002060"/>
        </w:rPr>
        <w:t xml:space="preserve">the mechanisms of </w:t>
      </w:r>
      <w:r w:rsidR="00130D7E" w:rsidRPr="008629F3">
        <w:rPr>
          <w:color w:val="002060"/>
        </w:rPr>
        <w:t>‘</w:t>
      </w:r>
      <w:r w:rsidR="00BD7541" w:rsidRPr="008629F3">
        <w:rPr>
          <w:color w:val="002060"/>
        </w:rPr>
        <w:t>gatekeeping</w:t>
      </w:r>
      <w:r w:rsidR="00130D7E" w:rsidRPr="008629F3">
        <w:rPr>
          <w:color w:val="002060"/>
        </w:rPr>
        <w:t>’</w:t>
      </w:r>
      <w:r w:rsidR="00130D7E" w:rsidRPr="008629F3">
        <w:rPr>
          <w:rStyle w:val="FootnoteReference"/>
          <w:color w:val="002060"/>
        </w:rPr>
        <w:footnoteReference w:id="19"/>
      </w:r>
      <w:r w:rsidR="00BD7541" w:rsidRPr="008629F3">
        <w:rPr>
          <w:color w:val="002060"/>
        </w:rPr>
        <w:t xml:space="preserve"> </w:t>
      </w:r>
      <w:r w:rsidR="00D93E5F" w:rsidRPr="008629F3">
        <w:rPr>
          <w:color w:val="002060"/>
        </w:rPr>
        <w:t>are in</w:t>
      </w:r>
      <w:r w:rsidR="00BD7541" w:rsidRPr="008629F3">
        <w:rPr>
          <w:color w:val="002060"/>
        </w:rPr>
        <w:t xml:space="preserve"> achi</w:t>
      </w:r>
      <w:r w:rsidR="00D93E5F" w:rsidRPr="008629F3">
        <w:rPr>
          <w:color w:val="002060"/>
        </w:rPr>
        <w:t xml:space="preserve">eving deinstitutionalisation and as </w:t>
      </w:r>
      <w:r w:rsidR="00CD6DA8" w:rsidRPr="008629F3">
        <w:rPr>
          <w:color w:val="002060"/>
        </w:rPr>
        <w:t xml:space="preserve">an integral </w:t>
      </w:r>
      <w:r w:rsidR="00D93E5F" w:rsidRPr="008629F3">
        <w:rPr>
          <w:color w:val="002060"/>
        </w:rPr>
        <w:t xml:space="preserve">component of </w:t>
      </w:r>
      <w:r w:rsidR="00CD6DA8" w:rsidRPr="008629F3">
        <w:rPr>
          <w:color w:val="002060"/>
        </w:rPr>
        <w:t>inter-sectoral r</w:t>
      </w:r>
      <w:r w:rsidR="00716897" w:rsidRPr="008629F3">
        <w:rPr>
          <w:color w:val="002060"/>
        </w:rPr>
        <w:t xml:space="preserve">eform of </w:t>
      </w:r>
      <w:r w:rsidR="00BD7541" w:rsidRPr="008629F3">
        <w:rPr>
          <w:color w:val="002060"/>
        </w:rPr>
        <w:t>national child protection systems</w:t>
      </w:r>
      <w:r w:rsidR="00CD6DA8" w:rsidRPr="008629F3">
        <w:rPr>
          <w:color w:val="002060"/>
        </w:rPr>
        <w:t>.</w:t>
      </w:r>
      <w:r w:rsidR="00716897" w:rsidRPr="008629F3">
        <w:rPr>
          <w:color w:val="002060"/>
        </w:rPr>
        <w:t xml:space="preserve"> </w:t>
      </w:r>
    </w:p>
    <w:p w14:paraId="48A3E643" w14:textId="121C4553" w:rsidR="00F65008" w:rsidRPr="008629F3" w:rsidRDefault="00FA7311" w:rsidP="007F643B">
      <w:pPr>
        <w:jc w:val="both"/>
        <w:rPr>
          <w:rFonts w:ascii="Calibri" w:hAnsi="Calibri" w:cs="Calibri"/>
          <w:color w:val="002060"/>
        </w:rPr>
      </w:pPr>
      <w:r w:rsidRPr="008629F3">
        <w:rPr>
          <w:color w:val="002060"/>
        </w:rPr>
        <w:t xml:space="preserve">In relation to prevention of family separation, </w:t>
      </w:r>
      <w:r w:rsidR="00C63D73" w:rsidRPr="008629F3">
        <w:rPr>
          <w:color w:val="002060"/>
        </w:rPr>
        <w:t xml:space="preserve">particular </w:t>
      </w:r>
      <w:r w:rsidR="007F643B" w:rsidRPr="008629F3">
        <w:rPr>
          <w:rFonts w:ascii="Calibri" w:hAnsi="Calibri" w:cs="Calibri"/>
          <w:color w:val="002060"/>
        </w:rPr>
        <w:t>c</w:t>
      </w:r>
      <w:r w:rsidRPr="008629F3">
        <w:rPr>
          <w:rFonts w:ascii="Calibri" w:hAnsi="Calibri" w:cs="Calibri"/>
          <w:color w:val="002060"/>
        </w:rPr>
        <w:t xml:space="preserve">oncerns </w:t>
      </w:r>
      <w:proofErr w:type="gramStart"/>
      <w:r w:rsidRPr="008629F3">
        <w:rPr>
          <w:rFonts w:ascii="Calibri" w:hAnsi="Calibri" w:cs="Calibri"/>
          <w:color w:val="002060"/>
        </w:rPr>
        <w:t xml:space="preserve">have been </w:t>
      </w:r>
      <w:r w:rsidR="007F643B" w:rsidRPr="008629F3">
        <w:rPr>
          <w:rFonts w:ascii="Calibri" w:hAnsi="Calibri" w:cs="Calibri"/>
          <w:color w:val="002060"/>
        </w:rPr>
        <w:t>noted</w:t>
      </w:r>
      <w:proofErr w:type="gramEnd"/>
      <w:r w:rsidR="007F643B" w:rsidRPr="008629F3">
        <w:rPr>
          <w:rFonts w:ascii="Calibri" w:hAnsi="Calibri" w:cs="Calibri"/>
          <w:color w:val="002060"/>
        </w:rPr>
        <w:t xml:space="preserve"> in relation to the </w:t>
      </w:r>
      <w:r w:rsidR="000A28E8" w:rsidRPr="008629F3">
        <w:rPr>
          <w:rFonts w:ascii="Calibri" w:hAnsi="Calibri" w:cs="Calibri"/>
          <w:color w:val="002060"/>
        </w:rPr>
        <w:t xml:space="preserve">frequent </w:t>
      </w:r>
      <w:r w:rsidR="007F643B" w:rsidRPr="008629F3">
        <w:rPr>
          <w:rFonts w:ascii="Calibri" w:hAnsi="Calibri" w:cs="Calibri"/>
          <w:color w:val="002060"/>
        </w:rPr>
        <w:t>placement of</w:t>
      </w:r>
      <w:r w:rsidRPr="008629F3">
        <w:rPr>
          <w:rFonts w:ascii="Calibri" w:hAnsi="Calibri" w:cs="Calibri"/>
          <w:color w:val="002060"/>
        </w:rPr>
        <w:t xml:space="preserve"> children with </w:t>
      </w:r>
      <w:r w:rsidR="009A4CB2" w:rsidRPr="008629F3">
        <w:rPr>
          <w:rFonts w:ascii="Calibri" w:hAnsi="Calibri" w:cs="Calibri"/>
          <w:color w:val="002060"/>
        </w:rPr>
        <w:t>challenging</w:t>
      </w:r>
      <w:r w:rsidRPr="008629F3">
        <w:rPr>
          <w:rFonts w:ascii="Calibri" w:hAnsi="Calibri" w:cs="Calibri"/>
          <w:color w:val="002060"/>
        </w:rPr>
        <w:t xml:space="preserve"> behaviour in</w:t>
      </w:r>
      <w:r w:rsidR="00F95C09" w:rsidRPr="008629F3">
        <w:rPr>
          <w:rFonts w:ascii="Calibri" w:hAnsi="Calibri" w:cs="Calibri"/>
          <w:color w:val="002060"/>
        </w:rPr>
        <w:t>to</w:t>
      </w:r>
      <w:r w:rsidRPr="008629F3">
        <w:rPr>
          <w:rFonts w:ascii="Calibri" w:hAnsi="Calibri" w:cs="Calibri"/>
          <w:color w:val="002060"/>
        </w:rPr>
        <w:t xml:space="preserve"> alternative care </w:t>
      </w:r>
      <w:r w:rsidR="00A660A4" w:rsidRPr="008629F3">
        <w:rPr>
          <w:rFonts w:ascii="Calibri" w:hAnsi="Calibri" w:cs="Calibri"/>
          <w:color w:val="002060"/>
        </w:rPr>
        <w:t xml:space="preserve">or juvenile detention, </w:t>
      </w:r>
      <w:r w:rsidRPr="008629F3">
        <w:rPr>
          <w:rFonts w:ascii="Calibri" w:hAnsi="Calibri" w:cs="Calibri"/>
          <w:color w:val="002060"/>
        </w:rPr>
        <w:t xml:space="preserve">rather than </w:t>
      </w:r>
      <w:r w:rsidR="00F95C09" w:rsidRPr="008629F3">
        <w:rPr>
          <w:rFonts w:ascii="Calibri" w:hAnsi="Calibri" w:cs="Calibri"/>
          <w:color w:val="002060"/>
        </w:rPr>
        <w:t>support</w:t>
      </w:r>
      <w:r w:rsidRPr="008629F3">
        <w:rPr>
          <w:rFonts w:ascii="Calibri" w:hAnsi="Calibri" w:cs="Calibri"/>
          <w:color w:val="002060"/>
        </w:rPr>
        <w:t xml:space="preserve"> </w:t>
      </w:r>
      <w:r w:rsidR="00450B4D" w:rsidRPr="008629F3">
        <w:rPr>
          <w:rFonts w:ascii="Calibri" w:hAnsi="Calibri" w:cs="Calibri"/>
          <w:color w:val="002060"/>
        </w:rPr>
        <w:t xml:space="preserve">programmes </w:t>
      </w:r>
      <w:r w:rsidR="00F95C09" w:rsidRPr="008629F3">
        <w:rPr>
          <w:rFonts w:ascii="Calibri" w:hAnsi="Calibri" w:cs="Calibri"/>
          <w:color w:val="002060"/>
        </w:rPr>
        <w:t xml:space="preserve">that </w:t>
      </w:r>
      <w:r w:rsidR="004E7D9F" w:rsidRPr="008629F3">
        <w:rPr>
          <w:rFonts w:ascii="Calibri" w:hAnsi="Calibri" w:cs="Calibri"/>
          <w:color w:val="002060"/>
        </w:rPr>
        <w:t xml:space="preserve">could </w:t>
      </w:r>
      <w:r w:rsidR="00F95C09" w:rsidRPr="008629F3">
        <w:rPr>
          <w:rFonts w:ascii="Calibri" w:hAnsi="Calibri" w:cs="Calibri"/>
          <w:color w:val="002060"/>
        </w:rPr>
        <w:t xml:space="preserve">halt such </w:t>
      </w:r>
      <w:r w:rsidR="00A660A4" w:rsidRPr="008629F3">
        <w:rPr>
          <w:rFonts w:ascii="Calibri" w:hAnsi="Calibri" w:cs="Calibri"/>
          <w:color w:val="002060"/>
        </w:rPr>
        <w:t>separation.</w:t>
      </w:r>
      <w:r w:rsidRPr="008629F3">
        <w:rPr>
          <w:rFonts w:ascii="Calibri" w:hAnsi="Calibri" w:cs="Calibri"/>
          <w:color w:val="002060"/>
        </w:rPr>
        <w:t xml:space="preserve"> </w:t>
      </w:r>
      <w:r w:rsidR="0060656E" w:rsidRPr="008629F3">
        <w:rPr>
          <w:rFonts w:ascii="Calibri" w:hAnsi="Calibri" w:cs="Calibri"/>
          <w:color w:val="002060"/>
        </w:rPr>
        <w:t xml:space="preserve">It </w:t>
      </w:r>
      <w:proofErr w:type="gramStart"/>
      <w:r w:rsidR="0060656E" w:rsidRPr="008629F3">
        <w:rPr>
          <w:rFonts w:ascii="Calibri" w:hAnsi="Calibri" w:cs="Calibri"/>
          <w:color w:val="002060"/>
        </w:rPr>
        <w:t>is recognised</w:t>
      </w:r>
      <w:proofErr w:type="gramEnd"/>
      <w:r w:rsidR="0060656E" w:rsidRPr="008629F3">
        <w:rPr>
          <w:rFonts w:ascii="Calibri" w:hAnsi="Calibri" w:cs="Calibri"/>
          <w:color w:val="002060"/>
        </w:rPr>
        <w:t xml:space="preserve"> that children’s behavioural problems are often </w:t>
      </w:r>
      <w:r w:rsidR="00BC440D" w:rsidRPr="008629F3">
        <w:rPr>
          <w:rFonts w:ascii="Calibri" w:hAnsi="Calibri" w:cs="Calibri"/>
          <w:color w:val="002060"/>
        </w:rPr>
        <w:t xml:space="preserve">impacted by the </w:t>
      </w:r>
      <w:r w:rsidR="00D90EC8" w:rsidRPr="008629F3">
        <w:rPr>
          <w:rFonts w:ascii="Calibri" w:hAnsi="Calibri" w:cs="Calibri"/>
          <w:color w:val="002060"/>
        </w:rPr>
        <w:t>ecological system</w:t>
      </w:r>
      <w:r w:rsidR="00804DFE" w:rsidRPr="008629F3">
        <w:rPr>
          <w:rFonts w:ascii="Calibri" w:hAnsi="Calibri" w:cs="Calibri"/>
          <w:color w:val="002060"/>
        </w:rPr>
        <w:t xml:space="preserve"> in which they grow up</w:t>
      </w:r>
      <w:r w:rsidR="00D90EC8" w:rsidRPr="008629F3">
        <w:rPr>
          <w:rFonts w:ascii="Calibri" w:hAnsi="Calibri" w:cs="Calibri"/>
          <w:color w:val="002060"/>
        </w:rPr>
        <w:t xml:space="preserve"> including such influencing</w:t>
      </w:r>
      <w:r w:rsidR="00BC440D" w:rsidRPr="008629F3">
        <w:rPr>
          <w:rFonts w:ascii="Calibri" w:hAnsi="Calibri" w:cs="Calibri"/>
          <w:color w:val="002060"/>
        </w:rPr>
        <w:t xml:space="preserve"> factors</w:t>
      </w:r>
      <w:r w:rsidR="004767EA" w:rsidRPr="008629F3">
        <w:rPr>
          <w:rStyle w:val="FootnoteReference"/>
          <w:rFonts w:ascii="Calibri" w:hAnsi="Calibri" w:cs="Calibri"/>
          <w:color w:val="002060"/>
        </w:rPr>
        <w:footnoteReference w:id="20"/>
      </w:r>
      <w:r w:rsidR="00BC440D" w:rsidRPr="008629F3">
        <w:rPr>
          <w:rFonts w:ascii="Calibri" w:hAnsi="Calibri" w:cs="Calibri"/>
          <w:color w:val="002060"/>
        </w:rPr>
        <w:t xml:space="preserve"> </w:t>
      </w:r>
      <w:r w:rsidR="00D90EC8" w:rsidRPr="008629F3">
        <w:rPr>
          <w:rFonts w:ascii="Calibri" w:hAnsi="Calibri" w:cs="Calibri"/>
          <w:color w:val="002060"/>
        </w:rPr>
        <w:t>as</w:t>
      </w:r>
      <w:r w:rsidR="00CA609A" w:rsidRPr="008629F3">
        <w:rPr>
          <w:rFonts w:ascii="Calibri" w:hAnsi="Calibri" w:cs="Calibri"/>
          <w:color w:val="002060"/>
        </w:rPr>
        <w:t xml:space="preserve"> </w:t>
      </w:r>
      <w:r w:rsidR="0060656E" w:rsidRPr="008629F3">
        <w:rPr>
          <w:rFonts w:ascii="Calibri" w:hAnsi="Calibri" w:cs="Calibri"/>
          <w:color w:val="002060"/>
        </w:rPr>
        <w:t xml:space="preserve">family, peers, </w:t>
      </w:r>
      <w:r w:rsidR="00CA609A" w:rsidRPr="008629F3">
        <w:rPr>
          <w:rFonts w:ascii="Calibri" w:hAnsi="Calibri" w:cs="Calibri"/>
          <w:color w:val="002060"/>
        </w:rPr>
        <w:t>education</w:t>
      </w:r>
      <w:r w:rsidR="00A24D3C" w:rsidRPr="008629F3">
        <w:rPr>
          <w:rFonts w:ascii="Calibri" w:hAnsi="Calibri" w:cs="Calibri"/>
          <w:color w:val="002060"/>
        </w:rPr>
        <w:t xml:space="preserve"> etc. as well as </w:t>
      </w:r>
      <w:r w:rsidR="0060656E" w:rsidRPr="008629F3">
        <w:rPr>
          <w:rFonts w:ascii="Calibri" w:hAnsi="Calibri" w:cs="Calibri"/>
          <w:color w:val="002060"/>
        </w:rPr>
        <w:t>interrup</w:t>
      </w:r>
      <w:r w:rsidR="00CA609A" w:rsidRPr="008629F3">
        <w:rPr>
          <w:rFonts w:ascii="Calibri" w:hAnsi="Calibri" w:cs="Calibri"/>
          <w:color w:val="002060"/>
        </w:rPr>
        <w:t>tions in positive relations</w:t>
      </w:r>
      <w:r w:rsidR="0060656E" w:rsidRPr="008629F3">
        <w:rPr>
          <w:rFonts w:ascii="Calibri" w:hAnsi="Calibri" w:cs="Calibri"/>
          <w:color w:val="002060"/>
        </w:rPr>
        <w:t>. I</w:t>
      </w:r>
      <w:r w:rsidR="00A24D3C" w:rsidRPr="008629F3">
        <w:rPr>
          <w:rFonts w:ascii="Calibri" w:hAnsi="Calibri" w:cs="Calibri"/>
          <w:color w:val="002060"/>
        </w:rPr>
        <w:t xml:space="preserve">n response, </w:t>
      </w:r>
      <w:r w:rsidR="00141086" w:rsidRPr="008629F3">
        <w:rPr>
          <w:rFonts w:ascii="Calibri" w:hAnsi="Calibri" w:cs="Calibri"/>
          <w:color w:val="002060"/>
        </w:rPr>
        <w:t xml:space="preserve">there is a </w:t>
      </w:r>
      <w:r w:rsidR="00A24D3C" w:rsidRPr="008629F3">
        <w:rPr>
          <w:rFonts w:ascii="Calibri" w:hAnsi="Calibri" w:cs="Calibri"/>
          <w:color w:val="002060"/>
        </w:rPr>
        <w:t xml:space="preserve">need to support children </w:t>
      </w:r>
      <w:r w:rsidR="00450B4D" w:rsidRPr="008629F3">
        <w:rPr>
          <w:rFonts w:ascii="Calibri" w:hAnsi="Calibri" w:cs="Calibri"/>
          <w:color w:val="002060"/>
        </w:rPr>
        <w:t>and young people with challenging behaviour</w:t>
      </w:r>
      <w:r w:rsidR="007051DD" w:rsidRPr="008629F3">
        <w:rPr>
          <w:rFonts w:ascii="Calibri" w:hAnsi="Calibri" w:cs="Calibri"/>
          <w:color w:val="002060"/>
        </w:rPr>
        <w:t xml:space="preserve"> through a child centred approach rather than</w:t>
      </w:r>
      <w:r w:rsidR="00A24D3C" w:rsidRPr="008629F3">
        <w:rPr>
          <w:rFonts w:ascii="Calibri" w:hAnsi="Calibri" w:cs="Calibri"/>
          <w:color w:val="002060"/>
        </w:rPr>
        <w:t xml:space="preserve"> impos</w:t>
      </w:r>
      <w:r w:rsidR="00716897" w:rsidRPr="008629F3">
        <w:rPr>
          <w:rFonts w:ascii="Calibri" w:hAnsi="Calibri" w:cs="Calibri"/>
          <w:color w:val="002060"/>
        </w:rPr>
        <w:t>ition of</w:t>
      </w:r>
      <w:r w:rsidR="00A24D3C" w:rsidRPr="008629F3">
        <w:rPr>
          <w:rFonts w:ascii="Calibri" w:hAnsi="Calibri" w:cs="Calibri"/>
          <w:color w:val="002060"/>
        </w:rPr>
        <w:t xml:space="preserve"> </w:t>
      </w:r>
      <w:r w:rsidR="00FB0F08" w:rsidRPr="008629F3">
        <w:rPr>
          <w:rFonts w:ascii="Calibri" w:hAnsi="Calibri" w:cs="Calibri"/>
          <w:color w:val="002060"/>
        </w:rPr>
        <w:t>penalties</w:t>
      </w:r>
      <w:r w:rsidR="0060656E" w:rsidRPr="008629F3">
        <w:rPr>
          <w:rFonts w:ascii="Calibri" w:hAnsi="Calibri" w:cs="Calibri"/>
          <w:color w:val="002060"/>
        </w:rPr>
        <w:t>.</w:t>
      </w:r>
      <w:r w:rsidR="007051DD" w:rsidRPr="008629F3">
        <w:rPr>
          <w:rFonts w:ascii="Calibri" w:hAnsi="Calibri" w:cs="Calibri"/>
          <w:color w:val="002060"/>
        </w:rPr>
        <w:t xml:space="preserve"> </w:t>
      </w:r>
    </w:p>
    <w:p w14:paraId="70A80CFE" w14:textId="5558E8A0" w:rsidR="00FA7311" w:rsidRPr="008629F3" w:rsidRDefault="00141086" w:rsidP="007F643B">
      <w:pPr>
        <w:jc w:val="both"/>
        <w:rPr>
          <w:rFonts w:ascii="Calibri" w:hAnsi="Calibri" w:cs="Calibri"/>
          <w:color w:val="002060"/>
        </w:rPr>
      </w:pPr>
      <w:r w:rsidRPr="008629F3">
        <w:rPr>
          <w:rFonts w:ascii="Calibri" w:hAnsi="Calibri" w:cs="Calibri"/>
          <w:color w:val="002060"/>
        </w:rPr>
        <w:t xml:space="preserve">Results of the </w:t>
      </w:r>
      <w:r w:rsidRPr="008629F3">
        <w:rPr>
          <w:color w:val="002060"/>
        </w:rPr>
        <w:t>COE 2021 survey</w:t>
      </w:r>
      <w:r w:rsidR="002F609B" w:rsidRPr="008629F3">
        <w:rPr>
          <w:rFonts w:ascii="Calibri" w:hAnsi="Calibri" w:cs="Calibri"/>
          <w:color w:val="002060"/>
        </w:rPr>
        <w:t xml:space="preserve"> </w:t>
      </w:r>
      <w:r w:rsidR="0040085B" w:rsidRPr="008629F3">
        <w:rPr>
          <w:rFonts w:ascii="Calibri" w:hAnsi="Calibri" w:cs="Calibri"/>
          <w:color w:val="002060"/>
        </w:rPr>
        <w:t xml:space="preserve">confirmed </w:t>
      </w:r>
      <w:r w:rsidR="00430F1C" w:rsidRPr="008629F3">
        <w:rPr>
          <w:rFonts w:ascii="Calibri" w:hAnsi="Calibri" w:cs="Calibri"/>
          <w:color w:val="002060"/>
        </w:rPr>
        <w:t xml:space="preserve">that </w:t>
      </w:r>
      <w:r w:rsidR="0040085B" w:rsidRPr="008629F3">
        <w:rPr>
          <w:rFonts w:ascii="Calibri" w:hAnsi="Calibri" w:cs="Calibri"/>
          <w:color w:val="002060"/>
        </w:rPr>
        <w:t xml:space="preserve">children with </w:t>
      </w:r>
      <w:r w:rsidR="00385E78" w:rsidRPr="008629F3">
        <w:rPr>
          <w:rFonts w:ascii="Calibri" w:hAnsi="Calibri" w:cs="Calibri"/>
          <w:color w:val="002060"/>
        </w:rPr>
        <w:t>challen</w:t>
      </w:r>
      <w:r w:rsidR="00B10EF9" w:rsidRPr="008629F3">
        <w:rPr>
          <w:rFonts w:ascii="Calibri" w:hAnsi="Calibri" w:cs="Calibri"/>
          <w:color w:val="002060"/>
        </w:rPr>
        <w:t>g</w:t>
      </w:r>
      <w:r w:rsidR="00385E78" w:rsidRPr="008629F3">
        <w:rPr>
          <w:rFonts w:ascii="Calibri" w:hAnsi="Calibri" w:cs="Calibri"/>
          <w:color w:val="002060"/>
        </w:rPr>
        <w:t>ing</w:t>
      </w:r>
      <w:r w:rsidR="0040085B" w:rsidRPr="008629F3">
        <w:rPr>
          <w:rFonts w:ascii="Calibri" w:hAnsi="Calibri" w:cs="Calibri"/>
          <w:color w:val="002060"/>
        </w:rPr>
        <w:t xml:space="preserve"> behaviour </w:t>
      </w:r>
      <w:r w:rsidR="00534572" w:rsidRPr="008629F3">
        <w:rPr>
          <w:rFonts w:ascii="Calibri" w:hAnsi="Calibri" w:cs="Calibri"/>
          <w:color w:val="002060"/>
        </w:rPr>
        <w:t xml:space="preserve">continue to </w:t>
      </w:r>
      <w:proofErr w:type="gramStart"/>
      <w:r w:rsidR="00534572" w:rsidRPr="008629F3">
        <w:rPr>
          <w:rFonts w:ascii="Calibri" w:hAnsi="Calibri" w:cs="Calibri"/>
          <w:color w:val="002060"/>
        </w:rPr>
        <w:t>be</w:t>
      </w:r>
      <w:r w:rsidR="00430F1C" w:rsidRPr="008629F3">
        <w:rPr>
          <w:rFonts w:ascii="Calibri" w:hAnsi="Calibri" w:cs="Calibri"/>
          <w:color w:val="002060"/>
        </w:rPr>
        <w:t xml:space="preserve"> placed</w:t>
      </w:r>
      <w:proofErr w:type="gramEnd"/>
      <w:r w:rsidR="00430F1C" w:rsidRPr="008629F3">
        <w:rPr>
          <w:rFonts w:ascii="Calibri" w:hAnsi="Calibri" w:cs="Calibri"/>
          <w:color w:val="002060"/>
        </w:rPr>
        <w:t xml:space="preserve"> in</w:t>
      </w:r>
      <w:r w:rsidR="00CE76F3" w:rsidRPr="008629F3">
        <w:rPr>
          <w:rFonts w:ascii="Calibri" w:hAnsi="Calibri" w:cs="Calibri"/>
          <w:color w:val="002060"/>
        </w:rPr>
        <w:t xml:space="preserve"> large and small residential alternative care settings, foster care, medical facilities and secure accommodation. </w:t>
      </w:r>
      <w:r w:rsidR="00A12733" w:rsidRPr="008629F3">
        <w:rPr>
          <w:rFonts w:ascii="Calibri" w:hAnsi="Calibri" w:cs="Calibri"/>
          <w:color w:val="002060"/>
        </w:rPr>
        <w:t xml:space="preserve">Although a number </w:t>
      </w:r>
      <w:r w:rsidR="00A12733" w:rsidRPr="008629F3">
        <w:rPr>
          <w:rFonts w:ascii="Calibri" w:hAnsi="Calibri" w:cs="Calibri"/>
          <w:color w:val="002060"/>
        </w:rPr>
        <w:lastRenderedPageBreak/>
        <w:t xml:space="preserve">of </w:t>
      </w:r>
      <w:r w:rsidR="00E96235" w:rsidRPr="008629F3">
        <w:rPr>
          <w:rFonts w:ascii="Calibri" w:hAnsi="Calibri" w:cs="Calibri"/>
          <w:color w:val="002060"/>
        </w:rPr>
        <w:t>state</w:t>
      </w:r>
      <w:r w:rsidR="00A12733" w:rsidRPr="008629F3">
        <w:rPr>
          <w:rFonts w:ascii="Calibri" w:hAnsi="Calibri" w:cs="Calibri"/>
          <w:color w:val="002060"/>
        </w:rPr>
        <w:t xml:space="preserve">s </w:t>
      </w:r>
      <w:r w:rsidR="00C63D73" w:rsidRPr="008629F3">
        <w:rPr>
          <w:rFonts w:ascii="Calibri" w:hAnsi="Calibri" w:cs="Calibri"/>
          <w:color w:val="002060"/>
        </w:rPr>
        <w:t xml:space="preserve">also </w:t>
      </w:r>
      <w:r w:rsidR="00F65008" w:rsidRPr="008629F3">
        <w:rPr>
          <w:rFonts w:ascii="Calibri" w:hAnsi="Calibri" w:cs="Calibri"/>
          <w:color w:val="002060"/>
        </w:rPr>
        <w:t xml:space="preserve">indicated </w:t>
      </w:r>
      <w:r w:rsidR="00C63D73" w:rsidRPr="008629F3">
        <w:rPr>
          <w:rFonts w:ascii="Calibri" w:hAnsi="Calibri" w:cs="Calibri"/>
          <w:color w:val="002060"/>
        </w:rPr>
        <w:t>the existence of</w:t>
      </w:r>
      <w:r w:rsidR="00A12733" w:rsidRPr="008629F3">
        <w:rPr>
          <w:rFonts w:ascii="Calibri" w:hAnsi="Calibri" w:cs="Calibri"/>
          <w:color w:val="002060"/>
        </w:rPr>
        <w:t xml:space="preserve"> programmes </w:t>
      </w:r>
      <w:r w:rsidR="00C63D73" w:rsidRPr="008629F3">
        <w:rPr>
          <w:rFonts w:ascii="Calibri" w:hAnsi="Calibri" w:cs="Calibri"/>
          <w:color w:val="002060"/>
        </w:rPr>
        <w:t xml:space="preserve">with a view to </w:t>
      </w:r>
      <w:r w:rsidR="00071308" w:rsidRPr="008629F3">
        <w:rPr>
          <w:rFonts w:ascii="Calibri" w:hAnsi="Calibri" w:cs="Calibri"/>
          <w:color w:val="002060"/>
        </w:rPr>
        <w:t>support</w:t>
      </w:r>
      <w:r w:rsidR="00C63D73" w:rsidRPr="008629F3">
        <w:rPr>
          <w:rFonts w:ascii="Calibri" w:hAnsi="Calibri" w:cs="Calibri"/>
          <w:color w:val="002060"/>
        </w:rPr>
        <w:t>ing</w:t>
      </w:r>
      <w:r w:rsidR="00071308" w:rsidRPr="008629F3">
        <w:rPr>
          <w:rFonts w:ascii="Calibri" w:hAnsi="Calibri" w:cs="Calibri"/>
          <w:color w:val="002060"/>
        </w:rPr>
        <w:t xml:space="preserve"> families </w:t>
      </w:r>
      <w:r w:rsidR="00C63D73" w:rsidRPr="008629F3">
        <w:rPr>
          <w:rFonts w:ascii="Calibri" w:hAnsi="Calibri" w:cs="Calibri"/>
          <w:color w:val="002060"/>
        </w:rPr>
        <w:t>and preventing</w:t>
      </w:r>
      <w:r w:rsidR="00071308" w:rsidRPr="008629F3">
        <w:rPr>
          <w:rFonts w:ascii="Calibri" w:hAnsi="Calibri" w:cs="Calibri"/>
          <w:color w:val="002060"/>
        </w:rPr>
        <w:t xml:space="preserve"> separation, it is also noted how some </w:t>
      </w:r>
      <w:r w:rsidR="009C260D" w:rsidRPr="008629F3">
        <w:rPr>
          <w:rFonts w:ascii="Calibri" w:hAnsi="Calibri" w:cs="Calibri"/>
          <w:color w:val="002060"/>
        </w:rPr>
        <w:t xml:space="preserve">states </w:t>
      </w:r>
      <w:r w:rsidR="001A5BBB" w:rsidRPr="008629F3">
        <w:rPr>
          <w:rFonts w:ascii="Calibri" w:hAnsi="Calibri" w:cs="Calibri"/>
          <w:color w:val="002060"/>
        </w:rPr>
        <w:t>are</w:t>
      </w:r>
      <w:r w:rsidR="00534572" w:rsidRPr="008629F3">
        <w:rPr>
          <w:rFonts w:ascii="Calibri" w:hAnsi="Calibri" w:cs="Calibri"/>
          <w:color w:val="002060"/>
        </w:rPr>
        <w:t xml:space="preserve"> </w:t>
      </w:r>
      <w:r w:rsidR="00071308" w:rsidRPr="008629F3">
        <w:rPr>
          <w:rFonts w:ascii="Calibri" w:hAnsi="Calibri" w:cs="Calibri"/>
          <w:color w:val="002060"/>
        </w:rPr>
        <w:t>send</w:t>
      </w:r>
      <w:r w:rsidR="001A5BBB" w:rsidRPr="008629F3">
        <w:rPr>
          <w:rFonts w:ascii="Calibri" w:hAnsi="Calibri" w:cs="Calibri"/>
          <w:color w:val="002060"/>
        </w:rPr>
        <w:t>ing</w:t>
      </w:r>
      <w:r w:rsidR="00071308" w:rsidRPr="008629F3">
        <w:rPr>
          <w:rFonts w:ascii="Calibri" w:hAnsi="Calibri" w:cs="Calibri"/>
          <w:color w:val="002060"/>
        </w:rPr>
        <w:t xml:space="preserve"> </w:t>
      </w:r>
      <w:r w:rsidR="00430F1C" w:rsidRPr="008629F3">
        <w:rPr>
          <w:rFonts w:ascii="Calibri" w:hAnsi="Calibri" w:cs="Calibri"/>
          <w:color w:val="002060"/>
        </w:rPr>
        <w:t>children</w:t>
      </w:r>
      <w:r w:rsidR="003D07C5" w:rsidRPr="008629F3">
        <w:rPr>
          <w:rFonts w:ascii="Calibri" w:hAnsi="Calibri" w:cs="Calibri"/>
          <w:color w:val="002060"/>
        </w:rPr>
        <w:t xml:space="preserve"> </w:t>
      </w:r>
      <w:r w:rsidR="00534572" w:rsidRPr="008629F3">
        <w:rPr>
          <w:rFonts w:ascii="Calibri" w:hAnsi="Calibri" w:cs="Calibri"/>
          <w:color w:val="002060"/>
        </w:rPr>
        <w:t>with challenging behaviour across border t</w:t>
      </w:r>
      <w:r w:rsidR="00CE76F3" w:rsidRPr="008629F3">
        <w:rPr>
          <w:rFonts w:ascii="Calibri" w:hAnsi="Calibri" w:cs="Calibri"/>
          <w:color w:val="002060"/>
        </w:rPr>
        <w:t xml:space="preserve">o </w:t>
      </w:r>
      <w:r w:rsidR="003D07C5" w:rsidRPr="008629F3">
        <w:rPr>
          <w:rFonts w:ascii="Calibri" w:hAnsi="Calibri" w:cs="Calibri"/>
          <w:color w:val="002060"/>
        </w:rPr>
        <w:t xml:space="preserve">other </w:t>
      </w:r>
      <w:r w:rsidR="00E96235" w:rsidRPr="008629F3">
        <w:rPr>
          <w:rFonts w:ascii="Calibri" w:hAnsi="Calibri" w:cs="Calibri"/>
          <w:color w:val="002060"/>
        </w:rPr>
        <w:t>state</w:t>
      </w:r>
      <w:r w:rsidR="003D07C5" w:rsidRPr="008629F3">
        <w:rPr>
          <w:rFonts w:ascii="Calibri" w:hAnsi="Calibri" w:cs="Calibri"/>
          <w:color w:val="002060"/>
        </w:rPr>
        <w:t xml:space="preserve">s </w:t>
      </w:r>
      <w:r w:rsidR="00CE76F3" w:rsidRPr="008629F3">
        <w:rPr>
          <w:rFonts w:ascii="Calibri" w:hAnsi="Calibri" w:cs="Calibri"/>
          <w:color w:val="002060"/>
        </w:rPr>
        <w:t>to be accommodated</w:t>
      </w:r>
      <w:r w:rsidR="00C445B1" w:rsidRPr="008629F3">
        <w:rPr>
          <w:rFonts w:ascii="Calibri" w:hAnsi="Calibri" w:cs="Calibri"/>
          <w:color w:val="002060"/>
        </w:rPr>
        <w:t xml:space="preserve"> and cared for</w:t>
      </w:r>
      <w:r w:rsidR="00CE76F3" w:rsidRPr="008629F3">
        <w:rPr>
          <w:rFonts w:ascii="Calibri" w:hAnsi="Calibri" w:cs="Calibri"/>
          <w:color w:val="002060"/>
        </w:rPr>
        <w:t>.</w:t>
      </w:r>
      <w:r w:rsidR="00071308" w:rsidRPr="008629F3">
        <w:rPr>
          <w:rFonts w:ascii="Calibri" w:hAnsi="Calibri" w:cs="Calibri"/>
          <w:color w:val="002060"/>
        </w:rPr>
        <w:t xml:space="preserve"> </w:t>
      </w:r>
      <w:r w:rsidR="00F55FCE" w:rsidRPr="008629F3">
        <w:rPr>
          <w:rFonts w:ascii="Calibri" w:hAnsi="Calibri" w:cs="Calibri"/>
          <w:color w:val="002060"/>
        </w:rPr>
        <w:t xml:space="preserve"> </w:t>
      </w:r>
    </w:p>
    <w:p w14:paraId="30A54793" w14:textId="2E67B3FB" w:rsidR="00E060FB" w:rsidRPr="008629F3" w:rsidRDefault="008C2D94">
      <w:pPr>
        <w:jc w:val="both"/>
        <w:rPr>
          <w:rFonts w:ascii="Calibri" w:hAnsi="Calibri" w:cs="Calibri"/>
          <w:color w:val="002060"/>
        </w:rPr>
      </w:pPr>
      <w:r w:rsidRPr="008629F3">
        <w:rPr>
          <w:rFonts w:ascii="Calibri" w:hAnsi="Calibri" w:cs="Calibri"/>
          <w:color w:val="002060"/>
        </w:rPr>
        <w:t xml:space="preserve">It </w:t>
      </w:r>
      <w:proofErr w:type="gramStart"/>
      <w:r w:rsidRPr="008629F3">
        <w:rPr>
          <w:rFonts w:ascii="Calibri" w:hAnsi="Calibri" w:cs="Calibri"/>
          <w:color w:val="002060"/>
        </w:rPr>
        <w:t>is further acknowledged</w:t>
      </w:r>
      <w:proofErr w:type="gramEnd"/>
      <w:r w:rsidRPr="008629F3">
        <w:rPr>
          <w:rFonts w:ascii="Calibri" w:hAnsi="Calibri" w:cs="Calibri"/>
          <w:color w:val="002060"/>
        </w:rPr>
        <w:t xml:space="preserve"> that interventions are more effective when they ‘promote resilience, strengthen protective factors, empower children and parents, promote coping skills, eliminate or reduce violence, discrimination and inequalities’.</w:t>
      </w:r>
      <w:r w:rsidR="004A0E16" w:rsidRPr="008629F3">
        <w:rPr>
          <w:rStyle w:val="FootnoteReference"/>
          <w:rFonts w:ascii="Calibri" w:hAnsi="Calibri" w:cs="Calibri"/>
          <w:color w:val="002060"/>
        </w:rPr>
        <w:footnoteReference w:id="21"/>
      </w:r>
      <w:r w:rsidRPr="008629F3">
        <w:rPr>
          <w:rFonts w:ascii="Calibri" w:hAnsi="Calibri" w:cs="Calibri"/>
          <w:color w:val="002060"/>
        </w:rPr>
        <w:t xml:space="preserve"> </w:t>
      </w:r>
      <w:r w:rsidR="001A5BBB" w:rsidRPr="008629F3">
        <w:rPr>
          <w:rFonts w:ascii="Calibri" w:hAnsi="Calibri" w:cs="Calibri"/>
          <w:color w:val="002060"/>
        </w:rPr>
        <w:t>There is a</w:t>
      </w:r>
      <w:r w:rsidR="00081843" w:rsidRPr="008629F3">
        <w:rPr>
          <w:rFonts w:ascii="Calibri" w:hAnsi="Calibri" w:cs="Calibri"/>
          <w:color w:val="002060"/>
        </w:rPr>
        <w:t xml:space="preserve"> growing body of</w:t>
      </w:r>
      <w:r w:rsidR="00474AC0" w:rsidRPr="008629F3">
        <w:rPr>
          <w:rFonts w:ascii="Calibri" w:hAnsi="Calibri" w:cs="Calibri"/>
          <w:color w:val="002060"/>
        </w:rPr>
        <w:t xml:space="preserve"> e</w:t>
      </w:r>
      <w:r w:rsidR="00F55FCE" w:rsidRPr="008629F3">
        <w:rPr>
          <w:rFonts w:ascii="Calibri" w:hAnsi="Calibri" w:cs="Calibri"/>
          <w:color w:val="002060"/>
        </w:rPr>
        <w:t xml:space="preserve">vidence </w:t>
      </w:r>
      <w:r w:rsidR="00081843" w:rsidRPr="008629F3">
        <w:rPr>
          <w:rFonts w:ascii="Calibri" w:hAnsi="Calibri" w:cs="Calibri"/>
          <w:color w:val="002060"/>
        </w:rPr>
        <w:t xml:space="preserve">illustrating </w:t>
      </w:r>
      <w:r w:rsidR="00F55FCE" w:rsidRPr="008629F3">
        <w:rPr>
          <w:rFonts w:ascii="Calibri" w:hAnsi="Calibri" w:cs="Calibri"/>
          <w:color w:val="002060"/>
        </w:rPr>
        <w:t xml:space="preserve">promising practice </w:t>
      </w:r>
      <w:r w:rsidR="009802E6" w:rsidRPr="008629F3">
        <w:rPr>
          <w:rFonts w:ascii="Calibri" w:hAnsi="Calibri" w:cs="Calibri"/>
          <w:color w:val="002060"/>
        </w:rPr>
        <w:t>indicating</w:t>
      </w:r>
      <w:r w:rsidR="00F55FCE" w:rsidRPr="008629F3">
        <w:rPr>
          <w:rFonts w:ascii="Calibri" w:hAnsi="Calibri" w:cs="Calibri"/>
          <w:color w:val="002060"/>
        </w:rPr>
        <w:t xml:space="preserve"> </w:t>
      </w:r>
      <w:r w:rsidR="005B45B8" w:rsidRPr="008629F3">
        <w:rPr>
          <w:rFonts w:ascii="Calibri" w:hAnsi="Calibri" w:cs="Calibri"/>
          <w:color w:val="002060"/>
        </w:rPr>
        <w:t>positive</w:t>
      </w:r>
      <w:r w:rsidR="00F55FCE" w:rsidRPr="008629F3">
        <w:rPr>
          <w:rFonts w:ascii="Calibri" w:hAnsi="Calibri" w:cs="Calibri"/>
          <w:color w:val="002060"/>
        </w:rPr>
        <w:t xml:space="preserve"> results </w:t>
      </w:r>
      <w:r w:rsidR="005B45B8" w:rsidRPr="008629F3">
        <w:rPr>
          <w:rFonts w:ascii="Calibri" w:hAnsi="Calibri" w:cs="Calibri"/>
          <w:color w:val="002060"/>
        </w:rPr>
        <w:t>utilising</w:t>
      </w:r>
      <w:r w:rsidR="001F6FB7" w:rsidRPr="008629F3">
        <w:rPr>
          <w:rFonts w:ascii="Calibri" w:hAnsi="Calibri" w:cs="Calibri"/>
          <w:color w:val="002060"/>
        </w:rPr>
        <w:t xml:space="preserve"> such programmes</w:t>
      </w:r>
      <w:r w:rsidR="009802E6" w:rsidRPr="008629F3">
        <w:rPr>
          <w:rFonts w:ascii="Calibri" w:hAnsi="Calibri" w:cs="Calibri"/>
          <w:color w:val="002060"/>
        </w:rPr>
        <w:t xml:space="preserve"> as</w:t>
      </w:r>
      <w:r w:rsidR="001F6FB7" w:rsidRPr="008629F3">
        <w:rPr>
          <w:rFonts w:ascii="Calibri" w:hAnsi="Calibri" w:cs="Calibri"/>
          <w:color w:val="002060"/>
        </w:rPr>
        <w:t xml:space="preserve"> </w:t>
      </w:r>
      <w:r w:rsidR="00225E10" w:rsidRPr="008629F3">
        <w:rPr>
          <w:rFonts w:ascii="Calibri" w:hAnsi="Calibri" w:cs="Calibri"/>
          <w:color w:val="002060"/>
        </w:rPr>
        <w:t xml:space="preserve">Multidimensional Family Therapy (MDFT), </w:t>
      </w:r>
      <w:proofErr w:type="spellStart"/>
      <w:r w:rsidR="00225E10" w:rsidRPr="008629F3">
        <w:rPr>
          <w:rFonts w:ascii="Calibri" w:hAnsi="Calibri" w:cs="Calibri"/>
          <w:color w:val="002060"/>
        </w:rPr>
        <w:t>Multisystemic</w:t>
      </w:r>
      <w:proofErr w:type="spellEnd"/>
      <w:r w:rsidR="00225E10" w:rsidRPr="008629F3">
        <w:rPr>
          <w:rFonts w:ascii="Calibri" w:hAnsi="Calibri" w:cs="Calibri"/>
          <w:color w:val="002060"/>
        </w:rPr>
        <w:t xml:space="preserve"> therapy (MST) and Functional family therapy (FFT).</w:t>
      </w:r>
      <w:r w:rsidR="001F6FB7" w:rsidRPr="008629F3">
        <w:rPr>
          <w:rStyle w:val="FootnoteReference"/>
          <w:rFonts w:ascii="Calibri" w:hAnsi="Calibri" w:cs="Calibri"/>
          <w:color w:val="002060"/>
        </w:rPr>
        <w:footnoteReference w:id="22"/>
      </w:r>
      <w:r w:rsidR="00225E10" w:rsidRPr="008629F3">
        <w:rPr>
          <w:rFonts w:ascii="Calibri" w:hAnsi="Calibri" w:cs="Calibri"/>
          <w:color w:val="002060"/>
        </w:rPr>
        <w:t xml:space="preserve"> T</w:t>
      </w:r>
      <w:r w:rsidR="00F55FCE" w:rsidRPr="008629F3">
        <w:rPr>
          <w:rFonts w:ascii="Calibri" w:hAnsi="Calibri" w:cs="Calibri"/>
          <w:color w:val="002060"/>
        </w:rPr>
        <w:t>h</w:t>
      </w:r>
      <w:r w:rsidR="00DA35F8" w:rsidRPr="008629F3">
        <w:rPr>
          <w:rFonts w:ascii="Calibri" w:hAnsi="Calibri" w:cs="Calibri"/>
          <w:color w:val="002060"/>
        </w:rPr>
        <w:t>ese</w:t>
      </w:r>
      <w:r w:rsidR="00F55FCE" w:rsidRPr="008629F3">
        <w:rPr>
          <w:rFonts w:ascii="Calibri" w:hAnsi="Calibri" w:cs="Calibri"/>
          <w:color w:val="002060"/>
        </w:rPr>
        <w:t xml:space="preserve"> </w:t>
      </w:r>
      <w:r w:rsidR="00DA35F8" w:rsidRPr="008629F3">
        <w:rPr>
          <w:rFonts w:ascii="Calibri" w:hAnsi="Calibri" w:cs="Calibri"/>
          <w:color w:val="002060"/>
        </w:rPr>
        <w:t xml:space="preserve">programmes </w:t>
      </w:r>
      <w:r w:rsidR="00171090" w:rsidRPr="008629F3">
        <w:rPr>
          <w:rFonts w:ascii="Calibri" w:hAnsi="Calibri" w:cs="Calibri"/>
          <w:color w:val="002060"/>
        </w:rPr>
        <w:t xml:space="preserve">implemented in countries </w:t>
      </w:r>
      <w:r w:rsidR="009802E6" w:rsidRPr="008629F3">
        <w:rPr>
          <w:rFonts w:ascii="Calibri" w:hAnsi="Calibri" w:cs="Calibri"/>
          <w:color w:val="002060"/>
        </w:rPr>
        <w:t xml:space="preserve">such </w:t>
      </w:r>
      <w:r w:rsidR="00171090" w:rsidRPr="008629F3">
        <w:rPr>
          <w:rFonts w:ascii="Calibri" w:hAnsi="Calibri" w:cs="Calibri"/>
          <w:color w:val="002060"/>
        </w:rPr>
        <w:t xml:space="preserve">as Norway, Sweden and Iceland </w:t>
      </w:r>
      <w:r w:rsidR="00DA35F8" w:rsidRPr="008629F3">
        <w:rPr>
          <w:rFonts w:ascii="Calibri" w:hAnsi="Calibri" w:cs="Calibri"/>
          <w:color w:val="002060"/>
        </w:rPr>
        <w:t xml:space="preserve">prove </w:t>
      </w:r>
      <w:r w:rsidR="00F640F3" w:rsidRPr="008629F3">
        <w:rPr>
          <w:rFonts w:ascii="Calibri" w:hAnsi="Calibri" w:cs="Calibri"/>
          <w:color w:val="002060"/>
        </w:rPr>
        <w:t xml:space="preserve">that </w:t>
      </w:r>
      <w:r w:rsidR="006806B3" w:rsidRPr="008629F3">
        <w:rPr>
          <w:rFonts w:ascii="Calibri" w:hAnsi="Calibri" w:cs="Calibri"/>
          <w:color w:val="002060"/>
        </w:rPr>
        <w:t>i</w:t>
      </w:r>
      <w:r w:rsidR="00DA35F8" w:rsidRPr="008629F3">
        <w:rPr>
          <w:rFonts w:ascii="Calibri" w:hAnsi="Calibri" w:cs="Calibri"/>
          <w:color w:val="002060"/>
        </w:rPr>
        <w:t xml:space="preserve">t is possible </w:t>
      </w:r>
      <w:r w:rsidR="00F55FCE" w:rsidRPr="008629F3">
        <w:rPr>
          <w:rFonts w:ascii="Calibri" w:hAnsi="Calibri" w:cs="Calibri"/>
          <w:color w:val="002060"/>
        </w:rPr>
        <w:t xml:space="preserve">to move away from </w:t>
      </w:r>
      <w:r w:rsidR="005B45B8" w:rsidRPr="008629F3">
        <w:rPr>
          <w:rFonts w:ascii="Calibri" w:hAnsi="Calibri" w:cs="Calibri"/>
          <w:color w:val="002060"/>
          <w:shd w:val="clear" w:color="auto" w:fill="FFFFFF"/>
        </w:rPr>
        <w:t xml:space="preserve">an </w:t>
      </w:r>
      <w:r w:rsidR="00F640F3" w:rsidRPr="008629F3">
        <w:rPr>
          <w:rFonts w:ascii="Calibri" w:hAnsi="Calibri" w:cs="Calibri"/>
          <w:color w:val="002060"/>
          <w:shd w:val="clear" w:color="auto" w:fill="FFFFFF"/>
        </w:rPr>
        <w:t>‘</w:t>
      </w:r>
      <w:r w:rsidR="005B45B8" w:rsidRPr="008629F3">
        <w:rPr>
          <w:rFonts w:ascii="Calibri" w:hAnsi="Calibri" w:cs="Calibri"/>
          <w:color w:val="002060"/>
          <w:shd w:val="clear" w:color="auto" w:fill="FFFFFF"/>
        </w:rPr>
        <w:t>overuse of medicalization and institutionalization.</w:t>
      </w:r>
      <w:r w:rsidR="00F55FCE" w:rsidRPr="008629F3">
        <w:rPr>
          <w:rStyle w:val="FootnoteReference"/>
          <w:rFonts w:ascii="Calibri" w:hAnsi="Calibri" w:cs="Calibri"/>
          <w:color w:val="002060"/>
        </w:rPr>
        <w:footnoteReference w:id="23"/>
      </w:r>
      <w:r w:rsidR="00CF65E9" w:rsidRPr="008629F3">
        <w:rPr>
          <w:rFonts w:ascii="Calibri" w:hAnsi="Calibri" w:cs="Calibri"/>
          <w:color w:val="002060"/>
          <w:shd w:val="clear" w:color="auto" w:fill="FFFFFF"/>
        </w:rPr>
        <w:t xml:space="preserve"> </w:t>
      </w:r>
      <w:r w:rsidR="009802E6" w:rsidRPr="008629F3">
        <w:rPr>
          <w:rFonts w:ascii="Calibri" w:hAnsi="Calibri" w:cs="Calibri"/>
          <w:color w:val="002060"/>
          <w:shd w:val="clear" w:color="auto" w:fill="FFFFFF"/>
        </w:rPr>
        <w:t>This</w:t>
      </w:r>
      <w:r w:rsidR="00084E54" w:rsidRPr="008629F3">
        <w:rPr>
          <w:rFonts w:ascii="Calibri" w:hAnsi="Calibri" w:cs="Calibri"/>
          <w:color w:val="002060"/>
          <w:shd w:val="clear" w:color="auto" w:fill="FFFFFF"/>
        </w:rPr>
        <w:t xml:space="preserve"> evidence </w:t>
      </w:r>
      <w:r w:rsidR="009802E6" w:rsidRPr="008629F3">
        <w:rPr>
          <w:rFonts w:ascii="Calibri" w:hAnsi="Calibri" w:cs="Calibri"/>
          <w:color w:val="002060"/>
          <w:shd w:val="clear" w:color="auto" w:fill="FFFFFF"/>
        </w:rPr>
        <w:t xml:space="preserve">now </w:t>
      </w:r>
      <w:r w:rsidR="00084E54" w:rsidRPr="008629F3">
        <w:rPr>
          <w:rFonts w:ascii="Calibri" w:hAnsi="Calibri" w:cs="Calibri"/>
          <w:color w:val="002060"/>
          <w:shd w:val="clear" w:color="auto" w:fill="FFFFFF"/>
        </w:rPr>
        <w:t xml:space="preserve">places </w:t>
      </w:r>
      <w:r w:rsidR="006806B3" w:rsidRPr="008629F3">
        <w:rPr>
          <w:rFonts w:ascii="Calibri" w:hAnsi="Calibri" w:cs="Calibri"/>
          <w:color w:val="002060"/>
          <w:shd w:val="clear" w:color="auto" w:fill="FFFFFF"/>
        </w:rPr>
        <w:t xml:space="preserve">a further responsibility on </w:t>
      </w:r>
      <w:r w:rsidR="00E96235" w:rsidRPr="008629F3">
        <w:rPr>
          <w:rFonts w:ascii="Calibri" w:hAnsi="Calibri" w:cs="Calibri"/>
          <w:color w:val="002060"/>
          <w:shd w:val="clear" w:color="auto" w:fill="FFFFFF"/>
        </w:rPr>
        <w:t>state</w:t>
      </w:r>
      <w:r w:rsidR="006806B3" w:rsidRPr="008629F3">
        <w:rPr>
          <w:rFonts w:ascii="Calibri" w:hAnsi="Calibri" w:cs="Calibri"/>
          <w:color w:val="002060"/>
          <w:shd w:val="clear" w:color="auto" w:fill="FFFFFF"/>
        </w:rPr>
        <w:t xml:space="preserve">s to increase </w:t>
      </w:r>
      <w:r w:rsidR="00CF65E9" w:rsidRPr="008629F3">
        <w:rPr>
          <w:rFonts w:ascii="Calibri" w:hAnsi="Calibri" w:cs="Calibri"/>
          <w:color w:val="002060"/>
          <w:shd w:val="clear" w:color="auto" w:fill="FFFFFF"/>
        </w:rPr>
        <w:t xml:space="preserve">investment in such </w:t>
      </w:r>
      <w:r w:rsidR="004833C3" w:rsidRPr="008629F3">
        <w:rPr>
          <w:rFonts w:ascii="Calibri" w:hAnsi="Calibri" w:cs="Calibri"/>
          <w:color w:val="002060"/>
          <w:shd w:val="clear" w:color="auto" w:fill="FFFFFF"/>
        </w:rPr>
        <w:t xml:space="preserve">forms of </w:t>
      </w:r>
      <w:r w:rsidR="00CF65E9" w:rsidRPr="008629F3">
        <w:rPr>
          <w:rFonts w:ascii="Calibri" w:hAnsi="Calibri" w:cs="Calibri"/>
          <w:color w:val="002060"/>
          <w:shd w:val="clear" w:color="auto" w:fill="FFFFFF"/>
        </w:rPr>
        <w:t xml:space="preserve">family-based </w:t>
      </w:r>
      <w:r w:rsidR="00E64385" w:rsidRPr="008629F3">
        <w:rPr>
          <w:rFonts w:ascii="Calibri" w:hAnsi="Calibri" w:cs="Calibri"/>
          <w:color w:val="002060"/>
          <w:shd w:val="clear" w:color="auto" w:fill="FFFFFF"/>
        </w:rPr>
        <w:t xml:space="preserve">and community based </w:t>
      </w:r>
      <w:r w:rsidR="00CF65E9" w:rsidRPr="008629F3">
        <w:rPr>
          <w:rFonts w:ascii="Calibri" w:hAnsi="Calibri" w:cs="Calibri"/>
          <w:color w:val="002060"/>
          <w:shd w:val="clear" w:color="auto" w:fill="FFFFFF"/>
        </w:rPr>
        <w:t xml:space="preserve">support </w:t>
      </w:r>
      <w:r w:rsidR="004833C3" w:rsidRPr="008629F3">
        <w:rPr>
          <w:rFonts w:ascii="Calibri" w:hAnsi="Calibri" w:cs="Calibri"/>
          <w:color w:val="002060"/>
          <w:shd w:val="clear" w:color="auto" w:fill="FFFFFF"/>
        </w:rPr>
        <w:t xml:space="preserve">based on a socio-ecological model </w:t>
      </w:r>
      <w:r w:rsidR="00B507C5" w:rsidRPr="008629F3">
        <w:rPr>
          <w:rFonts w:ascii="Calibri" w:hAnsi="Calibri" w:cs="Calibri"/>
          <w:color w:val="002060"/>
          <w:shd w:val="clear" w:color="auto" w:fill="FFFFFF"/>
        </w:rPr>
        <w:t>that offer a ‘p</w:t>
      </w:r>
      <w:r w:rsidR="0084271B" w:rsidRPr="008629F3">
        <w:rPr>
          <w:rFonts w:ascii="Calibri" w:hAnsi="Calibri" w:cs="Calibri"/>
          <w:color w:val="002060"/>
          <w:shd w:val="clear" w:color="auto" w:fill="FFFFFF"/>
        </w:rPr>
        <w:t>rotective, enabling and therapeutic environment</w:t>
      </w:r>
      <w:r w:rsidR="00DF3D99" w:rsidRPr="008629F3">
        <w:rPr>
          <w:rFonts w:ascii="Calibri" w:hAnsi="Calibri" w:cs="Calibri"/>
          <w:color w:val="002060"/>
          <w:shd w:val="clear" w:color="auto" w:fill="FFFFFF"/>
        </w:rPr>
        <w:t>‘</w:t>
      </w:r>
      <w:r w:rsidR="00996746" w:rsidRPr="008629F3">
        <w:rPr>
          <w:rStyle w:val="FootnoteReference"/>
          <w:rFonts w:ascii="Calibri" w:hAnsi="Calibri" w:cs="Calibri"/>
          <w:color w:val="002060"/>
          <w:shd w:val="clear" w:color="auto" w:fill="FFFFFF"/>
        </w:rPr>
        <w:footnoteReference w:id="24"/>
      </w:r>
      <w:r w:rsidR="00B507C5" w:rsidRPr="008629F3">
        <w:rPr>
          <w:rFonts w:ascii="Calibri" w:hAnsi="Calibri" w:cs="Calibri"/>
          <w:color w:val="002060"/>
          <w:shd w:val="clear" w:color="auto" w:fill="FFFFFF"/>
        </w:rPr>
        <w:t xml:space="preserve"> within a child or young person‘s</w:t>
      </w:r>
      <w:r w:rsidR="00DF3D99" w:rsidRPr="008629F3">
        <w:rPr>
          <w:rFonts w:ascii="Calibri" w:hAnsi="Calibri" w:cs="Calibri"/>
          <w:color w:val="002060"/>
          <w:shd w:val="clear" w:color="auto" w:fill="FFFFFF"/>
        </w:rPr>
        <w:t xml:space="preserve"> own home.</w:t>
      </w:r>
    </w:p>
    <w:p w14:paraId="19F45254" w14:textId="77777777" w:rsidR="002319E7" w:rsidRPr="008629F3" w:rsidRDefault="002319E7">
      <w:pPr>
        <w:rPr>
          <w:b/>
          <w:bCs/>
          <w:color w:val="002060"/>
          <w:sz w:val="24"/>
          <w:szCs w:val="24"/>
        </w:rPr>
      </w:pPr>
      <w:r w:rsidRPr="008629F3">
        <w:rPr>
          <w:b/>
          <w:bCs/>
          <w:color w:val="002060"/>
          <w:sz w:val="24"/>
          <w:szCs w:val="24"/>
        </w:rPr>
        <w:br w:type="page"/>
      </w:r>
    </w:p>
    <w:p w14:paraId="75A6D4EF" w14:textId="0F28593E" w:rsidR="00346A08" w:rsidRPr="008629F3" w:rsidRDefault="00346A08" w:rsidP="00BE3E4F">
      <w:pPr>
        <w:spacing w:line="240" w:lineRule="auto"/>
        <w:jc w:val="both"/>
        <w:rPr>
          <w:b/>
          <w:bCs/>
          <w:color w:val="002060"/>
          <w:sz w:val="24"/>
          <w:szCs w:val="24"/>
        </w:rPr>
      </w:pPr>
      <w:r w:rsidRPr="008629F3">
        <w:rPr>
          <w:b/>
          <w:bCs/>
          <w:color w:val="002060"/>
          <w:sz w:val="24"/>
          <w:szCs w:val="24"/>
        </w:rPr>
        <w:lastRenderedPageBreak/>
        <w:t>FOCUS 3: CHILDREN SENT IN FORMAL ALTERNATIVE CARE SETTINGS ACROSS BORDERS</w:t>
      </w:r>
    </w:p>
    <w:p w14:paraId="4BFEA2F8" w14:textId="0DE493EB" w:rsidR="00BC2512" w:rsidRPr="008629F3" w:rsidRDefault="00BC2512" w:rsidP="00E060FB">
      <w:pPr>
        <w:jc w:val="both"/>
        <w:rPr>
          <w:rFonts w:cstheme="minorHAnsi"/>
          <w:color w:val="002060"/>
        </w:rPr>
      </w:pPr>
      <w:r w:rsidRPr="008629F3">
        <w:rPr>
          <w:rFonts w:ascii="Calibri" w:hAnsi="Calibri" w:cs="Calibri"/>
          <w:color w:val="002060"/>
          <w:shd w:val="clear" w:color="auto" w:fill="FFFFFF"/>
        </w:rPr>
        <w:t xml:space="preserve">The two pillars of the </w:t>
      </w:r>
      <w:hyperlink r:id="rId22" w:history="1">
        <w:r w:rsidRPr="008629F3">
          <w:rPr>
            <w:rStyle w:val="Hyperlink"/>
            <w:rFonts w:ascii="Calibri" w:hAnsi="Calibri" w:cs="Calibri"/>
            <w:color w:val="002060"/>
            <w:shd w:val="clear" w:color="auto" w:fill="FFFFFF"/>
          </w:rPr>
          <w:t>UN Guidelines for the Alternative Care of Children</w:t>
        </w:r>
      </w:hyperlink>
      <w:proofErr w:type="gramStart"/>
      <w:r w:rsidRPr="008629F3">
        <w:rPr>
          <w:rFonts w:ascii="Calibri" w:hAnsi="Calibri" w:cs="Calibri"/>
          <w:color w:val="002060"/>
          <w:shd w:val="clear" w:color="auto" w:fill="FFFFFF"/>
        </w:rPr>
        <w:t>,</w:t>
      </w:r>
      <w:proofErr w:type="gramEnd"/>
      <w:r w:rsidRPr="008629F3">
        <w:rPr>
          <w:rFonts w:ascii="Calibri" w:hAnsi="Calibri" w:cs="Calibri"/>
          <w:color w:val="002060"/>
          <w:shd w:val="clear" w:color="auto" w:fill="FFFFFF"/>
        </w:rPr>
        <w:t xml:space="preserve"> are the principles of ‘necessity’ and ‘suitability’ applicable to all forms of alternative care, including placements outside of the child’s country of habitual residence. The same standards </w:t>
      </w:r>
      <w:proofErr w:type="gramStart"/>
      <w:r w:rsidRPr="008629F3">
        <w:rPr>
          <w:rFonts w:ascii="Calibri" w:hAnsi="Calibri" w:cs="Calibri"/>
          <w:color w:val="002060"/>
          <w:shd w:val="clear" w:color="auto" w:fill="FFFFFF"/>
        </w:rPr>
        <w:t>are reflected</w:t>
      </w:r>
      <w:proofErr w:type="gramEnd"/>
      <w:r w:rsidRPr="008629F3">
        <w:rPr>
          <w:rFonts w:ascii="Calibri" w:hAnsi="Calibri" w:cs="Calibri"/>
          <w:color w:val="002060"/>
          <w:shd w:val="clear" w:color="auto" w:fill="FFFFFF"/>
        </w:rPr>
        <w:t xml:space="preserve"> in the principle of proportionality under the European Convention of Human Rights. This means </w:t>
      </w:r>
      <w:r w:rsidR="00437781" w:rsidRPr="008629F3">
        <w:rPr>
          <w:rFonts w:ascii="Calibri" w:hAnsi="Calibri" w:cs="Calibri"/>
          <w:color w:val="002060"/>
          <w:shd w:val="clear" w:color="auto" w:fill="FFFFFF"/>
        </w:rPr>
        <w:t xml:space="preserve">that </w:t>
      </w:r>
      <w:r w:rsidRPr="008629F3">
        <w:rPr>
          <w:rFonts w:ascii="Calibri" w:hAnsi="Calibri" w:cs="Calibri"/>
          <w:color w:val="002060"/>
          <w:shd w:val="clear" w:color="auto" w:fill="FFFFFF"/>
        </w:rPr>
        <w:t xml:space="preserve">a child </w:t>
      </w:r>
      <w:proofErr w:type="gramStart"/>
      <w:r w:rsidRPr="008629F3">
        <w:rPr>
          <w:rFonts w:ascii="Calibri" w:hAnsi="Calibri" w:cs="Calibri"/>
          <w:color w:val="002060"/>
          <w:shd w:val="clear" w:color="auto" w:fill="FFFFFF"/>
        </w:rPr>
        <w:t>should only be placed</w:t>
      </w:r>
      <w:proofErr w:type="gramEnd"/>
      <w:r w:rsidRPr="008629F3">
        <w:rPr>
          <w:rFonts w:ascii="Calibri" w:hAnsi="Calibri" w:cs="Calibri"/>
          <w:color w:val="002060"/>
          <w:shd w:val="clear" w:color="auto" w:fill="FFFFFF"/>
        </w:rPr>
        <w:t xml:space="preserve"> in care if rigorously assessed as necessary for their protection after which, the most suitable form of care that meets their </w:t>
      </w:r>
      <w:r w:rsidR="00D506A1" w:rsidRPr="008629F3">
        <w:rPr>
          <w:rFonts w:ascii="Calibri" w:hAnsi="Calibri" w:cs="Calibri"/>
          <w:color w:val="002060"/>
          <w:shd w:val="clear" w:color="auto" w:fill="FFFFFF"/>
        </w:rPr>
        <w:t>best interests</w:t>
      </w:r>
      <w:r w:rsidRPr="008629F3">
        <w:rPr>
          <w:rFonts w:ascii="Calibri" w:hAnsi="Calibri" w:cs="Calibri"/>
          <w:color w:val="002060"/>
          <w:shd w:val="clear" w:color="auto" w:fill="FFFFFF"/>
        </w:rPr>
        <w:t xml:space="preserve"> should be provided.</w:t>
      </w:r>
    </w:p>
    <w:p w14:paraId="541344C6" w14:textId="01DC892E" w:rsidR="00E060FB" w:rsidRPr="008629F3" w:rsidRDefault="00E060FB" w:rsidP="00737DCF">
      <w:pPr>
        <w:jc w:val="both"/>
        <w:rPr>
          <w:rFonts w:cstheme="minorHAnsi"/>
          <w:color w:val="002060"/>
        </w:rPr>
      </w:pPr>
      <w:r w:rsidRPr="008629F3">
        <w:rPr>
          <w:rFonts w:cstheme="minorHAnsi"/>
          <w:color w:val="002060"/>
        </w:rPr>
        <w:t xml:space="preserve">According to the </w:t>
      </w:r>
      <w:r w:rsidR="00DF6A79" w:rsidRPr="008629F3">
        <w:rPr>
          <w:color w:val="002060"/>
        </w:rPr>
        <w:t>COE 2021 survey</w:t>
      </w:r>
      <w:r w:rsidRPr="008629F3">
        <w:rPr>
          <w:rFonts w:cstheme="minorHAnsi"/>
          <w:color w:val="002060"/>
        </w:rPr>
        <w:t xml:space="preserve">, a limited number of children </w:t>
      </w:r>
      <w:proofErr w:type="gramStart"/>
      <w:r w:rsidRPr="008629F3">
        <w:rPr>
          <w:rFonts w:cstheme="minorHAnsi"/>
          <w:color w:val="002060"/>
        </w:rPr>
        <w:t>are placed</w:t>
      </w:r>
      <w:proofErr w:type="gramEnd"/>
      <w:r w:rsidRPr="008629F3">
        <w:rPr>
          <w:rFonts w:cstheme="minorHAnsi"/>
          <w:color w:val="002060"/>
        </w:rPr>
        <w:t xml:space="preserve"> every year into formal alternative care setting from one member States to another State.</w:t>
      </w:r>
      <w:r w:rsidR="00BC2512" w:rsidRPr="008629F3">
        <w:rPr>
          <w:rFonts w:cstheme="minorHAnsi"/>
          <w:color w:val="002060"/>
        </w:rPr>
        <w:t xml:space="preserve"> </w:t>
      </w:r>
      <w:r w:rsidR="00BC2512" w:rsidRPr="008629F3">
        <w:rPr>
          <w:rFonts w:ascii="Calibri" w:hAnsi="Calibri" w:cs="Calibri"/>
          <w:color w:val="002060"/>
          <w:shd w:val="clear" w:color="auto" w:fill="FFFFFF"/>
        </w:rPr>
        <w:t xml:space="preserve">Children </w:t>
      </w:r>
      <w:proofErr w:type="gramStart"/>
      <w:r w:rsidR="00BC2512" w:rsidRPr="008629F3">
        <w:rPr>
          <w:rFonts w:ascii="Calibri" w:hAnsi="Calibri" w:cs="Calibri"/>
          <w:color w:val="002060"/>
          <w:shd w:val="clear" w:color="auto" w:fill="FFFFFF"/>
        </w:rPr>
        <w:t>are also being received</w:t>
      </w:r>
      <w:proofErr w:type="gramEnd"/>
      <w:r w:rsidR="00BC2512" w:rsidRPr="008629F3">
        <w:rPr>
          <w:rFonts w:ascii="Calibri" w:hAnsi="Calibri" w:cs="Calibri"/>
          <w:color w:val="002060"/>
          <w:shd w:val="clear" w:color="auto" w:fill="FFFFFF"/>
        </w:rPr>
        <w:t xml:space="preserve"> from non-Council of Europe states. Some states noted the best interests of the child as the guiding principle in such placements, and some that prioritisation of national solutions </w:t>
      </w:r>
      <w:proofErr w:type="gramStart"/>
      <w:r w:rsidR="00BC2512" w:rsidRPr="008629F3">
        <w:rPr>
          <w:rFonts w:ascii="Calibri" w:hAnsi="Calibri" w:cs="Calibri"/>
          <w:color w:val="002060"/>
          <w:shd w:val="clear" w:color="auto" w:fill="FFFFFF"/>
        </w:rPr>
        <w:t>were explored</w:t>
      </w:r>
      <w:proofErr w:type="gramEnd"/>
      <w:r w:rsidR="00BC2512" w:rsidRPr="008629F3">
        <w:rPr>
          <w:rFonts w:ascii="Calibri" w:hAnsi="Calibri" w:cs="Calibri"/>
          <w:color w:val="002060"/>
          <w:shd w:val="clear" w:color="auto" w:fill="FFFFFF"/>
        </w:rPr>
        <w:t xml:space="preserve"> but sometimes the needed specialist services d</w:t>
      </w:r>
      <w:r w:rsidR="00437781" w:rsidRPr="008629F3">
        <w:rPr>
          <w:rFonts w:ascii="Calibri" w:hAnsi="Calibri" w:cs="Calibri"/>
          <w:color w:val="002060"/>
          <w:shd w:val="clear" w:color="auto" w:fill="FFFFFF"/>
        </w:rPr>
        <w:t>id</w:t>
      </w:r>
      <w:r w:rsidR="00BC2512" w:rsidRPr="008629F3">
        <w:rPr>
          <w:rFonts w:ascii="Calibri" w:hAnsi="Calibri" w:cs="Calibri"/>
          <w:color w:val="002060"/>
          <w:shd w:val="clear" w:color="auto" w:fill="FFFFFF"/>
        </w:rPr>
        <w:t xml:space="preserve"> not exist within their border. </w:t>
      </w:r>
      <w:r w:rsidR="00BC2512" w:rsidRPr="008629F3">
        <w:rPr>
          <w:rFonts w:cstheme="minorHAnsi"/>
          <w:color w:val="002060"/>
        </w:rPr>
        <w:t>I</w:t>
      </w:r>
      <w:r w:rsidRPr="008629F3">
        <w:rPr>
          <w:rFonts w:cstheme="minorHAnsi"/>
          <w:color w:val="002060"/>
        </w:rPr>
        <w:t>t is particularly important that there are robust safeguards in place that ensure that the best interest</w:t>
      </w:r>
      <w:r w:rsidR="00DF6A79" w:rsidRPr="008629F3">
        <w:rPr>
          <w:rFonts w:cstheme="minorHAnsi"/>
          <w:color w:val="002060"/>
        </w:rPr>
        <w:t>s</w:t>
      </w:r>
      <w:r w:rsidRPr="008629F3">
        <w:rPr>
          <w:rFonts w:cstheme="minorHAnsi"/>
          <w:color w:val="002060"/>
        </w:rPr>
        <w:t xml:space="preserve"> of the child are given </w:t>
      </w:r>
      <w:r w:rsidR="00BC2512" w:rsidRPr="008629F3">
        <w:rPr>
          <w:rFonts w:cstheme="minorHAnsi"/>
          <w:color w:val="002060"/>
        </w:rPr>
        <w:t>primary consideration in any decision relating to such cross-border placement</w:t>
      </w:r>
      <w:r w:rsidRPr="008629F3">
        <w:rPr>
          <w:rFonts w:cstheme="minorHAnsi"/>
          <w:color w:val="002060"/>
        </w:rPr>
        <w:t xml:space="preserve">, and </w:t>
      </w:r>
      <w:r w:rsidR="00BC2512" w:rsidRPr="008629F3">
        <w:rPr>
          <w:rFonts w:cstheme="minorHAnsi"/>
          <w:color w:val="002060"/>
        </w:rPr>
        <w:t xml:space="preserve">that </w:t>
      </w:r>
      <w:r w:rsidRPr="008629F3">
        <w:rPr>
          <w:rFonts w:cstheme="minorHAnsi"/>
          <w:color w:val="002060"/>
        </w:rPr>
        <w:t xml:space="preserve">the ‘necessity’ and ‘suitability’ principles are being met. </w:t>
      </w:r>
    </w:p>
    <w:p w14:paraId="30CD6263" w14:textId="04875C37" w:rsidR="00BC2512" w:rsidRPr="008629F3" w:rsidRDefault="00BC2512" w:rsidP="00BC2512">
      <w:pPr>
        <w:jc w:val="both"/>
        <w:rPr>
          <w:rFonts w:ascii="Calibri" w:hAnsi="Calibri" w:cs="Calibri"/>
          <w:color w:val="002060"/>
          <w:shd w:val="clear" w:color="auto" w:fill="FFFFFF"/>
        </w:rPr>
      </w:pPr>
      <w:r w:rsidRPr="008629F3">
        <w:rPr>
          <w:rFonts w:ascii="Calibri" w:hAnsi="Calibri" w:cs="Calibri"/>
          <w:color w:val="002060"/>
          <w:shd w:val="clear" w:color="auto" w:fill="FFFFFF"/>
        </w:rPr>
        <w:t xml:space="preserve">In general, across Europe, and indeed the globe, there is a lack of consolidated reliable data on children </w:t>
      </w:r>
      <w:proofErr w:type="gramStart"/>
      <w:r w:rsidRPr="008629F3">
        <w:rPr>
          <w:rFonts w:ascii="Calibri" w:hAnsi="Calibri" w:cs="Calibri"/>
          <w:color w:val="002060"/>
          <w:shd w:val="clear" w:color="auto" w:fill="FFFFFF"/>
        </w:rPr>
        <w:t>being sent</w:t>
      </w:r>
      <w:proofErr w:type="gramEnd"/>
      <w:r w:rsidRPr="008629F3">
        <w:rPr>
          <w:rFonts w:ascii="Calibri" w:hAnsi="Calibri" w:cs="Calibri"/>
          <w:color w:val="002060"/>
          <w:shd w:val="clear" w:color="auto" w:fill="FFFFFF"/>
        </w:rPr>
        <w:t xml:space="preserve"> across borders into care, including the reasons they are being sent. Whilst some reports </w:t>
      </w:r>
      <w:proofErr w:type="gramStart"/>
      <w:r w:rsidRPr="008629F3">
        <w:rPr>
          <w:rFonts w:ascii="Calibri" w:hAnsi="Calibri" w:cs="Calibri"/>
          <w:color w:val="002060"/>
          <w:shd w:val="clear" w:color="auto" w:fill="FFFFFF"/>
        </w:rPr>
        <w:t>indicate</w:t>
      </w:r>
      <w:proofErr w:type="gramEnd"/>
      <w:r w:rsidRPr="008629F3">
        <w:rPr>
          <w:rFonts w:ascii="Calibri" w:hAnsi="Calibri" w:cs="Calibri"/>
          <w:color w:val="002060"/>
          <w:shd w:val="clear" w:color="auto" w:fill="FFFFFF"/>
        </w:rPr>
        <w:t xml:space="preserve"> economic reasons to be a motivation - contrary to the best interests of the child and the UN Guidelines</w:t>
      </w:r>
      <w:r w:rsidRPr="008629F3">
        <w:rPr>
          <w:rStyle w:val="FootnoteReference"/>
          <w:rFonts w:ascii="Calibri" w:hAnsi="Calibri" w:cs="Calibri"/>
          <w:color w:val="002060"/>
          <w:shd w:val="clear" w:color="auto" w:fill="FFFFFF"/>
        </w:rPr>
        <w:footnoteReference w:id="25"/>
      </w:r>
      <w:r w:rsidRPr="008629F3">
        <w:rPr>
          <w:rFonts w:ascii="Calibri" w:hAnsi="Calibri" w:cs="Calibri"/>
          <w:color w:val="002060"/>
          <w:shd w:val="clear" w:color="auto" w:fill="FFFFFF"/>
        </w:rPr>
        <w:t xml:space="preserve"> - others report access to more </w:t>
      </w:r>
      <w:r w:rsidRPr="008629F3">
        <w:rPr>
          <w:rFonts w:ascii="Calibri" w:hAnsi="Calibri" w:cs="Calibri"/>
          <w:color w:val="002060"/>
          <w:shd w:val="clear" w:color="auto" w:fill="FFFFFF"/>
        </w:rPr>
        <w:lastRenderedPageBreak/>
        <w:t xml:space="preserve">suitable care being a primary factor. Further investigation and verification of these reasons are </w:t>
      </w:r>
      <w:r w:rsidR="00C445B1" w:rsidRPr="008629F3">
        <w:rPr>
          <w:rFonts w:ascii="Calibri" w:hAnsi="Calibri" w:cs="Calibri"/>
          <w:color w:val="002060"/>
          <w:shd w:val="clear" w:color="auto" w:fill="FFFFFF"/>
        </w:rPr>
        <w:t xml:space="preserve">therefore </w:t>
      </w:r>
      <w:r w:rsidRPr="008629F3">
        <w:rPr>
          <w:rFonts w:ascii="Calibri" w:hAnsi="Calibri" w:cs="Calibri"/>
          <w:color w:val="002060"/>
          <w:shd w:val="clear" w:color="auto" w:fill="FFFFFF"/>
        </w:rPr>
        <w:t xml:space="preserve">needed, </w:t>
      </w:r>
      <w:proofErr w:type="gramStart"/>
      <w:r w:rsidRPr="008629F3">
        <w:rPr>
          <w:rFonts w:ascii="Calibri" w:hAnsi="Calibri" w:cs="Calibri"/>
          <w:color w:val="002060"/>
          <w:shd w:val="clear" w:color="auto" w:fill="FFFFFF"/>
        </w:rPr>
        <w:t>so as to</w:t>
      </w:r>
      <w:proofErr w:type="gramEnd"/>
      <w:r w:rsidRPr="008629F3">
        <w:rPr>
          <w:rFonts w:ascii="Calibri" w:hAnsi="Calibri" w:cs="Calibri"/>
          <w:color w:val="002060"/>
          <w:shd w:val="clear" w:color="auto" w:fill="FFFFFF"/>
        </w:rPr>
        <w:t xml:space="preserve"> ascertain whether or not the principles of necessity and suitability are being systematically applied. </w:t>
      </w:r>
    </w:p>
    <w:p w14:paraId="00A18877" w14:textId="71E25480" w:rsidR="00BC2512" w:rsidRPr="008629F3" w:rsidRDefault="00F24838" w:rsidP="00737DCF">
      <w:pPr>
        <w:jc w:val="both"/>
        <w:rPr>
          <w:rFonts w:ascii="Calibri" w:hAnsi="Calibri" w:cs="Calibri"/>
          <w:color w:val="002060"/>
          <w:shd w:val="clear" w:color="auto" w:fill="FFFFFF"/>
        </w:rPr>
      </w:pPr>
      <w:r w:rsidRPr="008629F3">
        <w:rPr>
          <w:rFonts w:ascii="Calibri" w:hAnsi="Calibri" w:cs="Calibri"/>
          <w:color w:val="002060"/>
          <w:shd w:val="clear" w:color="auto" w:fill="FFFFFF"/>
        </w:rPr>
        <w:t xml:space="preserve">Specific references in the UN Guidelines regarding care provision for children outside their country of habitual residence </w:t>
      </w:r>
      <w:r w:rsidR="00D62B45" w:rsidRPr="008629F3">
        <w:rPr>
          <w:rFonts w:ascii="Calibri" w:hAnsi="Calibri" w:cs="Calibri"/>
          <w:color w:val="002060"/>
          <w:shd w:val="clear" w:color="auto" w:fill="FFFFFF"/>
        </w:rPr>
        <w:t>urge</w:t>
      </w:r>
      <w:r w:rsidR="00236638" w:rsidRPr="008629F3">
        <w:rPr>
          <w:rFonts w:ascii="Calibri" w:hAnsi="Calibri" w:cs="Calibri"/>
          <w:color w:val="002060"/>
          <w:shd w:val="clear" w:color="auto" w:fill="FFFFFF"/>
        </w:rPr>
        <w:t>s</w:t>
      </w:r>
      <w:r w:rsidR="008B79F6" w:rsidRPr="008629F3">
        <w:rPr>
          <w:rFonts w:ascii="Calibri" w:hAnsi="Calibri" w:cs="Calibri"/>
          <w:color w:val="002060"/>
          <w:shd w:val="clear" w:color="auto" w:fill="FFFFFF"/>
        </w:rPr>
        <w:t xml:space="preserve"> </w:t>
      </w:r>
      <w:r w:rsidR="00E96235" w:rsidRPr="008629F3">
        <w:rPr>
          <w:rFonts w:ascii="Calibri" w:hAnsi="Calibri" w:cs="Calibri"/>
          <w:color w:val="002060"/>
          <w:shd w:val="clear" w:color="auto" w:fill="FFFFFF"/>
        </w:rPr>
        <w:t>state</w:t>
      </w:r>
      <w:r w:rsidRPr="008629F3">
        <w:rPr>
          <w:rFonts w:ascii="Calibri" w:hAnsi="Calibri" w:cs="Calibri"/>
          <w:color w:val="002060"/>
          <w:shd w:val="clear" w:color="auto" w:fill="FFFFFF"/>
        </w:rPr>
        <w:t xml:space="preserve">s to ensure a designated body has responsibility for determining specific standards </w:t>
      </w:r>
      <w:r w:rsidR="008B79F6" w:rsidRPr="008629F3">
        <w:rPr>
          <w:rFonts w:ascii="Calibri" w:hAnsi="Calibri" w:cs="Calibri"/>
          <w:color w:val="002060"/>
          <w:shd w:val="clear" w:color="auto" w:fill="FFFFFF"/>
        </w:rPr>
        <w:t>in relation to necessity and suitability principles</w:t>
      </w:r>
      <w:r w:rsidR="00BC2512" w:rsidRPr="008629F3">
        <w:rPr>
          <w:rFonts w:ascii="Calibri" w:hAnsi="Calibri" w:cs="Calibri"/>
          <w:color w:val="002060"/>
          <w:shd w:val="clear" w:color="auto" w:fill="FFFFFF"/>
        </w:rPr>
        <w:t>.</w:t>
      </w:r>
      <w:r w:rsidR="009D1855" w:rsidRPr="008629F3">
        <w:rPr>
          <w:rFonts w:ascii="Calibri" w:hAnsi="Calibri" w:cs="Calibri"/>
          <w:color w:val="002060"/>
          <w:shd w:val="clear" w:color="auto" w:fill="FFFFFF"/>
        </w:rPr>
        <w:t xml:space="preserve"> </w:t>
      </w:r>
      <w:proofErr w:type="gramStart"/>
      <w:r w:rsidR="00E060FB" w:rsidRPr="008629F3">
        <w:rPr>
          <w:rFonts w:ascii="Calibri" w:hAnsi="Calibri" w:cs="Calibri"/>
          <w:color w:val="002060"/>
          <w:shd w:val="clear" w:color="auto" w:fill="FFFFFF"/>
        </w:rPr>
        <w:t>T</w:t>
      </w:r>
      <w:r w:rsidRPr="008629F3">
        <w:rPr>
          <w:rFonts w:ascii="Calibri" w:hAnsi="Calibri" w:cs="Calibri"/>
          <w:color w:val="002060"/>
          <w:shd w:val="clear" w:color="auto" w:fill="FFFFFF"/>
        </w:rPr>
        <w:t xml:space="preserve">he </w:t>
      </w:r>
      <w:hyperlink r:id="rId23" w:history="1">
        <w:r w:rsidRPr="008629F3">
          <w:rPr>
            <w:rStyle w:val="Hyperlink"/>
            <w:rFonts w:ascii="Calibri" w:hAnsi="Calibri" w:cs="Calibri"/>
            <w:color w:val="002060"/>
            <w:shd w:val="clear" w:color="auto" w:fill="FFFFFF"/>
          </w:rPr>
          <w:t>Hague Convention on Jurisdiction, Applicable Law, Recognition, Enforcement and Cooperation in respect of Parental Responsibility and Measures for the Protection of Children, of 19 October 1996</w:t>
        </w:r>
      </w:hyperlink>
      <w:r w:rsidR="00BC2512" w:rsidRPr="008629F3">
        <w:rPr>
          <w:rStyle w:val="FootnoteReference"/>
          <w:rFonts w:ascii="Calibri" w:hAnsi="Calibri" w:cs="Calibri"/>
          <w:color w:val="002060"/>
          <w:u w:val="single"/>
          <w:shd w:val="clear" w:color="auto" w:fill="FFFFFF"/>
        </w:rPr>
        <w:footnoteReference w:id="26"/>
      </w:r>
      <w:r w:rsidRPr="008629F3">
        <w:rPr>
          <w:rFonts w:ascii="Calibri" w:hAnsi="Calibri" w:cs="Calibri"/>
          <w:color w:val="002060"/>
          <w:shd w:val="clear" w:color="auto" w:fill="FFFFFF"/>
        </w:rPr>
        <w:t xml:space="preserve"> </w:t>
      </w:r>
      <w:r w:rsidR="00E060FB" w:rsidRPr="008629F3">
        <w:rPr>
          <w:rFonts w:ascii="Calibri" w:hAnsi="Calibri" w:cs="Calibri"/>
          <w:color w:val="002060"/>
          <w:shd w:val="clear" w:color="auto" w:fill="FFFFFF"/>
        </w:rPr>
        <w:t>appears</w:t>
      </w:r>
      <w:r w:rsidR="00851D3A" w:rsidRPr="008629F3">
        <w:rPr>
          <w:rFonts w:ascii="Calibri" w:hAnsi="Calibri" w:cs="Calibri"/>
          <w:color w:val="002060"/>
          <w:shd w:val="clear" w:color="auto" w:fill="FFFFFF"/>
        </w:rPr>
        <w:t xml:space="preserve"> useful for encouraging </w:t>
      </w:r>
      <w:r w:rsidR="00E96235" w:rsidRPr="008629F3">
        <w:rPr>
          <w:rFonts w:ascii="Calibri" w:hAnsi="Calibri" w:cs="Calibri"/>
          <w:color w:val="002060"/>
          <w:shd w:val="clear" w:color="auto" w:fill="FFFFFF"/>
        </w:rPr>
        <w:t>State</w:t>
      </w:r>
      <w:r w:rsidR="00851D3A" w:rsidRPr="008629F3">
        <w:rPr>
          <w:rFonts w:ascii="Calibri" w:hAnsi="Calibri" w:cs="Calibri"/>
          <w:color w:val="002060"/>
          <w:shd w:val="clear" w:color="auto" w:fill="FFFFFF"/>
        </w:rPr>
        <w:t>s to cooperate</w:t>
      </w:r>
      <w:r w:rsidR="00851D3A" w:rsidRPr="008629F3">
        <w:rPr>
          <w:rStyle w:val="FootnoteReference"/>
          <w:rFonts w:ascii="Calibri" w:hAnsi="Calibri" w:cs="Calibri"/>
          <w:color w:val="002060"/>
          <w:shd w:val="clear" w:color="auto" w:fill="FFFFFF"/>
        </w:rPr>
        <w:footnoteReference w:id="27"/>
      </w:r>
      <w:r w:rsidR="00851D3A" w:rsidRPr="008629F3">
        <w:rPr>
          <w:rFonts w:ascii="Calibri" w:hAnsi="Calibri" w:cs="Calibri"/>
          <w:color w:val="002060"/>
          <w:shd w:val="clear" w:color="auto" w:fill="FFFFFF"/>
        </w:rPr>
        <w:t xml:space="preserve"> firstly, </w:t>
      </w:r>
      <w:r w:rsidR="006369A5" w:rsidRPr="008629F3">
        <w:rPr>
          <w:rFonts w:ascii="Calibri" w:hAnsi="Calibri" w:cs="Calibri"/>
          <w:color w:val="002060"/>
          <w:shd w:val="clear" w:color="auto" w:fill="FFFFFF"/>
        </w:rPr>
        <w:t xml:space="preserve">in ascertaining </w:t>
      </w:r>
      <w:r w:rsidR="00851D3A" w:rsidRPr="008629F3">
        <w:rPr>
          <w:rFonts w:ascii="Calibri" w:hAnsi="Calibri" w:cs="Calibri"/>
          <w:color w:val="002060"/>
          <w:shd w:val="clear" w:color="auto" w:fill="FFFFFF"/>
        </w:rPr>
        <w:t>whether</w:t>
      </w:r>
      <w:r w:rsidR="0064306E" w:rsidRPr="008629F3">
        <w:rPr>
          <w:rFonts w:ascii="Calibri" w:hAnsi="Calibri" w:cs="Calibri"/>
          <w:color w:val="002060"/>
          <w:shd w:val="clear" w:color="auto" w:fill="FFFFFF"/>
        </w:rPr>
        <w:t xml:space="preserve"> a</w:t>
      </w:r>
      <w:r w:rsidR="00851D3A" w:rsidRPr="008629F3">
        <w:rPr>
          <w:rFonts w:ascii="Calibri" w:hAnsi="Calibri" w:cs="Calibri"/>
          <w:color w:val="002060"/>
          <w:shd w:val="clear" w:color="auto" w:fill="FFFFFF"/>
        </w:rPr>
        <w:t xml:space="preserve"> cross-border alternative care placement is truly </w:t>
      </w:r>
      <w:r w:rsidR="0064306E" w:rsidRPr="008629F3">
        <w:rPr>
          <w:rFonts w:ascii="Calibri" w:hAnsi="Calibri" w:cs="Calibri"/>
          <w:color w:val="002060"/>
          <w:shd w:val="clear" w:color="auto" w:fill="FFFFFF"/>
        </w:rPr>
        <w:t>necessary and secondly,</w:t>
      </w:r>
      <w:r w:rsidR="00851D3A" w:rsidRPr="008629F3">
        <w:rPr>
          <w:rFonts w:ascii="Calibri" w:hAnsi="Calibri" w:cs="Calibri"/>
          <w:color w:val="002060"/>
          <w:shd w:val="clear" w:color="auto" w:fill="FFFFFF"/>
        </w:rPr>
        <w:t xml:space="preserve"> whether the placement is the most suitable </w:t>
      </w:r>
      <w:r w:rsidR="0064306E" w:rsidRPr="008629F3">
        <w:rPr>
          <w:rFonts w:ascii="Calibri" w:hAnsi="Calibri" w:cs="Calibri"/>
          <w:color w:val="002060"/>
          <w:shd w:val="clear" w:color="auto" w:fill="FFFFFF"/>
        </w:rPr>
        <w:t>with</w:t>
      </w:r>
      <w:r w:rsidR="00851D3A" w:rsidRPr="008629F3">
        <w:rPr>
          <w:rFonts w:ascii="Calibri" w:hAnsi="Calibri" w:cs="Calibri"/>
          <w:color w:val="002060"/>
          <w:shd w:val="clear" w:color="auto" w:fill="FFFFFF"/>
        </w:rPr>
        <w:t xml:space="preserve"> regard</w:t>
      </w:r>
      <w:r w:rsidR="0064306E" w:rsidRPr="008629F3">
        <w:rPr>
          <w:rFonts w:ascii="Calibri" w:hAnsi="Calibri" w:cs="Calibri"/>
          <w:color w:val="002060"/>
          <w:shd w:val="clear" w:color="auto" w:fill="FFFFFF"/>
        </w:rPr>
        <w:t>s</w:t>
      </w:r>
      <w:r w:rsidR="00851D3A" w:rsidRPr="008629F3">
        <w:rPr>
          <w:rFonts w:ascii="Calibri" w:hAnsi="Calibri" w:cs="Calibri"/>
          <w:color w:val="002060"/>
          <w:shd w:val="clear" w:color="auto" w:fill="FFFFFF"/>
        </w:rPr>
        <w:t xml:space="preserve"> the child’s best interests.</w:t>
      </w:r>
      <w:proofErr w:type="gramEnd"/>
      <w:r w:rsidR="00851D3A" w:rsidRPr="008629F3">
        <w:rPr>
          <w:rFonts w:ascii="Calibri" w:hAnsi="Calibri" w:cs="Calibri"/>
          <w:color w:val="002060"/>
          <w:shd w:val="clear" w:color="auto" w:fill="FFFFFF"/>
        </w:rPr>
        <w:t xml:space="preserve"> </w:t>
      </w:r>
    </w:p>
    <w:p w14:paraId="3A17F37D" w14:textId="57E96DCB" w:rsidR="00ED5C4D" w:rsidRPr="008629F3" w:rsidRDefault="007231FA" w:rsidP="00737DCF">
      <w:pPr>
        <w:jc w:val="both"/>
        <w:rPr>
          <w:rFonts w:cstheme="minorHAnsi"/>
          <w:color w:val="002060"/>
        </w:rPr>
      </w:pPr>
      <w:r w:rsidRPr="008629F3">
        <w:rPr>
          <w:rFonts w:ascii="Calibri" w:hAnsi="Calibri" w:cs="Calibri"/>
          <w:color w:val="002060"/>
          <w:shd w:val="clear" w:color="auto" w:fill="FFFFFF"/>
        </w:rPr>
        <w:t xml:space="preserve">It is also </w:t>
      </w:r>
      <w:r w:rsidR="007C39AB" w:rsidRPr="008629F3">
        <w:rPr>
          <w:rFonts w:ascii="Calibri" w:hAnsi="Calibri" w:cs="Calibri"/>
          <w:color w:val="002060"/>
          <w:shd w:val="clear" w:color="auto" w:fill="FFFFFF"/>
        </w:rPr>
        <w:t>important</w:t>
      </w:r>
      <w:r w:rsidRPr="008629F3">
        <w:rPr>
          <w:rFonts w:ascii="Calibri" w:hAnsi="Calibri" w:cs="Calibri"/>
          <w:color w:val="002060"/>
          <w:shd w:val="clear" w:color="auto" w:fill="FFFFFF"/>
        </w:rPr>
        <w:t xml:space="preserve"> that examples of promising practice </w:t>
      </w:r>
      <w:proofErr w:type="gramStart"/>
      <w:r w:rsidR="007C39AB" w:rsidRPr="008629F3">
        <w:rPr>
          <w:rFonts w:ascii="Calibri" w:hAnsi="Calibri" w:cs="Calibri"/>
          <w:color w:val="002060"/>
          <w:shd w:val="clear" w:color="auto" w:fill="FFFFFF"/>
        </w:rPr>
        <w:t>can be</w:t>
      </w:r>
      <w:r w:rsidRPr="008629F3">
        <w:rPr>
          <w:rFonts w:ascii="Calibri" w:hAnsi="Calibri" w:cs="Calibri"/>
          <w:color w:val="002060"/>
          <w:shd w:val="clear" w:color="auto" w:fill="FFFFFF"/>
        </w:rPr>
        <w:t xml:space="preserve"> disseminated and built on</w:t>
      </w:r>
      <w:proofErr w:type="gramEnd"/>
      <w:r w:rsidRPr="008629F3">
        <w:rPr>
          <w:rFonts w:ascii="Calibri" w:hAnsi="Calibri" w:cs="Calibri"/>
          <w:color w:val="002060"/>
          <w:shd w:val="clear" w:color="auto" w:fill="FFFFFF"/>
        </w:rPr>
        <w:t xml:space="preserve">. For example, </w:t>
      </w:r>
      <w:r w:rsidR="00204A3D" w:rsidRPr="008629F3">
        <w:rPr>
          <w:rFonts w:cstheme="minorHAnsi"/>
          <w:color w:val="002060"/>
        </w:rPr>
        <w:t>t</w:t>
      </w:r>
      <w:r w:rsidR="00851D3A" w:rsidRPr="008629F3">
        <w:rPr>
          <w:rFonts w:cstheme="minorHAnsi"/>
          <w:color w:val="002060"/>
        </w:rPr>
        <w:t xml:space="preserve">he Swiss Government have developed </w:t>
      </w:r>
      <w:r w:rsidR="00FA6D90" w:rsidRPr="008629F3">
        <w:rPr>
          <w:rFonts w:cstheme="minorHAnsi"/>
          <w:color w:val="002060"/>
        </w:rPr>
        <w:t>an</w:t>
      </w:r>
      <w:r w:rsidR="00851D3A" w:rsidRPr="008629F3">
        <w:rPr>
          <w:rFonts w:cstheme="minorHAnsi"/>
          <w:color w:val="002060"/>
        </w:rPr>
        <w:t xml:space="preserve"> (</w:t>
      </w:r>
      <w:r w:rsidR="00851D3A" w:rsidRPr="008629F3">
        <w:rPr>
          <w:rFonts w:cstheme="minorHAnsi"/>
          <w:i/>
          <w:iCs/>
          <w:color w:val="002060"/>
        </w:rPr>
        <w:t xml:space="preserve">aide </w:t>
      </w:r>
      <w:proofErr w:type="spellStart"/>
      <w:r w:rsidR="00851D3A" w:rsidRPr="008629F3">
        <w:rPr>
          <w:rFonts w:cstheme="minorHAnsi"/>
          <w:i/>
          <w:iCs/>
          <w:color w:val="002060"/>
        </w:rPr>
        <w:t>mémoire</w:t>
      </w:r>
      <w:bookmarkStart w:id="4" w:name="_Hlk74027707"/>
      <w:proofErr w:type="spellEnd"/>
      <w:r w:rsidR="00851D3A" w:rsidRPr="008629F3">
        <w:rPr>
          <w:rStyle w:val="FootnoteReference"/>
          <w:rFonts w:cstheme="minorHAnsi"/>
          <w:color w:val="002060"/>
        </w:rPr>
        <w:footnoteReference w:id="28"/>
      </w:r>
      <w:bookmarkEnd w:id="4"/>
      <w:r w:rsidR="00851D3A" w:rsidRPr="008629F3">
        <w:rPr>
          <w:rFonts w:cstheme="minorHAnsi"/>
          <w:color w:val="002060"/>
        </w:rPr>
        <w:t xml:space="preserve">) to </w:t>
      </w:r>
      <w:r w:rsidR="00262BDA" w:rsidRPr="008629F3">
        <w:rPr>
          <w:rFonts w:cstheme="minorHAnsi"/>
          <w:color w:val="002060"/>
        </w:rPr>
        <w:t xml:space="preserve">guide Cantons implementing the </w:t>
      </w:r>
      <w:r w:rsidR="003A6FB2" w:rsidRPr="008629F3">
        <w:rPr>
          <w:rFonts w:cstheme="minorHAnsi"/>
          <w:color w:val="002060"/>
        </w:rPr>
        <w:t>1996 Hague Convention on Cross-border Child Protection</w:t>
      </w:r>
      <w:r w:rsidR="00262BDA" w:rsidRPr="008629F3">
        <w:rPr>
          <w:rFonts w:cstheme="minorHAnsi"/>
          <w:color w:val="002060"/>
        </w:rPr>
        <w:t xml:space="preserve"> </w:t>
      </w:r>
      <w:r w:rsidR="00FA6D90" w:rsidRPr="008629F3">
        <w:rPr>
          <w:rFonts w:cstheme="minorHAnsi"/>
          <w:color w:val="002060"/>
        </w:rPr>
        <w:t>with the aim of</w:t>
      </w:r>
      <w:r w:rsidRPr="008629F3">
        <w:rPr>
          <w:rFonts w:cstheme="minorHAnsi"/>
          <w:color w:val="002060"/>
        </w:rPr>
        <w:t xml:space="preserve"> prevent</w:t>
      </w:r>
      <w:r w:rsidR="00FA6D90" w:rsidRPr="008629F3">
        <w:rPr>
          <w:rFonts w:cstheme="minorHAnsi"/>
          <w:color w:val="002060"/>
        </w:rPr>
        <w:t>ing</w:t>
      </w:r>
      <w:r w:rsidRPr="008629F3">
        <w:rPr>
          <w:rFonts w:cstheme="minorHAnsi"/>
          <w:color w:val="002060"/>
        </w:rPr>
        <w:t xml:space="preserve"> unnecessary placement across borders</w:t>
      </w:r>
      <w:r w:rsidR="00FA6D90" w:rsidRPr="008629F3">
        <w:rPr>
          <w:rFonts w:cstheme="minorHAnsi"/>
          <w:color w:val="002060"/>
        </w:rPr>
        <w:t xml:space="preserve"> and safeguarding children when it does occur</w:t>
      </w:r>
      <w:r w:rsidR="00262BDA" w:rsidRPr="008629F3">
        <w:rPr>
          <w:rFonts w:cstheme="minorHAnsi"/>
          <w:color w:val="002060"/>
        </w:rPr>
        <w:t xml:space="preserve">. </w:t>
      </w:r>
      <w:r w:rsidR="00FC53F8" w:rsidRPr="008629F3">
        <w:rPr>
          <w:rFonts w:cstheme="minorHAnsi"/>
          <w:color w:val="002060"/>
        </w:rPr>
        <w:t xml:space="preserve">The </w:t>
      </w:r>
      <w:r w:rsidR="00FC53F8" w:rsidRPr="008629F3">
        <w:rPr>
          <w:rFonts w:cstheme="minorHAnsi"/>
          <w:i/>
          <w:iCs/>
          <w:color w:val="002060"/>
        </w:rPr>
        <w:t xml:space="preserve">aide </w:t>
      </w:r>
      <w:proofErr w:type="spellStart"/>
      <w:r w:rsidR="00FC53F8" w:rsidRPr="008629F3">
        <w:rPr>
          <w:rFonts w:cstheme="minorHAnsi"/>
          <w:i/>
          <w:iCs/>
          <w:color w:val="002060"/>
        </w:rPr>
        <w:t>mémoire</w:t>
      </w:r>
      <w:proofErr w:type="spellEnd"/>
      <w:r w:rsidR="00FC53F8" w:rsidRPr="008629F3">
        <w:rPr>
          <w:rFonts w:cstheme="minorHAnsi"/>
          <w:color w:val="002060"/>
        </w:rPr>
        <w:t xml:space="preserve"> notes the importance of </w:t>
      </w:r>
      <w:r w:rsidR="00FA6D90" w:rsidRPr="008629F3">
        <w:rPr>
          <w:rFonts w:cstheme="minorHAnsi"/>
          <w:color w:val="002060"/>
        </w:rPr>
        <w:t xml:space="preserve">fully </w:t>
      </w:r>
      <w:r w:rsidR="00FC53F8" w:rsidRPr="008629F3">
        <w:rPr>
          <w:rFonts w:cstheme="minorHAnsi"/>
          <w:color w:val="002060"/>
        </w:rPr>
        <w:t>exploring the child’s individual situation, including the principle of subsidiarity and family situation, and ascertain</w:t>
      </w:r>
      <w:r w:rsidR="00FA6D90" w:rsidRPr="008629F3">
        <w:rPr>
          <w:rFonts w:cstheme="minorHAnsi"/>
          <w:color w:val="002060"/>
        </w:rPr>
        <w:t>ing</w:t>
      </w:r>
      <w:r w:rsidR="00FC53F8" w:rsidRPr="008629F3">
        <w:rPr>
          <w:rFonts w:cstheme="minorHAnsi"/>
          <w:color w:val="002060"/>
        </w:rPr>
        <w:t xml:space="preserve"> whether or not there are actual reasonable grounds for placing </w:t>
      </w:r>
      <w:r w:rsidR="00AA2211" w:rsidRPr="008629F3">
        <w:rPr>
          <w:rFonts w:cstheme="minorHAnsi"/>
          <w:color w:val="002060"/>
        </w:rPr>
        <w:t xml:space="preserve">children </w:t>
      </w:r>
      <w:r w:rsidR="00FC53F8" w:rsidRPr="008629F3">
        <w:rPr>
          <w:rFonts w:cstheme="minorHAnsi"/>
          <w:color w:val="002060"/>
        </w:rPr>
        <w:t xml:space="preserve">in, or receiving from, other countries. </w:t>
      </w:r>
      <w:r w:rsidR="007E7CA8" w:rsidRPr="008629F3">
        <w:rPr>
          <w:rFonts w:cstheme="minorHAnsi"/>
          <w:color w:val="002060"/>
        </w:rPr>
        <w:t>Likewise</w:t>
      </w:r>
      <w:r w:rsidR="004A0E16" w:rsidRPr="008629F3">
        <w:rPr>
          <w:rFonts w:cstheme="minorHAnsi"/>
          <w:color w:val="002060"/>
        </w:rPr>
        <w:t>,</w:t>
      </w:r>
      <w:r w:rsidR="007E7CA8" w:rsidRPr="008629F3">
        <w:rPr>
          <w:rFonts w:cstheme="minorHAnsi"/>
          <w:color w:val="002060"/>
        </w:rPr>
        <w:t xml:space="preserve"> in Ireland,</w:t>
      </w:r>
      <w:r w:rsidR="00ED5C4D" w:rsidRPr="008629F3">
        <w:rPr>
          <w:rStyle w:val="FootnoteReference"/>
          <w:rFonts w:cstheme="minorHAnsi"/>
          <w:color w:val="002060"/>
        </w:rPr>
        <w:t xml:space="preserve"> </w:t>
      </w:r>
      <w:r w:rsidR="00ED5C4D" w:rsidRPr="008629F3">
        <w:rPr>
          <w:rStyle w:val="FootnoteReference"/>
          <w:rFonts w:cstheme="minorHAnsi"/>
          <w:color w:val="002060"/>
        </w:rPr>
        <w:footnoteReference w:id="29"/>
      </w:r>
      <w:r w:rsidR="00851D3A" w:rsidRPr="008629F3">
        <w:rPr>
          <w:rFonts w:cstheme="minorHAnsi"/>
          <w:color w:val="002060"/>
        </w:rPr>
        <w:t xml:space="preserve"> </w:t>
      </w:r>
      <w:r w:rsidR="00ED5C4D" w:rsidRPr="008629F3">
        <w:rPr>
          <w:rFonts w:cstheme="minorHAnsi"/>
          <w:color w:val="002060"/>
        </w:rPr>
        <w:t xml:space="preserve">procedures are in place that </w:t>
      </w:r>
      <w:r w:rsidR="00AA2211" w:rsidRPr="008629F3">
        <w:rPr>
          <w:rFonts w:cstheme="minorHAnsi"/>
          <w:color w:val="002060"/>
        </w:rPr>
        <w:t xml:space="preserve">require </w:t>
      </w:r>
      <w:r w:rsidR="00BA4AFE" w:rsidRPr="008629F3">
        <w:rPr>
          <w:rFonts w:cstheme="minorHAnsi"/>
          <w:color w:val="002060"/>
        </w:rPr>
        <w:lastRenderedPageBreak/>
        <w:t xml:space="preserve">the necessity and suitability principles are adhered to when considering </w:t>
      </w:r>
      <w:r w:rsidR="00AA2211" w:rsidRPr="008629F3">
        <w:rPr>
          <w:rFonts w:cstheme="minorHAnsi"/>
          <w:color w:val="002060"/>
        </w:rPr>
        <w:t>cross border</w:t>
      </w:r>
      <w:r w:rsidR="00ED5C4D" w:rsidRPr="008629F3">
        <w:rPr>
          <w:rFonts w:cstheme="minorHAnsi"/>
          <w:color w:val="002060"/>
        </w:rPr>
        <w:t xml:space="preserve"> placements</w:t>
      </w:r>
      <w:r w:rsidR="00437781" w:rsidRPr="008629F3">
        <w:rPr>
          <w:rFonts w:cstheme="minorHAnsi"/>
          <w:color w:val="002060"/>
        </w:rPr>
        <w:t>,</w:t>
      </w:r>
      <w:r w:rsidR="00FD5261" w:rsidRPr="008629F3">
        <w:rPr>
          <w:rFonts w:cstheme="minorHAnsi"/>
          <w:color w:val="002060"/>
        </w:rPr>
        <w:t xml:space="preserve"> </w:t>
      </w:r>
      <w:r w:rsidR="00E508A8" w:rsidRPr="008629F3">
        <w:rPr>
          <w:rFonts w:cstheme="minorHAnsi"/>
          <w:color w:val="002060"/>
        </w:rPr>
        <w:t xml:space="preserve">including </w:t>
      </w:r>
      <w:r w:rsidR="002E5649" w:rsidRPr="008629F3">
        <w:rPr>
          <w:rFonts w:cstheme="minorHAnsi"/>
          <w:color w:val="002060"/>
        </w:rPr>
        <w:t>the evidence of</w:t>
      </w:r>
      <w:r w:rsidR="00E508A8" w:rsidRPr="008629F3">
        <w:rPr>
          <w:rFonts w:cstheme="minorHAnsi"/>
          <w:color w:val="002060"/>
        </w:rPr>
        <w:t xml:space="preserve"> exceptional circumstances and the need for</w:t>
      </w:r>
      <w:r w:rsidR="00ED5C4D" w:rsidRPr="008629F3">
        <w:rPr>
          <w:rFonts w:cstheme="minorHAnsi"/>
          <w:color w:val="002060"/>
        </w:rPr>
        <w:t xml:space="preserve"> High Court approval, development of a care plan and </w:t>
      </w:r>
      <w:r w:rsidR="00E96235" w:rsidRPr="008629F3">
        <w:rPr>
          <w:rFonts w:cstheme="minorHAnsi"/>
          <w:color w:val="002060"/>
        </w:rPr>
        <w:t>state</w:t>
      </w:r>
      <w:r w:rsidR="00ED5C4D" w:rsidRPr="008629F3">
        <w:rPr>
          <w:rFonts w:cstheme="minorHAnsi"/>
          <w:color w:val="002060"/>
        </w:rPr>
        <w:t xml:space="preserve"> oversight</w:t>
      </w:r>
      <w:r w:rsidR="002E5649" w:rsidRPr="008629F3">
        <w:rPr>
          <w:rFonts w:cstheme="minorHAnsi"/>
          <w:color w:val="002060"/>
        </w:rPr>
        <w:t>.</w:t>
      </w:r>
    </w:p>
    <w:p w14:paraId="77E5FAEB" w14:textId="77820F09" w:rsidR="005E1A34" w:rsidRPr="008629F3" w:rsidRDefault="005E1A34" w:rsidP="004425B3">
      <w:pPr>
        <w:rPr>
          <w:color w:val="002060"/>
          <w:sz w:val="24"/>
          <w:szCs w:val="24"/>
        </w:rPr>
      </w:pPr>
      <w:r w:rsidRPr="008629F3">
        <w:rPr>
          <w:rFonts w:ascii="Calibri" w:eastAsia="Times New Roman" w:hAnsi="Calibri" w:cs="Calibri"/>
          <w:b/>
          <w:bCs/>
          <w:color w:val="002060"/>
          <w:sz w:val="24"/>
          <w:szCs w:val="24"/>
          <w:shd w:val="clear" w:color="auto" w:fill="FFFFFF"/>
          <w:lang w:eastAsia="es-ES_tradnl"/>
        </w:rPr>
        <w:t xml:space="preserve">CONCLUSION </w:t>
      </w:r>
    </w:p>
    <w:p w14:paraId="7E98CE7F" w14:textId="6978FDFA" w:rsidR="003644C2" w:rsidRPr="008629F3" w:rsidRDefault="003644C2" w:rsidP="003644C2">
      <w:pPr>
        <w:jc w:val="both"/>
        <w:rPr>
          <w:rFonts w:cstheme="minorHAnsi"/>
          <w:color w:val="002060"/>
        </w:rPr>
      </w:pPr>
      <w:proofErr w:type="gramStart"/>
      <w:r w:rsidRPr="008629F3">
        <w:rPr>
          <w:rFonts w:cstheme="minorHAnsi"/>
          <w:color w:val="002060"/>
        </w:rPr>
        <w:t xml:space="preserve">The Council of Europe </w:t>
      </w:r>
      <w:r w:rsidR="00DF6A79" w:rsidRPr="008629F3">
        <w:rPr>
          <w:rFonts w:cstheme="minorHAnsi"/>
          <w:color w:val="002060"/>
        </w:rPr>
        <w:t>has been</w:t>
      </w:r>
      <w:r w:rsidRPr="008629F3">
        <w:rPr>
          <w:rFonts w:cstheme="minorHAnsi"/>
          <w:color w:val="002060"/>
        </w:rPr>
        <w:t xml:space="preserve"> </w:t>
      </w:r>
      <w:r w:rsidR="008A33C4" w:rsidRPr="008629F3">
        <w:rPr>
          <w:rFonts w:cstheme="minorHAnsi"/>
          <w:color w:val="002060"/>
        </w:rPr>
        <w:t>upholding</w:t>
      </w:r>
      <w:r w:rsidRPr="008629F3">
        <w:rPr>
          <w:rFonts w:cstheme="minorHAnsi"/>
          <w:color w:val="002060"/>
        </w:rPr>
        <w:t xml:space="preserve"> the rights of children living in alternative care for more than 15 years, drawing from the important guidance provided by the UN Committee for the Rights of the Child, by the case-law of the European Court of Human Rights</w:t>
      </w:r>
      <w:r w:rsidR="008A33C4" w:rsidRPr="008629F3">
        <w:rPr>
          <w:rFonts w:cstheme="minorHAnsi"/>
          <w:color w:val="002060"/>
        </w:rPr>
        <w:t>,</w:t>
      </w:r>
      <w:r w:rsidRPr="008629F3">
        <w:rPr>
          <w:rFonts w:cstheme="minorHAnsi"/>
          <w:color w:val="002060"/>
        </w:rPr>
        <w:t xml:space="preserve"> and by the increasing body of relevant recommendations adopted by its </w:t>
      </w:r>
      <w:r w:rsidR="008A33C4" w:rsidRPr="008629F3">
        <w:rPr>
          <w:rFonts w:cstheme="minorHAnsi"/>
          <w:color w:val="002060"/>
        </w:rPr>
        <w:t xml:space="preserve">own </w:t>
      </w:r>
      <w:r w:rsidRPr="008629F3">
        <w:rPr>
          <w:rFonts w:cstheme="minorHAnsi"/>
          <w:color w:val="002060"/>
        </w:rPr>
        <w:t>Committee of Ministers.</w:t>
      </w:r>
      <w:proofErr w:type="gramEnd"/>
      <w:r w:rsidRPr="008629F3">
        <w:rPr>
          <w:rFonts w:cstheme="minorHAnsi"/>
          <w:color w:val="002060"/>
        </w:rPr>
        <w:t xml:space="preserve"> </w:t>
      </w:r>
    </w:p>
    <w:p w14:paraId="4736CEE7" w14:textId="0F882D77" w:rsidR="003644C2" w:rsidRPr="008629F3" w:rsidRDefault="00352AE3" w:rsidP="003644C2">
      <w:pPr>
        <w:jc w:val="both"/>
        <w:rPr>
          <w:rFonts w:cstheme="minorHAnsi"/>
          <w:color w:val="002060"/>
        </w:rPr>
      </w:pPr>
      <w:r w:rsidRPr="008629F3">
        <w:rPr>
          <w:rFonts w:cstheme="minorHAnsi"/>
          <w:color w:val="002060"/>
        </w:rPr>
        <w:t>E</w:t>
      </w:r>
      <w:r w:rsidR="003644C2" w:rsidRPr="008629F3">
        <w:rPr>
          <w:rFonts w:cstheme="minorHAnsi"/>
          <w:color w:val="002060"/>
        </w:rPr>
        <w:t xml:space="preserve">xperiences </w:t>
      </w:r>
      <w:r w:rsidRPr="008629F3">
        <w:rPr>
          <w:rFonts w:cstheme="minorHAnsi"/>
          <w:color w:val="002060"/>
        </w:rPr>
        <w:t>of past abuses</w:t>
      </w:r>
      <w:r w:rsidR="003644C2" w:rsidRPr="008629F3">
        <w:rPr>
          <w:rFonts w:cstheme="minorHAnsi"/>
          <w:color w:val="002060"/>
        </w:rPr>
        <w:t xml:space="preserve"> remind us of the importance of learning lessons from past failings in view of safeguarding the rights of all children who may be concerned by any form </w:t>
      </w:r>
      <w:r w:rsidRPr="008629F3">
        <w:rPr>
          <w:rFonts w:cstheme="minorHAnsi"/>
          <w:color w:val="002060"/>
        </w:rPr>
        <w:t xml:space="preserve">of </w:t>
      </w:r>
      <w:r w:rsidR="003644C2" w:rsidRPr="008629F3">
        <w:rPr>
          <w:rFonts w:cstheme="minorHAnsi"/>
          <w:color w:val="002060"/>
        </w:rPr>
        <w:t xml:space="preserve">alternative care today and in the future. </w:t>
      </w:r>
      <w:r w:rsidR="008A33C4" w:rsidRPr="008629F3">
        <w:rPr>
          <w:rFonts w:cstheme="minorHAnsi"/>
          <w:color w:val="002060"/>
        </w:rPr>
        <w:t>D</w:t>
      </w:r>
      <w:r w:rsidR="003644C2" w:rsidRPr="008629F3">
        <w:rPr>
          <w:rFonts w:cstheme="minorHAnsi"/>
          <w:color w:val="002060"/>
        </w:rPr>
        <w:t>espite effort</w:t>
      </w:r>
      <w:r w:rsidR="00DF6A79" w:rsidRPr="008629F3">
        <w:rPr>
          <w:rFonts w:cstheme="minorHAnsi"/>
          <w:color w:val="002060"/>
        </w:rPr>
        <w:t>s</w:t>
      </w:r>
      <w:r w:rsidR="003644C2" w:rsidRPr="008629F3">
        <w:rPr>
          <w:rFonts w:cstheme="minorHAnsi"/>
          <w:color w:val="002060"/>
        </w:rPr>
        <w:t xml:space="preserve"> to reform alternative care systems</w:t>
      </w:r>
      <w:r w:rsidR="004A0E16" w:rsidRPr="008629F3">
        <w:rPr>
          <w:rFonts w:cstheme="minorHAnsi"/>
          <w:color w:val="002060"/>
        </w:rPr>
        <w:t>, moving away from large institutions and towards family-based or family-type care</w:t>
      </w:r>
      <w:r w:rsidR="003644C2" w:rsidRPr="008629F3">
        <w:rPr>
          <w:rFonts w:cstheme="minorHAnsi"/>
          <w:color w:val="002060"/>
        </w:rPr>
        <w:t>, or to de-institutionalise care systems</w:t>
      </w:r>
      <w:r w:rsidR="00DF6A79" w:rsidRPr="008629F3">
        <w:rPr>
          <w:rFonts w:cstheme="minorHAnsi"/>
          <w:color w:val="002060"/>
        </w:rPr>
        <w:t>,</w:t>
      </w:r>
      <w:r w:rsidR="003644C2" w:rsidRPr="008629F3">
        <w:rPr>
          <w:rFonts w:cstheme="minorHAnsi"/>
          <w:color w:val="002060"/>
        </w:rPr>
        <w:t xml:space="preserve"> </w:t>
      </w:r>
      <w:r w:rsidR="008A33C4" w:rsidRPr="008629F3">
        <w:rPr>
          <w:rFonts w:cstheme="minorHAnsi"/>
          <w:color w:val="002060"/>
        </w:rPr>
        <w:t xml:space="preserve">many children are currently living under some form of alternative care </w:t>
      </w:r>
      <w:r w:rsidR="003644C2" w:rsidRPr="008629F3">
        <w:rPr>
          <w:rFonts w:cstheme="minorHAnsi"/>
          <w:color w:val="002060"/>
        </w:rPr>
        <w:t>system</w:t>
      </w:r>
      <w:r w:rsidR="008A33C4" w:rsidRPr="008629F3">
        <w:rPr>
          <w:rFonts w:cstheme="minorHAnsi"/>
          <w:color w:val="002060"/>
        </w:rPr>
        <w:t xml:space="preserve"> and all of them</w:t>
      </w:r>
      <w:r w:rsidR="003644C2" w:rsidRPr="008629F3">
        <w:rPr>
          <w:rFonts w:cstheme="minorHAnsi"/>
          <w:color w:val="002060"/>
        </w:rPr>
        <w:t xml:space="preserve"> need protection</w:t>
      </w:r>
      <w:r w:rsidR="008A33C4" w:rsidRPr="008629F3">
        <w:rPr>
          <w:rFonts w:cstheme="minorHAnsi"/>
          <w:color w:val="002060"/>
        </w:rPr>
        <w:t xml:space="preserve"> of their rights and best interests</w:t>
      </w:r>
      <w:r w:rsidR="003644C2" w:rsidRPr="008629F3">
        <w:rPr>
          <w:rFonts w:cstheme="minorHAnsi"/>
          <w:color w:val="002060"/>
        </w:rPr>
        <w:t xml:space="preserve">. </w:t>
      </w:r>
    </w:p>
    <w:p w14:paraId="6A61F39B" w14:textId="4A3DDE50" w:rsidR="00D506A1" w:rsidRPr="008629F3" w:rsidRDefault="00352AE3" w:rsidP="003644C2">
      <w:pPr>
        <w:jc w:val="both"/>
        <w:rPr>
          <w:rFonts w:cstheme="minorHAnsi"/>
          <w:color w:val="002060"/>
        </w:rPr>
      </w:pPr>
      <w:r w:rsidRPr="008629F3">
        <w:rPr>
          <w:rFonts w:cstheme="minorHAnsi"/>
          <w:color w:val="002060"/>
        </w:rPr>
        <w:t xml:space="preserve">This </w:t>
      </w:r>
      <w:r w:rsidR="008A33C4" w:rsidRPr="008629F3">
        <w:rPr>
          <w:rFonts w:cstheme="minorHAnsi"/>
          <w:color w:val="002060"/>
        </w:rPr>
        <w:t xml:space="preserve">protection must </w:t>
      </w:r>
      <w:r w:rsidRPr="008629F3">
        <w:rPr>
          <w:rFonts w:cstheme="minorHAnsi"/>
          <w:color w:val="002060"/>
        </w:rPr>
        <w:t>begin at the level of decision</w:t>
      </w:r>
      <w:r w:rsidR="008A33C4" w:rsidRPr="008629F3">
        <w:rPr>
          <w:rFonts w:cstheme="minorHAnsi"/>
          <w:color w:val="002060"/>
        </w:rPr>
        <w:t>-</w:t>
      </w:r>
      <w:r w:rsidRPr="008629F3">
        <w:rPr>
          <w:rFonts w:cstheme="minorHAnsi"/>
          <w:color w:val="002060"/>
        </w:rPr>
        <w:t>making</w:t>
      </w:r>
      <w:r w:rsidR="008A33C4" w:rsidRPr="008629F3">
        <w:rPr>
          <w:rFonts w:cstheme="minorHAnsi"/>
          <w:color w:val="002060"/>
        </w:rPr>
        <w:t>,</w:t>
      </w:r>
      <w:r w:rsidRPr="008629F3">
        <w:rPr>
          <w:rFonts w:cstheme="minorHAnsi"/>
          <w:color w:val="002060"/>
        </w:rPr>
        <w:t xml:space="preserve"> by ensuring that the best interests of the child are protected in all </w:t>
      </w:r>
      <w:proofErr w:type="gramStart"/>
      <w:r w:rsidRPr="008629F3">
        <w:rPr>
          <w:rFonts w:cstheme="minorHAnsi"/>
          <w:color w:val="002060"/>
        </w:rPr>
        <w:t>proceedings which</w:t>
      </w:r>
      <w:proofErr w:type="gramEnd"/>
      <w:r w:rsidRPr="008629F3">
        <w:rPr>
          <w:rFonts w:cstheme="minorHAnsi"/>
          <w:color w:val="002060"/>
        </w:rPr>
        <w:t xml:space="preserve"> may </w:t>
      </w:r>
      <w:r w:rsidR="00480D77" w:rsidRPr="008629F3">
        <w:rPr>
          <w:rFonts w:cstheme="minorHAnsi"/>
          <w:color w:val="002060"/>
        </w:rPr>
        <w:t xml:space="preserve">eventually </w:t>
      </w:r>
      <w:r w:rsidRPr="008629F3">
        <w:rPr>
          <w:rFonts w:cstheme="minorHAnsi"/>
          <w:color w:val="002060"/>
        </w:rPr>
        <w:t xml:space="preserve">lead to a child being placed in alternative care. The Council of Europe’s </w:t>
      </w:r>
      <w:hyperlink r:id="rId24" w:history="1">
        <w:r w:rsidR="00480D77" w:rsidRPr="008629F3">
          <w:rPr>
            <w:color w:val="002060"/>
            <w:u w:val="single"/>
          </w:rPr>
          <w:t>Guidelines on child-friendly justice</w:t>
        </w:r>
        <w:r w:rsidR="00480D77" w:rsidRPr="008629F3">
          <w:rPr>
            <w:color w:val="002060"/>
          </w:rPr>
          <w:t xml:space="preserve"> </w:t>
        </w:r>
        <w:r w:rsidR="00480D77" w:rsidRPr="008629F3">
          <w:rPr>
            <w:rFonts w:cstheme="minorHAnsi"/>
            <w:color w:val="002060"/>
          </w:rPr>
          <w:t xml:space="preserve">provides important guidance towards treating all children </w:t>
        </w:r>
        <w:r w:rsidR="00FA1CC4" w:rsidRPr="008629F3">
          <w:rPr>
            <w:rFonts w:cstheme="minorHAnsi"/>
            <w:color w:val="002060"/>
          </w:rPr>
          <w:t>who</w:t>
        </w:r>
        <w:r w:rsidR="00480D77" w:rsidRPr="008629F3">
          <w:rPr>
            <w:rFonts w:cstheme="minorHAnsi"/>
            <w:color w:val="002060"/>
          </w:rPr>
          <w:t xml:space="preserve"> </w:t>
        </w:r>
        <w:proofErr w:type="gramStart"/>
        <w:r w:rsidR="00480D77" w:rsidRPr="008629F3">
          <w:rPr>
            <w:rFonts w:cstheme="minorHAnsi"/>
            <w:color w:val="002060"/>
          </w:rPr>
          <w:t>are affected</w:t>
        </w:r>
        <w:proofErr w:type="gramEnd"/>
        <w:r w:rsidR="00480D77" w:rsidRPr="008629F3">
          <w:rPr>
            <w:rFonts w:cstheme="minorHAnsi"/>
            <w:color w:val="002060"/>
          </w:rPr>
          <w:t xml:space="preserve"> by such </w:t>
        </w:r>
        <w:r w:rsidR="008A33C4" w:rsidRPr="008629F3">
          <w:rPr>
            <w:rFonts w:cstheme="minorHAnsi"/>
            <w:color w:val="002060"/>
          </w:rPr>
          <w:t xml:space="preserve">court </w:t>
        </w:r>
        <w:r w:rsidR="00480D77" w:rsidRPr="008629F3">
          <w:rPr>
            <w:rFonts w:cstheme="minorHAnsi"/>
            <w:color w:val="002060"/>
          </w:rPr>
          <w:t xml:space="preserve">proceedings with dignity, respect, care and fairness. </w:t>
        </w:r>
        <w:r w:rsidR="00FA1CC4" w:rsidRPr="008629F3">
          <w:rPr>
            <w:rFonts w:cstheme="minorHAnsi"/>
            <w:color w:val="002060"/>
          </w:rPr>
          <w:t xml:space="preserve">The </w:t>
        </w:r>
        <w:r w:rsidR="004A0E16" w:rsidRPr="008629F3">
          <w:rPr>
            <w:color w:val="002060"/>
          </w:rPr>
          <w:t xml:space="preserve">Committee of Experts on the Rights and the Best Interests of the Child in Parental Separation and in Care Proceedings </w:t>
        </w:r>
        <w:hyperlink r:id="rId25" w:history="1">
          <w:r w:rsidR="00FA1CC4" w:rsidRPr="008629F3">
            <w:rPr>
              <w:color w:val="002060"/>
              <w:u w:val="single"/>
            </w:rPr>
            <w:t>CJ/ENF-ISE</w:t>
          </w:r>
        </w:hyperlink>
        <w:r w:rsidR="00FA1CC4" w:rsidRPr="008629F3">
          <w:rPr>
            <w:color w:val="002060"/>
          </w:rPr>
          <w:t xml:space="preserve"> is currently in the process of comple</w:t>
        </w:r>
        <w:r w:rsidR="008A33C4" w:rsidRPr="008629F3">
          <w:rPr>
            <w:color w:val="002060"/>
          </w:rPr>
          <w:t>menting</w:t>
        </w:r>
        <w:r w:rsidR="00FA1CC4" w:rsidRPr="008629F3">
          <w:rPr>
            <w:color w:val="002060"/>
          </w:rPr>
          <w:t xml:space="preserve"> this work by developing guidance on the protection of the best interest of the child in placement proceedings</w:t>
        </w:r>
        <w:r w:rsidR="00037607" w:rsidRPr="008629F3">
          <w:rPr>
            <w:color w:val="002060"/>
          </w:rPr>
          <w:t xml:space="preserve">, and on </w:t>
        </w:r>
        <w:r w:rsidR="00037607" w:rsidRPr="008629F3">
          <w:rPr>
            <w:rFonts w:cstheme="minorHAnsi"/>
            <w:color w:val="002060"/>
          </w:rPr>
          <w:t>ensuring children’s participation in care proceedings.</w:t>
        </w:r>
      </w:hyperlink>
    </w:p>
    <w:p w14:paraId="172BA67B" w14:textId="09ABAEE2" w:rsidR="00D506A1" w:rsidRPr="008629F3" w:rsidRDefault="00D506A1" w:rsidP="002D5C2E">
      <w:pPr>
        <w:pStyle w:val="CommentText"/>
        <w:jc w:val="both"/>
        <w:rPr>
          <w:color w:val="002060"/>
          <w:sz w:val="22"/>
          <w:szCs w:val="22"/>
          <w:lang w:val="en-GB"/>
        </w:rPr>
      </w:pPr>
      <w:proofErr w:type="gramStart"/>
      <w:r w:rsidRPr="008629F3">
        <w:rPr>
          <w:color w:val="002060"/>
          <w:sz w:val="22"/>
          <w:szCs w:val="22"/>
          <w:lang w:val="en-GB"/>
        </w:rPr>
        <w:lastRenderedPageBreak/>
        <w:t xml:space="preserve">When it comes to the protection of children living in any form of alternative care setting, it is essential to implement the safeguards outlined in the </w:t>
      </w:r>
      <w:hyperlink r:id="rId26" w:history="1">
        <w:r w:rsidRPr="008629F3">
          <w:rPr>
            <w:rFonts w:ascii="Calibri" w:hAnsi="Calibri" w:cs="Calibri"/>
            <w:color w:val="002060"/>
            <w:sz w:val="22"/>
            <w:szCs w:val="22"/>
            <w:lang w:val="en-GB"/>
          </w:rPr>
          <w:t xml:space="preserve">Lanzarote Committee’s </w:t>
        </w:r>
        <w:r w:rsidRPr="008629F3">
          <w:rPr>
            <w:rStyle w:val="Hyperlink"/>
            <w:rFonts w:ascii="Calibri" w:hAnsi="Calibri" w:cs="Calibri"/>
            <w:color w:val="002060"/>
            <w:sz w:val="22"/>
            <w:szCs w:val="22"/>
            <w:lang w:val="en-GB"/>
          </w:rPr>
          <w:t>Declaration on protecting children in out-of-home care from sexual exploitation and sexual abuse</w:t>
        </w:r>
      </w:hyperlink>
      <w:r w:rsidRPr="008629F3">
        <w:rPr>
          <w:color w:val="002060"/>
          <w:sz w:val="22"/>
          <w:szCs w:val="22"/>
          <w:lang w:val="en-GB"/>
        </w:rPr>
        <w:t>, including comprehensive screening procedures for all persons taking care of children; adequate mechanisms for supporting children to disclose any sexual violence; protocols to ensure that, in the event of disclosure, effective follow-up is given in terms of assistance to the alleged victims and investigation of the alleged offences by the appropriate authorities; clear procedures to allow for the possibility of removing the alleged perpetrator from the out of home care setting from the onset of the investigation; and effective monitoring of the practices and standards, to prevent/combat child sexual abuse.</w:t>
      </w:r>
      <w:proofErr w:type="gramEnd"/>
      <w:r w:rsidRPr="008629F3">
        <w:rPr>
          <w:color w:val="002060"/>
          <w:sz w:val="22"/>
          <w:szCs w:val="22"/>
          <w:lang w:val="en-GB"/>
        </w:rPr>
        <w:t xml:space="preserve"> </w:t>
      </w:r>
      <w:r w:rsidR="004E2373" w:rsidRPr="008629F3">
        <w:rPr>
          <w:color w:val="002060"/>
          <w:sz w:val="22"/>
          <w:szCs w:val="22"/>
          <w:lang w:val="en-GB"/>
        </w:rPr>
        <w:t>In this respect, the Council of Europe is also working towards a new draft Recommendation on strengthening mechanisms for professionals to report violence against children (for 2022) that will be highly relevant for children in alternative care.</w:t>
      </w:r>
    </w:p>
    <w:p w14:paraId="1B520494" w14:textId="4ACB7273" w:rsidR="003644C2" w:rsidRPr="008629F3" w:rsidRDefault="003644C2" w:rsidP="003644C2">
      <w:pPr>
        <w:jc w:val="both"/>
        <w:rPr>
          <w:rFonts w:cstheme="minorHAnsi"/>
          <w:color w:val="002060"/>
        </w:rPr>
      </w:pPr>
      <w:r w:rsidRPr="008629F3">
        <w:rPr>
          <w:rFonts w:cstheme="minorHAnsi"/>
          <w:color w:val="002060"/>
        </w:rPr>
        <w:t xml:space="preserve">With regard to children who exhibit challenging behaviour, family- and community-based programmes </w:t>
      </w:r>
      <w:proofErr w:type="gramStart"/>
      <w:r w:rsidRPr="008629F3">
        <w:rPr>
          <w:rFonts w:cstheme="minorHAnsi"/>
          <w:color w:val="002060"/>
        </w:rPr>
        <w:t>are being developed</w:t>
      </w:r>
      <w:proofErr w:type="gramEnd"/>
      <w:r w:rsidRPr="008629F3">
        <w:rPr>
          <w:rFonts w:cstheme="minorHAnsi"/>
          <w:color w:val="002060"/>
        </w:rPr>
        <w:t xml:space="preserve"> to support them and their families to prevent family separation and unnecessary placement in alternative care. Yet, in many countries, children with challenging behaviour continue to </w:t>
      </w:r>
      <w:proofErr w:type="gramStart"/>
      <w:r w:rsidRPr="008629F3">
        <w:rPr>
          <w:rFonts w:cstheme="minorHAnsi"/>
          <w:color w:val="002060"/>
        </w:rPr>
        <w:t>be placed</w:t>
      </w:r>
      <w:proofErr w:type="gramEnd"/>
      <w:r w:rsidRPr="008629F3">
        <w:rPr>
          <w:rFonts w:cstheme="minorHAnsi"/>
          <w:color w:val="002060"/>
        </w:rPr>
        <w:t xml:space="preserve"> in residential alternative care settings. </w:t>
      </w:r>
    </w:p>
    <w:p w14:paraId="34866B6C" w14:textId="235D7E4B" w:rsidR="003644C2" w:rsidRPr="008629F3" w:rsidRDefault="003644C2" w:rsidP="003644C2">
      <w:pPr>
        <w:jc w:val="both"/>
        <w:rPr>
          <w:rFonts w:cstheme="minorHAnsi"/>
          <w:color w:val="002060"/>
        </w:rPr>
      </w:pPr>
      <w:r w:rsidRPr="008629F3">
        <w:rPr>
          <w:rFonts w:cstheme="minorHAnsi"/>
          <w:color w:val="002060"/>
        </w:rPr>
        <w:t xml:space="preserve">Sending children to alternative care across borders is also a </w:t>
      </w:r>
      <w:proofErr w:type="gramStart"/>
      <w:r w:rsidRPr="008629F3">
        <w:rPr>
          <w:rFonts w:cstheme="minorHAnsi"/>
          <w:color w:val="002060"/>
        </w:rPr>
        <w:t>practice which</w:t>
      </w:r>
      <w:proofErr w:type="gramEnd"/>
      <w:r w:rsidRPr="008629F3">
        <w:rPr>
          <w:rFonts w:cstheme="minorHAnsi"/>
          <w:color w:val="002060"/>
        </w:rPr>
        <w:t xml:space="preserve"> raises a number of questions relating to the rights of the children concerned, and to the responsibilities of both the sending and the receiving country to safeguard these rights, and the co-ordination between the countries concerned which is necessary to comply with these. </w:t>
      </w:r>
      <w:r w:rsidR="008A33C4" w:rsidRPr="008629F3">
        <w:rPr>
          <w:rFonts w:cstheme="minorHAnsi"/>
          <w:color w:val="002060"/>
        </w:rPr>
        <w:t xml:space="preserve">There exist promising </w:t>
      </w:r>
      <w:r w:rsidRPr="008629F3">
        <w:rPr>
          <w:rFonts w:cstheme="minorHAnsi"/>
          <w:color w:val="002060"/>
        </w:rPr>
        <w:t>examples in this context, involving careful assessment the child’s individual situation and the existence of reasonable grounds before considering placement in another country, which would merit further exploration</w:t>
      </w:r>
      <w:r w:rsidR="008A33C4" w:rsidRPr="008629F3">
        <w:rPr>
          <w:rFonts w:cstheme="minorHAnsi"/>
          <w:color w:val="002060"/>
        </w:rPr>
        <w:t xml:space="preserve"> and dissemination.</w:t>
      </w:r>
    </w:p>
    <w:p w14:paraId="55DFFD75" w14:textId="1A60D2BF" w:rsidR="004A0E16" w:rsidRPr="008629F3" w:rsidRDefault="003644C2" w:rsidP="00737DCF">
      <w:pPr>
        <w:jc w:val="both"/>
        <w:rPr>
          <w:rFonts w:cstheme="minorHAnsi"/>
          <w:color w:val="002060"/>
        </w:rPr>
      </w:pPr>
      <w:proofErr w:type="gramStart"/>
      <w:r w:rsidRPr="008629F3">
        <w:rPr>
          <w:rFonts w:cstheme="minorHAnsi"/>
          <w:color w:val="002060"/>
        </w:rPr>
        <w:t xml:space="preserve">The new Strategy for the Rights of the Child (2022-2027), which is currently under preparation by the CDENF, will have a strong focus on the needs and </w:t>
      </w:r>
      <w:r w:rsidR="00FA1CC4" w:rsidRPr="008629F3">
        <w:rPr>
          <w:rFonts w:cstheme="minorHAnsi"/>
          <w:color w:val="002060"/>
        </w:rPr>
        <w:t xml:space="preserve">the </w:t>
      </w:r>
      <w:r w:rsidRPr="008629F3">
        <w:rPr>
          <w:rFonts w:cstheme="minorHAnsi"/>
          <w:color w:val="002060"/>
        </w:rPr>
        <w:t xml:space="preserve">rights of children living in alternative care, </w:t>
      </w:r>
      <w:r w:rsidR="00037607" w:rsidRPr="008629F3">
        <w:rPr>
          <w:rFonts w:cstheme="minorHAnsi"/>
          <w:color w:val="002060"/>
        </w:rPr>
        <w:t>including</w:t>
      </w:r>
      <w:r w:rsidR="00FA1CC4" w:rsidRPr="008629F3">
        <w:rPr>
          <w:rFonts w:cstheme="minorHAnsi"/>
          <w:color w:val="002060"/>
        </w:rPr>
        <w:t xml:space="preserve">, as </w:t>
      </w:r>
      <w:r w:rsidRPr="008629F3">
        <w:rPr>
          <w:rFonts w:cstheme="minorHAnsi"/>
          <w:color w:val="002060"/>
        </w:rPr>
        <w:t xml:space="preserve">a cross-cutting issue, the </w:t>
      </w:r>
      <w:r w:rsidRPr="008629F3">
        <w:rPr>
          <w:rFonts w:cstheme="minorHAnsi"/>
          <w:color w:val="002060"/>
        </w:rPr>
        <w:lastRenderedPageBreak/>
        <w:t>implementation of an anti-discrimination approach, which accounts for children’s varied situations and seeks to fight discrimination against all groups of children, including children living in alternative care.</w:t>
      </w:r>
      <w:proofErr w:type="gramEnd"/>
      <w:r w:rsidR="00FA1CC4" w:rsidRPr="008629F3">
        <w:rPr>
          <w:rFonts w:cstheme="minorHAnsi"/>
          <w:color w:val="002060"/>
        </w:rPr>
        <w:t xml:space="preserve"> The </w:t>
      </w:r>
      <w:r w:rsidR="004A0E16" w:rsidRPr="008629F3">
        <w:rPr>
          <w:rFonts w:cstheme="minorHAnsi"/>
          <w:color w:val="002060"/>
        </w:rPr>
        <w:t>S</w:t>
      </w:r>
      <w:r w:rsidR="00FA1CC4" w:rsidRPr="008629F3">
        <w:rPr>
          <w:rFonts w:cstheme="minorHAnsi"/>
          <w:color w:val="002060"/>
        </w:rPr>
        <w:t xml:space="preserve">trategy </w:t>
      </w:r>
      <w:proofErr w:type="gramStart"/>
      <w:r w:rsidR="00FA1CC4" w:rsidRPr="008629F3">
        <w:rPr>
          <w:rFonts w:cstheme="minorHAnsi"/>
          <w:color w:val="002060"/>
        </w:rPr>
        <w:t>will</w:t>
      </w:r>
      <w:r w:rsidR="00037607" w:rsidRPr="008629F3">
        <w:rPr>
          <w:rFonts w:cstheme="minorHAnsi"/>
          <w:color w:val="002060"/>
        </w:rPr>
        <w:t xml:space="preserve"> be implemented by</w:t>
      </w:r>
      <w:r w:rsidR="00FA1CC4" w:rsidRPr="008629F3">
        <w:rPr>
          <w:rFonts w:cstheme="minorHAnsi"/>
          <w:color w:val="002060"/>
        </w:rPr>
        <w:t xml:space="preserve"> concrete actions</w:t>
      </w:r>
      <w:r w:rsidR="00037607" w:rsidRPr="008629F3">
        <w:rPr>
          <w:rFonts w:cstheme="minorHAnsi"/>
          <w:color w:val="002060"/>
        </w:rPr>
        <w:t>, promoted by the Council of Europe and implemented by its member States, together with their strong partners, aimed at</w:t>
      </w:r>
      <w:r w:rsidR="00FA1CC4" w:rsidRPr="008629F3">
        <w:rPr>
          <w:rFonts w:cstheme="minorHAnsi"/>
          <w:color w:val="002060"/>
        </w:rPr>
        <w:t xml:space="preserve"> p</w:t>
      </w:r>
      <w:r w:rsidRPr="008629F3">
        <w:rPr>
          <w:rFonts w:cstheme="minorHAnsi"/>
          <w:color w:val="002060"/>
        </w:rPr>
        <w:t>rotecting children without parental care and/or living in alternative care</w:t>
      </w:r>
      <w:proofErr w:type="gramEnd"/>
      <w:r w:rsidR="00037607" w:rsidRPr="008629F3">
        <w:rPr>
          <w:rFonts w:cstheme="minorHAnsi"/>
          <w:color w:val="002060"/>
        </w:rPr>
        <w:t xml:space="preserve">. </w:t>
      </w:r>
    </w:p>
    <w:p w14:paraId="77F7121A" w14:textId="4D62799B" w:rsidR="003644C2" w:rsidRPr="008629F3" w:rsidRDefault="00037607" w:rsidP="00737DCF">
      <w:pPr>
        <w:jc w:val="both"/>
        <w:rPr>
          <w:rFonts w:cstheme="minorHAnsi"/>
          <w:color w:val="002060"/>
        </w:rPr>
      </w:pPr>
      <w:proofErr w:type="gramStart"/>
      <w:r w:rsidRPr="008629F3">
        <w:rPr>
          <w:rFonts w:cstheme="minorHAnsi"/>
          <w:color w:val="002060"/>
        </w:rPr>
        <w:t>The</w:t>
      </w:r>
      <w:r w:rsidR="008F26A2" w:rsidRPr="008629F3">
        <w:rPr>
          <w:rFonts w:cstheme="minorHAnsi"/>
          <w:color w:val="002060"/>
        </w:rPr>
        <w:t xml:space="preserve">se </w:t>
      </w:r>
      <w:r w:rsidRPr="008629F3">
        <w:rPr>
          <w:rFonts w:cstheme="minorHAnsi"/>
          <w:color w:val="002060"/>
        </w:rPr>
        <w:t>actions will include s</w:t>
      </w:r>
      <w:r w:rsidR="003644C2" w:rsidRPr="008629F3">
        <w:rPr>
          <w:rFonts w:cstheme="minorHAnsi"/>
          <w:color w:val="002060"/>
        </w:rPr>
        <w:t>upporting the transition of children in vulnerable situations into adulthood, including for children leaving care</w:t>
      </w:r>
      <w:r w:rsidRPr="008629F3">
        <w:rPr>
          <w:rFonts w:cstheme="minorHAnsi"/>
          <w:color w:val="002060"/>
        </w:rPr>
        <w:t xml:space="preserve">; </w:t>
      </w:r>
      <w:r w:rsidR="003644C2" w:rsidRPr="008629F3">
        <w:rPr>
          <w:rFonts w:cstheme="minorHAnsi"/>
          <w:color w:val="002060"/>
        </w:rPr>
        <w:t>protect</w:t>
      </w:r>
      <w:r w:rsidR="008F26A2" w:rsidRPr="008629F3">
        <w:rPr>
          <w:rFonts w:cstheme="minorHAnsi"/>
          <w:color w:val="002060"/>
        </w:rPr>
        <w:t>ing</w:t>
      </w:r>
      <w:r w:rsidR="003644C2" w:rsidRPr="008629F3">
        <w:rPr>
          <w:rFonts w:cstheme="minorHAnsi"/>
          <w:color w:val="002060"/>
        </w:rPr>
        <w:t xml:space="preserve"> children on the move by</w:t>
      </w:r>
      <w:r w:rsidRPr="008629F3">
        <w:rPr>
          <w:rFonts w:cstheme="minorHAnsi"/>
          <w:color w:val="002060"/>
        </w:rPr>
        <w:t xml:space="preserve"> </w:t>
      </w:r>
      <w:r w:rsidR="003644C2" w:rsidRPr="008629F3">
        <w:rPr>
          <w:rFonts w:cstheme="minorHAnsi"/>
          <w:color w:val="002060"/>
        </w:rPr>
        <w:t>promoting family and community-based care solutions</w:t>
      </w:r>
      <w:r w:rsidRPr="008629F3">
        <w:rPr>
          <w:rFonts w:cstheme="minorHAnsi"/>
          <w:color w:val="002060"/>
        </w:rPr>
        <w:t xml:space="preserve"> in place of immigration detention, and support</w:t>
      </w:r>
      <w:r w:rsidR="008F26A2" w:rsidRPr="008629F3">
        <w:rPr>
          <w:rFonts w:cstheme="minorHAnsi"/>
          <w:color w:val="002060"/>
        </w:rPr>
        <w:t>ing</w:t>
      </w:r>
      <w:r w:rsidRPr="008629F3">
        <w:rPr>
          <w:rFonts w:cstheme="minorHAnsi"/>
          <w:color w:val="002060"/>
        </w:rPr>
        <w:t xml:space="preserve"> </w:t>
      </w:r>
      <w:r w:rsidR="003644C2" w:rsidRPr="008629F3">
        <w:rPr>
          <w:rFonts w:cstheme="minorHAnsi"/>
          <w:color w:val="002060"/>
        </w:rPr>
        <w:t xml:space="preserve">member States in making existing institutions and services attentive and reactive to situations of child poverty and exclusion, including through systematic child impact assessments and through supporting families, </w:t>
      </w:r>
      <w:r w:rsidR="008F26A2" w:rsidRPr="008629F3">
        <w:rPr>
          <w:rFonts w:cstheme="minorHAnsi"/>
          <w:color w:val="002060"/>
        </w:rPr>
        <w:t xml:space="preserve">thus </w:t>
      </w:r>
      <w:r w:rsidR="003644C2" w:rsidRPr="008629F3">
        <w:rPr>
          <w:rFonts w:cstheme="minorHAnsi"/>
          <w:color w:val="002060"/>
        </w:rPr>
        <w:t xml:space="preserve">also </w:t>
      </w:r>
      <w:r w:rsidR="008F26A2" w:rsidRPr="008629F3">
        <w:rPr>
          <w:rFonts w:cstheme="minorHAnsi"/>
          <w:color w:val="002060"/>
        </w:rPr>
        <w:t>avoiding</w:t>
      </w:r>
      <w:r w:rsidR="003644C2" w:rsidRPr="008629F3">
        <w:rPr>
          <w:rFonts w:cstheme="minorHAnsi"/>
          <w:color w:val="002060"/>
        </w:rPr>
        <w:t xml:space="preserve"> child-family separation.</w:t>
      </w:r>
      <w:proofErr w:type="gramEnd"/>
      <w:r w:rsidR="003644C2" w:rsidRPr="008629F3">
        <w:rPr>
          <w:rFonts w:cstheme="minorHAnsi"/>
          <w:color w:val="002060"/>
        </w:rPr>
        <w:t xml:space="preserve"> </w:t>
      </w:r>
    </w:p>
    <w:p w14:paraId="67BC5E71" w14:textId="2BBB7745" w:rsidR="00B91BBA" w:rsidRPr="008629F3" w:rsidRDefault="008A33C4" w:rsidP="002D5C2E">
      <w:pPr>
        <w:jc w:val="both"/>
      </w:pPr>
      <w:r w:rsidRPr="008629F3">
        <w:rPr>
          <w:rFonts w:cstheme="minorHAnsi"/>
          <w:color w:val="002060"/>
        </w:rPr>
        <w:t>Together with its partner</w:t>
      </w:r>
      <w:r w:rsidR="0057133A" w:rsidRPr="008629F3">
        <w:rPr>
          <w:rFonts w:cstheme="minorHAnsi"/>
          <w:color w:val="002060"/>
        </w:rPr>
        <w:t>s</w:t>
      </w:r>
      <w:r w:rsidRPr="008629F3">
        <w:rPr>
          <w:rFonts w:cstheme="minorHAnsi"/>
          <w:color w:val="002060"/>
        </w:rPr>
        <w:t xml:space="preserve"> at the Regional and Global level</w:t>
      </w:r>
      <w:r w:rsidR="0057133A" w:rsidRPr="008629F3">
        <w:rPr>
          <w:rFonts w:cstheme="minorHAnsi"/>
          <w:color w:val="002060"/>
        </w:rPr>
        <w:t>s,</w:t>
      </w:r>
      <w:r w:rsidR="008F26A2" w:rsidRPr="008629F3">
        <w:rPr>
          <w:rFonts w:cstheme="minorHAnsi"/>
          <w:color w:val="002060"/>
        </w:rPr>
        <w:t xml:space="preserve"> </w:t>
      </w:r>
      <w:r w:rsidRPr="008629F3">
        <w:rPr>
          <w:rFonts w:cstheme="minorHAnsi"/>
          <w:color w:val="002060"/>
        </w:rPr>
        <w:t xml:space="preserve">the Council of Europe </w:t>
      </w:r>
      <w:r w:rsidR="008A4308" w:rsidRPr="008629F3">
        <w:rPr>
          <w:rFonts w:cstheme="minorHAnsi"/>
          <w:color w:val="002060"/>
        </w:rPr>
        <w:t xml:space="preserve">thus </w:t>
      </w:r>
      <w:r w:rsidR="008F26A2" w:rsidRPr="008629F3">
        <w:rPr>
          <w:rFonts w:cstheme="minorHAnsi"/>
          <w:color w:val="002060"/>
        </w:rPr>
        <w:t>assumes its role</w:t>
      </w:r>
      <w:r w:rsidRPr="008629F3">
        <w:rPr>
          <w:rFonts w:cstheme="minorHAnsi"/>
          <w:color w:val="002060"/>
        </w:rPr>
        <w:t xml:space="preserve"> </w:t>
      </w:r>
      <w:r w:rsidR="008F26A2" w:rsidRPr="008629F3">
        <w:rPr>
          <w:rFonts w:cstheme="minorHAnsi"/>
          <w:color w:val="002060"/>
        </w:rPr>
        <w:t>in</w:t>
      </w:r>
      <w:r w:rsidRPr="008629F3">
        <w:rPr>
          <w:rFonts w:cstheme="minorHAnsi"/>
          <w:color w:val="002060"/>
        </w:rPr>
        <w:t xml:space="preserve"> promoting the rights of all children</w:t>
      </w:r>
      <w:r w:rsidR="008F26A2" w:rsidRPr="008629F3">
        <w:rPr>
          <w:rFonts w:cstheme="minorHAnsi"/>
          <w:color w:val="002060"/>
        </w:rPr>
        <w:t xml:space="preserve"> living in Europe</w:t>
      </w:r>
      <w:r w:rsidR="004A0E16" w:rsidRPr="008629F3">
        <w:rPr>
          <w:rFonts w:cstheme="minorHAnsi"/>
          <w:color w:val="002060"/>
        </w:rPr>
        <w:t xml:space="preserve">, including children in alternative care. </w:t>
      </w:r>
      <w:proofErr w:type="gramStart"/>
      <w:r w:rsidR="004A0E16" w:rsidRPr="008629F3">
        <w:rPr>
          <w:rFonts w:cstheme="minorHAnsi"/>
          <w:color w:val="002060"/>
        </w:rPr>
        <w:t>For these children, three objectives are in the focus</w:t>
      </w:r>
      <w:r w:rsidR="002461D2" w:rsidRPr="008629F3">
        <w:rPr>
          <w:rFonts w:cstheme="minorHAnsi"/>
          <w:color w:val="002060"/>
        </w:rPr>
        <w:t>, always</w:t>
      </w:r>
      <w:r w:rsidR="004A0E16" w:rsidRPr="008629F3">
        <w:rPr>
          <w:rFonts w:cstheme="minorHAnsi"/>
          <w:color w:val="002060"/>
        </w:rPr>
        <w:t xml:space="preserve"> </w:t>
      </w:r>
      <w:r w:rsidR="002461D2" w:rsidRPr="008629F3">
        <w:rPr>
          <w:rFonts w:cstheme="minorHAnsi"/>
          <w:color w:val="002060"/>
        </w:rPr>
        <w:t>in the light of the best interest of the child</w:t>
      </w:r>
      <w:r w:rsidR="004A0E16" w:rsidRPr="008629F3">
        <w:rPr>
          <w:rFonts w:cstheme="minorHAnsi"/>
          <w:color w:val="002060"/>
        </w:rPr>
        <w:t xml:space="preserve">: </w:t>
      </w:r>
      <w:r w:rsidR="002461D2" w:rsidRPr="008629F3">
        <w:rPr>
          <w:rFonts w:cstheme="minorHAnsi"/>
          <w:color w:val="002060"/>
        </w:rPr>
        <w:br/>
        <w:t xml:space="preserve">(1) </w:t>
      </w:r>
      <w:r w:rsidR="004A0E16" w:rsidRPr="008629F3">
        <w:rPr>
          <w:rFonts w:cstheme="minorHAnsi"/>
          <w:color w:val="002060"/>
        </w:rPr>
        <w:t xml:space="preserve">preventing </w:t>
      </w:r>
      <w:r w:rsidR="002461D2" w:rsidRPr="008629F3">
        <w:rPr>
          <w:rFonts w:cstheme="minorHAnsi"/>
          <w:color w:val="002060"/>
        </w:rPr>
        <w:t xml:space="preserve">family separation and the placement in </w:t>
      </w:r>
      <w:r w:rsidR="004A0E16" w:rsidRPr="008629F3">
        <w:rPr>
          <w:rFonts w:cstheme="minorHAnsi"/>
          <w:color w:val="002060"/>
        </w:rPr>
        <w:t xml:space="preserve">alternative care for all children, </w:t>
      </w:r>
      <w:r w:rsidR="002461D2" w:rsidRPr="008629F3">
        <w:rPr>
          <w:rFonts w:cstheme="minorHAnsi"/>
          <w:color w:val="002060"/>
        </w:rPr>
        <w:t>(2) protecting and supporting children who need to be placed in alternative care also by finding the most appropriate care setting for them, and (3) keeping a close eye and promoting special support to children in particularly vulnerable situations (including, for example, migrants, children with behavioural problems or children in transition to adulthood)</w:t>
      </w:r>
      <w:r w:rsidR="00C760B4">
        <w:rPr>
          <w:rFonts w:cstheme="minorHAnsi"/>
          <w:color w:val="002060"/>
        </w:rPr>
        <w:t>.</w:t>
      </w:r>
      <w:proofErr w:type="gramEnd"/>
    </w:p>
    <w:p w14:paraId="41B797E3" w14:textId="1AFD0A0A" w:rsidR="00B91BBA" w:rsidRPr="008629F3" w:rsidRDefault="00B91BBA" w:rsidP="00B91BBA"/>
    <w:p w14:paraId="7876E584" w14:textId="6808BCAE" w:rsidR="00B91BBA" w:rsidRPr="008629F3" w:rsidRDefault="00B91BBA" w:rsidP="00B91BBA">
      <w:pPr>
        <w:rPr>
          <w:rFonts w:cstheme="minorHAnsi"/>
          <w:color w:val="002060"/>
        </w:rPr>
      </w:pPr>
      <w:r w:rsidRPr="008629F3">
        <w:rPr>
          <w:rFonts w:cstheme="minorHAnsi"/>
          <w:color w:val="002060"/>
        </w:rPr>
        <w:t>Appendix 1: Agenda of the Regional Discussion, 1 June 2021</w:t>
      </w:r>
    </w:p>
    <w:p w14:paraId="323B5A05" w14:textId="40E28585" w:rsidR="00B91BBA" w:rsidRPr="008629F3" w:rsidRDefault="00B91BBA" w:rsidP="00B91BBA">
      <w:pPr>
        <w:rPr>
          <w:rFonts w:cstheme="minorHAnsi"/>
          <w:color w:val="002060"/>
        </w:rPr>
      </w:pPr>
      <w:r w:rsidRPr="008629F3">
        <w:rPr>
          <w:rFonts w:cstheme="minorHAnsi"/>
          <w:color w:val="002060"/>
        </w:rPr>
        <w:t>Appendix 2: List of relevant Council of Europe standards and resources</w:t>
      </w:r>
    </w:p>
    <w:p w14:paraId="3E947D5D" w14:textId="74ABC940" w:rsidR="008172A2" w:rsidRDefault="008172A2" w:rsidP="002514C1">
      <w:pPr>
        <w:rPr>
          <w:rFonts w:cstheme="minorHAnsi"/>
          <w:color w:val="002060"/>
          <w:lang w:val="en-US"/>
        </w:rPr>
      </w:pPr>
    </w:p>
    <w:p w14:paraId="420F5212" w14:textId="77777777" w:rsidR="008629F3" w:rsidRDefault="008629F3" w:rsidP="008629F3">
      <w:pPr>
        <w:rPr>
          <w:rFonts w:cstheme="minorHAnsi"/>
          <w:lang w:val="en-US"/>
        </w:rPr>
      </w:pPr>
    </w:p>
    <w:p w14:paraId="1B90481A" w14:textId="77777777" w:rsidR="008629F3" w:rsidRDefault="008629F3" w:rsidP="008629F3">
      <w:pPr>
        <w:rPr>
          <w:rFonts w:cstheme="minorHAnsi"/>
          <w:b/>
          <w:bCs/>
          <w:color w:val="002060"/>
          <w:lang w:val="en-US"/>
        </w:rPr>
      </w:pPr>
    </w:p>
    <w:p w14:paraId="485A6DDB" w14:textId="77777777" w:rsidR="008629F3" w:rsidRDefault="008629F3" w:rsidP="008629F3">
      <w:pPr>
        <w:rPr>
          <w:rFonts w:cstheme="minorHAnsi"/>
          <w:b/>
          <w:bCs/>
          <w:color w:val="002060"/>
          <w:lang w:val="en-US"/>
        </w:rPr>
      </w:pPr>
    </w:p>
    <w:p w14:paraId="24D322A5" w14:textId="77777777" w:rsidR="008629F3" w:rsidRDefault="008629F3" w:rsidP="008629F3">
      <w:pPr>
        <w:rPr>
          <w:rFonts w:cstheme="minorHAnsi"/>
          <w:b/>
          <w:bCs/>
          <w:color w:val="002060"/>
          <w:lang w:val="en-US"/>
        </w:rPr>
      </w:pPr>
    </w:p>
    <w:p w14:paraId="30D1025E" w14:textId="77777777" w:rsidR="008629F3" w:rsidRDefault="008629F3" w:rsidP="008629F3">
      <w:pPr>
        <w:rPr>
          <w:rFonts w:cstheme="minorHAnsi"/>
          <w:b/>
          <w:bCs/>
          <w:color w:val="002060"/>
          <w:lang w:val="en-US"/>
        </w:rPr>
      </w:pPr>
    </w:p>
    <w:p w14:paraId="12B6EFD8" w14:textId="77777777" w:rsidR="008629F3" w:rsidRDefault="008629F3" w:rsidP="008629F3">
      <w:pPr>
        <w:rPr>
          <w:rFonts w:cstheme="minorHAnsi"/>
          <w:b/>
          <w:bCs/>
          <w:color w:val="002060"/>
          <w:lang w:val="en-US"/>
        </w:rPr>
      </w:pPr>
    </w:p>
    <w:p w14:paraId="3FFC3D9E" w14:textId="77777777" w:rsidR="008629F3" w:rsidRDefault="008629F3" w:rsidP="008629F3">
      <w:pPr>
        <w:rPr>
          <w:rFonts w:cstheme="minorHAnsi"/>
          <w:b/>
          <w:bCs/>
          <w:color w:val="002060"/>
          <w:lang w:val="en-US"/>
        </w:rPr>
      </w:pPr>
    </w:p>
    <w:p w14:paraId="59664944" w14:textId="77777777" w:rsidR="008629F3" w:rsidRDefault="008629F3" w:rsidP="008629F3">
      <w:pPr>
        <w:rPr>
          <w:rFonts w:cstheme="minorHAnsi"/>
          <w:b/>
          <w:bCs/>
          <w:color w:val="002060"/>
          <w:lang w:val="en-US"/>
        </w:rPr>
      </w:pPr>
    </w:p>
    <w:p w14:paraId="0C9D7D3D" w14:textId="77777777" w:rsidR="008629F3" w:rsidRDefault="008629F3" w:rsidP="008629F3">
      <w:pPr>
        <w:rPr>
          <w:rFonts w:cstheme="minorHAnsi"/>
          <w:b/>
          <w:bCs/>
          <w:color w:val="002060"/>
          <w:lang w:val="en-US"/>
        </w:rPr>
      </w:pPr>
    </w:p>
    <w:p w14:paraId="1EB24D1D" w14:textId="77777777" w:rsidR="008629F3" w:rsidRDefault="008629F3" w:rsidP="008629F3">
      <w:pPr>
        <w:rPr>
          <w:rFonts w:cstheme="minorHAnsi"/>
          <w:b/>
          <w:bCs/>
          <w:color w:val="002060"/>
          <w:lang w:val="en-US"/>
        </w:rPr>
      </w:pPr>
    </w:p>
    <w:p w14:paraId="2C7E607B" w14:textId="77777777" w:rsidR="008629F3" w:rsidRDefault="008629F3" w:rsidP="008629F3">
      <w:pPr>
        <w:rPr>
          <w:rFonts w:cstheme="minorHAnsi"/>
          <w:b/>
          <w:bCs/>
          <w:color w:val="002060"/>
          <w:lang w:val="en-US"/>
        </w:rPr>
      </w:pPr>
    </w:p>
    <w:p w14:paraId="74BAC032" w14:textId="77777777" w:rsidR="008629F3" w:rsidRDefault="008629F3" w:rsidP="008629F3">
      <w:pPr>
        <w:rPr>
          <w:rFonts w:cstheme="minorHAnsi"/>
          <w:b/>
          <w:bCs/>
          <w:color w:val="002060"/>
          <w:lang w:val="en-US"/>
        </w:rPr>
      </w:pPr>
    </w:p>
    <w:p w14:paraId="418D7A50" w14:textId="77777777" w:rsidR="008629F3" w:rsidRDefault="008629F3" w:rsidP="008629F3">
      <w:pPr>
        <w:rPr>
          <w:rFonts w:cstheme="minorHAnsi"/>
          <w:b/>
          <w:bCs/>
          <w:color w:val="002060"/>
          <w:lang w:val="en-US"/>
        </w:rPr>
      </w:pPr>
    </w:p>
    <w:p w14:paraId="112639DD" w14:textId="77777777" w:rsidR="008629F3" w:rsidRDefault="008629F3" w:rsidP="008629F3">
      <w:pPr>
        <w:rPr>
          <w:rFonts w:cstheme="minorHAnsi"/>
          <w:b/>
          <w:bCs/>
          <w:color w:val="002060"/>
          <w:lang w:val="en-US"/>
        </w:rPr>
      </w:pPr>
    </w:p>
    <w:p w14:paraId="7DB55343" w14:textId="77777777" w:rsidR="008629F3" w:rsidRDefault="008629F3" w:rsidP="008629F3">
      <w:pPr>
        <w:rPr>
          <w:rFonts w:cstheme="minorHAnsi"/>
          <w:b/>
          <w:bCs/>
          <w:color w:val="002060"/>
          <w:lang w:val="en-US"/>
        </w:rPr>
      </w:pPr>
    </w:p>
    <w:p w14:paraId="09D921C3" w14:textId="64B7E411" w:rsidR="008629F3" w:rsidRPr="008629F3" w:rsidRDefault="003A6FB2" w:rsidP="008629F3">
      <w:pPr>
        <w:rPr>
          <w:rFonts w:cstheme="minorHAnsi"/>
          <w:b/>
          <w:bCs/>
          <w:color w:val="002060"/>
          <w:lang w:val="en-US"/>
        </w:rPr>
      </w:pPr>
      <w:r w:rsidRPr="008629F3">
        <w:rPr>
          <w:rFonts w:cstheme="minorHAnsi"/>
          <w:b/>
          <w:bCs/>
          <w:color w:val="002060"/>
          <w:lang w:val="en-US"/>
        </w:rPr>
        <w:t>Appendix 1: Agenda of the Regional Discussion, 1 June 2021</w:t>
      </w:r>
      <w:r w:rsidR="008629F3">
        <w:rPr>
          <w:rFonts w:cstheme="minorHAnsi"/>
          <w:b/>
          <w:bCs/>
          <w:color w:val="002060"/>
          <w:lang w:val="en-US"/>
        </w:rPr>
        <w:t>, 09:30 – 17:00 (CET)</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1"/>
        <w:gridCol w:w="8369"/>
      </w:tblGrid>
      <w:tr w:rsidR="008629F3" w:rsidRPr="008629F3" w14:paraId="481C7D3E" w14:textId="77777777" w:rsidTr="008629F3">
        <w:trPr>
          <w:trHeight w:val="567"/>
          <w:jc w:val="center"/>
        </w:trPr>
        <w:tc>
          <w:tcPr>
            <w:tcW w:w="1021" w:type="dxa"/>
            <w:shd w:val="clear" w:color="auto" w:fill="AEAAAA" w:themeFill="background2" w:themeFillShade="BF"/>
            <w:tcMar>
              <w:top w:w="0" w:type="dxa"/>
              <w:left w:w="108" w:type="dxa"/>
              <w:bottom w:w="0" w:type="dxa"/>
              <w:right w:w="108" w:type="dxa"/>
            </w:tcMar>
          </w:tcPr>
          <w:p w14:paraId="69F0E8CA"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r w:rsidRPr="008629F3">
              <w:rPr>
                <w:rFonts w:eastAsia="Times New Roman" w:cstheme="minorHAnsi"/>
                <w:b/>
                <w:bCs/>
                <w:color w:val="000000"/>
              </w:rPr>
              <w:t>9:30</w:t>
            </w:r>
          </w:p>
        </w:tc>
        <w:tc>
          <w:tcPr>
            <w:tcW w:w="8369" w:type="dxa"/>
            <w:shd w:val="clear" w:color="auto" w:fill="AEAAAA" w:themeFill="background2" w:themeFillShade="BF"/>
            <w:tcMar>
              <w:top w:w="0" w:type="dxa"/>
              <w:left w:w="108" w:type="dxa"/>
              <w:bottom w:w="0" w:type="dxa"/>
              <w:right w:w="108" w:type="dxa"/>
            </w:tcMar>
          </w:tcPr>
          <w:p w14:paraId="5A1F7B00" w14:textId="77777777" w:rsidR="008629F3" w:rsidRPr="008629F3" w:rsidRDefault="008629F3" w:rsidP="008629F3">
            <w:pPr>
              <w:autoSpaceDE w:val="0"/>
              <w:autoSpaceDN w:val="0"/>
              <w:adjustRightInd w:val="0"/>
              <w:spacing w:after="0" w:line="240" w:lineRule="auto"/>
              <w:jc w:val="both"/>
              <w:rPr>
                <w:rFonts w:eastAsia="Times New Roman" w:cstheme="minorHAnsi"/>
                <w:b/>
                <w:bCs/>
                <w:color w:val="000000"/>
              </w:rPr>
            </w:pPr>
            <w:r w:rsidRPr="008629F3">
              <w:rPr>
                <w:rFonts w:eastAsia="Times New Roman" w:cstheme="minorHAnsi"/>
                <w:b/>
                <w:bCs/>
                <w:color w:val="000000"/>
              </w:rPr>
              <w:t>Opening session</w:t>
            </w:r>
          </w:p>
          <w:p w14:paraId="04BEA53E" w14:textId="77777777" w:rsidR="008629F3" w:rsidRPr="008629F3" w:rsidRDefault="008629F3" w:rsidP="008629F3">
            <w:pPr>
              <w:autoSpaceDE w:val="0"/>
              <w:autoSpaceDN w:val="0"/>
              <w:adjustRightInd w:val="0"/>
              <w:spacing w:after="0" w:line="240" w:lineRule="auto"/>
              <w:jc w:val="both"/>
              <w:rPr>
                <w:rFonts w:eastAsia="Times New Roman" w:cstheme="minorHAnsi"/>
                <w:b/>
                <w:bCs/>
                <w:color w:val="000000"/>
                <w:sz w:val="10"/>
                <w:szCs w:val="10"/>
              </w:rPr>
            </w:pPr>
          </w:p>
          <w:p w14:paraId="20D5E0C4" w14:textId="77777777" w:rsidR="008629F3" w:rsidRPr="008629F3" w:rsidRDefault="008629F3" w:rsidP="008629F3">
            <w:pPr>
              <w:autoSpaceDE w:val="0"/>
              <w:autoSpaceDN w:val="0"/>
              <w:adjustRightInd w:val="0"/>
              <w:spacing w:after="0" w:line="240" w:lineRule="auto"/>
              <w:jc w:val="both"/>
              <w:rPr>
                <w:rFonts w:cstheme="minorHAnsi"/>
                <w:color w:val="000000"/>
              </w:rPr>
            </w:pPr>
            <w:r w:rsidRPr="008629F3">
              <w:rPr>
                <w:rFonts w:cstheme="minorHAnsi"/>
                <w:color w:val="000000"/>
              </w:rPr>
              <w:t>Chair: Maria-</w:t>
            </w:r>
            <w:proofErr w:type="spellStart"/>
            <w:r w:rsidRPr="008629F3">
              <w:rPr>
                <w:rFonts w:cstheme="minorHAnsi"/>
                <w:color w:val="000000"/>
              </w:rPr>
              <w:t>Andriani</w:t>
            </w:r>
            <w:proofErr w:type="spellEnd"/>
            <w:r w:rsidRPr="008629F3">
              <w:rPr>
                <w:rFonts w:cstheme="minorHAnsi"/>
                <w:color w:val="000000"/>
              </w:rPr>
              <w:t xml:space="preserve"> KOSTOPOULOU, Chair of the CDENF</w:t>
            </w:r>
          </w:p>
        </w:tc>
      </w:tr>
      <w:tr w:rsidR="008629F3" w:rsidRPr="008629F3" w14:paraId="184B85D7" w14:textId="77777777" w:rsidTr="008629F3">
        <w:trPr>
          <w:cantSplit/>
          <w:trHeight w:val="1261"/>
          <w:jc w:val="center"/>
        </w:trPr>
        <w:tc>
          <w:tcPr>
            <w:tcW w:w="1021" w:type="dxa"/>
            <w:tcMar>
              <w:top w:w="0" w:type="dxa"/>
              <w:left w:w="108" w:type="dxa"/>
              <w:bottom w:w="0" w:type="dxa"/>
              <w:right w:w="108" w:type="dxa"/>
            </w:tcMar>
          </w:tcPr>
          <w:p w14:paraId="07FD9CA7"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p>
        </w:tc>
        <w:tc>
          <w:tcPr>
            <w:tcW w:w="8369" w:type="dxa"/>
            <w:tcMar>
              <w:top w:w="0" w:type="dxa"/>
              <w:left w:w="108" w:type="dxa"/>
              <w:bottom w:w="0" w:type="dxa"/>
              <w:right w:w="108" w:type="dxa"/>
            </w:tcMar>
          </w:tcPr>
          <w:p w14:paraId="276F6014" w14:textId="77777777" w:rsidR="008629F3" w:rsidRPr="008629F3" w:rsidRDefault="008629F3" w:rsidP="008629F3">
            <w:pPr>
              <w:autoSpaceDE w:val="0"/>
              <w:autoSpaceDN w:val="0"/>
              <w:spacing w:after="0" w:line="240" w:lineRule="auto"/>
              <w:jc w:val="both"/>
              <w:rPr>
                <w:rFonts w:eastAsia="Times New Roman" w:cstheme="minorHAnsi"/>
                <w:color w:val="000000"/>
              </w:rPr>
            </w:pPr>
          </w:p>
          <w:p w14:paraId="76C59596" w14:textId="77777777" w:rsidR="008629F3" w:rsidRPr="008629F3" w:rsidRDefault="008629F3" w:rsidP="008629F3">
            <w:pPr>
              <w:autoSpaceDE w:val="0"/>
              <w:autoSpaceDN w:val="0"/>
              <w:spacing w:after="0" w:line="240" w:lineRule="auto"/>
              <w:jc w:val="both"/>
              <w:rPr>
                <w:rFonts w:eastAsia="Times New Roman" w:cstheme="minorHAnsi"/>
                <w:color w:val="000000"/>
              </w:rPr>
            </w:pPr>
            <w:r w:rsidRPr="008629F3">
              <w:rPr>
                <w:rFonts w:eastAsia="Times New Roman" w:cstheme="minorHAnsi"/>
                <w:color w:val="000000"/>
              </w:rPr>
              <w:t>Elda MORENO, Head of the Council of Europe Children’s Rights and Sport Values Department</w:t>
            </w:r>
          </w:p>
          <w:p w14:paraId="15088FC9" w14:textId="77777777" w:rsidR="008629F3" w:rsidRPr="008629F3" w:rsidRDefault="008629F3" w:rsidP="008629F3">
            <w:pPr>
              <w:autoSpaceDE w:val="0"/>
              <w:autoSpaceDN w:val="0"/>
              <w:spacing w:after="0" w:line="240" w:lineRule="auto"/>
              <w:ind w:left="720"/>
              <w:jc w:val="both"/>
              <w:rPr>
                <w:rFonts w:eastAsia="Times New Roman" w:cstheme="minorHAnsi"/>
                <w:color w:val="000000"/>
              </w:rPr>
            </w:pPr>
          </w:p>
          <w:p w14:paraId="0480C1E7" w14:textId="77777777" w:rsidR="008629F3" w:rsidRPr="008629F3" w:rsidRDefault="008629F3" w:rsidP="008629F3">
            <w:pPr>
              <w:autoSpaceDE w:val="0"/>
              <w:autoSpaceDN w:val="0"/>
              <w:spacing w:after="0" w:line="240" w:lineRule="auto"/>
              <w:jc w:val="both"/>
              <w:rPr>
                <w:rFonts w:eastAsia="Times New Roman" w:cstheme="minorHAnsi"/>
                <w:color w:val="000000"/>
              </w:rPr>
            </w:pPr>
            <w:proofErr w:type="spellStart"/>
            <w:r w:rsidRPr="008629F3">
              <w:rPr>
                <w:rFonts w:eastAsia="Times New Roman" w:cstheme="minorHAnsi"/>
                <w:color w:val="000000"/>
              </w:rPr>
              <w:t>Zoltán</w:t>
            </w:r>
            <w:proofErr w:type="spellEnd"/>
            <w:r w:rsidRPr="008629F3">
              <w:rPr>
                <w:rFonts w:eastAsia="Times New Roman" w:cstheme="minorHAnsi"/>
                <w:color w:val="000000"/>
              </w:rPr>
              <w:t xml:space="preserve"> LŐRINCZI, Secretary of State for International and Carpathian Basin Affairs at the Ministry of Human Capacities on behalf of the Hungarian Presidency</w:t>
            </w:r>
          </w:p>
          <w:p w14:paraId="5A9B7104" w14:textId="77777777" w:rsidR="008629F3" w:rsidRPr="008629F3" w:rsidRDefault="008629F3" w:rsidP="008629F3">
            <w:pPr>
              <w:autoSpaceDE w:val="0"/>
              <w:autoSpaceDN w:val="0"/>
              <w:spacing w:after="0" w:line="240" w:lineRule="auto"/>
              <w:jc w:val="both"/>
              <w:rPr>
                <w:rFonts w:eastAsia="Times New Roman" w:cstheme="minorHAnsi"/>
                <w:color w:val="000000"/>
                <w:lang w:val="en-US"/>
              </w:rPr>
            </w:pPr>
          </w:p>
        </w:tc>
      </w:tr>
      <w:tr w:rsidR="008629F3" w:rsidRPr="008629F3" w14:paraId="01C18413" w14:textId="77777777" w:rsidTr="008629F3">
        <w:trPr>
          <w:trHeight w:val="585"/>
          <w:jc w:val="center"/>
        </w:trPr>
        <w:tc>
          <w:tcPr>
            <w:tcW w:w="1021" w:type="dxa"/>
            <w:shd w:val="clear" w:color="auto" w:fill="AEAAAA" w:themeFill="background2" w:themeFillShade="BF"/>
            <w:tcMar>
              <w:top w:w="0" w:type="dxa"/>
              <w:left w:w="108" w:type="dxa"/>
              <w:bottom w:w="0" w:type="dxa"/>
              <w:right w:w="108" w:type="dxa"/>
            </w:tcMar>
          </w:tcPr>
          <w:p w14:paraId="245A455A"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r w:rsidRPr="008629F3">
              <w:rPr>
                <w:rFonts w:eastAsia="Times New Roman" w:cstheme="minorHAnsi"/>
                <w:b/>
                <w:bCs/>
                <w:color w:val="000000"/>
              </w:rPr>
              <w:t>10.00</w:t>
            </w:r>
          </w:p>
        </w:tc>
        <w:tc>
          <w:tcPr>
            <w:tcW w:w="8369" w:type="dxa"/>
            <w:shd w:val="clear" w:color="auto" w:fill="AEAAAA" w:themeFill="background2" w:themeFillShade="BF"/>
            <w:tcMar>
              <w:top w:w="0" w:type="dxa"/>
              <w:left w:w="108" w:type="dxa"/>
              <w:bottom w:w="0" w:type="dxa"/>
              <w:right w:w="108" w:type="dxa"/>
            </w:tcMar>
          </w:tcPr>
          <w:p w14:paraId="362342AC" w14:textId="77777777" w:rsidR="008629F3" w:rsidRPr="008629F3" w:rsidRDefault="008629F3" w:rsidP="008629F3">
            <w:pPr>
              <w:autoSpaceDE w:val="0"/>
              <w:autoSpaceDN w:val="0"/>
              <w:spacing w:after="0" w:line="240" w:lineRule="auto"/>
              <w:jc w:val="both"/>
              <w:rPr>
                <w:rFonts w:eastAsia="Times New Roman" w:cstheme="minorHAnsi"/>
                <w:color w:val="000000"/>
              </w:rPr>
            </w:pPr>
            <w:r w:rsidRPr="008629F3">
              <w:rPr>
                <w:rFonts w:eastAsia="Times New Roman" w:cstheme="minorHAnsi"/>
                <w:b/>
                <w:bCs/>
                <w:color w:val="000000"/>
              </w:rPr>
              <w:t>I. Setting the scene: Safeguarding the rights of children in relation to all alternative care settings</w:t>
            </w:r>
          </w:p>
        </w:tc>
      </w:tr>
      <w:tr w:rsidR="008629F3" w:rsidRPr="008629F3" w14:paraId="199159E9" w14:textId="77777777" w:rsidTr="008629F3">
        <w:trPr>
          <w:trHeight w:val="1261"/>
          <w:jc w:val="center"/>
        </w:trPr>
        <w:tc>
          <w:tcPr>
            <w:tcW w:w="1021" w:type="dxa"/>
            <w:tcMar>
              <w:top w:w="0" w:type="dxa"/>
              <w:left w:w="108" w:type="dxa"/>
              <w:bottom w:w="0" w:type="dxa"/>
              <w:right w:w="108" w:type="dxa"/>
            </w:tcMar>
          </w:tcPr>
          <w:p w14:paraId="77F47A3B"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p>
          <w:p w14:paraId="79022584"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r w:rsidRPr="008629F3">
              <w:rPr>
                <w:rFonts w:eastAsia="Times New Roman" w:cstheme="minorHAnsi"/>
                <w:b/>
                <w:bCs/>
                <w:color w:val="000000"/>
              </w:rPr>
              <w:t>10.00</w:t>
            </w:r>
          </w:p>
        </w:tc>
        <w:tc>
          <w:tcPr>
            <w:tcW w:w="8369" w:type="dxa"/>
            <w:tcMar>
              <w:top w:w="0" w:type="dxa"/>
              <w:left w:w="108" w:type="dxa"/>
              <w:bottom w:w="0" w:type="dxa"/>
              <w:right w:w="108" w:type="dxa"/>
            </w:tcMar>
          </w:tcPr>
          <w:p w14:paraId="62662213" w14:textId="77777777" w:rsidR="008629F3" w:rsidRPr="008629F3" w:rsidRDefault="008629F3" w:rsidP="008629F3">
            <w:pPr>
              <w:autoSpaceDE w:val="0"/>
              <w:autoSpaceDN w:val="0"/>
              <w:spacing w:after="0" w:line="240" w:lineRule="auto"/>
              <w:jc w:val="both"/>
              <w:rPr>
                <w:rFonts w:eastAsia="Times New Roman" w:cstheme="minorHAnsi"/>
                <w:color w:val="000000"/>
              </w:rPr>
            </w:pPr>
          </w:p>
          <w:p w14:paraId="03362D1D" w14:textId="77777777" w:rsidR="008629F3" w:rsidRPr="008629F3" w:rsidRDefault="008629F3" w:rsidP="008629F3">
            <w:pPr>
              <w:autoSpaceDE w:val="0"/>
              <w:autoSpaceDN w:val="0"/>
              <w:spacing w:after="0" w:line="240" w:lineRule="auto"/>
              <w:jc w:val="both"/>
              <w:rPr>
                <w:rFonts w:eastAsia="Times New Roman" w:cstheme="minorHAnsi"/>
                <w:b/>
                <w:bCs/>
                <w:color w:val="000000"/>
              </w:rPr>
            </w:pPr>
            <w:r w:rsidRPr="008629F3">
              <w:rPr>
                <w:rFonts w:eastAsia="Times New Roman" w:cstheme="minorHAnsi"/>
                <w:b/>
                <w:bCs/>
                <w:color w:val="000000"/>
              </w:rPr>
              <w:t>Prevention of family separation and Children’s right to protection in all forms of alternative care settings: Guidance from the UNCRC</w:t>
            </w:r>
          </w:p>
          <w:p w14:paraId="506D6ED3" w14:textId="77777777" w:rsidR="008629F3" w:rsidRPr="008629F3" w:rsidRDefault="008629F3" w:rsidP="008629F3">
            <w:pPr>
              <w:autoSpaceDE w:val="0"/>
              <w:autoSpaceDN w:val="0"/>
              <w:spacing w:after="0" w:line="240" w:lineRule="auto"/>
              <w:jc w:val="both"/>
              <w:rPr>
                <w:rFonts w:eastAsia="Times New Roman" w:cstheme="minorHAnsi"/>
                <w:b/>
                <w:bCs/>
                <w:color w:val="000000"/>
              </w:rPr>
            </w:pPr>
          </w:p>
          <w:p w14:paraId="114184D3" w14:textId="77777777" w:rsidR="008629F3" w:rsidRPr="008629F3" w:rsidRDefault="008629F3" w:rsidP="008629F3">
            <w:pPr>
              <w:keepNext/>
              <w:keepLines/>
              <w:shd w:val="clear" w:color="auto" w:fill="FFFFFF"/>
              <w:spacing w:after="225"/>
              <w:outlineLvl w:val="1"/>
              <w:rPr>
                <w:rFonts w:eastAsiaTheme="majorEastAsia" w:cstheme="minorHAnsi"/>
                <w:color w:val="1E3250"/>
                <w:sz w:val="42"/>
                <w:szCs w:val="42"/>
              </w:rPr>
            </w:pPr>
            <w:proofErr w:type="spellStart"/>
            <w:r w:rsidRPr="008629F3">
              <w:rPr>
                <w:rFonts w:eastAsia="Times New Roman" w:cstheme="minorHAnsi"/>
                <w:color w:val="000000"/>
              </w:rPr>
              <w:t>Bragi</w:t>
            </w:r>
            <w:proofErr w:type="spellEnd"/>
            <w:r w:rsidRPr="008629F3">
              <w:rPr>
                <w:rFonts w:eastAsia="Times New Roman" w:cstheme="minorHAnsi"/>
                <w:color w:val="000000"/>
              </w:rPr>
              <w:t xml:space="preserve"> GUÐBRANDSSON, Member of the UNCRC</w:t>
            </w:r>
          </w:p>
        </w:tc>
      </w:tr>
      <w:tr w:rsidR="008629F3" w:rsidRPr="008629F3" w14:paraId="569BC873" w14:textId="77777777" w:rsidTr="008629F3">
        <w:trPr>
          <w:trHeight w:val="1261"/>
          <w:jc w:val="center"/>
        </w:trPr>
        <w:tc>
          <w:tcPr>
            <w:tcW w:w="1021" w:type="dxa"/>
            <w:tcMar>
              <w:top w:w="0" w:type="dxa"/>
              <w:left w:w="108" w:type="dxa"/>
              <w:bottom w:w="0" w:type="dxa"/>
              <w:right w:w="108" w:type="dxa"/>
            </w:tcMar>
            <w:hideMark/>
          </w:tcPr>
          <w:p w14:paraId="78330F84"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p>
          <w:p w14:paraId="59E72CEB"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r w:rsidRPr="008629F3">
              <w:rPr>
                <w:rFonts w:eastAsia="Times New Roman" w:cstheme="minorHAnsi"/>
                <w:b/>
                <w:bCs/>
                <w:color w:val="000000"/>
              </w:rPr>
              <w:t>10.20</w:t>
            </w:r>
          </w:p>
        </w:tc>
        <w:tc>
          <w:tcPr>
            <w:tcW w:w="8369" w:type="dxa"/>
            <w:tcMar>
              <w:top w:w="0" w:type="dxa"/>
              <w:left w:w="108" w:type="dxa"/>
              <w:bottom w:w="0" w:type="dxa"/>
              <w:right w:w="108" w:type="dxa"/>
            </w:tcMar>
            <w:hideMark/>
          </w:tcPr>
          <w:p w14:paraId="14B317DA" w14:textId="77777777" w:rsidR="008629F3" w:rsidRPr="008629F3" w:rsidRDefault="008629F3" w:rsidP="008629F3">
            <w:pPr>
              <w:autoSpaceDE w:val="0"/>
              <w:autoSpaceDN w:val="0"/>
              <w:spacing w:after="0" w:line="240" w:lineRule="auto"/>
              <w:jc w:val="both"/>
              <w:rPr>
                <w:rFonts w:eastAsia="Times New Roman" w:cstheme="minorHAnsi"/>
                <w:color w:val="000000"/>
              </w:rPr>
            </w:pPr>
          </w:p>
          <w:p w14:paraId="35A6CFED" w14:textId="77777777" w:rsidR="008629F3" w:rsidRPr="008629F3" w:rsidRDefault="008629F3" w:rsidP="008629F3">
            <w:pPr>
              <w:autoSpaceDE w:val="0"/>
              <w:autoSpaceDN w:val="0"/>
              <w:spacing w:after="0" w:line="240" w:lineRule="auto"/>
              <w:jc w:val="both"/>
              <w:rPr>
                <w:rFonts w:eastAsia="Times New Roman" w:cstheme="minorHAnsi"/>
                <w:b/>
                <w:bCs/>
                <w:color w:val="000000"/>
              </w:rPr>
            </w:pPr>
            <w:r w:rsidRPr="008629F3">
              <w:rPr>
                <w:rFonts w:eastAsia="Times New Roman" w:cstheme="minorHAnsi"/>
                <w:b/>
                <w:bCs/>
                <w:color w:val="000000"/>
              </w:rPr>
              <w:t>The case-law of the European Court of Human Rights relevant to the protection the rights of the child in relation to alternative care settings</w:t>
            </w:r>
          </w:p>
          <w:p w14:paraId="5B8386BF" w14:textId="77777777" w:rsidR="008629F3" w:rsidRPr="008629F3" w:rsidRDefault="008629F3" w:rsidP="008629F3">
            <w:pPr>
              <w:autoSpaceDE w:val="0"/>
              <w:autoSpaceDN w:val="0"/>
              <w:spacing w:after="0" w:line="240" w:lineRule="auto"/>
              <w:jc w:val="both"/>
              <w:rPr>
                <w:rFonts w:eastAsia="Times New Roman" w:cstheme="minorHAnsi"/>
                <w:b/>
                <w:bCs/>
                <w:color w:val="000000"/>
              </w:rPr>
            </w:pPr>
          </w:p>
          <w:p w14:paraId="5FD52A72" w14:textId="77777777" w:rsidR="008629F3" w:rsidRPr="008629F3" w:rsidRDefault="008629F3" w:rsidP="008629F3">
            <w:pPr>
              <w:autoSpaceDE w:val="0"/>
              <w:autoSpaceDN w:val="0"/>
              <w:spacing w:after="0" w:line="240" w:lineRule="auto"/>
              <w:jc w:val="both"/>
              <w:rPr>
                <w:rFonts w:eastAsia="Times New Roman" w:cstheme="minorHAnsi"/>
                <w:color w:val="000000"/>
              </w:rPr>
            </w:pPr>
            <w:proofErr w:type="spellStart"/>
            <w:r w:rsidRPr="008629F3">
              <w:rPr>
                <w:rFonts w:eastAsia="Times New Roman" w:cstheme="minorHAnsi"/>
                <w:color w:val="000000"/>
              </w:rPr>
              <w:lastRenderedPageBreak/>
              <w:t>Ksenija</w:t>
            </w:r>
            <w:proofErr w:type="spellEnd"/>
            <w:r w:rsidRPr="008629F3">
              <w:rPr>
                <w:rFonts w:eastAsia="Times New Roman" w:cstheme="minorHAnsi"/>
                <w:color w:val="000000"/>
              </w:rPr>
              <w:t xml:space="preserve"> TURKOVIĆ, Vice President of the ECHR </w:t>
            </w:r>
          </w:p>
          <w:p w14:paraId="0FCA482F" w14:textId="77777777" w:rsidR="008629F3" w:rsidRPr="008629F3" w:rsidRDefault="008629F3" w:rsidP="008629F3">
            <w:pPr>
              <w:autoSpaceDE w:val="0"/>
              <w:autoSpaceDN w:val="0"/>
              <w:spacing w:after="0" w:line="240" w:lineRule="auto"/>
              <w:jc w:val="both"/>
              <w:rPr>
                <w:rFonts w:eastAsia="Times New Roman" w:cstheme="minorHAnsi"/>
                <w:color w:val="000000"/>
              </w:rPr>
            </w:pPr>
          </w:p>
          <w:p w14:paraId="5E3FF4B6" w14:textId="77777777" w:rsidR="008629F3" w:rsidRPr="008629F3" w:rsidRDefault="008629F3" w:rsidP="008629F3">
            <w:pPr>
              <w:autoSpaceDE w:val="0"/>
              <w:autoSpaceDN w:val="0"/>
              <w:spacing w:after="0" w:line="240" w:lineRule="auto"/>
              <w:jc w:val="both"/>
              <w:rPr>
                <w:rFonts w:cstheme="minorHAnsi"/>
                <w:color w:val="000000"/>
              </w:rPr>
            </w:pPr>
          </w:p>
        </w:tc>
      </w:tr>
      <w:tr w:rsidR="008629F3" w:rsidRPr="008629F3" w14:paraId="07C1AA36" w14:textId="77777777" w:rsidTr="008629F3">
        <w:trPr>
          <w:trHeight w:val="995"/>
          <w:jc w:val="center"/>
        </w:trPr>
        <w:tc>
          <w:tcPr>
            <w:tcW w:w="1021" w:type="dxa"/>
            <w:shd w:val="clear" w:color="auto" w:fill="auto"/>
            <w:tcMar>
              <w:top w:w="0" w:type="dxa"/>
              <w:left w:w="108" w:type="dxa"/>
              <w:bottom w:w="0" w:type="dxa"/>
              <w:right w:w="108" w:type="dxa"/>
            </w:tcMar>
            <w:hideMark/>
          </w:tcPr>
          <w:p w14:paraId="3165D7EB"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p>
          <w:p w14:paraId="2B191AAE"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r w:rsidRPr="008629F3">
              <w:rPr>
                <w:rFonts w:eastAsia="Times New Roman" w:cstheme="minorHAnsi"/>
                <w:b/>
                <w:bCs/>
                <w:color w:val="000000"/>
              </w:rPr>
              <w:t>10:40</w:t>
            </w:r>
          </w:p>
        </w:tc>
        <w:tc>
          <w:tcPr>
            <w:tcW w:w="8369" w:type="dxa"/>
            <w:shd w:val="clear" w:color="auto" w:fill="auto"/>
            <w:tcMar>
              <w:top w:w="0" w:type="dxa"/>
              <w:left w:w="108" w:type="dxa"/>
              <w:bottom w:w="0" w:type="dxa"/>
              <w:right w:w="108" w:type="dxa"/>
            </w:tcMar>
            <w:hideMark/>
          </w:tcPr>
          <w:p w14:paraId="7D21438C" w14:textId="77777777" w:rsidR="008629F3" w:rsidRPr="008629F3" w:rsidRDefault="008629F3" w:rsidP="008629F3">
            <w:pPr>
              <w:autoSpaceDE w:val="0"/>
              <w:autoSpaceDN w:val="0"/>
              <w:adjustRightInd w:val="0"/>
              <w:spacing w:after="0" w:line="240" w:lineRule="auto"/>
              <w:jc w:val="both"/>
              <w:rPr>
                <w:rFonts w:eastAsia="Times New Roman" w:cstheme="minorHAnsi"/>
                <w:color w:val="000000"/>
              </w:rPr>
            </w:pPr>
          </w:p>
          <w:p w14:paraId="002956DC" w14:textId="77777777" w:rsidR="008629F3" w:rsidRPr="008629F3" w:rsidRDefault="008629F3" w:rsidP="008629F3">
            <w:pPr>
              <w:autoSpaceDE w:val="0"/>
              <w:autoSpaceDN w:val="0"/>
              <w:adjustRightInd w:val="0"/>
              <w:spacing w:after="0" w:line="240" w:lineRule="auto"/>
              <w:jc w:val="both"/>
              <w:rPr>
                <w:rFonts w:eastAsia="Times New Roman" w:cstheme="minorHAnsi"/>
                <w:b/>
                <w:bCs/>
                <w:color w:val="000000"/>
              </w:rPr>
            </w:pPr>
            <w:r w:rsidRPr="008629F3">
              <w:rPr>
                <w:rFonts w:eastAsia="Times New Roman" w:cstheme="minorHAnsi"/>
                <w:b/>
                <w:bCs/>
                <w:color w:val="000000"/>
              </w:rPr>
              <w:t>The work of the Committee of Experts on the rights and the best interests of the child in parental separation and in care proceedings (CJ/ENF-ISE) on the consideration of the best interests of the child when assessing the necessity of alternative care placements</w:t>
            </w:r>
          </w:p>
          <w:p w14:paraId="4CF5F948" w14:textId="77777777" w:rsidR="008629F3" w:rsidRPr="008629F3" w:rsidRDefault="008629F3" w:rsidP="008629F3">
            <w:pPr>
              <w:autoSpaceDE w:val="0"/>
              <w:autoSpaceDN w:val="0"/>
              <w:adjustRightInd w:val="0"/>
              <w:spacing w:after="0" w:line="240" w:lineRule="auto"/>
              <w:jc w:val="both"/>
              <w:rPr>
                <w:rFonts w:eastAsia="Times New Roman" w:cstheme="minorHAnsi"/>
                <w:b/>
                <w:bCs/>
                <w:color w:val="000000"/>
              </w:rPr>
            </w:pPr>
          </w:p>
          <w:p w14:paraId="13692450" w14:textId="77777777" w:rsidR="008629F3" w:rsidRPr="008629F3" w:rsidRDefault="008629F3" w:rsidP="008629F3">
            <w:pPr>
              <w:autoSpaceDE w:val="0"/>
              <w:autoSpaceDN w:val="0"/>
              <w:adjustRightInd w:val="0"/>
              <w:spacing w:after="0" w:line="240" w:lineRule="auto"/>
              <w:jc w:val="both"/>
              <w:rPr>
                <w:rFonts w:eastAsia="Times New Roman" w:cstheme="minorHAnsi"/>
                <w:color w:val="000000"/>
              </w:rPr>
            </w:pPr>
            <w:r w:rsidRPr="008629F3">
              <w:rPr>
                <w:rFonts w:eastAsia="Times New Roman" w:cstheme="minorHAnsi"/>
                <w:color w:val="000000"/>
              </w:rPr>
              <w:t>Seamus CARROLL, Chair of the CJ/ENF-ISE</w:t>
            </w:r>
          </w:p>
          <w:p w14:paraId="43A2DB2B" w14:textId="77777777" w:rsidR="008629F3" w:rsidRPr="008629F3" w:rsidRDefault="008629F3" w:rsidP="008629F3">
            <w:pPr>
              <w:autoSpaceDE w:val="0"/>
              <w:autoSpaceDN w:val="0"/>
              <w:adjustRightInd w:val="0"/>
              <w:spacing w:after="0" w:line="240" w:lineRule="auto"/>
              <w:jc w:val="both"/>
              <w:rPr>
                <w:rFonts w:eastAsia="Times New Roman" w:cstheme="minorHAnsi"/>
                <w:color w:val="000000"/>
              </w:rPr>
            </w:pPr>
          </w:p>
          <w:p w14:paraId="59BECCBF" w14:textId="77777777" w:rsidR="008629F3" w:rsidRPr="008629F3" w:rsidRDefault="008629F3" w:rsidP="008629F3">
            <w:pPr>
              <w:autoSpaceDE w:val="0"/>
              <w:autoSpaceDN w:val="0"/>
              <w:adjustRightInd w:val="0"/>
              <w:spacing w:after="0" w:line="240" w:lineRule="auto"/>
              <w:jc w:val="both"/>
              <w:rPr>
                <w:rFonts w:cstheme="minorHAnsi"/>
                <w:color w:val="000000"/>
              </w:rPr>
            </w:pPr>
          </w:p>
        </w:tc>
      </w:tr>
      <w:tr w:rsidR="008629F3" w:rsidRPr="008629F3" w14:paraId="0BD02E83" w14:textId="77777777" w:rsidTr="008629F3">
        <w:trPr>
          <w:trHeight w:val="426"/>
          <w:jc w:val="center"/>
        </w:trPr>
        <w:tc>
          <w:tcPr>
            <w:tcW w:w="1021" w:type="dxa"/>
            <w:shd w:val="clear" w:color="auto" w:fill="DEEAF6" w:themeFill="accent5" w:themeFillTint="33"/>
            <w:tcMar>
              <w:top w:w="0" w:type="dxa"/>
              <w:left w:w="108" w:type="dxa"/>
              <w:bottom w:w="0" w:type="dxa"/>
              <w:right w:w="108" w:type="dxa"/>
            </w:tcMar>
          </w:tcPr>
          <w:p w14:paraId="2BAB7F88"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r w:rsidRPr="008629F3">
              <w:rPr>
                <w:rFonts w:eastAsia="Times New Roman" w:cstheme="minorHAnsi"/>
                <w:b/>
                <w:bCs/>
                <w:color w:val="000000"/>
              </w:rPr>
              <w:t>11:00</w:t>
            </w:r>
          </w:p>
        </w:tc>
        <w:tc>
          <w:tcPr>
            <w:tcW w:w="8369" w:type="dxa"/>
            <w:shd w:val="clear" w:color="auto" w:fill="DEEAF6" w:themeFill="accent5" w:themeFillTint="33"/>
            <w:tcMar>
              <w:top w:w="0" w:type="dxa"/>
              <w:left w:w="108" w:type="dxa"/>
              <w:bottom w:w="0" w:type="dxa"/>
              <w:right w:w="108" w:type="dxa"/>
            </w:tcMar>
          </w:tcPr>
          <w:p w14:paraId="6D485ACC" w14:textId="77777777" w:rsidR="008629F3" w:rsidRPr="008629F3" w:rsidRDefault="008629F3" w:rsidP="008629F3">
            <w:pPr>
              <w:autoSpaceDE w:val="0"/>
              <w:autoSpaceDN w:val="0"/>
              <w:adjustRightInd w:val="0"/>
              <w:spacing w:after="0" w:line="240" w:lineRule="auto"/>
              <w:rPr>
                <w:rFonts w:eastAsia="Times New Roman" w:cstheme="minorHAnsi"/>
                <w:color w:val="000000"/>
              </w:rPr>
            </w:pPr>
            <w:r w:rsidRPr="008629F3">
              <w:rPr>
                <w:rFonts w:eastAsia="Times New Roman" w:cstheme="minorHAnsi"/>
                <w:b/>
                <w:bCs/>
                <w:color w:val="000000"/>
              </w:rPr>
              <w:t>Coffee break</w:t>
            </w:r>
          </w:p>
        </w:tc>
      </w:tr>
      <w:tr w:rsidR="008629F3" w:rsidRPr="008629F3" w14:paraId="14CDE629" w14:textId="77777777" w:rsidTr="008629F3">
        <w:trPr>
          <w:trHeight w:val="584"/>
          <w:jc w:val="center"/>
        </w:trPr>
        <w:tc>
          <w:tcPr>
            <w:tcW w:w="1021" w:type="dxa"/>
            <w:shd w:val="clear" w:color="auto" w:fill="AEAAAA" w:themeFill="background2" w:themeFillShade="BF"/>
            <w:tcMar>
              <w:top w:w="0" w:type="dxa"/>
              <w:left w:w="108" w:type="dxa"/>
              <w:bottom w:w="0" w:type="dxa"/>
              <w:right w:w="108" w:type="dxa"/>
            </w:tcMar>
          </w:tcPr>
          <w:p w14:paraId="4C95085E"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r w:rsidRPr="008629F3">
              <w:rPr>
                <w:rFonts w:eastAsia="Times New Roman" w:cstheme="minorHAnsi"/>
                <w:b/>
                <w:bCs/>
                <w:color w:val="000000"/>
              </w:rPr>
              <w:t>11:10</w:t>
            </w:r>
          </w:p>
        </w:tc>
        <w:tc>
          <w:tcPr>
            <w:tcW w:w="8369" w:type="dxa"/>
            <w:shd w:val="clear" w:color="auto" w:fill="AEAAAA" w:themeFill="background2" w:themeFillShade="BF"/>
            <w:tcMar>
              <w:top w:w="0" w:type="dxa"/>
              <w:left w:w="108" w:type="dxa"/>
              <w:bottom w:w="0" w:type="dxa"/>
              <w:right w:w="108" w:type="dxa"/>
            </w:tcMar>
          </w:tcPr>
          <w:p w14:paraId="0C6EE182" w14:textId="77777777" w:rsidR="008629F3" w:rsidRPr="008629F3" w:rsidRDefault="008629F3" w:rsidP="008629F3">
            <w:pPr>
              <w:autoSpaceDE w:val="0"/>
              <w:autoSpaceDN w:val="0"/>
              <w:spacing w:after="0" w:line="240" w:lineRule="auto"/>
              <w:jc w:val="both"/>
              <w:rPr>
                <w:rFonts w:eastAsia="Times New Roman" w:cstheme="minorHAnsi"/>
                <w:b/>
                <w:bCs/>
                <w:color w:val="000000"/>
              </w:rPr>
            </w:pPr>
            <w:r w:rsidRPr="008629F3">
              <w:rPr>
                <w:rFonts w:eastAsia="Times New Roman" w:cstheme="minorHAnsi"/>
                <w:b/>
                <w:bCs/>
                <w:color w:val="000000"/>
              </w:rPr>
              <w:t>II. Putting an end to abuse within different alternative care-settings and learning from past abuses</w:t>
            </w:r>
          </w:p>
        </w:tc>
      </w:tr>
      <w:tr w:rsidR="008629F3" w:rsidRPr="008629F3" w14:paraId="75257396" w14:textId="77777777" w:rsidTr="008629F3">
        <w:trPr>
          <w:trHeight w:val="912"/>
          <w:jc w:val="center"/>
        </w:trPr>
        <w:tc>
          <w:tcPr>
            <w:tcW w:w="1021" w:type="dxa"/>
            <w:shd w:val="clear" w:color="auto" w:fill="auto"/>
            <w:tcMar>
              <w:top w:w="0" w:type="dxa"/>
              <w:left w:w="108" w:type="dxa"/>
              <w:bottom w:w="0" w:type="dxa"/>
              <w:right w:w="108" w:type="dxa"/>
            </w:tcMar>
          </w:tcPr>
          <w:p w14:paraId="3A0373A2"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p>
          <w:p w14:paraId="3177E54B"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r w:rsidRPr="008629F3">
              <w:rPr>
                <w:rFonts w:eastAsia="Times New Roman" w:cstheme="minorHAnsi"/>
                <w:b/>
                <w:bCs/>
                <w:color w:val="000000"/>
              </w:rPr>
              <w:t>11:10</w:t>
            </w:r>
          </w:p>
        </w:tc>
        <w:tc>
          <w:tcPr>
            <w:tcW w:w="8369" w:type="dxa"/>
            <w:shd w:val="clear" w:color="auto" w:fill="auto"/>
            <w:tcMar>
              <w:top w:w="0" w:type="dxa"/>
              <w:left w:w="108" w:type="dxa"/>
              <w:bottom w:w="0" w:type="dxa"/>
              <w:right w:w="108" w:type="dxa"/>
            </w:tcMar>
          </w:tcPr>
          <w:p w14:paraId="5FA4471C" w14:textId="77777777" w:rsidR="008629F3" w:rsidRPr="008629F3" w:rsidRDefault="008629F3" w:rsidP="008629F3">
            <w:pPr>
              <w:autoSpaceDE w:val="0"/>
              <w:autoSpaceDN w:val="0"/>
              <w:spacing w:after="0" w:line="240" w:lineRule="auto"/>
              <w:jc w:val="both"/>
              <w:rPr>
                <w:rFonts w:eastAsia="Times New Roman" w:cstheme="minorHAnsi"/>
                <w:b/>
                <w:bCs/>
              </w:rPr>
            </w:pPr>
          </w:p>
          <w:p w14:paraId="3C48E759" w14:textId="77777777" w:rsidR="008629F3" w:rsidRPr="008629F3" w:rsidRDefault="008629F3" w:rsidP="008629F3">
            <w:pPr>
              <w:autoSpaceDE w:val="0"/>
              <w:autoSpaceDN w:val="0"/>
              <w:spacing w:after="0" w:line="240" w:lineRule="auto"/>
              <w:jc w:val="both"/>
              <w:rPr>
                <w:rFonts w:eastAsia="Times New Roman" w:cstheme="minorHAnsi"/>
                <w:b/>
                <w:bCs/>
                <w:color w:val="000000"/>
                <w:lang w:val="en-US"/>
              </w:rPr>
            </w:pPr>
            <w:r w:rsidRPr="008629F3">
              <w:rPr>
                <w:rFonts w:eastAsia="Times New Roman" w:cstheme="minorHAnsi"/>
                <w:b/>
                <w:bCs/>
                <w:color w:val="000000"/>
                <w:lang w:val="en-US"/>
              </w:rPr>
              <w:t>Responding to past abuses – obstacles and opportunities for restorative justice</w:t>
            </w:r>
          </w:p>
          <w:p w14:paraId="53E00391" w14:textId="77777777" w:rsidR="008629F3" w:rsidRPr="008629F3" w:rsidRDefault="008629F3" w:rsidP="008629F3">
            <w:pPr>
              <w:autoSpaceDE w:val="0"/>
              <w:autoSpaceDN w:val="0"/>
              <w:spacing w:after="0" w:line="240" w:lineRule="auto"/>
              <w:jc w:val="both"/>
              <w:rPr>
                <w:rFonts w:eastAsia="Times New Roman" w:cstheme="minorHAnsi"/>
                <w:b/>
                <w:bCs/>
              </w:rPr>
            </w:pPr>
          </w:p>
          <w:p w14:paraId="53F5C165" w14:textId="77777777" w:rsidR="008629F3" w:rsidRPr="008629F3" w:rsidRDefault="008629F3" w:rsidP="008629F3">
            <w:pPr>
              <w:autoSpaceDE w:val="0"/>
              <w:autoSpaceDN w:val="0"/>
              <w:adjustRightInd w:val="0"/>
              <w:spacing w:after="0" w:line="252" w:lineRule="auto"/>
              <w:contextualSpacing/>
              <w:rPr>
                <w:rFonts w:eastAsia="Times New Roman" w:cstheme="minorHAnsi"/>
              </w:rPr>
            </w:pPr>
            <w:r w:rsidRPr="008629F3">
              <w:rPr>
                <w:rFonts w:eastAsia="Times New Roman" w:cstheme="minorHAnsi"/>
              </w:rPr>
              <w:t>Maeve O’ROURKE, Lecturer in Human Rights,</w:t>
            </w:r>
            <w:r w:rsidRPr="008629F3">
              <w:rPr>
                <w:rFonts w:eastAsia="Times New Roman" w:cstheme="minorHAnsi"/>
                <w:color w:val="000000"/>
                <w:lang w:val="en-US" w:eastAsia="en-GB" w:bidi="si-LK"/>
              </w:rPr>
              <w:t xml:space="preserve"> </w:t>
            </w:r>
            <w:r w:rsidRPr="008629F3">
              <w:rPr>
                <w:rFonts w:eastAsia="Times New Roman" w:cstheme="minorHAnsi"/>
              </w:rPr>
              <w:t>National University of Ireland, Galway</w:t>
            </w:r>
          </w:p>
          <w:p w14:paraId="160912DD" w14:textId="77777777" w:rsidR="008629F3" w:rsidRPr="008629F3" w:rsidRDefault="008629F3" w:rsidP="008629F3">
            <w:pPr>
              <w:autoSpaceDE w:val="0"/>
              <w:autoSpaceDN w:val="0"/>
              <w:adjustRightInd w:val="0"/>
              <w:spacing w:after="0" w:line="252" w:lineRule="auto"/>
              <w:contextualSpacing/>
              <w:rPr>
                <w:rFonts w:cstheme="minorHAnsi"/>
                <w:b/>
                <w:bCs/>
                <w:sz w:val="18"/>
                <w:szCs w:val="18"/>
                <w:lang w:val="en-AU"/>
              </w:rPr>
            </w:pPr>
          </w:p>
        </w:tc>
      </w:tr>
      <w:tr w:rsidR="008629F3" w:rsidRPr="008629F3" w14:paraId="4E2D6A8D" w14:textId="77777777" w:rsidTr="008629F3">
        <w:trPr>
          <w:trHeight w:val="426"/>
          <w:jc w:val="center"/>
        </w:trPr>
        <w:tc>
          <w:tcPr>
            <w:tcW w:w="1021" w:type="dxa"/>
            <w:shd w:val="clear" w:color="auto" w:fill="auto"/>
            <w:tcMar>
              <w:top w:w="0" w:type="dxa"/>
              <w:left w:w="108" w:type="dxa"/>
              <w:bottom w:w="0" w:type="dxa"/>
              <w:right w:w="108" w:type="dxa"/>
            </w:tcMar>
          </w:tcPr>
          <w:p w14:paraId="38D03063"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p>
          <w:p w14:paraId="25DD1936"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r w:rsidRPr="008629F3">
              <w:rPr>
                <w:rFonts w:eastAsia="Times New Roman" w:cstheme="minorHAnsi"/>
                <w:b/>
                <w:bCs/>
                <w:color w:val="000000"/>
              </w:rPr>
              <w:t>11:30</w:t>
            </w:r>
          </w:p>
        </w:tc>
        <w:tc>
          <w:tcPr>
            <w:tcW w:w="8369" w:type="dxa"/>
            <w:shd w:val="clear" w:color="auto" w:fill="auto"/>
            <w:tcMar>
              <w:top w:w="0" w:type="dxa"/>
              <w:left w:w="108" w:type="dxa"/>
              <w:bottom w:w="0" w:type="dxa"/>
              <w:right w:w="108" w:type="dxa"/>
            </w:tcMar>
          </w:tcPr>
          <w:p w14:paraId="2E1CFEE4" w14:textId="77777777" w:rsidR="008629F3" w:rsidRPr="008629F3" w:rsidRDefault="008629F3" w:rsidP="008629F3">
            <w:pPr>
              <w:autoSpaceDE w:val="0"/>
              <w:autoSpaceDN w:val="0"/>
              <w:adjustRightInd w:val="0"/>
              <w:spacing w:after="0" w:line="252" w:lineRule="auto"/>
              <w:rPr>
                <w:rFonts w:eastAsia="Times New Roman" w:cstheme="minorHAnsi"/>
                <w:b/>
                <w:bCs/>
                <w:color w:val="000000"/>
              </w:rPr>
            </w:pPr>
          </w:p>
          <w:p w14:paraId="296B353D" w14:textId="77777777" w:rsidR="008629F3" w:rsidRPr="008629F3" w:rsidRDefault="008629F3" w:rsidP="008629F3">
            <w:pPr>
              <w:autoSpaceDE w:val="0"/>
              <w:autoSpaceDN w:val="0"/>
              <w:adjustRightInd w:val="0"/>
              <w:spacing w:after="0" w:line="252" w:lineRule="auto"/>
              <w:rPr>
                <w:rFonts w:eastAsia="Times New Roman" w:cstheme="minorHAnsi"/>
                <w:b/>
                <w:bCs/>
                <w:color w:val="000000"/>
              </w:rPr>
            </w:pPr>
            <w:r w:rsidRPr="008629F3">
              <w:rPr>
                <w:rFonts w:eastAsia="Times New Roman" w:cstheme="minorHAnsi"/>
                <w:b/>
                <w:bCs/>
                <w:color w:val="000000"/>
              </w:rPr>
              <w:t>Case Studies</w:t>
            </w:r>
          </w:p>
          <w:p w14:paraId="10E638C9" w14:textId="77777777" w:rsidR="008629F3" w:rsidRPr="008629F3" w:rsidRDefault="008629F3" w:rsidP="008629F3">
            <w:pPr>
              <w:autoSpaceDE w:val="0"/>
              <w:autoSpaceDN w:val="0"/>
              <w:adjustRightInd w:val="0"/>
              <w:spacing w:after="0" w:line="252" w:lineRule="auto"/>
              <w:rPr>
                <w:rFonts w:eastAsia="Times New Roman" w:cstheme="minorHAnsi"/>
                <w:b/>
                <w:bCs/>
                <w:color w:val="000000"/>
              </w:rPr>
            </w:pPr>
          </w:p>
          <w:p w14:paraId="6B1D1F67" w14:textId="77777777" w:rsidR="008629F3" w:rsidRPr="008629F3" w:rsidRDefault="008629F3" w:rsidP="008629F3">
            <w:pPr>
              <w:autoSpaceDE w:val="0"/>
              <w:autoSpaceDN w:val="0"/>
              <w:adjustRightInd w:val="0"/>
              <w:spacing w:after="0" w:line="252" w:lineRule="auto"/>
              <w:rPr>
                <w:rFonts w:eastAsia="Times New Roman" w:cstheme="minorHAnsi"/>
                <w:color w:val="000000"/>
              </w:rPr>
            </w:pPr>
            <w:r w:rsidRPr="008629F3">
              <w:rPr>
                <w:rFonts w:eastAsia="Times New Roman" w:cstheme="minorHAnsi"/>
                <w:b/>
                <w:bCs/>
                <w:color w:val="000000"/>
              </w:rPr>
              <w:t xml:space="preserve">Ukraine: </w:t>
            </w:r>
            <w:r w:rsidRPr="008629F3">
              <w:rPr>
                <w:rFonts w:eastAsia="Times New Roman" w:cstheme="minorHAnsi"/>
                <w:color w:val="000000"/>
              </w:rPr>
              <w:t xml:space="preserve">Naira AVETISYAN, Chief of Child Protection section, </w:t>
            </w:r>
            <w:proofErr w:type="spellStart"/>
            <w:r w:rsidRPr="008629F3">
              <w:rPr>
                <w:rFonts w:eastAsia="Times New Roman" w:cstheme="minorHAnsi"/>
                <w:color w:val="000000"/>
              </w:rPr>
              <w:t>Unicef</w:t>
            </w:r>
            <w:proofErr w:type="spellEnd"/>
            <w:r w:rsidRPr="008629F3">
              <w:rPr>
                <w:rFonts w:eastAsia="Times New Roman" w:cstheme="minorHAnsi"/>
                <w:color w:val="000000"/>
              </w:rPr>
              <w:t xml:space="preserve"> Ukraine</w:t>
            </w:r>
          </w:p>
          <w:p w14:paraId="574AAEF3" w14:textId="77777777" w:rsidR="008629F3" w:rsidRPr="008629F3" w:rsidRDefault="008629F3" w:rsidP="008629F3">
            <w:pPr>
              <w:autoSpaceDE w:val="0"/>
              <w:autoSpaceDN w:val="0"/>
              <w:adjustRightInd w:val="0"/>
              <w:spacing w:after="0" w:line="252" w:lineRule="auto"/>
              <w:rPr>
                <w:rFonts w:eastAsia="Times New Roman" w:cstheme="minorHAnsi"/>
                <w:b/>
                <w:bCs/>
                <w:color w:val="000000"/>
              </w:rPr>
            </w:pPr>
          </w:p>
          <w:p w14:paraId="672675EB" w14:textId="77777777" w:rsidR="008629F3" w:rsidRPr="008629F3" w:rsidRDefault="008629F3" w:rsidP="008629F3">
            <w:pPr>
              <w:autoSpaceDE w:val="0"/>
              <w:autoSpaceDN w:val="0"/>
              <w:adjustRightInd w:val="0"/>
              <w:spacing w:after="0" w:line="252" w:lineRule="auto"/>
              <w:rPr>
                <w:rFonts w:eastAsia="Times New Roman" w:cstheme="minorHAnsi"/>
                <w:color w:val="000000"/>
              </w:rPr>
            </w:pPr>
            <w:r w:rsidRPr="008629F3">
              <w:rPr>
                <w:rFonts w:eastAsia="Times New Roman" w:cstheme="minorHAnsi"/>
                <w:b/>
                <w:bCs/>
                <w:color w:val="000000"/>
              </w:rPr>
              <w:lastRenderedPageBreak/>
              <w:t xml:space="preserve">Portugal: </w:t>
            </w:r>
            <w:r w:rsidRPr="008629F3">
              <w:rPr>
                <w:rFonts w:eastAsia="Times New Roman" w:cstheme="minorHAnsi"/>
                <w:color w:val="000000"/>
              </w:rPr>
              <w:t>Rita MENDES, Director of the Childcare Department of Casa Pia</w:t>
            </w:r>
          </w:p>
          <w:p w14:paraId="4986A9D0" w14:textId="77777777" w:rsidR="008629F3" w:rsidRPr="008629F3" w:rsidRDefault="008629F3" w:rsidP="008629F3">
            <w:pPr>
              <w:autoSpaceDE w:val="0"/>
              <w:autoSpaceDN w:val="0"/>
              <w:adjustRightInd w:val="0"/>
              <w:spacing w:after="0" w:line="252" w:lineRule="auto"/>
              <w:rPr>
                <w:rFonts w:eastAsia="Times New Roman" w:cstheme="minorHAnsi"/>
                <w:b/>
                <w:bCs/>
                <w:color w:val="000000"/>
              </w:rPr>
            </w:pPr>
          </w:p>
        </w:tc>
      </w:tr>
      <w:tr w:rsidR="008629F3" w:rsidRPr="008629F3" w14:paraId="6ED94C86" w14:textId="77777777" w:rsidTr="008629F3">
        <w:trPr>
          <w:trHeight w:val="426"/>
          <w:jc w:val="center"/>
        </w:trPr>
        <w:tc>
          <w:tcPr>
            <w:tcW w:w="1021" w:type="dxa"/>
            <w:shd w:val="clear" w:color="auto" w:fill="auto"/>
            <w:tcMar>
              <w:top w:w="0" w:type="dxa"/>
              <w:left w:w="108" w:type="dxa"/>
              <w:bottom w:w="0" w:type="dxa"/>
              <w:right w:w="108" w:type="dxa"/>
            </w:tcMar>
          </w:tcPr>
          <w:p w14:paraId="3F5D82D5"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r w:rsidRPr="008629F3">
              <w:rPr>
                <w:rFonts w:eastAsia="Times New Roman" w:cstheme="minorHAnsi"/>
                <w:b/>
                <w:bCs/>
                <w:color w:val="000000"/>
              </w:rPr>
              <w:lastRenderedPageBreak/>
              <w:t>12:10</w:t>
            </w:r>
          </w:p>
        </w:tc>
        <w:tc>
          <w:tcPr>
            <w:tcW w:w="8369" w:type="dxa"/>
            <w:shd w:val="clear" w:color="auto" w:fill="auto"/>
            <w:tcMar>
              <w:top w:w="0" w:type="dxa"/>
              <w:left w:w="108" w:type="dxa"/>
              <w:bottom w:w="0" w:type="dxa"/>
              <w:right w:w="108" w:type="dxa"/>
            </w:tcMar>
          </w:tcPr>
          <w:p w14:paraId="0170F688" w14:textId="77777777" w:rsidR="008629F3" w:rsidRPr="008629F3" w:rsidRDefault="008629F3" w:rsidP="008629F3">
            <w:pPr>
              <w:autoSpaceDE w:val="0"/>
              <w:autoSpaceDN w:val="0"/>
              <w:adjustRightInd w:val="0"/>
              <w:spacing w:after="0" w:line="252" w:lineRule="auto"/>
              <w:rPr>
                <w:rFonts w:eastAsia="Times New Roman" w:cstheme="minorHAnsi"/>
                <w:b/>
                <w:bCs/>
                <w:color w:val="000000"/>
              </w:rPr>
            </w:pPr>
            <w:r w:rsidRPr="008629F3">
              <w:rPr>
                <w:rFonts w:eastAsia="Times New Roman" w:cstheme="minorHAnsi"/>
                <w:b/>
                <w:bCs/>
                <w:color w:val="000000"/>
              </w:rPr>
              <w:t>Open plenary exchange between Delegations and stakeholders</w:t>
            </w:r>
          </w:p>
          <w:p w14:paraId="65AE6804" w14:textId="77777777" w:rsidR="008629F3" w:rsidRPr="008629F3" w:rsidRDefault="008629F3" w:rsidP="008629F3">
            <w:pPr>
              <w:autoSpaceDE w:val="0"/>
              <w:autoSpaceDN w:val="0"/>
              <w:adjustRightInd w:val="0"/>
              <w:spacing w:after="0" w:line="252" w:lineRule="auto"/>
              <w:rPr>
                <w:rFonts w:eastAsia="Times New Roman" w:cstheme="minorHAnsi"/>
                <w:b/>
                <w:bCs/>
                <w:color w:val="000000"/>
              </w:rPr>
            </w:pPr>
          </w:p>
        </w:tc>
      </w:tr>
      <w:tr w:rsidR="008629F3" w:rsidRPr="008629F3" w14:paraId="783733D7" w14:textId="77777777" w:rsidTr="008629F3">
        <w:trPr>
          <w:trHeight w:val="426"/>
          <w:jc w:val="center"/>
        </w:trPr>
        <w:tc>
          <w:tcPr>
            <w:tcW w:w="1021" w:type="dxa"/>
            <w:shd w:val="clear" w:color="auto" w:fill="DEEAF6" w:themeFill="accent5" w:themeFillTint="33"/>
            <w:tcMar>
              <w:top w:w="0" w:type="dxa"/>
              <w:left w:w="108" w:type="dxa"/>
              <w:bottom w:w="0" w:type="dxa"/>
              <w:right w:w="108" w:type="dxa"/>
            </w:tcMar>
          </w:tcPr>
          <w:p w14:paraId="2159ABA4"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r w:rsidRPr="008629F3">
              <w:rPr>
                <w:rFonts w:eastAsia="Times New Roman" w:cstheme="minorHAnsi"/>
                <w:b/>
                <w:bCs/>
                <w:color w:val="000000"/>
              </w:rPr>
              <w:t>12:30</w:t>
            </w:r>
          </w:p>
        </w:tc>
        <w:tc>
          <w:tcPr>
            <w:tcW w:w="8369" w:type="dxa"/>
            <w:shd w:val="clear" w:color="auto" w:fill="DEEAF6" w:themeFill="accent5" w:themeFillTint="33"/>
            <w:tcMar>
              <w:top w:w="0" w:type="dxa"/>
              <w:left w:w="108" w:type="dxa"/>
              <w:bottom w:w="0" w:type="dxa"/>
              <w:right w:w="108" w:type="dxa"/>
            </w:tcMar>
          </w:tcPr>
          <w:p w14:paraId="081A68E8" w14:textId="77777777" w:rsidR="008629F3" w:rsidRPr="008629F3" w:rsidRDefault="008629F3" w:rsidP="008629F3">
            <w:pPr>
              <w:autoSpaceDE w:val="0"/>
              <w:autoSpaceDN w:val="0"/>
              <w:adjustRightInd w:val="0"/>
              <w:spacing w:after="0" w:line="252" w:lineRule="auto"/>
              <w:rPr>
                <w:rFonts w:eastAsia="Times New Roman" w:cstheme="minorHAnsi"/>
                <w:b/>
                <w:bCs/>
                <w:color w:val="000000"/>
              </w:rPr>
            </w:pPr>
            <w:r w:rsidRPr="008629F3">
              <w:rPr>
                <w:rFonts w:eastAsia="Times New Roman" w:cstheme="minorHAnsi"/>
                <w:b/>
                <w:bCs/>
                <w:color w:val="000000"/>
              </w:rPr>
              <w:t>Lunch break</w:t>
            </w:r>
          </w:p>
        </w:tc>
      </w:tr>
    </w:tbl>
    <w:p w14:paraId="78CCBBB5" w14:textId="77777777" w:rsidR="008629F3" w:rsidRPr="008629F3" w:rsidRDefault="008629F3" w:rsidP="008629F3">
      <w:pPr>
        <w:rPr>
          <w:rFonts w:ascii="Arial" w:hAnsi="Arial" w:cs="Arial"/>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1"/>
        <w:gridCol w:w="8369"/>
      </w:tblGrid>
      <w:tr w:rsidR="008629F3" w:rsidRPr="008629F3" w14:paraId="59B9F02C" w14:textId="77777777" w:rsidTr="00F63387">
        <w:trPr>
          <w:trHeight w:val="557"/>
          <w:jc w:val="center"/>
        </w:trPr>
        <w:tc>
          <w:tcPr>
            <w:tcW w:w="1021" w:type="dxa"/>
            <w:shd w:val="clear" w:color="auto" w:fill="AEAAAA" w:themeFill="background2" w:themeFillShade="BF"/>
            <w:tcMar>
              <w:top w:w="0" w:type="dxa"/>
              <w:left w:w="108" w:type="dxa"/>
              <w:bottom w:w="0" w:type="dxa"/>
              <w:right w:w="108" w:type="dxa"/>
            </w:tcMar>
          </w:tcPr>
          <w:p w14:paraId="614A11A7"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bookmarkStart w:id="5" w:name="_Hlk72367474"/>
            <w:r w:rsidRPr="008629F3">
              <w:rPr>
                <w:rFonts w:eastAsia="Times New Roman" w:cstheme="minorHAnsi"/>
                <w:b/>
                <w:bCs/>
                <w:color w:val="000000"/>
              </w:rPr>
              <w:t>14:00</w:t>
            </w:r>
          </w:p>
        </w:tc>
        <w:tc>
          <w:tcPr>
            <w:tcW w:w="8369" w:type="dxa"/>
            <w:shd w:val="clear" w:color="auto" w:fill="AEAAAA" w:themeFill="background2" w:themeFillShade="BF"/>
            <w:tcMar>
              <w:top w:w="0" w:type="dxa"/>
              <w:left w:w="108" w:type="dxa"/>
              <w:bottom w:w="0" w:type="dxa"/>
              <w:right w:w="108" w:type="dxa"/>
            </w:tcMar>
          </w:tcPr>
          <w:p w14:paraId="71941A18" w14:textId="77777777" w:rsidR="008629F3" w:rsidRPr="008629F3" w:rsidRDefault="008629F3" w:rsidP="008629F3">
            <w:pPr>
              <w:autoSpaceDE w:val="0"/>
              <w:autoSpaceDN w:val="0"/>
              <w:spacing w:after="0" w:line="240" w:lineRule="auto"/>
              <w:jc w:val="both"/>
              <w:rPr>
                <w:rFonts w:eastAsia="Times New Roman" w:cstheme="minorHAnsi"/>
                <w:b/>
                <w:bCs/>
                <w:color w:val="000000"/>
              </w:rPr>
            </w:pPr>
            <w:r w:rsidRPr="008629F3">
              <w:rPr>
                <w:rFonts w:eastAsia="Times New Roman" w:cstheme="minorHAnsi"/>
                <w:b/>
                <w:bCs/>
                <w:color w:val="000000"/>
              </w:rPr>
              <w:t xml:space="preserve">III. Supporting children with challenging behaviours: Family- and community-based programmes with the aim of avoiding family separation </w:t>
            </w:r>
          </w:p>
        </w:tc>
      </w:tr>
      <w:tr w:rsidR="008629F3" w:rsidRPr="008629F3" w14:paraId="402AF0A1" w14:textId="77777777" w:rsidTr="00F63387">
        <w:trPr>
          <w:trHeight w:val="426"/>
          <w:jc w:val="center"/>
        </w:trPr>
        <w:tc>
          <w:tcPr>
            <w:tcW w:w="1021" w:type="dxa"/>
            <w:shd w:val="clear" w:color="auto" w:fill="auto"/>
            <w:tcMar>
              <w:top w:w="0" w:type="dxa"/>
              <w:left w:w="108" w:type="dxa"/>
              <w:bottom w:w="0" w:type="dxa"/>
              <w:right w:w="108" w:type="dxa"/>
            </w:tcMar>
          </w:tcPr>
          <w:p w14:paraId="4D3F9FBA"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p>
          <w:p w14:paraId="1CDF70F3"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r w:rsidRPr="008629F3">
              <w:rPr>
                <w:rFonts w:eastAsia="Times New Roman" w:cstheme="minorHAnsi"/>
                <w:b/>
                <w:bCs/>
                <w:color w:val="000000"/>
              </w:rPr>
              <w:t>14:00</w:t>
            </w:r>
          </w:p>
        </w:tc>
        <w:tc>
          <w:tcPr>
            <w:tcW w:w="8369" w:type="dxa"/>
            <w:shd w:val="clear" w:color="auto" w:fill="auto"/>
            <w:tcMar>
              <w:top w:w="0" w:type="dxa"/>
              <w:left w:w="108" w:type="dxa"/>
              <w:bottom w:w="0" w:type="dxa"/>
              <w:right w:w="108" w:type="dxa"/>
            </w:tcMar>
          </w:tcPr>
          <w:p w14:paraId="42FCCD9A" w14:textId="77777777" w:rsidR="008629F3" w:rsidRPr="008629F3" w:rsidRDefault="008629F3" w:rsidP="008629F3">
            <w:pPr>
              <w:autoSpaceDE w:val="0"/>
              <w:autoSpaceDN w:val="0"/>
              <w:spacing w:after="0" w:line="240" w:lineRule="auto"/>
              <w:jc w:val="both"/>
              <w:rPr>
                <w:rFonts w:eastAsia="Times New Roman" w:cstheme="minorHAnsi"/>
                <w:b/>
                <w:bCs/>
                <w:color w:val="000000"/>
              </w:rPr>
            </w:pPr>
          </w:p>
          <w:p w14:paraId="7768770A" w14:textId="77777777" w:rsidR="008629F3" w:rsidRPr="008629F3" w:rsidRDefault="008629F3" w:rsidP="008629F3">
            <w:pPr>
              <w:autoSpaceDE w:val="0"/>
              <w:autoSpaceDN w:val="0"/>
              <w:spacing w:after="0" w:line="240" w:lineRule="auto"/>
              <w:jc w:val="both"/>
              <w:rPr>
                <w:rFonts w:eastAsia="Times New Roman" w:cstheme="minorHAnsi"/>
                <w:b/>
                <w:bCs/>
                <w:color w:val="000000"/>
              </w:rPr>
            </w:pPr>
            <w:r w:rsidRPr="008629F3">
              <w:rPr>
                <w:rFonts w:eastAsia="Times New Roman" w:cstheme="minorHAnsi"/>
                <w:b/>
                <w:bCs/>
                <w:color w:val="000000"/>
              </w:rPr>
              <w:t>Children with challenging behaviour in alternative care: a problem or a myth?</w:t>
            </w:r>
          </w:p>
          <w:p w14:paraId="7DABC2A0" w14:textId="77777777" w:rsidR="008629F3" w:rsidRPr="008629F3" w:rsidRDefault="008629F3" w:rsidP="008629F3">
            <w:pPr>
              <w:autoSpaceDE w:val="0"/>
              <w:autoSpaceDN w:val="0"/>
              <w:spacing w:after="0" w:line="240" w:lineRule="auto"/>
              <w:jc w:val="both"/>
              <w:rPr>
                <w:rFonts w:eastAsia="Times New Roman" w:cstheme="minorHAnsi"/>
                <w:b/>
                <w:bCs/>
                <w:color w:val="000000"/>
              </w:rPr>
            </w:pPr>
          </w:p>
          <w:p w14:paraId="4156680A" w14:textId="77777777" w:rsidR="008629F3" w:rsidRPr="008629F3" w:rsidRDefault="008629F3" w:rsidP="008629F3">
            <w:pPr>
              <w:autoSpaceDE w:val="0"/>
              <w:autoSpaceDN w:val="0"/>
              <w:adjustRightInd w:val="0"/>
              <w:spacing w:after="0" w:line="252" w:lineRule="auto"/>
              <w:rPr>
                <w:rFonts w:eastAsia="Times New Roman" w:cstheme="minorHAnsi"/>
                <w:color w:val="000000"/>
              </w:rPr>
            </w:pPr>
            <w:proofErr w:type="spellStart"/>
            <w:r w:rsidRPr="008629F3">
              <w:rPr>
                <w:rFonts w:eastAsia="Times New Roman" w:cstheme="minorHAnsi"/>
                <w:color w:val="000000"/>
              </w:rPr>
              <w:t>Dainius</w:t>
            </w:r>
            <w:proofErr w:type="spellEnd"/>
            <w:r w:rsidRPr="008629F3">
              <w:rPr>
                <w:rFonts w:eastAsia="Times New Roman" w:cstheme="minorHAnsi"/>
                <w:color w:val="000000"/>
              </w:rPr>
              <w:t xml:space="preserve"> PŪRAS, former UN Special Rapporteur on the right to health and former CRC Committee member</w:t>
            </w:r>
          </w:p>
          <w:p w14:paraId="2AE22179" w14:textId="77777777" w:rsidR="008629F3" w:rsidRPr="008629F3" w:rsidRDefault="008629F3" w:rsidP="008629F3">
            <w:pPr>
              <w:autoSpaceDE w:val="0"/>
              <w:autoSpaceDN w:val="0"/>
              <w:adjustRightInd w:val="0"/>
              <w:spacing w:after="0" w:line="252" w:lineRule="auto"/>
              <w:rPr>
                <w:rFonts w:eastAsia="Times New Roman" w:cstheme="minorHAnsi"/>
                <w:color w:val="000000"/>
              </w:rPr>
            </w:pPr>
          </w:p>
        </w:tc>
      </w:tr>
      <w:tr w:rsidR="008629F3" w:rsidRPr="008629F3" w14:paraId="196AE5BD" w14:textId="77777777" w:rsidTr="00F63387">
        <w:trPr>
          <w:trHeight w:val="426"/>
          <w:jc w:val="center"/>
        </w:trPr>
        <w:tc>
          <w:tcPr>
            <w:tcW w:w="1021" w:type="dxa"/>
            <w:shd w:val="clear" w:color="auto" w:fill="auto"/>
            <w:tcMar>
              <w:top w:w="0" w:type="dxa"/>
              <w:left w:w="108" w:type="dxa"/>
              <w:bottom w:w="0" w:type="dxa"/>
              <w:right w:w="108" w:type="dxa"/>
            </w:tcMar>
          </w:tcPr>
          <w:p w14:paraId="4A5E29E1"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p>
          <w:p w14:paraId="19796AF7"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r w:rsidRPr="008629F3">
              <w:rPr>
                <w:rFonts w:eastAsia="Times New Roman" w:cstheme="minorHAnsi"/>
                <w:b/>
                <w:bCs/>
                <w:color w:val="000000"/>
              </w:rPr>
              <w:t>14:20</w:t>
            </w:r>
          </w:p>
        </w:tc>
        <w:tc>
          <w:tcPr>
            <w:tcW w:w="8369" w:type="dxa"/>
            <w:shd w:val="clear" w:color="auto" w:fill="auto"/>
            <w:tcMar>
              <w:top w:w="0" w:type="dxa"/>
              <w:left w:w="108" w:type="dxa"/>
              <w:bottom w:w="0" w:type="dxa"/>
              <w:right w:w="108" w:type="dxa"/>
            </w:tcMar>
          </w:tcPr>
          <w:p w14:paraId="6209517B" w14:textId="77777777" w:rsidR="008629F3" w:rsidRPr="008629F3" w:rsidRDefault="008629F3" w:rsidP="008629F3">
            <w:pPr>
              <w:autoSpaceDE w:val="0"/>
              <w:autoSpaceDN w:val="0"/>
              <w:spacing w:after="0" w:line="240" w:lineRule="auto"/>
              <w:jc w:val="both"/>
              <w:rPr>
                <w:rFonts w:eastAsia="Times New Roman" w:cstheme="minorHAnsi"/>
                <w:b/>
                <w:bCs/>
                <w:color w:val="000000"/>
              </w:rPr>
            </w:pPr>
          </w:p>
          <w:p w14:paraId="1A87CE07" w14:textId="77777777" w:rsidR="008629F3" w:rsidRPr="008629F3" w:rsidRDefault="008629F3" w:rsidP="008629F3">
            <w:pPr>
              <w:autoSpaceDE w:val="0"/>
              <w:autoSpaceDN w:val="0"/>
              <w:spacing w:after="0" w:line="240" w:lineRule="auto"/>
              <w:jc w:val="both"/>
              <w:rPr>
                <w:rFonts w:eastAsia="Times New Roman" w:cstheme="minorHAnsi"/>
                <w:b/>
                <w:bCs/>
                <w:color w:val="000000"/>
              </w:rPr>
            </w:pPr>
            <w:r w:rsidRPr="008629F3">
              <w:rPr>
                <w:rFonts w:eastAsia="Times New Roman" w:cstheme="minorHAnsi"/>
                <w:b/>
                <w:bCs/>
                <w:color w:val="000000"/>
              </w:rPr>
              <w:t>Case Studies</w:t>
            </w:r>
          </w:p>
          <w:p w14:paraId="66F79D0F" w14:textId="77777777" w:rsidR="008629F3" w:rsidRPr="008629F3" w:rsidRDefault="008629F3" w:rsidP="008629F3">
            <w:pPr>
              <w:autoSpaceDE w:val="0"/>
              <w:autoSpaceDN w:val="0"/>
              <w:adjustRightInd w:val="0"/>
              <w:spacing w:after="0" w:line="252" w:lineRule="auto"/>
              <w:rPr>
                <w:rFonts w:eastAsia="Times New Roman" w:cstheme="minorHAnsi"/>
                <w:b/>
                <w:bCs/>
                <w:color w:val="000000"/>
              </w:rPr>
            </w:pPr>
          </w:p>
          <w:p w14:paraId="44514355" w14:textId="77777777" w:rsidR="008629F3" w:rsidRPr="008629F3" w:rsidRDefault="008629F3" w:rsidP="008629F3">
            <w:pPr>
              <w:autoSpaceDE w:val="0"/>
              <w:autoSpaceDN w:val="0"/>
              <w:adjustRightInd w:val="0"/>
              <w:spacing w:after="0" w:line="252" w:lineRule="auto"/>
              <w:rPr>
                <w:rFonts w:eastAsia="Times New Roman" w:cstheme="minorHAnsi"/>
                <w:b/>
                <w:bCs/>
                <w:color w:val="000000"/>
              </w:rPr>
            </w:pPr>
            <w:r w:rsidRPr="008629F3">
              <w:rPr>
                <w:rFonts w:eastAsia="Times New Roman" w:cstheme="minorHAnsi"/>
                <w:b/>
                <w:bCs/>
                <w:color w:val="000000"/>
              </w:rPr>
              <w:t>Norway: National Centre for Child Behavioural Development</w:t>
            </w:r>
          </w:p>
          <w:p w14:paraId="7C90E985" w14:textId="77777777" w:rsidR="008629F3" w:rsidRPr="008629F3" w:rsidRDefault="008629F3" w:rsidP="008629F3">
            <w:pPr>
              <w:autoSpaceDE w:val="0"/>
              <w:autoSpaceDN w:val="0"/>
              <w:adjustRightInd w:val="0"/>
              <w:spacing w:after="0" w:line="252" w:lineRule="auto"/>
              <w:rPr>
                <w:rFonts w:eastAsia="Times New Roman" w:cstheme="minorHAnsi"/>
                <w:color w:val="000000"/>
              </w:rPr>
            </w:pPr>
            <w:proofErr w:type="spellStart"/>
            <w:r w:rsidRPr="008629F3">
              <w:rPr>
                <w:rFonts w:eastAsia="Times New Roman" w:cstheme="minorHAnsi"/>
                <w:color w:val="000000"/>
              </w:rPr>
              <w:t>Dagfinn</w:t>
            </w:r>
            <w:proofErr w:type="spellEnd"/>
            <w:r w:rsidRPr="008629F3">
              <w:rPr>
                <w:rFonts w:eastAsia="Times New Roman" w:cstheme="minorHAnsi"/>
                <w:color w:val="000000"/>
              </w:rPr>
              <w:t xml:space="preserve"> MØRKRID THØGERSEN, </w:t>
            </w:r>
            <w:r w:rsidRPr="008629F3">
              <w:rPr>
                <w:rFonts w:cstheme="minorHAnsi"/>
                <w:color w:val="000000"/>
              </w:rPr>
              <w:t xml:space="preserve">Clinical Director of Youth Program Development </w:t>
            </w:r>
            <w:r w:rsidRPr="008629F3">
              <w:rPr>
                <w:rFonts w:eastAsia="Times New Roman" w:cstheme="minorHAnsi"/>
                <w:color w:val="000000"/>
              </w:rPr>
              <w:t>and Knut TARALDSEN,</w:t>
            </w:r>
            <w:r w:rsidRPr="008629F3">
              <w:rPr>
                <w:rFonts w:eastAsia="Times New Roman" w:cstheme="minorHAnsi"/>
                <w:color w:val="000000"/>
                <w:sz w:val="24"/>
                <w:szCs w:val="24"/>
              </w:rPr>
              <w:t xml:space="preserve"> </w:t>
            </w:r>
            <w:r w:rsidRPr="008629F3">
              <w:rPr>
                <w:rFonts w:cstheme="minorHAnsi"/>
                <w:color w:val="000000"/>
                <w:lang w:val="en-US"/>
              </w:rPr>
              <w:t>Psychology specialist and Senior Advisor</w:t>
            </w:r>
          </w:p>
          <w:p w14:paraId="5E5B84C2" w14:textId="77777777" w:rsidR="008629F3" w:rsidRPr="008629F3" w:rsidRDefault="008629F3" w:rsidP="008629F3">
            <w:pPr>
              <w:autoSpaceDE w:val="0"/>
              <w:autoSpaceDN w:val="0"/>
              <w:adjustRightInd w:val="0"/>
              <w:spacing w:after="0" w:line="252" w:lineRule="auto"/>
              <w:rPr>
                <w:rFonts w:eastAsia="Times New Roman" w:cstheme="minorHAnsi"/>
                <w:b/>
                <w:bCs/>
                <w:color w:val="000000"/>
              </w:rPr>
            </w:pPr>
          </w:p>
          <w:p w14:paraId="7800E09D" w14:textId="77777777" w:rsidR="008629F3" w:rsidRPr="008629F3" w:rsidRDefault="008629F3" w:rsidP="008629F3">
            <w:pPr>
              <w:autoSpaceDE w:val="0"/>
              <w:autoSpaceDN w:val="0"/>
              <w:adjustRightInd w:val="0"/>
              <w:spacing w:after="0" w:line="252" w:lineRule="auto"/>
              <w:rPr>
                <w:rFonts w:eastAsia="Times New Roman" w:cstheme="minorHAnsi"/>
                <w:b/>
                <w:bCs/>
                <w:color w:val="000000"/>
              </w:rPr>
            </w:pPr>
            <w:r w:rsidRPr="008629F3">
              <w:rPr>
                <w:rFonts w:eastAsia="Times New Roman" w:cstheme="minorHAnsi"/>
                <w:b/>
                <w:bCs/>
                <w:color w:val="000000"/>
              </w:rPr>
              <w:t xml:space="preserve">Iceland: Family support program </w:t>
            </w:r>
          </w:p>
          <w:p w14:paraId="54B5D494" w14:textId="77777777" w:rsidR="008629F3" w:rsidRPr="008629F3" w:rsidRDefault="008629F3" w:rsidP="008629F3">
            <w:pPr>
              <w:autoSpaceDE w:val="0"/>
              <w:autoSpaceDN w:val="0"/>
              <w:adjustRightInd w:val="0"/>
              <w:spacing w:after="0" w:line="252" w:lineRule="auto"/>
              <w:rPr>
                <w:rFonts w:eastAsia="Times New Roman" w:cstheme="minorHAnsi"/>
                <w:color w:val="000000"/>
              </w:rPr>
            </w:pPr>
            <w:proofErr w:type="spellStart"/>
            <w:r w:rsidRPr="008629F3">
              <w:rPr>
                <w:rFonts w:eastAsia="Times New Roman" w:cstheme="minorHAnsi"/>
                <w:color w:val="000000"/>
              </w:rPr>
              <w:t>Margrét</w:t>
            </w:r>
            <w:proofErr w:type="spellEnd"/>
            <w:r w:rsidRPr="008629F3">
              <w:rPr>
                <w:rFonts w:eastAsia="Times New Roman" w:cstheme="minorHAnsi"/>
                <w:color w:val="000000"/>
              </w:rPr>
              <w:t xml:space="preserve"> SIGMARSDÓTTIR, Specialist in clinical child psychology</w:t>
            </w:r>
          </w:p>
          <w:p w14:paraId="5EA9212F" w14:textId="77777777" w:rsidR="008629F3" w:rsidRPr="008629F3" w:rsidRDefault="008629F3" w:rsidP="008629F3">
            <w:pPr>
              <w:autoSpaceDE w:val="0"/>
              <w:autoSpaceDN w:val="0"/>
              <w:adjustRightInd w:val="0"/>
              <w:spacing w:after="0" w:line="252" w:lineRule="auto"/>
              <w:rPr>
                <w:rFonts w:eastAsia="Times New Roman" w:cstheme="minorHAnsi"/>
                <w:b/>
                <w:bCs/>
                <w:color w:val="000000"/>
              </w:rPr>
            </w:pPr>
          </w:p>
        </w:tc>
      </w:tr>
      <w:tr w:rsidR="008629F3" w:rsidRPr="008629F3" w14:paraId="5A857FF9" w14:textId="77777777" w:rsidTr="00F63387">
        <w:trPr>
          <w:trHeight w:val="426"/>
          <w:jc w:val="center"/>
        </w:trPr>
        <w:tc>
          <w:tcPr>
            <w:tcW w:w="1021" w:type="dxa"/>
            <w:shd w:val="clear" w:color="auto" w:fill="auto"/>
            <w:tcMar>
              <w:top w:w="0" w:type="dxa"/>
              <w:left w:w="108" w:type="dxa"/>
              <w:bottom w:w="0" w:type="dxa"/>
              <w:right w:w="108" w:type="dxa"/>
            </w:tcMar>
          </w:tcPr>
          <w:p w14:paraId="34FC3916"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p>
          <w:p w14:paraId="4B26C806"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r w:rsidRPr="008629F3">
              <w:rPr>
                <w:rFonts w:eastAsia="Times New Roman" w:cstheme="minorHAnsi"/>
                <w:b/>
                <w:bCs/>
                <w:color w:val="000000"/>
              </w:rPr>
              <w:t>14:40</w:t>
            </w:r>
          </w:p>
        </w:tc>
        <w:tc>
          <w:tcPr>
            <w:tcW w:w="8369" w:type="dxa"/>
            <w:shd w:val="clear" w:color="auto" w:fill="auto"/>
            <w:tcMar>
              <w:top w:w="0" w:type="dxa"/>
              <w:left w:w="108" w:type="dxa"/>
              <w:bottom w:w="0" w:type="dxa"/>
              <w:right w:w="108" w:type="dxa"/>
            </w:tcMar>
          </w:tcPr>
          <w:p w14:paraId="29D46F83" w14:textId="77777777" w:rsidR="008629F3" w:rsidRPr="008629F3" w:rsidRDefault="008629F3" w:rsidP="008629F3">
            <w:pPr>
              <w:autoSpaceDE w:val="0"/>
              <w:autoSpaceDN w:val="0"/>
              <w:spacing w:after="0" w:line="240" w:lineRule="auto"/>
              <w:jc w:val="both"/>
              <w:rPr>
                <w:rFonts w:eastAsia="Times New Roman" w:cstheme="minorHAnsi"/>
                <w:color w:val="000000"/>
              </w:rPr>
            </w:pPr>
          </w:p>
          <w:p w14:paraId="55C6CC8E" w14:textId="77777777" w:rsidR="008629F3" w:rsidRPr="008629F3" w:rsidRDefault="008629F3" w:rsidP="008629F3">
            <w:pPr>
              <w:autoSpaceDE w:val="0"/>
              <w:autoSpaceDN w:val="0"/>
              <w:spacing w:after="0" w:line="240" w:lineRule="auto"/>
              <w:jc w:val="both"/>
              <w:rPr>
                <w:rFonts w:eastAsia="Times New Roman" w:cstheme="minorHAnsi"/>
                <w:color w:val="000000"/>
              </w:rPr>
            </w:pPr>
            <w:r w:rsidRPr="008629F3">
              <w:rPr>
                <w:rFonts w:eastAsia="Times New Roman" w:cstheme="minorHAnsi"/>
                <w:color w:val="000000"/>
              </w:rPr>
              <w:t>Open plenary exchange between Delegations and stakeholders</w:t>
            </w:r>
          </w:p>
          <w:p w14:paraId="46A246DE" w14:textId="77777777" w:rsidR="008629F3" w:rsidRPr="008629F3" w:rsidRDefault="008629F3" w:rsidP="008629F3">
            <w:pPr>
              <w:autoSpaceDE w:val="0"/>
              <w:autoSpaceDN w:val="0"/>
              <w:spacing w:after="0" w:line="240" w:lineRule="auto"/>
              <w:jc w:val="both"/>
              <w:rPr>
                <w:rFonts w:eastAsia="Times New Roman" w:cstheme="minorHAnsi"/>
                <w:b/>
                <w:bCs/>
                <w:color w:val="000000"/>
              </w:rPr>
            </w:pPr>
          </w:p>
        </w:tc>
      </w:tr>
      <w:tr w:rsidR="008629F3" w:rsidRPr="008629F3" w14:paraId="70C9502D" w14:textId="77777777" w:rsidTr="00F63387">
        <w:trPr>
          <w:trHeight w:val="361"/>
          <w:jc w:val="center"/>
        </w:trPr>
        <w:tc>
          <w:tcPr>
            <w:tcW w:w="1021" w:type="dxa"/>
            <w:shd w:val="clear" w:color="auto" w:fill="AEAAAA" w:themeFill="background2" w:themeFillShade="BF"/>
            <w:tcMar>
              <w:top w:w="0" w:type="dxa"/>
              <w:left w:w="108" w:type="dxa"/>
              <w:bottom w:w="0" w:type="dxa"/>
              <w:right w:w="108" w:type="dxa"/>
            </w:tcMar>
          </w:tcPr>
          <w:p w14:paraId="4E8B5EAE"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r w:rsidRPr="008629F3">
              <w:rPr>
                <w:rFonts w:eastAsia="Times New Roman" w:cstheme="minorHAnsi"/>
                <w:b/>
                <w:bCs/>
                <w:color w:val="000000"/>
              </w:rPr>
              <w:t>15:00</w:t>
            </w:r>
          </w:p>
        </w:tc>
        <w:tc>
          <w:tcPr>
            <w:tcW w:w="8369" w:type="dxa"/>
            <w:shd w:val="clear" w:color="auto" w:fill="AEAAAA" w:themeFill="background2" w:themeFillShade="BF"/>
            <w:tcMar>
              <w:top w:w="0" w:type="dxa"/>
              <w:left w:w="108" w:type="dxa"/>
              <w:bottom w:w="0" w:type="dxa"/>
              <w:right w:w="108" w:type="dxa"/>
            </w:tcMar>
          </w:tcPr>
          <w:p w14:paraId="53BC1047" w14:textId="77777777" w:rsidR="008629F3" w:rsidRPr="008629F3" w:rsidRDefault="008629F3" w:rsidP="008629F3">
            <w:pPr>
              <w:autoSpaceDE w:val="0"/>
              <w:autoSpaceDN w:val="0"/>
              <w:spacing w:after="0" w:line="240" w:lineRule="auto"/>
              <w:jc w:val="both"/>
              <w:rPr>
                <w:rFonts w:eastAsia="Times New Roman" w:cstheme="minorHAnsi"/>
                <w:color w:val="000000"/>
              </w:rPr>
            </w:pPr>
            <w:r w:rsidRPr="008629F3">
              <w:rPr>
                <w:rFonts w:eastAsia="Times New Roman" w:cstheme="minorHAnsi"/>
                <w:b/>
                <w:bCs/>
                <w:color w:val="000000"/>
              </w:rPr>
              <w:t>IV. Children sent in formal alternative care settings across borders</w:t>
            </w:r>
          </w:p>
        </w:tc>
      </w:tr>
      <w:tr w:rsidR="008629F3" w:rsidRPr="008629F3" w14:paraId="56340F57" w14:textId="77777777" w:rsidTr="00F63387">
        <w:trPr>
          <w:trHeight w:val="426"/>
          <w:jc w:val="center"/>
        </w:trPr>
        <w:tc>
          <w:tcPr>
            <w:tcW w:w="1021" w:type="dxa"/>
            <w:shd w:val="clear" w:color="auto" w:fill="auto"/>
            <w:tcMar>
              <w:top w:w="0" w:type="dxa"/>
              <w:left w:w="108" w:type="dxa"/>
              <w:bottom w:w="0" w:type="dxa"/>
              <w:right w:w="108" w:type="dxa"/>
            </w:tcMar>
          </w:tcPr>
          <w:p w14:paraId="7615CD20"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p>
          <w:p w14:paraId="3D6B2B5A"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r w:rsidRPr="008629F3">
              <w:rPr>
                <w:rFonts w:eastAsia="Times New Roman" w:cstheme="minorHAnsi"/>
                <w:b/>
                <w:bCs/>
                <w:color w:val="000000"/>
              </w:rPr>
              <w:t>15:00</w:t>
            </w:r>
          </w:p>
        </w:tc>
        <w:tc>
          <w:tcPr>
            <w:tcW w:w="8369" w:type="dxa"/>
            <w:shd w:val="clear" w:color="auto" w:fill="auto"/>
            <w:tcMar>
              <w:top w:w="0" w:type="dxa"/>
              <w:left w:w="108" w:type="dxa"/>
              <w:bottom w:w="0" w:type="dxa"/>
              <w:right w:w="108" w:type="dxa"/>
            </w:tcMar>
          </w:tcPr>
          <w:p w14:paraId="536AF6BB" w14:textId="77777777" w:rsidR="008629F3" w:rsidRPr="008629F3" w:rsidRDefault="008629F3" w:rsidP="008629F3">
            <w:pPr>
              <w:autoSpaceDE w:val="0"/>
              <w:autoSpaceDN w:val="0"/>
              <w:spacing w:after="0" w:line="240" w:lineRule="auto"/>
              <w:jc w:val="both"/>
              <w:rPr>
                <w:rFonts w:eastAsia="Times New Roman" w:cstheme="minorHAnsi"/>
                <w:b/>
                <w:bCs/>
                <w:color w:val="000000"/>
              </w:rPr>
            </w:pPr>
          </w:p>
          <w:p w14:paraId="4988585F" w14:textId="77777777" w:rsidR="008629F3" w:rsidRPr="008629F3" w:rsidRDefault="008629F3" w:rsidP="008629F3">
            <w:pPr>
              <w:autoSpaceDE w:val="0"/>
              <w:autoSpaceDN w:val="0"/>
              <w:spacing w:after="0" w:line="240" w:lineRule="auto"/>
              <w:jc w:val="both"/>
              <w:rPr>
                <w:rFonts w:eastAsia="Times New Roman" w:cstheme="minorHAnsi"/>
                <w:b/>
                <w:bCs/>
                <w:color w:val="000000"/>
              </w:rPr>
            </w:pPr>
            <w:r w:rsidRPr="008629F3">
              <w:rPr>
                <w:rFonts w:eastAsia="Times New Roman" w:cstheme="minorHAnsi"/>
                <w:b/>
                <w:bCs/>
                <w:color w:val="000000"/>
              </w:rPr>
              <w:t>Responsibility of the sending and the receiving State for safeguarding the rights of the Child</w:t>
            </w:r>
          </w:p>
          <w:p w14:paraId="0EB318B2" w14:textId="77777777" w:rsidR="008629F3" w:rsidRPr="008629F3" w:rsidRDefault="008629F3" w:rsidP="008629F3">
            <w:pPr>
              <w:autoSpaceDE w:val="0"/>
              <w:autoSpaceDN w:val="0"/>
              <w:spacing w:after="0" w:line="240" w:lineRule="auto"/>
              <w:jc w:val="both"/>
              <w:rPr>
                <w:rFonts w:eastAsia="Times New Roman" w:cstheme="minorHAnsi"/>
                <w:b/>
                <w:bCs/>
                <w:color w:val="000000"/>
              </w:rPr>
            </w:pPr>
          </w:p>
          <w:p w14:paraId="07C71286" w14:textId="77777777" w:rsidR="008629F3" w:rsidRPr="008629F3" w:rsidRDefault="008629F3" w:rsidP="008629F3">
            <w:pPr>
              <w:tabs>
                <w:tab w:val="left" w:pos="5973"/>
              </w:tabs>
              <w:autoSpaceDE w:val="0"/>
              <w:autoSpaceDN w:val="0"/>
              <w:spacing w:after="0" w:line="240" w:lineRule="auto"/>
              <w:jc w:val="both"/>
              <w:rPr>
                <w:rFonts w:cstheme="minorHAnsi"/>
                <w:color w:val="4A4A4A"/>
                <w:sz w:val="20"/>
                <w:szCs w:val="20"/>
                <w:lang w:val="pt-PT"/>
              </w:rPr>
            </w:pPr>
            <w:proofErr w:type="spellStart"/>
            <w:r w:rsidRPr="008629F3">
              <w:rPr>
                <w:rFonts w:eastAsia="Times New Roman" w:cstheme="minorHAnsi"/>
                <w:color w:val="000000"/>
              </w:rPr>
              <w:t>Gérardine</w:t>
            </w:r>
            <w:proofErr w:type="spellEnd"/>
            <w:r w:rsidRPr="008629F3">
              <w:rPr>
                <w:rFonts w:eastAsia="Times New Roman" w:cstheme="minorHAnsi"/>
                <w:color w:val="000000"/>
              </w:rPr>
              <w:t xml:space="preserve"> GOH ESCOLAR, First Secretary at the Permanent Bureau of the Hague Conference on Private International Law</w:t>
            </w:r>
            <w:r w:rsidRPr="008629F3">
              <w:rPr>
                <w:rFonts w:cstheme="minorHAnsi"/>
                <w:color w:val="4A4A4A"/>
                <w:sz w:val="20"/>
                <w:szCs w:val="20"/>
                <w:lang w:val="pt-PT"/>
              </w:rPr>
              <w:t xml:space="preserve"> </w:t>
            </w:r>
          </w:p>
          <w:p w14:paraId="7B1E5872" w14:textId="77777777" w:rsidR="008629F3" w:rsidRPr="008629F3" w:rsidRDefault="008629F3" w:rsidP="008629F3">
            <w:pPr>
              <w:tabs>
                <w:tab w:val="left" w:pos="5973"/>
              </w:tabs>
              <w:autoSpaceDE w:val="0"/>
              <w:autoSpaceDN w:val="0"/>
              <w:spacing w:after="0" w:line="240" w:lineRule="auto"/>
              <w:jc w:val="both"/>
              <w:rPr>
                <w:rFonts w:eastAsia="Times New Roman" w:cstheme="minorHAnsi"/>
                <w:color w:val="000000"/>
              </w:rPr>
            </w:pPr>
          </w:p>
        </w:tc>
      </w:tr>
      <w:tr w:rsidR="008629F3" w:rsidRPr="008629F3" w14:paraId="7E676A1E" w14:textId="77777777" w:rsidTr="00F63387">
        <w:trPr>
          <w:trHeight w:val="426"/>
          <w:jc w:val="center"/>
        </w:trPr>
        <w:tc>
          <w:tcPr>
            <w:tcW w:w="1021" w:type="dxa"/>
            <w:shd w:val="clear" w:color="auto" w:fill="auto"/>
            <w:tcMar>
              <w:top w:w="0" w:type="dxa"/>
              <w:left w:w="108" w:type="dxa"/>
              <w:bottom w:w="0" w:type="dxa"/>
              <w:right w:w="108" w:type="dxa"/>
            </w:tcMar>
          </w:tcPr>
          <w:p w14:paraId="263D553F"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p>
          <w:p w14:paraId="19FC2728"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r w:rsidRPr="008629F3">
              <w:rPr>
                <w:rFonts w:eastAsia="Times New Roman" w:cstheme="minorHAnsi"/>
                <w:b/>
                <w:bCs/>
                <w:color w:val="000000"/>
              </w:rPr>
              <w:t>15:20</w:t>
            </w:r>
          </w:p>
        </w:tc>
        <w:tc>
          <w:tcPr>
            <w:tcW w:w="8369" w:type="dxa"/>
            <w:shd w:val="clear" w:color="auto" w:fill="auto"/>
            <w:tcMar>
              <w:top w:w="0" w:type="dxa"/>
              <w:left w:w="108" w:type="dxa"/>
              <w:bottom w:w="0" w:type="dxa"/>
              <w:right w:w="108" w:type="dxa"/>
            </w:tcMar>
          </w:tcPr>
          <w:p w14:paraId="7976F821" w14:textId="77777777" w:rsidR="008629F3" w:rsidRPr="008629F3" w:rsidRDefault="008629F3" w:rsidP="008629F3">
            <w:pPr>
              <w:autoSpaceDE w:val="0"/>
              <w:autoSpaceDN w:val="0"/>
              <w:spacing w:after="0" w:line="240" w:lineRule="auto"/>
              <w:jc w:val="both"/>
              <w:rPr>
                <w:rFonts w:eastAsia="Times New Roman" w:cstheme="minorHAnsi"/>
                <w:b/>
                <w:bCs/>
                <w:color w:val="000000"/>
              </w:rPr>
            </w:pPr>
          </w:p>
          <w:p w14:paraId="6419F895" w14:textId="77777777" w:rsidR="008629F3" w:rsidRPr="008629F3" w:rsidRDefault="008629F3" w:rsidP="008629F3">
            <w:pPr>
              <w:autoSpaceDE w:val="0"/>
              <w:autoSpaceDN w:val="0"/>
              <w:spacing w:after="0" w:line="240" w:lineRule="auto"/>
              <w:jc w:val="both"/>
              <w:rPr>
                <w:rFonts w:eastAsia="Times New Roman" w:cstheme="minorHAnsi"/>
                <w:b/>
                <w:bCs/>
                <w:color w:val="000000"/>
              </w:rPr>
            </w:pPr>
            <w:r w:rsidRPr="008629F3">
              <w:rPr>
                <w:rFonts w:eastAsia="Times New Roman" w:cstheme="minorHAnsi"/>
                <w:b/>
                <w:bCs/>
                <w:color w:val="000000"/>
              </w:rPr>
              <w:t>Case Studies</w:t>
            </w:r>
          </w:p>
          <w:p w14:paraId="536249DD" w14:textId="77777777" w:rsidR="008629F3" w:rsidRPr="008629F3" w:rsidRDefault="008629F3" w:rsidP="008629F3">
            <w:pPr>
              <w:autoSpaceDE w:val="0"/>
              <w:autoSpaceDN w:val="0"/>
              <w:adjustRightInd w:val="0"/>
              <w:spacing w:after="0" w:line="252" w:lineRule="auto"/>
              <w:rPr>
                <w:rFonts w:eastAsia="Times New Roman" w:cstheme="minorHAnsi"/>
                <w:b/>
                <w:bCs/>
                <w:color w:val="000000"/>
              </w:rPr>
            </w:pPr>
          </w:p>
          <w:p w14:paraId="7CB8860A" w14:textId="77777777" w:rsidR="008629F3" w:rsidRPr="008629F3" w:rsidRDefault="008629F3" w:rsidP="008629F3">
            <w:pPr>
              <w:autoSpaceDE w:val="0"/>
              <w:autoSpaceDN w:val="0"/>
              <w:adjustRightInd w:val="0"/>
              <w:spacing w:after="0" w:line="252" w:lineRule="auto"/>
              <w:rPr>
                <w:rFonts w:eastAsia="Times New Roman" w:cstheme="minorHAnsi"/>
                <w:b/>
                <w:bCs/>
                <w:color w:val="000000"/>
              </w:rPr>
            </w:pPr>
            <w:r w:rsidRPr="008629F3">
              <w:rPr>
                <w:rFonts w:eastAsia="Times New Roman" w:cstheme="minorHAnsi"/>
                <w:b/>
                <w:bCs/>
                <w:color w:val="000000"/>
              </w:rPr>
              <w:t xml:space="preserve">Switzerland: Unifying cantonal practices </w:t>
            </w:r>
          </w:p>
          <w:p w14:paraId="4DFB16E8" w14:textId="77777777" w:rsidR="008629F3" w:rsidRPr="008629F3" w:rsidRDefault="008629F3" w:rsidP="008629F3">
            <w:pPr>
              <w:autoSpaceDE w:val="0"/>
              <w:autoSpaceDN w:val="0"/>
              <w:adjustRightInd w:val="0"/>
              <w:spacing w:after="0" w:line="252" w:lineRule="auto"/>
              <w:rPr>
                <w:rFonts w:eastAsia="Times New Roman" w:cstheme="minorHAnsi"/>
                <w:b/>
                <w:bCs/>
                <w:color w:val="000000"/>
              </w:rPr>
            </w:pPr>
          </w:p>
          <w:p w14:paraId="34AAA410" w14:textId="77777777" w:rsidR="008629F3" w:rsidRPr="008629F3" w:rsidRDefault="008629F3" w:rsidP="008629F3">
            <w:pPr>
              <w:autoSpaceDE w:val="0"/>
              <w:autoSpaceDN w:val="0"/>
              <w:adjustRightInd w:val="0"/>
              <w:spacing w:after="0" w:line="252" w:lineRule="auto"/>
              <w:rPr>
                <w:rFonts w:eastAsia="Times New Roman" w:cstheme="minorHAnsi"/>
                <w:color w:val="000000"/>
              </w:rPr>
            </w:pPr>
            <w:proofErr w:type="spellStart"/>
            <w:r w:rsidRPr="008629F3">
              <w:rPr>
                <w:rFonts w:eastAsia="Times New Roman" w:cstheme="minorHAnsi"/>
                <w:color w:val="000000"/>
              </w:rPr>
              <w:t>Joëlle</w:t>
            </w:r>
            <w:proofErr w:type="spellEnd"/>
            <w:r w:rsidRPr="008629F3">
              <w:rPr>
                <w:rFonts w:eastAsia="Times New Roman" w:cstheme="minorHAnsi"/>
                <w:color w:val="000000"/>
              </w:rPr>
              <w:t xml:space="preserve"> SCHICKEL, Co-Head of Private International Law Unit, Federal Office of Justice</w:t>
            </w:r>
          </w:p>
          <w:p w14:paraId="1164D53A" w14:textId="77777777" w:rsidR="008629F3" w:rsidRPr="008629F3" w:rsidRDefault="008629F3" w:rsidP="008629F3">
            <w:pPr>
              <w:autoSpaceDE w:val="0"/>
              <w:autoSpaceDN w:val="0"/>
              <w:adjustRightInd w:val="0"/>
              <w:spacing w:after="0" w:line="252" w:lineRule="auto"/>
              <w:rPr>
                <w:rFonts w:eastAsia="Times New Roman" w:cstheme="minorHAnsi"/>
                <w:color w:val="000000"/>
              </w:rPr>
            </w:pPr>
          </w:p>
          <w:p w14:paraId="6454DC9F" w14:textId="77777777" w:rsidR="008629F3" w:rsidRPr="008629F3" w:rsidRDefault="008629F3" w:rsidP="008629F3">
            <w:pPr>
              <w:autoSpaceDE w:val="0"/>
              <w:autoSpaceDN w:val="0"/>
              <w:spacing w:after="0" w:line="240" w:lineRule="auto"/>
              <w:jc w:val="both"/>
              <w:rPr>
                <w:rFonts w:eastAsia="Times New Roman" w:cstheme="minorHAnsi"/>
                <w:b/>
                <w:bCs/>
                <w:color w:val="000000"/>
              </w:rPr>
            </w:pPr>
            <w:r w:rsidRPr="008629F3">
              <w:rPr>
                <w:rFonts w:eastAsia="Times New Roman" w:cstheme="minorHAnsi"/>
                <w:b/>
                <w:bCs/>
                <w:color w:val="000000"/>
              </w:rPr>
              <w:t xml:space="preserve">Ireland: </w:t>
            </w:r>
            <w:r w:rsidRPr="008629F3">
              <w:rPr>
                <w:rFonts w:eastAsia="Times New Roman" w:cstheme="minorHAnsi"/>
                <w:color w:val="000000"/>
              </w:rPr>
              <w:t>Albert O’DONOGHUE, Principal Officer of the EU and International Unit</w:t>
            </w:r>
          </w:p>
          <w:p w14:paraId="26A0B5B3" w14:textId="77777777" w:rsidR="008629F3" w:rsidRPr="008629F3" w:rsidRDefault="008629F3" w:rsidP="008629F3">
            <w:pPr>
              <w:autoSpaceDE w:val="0"/>
              <w:autoSpaceDN w:val="0"/>
              <w:spacing w:after="0" w:line="240" w:lineRule="auto"/>
              <w:jc w:val="both"/>
              <w:rPr>
                <w:rFonts w:eastAsia="Times New Roman" w:cstheme="minorHAnsi"/>
                <w:b/>
                <w:bCs/>
                <w:color w:val="000000"/>
              </w:rPr>
            </w:pPr>
          </w:p>
        </w:tc>
      </w:tr>
      <w:tr w:rsidR="008629F3" w:rsidRPr="008629F3" w14:paraId="6D1A26CC" w14:textId="77777777" w:rsidTr="00F63387">
        <w:trPr>
          <w:trHeight w:val="426"/>
          <w:jc w:val="center"/>
        </w:trPr>
        <w:tc>
          <w:tcPr>
            <w:tcW w:w="1021" w:type="dxa"/>
            <w:shd w:val="clear" w:color="auto" w:fill="auto"/>
            <w:tcMar>
              <w:top w:w="0" w:type="dxa"/>
              <w:left w:w="108" w:type="dxa"/>
              <w:bottom w:w="0" w:type="dxa"/>
              <w:right w:w="108" w:type="dxa"/>
            </w:tcMar>
          </w:tcPr>
          <w:p w14:paraId="605EF5C9"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r w:rsidRPr="008629F3">
              <w:rPr>
                <w:rFonts w:eastAsia="Times New Roman" w:cstheme="minorHAnsi"/>
                <w:b/>
                <w:bCs/>
                <w:color w:val="000000"/>
              </w:rPr>
              <w:t>16:00</w:t>
            </w:r>
          </w:p>
        </w:tc>
        <w:tc>
          <w:tcPr>
            <w:tcW w:w="8369" w:type="dxa"/>
            <w:shd w:val="clear" w:color="auto" w:fill="auto"/>
            <w:tcMar>
              <w:top w:w="0" w:type="dxa"/>
              <w:left w:w="108" w:type="dxa"/>
              <w:bottom w:w="0" w:type="dxa"/>
              <w:right w:w="108" w:type="dxa"/>
            </w:tcMar>
          </w:tcPr>
          <w:p w14:paraId="360807A5" w14:textId="77777777" w:rsidR="008629F3" w:rsidRPr="008629F3" w:rsidRDefault="008629F3" w:rsidP="008629F3">
            <w:pPr>
              <w:autoSpaceDE w:val="0"/>
              <w:autoSpaceDN w:val="0"/>
              <w:spacing w:after="0" w:line="240" w:lineRule="auto"/>
              <w:jc w:val="both"/>
              <w:rPr>
                <w:rFonts w:eastAsia="Times New Roman" w:cstheme="minorHAnsi"/>
                <w:b/>
                <w:bCs/>
                <w:color w:val="000000"/>
              </w:rPr>
            </w:pPr>
            <w:r w:rsidRPr="008629F3">
              <w:rPr>
                <w:rFonts w:eastAsia="Times New Roman" w:cstheme="minorHAnsi"/>
                <w:b/>
                <w:bCs/>
                <w:color w:val="000000"/>
              </w:rPr>
              <w:t>Open plenary exchange between Delegations and stakeholders</w:t>
            </w:r>
          </w:p>
        </w:tc>
      </w:tr>
      <w:tr w:rsidR="008629F3" w:rsidRPr="008629F3" w14:paraId="7F7C7B12" w14:textId="77777777" w:rsidTr="00F63387">
        <w:trPr>
          <w:trHeight w:val="426"/>
          <w:jc w:val="center"/>
        </w:trPr>
        <w:tc>
          <w:tcPr>
            <w:tcW w:w="1021" w:type="dxa"/>
            <w:shd w:val="clear" w:color="auto" w:fill="auto"/>
            <w:tcMar>
              <w:top w:w="0" w:type="dxa"/>
              <w:left w:w="108" w:type="dxa"/>
              <w:bottom w:w="0" w:type="dxa"/>
              <w:right w:w="108" w:type="dxa"/>
            </w:tcMar>
          </w:tcPr>
          <w:p w14:paraId="1F4F427E"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r w:rsidRPr="008629F3">
              <w:rPr>
                <w:rFonts w:eastAsia="Times New Roman" w:cstheme="minorHAnsi"/>
                <w:b/>
                <w:bCs/>
                <w:color w:val="000000"/>
              </w:rPr>
              <w:t>16:30</w:t>
            </w:r>
          </w:p>
        </w:tc>
        <w:tc>
          <w:tcPr>
            <w:tcW w:w="8369" w:type="dxa"/>
            <w:shd w:val="clear" w:color="auto" w:fill="auto"/>
            <w:tcMar>
              <w:top w:w="0" w:type="dxa"/>
              <w:left w:w="108" w:type="dxa"/>
              <w:bottom w:w="0" w:type="dxa"/>
              <w:right w:w="108" w:type="dxa"/>
            </w:tcMar>
          </w:tcPr>
          <w:p w14:paraId="3EB6A248" w14:textId="77777777" w:rsidR="008629F3" w:rsidRPr="008629F3" w:rsidRDefault="008629F3" w:rsidP="008629F3">
            <w:pPr>
              <w:autoSpaceDE w:val="0"/>
              <w:autoSpaceDN w:val="0"/>
              <w:spacing w:after="0" w:line="240" w:lineRule="auto"/>
              <w:jc w:val="both"/>
              <w:rPr>
                <w:rFonts w:eastAsia="Times New Roman" w:cstheme="minorHAnsi"/>
                <w:b/>
                <w:bCs/>
                <w:color w:val="000000"/>
              </w:rPr>
            </w:pPr>
            <w:r w:rsidRPr="008629F3">
              <w:rPr>
                <w:rFonts w:eastAsia="Times New Roman" w:cstheme="minorHAnsi"/>
                <w:b/>
                <w:bCs/>
                <w:color w:val="000000"/>
              </w:rPr>
              <w:t xml:space="preserve">Concluding remarks </w:t>
            </w:r>
          </w:p>
        </w:tc>
      </w:tr>
      <w:tr w:rsidR="008629F3" w:rsidRPr="008629F3" w14:paraId="354D177E" w14:textId="77777777" w:rsidTr="00F63387">
        <w:trPr>
          <w:trHeight w:val="426"/>
          <w:jc w:val="center"/>
        </w:trPr>
        <w:tc>
          <w:tcPr>
            <w:tcW w:w="1021" w:type="dxa"/>
            <w:shd w:val="clear" w:color="auto" w:fill="auto"/>
            <w:tcMar>
              <w:top w:w="0" w:type="dxa"/>
              <w:left w:w="108" w:type="dxa"/>
              <w:bottom w:w="0" w:type="dxa"/>
              <w:right w:w="108" w:type="dxa"/>
            </w:tcMar>
          </w:tcPr>
          <w:p w14:paraId="658A565A"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p>
        </w:tc>
        <w:tc>
          <w:tcPr>
            <w:tcW w:w="8369" w:type="dxa"/>
            <w:shd w:val="clear" w:color="auto" w:fill="auto"/>
            <w:tcMar>
              <w:top w:w="0" w:type="dxa"/>
              <w:left w:w="108" w:type="dxa"/>
              <w:bottom w:w="0" w:type="dxa"/>
              <w:right w:w="108" w:type="dxa"/>
            </w:tcMar>
          </w:tcPr>
          <w:p w14:paraId="071F9B6E" w14:textId="77777777" w:rsidR="008629F3" w:rsidRPr="008629F3" w:rsidRDefault="008629F3" w:rsidP="008629F3">
            <w:pPr>
              <w:autoSpaceDE w:val="0"/>
              <w:autoSpaceDN w:val="0"/>
              <w:spacing w:after="0" w:line="240" w:lineRule="auto"/>
              <w:jc w:val="both"/>
              <w:rPr>
                <w:rFonts w:cstheme="minorHAnsi"/>
                <w:color w:val="000000"/>
                <w:lang w:val="en-US"/>
              </w:rPr>
            </w:pPr>
            <w:r w:rsidRPr="008629F3">
              <w:rPr>
                <w:rFonts w:cstheme="minorHAnsi"/>
                <w:color w:val="000000"/>
                <w:lang w:val="en-US"/>
              </w:rPr>
              <w:t>George NIKOLAIDIS, former Chair and member of the Lanzarote Committee</w:t>
            </w:r>
          </w:p>
          <w:p w14:paraId="629A918B" w14:textId="77777777" w:rsidR="008629F3" w:rsidRPr="008629F3" w:rsidRDefault="008629F3" w:rsidP="008629F3">
            <w:pPr>
              <w:autoSpaceDE w:val="0"/>
              <w:autoSpaceDN w:val="0"/>
              <w:spacing w:after="0" w:line="240" w:lineRule="auto"/>
              <w:jc w:val="both"/>
              <w:rPr>
                <w:rFonts w:cstheme="minorHAnsi"/>
                <w:color w:val="000000"/>
                <w:lang w:val="en-US"/>
              </w:rPr>
            </w:pPr>
          </w:p>
          <w:p w14:paraId="5ECE5F61" w14:textId="77777777" w:rsidR="008629F3" w:rsidRPr="008629F3" w:rsidRDefault="008629F3" w:rsidP="008629F3">
            <w:pPr>
              <w:autoSpaceDE w:val="0"/>
              <w:autoSpaceDN w:val="0"/>
              <w:spacing w:after="0" w:line="240" w:lineRule="auto"/>
              <w:jc w:val="both"/>
              <w:rPr>
                <w:rFonts w:eastAsia="Times New Roman" w:cstheme="minorHAnsi"/>
                <w:color w:val="000000"/>
              </w:rPr>
            </w:pPr>
            <w:proofErr w:type="spellStart"/>
            <w:r w:rsidRPr="008629F3">
              <w:rPr>
                <w:rFonts w:eastAsia="Times New Roman" w:cstheme="minorHAnsi"/>
                <w:color w:val="000000"/>
              </w:rPr>
              <w:t>Regína</w:t>
            </w:r>
            <w:proofErr w:type="spellEnd"/>
            <w:r w:rsidRPr="008629F3">
              <w:rPr>
                <w:rFonts w:eastAsia="Times New Roman" w:cstheme="minorHAnsi"/>
                <w:color w:val="000000"/>
              </w:rPr>
              <w:t xml:space="preserve"> JENSDÓTTIR, Head of the Children’s Rights Division and Council of Europe Coordinator for the Rights of the Child</w:t>
            </w:r>
          </w:p>
          <w:p w14:paraId="2E2DFCEF" w14:textId="77777777" w:rsidR="008629F3" w:rsidRPr="008629F3" w:rsidRDefault="008629F3" w:rsidP="008629F3">
            <w:pPr>
              <w:autoSpaceDE w:val="0"/>
              <w:autoSpaceDN w:val="0"/>
              <w:spacing w:after="0" w:line="240" w:lineRule="auto"/>
              <w:jc w:val="both"/>
              <w:rPr>
                <w:rFonts w:eastAsia="Times New Roman" w:cstheme="minorHAnsi"/>
                <w:color w:val="000000"/>
              </w:rPr>
            </w:pPr>
          </w:p>
        </w:tc>
      </w:tr>
      <w:tr w:rsidR="008629F3" w:rsidRPr="008629F3" w14:paraId="5D7FC891" w14:textId="77777777" w:rsidTr="00F63387">
        <w:trPr>
          <w:trHeight w:val="426"/>
          <w:jc w:val="center"/>
        </w:trPr>
        <w:tc>
          <w:tcPr>
            <w:tcW w:w="1021" w:type="dxa"/>
            <w:shd w:val="clear" w:color="auto" w:fill="auto"/>
            <w:tcMar>
              <w:top w:w="0" w:type="dxa"/>
              <w:left w:w="108" w:type="dxa"/>
              <w:bottom w:w="0" w:type="dxa"/>
              <w:right w:w="108" w:type="dxa"/>
            </w:tcMar>
          </w:tcPr>
          <w:p w14:paraId="698B1F3A" w14:textId="77777777" w:rsidR="008629F3" w:rsidRPr="008629F3" w:rsidRDefault="008629F3" w:rsidP="008629F3">
            <w:pPr>
              <w:autoSpaceDE w:val="0"/>
              <w:autoSpaceDN w:val="0"/>
              <w:adjustRightInd w:val="0"/>
              <w:spacing w:after="0" w:line="240" w:lineRule="auto"/>
              <w:rPr>
                <w:rFonts w:eastAsia="Times New Roman" w:cstheme="minorHAnsi"/>
                <w:b/>
                <w:bCs/>
                <w:color w:val="000000"/>
              </w:rPr>
            </w:pPr>
            <w:r w:rsidRPr="008629F3">
              <w:rPr>
                <w:rFonts w:eastAsia="Times New Roman" w:cstheme="minorHAnsi"/>
                <w:b/>
                <w:bCs/>
                <w:color w:val="000000"/>
              </w:rPr>
              <w:lastRenderedPageBreak/>
              <w:t>17:00</w:t>
            </w:r>
          </w:p>
        </w:tc>
        <w:tc>
          <w:tcPr>
            <w:tcW w:w="8369" w:type="dxa"/>
            <w:shd w:val="clear" w:color="auto" w:fill="auto"/>
            <w:tcMar>
              <w:top w:w="0" w:type="dxa"/>
              <w:left w:w="108" w:type="dxa"/>
              <w:bottom w:w="0" w:type="dxa"/>
              <w:right w:w="108" w:type="dxa"/>
            </w:tcMar>
          </w:tcPr>
          <w:p w14:paraId="1939E7D6" w14:textId="77777777" w:rsidR="008629F3" w:rsidRPr="008629F3" w:rsidRDefault="008629F3" w:rsidP="008629F3">
            <w:pPr>
              <w:autoSpaceDE w:val="0"/>
              <w:autoSpaceDN w:val="0"/>
              <w:adjustRightInd w:val="0"/>
              <w:spacing w:after="0" w:line="252" w:lineRule="auto"/>
              <w:rPr>
                <w:rFonts w:eastAsia="Times New Roman" w:cstheme="minorHAnsi"/>
                <w:color w:val="000000"/>
                <w:lang w:val="fr-FR"/>
              </w:rPr>
            </w:pPr>
            <w:r w:rsidRPr="008629F3">
              <w:rPr>
                <w:rFonts w:eastAsia="Times New Roman" w:cstheme="minorHAnsi"/>
                <w:color w:val="000000"/>
                <w:lang w:val="fr-FR"/>
              </w:rPr>
              <w:t xml:space="preserve">End of </w:t>
            </w:r>
            <w:proofErr w:type="spellStart"/>
            <w:r w:rsidRPr="008629F3">
              <w:rPr>
                <w:rFonts w:eastAsia="Times New Roman" w:cstheme="minorHAnsi"/>
                <w:color w:val="000000"/>
                <w:lang w:val="fr-FR"/>
              </w:rPr>
              <w:t>Conference</w:t>
            </w:r>
            <w:proofErr w:type="spellEnd"/>
          </w:p>
        </w:tc>
      </w:tr>
      <w:bookmarkEnd w:id="5"/>
    </w:tbl>
    <w:p w14:paraId="3985ED29" w14:textId="77777777" w:rsidR="008629F3" w:rsidRDefault="008629F3" w:rsidP="008629F3">
      <w:pPr>
        <w:rPr>
          <w:rFonts w:cstheme="minorHAnsi"/>
          <w:b/>
          <w:bCs/>
          <w:color w:val="002060"/>
        </w:rPr>
      </w:pPr>
    </w:p>
    <w:p w14:paraId="216487A4" w14:textId="77777777" w:rsidR="008629F3" w:rsidRDefault="008629F3" w:rsidP="008629F3">
      <w:pPr>
        <w:rPr>
          <w:rFonts w:cstheme="minorHAnsi"/>
          <w:b/>
          <w:bCs/>
          <w:color w:val="002060"/>
        </w:rPr>
      </w:pPr>
    </w:p>
    <w:p w14:paraId="52B514B7" w14:textId="28B468D5" w:rsidR="003A6FB2" w:rsidRDefault="003A6FB2" w:rsidP="008629F3">
      <w:pPr>
        <w:jc w:val="center"/>
        <w:rPr>
          <w:rFonts w:cstheme="minorHAnsi"/>
          <w:b/>
          <w:bCs/>
          <w:color w:val="002060"/>
          <w:lang w:val="en-US"/>
        </w:rPr>
      </w:pPr>
      <w:r w:rsidRPr="008629F3">
        <w:rPr>
          <w:rFonts w:cstheme="minorHAnsi"/>
          <w:b/>
          <w:bCs/>
          <w:color w:val="002060"/>
          <w:lang w:val="en-US"/>
        </w:rPr>
        <w:t>Appendix 2: List of relevant Council of Europe and other Regional standards and resources</w:t>
      </w:r>
    </w:p>
    <w:p w14:paraId="7D4C84BD" w14:textId="77777777" w:rsidR="008629F3" w:rsidRPr="008629F3" w:rsidRDefault="008629F3" w:rsidP="008629F3">
      <w:pPr>
        <w:jc w:val="center"/>
        <w:rPr>
          <w:rFonts w:cstheme="minorHAnsi"/>
          <w:b/>
          <w:bCs/>
          <w:color w:val="002060"/>
          <w:lang w:val="en-US"/>
        </w:rPr>
      </w:pPr>
    </w:p>
    <w:p w14:paraId="07E89497" w14:textId="77777777" w:rsidR="003A6FB2" w:rsidRPr="0057138A" w:rsidRDefault="003A6FB2" w:rsidP="003A6FB2">
      <w:pPr>
        <w:pStyle w:val="ListParagraph"/>
        <w:numPr>
          <w:ilvl w:val="0"/>
          <w:numId w:val="40"/>
        </w:numPr>
        <w:rPr>
          <w:rFonts w:cstheme="minorHAnsi"/>
          <w:color w:val="002060"/>
          <w:lang w:val="en-US"/>
        </w:rPr>
      </w:pPr>
      <w:r>
        <w:rPr>
          <w:rFonts w:cstheme="minorHAnsi"/>
          <w:color w:val="002060"/>
          <w:lang w:val="en-US"/>
        </w:rPr>
        <w:t>Council of Europe standards and resources</w:t>
      </w:r>
    </w:p>
    <w:p w14:paraId="00990BBF" w14:textId="77777777" w:rsidR="003A6FB2" w:rsidRDefault="00417E63" w:rsidP="003A6FB2">
      <w:pPr>
        <w:pStyle w:val="ListParagraph"/>
        <w:numPr>
          <w:ilvl w:val="0"/>
          <w:numId w:val="39"/>
        </w:numPr>
        <w:rPr>
          <w:rFonts w:cstheme="minorHAnsi"/>
          <w:color w:val="002060"/>
        </w:rPr>
      </w:pPr>
      <w:hyperlink r:id="rId27" w:history="1">
        <w:r w:rsidR="003A6FB2" w:rsidRPr="0057138A">
          <w:rPr>
            <w:rStyle w:val="Hyperlink"/>
            <w:rFonts w:cstheme="minorHAnsi"/>
          </w:rPr>
          <w:t>European Convention on Human Rights</w:t>
        </w:r>
      </w:hyperlink>
    </w:p>
    <w:p w14:paraId="0A645C48" w14:textId="77777777" w:rsidR="003A6FB2" w:rsidRDefault="00417E63" w:rsidP="003A6FB2">
      <w:pPr>
        <w:pStyle w:val="ListParagraph"/>
        <w:numPr>
          <w:ilvl w:val="0"/>
          <w:numId w:val="39"/>
        </w:numPr>
        <w:rPr>
          <w:rFonts w:cstheme="minorHAnsi"/>
          <w:color w:val="002060"/>
        </w:rPr>
      </w:pPr>
      <w:hyperlink r:id="rId28" w:history="1">
        <w:r w:rsidR="003A6FB2" w:rsidRPr="00465E38">
          <w:rPr>
            <w:rStyle w:val="Hyperlink"/>
            <w:rFonts w:cstheme="minorHAnsi"/>
          </w:rPr>
          <w:t>Guidelines of the Committee of Ministers of the Council of Europe on child-friendly justice</w:t>
        </w:r>
      </w:hyperlink>
    </w:p>
    <w:p w14:paraId="4734EAFB" w14:textId="77777777" w:rsidR="003A6FB2" w:rsidRDefault="00417E63" w:rsidP="003A6FB2">
      <w:pPr>
        <w:pStyle w:val="ListParagraph"/>
        <w:numPr>
          <w:ilvl w:val="0"/>
          <w:numId w:val="39"/>
        </w:numPr>
        <w:rPr>
          <w:rFonts w:cstheme="minorHAnsi"/>
          <w:color w:val="002060"/>
        </w:rPr>
      </w:pPr>
      <w:hyperlink r:id="rId29" w:history="1">
        <w:r w:rsidR="003A6FB2" w:rsidRPr="0057138A">
          <w:rPr>
            <w:rStyle w:val="Hyperlink"/>
            <w:rFonts w:cstheme="minorHAnsi"/>
          </w:rPr>
          <w:t>Convention on the Protection of Children against Child Sexual Exploitation and Sexual Abuse</w:t>
        </w:r>
      </w:hyperlink>
      <w:r w:rsidR="003A6FB2" w:rsidRPr="0057138A">
        <w:rPr>
          <w:rFonts w:cstheme="minorHAnsi"/>
          <w:color w:val="002060"/>
        </w:rPr>
        <w:t xml:space="preserve"> (Lanzarote Convention)</w:t>
      </w:r>
    </w:p>
    <w:p w14:paraId="542786B2" w14:textId="77777777" w:rsidR="003A6FB2" w:rsidRDefault="00417E63" w:rsidP="003A6FB2">
      <w:pPr>
        <w:pStyle w:val="ListParagraph"/>
        <w:numPr>
          <w:ilvl w:val="0"/>
          <w:numId w:val="39"/>
        </w:numPr>
        <w:rPr>
          <w:rFonts w:cstheme="minorHAnsi"/>
          <w:color w:val="002060"/>
        </w:rPr>
      </w:pPr>
      <w:hyperlink r:id="rId30" w:history="1">
        <w:r w:rsidR="003A6FB2" w:rsidRPr="00414FB3">
          <w:rPr>
            <w:rStyle w:val="Hyperlink"/>
            <w:rFonts w:cstheme="minorHAnsi"/>
          </w:rPr>
          <w:t>Convention on Preventing and combating violence against women and domestic violence</w:t>
        </w:r>
      </w:hyperlink>
      <w:r w:rsidR="003A6FB2" w:rsidRPr="00414FB3">
        <w:rPr>
          <w:rFonts w:cstheme="minorHAnsi"/>
          <w:color w:val="002060"/>
        </w:rPr>
        <w:t xml:space="preserve"> (Istanbul Convention)</w:t>
      </w:r>
    </w:p>
    <w:p w14:paraId="0B674537" w14:textId="77777777" w:rsidR="003A6FB2" w:rsidRDefault="003A6FB2" w:rsidP="003A6FB2">
      <w:pPr>
        <w:pStyle w:val="ListParagraph"/>
        <w:numPr>
          <w:ilvl w:val="0"/>
          <w:numId w:val="39"/>
        </w:numPr>
        <w:rPr>
          <w:rFonts w:cstheme="minorHAnsi"/>
          <w:color w:val="002060"/>
        </w:rPr>
      </w:pPr>
      <w:r w:rsidRPr="0057138A">
        <w:rPr>
          <w:rFonts w:cstheme="minorHAnsi"/>
          <w:color w:val="002060"/>
        </w:rPr>
        <w:t xml:space="preserve">Council of Europe </w:t>
      </w:r>
      <w:hyperlink r:id="rId31" w:history="1">
        <w:r w:rsidRPr="0057138A">
          <w:rPr>
            <w:rStyle w:val="Hyperlink"/>
            <w:rFonts w:cstheme="minorHAnsi"/>
          </w:rPr>
          <w:t>Recommendation Rec(2005)5</w:t>
        </w:r>
      </w:hyperlink>
      <w:r w:rsidRPr="0057138A">
        <w:rPr>
          <w:rFonts w:cstheme="minorHAnsi"/>
          <w:color w:val="002060"/>
        </w:rPr>
        <w:t xml:space="preserve"> on the rights of children living in residential institutions</w:t>
      </w:r>
    </w:p>
    <w:p w14:paraId="13D70DB3" w14:textId="77777777" w:rsidR="003A6FB2" w:rsidRDefault="003A6FB2" w:rsidP="003A6FB2">
      <w:pPr>
        <w:pStyle w:val="ListParagraph"/>
        <w:numPr>
          <w:ilvl w:val="0"/>
          <w:numId w:val="39"/>
        </w:numPr>
        <w:rPr>
          <w:rFonts w:cstheme="minorHAnsi"/>
          <w:color w:val="002060"/>
        </w:rPr>
      </w:pPr>
      <w:r w:rsidRPr="0057138A">
        <w:rPr>
          <w:rFonts w:cstheme="minorHAnsi"/>
          <w:color w:val="002060"/>
        </w:rPr>
        <w:t xml:space="preserve">Council of Europe </w:t>
      </w:r>
      <w:hyperlink r:id="rId32" w:history="1">
        <w:r w:rsidRPr="0057138A">
          <w:rPr>
            <w:rStyle w:val="Hyperlink"/>
            <w:rFonts w:cstheme="minorHAnsi"/>
          </w:rPr>
          <w:t>Recommendation Rec(2006)19</w:t>
        </w:r>
      </w:hyperlink>
      <w:r w:rsidRPr="0057138A">
        <w:rPr>
          <w:rFonts w:cstheme="minorHAnsi"/>
          <w:color w:val="002060"/>
        </w:rPr>
        <w:t xml:space="preserve"> on policy to support positive parenting</w:t>
      </w:r>
    </w:p>
    <w:p w14:paraId="3C3540C7" w14:textId="77777777" w:rsidR="003A6FB2" w:rsidRDefault="003A6FB2" w:rsidP="003A6FB2">
      <w:pPr>
        <w:pStyle w:val="ListParagraph"/>
        <w:numPr>
          <w:ilvl w:val="0"/>
          <w:numId w:val="39"/>
        </w:numPr>
        <w:rPr>
          <w:rFonts w:cstheme="minorHAnsi"/>
          <w:color w:val="002060"/>
        </w:rPr>
      </w:pPr>
      <w:r w:rsidRPr="0057138A">
        <w:rPr>
          <w:rFonts w:cstheme="minorHAnsi"/>
          <w:color w:val="002060"/>
        </w:rPr>
        <w:t xml:space="preserve">Council of Europe </w:t>
      </w:r>
      <w:hyperlink r:id="rId33" w:history="1">
        <w:r w:rsidRPr="0057138A">
          <w:rPr>
            <w:rStyle w:val="Hyperlink"/>
            <w:rFonts w:cstheme="minorHAnsi"/>
          </w:rPr>
          <w:t>Recommendation CM/Rec(2010)2</w:t>
        </w:r>
      </w:hyperlink>
      <w:r w:rsidRPr="0057138A">
        <w:rPr>
          <w:rFonts w:cstheme="minorHAnsi"/>
          <w:color w:val="002060"/>
        </w:rPr>
        <w:t xml:space="preserve"> on deinstitutionalisation and community living of children with disabilities</w:t>
      </w:r>
    </w:p>
    <w:p w14:paraId="6202E756" w14:textId="77777777" w:rsidR="003A6FB2" w:rsidRDefault="003A6FB2" w:rsidP="003A6FB2">
      <w:pPr>
        <w:pStyle w:val="ListParagraph"/>
        <w:numPr>
          <w:ilvl w:val="0"/>
          <w:numId w:val="39"/>
        </w:numPr>
        <w:rPr>
          <w:rFonts w:cstheme="minorHAnsi"/>
          <w:color w:val="002060"/>
        </w:rPr>
      </w:pPr>
      <w:r w:rsidRPr="0057138A">
        <w:rPr>
          <w:rFonts w:cstheme="minorHAnsi"/>
          <w:color w:val="002060"/>
        </w:rPr>
        <w:t xml:space="preserve">Council of Europe </w:t>
      </w:r>
      <w:hyperlink r:id="rId34" w:history="1">
        <w:r w:rsidRPr="0057138A">
          <w:rPr>
            <w:rStyle w:val="Hyperlink"/>
            <w:rFonts w:cstheme="minorHAnsi"/>
          </w:rPr>
          <w:t>Recommendation Rec(2011)12</w:t>
        </w:r>
      </w:hyperlink>
      <w:r w:rsidRPr="0057138A">
        <w:rPr>
          <w:rFonts w:cstheme="minorHAnsi"/>
          <w:color w:val="002060"/>
        </w:rPr>
        <w:t xml:space="preserve"> on children’s rights and social services friendly to children and families</w:t>
      </w:r>
    </w:p>
    <w:p w14:paraId="2471AE4D" w14:textId="77777777" w:rsidR="003A6FB2" w:rsidRDefault="00417E63" w:rsidP="003A6FB2">
      <w:pPr>
        <w:pStyle w:val="ListParagraph"/>
        <w:numPr>
          <w:ilvl w:val="0"/>
          <w:numId w:val="39"/>
        </w:numPr>
        <w:rPr>
          <w:rFonts w:cstheme="minorHAnsi"/>
          <w:color w:val="002060"/>
        </w:rPr>
      </w:pPr>
      <w:hyperlink r:id="rId35" w:history="1">
        <w:r w:rsidR="003A6FB2" w:rsidRPr="0057138A">
          <w:rPr>
            <w:rStyle w:val="Hyperlink"/>
            <w:rFonts w:cstheme="minorHAnsi"/>
          </w:rPr>
          <w:t>Children and young people in care – Discover your rights!</w:t>
        </w:r>
      </w:hyperlink>
      <w:r w:rsidR="003A6FB2" w:rsidRPr="0057138A">
        <w:rPr>
          <w:rFonts w:cstheme="minorHAnsi"/>
          <w:color w:val="002060"/>
        </w:rPr>
        <w:t>, a Council of Europe booklet addressed to children and young people in alternative care</w:t>
      </w:r>
    </w:p>
    <w:p w14:paraId="38389491" w14:textId="77777777" w:rsidR="003A6FB2" w:rsidRDefault="00417E63" w:rsidP="003A6FB2">
      <w:pPr>
        <w:pStyle w:val="ListParagraph"/>
        <w:numPr>
          <w:ilvl w:val="0"/>
          <w:numId w:val="39"/>
        </w:numPr>
        <w:rPr>
          <w:rFonts w:cstheme="minorHAnsi"/>
          <w:color w:val="002060"/>
        </w:rPr>
      </w:pPr>
      <w:hyperlink r:id="rId36" w:history="1">
        <w:r w:rsidR="003A6FB2" w:rsidRPr="0057138A">
          <w:rPr>
            <w:rStyle w:val="Hyperlink"/>
            <w:rFonts w:cstheme="minorHAnsi"/>
          </w:rPr>
          <w:t>Securing Children’s rights – A guide for professionals working in alternative care</w:t>
        </w:r>
      </w:hyperlink>
      <w:r w:rsidR="003A6FB2" w:rsidRPr="0057138A">
        <w:rPr>
          <w:rFonts w:cstheme="minorHAnsi"/>
          <w:color w:val="002060"/>
        </w:rPr>
        <w:t>, provides guidance and tools for professionals that work with children in care</w:t>
      </w:r>
    </w:p>
    <w:p w14:paraId="6DA85B49" w14:textId="77777777" w:rsidR="003A6FB2" w:rsidRDefault="00417E63" w:rsidP="003A6FB2">
      <w:pPr>
        <w:pStyle w:val="ListParagraph"/>
        <w:numPr>
          <w:ilvl w:val="0"/>
          <w:numId w:val="39"/>
        </w:numPr>
        <w:rPr>
          <w:rFonts w:cstheme="minorHAnsi"/>
          <w:color w:val="002060"/>
        </w:rPr>
      </w:pPr>
      <w:hyperlink r:id="rId37" w:history="1">
        <w:r w:rsidR="003A6FB2" w:rsidRPr="0057138A">
          <w:rPr>
            <w:rStyle w:val="Hyperlink"/>
            <w:rFonts w:cstheme="minorHAnsi"/>
          </w:rPr>
          <w:t>Declaration of the Lanzarote Committee on protecting children in out-of-home care from sexual exploitation and sexual abuse</w:t>
        </w:r>
      </w:hyperlink>
    </w:p>
    <w:p w14:paraId="6EC2ECD6" w14:textId="77777777" w:rsidR="003A6FB2" w:rsidRDefault="00417E63" w:rsidP="003A6FB2">
      <w:pPr>
        <w:pStyle w:val="ListParagraph"/>
        <w:numPr>
          <w:ilvl w:val="0"/>
          <w:numId w:val="39"/>
        </w:numPr>
        <w:rPr>
          <w:rFonts w:cstheme="minorHAnsi"/>
          <w:color w:val="002060"/>
        </w:rPr>
      </w:pPr>
      <w:hyperlink r:id="rId38" w:history="1">
        <w:r w:rsidR="003A6FB2" w:rsidRPr="0057138A">
          <w:rPr>
            <w:rStyle w:val="Hyperlink"/>
            <w:rFonts w:cstheme="minorHAnsi"/>
          </w:rPr>
          <w:t>Children and alternative care</w:t>
        </w:r>
      </w:hyperlink>
      <w:r w:rsidR="003A6FB2" w:rsidRPr="0057138A">
        <w:rPr>
          <w:rFonts w:cstheme="minorHAnsi"/>
          <w:color w:val="002060"/>
        </w:rPr>
        <w:t>, Council of Europe dedicated webpage</w:t>
      </w:r>
    </w:p>
    <w:p w14:paraId="4704CE8B" w14:textId="77777777" w:rsidR="003A6FB2" w:rsidRPr="0057138A" w:rsidRDefault="003A6FB2" w:rsidP="003A6FB2">
      <w:pPr>
        <w:pStyle w:val="ListParagraph"/>
        <w:numPr>
          <w:ilvl w:val="0"/>
          <w:numId w:val="40"/>
        </w:numPr>
        <w:rPr>
          <w:rFonts w:cstheme="minorHAnsi"/>
          <w:color w:val="002060"/>
          <w:lang w:val="en-US"/>
        </w:rPr>
      </w:pPr>
      <w:r w:rsidRPr="0057138A">
        <w:rPr>
          <w:rFonts w:cstheme="minorHAnsi"/>
          <w:color w:val="002060"/>
          <w:lang w:val="en-US"/>
        </w:rPr>
        <w:t>Other Regional Standards and Resources</w:t>
      </w:r>
    </w:p>
    <w:p w14:paraId="1E748DA1" w14:textId="77777777" w:rsidR="003A6FB2" w:rsidRDefault="00417E63" w:rsidP="003A6FB2">
      <w:pPr>
        <w:pStyle w:val="ListParagraph"/>
        <w:numPr>
          <w:ilvl w:val="0"/>
          <w:numId w:val="39"/>
        </w:numPr>
        <w:rPr>
          <w:rFonts w:cstheme="minorHAnsi"/>
          <w:color w:val="002060"/>
        </w:rPr>
      </w:pPr>
      <w:hyperlink r:id="rId39" w:history="1">
        <w:r w:rsidR="003A6FB2">
          <w:rPr>
            <w:rStyle w:val="Hyperlink"/>
            <w:rFonts w:cstheme="minorHAnsi"/>
          </w:rPr>
          <w:t>1996 H</w:t>
        </w:r>
        <w:r w:rsidR="003A6FB2" w:rsidRPr="00E46B9E">
          <w:rPr>
            <w:rStyle w:val="Hyperlink"/>
            <w:rFonts w:cstheme="minorHAnsi"/>
          </w:rPr>
          <w:t>ague Convention on Jurisdiction, Applicable Law, Recognition, Enforcement and Cooperation in respect of Parental Responsibility and Measures for the Protection of Children</w:t>
        </w:r>
      </w:hyperlink>
    </w:p>
    <w:p w14:paraId="786A18E0" w14:textId="77777777" w:rsidR="003A6FB2" w:rsidRPr="0057138A" w:rsidRDefault="003A6FB2" w:rsidP="003A6FB2">
      <w:pPr>
        <w:pStyle w:val="ListParagraph"/>
        <w:numPr>
          <w:ilvl w:val="0"/>
          <w:numId w:val="39"/>
        </w:numPr>
        <w:rPr>
          <w:rFonts w:cstheme="minorHAnsi"/>
          <w:color w:val="002060"/>
        </w:rPr>
      </w:pPr>
      <w:r w:rsidRPr="0057138A">
        <w:rPr>
          <w:rFonts w:cstheme="minorHAnsi"/>
          <w:color w:val="002060"/>
        </w:rPr>
        <w:t xml:space="preserve">The Hague Conference on Private International Law - </w:t>
      </w:r>
      <w:hyperlink r:id="rId40" w:history="1">
        <w:r w:rsidRPr="0057138A">
          <w:rPr>
            <w:rStyle w:val="Hyperlink"/>
            <w:rFonts w:cstheme="minorHAnsi"/>
          </w:rPr>
          <w:t>Practical Handbook on the Operation of the 1996 Child Protection Convention</w:t>
        </w:r>
      </w:hyperlink>
    </w:p>
    <w:p w14:paraId="6CB7D72F" w14:textId="77777777" w:rsidR="003A6FB2" w:rsidRPr="002514C1" w:rsidRDefault="003A6FB2" w:rsidP="00B91BBA">
      <w:pPr>
        <w:rPr>
          <w:rFonts w:cstheme="minorHAnsi"/>
          <w:color w:val="002060"/>
        </w:rPr>
      </w:pPr>
    </w:p>
    <w:sectPr w:rsidR="003A6FB2" w:rsidRPr="002514C1" w:rsidSect="005672CE">
      <w:footerReference w:type="default" r:id="rId41"/>
      <w:headerReference w:type="first" r:id="rId42"/>
      <w:footerReference w:type="first" r:id="rId43"/>
      <w:endnotePr>
        <w:numFmt w:val="decimal"/>
      </w:endnotePr>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5C40A" w14:textId="77777777" w:rsidR="00011A14" w:rsidRDefault="00011A14" w:rsidP="008C6367">
      <w:pPr>
        <w:spacing w:after="0" w:line="240" w:lineRule="auto"/>
      </w:pPr>
      <w:r>
        <w:separator/>
      </w:r>
    </w:p>
  </w:endnote>
  <w:endnote w:type="continuationSeparator" w:id="0">
    <w:p w14:paraId="083F84B0" w14:textId="77777777" w:rsidR="00011A14" w:rsidRDefault="00011A14" w:rsidP="008C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WText-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553414"/>
      <w:docPartObj>
        <w:docPartGallery w:val="Page Numbers (Bottom of Page)"/>
        <w:docPartUnique/>
      </w:docPartObj>
    </w:sdtPr>
    <w:sdtEndPr/>
    <w:sdtContent>
      <w:p w14:paraId="1579214E" w14:textId="091AAC9E" w:rsidR="008A33C4" w:rsidRDefault="008A33C4">
        <w:pPr>
          <w:pStyle w:val="Footer"/>
          <w:jc w:val="right"/>
        </w:pPr>
        <w:r>
          <w:fldChar w:fldCharType="begin"/>
        </w:r>
        <w:r>
          <w:instrText>PAGE   \* MERGEFORMAT</w:instrText>
        </w:r>
        <w:r>
          <w:fldChar w:fldCharType="separate"/>
        </w:r>
        <w:r w:rsidR="00417E63">
          <w:rPr>
            <w:noProof/>
          </w:rPr>
          <w:t>10</w:t>
        </w:r>
        <w:r>
          <w:fldChar w:fldCharType="end"/>
        </w:r>
      </w:p>
    </w:sdtContent>
  </w:sdt>
  <w:p w14:paraId="738561C2" w14:textId="1E5E65F5" w:rsidR="008A33C4" w:rsidRDefault="008A33C4">
    <w:pPr>
      <w:pStyle w:val="Footer"/>
    </w:pPr>
  </w:p>
  <w:p w14:paraId="267A1F27" w14:textId="77777777" w:rsidR="003A6FB2" w:rsidRDefault="003A6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101767"/>
      <w:docPartObj>
        <w:docPartGallery w:val="Page Numbers (Bottom of Page)"/>
        <w:docPartUnique/>
      </w:docPartObj>
    </w:sdtPr>
    <w:sdtEndPr/>
    <w:sdtContent>
      <w:p w14:paraId="5944CBDD" w14:textId="465C37D7" w:rsidR="008A33C4" w:rsidRDefault="008A33C4">
        <w:pPr>
          <w:pStyle w:val="Footer"/>
          <w:jc w:val="right"/>
        </w:pPr>
        <w:r>
          <w:fldChar w:fldCharType="begin"/>
        </w:r>
        <w:r>
          <w:instrText>PAGE   \* MERGEFORMAT</w:instrText>
        </w:r>
        <w:r>
          <w:fldChar w:fldCharType="separate"/>
        </w:r>
        <w:r w:rsidR="00417E63">
          <w:rPr>
            <w:noProof/>
          </w:rPr>
          <w:t>1</w:t>
        </w:r>
        <w:r>
          <w:fldChar w:fldCharType="end"/>
        </w:r>
      </w:p>
    </w:sdtContent>
  </w:sdt>
  <w:p w14:paraId="3F8944F7" w14:textId="77777777" w:rsidR="008A33C4" w:rsidRDefault="008A3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C7AFF" w14:textId="77777777" w:rsidR="00011A14" w:rsidRDefault="00011A14" w:rsidP="008C6367">
      <w:pPr>
        <w:spacing w:after="0" w:line="240" w:lineRule="auto"/>
      </w:pPr>
      <w:r>
        <w:separator/>
      </w:r>
    </w:p>
  </w:footnote>
  <w:footnote w:type="continuationSeparator" w:id="0">
    <w:p w14:paraId="0EE3A989" w14:textId="77777777" w:rsidR="00011A14" w:rsidRDefault="00011A14" w:rsidP="008C6367">
      <w:pPr>
        <w:spacing w:after="0" w:line="240" w:lineRule="auto"/>
      </w:pPr>
      <w:r>
        <w:continuationSeparator/>
      </w:r>
    </w:p>
  </w:footnote>
  <w:footnote w:id="1">
    <w:p w14:paraId="6687E586" w14:textId="77777777" w:rsidR="00814CE1" w:rsidRPr="00814CE1" w:rsidRDefault="00814CE1" w:rsidP="00814CE1">
      <w:pPr>
        <w:pStyle w:val="FootnoteText"/>
        <w:jc w:val="both"/>
        <w:rPr>
          <w:sz w:val="16"/>
          <w:szCs w:val="16"/>
        </w:rPr>
      </w:pPr>
      <w:r w:rsidRPr="00814CE1">
        <w:rPr>
          <w:rStyle w:val="FootnoteReference"/>
          <w:sz w:val="16"/>
          <w:szCs w:val="16"/>
        </w:rPr>
        <w:footnoteRef/>
      </w:r>
      <w:r w:rsidRPr="00814CE1">
        <w:rPr>
          <w:sz w:val="16"/>
          <w:szCs w:val="16"/>
        </w:rPr>
        <w:t xml:space="preserve"> This contribution </w:t>
      </w:r>
      <w:proofErr w:type="gramStart"/>
      <w:r w:rsidRPr="00814CE1">
        <w:rPr>
          <w:sz w:val="16"/>
          <w:szCs w:val="16"/>
        </w:rPr>
        <w:t>has been prepared</w:t>
      </w:r>
      <w:proofErr w:type="gramEnd"/>
      <w:r w:rsidRPr="00814CE1">
        <w:rPr>
          <w:sz w:val="16"/>
          <w:szCs w:val="16"/>
        </w:rPr>
        <w:t xml:space="preserve"> by the Council of Europe’s Children’s Rights Division and does not necessarily reflect the official position of the Council of Europe’s member states.</w:t>
      </w:r>
    </w:p>
  </w:footnote>
  <w:footnote w:id="2">
    <w:p w14:paraId="4C6B05A8" w14:textId="50636FB4" w:rsidR="008A33C4" w:rsidRPr="00A6302B" w:rsidRDefault="008A33C4" w:rsidP="000261FA">
      <w:pPr>
        <w:pStyle w:val="FootnoteText"/>
        <w:rPr>
          <w:color w:val="002060"/>
          <w:sz w:val="16"/>
          <w:szCs w:val="16"/>
        </w:rPr>
      </w:pPr>
      <w:r w:rsidRPr="00A6302B">
        <w:rPr>
          <w:rStyle w:val="FootnoteReference"/>
          <w:color w:val="002060"/>
          <w:sz w:val="16"/>
          <w:szCs w:val="16"/>
        </w:rPr>
        <w:footnoteRef/>
      </w:r>
      <w:r w:rsidRPr="00A6302B">
        <w:rPr>
          <w:color w:val="002060"/>
          <w:sz w:val="16"/>
          <w:szCs w:val="16"/>
        </w:rPr>
        <w:t xml:space="preserve"> </w:t>
      </w:r>
      <w:hyperlink r:id="rId1" w:history="1">
        <w:r w:rsidRPr="00B240F0">
          <w:rPr>
            <w:rStyle w:val="Hyperlink"/>
            <w:sz w:val="16"/>
            <w:szCs w:val="16"/>
          </w:rPr>
          <w:t>Presentation on “the case-law of the European Court of Human Rights relevant to the protection the rights of the child in relation to alternative care settings”</w:t>
        </w:r>
      </w:hyperlink>
      <w:r w:rsidRPr="00A6302B">
        <w:rPr>
          <w:color w:val="002060"/>
          <w:sz w:val="16"/>
          <w:szCs w:val="16"/>
        </w:rPr>
        <w:t xml:space="preserve"> by </w:t>
      </w:r>
      <w:proofErr w:type="spellStart"/>
      <w:r w:rsidRPr="00A6302B">
        <w:rPr>
          <w:color w:val="002060"/>
          <w:sz w:val="16"/>
          <w:szCs w:val="16"/>
        </w:rPr>
        <w:t>Ksenija</w:t>
      </w:r>
      <w:proofErr w:type="spellEnd"/>
      <w:r w:rsidRPr="00A6302B">
        <w:rPr>
          <w:color w:val="002060"/>
          <w:sz w:val="16"/>
          <w:szCs w:val="16"/>
        </w:rPr>
        <w:t xml:space="preserve"> TURKOVIĆ, Vice President of the </w:t>
      </w:r>
      <w:proofErr w:type="gramStart"/>
      <w:r w:rsidRPr="00A6302B">
        <w:rPr>
          <w:color w:val="002060"/>
          <w:sz w:val="16"/>
          <w:szCs w:val="16"/>
        </w:rPr>
        <w:t>ECHR</w:t>
      </w:r>
      <w:r>
        <w:rPr>
          <w:color w:val="002060"/>
          <w:sz w:val="16"/>
          <w:szCs w:val="16"/>
        </w:rPr>
        <w:t xml:space="preserve"> ]</w:t>
      </w:r>
      <w:proofErr w:type="gramEnd"/>
      <w:r>
        <w:rPr>
          <w:color w:val="002060"/>
          <w:sz w:val="16"/>
          <w:szCs w:val="16"/>
        </w:rPr>
        <w:t>.</w:t>
      </w:r>
    </w:p>
    <w:p w14:paraId="40C4D03A" w14:textId="77777777" w:rsidR="008A33C4" w:rsidRPr="00A6302B" w:rsidRDefault="008A33C4" w:rsidP="000261FA">
      <w:pPr>
        <w:pStyle w:val="FootnoteText"/>
        <w:rPr>
          <w:color w:val="002060"/>
          <w:sz w:val="16"/>
          <w:szCs w:val="16"/>
        </w:rPr>
      </w:pPr>
    </w:p>
  </w:footnote>
  <w:footnote w:id="3">
    <w:p w14:paraId="55F233FF" w14:textId="55522608" w:rsidR="00914258" w:rsidRPr="00BE3E4F" w:rsidRDefault="00914258">
      <w:pPr>
        <w:pStyle w:val="FootnoteText"/>
        <w:rPr>
          <w:rFonts w:ascii="Calibri" w:hAnsi="Calibri" w:cs="Calibri"/>
          <w:color w:val="002060"/>
          <w:sz w:val="16"/>
          <w:szCs w:val="16"/>
          <w:lang w:val="en-GB"/>
        </w:rPr>
      </w:pPr>
      <w:r>
        <w:rPr>
          <w:rStyle w:val="FootnoteReference"/>
        </w:rPr>
        <w:footnoteRef/>
      </w:r>
      <w:r w:rsidR="000B6B4E" w:rsidRPr="00BE3E4F">
        <w:rPr>
          <w:lang w:val="en-GB"/>
        </w:rPr>
        <w:t xml:space="preserve"> </w:t>
      </w:r>
      <w:proofErr w:type="gramStart"/>
      <w:r w:rsidR="000B6B4E" w:rsidRPr="00BE3E4F">
        <w:rPr>
          <w:rFonts w:ascii="Calibri" w:hAnsi="Calibri" w:cs="Calibri"/>
          <w:color w:val="002060"/>
          <w:sz w:val="16"/>
          <w:szCs w:val="16"/>
          <w:lang w:val="en-GB"/>
        </w:rPr>
        <w:t>Rec(</w:t>
      </w:r>
      <w:proofErr w:type="gramEnd"/>
      <w:r w:rsidR="000B6B4E" w:rsidRPr="00BE3E4F">
        <w:rPr>
          <w:rFonts w:ascii="Calibri" w:hAnsi="Calibri" w:cs="Calibri"/>
          <w:color w:val="002060"/>
          <w:sz w:val="16"/>
          <w:szCs w:val="16"/>
          <w:lang w:val="en-GB"/>
        </w:rPr>
        <w:t>2011)12 on Children’s rights and social services friendly to children and families, para. 2(5)</w:t>
      </w:r>
    </w:p>
  </w:footnote>
  <w:footnote w:id="4">
    <w:p w14:paraId="34007174" w14:textId="6300555B" w:rsidR="008A33C4" w:rsidRPr="001932B0" w:rsidRDefault="008A33C4">
      <w:pPr>
        <w:pStyle w:val="FootnoteText"/>
      </w:pPr>
      <w:r>
        <w:rPr>
          <w:rStyle w:val="FootnoteReference"/>
        </w:rPr>
        <w:footnoteRef/>
      </w:r>
      <w:r>
        <w:t xml:space="preserve"> </w:t>
      </w:r>
      <w:proofErr w:type="spellStart"/>
      <w:r w:rsidR="00B1560A">
        <w:rPr>
          <w:rFonts w:ascii="Calibri" w:hAnsi="Calibri" w:cs="Calibri"/>
          <w:color w:val="002060"/>
          <w:sz w:val="16"/>
          <w:szCs w:val="16"/>
          <w:lang w:val="en-GB"/>
        </w:rPr>
        <w:t>ECJHr</w:t>
      </w:r>
      <w:proofErr w:type="spellEnd"/>
      <w:r w:rsidR="00B1560A">
        <w:rPr>
          <w:rFonts w:ascii="Calibri" w:hAnsi="Calibri" w:cs="Calibri"/>
          <w:color w:val="002060"/>
          <w:sz w:val="16"/>
          <w:szCs w:val="16"/>
          <w:lang w:val="en-GB"/>
        </w:rPr>
        <w:t xml:space="preserve">, </w:t>
      </w:r>
      <w:r w:rsidR="00B1560A" w:rsidRPr="00BE3E4F">
        <w:rPr>
          <w:rFonts w:ascii="Calibri" w:hAnsi="Calibri" w:cs="Calibri"/>
          <w:i/>
          <w:iCs/>
          <w:color w:val="002060"/>
          <w:sz w:val="16"/>
          <w:szCs w:val="16"/>
          <w:lang w:val="en-GB"/>
        </w:rPr>
        <w:t>X and Y v. the Netherlands</w:t>
      </w:r>
      <w:r w:rsidR="00B1560A" w:rsidRPr="00BE3E4F">
        <w:rPr>
          <w:rFonts w:ascii="Calibri" w:hAnsi="Calibri" w:cs="Calibri"/>
          <w:color w:val="002060"/>
          <w:sz w:val="16"/>
          <w:szCs w:val="16"/>
          <w:lang w:val="en-GB"/>
        </w:rPr>
        <w:t xml:space="preserve">, §§ 23-24 and 27; </w:t>
      </w:r>
      <w:r w:rsidR="00B1560A" w:rsidRPr="00BE3E4F">
        <w:rPr>
          <w:rFonts w:ascii="Calibri" w:hAnsi="Calibri" w:cs="Calibri"/>
          <w:i/>
          <w:iCs/>
          <w:color w:val="002060"/>
          <w:sz w:val="16"/>
          <w:szCs w:val="16"/>
          <w:lang w:val="en-GB"/>
        </w:rPr>
        <w:t xml:space="preserve">August v. the United Kingdom </w:t>
      </w:r>
      <w:r w:rsidR="00B1560A" w:rsidRPr="00BE3E4F">
        <w:rPr>
          <w:rFonts w:ascii="Calibri" w:hAnsi="Calibri" w:cs="Calibri"/>
          <w:color w:val="002060"/>
          <w:sz w:val="16"/>
          <w:szCs w:val="16"/>
          <w:lang w:val="en-GB"/>
        </w:rPr>
        <w:t>(</w:t>
      </w:r>
      <w:proofErr w:type="spellStart"/>
      <w:r w:rsidR="00B1560A" w:rsidRPr="00BE3E4F">
        <w:rPr>
          <w:rFonts w:ascii="Calibri" w:hAnsi="Calibri" w:cs="Calibri"/>
          <w:color w:val="002060"/>
          <w:sz w:val="16"/>
          <w:szCs w:val="16"/>
          <w:lang w:val="en-GB"/>
        </w:rPr>
        <w:t>dec.</w:t>
      </w:r>
      <w:proofErr w:type="spellEnd"/>
      <w:r w:rsidR="00B1560A" w:rsidRPr="00BE3E4F">
        <w:rPr>
          <w:rFonts w:ascii="Calibri" w:hAnsi="Calibri" w:cs="Calibri"/>
          <w:color w:val="002060"/>
          <w:sz w:val="16"/>
          <w:szCs w:val="16"/>
          <w:lang w:val="en-GB"/>
        </w:rPr>
        <w:t xml:space="preserve">); </w:t>
      </w:r>
      <w:r w:rsidR="00B1560A" w:rsidRPr="00BE3E4F">
        <w:rPr>
          <w:rFonts w:ascii="Calibri" w:hAnsi="Calibri" w:cs="Calibri"/>
          <w:i/>
          <w:iCs/>
          <w:color w:val="002060"/>
          <w:sz w:val="16"/>
          <w:szCs w:val="16"/>
          <w:lang w:val="en-GB"/>
        </w:rPr>
        <w:t>M.C. v. Bulgaria</w:t>
      </w:r>
      <w:r w:rsidR="00B1560A" w:rsidRPr="00BE3E4F">
        <w:rPr>
          <w:rFonts w:ascii="Calibri" w:hAnsi="Calibri" w:cs="Calibri"/>
          <w:color w:val="002060"/>
          <w:sz w:val="16"/>
          <w:szCs w:val="16"/>
          <w:lang w:val="en-GB"/>
        </w:rPr>
        <w:t xml:space="preserve">). </w:t>
      </w:r>
    </w:p>
  </w:footnote>
  <w:footnote w:id="5">
    <w:p w14:paraId="133E6EAD" w14:textId="03B07F40" w:rsidR="008A33C4" w:rsidRPr="009D1855" w:rsidRDefault="008A33C4">
      <w:pPr>
        <w:pStyle w:val="FootnoteText"/>
      </w:pPr>
      <w:r>
        <w:rPr>
          <w:rStyle w:val="FootnoteReference"/>
        </w:rPr>
        <w:footnoteRef/>
      </w:r>
      <w:r>
        <w:t xml:space="preserve"> </w:t>
      </w:r>
      <w:r w:rsidRPr="00737DCF">
        <w:rPr>
          <w:rFonts w:ascii="Calibri" w:hAnsi="Calibri" w:cs="Calibri"/>
          <w:color w:val="002060"/>
          <w:sz w:val="16"/>
          <w:szCs w:val="16"/>
          <w:lang w:val="en-GB"/>
        </w:rPr>
        <w:t xml:space="preserve">CETS </w:t>
      </w:r>
      <w:proofErr w:type="gramStart"/>
      <w:r w:rsidRPr="00737DCF">
        <w:rPr>
          <w:rFonts w:ascii="Calibri" w:hAnsi="Calibri" w:cs="Calibri"/>
          <w:color w:val="002060"/>
          <w:sz w:val="16"/>
          <w:szCs w:val="16"/>
          <w:lang w:val="en-GB"/>
        </w:rPr>
        <w:t>No.20</w:t>
      </w:r>
      <w:r>
        <w:rPr>
          <w:rFonts w:ascii="Calibri" w:hAnsi="Calibri" w:cs="Calibri"/>
          <w:color w:val="002060"/>
          <w:sz w:val="16"/>
          <w:szCs w:val="16"/>
          <w:lang w:val="en-GB"/>
        </w:rPr>
        <w:t>1,</w:t>
      </w:r>
      <w:proofErr w:type="gramEnd"/>
      <w:r>
        <w:rPr>
          <w:rFonts w:ascii="Calibri" w:hAnsi="Calibri" w:cs="Calibri"/>
          <w:color w:val="002060"/>
          <w:sz w:val="16"/>
          <w:szCs w:val="16"/>
          <w:lang w:val="en-GB"/>
        </w:rPr>
        <w:t xml:space="preserve"> ratified by 32 Council of Europe member States and two non-member States (June 2021).</w:t>
      </w:r>
    </w:p>
  </w:footnote>
  <w:footnote w:id="6">
    <w:p w14:paraId="25851DF6" w14:textId="7C9ADD10" w:rsidR="008A33C4" w:rsidRPr="009D1855" w:rsidRDefault="008A33C4">
      <w:pPr>
        <w:pStyle w:val="FootnoteText"/>
      </w:pPr>
      <w:r>
        <w:rPr>
          <w:rStyle w:val="FootnoteReference"/>
        </w:rPr>
        <w:footnoteRef/>
      </w:r>
      <w:r>
        <w:t xml:space="preserve"> </w:t>
      </w:r>
      <w:r w:rsidRPr="001977DC">
        <w:rPr>
          <w:rFonts w:ascii="Calibri" w:hAnsi="Calibri" w:cs="Calibri"/>
          <w:color w:val="002060"/>
          <w:sz w:val="16"/>
          <w:szCs w:val="16"/>
          <w:lang w:val="en-GB"/>
        </w:rPr>
        <w:t xml:space="preserve">CETS </w:t>
      </w:r>
      <w:proofErr w:type="gramStart"/>
      <w:r w:rsidRPr="001977DC">
        <w:rPr>
          <w:rFonts w:ascii="Calibri" w:hAnsi="Calibri" w:cs="Calibri"/>
          <w:color w:val="002060"/>
          <w:sz w:val="16"/>
          <w:szCs w:val="16"/>
          <w:lang w:val="en-GB"/>
        </w:rPr>
        <w:t>No.210</w:t>
      </w:r>
      <w:r>
        <w:rPr>
          <w:rFonts w:ascii="Calibri" w:hAnsi="Calibri" w:cs="Calibri"/>
          <w:color w:val="002060"/>
          <w:sz w:val="16"/>
          <w:szCs w:val="16"/>
          <w:lang w:val="en-GB"/>
        </w:rPr>
        <w:t>,</w:t>
      </w:r>
      <w:proofErr w:type="gramEnd"/>
      <w:r>
        <w:rPr>
          <w:rFonts w:ascii="Calibri" w:hAnsi="Calibri" w:cs="Calibri"/>
          <w:color w:val="002060"/>
          <w:sz w:val="16"/>
          <w:szCs w:val="16"/>
          <w:lang w:val="en-GB"/>
        </w:rPr>
        <w:t xml:space="preserve"> ratified by all 47 Council of Europe member States and one non-member State (June 2021).</w:t>
      </w:r>
    </w:p>
  </w:footnote>
  <w:footnote w:id="7">
    <w:p w14:paraId="36171B17" w14:textId="52FEC774" w:rsidR="000646C9" w:rsidRPr="00BE3E4F" w:rsidRDefault="000646C9">
      <w:pPr>
        <w:pStyle w:val="FootnoteText"/>
        <w:rPr>
          <w:rFonts w:ascii="Calibri" w:hAnsi="Calibri" w:cs="Calibri"/>
          <w:color w:val="002060"/>
          <w:sz w:val="16"/>
          <w:szCs w:val="16"/>
          <w:lang w:val="en-GB"/>
        </w:rPr>
      </w:pPr>
      <w:r>
        <w:rPr>
          <w:rStyle w:val="FootnoteReference"/>
        </w:rPr>
        <w:footnoteRef/>
      </w:r>
      <w:r>
        <w:t xml:space="preserve"> </w:t>
      </w:r>
      <w:r w:rsidRPr="00BE3E4F">
        <w:rPr>
          <w:rFonts w:ascii="Calibri" w:hAnsi="Calibri" w:cs="Calibri"/>
          <w:color w:val="002060"/>
          <w:sz w:val="16"/>
          <w:szCs w:val="16"/>
          <w:lang w:val="en-GB"/>
        </w:rPr>
        <w:t>The Lanzarote Committee is the Committee of the Parties to the Convention on the Protection of Children against Sexual Exploitation and Sexual Abuse, established to monitor the</w:t>
      </w:r>
      <w:r w:rsidR="00141086" w:rsidRPr="00BE3E4F">
        <w:rPr>
          <w:rFonts w:ascii="Calibri" w:hAnsi="Calibri" w:cs="Calibri"/>
          <w:color w:val="002060"/>
          <w:sz w:val="16"/>
          <w:szCs w:val="16"/>
          <w:lang w:val="en-GB"/>
        </w:rPr>
        <w:t xml:space="preserve"> implementation of the</w:t>
      </w:r>
      <w:r w:rsidRPr="00BE3E4F">
        <w:rPr>
          <w:rFonts w:ascii="Calibri" w:hAnsi="Calibri" w:cs="Calibri"/>
          <w:color w:val="002060"/>
          <w:sz w:val="16"/>
          <w:szCs w:val="16"/>
          <w:lang w:val="en-GB"/>
        </w:rPr>
        <w:t xml:space="preserve"> Lanzarote Convention.</w:t>
      </w:r>
    </w:p>
  </w:footnote>
  <w:footnote w:id="8">
    <w:p w14:paraId="72331FE1" w14:textId="002EA6B0" w:rsidR="008A33C4" w:rsidRPr="00A6302B" w:rsidRDefault="008A33C4" w:rsidP="00F718B4">
      <w:pPr>
        <w:spacing w:after="0" w:line="240" w:lineRule="auto"/>
        <w:rPr>
          <w:rFonts w:ascii="Calibri" w:eastAsia="Times New Roman" w:hAnsi="Calibri" w:cs="Calibri"/>
          <w:color w:val="002060"/>
          <w:sz w:val="16"/>
          <w:szCs w:val="16"/>
        </w:rPr>
      </w:pPr>
      <w:r w:rsidRPr="00A6302B">
        <w:rPr>
          <w:rStyle w:val="FootnoteReference"/>
          <w:rFonts w:ascii="Calibri" w:hAnsi="Calibri" w:cs="Calibri"/>
          <w:color w:val="002060"/>
          <w:sz w:val="16"/>
          <w:szCs w:val="16"/>
        </w:rPr>
        <w:footnoteRef/>
      </w:r>
      <w:r w:rsidRPr="00A6302B">
        <w:rPr>
          <w:rFonts w:ascii="Calibri" w:hAnsi="Calibri" w:cs="Calibri"/>
          <w:color w:val="002060"/>
          <w:sz w:val="16"/>
          <w:szCs w:val="16"/>
        </w:rPr>
        <w:t xml:space="preserve"> </w:t>
      </w:r>
      <w:proofErr w:type="spellStart"/>
      <w:r w:rsidRPr="00A6302B">
        <w:rPr>
          <w:rFonts w:ascii="Calibri" w:hAnsi="Calibri" w:cs="Calibri"/>
          <w:color w:val="002060"/>
          <w:sz w:val="16"/>
          <w:szCs w:val="16"/>
        </w:rPr>
        <w:t>Bendict</w:t>
      </w:r>
      <w:proofErr w:type="spellEnd"/>
      <w:r w:rsidRPr="00A6302B">
        <w:rPr>
          <w:rFonts w:ascii="Calibri" w:hAnsi="Calibri" w:cs="Calibri"/>
          <w:color w:val="002060"/>
          <w:sz w:val="16"/>
          <w:szCs w:val="16"/>
        </w:rPr>
        <w:t xml:space="preserve"> et al. (1994) Types and Frequency of Child Maltreatment by Family Foster Care Providers </w:t>
      </w:r>
      <w:proofErr w:type="gramStart"/>
      <w:r w:rsidRPr="00A6302B">
        <w:rPr>
          <w:rFonts w:ascii="Calibri" w:hAnsi="Calibri" w:cs="Calibri"/>
          <w:color w:val="002060"/>
          <w:sz w:val="16"/>
          <w:szCs w:val="16"/>
        </w:rPr>
        <w:t>In</w:t>
      </w:r>
      <w:proofErr w:type="gramEnd"/>
      <w:r w:rsidRPr="00A6302B">
        <w:rPr>
          <w:rFonts w:ascii="Calibri" w:hAnsi="Calibri" w:cs="Calibri"/>
          <w:color w:val="002060"/>
          <w:sz w:val="16"/>
          <w:szCs w:val="16"/>
        </w:rPr>
        <w:t xml:space="preserve"> An Urban Population. </w:t>
      </w:r>
      <w:r w:rsidRPr="00A6302B">
        <w:rPr>
          <w:rStyle w:val="exlresultdetails"/>
          <w:rFonts w:ascii="Calibri" w:hAnsi="Calibri" w:cs="Calibri"/>
          <w:i/>
          <w:color w:val="002060"/>
          <w:sz w:val="16"/>
          <w:szCs w:val="16"/>
          <w:bdr w:val="none" w:sz="0" w:space="0" w:color="auto" w:frame="1"/>
          <w:shd w:val="clear" w:color="auto" w:fill="FFFFFF"/>
        </w:rPr>
        <w:t>Child Abuse &amp; Neglect,</w:t>
      </w:r>
      <w:r w:rsidRPr="00A6302B">
        <w:rPr>
          <w:rStyle w:val="exlresultdetails"/>
          <w:rFonts w:ascii="Calibri" w:hAnsi="Calibri" w:cs="Calibri"/>
          <w:color w:val="002060"/>
          <w:sz w:val="16"/>
          <w:szCs w:val="16"/>
          <w:bdr w:val="none" w:sz="0" w:space="0" w:color="auto" w:frame="1"/>
          <w:shd w:val="clear" w:color="auto" w:fill="FFFFFF"/>
        </w:rPr>
        <w:t xml:space="preserve"> 18(7), pp.577-</w:t>
      </w:r>
      <w:proofErr w:type="gramStart"/>
      <w:r w:rsidRPr="00A6302B">
        <w:rPr>
          <w:rStyle w:val="exlresultdetails"/>
          <w:rFonts w:ascii="Calibri" w:hAnsi="Calibri" w:cs="Calibri"/>
          <w:color w:val="002060"/>
          <w:sz w:val="16"/>
          <w:szCs w:val="16"/>
          <w:bdr w:val="none" w:sz="0" w:space="0" w:color="auto" w:frame="1"/>
          <w:shd w:val="clear" w:color="auto" w:fill="FFFFFF"/>
        </w:rPr>
        <w:t>585 ;</w:t>
      </w:r>
      <w:proofErr w:type="gramEnd"/>
      <w:r w:rsidRPr="00A6302B">
        <w:rPr>
          <w:rStyle w:val="exlresultdetails"/>
          <w:rFonts w:ascii="Calibri" w:hAnsi="Calibri" w:cs="Calibri"/>
          <w:color w:val="002060"/>
          <w:sz w:val="16"/>
          <w:szCs w:val="16"/>
          <w:bdr w:val="none" w:sz="0" w:space="0" w:color="auto" w:frame="1"/>
          <w:shd w:val="clear" w:color="auto" w:fill="FFFFFF"/>
        </w:rPr>
        <w:t xml:space="preserve"> </w:t>
      </w:r>
      <w:proofErr w:type="spellStart"/>
      <w:r w:rsidRPr="00A6302B">
        <w:rPr>
          <w:rFonts w:ascii="Calibri" w:hAnsi="Calibri" w:cs="Calibri"/>
          <w:color w:val="002060"/>
          <w:sz w:val="16"/>
          <w:szCs w:val="16"/>
          <w:lang w:bidi="si-LK"/>
        </w:rPr>
        <w:t>Euser</w:t>
      </w:r>
      <w:proofErr w:type="spellEnd"/>
      <w:r w:rsidRPr="00A6302B">
        <w:rPr>
          <w:rFonts w:ascii="Calibri" w:hAnsi="Calibri" w:cs="Calibri"/>
          <w:color w:val="002060"/>
          <w:sz w:val="16"/>
          <w:szCs w:val="16"/>
          <w:lang w:bidi="si-LK"/>
        </w:rPr>
        <w:t xml:space="preserve"> et al. (2014)  Out of home placement to promote safety? The prevalence of physical abuse in residential and foster care. </w:t>
      </w:r>
      <w:r w:rsidRPr="00A6302B">
        <w:rPr>
          <w:rFonts w:ascii="Calibri" w:hAnsi="Calibri" w:cs="Calibri"/>
          <w:i/>
          <w:iCs/>
          <w:color w:val="002060"/>
          <w:sz w:val="16"/>
          <w:szCs w:val="16"/>
          <w:lang w:bidi="si-LK"/>
        </w:rPr>
        <w:t>Children and Youth Services Review</w:t>
      </w:r>
      <w:r w:rsidRPr="00A6302B">
        <w:rPr>
          <w:rFonts w:ascii="Calibri" w:hAnsi="Calibri" w:cs="Calibri"/>
          <w:color w:val="002060"/>
          <w:sz w:val="16"/>
          <w:szCs w:val="16"/>
          <w:lang w:bidi="si-LK"/>
        </w:rPr>
        <w:t xml:space="preserve">, </w:t>
      </w:r>
      <w:r w:rsidRPr="00A6302B">
        <w:rPr>
          <w:rStyle w:val="exlresultdetails"/>
          <w:rFonts w:ascii="Calibri" w:hAnsi="Calibri" w:cs="Calibri"/>
          <w:color w:val="002060"/>
          <w:sz w:val="16"/>
          <w:szCs w:val="16"/>
          <w:bdr w:val="none" w:sz="0" w:space="0" w:color="auto" w:frame="1"/>
          <w:shd w:val="clear" w:color="auto" w:fill="FFFFFF"/>
        </w:rPr>
        <w:t>37, pp.64</w:t>
      </w:r>
      <w:r w:rsidRPr="00A6302B">
        <w:rPr>
          <w:rStyle w:val="exlresultdetails"/>
          <w:rFonts w:ascii="Calibri" w:eastAsiaTheme="majorEastAsia" w:hAnsi="Calibri" w:cs="Calibri"/>
          <w:color w:val="002060"/>
          <w:sz w:val="16"/>
          <w:szCs w:val="16"/>
          <w:bdr w:val="none" w:sz="0" w:space="0" w:color="auto" w:frame="1"/>
          <w:shd w:val="clear" w:color="auto" w:fill="FFFFFF"/>
        </w:rPr>
        <w:t xml:space="preserve"> -70 ; </w:t>
      </w:r>
      <w:r w:rsidRPr="00A6302B">
        <w:rPr>
          <w:rFonts w:ascii="Calibri" w:hAnsi="Calibri" w:cs="Calibri"/>
          <w:color w:val="002060"/>
          <w:sz w:val="16"/>
          <w:szCs w:val="16"/>
        </w:rPr>
        <w:t xml:space="preserve">Hobbs et al, (1999) Abuse of Children in Foster and Residential Care. </w:t>
      </w:r>
      <w:r w:rsidRPr="00A6302B">
        <w:rPr>
          <w:rFonts w:ascii="Calibri" w:hAnsi="Calibri" w:cs="Calibri"/>
          <w:i/>
          <w:color w:val="002060"/>
          <w:sz w:val="16"/>
          <w:szCs w:val="16"/>
        </w:rPr>
        <w:t>Child abuse and Neglect</w:t>
      </w:r>
      <w:r w:rsidRPr="00A6302B">
        <w:rPr>
          <w:rFonts w:ascii="Calibri" w:hAnsi="Calibri" w:cs="Calibri"/>
          <w:color w:val="002060"/>
          <w:sz w:val="16"/>
          <w:szCs w:val="16"/>
        </w:rPr>
        <w:t xml:space="preserve">, </w:t>
      </w:r>
      <w:r w:rsidRPr="00A6302B">
        <w:rPr>
          <w:rStyle w:val="exlresultdetails"/>
          <w:rFonts w:ascii="Calibri" w:hAnsi="Calibri" w:cs="Calibri"/>
          <w:color w:val="002060"/>
          <w:sz w:val="16"/>
          <w:szCs w:val="16"/>
          <w:bdr w:val="none" w:sz="0" w:space="0" w:color="auto" w:frame="1"/>
          <w:shd w:val="clear" w:color="auto" w:fill="FFFFFF"/>
        </w:rPr>
        <w:t>23(12), pp.1239-1252</w:t>
      </w:r>
      <w:r w:rsidRPr="00A6302B">
        <w:rPr>
          <w:rFonts w:ascii="Calibri" w:hAnsi="Calibri" w:cs="Calibri"/>
          <w:color w:val="002060"/>
          <w:sz w:val="16"/>
          <w:szCs w:val="16"/>
          <w:shd w:val="clear" w:color="auto" w:fill="FFFFFF"/>
        </w:rPr>
        <w:t> </w:t>
      </w:r>
    </w:p>
  </w:footnote>
  <w:footnote w:id="9">
    <w:p w14:paraId="11293961" w14:textId="0833B0FB" w:rsidR="008A33C4" w:rsidRPr="00A6302B" w:rsidRDefault="008A33C4" w:rsidP="00F718B4">
      <w:pPr>
        <w:autoSpaceDE w:val="0"/>
        <w:autoSpaceDN w:val="0"/>
        <w:adjustRightInd w:val="0"/>
        <w:spacing w:after="0" w:line="240" w:lineRule="auto"/>
        <w:rPr>
          <w:rFonts w:ascii="Calibri" w:eastAsia="VWText-Light" w:hAnsi="Calibri" w:cs="Calibri"/>
          <w:color w:val="002060"/>
          <w:sz w:val="16"/>
          <w:szCs w:val="16"/>
        </w:rPr>
      </w:pPr>
      <w:r w:rsidRPr="00A6302B">
        <w:rPr>
          <w:rStyle w:val="FootnoteReference"/>
          <w:rFonts w:ascii="Calibri" w:hAnsi="Calibri" w:cs="Calibri"/>
          <w:color w:val="002060"/>
          <w:sz w:val="16"/>
          <w:szCs w:val="16"/>
        </w:rPr>
        <w:footnoteRef/>
      </w:r>
      <w:r w:rsidRPr="00A6302B">
        <w:rPr>
          <w:rFonts w:ascii="Calibri" w:hAnsi="Calibri" w:cs="Calibri"/>
          <w:i/>
          <w:iCs/>
          <w:color w:val="002060"/>
          <w:sz w:val="16"/>
          <w:szCs w:val="16"/>
          <w:lang w:bidi="si-LK"/>
        </w:rPr>
        <w:t xml:space="preserve"> </w:t>
      </w:r>
      <w:proofErr w:type="spellStart"/>
      <w:proofErr w:type="gramStart"/>
      <w:r w:rsidRPr="00A6302B">
        <w:rPr>
          <w:rFonts w:ascii="Calibri" w:hAnsi="Calibri" w:cs="Calibri"/>
          <w:color w:val="002060"/>
          <w:sz w:val="16"/>
          <w:szCs w:val="16"/>
        </w:rPr>
        <w:t>Biehal</w:t>
      </w:r>
      <w:proofErr w:type="spellEnd"/>
      <w:r w:rsidRPr="00A6302B">
        <w:rPr>
          <w:rFonts w:ascii="Calibri" w:hAnsi="Calibri" w:cs="Calibri"/>
          <w:color w:val="002060"/>
          <w:sz w:val="16"/>
          <w:szCs w:val="16"/>
        </w:rPr>
        <w:t xml:space="preserve"> et al. (2014) </w:t>
      </w:r>
      <w:r w:rsidRPr="00A6302B">
        <w:rPr>
          <w:rFonts w:ascii="Calibri" w:hAnsi="Calibri" w:cs="Calibri"/>
          <w:i/>
          <w:color w:val="002060"/>
          <w:sz w:val="16"/>
          <w:szCs w:val="16"/>
        </w:rPr>
        <w:t>Keeping Children Safe: Allegations Concerning the Abuse or Neglect of Children in Care</w:t>
      </w:r>
      <w:r w:rsidRPr="00A6302B">
        <w:rPr>
          <w:rFonts w:ascii="Calibri" w:hAnsi="Calibri" w:cs="Calibri"/>
          <w:color w:val="002060"/>
          <w:sz w:val="16"/>
          <w:szCs w:val="16"/>
        </w:rPr>
        <w:t xml:space="preserve">, </w:t>
      </w:r>
      <w:r w:rsidRPr="00A6302B">
        <w:rPr>
          <w:rFonts w:ascii="Calibri" w:hAnsi="Calibri" w:cs="Calibri"/>
          <w:i/>
          <w:iCs/>
          <w:color w:val="002060"/>
          <w:sz w:val="16"/>
          <w:szCs w:val="16"/>
        </w:rPr>
        <w:t>Final Report</w:t>
      </w:r>
      <w:r w:rsidRPr="00A6302B">
        <w:rPr>
          <w:rFonts w:ascii="Calibri" w:hAnsi="Calibri" w:cs="Calibri"/>
          <w:color w:val="002060"/>
          <w:sz w:val="16"/>
          <w:szCs w:val="16"/>
        </w:rPr>
        <w:t xml:space="preserve">;  </w:t>
      </w:r>
      <w:r w:rsidRPr="00A6302B">
        <w:rPr>
          <w:rFonts w:ascii="Calibri" w:hAnsi="Calibri" w:cs="Calibri"/>
          <w:color w:val="002060"/>
          <w:sz w:val="16"/>
          <w:szCs w:val="16"/>
          <w:lang w:bidi="si-LK"/>
        </w:rPr>
        <w:t>European Expert Group on the Transition from Institutional to Community-based Care (EEG) (2012) ‘</w:t>
      </w:r>
      <w:r w:rsidRPr="00A6302B">
        <w:rPr>
          <w:rFonts w:ascii="Calibri" w:hAnsi="Calibri" w:cs="Calibri"/>
          <w:i/>
          <w:iCs/>
          <w:color w:val="002060"/>
          <w:sz w:val="16"/>
          <w:szCs w:val="16"/>
          <w:lang w:bidi="si-LK"/>
        </w:rPr>
        <w:t>The Common European</w:t>
      </w:r>
      <w:r w:rsidRPr="00A6302B">
        <w:rPr>
          <w:rFonts w:ascii="Calibri" w:hAnsi="Calibri" w:cs="Calibri"/>
          <w:color w:val="002060"/>
          <w:sz w:val="16"/>
          <w:szCs w:val="16"/>
          <w:lang w:bidi="si-LK"/>
        </w:rPr>
        <w:t xml:space="preserve"> </w:t>
      </w:r>
      <w:r w:rsidRPr="00A6302B">
        <w:rPr>
          <w:rFonts w:ascii="Calibri" w:hAnsi="Calibri" w:cs="Calibri"/>
          <w:i/>
          <w:iCs/>
          <w:color w:val="002060"/>
          <w:sz w:val="16"/>
          <w:szCs w:val="16"/>
          <w:lang w:bidi="si-LK"/>
        </w:rPr>
        <w:t xml:space="preserve">Guidelines on the Transition from Institutional to Community-based Care’; </w:t>
      </w:r>
      <w:proofErr w:type="spellStart"/>
      <w:r w:rsidRPr="00A6302B">
        <w:rPr>
          <w:rFonts w:ascii="Calibri" w:hAnsi="Calibri" w:cs="Calibri"/>
          <w:color w:val="002060"/>
          <w:sz w:val="16"/>
          <w:szCs w:val="16"/>
          <w:lang w:bidi="si-LK"/>
        </w:rPr>
        <w:t>EveryChild</w:t>
      </w:r>
      <w:proofErr w:type="spellEnd"/>
      <w:r w:rsidRPr="00A6302B">
        <w:rPr>
          <w:rFonts w:ascii="Calibri" w:hAnsi="Calibri" w:cs="Calibri"/>
          <w:color w:val="002060"/>
          <w:sz w:val="16"/>
          <w:szCs w:val="16"/>
          <w:lang w:bidi="si-LK"/>
        </w:rPr>
        <w:t xml:space="preserve"> (2011) ‘</w:t>
      </w:r>
      <w:r w:rsidRPr="00A6302B">
        <w:rPr>
          <w:rFonts w:ascii="Calibri" w:hAnsi="Calibri" w:cs="Calibri"/>
          <w:i/>
          <w:iCs/>
          <w:color w:val="002060"/>
          <w:sz w:val="16"/>
          <w:szCs w:val="16"/>
          <w:lang w:bidi="si-LK"/>
        </w:rPr>
        <w:t>Scaling down: Reducing, reshaping and improving residential care around the world’</w:t>
      </w:r>
      <w:r w:rsidRPr="00A6302B">
        <w:rPr>
          <w:rFonts w:ascii="Calibri" w:hAnsi="Calibri" w:cs="Calibri"/>
          <w:color w:val="002060"/>
          <w:sz w:val="16"/>
          <w:szCs w:val="16"/>
          <w:lang w:bidi="si-LK"/>
        </w:rPr>
        <w:t xml:space="preserve">; </w:t>
      </w:r>
      <w:r w:rsidRPr="00A6302B">
        <w:rPr>
          <w:rFonts w:ascii="Calibri" w:eastAsia="VWText-Light" w:hAnsi="Calibri" w:cs="Calibri"/>
          <w:color w:val="002060"/>
          <w:sz w:val="16"/>
          <w:szCs w:val="16"/>
        </w:rPr>
        <w:t xml:space="preserve">Lorenz &amp; </w:t>
      </w:r>
      <w:proofErr w:type="spellStart"/>
      <w:r w:rsidRPr="00A6302B">
        <w:rPr>
          <w:rFonts w:ascii="Calibri" w:eastAsia="VWText-Light" w:hAnsi="Calibri" w:cs="Calibri"/>
          <w:color w:val="002060"/>
          <w:sz w:val="16"/>
          <w:szCs w:val="16"/>
        </w:rPr>
        <w:t>Wittfeld</w:t>
      </w:r>
      <w:proofErr w:type="spellEnd"/>
      <w:r w:rsidRPr="00A6302B">
        <w:rPr>
          <w:rFonts w:ascii="Calibri" w:eastAsia="VWText-Light" w:hAnsi="Calibri" w:cs="Calibri"/>
          <w:color w:val="002060"/>
          <w:sz w:val="16"/>
          <w:szCs w:val="16"/>
        </w:rPr>
        <w:t xml:space="preserve"> (2018) </w:t>
      </w:r>
      <w:r w:rsidRPr="00A6302B">
        <w:rPr>
          <w:rFonts w:ascii="Calibri" w:eastAsia="VWText-Light" w:hAnsi="Calibri" w:cs="Calibri"/>
          <w:i/>
          <w:iCs/>
          <w:color w:val="002060"/>
          <w:sz w:val="16"/>
          <w:szCs w:val="16"/>
        </w:rPr>
        <w:t>Violence against children with disabilities committed by staff in residential facilities</w:t>
      </w:r>
      <w:r w:rsidRPr="00A6302B">
        <w:rPr>
          <w:rFonts w:ascii="Calibri" w:eastAsia="VWText-Light" w:hAnsi="Calibri" w:cs="Calibri"/>
          <w:color w:val="002060"/>
          <w:sz w:val="16"/>
          <w:szCs w:val="16"/>
        </w:rPr>
        <w:t>.</w:t>
      </w:r>
      <w:proofErr w:type="gramEnd"/>
      <w:r w:rsidRPr="00A6302B">
        <w:rPr>
          <w:rFonts w:ascii="Calibri" w:eastAsia="VWText-Light" w:hAnsi="Calibri" w:cs="Calibri"/>
          <w:color w:val="002060"/>
          <w:sz w:val="16"/>
          <w:szCs w:val="16"/>
        </w:rPr>
        <w:t xml:space="preserve"> Free University of Berlin, Germany &amp; University of Duisburg-Essen, Germany</w:t>
      </w:r>
    </w:p>
    <w:p w14:paraId="35CA606F" w14:textId="7485C574" w:rsidR="008A33C4" w:rsidRPr="00A6302B" w:rsidRDefault="008A33C4" w:rsidP="00F718B4">
      <w:pPr>
        <w:pStyle w:val="FootnoteText"/>
        <w:rPr>
          <w:rFonts w:ascii="Calibri" w:hAnsi="Calibri" w:cs="Calibri"/>
          <w:color w:val="002060"/>
          <w:sz w:val="16"/>
          <w:szCs w:val="16"/>
          <w:lang w:val="en-GB"/>
        </w:rPr>
      </w:pPr>
      <w:r w:rsidRPr="00A6302B">
        <w:rPr>
          <w:rFonts w:ascii="Calibri" w:hAnsi="Calibri" w:cs="Calibri"/>
          <w:i/>
          <w:iCs/>
          <w:color w:val="002060"/>
          <w:sz w:val="16"/>
          <w:szCs w:val="16"/>
          <w:lang w:val="en-GB" w:bidi="si-LK"/>
        </w:rPr>
        <w:t>Guidelines on the Transition from Institutional to Community-based Care</w:t>
      </w:r>
      <w:r w:rsidRPr="00A6302B">
        <w:rPr>
          <w:rFonts w:ascii="Calibri" w:hAnsi="Calibri" w:cs="Calibri"/>
          <w:color w:val="002060"/>
          <w:sz w:val="16"/>
          <w:szCs w:val="16"/>
          <w:lang w:val="en-GB" w:bidi="si-LK"/>
        </w:rPr>
        <w:t xml:space="preserve">’, </w:t>
      </w:r>
    </w:p>
  </w:footnote>
  <w:footnote w:id="10">
    <w:p w14:paraId="195B9155" w14:textId="60F21E4A" w:rsidR="008A33C4" w:rsidRPr="00A6302B" w:rsidRDefault="008A33C4" w:rsidP="00F718B4">
      <w:pPr>
        <w:autoSpaceDE w:val="0"/>
        <w:autoSpaceDN w:val="0"/>
        <w:adjustRightInd w:val="0"/>
        <w:spacing w:after="0" w:line="240" w:lineRule="auto"/>
        <w:rPr>
          <w:rFonts w:ascii="Calibri" w:hAnsi="Calibri" w:cs="Calibri"/>
          <w:i/>
          <w:iCs/>
          <w:color w:val="002060"/>
          <w:sz w:val="16"/>
          <w:szCs w:val="16"/>
        </w:rPr>
      </w:pPr>
      <w:r w:rsidRPr="00A6302B">
        <w:rPr>
          <w:rStyle w:val="FootnoteReference"/>
          <w:rFonts w:ascii="Calibri" w:hAnsi="Calibri" w:cs="Calibri"/>
          <w:color w:val="002060"/>
          <w:sz w:val="16"/>
          <w:szCs w:val="16"/>
        </w:rPr>
        <w:footnoteRef/>
      </w:r>
      <w:r w:rsidRPr="00A6302B">
        <w:rPr>
          <w:rFonts w:ascii="Calibri" w:hAnsi="Calibri" w:cs="Calibri"/>
          <w:color w:val="002060"/>
          <w:sz w:val="16"/>
          <w:szCs w:val="16"/>
        </w:rPr>
        <w:t xml:space="preserve"> UNICEF Europe and Central Asia Regional Office (ECARO) (2020</w:t>
      </w:r>
      <w:proofErr w:type="gramStart"/>
      <w:r w:rsidRPr="00A6302B">
        <w:rPr>
          <w:rFonts w:ascii="Calibri" w:hAnsi="Calibri" w:cs="Calibri"/>
          <w:color w:val="002060"/>
          <w:sz w:val="16"/>
          <w:szCs w:val="16"/>
        </w:rPr>
        <w:t xml:space="preserve">) </w:t>
      </w:r>
      <w:r w:rsidRPr="00A6302B">
        <w:rPr>
          <w:rFonts w:ascii="Calibri" w:hAnsi="Calibri" w:cs="Calibri"/>
          <w:color w:val="002060"/>
          <w:sz w:val="16"/>
          <w:szCs w:val="16"/>
          <w:lang w:bidi="si-LK"/>
        </w:rPr>
        <w:t>.</w:t>
      </w:r>
      <w:proofErr w:type="gramEnd"/>
      <w:r w:rsidRPr="00A6302B">
        <w:rPr>
          <w:rFonts w:ascii="Calibri" w:hAnsi="Calibri" w:cs="Calibri"/>
          <w:i/>
          <w:iCs/>
          <w:color w:val="002060"/>
          <w:sz w:val="16"/>
          <w:szCs w:val="16"/>
        </w:rPr>
        <w:t xml:space="preserve"> White Paper : The role of small-scale residential care for children in the transition from institutional to community-based care and in the continuum of care in the Europe and Central Asia Region</w:t>
      </w:r>
    </w:p>
  </w:footnote>
  <w:footnote w:id="11">
    <w:p w14:paraId="4175F88C" w14:textId="4EBB1F7C" w:rsidR="008A33C4" w:rsidRPr="00A6302B" w:rsidRDefault="008A33C4" w:rsidP="008156FF">
      <w:pPr>
        <w:pStyle w:val="FootnoteText"/>
        <w:rPr>
          <w:rFonts w:ascii="Calibri" w:hAnsi="Calibri" w:cs="Calibri"/>
          <w:color w:val="002060"/>
          <w:sz w:val="16"/>
          <w:szCs w:val="16"/>
        </w:rPr>
      </w:pPr>
      <w:r w:rsidRPr="00A6302B">
        <w:rPr>
          <w:rStyle w:val="FootnoteReference"/>
          <w:rFonts w:ascii="Calibri" w:hAnsi="Calibri" w:cs="Calibri"/>
          <w:color w:val="002060"/>
          <w:sz w:val="16"/>
          <w:szCs w:val="16"/>
        </w:rPr>
        <w:footnoteRef/>
      </w:r>
      <w:r w:rsidRPr="00A6302B">
        <w:rPr>
          <w:rFonts w:ascii="Calibri" w:hAnsi="Calibri" w:cs="Calibri"/>
          <w:color w:val="002060"/>
          <w:sz w:val="16"/>
          <w:szCs w:val="16"/>
        </w:rPr>
        <w:t xml:space="preserve"> Better Care Network (2017) </w:t>
      </w:r>
      <w:r w:rsidRPr="00A6302B">
        <w:rPr>
          <w:rFonts w:ascii="Calibri" w:hAnsi="Calibri" w:cs="Calibri"/>
          <w:i/>
          <w:iCs/>
          <w:color w:val="002060"/>
          <w:sz w:val="16"/>
          <w:szCs w:val="16"/>
        </w:rPr>
        <w:t>Violence Against Children in Care in Africa: A Discussion Paper</w:t>
      </w:r>
    </w:p>
    <w:p w14:paraId="2B06855D" w14:textId="38F66921" w:rsidR="008A33C4" w:rsidRPr="00A6302B" w:rsidRDefault="008A33C4" w:rsidP="008156FF">
      <w:pPr>
        <w:pStyle w:val="FootnoteText"/>
        <w:rPr>
          <w:color w:val="002060"/>
          <w:sz w:val="16"/>
          <w:szCs w:val="16"/>
          <w:lang w:val="en-GB"/>
        </w:rPr>
      </w:pPr>
      <w:r w:rsidRPr="00A6302B">
        <w:rPr>
          <w:rFonts w:ascii="Calibri" w:hAnsi="Calibri" w:cs="Calibri"/>
          <w:color w:val="002060"/>
          <w:sz w:val="16"/>
          <w:szCs w:val="16"/>
        </w:rPr>
        <w:t xml:space="preserve">Available at: </w:t>
      </w:r>
      <w:hyperlink r:id="rId2" w:history="1">
        <w:r w:rsidRPr="00A6302B">
          <w:rPr>
            <w:rStyle w:val="Hyperlink"/>
            <w:rFonts w:ascii="Calibri" w:hAnsi="Calibri" w:cs="Calibri"/>
            <w:color w:val="002060"/>
            <w:sz w:val="16"/>
            <w:szCs w:val="16"/>
          </w:rPr>
          <w:t>https://bettercarenetwork.org/sites/default/files/BCN_VAC_and_Care_Report_single_page_17102017_0.pdf</w:t>
        </w:r>
      </w:hyperlink>
      <w:r w:rsidRPr="00A6302B">
        <w:rPr>
          <w:rFonts w:ascii="Calibri" w:hAnsi="Calibri" w:cs="Calibri"/>
          <w:color w:val="002060"/>
          <w:sz w:val="16"/>
          <w:szCs w:val="16"/>
        </w:rPr>
        <w:t xml:space="preserve"> and; Rogers et al. (</w:t>
      </w:r>
      <w:proofErr w:type="gramStart"/>
      <w:r w:rsidRPr="00A6302B">
        <w:rPr>
          <w:rFonts w:ascii="Calibri" w:hAnsi="Calibri" w:cs="Calibri"/>
          <w:color w:val="002060"/>
          <w:sz w:val="16"/>
          <w:szCs w:val="16"/>
        </w:rPr>
        <w:t>2021 )Children’s</w:t>
      </w:r>
      <w:proofErr w:type="gramEnd"/>
      <w:r w:rsidRPr="00A6302B">
        <w:rPr>
          <w:rFonts w:ascii="Calibri" w:hAnsi="Calibri" w:cs="Calibri"/>
          <w:color w:val="002060"/>
          <w:sz w:val="16"/>
          <w:szCs w:val="16"/>
        </w:rPr>
        <w:t xml:space="preserve"> experiences of alternative care in mainland Southeast Asia – A scoping review of literature. </w:t>
      </w:r>
      <w:r w:rsidRPr="00A6302B">
        <w:rPr>
          <w:rFonts w:ascii="Calibri" w:hAnsi="Calibri" w:cs="Calibri"/>
          <w:i/>
          <w:iCs/>
          <w:color w:val="002060"/>
          <w:sz w:val="16"/>
          <w:szCs w:val="16"/>
        </w:rPr>
        <w:t>Children and Youth Services Review</w:t>
      </w:r>
      <w:r w:rsidRPr="00A6302B">
        <w:rPr>
          <w:rFonts w:ascii="Calibri" w:hAnsi="Calibri" w:cs="Calibri"/>
          <w:color w:val="002060"/>
          <w:sz w:val="16"/>
          <w:szCs w:val="16"/>
        </w:rPr>
        <w:t>, Vol 120</w:t>
      </w:r>
      <w:r w:rsidRPr="00A6302B">
        <w:rPr>
          <w:rFonts w:cstheme="minorHAnsi"/>
          <w:color w:val="002060"/>
          <w:sz w:val="16"/>
          <w:szCs w:val="16"/>
        </w:rPr>
        <w:t>.</w:t>
      </w:r>
    </w:p>
  </w:footnote>
  <w:footnote w:id="12">
    <w:p w14:paraId="4C608F31" w14:textId="1ED75EE0" w:rsidR="008A33C4" w:rsidRPr="00737DCF" w:rsidRDefault="008A33C4">
      <w:pPr>
        <w:pStyle w:val="FootnoteText"/>
        <w:rPr>
          <w:sz w:val="16"/>
          <w:szCs w:val="16"/>
        </w:rPr>
      </w:pPr>
      <w:r w:rsidRPr="00737DCF">
        <w:rPr>
          <w:rStyle w:val="FootnoteReference"/>
          <w:color w:val="002060"/>
          <w:sz w:val="16"/>
          <w:szCs w:val="16"/>
        </w:rPr>
        <w:footnoteRef/>
      </w:r>
      <w:r w:rsidRPr="00737DCF">
        <w:rPr>
          <w:color w:val="002060"/>
          <w:sz w:val="16"/>
          <w:szCs w:val="16"/>
        </w:rPr>
        <w:t xml:space="preserve"> </w:t>
      </w:r>
      <w:hyperlink r:id="rId3" w:history="1">
        <w:r w:rsidRPr="00737DCF">
          <w:rPr>
            <w:rStyle w:val="Hyperlink"/>
            <w:rFonts w:cstheme="minorHAnsi"/>
            <w:color w:val="002060"/>
            <w:sz w:val="16"/>
            <w:szCs w:val="16"/>
            <w:shd w:val="clear" w:color="auto" w:fill="F8F8F8"/>
          </w:rPr>
          <w:t xml:space="preserve">Presentation </w:t>
        </w:r>
        <w:r>
          <w:rPr>
            <w:rStyle w:val="Hyperlink"/>
            <w:rFonts w:cstheme="minorHAnsi"/>
            <w:color w:val="002060"/>
            <w:sz w:val="16"/>
            <w:szCs w:val="16"/>
            <w:shd w:val="clear" w:color="auto" w:fill="F8F8F8"/>
          </w:rPr>
          <w:t>by</w:t>
        </w:r>
        <w:r w:rsidRPr="00737DCF">
          <w:rPr>
            <w:rStyle w:val="Hyperlink"/>
            <w:rFonts w:cstheme="minorHAnsi"/>
            <w:color w:val="002060"/>
            <w:sz w:val="16"/>
            <w:szCs w:val="16"/>
            <w:shd w:val="clear" w:color="auto" w:fill="F8F8F8"/>
          </w:rPr>
          <w:t xml:space="preserve"> Rita MENDES, Director of the Childcare Department of Casa Pia</w:t>
        </w:r>
      </w:hyperlink>
    </w:p>
  </w:footnote>
  <w:footnote w:id="13">
    <w:p w14:paraId="6ADE8B99" w14:textId="44441042" w:rsidR="008A33C4" w:rsidRPr="008C2D94" w:rsidRDefault="008A33C4" w:rsidP="00154E38">
      <w:pPr>
        <w:pStyle w:val="FootnoteText"/>
        <w:rPr>
          <w:rFonts w:cstheme="minorHAnsi"/>
          <w:color w:val="002060"/>
          <w:sz w:val="16"/>
          <w:szCs w:val="16"/>
          <w:lang w:val="en-GB"/>
        </w:rPr>
      </w:pPr>
      <w:r w:rsidRPr="00A6302B">
        <w:rPr>
          <w:rStyle w:val="FootnoteReference"/>
          <w:color w:val="002060"/>
          <w:sz w:val="16"/>
          <w:szCs w:val="16"/>
        </w:rPr>
        <w:footnoteRef/>
      </w:r>
      <w:r w:rsidRPr="00A6302B">
        <w:rPr>
          <w:color w:val="002060"/>
          <w:sz w:val="16"/>
          <w:szCs w:val="16"/>
        </w:rPr>
        <w:t xml:space="preserve"> </w:t>
      </w:r>
      <w:r w:rsidRPr="009D1855">
        <w:rPr>
          <w:rFonts w:cstheme="minorHAnsi"/>
          <w:color w:val="002060"/>
          <w:sz w:val="16"/>
          <w:szCs w:val="16"/>
          <w:lang w:val="en-GB"/>
        </w:rPr>
        <w:t>UN C</w:t>
      </w:r>
      <w:r w:rsidRPr="008C2D94">
        <w:rPr>
          <w:rFonts w:cstheme="minorHAnsi"/>
          <w:color w:val="002060"/>
          <w:sz w:val="16"/>
          <w:szCs w:val="16"/>
          <w:lang w:val="en-GB"/>
        </w:rPr>
        <w:t>onvention on the Rights of the Child, Article 12</w:t>
      </w:r>
    </w:p>
  </w:footnote>
  <w:footnote w:id="14">
    <w:p w14:paraId="01496CB5" w14:textId="084913FC" w:rsidR="008A33C4" w:rsidRPr="00737DCF" w:rsidRDefault="008A33C4">
      <w:pPr>
        <w:pStyle w:val="FootnoteText"/>
      </w:pPr>
      <w:r w:rsidRPr="00737DCF">
        <w:rPr>
          <w:rStyle w:val="FootnoteReference"/>
          <w:rFonts w:cstheme="minorHAnsi"/>
          <w:color w:val="002060"/>
          <w:sz w:val="16"/>
          <w:szCs w:val="16"/>
        </w:rPr>
        <w:footnoteRef/>
      </w:r>
      <w:r w:rsidRPr="00737DCF">
        <w:rPr>
          <w:rStyle w:val="FootnoteReference"/>
          <w:rFonts w:cstheme="minorHAnsi"/>
          <w:color w:val="002060"/>
          <w:sz w:val="16"/>
          <w:szCs w:val="16"/>
        </w:rPr>
        <w:t xml:space="preserve"> </w:t>
      </w:r>
      <w:r w:rsidRPr="00737DCF">
        <w:rPr>
          <w:rFonts w:cstheme="minorHAnsi"/>
          <w:color w:val="002060"/>
          <w:sz w:val="16"/>
          <w:szCs w:val="16"/>
          <w:lang w:val="en-GB"/>
        </w:rPr>
        <w:t>Compare</w:t>
      </w:r>
      <w:r w:rsidRPr="009D1855">
        <w:rPr>
          <w:rFonts w:cstheme="minorHAnsi"/>
          <w:color w:val="002060"/>
          <w:sz w:val="16"/>
          <w:szCs w:val="16"/>
          <w:lang w:val="en-GB"/>
        </w:rPr>
        <w:t>, in relation to sexual violence,</w:t>
      </w:r>
      <w:r w:rsidRPr="00737DCF">
        <w:rPr>
          <w:rFonts w:cstheme="minorHAnsi"/>
          <w:color w:val="002060"/>
          <w:sz w:val="16"/>
          <w:szCs w:val="16"/>
          <w:lang w:val="en-GB"/>
        </w:rPr>
        <w:t xml:space="preserve"> </w:t>
      </w:r>
      <w:r w:rsidRPr="009D1855">
        <w:rPr>
          <w:rFonts w:cstheme="minorHAnsi"/>
          <w:color w:val="002060"/>
          <w:sz w:val="16"/>
          <w:szCs w:val="16"/>
          <w:lang w:val="en-GB"/>
        </w:rPr>
        <w:t>Declaration of the Lanzarote Comm</w:t>
      </w:r>
      <w:r w:rsidRPr="008C2D94">
        <w:rPr>
          <w:rFonts w:cstheme="minorHAnsi"/>
          <w:color w:val="002060"/>
          <w:sz w:val="16"/>
          <w:szCs w:val="16"/>
          <w:lang w:val="en-GB"/>
        </w:rPr>
        <w:t>ittee on protecting children in out-of-home care from sexual exploitation and sexual abuse</w:t>
      </w:r>
      <w:r w:rsidRPr="00737DCF">
        <w:rPr>
          <w:rFonts w:cstheme="minorHAnsi"/>
          <w:color w:val="002060"/>
          <w:sz w:val="16"/>
          <w:szCs w:val="16"/>
          <w:lang w:val="en-GB"/>
        </w:rPr>
        <w:t xml:space="preserve"> (2019), https://rm.coe.int/declaration-of-the-lanzarote-committee-on-protecting-children-in-out-o/1680985874</w:t>
      </w:r>
    </w:p>
  </w:footnote>
  <w:footnote w:id="15">
    <w:p w14:paraId="5C96E941" w14:textId="77777777" w:rsidR="008A33C4" w:rsidRPr="00A6302B" w:rsidRDefault="008A33C4" w:rsidP="006F7330">
      <w:pPr>
        <w:autoSpaceDE w:val="0"/>
        <w:autoSpaceDN w:val="0"/>
        <w:adjustRightInd w:val="0"/>
        <w:spacing w:after="0" w:line="240" w:lineRule="auto"/>
        <w:rPr>
          <w:rFonts w:ascii="Calibri" w:hAnsi="Calibri" w:cs="Calibri"/>
          <w:color w:val="002060"/>
          <w:sz w:val="16"/>
          <w:szCs w:val="16"/>
        </w:rPr>
      </w:pPr>
      <w:r w:rsidRPr="00A6302B">
        <w:rPr>
          <w:rStyle w:val="FootnoteReference"/>
          <w:color w:val="002060"/>
          <w:sz w:val="16"/>
          <w:szCs w:val="16"/>
        </w:rPr>
        <w:footnoteRef/>
      </w:r>
      <w:r w:rsidRPr="00A6302B">
        <w:rPr>
          <w:color w:val="002060"/>
          <w:sz w:val="16"/>
          <w:szCs w:val="16"/>
        </w:rPr>
        <w:t xml:space="preserve"> </w:t>
      </w:r>
      <w:proofErr w:type="spellStart"/>
      <w:r w:rsidRPr="00A6302B">
        <w:rPr>
          <w:rFonts w:ascii="Calibri" w:hAnsi="Calibri" w:cs="Calibri"/>
          <w:color w:val="002060"/>
          <w:sz w:val="16"/>
          <w:szCs w:val="16"/>
        </w:rPr>
        <w:t>Gudbrandsson</w:t>
      </w:r>
      <w:proofErr w:type="spellEnd"/>
      <w:r w:rsidRPr="00A6302B">
        <w:rPr>
          <w:rFonts w:ascii="Calibri" w:hAnsi="Calibri" w:cs="Calibri"/>
          <w:color w:val="002060"/>
          <w:sz w:val="16"/>
          <w:szCs w:val="16"/>
        </w:rPr>
        <w:t xml:space="preserve">, B. (2008) Rights of Children in Institutions: </w:t>
      </w:r>
      <w:r w:rsidRPr="00A6302B">
        <w:rPr>
          <w:rFonts w:ascii="Calibri" w:hAnsi="Calibri" w:cs="Calibri"/>
          <w:i/>
          <w:iCs/>
          <w:color w:val="002060"/>
          <w:sz w:val="16"/>
          <w:szCs w:val="16"/>
        </w:rPr>
        <w:t>Report on the implementation of the Council of Europe Recommendation Rec (2005)</w:t>
      </w:r>
      <w:proofErr w:type="gramStart"/>
      <w:r w:rsidRPr="00A6302B">
        <w:rPr>
          <w:rFonts w:ascii="Calibri" w:hAnsi="Calibri" w:cs="Calibri"/>
          <w:i/>
          <w:iCs/>
          <w:color w:val="002060"/>
          <w:sz w:val="16"/>
          <w:szCs w:val="16"/>
        </w:rPr>
        <w:t>5</w:t>
      </w:r>
      <w:proofErr w:type="gramEnd"/>
      <w:r w:rsidRPr="00A6302B">
        <w:rPr>
          <w:rFonts w:ascii="Calibri" w:hAnsi="Calibri" w:cs="Calibri"/>
          <w:i/>
          <w:iCs/>
          <w:color w:val="002060"/>
          <w:sz w:val="16"/>
          <w:szCs w:val="16"/>
        </w:rPr>
        <w:t xml:space="preserve"> on the rights of children living in residential institutions</w:t>
      </w:r>
      <w:r w:rsidRPr="00A6302B">
        <w:rPr>
          <w:rFonts w:ascii="Calibri" w:hAnsi="Calibri" w:cs="Calibri"/>
          <w:color w:val="002060"/>
          <w:sz w:val="16"/>
          <w:szCs w:val="16"/>
        </w:rPr>
        <w:t>. Council of Europe.</w:t>
      </w:r>
    </w:p>
  </w:footnote>
  <w:footnote w:id="16">
    <w:p w14:paraId="19C359AF" w14:textId="6EAF9D91" w:rsidR="008A33C4" w:rsidRPr="00A6302B" w:rsidRDefault="008A33C4" w:rsidP="00F67FA4">
      <w:pPr>
        <w:autoSpaceDE w:val="0"/>
        <w:autoSpaceDN w:val="0"/>
        <w:adjustRightInd w:val="0"/>
        <w:spacing w:after="0" w:line="240" w:lineRule="auto"/>
        <w:rPr>
          <w:rFonts w:ascii="Calibri" w:hAnsi="Calibri" w:cs="Calibri"/>
          <w:color w:val="002060"/>
          <w:sz w:val="16"/>
          <w:szCs w:val="16"/>
        </w:rPr>
      </w:pPr>
      <w:r w:rsidRPr="00A6302B">
        <w:rPr>
          <w:rStyle w:val="FootnoteReference"/>
          <w:color w:val="002060"/>
          <w:sz w:val="16"/>
          <w:szCs w:val="16"/>
        </w:rPr>
        <w:footnoteRef/>
      </w:r>
      <w:r w:rsidRPr="00A6302B">
        <w:rPr>
          <w:color w:val="002060"/>
          <w:sz w:val="16"/>
          <w:szCs w:val="16"/>
        </w:rPr>
        <w:t xml:space="preserve"> </w:t>
      </w:r>
      <w:r w:rsidRPr="00A6302B">
        <w:rPr>
          <w:rFonts w:ascii="Calibri" w:hAnsi="Calibri" w:cs="Calibri"/>
          <w:color w:val="002060"/>
          <w:sz w:val="16"/>
          <w:szCs w:val="16"/>
        </w:rPr>
        <w:t>ibid.</w:t>
      </w:r>
    </w:p>
  </w:footnote>
  <w:footnote w:id="17">
    <w:p w14:paraId="71DA4000" w14:textId="2BD658CF" w:rsidR="008A33C4" w:rsidRPr="00A6302B" w:rsidRDefault="008A33C4">
      <w:pPr>
        <w:pStyle w:val="FootnoteText"/>
        <w:rPr>
          <w:rFonts w:ascii="Calibri" w:hAnsi="Calibri" w:cs="Calibri"/>
          <w:color w:val="002060"/>
          <w:sz w:val="16"/>
          <w:szCs w:val="16"/>
          <w:lang w:val="en-GB"/>
        </w:rPr>
      </w:pPr>
      <w:r w:rsidRPr="00A6302B">
        <w:rPr>
          <w:rStyle w:val="FootnoteReference"/>
          <w:color w:val="002060"/>
          <w:sz w:val="16"/>
          <w:szCs w:val="16"/>
        </w:rPr>
        <w:footnoteRef/>
      </w:r>
      <w:r w:rsidRPr="00A6302B">
        <w:rPr>
          <w:color w:val="002060"/>
          <w:sz w:val="16"/>
          <w:szCs w:val="16"/>
        </w:rPr>
        <w:t xml:space="preserve"> </w:t>
      </w:r>
      <w:r w:rsidRPr="00A6302B">
        <w:rPr>
          <w:rFonts w:ascii="Calibri" w:hAnsi="Calibri" w:cs="Calibri"/>
          <w:color w:val="002060"/>
          <w:sz w:val="16"/>
          <w:szCs w:val="16"/>
          <w:lang w:val="en-GB"/>
        </w:rPr>
        <w:t>Council of Europe (2016) Council of Europe Strategy for the Rights of the Child (2016-2021)</w:t>
      </w:r>
    </w:p>
  </w:footnote>
  <w:footnote w:id="18">
    <w:p w14:paraId="048AF116" w14:textId="78F7E4C6" w:rsidR="008A33C4" w:rsidRPr="00A6302B" w:rsidRDefault="008A33C4" w:rsidP="00E149A7">
      <w:pPr>
        <w:pStyle w:val="FootnoteText"/>
        <w:rPr>
          <w:rFonts w:ascii="Calibri" w:hAnsi="Calibri" w:cs="Calibri"/>
          <w:color w:val="002060"/>
          <w:sz w:val="16"/>
          <w:szCs w:val="16"/>
          <w:lang w:val="en-GB"/>
        </w:rPr>
      </w:pPr>
      <w:r w:rsidRPr="00A6302B">
        <w:rPr>
          <w:rStyle w:val="FootnoteReference"/>
          <w:rFonts w:ascii="Calibri" w:hAnsi="Calibri" w:cs="Calibri"/>
          <w:color w:val="002060"/>
          <w:sz w:val="16"/>
          <w:szCs w:val="16"/>
        </w:rPr>
        <w:footnoteRef/>
      </w:r>
      <w:r w:rsidRPr="00A6302B">
        <w:rPr>
          <w:rFonts w:ascii="Calibri" w:hAnsi="Calibri" w:cs="Calibri"/>
          <w:color w:val="002060"/>
          <w:sz w:val="16"/>
          <w:szCs w:val="16"/>
        </w:rPr>
        <w:t xml:space="preserve"> </w:t>
      </w:r>
      <w:r w:rsidRPr="00A6302B">
        <w:rPr>
          <w:rFonts w:ascii="Calibri" w:hAnsi="Calibri" w:cs="Calibri"/>
          <w:color w:val="002060"/>
          <w:sz w:val="16"/>
          <w:szCs w:val="16"/>
          <w:lang w:val="en-GB"/>
        </w:rPr>
        <w:t xml:space="preserve">United Nations General Assembly (2019) ‘Promotion and protection of the rights of children’ adopted by the General Assembly at its 74th session, 19 </w:t>
      </w:r>
      <w:proofErr w:type="gramStart"/>
      <w:r w:rsidRPr="00A6302B">
        <w:rPr>
          <w:rFonts w:ascii="Calibri" w:hAnsi="Calibri" w:cs="Calibri"/>
          <w:color w:val="002060"/>
          <w:sz w:val="16"/>
          <w:szCs w:val="16"/>
          <w:lang w:val="en-GB"/>
        </w:rPr>
        <w:t>November  2019</w:t>
      </w:r>
      <w:proofErr w:type="gramEnd"/>
      <w:r w:rsidRPr="00A6302B">
        <w:rPr>
          <w:rFonts w:ascii="Calibri" w:hAnsi="Calibri" w:cs="Calibri"/>
          <w:color w:val="002060"/>
          <w:sz w:val="16"/>
          <w:szCs w:val="16"/>
          <w:lang w:val="en-GB"/>
        </w:rPr>
        <w:t xml:space="preserve">, A/74/395, Article 33. See also </w:t>
      </w:r>
      <w:r w:rsidRPr="00A6302B">
        <w:rPr>
          <w:rFonts w:ascii="Calibri" w:hAnsi="Calibri" w:cs="Calibri"/>
          <w:color w:val="002060"/>
          <w:sz w:val="16"/>
          <w:szCs w:val="16"/>
        </w:rPr>
        <w:t>United Nations General Assembly (2009) Guidelines for the Alternative Care of Children. Resolution A/RES/64/142</w:t>
      </w:r>
    </w:p>
  </w:footnote>
  <w:footnote w:id="19">
    <w:p w14:paraId="15C561FC" w14:textId="675FE318" w:rsidR="008A33C4" w:rsidRPr="00130D7E" w:rsidRDefault="008A33C4">
      <w:pPr>
        <w:pStyle w:val="FootnoteText"/>
        <w:rPr>
          <w:lang w:val="en-GB"/>
        </w:rPr>
      </w:pPr>
      <w:r>
        <w:rPr>
          <w:rStyle w:val="FootnoteReference"/>
        </w:rPr>
        <w:footnoteRef/>
      </w:r>
      <w:r>
        <w:t xml:space="preserve"> </w:t>
      </w:r>
      <w:r w:rsidRPr="00A914A5">
        <w:rPr>
          <w:color w:val="1F3864" w:themeColor="accent1" w:themeShade="80"/>
          <w:sz w:val="16"/>
          <w:szCs w:val="16"/>
          <w:lang w:val="en-GB"/>
        </w:rPr>
        <w:t xml:space="preserve">Gale &amp; </w:t>
      </w:r>
      <w:proofErr w:type="spellStart"/>
      <w:r w:rsidRPr="00A914A5">
        <w:rPr>
          <w:color w:val="1F3864" w:themeColor="accent1" w:themeShade="80"/>
          <w:sz w:val="16"/>
          <w:szCs w:val="16"/>
          <w:lang w:val="en-GB"/>
        </w:rPr>
        <w:t>Csaky</w:t>
      </w:r>
      <w:proofErr w:type="spellEnd"/>
      <w:r w:rsidRPr="00A914A5">
        <w:rPr>
          <w:color w:val="1F3864" w:themeColor="accent1" w:themeShade="80"/>
          <w:sz w:val="16"/>
          <w:szCs w:val="16"/>
          <w:lang w:val="en-GB"/>
        </w:rPr>
        <w:t xml:space="preserve"> (</w:t>
      </w:r>
      <w:proofErr w:type="gramStart"/>
      <w:r w:rsidRPr="00A914A5">
        <w:rPr>
          <w:color w:val="1F3864" w:themeColor="accent1" w:themeShade="80"/>
          <w:sz w:val="16"/>
          <w:szCs w:val="16"/>
          <w:lang w:val="en-GB"/>
        </w:rPr>
        <w:t>2015 )</w:t>
      </w:r>
      <w:proofErr w:type="gramEnd"/>
      <w:r w:rsidRPr="00A914A5">
        <w:rPr>
          <w:color w:val="1F3864" w:themeColor="accent1" w:themeShade="80"/>
          <w:sz w:val="16"/>
          <w:szCs w:val="16"/>
          <w:lang w:val="en-GB"/>
        </w:rPr>
        <w:t xml:space="preserve"> Making Decisions for the Better Care of Children: The role of gatekeeping in strengthening family-based care and reforming alternative care systems. Better Care Network</w:t>
      </w:r>
    </w:p>
  </w:footnote>
  <w:footnote w:id="20">
    <w:p w14:paraId="1E3AB731" w14:textId="7550C815" w:rsidR="008A33C4" w:rsidRPr="00A6302B" w:rsidRDefault="008A33C4">
      <w:pPr>
        <w:pStyle w:val="FootnoteText"/>
        <w:rPr>
          <w:color w:val="002060"/>
          <w:sz w:val="16"/>
          <w:szCs w:val="16"/>
          <w:lang w:val="en-GB"/>
        </w:rPr>
      </w:pPr>
      <w:r w:rsidRPr="00A6302B">
        <w:rPr>
          <w:rStyle w:val="FootnoteReference"/>
          <w:color w:val="002060"/>
          <w:sz w:val="16"/>
          <w:szCs w:val="16"/>
        </w:rPr>
        <w:footnoteRef/>
      </w:r>
      <w:r w:rsidRPr="00A6302B">
        <w:rPr>
          <w:color w:val="002060"/>
          <w:sz w:val="16"/>
          <w:szCs w:val="16"/>
        </w:rPr>
        <w:t xml:space="preserve"> </w:t>
      </w:r>
      <w:r w:rsidRPr="00A6302B">
        <w:rPr>
          <w:color w:val="002060"/>
          <w:sz w:val="16"/>
          <w:szCs w:val="16"/>
          <w:lang w:val="en-GB"/>
        </w:rPr>
        <w:t xml:space="preserve">See for example Bronfenbrenner’s </w:t>
      </w:r>
      <w:r w:rsidRPr="00A6302B">
        <w:rPr>
          <w:rFonts w:ascii="Calibri" w:hAnsi="Calibri" w:cs="Calibri"/>
          <w:color w:val="002060"/>
          <w:sz w:val="16"/>
          <w:szCs w:val="16"/>
          <w:shd w:val="clear" w:color="auto" w:fill="FFFFFF"/>
        </w:rPr>
        <w:t>Ecological Systems Theory in</w:t>
      </w:r>
      <w:r w:rsidRPr="00A6302B">
        <w:rPr>
          <w:color w:val="002060"/>
          <w:sz w:val="16"/>
          <w:szCs w:val="16"/>
          <w:lang w:val="en-GB"/>
        </w:rPr>
        <w:t xml:space="preserve"> </w:t>
      </w:r>
      <w:r w:rsidRPr="00A6302B">
        <w:rPr>
          <w:rFonts w:ascii="Calibri" w:hAnsi="Calibri" w:cs="Calibri"/>
          <w:color w:val="002060"/>
          <w:sz w:val="16"/>
          <w:szCs w:val="16"/>
          <w:shd w:val="clear" w:color="auto" w:fill="FFFFFF"/>
        </w:rPr>
        <w:t>Bronfenbrenner, U, (1979 )</w:t>
      </w:r>
      <w:r w:rsidRPr="00A6302B">
        <w:rPr>
          <w:rFonts w:ascii="Calibri" w:hAnsi="Calibri" w:cs="Calibri"/>
          <w:i/>
          <w:iCs/>
          <w:color w:val="002060"/>
          <w:sz w:val="16"/>
          <w:szCs w:val="16"/>
          <w:shd w:val="clear" w:color="auto" w:fill="FFFFFF"/>
        </w:rPr>
        <w:t xml:space="preserve">The Ecology of Human </w:t>
      </w:r>
      <w:proofErr w:type="spellStart"/>
      <w:r w:rsidRPr="00A6302B">
        <w:rPr>
          <w:rFonts w:ascii="Calibri" w:hAnsi="Calibri" w:cs="Calibri"/>
          <w:i/>
          <w:iCs/>
          <w:color w:val="002060"/>
          <w:sz w:val="16"/>
          <w:szCs w:val="16"/>
          <w:shd w:val="clear" w:color="auto" w:fill="FFFFFF"/>
        </w:rPr>
        <w:t>Development.</w:t>
      </w:r>
      <w:r w:rsidRPr="00A6302B">
        <w:rPr>
          <w:rFonts w:ascii="Calibri" w:hAnsi="Calibri" w:cs="Calibri"/>
          <w:color w:val="002060"/>
          <w:sz w:val="16"/>
          <w:szCs w:val="16"/>
          <w:shd w:val="clear" w:color="auto" w:fill="FFFFFF"/>
        </w:rPr>
        <w:t>Harvard</w:t>
      </w:r>
      <w:proofErr w:type="spellEnd"/>
      <w:r w:rsidRPr="00A6302B">
        <w:rPr>
          <w:rFonts w:ascii="Calibri" w:hAnsi="Calibri" w:cs="Calibri"/>
          <w:color w:val="002060"/>
          <w:sz w:val="16"/>
          <w:szCs w:val="16"/>
          <w:shd w:val="clear" w:color="auto" w:fill="FFFFFF"/>
        </w:rPr>
        <w:t xml:space="preserve"> University Press</w:t>
      </w:r>
    </w:p>
  </w:footnote>
  <w:footnote w:id="21">
    <w:p w14:paraId="5A8B866B" w14:textId="11B29F69" w:rsidR="004A0E16" w:rsidRPr="00A6302B" w:rsidRDefault="004A0E16" w:rsidP="004A0E16">
      <w:pPr>
        <w:pStyle w:val="FootnoteText"/>
        <w:rPr>
          <w:color w:val="002060"/>
          <w:sz w:val="16"/>
          <w:szCs w:val="16"/>
          <w:lang w:val="en-GB"/>
        </w:rPr>
      </w:pPr>
      <w:r w:rsidRPr="00A6302B">
        <w:rPr>
          <w:rStyle w:val="FootnoteReference"/>
          <w:color w:val="002060"/>
          <w:sz w:val="16"/>
          <w:szCs w:val="16"/>
        </w:rPr>
        <w:footnoteRef/>
      </w:r>
      <w:r w:rsidRPr="00A6302B">
        <w:rPr>
          <w:color w:val="002060"/>
          <w:sz w:val="16"/>
          <w:szCs w:val="16"/>
        </w:rPr>
        <w:t xml:space="preserve"> </w:t>
      </w:r>
      <w:hyperlink r:id="rId4" w:history="1">
        <w:r w:rsidR="00F640F3" w:rsidRPr="00F640F3">
          <w:rPr>
            <w:rStyle w:val="Hyperlink"/>
            <w:sz w:val="16"/>
            <w:szCs w:val="16"/>
          </w:rPr>
          <w:t xml:space="preserve">Presentation of </w:t>
        </w:r>
        <w:proofErr w:type="spellStart"/>
        <w:r w:rsidR="00F640F3" w:rsidRPr="00F640F3">
          <w:rPr>
            <w:rStyle w:val="Hyperlink"/>
            <w:sz w:val="16"/>
            <w:szCs w:val="16"/>
          </w:rPr>
          <w:t>Dainius</w:t>
        </w:r>
        <w:proofErr w:type="spellEnd"/>
        <w:r w:rsidR="00F640F3" w:rsidRPr="00F640F3">
          <w:rPr>
            <w:rStyle w:val="Hyperlink"/>
            <w:sz w:val="16"/>
            <w:szCs w:val="16"/>
          </w:rPr>
          <w:t xml:space="preserve"> PŪRAS, former UN Special Rapporteur on the right to health and former CRC Committee member</w:t>
        </w:r>
      </w:hyperlink>
    </w:p>
  </w:footnote>
  <w:footnote w:id="22">
    <w:p w14:paraId="0ACBA482" w14:textId="7722D3E2" w:rsidR="008A33C4" w:rsidRPr="00A6302B" w:rsidRDefault="008A33C4" w:rsidP="00987999">
      <w:pPr>
        <w:shd w:val="clear" w:color="auto" w:fill="FFFFFF"/>
        <w:spacing w:after="0" w:line="240" w:lineRule="auto"/>
        <w:outlineLvl w:val="0"/>
        <w:rPr>
          <w:color w:val="002060"/>
          <w:sz w:val="16"/>
          <w:szCs w:val="16"/>
        </w:rPr>
      </w:pPr>
      <w:r w:rsidRPr="00A6302B">
        <w:rPr>
          <w:rStyle w:val="FootnoteReference"/>
          <w:rFonts w:ascii="Calibri" w:hAnsi="Calibri" w:cs="Calibri"/>
          <w:color w:val="002060"/>
          <w:sz w:val="16"/>
          <w:szCs w:val="16"/>
        </w:rPr>
        <w:footnoteRef/>
      </w:r>
      <w:r w:rsidRPr="00A6302B">
        <w:rPr>
          <w:rFonts w:ascii="Calibri" w:hAnsi="Calibri" w:cs="Calibri"/>
          <w:color w:val="002060"/>
          <w:sz w:val="16"/>
          <w:szCs w:val="16"/>
        </w:rPr>
        <w:t xml:space="preserve"> </w:t>
      </w:r>
      <w:hyperlink r:id="rId5" w:history="1">
        <w:r w:rsidR="009A4CB2" w:rsidRPr="009A4CB2">
          <w:rPr>
            <w:rStyle w:val="Hyperlink"/>
            <w:rFonts w:ascii="Calibri" w:hAnsi="Calibri" w:cs="Calibri"/>
            <w:sz w:val="16"/>
            <w:szCs w:val="16"/>
          </w:rPr>
          <w:t>Presentation of</w:t>
        </w:r>
        <w:r w:rsidR="000D2718">
          <w:rPr>
            <w:rStyle w:val="Hyperlink"/>
            <w:rFonts w:ascii="Calibri" w:hAnsi="Calibri" w:cs="Calibri"/>
            <w:sz w:val="16"/>
            <w:szCs w:val="16"/>
          </w:rPr>
          <w:t xml:space="preserve"> </w:t>
        </w:r>
        <w:r w:rsidR="009A4CB2" w:rsidRPr="009A4CB2">
          <w:rPr>
            <w:rStyle w:val="Hyperlink"/>
            <w:rFonts w:ascii="Calibri" w:hAnsi="Calibri" w:cs="Calibri"/>
            <w:sz w:val="16"/>
            <w:szCs w:val="16"/>
          </w:rPr>
          <w:t>Margrét SIGMARSDÓTTIR, Specialist in clinical child psychology</w:t>
        </w:r>
      </w:hyperlink>
      <w:r w:rsidR="009A4CB2">
        <w:rPr>
          <w:rFonts w:ascii="Calibri" w:hAnsi="Calibri" w:cs="Calibri"/>
          <w:color w:val="002060"/>
          <w:sz w:val="16"/>
          <w:szCs w:val="16"/>
        </w:rPr>
        <w:t>, also see</w:t>
      </w:r>
      <w:r w:rsidRPr="00A6302B">
        <w:rPr>
          <w:rFonts w:ascii="Calibri" w:hAnsi="Calibri" w:cs="Calibri"/>
          <w:color w:val="002060"/>
          <w:sz w:val="16"/>
          <w:szCs w:val="16"/>
        </w:rPr>
        <w:t xml:space="preserve">: </w:t>
      </w:r>
      <w:proofErr w:type="spellStart"/>
      <w:r w:rsidRPr="00A6302B">
        <w:rPr>
          <w:rFonts w:ascii="Calibri" w:hAnsi="Calibri" w:cs="Calibri"/>
          <w:color w:val="002060"/>
          <w:sz w:val="16"/>
          <w:szCs w:val="16"/>
        </w:rPr>
        <w:t>Keles</w:t>
      </w:r>
      <w:proofErr w:type="spellEnd"/>
      <w:r w:rsidRPr="00A6302B">
        <w:rPr>
          <w:rFonts w:ascii="Calibri" w:hAnsi="Calibri" w:cs="Calibri"/>
          <w:color w:val="002060"/>
          <w:sz w:val="16"/>
          <w:szCs w:val="16"/>
        </w:rPr>
        <w:t xml:space="preserve">, S., </w:t>
      </w:r>
      <w:proofErr w:type="spellStart"/>
      <w:r w:rsidRPr="00A6302B">
        <w:rPr>
          <w:rFonts w:ascii="Calibri" w:hAnsi="Calibri" w:cs="Calibri"/>
          <w:color w:val="002060"/>
          <w:sz w:val="16"/>
          <w:szCs w:val="16"/>
        </w:rPr>
        <w:t>Taraldsen</w:t>
      </w:r>
      <w:proofErr w:type="spellEnd"/>
      <w:r w:rsidRPr="00A6302B">
        <w:rPr>
          <w:rFonts w:ascii="Calibri" w:hAnsi="Calibri" w:cs="Calibri"/>
          <w:color w:val="002060"/>
          <w:sz w:val="16"/>
          <w:szCs w:val="16"/>
        </w:rPr>
        <w:t xml:space="preserve">, K. &amp; </w:t>
      </w:r>
      <w:proofErr w:type="spellStart"/>
      <w:r w:rsidRPr="00A6302B">
        <w:rPr>
          <w:rFonts w:ascii="Calibri" w:hAnsi="Calibri" w:cs="Calibri"/>
          <w:color w:val="002060"/>
          <w:sz w:val="16"/>
          <w:szCs w:val="16"/>
        </w:rPr>
        <w:t>Olseth</w:t>
      </w:r>
      <w:proofErr w:type="spellEnd"/>
      <w:r w:rsidRPr="00A6302B">
        <w:rPr>
          <w:rFonts w:ascii="Calibri" w:hAnsi="Calibri" w:cs="Calibri"/>
          <w:color w:val="002060"/>
          <w:sz w:val="16"/>
          <w:szCs w:val="16"/>
        </w:rPr>
        <w:t xml:space="preserve">, A.R.  (2021) </w:t>
      </w:r>
      <w:r w:rsidR="000D2718" w:rsidRPr="00A6302B">
        <w:rPr>
          <w:rFonts w:ascii="Calibri" w:hAnsi="Calibri" w:cs="Calibri"/>
          <w:color w:val="002060"/>
          <w:sz w:val="16"/>
          <w:szCs w:val="16"/>
        </w:rPr>
        <w:t>Identification</w:t>
      </w:r>
      <w:r w:rsidRPr="00A6302B">
        <w:rPr>
          <w:rFonts w:ascii="Calibri" w:hAnsi="Calibri" w:cs="Calibri"/>
          <w:color w:val="002060"/>
          <w:sz w:val="16"/>
          <w:szCs w:val="16"/>
        </w:rPr>
        <w:t xml:space="preserve"> of </w:t>
      </w:r>
      <w:proofErr w:type="spellStart"/>
      <w:r w:rsidRPr="00A6302B">
        <w:rPr>
          <w:rFonts w:ascii="Calibri" w:hAnsi="Calibri" w:cs="Calibri"/>
          <w:color w:val="002060"/>
          <w:sz w:val="16"/>
          <w:szCs w:val="16"/>
        </w:rPr>
        <w:t>Multisystemic</w:t>
      </w:r>
      <w:proofErr w:type="spellEnd"/>
      <w:r w:rsidRPr="00A6302B">
        <w:rPr>
          <w:rFonts w:ascii="Calibri" w:hAnsi="Calibri" w:cs="Calibri"/>
          <w:color w:val="002060"/>
          <w:sz w:val="16"/>
          <w:szCs w:val="16"/>
        </w:rPr>
        <w:t xml:space="preserve"> Therapy (MST) Subgroups with Distinct Trajectories on Ultimate Outcomes in Norway. </w:t>
      </w:r>
      <w:r w:rsidRPr="00A6302B">
        <w:rPr>
          <w:rFonts w:ascii="Calibri" w:hAnsi="Calibri" w:cs="Calibri"/>
          <w:i/>
          <w:iCs/>
          <w:color w:val="002060"/>
          <w:sz w:val="16"/>
          <w:szCs w:val="16"/>
        </w:rPr>
        <w:t>Research on Child and Adolescent Psychopathology</w:t>
      </w:r>
      <w:r w:rsidRPr="00A6302B">
        <w:rPr>
          <w:rFonts w:ascii="Calibri" w:hAnsi="Calibri" w:cs="Calibri"/>
          <w:color w:val="002060"/>
          <w:sz w:val="16"/>
          <w:szCs w:val="16"/>
        </w:rPr>
        <w:t xml:space="preserve"> Vol 49, pp.429–442;</w:t>
      </w:r>
      <w:r w:rsidRPr="00A6302B">
        <w:rPr>
          <w:rFonts w:ascii="Calibri" w:eastAsia="Times New Roman" w:hAnsi="Calibri" w:cs="Calibri"/>
          <w:color w:val="002060"/>
          <w:kern w:val="36"/>
          <w:sz w:val="16"/>
          <w:szCs w:val="16"/>
          <w:lang w:eastAsia="en-GB"/>
        </w:rPr>
        <w:t xml:space="preserve"> </w:t>
      </w:r>
      <w:r w:rsidRPr="00A6302B">
        <w:rPr>
          <w:rFonts w:ascii="Calibri" w:hAnsi="Calibri" w:cs="Calibri"/>
          <w:color w:val="002060"/>
          <w:sz w:val="16"/>
          <w:szCs w:val="16"/>
        </w:rPr>
        <w:t>Swedish National Board of Health and Welfare/Method guide available at: https://www.socialstyrelsen.se/utveckla-verksamhet/evidensbaserad-praktik/metodguiden/</w:t>
      </w:r>
    </w:p>
  </w:footnote>
  <w:footnote w:id="23">
    <w:p w14:paraId="3CB2283C" w14:textId="67A98BC0" w:rsidR="008A33C4" w:rsidRPr="00A6302B" w:rsidRDefault="008A33C4" w:rsidP="00987999">
      <w:pPr>
        <w:pStyle w:val="FootnoteText"/>
        <w:rPr>
          <w:color w:val="002060"/>
          <w:sz w:val="16"/>
          <w:szCs w:val="16"/>
          <w:lang w:val="en-GB"/>
        </w:rPr>
      </w:pPr>
      <w:r w:rsidRPr="00A6302B">
        <w:rPr>
          <w:rStyle w:val="FootnoteReference"/>
          <w:color w:val="002060"/>
          <w:sz w:val="16"/>
          <w:szCs w:val="16"/>
        </w:rPr>
        <w:footnoteRef/>
      </w:r>
      <w:r w:rsidRPr="00A6302B">
        <w:rPr>
          <w:color w:val="002060"/>
          <w:sz w:val="16"/>
          <w:szCs w:val="16"/>
        </w:rPr>
        <w:t xml:space="preserve"> Interview with </w:t>
      </w:r>
      <w:proofErr w:type="spellStart"/>
      <w:r w:rsidRPr="00A6302B">
        <w:rPr>
          <w:rFonts w:cstheme="minorHAnsi"/>
          <w:color w:val="002060"/>
          <w:sz w:val="16"/>
          <w:szCs w:val="16"/>
          <w:shd w:val="clear" w:color="auto" w:fill="FFFFFF"/>
        </w:rPr>
        <w:t>Dainius</w:t>
      </w:r>
      <w:proofErr w:type="spellEnd"/>
      <w:r w:rsidRPr="00A6302B">
        <w:rPr>
          <w:rFonts w:cstheme="minorHAnsi"/>
          <w:color w:val="002060"/>
          <w:sz w:val="16"/>
          <w:szCs w:val="16"/>
          <w:shd w:val="clear" w:color="auto" w:fill="FFFFFF"/>
        </w:rPr>
        <w:t xml:space="preserve"> </w:t>
      </w:r>
      <w:proofErr w:type="spellStart"/>
      <w:r w:rsidRPr="00A6302B">
        <w:rPr>
          <w:rFonts w:cstheme="minorHAnsi"/>
          <w:color w:val="002060"/>
          <w:sz w:val="16"/>
          <w:szCs w:val="16"/>
        </w:rPr>
        <w:t>Pūras</w:t>
      </w:r>
      <w:proofErr w:type="spellEnd"/>
      <w:r w:rsidRPr="00A6302B">
        <w:rPr>
          <w:color w:val="002060"/>
          <w:sz w:val="16"/>
          <w:szCs w:val="16"/>
        </w:rPr>
        <w:t>, Former UN Special rapporteur on the right to health</w:t>
      </w:r>
      <w:r w:rsidR="00F640F3">
        <w:rPr>
          <w:color w:val="002060"/>
          <w:sz w:val="16"/>
          <w:szCs w:val="16"/>
        </w:rPr>
        <w:t>,</w:t>
      </w:r>
      <w:r w:rsidRPr="00A6302B">
        <w:rPr>
          <w:color w:val="002060"/>
          <w:sz w:val="16"/>
          <w:szCs w:val="16"/>
        </w:rPr>
        <w:t xml:space="preserve"> </w:t>
      </w:r>
      <w:r w:rsidR="00F640F3">
        <w:rPr>
          <w:color w:val="002060"/>
          <w:sz w:val="16"/>
          <w:szCs w:val="16"/>
        </w:rPr>
        <w:t>a</w:t>
      </w:r>
      <w:r w:rsidRPr="00A6302B">
        <w:rPr>
          <w:color w:val="002060"/>
          <w:sz w:val="16"/>
          <w:szCs w:val="16"/>
        </w:rPr>
        <w:t>vailable at:</w:t>
      </w:r>
      <w:r w:rsidR="00F640F3">
        <w:rPr>
          <w:color w:val="002060"/>
          <w:sz w:val="16"/>
          <w:szCs w:val="16"/>
        </w:rPr>
        <w:t xml:space="preserve"> </w:t>
      </w:r>
      <w:r w:rsidRPr="00A6302B">
        <w:rPr>
          <w:color w:val="002060"/>
          <w:sz w:val="16"/>
          <w:szCs w:val="16"/>
        </w:rPr>
        <w:t>https://news.un.org/en/story/2020/07/1067741</w:t>
      </w:r>
    </w:p>
  </w:footnote>
  <w:footnote w:id="24">
    <w:p w14:paraId="46A6B24D" w14:textId="3B0D5B8A" w:rsidR="008A33C4" w:rsidRPr="00A6302B" w:rsidRDefault="008A33C4">
      <w:pPr>
        <w:pStyle w:val="FootnoteText"/>
        <w:rPr>
          <w:color w:val="002060"/>
          <w:sz w:val="16"/>
          <w:szCs w:val="16"/>
          <w:lang w:val="en-GB"/>
        </w:rPr>
      </w:pPr>
      <w:r w:rsidRPr="00A6302B">
        <w:rPr>
          <w:rStyle w:val="FootnoteReference"/>
          <w:color w:val="002060"/>
          <w:sz w:val="16"/>
          <w:szCs w:val="16"/>
        </w:rPr>
        <w:footnoteRef/>
      </w:r>
      <w:r w:rsidRPr="00A6302B">
        <w:rPr>
          <w:color w:val="002060"/>
          <w:sz w:val="16"/>
          <w:szCs w:val="16"/>
        </w:rPr>
        <w:t xml:space="preserve"> </w:t>
      </w:r>
      <w:hyperlink r:id="rId6" w:history="1">
        <w:r w:rsidR="000D2718" w:rsidRPr="000D2718">
          <w:rPr>
            <w:rStyle w:val="Hyperlink"/>
            <w:sz w:val="16"/>
            <w:szCs w:val="16"/>
            <w:lang w:val="en-GB"/>
          </w:rPr>
          <w:t xml:space="preserve">Presentation of Mr </w:t>
        </w:r>
        <w:proofErr w:type="spellStart"/>
        <w:r w:rsidR="000D2718" w:rsidRPr="000D2718">
          <w:rPr>
            <w:rStyle w:val="Hyperlink"/>
            <w:sz w:val="16"/>
            <w:szCs w:val="16"/>
            <w:lang w:val="en-GB"/>
          </w:rPr>
          <w:t>Dainius</w:t>
        </w:r>
        <w:proofErr w:type="spellEnd"/>
        <w:r w:rsidR="000D2718" w:rsidRPr="000D2718">
          <w:rPr>
            <w:rStyle w:val="Hyperlink"/>
            <w:sz w:val="16"/>
            <w:szCs w:val="16"/>
            <w:lang w:val="en-GB"/>
          </w:rPr>
          <w:t xml:space="preserve"> PŪRAS, former UN Special Rapporteur on the right to health and former CRC Committee member</w:t>
        </w:r>
      </w:hyperlink>
    </w:p>
  </w:footnote>
  <w:footnote w:id="25">
    <w:p w14:paraId="52444409" w14:textId="77777777" w:rsidR="008A33C4" w:rsidRPr="00A6302B" w:rsidRDefault="008A33C4" w:rsidP="00BC2512">
      <w:pPr>
        <w:pStyle w:val="FootnoteText"/>
        <w:rPr>
          <w:color w:val="002060"/>
          <w:sz w:val="16"/>
          <w:szCs w:val="16"/>
        </w:rPr>
      </w:pPr>
      <w:r w:rsidRPr="00A6302B">
        <w:rPr>
          <w:rStyle w:val="FootnoteReference"/>
          <w:color w:val="002060"/>
          <w:sz w:val="16"/>
          <w:szCs w:val="16"/>
        </w:rPr>
        <w:footnoteRef/>
      </w:r>
      <w:r w:rsidRPr="00A6302B">
        <w:rPr>
          <w:color w:val="002060"/>
          <w:sz w:val="16"/>
          <w:szCs w:val="16"/>
        </w:rPr>
        <w:t xml:space="preserve"> Para 20. The provision of alternative care </w:t>
      </w:r>
      <w:proofErr w:type="gramStart"/>
      <w:r w:rsidRPr="00A6302B">
        <w:rPr>
          <w:color w:val="002060"/>
          <w:sz w:val="16"/>
          <w:szCs w:val="16"/>
        </w:rPr>
        <w:t>should never be undertaken</w:t>
      </w:r>
      <w:proofErr w:type="gramEnd"/>
      <w:r w:rsidRPr="00A6302B">
        <w:rPr>
          <w:color w:val="002060"/>
          <w:sz w:val="16"/>
          <w:szCs w:val="16"/>
        </w:rPr>
        <w:t xml:space="preserve"> with a prime purpose of furthering the political, religious or economic goals of the providers.</w:t>
      </w:r>
    </w:p>
  </w:footnote>
  <w:footnote w:id="26">
    <w:p w14:paraId="536458B7" w14:textId="6167D467" w:rsidR="008A33C4" w:rsidRPr="009D1855" w:rsidRDefault="008A33C4">
      <w:pPr>
        <w:pStyle w:val="FootnoteText"/>
      </w:pPr>
      <w:r w:rsidRPr="00737DCF">
        <w:rPr>
          <w:rStyle w:val="FootnoteReference"/>
          <w:color w:val="002060"/>
          <w:sz w:val="16"/>
          <w:szCs w:val="16"/>
        </w:rPr>
        <w:footnoteRef/>
      </w:r>
      <w:r w:rsidRPr="00737DCF">
        <w:rPr>
          <w:rStyle w:val="FootnoteReference"/>
          <w:color w:val="002060"/>
          <w:sz w:val="16"/>
          <w:szCs w:val="16"/>
        </w:rPr>
        <w:t xml:space="preserve"> </w:t>
      </w:r>
      <w:r w:rsidRPr="001977DC">
        <w:rPr>
          <w:color w:val="002060"/>
          <w:sz w:val="16"/>
          <w:szCs w:val="16"/>
        </w:rPr>
        <w:t>Convention of 19 October 1996 on Jurisdiction, Applicable Law, Recognition, Enforcement and Co-operation in Respect of Parental Responsibility and Measures for the Protection of Children</w:t>
      </w:r>
      <w:r>
        <w:rPr>
          <w:color w:val="002060"/>
          <w:sz w:val="16"/>
          <w:szCs w:val="16"/>
        </w:rPr>
        <w:t>, para. 139.</w:t>
      </w:r>
    </w:p>
  </w:footnote>
  <w:footnote w:id="27">
    <w:p w14:paraId="46211AAC" w14:textId="3D5E8469" w:rsidR="008A33C4" w:rsidRPr="00A6302B" w:rsidRDefault="008A33C4" w:rsidP="00ED5C4D">
      <w:pPr>
        <w:pStyle w:val="FootnoteText"/>
        <w:rPr>
          <w:color w:val="002060"/>
          <w:sz w:val="16"/>
          <w:szCs w:val="16"/>
          <w:lang w:val="en-GB"/>
        </w:rPr>
      </w:pPr>
      <w:r w:rsidRPr="00A6302B">
        <w:rPr>
          <w:rStyle w:val="FootnoteReference"/>
          <w:color w:val="002060"/>
          <w:sz w:val="16"/>
          <w:szCs w:val="16"/>
        </w:rPr>
        <w:footnoteRef/>
      </w:r>
      <w:r w:rsidRPr="00A6302B">
        <w:rPr>
          <w:color w:val="002060"/>
          <w:sz w:val="16"/>
          <w:szCs w:val="16"/>
        </w:rPr>
        <w:t xml:space="preserve"> </w:t>
      </w:r>
      <w:hyperlink r:id="rId7" w:history="1">
        <w:r w:rsidRPr="009D1855">
          <w:rPr>
            <w:rStyle w:val="Hyperlink"/>
            <w:sz w:val="16"/>
            <w:szCs w:val="16"/>
            <w:lang w:val="en-GB"/>
          </w:rPr>
          <w:t>Presentation of </w:t>
        </w:r>
        <w:proofErr w:type="spellStart"/>
        <w:r w:rsidRPr="009D1855">
          <w:rPr>
            <w:rStyle w:val="Hyperlink"/>
            <w:sz w:val="16"/>
            <w:szCs w:val="16"/>
            <w:lang w:val="en-GB"/>
          </w:rPr>
          <w:t>Gérardine</w:t>
        </w:r>
        <w:proofErr w:type="spellEnd"/>
        <w:r w:rsidRPr="009D1855">
          <w:rPr>
            <w:rStyle w:val="Hyperlink"/>
            <w:sz w:val="16"/>
            <w:szCs w:val="16"/>
            <w:lang w:val="en-GB"/>
          </w:rPr>
          <w:t xml:space="preserve"> GOH ESCOLAR, First Secretary at the Permanent Bureau of the Hague Conference on Private International Law</w:t>
        </w:r>
      </w:hyperlink>
    </w:p>
  </w:footnote>
  <w:footnote w:id="28">
    <w:p w14:paraId="3C0BC034" w14:textId="0C4B64D3" w:rsidR="008A33C4" w:rsidRPr="00A6302B" w:rsidRDefault="008A33C4" w:rsidP="00ED5C4D">
      <w:pPr>
        <w:spacing w:after="0"/>
        <w:rPr>
          <w:color w:val="002060"/>
          <w:sz w:val="16"/>
          <w:szCs w:val="16"/>
        </w:rPr>
      </w:pPr>
      <w:r w:rsidRPr="00A6302B">
        <w:rPr>
          <w:rStyle w:val="FootnoteReference"/>
          <w:color w:val="002060"/>
          <w:sz w:val="16"/>
          <w:szCs w:val="16"/>
        </w:rPr>
        <w:footnoteRef/>
      </w:r>
      <w:r w:rsidRPr="00A6302B">
        <w:rPr>
          <w:color w:val="002060"/>
          <w:sz w:val="16"/>
          <w:szCs w:val="16"/>
        </w:rPr>
        <w:t xml:space="preserve"> </w:t>
      </w:r>
      <w:hyperlink r:id="rId8" w:history="1">
        <w:r w:rsidRPr="009D1855">
          <w:rPr>
            <w:rStyle w:val="Hyperlink"/>
            <w:sz w:val="16"/>
            <w:szCs w:val="16"/>
          </w:rPr>
          <w:t>Presentation of Ms Joëlle SCHICKEL, Co-Head of Private International Law Unit, Federal Office of Justice of Switzerland</w:t>
        </w:r>
      </w:hyperlink>
      <w:r>
        <w:rPr>
          <w:color w:val="002060"/>
          <w:sz w:val="16"/>
          <w:szCs w:val="16"/>
        </w:rPr>
        <w:t xml:space="preserve"> and </w:t>
      </w:r>
      <w:r w:rsidRPr="00A6302B">
        <w:rPr>
          <w:rFonts w:cstheme="minorHAnsi"/>
          <w:color w:val="002060"/>
          <w:sz w:val="16"/>
          <w:szCs w:val="16"/>
        </w:rPr>
        <w:t>https://www.bj.admin.ch/bj/en/home/gesellschaft/kinderschutz/platzierungen.html</w:t>
      </w:r>
    </w:p>
  </w:footnote>
  <w:footnote w:id="29">
    <w:p w14:paraId="62369611" w14:textId="4EBC356C" w:rsidR="008A33C4" w:rsidRPr="00A6302B" w:rsidRDefault="008A33C4" w:rsidP="00ED5C4D">
      <w:pPr>
        <w:spacing w:after="0"/>
        <w:rPr>
          <w:color w:val="002060"/>
          <w:sz w:val="16"/>
          <w:szCs w:val="16"/>
        </w:rPr>
      </w:pPr>
      <w:r w:rsidRPr="00A6302B">
        <w:rPr>
          <w:rStyle w:val="FootnoteReference"/>
          <w:color w:val="002060"/>
          <w:sz w:val="16"/>
          <w:szCs w:val="16"/>
        </w:rPr>
        <w:footnoteRef/>
      </w:r>
      <w:r w:rsidRPr="00A6302B">
        <w:rPr>
          <w:color w:val="002060"/>
          <w:sz w:val="16"/>
          <w:szCs w:val="16"/>
        </w:rPr>
        <w:t xml:space="preserve"> P</w:t>
      </w:r>
      <w:r w:rsidRPr="00F65989">
        <w:t xml:space="preserve"> </w:t>
      </w:r>
      <w:hyperlink r:id="rId9" w:history="1">
        <w:r w:rsidRPr="00F65989">
          <w:rPr>
            <w:rStyle w:val="Hyperlink"/>
            <w:sz w:val="16"/>
            <w:szCs w:val="16"/>
          </w:rPr>
          <w:t>Presentation of Mr Albert O’DONOGHUE, Principal Officer of the EU and International Unit, Ireland</w:t>
        </w:r>
      </w:hyperlink>
      <w:r w:rsidRPr="00A6302B">
        <w:rPr>
          <w:color w:val="002060"/>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D3460" w14:textId="35789C34" w:rsidR="008A33C4" w:rsidRDefault="008A33C4" w:rsidP="00667EFF">
    <w:pPr>
      <w:spacing w:after="0" w:line="240" w:lineRule="auto"/>
      <w:rPr>
        <w:rFonts w:ascii="Times New Roman" w:eastAsia="Times New Roman" w:hAnsi="Times New Roman" w:cs="Times New Roman"/>
        <w:sz w:val="24"/>
        <w:szCs w:val="24"/>
        <w:lang w:val="es-ES" w:eastAsia="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374"/>
    </w:tblGrid>
    <w:tr w:rsidR="008A33C4" w14:paraId="2DC316FD" w14:textId="77777777" w:rsidTr="00667EFF">
      <w:tc>
        <w:tcPr>
          <w:tcW w:w="4530" w:type="dxa"/>
        </w:tcPr>
        <w:p w14:paraId="004C1BD6" w14:textId="40C585B5" w:rsidR="008A33C4" w:rsidRDefault="008A33C4" w:rsidP="00667EFF">
          <w:pPr>
            <w:rPr>
              <w:rFonts w:ascii="Times New Roman" w:eastAsia="Times New Roman" w:hAnsi="Times New Roman" w:cs="Times New Roman"/>
              <w:sz w:val="24"/>
              <w:szCs w:val="24"/>
              <w:lang w:val="es-ES" w:eastAsia="es-ES_tradnl"/>
            </w:rPr>
          </w:pPr>
          <w:r w:rsidRPr="00667EFF">
            <w:rPr>
              <w:rFonts w:ascii="Times New Roman" w:eastAsia="Times New Roman" w:hAnsi="Times New Roman" w:cs="Times New Roman"/>
              <w:noProof/>
              <w:sz w:val="24"/>
              <w:szCs w:val="24"/>
              <w:lang w:eastAsia="en-GB"/>
            </w:rPr>
            <w:drawing>
              <wp:inline distT="0" distB="0" distL="0" distR="0" wp14:anchorId="74A74AE4" wp14:editId="633BAB70">
                <wp:extent cx="2838648" cy="1311275"/>
                <wp:effectExtent l="0" t="0" r="6350" b="0"/>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296" cy="1347144"/>
                        </a:xfrm>
                        <a:prstGeom prst="rect">
                          <a:avLst/>
                        </a:prstGeom>
                        <a:noFill/>
                        <a:ln>
                          <a:noFill/>
                        </a:ln>
                      </pic:spPr>
                    </pic:pic>
                  </a:graphicData>
                </a:graphic>
              </wp:inline>
            </w:drawing>
          </w:r>
        </w:p>
      </w:tc>
      <w:tc>
        <w:tcPr>
          <w:tcW w:w="4530" w:type="dxa"/>
        </w:tcPr>
        <w:p w14:paraId="02D48370" w14:textId="2768A600" w:rsidR="008A33C4" w:rsidRDefault="008A33C4" w:rsidP="00667EFF">
          <w:pPr>
            <w:jc w:val="right"/>
            <w:rPr>
              <w:rFonts w:ascii="Times New Roman" w:eastAsia="Times New Roman" w:hAnsi="Times New Roman" w:cs="Times New Roman"/>
              <w:sz w:val="24"/>
              <w:szCs w:val="24"/>
              <w:lang w:val="es-ES" w:eastAsia="es-ES_tradnl"/>
            </w:rPr>
          </w:pPr>
          <w:r w:rsidRPr="00A27778">
            <w:rPr>
              <w:noProof/>
              <w:lang w:eastAsia="en-GB"/>
            </w:rPr>
            <w:drawing>
              <wp:inline distT="0" distB="0" distL="0" distR="0" wp14:anchorId="74B52810" wp14:editId="64CED463">
                <wp:extent cx="1642188" cy="1311756"/>
                <wp:effectExtent l="0" t="0" r="0" b="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454" cy="1328743"/>
                        </a:xfrm>
                        <a:prstGeom prst="rect">
                          <a:avLst/>
                        </a:prstGeom>
                        <a:noFill/>
                        <a:ln>
                          <a:noFill/>
                        </a:ln>
                      </pic:spPr>
                    </pic:pic>
                  </a:graphicData>
                </a:graphic>
              </wp:inline>
            </w:drawing>
          </w:r>
        </w:p>
      </w:tc>
    </w:tr>
  </w:tbl>
  <w:p w14:paraId="6F3F8B31" w14:textId="77777777" w:rsidR="008A33C4" w:rsidRPr="00A27778" w:rsidRDefault="008A33C4" w:rsidP="00667EFF">
    <w:pPr>
      <w:spacing w:after="0" w:line="240" w:lineRule="auto"/>
      <w:rPr>
        <w:rFonts w:ascii="Times New Roman" w:eastAsia="Times New Roman" w:hAnsi="Times New Roman" w:cs="Times New Roman"/>
        <w:sz w:val="24"/>
        <w:szCs w:val="24"/>
        <w:lang w:val="es-ES" w:eastAsia="es-ES_tradnl"/>
      </w:rPr>
    </w:pPr>
  </w:p>
  <w:p w14:paraId="29C01F87" w14:textId="5C36FE73" w:rsidR="008A33C4" w:rsidRDefault="008A3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429553F"/>
    <w:multiLevelType w:val="hybridMultilevel"/>
    <w:tmpl w:val="811A33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122AFC"/>
    <w:multiLevelType w:val="hybridMultilevel"/>
    <w:tmpl w:val="7696CE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7A2F3C"/>
    <w:multiLevelType w:val="hybridMultilevel"/>
    <w:tmpl w:val="80FA9D5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A807122"/>
    <w:multiLevelType w:val="hybridMultilevel"/>
    <w:tmpl w:val="3BA45AF0"/>
    <w:lvl w:ilvl="0" w:tplc="E8BCF0A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D325D30"/>
    <w:multiLevelType w:val="hybridMultilevel"/>
    <w:tmpl w:val="160C44A0"/>
    <w:lvl w:ilvl="0" w:tplc="6DF6E3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705DEE"/>
    <w:multiLevelType w:val="hybridMultilevel"/>
    <w:tmpl w:val="5A946FAE"/>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1EF20BD"/>
    <w:multiLevelType w:val="hybridMultilevel"/>
    <w:tmpl w:val="55BA2FB6"/>
    <w:lvl w:ilvl="0" w:tplc="BBB0D16A">
      <w:start w:val="1"/>
      <w:numFmt w:val="decimal"/>
      <w:lvlText w:val="%1."/>
      <w:lvlJc w:val="left"/>
      <w:pPr>
        <w:ind w:left="360" w:hanging="360"/>
      </w:pPr>
      <w:rPr>
        <w:rFonts w:asciiTheme="minorHAnsi" w:eastAsiaTheme="minorHAnsi" w:hAnsiTheme="minorHAnsi" w:cstheme="minorBidi"/>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0240AD"/>
    <w:multiLevelType w:val="hybridMultilevel"/>
    <w:tmpl w:val="EF68EC8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5187B62"/>
    <w:multiLevelType w:val="hybridMultilevel"/>
    <w:tmpl w:val="6032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87CDA"/>
    <w:multiLevelType w:val="hybridMultilevel"/>
    <w:tmpl w:val="30709446"/>
    <w:lvl w:ilvl="0" w:tplc="E23238BC">
      <w:start w:val="1"/>
      <w:numFmt w:val="bullet"/>
      <w:lvlText w:val="•"/>
      <w:lvlJc w:val="left"/>
      <w:pPr>
        <w:tabs>
          <w:tab w:val="num" w:pos="720"/>
        </w:tabs>
        <w:ind w:left="720" w:hanging="360"/>
      </w:pPr>
      <w:rPr>
        <w:rFonts w:ascii="Arial" w:hAnsi="Arial" w:hint="default"/>
      </w:rPr>
    </w:lvl>
    <w:lvl w:ilvl="1" w:tplc="D39CAB9C" w:tentative="1">
      <w:start w:val="1"/>
      <w:numFmt w:val="bullet"/>
      <w:lvlText w:val="•"/>
      <w:lvlJc w:val="left"/>
      <w:pPr>
        <w:tabs>
          <w:tab w:val="num" w:pos="1440"/>
        </w:tabs>
        <w:ind w:left="1440" w:hanging="360"/>
      </w:pPr>
      <w:rPr>
        <w:rFonts w:ascii="Arial" w:hAnsi="Arial" w:hint="default"/>
      </w:rPr>
    </w:lvl>
    <w:lvl w:ilvl="2" w:tplc="0A8E37A8" w:tentative="1">
      <w:start w:val="1"/>
      <w:numFmt w:val="bullet"/>
      <w:lvlText w:val="•"/>
      <w:lvlJc w:val="left"/>
      <w:pPr>
        <w:tabs>
          <w:tab w:val="num" w:pos="2160"/>
        </w:tabs>
        <w:ind w:left="2160" w:hanging="360"/>
      </w:pPr>
      <w:rPr>
        <w:rFonts w:ascii="Arial" w:hAnsi="Arial" w:hint="default"/>
      </w:rPr>
    </w:lvl>
    <w:lvl w:ilvl="3" w:tplc="B066E4CC" w:tentative="1">
      <w:start w:val="1"/>
      <w:numFmt w:val="bullet"/>
      <w:lvlText w:val="•"/>
      <w:lvlJc w:val="left"/>
      <w:pPr>
        <w:tabs>
          <w:tab w:val="num" w:pos="2880"/>
        </w:tabs>
        <w:ind w:left="2880" w:hanging="360"/>
      </w:pPr>
      <w:rPr>
        <w:rFonts w:ascii="Arial" w:hAnsi="Arial" w:hint="default"/>
      </w:rPr>
    </w:lvl>
    <w:lvl w:ilvl="4" w:tplc="0E30C188" w:tentative="1">
      <w:start w:val="1"/>
      <w:numFmt w:val="bullet"/>
      <w:lvlText w:val="•"/>
      <w:lvlJc w:val="left"/>
      <w:pPr>
        <w:tabs>
          <w:tab w:val="num" w:pos="3600"/>
        </w:tabs>
        <w:ind w:left="3600" w:hanging="360"/>
      </w:pPr>
      <w:rPr>
        <w:rFonts w:ascii="Arial" w:hAnsi="Arial" w:hint="default"/>
      </w:rPr>
    </w:lvl>
    <w:lvl w:ilvl="5" w:tplc="2A7C6332" w:tentative="1">
      <w:start w:val="1"/>
      <w:numFmt w:val="bullet"/>
      <w:lvlText w:val="•"/>
      <w:lvlJc w:val="left"/>
      <w:pPr>
        <w:tabs>
          <w:tab w:val="num" w:pos="4320"/>
        </w:tabs>
        <w:ind w:left="4320" w:hanging="360"/>
      </w:pPr>
      <w:rPr>
        <w:rFonts w:ascii="Arial" w:hAnsi="Arial" w:hint="default"/>
      </w:rPr>
    </w:lvl>
    <w:lvl w:ilvl="6" w:tplc="D5363954" w:tentative="1">
      <w:start w:val="1"/>
      <w:numFmt w:val="bullet"/>
      <w:lvlText w:val="•"/>
      <w:lvlJc w:val="left"/>
      <w:pPr>
        <w:tabs>
          <w:tab w:val="num" w:pos="5040"/>
        </w:tabs>
        <w:ind w:left="5040" w:hanging="360"/>
      </w:pPr>
      <w:rPr>
        <w:rFonts w:ascii="Arial" w:hAnsi="Arial" w:hint="default"/>
      </w:rPr>
    </w:lvl>
    <w:lvl w:ilvl="7" w:tplc="A80A1528" w:tentative="1">
      <w:start w:val="1"/>
      <w:numFmt w:val="bullet"/>
      <w:lvlText w:val="•"/>
      <w:lvlJc w:val="left"/>
      <w:pPr>
        <w:tabs>
          <w:tab w:val="num" w:pos="5760"/>
        </w:tabs>
        <w:ind w:left="5760" w:hanging="360"/>
      </w:pPr>
      <w:rPr>
        <w:rFonts w:ascii="Arial" w:hAnsi="Arial" w:hint="default"/>
      </w:rPr>
    </w:lvl>
    <w:lvl w:ilvl="8" w:tplc="1504C1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445367"/>
    <w:multiLevelType w:val="hybridMultilevel"/>
    <w:tmpl w:val="D9BA77F8"/>
    <w:lvl w:ilvl="0" w:tplc="088E7338">
      <w:start w:val="1"/>
      <w:numFmt w:val="bullet"/>
      <w:lvlText w:val="•"/>
      <w:lvlJc w:val="left"/>
      <w:pPr>
        <w:tabs>
          <w:tab w:val="num" w:pos="720"/>
        </w:tabs>
        <w:ind w:left="720" w:hanging="360"/>
      </w:pPr>
      <w:rPr>
        <w:rFonts w:ascii="Arial" w:hAnsi="Arial" w:hint="default"/>
      </w:rPr>
    </w:lvl>
    <w:lvl w:ilvl="1" w:tplc="C72A1B0C" w:tentative="1">
      <w:start w:val="1"/>
      <w:numFmt w:val="bullet"/>
      <w:lvlText w:val="•"/>
      <w:lvlJc w:val="left"/>
      <w:pPr>
        <w:tabs>
          <w:tab w:val="num" w:pos="1440"/>
        </w:tabs>
        <w:ind w:left="1440" w:hanging="360"/>
      </w:pPr>
      <w:rPr>
        <w:rFonts w:ascii="Arial" w:hAnsi="Arial" w:hint="default"/>
      </w:rPr>
    </w:lvl>
    <w:lvl w:ilvl="2" w:tplc="0214FC5A" w:tentative="1">
      <w:start w:val="1"/>
      <w:numFmt w:val="bullet"/>
      <w:lvlText w:val="•"/>
      <w:lvlJc w:val="left"/>
      <w:pPr>
        <w:tabs>
          <w:tab w:val="num" w:pos="2160"/>
        </w:tabs>
        <w:ind w:left="2160" w:hanging="360"/>
      </w:pPr>
      <w:rPr>
        <w:rFonts w:ascii="Arial" w:hAnsi="Arial" w:hint="default"/>
      </w:rPr>
    </w:lvl>
    <w:lvl w:ilvl="3" w:tplc="AE2C5AA2" w:tentative="1">
      <w:start w:val="1"/>
      <w:numFmt w:val="bullet"/>
      <w:lvlText w:val="•"/>
      <w:lvlJc w:val="left"/>
      <w:pPr>
        <w:tabs>
          <w:tab w:val="num" w:pos="2880"/>
        </w:tabs>
        <w:ind w:left="2880" w:hanging="360"/>
      </w:pPr>
      <w:rPr>
        <w:rFonts w:ascii="Arial" w:hAnsi="Arial" w:hint="default"/>
      </w:rPr>
    </w:lvl>
    <w:lvl w:ilvl="4" w:tplc="62828E9A" w:tentative="1">
      <w:start w:val="1"/>
      <w:numFmt w:val="bullet"/>
      <w:lvlText w:val="•"/>
      <w:lvlJc w:val="left"/>
      <w:pPr>
        <w:tabs>
          <w:tab w:val="num" w:pos="3600"/>
        </w:tabs>
        <w:ind w:left="3600" w:hanging="360"/>
      </w:pPr>
      <w:rPr>
        <w:rFonts w:ascii="Arial" w:hAnsi="Arial" w:hint="default"/>
      </w:rPr>
    </w:lvl>
    <w:lvl w:ilvl="5" w:tplc="23AA7D92" w:tentative="1">
      <w:start w:val="1"/>
      <w:numFmt w:val="bullet"/>
      <w:lvlText w:val="•"/>
      <w:lvlJc w:val="left"/>
      <w:pPr>
        <w:tabs>
          <w:tab w:val="num" w:pos="4320"/>
        </w:tabs>
        <w:ind w:left="4320" w:hanging="360"/>
      </w:pPr>
      <w:rPr>
        <w:rFonts w:ascii="Arial" w:hAnsi="Arial" w:hint="default"/>
      </w:rPr>
    </w:lvl>
    <w:lvl w:ilvl="6" w:tplc="CBE46812" w:tentative="1">
      <w:start w:val="1"/>
      <w:numFmt w:val="bullet"/>
      <w:lvlText w:val="•"/>
      <w:lvlJc w:val="left"/>
      <w:pPr>
        <w:tabs>
          <w:tab w:val="num" w:pos="5040"/>
        </w:tabs>
        <w:ind w:left="5040" w:hanging="360"/>
      </w:pPr>
      <w:rPr>
        <w:rFonts w:ascii="Arial" w:hAnsi="Arial" w:hint="default"/>
      </w:rPr>
    </w:lvl>
    <w:lvl w:ilvl="7" w:tplc="F2F2D96C" w:tentative="1">
      <w:start w:val="1"/>
      <w:numFmt w:val="bullet"/>
      <w:lvlText w:val="•"/>
      <w:lvlJc w:val="left"/>
      <w:pPr>
        <w:tabs>
          <w:tab w:val="num" w:pos="5760"/>
        </w:tabs>
        <w:ind w:left="5760" w:hanging="360"/>
      </w:pPr>
      <w:rPr>
        <w:rFonts w:ascii="Arial" w:hAnsi="Arial" w:hint="default"/>
      </w:rPr>
    </w:lvl>
    <w:lvl w:ilvl="8" w:tplc="9FF042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4D1D05"/>
    <w:multiLevelType w:val="hybridMultilevel"/>
    <w:tmpl w:val="044E6480"/>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5352C52"/>
    <w:multiLevelType w:val="hybridMultilevel"/>
    <w:tmpl w:val="A9329316"/>
    <w:lvl w:ilvl="0" w:tplc="13003C3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F3620"/>
    <w:multiLevelType w:val="hybridMultilevel"/>
    <w:tmpl w:val="33BC0F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B87FF5"/>
    <w:multiLevelType w:val="hybridMultilevel"/>
    <w:tmpl w:val="50227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E05C3"/>
    <w:multiLevelType w:val="hybridMultilevel"/>
    <w:tmpl w:val="53A66DA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7864576"/>
    <w:multiLevelType w:val="hybridMultilevel"/>
    <w:tmpl w:val="18C828D2"/>
    <w:lvl w:ilvl="0" w:tplc="040A001B">
      <w:start w:val="1"/>
      <w:numFmt w:val="low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84B54A5"/>
    <w:multiLevelType w:val="hybridMultilevel"/>
    <w:tmpl w:val="1996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43436"/>
    <w:multiLevelType w:val="hybridMultilevel"/>
    <w:tmpl w:val="54EC7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AE1647"/>
    <w:multiLevelType w:val="hybridMultilevel"/>
    <w:tmpl w:val="D07A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D35BB"/>
    <w:multiLevelType w:val="hybridMultilevel"/>
    <w:tmpl w:val="168C7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B72145"/>
    <w:multiLevelType w:val="hybridMultilevel"/>
    <w:tmpl w:val="1C4ABF34"/>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1075898"/>
    <w:multiLevelType w:val="hybridMultilevel"/>
    <w:tmpl w:val="1762657A"/>
    <w:lvl w:ilvl="0" w:tplc="6EA080D4">
      <w:start w:val="1"/>
      <w:numFmt w:val="upp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1075F90"/>
    <w:multiLevelType w:val="hybridMultilevel"/>
    <w:tmpl w:val="E34EB342"/>
    <w:lvl w:ilvl="0" w:tplc="BBB0D16A">
      <w:start w:val="1"/>
      <w:numFmt w:val="decimal"/>
      <w:lvlText w:val="%1."/>
      <w:lvlJc w:val="left"/>
      <w:pPr>
        <w:ind w:left="720" w:hanging="360"/>
      </w:pPr>
      <w:rPr>
        <w:rFonts w:asciiTheme="minorHAnsi" w:eastAsiaTheme="minorHAnsi" w:hAnsiTheme="minorHAnsi" w:cstheme="minorBidi"/>
      </w:rPr>
    </w:lvl>
    <w:lvl w:ilvl="1" w:tplc="229C3984">
      <w:start w:val="11"/>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555EB8"/>
    <w:multiLevelType w:val="hybridMultilevel"/>
    <w:tmpl w:val="1C4ABF34"/>
    <w:lvl w:ilvl="0" w:tplc="040A001B">
      <w:start w:val="1"/>
      <w:numFmt w:val="lowerRoman"/>
      <w:lvlText w:val="%1."/>
      <w:lvlJc w:val="righ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661474B"/>
    <w:multiLevelType w:val="hybridMultilevel"/>
    <w:tmpl w:val="B0BA7482"/>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6A149C8"/>
    <w:multiLevelType w:val="hybridMultilevel"/>
    <w:tmpl w:val="96F60B4E"/>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52112C"/>
    <w:multiLevelType w:val="hybridMultilevel"/>
    <w:tmpl w:val="1C4ABF34"/>
    <w:lvl w:ilvl="0" w:tplc="040A001B">
      <w:start w:val="1"/>
      <w:numFmt w:val="lowerRoman"/>
      <w:lvlText w:val="%1."/>
      <w:lvlJc w:val="righ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E541386"/>
    <w:multiLevelType w:val="hybridMultilevel"/>
    <w:tmpl w:val="84A29EF6"/>
    <w:lvl w:ilvl="0" w:tplc="B69E42C6">
      <w:start w:val="1"/>
      <w:numFmt w:val="bullet"/>
      <w:lvlText w:val="•"/>
      <w:lvlJc w:val="left"/>
      <w:pPr>
        <w:tabs>
          <w:tab w:val="num" w:pos="720"/>
        </w:tabs>
        <w:ind w:left="720" w:hanging="360"/>
      </w:pPr>
      <w:rPr>
        <w:rFonts w:ascii="Arial" w:hAnsi="Arial" w:hint="default"/>
      </w:rPr>
    </w:lvl>
    <w:lvl w:ilvl="1" w:tplc="FB06E2C4" w:tentative="1">
      <w:start w:val="1"/>
      <w:numFmt w:val="bullet"/>
      <w:lvlText w:val="•"/>
      <w:lvlJc w:val="left"/>
      <w:pPr>
        <w:tabs>
          <w:tab w:val="num" w:pos="1440"/>
        </w:tabs>
        <w:ind w:left="1440" w:hanging="360"/>
      </w:pPr>
      <w:rPr>
        <w:rFonts w:ascii="Arial" w:hAnsi="Arial" w:hint="default"/>
      </w:rPr>
    </w:lvl>
    <w:lvl w:ilvl="2" w:tplc="26BA00A2" w:tentative="1">
      <w:start w:val="1"/>
      <w:numFmt w:val="bullet"/>
      <w:lvlText w:val="•"/>
      <w:lvlJc w:val="left"/>
      <w:pPr>
        <w:tabs>
          <w:tab w:val="num" w:pos="2160"/>
        </w:tabs>
        <w:ind w:left="2160" w:hanging="360"/>
      </w:pPr>
      <w:rPr>
        <w:rFonts w:ascii="Arial" w:hAnsi="Arial" w:hint="default"/>
      </w:rPr>
    </w:lvl>
    <w:lvl w:ilvl="3" w:tplc="9B6C0D8A" w:tentative="1">
      <w:start w:val="1"/>
      <w:numFmt w:val="bullet"/>
      <w:lvlText w:val="•"/>
      <w:lvlJc w:val="left"/>
      <w:pPr>
        <w:tabs>
          <w:tab w:val="num" w:pos="2880"/>
        </w:tabs>
        <w:ind w:left="2880" w:hanging="360"/>
      </w:pPr>
      <w:rPr>
        <w:rFonts w:ascii="Arial" w:hAnsi="Arial" w:hint="default"/>
      </w:rPr>
    </w:lvl>
    <w:lvl w:ilvl="4" w:tplc="B80AD2E4" w:tentative="1">
      <w:start w:val="1"/>
      <w:numFmt w:val="bullet"/>
      <w:lvlText w:val="•"/>
      <w:lvlJc w:val="left"/>
      <w:pPr>
        <w:tabs>
          <w:tab w:val="num" w:pos="3600"/>
        </w:tabs>
        <w:ind w:left="3600" w:hanging="360"/>
      </w:pPr>
      <w:rPr>
        <w:rFonts w:ascii="Arial" w:hAnsi="Arial" w:hint="default"/>
      </w:rPr>
    </w:lvl>
    <w:lvl w:ilvl="5" w:tplc="FAE0FD7E" w:tentative="1">
      <w:start w:val="1"/>
      <w:numFmt w:val="bullet"/>
      <w:lvlText w:val="•"/>
      <w:lvlJc w:val="left"/>
      <w:pPr>
        <w:tabs>
          <w:tab w:val="num" w:pos="4320"/>
        </w:tabs>
        <w:ind w:left="4320" w:hanging="360"/>
      </w:pPr>
      <w:rPr>
        <w:rFonts w:ascii="Arial" w:hAnsi="Arial" w:hint="default"/>
      </w:rPr>
    </w:lvl>
    <w:lvl w:ilvl="6" w:tplc="90EE77F2" w:tentative="1">
      <w:start w:val="1"/>
      <w:numFmt w:val="bullet"/>
      <w:lvlText w:val="•"/>
      <w:lvlJc w:val="left"/>
      <w:pPr>
        <w:tabs>
          <w:tab w:val="num" w:pos="5040"/>
        </w:tabs>
        <w:ind w:left="5040" w:hanging="360"/>
      </w:pPr>
      <w:rPr>
        <w:rFonts w:ascii="Arial" w:hAnsi="Arial" w:hint="default"/>
      </w:rPr>
    </w:lvl>
    <w:lvl w:ilvl="7" w:tplc="E550F2A0" w:tentative="1">
      <w:start w:val="1"/>
      <w:numFmt w:val="bullet"/>
      <w:lvlText w:val="•"/>
      <w:lvlJc w:val="left"/>
      <w:pPr>
        <w:tabs>
          <w:tab w:val="num" w:pos="5760"/>
        </w:tabs>
        <w:ind w:left="5760" w:hanging="360"/>
      </w:pPr>
      <w:rPr>
        <w:rFonts w:ascii="Arial" w:hAnsi="Arial" w:hint="default"/>
      </w:rPr>
    </w:lvl>
    <w:lvl w:ilvl="8" w:tplc="9B1CEC2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2B1842"/>
    <w:multiLevelType w:val="hybridMultilevel"/>
    <w:tmpl w:val="9CAA8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C23A43"/>
    <w:multiLevelType w:val="hybridMultilevel"/>
    <w:tmpl w:val="AA88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B4EB3"/>
    <w:multiLevelType w:val="hybridMultilevel"/>
    <w:tmpl w:val="5A946FAE"/>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6C61111"/>
    <w:multiLevelType w:val="hybridMultilevel"/>
    <w:tmpl w:val="E8C2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646E34"/>
    <w:multiLevelType w:val="hybridMultilevel"/>
    <w:tmpl w:val="B0B0D75A"/>
    <w:lvl w:ilvl="0" w:tplc="04881D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5F57C6D"/>
    <w:multiLevelType w:val="hybridMultilevel"/>
    <w:tmpl w:val="636EF2A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15:restartNumberingAfterBreak="0">
    <w:nsid w:val="76544393"/>
    <w:multiLevelType w:val="multilevel"/>
    <w:tmpl w:val="4DEE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8D5207"/>
    <w:multiLevelType w:val="hybridMultilevel"/>
    <w:tmpl w:val="5C720B6E"/>
    <w:lvl w:ilvl="0" w:tplc="229C3984">
      <w:start w:val="11"/>
      <w:numFmt w:val="bullet"/>
      <w:lvlText w:val="-"/>
      <w:lvlJc w:val="left"/>
      <w:pPr>
        <w:ind w:left="720" w:hanging="360"/>
      </w:pPr>
      <w:rPr>
        <w:rFonts w:ascii="Calibri" w:eastAsiaTheme="minorHAnsi" w:hAnsi="Calibri" w:cs="Calibri" w:hint="default"/>
      </w:rPr>
    </w:lvl>
    <w:lvl w:ilvl="1" w:tplc="229C3984">
      <w:start w:val="11"/>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57A6D"/>
    <w:multiLevelType w:val="hybridMultilevel"/>
    <w:tmpl w:val="91840F22"/>
    <w:lvl w:ilvl="0" w:tplc="301E736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DE33088"/>
    <w:multiLevelType w:val="multilevel"/>
    <w:tmpl w:val="34C0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4E40F4"/>
    <w:multiLevelType w:val="hybridMultilevel"/>
    <w:tmpl w:val="18C828D2"/>
    <w:lvl w:ilvl="0" w:tplc="040A001B">
      <w:start w:val="1"/>
      <w:numFmt w:val="low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
  </w:num>
  <w:num w:numId="3">
    <w:abstractNumId w:val="13"/>
  </w:num>
  <w:num w:numId="4">
    <w:abstractNumId w:val="20"/>
  </w:num>
  <w:num w:numId="5">
    <w:abstractNumId w:val="19"/>
  </w:num>
  <w:num w:numId="6">
    <w:abstractNumId w:val="17"/>
  </w:num>
  <w:num w:numId="7">
    <w:abstractNumId w:val="30"/>
  </w:num>
  <w:num w:numId="8">
    <w:abstractNumId w:val="8"/>
  </w:num>
  <w:num w:numId="9">
    <w:abstractNumId w:val="32"/>
  </w:num>
  <w:num w:numId="10">
    <w:abstractNumId w:val="26"/>
  </w:num>
  <w:num w:numId="11">
    <w:abstractNumId w:val="38"/>
  </w:num>
  <w:num w:numId="12">
    <w:abstractNumId w:val="35"/>
  </w:num>
  <w:num w:numId="13">
    <w:abstractNumId w:val="12"/>
  </w:num>
  <w:num w:numId="14">
    <w:abstractNumId w:val="29"/>
  </w:num>
  <w:num w:numId="15">
    <w:abstractNumId w:val="14"/>
  </w:num>
  <w:num w:numId="16">
    <w:abstractNumId w:val="4"/>
  </w:num>
  <w:num w:numId="17">
    <w:abstractNumId w:val="18"/>
  </w:num>
  <w:num w:numId="18">
    <w:abstractNumId w:val="0"/>
  </w:num>
  <w:num w:numId="19">
    <w:abstractNumId w:val="39"/>
  </w:num>
  <w:num w:numId="20">
    <w:abstractNumId w:val="16"/>
  </w:num>
  <w:num w:numId="21">
    <w:abstractNumId w:val="5"/>
  </w:num>
  <w:num w:numId="22">
    <w:abstractNumId w:val="22"/>
  </w:num>
  <w:num w:numId="23">
    <w:abstractNumId w:val="11"/>
  </w:num>
  <w:num w:numId="24">
    <w:abstractNumId w:val="31"/>
  </w:num>
  <w:num w:numId="25">
    <w:abstractNumId w:val="24"/>
  </w:num>
  <w:num w:numId="26">
    <w:abstractNumId w:val="21"/>
  </w:num>
  <w:num w:numId="27">
    <w:abstractNumId w:val="25"/>
  </w:num>
  <w:num w:numId="28">
    <w:abstractNumId w:val="37"/>
  </w:num>
  <w:num w:numId="29">
    <w:abstractNumId w:val="3"/>
  </w:num>
  <w:num w:numId="30">
    <w:abstractNumId w:val="27"/>
  </w:num>
  <w:num w:numId="31">
    <w:abstractNumId w:val="34"/>
  </w:num>
  <w:num w:numId="32">
    <w:abstractNumId w:val="9"/>
  </w:num>
  <w:num w:numId="33">
    <w:abstractNumId w:val="28"/>
  </w:num>
  <w:num w:numId="34">
    <w:abstractNumId w:val="10"/>
  </w:num>
  <w:num w:numId="35">
    <w:abstractNumId w:val="6"/>
  </w:num>
  <w:num w:numId="36">
    <w:abstractNumId w:val="23"/>
  </w:num>
  <w:num w:numId="37">
    <w:abstractNumId w:val="36"/>
  </w:num>
  <w:num w:numId="38">
    <w:abstractNumId w:val="15"/>
  </w:num>
  <w:num w:numId="39">
    <w:abstractNumId w:val="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7E"/>
    <w:rsid w:val="000013F9"/>
    <w:rsid w:val="00005E71"/>
    <w:rsid w:val="00011A14"/>
    <w:rsid w:val="00013C49"/>
    <w:rsid w:val="000140CA"/>
    <w:rsid w:val="000152D4"/>
    <w:rsid w:val="000202F7"/>
    <w:rsid w:val="00020A98"/>
    <w:rsid w:val="00022A9A"/>
    <w:rsid w:val="00022CF9"/>
    <w:rsid w:val="00024B2E"/>
    <w:rsid w:val="0002549F"/>
    <w:rsid w:val="0002557D"/>
    <w:rsid w:val="00025A8B"/>
    <w:rsid w:val="000261FA"/>
    <w:rsid w:val="00027A4B"/>
    <w:rsid w:val="00034AF2"/>
    <w:rsid w:val="00034D78"/>
    <w:rsid w:val="00035070"/>
    <w:rsid w:val="00036F5E"/>
    <w:rsid w:val="000370D0"/>
    <w:rsid w:val="00037607"/>
    <w:rsid w:val="0004362F"/>
    <w:rsid w:val="00043A85"/>
    <w:rsid w:val="00052A38"/>
    <w:rsid w:val="00052A94"/>
    <w:rsid w:val="00055283"/>
    <w:rsid w:val="00060422"/>
    <w:rsid w:val="00060B11"/>
    <w:rsid w:val="00061BED"/>
    <w:rsid w:val="000646C9"/>
    <w:rsid w:val="00064E3A"/>
    <w:rsid w:val="00065FB5"/>
    <w:rsid w:val="00066471"/>
    <w:rsid w:val="0007026B"/>
    <w:rsid w:val="00070828"/>
    <w:rsid w:val="00071308"/>
    <w:rsid w:val="00073424"/>
    <w:rsid w:val="00076A47"/>
    <w:rsid w:val="000770A3"/>
    <w:rsid w:val="00080465"/>
    <w:rsid w:val="00081843"/>
    <w:rsid w:val="00081E20"/>
    <w:rsid w:val="00084E54"/>
    <w:rsid w:val="000859DE"/>
    <w:rsid w:val="000861B7"/>
    <w:rsid w:val="00087893"/>
    <w:rsid w:val="000915EA"/>
    <w:rsid w:val="00092346"/>
    <w:rsid w:val="000A0BF0"/>
    <w:rsid w:val="000A1420"/>
    <w:rsid w:val="000A28E8"/>
    <w:rsid w:val="000A75AB"/>
    <w:rsid w:val="000B30AE"/>
    <w:rsid w:val="000B6B4E"/>
    <w:rsid w:val="000B7376"/>
    <w:rsid w:val="000B7E51"/>
    <w:rsid w:val="000C5236"/>
    <w:rsid w:val="000C5CE4"/>
    <w:rsid w:val="000D2718"/>
    <w:rsid w:val="000D3ABD"/>
    <w:rsid w:val="000D3F69"/>
    <w:rsid w:val="000D670A"/>
    <w:rsid w:val="000E0419"/>
    <w:rsid w:val="000E3CB0"/>
    <w:rsid w:val="000E48C7"/>
    <w:rsid w:val="000E65A5"/>
    <w:rsid w:val="000F0EAA"/>
    <w:rsid w:val="000F1F01"/>
    <w:rsid w:val="000F28B3"/>
    <w:rsid w:val="000F3F48"/>
    <w:rsid w:val="000F716D"/>
    <w:rsid w:val="00102E11"/>
    <w:rsid w:val="00102E2F"/>
    <w:rsid w:val="00103B6B"/>
    <w:rsid w:val="00104601"/>
    <w:rsid w:val="0010519A"/>
    <w:rsid w:val="0010696E"/>
    <w:rsid w:val="00110879"/>
    <w:rsid w:val="001117B8"/>
    <w:rsid w:val="00111F43"/>
    <w:rsid w:val="00113C28"/>
    <w:rsid w:val="0011492B"/>
    <w:rsid w:val="00115265"/>
    <w:rsid w:val="0011621A"/>
    <w:rsid w:val="00117ABC"/>
    <w:rsid w:val="00121018"/>
    <w:rsid w:val="00123C48"/>
    <w:rsid w:val="00124835"/>
    <w:rsid w:val="00130D7E"/>
    <w:rsid w:val="00131C4C"/>
    <w:rsid w:val="00131E9C"/>
    <w:rsid w:val="00135032"/>
    <w:rsid w:val="00137A77"/>
    <w:rsid w:val="0014042F"/>
    <w:rsid w:val="00141086"/>
    <w:rsid w:val="001518A7"/>
    <w:rsid w:val="00152C75"/>
    <w:rsid w:val="001544E2"/>
    <w:rsid w:val="00154E38"/>
    <w:rsid w:val="00157961"/>
    <w:rsid w:val="0016231C"/>
    <w:rsid w:val="00166BB1"/>
    <w:rsid w:val="00171090"/>
    <w:rsid w:val="001714E1"/>
    <w:rsid w:val="001734A8"/>
    <w:rsid w:val="00173A21"/>
    <w:rsid w:val="00177ECA"/>
    <w:rsid w:val="001814CD"/>
    <w:rsid w:val="00181AFD"/>
    <w:rsid w:val="0018205E"/>
    <w:rsid w:val="00183F8F"/>
    <w:rsid w:val="00187D94"/>
    <w:rsid w:val="001932B0"/>
    <w:rsid w:val="0019608D"/>
    <w:rsid w:val="001A1A8F"/>
    <w:rsid w:val="001A210C"/>
    <w:rsid w:val="001A4DDC"/>
    <w:rsid w:val="001A5BBB"/>
    <w:rsid w:val="001A6510"/>
    <w:rsid w:val="001B06E3"/>
    <w:rsid w:val="001B12D9"/>
    <w:rsid w:val="001C1D82"/>
    <w:rsid w:val="001C43B4"/>
    <w:rsid w:val="001C59CE"/>
    <w:rsid w:val="001C6966"/>
    <w:rsid w:val="001D0666"/>
    <w:rsid w:val="001D153F"/>
    <w:rsid w:val="001D4858"/>
    <w:rsid w:val="001D4F5A"/>
    <w:rsid w:val="001D70F9"/>
    <w:rsid w:val="001E13B3"/>
    <w:rsid w:val="001E44ED"/>
    <w:rsid w:val="001E4A3A"/>
    <w:rsid w:val="001E629B"/>
    <w:rsid w:val="001E710C"/>
    <w:rsid w:val="001F25B7"/>
    <w:rsid w:val="001F409D"/>
    <w:rsid w:val="001F6813"/>
    <w:rsid w:val="001F6FB7"/>
    <w:rsid w:val="00200BC4"/>
    <w:rsid w:val="002029CC"/>
    <w:rsid w:val="00204A3D"/>
    <w:rsid w:val="0021029D"/>
    <w:rsid w:val="00210E3C"/>
    <w:rsid w:val="00211C83"/>
    <w:rsid w:val="00220E27"/>
    <w:rsid w:val="00223E57"/>
    <w:rsid w:val="0022499D"/>
    <w:rsid w:val="00225065"/>
    <w:rsid w:val="00225E10"/>
    <w:rsid w:val="0022739A"/>
    <w:rsid w:val="002319E7"/>
    <w:rsid w:val="00236638"/>
    <w:rsid w:val="002411C4"/>
    <w:rsid w:val="00241F4B"/>
    <w:rsid w:val="002423B0"/>
    <w:rsid w:val="002448A8"/>
    <w:rsid w:val="002449DD"/>
    <w:rsid w:val="00245112"/>
    <w:rsid w:val="002461D2"/>
    <w:rsid w:val="00246647"/>
    <w:rsid w:val="00246FB7"/>
    <w:rsid w:val="002514C1"/>
    <w:rsid w:val="002517A1"/>
    <w:rsid w:val="002521FD"/>
    <w:rsid w:val="00260489"/>
    <w:rsid w:val="00260901"/>
    <w:rsid w:val="002610C7"/>
    <w:rsid w:val="00262BDA"/>
    <w:rsid w:val="00264022"/>
    <w:rsid w:val="002707A1"/>
    <w:rsid w:val="00271148"/>
    <w:rsid w:val="002729CE"/>
    <w:rsid w:val="00272B13"/>
    <w:rsid w:val="00272BF5"/>
    <w:rsid w:val="00275905"/>
    <w:rsid w:val="002764CF"/>
    <w:rsid w:val="00282AC2"/>
    <w:rsid w:val="00283D0C"/>
    <w:rsid w:val="00284C5B"/>
    <w:rsid w:val="00287C7A"/>
    <w:rsid w:val="00292596"/>
    <w:rsid w:val="00295788"/>
    <w:rsid w:val="002964D0"/>
    <w:rsid w:val="002A6021"/>
    <w:rsid w:val="002B25B4"/>
    <w:rsid w:val="002B4292"/>
    <w:rsid w:val="002B45AC"/>
    <w:rsid w:val="002B606E"/>
    <w:rsid w:val="002C3733"/>
    <w:rsid w:val="002C39D3"/>
    <w:rsid w:val="002D09B1"/>
    <w:rsid w:val="002D5C2E"/>
    <w:rsid w:val="002E41DF"/>
    <w:rsid w:val="002E5649"/>
    <w:rsid w:val="002E72E6"/>
    <w:rsid w:val="002F136E"/>
    <w:rsid w:val="002F4422"/>
    <w:rsid w:val="002F540E"/>
    <w:rsid w:val="002F5525"/>
    <w:rsid w:val="002F5644"/>
    <w:rsid w:val="002F609B"/>
    <w:rsid w:val="00301ECA"/>
    <w:rsid w:val="00304F97"/>
    <w:rsid w:val="00307326"/>
    <w:rsid w:val="00315698"/>
    <w:rsid w:val="003201E6"/>
    <w:rsid w:val="003218A1"/>
    <w:rsid w:val="00322250"/>
    <w:rsid w:val="00323C09"/>
    <w:rsid w:val="00324C85"/>
    <w:rsid w:val="0032592E"/>
    <w:rsid w:val="00327FB7"/>
    <w:rsid w:val="00334333"/>
    <w:rsid w:val="003358DE"/>
    <w:rsid w:val="00336F58"/>
    <w:rsid w:val="00337E38"/>
    <w:rsid w:val="00343BF3"/>
    <w:rsid w:val="00344EC9"/>
    <w:rsid w:val="00345FF4"/>
    <w:rsid w:val="00346583"/>
    <w:rsid w:val="00346A08"/>
    <w:rsid w:val="003506EC"/>
    <w:rsid w:val="003518C2"/>
    <w:rsid w:val="00351C0B"/>
    <w:rsid w:val="00352AE3"/>
    <w:rsid w:val="00353646"/>
    <w:rsid w:val="00355CF3"/>
    <w:rsid w:val="00361D61"/>
    <w:rsid w:val="00363420"/>
    <w:rsid w:val="003644C2"/>
    <w:rsid w:val="00367A6A"/>
    <w:rsid w:val="0037101D"/>
    <w:rsid w:val="003711FD"/>
    <w:rsid w:val="00371926"/>
    <w:rsid w:val="00371D7E"/>
    <w:rsid w:val="003722E6"/>
    <w:rsid w:val="00374FFC"/>
    <w:rsid w:val="00375D26"/>
    <w:rsid w:val="00381BB7"/>
    <w:rsid w:val="003827D1"/>
    <w:rsid w:val="003827ED"/>
    <w:rsid w:val="00382892"/>
    <w:rsid w:val="00383539"/>
    <w:rsid w:val="00385E78"/>
    <w:rsid w:val="003869BD"/>
    <w:rsid w:val="00386A95"/>
    <w:rsid w:val="00387A15"/>
    <w:rsid w:val="00390BD3"/>
    <w:rsid w:val="0039364E"/>
    <w:rsid w:val="003A6FB2"/>
    <w:rsid w:val="003B23D9"/>
    <w:rsid w:val="003B4EA6"/>
    <w:rsid w:val="003B7CE0"/>
    <w:rsid w:val="003C0A79"/>
    <w:rsid w:val="003C2526"/>
    <w:rsid w:val="003C37AA"/>
    <w:rsid w:val="003C3C37"/>
    <w:rsid w:val="003C6A73"/>
    <w:rsid w:val="003C7DFB"/>
    <w:rsid w:val="003D07C5"/>
    <w:rsid w:val="003D0DD4"/>
    <w:rsid w:val="003D1CDC"/>
    <w:rsid w:val="003D25CA"/>
    <w:rsid w:val="003D656D"/>
    <w:rsid w:val="003D760F"/>
    <w:rsid w:val="003F0DF1"/>
    <w:rsid w:val="003F229F"/>
    <w:rsid w:val="003F651E"/>
    <w:rsid w:val="003F7322"/>
    <w:rsid w:val="0040085B"/>
    <w:rsid w:val="00401231"/>
    <w:rsid w:val="00402361"/>
    <w:rsid w:val="00404E7B"/>
    <w:rsid w:val="004079FB"/>
    <w:rsid w:val="00407A39"/>
    <w:rsid w:val="00413BBC"/>
    <w:rsid w:val="00414A36"/>
    <w:rsid w:val="00417E63"/>
    <w:rsid w:val="00426961"/>
    <w:rsid w:val="00430F1C"/>
    <w:rsid w:val="00432086"/>
    <w:rsid w:val="00434614"/>
    <w:rsid w:val="00435569"/>
    <w:rsid w:val="00435938"/>
    <w:rsid w:val="00437781"/>
    <w:rsid w:val="00440972"/>
    <w:rsid w:val="00441023"/>
    <w:rsid w:val="00441141"/>
    <w:rsid w:val="00441E72"/>
    <w:rsid w:val="004425B3"/>
    <w:rsid w:val="0044407C"/>
    <w:rsid w:val="00444B5E"/>
    <w:rsid w:val="00445CD2"/>
    <w:rsid w:val="00447E52"/>
    <w:rsid w:val="00447FE7"/>
    <w:rsid w:val="00450B4D"/>
    <w:rsid w:val="00451C47"/>
    <w:rsid w:val="00452F97"/>
    <w:rsid w:val="00455504"/>
    <w:rsid w:val="004564BF"/>
    <w:rsid w:val="004579C6"/>
    <w:rsid w:val="004602F5"/>
    <w:rsid w:val="00460762"/>
    <w:rsid w:val="00461A70"/>
    <w:rsid w:val="004651EE"/>
    <w:rsid w:val="00465621"/>
    <w:rsid w:val="00467830"/>
    <w:rsid w:val="00467F63"/>
    <w:rsid w:val="00472CA9"/>
    <w:rsid w:val="0047432D"/>
    <w:rsid w:val="00474AC0"/>
    <w:rsid w:val="0047540A"/>
    <w:rsid w:val="004767EA"/>
    <w:rsid w:val="0047681E"/>
    <w:rsid w:val="00480D77"/>
    <w:rsid w:val="00481F39"/>
    <w:rsid w:val="00482980"/>
    <w:rsid w:val="004833C3"/>
    <w:rsid w:val="0049277E"/>
    <w:rsid w:val="004959C2"/>
    <w:rsid w:val="004A0E16"/>
    <w:rsid w:val="004A19C2"/>
    <w:rsid w:val="004A217F"/>
    <w:rsid w:val="004A56E6"/>
    <w:rsid w:val="004A58B0"/>
    <w:rsid w:val="004A6D42"/>
    <w:rsid w:val="004A725C"/>
    <w:rsid w:val="004B1038"/>
    <w:rsid w:val="004B225A"/>
    <w:rsid w:val="004B6F85"/>
    <w:rsid w:val="004C2E52"/>
    <w:rsid w:val="004C6D92"/>
    <w:rsid w:val="004C7A85"/>
    <w:rsid w:val="004D173C"/>
    <w:rsid w:val="004D18DF"/>
    <w:rsid w:val="004D41E9"/>
    <w:rsid w:val="004D5A14"/>
    <w:rsid w:val="004D5B41"/>
    <w:rsid w:val="004D6C52"/>
    <w:rsid w:val="004D79FE"/>
    <w:rsid w:val="004D7B02"/>
    <w:rsid w:val="004D7EEB"/>
    <w:rsid w:val="004E2373"/>
    <w:rsid w:val="004E32AF"/>
    <w:rsid w:val="004E4D73"/>
    <w:rsid w:val="004E67B2"/>
    <w:rsid w:val="004E7D9F"/>
    <w:rsid w:val="004F28E8"/>
    <w:rsid w:val="004F6066"/>
    <w:rsid w:val="00501316"/>
    <w:rsid w:val="005023C4"/>
    <w:rsid w:val="005057B3"/>
    <w:rsid w:val="00517BCF"/>
    <w:rsid w:val="005201A5"/>
    <w:rsid w:val="00520301"/>
    <w:rsid w:val="005224F6"/>
    <w:rsid w:val="005233B4"/>
    <w:rsid w:val="00524A1C"/>
    <w:rsid w:val="005273E1"/>
    <w:rsid w:val="00534572"/>
    <w:rsid w:val="005351D7"/>
    <w:rsid w:val="00535A1F"/>
    <w:rsid w:val="00537E91"/>
    <w:rsid w:val="00545943"/>
    <w:rsid w:val="00545AEA"/>
    <w:rsid w:val="00547AD9"/>
    <w:rsid w:val="00551972"/>
    <w:rsid w:val="00552385"/>
    <w:rsid w:val="00552738"/>
    <w:rsid w:val="00553DF6"/>
    <w:rsid w:val="005543D3"/>
    <w:rsid w:val="00555A67"/>
    <w:rsid w:val="00561BF4"/>
    <w:rsid w:val="00562BEE"/>
    <w:rsid w:val="005672CE"/>
    <w:rsid w:val="00570CC4"/>
    <w:rsid w:val="0057133A"/>
    <w:rsid w:val="005733FC"/>
    <w:rsid w:val="00575FCB"/>
    <w:rsid w:val="00583076"/>
    <w:rsid w:val="005860F0"/>
    <w:rsid w:val="00590B37"/>
    <w:rsid w:val="00592D6C"/>
    <w:rsid w:val="00593AAE"/>
    <w:rsid w:val="005949E4"/>
    <w:rsid w:val="005A1CAC"/>
    <w:rsid w:val="005A24B1"/>
    <w:rsid w:val="005A5F11"/>
    <w:rsid w:val="005A703F"/>
    <w:rsid w:val="005B15A9"/>
    <w:rsid w:val="005B40F8"/>
    <w:rsid w:val="005B45B8"/>
    <w:rsid w:val="005B7558"/>
    <w:rsid w:val="005C226A"/>
    <w:rsid w:val="005C2887"/>
    <w:rsid w:val="005C3FEB"/>
    <w:rsid w:val="005D1E99"/>
    <w:rsid w:val="005D2377"/>
    <w:rsid w:val="005E1A34"/>
    <w:rsid w:val="005E2C37"/>
    <w:rsid w:val="005E3308"/>
    <w:rsid w:val="005E3460"/>
    <w:rsid w:val="005E3C39"/>
    <w:rsid w:val="005E6D4F"/>
    <w:rsid w:val="005E730A"/>
    <w:rsid w:val="005F64FF"/>
    <w:rsid w:val="005F7254"/>
    <w:rsid w:val="00600240"/>
    <w:rsid w:val="006009FB"/>
    <w:rsid w:val="0060358E"/>
    <w:rsid w:val="006037EB"/>
    <w:rsid w:val="00605C90"/>
    <w:rsid w:val="00606192"/>
    <w:rsid w:val="0060656E"/>
    <w:rsid w:val="00611DE8"/>
    <w:rsid w:val="00614840"/>
    <w:rsid w:val="00622440"/>
    <w:rsid w:val="0062245D"/>
    <w:rsid w:val="00627458"/>
    <w:rsid w:val="006316BC"/>
    <w:rsid w:val="0063287A"/>
    <w:rsid w:val="0063315A"/>
    <w:rsid w:val="00633CC1"/>
    <w:rsid w:val="006357B6"/>
    <w:rsid w:val="00636547"/>
    <w:rsid w:val="006369A5"/>
    <w:rsid w:val="00642655"/>
    <w:rsid w:val="0064306E"/>
    <w:rsid w:val="00643906"/>
    <w:rsid w:val="006441C3"/>
    <w:rsid w:val="0064660A"/>
    <w:rsid w:val="00646A72"/>
    <w:rsid w:val="00651626"/>
    <w:rsid w:val="006526EB"/>
    <w:rsid w:val="0065330C"/>
    <w:rsid w:val="00654143"/>
    <w:rsid w:val="00655FA3"/>
    <w:rsid w:val="00662F6B"/>
    <w:rsid w:val="00663229"/>
    <w:rsid w:val="00664B83"/>
    <w:rsid w:val="00665F93"/>
    <w:rsid w:val="0066744A"/>
    <w:rsid w:val="00667EFF"/>
    <w:rsid w:val="006806B3"/>
    <w:rsid w:val="00685ECF"/>
    <w:rsid w:val="00691BEF"/>
    <w:rsid w:val="0069348B"/>
    <w:rsid w:val="0069455B"/>
    <w:rsid w:val="00697B1E"/>
    <w:rsid w:val="00697DAE"/>
    <w:rsid w:val="006A2C56"/>
    <w:rsid w:val="006A50E0"/>
    <w:rsid w:val="006B5D11"/>
    <w:rsid w:val="006B662D"/>
    <w:rsid w:val="006B68BF"/>
    <w:rsid w:val="006B69AD"/>
    <w:rsid w:val="006B78B1"/>
    <w:rsid w:val="006C0F07"/>
    <w:rsid w:val="006C1F5B"/>
    <w:rsid w:val="006C74E5"/>
    <w:rsid w:val="006D0F9C"/>
    <w:rsid w:val="006D152F"/>
    <w:rsid w:val="006D1DC6"/>
    <w:rsid w:val="006D20E1"/>
    <w:rsid w:val="006D58A6"/>
    <w:rsid w:val="006D7CC4"/>
    <w:rsid w:val="006E0349"/>
    <w:rsid w:val="006E0451"/>
    <w:rsid w:val="006E09A3"/>
    <w:rsid w:val="006E37A9"/>
    <w:rsid w:val="006E38B5"/>
    <w:rsid w:val="006F3C51"/>
    <w:rsid w:val="006F53D9"/>
    <w:rsid w:val="006F64A3"/>
    <w:rsid w:val="006F71A4"/>
    <w:rsid w:val="006F7330"/>
    <w:rsid w:val="006F75C6"/>
    <w:rsid w:val="00703529"/>
    <w:rsid w:val="0070494B"/>
    <w:rsid w:val="007051DD"/>
    <w:rsid w:val="00705228"/>
    <w:rsid w:val="00707304"/>
    <w:rsid w:val="007101AF"/>
    <w:rsid w:val="007102A4"/>
    <w:rsid w:val="0071068D"/>
    <w:rsid w:val="00710D0E"/>
    <w:rsid w:val="00710E08"/>
    <w:rsid w:val="007123B4"/>
    <w:rsid w:val="0071281E"/>
    <w:rsid w:val="00713B9E"/>
    <w:rsid w:val="00715C41"/>
    <w:rsid w:val="00716897"/>
    <w:rsid w:val="007176C8"/>
    <w:rsid w:val="007231FA"/>
    <w:rsid w:val="007249FB"/>
    <w:rsid w:val="007304A6"/>
    <w:rsid w:val="0073149E"/>
    <w:rsid w:val="00732207"/>
    <w:rsid w:val="007343A2"/>
    <w:rsid w:val="00735C4D"/>
    <w:rsid w:val="00737B6D"/>
    <w:rsid w:val="00737DCF"/>
    <w:rsid w:val="00742878"/>
    <w:rsid w:val="007428A8"/>
    <w:rsid w:val="00742F0E"/>
    <w:rsid w:val="00757F44"/>
    <w:rsid w:val="00762D0A"/>
    <w:rsid w:val="00764AD5"/>
    <w:rsid w:val="00766AE3"/>
    <w:rsid w:val="007673BD"/>
    <w:rsid w:val="00767C2E"/>
    <w:rsid w:val="007707F9"/>
    <w:rsid w:val="00770D2A"/>
    <w:rsid w:val="00772B95"/>
    <w:rsid w:val="00773357"/>
    <w:rsid w:val="0077390E"/>
    <w:rsid w:val="00783759"/>
    <w:rsid w:val="007935BA"/>
    <w:rsid w:val="00794AF7"/>
    <w:rsid w:val="00795688"/>
    <w:rsid w:val="00795D30"/>
    <w:rsid w:val="007A616A"/>
    <w:rsid w:val="007A6498"/>
    <w:rsid w:val="007A696B"/>
    <w:rsid w:val="007A7C7A"/>
    <w:rsid w:val="007B2093"/>
    <w:rsid w:val="007B24BE"/>
    <w:rsid w:val="007B3A34"/>
    <w:rsid w:val="007C00CD"/>
    <w:rsid w:val="007C39AB"/>
    <w:rsid w:val="007C3F03"/>
    <w:rsid w:val="007D0E8D"/>
    <w:rsid w:val="007D2B41"/>
    <w:rsid w:val="007D2CB3"/>
    <w:rsid w:val="007D4BBB"/>
    <w:rsid w:val="007D7F4F"/>
    <w:rsid w:val="007E0E58"/>
    <w:rsid w:val="007E4C3A"/>
    <w:rsid w:val="007E7CA8"/>
    <w:rsid w:val="007F275C"/>
    <w:rsid w:val="007F643B"/>
    <w:rsid w:val="00801776"/>
    <w:rsid w:val="00802141"/>
    <w:rsid w:val="00804DFE"/>
    <w:rsid w:val="00810932"/>
    <w:rsid w:val="00811909"/>
    <w:rsid w:val="00814CE1"/>
    <w:rsid w:val="00814D19"/>
    <w:rsid w:val="008156FF"/>
    <w:rsid w:val="00816383"/>
    <w:rsid w:val="008172A2"/>
    <w:rsid w:val="008173B7"/>
    <w:rsid w:val="00820241"/>
    <w:rsid w:val="00826C37"/>
    <w:rsid w:val="00831363"/>
    <w:rsid w:val="00840884"/>
    <w:rsid w:val="008421D8"/>
    <w:rsid w:val="0084271B"/>
    <w:rsid w:val="00851262"/>
    <w:rsid w:val="00851D3A"/>
    <w:rsid w:val="00855878"/>
    <w:rsid w:val="008609B2"/>
    <w:rsid w:val="0086103C"/>
    <w:rsid w:val="00861E5C"/>
    <w:rsid w:val="008629F3"/>
    <w:rsid w:val="0086367F"/>
    <w:rsid w:val="00864A82"/>
    <w:rsid w:val="0086527B"/>
    <w:rsid w:val="00867E7E"/>
    <w:rsid w:val="00870D6B"/>
    <w:rsid w:val="0087111B"/>
    <w:rsid w:val="008732F5"/>
    <w:rsid w:val="00876266"/>
    <w:rsid w:val="008771A9"/>
    <w:rsid w:val="00880B2E"/>
    <w:rsid w:val="00880F33"/>
    <w:rsid w:val="00883F6F"/>
    <w:rsid w:val="00884051"/>
    <w:rsid w:val="0089022C"/>
    <w:rsid w:val="0089080B"/>
    <w:rsid w:val="0089233D"/>
    <w:rsid w:val="008939A0"/>
    <w:rsid w:val="00893E23"/>
    <w:rsid w:val="008A2E41"/>
    <w:rsid w:val="008A33C4"/>
    <w:rsid w:val="008A4308"/>
    <w:rsid w:val="008A6289"/>
    <w:rsid w:val="008A672B"/>
    <w:rsid w:val="008B0451"/>
    <w:rsid w:val="008B04CC"/>
    <w:rsid w:val="008B0656"/>
    <w:rsid w:val="008B27D8"/>
    <w:rsid w:val="008B3851"/>
    <w:rsid w:val="008B5339"/>
    <w:rsid w:val="008B6DC0"/>
    <w:rsid w:val="008B79F6"/>
    <w:rsid w:val="008C2D94"/>
    <w:rsid w:val="008C3575"/>
    <w:rsid w:val="008C4573"/>
    <w:rsid w:val="008C6367"/>
    <w:rsid w:val="008D172E"/>
    <w:rsid w:val="008E237B"/>
    <w:rsid w:val="008E5B7B"/>
    <w:rsid w:val="008F08CA"/>
    <w:rsid w:val="008F0DF8"/>
    <w:rsid w:val="008F21D6"/>
    <w:rsid w:val="008F252C"/>
    <w:rsid w:val="008F26A2"/>
    <w:rsid w:val="008F3546"/>
    <w:rsid w:val="008F4813"/>
    <w:rsid w:val="008F5502"/>
    <w:rsid w:val="00904C8B"/>
    <w:rsid w:val="00907F67"/>
    <w:rsid w:val="0091146D"/>
    <w:rsid w:val="009140C2"/>
    <w:rsid w:val="00914258"/>
    <w:rsid w:val="009148C5"/>
    <w:rsid w:val="00915296"/>
    <w:rsid w:val="00922839"/>
    <w:rsid w:val="00922FFA"/>
    <w:rsid w:val="0092451D"/>
    <w:rsid w:val="00924829"/>
    <w:rsid w:val="00925E34"/>
    <w:rsid w:val="00926910"/>
    <w:rsid w:val="00927893"/>
    <w:rsid w:val="009344E0"/>
    <w:rsid w:val="00936C8C"/>
    <w:rsid w:val="009373AA"/>
    <w:rsid w:val="00940A6A"/>
    <w:rsid w:val="009417F8"/>
    <w:rsid w:val="00942B84"/>
    <w:rsid w:val="00943C75"/>
    <w:rsid w:val="00946416"/>
    <w:rsid w:val="009471E4"/>
    <w:rsid w:val="00950F54"/>
    <w:rsid w:val="009517C9"/>
    <w:rsid w:val="0095272D"/>
    <w:rsid w:val="009529AA"/>
    <w:rsid w:val="00955F40"/>
    <w:rsid w:val="0095717D"/>
    <w:rsid w:val="00957346"/>
    <w:rsid w:val="0096056B"/>
    <w:rsid w:val="009636D5"/>
    <w:rsid w:val="00963D8C"/>
    <w:rsid w:val="00971636"/>
    <w:rsid w:val="009731E9"/>
    <w:rsid w:val="00974CA3"/>
    <w:rsid w:val="009802E6"/>
    <w:rsid w:val="0098068C"/>
    <w:rsid w:val="00983D89"/>
    <w:rsid w:val="0098452C"/>
    <w:rsid w:val="00986A36"/>
    <w:rsid w:val="00987441"/>
    <w:rsid w:val="00987999"/>
    <w:rsid w:val="00987AF6"/>
    <w:rsid w:val="0099458E"/>
    <w:rsid w:val="00996746"/>
    <w:rsid w:val="009A4CB2"/>
    <w:rsid w:val="009A6B6A"/>
    <w:rsid w:val="009B0F12"/>
    <w:rsid w:val="009B137F"/>
    <w:rsid w:val="009B2CCB"/>
    <w:rsid w:val="009B5956"/>
    <w:rsid w:val="009B63CE"/>
    <w:rsid w:val="009B69F5"/>
    <w:rsid w:val="009C1A62"/>
    <w:rsid w:val="009C202B"/>
    <w:rsid w:val="009C260D"/>
    <w:rsid w:val="009D1855"/>
    <w:rsid w:val="009D2C0C"/>
    <w:rsid w:val="009D33CD"/>
    <w:rsid w:val="009D3541"/>
    <w:rsid w:val="009E0AD9"/>
    <w:rsid w:val="009E0C7B"/>
    <w:rsid w:val="009E1D07"/>
    <w:rsid w:val="009E3F58"/>
    <w:rsid w:val="009E69D3"/>
    <w:rsid w:val="009E6D7D"/>
    <w:rsid w:val="009F71E2"/>
    <w:rsid w:val="00A031D0"/>
    <w:rsid w:val="00A03707"/>
    <w:rsid w:val="00A03EF1"/>
    <w:rsid w:val="00A03F7B"/>
    <w:rsid w:val="00A0605B"/>
    <w:rsid w:val="00A06D6E"/>
    <w:rsid w:val="00A107EE"/>
    <w:rsid w:val="00A11521"/>
    <w:rsid w:val="00A11F8B"/>
    <w:rsid w:val="00A12733"/>
    <w:rsid w:val="00A1323D"/>
    <w:rsid w:val="00A14818"/>
    <w:rsid w:val="00A2246E"/>
    <w:rsid w:val="00A22D13"/>
    <w:rsid w:val="00A24D3C"/>
    <w:rsid w:val="00A27778"/>
    <w:rsid w:val="00A45542"/>
    <w:rsid w:val="00A57035"/>
    <w:rsid w:val="00A6029B"/>
    <w:rsid w:val="00A6302B"/>
    <w:rsid w:val="00A660A4"/>
    <w:rsid w:val="00A7235D"/>
    <w:rsid w:val="00A7387E"/>
    <w:rsid w:val="00A753BD"/>
    <w:rsid w:val="00A75F03"/>
    <w:rsid w:val="00A76528"/>
    <w:rsid w:val="00A76E99"/>
    <w:rsid w:val="00A822CB"/>
    <w:rsid w:val="00A83162"/>
    <w:rsid w:val="00A838E1"/>
    <w:rsid w:val="00A83D7D"/>
    <w:rsid w:val="00A914A5"/>
    <w:rsid w:val="00A9500E"/>
    <w:rsid w:val="00A966DB"/>
    <w:rsid w:val="00AA2211"/>
    <w:rsid w:val="00AA3812"/>
    <w:rsid w:val="00AA4845"/>
    <w:rsid w:val="00AA5762"/>
    <w:rsid w:val="00AA65DC"/>
    <w:rsid w:val="00AB17CC"/>
    <w:rsid w:val="00AB1E5C"/>
    <w:rsid w:val="00AB2970"/>
    <w:rsid w:val="00AB4D8B"/>
    <w:rsid w:val="00AB4E5A"/>
    <w:rsid w:val="00AC06C3"/>
    <w:rsid w:val="00AC2B25"/>
    <w:rsid w:val="00AC331F"/>
    <w:rsid w:val="00AC651C"/>
    <w:rsid w:val="00AD75C5"/>
    <w:rsid w:val="00AE1FF3"/>
    <w:rsid w:val="00AF2232"/>
    <w:rsid w:val="00AF44F3"/>
    <w:rsid w:val="00AF7A45"/>
    <w:rsid w:val="00B03D9B"/>
    <w:rsid w:val="00B06556"/>
    <w:rsid w:val="00B10EF9"/>
    <w:rsid w:val="00B1560A"/>
    <w:rsid w:val="00B16C96"/>
    <w:rsid w:val="00B17192"/>
    <w:rsid w:val="00B206FF"/>
    <w:rsid w:val="00B240F0"/>
    <w:rsid w:val="00B246A4"/>
    <w:rsid w:val="00B25696"/>
    <w:rsid w:val="00B30982"/>
    <w:rsid w:val="00B3233E"/>
    <w:rsid w:val="00B32A32"/>
    <w:rsid w:val="00B33B70"/>
    <w:rsid w:val="00B37590"/>
    <w:rsid w:val="00B41740"/>
    <w:rsid w:val="00B42266"/>
    <w:rsid w:val="00B43CBC"/>
    <w:rsid w:val="00B44FDC"/>
    <w:rsid w:val="00B454BA"/>
    <w:rsid w:val="00B47BDE"/>
    <w:rsid w:val="00B50733"/>
    <w:rsid w:val="00B507C5"/>
    <w:rsid w:val="00B510BC"/>
    <w:rsid w:val="00B52478"/>
    <w:rsid w:val="00B6137B"/>
    <w:rsid w:val="00B64120"/>
    <w:rsid w:val="00B64990"/>
    <w:rsid w:val="00B66DA4"/>
    <w:rsid w:val="00B67396"/>
    <w:rsid w:val="00B70DA9"/>
    <w:rsid w:val="00B71423"/>
    <w:rsid w:val="00B7251A"/>
    <w:rsid w:val="00B73DFD"/>
    <w:rsid w:val="00B7636E"/>
    <w:rsid w:val="00B77016"/>
    <w:rsid w:val="00B7763C"/>
    <w:rsid w:val="00B80A46"/>
    <w:rsid w:val="00B83E3B"/>
    <w:rsid w:val="00B87F61"/>
    <w:rsid w:val="00B914B6"/>
    <w:rsid w:val="00B91BBA"/>
    <w:rsid w:val="00B946CA"/>
    <w:rsid w:val="00B95661"/>
    <w:rsid w:val="00B95CD2"/>
    <w:rsid w:val="00BA1213"/>
    <w:rsid w:val="00BA2A18"/>
    <w:rsid w:val="00BA4AFE"/>
    <w:rsid w:val="00BA4E3F"/>
    <w:rsid w:val="00BA583D"/>
    <w:rsid w:val="00BB023D"/>
    <w:rsid w:val="00BB066D"/>
    <w:rsid w:val="00BB6F45"/>
    <w:rsid w:val="00BC2512"/>
    <w:rsid w:val="00BC440D"/>
    <w:rsid w:val="00BC574B"/>
    <w:rsid w:val="00BC791B"/>
    <w:rsid w:val="00BD00BF"/>
    <w:rsid w:val="00BD4A6F"/>
    <w:rsid w:val="00BD5C3A"/>
    <w:rsid w:val="00BD5C47"/>
    <w:rsid w:val="00BD7541"/>
    <w:rsid w:val="00BE2CDE"/>
    <w:rsid w:val="00BE3E4F"/>
    <w:rsid w:val="00BF0774"/>
    <w:rsid w:val="00BF0D26"/>
    <w:rsid w:val="00BF1D13"/>
    <w:rsid w:val="00BF3E66"/>
    <w:rsid w:val="00BF51BB"/>
    <w:rsid w:val="00BF6CCA"/>
    <w:rsid w:val="00C03FE6"/>
    <w:rsid w:val="00C057CB"/>
    <w:rsid w:val="00C07DF9"/>
    <w:rsid w:val="00C12E3C"/>
    <w:rsid w:val="00C15C0D"/>
    <w:rsid w:val="00C15E87"/>
    <w:rsid w:val="00C178FA"/>
    <w:rsid w:val="00C201A9"/>
    <w:rsid w:val="00C2156F"/>
    <w:rsid w:val="00C217B8"/>
    <w:rsid w:val="00C36ED9"/>
    <w:rsid w:val="00C36FD2"/>
    <w:rsid w:val="00C37DDA"/>
    <w:rsid w:val="00C42421"/>
    <w:rsid w:val="00C445B1"/>
    <w:rsid w:val="00C45ABF"/>
    <w:rsid w:val="00C45E12"/>
    <w:rsid w:val="00C519EC"/>
    <w:rsid w:val="00C52C87"/>
    <w:rsid w:val="00C5660E"/>
    <w:rsid w:val="00C63D73"/>
    <w:rsid w:val="00C670CF"/>
    <w:rsid w:val="00C7377F"/>
    <w:rsid w:val="00C742AF"/>
    <w:rsid w:val="00C757E5"/>
    <w:rsid w:val="00C75B4A"/>
    <w:rsid w:val="00C760B4"/>
    <w:rsid w:val="00CA5550"/>
    <w:rsid w:val="00CA5C89"/>
    <w:rsid w:val="00CA609A"/>
    <w:rsid w:val="00CB47FA"/>
    <w:rsid w:val="00CB5D1D"/>
    <w:rsid w:val="00CB737E"/>
    <w:rsid w:val="00CC1541"/>
    <w:rsid w:val="00CC3A35"/>
    <w:rsid w:val="00CC7A6B"/>
    <w:rsid w:val="00CD049F"/>
    <w:rsid w:val="00CD0BD5"/>
    <w:rsid w:val="00CD6DA8"/>
    <w:rsid w:val="00CE0ABF"/>
    <w:rsid w:val="00CE20E7"/>
    <w:rsid w:val="00CE46BF"/>
    <w:rsid w:val="00CE76F3"/>
    <w:rsid w:val="00CE774B"/>
    <w:rsid w:val="00CF0151"/>
    <w:rsid w:val="00CF2055"/>
    <w:rsid w:val="00CF32DA"/>
    <w:rsid w:val="00CF32F4"/>
    <w:rsid w:val="00CF46DB"/>
    <w:rsid w:val="00CF65E9"/>
    <w:rsid w:val="00CF77B2"/>
    <w:rsid w:val="00CF7D59"/>
    <w:rsid w:val="00D019F4"/>
    <w:rsid w:val="00D122C9"/>
    <w:rsid w:val="00D226E6"/>
    <w:rsid w:val="00D2382C"/>
    <w:rsid w:val="00D239EE"/>
    <w:rsid w:val="00D277A4"/>
    <w:rsid w:val="00D30C33"/>
    <w:rsid w:val="00D335AE"/>
    <w:rsid w:val="00D34620"/>
    <w:rsid w:val="00D37DFC"/>
    <w:rsid w:val="00D505A7"/>
    <w:rsid w:val="00D506A1"/>
    <w:rsid w:val="00D50841"/>
    <w:rsid w:val="00D52B38"/>
    <w:rsid w:val="00D53125"/>
    <w:rsid w:val="00D53364"/>
    <w:rsid w:val="00D54849"/>
    <w:rsid w:val="00D60B1F"/>
    <w:rsid w:val="00D62B45"/>
    <w:rsid w:val="00D649E5"/>
    <w:rsid w:val="00D70791"/>
    <w:rsid w:val="00D768F4"/>
    <w:rsid w:val="00D77D77"/>
    <w:rsid w:val="00D81569"/>
    <w:rsid w:val="00D85470"/>
    <w:rsid w:val="00D85A8C"/>
    <w:rsid w:val="00D9032F"/>
    <w:rsid w:val="00D90EC8"/>
    <w:rsid w:val="00D9312D"/>
    <w:rsid w:val="00D93CAC"/>
    <w:rsid w:val="00D93E5F"/>
    <w:rsid w:val="00D96C08"/>
    <w:rsid w:val="00DA35F8"/>
    <w:rsid w:val="00DA6311"/>
    <w:rsid w:val="00DB18FB"/>
    <w:rsid w:val="00DB1D64"/>
    <w:rsid w:val="00DB1F98"/>
    <w:rsid w:val="00DB4BBF"/>
    <w:rsid w:val="00DC14AC"/>
    <w:rsid w:val="00DC21F1"/>
    <w:rsid w:val="00DC2EBD"/>
    <w:rsid w:val="00DC3A7E"/>
    <w:rsid w:val="00DC48C8"/>
    <w:rsid w:val="00DC6439"/>
    <w:rsid w:val="00DC6DFF"/>
    <w:rsid w:val="00DD0E5B"/>
    <w:rsid w:val="00DD2B6E"/>
    <w:rsid w:val="00DE2A57"/>
    <w:rsid w:val="00DE2F1A"/>
    <w:rsid w:val="00DE3778"/>
    <w:rsid w:val="00DE5A6B"/>
    <w:rsid w:val="00DF03CA"/>
    <w:rsid w:val="00DF0990"/>
    <w:rsid w:val="00DF250B"/>
    <w:rsid w:val="00DF3D99"/>
    <w:rsid w:val="00DF6A79"/>
    <w:rsid w:val="00E00BD8"/>
    <w:rsid w:val="00E01073"/>
    <w:rsid w:val="00E02D67"/>
    <w:rsid w:val="00E03714"/>
    <w:rsid w:val="00E060FB"/>
    <w:rsid w:val="00E063D9"/>
    <w:rsid w:val="00E0675E"/>
    <w:rsid w:val="00E07F06"/>
    <w:rsid w:val="00E104CE"/>
    <w:rsid w:val="00E10BC1"/>
    <w:rsid w:val="00E10C95"/>
    <w:rsid w:val="00E143F7"/>
    <w:rsid w:val="00E149A7"/>
    <w:rsid w:val="00E15800"/>
    <w:rsid w:val="00E1582F"/>
    <w:rsid w:val="00E17904"/>
    <w:rsid w:val="00E21027"/>
    <w:rsid w:val="00E215EE"/>
    <w:rsid w:val="00E22C1F"/>
    <w:rsid w:val="00E22F51"/>
    <w:rsid w:val="00E23CD6"/>
    <w:rsid w:val="00E24617"/>
    <w:rsid w:val="00E2487F"/>
    <w:rsid w:val="00E25C54"/>
    <w:rsid w:val="00E33ACE"/>
    <w:rsid w:val="00E35151"/>
    <w:rsid w:val="00E36667"/>
    <w:rsid w:val="00E40ACB"/>
    <w:rsid w:val="00E4474A"/>
    <w:rsid w:val="00E46771"/>
    <w:rsid w:val="00E508A8"/>
    <w:rsid w:val="00E52C0F"/>
    <w:rsid w:val="00E54DC6"/>
    <w:rsid w:val="00E62BF2"/>
    <w:rsid w:val="00E64385"/>
    <w:rsid w:val="00E678CC"/>
    <w:rsid w:val="00E7314E"/>
    <w:rsid w:val="00E73A43"/>
    <w:rsid w:val="00E74938"/>
    <w:rsid w:val="00E756B7"/>
    <w:rsid w:val="00E75C85"/>
    <w:rsid w:val="00E769E5"/>
    <w:rsid w:val="00E77CD7"/>
    <w:rsid w:val="00E77D03"/>
    <w:rsid w:val="00E8430C"/>
    <w:rsid w:val="00E84DC8"/>
    <w:rsid w:val="00E86B3F"/>
    <w:rsid w:val="00E94F24"/>
    <w:rsid w:val="00E954DA"/>
    <w:rsid w:val="00E95676"/>
    <w:rsid w:val="00E96235"/>
    <w:rsid w:val="00EA1CE8"/>
    <w:rsid w:val="00EA5A10"/>
    <w:rsid w:val="00EA623B"/>
    <w:rsid w:val="00EA6606"/>
    <w:rsid w:val="00EB0E7C"/>
    <w:rsid w:val="00EB10CC"/>
    <w:rsid w:val="00EB1CD0"/>
    <w:rsid w:val="00EB3E84"/>
    <w:rsid w:val="00EB63A2"/>
    <w:rsid w:val="00EB78CB"/>
    <w:rsid w:val="00EC1266"/>
    <w:rsid w:val="00EC4C4B"/>
    <w:rsid w:val="00ED04AA"/>
    <w:rsid w:val="00ED5C4D"/>
    <w:rsid w:val="00ED7753"/>
    <w:rsid w:val="00EE2A90"/>
    <w:rsid w:val="00EF2746"/>
    <w:rsid w:val="00EF398D"/>
    <w:rsid w:val="00EF4D45"/>
    <w:rsid w:val="00EF55AA"/>
    <w:rsid w:val="00EF7F06"/>
    <w:rsid w:val="00F06FAD"/>
    <w:rsid w:val="00F111E1"/>
    <w:rsid w:val="00F11728"/>
    <w:rsid w:val="00F11EBD"/>
    <w:rsid w:val="00F130F6"/>
    <w:rsid w:val="00F1390E"/>
    <w:rsid w:val="00F13CDA"/>
    <w:rsid w:val="00F14F53"/>
    <w:rsid w:val="00F21E00"/>
    <w:rsid w:val="00F2410A"/>
    <w:rsid w:val="00F24838"/>
    <w:rsid w:val="00F27B4F"/>
    <w:rsid w:val="00F334CC"/>
    <w:rsid w:val="00F35068"/>
    <w:rsid w:val="00F3785C"/>
    <w:rsid w:val="00F5304E"/>
    <w:rsid w:val="00F544A8"/>
    <w:rsid w:val="00F55FCE"/>
    <w:rsid w:val="00F57C6E"/>
    <w:rsid w:val="00F62244"/>
    <w:rsid w:val="00F62905"/>
    <w:rsid w:val="00F63387"/>
    <w:rsid w:val="00F640F3"/>
    <w:rsid w:val="00F65008"/>
    <w:rsid w:val="00F65989"/>
    <w:rsid w:val="00F67FA4"/>
    <w:rsid w:val="00F70028"/>
    <w:rsid w:val="00F718B4"/>
    <w:rsid w:val="00F723E6"/>
    <w:rsid w:val="00F74D2F"/>
    <w:rsid w:val="00F75565"/>
    <w:rsid w:val="00F756D9"/>
    <w:rsid w:val="00F807CB"/>
    <w:rsid w:val="00F810EE"/>
    <w:rsid w:val="00F84F70"/>
    <w:rsid w:val="00F903F7"/>
    <w:rsid w:val="00F92835"/>
    <w:rsid w:val="00F949A5"/>
    <w:rsid w:val="00F95795"/>
    <w:rsid w:val="00F95C09"/>
    <w:rsid w:val="00FA1CC4"/>
    <w:rsid w:val="00FA3BCA"/>
    <w:rsid w:val="00FA4A4C"/>
    <w:rsid w:val="00FA6D90"/>
    <w:rsid w:val="00FA70C3"/>
    <w:rsid w:val="00FA7311"/>
    <w:rsid w:val="00FB0224"/>
    <w:rsid w:val="00FB0F08"/>
    <w:rsid w:val="00FB1473"/>
    <w:rsid w:val="00FB1FEA"/>
    <w:rsid w:val="00FB247A"/>
    <w:rsid w:val="00FB2F5C"/>
    <w:rsid w:val="00FC048B"/>
    <w:rsid w:val="00FC1925"/>
    <w:rsid w:val="00FC195B"/>
    <w:rsid w:val="00FC53F8"/>
    <w:rsid w:val="00FC6B50"/>
    <w:rsid w:val="00FD2D5C"/>
    <w:rsid w:val="00FD50E7"/>
    <w:rsid w:val="00FD5261"/>
    <w:rsid w:val="00FD7CE1"/>
    <w:rsid w:val="00FE2242"/>
    <w:rsid w:val="00FE3DEB"/>
    <w:rsid w:val="00FE552E"/>
    <w:rsid w:val="00FF086B"/>
    <w:rsid w:val="00FF2D4D"/>
    <w:rsid w:val="00FF5B4A"/>
    <w:rsid w:val="00FF66B6"/>
  </w:rsids>
  <m:mathPr>
    <m:mathFont m:val="Cambria Math"/>
    <m:brkBin m:val="before"/>
    <m:brkBinSub m:val="--"/>
    <m:smallFrac m:val="0"/>
    <m:dispDef/>
    <m:lMargin m:val="0"/>
    <m:rMargin m:val="0"/>
    <m:defJc m:val="centerGroup"/>
    <m:wrapIndent m:val="1440"/>
    <m:intLim m:val="subSup"/>
    <m:naryLim m:val="undOvr"/>
  </m:mathPr>
  <w:themeFontLang w:val="fr-FR" w:bidi="si-L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753FD2"/>
  <w15:docId w15:val="{DC07AA5F-87E7-485C-A082-387B5A91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E956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56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80D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277E"/>
    <w:pPr>
      <w:ind w:left="720"/>
      <w:contextualSpacing/>
    </w:pPr>
  </w:style>
  <w:style w:type="paragraph" w:styleId="Header">
    <w:name w:val="header"/>
    <w:basedOn w:val="Normal"/>
    <w:link w:val="HeaderChar"/>
    <w:uiPriority w:val="99"/>
    <w:unhideWhenUsed/>
    <w:rsid w:val="008C6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367"/>
  </w:style>
  <w:style w:type="paragraph" w:styleId="Footer">
    <w:name w:val="footer"/>
    <w:basedOn w:val="Normal"/>
    <w:link w:val="FooterChar"/>
    <w:uiPriority w:val="99"/>
    <w:unhideWhenUsed/>
    <w:rsid w:val="008C6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367"/>
  </w:style>
  <w:style w:type="character" w:styleId="Hyperlink">
    <w:name w:val="Hyperlink"/>
    <w:basedOn w:val="DefaultParagraphFont"/>
    <w:uiPriority w:val="99"/>
    <w:unhideWhenUsed/>
    <w:rsid w:val="003B4EA6"/>
    <w:rPr>
      <w:color w:val="0563C1" w:themeColor="hyperlink"/>
      <w:u w:val="single"/>
    </w:rPr>
  </w:style>
  <w:style w:type="paragraph" w:styleId="FootnoteText">
    <w:name w:val="footnote text"/>
    <w:aliases w:val="5_G,Car Car,Car,single space,Текст сноски Знак,Footnote Text Char Char Char,FOOTNOTES,fn,ft,Footnote Text Char Char Char Char Char Char Char Char Char Char,Footnote Text Char Char Char Char Char Char Char Char Char Char Char Cha"/>
    <w:basedOn w:val="Normal"/>
    <w:link w:val="FootnoteTextChar"/>
    <w:uiPriority w:val="99"/>
    <w:unhideWhenUsed/>
    <w:qFormat/>
    <w:rsid w:val="003B4EA6"/>
    <w:pPr>
      <w:spacing w:after="0" w:line="240" w:lineRule="auto"/>
    </w:pPr>
    <w:rPr>
      <w:sz w:val="20"/>
      <w:szCs w:val="20"/>
      <w:lang w:val="en-US"/>
    </w:rPr>
  </w:style>
  <w:style w:type="character" w:customStyle="1" w:styleId="FootnoteTextChar">
    <w:name w:val="Footnote Text Char"/>
    <w:aliases w:val="5_G Char,Car Car Char,Car Char,single space Char,Текст сноски Знак Char,Footnote Text Char Char Char Char,FOOTNOTES Char,fn Char,ft Char,Footnote Text Char Char Char Char Char Char Char Char Char Char Char"/>
    <w:basedOn w:val="DefaultParagraphFont"/>
    <w:link w:val="FootnoteText"/>
    <w:uiPriority w:val="99"/>
    <w:rsid w:val="003B4EA6"/>
    <w:rPr>
      <w:sz w:val="20"/>
      <w:szCs w:val="20"/>
      <w:lang w:val="en-US"/>
    </w:rPr>
  </w:style>
  <w:style w:type="character" w:styleId="FootnoteReference">
    <w:name w:val="footnote reference"/>
    <w:aliases w:val="4_G,Footnotes refss,Footnote text,callout,ftref,16 Point,Superscript 6 Point,4_G Char Char,Footnote Reference1 Char Char,Footnotes refss Char Char,ftref Char Char,BVI fnr Char Char,BVI fnr Car Car Char Char,Footnote Refernece"/>
    <w:basedOn w:val="DefaultParagraphFont"/>
    <w:link w:val="4GChar"/>
    <w:uiPriority w:val="99"/>
    <w:unhideWhenUsed/>
    <w:rsid w:val="003B4EA6"/>
    <w:rPr>
      <w:vertAlign w:val="superscript"/>
    </w:rPr>
  </w:style>
  <w:style w:type="character" w:customStyle="1" w:styleId="ListParagraphChar">
    <w:name w:val="List Paragraph Char"/>
    <w:basedOn w:val="DefaultParagraphFont"/>
    <w:link w:val="ListParagraph"/>
    <w:uiPriority w:val="34"/>
    <w:locked/>
    <w:rsid w:val="003B4EA6"/>
  </w:style>
  <w:style w:type="character" w:styleId="FollowedHyperlink">
    <w:name w:val="FollowedHyperlink"/>
    <w:basedOn w:val="DefaultParagraphFont"/>
    <w:uiPriority w:val="99"/>
    <w:semiHidden/>
    <w:unhideWhenUsed/>
    <w:rsid w:val="003B4EA6"/>
    <w:rPr>
      <w:color w:val="954F72" w:themeColor="followedHyperlink"/>
      <w:u w:val="single"/>
    </w:rPr>
  </w:style>
  <w:style w:type="paragraph" w:styleId="BalloonText">
    <w:name w:val="Balloon Text"/>
    <w:basedOn w:val="Normal"/>
    <w:link w:val="BalloonTextChar"/>
    <w:uiPriority w:val="99"/>
    <w:semiHidden/>
    <w:unhideWhenUsed/>
    <w:rsid w:val="003B4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EA6"/>
    <w:rPr>
      <w:rFonts w:ascii="Tahoma" w:hAnsi="Tahoma" w:cs="Tahoma"/>
      <w:sz w:val="16"/>
      <w:szCs w:val="16"/>
    </w:rPr>
  </w:style>
  <w:style w:type="paragraph" w:customStyle="1" w:styleId="Default">
    <w:name w:val="Default"/>
    <w:rsid w:val="009B2CCB"/>
    <w:pPr>
      <w:autoSpaceDE w:val="0"/>
      <w:autoSpaceDN w:val="0"/>
      <w:adjustRightInd w:val="0"/>
      <w:spacing w:after="0" w:line="240" w:lineRule="auto"/>
    </w:pPr>
    <w:rPr>
      <w:rFonts w:ascii="Century Gothic" w:hAnsi="Century Gothic" w:cs="Century Gothic"/>
      <w:color w:val="000000"/>
      <w:sz w:val="24"/>
      <w:szCs w:val="24"/>
      <w:lang w:val="en-US"/>
    </w:rPr>
  </w:style>
  <w:style w:type="character" w:customStyle="1" w:styleId="Heading2Char">
    <w:name w:val="Heading 2 Char"/>
    <w:basedOn w:val="DefaultParagraphFont"/>
    <w:link w:val="Heading2"/>
    <w:uiPriority w:val="9"/>
    <w:rsid w:val="00E9567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9567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semiHidden/>
    <w:unhideWhenUsed/>
    <w:rsid w:val="00E95676"/>
    <w:rPr>
      <w:sz w:val="16"/>
      <w:szCs w:val="16"/>
    </w:rPr>
  </w:style>
  <w:style w:type="paragraph" w:styleId="CommentText">
    <w:name w:val="annotation text"/>
    <w:basedOn w:val="Normal"/>
    <w:link w:val="CommentTextChar"/>
    <w:uiPriority w:val="99"/>
    <w:unhideWhenUsed/>
    <w:rsid w:val="00E95676"/>
    <w:pPr>
      <w:spacing w:after="200" w:line="240" w:lineRule="auto"/>
    </w:pPr>
    <w:rPr>
      <w:sz w:val="20"/>
      <w:szCs w:val="20"/>
      <w:lang w:val="en-US"/>
    </w:rPr>
  </w:style>
  <w:style w:type="character" w:customStyle="1" w:styleId="CommentTextChar">
    <w:name w:val="Comment Text Char"/>
    <w:basedOn w:val="DefaultParagraphFont"/>
    <w:link w:val="CommentText"/>
    <w:uiPriority w:val="99"/>
    <w:rsid w:val="00E95676"/>
    <w:rPr>
      <w:sz w:val="20"/>
      <w:szCs w:val="20"/>
      <w:lang w:val="en-US"/>
    </w:rPr>
  </w:style>
  <w:style w:type="paragraph" w:styleId="CommentSubject">
    <w:name w:val="annotation subject"/>
    <w:basedOn w:val="CommentText"/>
    <w:next w:val="CommentText"/>
    <w:link w:val="CommentSubjectChar"/>
    <w:uiPriority w:val="99"/>
    <w:semiHidden/>
    <w:unhideWhenUsed/>
    <w:rsid w:val="00AA65DC"/>
    <w:pPr>
      <w:spacing w:after="160"/>
    </w:pPr>
    <w:rPr>
      <w:b/>
      <w:bCs/>
      <w:lang w:val="fr-FR"/>
    </w:rPr>
  </w:style>
  <w:style w:type="character" w:customStyle="1" w:styleId="CommentSubjectChar">
    <w:name w:val="Comment Subject Char"/>
    <w:basedOn w:val="CommentTextChar"/>
    <w:link w:val="CommentSubject"/>
    <w:uiPriority w:val="99"/>
    <w:semiHidden/>
    <w:rsid w:val="00AA65DC"/>
    <w:rPr>
      <w:b/>
      <w:bCs/>
      <w:sz w:val="20"/>
      <w:szCs w:val="20"/>
      <w:lang w:val="en-US"/>
    </w:rPr>
  </w:style>
  <w:style w:type="character" w:customStyle="1" w:styleId="Mentionnonrsolue1">
    <w:name w:val="Mention non résolue1"/>
    <w:basedOn w:val="DefaultParagraphFont"/>
    <w:uiPriority w:val="99"/>
    <w:semiHidden/>
    <w:unhideWhenUsed/>
    <w:rsid w:val="0063287A"/>
    <w:rPr>
      <w:color w:val="605E5C"/>
      <w:shd w:val="clear" w:color="auto" w:fill="E1DFDD"/>
    </w:rPr>
  </w:style>
  <w:style w:type="paragraph" w:styleId="EndnoteText">
    <w:name w:val="endnote text"/>
    <w:basedOn w:val="Normal"/>
    <w:link w:val="EndnoteTextChar"/>
    <w:uiPriority w:val="99"/>
    <w:semiHidden/>
    <w:unhideWhenUsed/>
    <w:rsid w:val="003C25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2526"/>
    <w:rPr>
      <w:sz w:val="20"/>
      <w:szCs w:val="20"/>
    </w:rPr>
  </w:style>
  <w:style w:type="character" w:styleId="EndnoteReference">
    <w:name w:val="endnote reference"/>
    <w:basedOn w:val="DefaultParagraphFont"/>
    <w:uiPriority w:val="99"/>
    <w:semiHidden/>
    <w:unhideWhenUsed/>
    <w:rsid w:val="003C2526"/>
    <w:rPr>
      <w:vertAlign w:val="superscript"/>
    </w:rPr>
  </w:style>
  <w:style w:type="table" w:styleId="TableGrid">
    <w:name w:val="Table Grid"/>
    <w:basedOn w:val="TableNormal"/>
    <w:uiPriority w:val="39"/>
    <w:rsid w:val="00667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ar"/>
    <w:qFormat/>
    <w:rsid w:val="00BB066D"/>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ar">
    <w:name w:val="_ Single Txt_G Car"/>
    <w:link w:val="SingleTxtG"/>
    <w:rsid w:val="00BB066D"/>
    <w:rPr>
      <w:rFonts w:ascii="Times New Roman" w:eastAsia="Times New Roman" w:hAnsi="Times New Roman" w:cs="Times New Roman"/>
      <w:sz w:val="20"/>
      <w:szCs w:val="20"/>
      <w:lang w:val="en-GB"/>
    </w:rPr>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
    <w:basedOn w:val="Normal"/>
    <w:link w:val="FootnoteReference"/>
    <w:qFormat/>
    <w:rsid w:val="00241F4B"/>
    <w:pPr>
      <w:spacing w:line="240" w:lineRule="exact"/>
      <w:jc w:val="both"/>
    </w:pPr>
    <w:rPr>
      <w:vertAlign w:val="superscript"/>
    </w:rPr>
  </w:style>
  <w:style w:type="character" w:customStyle="1" w:styleId="exlresultdetails">
    <w:name w:val="exlresultdetails"/>
    <w:basedOn w:val="DefaultParagraphFont"/>
    <w:rsid w:val="00FB247A"/>
  </w:style>
  <w:style w:type="paragraph" w:styleId="NormalWeb">
    <w:name w:val="Normal (Web)"/>
    <w:basedOn w:val="Normal"/>
    <w:uiPriority w:val="99"/>
    <w:semiHidden/>
    <w:unhideWhenUsed/>
    <w:rsid w:val="00B32A32"/>
    <w:pPr>
      <w:spacing w:before="100" w:beforeAutospacing="1" w:after="100" w:afterAutospacing="1" w:line="240" w:lineRule="auto"/>
    </w:pPr>
    <w:rPr>
      <w:rFonts w:ascii="Times New Roman" w:eastAsia="Times New Roman" w:hAnsi="Times New Roman" w:cs="Times New Roman"/>
      <w:sz w:val="24"/>
      <w:szCs w:val="24"/>
      <w:lang w:eastAsia="en-GB" w:bidi="si-LK"/>
    </w:rPr>
  </w:style>
  <w:style w:type="character" w:customStyle="1" w:styleId="Mentionnonrsolue2">
    <w:name w:val="Mention non résolue2"/>
    <w:basedOn w:val="DefaultParagraphFont"/>
    <w:uiPriority w:val="99"/>
    <w:semiHidden/>
    <w:unhideWhenUsed/>
    <w:rsid w:val="00CE20E7"/>
    <w:rPr>
      <w:color w:val="605E5C"/>
      <w:shd w:val="clear" w:color="auto" w:fill="E1DFDD"/>
    </w:rPr>
  </w:style>
  <w:style w:type="character" w:customStyle="1" w:styleId="UnresolvedMention1">
    <w:name w:val="Unresolved Mention1"/>
    <w:basedOn w:val="DefaultParagraphFont"/>
    <w:uiPriority w:val="99"/>
    <w:semiHidden/>
    <w:unhideWhenUsed/>
    <w:rsid w:val="004079FB"/>
    <w:rPr>
      <w:color w:val="605E5C"/>
      <w:shd w:val="clear" w:color="auto" w:fill="E1DFDD"/>
    </w:rPr>
  </w:style>
  <w:style w:type="character" w:customStyle="1" w:styleId="UnresolvedMention">
    <w:name w:val="Unresolved Mention"/>
    <w:basedOn w:val="DefaultParagraphFont"/>
    <w:uiPriority w:val="99"/>
    <w:semiHidden/>
    <w:unhideWhenUsed/>
    <w:rsid w:val="003D0DD4"/>
    <w:rPr>
      <w:color w:val="605E5C"/>
      <w:shd w:val="clear" w:color="auto" w:fill="E1DFDD"/>
    </w:rPr>
  </w:style>
  <w:style w:type="character" w:customStyle="1" w:styleId="Heading3Char">
    <w:name w:val="Heading 3 Char"/>
    <w:basedOn w:val="DefaultParagraphFont"/>
    <w:link w:val="Heading3"/>
    <w:uiPriority w:val="9"/>
    <w:semiHidden/>
    <w:rsid w:val="00480D77"/>
    <w:rPr>
      <w:rFonts w:asciiTheme="majorHAnsi" w:eastAsiaTheme="majorEastAsia" w:hAnsiTheme="majorHAnsi" w:cstheme="majorBidi"/>
      <w:color w:val="1F3763" w:themeColor="accent1" w:themeShade="7F"/>
      <w:sz w:val="24"/>
      <w:szCs w:val="24"/>
      <w:lang w:val="en-GB"/>
    </w:rPr>
  </w:style>
  <w:style w:type="paragraph" w:styleId="Revision">
    <w:name w:val="Revision"/>
    <w:hidden/>
    <w:uiPriority w:val="99"/>
    <w:semiHidden/>
    <w:rsid w:val="0044114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80717">
      <w:bodyDiv w:val="1"/>
      <w:marLeft w:val="0"/>
      <w:marRight w:val="0"/>
      <w:marTop w:val="0"/>
      <w:marBottom w:val="0"/>
      <w:divBdr>
        <w:top w:val="none" w:sz="0" w:space="0" w:color="auto"/>
        <w:left w:val="none" w:sz="0" w:space="0" w:color="auto"/>
        <w:bottom w:val="none" w:sz="0" w:space="0" w:color="auto"/>
        <w:right w:val="none" w:sz="0" w:space="0" w:color="auto"/>
      </w:divBdr>
    </w:div>
    <w:div w:id="419109546">
      <w:bodyDiv w:val="1"/>
      <w:marLeft w:val="0"/>
      <w:marRight w:val="0"/>
      <w:marTop w:val="0"/>
      <w:marBottom w:val="0"/>
      <w:divBdr>
        <w:top w:val="none" w:sz="0" w:space="0" w:color="auto"/>
        <w:left w:val="none" w:sz="0" w:space="0" w:color="auto"/>
        <w:bottom w:val="none" w:sz="0" w:space="0" w:color="auto"/>
        <w:right w:val="none" w:sz="0" w:space="0" w:color="auto"/>
      </w:divBdr>
    </w:div>
    <w:div w:id="503742335">
      <w:bodyDiv w:val="1"/>
      <w:marLeft w:val="0"/>
      <w:marRight w:val="0"/>
      <w:marTop w:val="0"/>
      <w:marBottom w:val="0"/>
      <w:divBdr>
        <w:top w:val="none" w:sz="0" w:space="0" w:color="auto"/>
        <w:left w:val="none" w:sz="0" w:space="0" w:color="auto"/>
        <w:bottom w:val="none" w:sz="0" w:space="0" w:color="auto"/>
        <w:right w:val="none" w:sz="0" w:space="0" w:color="auto"/>
      </w:divBdr>
    </w:div>
    <w:div w:id="560752890">
      <w:bodyDiv w:val="1"/>
      <w:marLeft w:val="0"/>
      <w:marRight w:val="0"/>
      <w:marTop w:val="0"/>
      <w:marBottom w:val="0"/>
      <w:divBdr>
        <w:top w:val="none" w:sz="0" w:space="0" w:color="auto"/>
        <w:left w:val="none" w:sz="0" w:space="0" w:color="auto"/>
        <w:bottom w:val="none" w:sz="0" w:space="0" w:color="auto"/>
        <w:right w:val="none" w:sz="0" w:space="0" w:color="auto"/>
      </w:divBdr>
    </w:div>
    <w:div w:id="621225096">
      <w:bodyDiv w:val="1"/>
      <w:marLeft w:val="0"/>
      <w:marRight w:val="0"/>
      <w:marTop w:val="0"/>
      <w:marBottom w:val="0"/>
      <w:divBdr>
        <w:top w:val="none" w:sz="0" w:space="0" w:color="auto"/>
        <w:left w:val="none" w:sz="0" w:space="0" w:color="auto"/>
        <w:bottom w:val="none" w:sz="0" w:space="0" w:color="auto"/>
        <w:right w:val="none" w:sz="0" w:space="0" w:color="auto"/>
      </w:divBdr>
    </w:div>
    <w:div w:id="640036901">
      <w:bodyDiv w:val="1"/>
      <w:marLeft w:val="0"/>
      <w:marRight w:val="0"/>
      <w:marTop w:val="0"/>
      <w:marBottom w:val="0"/>
      <w:divBdr>
        <w:top w:val="none" w:sz="0" w:space="0" w:color="auto"/>
        <w:left w:val="none" w:sz="0" w:space="0" w:color="auto"/>
        <w:bottom w:val="none" w:sz="0" w:space="0" w:color="auto"/>
        <w:right w:val="none" w:sz="0" w:space="0" w:color="auto"/>
      </w:divBdr>
    </w:div>
    <w:div w:id="813713467">
      <w:bodyDiv w:val="1"/>
      <w:marLeft w:val="0"/>
      <w:marRight w:val="0"/>
      <w:marTop w:val="0"/>
      <w:marBottom w:val="0"/>
      <w:divBdr>
        <w:top w:val="none" w:sz="0" w:space="0" w:color="auto"/>
        <w:left w:val="none" w:sz="0" w:space="0" w:color="auto"/>
        <w:bottom w:val="none" w:sz="0" w:space="0" w:color="auto"/>
        <w:right w:val="none" w:sz="0" w:space="0" w:color="auto"/>
      </w:divBdr>
      <w:divsChild>
        <w:div w:id="1854955818">
          <w:marLeft w:val="288"/>
          <w:marRight w:val="0"/>
          <w:marTop w:val="134"/>
          <w:marBottom w:val="0"/>
          <w:divBdr>
            <w:top w:val="none" w:sz="0" w:space="0" w:color="auto"/>
            <w:left w:val="none" w:sz="0" w:space="0" w:color="auto"/>
            <w:bottom w:val="none" w:sz="0" w:space="0" w:color="auto"/>
            <w:right w:val="none" w:sz="0" w:space="0" w:color="auto"/>
          </w:divBdr>
        </w:div>
      </w:divsChild>
    </w:div>
    <w:div w:id="1035620592">
      <w:bodyDiv w:val="1"/>
      <w:marLeft w:val="0"/>
      <w:marRight w:val="0"/>
      <w:marTop w:val="0"/>
      <w:marBottom w:val="0"/>
      <w:divBdr>
        <w:top w:val="none" w:sz="0" w:space="0" w:color="auto"/>
        <w:left w:val="none" w:sz="0" w:space="0" w:color="auto"/>
        <w:bottom w:val="none" w:sz="0" w:space="0" w:color="auto"/>
        <w:right w:val="none" w:sz="0" w:space="0" w:color="auto"/>
      </w:divBdr>
    </w:div>
    <w:div w:id="1117943085">
      <w:bodyDiv w:val="1"/>
      <w:marLeft w:val="0"/>
      <w:marRight w:val="0"/>
      <w:marTop w:val="0"/>
      <w:marBottom w:val="0"/>
      <w:divBdr>
        <w:top w:val="none" w:sz="0" w:space="0" w:color="auto"/>
        <w:left w:val="none" w:sz="0" w:space="0" w:color="auto"/>
        <w:bottom w:val="none" w:sz="0" w:space="0" w:color="auto"/>
        <w:right w:val="none" w:sz="0" w:space="0" w:color="auto"/>
      </w:divBdr>
    </w:div>
    <w:div w:id="1379669246">
      <w:bodyDiv w:val="1"/>
      <w:marLeft w:val="0"/>
      <w:marRight w:val="0"/>
      <w:marTop w:val="0"/>
      <w:marBottom w:val="0"/>
      <w:divBdr>
        <w:top w:val="none" w:sz="0" w:space="0" w:color="auto"/>
        <w:left w:val="none" w:sz="0" w:space="0" w:color="auto"/>
        <w:bottom w:val="none" w:sz="0" w:space="0" w:color="auto"/>
        <w:right w:val="none" w:sz="0" w:space="0" w:color="auto"/>
      </w:divBdr>
      <w:divsChild>
        <w:div w:id="331221723">
          <w:marLeft w:val="547"/>
          <w:marRight w:val="0"/>
          <w:marTop w:val="0"/>
          <w:marBottom w:val="120"/>
          <w:divBdr>
            <w:top w:val="none" w:sz="0" w:space="0" w:color="auto"/>
            <w:left w:val="none" w:sz="0" w:space="0" w:color="auto"/>
            <w:bottom w:val="none" w:sz="0" w:space="0" w:color="auto"/>
            <w:right w:val="none" w:sz="0" w:space="0" w:color="auto"/>
          </w:divBdr>
        </w:div>
        <w:div w:id="2144611590">
          <w:marLeft w:val="547"/>
          <w:marRight w:val="0"/>
          <w:marTop w:val="0"/>
          <w:marBottom w:val="120"/>
          <w:divBdr>
            <w:top w:val="none" w:sz="0" w:space="0" w:color="auto"/>
            <w:left w:val="none" w:sz="0" w:space="0" w:color="auto"/>
            <w:bottom w:val="none" w:sz="0" w:space="0" w:color="auto"/>
            <w:right w:val="none" w:sz="0" w:space="0" w:color="auto"/>
          </w:divBdr>
        </w:div>
      </w:divsChild>
    </w:div>
    <w:div w:id="1465467925">
      <w:bodyDiv w:val="1"/>
      <w:marLeft w:val="0"/>
      <w:marRight w:val="0"/>
      <w:marTop w:val="0"/>
      <w:marBottom w:val="0"/>
      <w:divBdr>
        <w:top w:val="none" w:sz="0" w:space="0" w:color="auto"/>
        <w:left w:val="none" w:sz="0" w:space="0" w:color="auto"/>
        <w:bottom w:val="none" w:sz="0" w:space="0" w:color="auto"/>
        <w:right w:val="none" w:sz="0" w:space="0" w:color="auto"/>
      </w:divBdr>
      <w:divsChild>
        <w:div w:id="53623361">
          <w:marLeft w:val="288"/>
          <w:marRight w:val="0"/>
          <w:marTop w:val="134"/>
          <w:marBottom w:val="0"/>
          <w:divBdr>
            <w:top w:val="none" w:sz="0" w:space="0" w:color="auto"/>
            <w:left w:val="none" w:sz="0" w:space="0" w:color="auto"/>
            <w:bottom w:val="none" w:sz="0" w:space="0" w:color="auto"/>
            <w:right w:val="none" w:sz="0" w:space="0" w:color="auto"/>
          </w:divBdr>
        </w:div>
        <w:div w:id="2102869902">
          <w:marLeft w:val="288"/>
          <w:marRight w:val="0"/>
          <w:marTop w:val="134"/>
          <w:marBottom w:val="0"/>
          <w:divBdr>
            <w:top w:val="none" w:sz="0" w:space="0" w:color="auto"/>
            <w:left w:val="none" w:sz="0" w:space="0" w:color="auto"/>
            <w:bottom w:val="none" w:sz="0" w:space="0" w:color="auto"/>
            <w:right w:val="none" w:sz="0" w:space="0" w:color="auto"/>
          </w:divBdr>
        </w:div>
      </w:divsChild>
    </w:div>
    <w:div w:id="1627080701">
      <w:bodyDiv w:val="1"/>
      <w:marLeft w:val="0"/>
      <w:marRight w:val="0"/>
      <w:marTop w:val="0"/>
      <w:marBottom w:val="0"/>
      <w:divBdr>
        <w:top w:val="none" w:sz="0" w:space="0" w:color="auto"/>
        <w:left w:val="none" w:sz="0" w:space="0" w:color="auto"/>
        <w:bottom w:val="none" w:sz="0" w:space="0" w:color="auto"/>
        <w:right w:val="none" w:sz="0" w:space="0" w:color="auto"/>
      </w:divBdr>
      <w:divsChild>
        <w:div w:id="1810125342">
          <w:marLeft w:val="288"/>
          <w:marRight w:val="0"/>
          <w:marTop w:val="134"/>
          <w:marBottom w:val="0"/>
          <w:divBdr>
            <w:top w:val="none" w:sz="0" w:space="0" w:color="auto"/>
            <w:left w:val="none" w:sz="0" w:space="0" w:color="auto"/>
            <w:bottom w:val="none" w:sz="0" w:space="0" w:color="auto"/>
            <w:right w:val="none" w:sz="0" w:space="0" w:color="auto"/>
          </w:divBdr>
        </w:div>
      </w:divsChild>
    </w:div>
    <w:div w:id="1750495344">
      <w:bodyDiv w:val="1"/>
      <w:marLeft w:val="0"/>
      <w:marRight w:val="0"/>
      <w:marTop w:val="0"/>
      <w:marBottom w:val="0"/>
      <w:divBdr>
        <w:top w:val="none" w:sz="0" w:space="0" w:color="auto"/>
        <w:left w:val="none" w:sz="0" w:space="0" w:color="auto"/>
        <w:bottom w:val="none" w:sz="0" w:space="0" w:color="auto"/>
        <w:right w:val="none" w:sz="0" w:space="0" w:color="auto"/>
      </w:divBdr>
    </w:div>
    <w:div w:id="2059820546">
      <w:bodyDiv w:val="1"/>
      <w:marLeft w:val="0"/>
      <w:marRight w:val="0"/>
      <w:marTop w:val="0"/>
      <w:marBottom w:val="0"/>
      <w:divBdr>
        <w:top w:val="none" w:sz="0" w:space="0" w:color="auto"/>
        <w:left w:val="none" w:sz="0" w:space="0" w:color="auto"/>
        <w:bottom w:val="none" w:sz="0" w:space="0" w:color="auto"/>
        <w:right w:val="none" w:sz="0" w:space="0" w:color="auto"/>
      </w:divBdr>
    </w:div>
    <w:div w:id="2120637253">
      <w:bodyDiv w:val="1"/>
      <w:marLeft w:val="0"/>
      <w:marRight w:val="0"/>
      <w:marTop w:val="0"/>
      <w:marBottom w:val="0"/>
      <w:divBdr>
        <w:top w:val="none" w:sz="0" w:space="0" w:color="auto"/>
        <w:left w:val="none" w:sz="0" w:space="0" w:color="auto"/>
        <w:bottom w:val="none" w:sz="0" w:space="0" w:color="auto"/>
        <w:right w:val="none" w:sz="0" w:space="0" w:color="auto"/>
      </w:divBdr>
    </w:div>
    <w:div w:id="213597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conventions/full-list/-/conventions/rms/0900001680084822" TargetMode="External"/><Relationship Id="rId18" Type="http://schemas.openxmlformats.org/officeDocument/2006/relationships/hyperlink" Target="https://rm.coe.int/168046ccea" TargetMode="External"/><Relationship Id="rId26" Type="http://schemas.openxmlformats.org/officeDocument/2006/relationships/hyperlink" Target="https://rm.coe.int/declaration-of-the-lanzarote-committee-on-protecting-children-in-out-o/1680985874" TargetMode="External"/><Relationship Id="rId39" Type="http://schemas.openxmlformats.org/officeDocument/2006/relationships/hyperlink" Target="https://www.hcch.net/en/instruments/conventions/full-text/?cid=70" TargetMode="External"/><Relationship Id="rId3" Type="http://schemas.openxmlformats.org/officeDocument/2006/relationships/customXml" Target="../customXml/item3.xml"/><Relationship Id="rId21" Type="http://schemas.openxmlformats.org/officeDocument/2006/relationships/hyperlink" Target="https://rm.coe.int/declaration-of-the-lanzarote-committee-on-protecting-children-in-out-o/1680985874" TargetMode="External"/><Relationship Id="rId34" Type="http://schemas.openxmlformats.org/officeDocument/2006/relationships/hyperlink" Target="https://rm.coe.int/168046ccea"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oe.int/en/web/children/cj/enf-ise" TargetMode="External"/><Relationship Id="rId17" Type="http://schemas.openxmlformats.org/officeDocument/2006/relationships/hyperlink" Target="https://search.coe.int/cm/Pages/result_details.aspx?ObjectID=09000016805cfa92" TargetMode="External"/><Relationship Id="rId25" Type="http://schemas.openxmlformats.org/officeDocument/2006/relationships/hyperlink" Target="https://www.coe.int/en/web/children/cj/enf-ise" TargetMode="External"/><Relationship Id="rId33" Type="http://schemas.openxmlformats.org/officeDocument/2006/relationships/hyperlink" Target="https://search.coe.int/cm/Pages/result_details.aspx?ObjectID=09000016805cfa92" TargetMode="External"/><Relationship Id="rId38" Type="http://schemas.openxmlformats.org/officeDocument/2006/relationships/hyperlink" Target="https://www.coe.int/en/web/children/alternative-care" TargetMode="External"/><Relationship Id="rId2" Type="http://schemas.openxmlformats.org/officeDocument/2006/relationships/customXml" Target="../customXml/item2.xml"/><Relationship Id="rId16" Type="http://schemas.openxmlformats.org/officeDocument/2006/relationships/hyperlink" Target="https://pestalozziprogrammelibrary.wordpress.com/2015/01/09/recommendation-rec-200619-of-the-committee-of-ministers-to-member-states-on-policy-to-support-positive-parenting/" TargetMode="External"/><Relationship Id="rId20" Type="http://schemas.openxmlformats.org/officeDocument/2006/relationships/hyperlink" Target="https://www.coe.int/en/web/conventions/full-list/-/conventions/treaty/210" TargetMode="External"/><Relationship Id="rId29" Type="http://schemas.openxmlformats.org/officeDocument/2006/relationships/hyperlink" Target="https://rm.coe.int/protection-of-children-against-sexual-exploitation-and-sexual-abuse/1680794e97"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en/web/children/regional-discussion-childrens-rights-in-alternative-care" TargetMode="External"/><Relationship Id="rId24" Type="http://schemas.openxmlformats.org/officeDocument/2006/relationships/hyperlink" Target="https://rm.coe.int/16804b2cf3" TargetMode="External"/><Relationship Id="rId32" Type="http://schemas.openxmlformats.org/officeDocument/2006/relationships/hyperlink" Target="https://search.coe.int/cm/Pages/result_details.aspx?ObjectID=09000016805d6dda" TargetMode="External"/><Relationship Id="rId37" Type="http://schemas.openxmlformats.org/officeDocument/2006/relationships/hyperlink" Target="https://rm.coe.int/declaration-of-the-lanzarote-committee-on-protecting-children-in-out-o/1680985874" TargetMode="External"/><Relationship Id="rId40" Type="http://schemas.openxmlformats.org/officeDocument/2006/relationships/hyperlink" Target="https://www.hcch.net/en/publications-and-studies/details4/?pid=6096&amp;dtid=3"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m.coe.int/168046ce31" TargetMode="External"/><Relationship Id="rId23" Type="http://schemas.openxmlformats.org/officeDocument/2006/relationships/hyperlink" Target="https://www.hcch.net/en/instruments/conventions/full-text/?cid=70" TargetMode="External"/><Relationship Id="rId28" Type="http://schemas.openxmlformats.org/officeDocument/2006/relationships/hyperlink" Target="https://rm.coe.int/16804b2cf3" TargetMode="External"/><Relationship Id="rId36" Type="http://schemas.openxmlformats.org/officeDocument/2006/relationships/hyperlink" Target="https://rm.coe.int/CoERMPublicCommonSearchServices/DisplayDCTMContent?documentId=090000168046ceaf" TargetMode="External"/><Relationship Id="rId10" Type="http://schemas.openxmlformats.org/officeDocument/2006/relationships/endnotes" Target="endnotes.xml"/><Relationship Id="rId19" Type="http://schemas.openxmlformats.org/officeDocument/2006/relationships/hyperlink" Target="https://www.coe.int/en/web/conventions/full-list/-/conventions/treaty/201" TargetMode="External"/><Relationship Id="rId31" Type="http://schemas.openxmlformats.org/officeDocument/2006/relationships/hyperlink" Target="https://search.coe.int/cm/Pages/result_details.aspx?ObjectID=09000016805daac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en/web/conventions/full-list/-/conventions/rms/090000168008482e" TargetMode="External"/><Relationship Id="rId22" Type="http://schemas.openxmlformats.org/officeDocument/2006/relationships/hyperlink" Target="https://digitallibrary.un.org/record/673583" TargetMode="External"/><Relationship Id="rId27" Type="http://schemas.openxmlformats.org/officeDocument/2006/relationships/hyperlink" Target="https://www.echr.coe.int/documents/convention_eng.pdf" TargetMode="External"/><Relationship Id="rId30" Type="http://schemas.openxmlformats.org/officeDocument/2006/relationships/hyperlink" Target="https://www.coe.int/en/web/conventions/full-list/-/conventions/rms/090000168008482e" TargetMode="External"/><Relationship Id="rId35" Type="http://schemas.openxmlformats.org/officeDocument/2006/relationships/hyperlink" Target="https://rm.coe.int/CoERMPublicCommonSearchServices/DisplayDCTMContent?documentId=090000168046ce9a"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rm.coe.int/regional-discussion-presentation-joelle-schickel-kung/1680a2bc0d" TargetMode="External"/><Relationship Id="rId3" Type="http://schemas.openxmlformats.org/officeDocument/2006/relationships/hyperlink" Target="https://rm.coe.int/regional-discussion-presentation-rita-mendes/1680a2bc29" TargetMode="External"/><Relationship Id="rId7" Type="http://schemas.openxmlformats.org/officeDocument/2006/relationships/hyperlink" Target="http://rm.coe.int/regional-discussion-presentation-gerardine-goh-escolar/1680a2bc0b" TargetMode="External"/><Relationship Id="rId2" Type="http://schemas.openxmlformats.org/officeDocument/2006/relationships/hyperlink" Target="https://bettercarenetwork.org/sites/default/files/BCN_VAC_and_Care_Report_single_page_17102017_0.pdf" TargetMode="External"/><Relationship Id="rId1" Type="http://schemas.openxmlformats.org/officeDocument/2006/relationships/hyperlink" Target="https://rm.coe.int/regional-discussion-presentation-ksenija-turkovic/1680a2cbb5" TargetMode="External"/><Relationship Id="rId6" Type="http://schemas.openxmlformats.org/officeDocument/2006/relationships/hyperlink" Target="https://rm.coe.int/regional-discussion-presentation-dainius-puras/1680a2bc09" TargetMode="External"/><Relationship Id="rId5" Type="http://schemas.openxmlformats.org/officeDocument/2006/relationships/hyperlink" Target="https://rm.coe.int/regional-discussion-presentation-margret-sigmarsdottir/1680a2bc0e" TargetMode="External"/><Relationship Id="rId4" Type="http://schemas.openxmlformats.org/officeDocument/2006/relationships/hyperlink" Target="https://rm.coe.int/regional-discussion-presentation-dainius-puras/1680a2bc09" TargetMode="External"/><Relationship Id="rId9" Type="http://schemas.openxmlformats.org/officeDocument/2006/relationships/hyperlink" Target="https://rm.coe.int/regional-discussion-presentation-albert-o-donoghue/1680a2bc0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IGOs</Category>
    <Doctype xmlns="d42e65b2-cf21-49c1-b27d-d23f90380c0e">input</Doctype>
    <Contributor xmlns="d42e65b2-cf21-49c1-b27d-d23f90380c0e">Council of Europe</Contributor>
    <Postingdate xmlns="d42e65b2-cf21-49c1-b27d-d23f90380c0e" xsi:nil="true"/>
    <Postedonline xmlns="d42e65b2-cf21-49c1-b27d-d23f90380c0e">false</Postedonlin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71668-7925-474A-8456-D4CAC2AA4E49}"/>
</file>

<file path=customXml/itemProps2.xml><?xml version="1.0" encoding="utf-8"?>
<ds:datastoreItem xmlns:ds="http://schemas.openxmlformats.org/officeDocument/2006/customXml" ds:itemID="{7A0ABDE0-2D88-4B3A-9FF9-351533F95E5B}">
  <ds:schemaRefs>
    <ds:schemaRef ds:uri="http://schemas.microsoft.com/sharepoint/v3/contenttype/forms"/>
  </ds:schemaRefs>
</ds:datastoreItem>
</file>

<file path=customXml/itemProps3.xml><?xml version="1.0" encoding="utf-8"?>
<ds:datastoreItem xmlns:ds="http://schemas.openxmlformats.org/officeDocument/2006/customXml" ds:itemID="{E7F98778-5573-4666-A8CD-8824DA6A97C7}">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B06D9BFB-819D-44EF-8183-77E09933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4319</Words>
  <Characters>24624</Characters>
  <Application>Microsoft Office Word</Application>
  <DocSecurity>4</DocSecurity>
  <Lines>205</Lines>
  <Paragraphs>57</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28886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BEATTIE Tara</dc:creator>
  <cp:lastModifiedBy>BAGLAI Christina</cp:lastModifiedBy>
  <cp:revision>2</cp:revision>
  <cp:lastPrinted>2019-05-15T16:00:00Z</cp:lastPrinted>
  <dcterms:created xsi:type="dcterms:W3CDTF">2021-06-29T10:43:00Z</dcterms:created>
  <dcterms:modified xsi:type="dcterms:W3CDTF">2021-06-29T10:43:00Z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