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D3EC1" w14:textId="216A98BC" w:rsidR="007B0C7A" w:rsidRDefault="007B0C7A" w:rsidP="00C64A60">
      <w:pPr>
        <w:spacing w:after="0"/>
        <w:jc w:val="center"/>
        <w:rPr>
          <w:rFonts w:cstheme="minorHAnsi"/>
          <w:b/>
          <w:bCs/>
          <w:sz w:val="28"/>
          <w:szCs w:val="28"/>
          <w:lang w:val="en-GB"/>
        </w:rPr>
      </w:pPr>
      <w:r w:rsidRPr="00C64A60">
        <w:rPr>
          <w:rFonts w:cstheme="minorHAnsi"/>
          <w:b/>
          <w:bCs/>
          <w:sz w:val="28"/>
          <w:szCs w:val="28"/>
          <w:lang w:val="en-GB"/>
        </w:rPr>
        <w:t>Submission to the Day of General Discussion of Children’s Rights and Alternative Care</w:t>
      </w:r>
    </w:p>
    <w:p w14:paraId="11721D2C" w14:textId="77777777" w:rsidR="00C64A60" w:rsidRPr="00C64A60" w:rsidRDefault="00C64A60" w:rsidP="00C64A60">
      <w:pPr>
        <w:spacing w:after="0"/>
        <w:jc w:val="center"/>
        <w:rPr>
          <w:rFonts w:cstheme="minorHAnsi"/>
          <w:b/>
          <w:bCs/>
          <w:sz w:val="28"/>
          <w:szCs w:val="28"/>
          <w:lang w:val="en-GB"/>
        </w:rPr>
      </w:pPr>
    </w:p>
    <w:p w14:paraId="3E6C867C" w14:textId="2A664CD6" w:rsidR="00EC0A19" w:rsidRPr="00C64A60" w:rsidRDefault="00785D39" w:rsidP="00C64A60">
      <w:pPr>
        <w:spacing w:after="0"/>
        <w:jc w:val="center"/>
        <w:rPr>
          <w:rFonts w:cstheme="minorHAnsi"/>
          <w:b/>
          <w:bCs/>
          <w:i/>
          <w:iCs/>
          <w:sz w:val="24"/>
          <w:szCs w:val="24"/>
          <w:lang w:val="en-GB"/>
        </w:rPr>
      </w:pPr>
      <w:r w:rsidRPr="00C64A60">
        <w:rPr>
          <w:rFonts w:cstheme="minorHAnsi"/>
          <w:b/>
          <w:bCs/>
          <w:i/>
          <w:iCs/>
          <w:sz w:val="24"/>
          <w:szCs w:val="24"/>
          <w:lang w:val="en-GB"/>
        </w:rPr>
        <w:t>Protect</w:t>
      </w:r>
      <w:r w:rsidR="00C64A60">
        <w:rPr>
          <w:rFonts w:cstheme="minorHAnsi"/>
          <w:b/>
          <w:bCs/>
          <w:i/>
          <w:iCs/>
          <w:sz w:val="24"/>
          <w:szCs w:val="24"/>
          <w:lang w:val="en-GB"/>
        </w:rPr>
        <w:t>ing</w:t>
      </w:r>
      <w:r w:rsidRPr="00C64A60">
        <w:rPr>
          <w:rFonts w:cstheme="minorHAnsi"/>
          <w:b/>
          <w:bCs/>
          <w:i/>
          <w:iCs/>
          <w:sz w:val="24"/>
          <w:szCs w:val="24"/>
          <w:lang w:val="en-GB"/>
        </w:rPr>
        <w:t xml:space="preserve"> Children from Inherent Dangers of Institutionalization and </w:t>
      </w:r>
    </w:p>
    <w:p w14:paraId="773C7389" w14:textId="61D5CF4A" w:rsidR="00975E03" w:rsidRDefault="00785D39" w:rsidP="00C64A60">
      <w:pPr>
        <w:spacing w:after="0"/>
        <w:jc w:val="center"/>
        <w:rPr>
          <w:rFonts w:cstheme="minorHAnsi"/>
          <w:b/>
          <w:bCs/>
          <w:i/>
          <w:iCs/>
          <w:sz w:val="24"/>
          <w:szCs w:val="24"/>
          <w:lang w:val="en-GB"/>
        </w:rPr>
      </w:pPr>
      <w:r w:rsidRPr="00C64A60">
        <w:rPr>
          <w:rFonts w:cstheme="minorHAnsi"/>
          <w:b/>
          <w:bCs/>
          <w:i/>
          <w:iCs/>
          <w:sz w:val="24"/>
          <w:szCs w:val="24"/>
          <w:lang w:val="en-GB"/>
        </w:rPr>
        <w:t>Ensur</w:t>
      </w:r>
      <w:r w:rsidR="00EC0A19" w:rsidRPr="00C64A60">
        <w:rPr>
          <w:rFonts w:cstheme="minorHAnsi"/>
          <w:b/>
          <w:bCs/>
          <w:i/>
          <w:iCs/>
          <w:sz w:val="24"/>
          <w:szCs w:val="24"/>
          <w:lang w:val="en-GB"/>
        </w:rPr>
        <w:t>ing</w:t>
      </w:r>
      <w:r w:rsidRPr="00C64A60">
        <w:rPr>
          <w:rFonts w:cstheme="minorHAnsi"/>
          <w:b/>
          <w:bCs/>
          <w:i/>
          <w:iCs/>
          <w:sz w:val="24"/>
          <w:szCs w:val="24"/>
          <w:lang w:val="en-GB"/>
        </w:rPr>
        <w:t xml:space="preserve"> </w:t>
      </w:r>
      <w:r w:rsidR="00975E03" w:rsidRPr="00C64A60">
        <w:rPr>
          <w:rFonts w:cstheme="minorHAnsi"/>
          <w:b/>
          <w:bCs/>
          <w:i/>
          <w:iCs/>
          <w:sz w:val="24"/>
          <w:szCs w:val="24"/>
          <w:lang w:val="en-GB"/>
        </w:rPr>
        <w:t xml:space="preserve">Participation of Children with Disabilities in Decision-Making Processes </w:t>
      </w:r>
    </w:p>
    <w:p w14:paraId="627E2D76" w14:textId="77777777" w:rsidR="00C64A60" w:rsidRPr="00C64A60" w:rsidRDefault="00C64A60" w:rsidP="00C64A60">
      <w:pPr>
        <w:spacing w:after="0"/>
        <w:jc w:val="center"/>
        <w:rPr>
          <w:rFonts w:cstheme="minorHAnsi"/>
          <w:b/>
          <w:bCs/>
          <w:i/>
          <w:iCs/>
          <w:sz w:val="24"/>
          <w:szCs w:val="24"/>
          <w:lang w:val="en-GB"/>
        </w:rPr>
      </w:pPr>
    </w:p>
    <w:p w14:paraId="7768AA1D" w14:textId="1DA2F112" w:rsidR="007B0C7A" w:rsidRDefault="00EC0A19" w:rsidP="00C64A60">
      <w:pPr>
        <w:spacing w:after="0"/>
        <w:jc w:val="center"/>
        <w:rPr>
          <w:rFonts w:cstheme="minorHAnsi"/>
          <w:sz w:val="24"/>
          <w:szCs w:val="24"/>
          <w:lang w:val="en-GB"/>
        </w:rPr>
      </w:pPr>
      <w:r w:rsidRPr="00C64A60">
        <w:rPr>
          <w:rFonts w:cstheme="minorHAnsi"/>
          <w:sz w:val="24"/>
          <w:szCs w:val="24"/>
          <w:lang w:val="en-GB"/>
        </w:rPr>
        <w:t xml:space="preserve">Submitted by </w:t>
      </w:r>
      <w:r w:rsidR="007B0C7A" w:rsidRPr="00C64A60">
        <w:rPr>
          <w:rFonts w:cstheme="minorHAnsi"/>
          <w:sz w:val="24"/>
          <w:szCs w:val="24"/>
          <w:lang w:val="en-GB"/>
        </w:rPr>
        <w:t>Disability Rights International</w:t>
      </w:r>
    </w:p>
    <w:p w14:paraId="0F06F3EB" w14:textId="77777777" w:rsidR="00C64A60" w:rsidRPr="00C64A60" w:rsidRDefault="00C64A60" w:rsidP="00C64A60">
      <w:pPr>
        <w:spacing w:after="0"/>
        <w:jc w:val="center"/>
        <w:rPr>
          <w:rFonts w:cstheme="minorHAnsi"/>
          <w:sz w:val="24"/>
          <w:szCs w:val="24"/>
          <w:lang w:val="en-GB"/>
        </w:rPr>
      </w:pPr>
    </w:p>
    <w:p w14:paraId="6DBD1517" w14:textId="78E31145" w:rsidR="00A976E6" w:rsidRDefault="00456B28" w:rsidP="00654246">
      <w:pPr>
        <w:spacing w:after="0"/>
        <w:jc w:val="both"/>
        <w:rPr>
          <w:sz w:val="24"/>
          <w:szCs w:val="24"/>
          <w:lang w:val="en-GB"/>
        </w:rPr>
      </w:pPr>
      <w:r w:rsidRPr="007F1007">
        <w:rPr>
          <w:sz w:val="24"/>
          <w:szCs w:val="24"/>
          <w:lang w:val="en-GB"/>
        </w:rPr>
        <w:t>Disability Rights International</w:t>
      </w:r>
      <w:r w:rsidR="00A976E6">
        <w:rPr>
          <w:sz w:val="24"/>
          <w:szCs w:val="24"/>
          <w:lang w:val="en-GB"/>
        </w:rPr>
        <w:t xml:space="preserve"> (DRI)</w:t>
      </w:r>
      <w:r w:rsidRPr="007F1007">
        <w:rPr>
          <w:sz w:val="24"/>
          <w:szCs w:val="24"/>
          <w:lang w:val="en-GB"/>
        </w:rPr>
        <w:t xml:space="preserve"> welcomes</w:t>
      </w:r>
      <w:r w:rsidR="006223BB" w:rsidRPr="006223BB">
        <w:rPr>
          <w:sz w:val="24"/>
          <w:szCs w:val="24"/>
          <w:lang w:val="en-GB"/>
        </w:rPr>
        <w:t xml:space="preserve"> the Day of General</w:t>
      </w:r>
      <w:r w:rsidR="006223BB">
        <w:rPr>
          <w:sz w:val="24"/>
          <w:szCs w:val="24"/>
          <w:lang w:val="en-GB"/>
        </w:rPr>
        <w:t xml:space="preserve"> </w:t>
      </w:r>
      <w:r w:rsidR="006223BB" w:rsidRPr="006223BB">
        <w:rPr>
          <w:sz w:val="24"/>
          <w:szCs w:val="24"/>
          <w:lang w:val="en-GB"/>
        </w:rPr>
        <w:t>Discussion</w:t>
      </w:r>
      <w:r w:rsidR="00C64A60">
        <w:rPr>
          <w:sz w:val="24"/>
          <w:szCs w:val="24"/>
          <w:lang w:val="en-GB"/>
        </w:rPr>
        <w:t>’s</w:t>
      </w:r>
      <w:r w:rsidR="006223BB" w:rsidRPr="006223BB">
        <w:rPr>
          <w:sz w:val="24"/>
          <w:szCs w:val="24"/>
          <w:lang w:val="en-GB"/>
        </w:rPr>
        <w:t xml:space="preserve"> (DGD) </w:t>
      </w:r>
      <w:r w:rsidR="00A976E6">
        <w:rPr>
          <w:sz w:val="24"/>
          <w:szCs w:val="24"/>
          <w:lang w:val="en-GB"/>
        </w:rPr>
        <w:t>focus on</w:t>
      </w:r>
      <w:r w:rsidR="006223BB" w:rsidRPr="006223BB">
        <w:rPr>
          <w:sz w:val="24"/>
          <w:szCs w:val="24"/>
          <w:lang w:val="en-GB"/>
        </w:rPr>
        <w:t xml:space="preserve"> “Children’s Rights and Alternative Care</w:t>
      </w:r>
      <w:r w:rsidR="002B4A64">
        <w:rPr>
          <w:sz w:val="24"/>
          <w:szCs w:val="24"/>
          <w:lang w:val="en-GB"/>
        </w:rPr>
        <w:t>.</w:t>
      </w:r>
      <w:r w:rsidR="006223BB" w:rsidRPr="006223BB">
        <w:rPr>
          <w:sz w:val="24"/>
          <w:szCs w:val="24"/>
          <w:lang w:val="en-GB"/>
        </w:rPr>
        <w:t>”</w:t>
      </w:r>
      <w:r w:rsidR="002B4A64" w:rsidRPr="002B4A64">
        <w:rPr>
          <w:color w:val="000000"/>
        </w:rPr>
        <w:t xml:space="preserve"> </w:t>
      </w:r>
      <w:r w:rsidR="00A976E6">
        <w:rPr>
          <w:sz w:val="24"/>
          <w:szCs w:val="24"/>
          <w:lang w:val="en-GB"/>
        </w:rPr>
        <w:t>DRI encourages the Committee on the Rights of the Child (CRC</w:t>
      </w:r>
      <w:r w:rsidR="00C64A60">
        <w:rPr>
          <w:sz w:val="24"/>
          <w:szCs w:val="24"/>
          <w:lang w:val="en-GB"/>
        </w:rPr>
        <w:t xml:space="preserve"> Committee</w:t>
      </w:r>
      <w:r w:rsidR="00A976E6">
        <w:rPr>
          <w:sz w:val="24"/>
          <w:szCs w:val="24"/>
          <w:lang w:val="en-GB"/>
        </w:rPr>
        <w:t xml:space="preserve">) to harmonize standards on alternative care to ensure the protection of rights also recognized under the </w:t>
      </w:r>
      <w:r w:rsidR="002B4A64">
        <w:rPr>
          <w:sz w:val="24"/>
          <w:szCs w:val="24"/>
          <w:lang w:val="en-GB"/>
        </w:rPr>
        <w:t>C</w:t>
      </w:r>
      <w:r w:rsidR="00D6507E">
        <w:rPr>
          <w:sz w:val="24"/>
          <w:szCs w:val="24"/>
          <w:lang w:val="en-GB"/>
        </w:rPr>
        <w:t>onvention on the Rights of Persons with Disabilities (CRPD).</w:t>
      </w:r>
      <w:r w:rsidR="00A976E6">
        <w:rPr>
          <w:sz w:val="24"/>
          <w:szCs w:val="24"/>
          <w:lang w:val="en-GB"/>
        </w:rPr>
        <w:t xml:space="preserve"> Given the development of international law and scientific understanding, it should no longer be considered necessary or acceptable to place a child in an institution large or small – including residential care or group homes.</w:t>
      </w:r>
      <w:r w:rsidR="00A976E6" w:rsidRPr="007F1007">
        <w:rPr>
          <w:rStyle w:val="FootnoteReference"/>
          <w:rFonts w:cs="Times New Roman"/>
          <w:sz w:val="24"/>
          <w:szCs w:val="24"/>
          <w:lang w:val="en-GB"/>
        </w:rPr>
        <w:footnoteReference w:id="1"/>
      </w:r>
      <w:r w:rsidR="00A976E6" w:rsidRPr="007F1007">
        <w:rPr>
          <w:rFonts w:cs="Times New Roman"/>
          <w:sz w:val="24"/>
          <w:szCs w:val="24"/>
          <w:lang w:val="en-GB"/>
        </w:rPr>
        <w:t xml:space="preserve"> </w:t>
      </w:r>
      <w:r w:rsidR="00A976E6">
        <w:rPr>
          <w:sz w:val="24"/>
          <w:szCs w:val="24"/>
          <w:lang w:val="en-GB"/>
        </w:rPr>
        <w:t xml:space="preserve"> </w:t>
      </w:r>
    </w:p>
    <w:p w14:paraId="5356A0E6" w14:textId="77777777" w:rsidR="00C64A60" w:rsidRDefault="00C64A60" w:rsidP="00654246">
      <w:pPr>
        <w:spacing w:after="0"/>
        <w:jc w:val="both"/>
        <w:rPr>
          <w:sz w:val="24"/>
          <w:szCs w:val="24"/>
          <w:lang w:val="en-GB"/>
        </w:rPr>
      </w:pPr>
    </w:p>
    <w:p w14:paraId="309C49B2" w14:textId="777308C8" w:rsidR="00785D39" w:rsidRDefault="00A42D14" w:rsidP="00654246">
      <w:pPr>
        <w:spacing w:after="0"/>
        <w:jc w:val="both"/>
        <w:rPr>
          <w:sz w:val="24"/>
          <w:szCs w:val="24"/>
          <w:lang w:val="en-GB"/>
        </w:rPr>
      </w:pPr>
      <w:r>
        <w:rPr>
          <w:sz w:val="24"/>
          <w:szCs w:val="24"/>
          <w:lang w:val="en-GB"/>
        </w:rPr>
        <w:t>This submission focuses on the danger</w:t>
      </w:r>
      <w:r w:rsidR="00C64A60">
        <w:rPr>
          <w:sz w:val="24"/>
          <w:szCs w:val="24"/>
          <w:lang w:val="en-GB"/>
        </w:rPr>
        <w:t>s</w:t>
      </w:r>
      <w:r>
        <w:rPr>
          <w:sz w:val="24"/>
          <w:szCs w:val="24"/>
          <w:lang w:val="en-GB"/>
        </w:rPr>
        <w:t xml:space="preserve"> of justifying placement of children in institutions based on the so-called “choice” of the child. Children must be protected from placement in institutions, large or small, that are inherently dangerous to their well-being, development, and protection of </w:t>
      </w:r>
      <w:r w:rsidR="002B4A64">
        <w:rPr>
          <w:sz w:val="24"/>
          <w:szCs w:val="24"/>
          <w:lang w:val="en-GB"/>
        </w:rPr>
        <w:t xml:space="preserve">fundamental </w:t>
      </w:r>
      <w:r>
        <w:rPr>
          <w:sz w:val="24"/>
          <w:szCs w:val="24"/>
          <w:lang w:val="en-GB"/>
        </w:rPr>
        <w:t>rights</w:t>
      </w:r>
      <w:r w:rsidR="002B4A64">
        <w:rPr>
          <w:sz w:val="24"/>
          <w:szCs w:val="24"/>
          <w:lang w:val="en-GB"/>
        </w:rPr>
        <w:t xml:space="preserve"> under international law</w:t>
      </w:r>
      <w:r>
        <w:rPr>
          <w:sz w:val="24"/>
          <w:szCs w:val="24"/>
          <w:lang w:val="en-GB"/>
        </w:rPr>
        <w:t xml:space="preserve">. At the same time, DRI calls for the CRC to strengthen protections </w:t>
      </w:r>
      <w:r w:rsidR="00785D39" w:rsidRPr="007F1007">
        <w:rPr>
          <w:sz w:val="24"/>
          <w:szCs w:val="24"/>
          <w:lang w:val="en-GB"/>
        </w:rPr>
        <w:t>to ensure that all children enjoy the “right to be heard</w:t>
      </w:r>
      <w:r w:rsidR="002B4A64">
        <w:rPr>
          <w:sz w:val="24"/>
          <w:szCs w:val="24"/>
          <w:lang w:val="en-GB"/>
        </w:rPr>
        <w:t>,</w:t>
      </w:r>
      <w:r w:rsidR="00785D39" w:rsidRPr="007F1007">
        <w:rPr>
          <w:sz w:val="24"/>
          <w:szCs w:val="24"/>
          <w:lang w:val="en-GB"/>
        </w:rPr>
        <w:t>” including children with disabilities, in all care-related decisions.</w:t>
      </w:r>
    </w:p>
    <w:p w14:paraId="1324DF23" w14:textId="77777777" w:rsidR="00C64A60" w:rsidRPr="006223BB" w:rsidRDefault="00C64A60" w:rsidP="00654246">
      <w:pPr>
        <w:spacing w:after="0"/>
        <w:jc w:val="both"/>
        <w:rPr>
          <w:sz w:val="24"/>
          <w:szCs w:val="24"/>
          <w:lang w:val="en-GB"/>
        </w:rPr>
      </w:pPr>
    </w:p>
    <w:p w14:paraId="7ACCCD71" w14:textId="42C29EE0" w:rsidR="00785D39" w:rsidRDefault="00785D39" w:rsidP="00654246">
      <w:pPr>
        <w:pStyle w:val="ListParagraph"/>
        <w:numPr>
          <w:ilvl w:val="0"/>
          <w:numId w:val="12"/>
        </w:numPr>
        <w:spacing w:after="0"/>
        <w:ind w:left="360"/>
        <w:jc w:val="both"/>
        <w:rPr>
          <w:rFonts w:cs="Times New Roman"/>
          <w:b/>
          <w:bCs/>
          <w:sz w:val="24"/>
          <w:szCs w:val="24"/>
          <w:lang w:val="en-GB"/>
        </w:rPr>
      </w:pPr>
      <w:r w:rsidRPr="00EC0A19">
        <w:rPr>
          <w:rFonts w:cs="Times New Roman"/>
          <w:b/>
          <w:bCs/>
          <w:sz w:val="24"/>
          <w:szCs w:val="24"/>
          <w:lang w:val="en-GB"/>
        </w:rPr>
        <w:t xml:space="preserve">All </w:t>
      </w:r>
      <w:r w:rsidR="00C64A60">
        <w:rPr>
          <w:rFonts w:cs="Times New Roman"/>
          <w:b/>
          <w:bCs/>
          <w:sz w:val="24"/>
          <w:szCs w:val="24"/>
          <w:lang w:val="en-GB"/>
        </w:rPr>
        <w:t xml:space="preserve">children </w:t>
      </w:r>
      <w:r w:rsidR="00EC0A19" w:rsidRPr="00EC0A19">
        <w:rPr>
          <w:rFonts w:cs="Times New Roman"/>
          <w:b/>
          <w:bCs/>
          <w:sz w:val="24"/>
          <w:szCs w:val="24"/>
          <w:lang w:val="en-GB"/>
        </w:rPr>
        <w:t>have a need and a right to family life</w:t>
      </w:r>
    </w:p>
    <w:p w14:paraId="793759ED" w14:textId="77777777" w:rsidR="00C64A60" w:rsidRPr="00C64A60" w:rsidRDefault="00C64A60" w:rsidP="00C64A60">
      <w:pPr>
        <w:spacing w:after="0"/>
        <w:ind w:left="360"/>
        <w:jc w:val="both"/>
        <w:rPr>
          <w:rFonts w:cs="Times New Roman"/>
          <w:b/>
          <w:bCs/>
          <w:sz w:val="24"/>
          <w:szCs w:val="24"/>
          <w:lang w:val="en-GB"/>
        </w:rPr>
      </w:pPr>
    </w:p>
    <w:p w14:paraId="1989F0C6" w14:textId="590F52F3" w:rsidR="00E03F29" w:rsidRPr="007F1007" w:rsidRDefault="00D6507E" w:rsidP="00C64A60">
      <w:pPr>
        <w:pStyle w:val="NormalWeb"/>
        <w:spacing w:before="0" w:beforeAutospacing="0" w:after="0" w:afterAutospacing="0" w:line="276" w:lineRule="auto"/>
        <w:jc w:val="both"/>
        <w:rPr>
          <w:rFonts w:asciiTheme="minorHAnsi" w:hAnsiTheme="minorHAnsi"/>
          <w:color w:val="000000"/>
        </w:rPr>
      </w:pPr>
      <w:r w:rsidRPr="002B4A64">
        <w:rPr>
          <w:rFonts w:asciiTheme="minorHAnsi" w:hAnsiTheme="minorHAnsi"/>
          <w:color w:val="000000"/>
        </w:rPr>
        <w:t xml:space="preserve">A growing body of scientific research shows that </w:t>
      </w:r>
      <w:r w:rsidRPr="002B4A64">
        <w:rPr>
          <w:rFonts w:asciiTheme="minorHAnsi" w:hAnsiTheme="minorHAnsi"/>
          <w:i/>
          <w:iCs/>
          <w:color w:val="000000"/>
        </w:rPr>
        <w:t>all</w:t>
      </w:r>
      <w:r w:rsidRPr="002B4A64">
        <w:rPr>
          <w:rFonts w:asciiTheme="minorHAnsi" w:hAnsiTheme="minorHAnsi"/>
          <w:color w:val="000000"/>
        </w:rPr>
        <w:t xml:space="preserve"> children need families for their healthy emotional, cognitive and physical development.</w:t>
      </w:r>
      <w:r w:rsidRPr="002B4A64">
        <w:rPr>
          <w:rStyle w:val="FootnoteReference"/>
          <w:rFonts w:asciiTheme="minorHAnsi" w:hAnsiTheme="minorHAnsi"/>
          <w:color w:val="000000"/>
        </w:rPr>
        <w:footnoteReference w:id="2"/>
      </w:r>
      <w:r>
        <w:rPr>
          <w:rFonts w:asciiTheme="minorHAnsi" w:hAnsiTheme="minorHAnsi"/>
          <w:color w:val="000000"/>
        </w:rPr>
        <w:t xml:space="preserve"> </w:t>
      </w:r>
      <w:r w:rsidR="00E03F29" w:rsidRPr="007F1007">
        <w:rPr>
          <w:rFonts w:asciiTheme="minorHAnsi" w:hAnsiTheme="minorHAnsi"/>
          <w:color w:val="000000"/>
        </w:rPr>
        <w:t>The preamble of the Convention on the Rights of the Child (CRC) recognizes that for their “full and harmonious development</w:t>
      </w:r>
      <w:r w:rsidR="00EC0A19">
        <w:rPr>
          <w:rFonts w:asciiTheme="minorHAnsi" w:hAnsiTheme="minorHAnsi"/>
          <w:color w:val="000000"/>
        </w:rPr>
        <w:t>,</w:t>
      </w:r>
      <w:r w:rsidR="00E03F29" w:rsidRPr="007F1007">
        <w:rPr>
          <w:rFonts w:asciiTheme="minorHAnsi" w:hAnsiTheme="minorHAnsi"/>
          <w:color w:val="000000"/>
        </w:rPr>
        <w:t xml:space="preserve">” all children “should grow up in a family environment.” </w:t>
      </w:r>
      <w:r w:rsidR="00EC0A19">
        <w:rPr>
          <w:rFonts w:asciiTheme="minorHAnsi" w:hAnsiTheme="minorHAnsi"/>
          <w:color w:val="000000"/>
        </w:rPr>
        <w:t>T</w:t>
      </w:r>
      <w:r w:rsidR="00E03F29" w:rsidRPr="007F1007">
        <w:rPr>
          <w:rFonts w:asciiTheme="minorHAnsi" w:hAnsiTheme="minorHAnsi"/>
          <w:color w:val="000000"/>
        </w:rPr>
        <w:t>he CRPD places clear obligations on States to protect the right to family life (Article 23) and to live and be included in the community (Article 19). In General Comment No. 5, the UN Committee on the Rights of Persons with Disabilities (CRPD Committee) unequivocally states that “[</w:t>
      </w:r>
      <w:r w:rsidR="00E03F29" w:rsidRPr="007F1007">
        <w:rPr>
          <w:rFonts w:asciiTheme="minorHAnsi" w:hAnsiTheme="minorHAnsi"/>
          <w:b/>
          <w:bCs/>
          <w:color w:val="000000"/>
        </w:rPr>
        <w:t>f]or children, the core of the right to be included in the community entails a right to grow up in a family</w:t>
      </w:r>
      <w:r w:rsidR="00E03F29" w:rsidRPr="007F1007">
        <w:rPr>
          <w:rFonts w:asciiTheme="minorHAnsi" w:hAnsiTheme="minorHAnsi"/>
          <w:color w:val="000000"/>
        </w:rPr>
        <w:t>.” The CRPD Committee goes on to explain that:</w:t>
      </w:r>
    </w:p>
    <w:p w14:paraId="5BE6A3C9" w14:textId="77777777" w:rsidR="00E03F29" w:rsidRPr="007F1007" w:rsidRDefault="00E03F29" w:rsidP="00C64A60">
      <w:pPr>
        <w:spacing w:after="0"/>
        <w:jc w:val="both"/>
        <w:rPr>
          <w:rFonts w:eastAsia="Times New Roman" w:cs="Times New Roman"/>
          <w:sz w:val="24"/>
          <w:szCs w:val="24"/>
          <w:lang w:val="en-GB" w:eastAsia="en-GB"/>
        </w:rPr>
      </w:pPr>
    </w:p>
    <w:p w14:paraId="3A263747" w14:textId="0ECC7A9A" w:rsidR="00E03F29" w:rsidRPr="007F1007" w:rsidRDefault="00E03F29" w:rsidP="00C64A60">
      <w:pPr>
        <w:spacing w:after="0"/>
        <w:ind w:left="720" w:right="720"/>
        <w:jc w:val="both"/>
        <w:rPr>
          <w:rFonts w:eastAsia="Times New Roman" w:cs="Times New Roman"/>
          <w:color w:val="000000"/>
          <w:sz w:val="24"/>
          <w:szCs w:val="24"/>
          <w:lang w:val="en-GB" w:eastAsia="en-GB"/>
        </w:rPr>
      </w:pPr>
      <w:r w:rsidRPr="007F1007">
        <w:rPr>
          <w:rFonts w:eastAsia="Times New Roman" w:cs="Times New Roman"/>
          <w:color w:val="000000"/>
          <w:sz w:val="24"/>
          <w:szCs w:val="24"/>
          <w:lang w:val="en-GB" w:eastAsia="en-GB"/>
        </w:rPr>
        <w:t>Large or small group homes are especially dangerous for children, for whom there is no substitute for the need to grow up with a family. ‘Family-like’ institutions are still institutions and are no substitute for care by a family.</w:t>
      </w:r>
    </w:p>
    <w:p w14:paraId="67236FCA" w14:textId="77777777" w:rsidR="00E03F29" w:rsidRPr="007F1007" w:rsidRDefault="00E03F29" w:rsidP="00C64A60">
      <w:pPr>
        <w:spacing w:after="0"/>
        <w:jc w:val="both"/>
        <w:rPr>
          <w:rFonts w:eastAsia="Times New Roman" w:cs="Times New Roman"/>
          <w:sz w:val="24"/>
          <w:szCs w:val="24"/>
          <w:lang w:val="en-GB" w:eastAsia="en-GB"/>
        </w:rPr>
      </w:pPr>
    </w:p>
    <w:p w14:paraId="697D0E31" w14:textId="0788FF3C" w:rsidR="0070179A" w:rsidRDefault="00E03F29" w:rsidP="00C64A60">
      <w:pPr>
        <w:spacing w:after="0"/>
        <w:jc w:val="both"/>
        <w:rPr>
          <w:rFonts w:eastAsia="Times New Roman" w:cs="Times New Roman"/>
          <w:sz w:val="24"/>
          <w:szCs w:val="24"/>
          <w:lang w:val="en-GB" w:eastAsia="en-GB"/>
        </w:rPr>
      </w:pPr>
      <w:r w:rsidRPr="007F1007">
        <w:rPr>
          <w:rFonts w:eastAsia="Times New Roman" w:cs="Times New Roman"/>
          <w:sz w:val="24"/>
          <w:szCs w:val="24"/>
          <w:lang w:val="en-GB" w:eastAsia="en-GB"/>
        </w:rPr>
        <w:t xml:space="preserve">Most </w:t>
      </w:r>
      <w:r w:rsidR="00824800" w:rsidRPr="007F1007">
        <w:rPr>
          <w:rFonts w:eastAsia="Times New Roman" w:cs="Times New Roman"/>
          <w:sz w:val="24"/>
          <w:szCs w:val="24"/>
          <w:lang w:val="en-GB" w:eastAsia="en-GB"/>
        </w:rPr>
        <w:t xml:space="preserve">institutionalized </w:t>
      </w:r>
      <w:r w:rsidRPr="007F1007">
        <w:rPr>
          <w:rFonts w:eastAsia="Times New Roman" w:cs="Times New Roman"/>
          <w:sz w:val="24"/>
          <w:szCs w:val="24"/>
          <w:lang w:val="en-GB" w:eastAsia="en-GB"/>
        </w:rPr>
        <w:t xml:space="preserve">children have families and are placed in alternative care due to poverty and/or disability and the stigma associated with disability, either of the child or of their parents. Children with disabilities are often left behind in child care reform programs. Evidence </w:t>
      </w:r>
      <w:r w:rsidR="00C64A60">
        <w:rPr>
          <w:rFonts w:eastAsia="Times New Roman" w:cs="Times New Roman"/>
          <w:sz w:val="24"/>
          <w:szCs w:val="24"/>
          <w:lang w:val="en-GB" w:eastAsia="en-GB"/>
        </w:rPr>
        <w:t>shows</w:t>
      </w:r>
      <w:r w:rsidRPr="007F1007">
        <w:rPr>
          <w:rFonts w:eastAsia="Times New Roman" w:cs="Times New Roman"/>
          <w:sz w:val="24"/>
          <w:szCs w:val="24"/>
          <w:lang w:val="en-GB" w:eastAsia="en-GB"/>
        </w:rPr>
        <w:t xml:space="preserve"> that all children with disabilities can live safely and thrive in families, no matter their support needs and they can and must be supported and accommodated to live in families.</w:t>
      </w:r>
    </w:p>
    <w:p w14:paraId="62F0E5EA" w14:textId="77777777" w:rsidR="00C64A60" w:rsidRPr="007F1007" w:rsidRDefault="00C64A60" w:rsidP="00C64A60">
      <w:pPr>
        <w:spacing w:after="0"/>
        <w:jc w:val="both"/>
        <w:rPr>
          <w:rFonts w:eastAsia="Times New Roman" w:cs="Times New Roman"/>
          <w:sz w:val="24"/>
          <w:szCs w:val="24"/>
          <w:lang w:val="en-GB" w:eastAsia="en-GB"/>
        </w:rPr>
      </w:pPr>
    </w:p>
    <w:p w14:paraId="77877500" w14:textId="78F81FC6" w:rsidR="00382652" w:rsidRPr="007F1007" w:rsidRDefault="0070179A" w:rsidP="00C64A60">
      <w:pPr>
        <w:spacing w:after="0"/>
        <w:jc w:val="both"/>
        <w:rPr>
          <w:rFonts w:eastAsia="Times New Roman" w:cs="Times New Roman"/>
          <w:sz w:val="24"/>
          <w:szCs w:val="24"/>
          <w:lang w:val="en-GB" w:eastAsia="en-GB"/>
        </w:rPr>
      </w:pPr>
      <w:r w:rsidRPr="007F1007">
        <w:rPr>
          <w:rFonts w:eastAsia="Times New Roman" w:cs="Times New Roman"/>
          <w:color w:val="000000"/>
          <w:sz w:val="24"/>
          <w:szCs w:val="24"/>
          <w:lang w:val="en-GB" w:eastAsia="en-GB"/>
        </w:rPr>
        <w:t xml:space="preserve">The right to family life is only guaranteed for children when they grow up in an environment where they can form stable relations with a committed caregiver. Conversely, the right to family life cannot be guaranteed in any form of institution or non-family environment. </w:t>
      </w:r>
      <w:r w:rsidR="00C64A60">
        <w:rPr>
          <w:rFonts w:eastAsia="Times New Roman" w:cs="Times New Roman"/>
          <w:sz w:val="24"/>
          <w:szCs w:val="24"/>
          <w:lang w:val="en-GB" w:eastAsia="en-GB"/>
        </w:rPr>
        <w:t>States</w:t>
      </w:r>
      <w:r w:rsidR="00382652" w:rsidRPr="007F1007">
        <w:rPr>
          <w:rFonts w:eastAsia="Times New Roman" w:cs="Times New Roman"/>
          <w:sz w:val="24"/>
          <w:szCs w:val="24"/>
          <w:lang w:val="en-GB" w:eastAsia="en-GB"/>
        </w:rPr>
        <w:t xml:space="preserve"> are under clear obligation to develop support</w:t>
      </w:r>
      <w:r w:rsidR="00C64A60">
        <w:rPr>
          <w:rFonts w:eastAsia="Times New Roman" w:cs="Times New Roman"/>
          <w:sz w:val="24"/>
          <w:szCs w:val="24"/>
          <w:lang w:val="en-GB" w:eastAsia="en-GB"/>
        </w:rPr>
        <w:t>ive</w:t>
      </w:r>
      <w:r w:rsidR="00382652" w:rsidRPr="007F1007">
        <w:rPr>
          <w:rFonts w:eastAsia="Times New Roman" w:cs="Times New Roman"/>
          <w:sz w:val="24"/>
          <w:szCs w:val="24"/>
          <w:lang w:val="en-GB" w:eastAsia="en-GB"/>
        </w:rPr>
        <w:t xml:space="preserve"> services for children with disabilities and their families to facilitate the adequate exercise of parental rights and responsibilities, prevent family separation, and facilitate the inclusion of children with disabilities in the community.</w:t>
      </w:r>
    </w:p>
    <w:p w14:paraId="772F6845" w14:textId="3BB7CBC1" w:rsidR="00835D42" w:rsidRPr="007F1007" w:rsidRDefault="00835D42" w:rsidP="00C64A60">
      <w:pPr>
        <w:spacing w:after="0"/>
        <w:ind w:right="720"/>
        <w:jc w:val="both"/>
        <w:rPr>
          <w:rFonts w:eastAsia="Times New Roman" w:cs="Times New Roman"/>
          <w:color w:val="000000"/>
          <w:sz w:val="24"/>
          <w:szCs w:val="24"/>
          <w:lang w:val="en-GB" w:eastAsia="en-GB"/>
        </w:rPr>
      </w:pPr>
    </w:p>
    <w:p w14:paraId="15108867" w14:textId="244E66E7" w:rsidR="00382652" w:rsidRPr="007F1007" w:rsidRDefault="00382652" w:rsidP="00C64A60">
      <w:pPr>
        <w:spacing w:after="0"/>
        <w:ind w:right="720"/>
        <w:jc w:val="both"/>
        <w:rPr>
          <w:rFonts w:eastAsia="Times New Roman" w:cs="Times New Roman"/>
          <w:b/>
          <w:bCs/>
          <w:i/>
          <w:iCs/>
          <w:color w:val="000000"/>
          <w:sz w:val="24"/>
          <w:szCs w:val="24"/>
          <w:lang w:val="en-GB" w:eastAsia="en-GB"/>
        </w:rPr>
      </w:pPr>
      <w:r w:rsidRPr="007F1007">
        <w:rPr>
          <w:rFonts w:eastAsia="Times New Roman" w:cs="Times New Roman"/>
          <w:b/>
          <w:bCs/>
          <w:i/>
          <w:iCs/>
          <w:color w:val="000000"/>
          <w:sz w:val="24"/>
          <w:szCs w:val="24"/>
          <w:lang w:val="en-GB" w:eastAsia="en-GB"/>
        </w:rPr>
        <w:t>Recommendations:</w:t>
      </w:r>
    </w:p>
    <w:p w14:paraId="37D68ADC" w14:textId="07D418F9" w:rsidR="00835D42" w:rsidRDefault="0070179A" w:rsidP="00EA74AC">
      <w:pPr>
        <w:pStyle w:val="ListParagraph"/>
        <w:numPr>
          <w:ilvl w:val="0"/>
          <w:numId w:val="5"/>
        </w:numPr>
        <w:spacing w:after="0"/>
        <w:jc w:val="both"/>
        <w:rPr>
          <w:rFonts w:eastAsia="Calibri" w:cs="Times New Roman"/>
          <w:i/>
          <w:iCs/>
          <w:sz w:val="24"/>
          <w:szCs w:val="24"/>
        </w:rPr>
      </w:pPr>
      <w:r w:rsidRPr="00654246">
        <w:rPr>
          <w:rFonts w:eastAsia="Times New Roman" w:cs="Times New Roman"/>
          <w:i/>
          <w:iCs/>
          <w:color w:val="000000"/>
          <w:sz w:val="24"/>
          <w:szCs w:val="24"/>
          <w:lang w:val="en-GB" w:eastAsia="en-GB"/>
        </w:rPr>
        <w:t xml:space="preserve">To guarantee that all children grow up in families, </w:t>
      </w:r>
      <w:r w:rsidR="00535F74" w:rsidRPr="00654246">
        <w:rPr>
          <w:rFonts w:eastAsia="Times New Roman" w:cs="Times New Roman"/>
          <w:i/>
          <w:iCs/>
          <w:color w:val="000000"/>
          <w:sz w:val="24"/>
          <w:szCs w:val="24"/>
          <w:lang w:val="en-GB" w:eastAsia="en-GB"/>
        </w:rPr>
        <w:t>S</w:t>
      </w:r>
      <w:r w:rsidRPr="00654246">
        <w:rPr>
          <w:rFonts w:eastAsia="Times New Roman" w:cs="Times New Roman"/>
          <w:i/>
          <w:iCs/>
          <w:color w:val="000000"/>
          <w:sz w:val="24"/>
          <w:szCs w:val="24"/>
          <w:lang w:val="en-GB" w:eastAsia="en-GB"/>
        </w:rPr>
        <w:t>tates must</w:t>
      </w:r>
      <w:r w:rsidR="00835D42" w:rsidRPr="00654246">
        <w:rPr>
          <w:rFonts w:eastAsia="Times New Roman" w:cs="Times New Roman"/>
          <w:i/>
          <w:iCs/>
          <w:color w:val="000000"/>
          <w:sz w:val="24"/>
          <w:szCs w:val="24"/>
          <w:lang w:val="en-GB" w:eastAsia="en-GB"/>
        </w:rPr>
        <w:t xml:space="preserve"> </w:t>
      </w:r>
      <w:r w:rsidR="006223BB" w:rsidRPr="00654246">
        <w:rPr>
          <w:rFonts w:eastAsia="Calibri" w:cs="Times New Roman"/>
          <w:b/>
          <w:i/>
          <w:iCs/>
          <w:sz w:val="24"/>
          <w:szCs w:val="24"/>
        </w:rPr>
        <w:t>p</w:t>
      </w:r>
      <w:r w:rsidRPr="00654246">
        <w:rPr>
          <w:rFonts w:eastAsia="Calibri" w:cs="Times New Roman"/>
          <w:b/>
          <w:i/>
          <w:iCs/>
          <w:sz w:val="24"/>
          <w:szCs w:val="24"/>
        </w:rPr>
        <w:t xml:space="preserve">rovide adequate support for families to prevent family separation and institutionalization </w:t>
      </w:r>
      <w:r w:rsidRPr="00654246">
        <w:rPr>
          <w:rFonts w:eastAsia="Calibri" w:cs="Times New Roman"/>
          <w:i/>
          <w:iCs/>
          <w:sz w:val="24"/>
          <w:szCs w:val="24"/>
        </w:rPr>
        <w:t xml:space="preserve">and protect the right of parents with disabilities to keep their children. Programs should be specifically targeted to help those families most at risk – including families of children with disabilities, single mothers, and children living in poverty. </w:t>
      </w:r>
    </w:p>
    <w:p w14:paraId="6ECEC8D1" w14:textId="77777777" w:rsidR="00EA74AC" w:rsidRPr="00654246" w:rsidRDefault="00EA74AC" w:rsidP="00EA74AC">
      <w:pPr>
        <w:pStyle w:val="ListParagraph"/>
        <w:spacing w:after="0"/>
        <w:jc w:val="both"/>
        <w:rPr>
          <w:rFonts w:eastAsia="Calibri" w:cs="Times New Roman"/>
          <w:i/>
          <w:iCs/>
          <w:sz w:val="24"/>
          <w:szCs w:val="24"/>
        </w:rPr>
      </w:pPr>
    </w:p>
    <w:p w14:paraId="1AD4ED5B" w14:textId="463779F5" w:rsidR="007F1007" w:rsidRPr="00EA74AC" w:rsidRDefault="00835D42" w:rsidP="00C64A60">
      <w:pPr>
        <w:pStyle w:val="ListParagraph"/>
        <w:numPr>
          <w:ilvl w:val="0"/>
          <w:numId w:val="5"/>
        </w:numPr>
        <w:spacing w:after="0"/>
        <w:jc w:val="both"/>
        <w:rPr>
          <w:rFonts w:eastAsia="Calibri" w:cs="Times New Roman"/>
          <w:i/>
          <w:iCs/>
          <w:sz w:val="24"/>
          <w:szCs w:val="24"/>
        </w:rPr>
      </w:pPr>
      <w:r w:rsidRPr="00654246">
        <w:rPr>
          <w:rFonts w:eastAsia="Times New Roman" w:cs="Times New Roman"/>
          <w:b/>
          <w:bCs/>
          <w:i/>
          <w:iCs/>
          <w:color w:val="000000"/>
          <w:sz w:val="24"/>
          <w:szCs w:val="24"/>
          <w:lang w:val="en-GB" w:eastAsia="en-GB"/>
        </w:rPr>
        <w:t>There is an immediate obligation</w:t>
      </w:r>
      <w:r w:rsidRPr="00654246">
        <w:rPr>
          <w:rFonts w:eastAsia="Times New Roman" w:cs="Times New Roman"/>
          <w:i/>
          <w:iCs/>
          <w:color w:val="000000"/>
          <w:sz w:val="24"/>
          <w:szCs w:val="24"/>
          <w:lang w:val="en-GB" w:eastAsia="en-GB"/>
        </w:rPr>
        <w:t xml:space="preserve"> to support family-based care</w:t>
      </w:r>
      <w:r w:rsidR="00EA74AC">
        <w:rPr>
          <w:rFonts w:eastAsia="Times New Roman" w:cs="Times New Roman"/>
          <w:i/>
          <w:iCs/>
          <w:color w:val="000000"/>
          <w:sz w:val="24"/>
          <w:szCs w:val="24"/>
          <w:lang w:val="en-GB" w:eastAsia="en-GB"/>
        </w:rPr>
        <w:t xml:space="preserve">; </w:t>
      </w:r>
      <w:r w:rsidRPr="00654246">
        <w:rPr>
          <w:rFonts w:eastAsia="Times New Roman" w:cs="Times New Roman"/>
          <w:i/>
          <w:iCs/>
          <w:color w:val="000000"/>
          <w:sz w:val="24"/>
          <w:szCs w:val="24"/>
          <w:lang w:val="en-GB" w:eastAsia="en-GB"/>
        </w:rPr>
        <w:t>available resources should be used to support families and create more family-based placements, and not for building or expanding any new large or small  institutions (whether they are called ‘residential care’, ‘group homes’, or ‘family-like units’, or similar).</w:t>
      </w:r>
      <w:r w:rsidR="00382652" w:rsidRPr="00654246">
        <w:rPr>
          <w:rFonts w:eastAsia="Times New Roman" w:cs="Times New Roman"/>
          <w:i/>
          <w:iCs/>
          <w:color w:val="000000"/>
          <w:sz w:val="24"/>
          <w:szCs w:val="24"/>
          <w:lang w:val="en-GB" w:eastAsia="en-GB"/>
        </w:rPr>
        <w:t xml:space="preserve"> </w:t>
      </w:r>
    </w:p>
    <w:p w14:paraId="05DA8F12" w14:textId="77777777" w:rsidR="00EA74AC" w:rsidRPr="00EA74AC" w:rsidRDefault="00EA74AC" w:rsidP="00EA74AC">
      <w:pPr>
        <w:spacing w:after="0"/>
        <w:jc w:val="both"/>
        <w:rPr>
          <w:rFonts w:eastAsia="Times New Roman" w:cs="Times New Roman"/>
          <w:i/>
          <w:iCs/>
          <w:sz w:val="24"/>
          <w:szCs w:val="24"/>
          <w:lang w:val="en-GB" w:eastAsia="en-GB"/>
        </w:rPr>
      </w:pPr>
    </w:p>
    <w:p w14:paraId="0D8B7F1C" w14:textId="654ECA3A" w:rsidR="0070179A" w:rsidRPr="00EA74AC" w:rsidRDefault="0070179A" w:rsidP="00C64A60">
      <w:pPr>
        <w:pStyle w:val="ListParagraph"/>
        <w:numPr>
          <w:ilvl w:val="0"/>
          <w:numId w:val="5"/>
        </w:numPr>
        <w:spacing w:after="0"/>
        <w:jc w:val="both"/>
        <w:textAlignment w:val="baseline"/>
        <w:rPr>
          <w:rFonts w:ascii="Times New Roman" w:eastAsia="Times New Roman" w:hAnsi="Times New Roman" w:cs="Times New Roman"/>
          <w:i/>
          <w:sz w:val="24"/>
          <w:szCs w:val="24"/>
          <w:lang w:val="en-GB" w:eastAsia="en-GB"/>
        </w:rPr>
      </w:pPr>
      <w:r w:rsidRPr="00654246">
        <w:rPr>
          <w:rFonts w:eastAsia="Times New Roman" w:cs="Times New Roman"/>
          <w:i/>
          <w:iCs/>
          <w:color w:val="000000"/>
          <w:sz w:val="24"/>
          <w:szCs w:val="24"/>
          <w:lang w:val="en-GB" w:eastAsia="en-GB"/>
        </w:rPr>
        <w:t xml:space="preserve">Governments must </w:t>
      </w:r>
      <w:r w:rsidRPr="00654246">
        <w:rPr>
          <w:rFonts w:eastAsia="Times New Roman" w:cs="Times New Roman"/>
          <w:b/>
          <w:bCs/>
          <w:i/>
          <w:iCs/>
          <w:color w:val="000000"/>
          <w:sz w:val="24"/>
          <w:szCs w:val="24"/>
          <w:lang w:val="en-GB" w:eastAsia="en-GB"/>
        </w:rPr>
        <w:t>plan for progressive elimination of institutions, including all forms of residential care and group homes</w:t>
      </w:r>
      <w:r w:rsidRPr="00654246">
        <w:rPr>
          <w:rFonts w:eastAsia="Times New Roman" w:cs="Times New Roman"/>
          <w:i/>
          <w:iCs/>
          <w:color w:val="000000"/>
          <w:sz w:val="24"/>
          <w:szCs w:val="24"/>
          <w:lang w:val="en-GB" w:eastAsia="en-GB"/>
        </w:rPr>
        <w:t xml:space="preserve">. </w:t>
      </w:r>
    </w:p>
    <w:p w14:paraId="132F5948" w14:textId="77777777" w:rsidR="00EA74AC" w:rsidRPr="00EA74AC" w:rsidRDefault="00EA74AC" w:rsidP="00EA74AC">
      <w:pPr>
        <w:pStyle w:val="ListParagraph"/>
        <w:rPr>
          <w:rFonts w:ascii="Times New Roman" w:eastAsia="Times New Roman" w:hAnsi="Times New Roman" w:cs="Times New Roman"/>
          <w:i/>
          <w:sz w:val="24"/>
          <w:szCs w:val="24"/>
          <w:lang w:val="en-GB" w:eastAsia="en-GB"/>
        </w:rPr>
      </w:pPr>
    </w:p>
    <w:p w14:paraId="47C1A110" w14:textId="77777777" w:rsidR="00EA74AC" w:rsidRPr="00EA74AC" w:rsidRDefault="00EA74AC" w:rsidP="00EA74AC">
      <w:pPr>
        <w:pStyle w:val="ListParagraph"/>
        <w:numPr>
          <w:ilvl w:val="0"/>
          <w:numId w:val="5"/>
        </w:numPr>
        <w:spacing w:after="0"/>
        <w:jc w:val="both"/>
        <w:rPr>
          <w:rFonts w:eastAsia="Times New Roman" w:cs="Times New Roman"/>
          <w:i/>
          <w:iCs/>
          <w:sz w:val="24"/>
          <w:szCs w:val="24"/>
          <w:lang w:val="en-GB" w:eastAsia="en-GB"/>
        </w:rPr>
      </w:pPr>
      <w:r w:rsidRPr="00654246">
        <w:rPr>
          <w:rFonts w:eastAsia="Calibri" w:cs="Times New Roman"/>
          <w:i/>
          <w:iCs/>
          <w:sz w:val="24"/>
          <w:szCs w:val="24"/>
        </w:rPr>
        <w:t xml:space="preserve">States must </w:t>
      </w:r>
      <w:r w:rsidRPr="00654246">
        <w:rPr>
          <w:rFonts w:eastAsia="Calibri" w:cs="Times New Roman"/>
          <w:b/>
          <w:i/>
          <w:iCs/>
          <w:sz w:val="24"/>
          <w:szCs w:val="24"/>
        </w:rPr>
        <w:t xml:space="preserve">ensure equal access to supported family, kinship, and foster care for all children. </w:t>
      </w:r>
      <w:r w:rsidRPr="00654246">
        <w:rPr>
          <w:rFonts w:eastAsia="Calibri" w:cs="Times New Roman"/>
          <w:i/>
          <w:iCs/>
          <w:sz w:val="24"/>
          <w:szCs w:val="24"/>
        </w:rPr>
        <w:t xml:space="preserve">Foster care programs must be made fully accessible and appropriate for children with complex support needs, and a full range of supportive and therapeutic services must be made available to help families and prospective foster parents. </w:t>
      </w:r>
    </w:p>
    <w:p w14:paraId="1AB0FEE5" w14:textId="77777777" w:rsidR="00EA74AC" w:rsidRPr="00654246" w:rsidRDefault="00EA74AC" w:rsidP="00EA74AC">
      <w:pPr>
        <w:pStyle w:val="ListParagraph"/>
        <w:spacing w:after="0"/>
        <w:jc w:val="both"/>
        <w:textAlignment w:val="baseline"/>
        <w:rPr>
          <w:rFonts w:ascii="Times New Roman" w:eastAsia="Times New Roman" w:hAnsi="Times New Roman" w:cs="Times New Roman"/>
          <w:i/>
          <w:sz w:val="24"/>
          <w:szCs w:val="24"/>
          <w:lang w:val="en-GB" w:eastAsia="en-GB"/>
        </w:rPr>
      </w:pPr>
    </w:p>
    <w:p w14:paraId="38DC63E1" w14:textId="77777777" w:rsidR="00EC0A19" w:rsidRPr="00EC0A19" w:rsidRDefault="00EC0A19" w:rsidP="00EC0A19">
      <w:pPr>
        <w:spacing w:after="0" w:line="240" w:lineRule="auto"/>
        <w:jc w:val="both"/>
        <w:textAlignment w:val="baseline"/>
        <w:rPr>
          <w:rFonts w:ascii="Times New Roman" w:eastAsia="Times New Roman" w:hAnsi="Times New Roman" w:cs="Times New Roman"/>
          <w:sz w:val="24"/>
          <w:szCs w:val="24"/>
          <w:lang w:val="en-GB" w:eastAsia="en-GB"/>
        </w:rPr>
      </w:pPr>
    </w:p>
    <w:p w14:paraId="195ABB54" w14:textId="2A2A7349" w:rsidR="00C64A60" w:rsidRPr="00EA74AC" w:rsidRDefault="00B549BC" w:rsidP="0085793E">
      <w:pPr>
        <w:pStyle w:val="ListParagraph"/>
        <w:numPr>
          <w:ilvl w:val="0"/>
          <w:numId w:val="12"/>
        </w:numPr>
        <w:spacing w:after="0"/>
        <w:ind w:left="360"/>
        <w:jc w:val="both"/>
        <w:rPr>
          <w:rFonts w:cs="Times New Roman"/>
          <w:sz w:val="24"/>
          <w:szCs w:val="24"/>
          <w:lang w:val="en-GB"/>
        </w:rPr>
      </w:pPr>
      <w:r w:rsidRPr="00EA74AC">
        <w:rPr>
          <w:rFonts w:cs="Times New Roman"/>
          <w:b/>
          <w:bCs/>
          <w:sz w:val="24"/>
          <w:szCs w:val="24"/>
          <w:lang w:val="en-GB"/>
        </w:rPr>
        <w:t xml:space="preserve">While protecting against improper institutionalization, </w:t>
      </w:r>
      <w:r w:rsidR="00EA74AC">
        <w:rPr>
          <w:rFonts w:cs="Times New Roman"/>
          <w:b/>
          <w:bCs/>
          <w:sz w:val="24"/>
          <w:szCs w:val="24"/>
          <w:lang w:val="en-GB"/>
        </w:rPr>
        <w:t>the</w:t>
      </w:r>
      <w:r w:rsidR="00835D42" w:rsidRPr="00EA74AC">
        <w:rPr>
          <w:rFonts w:cs="Times New Roman"/>
          <w:b/>
          <w:bCs/>
          <w:sz w:val="24"/>
          <w:szCs w:val="24"/>
          <w:lang w:val="en-GB"/>
        </w:rPr>
        <w:t xml:space="preserve"> right to be heard</w:t>
      </w:r>
      <w:r w:rsidR="00EA74AC">
        <w:rPr>
          <w:rFonts w:cs="Times New Roman"/>
          <w:b/>
          <w:bCs/>
          <w:sz w:val="24"/>
          <w:szCs w:val="24"/>
          <w:lang w:val="en-GB"/>
        </w:rPr>
        <w:t xml:space="preserve"> should be protected for all children</w:t>
      </w:r>
    </w:p>
    <w:p w14:paraId="311926D9" w14:textId="77777777" w:rsidR="00EA74AC" w:rsidRPr="00EA74AC" w:rsidRDefault="00EA74AC" w:rsidP="00EA74AC">
      <w:pPr>
        <w:pStyle w:val="ListParagraph"/>
        <w:spacing w:after="0"/>
        <w:ind w:left="360"/>
        <w:jc w:val="both"/>
        <w:rPr>
          <w:rFonts w:cs="Times New Roman"/>
          <w:sz w:val="24"/>
          <w:szCs w:val="24"/>
          <w:lang w:val="en-GB"/>
        </w:rPr>
      </w:pPr>
    </w:p>
    <w:p w14:paraId="2C0490B9" w14:textId="70788094" w:rsidR="001C6E73" w:rsidRDefault="00D6507E" w:rsidP="00C64A60">
      <w:pPr>
        <w:spacing w:after="0"/>
        <w:jc w:val="both"/>
        <w:rPr>
          <w:rFonts w:cs="Times New Roman"/>
          <w:sz w:val="24"/>
          <w:szCs w:val="24"/>
          <w:lang w:val="en-GB"/>
        </w:rPr>
      </w:pPr>
      <w:r>
        <w:rPr>
          <w:rFonts w:cs="Times New Roman"/>
          <w:sz w:val="24"/>
          <w:szCs w:val="24"/>
          <w:lang w:val="en-GB"/>
        </w:rPr>
        <w:t xml:space="preserve">The obligation to protect children against any form of institutionalization does not and should not undermine the right to be heard.  This must include a recognition of the right to be heard for children with disabilities. </w:t>
      </w:r>
      <w:r w:rsidR="00F44C97">
        <w:rPr>
          <w:rFonts w:cs="Times New Roman"/>
          <w:sz w:val="24"/>
          <w:szCs w:val="24"/>
          <w:lang w:val="en-GB"/>
        </w:rPr>
        <w:t xml:space="preserve"> T</w:t>
      </w:r>
      <w:r>
        <w:rPr>
          <w:rFonts w:cs="Times New Roman"/>
          <w:sz w:val="24"/>
          <w:szCs w:val="24"/>
          <w:lang w:val="en-GB"/>
        </w:rPr>
        <w:t>he obligation</w:t>
      </w:r>
      <w:r w:rsidR="00C64A60">
        <w:rPr>
          <w:rFonts w:cs="Times New Roman"/>
          <w:sz w:val="24"/>
          <w:szCs w:val="24"/>
          <w:lang w:val="en-GB"/>
        </w:rPr>
        <w:t xml:space="preserve"> is</w:t>
      </w:r>
      <w:r>
        <w:rPr>
          <w:rFonts w:cs="Times New Roman"/>
          <w:sz w:val="24"/>
          <w:szCs w:val="24"/>
          <w:lang w:val="en-GB"/>
        </w:rPr>
        <w:t xml:space="preserve"> on States to ensure the right to family is universal, </w:t>
      </w:r>
      <w:r w:rsidR="00F44C97">
        <w:rPr>
          <w:rFonts w:cs="Times New Roman"/>
          <w:sz w:val="24"/>
          <w:szCs w:val="24"/>
          <w:lang w:val="en-GB"/>
        </w:rPr>
        <w:t xml:space="preserve">but </w:t>
      </w:r>
      <w:r>
        <w:rPr>
          <w:rFonts w:cs="Times New Roman"/>
          <w:sz w:val="24"/>
          <w:szCs w:val="24"/>
          <w:lang w:val="en-GB"/>
        </w:rPr>
        <w:t>there may</w:t>
      </w:r>
      <w:r w:rsidR="00C64A60">
        <w:rPr>
          <w:rFonts w:cs="Times New Roman"/>
          <w:sz w:val="24"/>
          <w:szCs w:val="24"/>
          <w:lang w:val="en-GB"/>
        </w:rPr>
        <w:t xml:space="preserve"> be</w:t>
      </w:r>
      <w:r>
        <w:rPr>
          <w:rFonts w:cs="Times New Roman"/>
          <w:sz w:val="24"/>
          <w:szCs w:val="24"/>
          <w:lang w:val="en-GB"/>
        </w:rPr>
        <w:t xml:space="preserve"> situations –</w:t>
      </w:r>
      <w:r w:rsidR="00B549BC">
        <w:rPr>
          <w:rFonts w:cs="Times New Roman"/>
          <w:sz w:val="24"/>
          <w:szCs w:val="24"/>
          <w:lang w:val="en-GB"/>
        </w:rPr>
        <w:t xml:space="preserve"> including</w:t>
      </w:r>
      <w:r>
        <w:rPr>
          <w:rFonts w:cs="Times New Roman"/>
          <w:sz w:val="24"/>
          <w:szCs w:val="24"/>
          <w:lang w:val="en-GB"/>
        </w:rPr>
        <w:t xml:space="preserve"> national emergencies, war or </w:t>
      </w:r>
      <w:r w:rsidR="00F44C97">
        <w:rPr>
          <w:rFonts w:cs="Times New Roman"/>
          <w:sz w:val="24"/>
          <w:szCs w:val="24"/>
          <w:lang w:val="en-GB"/>
        </w:rPr>
        <w:t xml:space="preserve">internal </w:t>
      </w:r>
      <w:r>
        <w:rPr>
          <w:rFonts w:cs="Times New Roman"/>
          <w:sz w:val="24"/>
          <w:szCs w:val="24"/>
          <w:lang w:val="en-GB"/>
        </w:rPr>
        <w:t xml:space="preserve">conflict, </w:t>
      </w:r>
      <w:r w:rsidR="00B549BC">
        <w:rPr>
          <w:rFonts w:cs="Times New Roman"/>
          <w:sz w:val="24"/>
          <w:szCs w:val="24"/>
          <w:lang w:val="en-GB"/>
        </w:rPr>
        <w:t xml:space="preserve">and situations of mass migration – </w:t>
      </w:r>
      <w:r>
        <w:rPr>
          <w:rFonts w:cs="Times New Roman"/>
          <w:sz w:val="24"/>
          <w:szCs w:val="24"/>
          <w:lang w:val="en-GB"/>
        </w:rPr>
        <w:t>in which children are, in practice, temporarily deprived of the opport</w:t>
      </w:r>
      <w:r w:rsidR="00C64A60">
        <w:rPr>
          <w:rFonts w:cs="Times New Roman"/>
          <w:sz w:val="24"/>
          <w:szCs w:val="24"/>
          <w:lang w:val="en-GB"/>
        </w:rPr>
        <w:t>unity to be with their families</w:t>
      </w:r>
      <w:r w:rsidR="00F44C97">
        <w:rPr>
          <w:rFonts w:cs="Times New Roman"/>
          <w:sz w:val="24"/>
          <w:szCs w:val="24"/>
          <w:lang w:val="en-GB"/>
        </w:rPr>
        <w:t>.</w:t>
      </w:r>
      <w:r>
        <w:rPr>
          <w:rFonts w:cs="Times New Roman"/>
          <w:sz w:val="24"/>
          <w:szCs w:val="24"/>
          <w:lang w:val="en-GB"/>
        </w:rPr>
        <w:t xml:space="preserve">  In such circumstances, it is especially important to </w:t>
      </w:r>
      <w:r w:rsidR="001C6E73">
        <w:rPr>
          <w:rFonts w:cs="Times New Roman"/>
          <w:sz w:val="24"/>
          <w:szCs w:val="24"/>
          <w:lang w:val="en-GB"/>
        </w:rPr>
        <w:t>ensure that the opin</w:t>
      </w:r>
      <w:r w:rsidR="00C64A60">
        <w:rPr>
          <w:rFonts w:cs="Times New Roman"/>
          <w:sz w:val="24"/>
          <w:szCs w:val="24"/>
          <w:lang w:val="en-GB"/>
        </w:rPr>
        <w:t>ion of a child is heard in care-</w:t>
      </w:r>
      <w:r w:rsidR="001C6E73">
        <w:rPr>
          <w:rFonts w:cs="Times New Roman"/>
          <w:sz w:val="24"/>
          <w:szCs w:val="24"/>
          <w:lang w:val="en-GB"/>
        </w:rPr>
        <w:t>related decisions without discrimination.</w:t>
      </w:r>
    </w:p>
    <w:p w14:paraId="453A4B55" w14:textId="77777777" w:rsidR="00C64A60" w:rsidRDefault="00C64A60" w:rsidP="00C64A60">
      <w:pPr>
        <w:spacing w:after="0"/>
        <w:jc w:val="both"/>
        <w:rPr>
          <w:rFonts w:cs="Times New Roman"/>
          <w:sz w:val="24"/>
          <w:szCs w:val="24"/>
          <w:lang w:val="en-GB"/>
        </w:rPr>
      </w:pPr>
    </w:p>
    <w:p w14:paraId="3DECA858" w14:textId="42AC9D6D" w:rsidR="00BE2669" w:rsidRPr="007F1007" w:rsidRDefault="00654D29" w:rsidP="003F2BFA">
      <w:pPr>
        <w:jc w:val="both"/>
        <w:rPr>
          <w:rFonts w:cs="Times New Roman"/>
          <w:sz w:val="24"/>
          <w:szCs w:val="24"/>
          <w:lang w:val="en-GB"/>
        </w:rPr>
      </w:pPr>
      <w:r w:rsidRPr="007F1007">
        <w:rPr>
          <w:rFonts w:cs="Times New Roman"/>
          <w:sz w:val="24"/>
          <w:szCs w:val="24"/>
          <w:lang w:val="en-GB"/>
        </w:rPr>
        <w:t xml:space="preserve">CRC </w:t>
      </w:r>
      <w:r w:rsidR="007B0C7A" w:rsidRPr="007F1007">
        <w:rPr>
          <w:rFonts w:cs="Times New Roman"/>
          <w:sz w:val="24"/>
          <w:szCs w:val="24"/>
          <w:lang w:val="en-GB"/>
        </w:rPr>
        <w:t>Article 12 entitles all children, including children with disabilities</w:t>
      </w:r>
      <w:r w:rsidR="00C64A60">
        <w:rPr>
          <w:rFonts w:cs="Times New Roman"/>
          <w:sz w:val="24"/>
          <w:szCs w:val="24"/>
          <w:lang w:val="en-GB"/>
        </w:rPr>
        <w:t>,</w:t>
      </w:r>
      <w:r w:rsidR="007B0C7A" w:rsidRPr="007F1007">
        <w:rPr>
          <w:rFonts w:cs="Times New Roman"/>
          <w:sz w:val="24"/>
          <w:szCs w:val="24"/>
          <w:lang w:val="en-GB"/>
        </w:rPr>
        <w:t xml:space="preserve"> </w:t>
      </w:r>
      <w:r w:rsidRPr="007F1007">
        <w:rPr>
          <w:rFonts w:cs="Times New Roman"/>
          <w:sz w:val="24"/>
          <w:szCs w:val="24"/>
          <w:lang w:val="en-GB"/>
        </w:rPr>
        <w:t xml:space="preserve">to </w:t>
      </w:r>
      <w:r w:rsidR="007B0C7A" w:rsidRPr="007F1007">
        <w:rPr>
          <w:rFonts w:cs="Times New Roman"/>
          <w:sz w:val="24"/>
          <w:szCs w:val="24"/>
          <w:lang w:val="en-GB"/>
        </w:rPr>
        <w:t>the</w:t>
      </w:r>
      <w:r w:rsidR="005464D2" w:rsidRPr="007F1007">
        <w:rPr>
          <w:rFonts w:cs="Times New Roman"/>
          <w:sz w:val="24"/>
          <w:szCs w:val="24"/>
          <w:lang w:val="en-GB"/>
        </w:rPr>
        <w:t xml:space="preserve"> ‘right to be heard’ in all decisions that affect them</w:t>
      </w:r>
      <w:r w:rsidR="00C64A60">
        <w:rPr>
          <w:rFonts w:cs="Times New Roman"/>
          <w:sz w:val="24"/>
          <w:szCs w:val="24"/>
          <w:lang w:val="en-GB"/>
        </w:rPr>
        <w:t>,</w:t>
      </w:r>
      <w:r w:rsidR="00340934" w:rsidRPr="007F1007">
        <w:rPr>
          <w:rFonts w:cs="Times New Roman"/>
          <w:sz w:val="24"/>
          <w:szCs w:val="24"/>
          <w:lang w:val="en-GB"/>
        </w:rPr>
        <w:t xml:space="preserve"> including in the context of alternative care.</w:t>
      </w:r>
      <w:r w:rsidR="005464D2" w:rsidRPr="007F1007">
        <w:rPr>
          <w:rFonts w:cs="Times New Roman"/>
          <w:sz w:val="24"/>
          <w:szCs w:val="24"/>
          <w:lang w:val="en-GB"/>
        </w:rPr>
        <w:t xml:space="preserve"> </w:t>
      </w:r>
      <w:r w:rsidR="002C28C7" w:rsidRPr="007F1007">
        <w:rPr>
          <w:rFonts w:cs="Times New Roman"/>
          <w:sz w:val="24"/>
          <w:szCs w:val="24"/>
          <w:lang w:val="en-GB"/>
        </w:rPr>
        <w:t xml:space="preserve">It has been well-documented that children with disabilities </w:t>
      </w:r>
      <w:r w:rsidR="00D6507E">
        <w:rPr>
          <w:rFonts w:cs="Times New Roman"/>
          <w:sz w:val="24"/>
          <w:szCs w:val="24"/>
          <w:lang w:val="en-GB"/>
        </w:rPr>
        <w:t>f</w:t>
      </w:r>
      <w:r w:rsidR="002C28C7" w:rsidRPr="007F1007">
        <w:rPr>
          <w:rFonts w:cs="Times New Roman"/>
          <w:sz w:val="24"/>
          <w:szCs w:val="24"/>
          <w:lang w:val="en-GB"/>
        </w:rPr>
        <w:t>ac</w:t>
      </w:r>
      <w:r w:rsidR="00D6507E">
        <w:rPr>
          <w:rFonts w:cs="Times New Roman"/>
          <w:sz w:val="24"/>
          <w:szCs w:val="24"/>
          <w:lang w:val="en-GB"/>
        </w:rPr>
        <w:t>e</w:t>
      </w:r>
      <w:r w:rsidR="002C28C7" w:rsidRPr="007F1007">
        <w:rPr>
          <w:rFonts w:cs="Times New Roman"/>
          <w:sz w:val="24"/>
          <w:szCs w:val="24"/>
          <w:lang w:val="en-GB"/>
        </w:rPr>
        <w:t xml:space="preserve"> a higher risk of separation from their families and institutionalization than their peers without disabilities.</w:t>
      </w:r>
      <w:r w:rsidR="002C28C7" w:rsidRPr="007F1007">
        <w:rPr>
          <w:rStyle w:val="FootnoteReference"/>
          <w:rFonts w:cs="Times New Roman"/>
          <w:sz w:val="24"/>
          <w:szCs w:val="24"/>
          <w:lang w:val="en-GB"/>
        </w:rPr>
        <w:footnoteReference w:id="3"/>
      </w:r>
      <w:r w:rsidR="002C28C7" w:rsidRPr="007F1007">
        <w:rPr>
          <w:rFonts w:cs="Times New Roman"/>
          <w:sz w:val="24"/>
          <w:szCs w:val="24"/>
          <w:lang w:val="en-GB"/>
        </w:rPr>
        <w:t xml:space="preserve"> Children with disabilities often have little or no say in decisions </w:t>
      </w:r>
      <w:r w:rsidR="00C64A60">
        <w:rPr>
          <w:rFonts w:cs="Times New Roman"/>
          <w:sz w:val="24"/>
          <w:szCs w:val="24"/>
          <w:lang w:val="en-GB"/>
        </w:rPr>
        <w:t>made</w:t>
      </w:r>
      <w:r w:rsidR="00C64A60" w:rsidRPr="007F1007">
        <w:rPr>
          <w:rFonts w:cs="Times New Roman"/>
          <w:sz w:val="24"/>
          <w:szCs w:val="24"/>
          <w:lang w:val="en-GB"/>
        </w:rPr>
        <w:t xml:space="preserve"> </w:t>
      </w:r>
      <w:r w:rsidR="002C28C7" w:rsidRPr="007F1007">
        <w:rPr>
          <w:rFonts w:cs="Times New Roman"/>
          <w:sz w:val="24"/>
          <w:szCs w:val="24"/>
          <w:lang w:val="en-GB"/>
        </w:rPr>
        <w:t xml:space="preserve">by adults </w:t>
      </w:r>
      <w:r w:rsidR="00C64A60">
        <w:rPr>
          <w:rFonts w:cs="Times New Roman"/>
          <w:sz w:val="24"/>
          <w:szCs w:val="24"/>
          <w:lang w:val="en-GB"/>
        </w:rPr>
        <w:t>on</w:t>
      </w:r>
      <w:r w:rsidR="002C28C7" w:rsidRPr="007F1007">
        <w:rPr>
          <w:rFonts w:cs="Times New Roman"/>
          <w:sz w:val="24"/>
          <w:szCs w:val="24"/>
          <w:lang w:val="en-GB"/>
        </w:rPr>
        <w:t xml:space="preserve"> with whom and where children with disabilities will live. </w:t>
      </w:r>
      <w:r w:rsidR="00340934" w:rsidRPr="007F1007">
        <w:rPr>
          <w:rFonts w:cs="Times New Roman"/>
          <w:sz w:val="24"/>
          <w:szCs w:val="24"/>
          <w:lang w:val="en-GB"/>
        </w:rPr>
        <w:t>They</w:t>
      </w:r>
      <w:r w:rsidR="002C28C7" w:rsidRPr="007F1007">
        <w:rPr>
          <w:rFonts w:cs="Times New Roman"/>
          <w:sz w:val="24"/>
          <w:szCs w:val="24"/>
          <w:lang w:val="en-GB"/>
        </w:rPr>
        <w:t xml:space="preserve"> are excluded from decision-making processes on the basis of age </w:t>
      </w:r>
      <w:r w:rsidR="00C64A60">
        <w:rPr>
          <w:rFonts w:cs="Times New Roman"/>
          <w:sz w:val="24"/>
          <w:szCs w:val="24"/>
          <w:lang w:val="en-GB"/>
        </w:rPr>
        <w:t>or</w:t>
      </w:r>
      <w:r w:rsidR="002C28C7" w:rsidRPr="007F1007">
        <w:rPr>
          <w:rFonts w:cs="Times New Roman"/>
          <w:sz w:val="24"/>
          <w:szCs w:val="24"/>
          <w:lang w:val="en-GB"/>
        </w:rPr>
        <w:t xml:space="preserve"> disability when the existence of cognitive or other impairments leads to a presumption of children’s incapacity for participation in decision-making processes</w:t>
      </w:r>
      <w:r w:rsidR="00C64A60">
        <w:rPr>
          <w:rFonts w:cs="Times New Roman"/>
          <w:sz w:val="24"/>
          <w:szCs w:val="24"/>
          <w:lang w:val="en-GB"/>
        </w:rPr>
        <w:t>,</w:t>
      </w:r>
      <w:r w:rsidR="002C28C7" w:rsidRPr="007F1007">
        <w:rPr>
          <w:rStyle w:val="FootnoteReference"/>
          <w:rFonts w:cs="Times New Roman"/>
          <w:sz w:val="24"/>
          <w:szCs w:val="24"/>
          <w:lang w:val="en-GB"/>
        </w:rPr>
        <w:footnoteReference w:id="4"/>
      </w:r>
      <w:r w:rsidR="002C28C7" w:rsidRPr="007F1007">
        <w:rPr>
          <w:rFonts w:cs="Times New Roman"/>
          <w:sz w:val="24"/>
          <w:szCs w:val="24"/>
          <w:lang w:val="en-GB"/>
        </w:rPr>
        <w:t xml:space="preserve"> or when child protection workers lack skills to communicate with children with disabilities or knowledge and resources to provide disability-related supports.</w:t>
      </w:r>
      <w:r w:rsidR="002C28C7" w:rsidRPr="007F1007">
        <w:rPr>
          <w:rStyle w:val="FootnoteReference"/>
          <w:rFonts w:cs="Times New Roman"/>
          <w:sz w:val="24"/>
          <w:szCs w:val="24"/>
          <w:lang w:val="en-GB"/>
        </w:rPr>
        <w:footnoteReference w:id="5"/>
      </w:r>
      <w:r w:rsidR="002C28C7" w:rsidRPr="007F1007">
        <w:rPr>
          <w:rFonts w:cs="Times New Roman"/>
          <w:sz w:val="24"/>
          <w:szCs w:val="24"/>
          <w:lang w:val="en-GB"/>
        </w:rPr>
        <w:t xml:space="preserve"> </w:t>
      </w:r>
    </w:p>
    <w:p w14:paraId="7BE18000" w14:textId="7745A4FC" w:rsidR="00EA74AC" w:rsidRDefault="00D6507E" w:rsidP="00C64A60">
      <w:pPr>
        <w:spacing w:after="0"/>
        <w:jc w:val="both"/>
        <w:rPr>
          <w:rFonts w:cs="Times New Roman"/>
          <w:sz w:val="24"/>
          <w:szCs w:val="24"/>
          <w:lang w:val="en-GB"/>
        </w:rPr>
      </w:pPr>
      <w:r>
        <w:rPr>
          <w:rFonts w:cs="Times New Roman"/>
          <w:sz w:val="24"/>
          <w:szCs w:val="24"/>
          <w:lang w:val="en-GB"/>
        </w:rPr>
        <w:t>T</w:t>
      </w:r>
      <w:r w:rsidR="00975E03" w:rsidRPr="007F1007">
        <w:rPr>
          <w:rFonts w:cs="Times New Roman"/>
          <w:sz w:val="24"/>
          <w:szCs w:val="24"/>
          <w:lang w:val="en-GB"/>
        </w:rPr>
        <w:t>he participation of children with disabilities often remains tokenistic</w:t>
      </w:r>
      <w:r w:rsidR="00EA74AC">
        <w:rPr>
          <w:rFonts w:cs="Times New Roman"/>
          <w:sz w:val="24"/>
          <w:szCs w:val="24"/>
          <w:lang w:val="en-GB"/>
        </w:rPr>
        <w:t xml:space="preserve"> in the absence of a range of meaningful alternatives,</w:t>
      </w:r>
      <w:r w:rsidR="00F44C97">
        <w:rPr>
          <w:rFonts w:cs="Times New Roman"/>
          <w:sz w:val="24"/>
          <w:szCs w:val="24"/>
          <w:lang w:val="en-GB"/>
        </w:rPr>
        <w:t xml:space="preserve"> especially</w:t>
      </w:r>
      <w:r w:rsidR="00EA74AC">
        <w:rPr>
          <w:rFonts w:cs="Times New Roman"/>
          <w:sz w:val="24"/>
          <w:szCs w:val="24"/>
          <w:lang w:val="en-GB"/>
        </w:rPr>
        <w:t xml:space="preserve"> where family supports and supported foster care for children with disabilities is lacking</w:t>
      </w:r>
      <w:r w:rsidR="00975E03" w:rsidRPr="007F1007">
        <w:rPr>
          <w:rFonts w:cs="Times New Roman"/>
          <w:sz w:val="24"/>
          <w:szCs w:val="24"/>
          <w:lang w:val="en-GB"/>
        </w:rPr>
        <w:t>.</w:t>
      </w:r>
      <w:r w:rsidR="00BE2669" w:rsidRPr="007F1007">
        <w:rPr>
          <w:rStyle w:val="FootnoteReference"/>
          <w:rFonts w:cs="Times New Roman"/>
          <w:sz w:val="24"/>
          <w:szCs w:val="24"/>
          <w:lang w:val="en-GB"/>
        </w:rPr>
        <w:footnoteReference w:id="6"/>
      </w:r>
      <w:r w:rsidR="00975E03" w:rsidRPr="007F1007">
        <w:rPr>
          <w:rFonts w:cs="Times New Roman"/>
          <w:sz w:val="24"/>
          <w:szCs w:val="24"/>
          <w:lang w:val="en-GB"/>
        </w:rPr>
        <w:t xml:space="preserve"> </w:t>
      </w:r>
    </w:p>
    <w:p w14:paraId="10CC4E5D" w14:textId="77777777" w:rsidR="00C64A60" w:rsidRPr="007F1007" w:rsidRDefault="00C64A60" w:rsidP="00C64A60">
      <w:pPr>
        <w:spacing w:after="0"/>
        <w:jc w:val="both"/>
        <w:rPr>
          <w:rFonts w:cs="Times New Roman"/>
          <w:sz w:val="24"/>
          <w:szCs w:val="24"/>
          <w:lang w:val="en-GB"/>
        </w:rPr>
      </w:pPr>
    </w:p>
    <w:p w14:paraId="4EFAD77C" w14:textId="47606A8B" w:rsidR="00835D42" w:rsidRDefault="005464D2" w:rsidP="00C64A60">
      <w:pPr>
        <w:spacing w:after="0"/>
        <w:jc w:val="both"/>
        <w:rPr>
          <w:rFonts w:cs="Times New Roman"/>
          <w:sz w:val="24"/>
          <w:szCs w:val="24"/>
          <w:lang w:val="en-GB"/>
        </w:rPr>
      </w:pPr>
      <w:r w:rsidRPr="007F1007">
        <w:rPr>
          <w:rFonts w:cs="Times New Roman"/>
          <w:sz w:val="24"/>
          <w:szCs w:val="24"/>
          <w:lang w:val="en-GB"/>
        </w:rPr>
        <w:t xml:space="preserve">Multiple studies have shown that children in alternative care </w:t>
      </w:r>
      <w:r w:rsidR="00C64A60">
        <w:rPr>
          <w:rFonts w:cs="Times New Roman"/>
          <w:sz w:val="24"/>
          <w:szCs w:val="24"/>
          <w:lang w:val="en-GB"/>
        </w:rPr>
        <w:t>face</w:t>
      </w:r>
      <w:r w:rsidRPr="007F1007">
        <w:rPr>
          <w:rFonts w:cs="Times New Roman"/>
          <w:sz w:val="24"/>
          <w:szCs w:val="24"/>
          <w:lang w:val="en-GB"/>
        </w:rPr>
        <w:t xml:space="preserve"> barriers to participation </w:t>
      </w:r>
      <w:r w:rsidR="004D0B3A" w:rsidRPr="007F1007">
        <w:rPr>
          <w:rFonts w:cs="Times New Roman"/>
          <w:sz w:val="24"/>
          <w:szCs w:val="24"/>
          <w:lang w:val="en-GB"/>
        </w:rPr>
        <w:t>in child care proceedings,</w:t>
      </w:r>
      <w:r w:rsidR="00C64A60">
        <w:rPr>
          <w:rFonts w:cs="Times New Roman"/>
          <w:sz w:val="24"/>
          <w:szCs w:val="24"/>
          <w:lang w:val="en-GB"/>
        </w:rPr>
        <w:t xml:space="preserve"> while in care</w:t>
      </w:r>
      <w:r w:rsidR="004D0B3A" w:rsidRPr="007F1007">
        <w:rPr>
          <w:rFonts w:cs="Times New Roman"/>
          <w:sz w:val="24"/>
          <w:szCs w:val="24"/>
          <w:lang w:val="en-GB"/>
        </w:rPr>
        <w:t xml:space="preserve"> and </w:t>
      </w:r>
      <w:r w:rsidR="00C64A60">
        <w:rPr>
          <w:rFonts w:cs="Times New Roman"/>
          <w:sz w:val="24"/>
          <w:szCs w:val="24"/>
          <w:lang w:val="en-GB"/>
        </w:rPr>
        <w:t>while</w:t>
      </w:r>
      <w:r w:rsidR="00C64A60" w:rsidRPr="007F1007">
        <w:rPr>
          <w:rFonts w:cs="Times New Roman"/>
          <w:sz w:val="24"/>
          <w:szCs w:val="24"/>
          <w:lang w:val="en-GB"/>
        </w:rPr>
        <w:t xml:space="preserve"> </w:t>
      </w:r>
      <w:r w:rsidR="00C64A60">
        <w:rPr>
          <w:rFonts w:cs="Times New Roman"/>
          <w:sz w:val="24"/>
          <w:szCs w:val="24"/>
          <w:lang w:val="en-GB"/>
        </w:rPr>
        <w:t>plan</w:t>
      </w:r>
      <w:r w:rsidR="00F44C97">
        <w:rPr>
          <w:rFonts w:cs="Times New Roman"/>
          <w:sz w:val="24"/>
          <w:szCs w:val="24"/>
          <w:lang w:val="en-GB"/>
        </w:rPr>
        <w:t>s</w:t>
      </w:r>
      <w:r w:rsidR="00C64A60" w:rsidRPr="007F1007">
        <w:rPr>
          <w:rFonts w:cs="Times New Roman"/>
          <w:sz w:val="24"/>
          <w:szCs w:val="24"/>
          <w:lang w:val="en-GB"/>
        </w:rPr>
        <w:t xml:space="preserve"> </w:t>
      </w:r>
      <w:r w:rsidR="004D0B3A" w:rsidRPr="007F1007">
        <w:rPr>
          <w:rFonts w:cs="Times New Roman"/>
          <w:sz w:val="24"/>
          <w:szCs w:val="24"/>
          <w:lang w:val="en-GB"/>
        </w:rPr>
        <w:t xml:space="preserve">for leaving care </w:t>
      </w:r>
      <w:r w:rsidR="00F44C97">
        <w:rPr>
          <w:rFonts w:cs="Times New Roman"/>
          <w:sz w:val="24"/>
          <w:szCs w:val="24"/>
          <w:lang w:val="en-GB"/>
        </w:rPr>
        <w:t>are being devised.</w:t>
      </w:r>
      <w:r w:rsidR="000C2064" w:rsidRPr="007F1007">
        <w:rPr>
          <w:rStyle w:val="FootnoteReference"/>
          <w:rFonts w:cs="Times New Roman"/>
          <w:sz w:val="24"/>
          <w:szCs w:val="24"/>
          <w:lang w:val="en-GB"/>
        </w:rPr>
        <w:footnoteReference w:id="7"/>
      </w:r>
      <w:r w:rsidR="004D0B3A" w:rsidRPr="007F1007">
        <w:rPr>
          <w:rFonts w:cs="Times New Roman"/>
          <w:sz w:val="24"/>
          <w:szCs w:val="24"/>
          <w:lang w:val="en-GB"/>
        </w:rPr>
        <w:t xml:space="preserve"> </w:t>
      </w:r>
      <w:r w:rsidR="00C64A60">
        <w:rPr>
          <w:rFonts w:cs="Times New Roman"/>
          <w:sz w:val="24"/>
          <w:szCs w:val="24"/>
          <w:lang w:val="en-GB"/>
        </w:rPr>
        <w:t>Barriers to participation may include:</w:t>
      </w:r>
      <w:r w:rsidR="004D0B3A" w:rsidRPr="007F1007">
        <w:rPr>
          <w:rFonts w:cs="Times New Roman"/>
          <w:sz w:val="24"/>
          <w:szCs w:val="24"/>
          <w:lang w:val="en-GB"/>
        </w:rPr>
        <w:t xml:space="preserve"> perception of children in care as particularly vulnerable and lacking </w:t>
      </w:r>
      <w:r w:rsidR="004D0B3A" w:rsidRPr="007F1007">
        <w:rPr>
          <w:rFonts w:cs="Times New Roman"/>
          <w:sz w:val="24"/>
          <w:szCs w:val="24"/>
          <w:lang w:val="en-GB"/>
        </w:rPr>
        <w:lastRenderedPageBreak/>
        <w:t>agency, adult-centric models of decision-making that exclude children’s views</w:t>
      </w:r>
      <w:r w:rsidR="00C64A60">
        <w:rPr>
          <w:rFonts w:cs="Times New Roman"/>
          <w:sz w:val="24"/>
          <w:szCs w:val="24"/>
          <w:lang w:val="en-GB"/>
        </w:rPr>
        <w:t>,</w:t>
      </w:r>
      <w:r w:rsidR="002C28C7" w:rsidRPr="007F1007">
        <w:rPr>
          <w:rStyle w:val="FootnoteReference"/>
          <w:rFonts w:cs="Times New Roman"/>
          <w:sz w:val="24"/>
          <w:szCs w:val="24"/>
          <w:lang w:val="en-GB"/>
        </w:rPr>
        <w:footnoteReference w:id="8"/>
      </w:r>
      <w:r w:rsidR="004D0B3A" w:rsidRPr="007F1007">
        <w:rPr>
          <w:rFonts w:cs="Times New Roman"/>
          <w:sz w:val="24"/>
          <w:szCs w:val="24"/>
          <w:lang w:val="en-GB"/>
        </w:rPr>
        <w:t xml:space="preserve"> </w:t>
      </w:r>
      <w:r w:rsidR="000C2064" w:rsidRPr="007F1007">
        <w:rPr>
          <w:rFonts w:cs="Times New Roman"/>
          <w:sz w:val="24"/>
          <w:szCs w:val="24"/>
          <w:lang w:val="en-GB"/>
        </w:rPr>
        <w:t xml:space="preserve">a </w:t>
      </w:r>
      <w:r w:rsidR="004D0B3A" w:rsidRPr="007F1007">
        <w:rPr>
          <w:rFonts w:cs="Times New Roman"/>
          <w:sz w:val="24"/>
          <w:szCs w:val="24"/>
          <w:lang w:val="en-GB"/>
        </w:rPr>
        <w:t>lack of training and skills of child protection workers to communicate with children, risk aversion of child protection workers resulting in lack of opportunities for children, lack of child-friendly review and complaint mechanisms in systems of care</w:t>
      </w:r>
      <w:r w:rsidR="00C64A60">
        <w:rPr>
          <w:rFonts w:cs="Times New Roman"/>
          <w:sz w:val="24"/>
          <w:szCs w:val="24"/>
          <w:lang w:val="en-GB"/>
        </w:rPr>
        <w:t>,</w:t>
      </w:r>
      <w:r w:rsidR="004D0B3A" w:rsidRPr="007F1007">
        <w:rPr>
          <w:rFonts w:cs="Times New Roman"/>
          <w:sz w:val="24"/>
          <w:szCs w:val="24"/>
          <w:lang w:val="en-GB"/>
        </w:rPr>
        <w:t xml:space="preserve"> or lack of supportive persons of trust for a child. Research has also shown that younger children, children with experience of multiple previous care placements</w:t>
      </w:r>
      <w:r w:rsidR="00C64A60">
        <w:rPr>
          <w:rFonts w:cs="Times New Roman"/>
          <w:sz w:val="24"/>
          <w:szCs w:val="24"/>
          <w:lang w:val="en-GB"/>
        </w:rPr>
        <w:t>,</w:t>
      </w:r>
      <w:r w:rsidR="004D0B3A" w:rsidRPr="007F1007">
        <w:rPr>
          <w:rFonts w:cs="Times New Roman"/>
          <w:sz w:val="24"/>
          <w:szCs w:val="24"/>
          <w:lang w:val="en-GB"/>
        </w:rPr>
        <w:t xml:space="preserve"> and children with disabilities are given fewer opportunities to participate, express their views</w:t>
      </w:r>
      <w:r w:rsidR="00C64A60">
        <w:rPr>
          <w:rFonts w:cs="Times New Roman"/>
          <w:sz w:val="24"/>
          <w:szCs w:val="24"/>
          <w:lang w:val="en-GB"/>
        </w:rPr>
        <w:t>,</w:t>
      </w:r>
      <w:r w:rsidR="004D0B3A" w:rsidRPr="007F1007">
        <w:rPr>
          <w:rFonts w:cs="Times New Roman"/>
          <w:sz w:val="24"/>
          <w:szCs w:val="24"/>
          <w:lang w:val="en-GB"/>
        </w:rPr>
        <w:t xml:space="preserve"> and influence decision-making processes.</w:t>
      </w:r>
      <w:r w:rsidR="004D0B3A" w:rsidRPr="007F1007">
        <w:rPr>
          <w:rStyle w:val="FootnoteReference"/>
          <w:rFonts w:cs="Times New Roman"/>
          <w:sz w:val="24"/>
          <w:szCs w:val="24"/>
          <w:lang w:val="en-GB"/>
        </w:rPr>
        <w:footnoteReference w:id="9"/>
      </w:r>
      <w:r w:rsidR="004D0B3A" w:rsidRPr="007F1007">
        <w:rPr>
          <w:rFonts w:cs="Times New Roman"/>
          <w:sz w:val="24"/>
          <w:szCs w:val="24"/>
          <w:lang w:val="en-GB"/>
        </w:rPr>
        <w:t xml:space="preserve"> </w:t>
      </w:r>
    </w:p>
    <w:p w14:paraId="135FF652" w14:textId="77777777" w:rsidR="00C64A60" w:rsidRPr="007F1007" w:rsidRDefault="00C64A60" w:rsidP="00C64A60">
      <w:pPr>
        <w:spacing w:after="0"/>
        <w:jc w:val="both"/>
        <w:rPr>
          <w:rFonts w:cs="Times New Roman"/>
          <w:b/>
          <w:bCs/>
          <w:sz w:val="24"/>
          <w:szCs w:val="24"/>
          <w:lang w:val="en-GB"/>
        </w:rPr>
      </w:pPr>
    </w:p>
    <w:p w14:paraId="46E4DC30" w14:textId="1B6E2704" w:rsidR="002C28C7" w:rsidRDefault="00C64A60" w:rsidP="00C64A60">
      <w:pPr>
        <w:spacing w:after="0"/>
        <w:jc w:val="both"/>
        <w:rPr>
          <w:rFonts w:cs="Times New Roman"/>
          <w:sz w:val="24"/>
          <w:szCs w:val="24"/>
          <w:lang w:val="en-GB"/>
        </w:rPr>
      </w:pPr>
      <w:r>
        <w:rPr>
          <w:rFonts w:cs="Times New Roman"/>
          <w:sz w:val="24"/>
          <w:szCs w:val="24"/>
          <w:lang w:val="en-GB"/>
        </w:rPr>
        <w:t>P</w:t>
      </w:r>
      <w:r w:rsidR="002C28C7" w:rsidRPr="007F1007">
        <w:rPr>
          <w:rFonts w:cs="Times New Roman"/>
          <w:sz w:val="24"/>
          <w:szCs w:val="24"/>
          <w:lang w:val="en-GB"/>
        </w:rPr>
        <w:t>rotection and participation are complementary rather than in opposition</w:t>
      </w:r>
      <w:r>
        <w:rPr>
          <w:rFonts w:cs="Times New Roman"/>
          <w:sz w:val="24"/>
          <w:szCs w:val="24"/>
          <w:lang w:val="en-GB"/>
        </w:rPr>
        <w:t>,</w:t>
      </w:r>
      <w:r w:rsidR="002C28C7" w:rsidRPr="007F1007">
        <w:rPr>
          <w:rFonts w:cs="Times New Roman"/>
          <w:sz w:val="24"/>
          <w:szCs w:val="24"/>
          <w:lang w:val="en-GB"/>
        </w:rPr>
        <w:t xml:space="preserve"> and research has shown that</w:t>
      </w:r>
      <w:r w:rsidR="00340934" w:rsidRPr="007F1007">
        <w:rPr>
          <w:rFonts w:cs="Times New Roman"/>
          <w:sz w:val="24"/>
          <w:szCs w:val="24"/>
          <w:lang w:val="en-GB"/>
        </w:rPr>
        <w:t xml:space="preserve"> children’s</w:t>
      </w:r>
      <w:r w:rsidR="002C28C7" w:rsidRPr="007F1007">
        <w:rPr>
          <w:rFonts w:cs="Times New Roman"/>
          <w:sz w:val="24"/>
          <w:szCs w:val="24"/>
          <w:lang w:val="en-GB"/>
        </w:rPr>
        <w:t xml:space="preserve"> participation in the context of child protection services increases their confidence, self-efficacy and self-worth.</w:t>
      </w:r>
      <w:r w:rsidR="00FE17FD">
        <w:rPr>
          <w:rStyle w:val="FootnoteReference"/>
          <w:rFonts w:cs="Times New Roman"/>
          <w:sz w:val="24"/>
          <w:szCs w:val="24"/>
          <w:lang w:val="en-GB"/>
        </w:rPr>
        <w:footnoteReference w:id="10"/>
      </w:r>
      <w:r w:rsidR="002C28C7" w:rsidRPr="00B549BC">
        <w:rPr>
          <w:rFonts w:cs="Times New Roman"/>
          <w:sz w:val="24"/>
          <w:szCs w:val="24"/>
          <w:lang w:val="en-GB"/>
        </w:rPr>
        <w:t xml:space="preserve"> The evidence shows that children want to be involved in decisions related to their care, such as where and with whom they will live or how often they </w:t>
      </w:r>
      <w:r>
        <w:rPr>
          <w:rFonts w:cs="Times New Roman"/>
          <w:sz w:val="24"/>
          <w:szCs w:val="24"/>
          <w:lang w:val="en-GB"/>
        </w:rPr>
        <w:t>see</w:t>
      </w:r>
      <w:r w:rsidR="002C28C7" w:rsidRPr="00B549BC">
        <w:rPr>
          <w:rFonts w:cs="Times New Roman"/>
          <w:sz w:val="24"/>
          <w:szCs w:val="24"/>
          <w:lang w:val="en-GB"/>
        </w:rPr>
        <w:t xml:space="preserve"> their family members while in care.</w:t>
      </w:r>
      <w:r w:rsidR="00FE17FD">
        <w:rPr>
          <w:rStyle w:val="FootnoteReference"/>
          <w:rFonts w:cs="Times New Roman"/>
          <w:sz w:val="24"/>
          <w:szCs w:val="24"/>
          <w:lang w:val="en-GB"/>
        </w:rPr>
        <w:footnoteReference w:id="11"/>
      </w:r>
      <w:r w:rsidR="000C2064" w:rsidRPr="00B549BC">
        <w:rPr>
          <w:rFonts w:cs="Times New Roman"/>
          <w:sz w:val="24"/>
          <w:szCs w:val="24"/>
          <w:lang w:val="en-GB"/>
        </w:rPr>
        <w:t xml:space="preserve"> However, it is </w:t>
      </w:r>
      <w:r>
        <w:rPr>
          <w:rFonts w:cs="Times New Roman"/>
          <w:sz w:val="24"/>
          <w:szCs w:val="24"/>
          <w:lang w:val="en-GB"/>
        </w:rPr>
        <w:t>very common</w:t>
      </w:r>
      <w:r w:rsidR="000C2064" w:rsidRPr="00B549BC">
        <w:rPr>
          <w:rFonts w:cs="Times New Roman"/>
          <w:sz w:val="24"/>
          <w:szCs w:val="24"/>
          <w:lang w:val="en-GB"/>
        </w:rPr>
        <w:t xml:space="preserve"> that at best children are only allowed to have their say in trivial decisions</w:t>
      </w:r>
      <w:r>
        <w:rPr>
          <w:rFonts w:cs="Times New Roman"/>
          <w:sz w:val="24"/>
          <w:szCs w:val="24"/>
          <w:lang w:val="en-GB"/>
        </w:rPr>
        <w:t>,</w:t>
      </w:r>
      <w:r w:rsidR="000C2064" w:rsidRPr="00B549BC">
        <w:rPr>
          <w:rFonts w:cs="Times New Roman"/>
          <w:sz w:val="24"/>
          <w:szCs w:val="24"/>
          <w:lang w:val="en-GB"/>
        </w:rPr>
        <w:t xml:space="preserve"> while in decisions which matter to them the most</w:t>
      </w:r>
      <w:r>
        <w:rPr>
          <w:rFonts w:cs="Times New Roman"/>
          <w:sz w:val="24"/>
          <w:szCs w:val="24"/>
          <w:lang w:val="en-GB"/>
        </w:rPr>
        <w:t>,</w:t>
      </w:r>
      <w:r w:rsidR="000C2064" w:rsidRPr="00B549BC">
        <w:rPr>
          <w:rFonts w:cs="Times New Roman"/>
          <w:sz w:val="24"/>
          <w:szCs w:val="24"/>
          <w:lang w:val="en-GB"/>
        </w:rPr>
        <w:t xml:space="preserve"> such as where they live or how often they will see their birth parents</w:t>
      </w:r>
      <w:r>
        <w:rPr>
          <w:rFonts w:cs="Times New Roman"/>
          <w:sz w:val="24"/>
          <w:szCs w:val="24"/>
          <w:lang w:val="en-GB"/>
        </w:rPr>
        <w:t>,</w:t>
      </w:r>
      <w:r w:rsidR="000C2064" w:rsidRPr="00B549BC">
        <w:rPr>
          <w:rFonts w:cs="Times New Roman"/>
          <w:sz w:val="24"/>
          <w:szCs w:val="24"/>
          <w:lang w:val="en-GB"/>
        </w:rPr>
        <w:t xml:space="preserve"> they have little to no say</w:t>
      </w:r>
      <w:r>
        <w:rPr>
          <w:rFonts w:cs="Times New Roman"/>
          <w:sz w:val="24"/>
          <w:szCs w:val="24"/>
          <w:lang w:val="en-GB"/>
        </w:rPr>
        <w:t>,</w:t>
      </w:r>
      <w:r w:rsidR="00FE17FD">
        <w:rPr>
          <w:rStyle w:val="FootnoteReference"/>
          <w:rFonts w:cs="Times New Roman"/>
          <w:sz w:val="24"/>
          <w:szCs w:val="24"/>
          <w:lang w:val="en-GB"/>
        </w:rPr>
        <w:footnoteReference w:id="12"/>
      </w:r>
      <w:r w:rsidR="000C2064" w:rsidRPr="00B549BC">
        <w:rPr>
          <w:rFonts w:cs="Times New Roman"/>
          <w:sz w:val="24"/>
          <w:szCs w:val="24"/>
          <w:lang w:val="en-GB"/>
        </w:rPr>
        <w:t xml:space="preserve"> or are even denied a chance to express their views by giving evidence in courts in care proceedings </w:t>
      </w:r>
      <w:r>
        <w:rPr>
          <w:rFonts w:cs="Times New Roman"/>
          <w:sz w:val="24"/>
          <w:szCs w:val="24"/>
          <w:lang w:val="en-GB"/>
        </w:rPr>
        <w:t>to prevent them from being</w:t>
      </w:r>
      <w:r w:rsidR="000C2064" w:rsidRPr="00B549BC">
        <w:rPr>
          <w:rFonts w:cs="Times New Roman"/>
          <w:sz w:val="24"/>
          <w:szCs w:val="24"/>
          <w:lang w:val="en-GB"/>
        </w:rPr>
        <w:t xml:space="preserve"> exposed to distress.</w:t>
      </w:r>
      <w:r w:rsidR="00FE17FD">
        <w:rPr>
          <w:rStyle w:val="FootnoteReference"/>
          <w:rFonts w:cs="Times New Roman"/>
          <w:sz w:val="24"/>
          <w:szCs w:val="24"/>
          <w:lang w:val="en-GB"/>
        </w:rPr>
        <w:footnoteReference w:id="13"/>
      </w:r>
    </w:p>
    <w:p w14:paraId="0B6FBBE5" w14:textId="77777777" w:rsidR="00C64A60" w:rsidRPr="00FE17FD" w:rsidRDefault="00C64A60" w:rsidP="00C64A60">
      <w:pPr>
        <w:spacing w:after="0"/>
        <w:jc w:val="both"/>
        <w:rPr>
          <w:rFonts w:cs="Times New Roman"/>
          <w:sz w:val="24"/>
          <w:szCs w:val="24"/>
          <w:lang w:val="sr-Latn-RS"/>
        </w:rPr>
      </w:pPr>
    </w:p>
    <w:p w14:paraId="44CA2E10" w14:textId="280CBCCE" w:rsidR="001F1E27" w:rsidRDefault="00B549BC" w:rsidP="00C64A60">
      <w:pPr>
        <w:spacing w:after="0"/>
        <w:jc w:val="both"/>
        <w:rPr>
          <w:rFonts w:cs="Times New Roman"/>
          <w:sz w:val="24"/>
          <w:szCs w:val="24"/>
          <w:lang w:val="en-GB"/>
        </w:rPr>
      </w:pPr>
      <w:r w:rsidRPr="00F44C97">
        <w:rPr>
          <w:rFonts w:cs="Times New Roman"/>
          <w:b/>
          <w:bCs/>
          <w:iCs/>
          <w:sz w:val="24"/>
          <w:szCs w:val="24"/>
          <w:lang w:val="en-GB"/>
        </w:rPr>
        <w:t>The right to be heard should never be used to undermine protection agains</w:t>
      </w:r>
      <w:r w:rsidR="00C64A60" w:rsidRPr="00F44C97">
        <w:rPr>
          <w:rFonts w:cs="Times New Roman"/>
          <w:b/>
          <w:bCs/>
          <w:iCs/>
          <w:sz w:val="24"/>
          <w:szCs w:val="24"/>
          <w:lang w:val="en-GB"/>
        </w:rPr>
        <w:t>t institutionalization</w:t>
      </w:r>
      <w:r w:rsidR="00F44C97">
        <w:rPr>
          <w:rFonts w:cs="Times New Roman"/>
          <w:b/>
          <w:bCs/>
          <w:iCs/>
          <w:sz w:val="24"/>
          <w:szCs w:val="24"/>
          <w:lang w:val="en-GB"/>
        </w:rPr>
        <w:t xml:space="preserve">.  </w:t>
      </w:r>
      <w:r w:rsidR="00F44C97">
        <w:rPr>
          <w:rFonts w:cs="Times New Roman"/>
          <w:iCs/>
          <w:sz w:val="24"/>
          <w:szCs w:val="24"/>
          <w:lang w:val="en-GB"/>
        </w:rPr>
        <w:t xml:space="preserve">Proponents </w:t>
      </w:r>
      <w:r w:rsidR="00B36C64" w:rsidRPr="00B549BC">
        <w:rPr>
          <w:rFonts w:cs="Times New Roman"/>
          <w:sz w:val="24"/>
          <w:szCs w:val="24"/>
          <w:lang w:val="en-GB"/>
        </w:rPr>
        <w:t xml:space="preserve">of small-scale residential care </w:t>
      </w:r>
      <w:r w:rsidR="00C64A60">
        <w:rPr>
          <w:rFonts w:cs="Times New Roman"/>
          <w:sz w:val="24"/>
          <w:szCs w:val="24"/>
          <w:lang w:val="en-GB"/>
        </w:rPr>
        <w:t xml:space="preserve">argue </w:t>
      </w:r>
      <w:r w:rsidR="00B36C64" w:rsidRPr="00B549BC">
        <w:rPr>
          <w:rFonts w:cs="Times New Roman"/>
          <w:sz w:val="24"/>
          <w:szCs w:val="24"/>
          <w:lang w:val="en-GB"/>
        </w:rPr>
        <w:t xml:space="preserve">that children’s preferences </w:t>
      </w:r>
      <w:r w:rsidRPr="00B549BC">
        <w:rPr>
          <w:rFonts w:cs="Times New Roman"/>
          <w:sz w:val="24"/>
          <w:szCs w:val="24"/>
          <w:lang w:val="en-GB"/>
        </w:rPr>
        <w:t>may justify placement</w:t>
      </w:r>
      <w:r w:rsidR="00B36C64" w:rsidRPr="00B549BC">
        <w:rPr>
          <w:rFonts w:cs="Times New Roman"/>
          <w:sz w:val="24"/>
          <w:szCs w:val="24"/>
          <w:lang w:val="en-GB"/>
        </w:rPr>
        <w:t xml:space="preserve"> in residential care facilities.</w:t>
      </w:r>
      <w:r w:rsidR="00B36C64" w:rsidRPr="00B549BC">
        <w:rPr>
          <w:rStyle w:val="FootnoteReference"/>
          <w:rFonts w:cs="Times New Roman"/>
          <w:sz w:val="24"/>
          <w:szCs w:val="24"/>
          <w:lang w:val="en-GB"/>
        </w:rPr>
        <w:footnoteReference w:id="14"/>
      </w:r>
      <w:r w:rsidR="000C2064" w:rsidRPr="007F1007">
        <w:rPr>
          <w:rFonts w:cs="Times New Roman"/>
          <w:sz w:val="24"/>
          <w:szCs w:val="24"/>
          <w:lang w:val="en-GB"/>
        </w:rPr>
        <w:t xml:space="preserve"> </w:t>
      </w:r>
      <w:r>
        <w:rPr>
          <w:rFonts w:cs="Times New Roman"/>
          <w:sz w:val="24"/>
          <w:szCs w:val="24"/>
          <w:lang w:val="en-GB"/>
        </w:rPr>
        <w:t>C</w:t>
      </w:r>
      <w:r w:rsidR="009200E8" w:rsidRPr="007F1007">
        <w:rPr>
          <w:rFonts w:cs="Times New Roman"/>
          <w:sz w:val="24"/>
          <w:szCs w:val="24"/>
          <w:lang w:val="en-GB"/>
        </w:rPr>
        <w:t>hildren’s</w:t>
      </w:r>
      <w:r w:rsidR="00BC4651">
        <w:rPr>
          <w:rFonts w:cs="Times New Roman"/>
          <w:sz w:val="24"/>
          <w:szCs w:val="24"/>
          <w:lang w:val="en-GB"/>
        </w:rPr>
        <w:t xml:space="preserve"> </w:t>
      </w:r>
      <w:r w:rsidR="00C64A60">
        <w:rPr>
          <w:rFonts w:cs="Times New Roman"/>
          <w:sz w:val="24"/>
          <w:szCs w:val="24"/>
          <w:lang w:val="en-GB"/>
        </w:rPr>
        <w:t>apparent ‘</w:t>
      </w:r>
      <w:r w:rsidR="009200E8" w:rsidRPr="007F1007">
        <w:rPr>
          <w:rFonts w:cs="Times New Roman"/>
          <w:sz w:val="24"/>
          <w:szCs w:val="24"/>
          <w:lang w:val="en-GB"/>
        </w:rPr>
        <w:t>preference</w:t>
      </w:r>
      <w:r w:rsidR="00C64A60">
        <w:rPr>
          <w:rFonts w:cs="Times New Roman"/>
          <w:sz w:val="24"/>
          <w:szCs w:val="24"/>
          <w:lang w:val="en-GB"/>
        </w:rPr>
        <w:t>’</w:t>
      </w:r>
      <w:r w:rsidR="009200E8" w:rsidRPr="007F1007">
        <w:rPr>
          <w:rFonts w:cs="Times New Roman"/>
          <w:sz w:val="24"/>
          <w:szCs w:val="24"/>
          <w:lang w:val="en-GB"/>
        </w:rPr>
        <w:t xml:space="preserve"> for small-scale residential care may be due to ‘adaptive preferences’</w:t>
      </w:r>
      <w:r w:rsidR="009200E8" w:rsidRPr="007F1007">
        <w:rPr>
          <w:rStyle w:val="FootnoteReference"/>
          <w:rFonts w:cs="Times New Roman"/>
          <w:sz w:val="24"/>
          <w:szCs w:val="24"/>
          <w:lang w:val="en-GB"/>
        </w:rPr>
        <w:footnoteReference w:id="15"/>
      </w:r>
      <w:r w:rsidR="009200E8" w:rsidRPr="007F1007">
        <w:rPr>
          <w:rFonts w:cs="Times New Roman"/>
          <w:sz w:val="24"/>
          <w:szCs w:val="24"/>
          <w:lang w:val="en-GB"/>
        </w:rPr>
        <w:t xml:space="preserve"> </w:t>
      </w:r>
      <w:r w:rsidR="00EC0A19">
        <w:rPr>
          <w:rFonts w:cs="Times New Roman"/>
          <w:sz w:val="24"/>
          <w:szCs w:val="24"/>
          <w:lang w:val="en-GB"/>
        </w:rPr>
        <w:t>based on</w:t>
      </w:r>
      <w:r w:rsidR="009200E8" w:rsidRPr="007F1007">
        <w:rPr>
          <w:rFonts w:cs="Times New Roman"/>
          <w:sz w:val="24"/>
          <w:szCs w:val="24"/>
          <w:lang w:val="en-GB"/>
        </w:rPr>
        <w:t xml:space="preserve"> the lack of</w:t>
      </w:r>
      <w:r w:rsidR="00EC0A19">
        <w:rPr>
          <w:rFonts w:cs="Times New Roman"/>
          <w:sz w:val="24"/>
          <w:szCs w:val="24"/>
          <w:lang w:val="en-GB"/>
        </w:rPr>
        <w:t xml:space="preserve"> </w:t>
      </w:r>
      <w:r w:rsidR="00BC4651">
        <w:rPr>
          <w:rFonts w:cs="Times New Roman"/>
          <w:sz w:val="24"/>
          <w:szCs w:val="24"/>
          <w:lang w:val="en-GB"/>
        </w:rPr>
        <w:t>experience with any safe and meaningful alternative</w:t>
      </w:r>
      <w:r w:rsidR="009200E8" w:rsidRPr="007F1007">
        <w:rPr>
          <w:rFonts w:cs="Times New Roman"/>
          <w:sz w:val="24"/>
          <w:szCs w:val="24"/>
          <w:lang w:val="en-GB"/>
        </w:rPr>
        <w:t>.</w:t>
      </w:r>
      <w:r w:rsidR="00BC4651">
        <w:rPr>
          <w:rFonts w:cs="Times New Roman"/>
          <w:sz w:val="24"/>
          <w:szCs w:val="24"/>
          <w:lang w:val="en-GB"/>
        </w:rPr>
        <w:t xml:space="preserve"> </w:t>
      </w:r>
      <w:r w:rsidR="00C64A60">
        <w:rPr>
          <w:rFonts w:cs="Times New Roman"/>
          <w:sz w:val="24"/>
          <w:szCs w:val="24"/>
          <w:lang w:val="en-GB"/>
        </w:rPr>
        <w:t>A</w:t>
      </w:r>
      <w:r w:rsidR="009200E8" w:rsidRPr="007F1007">
        <w:rPr>
          <w:rFonts w:cs="Times New Roman"/>
          <w:sz w:val="24"/>
          <w:szCs w:val="24"/>
          <w:lang w:val="en-GB"/>
        </w:rPr>
        <w:t xml:space="preserve">dverse experiences </w:t>
      </w:r>
      <w:r w:rsidR="00C64A60">
        <w:rPr>
          <w:rFonts w:cs="Times New Roman"/>
          <w:sz w:val="24"/>
          <w:szCs w:val="24"/>
          <w:lang w:val="en-GB"/>
        </w:rPr>
        <w:t>in</w:t>
      </w:r>
      <w:r w:rsidR="009200E8" w:rsidRPr="007F1007">
        <w:rPr>
          <w:rFonts w:cs="Times New Roman"/>
          <w:sz w:val="24"/>
          <w:szCs w:val="24"/>
          <w:lang w:val="en-GB"/>
        </w:rPr>
        <w:t xml:space="preserve"> </w:t>
      </w:r>
      <w:r w:rsidR="00603FB2">
        <w:rPr>
          <w:rFonts w:cs="Times New Roman"/>
          <w:sz w:val="24"/>
          <w:szCs w:val="24"/>
          <w:lang w:val="en-GB"/>
        </w:rPr>
        <w:t xml:space="preserve">poorly organized and administered </w:t>
      </w:r>
      <w:r w:rsidR="009200E8" w:rsidRPr="007F1007">
        <w:rPr>
          <w:rFonts w:cs="Times New Roman"/>
          <w:sz w:val="24"/>
          <w:szCs w:val="24"/>
          <w:lang w:val="en-GB"/>
        </w:rPr>
        <w:t>foster care</w:t>
      </w:r>
      <w:r w:rsidR="00603FB2">
        <w:rPr>
          <w:rFonts w:cs="Times New Roman"/>
          <w:sz w:val="24"/>
          <w:szCs w:val="24"/>
          <w:lang w:val="en-GB"/>
        </w:rPr>
        <w:t xml:space="preserve"> programs</w:t>
      </w:r>
      <w:r w:rsidR="009200E8" w:rsidRPr="007F1007">
        <w:rPr>
          <w:rFonts w:cs="Times New Roman"/>
          <w:sz w:val="24"/>
          <w:szCs w:val="24"/>
          <w:lang w:val="en-GB"/>
        </w:rPr>
        <w:t xml:space="preserve"> may</w:t>
      </w:r>
      <w:r w:rsidR="00EC0A19">
        <w:rPr>
          <w:rFonts w:cs="Times New Roman"/>
          <w:sz w:val="24"/>
          <w:szCs w:val="24"/>
          <w:lang w:val="en-GB"/>
        </w:rPr>
        <w:t xml:space="preserve"> also</w:t>
      </w:r>
      <w:r w:rsidR="009200E8" w:rsidRPr="007F1007">
        <w:rPr>
          <w:rFonts w:cs="Times New Roman"/>
          <w:sz w:val="24"/>
          <w:szCs w:val="24"/>
          <w:lang w:val="en-GB"/>
        </w:rPr>
        <w:t xml:space="preserve"> be used to justify investments in residential care for some children, in particular children with disabilities. </w:t>
      </w:r>
      <w:r w:rsidR="00237701">
        <w:rPr>
          <w:rFonts w:cs="Times New Roman"/>
          <w:sz w:val="24"/>
          <w:szCs w:val="24"/>
          <w:lang w:val="en-GB"/>
        </w:rPr>
        <w:t xml:space="preserve"> </w:t>
      </w:r>
      <w:r w:rsidR="001F1E27">
        <w:rPr>
          <w:rFonts w:cs="Times New Roman"/>
          <w:sz w:val="24"/>
          <w:szCs w:val="24"/>
          <w:lang w:val="en-GB"/>
        </w:rPr>
        <w:t>A decision between inadequate foster care and any form of institution is not a real or meaningful choice.</w:t>
      </w:r>
    </w:p>
    <w:p w14:paraId="49D52F53" w14:textId="77777777" w:rsidR="001F1E27" w:rsidRDefault="001F1E27" w:rsidP="00C64A60">
      <w:pPr>
        <w:spacing w:after="0"/>
        <w:jc w:val="both"/>
        <w:rPr>
          <w:rFonts w:cs="Times New Roman"/>
          <w:sz w:val="24"/>
          <w:szCs w:val="24"/>
          <w:lang w:val="en-GB"/>
        </w:rPr>
      </w:pPr>
    </w:p>
    <w:p w14:paraId="18BC0FD2" w14:textId="1B55E8EB" w:rsidR="000C2064" w:rsidRPr="00F44C97" w:rsidRDefault="00237701" w:rsidP="00C64A60">
      <w:pPr>
        <w:spacing w:after="0"/>
        <w:jc w:val="both"/>
        <w:rPr>
          <w:rFonts w:cs="Times New Roman"/>
          <w:sz w:val="24"/>
          <w:szCs w:val="24"/>
          <w:lang w:val="en-GB"/>
        </w:rPr>
      </w:pPr>
      <w:r>
        <w:rPr>
          <w:rFonts w:cs="Times New Roman"/>
          <w:sz w:val="24"/>
          <w:szCs w:val="24"/>
          <w:lang w:val="en-GB"/>
        </w:rPr>
        <w:t xml:space="preserve">Despite this, </w:t>
      </w:r>
      <w:r w:rsidR="00BC4651">
        <w:rPr>
          <w:rFonts w:cs="Times New Roman"/>
          <w:sz w:val="24"/>
          <w:szCs w:val="24"/>
          <w:lang w:val="en-GB"/>
        </w:rPr>
        <w:t xml:space="preserve">expressions of preference </w:t>
      </w:r>
      <w:r>
        <w:rPr>
          <w:rFonts w:cs="Times New Roman"/>
          <w:sz w:val="24"/>
          <w:szCs w:val="24"/>
          <w:lang w:val="en-GB"/>
        </w:rPr>
        <w:t xml:space="preserve">in this context may be positive for the child.  </w:t>
      </w:r>
      <w:r w:rsidR="001F1E27" w:rsidRPr="001F1E27">
        <w:rPr>
          <w:rFonts w:cs="Times New Roman"/>
          <w:b/>
          <w:bCs/>
          <w:sz w:val="24"/>
          <w:szCs w:val="24"/>
          <w:lang w:val="en-GB"/>
        </w:rPr>
        <w:t>Such expressed preferences</w:t>
      </w:r>
      <w:r w:rsidR="001F1E27">
        <w:rPr>
          <w:rFonts w:cs="Times New Roman"/>
          <w:sz w:val="24"/>
          <w:szCs w:val="24"/>
          <w:lang w:val="en-GB"/>
        </w:rPr>
        <w:t xml:space="preserve"> </w:t>
      </w:r>
      <w:r w:rsidR="009200E8" w:rsidRPr="007F1007">
        <w:rPr>
          <w:rFonts w:cs="Times New Roman"/>
          <w:b/>
          <w:bCs/>
          <w:i/>
          <w:iCs/>
          <w:sz w:val="24"/>
          <w:szCs w:val="24"/>
          <w:lang w:val="en-GB"/>
        </w:rPr>
        <w:t>should be understood as a signal to develop better forms of family-</w:t>
      </w:r>
      <w:r w:rsidR="009200E8" w:rsidRPr="007F1007">
        <w:rPr>
          <w:rFonts w:cs="Times New Roman"/>
          <w:b/>
          <w:bCs/>
          <w:i/>
          <w:iCs/>
          <w:sz w:val="24"/>
          <w:szCs w:val="24"/>
          <w:lang w:val="en-GB"/>
        </w:rPr>
        <w:lastRenderedPageBreak/>
        <w:t>based care responsive to children’s need</w:t>
      </w:r>
      <w:r w:rsidR="00C64A60">
        <w:rPr>
          <w:rFonts w:cs="Times New Roman"/>
          <w:b/>
          <w:bCs/>
          <w:i/>
          <w:iCs/>
          <w:sz w:val="24"/>
          <w:szCs w:val="24"/>
          <w:lang w:val="en-GB"/>
        </w:rPr>
        <w:t>s</w:t>
      </w:r>
      <w:r w:rsidR="00340934" w:rsidRPr="007F1007">
        <w:rPr>
          <w:rFonts w:cs="Times New Roman"/>
          <w:b/>
          <w:bCs/>
          <w:i/>
          <w:iCs/>
          <w:sz w:val="24"/>
          <w:szCs w:val="24"/>
          <w:lang w:val="en-GB"/>
        </w:rPr>
        <w:t xml:space="preserve"> rather than a justification for placing children in harmful living conditions in residential care.</w:t>
      </w:r>
    </w:p>
    <w:p w14:paraId="296EB572" w14:textId="77777777" w:rsidR="00C64A60" w:rsidRDefault="00C64A60" w:rsidP="00C64A60">
      <w:pPr>
        <w:spacing w:after="0"/>
        <w:jc w:val="both"/>
        <w:rPr>
          <w:rFonts w:cs="Times New Roman"/>
          <w:b/>
          <w:bCs/>
          <w:i/>
          <w:iCs/>
          <w:sz w:val="24"/>
          <w:szCs w:val="24"/>
          <w:lang w:val="en-GB"/>
        </w:rPr>
      </w:pPr>
    </w:p>
    <w:p w14:paraId="1A0644AD" w14:textId="7B6639FB" w:rsidR="00603FB2" w:rsidRPr="00603FB2" w:rsidRDefault="00603FB2" w:rsidP="00C64A60">
      <w:pPr>
        <w:spacing w:after="0"/>
        <w:jc w:val="both"/>
        <w:rPr>
          <w:rFonts w:cs="Times New Roman"/>
          <w:sz w:val="24"/>
          <w:szCs w:val="24"/>
          <w:lang w:val="en-GB"/>
        </w:rPr>
      </w:pPr>
      <w:r>
        <w:rPr>
          <w:rFonts w:cs="Times New Roman"/>
          <w:sz w:val="24"/>
          <w:szCs w:val="24"/>
          <w:lang w:val="en-GB"/>
        </w:rPr>
        <w:t>The obligation to protect the best interest of the child under the CRC requires States Parties to protect children from institutional placement. S</w:t>
      </w:r>
      <w:r w:rsidR="002E12B4" w:rsidRPr="00BC4651">
        <w:rPr>
          <w:rFonts w:cs="Times New Roman"/>
          <w:sz w:val="24"/>
          <w:szCs w:val="24"/>
          <w:lang w:val="en-GB"/>
        </w:rPr>
        <w:t>ome proponents</w:t>
      </w:r>
      <w:r w:rsidR="002B44F2" w:rsidRPr="00BC4651">
        <w:rPr>
          <w:rFonts w:cs="Times New Roman"/>
          <w:sz w:val="24"/>
          <w:szCs w:val="24"/>
          <w:lang w:val="en-GB"/>
        </w:rPr>
        <w:t xml:space="preserve"> of small group homes </w:t>
      </w:r>
      <w:r>
        <w:rPr>
          <w:rFonts w:cs="Times New Roman"/>
          <w:sz w:val="24"/>
          <w:szCs w:val="24"/>
          <w:lang w:val="en-GB"/>
        </w:rPr>
        <w:t xml:space="preserve">have argued </w:t>
      </w:r>
      <w:r w:rsidR="007379DF" w:rsidRPr="00BC4651">
        <w:rPr>
          <w:rFonts w:cs="Times New Roman"/>
          <w:sz w:val="24"/>
          <w:szCs w:val="24"/>
          <w:lang w:val="en-GB"/>
        </w:rPr>
        <w:t xml:space="preserve">that it is sometimes children’s </w:t>
      </w:r>
      <w:r>
        <w:rPr>
          <w:rFonts w:cs="Times New Roman"/>
          <w:sz w:val="24"/>
          <w:szCs w:val="24"/>
          <w:lang w:val="en-GB"/>
        </w:rPr>
        <w:t>“</w:t>
      </w:r>
      <w:r w:rsidR="007379DF" w:rsidRPr="00BC4651">
        <w:rPr>
          <w:rFonts w:cs="Times New Roman"/>
          <w:sz w:val="24"/>
          <w:szCs w:val="24"/>
          <w:lang w:val="en-GB"/>
        </w:rPr>
        <w:t>choice</w:t>
      </w:r>
      <w:r>
        <w:rPr>
          <w:rFonts w:cs="Times New Roman"/>
          <w:sz w:val="24"/>
          <w:szCs w:val="24"/>
          <w:lang w:val="en-GB"/>
        </w:rPr>
        <w:t>” to live in residential care rather than a family.  Such choices cannot be justified by international law</w:t>
      </w:r>
      <w:r w:rsidR="00922E4D">
        <w:rPr>
          <w:rFonts w:cs="Times New Roman"/>
          <w:sz w:val="24"/>
          <w:szCs w:val="24"/>
          <w:lang w:val="en-GB"/>
        </w:rPr>
        <w:t xml:space="preserve"> which</w:t>
      </w:r>
      <w:r w:rsidR="00C64A60">
        <w:rPr>
          <w:rFonts w:cs="Times New Roman"/>
          <w:sz w:val="24"/>
          <w:szCs w:val="24"/>
          <w:lang w:val="en-GB"/>
        </w:rPr>
        <w:t xml:space="preserve"> </w:t>
      </w:r>
      <w:r w:rsidR="007379DF" w:rsidRPr="00BC4651">
        <w:rPr>
          <w:rFonts w:cs="Times New Roman"/>
          <w:sz w:val="24"/>
          <w:szCs w:val="24"/>
          <w:lang w:val="en-GB"/>
        </w:rPr>
        <w:t xml:space="preserve">does </w:t>
      </w:r>
      <w:r w:rsidR="007379DF" w:rsidRPr="00603FB2">
        <w:rPr>
          <w:rFonts w:cs="Times New Roman"/>
          <w:i/>
          <w:iCs/>
          <w:sz w:val="24"/>
          <w:szCs w:val="24"/>
          <w:lang w:val="en-GB"/>
        </w:rPr>
        <w:t xml:space="preserve">not </w:t>
      </w:r>
      <w:r w:rsidR="007379DF" w:rsidRPr="00BC4651">
        <w:rPr>
          <w:rFonts w:cs="Times New Roman"/>
          <w:sz w:val="24"/>
          <w:szCs w:val="24"/>
          <w:lang w:val="en-GB"/>
        </w:rPr>
        <w:t xml:space="preserve">endow children with the full legal capacity </w:t>
      </w:r>
      <w:r>
        <w:rPr>
          <w:rFonts w:cs="Times New Roman"/>
          <w:sz w:val="24"/>
          <w:szCs w:val="24"/>
          <w:lang w:val="en-GB"/>
        </w:rPr>
        <w:t>or</w:t>
      </w:r>
      <w:r w:rsidR="007379DF" w:rsidRPr="00BC4651">
        <w:rPr>
          <w:rFonts w:cs="Times New Roman"/>
          <w:sz w:val="24"/>
          <w:szCs w:val="24"/>
          <w:lang w:val="en-GB"/>
        </w:rPr>
        <w:t xml:space="preserve"> adult-like autonomy</w:t>
      </w:r>
      <w:r w:rsidR="00BC4651" w:rsidRPr="00BC4651">
        <w:rPr>
          <w:rFonts w:cs="Times New Roman"/>
          <w:sz w:val="24"/>
          <w:szCs w:val="24"/>
          <w:lang w:val="en-GB"/>
        </w:rPr>
        <w:t xml:space="preserve"> to place themselves in situations of inherent danger</w:t>
      </w:r>
      <w:r w:rsidR="007379DF" w:rsidRPr="007F1007">
        <w:rPr>
          <w:rFonts w:cs="Times New Roman"/>
          <w:b/>
          <w:bCs/>
          <w:i/>
          <w:iCs/>
          <w:sz w:val="24"/>
          <w:szCs w:val="24"/>
          <w:lang w:val="en-GB"/>
        </w:rPr>
        <w:t xml:space="preserve">. </w:t>
      </w:r>
      <w:r w:rsidR="00BC4651">
        <w:rPr>
          <w:rFonts w:cs="Times New Roman"/>
          <w:b/>
          <w:bCs/>
          <w:i/>
          <w:iCs/>
          <w:sz w:val="24"/>
          <w:szCs w:val="24"/>
          <w:lang w:val="en-GB"/>
        </w:rPr>
        <w:t xml:space="preserve">  </w:t>
      </w:r>
    </w:p>
    <w:p w14:paraId="54E24F03" w14:textId="77777777" w:rsidR="00C64A60" w:rsidRDefault="00C64A60" w:rsidP="00C64A60">
      <w:pPr>
        <w:spacing w:after="0"/>
        <w:jc w:val="both"/>
        <w:rPr>
          <w:rFonts w:cs="Times New Roman"/>
          <w:sz w:val="24"/>
          <w:szCs w:val="24"/>
          <w:lang w:val="en-GB"/>
        </w:rPr>
      </w:pPr>
    </w:p>
    <w:p w14:paraId="6BB62184" w14:textId="7DA94C73" w:rsidR="00603FB2" w:rsidRDefault="00603FB2" w:rsidP="00C64A60">
      <w:pPr>
        <w:spacing w:after="0"/>
        <w:jc w:val="both"/>
        <w:rPr>
          <w:rFonts w:cs="Times New Roman"/>
          <w:sz w:val="24"/>
          <w:szCs w:val="24"/>
          <w:lang w:val="en-GB"/>
        </w:rPr>
      </w:pPr>
      <w:r w:rsidRPr="007F1007">
        <w:rPr>
          <w:rFonts w:cs="Times New Roman"/>
          <w:sz w:val="24"/>
          <w:szCs w:val="24"/>
          <w:lang w:val="en-GB"/>
        </w:rPr>
        <w:t xml:space="preserve">CRC Article 12 is both a substantive right and a general principle to be applied across all other rights enshrined in the CRC. </w:t>
      </w:r>
      <w:r>
        <w:rPr>
          <w:rFonts w:cs="Times New Roman"/>
          <w:sz w:val="24"/>
          <w:szCs w:val="24"/>
          <w:lang w:val="en-GB"/>
        </w:rPr>
        <w:t>I</w:t>
      </w:r>
      <w:r w:rsidRPr="007F1007">
        <w:rPr>
          <w:rFonts w:cs="Times New Roman"/>
          <w:sz w:val="24"/>
          <w:szCs w:val="24"/>
          <w:lang w:val="en-GB"/>
        </w:rPr>
        <w:t>t does not entitle children to the right to make choices</w:t>
      </w:r>
      <w:r w:rsidR="00C64A60">
        <w:rPr>
          <w:rFonts w:cs="Times New Roman"/>
          <w:sz w:val="24"/>
          <w:szCs w:val="24"/>
          <w:lang w:val="en-GB"/>
        </w:rPr>
        <w:t>,</w:t>
      </w:r>
      <w:r w:rsidRPr="007F1007">
        <w:rPr>
          <w:rFonts w:cs="Times New Roman"/>
          <w:sz w:val="24"/>
          <w:szCs w:val="24"/>
          <w:lang w:val="en-GB"/>
        </w:rPr>
        <w:t xml:space="preserve"> but to participate in decisions in all matters that affect their lives.</w:t>
      </w:r>
      <w:r w:rsidRPr="00603FB2">
        <w:rPr>
          <w:rFonts w:cs="Times New Roman"/>
          <w:sz w:val="24"/>
          <w:szCs w:val="24"/>
          <w:lang w:val="en-GB"/>
        </w:rPr>
        <w:t xml:space="preserve"> </w:t>
      </w:r>
      <w:r>
        <w:rPr>
          <w:rFonts w:cs="Times New Roman"/>
          <w:sz w:val="24"/>
          <w:szCs w:val="24"/>
          <w:lang w:val="en-GB"/>
        </w:rPr>
        <w:t xml:space="preserve">  </w:t>
      </w:r>
    </w:p>
    <w:p w14:paraId="160A9FB6" w14:textId="77777777" w:rsidR="00C64A60" w:rsidRPr="00603FB2" w:rsidRDefault="00C64A60" w:rsidP="00C64A60">
      <w:pPr>
        <w:spacing w:after="0"/>
        <w:jc w:val="both"/>
        <w:rPr>
          <w:rFonts w:cs="Times New Roman"/>
          <w:sz w:val="24"/>
          <w:szCs w:val="24"/>
          <w:lang w:val="en-GB"/>
        </w:rPr>
      </w:pPr>
    </w:p>
    <w:p w14:paraId="3CFF1B97" w14:textId="4BF2F5A0" w:rsidR="00603FB2" w:rsidRDefault="007379DF" w:rsidP="000C2064">
      <w:pPr>
        <w:jc w:val="both"/>
        <w:rPr>
          <w:rFonts w:cs="Times New Roman"/>
          <w:sz w:val="24"/>
          <w:szCs w:val="24"/>
          <w:lang w:val="en-GB"/>
        </w:rPr>
      </w:pPr>
      <w:r w:rsidRPr="007F1007">
        <w:rPr>
          <w:rFonts w:cs="Times New Roman"/>
          <w:sz w:val="24"/>
          <w:szCs w:val="24"/>
          <w:lang w:val="en-GB"/>
        </w:rPr>
        <w:t>The ‘right to be heard’ means that children have the right to</w:t>
      </w:r>
      <w:r w:rsidR="00603FB2">
        <w:rPr>
          <w:rFonts w:cs="Times New Roman"/>
          <w:sz w:val="24"/>
          <w:szCs w:val="24"/>
          <w:lang w:val="en-GB"/>
        </w:rPr>
        <w:t>:</w:t>
      </w:r>
      <w:r w:rsidRPr="007F1007">
        <w:rPr>
          <w:rFonts w:cs="Times New Roman"/>
          <w:sz w:val="24"/>
          <w:szCs w:val="24"/>
          <w:lang w:val="en-GB"/>
        </w:rPr>
        <w:t xml:space="preserve"> a) be informed about what is at stake when decision</w:t>
      </w:r>
      <w:r w:rsidR="00C64A60">
        <w:rPr>
          <w:rFonts w:cs="Times New Roman"/>
          <w:sz w:val="24"/>
          <w:szCs w:val="24"/>
          <w:lang w:val="en-GB"/>
        </w:rPr>
        <w:t>s</w:t>
      </w:r>
      <w:r w:rsidRPr="007F1007">
        <w:rPr>
          <w:rFonts w:cs="Times New Roman"/>
          <w:sz w:val="24"/>
          <w:szCs w:val="24"/>
          <w:lang w:val="en-GB"/>
        </w:rPr>
        <w:t xml:space="preserve"> such as placement in care </w:t>
      </w:r>
      <w:r w:rsidR="00C64A60">
        <w:rPr>
          <w:rFonts w:cs="Times New Roman"/>
          <w:sz w:val="24"/>
          <w:szCs w:val="24"/>
          <w:lang w:val="en-GB"/>
        </w:rPr>
        <w:t>are</w:t>
      </w:r>
      <w:r w:rsidR="00C64A60" w:rsidRPr="007F1007">
        <w:rPr>
          <w:rFonts w:cs="Times New Roman"/>
          <w:sz w:val="24"/>
          <w:szCs w:val="24"/>
          <w:lang w:val="en-GB"/>
        </w:rPr>
        <w:t xml:space="preserve"> </w:t>
      </w:r>
      <w:r w:rsidRPr="007F1007">
        <w:rPr>
          <w:rFonts w:cs="Times New Roman"/>
          <w:sz w:val="24"/>
          <w:szCs w:val="24"/>
          <w:lang w:val="en-GB"/>
        </w:rPr>
        <w:t>being made b) express their view</w:t>
      </w:r>
      <w:r w:rsidR="00C64A60">
        <w:rPr>
          <w:rFonts w:cs="Times New Roman"/>
          <w:sz w:val="24"/>
          <w:szCs w:val="24"/>
          <w:lang w:val="en-GB"/>
        </w:rPr>
        <w:t>s</w:t>
      </w:r>
      <w:r w:rsidRPr="007F1007">
        <w:rPr>
          <w:rFonts w:cs="Times New Roman"/>
          <w:sz w:val="24"/>
          <w:szCs w:val="24"/>
          <w:lang w:val="en-GB"/>
        </w:rPr>
        <w:t xml:space="preserve">; c) have that view considered seriously by adult decision-makers; and d) get feedback if a course of action different than their view had to be taken. </w:t>
      </w:r>
    </w:p>
    <w:p w14:paraId="0DF1B876" w14:textId="66381283" w:rsidR="002E12B4" w:rsidRDefault="00603FB2" w:rsidP="00C64A60">
      <w:pPr>
        <w:spacing w:after="0"/>
        <w:jc w:val="both"/>
        <w:rPr>
          <w:rFonts w:cs="Times New Roman"/>
          <w:sz w:val="24"/>
          <w:szCs w:val="24"/>
          <w:lang w:val="en-GB"/>
        </w:rPr>
      </w:pPr>
      <w:r>
        <w:rPr>
          <w:rFonts w:cs="Times New Roman"/>
          <w:sz w:val="24"/>
          <w:szCs w:val="24"/>
          <w:lang w:val="en-GB"/>
        </w:rPr>
        <w:t xml:space="preserve">Children </w:t>
      </w:r>
      <w:r w:rsidR="00C64A60">
        <w:rPr>
          <w:rFonts w:cs="Times New Roman"/>
          <w:sz w:val="24"/>
          <w:szCs w:val="24"/>
          <w:lang w:val="en-GB"/>
        </w:rPr>
        <w:t xml:space="preserve">must </w:t>
      </w:r>
      <w:r>
        <w:rPr>
          <w:rFonts w:cs="Times New Roman"/>
          <w:sz w:val="24"/>
          <w:szCs w:val="24"/>
          <w:lang w:val="en-GB"/>
        </w:rPr>
        <w:t>be offered v</w:t>
      </w:r>
      <w:r w:rsidR="003147B6" w:rsidRPr="007F1007">
        <w:rPr>
          <w:rFonts w:cs="Times New Roman"/>
          <w:sz w:val="24"/>
          <w:szCs w:val="24"/>
          <w:lang w:val="en-GB"/>
        </w:rPr>
        <w:t xml:space="preserve">iable alternative care options which aim to restore </w:t>
      </w:r>
      <w:r w:rsidR="00C64A60">
        <w:rPr>
          <w:rFonts w:cs="Times New Roman"/>
          <w:sz w:val="24"/>
          <w:szCs w:val="24"/>
          <w:lang w:val="en-GB"/>
        </w:rPr>
        <w:t>their</w:t>
      </w:r>
      <w:r w:rsidR="003147B6" w:rsidRPr="007F1007">
        <w:rPr>
          <w:rFonts w:cs="Times New Roman"/>
          <w:sz w:val="24"/>
          <w:szCs w:val="24"/>
          <w:lang w:val="en-GB"/>
        </w:rPr>
        <w:t xml:space="preserve"> right to family life.</w:t>
      </w:r>
      <w:r>
        <w:rPr>
          <w:rFonts w:cs="Times New Roman"/>
          <w:sz w:val="24"/>
          <w:szCs w:val="24"/>
          <w:lang w:val="en-GB"/>
        </w:rPr>
        <w:t xml:space="preserve"> A</w:t>
      </w:r>
      <w:r w:rsidR="003147B6" w:rsidRPr="007F1007">
        <w:rPr>
          <w:rFonts w:cs="Times New Roman"/>
          <w:sz w:val="24"/>
          <w:szCs w:val="24"/>
          <w:lang w:val="en-GB"/>
        </w:rPr>
        <w:t xml:space="preserve">uthorities have a duty to </w:t>
      </w:r>
      <w:r w:rsidR="00DD67DA" w:rsidRPr="007F1007">
        <w:rPr>
          <w:rFonts w:cs="Times New Roman"/>
          <w:sz w:val="24"/>
          <w:szCs w:val="24"/>
          <w:lang w:val="en-GB"/>
        </w:rPr>
        <w:t>t</w:t>
      </w:r>
      <w:r w:rsidR="003147B6" w:rsidRPr="007F1007">
        <w:rPr>
          <w:rFonts w:cs="Times New Roman"/>
          <w:sz w:val="24"/>
          <w:szCs w:val="24"/>
          <w:lang w:val="en-GB"/>
        </w:rPr>
        <w:t xml:space="preserve">ake concrete steps to establish a range of family-based alternatives for children with disabilities who get separated from their biological families. Such alternatives </w:t>
      </w:r>
      <w:r w:rsidR="00C64A60">
        <w:rPr>
          <w:rFonts w:cs="Times New Roman"/>
          <w:sz w:val="24"/>
          <w:szCs w:val="24"/>
          <w:lang w:val="en-GB"/>
        </w:rPr>
        <w:t>must</w:t>
      </w:r>
      <w:r w:rsidR="003147B6" w:rsidRPr="007F1007">
        <w:rPr>
          <w:rFonts w:cs="Times New Roman"/>
          <w:sz w:val="24"/>
          <w:szCs w:val="24"/>
          <w:lang w:val="en-GB"/>
        </w:rPr>
        <w:t xml:space="preserve"> be presented to </w:t>
      </w:r>
      <w:r w:rsidR="00C64A60">
        <w:rPr>
          <w:rFonts w:cs="Times New Roman"/>
          <w:sz w:val="24"/>
          <w:szCs w:val="24"/>
          <w:lang w:val="en-GB"/>
        </w:rPr>
        <w:t>children with disabilities facing</w:t>
      </w:r>
      <w:r w:rsidR="00DD67DA" w:rsidRPr="007F1007">
        <w:rPr>
          <w:rFonts w:cs="Times New Roman"/>
          <w:sz w:val="24"/>
          <w:szCs w:val="24"/>
          <w:lang w:val="en-GB"/>
        </w:rPr>
        <w:t xml:space="preserve"> </w:t>
      </w:r>
      <w:r w:rsidR="00C64A60">
        <w:rPr>
          <w:rFonts w:cs="Times New Roman"/>
          <w:sz w:val="24"/>
          <w:szCs w:val="24"/>
          <w:lang w:val="en-GB"/>
        </w:rPr>
        <w:t>placement</w:t>
      </w:r>
      <w:r w:rsidR="00C64A60" w:rsidRPr="007F1007">
        <w:rPr>
          <w:rFonts w:cs="Times New Roman"/>
          <w:sz w:val="24"/>
          <w:szCs w:val="24"/>
          <w:lang w:val="en-GB"/>
        </w:rPr>
        <w:t xml:space="preserve"> </w:t>
      </w:r>
      <w:r w:rsidR="00DD67DA" w:rsidRPr="007F1007">
        <w:rPr>
          <w:rFonts w:cs="Times New Roman"/>
          <w:sz w:val="24"/>
          <w:szCs w:val="24"/>
          <w:lang w:val="en-GB"/>
        </w:rPr>
        <w:t>in alternative care or preparing to leave institutional care,</w:t>
      </w:r>
      <w:r w:rsidR="003147B6" w:rsidRPr="007F1007">
        <w:rPr>
          <w:rFonts w:cs="Times New Roman"/>
          <w:sz w:val="24"/>
          <w:szCs w:val="24"/>
          <w:lang w:val="en-GB"/>
        </w:rPr>
        <w:t xml:space="preserve"> in </w:t>
      </w:r>
      <w:r w:rsidR="00DD67DA" w:rsidRPr="007F1007">
        <w:rPr>
          <w:rFonts w:cs="Times New Roman"/>
          <w:sz w:val="24"/>
          <w:szCs w:val="24"/>
          <w:lang w:val="en-GB"/>
        </w:rPr>
        <w:t xml:space="preserve">an </w:t>
      </w:r>
      <w:r w:rsidR="003147B6" w:rsidRPr="007F1007">
        <w:rPr>
          <w:rFonts w:cs="Times New Roman"/>
          <w:sz w:val="24"/>
          <w:szCs w:val="24"/>
          <w:lang w:val="en-GB"/>
        </w:rPr>
        <w:t>accessible manner</w:t>
      </w:r>
      <w:r w:rsidR="00DD67DA" w:rsidRPr="007F1007">
        <w:rPr>
          <w:rFonts w:cs="Times New Roman"/>
          <w:sz w:val="24"/>
          <w:szCs w:val="24"/>
          <w:lang w:val="en-GB"/>
        </w:rPr>
        <w:t xml:space="preserve">. </w:t>
      </w:r>
      <w:r w:rsidR="00C64A60">
        <w:rPr>
          <w:rFonts w:cs="Times New Roman"/>
          <w:sz w:val="24"/>
          <w:szCs w:val="24"/>
          <w:lang w:val="en-GB"/>
        </w:rPr>
        <w:t>Children</w:t>
      </w:r>
      <w:r w:rsidR="00DD67DA" w:rsidRPr="007F1007">
        <w:rPr>
          <w:rFonts w:cs="Times New Roman"/>
          <w:sz w:val="24"/>
          <w:szCs w:val="24"/>
          <w:lang w:val="en-GB"/>
        </w:rPr>
        <w:t xml:space="preserve"> should only be given option</w:t>
      </w:r>
      <w:r w:rsidR="00C64A60">
        <w:rPr>
          <w:rFonts w:cs="Times New Roman"/>
          <w:sz w:val="24"/>
          <w:szCs w:val="24"/>
          <w:lang w:val="en-GB"/>
        </w:rPr>
        <w:t>s</w:t>
      </w:r>
      <w:r w:rsidR="00DD67DA" w:rsidRPr="007F1007">
        <w:rPr>
          <w:rFonts w:cs="Times New Roman"/>
          <w:sz w:val="24"/>
          <w:szCs w:val="24"/>
          <w:lang w:val="en-GB"/>
        </w:rPr>
        <w:t xml:space="preserve"> </w:t>
      </w:r>
      <w:r w:rsidR="00C64A60">
        <w:rPr>
          <w:rFonts w:cs="Times New Roman"/>
          <w:sz w:val="24"/>
          <w:szCs w:val="24"/>
          <w:lang w:val="en-GB"/>
        </w:rPr>
        <w:t>of</w:t>
      </w:r>
      <w:r w:rsidR="00DD67DA" w:rsidRPr="007F1007">
        <w:rPr>
          <w:rFonts w:cs="Times New Roman"/>
          <w:sz w:val="24"/>
          <w:szCs w:val="24"/>
          <w:lang w:val="en-GB"/>
        </w:rPr>
        <w:t xml:space="preserve"> family-based alternatives which do not constitute harm for </w:t>
      </w:r>
      <w:r w:rsidR="00C64A60">
        <w:rPr>
          <w:rFonts w:cs="Times New Roman"/>
          <w:sz w:val="24"/>
          <w:szCs w:val="24"/>
          <w:lang w:val="en-GB"/>
        </w:rPr>
        <w:t>their</w:t>
      </w:r>
      <w:r w:rsidR="00DD67DA" w:rsidRPr="007F1007">
        <w:rPr>
          <w:rFonts w:cs="Times New Roman"/>
          <w:sz w:val="24"/>
          <w:szCs w:val="24"/>
          <w:lang w:val="en-GB"/>
        </w:rPr>
        <w:t xml:space="preserve"> development (</w:t>
      </w:r>
      <w:proofErr w:type="gramStart"/>
      <w:r w:rsidR="00DD67DA" w:rsidRPr="007F1007">
        <w:rPr>
          <w:rFonts w:cs="Times New Roman"/>
          <w:sz w:val="24"/>
          <w:szCs w:val="24"/>
          <w:lang w:val="en-GB"/>
        </w:rPr>
        <w:t>e.g.</w:t>
      </w:r>
      <w:proofErr w:type="gramEnd"/>
      <w:r w:rsidR="00DD67DA" w:rsidRPr="007F1007">
        <w:rPr>
          <w:rFonts w:cs="Times New Roman"/>
          <w:sz w:val="24"/>
          <w:szCs w:val="24"/>
          <w:lang w:val="en-GB"/>
        </w:rPr>
        <w:t xml:space="preserve"> foster care, kinship care). In countries where authorities have failed to establish system</w:t>
      </w:r>
      <w:r w:rsidR="00C64A60">
        <w:rPr>
          <w:rFonts w:cs="Times New Roman"/>
          <w:sz w:val="24"/>
          <w:szCs w:val="24"/>
          <w:lang w:val="en-GB"/>
        </w:rPr>
        <w:t>s</w:t>
      </w:r>
      <w:r w:rsidR="00DD67DA" w:rsidRPr="007F1007">
        <w:rPr>
          <w:rFonts w:cs="Times New Roman"/>
          <w:sz w:val="24"/>
          <w:szCs w:val="24"/>
          <w:lang w:val="en-GB"/>
        </w:rPr>
        <w:t xml:space="preserve"> of family-based care, the participation of </w:t>
      </w:r>
      <w:r w:rsidR="00C64A60">
        <w:rPr>
          <w:rFonts w:cs="Times New Roman"/>
          <w:sz w:val="24"/>
          <w:szCs w:val="24"/>
          <w:lang w:val="en-GB"/>
        </w:rPr>
        <w:t xml:space="preserve">the </w:t>
      </w:r>
      <w:r w:rsidR="00DD67DA" w:rsidRPr="007F1007">
        <w:rPr>
          <w:rFonts w:cs="Times New Roman"/>
          <w:sz w:val="24"/>
          <w:szCs w:val="24"/>
          <w:lang w:val="en-GB"/>
        </w:rPr>
        <w:t>child amounts to tokenism as the child does not have family-based alternatives to choose from</w:t>
      </w:r>
      <w:r w:rsidR="001C6E73">
        <w:rPr>
          <w:rFonts w:cs="Times New Roman"/>
          <w:sz w:val="24"/>
          <w:szCs w:val="24"/>
          <w:lang w:val="en-GB"/>
        </w:rPr>
        <w:t>.</w:t>
      </w:r>
      <w:r w:rsidR="00DD67DA" w:rsidRPr="007F1007">
        <w:rPr>
          <w:rFonts w:cs="Times New Roman"/>
          <w:sz w:val="24"/>
          <w:szCs w:val="24"/>
          <w:lang w:val="en-GB"/>
        </w:rPr>
        <w:t xml:space="preserve"> </w:t>
      </w:r>
    </w:p>
    <w:p w14:paraId="1D3564F4" w14:textId="77777777" w:rsidR="00C64A60" w:rsidRDefault="00C64A60" w:rsidP="00C64A60">
      <w:pPr>
        <w:spacing w:after="0"/>
        <w:jc w:val="both"/>
        <w:rPr>
          <w:rFonts w:cs="Times New Roman"/>
          <w:sz w:val="24"/>
          <w:szCs w:val="24"/>
          <w:lang w:val="en-GB"/>
        </w:rPr>
      </w:pPr>
    </w:p>
    <w:p w14:paraId="45C53AEB" w14:textId="4CED0654" w:rsidR="00C64A60" w:rsidRPr="007F1007" w:rsidRDefault="007F1007" w:rsidP="00C64A60">
      <w:pPr>
        <w:spacing w:after="0"/>
        <w:jc w:val="both"/>
        <w:rPr>
          <w:rFonts w:cs="Times New Roman"/>
          <w:b/>
          <w:bCs/>
          <w:i/>
          <w:iCs/>
          <w:sz w:val="24"/>
          <w:szCs w:val="24"/>
          <w:lang w:val="en-GB"/>
        </w:rPr>
      </w:pPr>
      <w:r>
        <w:rPr>
          <w:rFonts w:cs="Times New Roman"/>
          <w:b/>
          <w:bCs/>
          <w:i/>
          <w:iCs/>
          <w:sz w:val="24"/>
          <w:szCs w:val="24"/>
          <w:lang w:val="en-GB"/>
        </w:rPr>
        <w:t>Recommendations:</w:t>
      </w:r>
    </w:p>
    <w:p w14:paraId="7E96AC72" w14:textId="0BB3ECED" w:rsidR="001C6E73" w:rsidRDefault="001C6E73" w:rsidP="00C64A60">
      <w:pPr>
        <w:pStyle w:val="ListParagraph"/>
        <w:numPr>
          <w:ilvl w:val="0"/>
          <w:numId w:val="6"/>
        </w:numPr>
        <w:spacing w:after="0"/>
        <w:jc w:val="both"/>
        <w:rPr>
          <w:rFonts w:cs="Times New Roman"/>
          <w:i/>
          <w:iCs/>
          <w:sz w:val="24"/>
          <w:szCs w:val="24"/>
          <w:lang w:val="en-GB"/>
        </w:rPr>
      </w:pPr>
      <w:r w:rsidRPr="006E3C80">
        <w:rPr>
          <w:rFonts w:cs="Times New Roman"/>
          <w:b/>
          <w:bCs/>
          <w:i/>
          <w:iCs/>
          <w:sz w:val="24"/>
          <w:szCs w:val="24"/>
          <w:lang w:val="en-GB"/>
        </w:rPr>
        <w:t>No child should ever be presented with a choice to live in any form of institutional car</w:t>
      </w:r>
      <w:r w:rsidR="00F44C97">
        <w:rPr>
          <w:rFonts w:cs="Times New Roman"/>
          <w:b/>
          <w:bCs/>
          <w:i/>
          <w:iCs/>
          <w:sz w:val="24"/>
          <w:szCs w:val="24"/>
          <w:lang w:val="en-GB"/>
        </w:rPr>
        <w:t>e</w:t>
      </w:r>
      <w:r w:rsidRPr="006E3C80">
        <w:rPr>
          <w:rFonts w:cs="Times New Roman"/>
          <w:b/>
          <w:bCs/>
          <w:i/>
          <w:iCs/>
          <w:sz w:val="24"/>
          <w:szCs w:val="24"/>
          <w:lang w:val="en-GB"/>
        </w:rPr>
        <w:t>.</w:t>
      </w:r>
      <w:r w:rsidRPr="006E3C80">
        <w:rPr>
          <w:rFonts w:cs="Times New Roman"/>
          <w:i/>
          <w:sz w:val="24"/>
          <w:szCs w:val="24"/>
          <w:lang w:val="en-GB"/>
        </w:rPr>
        <w:t xml:space="preserve"> </w:t>
      </w:r>
      <w:r w:rsidRPr="006E3C80">
        <w:rPr>
          <w:rFonts w:cs="Times New Roman"/>
          <w:i/>
          <w:iCs/>
          <w:sz w:val="24"/>
          <w:szCs w:val="24"/>
          <w:lang w:val="en-GB"/>
        </w:rPr>
        <w:t>If temporary placement in some form of institutional care remains the only option</w:t>
      </w:r>
      <w:r w:rsidR="00F44C97">
        <w:rPr>
          <w:rFonts w:cs="Times New Roman"/>
          <w:i/>
          <w:iCs/>
          <w:sz w:val="24"/>
          <w:szCs w:val="24"/>
          <w:lang w:val="en-GB"/>
        </w:rPr>
        <w:t xml:space="preserve"> offered by an inadequate child care system</w:t>
      </w:r>
      <w:r w:rsidRPr="006E3C80">
        <w:rPr>
          <w:rFonts w:cs="Times New Roman"/>
          <w:i/>
          <w:iCs/>
          <w:sz w:val="24"/>
          <w:szCs w:val="24"/>
          <w:lang w:val="en-GB"/>
        </w:rPr>
        <w:t xml:space="preserve">, the child </w:t>
      </w:r>
      <w:r w:rsidR="00C64A60" w:rsidRPr="006E3C80">
        <w:rPr>
          <w:rFonts w:cs="Times New Roman"/>
          <w:i/>
          <w:iCs/>
          <w:sz w:val="24"/>
          <w:szCs w:val="24"/>
          <w:lang w:val="en-GB"/>
        </w:rPr>
        <w:t>must</w:t>
      </w:r>
      <w:r w:rsidRPr="006E3C80">
        <w:rPr>
          <w:rFonts w:cs="Times New Roman"/>
          <w:i/>
          <w:iCs/>
          <w:sz w:val="24"/>
          <w:szCs w:val="24"/>
          <w:lang w:val="en-GB"/>
        </w:rPr>
        <w:t xml:space="preserve"> be informed </w:t>
      </w:r>
      <w:r w:rsidR="00C64A60" w:rsidRPr="006E3C80">
        <w:rPr>
          <w:rFonts w:cs="Times New Roman"/>
          <w:i/>
          <w:iCs/>
          <w:sz w:val="24"/>
          <w:szCs w:val="24"/>
          <w:lang w:val="en-GB"/>
        </w:rPr>
        <w:t xml:space="preserve">of </w:t>
      </w:r>
      <w:r w:rsidRPr="006E3C80">
        <w:rPr>
          <w:rFonts w:cs="Times New Roman"/>
          <w:i/>
          <w:iCs/>
          <w:sz w:val="24"/>
          <w:szCs w:val="24"/>
          <w:lang w:val="en-GB"/>
        </w:rPr>
        <w:t xml:space="preserve">steps to be taken to restore </w:t>
      </w:r>
      <w:r w:rsidR="00C64A60" w:rsidRPr="006E3C80">
        <w:rPr>
          <w:rFonts w:cs="Times New Roman"/>
          <w:i/>
          <w:iCs/>
          <w:sz w:val="24"/>
          <w:szCs w:val="24"/>
          <w:lang w:val="en-GB"/>
        </w:rPr>
        <w:t>their</w:t>
      </w:r>
      <w:r w:rsidRPr="006E3C80">
        <w:rPr>
          <w:rFonts w:cs="Times New Roman"/>
          <w:i/>
          <w:iCs/>
          <w:sz w:val="24"/>
          <w:szCs w:val="24"/>
          <w:lang w:val="en-GB"/>
        </w:rPr>
        <w:t xml:space="preserve"> right to family life. Such a decision cannot ever be justified as being in the child’s best interests or resulting from the child’s choice. A clear plan </w:t>
      </w:r>
      <w:r w:rsidR="00C64A60" w:rsidRPr="006E3C80">
        <w:rPr>
          <w:rFonts w:cs="Times New Roman"/>
          <w:i/>
          <w:iCs/>
          <w:sz w:val="24"/>
          <w:szCs w:val="24"/>
          <w:lang w:val="en-GB"/>
        </w:rPr>
        <w:t>must</w:t>
      </w:r>
      <w:r w:rsidRPr="006E3C80">
        <w:rPr>
          <w:rFonts w:cs="Times New Roman"/>
          <w:i/>
          <w:iCs/>
          <w:sz w:val="24"/>
          <w:szCs w:val="24"/>
          <w:lang w:val="en-GB"/>
        </w:rPr>
        <w:t xml:space="preserve"> be devised to move the child to a family-based setting as soon as possible.</w:t>
      </w:r>
    </w:p>
    <w:p w14:paraId="1094FB85" w14:textId="77777777" w:rsidR="001F1E27" w:rsidRPr="006E3C80" w:rsidRDefault="001F1E27" w:rsidP="001F1E27">
      <w:pPr>
        <w:pStyle w:val="ListParagraph"/>
        <w:spacing w:after="0"/>
        <w:jc w:val="both"/>
        <w:rPr>
          <w:rFonts w:cs="Times New Roman"/>
          <w:i/>
          <w:iCs/>
          <w:sz w:val="24"/>
          <w:szCs w:val="24"/>
          <w:lang w:val="en-GB"/>
        </w:rPr>
      </w:pPr>
    </w:p>
    <w:p w14:paraId="57677BE9" w14:textId="7110FCD4" w:rsidR="001F1E27" w:rsidRPr="00922E4D" w:rsidRDefault="00382652" w:rsidP="00922E4D">
      <w:pPr>
        <w:pStyle w:val="ListParagraph"/>
        <w:numPr>
          <w:ilvl w:val="0"/>
          <w:numId w:val="6"/>
        </w:numPr>
        <w:jc w:val="both"/>
        <w:rPr>
          <w:rFonts w:cs="Times New Roman"/>
          <w:i/>
          <w:iCs/>
          <w:sz w:val="24"/>
          <w:szCs w:val="24"/>
          <w:lang w:val="en-GB"/>
        </w:rPr>
      </w:pPr>
      <w:r w:rsidRPr="006E3C80">
        <w:rPr>
          <w:rFonts w:cs="Times New Roman"/>
          <w:i/>
          <w:iCs/>
          <w:sz w:val="24"/>
          <w:szCs w:val="24"/>
          <w:lang w:val="en-GB"/>
        </w:rPr>
        <w:t xml:space="preserve">The Committee should acknowledge that children’s wishes </w:t>
      </w:r>
      <w:r w:rsidR="00C64A60" w:rsidRPr="006E3C80">
        <w:rPr>
          <w:rFonts w:cs="Times New Roman"/>
          <w:i/>
          <w:iCs/>
          <w:sz w:val="24"/>
          <w:szCs w:val="24"/>
          <w:lang w:val="en-GB"/>
        </w:rPr>
        <w:t>must</w:t>
      </w:r>
      <w:r w:rsidRPr="006E3C80">
        <w:rPr>
          <w:rFonts w:cs="Times New Roman"/>
          <w:i/>
          <w:iCs/>
          <w:sz w:val="24"/>
          <w:szCs w:val="24"/>
          <w:lang w:val="en-GB"/>
        </w:rPr>
        <w:t xml:space="preserve"> be balanced against their ‘best interests’ and that </w:t>
      </w:r>
      <w:r w:rsidR="00C64A60" w:rsidRPr="006E3C80">
        <w:rPr>
          <w:rFonts w:cs="Times New Roman"/>
          <w:b/>
          <w:bCs/>
          <w:i/>
          <w:iCs/>
          <w:sz w:val="24"/>
          <w:szCs w:val="24"/>
          <w:lang w:val="en-GB"/>
        </w:rPr>
        <w:t>children should</w:t>
      </w:r>
      <w:r w:rsidRPr="006E3C80">
        <w:rPr>
          <w:rFonts w:cs="Times New Roman"/>
          <w:b/>
          <w:bCs/>
          <w:i/>
          <w:iCs/>
          <w:sz w:val="24"/>
          <w:szCs w:val="24"/>
          <w:lang w:val="en-GB"/>
        </w:rPr>
        <w:t xml:space="preserve"> never be allowed to choose options which are </w:t>
      </w:r>
      <w:r w:rsidRPr="006E3C80">
        <w:rPr>
          <w:rFonts w:cs="Times New Roman"/>
          <w:b/>
          <w:bCs/>
          <w:i/>
          <w:iCs/>
          <w:sz w:val="24"/>
          <w:szCs w:val="24"/>
          <w:lang w:val="en-GB"/>
        </w:rPr>
        <w:lastRenderedPageBreak/>
        <w:t>likely to result in significant harm</w:t>
      </w:r>
      <w:r w:rsidR="00C64A60" w:rsidRPr="006E3C80">
        <w:rPr>
          <w:rFonts w:cs="Times New Roman"/>
          <w:b/>
          <w:bCs/>
          <w:i/>
          <w:iCs/>
          <w:sz w:val="24"/>
          <w:szCs w:val="24"/>
          <w:lang w:val="en-GB"/>
        </w:rPr>
        <w:t>,</w:t>
      </w:r>
      <w:r w:rsidRPr="006E3C80">
        <w:rPr>
          <w:rFonts w:cs="Times New Roman"/>
          <w:i/>
          <w:iCs/>
          <w:sz w:val="24"/>
          <w:szCs w:val="24"/>
          <w:lang w:val="en-GB"/>
        </w:rPr>
        <w:t xml:space="preserve"> such as the harm caused by living in any form of institutional care settings. The </w:t>
      </w:r>
      <w:r w:rsidR="00067181" w:rsidRPr="006E3C80">
        <w:rPr>
          <w:rFonts w:cs="Times New Roman"/>
          <w:i/>
          <w:iCs/>
          <w:sz w:val="24"/>
          <w:szCs w:val="24"/>
          <w:lang w:val="en-GB"/>
        </w:rPr>
        <w:t xml:space="preserve">participation of children in decisions on placement in alternative care is only meaningful when </w:t>
      </w:r>
      <w:r w:rsidR="00C64A60" w:rsidRPr="006E3C80">
        <w:rPr>
          <w:rFonts w:cs="Times New Roman"/>
          <w:i/>
          <w:iCs/>
          <w:sz w:val="24"/>
          <w:szCs w:val="24"/>
          <w:lang w:val="en-GB"/>
        </w:rPr>
        <w:t xml:space="preserve">a </w:t>
      </w:r>
      <w:r w:rsidR="00067181" w:rsidRPr="006E3C80">
        <w:rPr>
          <w:rFonts w:cs="Times New Roman"/>
          <w:i/>
          <w:iCs/>
          <w:sz w:val="24"/>
          <w:szCs w:val="24"/>
          <w:lang w:val="en-GB"/>
        </w:rPr>
        <w:t xml:space="preserve">range of family-based alternatives are available to guarantee the right to family life. </w:t>
      </w:r>
    </w:p>
    <w:p w14:paraId="01F60D43" w14:textId="77777777" w:rsidR="001F1E27" w:rsidRPr="001F1E27" w:rsidRDefault="001F1E27" w:rsidP="001F1E27">
      <w:pPr>
        <w:pStyle w:val="ListParagraph"/>
        <w:jc w:val="both"/>
        <w:rPr>
          <w:rFonts w:cs="Times New Roman"/>
          <w:i/>
          <w:iCs/>
          <w:sz w:val="24"/>
          <w:szCs w:val="24"/>
          <w:lang w:val="en-GB"/>
        </w:rPr>
      </w:pPr>
    </w:p>
    <w:p w14:paraId="07B2B3AB" w14:textId="746D4997" w:rsidR="00824800" w:rsidRPr="006E3C80" w:rsidRDefault="00EC0A19" w:rsidP="00C64A60">
      <w:pPr>
        <w:pStyle w:val="ListParagraph"/>
        <w:numPr>
          <w:ilvl w:val="0"/>
          <w:numId w:val="6"/>
        </w:numPr>
        <w:spacing w:after="0"/>
        <w:jc w:val="both"/>
        <w:rPr>
          <w:i/>
          <w:sz w:val="24"/>
          <w:szCs w:val="24"/>
          <w:lang w:val="sr-Latn-RS"/>
        </w:rPr>
      </w:pPr>
      <w:r w:rsidRPr="006E3C80">
        <w:rPr>
          <w:rFonts w:cs="Times New Roman"/>
          <w:i/>
          <w:iCs/>
          <w:sz w:val="24"/>
          <w:szCs w:val="24"/>
          <w:lang w:val="en-GB"/>
        </w:rPr>
        <w:t>The Committee should call on States Parties to</w:t>
      </w:r>
      <w:r w:rsidR="000C2064" w:rsidRPr="006E3C80">
        <w:rPr>
          <w:rFonts w:cs="Times New Roman"/>
          <w:i/>
          <w:iCs/>
          <w:sz w:val="24"/>
          <w:szCs w:val="24"/>
          <w:lang w:val="en-GB"/>
        </w:rPr>
        <w:t xml:space="preserve"> </w:t>
      </w:r>
      <w:r w:rsidR="000C2064" w:rsidRPr="006E3C80">
        <w:rPr>
          <w:rFonts w:cs="Times New Roman"/>
          <w:b/>
          <w:bCs/>
          <w:i/>
          <w:iCs/>
          <w:sz w:val="24"/>
          <w:szCs w:val="24"/>
          <w:lang w:val="en-GB"/>
        </w:rPr>
        <w:t>design inclusive and child-friendly mechanisms for child participation in all care-related judicial and administrative proceedings</w:t>
      </w:r>
      <w:r w:rsidR="000C2064" w:rsidRPr="006E3C80">
        <w:rPr>
          <w:rFonts w:cs="Times New Roman"/>
          <w:i/>
          <w:iCs/>
          <w:sz w:val="24"/>
          <w:szCs w:val="24"/>
          <w:lang w:val="en-GB"/>
        </w:rPr>
        <w:t xml:space="preserve"> with the provision of disability-related supports where needed. </w:t>
      </w:r>
    </w:p>
    <w:p w14:paraId="1FAD1FD7" w14:textId="77777777" w:rsidR="00C64A60" w:rsidRPr="002B4A64" w:rsidRDefault="00C64A60" w:rsidP="00C64A60">
      <w:pPr>
        <w:pStyle w:val="ListParagraph"/>
        <w:spacing w:after="0"/>
        <w:jc w:val="both"/>
        <w:rPr>
          <w:sz w:val="24"/>
          <w:szCs w:val="24"/>
          <w:lang w:val="sr-Latn-RS"/>
        </w:rPr>
      </w:pPr>
    </w:p>
    <w:p w14:paraId="58C3931A" w14:textId="330F6016" w:rsidR="00835D42" w:rsidRPr="00C64A60" w:rsidRDefault="00456B28" w:rsidP="00C64A60">
      <w:pPr>
        <w:pStyle w:val="ListParagraph"/>
        <w:numPr>
          <w:ilvl w:val="0"/>
          <w:numId w:val="12"/>
        </w:numPr>
        <w:tabs>
          <w:tab w:val="left" w:pos="360"/>
        </w:tabs>
        <w:spacing w:after="0"/>
        <w:ind w:left="360"/>
        <w:jc w:val="both"/>
        <w:rPr>
          <w:rFonts w:cs="Times New Roman"/>
          <w:b/>
          <w:bCs/>
          <w:iCs/>
          <w:sz w:val="24"/>
          <w:szCs w:val="24"/>
          <w:lang w:val="en-GB"/>
        </w:rPr>
      </w:pPr>
      <w:r w:rsidRPr="00C64A60">
        <w:rPr>
          <w:rFonts w:cs="Times New Roman"/>
          <w:b/>
          <w:bCs/>
          <w:iCs/>
          <w:sz w:val="24"/>
          <w:szCs w:val="24"/>
          <w:lang w:val="en-GB"/>
        </w:rPr>
        <w:t>The CRPD Committee expressed in its General Comment</w:t>
      </w:r>
      <w:r w:rsidR="00C64A60" w:rsidRPr="00C64A60">
        <w:rPr>
          <w:rFonts w:cs="Times New Roman"/>
          <w:b/>
          <w:bCs/>
          <w:iCs/>
          <w:sz w:val="24"/>
          <w:szCs w:val="24"/>
          <w:lang w:val="en-GB"/>
        </w:rPr>
        <w:t xml:space="preserve"> N</w:t>
      </w:r>
      <w:r w:rsidRPr="00C64A60">
        <w:rPr>
          <w:rFonts w:cs="Times New Roman"/>
          <w:b/>
          <w:bCs/>
          <w:iCs/>
          <w:sz w:val="24"/>
          <w:szCs w:val="24"/>
          <w:lang w:val="en-GB"/>
        </w:rPr>
        <w:t>o.</w:t>
      </w:r>
      <w:r w:rsidR="00C64A60" w:rsidRPr="00C64A60">
        <w:rPr>
          <w:rFonts w:cs="Times New Roman"/>
          <w:b/>
          <w:bCs/>
          <w:iCs/>
          <w:sz w:val="24"/>
          <w:szCs w:val="24"/>
          <w:lang w:val="en-GB"/>
        </w:rPr>
        <w:t xml:space="preserve"> </w:t>
      </w:r>
      <w:r w:rsidRPr="00C64A60">
        <w:rPr>
          <w:rFonts w:cs="Times New Roman"/>
          <w:b/>
          <w:bCs/>
          <w:iCs/>
          <w:sz w:val="24"/>
          <w:szCs w:val="24"/>
          <w:lang w:val="en-GB"/>
        </w:rPr>
        <w:t>1 that mental capacity assessments lead to denial of rights to persons with disabilities.</w:t>
      </w:r>
      <w:r w:rsidRPr="00C64A60">
        <w:rPr>
          <w:rStyle w:val="FootnoteReference"/>
          <w:rFonts w:cs="Times New Roman"/>
          <w:b/>
          <w:bCs/>
          <w:iCs/>
          <w:sz w:val="24"/>
          <w:szCs w:val="24"/>
          <w:lang w:val="en-GB"/>
        </w:rPr>
        <w:footnoteReference w:id="16"/>
      </w:r>
      <w:r w:rsidRPr="00C64A60">
        <w:rPr>
          <w:rFonts w:cs="Times New Roman"/>
          <w:b/>
          <w:bCs/>
          <w:iCs/>
          <w:sz w:val="24"/>
          <w:szCs w:val="24"/>
          <w:lang w:val="en-GB"/>
        </w:rPr>
        <w:t xml:space="preserve"> </w:t>
      </w:r>
      <w:r w:rsidR="00C64A60" w:rsidRPr="00C64A60">
        <w:rPr>
          <w:rFonts w:cs="Times New Roman"/>
          <w:b/>
          <w:bCs/>
          <w:iCs/>
          <w:sz w:val="24"/>
          <w:szCs w:val="24"/>
          <w:lang w:val="en-GB"/>
        </w:rPr>
        <w:t>M</w:t>
      </w:r>
      <w:r w:rsidRPr="00C64A60">
        <w:rPr>
          <w:rFonts w:cs="Times New Roman"/>
          <w:b/>
          <w:bCs/>
          <w:iCs/>
          <w:sz w:val="24"/>
          <w:szCs w:val="24"/>
          <w:lang w:val="en-GB"/>
        </w:rPr>
        <w:t>ental capacity assessment</w:t>
      </w:r>
      <w:r w:rsidR="00C64A60" w:rsidRPr="00C64A60">
        <w:rPr>
          <w:rFonts w:cs="Times New Roman"/>
          <w:b/>
          <w:bCs/>
          <w:iCs/>
          <w:sz w:val="24"/>
          <w:szCs w:val="24"/>
          <w:lang w:val="en-GB"/>
        </w:rPr>
        <w:t>s</w:t>
      </w:r>
      <w:r w:rsidRPr="00C64A60">
        <w:rPr>
          <w:rFonts w:cs="Times New Roman"/>
          <w:b/>
          <w:bCs/>
          <w:iCs/>
          <w:sz w:val="24"/>
          <w:szCs w:val="24"/>
          <w:lang w:val="en-GB"/>
        </w:rPr>
        <w:t xml:space="preserve"> </w:t>
      </w:r>
      <w:r w:rsidR="00C64A60" w:rsidRPr="00C64A60">
        <w:rPr>
          <w:rFonts w:cs="Times New Roman"/>
          <w:b/>
          <w:bCs/>
          <w:iCs/>
          <w:sz w:val="24"/>
          <w:szCs w:val="24"/>
          <w:lang w:val="en-GB"/>
        </w:rPr>
        <w:t xml:space="preserve">are </w:t>
      </w:r>
      <w:r w:rsidRPr="00C64A60">
        <w:rPr>
          <w:rFonts w:cs="Times New Roman"/>
          <w:b/>
          <w:bCs/>
          <w:iCs/>
          <w:sz w:val="24"/>
          <w:szCs w:val="24"/>
          <w:lang w:val="en-GB"/>
        </w:rPr>
        <w:t>often used to deny parental rights to persons with disabilities and restrict the right of children with disabilities to be heard.</w:t>
      </w:r>
    </w:p>
    <w:p w14:paraId="24AE528C" w14:textId="77777777" w:rsidR="00C64A60" w:rsidRPr="00372108" w:rsidRDefault="00C64A60" w:rsidP="00C64A60">
      <w:pPr>
        <w:spacing w:after="0"/>
        <w:jc w:val="both"/>
        <w:rPr>
          <w:rFonts w:cs="Times New Roman"/>
          <w:b/>
          <w:bCs/>
          <w:i/>
          <w:iCs/>
          <w:sz w:val="24"/>
          <w:szCs w:val="24"/>
          <w:lang w:val="en-GB"/>
        </w:rPr>
      </w:pPr>
    </w:p>
    <w:p w14:paraId="29ED62E7" w14:textId="639D8F07" w:rsidR="007F1007" w:rsidRDefault="00CA3181" w:rsidP="00C64A60">
      <w:pPr>
        <w:spacing w:after="0"/>
        <w:jc w:val="both"/>
        <w:rPr>
          <w:rFonts w:cs="Times New Roman"/>
          <w:sz w:val="24"/>
          <w:szCs w:val="24"/>
          <w:lang w:val="en-GB"/>
        </w:rPr>
      </w:pPr>
      <w:r w:rsidRPr="00372108">
        <w:rPr>
          <w:rFonts w:cs="Times New Roman"/>
          <w:sz w:val="24"/>
          <w:szCs w:val="24"/>
          <w:lang w:val="en-GB"/>
        </w:rPr>
        <w:t>CRPD Article 7 (3) does not impose any conditions on children with disabilities to express their views, unlike CRC Article 12</w:t>
      </w:r>
      <w:r w:rsidR="00C64A60">
        <w:rPr>
          <w:rFonts w:cs="Times New Roman"/>
          <w:sz w:val="24"/>
          <w:szCs w:val="24"/>
          <w:lang w:val="en-GB"/>
        </w:rPr>
        <w:t>,</w:t>
      </w:r>
      <w:r w:rsidRPr="00372108">
        <w:rPr>
          <w:rFonts w:cs="Times New Roman"/>
          <w:sz w:val="24"/>
          <w:szCs w:val="24"/>
          <w:lang w:val="en-GB"/>
        </w:rPr>
        <w:t xml:space="preserve"> which confers this right only to the children who are capable of forming a view. Interpreted in conjunction with the stance</w:t>
      </w:r>
      <w:r w:rsidR="00456B28" w:rsidRPr="00372108">
        <w:rPr>
          <w:rFonts w:cs="Times New Roman"/>
          <w:sz w:val="24"/>
          <w:szCs w:val="24"/>
          <w:lang w:val="en-GB"/>
        </w:rPr>
        <w:t xml:space="preserve"> of</w:t>
      </w:r>
      <w:r w:rsidR="00C64A60">
        <w:rPr>
          <w:rFonts w:cs="Times New Roman"/>
          <w:sz w:val="24"/>
          <w:szCs w:val="24"/>
          <w:lang w:val="en-GB"/>
        </w:rPr>
        <w:t xml:space="preserve"> the</w:t>
      </w:r>
      <w:r w:rsidR="00456B28" w:rsidRPr="00372108">
        <w:rPr>
          <w:rFonts w:cs="Times New Roman"/>
          <w:sz w:val="24"/>
          <w:szCs w:val="24"/>
          <w:lang w:val="en-GB"/>
        </w:rPr>
        <w:t xml:space="preserve"> CRPD Committee</w:t>
      </w:r>
      <w:r w:rsidR="00340934" w:rsidRPr="00372108">
        <w:rPr>
          <w:rFonts w:cs="Times New Roman"/>
          <w:sz w:val="24"/>
          <w:szCs w:val="24"/>
          <w:lang w:val="en-GB"/>
        </w:rPr>
        <w:t xml:space="preserve">, </w:t>
      </w:r>
      <w:r w:rsidRPr="00372108">
        <w:rPr>
          <w:rFonts w:cs="Times New Roman"/>
          <w:sz w:val="24"/>
          <w:szCs w:val="24"/>
          <w:lang w:val="en-GB"/>
        </w:rPr>
        <w:t>it follows that differences in mental capacities or cognitive abilities should never be the reason to deny children the right to be heard, including in the context of alternative care</w:t>
      </w:r>
      <w:r w:rsidR="00535F74">
        <w:rPr>
          <w:rFonts w:cs="Times New Roman"/>
          <w:sz w:val="24"/>
          <w:szCs w:val="24"/>
          <w:lang w:val="en-GB"/>
        </w:rPr>
        <w:t xml:space="preserve">. </w:t>
      </w:r>
      <w:r w:rsidR="00181EBF" w:rsidRPr="00372108">
        <w:rPr>
          <w:rFonts w:cs="Times New Roman"/>
          <w:sz w:val="24"/>
          <w:szCs w:val="24"/>
          <w:lang w:val="en-GB"/>
        </w:rPr>
        <w:t xml:space="preserve">Instead of focusing </w:t>
      </w:r>
      <w:r w:rsidR="007B60C6" w:rsidRPr="00372108">
        <w:rPr>
          <w:rFonts w:cs="Times New Roman"/>
          <w:sz w:val="24"/>
          <w:szCs w:val="24"/>
          <w:lang w:val="en-GB"/>
        </w:rPr>
        <w:t xml:space="preserve">on normative stages of development and </w:t>
      </w:r>
      <w:r w:rsidR="00877D8E" w:rsidRPr="00372108">
        <w:rPr>
          <w:rFonts w:cs="Times New Roman"/>
          <w:sz w:val="24"/>
          <w:szCs w:val="24"/>
          <w:lang w:val="en-GB"/>
        </w:rPr>
        <w:t xml:space="preserve">assessments of </w:t>
      </w:r>
      <w:r w:rsidR="00460D7C" w:rsidRPr="00372108">
        <w:rPr>
          <w:rFonts w:cs="Times New Roman"/>
          <w:sz w:val="24"/>
          <w:szCs w:val="24"/>
          <w:lang w:val="en-GB"/>
        </w:rPr>
        <w:t xml:space="preserve">children’s capacities and competence to take part in decision-making processes in the context of alternative care, the focus should shift onto the competence of adults involved in children’s care to enable them to participate and maximise children’s capacities through </w:t>
      </w:r>
      <w:r w:rsidR="0037181A" w:rsidRPr="00372108">
        <w:rPr>
          <w:rFonts w:cs="Times New Roman"/>
          <w:sz w:val="24"/>
          <w:szCs w:val="24"/>
          <w:lang w:val="en-GB"/>
        </w:rPr>
        <w:t xml:space="preserve">the </w:t>
      </w:r>
      <w:r w:rsidR="00460D7C" w:rsidRPr="00372108">
        <w:rPr>
          <w:rFonts w:cs="Times New Roman"/>
          <w:sz w:val="24"/>
          <w:szCs w:val="24"/>
          <w:lang w:val="en-GB"/>
        </w:rPr>
        <w:t>provision of age-appropriate and disability-related supports.</w:t>
      </w:r>
      <w:r w:rsidR="0079424B" w:rsidRPr="00372108">
        <w:rPr>
          <w:rStyle w:val="FootnoteReference"/>
          <w:rFonts w:cs="Times New Roman"/>
          <w:sz w:val="24"/>
          <w:szCs w:val="24"/>
          <w:lang w:val="en-GB"/>
        </w:rPr>
        <w:footnoteReference w:id="17"/>
      </w:r>
      <w:r w:rsidR="003B5D76" w:rsidRPr="00372108">
        <w:rPr>
          <w:rFonts w:cs="Times New Roman"/>
          <w:sz w:val="24"/>
          <w:szCs w:val="24"/>
          <w:lang w:val="en-GB"/>
        </w:rPr>
        <w:t xml:space="preserve"> </w:t>
      </w:r>
    </w:p>
    <w:p w14:paraId="4DBC4932" w14:textId="77777777" w:rsidR="00C64A60" w:rsidRPr="00372108" w:rsidRDefault="00C64A60" w:rsidP="00C64A60">
      <w:pPr>
        <w:spacing w:after="0"/>
        <w:jc w:val="both"/>
        <w:rPr>
          <w:rFonts w:cs="Times New Roman"/>
          <w:sz w:val="24"/>
          <w:szCs w:val="24"/>
          <w:lang w:val="en-GB"/>
        </w:rPr>
      </w:pPr>
    </w:p>
    <w:p w14:paraId="1A3A5F72" w14:textId="4B50F069" w:rsidR="007F1007" w:rsidRPr="00372108" w:rsidRDefault="007F1007" w:rsidP="00C64A60">
      <w:pPr>
        <w:spacing w:after="0"/>
        <w:jc w:val="both"/>
        <w:rPr>
          <w:rFonts w:cs="Times New Roman"/>
          <w:b/>
          <w:bCs/>
          <w:i/>
          <w:iCs/>
          <w:sz w:val="24"/>
          <w:szCs w:val="24"/>
          <w:lang w:val="en-GB"/>
        </w:rPr>
      </w:pPr>
      <w:r w:rsidRPr="00372108">
        <w:rPr>
          <w:rFonts w:cs="Times New Roman"/>
          <w:b/>
          <w:bCs/>
          <w:i/>
          <w:iCs/>
          <w:sz w:val="24"/>
          <w:szCs w:val="24"/>
          <w:lang w:val="en-GB"/>
        </w:rPr>
        <w:t>Recommendation</w:t>
      </w:r>
      <w:r w:rsidR="00C64A60">
        <w:rPr>
          <w:rFonts w:cs="Times New Roman"/>
          <w:b/>
          <w:bCs/>
          <w:i/>
          <w:iCs/>
          <w:sz w:val="24"/>
          <w:szCs w:val="24"/>
          <w:lang w:val="en-GB"/>
        </w:rPr>
        <w:t>s</w:t>
      </w:r>
      <w:r w:rsidRPr="00372108">
        <w:rPr>
          <w:rFonts w:cs="Times New Roman"/>
          <w:b/>
          <w:bCs/>
          <w:i/>
          <w:iCs/>
          <w:sz w:val="24"/>
          <w:szCs w:val="24"/>
          <w:lang w:val="en-GB"/>
        </w:rPr>
        <w:t>:</w:t>
      </w:r>
    </w:p>
    <w:p w14:paraId="51732158" w14:textId="06903A40" w:rsidR="00562C9E" w:rsidRPr="00372108" w:rsidRDefault="003B5D76" w:rsidP="00824800">
      <w:pPr>
        <w:pStyle w:val="ListParagraph"/>
        <w:numPr>
          <w:ilvl w:val="0"/>
          <w:numId w:val="10"/>
        </w:numPr>
        <w:jc w:val="both"/>
        <w:rPr>
          <w:rFonts w:cs="Times New Roman"/>
          <w:i/>
          <w:iCs/>
          <w:sz w:val="24"/>
          <w:szCs w:val="24"/>
          <w:lang w:val="en-GB"/>
        </w:rPr>
      </w:pPr>
      <w:r w:rsidRPr="002B4A64">
        <w:rPr>
          <w:rFonts w:cs="Times New Roman"/>
          <w:b/>
          <w:bCs/>
          <w:i/>
          <w:iCs/>
          <w:sz w:val="24"/>
          <w:szCs w:val="24"/>
          <w:lang w:val="en-GB"/>
        </w:rPr>
        <w:t xml:space="preserve">The existence of any type or level of impairment should never </w:t>
      </w:r>
      <w:r w:rsidR="00C64A60">
        <w:rPr>
          <w:rFonts w:cs="Times New Roman"/>
          <w:b/>
          <w:bCs/>
          <w:i/>
          <w:iCs/>
          <w:sz w:val="24"/>
          <w:szCs w:val="24"/>
          <w:lang w:val="en-GB"/>
        </w:rPr>
        <w:t>justify</w:t>
      </w:r>
      <w:r w:rsidRPr="002B4A64">
        <w:rPr>
          <w:rFonts w:cs="Times New Roman"/>
          <w:b/>
          <w:bCs/>
          <w:i/>
          <w:iCs/>
          <w:sz w:val="24"/>
          <w:szCs w:val="24"/>
          <w:lang w:val="en-GB"/>
        </w:rPr>
        <w:t xml:space="preserve"> den</w:t>
      </w:r>
      <w:r w:rsidR="00C64A60">
        <w:rPr>
          <w:rFonts w:cs="Times New Roman"/>
          <w:b/>
          <w:bCs/>
          <w:i/>
          <w:iCs/>
          <w:sz w:val="24"/>
          <w:szCs w:val="24"/>
          <w:lang w:val="en-GB"/>
        </w:rPr>
        <w:t>ial of</w:t>
      </w:r>
      <w:r w:rsidRPr="002B4A64">
        <w:rPr>
          <w:rFonts w:cs="Times New Roman"/>
          <w:b/>
          <w:bCs/>
          <w:i/>
          <w:iCs/>
          <w:sz w:val="24"/>
          <w:szCs w:val="24"/>
          <w:lang w:val="en-GB"/>
        </w:rPr>
        <w:t xml:space="preserve"> </w:t>
      </w:r>
      <w:r w:rsidR="00456B28" w:rsidRPr="002B4A64">
        <w:rPr>
          <w:rFonts w:cs="Times New Roman"/>
          <w:b/>
          <w:bCs/>
          <w:i/>
          <w:iCs/>
          <w:sz w:val="24"/>
          <w:szCs w:val="24"/>
          <w:lang w:val="en-GB"/>
        </w:rPr>
        <w:t>parental rights to parents with disabilities or the right of</w:t>
      </w:r>
      <w:r w:rsidRPr="002B4A64">
        <w:rPr>
          <w:rFonts w:cs="Times New Roman"/>
          <w:b/>
          <w:bCs/>
          <w:i/>
          <w:iCs/>
          <w:sz w:val="24"/>
          <w:szCs w:val="24"/>
          <w:lang w:val="en-GB"/>
        </w:rPr>
        <w:t xml:space="preserve"> a child to express </w:t>
      </w:r>
      <w:r w:rsidR="00456B28" w:rsidRPr="002B4A64">
        <w:rPr>
          <w:rFonts w:cs="Times New Roman"/>
          <w:b/>
          <w:bCs/>
          <w:i/>
          <w:iCs/>
          <w:sz w:val="24"/>
          <w:szCs w:val="24"/>
          <w:lang w:val="en-GB"/>
        </w:rPr>
        <w:t>their</w:t>
      </w:r>
      <w:r w:rsidRPr="002B4A64">
        <w:rPr>
          <w:rFonts w:cs="Times New Roman"/>
          <w:b/>
          <w:bCs/>
          <w:i/>
          <w:iCs/>
          <w:sz w:val="24"/>
          <w:szCs w:val="24"/>
          <w:lang w:val="en-GB"/>
        </w:rPr>
        <w:t xml:space="preserve"> views in the context of alternative care.</w:t>
      </w:r>
      <w:r w:rsidRPr="00372108">
        <w:rPr>
          <w:rFonts w:cs="Times New Roman"/>
          <w:i/>
          <w:iCs/>
          <w:sz w:val="24"/>
          <w:szCs w:val="24"/>
          <w:lang w:val="en-GB"/>
        </w:rPr>
        <w:t xml:space="preserve"> </w:t>
      </w:r>
      <w:r w:rsidR="00654D29" w:rsidRPr="00372108">
        <w:rPr>
          <w:rFonts w:cs="Times New Roman"/>
          <w:i/>
          <w:iCs/>
          <w:sz w:val="24"/>
          <w:szCs w:val="24"/>
          <w:lang w:val="en-GB"/>
        </w:rPr>
        <w:t>A</w:t>
      </w:r>
      <w:r w:rsidRPr="00372108">
        <w:rPr>
          <w:rFonts w:cs="Times New Roman"/>
          <w:i/>
          <w:iCs/>
          <w:sz w:val="24"/>
          <w:szCs w:val="24"/>
          <w:lang w:val="en-GB"/>
        </w:rPr>
        <w:t>ge-appropriate and disability-related supports</w:t>
      </w:r>
      <w:r w:rsidR="00C64A60">
        <w:rPr>
          <w:rFonts w:cs="Times New Roman"/>
          <w:i/>
          <w:iCs/>
          <w:sz w:val="24"/>
          <w:szCs w:val="24"/>
          <w:lang w:val="en-GB"/>
        </w:rPr>
        <w:t>,</w:t>
      </w:r>
      <w:r w:rsidRPr="00372108">
        <w:rPr>
          <w:rFonts w:cs="Times New Roman"/>
          <w:i/>
          <w:iCs/>
          <w:sz w:val="24"/>
          <w:szCs w:val="24"/>
          <w:lang w:val="en-GB"/>
        </w:rPr>
        <w:t xml:space="preserve"> including peer support by young people or adults with disabilities who might share similar care experiences</w:t>
      </w:r>
      <w:r w:rsidR="00C64A60">
        <w:rPr>
          <w:rFonts w:cs="Times New Roman"/>
          <w:i/>
          <w:iCs/>
          <w:sz w:val="24"/>
          <w:szCs w:val="24"/>
          <w:lang w:val="en-GB"/>
        </w:rPr>
        <w:t>,</w:t>
      </w:r>
      <w:r w:rsidRPr="00372108">
        <w:rPr>
          <w:rFonts w:cs="Times New Roman"/>
          <w:i/>
          <w:iCs/>
          <w:sz w:val="24"/>
          <w:szCs w:val="24"/>
          <w:lang w:val="en-GB"/>
        </w:rPr>
        <w:t xml:space="preserve"> should be provided where needed for a child to express views and </w:t>
      </w:r>
      <w:r w:rsidR="00456B28" w:rsidRPr="00372108">
        <w:rPr>
          <w:rFonts w:cs="Times New Roman"/>
          <w:i/>
          <w:iCs/>
          <w:sz w:val="24"/>
          <w:szCs w:val="24"/>
          <w:lang w:val="en-GB"/>
        </w:rPr>
        <w:t>their</w:t>
      </w:r>
      <w:r w:rsidRPr="00372108">
        <w:rPr>
          <w:rFonts w:cs="Times New Roman"/>
          <w:i/>
          <w:iCs/>
          <w:sz w:val="24"/>
          <w:szCs w:val="24"/>
          <w:lang w:val="en-GB"/>
        </w:rPr>
        <w:t xml:space="preserve"> wishes to be ascertained.</w:t>
      </w:r>
    </w:p>
    <w:p w14:paraId="3158746A" w14:textId="33C04B3A" w:rsidR="00824800" w:rsidRDefault="00824800" w:rsidP="00824800">
      <w:pPr>
        <w:pStyle w:val="ListParagraph"/>
        <w:ind w:left="1440"/>
        <w:jc w:val="both"/>
        <w:rPr>
          <w:rFonts w:ascii="Times New Roman" w:hAnsi="Times New Roman" w:cs="Times New Roman"/>
          <w:i/>
          <w:iCs/>
          <w:sz w:val="24"/>
          <w:szCs w:val="24"/>
          <w:lang w:val="en-GB"/>
        </w:rPr>
      </w:pPr>
    </w:p>
    <w:p w14:paraId="7312AD6F" w14:textId="2E947276" w:rsidR="00922E4D" w:rsidRDefault="00922E4D" w:rsidP="00824800">
      <w:pPr>
        <w:pStyle w:val="ListParagraph"/>
        <w:ind w:left="1440"/>
        <w:jc w:val="both"/>
        <w:rPr>
          <w:rFonts w:ascii="Times New Roman" w:hAnsi="Times New Roman" w:cs="Times New Roman"/>
          <w:i/>
          <w:iCs/>
          <w:sz w:val="24"/>
          <w:szCs w:val="24"/>
          <w:lang w:val="en-GB"/>
        </w:rPr>
      </w:pPr>
    </w:p>
    <w:p w14:paraId="0FF7EB84" w14:textId="77777777" w:rsidR="00922E4D" w:rsidRPr="00372108" w:rsidRDefault="00922E4D" w:rsidP="00824800">
      <w:pPr>
        <w:pStyle w:val="ListParagraph"/>
        <w:ind w:left="1440"/>
        <w:jc w:val="both"/>
        <w:rPr>
          <w:rFonts w:ascii="Times New Roman" w:hAnsi="Times New Roman" w:cs="Times New Roman"/>
          <w:i/>
          <w:iCs/>
          <w:sz w:val="24"/>
          <w:szCs w:val="24"/>
          <w:lang w:val="en-GB"/>
        </w:rPr>
      </w:pPr>
    </w:p>
    <w:p w14:paraId="52671D7E" w14:textId="5628FDFD" w:rsidR="00C64A60" w:rsidRDefault="00555AB0" w:rsidP="00C64A60">
      <w:pPr>
        <w:pStyle w:val="ListParagraph"/>
        <w:numPr>
          <w:ilvl w:val="0"/>
          <w:numId w:val="12"/>
        </w:numPr>
        <w:spacing w:after="0"/>
        <w:rPr>
          <w:rFonts w:cs="Times New Roman"/>
          <w:b/>
          <w:bCs/>
          <w:sz w:val="24"/>
          <w:szCs w:val="24"/>
          <w:lang w:val="en-GB"/>
        </w:rPr>
      </w:pPr>
      <w:r w:rsidRPr="00EC0A19">
        <w:rPr>
          <w:rFonts w:cs="Times New Roman"/>
          <w:b/>
          <w:bCs/>
          <w:sz w:val="24"/>
          <w:szCs w:val="24"/>
          <w:lang w:val="en-GB"/>
        </w:rPr>
        <w:t>Participation of children with disabilities</w:t>
      </w:r>
      <w:r w:rsidR="00D14F60" w:rsidRPr="00EC0A19">
        <w:rPr>
          <w:rFonts w:cs="Times New Roman"/>
          <w:b/>
          <w:bCs/>
          <w:sz w:val="24"/>
          <w:szCs w:val="24"/>
          <w:lang w:val="en-GB"/>
        </w:rPr>
        <w:t xml:space="preserve"> </w:t>
      </w:r>
      <w:r w:rsidRPr="00EC0A19">
        <w:rPr>
          <w:rFonts w:cs="Times New Roman"/>
          <w:b/>
          <w:bCs/>
          <w:sz w:val="24"/>
          <w:szCs w:val="24"/>
          <w:lang w:val="en-GB"/>
        </w:rPr>
        <w:t xml:space="preserve">as </w:t>
      </w:r>
      <w:r w:rsidR="003B5D76" w:rsidRPr="00EC0A19">
        <w:rPr>
          <w:rFonts w:cs="Times New Roman"/>
          <w:b/>
          <w:bCs/>
          <w:sz w:val="24"/>
          <w:szCs w:val="24"/>
          <w:lang w:val="en-GB"/>
        </w:rPr>
        <w:t xml:space="preserve">a </w:t>
      </w:r>
      <w:r w:rsidRPr="00EC0A19">
        <w:rPr>
          <w:rFonts w:cs="Times New Roman"/>
          <w:b/>
          <w:bCs/>
          <w:sz w:val="24"/>
          <w:szCs w:val="24"/>
          <w:lang w:val="en-GB"/>
        </w:rPr>
        <w:t>collective</w:t>
      </w:r>
      <w:r w:rsidR="00D14F60" w:rsidRPr="00EC0A19">
        <w:rPr>
          <w:rFonts w:cs="Times New Roman"/>
          <w:b/>
          <w:bCs/>
          <w:sz w:val="24"/>
          <w:szCs w:val="24"/>
          <w:lang w:val="en-GB"/>
        </w:rPr>
        <w:t xml:space="preserve"> and their representative organizations</w:t>
      </w:r>
      <w:r w:rsidRPr="00EC0A19">
        <w:rPr>
          <w:rFonts w:cs="Times New Roman"/>
          <w:b/>
          <w:bCs/>
          <w:sz w:val="24"/>
          <w:szCs w:val="24"/>
          <w:lang w:val="en-GB"/>
        </w:rPr>
        <w:t xml:space="preserve"> </w:t>
      </w:r>
      <w:r w:rsidR="003B5D76" w:rsidRPr="00EC0A19">
        <w:rPr>
          <w:rFonts w:cs="Times New Roman"/>
          <w:b/>
          <w:bCs/>
          <w:sz w:val="24"/>
          <w:szCs w:val="24"/>
          <w:lang w:val="en-GB"/>
        </w:rPr>
        <w:t>in the context of alternative care</w:t>
      </w:r>
    </w:p>
    <w:p w14:paraId="7DA4AC4C" w14:textId="77777777" w:rsidR="00C64A60" w:rsidRPr="00C64A60" w:rsidRDefault="00C64A60" w:rsidP="00C64A60">
      <w:pPr>
        <w:pStyle w:val="ListParagraph"/>
        <w:spacing w:after="0"/>
        <w:rPr>
          <w:rFonts w:cs="Times New Roman"/>
          <w:b/>
          <w:bCs/>
          <w:sz w:val="24"/>
          <w:szCs w:val="24"/>
          <w:lang w:val="en-GB"/>
        </w:rPr>
      </w:pPr>
    </w:p>
    <w:p w14:paraId="111B9507" w14:textId="24A859A2" w:rsidR="003B5D76" w:rsidRDefault="00535495" w:rsidP="00C64A60">
      <w:pPr>
        <w:spacing w:after="0"/>
        <w:jc w:val="both"/>
        <w:rPr>
          <w:rFonts w:cs="Times New Roman"/>
          <w:sz w:val="24"/>
          <w:szCs w:val="24"/>
          <w:lang w:val="en-GB"/>
        </w:rPr>
      </w:pPr>
      <w:r w:rsidRPr="00372108">
        <w:rPr>
          <w:rFonts w:cs="Times New Roman"/>
          <w:sz w:val="24"/>
          <w:szCs w:val="24"/>
          <w:lang w:val="en-GB"/>
        </w:rPr>
        <w:t xml:space="preserve">The right to be heard encompasses the right of all children to participate </w:t>
      </w:r>
      <w:r w:rsidR="00C64A60">
        <w:rPr>
          <w:rFonts w:cs="Times New Roman"/>
          <w:sz w:val="24"/>
          <w:szCs w:val="24"/>
          <w:lang w:val="en-GB"/>
        </w:rPr>
        <w:t>collectively</w:t>
      </w:r>
      <w:r w:rsidRPr="00372108">
        <w:rPr>
          <w:rFonts w:cs="Times New Roman"/>
          <w:sz w:val="24"/>
          <w:szCs w:val="24"/>
          <w:lang w:val="en-GB"/>
        </w:rPr>
        <w:t xml:space="preserve"> in strategic decision-making processes, such as policy-making or preparation of laws</w:t>
      </w:r>
      <w:r w:rsidRPr="00372108">
        <w:rPr>
          <w:rStyle w:val="FootnoteReference"/>
          <w:rFonts w:cs="Times New Roman"/>
          <w:sz w:val="24"/>
          <w:szCs w:val="24"/>
          <w:lang w:val="en-GB"/>
        </w:rPr>
        <w:footnoteReference w:id="18"/>
      </w:r>
      <w:r w:rsidRPr="00372108">
        <w:rPr>
          <w:rFonts w:cs="Times New Roman"/>
          <w:sz w:val="24"/>
          <w:szCs w:val="24"/>
          <w:lang w:val="en-GB"/>
        </w:rPr>
        <w:t xml:space="preserve"> or</w:t>
      </w:r>
      <w:r w:rsidR="006E0EEC" w:rsidRPr="00372108">
        <w:rPr>
          <w:rFonts w:cs="Times New Roman"/>
          <w:sz w:val="24"/>
          <w:szCs w:val="24"/>
          <w:lang w:val="en-GB"/>
        </w:rPr>
        <w:t xml:space="preserve"> monitoring and</w:t>
      </w:r>
      <w:r w:rsidRPr="00372108">
        <w:rPr>
          <w:rFonts w:cs="Times New Roman"/>
          <w:sz w:val="24"/>
          <w:szCs w:val="24"/>
          <w:lang w:val="en-GB"/>
        </w:rPr>
        <w:t xml:space="preserve"> evaluation of care services. When planning the development or transformation of alternative care systems and services, the best interests of a large group of children are at stake and States Parties should provide opportunities to hear </w:t>
      </w:r>
      <w:r w:rsidR="00C64A60">
        <w:rPr>
          <w:rFonts w:cs="Times New Roman"/>
          <w:sz w:val="24"/>
          <w:szCs w:val="24"/>
          <w:lang w:val="en-GB"/>
        </w:rPr>
        <w:t>from</w:t>
      </w:r>
      <w:r w:rsidR="00C64A60" w:rsidRPr="00372108">
        <w:rPr>
          <w:rFonts w:cs="Times New Roman"/>
          <w:sz w:val="24"/>
          <w:szCs w:val="24"/>
          <w:lang w:val="en-GB"/>
        </w:rPr>
        <w:t xml:space="preserve"> </w:t>
      </w:r>
      <w:r w:rsidRPr="00372108">
        <w:rPr>
          <w:rFonts w:cs="Times New Roman"/>
          <w:sz w:val="24"/>
          <w:szCs w:val="24"/>
          <w:lang w:val="en-GB"/>
        </w:rPr>
        <w:t>children whose interests are at stake and include them in the process of pla</w:t>
      </w:r>
      <w:r w:rsidR="00535F74">
        <w:rPr>
          <w:rFonts w:cs="Times New Roman"/>
          <w:sz w:val="24"/>
          <w:szCs w:val="24"/>
          <w:lang w:val="en-GB"/>
        </w:rPr>
        <w:t>n</w:t>
      </w:r>
      <w:r w:rsidRPr="00372108">
        <w:rPr>
          <w:rFonts w:cs="Times New Roman"/>
          <w:sz w:val="24"/>
          <w:szCs w:val="24"/>
          <w:lang w:val="en-GB"/>
        </w:rPr>
        <w:t>ning legislative decisions or other actions.</w:t>
      </w:r>
      <w:r w:rsidRPr="00372108">
        <w:rPr>
          <w:rStyle w:val="FootnoteReference"/>
          <w:rFonts w:cs="Times New Roman"/>
          <w:sz w:val="24"/>
          <w:szCs w:val="24"/>
          <w:lang w:val="en-GB"/>
        </w:rPr>
        <w:footnoteReference w:id="19"/>
      </w:r>
      <w:r w:rsidRPr="00372108">
        <w:rPr>
          <w:rFonts w:cs="Times New Roman"/>
          <w:sz w:val="24"/>
          <w:szCs w:val="24"/>
          <w:lang w:val="en-GB"/>
        </w:rPr>
        <w:t xml:space="preserve"> </w:t>
      </w:r>
    </w:p>
    <w:p w14:paraId="25AEAE59" w14:textId="77777777" w:rsidR="00C64A60" w:rsidRPr="00372108" w:rsidRDefault="00C64A60" w:rsidP="00C64A60">
      <w:pPr>
        <w:spacing w:after="0"/>
        <w:jc w:val="both"/>
        <w:rPr>
          <w:rFonts w:cs="Times New Roman"/>
          <w:sz w:val="24"/>
          <w:szCs w:val="24"/>
          <w:lang w:val="en-GB"/>
        </w:rPr>
      </w:pPr>
    </w:p>
    <w:p w14:paraId="310B6604" w14:textId="54359765" w:rsidR="00535495" w:rsidRDefault="00535495" w:rsidP="00C64A60">
      <w:pPr>
        <w:spacing w:after="0"/>
        <w:jc w:val="both"/>
        <w:rPr>
          <w:rFonts w:cs="Times New Roman"/>
          <w:sz w:val="24"/>
          <w:szCs w:val="24"/>
          <w:lang w:val="en-GB"/>
        </w:rPr>
      </w:pPr>
      <w:r w:rsidRPr="00372108">
        <w:rPr>
          <w:rFonts w:cs="Times New Roman"/>
          <w:sz w:val="24"/>
          <w:szCs w:val="24"/>
          <w:lang w:val="en-GB"/>
        </w:rPr>
        <w:t xml:space="preserve">Children with disabilities </w:t>
      </w:r>
      <w:r w:rsidR="00C64A60">
        <w:rPr>
          <w:rFonts w:cs="Times New Roman"/>
          <w:sz w:val="24"/>
          <w:szCs w:val="24"/>
          <w:lang w:val="en-GB"/>
        </w:rPr>
        <w:t>face</w:t>
      </w:r>
      <w:r w:rsidRPr="00372108">
        <w:rPr>
          <w:rFonts w:cs="Times New Roman"/>
          <w:sz w:val="24"/>
          <w:szCs w:val="24"/>
          <w:lang w:val="en-GB"/>
        </w:rPr>
        <w:t xml:space="preserve"> an increased risk of being left out </w:t>
      </w:r>
      <w:r w:rsidR="00C64A60">
        <w:rPr>
          <w:rFonts w:cs="Times New Roman"/>
          <w:sz w:val="24"/>
          <w:szCs w:val="24"/>
          <w:lang w:val="en-GB"/>
        </w:rPr>
        <w:t>of</w:t>
      </w:r>
      <w:r w:rsidR="00C64A60" w:rsidRPr="00372108">
        <w:rPr>
          <w:rFonts w:cs="Times New Roman"/>
          <w:sz w:val="24"/>
          <w:szCs w:val="24"/>
          <w:lang w:val="en-GB"/>
        </w:rPr>
        <w:t xml:space="preserve"> </w:t>
      </w:r>
      <w:r w:rsidRPr="00372108">
        <w:rPr>
          <w:rFonts w:cs="Times New Roman"/>
          <w:sz w:val="24"/>
          <w:szCs w:val="24"/>
          <w:lang w:val="en-GB"/>
        </w:rPr>
        <w:t xml:space="preserve">these processes as a group due to presumptions of incapacity and a lack of supports for their meaningful participation. The CRPD Committee has emphasized in General Comment </w:t>
      </w:r>
      <w:r w:rsidR="00C64A60">
        <w:rPr>
          <w:rFonts w:cs="Times New Roman"/>
          <w:sz w:val="24"/>
          <w:szCs w:val="24"/>
          <w:lang w:val="en-GB"/>
        </w:rPr>
        <w:t>N</w:t>
      </w:r>
      <w:r w:rsidRPr="00372108">
        <w:rPr>
          <w:rFonts w:cs="Times New Roman"/>
          <w:sz w:val="24"/>
          <w:szCs w:val="24"/>
          <w:lang w:val="en-GB"/>
        </w:rPr>
        <w:t xml:space="preserve">o. 7 </w:t>
      </w:r>
      <w:r w:rsidR="006E0EEC" w:rsidRPr="00372108">
        <w:rPr>
          <w:rFonts w:cs="Times New Roman"/>
          <w:sz w:val="24"/>
          <w:szCs w:val="24"/>
          <w:lang w:val="en-GB"/>
        </w:rPr>
        <w:t>that organizations of children and young persons with disabilities are fundamental for the realization of the right to be heard and their participation in public life.</w:t>
      </w:r>
      <w:r w:rsidR="006E0EEC" w:rsidRPr="00372108">
        <w:rPr>
          <w:rStyle w:val="FootnoteReference"/>
          <w:rFonts w:cs="Times New Roman"/>
          <w:sz w:val="24"/>
          <w:szCs w:val="24"/>
          <w:lang w:val="en-GB"/>
        </w:rPr>
        <w:footnoteReference w:id="20"/>
      </w:r>
    </w:p>
    <w:p w14:paraId="3D58C351" w14:textId="77777777" w:rsidR="00C64A60" w:rsidRPr="00372108" w:rsidRDefault="00C64A60" w:rsidP="00C64A60">
      <w:pPr>
        <w:spacing w:after="0"/>
        <w:jc w:val="both"/>
        <w:rPr>
          <w:rFonts w:cs="Times New Roman"/>
          <w:sz w:val="24"/>
          <w:szCs w:val="24"/>
          <w:lang w:val="en-GB"/>
        </w:rPr>
      </w:pPr>
    </w:p>
    <w:p w14:paraId="573BD391" w14:textId="26FDD822" w:rsidR="00C64A60" w:rsidRPr="00372108" w:rsidRDefault="003B5D76" w:rsidP="00C64A60">
      <w:pPr>
        <w:spacing w:after="0"/>
        <w:jc w:val="both"/>
        <w:rPr>
          <w:rFonts w:cs="Times New Roman"/>
          <w:b/>
          <w:bCs/>
          <w:sz w:val="24"/>
          <w:szCs w:val="24"/>
          <w:u w:val="single"/>
          <w:lang w:val="en-GB"/>
        </w:rPr>
      </w:pPr>
      <w:r w:rsidRPr="00C64A60">
        <w:rPr>
          <w:rFonts w:cs="Times New Roman"/>
          <w:b/>
          <w:bCs/>
          <w:i/>
          <w:sz w:val="24"/>
          <w:szCs w:val="24"/>
          <w:lang w:val="en-GB"/>
        </w:rPr>
        <w:t>Recommendation</w:t>
      </w:r>
      <w:r w:rsidR="00D14F60" w:rsidRPr="00C64A60">
        <w:rPr>
          <w:rFonts w:cs="Times New Roman"/>
          <w:b/>
          <w:bCs/>
          <w:i/>
          <w:sz w:val="24"/>
          <w:szCs w:val="24"/>
          <w:lang w:val="en-GB"/>
        </w:rPr>
        <w:t>s:</w:t>
      </w:r>
    </w:p>
    <w:p w14:paraId="49D06C5B" w14:textId="4F349AAE" w:rsidR="006E3C80" w:rsidRPr="00F44C97" w:rsidRDefault="00535495" w:rsidP="009B498F">
      <w:pPr>
        <w:pStyle w:val="ListParagraph"/>
        <w:numPr>
          <w:ilvl w:val="0"/>
          <w:numId w:val="7"/>
        </w:numPr>
        <w:jc w:val="both"/>
        <w:rPr>
          <w:rFonts w:cs="Times New Roman"/>
          <w:b/>
          <w:bCs/>
          <w:i/>
          <w:iCs/>
          <w:sz w:val="24"/>
          <w:szCs w:val="24"/>
          <w:lang w:val="en-GB"/>
        </w:rPr>
      </w:pPr>
      <w:r w:rsidRPr="006E3C80">
        <w:rPr>
          <w:rFonts w:cs="Times New Roman"/>
          <w:b/>
          <w:bCs/>
          <w:i/>
          <w:iCs/>
          <w:sz w:val="24"/>
          <w:szCs w:val="24"/>
          <w:lang w:val="en-GB"/>
        </w:rPr>
        <w:t xml:space="preserve">States Parties should design mechanisms to </w:t>
      </w:r>
      <w:r w:rsidR="00237701">
        <w:rPr>
          <w:rFonts w:cs="Times New Roman"/>
          <w:b/>
          <w:bCs/>
          <w:i/>
          <w:iCs/>
          <w:sz w:val="24"/>
          <w:szCs w:val="24"/>
          <w:lang w:val="en-GB"/>
        </w:rPr>
        <w:t xml:space="preserve">support </w:t>
      </w:r>
      <w:r w:rsidRPr="006E3C80">
        <w:rPr>
          <w:rFonts w:cs="Times New Roman"/>
          <w:b/>
          <w:bCs/>
          <w:i/>
          <w:iCs/>
          <w:sz w:val="24"/>
          <w:szCs w:val="24"/>
          <w:lang w:val="en-GB"/>
        </w:rPr>
        <w:t>children in care, including children with disabilities</w:t>
      </w:r>
      <w:r w:rsidR="00C64A60" w:rsidRPr="006E3C80">
        <w:rPr>
          <w:rFonts w:cs="Times New Roman"/>
          <w:b/>
          <w:bCs/>
          <w:i/>
          <w:iCs/>
          <w:sz w:val="24"/>
          <w:szCs w:val="24"/>
          <w:lang w:val="en-GB"/>
        </w:rPr>
        <w:t>,</w:t>
      </w:r>
      <w:r w:rsidRPr="006E3C80">
        <w:rPr>
          <w:rFonts w:cs="Times New Roman"/>
          <w:b/>
          <w:bCs/>
          <w:i/>
          <w:iCs/>
          <w:sz w:val="24"/>
          <w:szCs w:val="24"/>
          <w:lang w:val="en-GB"/>
        </w:rPr>
        <w:t xml:space="preserve"> </w:t>
      </w:r>
      <w:r w:rsidR="006E0EEC" w:rsidRPr="006E3C80">
        <w:rPr>
          <w:rFonts w:cs="Times New Roman"/>
          <w:b/>
          <w:bCs/>
          <w:i/>
          <w:iCs/>
          <w:sz w:val="24"/>
          <w:szCs w:val="24"/>
          <w:lang w:val="en-GB"/>
        </w:rPr>
        <w:t xml:space="preserve">to </w:t>
      </w:r>
      <w:r w:rsidRPr="006E3C80">
        <w:rPr>
          <w:rFonts w:cs="Times New Roman"/>
          <w:b/>
          <w:bCs/>
          <w:i/>
          <w:iCs/>
          <w:sz w:val="24"/>
          <w:szCs w:val="24"/>
          <w:lang w:val="en-GB"/>
        </w:rPr>
        <w:t>participate collectively in strategic decision-making processes regarding legislative and policy-making processes in the area of alternative care.</w:t>
      </w:r>
      <w:r w:rsidR="006E0EEC" w:rsidRPr="00535F74">
        <w:rPr>
          <w:rStyle w:val="FootnoteReference"/>
          <w:rFonts w:cs="Times New Roman"/>
          <w:i/>
          <w:iCs/>
          <w:sz w:val="24"/>
          <w:szCs w:val="24"/>
          <w:lang w:val="en-GB"/>
        </w:rPr>
        <w:footnoteReference w:id="21"/>
      </w:r>
      <w:r w:rsidRPr="006E3C80">
        <w:rPr>
          <w:rFonts w:cs="Times New Roman"/>
          <w:i/>
          <w:iCs/>
          <w:sz w:val="24"/>
          <w:szCs w:val="24"/>
          <w:lang w:val="en-GB"/>
        </w:rPr>
        <w:t xml:space="preserve"> States Parties should also </w:t>
      </w:r>
      <w:r w:rsidR="00C64A60" w:rsidRPr="006E3C80">
        <w:rPr>
          <w:rFonts w:cs="Times New Roman"/>
          <w:i/>
          <w:iCs/>
          <w:sz w:val="24"/>
          <w:szCs w:val="24"/>
          <w:lang w:val="en-GB"/>
        </w:rPr>
        <w:t>ensure</w:t>
      </w:r>
      <w:r w:rsidRPr="006E3C80">
        <w:rPr>
          <w:rFonts w:cs="Times New Roman"/>
          <w:i/>
          <w:iCs/>
          <w:sz w:val="24"/>
          <w:szCs w:val="24"/>
          <w:lang w:val="en-GB"/>
        </w:rPr>
        <w:t xml:space="preserve"> that children in care are provided with supports for self-advocacy and supports to establish formal and informal groups to represent their interests in the context of alternative care.</w:t>
      </w:r>
    </w:p>
    <w:p w14:paraId="239BFD5D" w14:textId="77777777" w:rsidR="00F44C97" w:rsidRPr="006E3C80" w:rsidRDefault="00F44C97" w:rsidP="00F44C97">
      <w:pPr>
        <w:pStyle w:val="ListParagraph"/>
        <w:jc w:val="both"/>
        <w:rPr>
          <w:rFonts w:cs="Times New Roman"/>
          <w:b/>
          <w:bCs/>
          <w:i/>
          <w:iCs/>
          <w:sz w:val="24"/>
          <w:szCs w:val="24"/>
          <w:lang w:val="en-GB"/>
        </w:rPr>
      </w:pPr>
    </w:p>
    <w:p w14:paraId="46496A5D" w14:textId="6C96E1C5" w:rsidR="00E6419A" w:rsidRPr="006E3C80" w:rsidRDefault="00F44C97" w:rsidP="009B498F">
      <w:pPr>
        <w:pStyle w:val="ListParagraph"/>
        <w:numPr>
          <w:ilvl w:val="0"/>
          <w:numId w:val="7"/>
        </w:numPr>
        <w:jc w:val="both"/>
        <w:rPr>
          <w:rFonts w:cs="Times New Roman"/>
          <w:b/>
          <w:bCs/>
          <w:i/>
          <w:iCs/>
          <w:sz w:val="24"/>
          <w:szCs w:val="24"/>
          <w:lang w:val="en-GB"/>
        </w:rPr>
      </w:pPr>
      <w:r>
        <w:rPr>
          <w:rFonts w:cs="Times New Roman"/>
          <w:b/>
          <w:bCs/>
          <w:i/>
          <w:iCs/>
          <w:sz w:val="24"/>
          <w:szCs w:val="24"/>
          <w:lang w:val="en-GB"/>
        </w:rPr>
        <w:t>DRI encourages the CRC Committee to adopt</w:t>
      </w:r>
      <w:r w:rsidR="00535495" w:rsidRPr="006E3C80">
        <w:rPr>
          <w:rFonts w:cs="Times New Roman"/>
          <w:b/>
          <w:bCs/>
          <w:i/>
          <w:iCs/>
          <w:sz w:val="24"/>
          <w:szCs w:val="24"/>
          <w:lang w:val="en-GB"/>
        </w:rPr>
        <w:t xml:space="preserve"> </w:t>
      </w:r>
      <w:r>
        <w:rPr>
          <w:rFonts w:cs="Times New Roman"/>
          <w:b/>
          <w:bCs/>
          <w:i/>
          <w:iCs/>
          <w:sz w:val="24"/>
          <w:szCs w:val="24"/>
          <w:lang w:val="en-GB"/>
        </w:rPr>
        <w:t>gui</w:t>
      </w:r>
      <w:r w:rsidR="00237701">
        <w:rPr>
          <w:rFonts w:cs="Times New Roman"/>
          <w:b/>
          <w:bCs/>
          <w:i/>
          <w:iCs/>
          <w:sz w:val="24"/>
          <w:szCs w:val="24"/>
          <w:lang w:val="en-GB"/>
        </w:rPr>
        <w:t>diance to</w:t>
      </w:r>
      <w:r w:rsidR="00535495" w:rsidRPr="006E3C80">
        <w:rPr>
          <w:rFonts w:cs="Times New Roman"/>
          <w:b/>
          <w:bCs/>
          <w:i/>
          <w:iCs/>
          <w:sz w:val="24"/>
          <w:szCs w:val="24"/>
          <w:lang w:val="en-GB"/>
        </w:rPr>
        <w:t xml:space="preserve"> emphasize the significance of the participation of civil society</w:t>
      </w:r>
      <w:r w:rsidR="00237701">
        <w:rPr>
          <w:rFonts w:cs="Times New Roman"/>
          <w:b/>
          <w:bCs/>
          <w:i/>
          <w:iCs/>
          <w:sz w:val="24"/>
          <w:szCs w:val="24"/>
          <w:lang w:val="en-GB"/>
        </w:rPr>
        <w:t xml:space="preserve">.  </w:t>
      </w:r>
      <w:r w:rsidR="00237701">
        <w:rPr>
          <w:rFonts w:cs="Times New Roman"/>
          <w:i/>
          <w:iCs/>
          <w:sz w:val="24"/>
          <w:szCs w:val="24"/>
          <w:lang w:val="en-GB"/>
        </w:rPr>
        <w:t>In addition to encouraging child participation, it is essential to include</w:t>
      </w:r>
      <w:r w:rsidR="00535495" w:rsidRPr="00237701">
        <w:rPr>
          <w:rFonts w:cs="Times New Roman"/>
          <w:i/>
          <w:iCs/>
          <w:sz w:val="24"/>
          <w:szCs w:val="24"/>
          <w:lang w:val="en-GB"/>
        </w:rPr>
        <w:t xml:space="preserve"> </w:t>
      </w:r>
      <w:r w:rsidR="00C64A60" w:rsidRPr="00237701">
        <w:rPr>
          <w:rFonts w:cs="Times New Roman"/>
          <w:i/>
          <w:iCs/>
          <w:sz w:val="24"/>
          <w:szCs w:val="24"/>
          <w:lang w:val="en-GB"/>
        </w:rPr>
        <w:t>organization</w:t>
      </w:r>
      <w:r w:rsidR="00535495" w:rsidRPr="00237701">
        <w:rPr>
          <w:rFonts w:cs="Times New Roman"/>
          <w:i/>
          <w:iCs/>
          <w:sz w:val="24"/>
          <w:szCs w:val="24"/>
          <w:lang w:val="en-GB"/>
        </w:rPr>
        <w:t xml:space="preserve">s of persons with disabilities </w:t>
      </w:r>
      <w:r w:rsidR="00237701">
        <w:rPr>
          <w:rFonts w:cs="Times New Roman"/>
          <w:i/>
          <w:iCs/>
          <w:sz w:val="24"/>
          <w:szCs w:val="24"/>
          <w:lang w:val="en-GB"/>
        </w:rPr>
        <w:t>made up of</w:t>
      </w:r>
      <w:r w:rsidR="00535495" w:rsidRPr="00237701">
        <w:rPr>
          <w:rFonts w:cs="Times New Roman"/>
          <w:i/>
          <w:iCs/>
          <w:sz w:val="24"/>
          <w:szCs w:val="24"/>
          <w:lang w:val="en-GB"/>
        </w:rPr>
        <w:t xml:space="preserve"> </w:t>
      </w:r>
      <w:r w:rsidR="00815AFA" w:rsidRPr="00237701">
        <w:rPr>
          <w:rFonts w:cs="Times New Roman"/>
          <w:i/>
          <w:iCs/>
          <w:sz w:val="24"/>
          <w:szCs w:val="24"/>
          <w:lang w:val="en-GB"/>
        </w:rPr>
        <w:t xml:space="preserve">adults and </w:t>
      </w:r>
      <w:r w:rsidR="00535495" w:rsidRPr="00237701">
        <w:rPr>
          <w:rFonts w:cs="Times New Roman"/>
          <w:i/>
          <w:iCs/>
          <w:sz w:val="24"/>
          <w:szCs w:val="24"/>
          <w:lang w:val="en-GB"/>
        </w:rPr>
        <w:t>young people with disabilities in strategic decision-making processes</w:t>
      </w:r>
      <w:r w:rsidR="00237701">
        <w:rPr>
          <w:rFonts w:cs="Times New Roman"/>
          <w:i/>
          <w:iCs/>
          <w:sz w:val="24"/>
          <w:szCs w:val="24"/>
          <w:lang w:val="en-GB"/>
        </w:rPr>
        <w:t xml:space="preserve">.  Institutions will never be fully eliminated until society is made inclusive for children and adults with disabilities, and collaboration with disability rights groups is essential to bring about this transformation of care. </w:t>
      </w:r>
    </w:p>
    <w:sectPr w:rsidR="00E6419A" w:rsidRPr="006E3C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93C5" w14:textId="77777777" w:rsidR="00DF65A9" w:rsidRDefault="00DF65A9" w:rsidP="00DF139B">
      <w:pPr>
        <w:spacing w:after="0" w:line="240" w:lineRule="auto"/>
      </w:pPr>
      <w:r>
        <w:separator/>
      </w:r>
    </w:p>
  </w:endnote>
  <w:endnote w:type="continuationSeparator" w:id="0">
    <w:p w14:paraId="0F383CD5" w14:textId="77777777" w:rsidR="00DF65A9" w:rsidRDefault="00DF65A9" w:rsidP="00DF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F565" w14:textId="77777777" w:rsidR="00DF65A9" w:rsidRDefault="00DF65A9" w:rsidP="00DF139B">
      <w:pPr>
        <w:spacing w:after="0" w:line="240" w:lineRule="auto"/>
      </w:pPr>
      <w:r>
        <w:separator/>
      </w:r>
    </w:p>
  </w:footnote>
  <w:footnote w:type="continuationSeparator" w:id="0">
    <w:p w14:paraId="260F9A96" w14:textId="77777777" w:rsidR="00DF65A9" w:rsidRDefault="00DF65A9" w:rsidP="00DF139B">
      <w:pPr>
        <w:spacing w:after="0" w:line="240" w:lineRule="auto"/>
      </w:pPr>
      <w:r>
        <w:continuationSeparator/>
      </w:r>
    </w:p>
  </w:footnote>
  <w:footnote w:id="1">
    <w:p w14:paraId="65C47EB2" w14:textId="11F9D909" w:rsidR="00A976E6" w:rsidRPr="007F1007" w:rsidRDefault="00A976E6" w:rsidP="00A976E6">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Pr="007F1007">
        <w:rPr>
          <w:sz w:val="16"/>
          <w:szCs w:val="16"/>
        </w:rPr>
        <w:instrText xml:space="preserve"> ADDIN ZOTERO_ITEM CSL_CITATION {"citationID":"QmBruXxz","properties":{"formattedCitation":"Chris Desmond and others, \\uc0\\u8216{}Prevalence and Number of Children Living in Institutional Care: Global, Regional, and Country Estimates\\uc0\\u8217{} (2020) 4 The Lancet Child &amp; Adolescent Health 370; Eric Rosenthal, \\uc0\\u8216{}The Right of All Children to Grow up with a Family under International Law: Implications for Placement in Orphanages, Residential Care, and Group Homes\\uc0\\u8217{} (2018) 25 Buffalo Human Rights Law Review 65.","plainCitation":"Chris Desmond and others, ‘Prevalence and Number of Children Living in Institutional Care: Global, Regional, and Country Estimates’ (2020) 4 The Lancet Child &amp; Adolescent Health 370; Eric Rosenthal, ‘The Right of All Children to Grow up with a Family under International Law: Implications for Placement in Orphanages, Residential Care, and Group Homes’ (2018) 25 Buffalo Human Rights Law Review 65.","noteIndex":1},"citationItems":[{"id":1202,"uris":["http://zotero.org/users/3417845/items/SS9WXAFW"],"uri":["http://zotero.org/users/3417845/items/SS9WXAFW"],"itemData":{"id":1202,"type":"article-journal","abstract":"Background Children living in institutionalised settings are at risk of negative health and developmental outcomes, as well as physical and emotional abuse, yet information on their numbers is scarce. Therefore, the aim of our study was to estimate global-level, regional-level, and country-level numbers and percentages of children living in institutional care.","container-title":"The Lancet Child &amp; Adolescent Health","DOI":"10.1016/S2352-4642(20)30022-5","ISSN":"23524642","issue":"5","journalAbbreviation":"The Lancet Child &amp; Adolescent Health","language":"en","page":"370-377","source":"DOI.org (Crossref)","title":"Prevalence and number of children living in institutional care: global, regional, and country estimates","title-short":"Prevalence and number of children living in institutional care","volume":"4","author":[{"family":"Desmond","given":"Chris"},{"family":"Watt","given":"Kathryn"},{"family":"Saha","given":"Anamika"},{"family":"Huang","given":"Jialin"},{"family":"Lu","given":"Chunling"}],"issued":{"date-parts":[["2020",5]]}}},{"id":1206,"uris":["http://zotero.org/users/3417845/items/8TJTX9LG"],"uri":["http://zotero.org/users/3417845/items/8TJTX9LG"],"itemData":{"id":1206,"type":"article-journal","container-title":"Buffalo Human Rights Law Review","journalAbbreviation":"Buff. Hum. Rts. L. Rev.","language":"eng","page":"65-138","source":"HeinOnline","title":"The Right of All Children to Grow up with a Family under International Law: Implications for Placement in Orphanages, Residential Care, and Group Homes","title-short":"The Right of All Children to Grow up with a Family under International Law","volume":"25","author":[{"family":"Rosenthal","given":"Eric"}],"issued":{"date-parts":[["2018"]],"season":"2019"}}}],"schema":"https://github.com/citation-style-language/schema/raw/master/csl-citation.json"} </w:instrText>
      </w:r>
      <w:r w:rsidRPr="007F1007">
        <w:rPr>
          <w:sz w:val="16"/>
          <w:szCs w:val="16"/>
        </w:rPr>
        <w:fldChar w:fldCharType="separate"/>
      </w:r>
      <w:r w:rsidRPr="007F1007">
        <w:rPr>
          <w:rFonts w:ascii="Calibri" w:hAnsi="Calibri" w:cs="Calibri"/>
          <w:sz w:val="16"/>
          <w:szCs w:val="16"/>
        </w:rPr>
        <w:t>Eric Rosenthal, ‘The Right of All Children to Grow up with a Family under International Law: Implications for Placement in Orphanages, Residential Care, and Group Homes’ (2018) 25 Buffalo Human Rights Law Review 65.</w:t>
      </w:r>
      <w:r w:rsidRPr="007F1007">
        <w:rPr>
          <w:sz w:val="16"/>
          <w:szCs w:val="16"/>
        </w:rPr>
        <w:fldChar w:fldCharType="end"/>
      </w:r>
    </w:p>
  </w:footnote>
  <w:footnote w:id="2">
    <w:p w14:paraId="5D1DFDE4" w14:textId="77777777" w:rsidR="00D6507E" w:rsidRPr="007F1007" w:rsidRDefault="00D6507E" w:rsidP="00D6507E">
      <w:pPr>
        <w:pStyle w:val="FootnoteText"/>
        <w:rPr>
          <w:sz w:val="16"/>
          <w:szCs w:val="16"/>
          <w:lang w:val="en-GB"/>
        </w:rPr>
      </w:pPr>
      <w:r w:rsidRPr="007F1007">
        <w:rPr>
          <w:rStyle w:val="FootnoteReference"/>
          <w:sz w:val="16"/>
          <w:szCs w:val="16"/>
        </w:rPr>
        <w:footnoteRef/>
      </w:r>
      <w:r w:rsidRPr="007F1007">
        <w:rPr>
          <w:sz w:val="16"/>
          <w:szCs w:val="16"/>
        </w:rPr>
        <w:t xml:space="preserve"> M</w:t>
      </w:r>
      <w:r w:rsidRPr="007F1007">
        <w:rPr>
          <w:rFonts w:ascii="Calibri" w:hAnsi="Calibri" w:cs="Calibri"/>
          <w:sz w:val="16"/>
          <w:szCs w:val="16"/>
        </w:rPr>
        <w:t xml:space="preserve">arinus H van </w:t>
      </w:r>
      <w:proofErr w:type="spellStart"/>
      <w:r w:rsidRPr="007F1007">
        <w:rPr>
          <w:rFonts w:ascii="Calibri" w:hAnsi="Calibri" w:cs="Calibri"/>
          <w:sz w:val="16"/>
          <w:szCs w:val="16"/>
        </w:rPr>
        <w:t>IJzendoorn</w:t>
      </w:r>
      <w:proofErr w:type="spellEnd"/>
      <w:r w:rsidRPr="007F1007">
        <w:rPr>
          <w:rFonts w:ascii="Calibri" w:hAnsi="Calibri" w:cs="Calibri"/>
          <w:sz w:val="16"/>
          <w:szCs w:val="16"/>
        </w:rPr>
        <w:t xml:space="preserve"> and others, ‘</w:t>
      </w:r>
      <w:proofErr w:type="spellStart"/>
      <w:r w:rsidRPr="007F1007">
        <w:rPr>
          <w:rFonts w:ascii="Calibri" w:hAnsi="Calibri" w:cs="Calibri"/>
          <w:sz w:val="16"/>
          <w:szCs w:val="16"/>
        </w:rPr>
        <w:t>Institutionalisation</w:t>
      </w:r>
      <w:proofErr w:type="spellEnd"/>
      <w:r w:rsidRPr="007F1007">
        <w:rPr>
          <w:rFonts w:ascii="Calibri" w:hAnsi="Calibri" w:cs="Calibri"/>
          <w:sz w:val="16"/>
          <w:szCs w:val="16"/>
        </w:rPr>
        <w:t xml:space="preserve"> and </w:t>
      </w:r>
      <w:proofErr w:type="spellStart"/>
      <w:r w:rsidRPr="007F1007">
        <w:rPr>
          <w:rFonts w:ascii="Calibri" w:hAnsi="Calibri" w:cs="Calibri"/>
          <w:sz w:val="16"/>
          <w:szCs w:val="16"/>
        </w:rPr>
        <w:t>Deinstitutionalisation</w:t>
      </w:r>
      <w:proofErr w:type="spellEnd"/>
      <w:r w:rsidRPr="007F1007">
        <w:rPr>
          <w:rFonts w:ascii="Calibri" w:hAnsi="Calibri" w:cs="Calibri"/>
          <w:sz w:val="16"/>
          <w:szCs w:val="16"/>
        </w:rPr>
        <w:t xml:space="preserve"> of Children 1: A Systematic and Integrative Review of Evidence Regarding Effects on Development’ (2020) 7 The Lancet Psychiatry 703; Anna T </w:t>
      </w:r>
      <w:proofErr w:type="spellStart"/>
      <w:r w:rsidRPr="007F1007">
        <w:rPr>
          <w:rFonts w:ascii="Calibri" w:hAnsi="Calibri" w:cs="Calibri"/>
          <w:sz w:val="16"/>
          <w:szCs w:val="16"/>
        </w:rPr>
        <w:t>Smyke</w:t>
      </w:r>
      <w:proofErr w:type="spellEnd"/>
      <w:r w:rsidRPr="007F1007">
        <w:rPr>
          <w:rFonts w:ascii="Calibri" w:hAnsi="Calibri" w:cs="Calibri"/>
          <w:sz w:val="16"/>
          <w:szCs w:val="16"/>
        </w:rPr>
        <w:t xml:space="preserve"> and others, ‘The Caregiving Context in Institution-Reared and Family-Reared Infants and Toddlers in Romania’ (2007) 48 Journal of Child Psychology and Psychiatry, and Allied Disciplines 210.</w:t>
      </w:r>
    </w:p>
  </w:footnote>
  <w:footnote w:id="3">
    <w:p w14:paraId="4AFA6324" w14:textId="72BFCBE4" w:rsidR="002C28C7" w:rsidRPr="007F1007" w:rsidRDefault="002C28C7" w:rsidP="002C28C7">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0C2064" w:rsidRPr="007F1007">
        <w:rPr>
          <w:sz w:val="16"/>
          <w:szCs w:val="16"/>
        </w:rPr>
        <w:instrText xml:space="preserve"> ADDIN ZOTERO_ITEM CSL_CITATION {"citationID":"QmBruXxz","properties":{"formattedCitation":"Chris Desmond and others, \\uc0\\u8216{}Prevalence and Number of Children Living in Institutional Care: Global, Regional, and Country Estimates\\uc0\\u8217{} (2020) 4 The Lancet Child &amp; Adolescent Health 370; Eric Rosenthal, \\uc0\\u8216{}The Right of All Children to Grow up with a Family under International Law: Implications for Placement in Orphanages, Residential Care, and Group Homes\\uc0\\u8217{} (2018) 25 Buffalo Human Rights Law Review 65.","plainCitation":"Chris Desmond and others, ‘Prevalence and Number of Children Living in Institutional Care: Global, Regional, and Country Estimates’ (2020) 4 The Lancet Child &amp; Adolescent Health 370; Eric Rosenthal, ‘The Right of All Children to Grow up with a Family under International Law: Implications for Placement in Orphanages, Residential Care, and Group Homes’ (2018) 25 Buffalo Human Rights Law Review 65.","noteIndex":1},"citationItems":[{"id":1202,"uris":["http://zotero.org/users/3417845/items/SS9WXAFW"],"uri":["http://zotero.org/users/3417845/items/SS9WXAFW"],"itemData":{"id":1202,"type":"article-journal","abstract":"Background Children living in institutionalised settings are at risk of negative health and developmental outcomes, as well as physical and emotional abuse, yet information on their numbers is scarce. Therefore, the aim of our study was to estimate global-level, regional-level, and country-level numbers and percentages of children living in institutional care.","container-title":"The Lancet Child &amp; Adolescent Health","DOI":"10.1016/S2352-4642(20)30022-5","ISSN":"23524642","issue":"5","journalAbbreviation":"The Lancet Child &amp; Adolescent Health","language":"en","page":"370-377","source":"DOI.org (Crossref)","title":"Prevalence and number of children living in institutional care: global, regional, and country estimates","title-short":"Prevalence and number of children living in institutional care","volume":"4","author":[{"family":"Desmond","given":"Chris"},{"family":"Watt","given":"Kathryn"},{"family":"Saha","given":"Anamika"},{"family":"Huang","given":"Jialin"},{"family":"Lu","given":"Chunling"}],"issued":{"date-parts":[["2020",5]]}}},{"id":1206,"uris":["http://zotero.org/users/3417845/items/8TJTX9LG"],"uri":["http://zotero.org/users/3417845/items/8TJTX9LG"],"itemData":{"id":1206,"type":"article-journal","container-title":"Buffalo Human Rights Law Review","journalAbbreviation":"Buff. Hum. Rts. L. Rev.","language":"eng","page":"65-138","source":"HeinOnline","title":"The Right of All Children to Grow up with a Family under International Law: Implications for Placement in Orphanages, Residential Care, and Group Homes","title-short":"The Right of All Children to Grow up with a Family under International Law","volume":"25","author":[{"family":"Rosenthal","given":"Eric"}],"issued":{"date-parts":[["2018"]],"season":"2019"}}}],"schema":"https://github.com/citation-style-language/schema/raw/master/csl-citation.json"} </w:instrText>
      </w:r>
      <w:r w:rsidRPr="007F1007">
        <w:rPr>
          <w:sz w:val="16"/>
          <w:szCs w:val="16"/>
        </w:rPr>
        <w:fldChar w:fldCharType="separate"/>
      </w:r>
      <w:r w:rsidRPr="007F1007">
        <w:rPr>
          <w:rFonts w:ascii="Calibri" w:hAnsi="Calibri" w:cs="Calibri"/>
          <w:sz w:val="16"/>
          <w:szCs w:val="16"/>
        </w:rPr>
        <w:t>Chris Desmond and others, ‘Prevalence and Number of Children Living in Institutional Care: Global, Regional, and Country Estimates’ (2020) 4 The Lancet Child &amp; Adolescent Health 370; Eric Rosenthal, ‘The Right of All Children to Grow up with a Family under International Law: Implications for Placement in Orphanages, Residential Care, and Group Homes’ (2018) 25 Buffalo Human Rights Law Review 65.</w:t>
      </w:r>
      <w:r w:rsidRPr="007F1007">
        <w:rPr>
          <w:sz w:val="16"/>
          <w:szCs w:val="16"/>
        </w:rPr>
        <w:fldChar w:fldCharType="end"/>
      </w:r>
    </w:p>
  </w:footnote>
  <w:footnote w:id="4">
    <w:p w14:paraId="02BA45BB" w14:textId="6BBE47FE" w:rsidR="002C28C7" w:rsidRPr="007F1007" w:rsidRDefault="002C28C7" w:rsidP="002C28C7">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0C2064" w:rsidRPr="007F1007">
        <w:rPr>
          <w:sz w:val="16"/>
          <w:szCs w:val="16"/>
        </w:rPr>
        <w:instrText xml:space="preserve"> ADDIN ZOTERO_ITEM CSL_CITATION {"citationID":"jFS55u3H","properties":{"formattedCitation":"Davis and Watson, \\uc0\\u8216{}Disabled Children\\uc0\\u8217{}s Rights in Every Day Life: Problematising Notions of Competency and Promoting Self-Empowerment\\uc0\\u8217{} (2000) 8 The International Journal of Children\\uc0\\u8217{}s Rights 211.","plainCitation":"Davis and Watson, ‘Disabled Children’s Rights in Every Day Life: Problematising Notions of Competency and Promoting Self-Empowerment’ (2000) 8 The International Journal of Children’s Rights 211.","noteIndex":2},"citationItems":[{"id":656,"uris":["http://zotero.org/users/3417845/items/IAT7N3NL"],"uri":["http://zotero.org/users/3417845/items/IAT7N3NL"],"itemData":{"id":656,"type":"article-journal","container-title":"The International Journal of Children's Rights","DOI":"10.1163/15718180020494622","ISSN":"0927-5568","issue":"3","language":"eng","note":"publisher-place: The Netherlands\npublisher: BRILL","page":"211–228","source":"leeds.primo.exlibrisgroup.com","title":"Disabled children's rights in every day life: Problematising notions of competency and promoting self-empowerment","title-short":"Disabled children's rights in every day life","volume":"8","author":[{"literal":"Davis"},{"literal":"Watson"}],"issued":{"date-parts":[["2000"]]}}}],"schema":"https://github.com/citation-style-language/schema/raw/master/csl-citation.json"} </w:instrText>
      </w:r>
      <w:r w:rsidRPr="007F1007">
        <w:rPr>
          <w:sz w:val="16"/>
          <w:szCs w:val="16"/>
        </w:rPr>
        <w:fldChar w:fldCharType="separate"/>
      </w:r>
      <w:r w:rsidRPr="007F1007">
        <w:rPr>
          <w:rFonts w:ascii="Calibri" w:hAnsi="Calibri" w:cs="Calibri"/>
          <w:sz w:val="16"/>
          <w:szCs w:val="16"/>
        </w:rPr>
        <w:t>Davis and Watson, ‘Disabled Children’s Rights in Every Day Life: Problematising Notions of Competency and Promoting Self-Empowerment’ (2000) 8 The International Journal of Children’s Rights 211.</w:t>
      </w:r>
      <w:r w:rsidRPr="007F1007">
        <w:rPr>
          <w:sz w:val="16"/>
          <w:szCs w:val="16"/>
        </w:rPr>
        <w:fldChar w:fldCharType="end"/>
      </w:r>
    </w:p>
  </w:footnote>
  <w:footnote w:id="5">
    <w:p w14:paraId="3F11CEC1" w14:textId="7D58695D" w:rsidR="002C28C7" w:rsidRPr="007F1007" w:rsidRDefault="002C28C7" w:rsidP="002C28C7">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BE2669" w:rsidRPr="007F1007">
        <w:rPr>
          <w:sz w:val="16"/>
          <w:szCs w:val="16"/>
        </w:rPr>
        <w:instrText xml:space="preserve"> ADDIN ZOTERO_ITEM CSL_CITATION {"citationID":"dVdByOpi","properties":{"formattedCitation":"Anita Franklin and Patricia Sloper, \\uc0\\u8216{}Supporting the Participation of Disabled Children and Young People in Decision-Making\\uc0\\u8217{} [2009] Children &amp; Society 3.","plainCitation":"Anita Franklin and Patricia Sloper, ‘Supporting the Participation of Disabled Children and Young People in Decision-Making’ [2009] Children &amp; Society 3.","noteIndex":3},"citationItems":[{"id":1108,"uris":["http://zotero.org/users/3417845/items/TEUSHGEF"],"uri":["http://zotero.org/users/3417845/items/TEUSHGEF"],"itemData":{"id":1108,"type":"article-journal","abstract":"Increasing children's and young people's participation in decisions, about their own care and about service development, is a policy priority. Although in general participation is increasing, disabled children are less likely to be involved than non-disabled children and it is unclear to what extent children with complex needs or communication impairments are being included in participation activities. This article presents research exploring factors to support good practice in participation and discusses policy and practice implications.","container-title":"Children &amp; Society","ISSN":"1099-0860","language":"en","note":"number-of-pages: 13\npublisher: York","page":"3-15","source":"eprints.whiterose.ac.uk","title":"Supporting the Participation of Disabled Children and Young People in Decision-making","author":[{"family":"Franklin","given":"Anita"},{"family":"Sloper","given":"Patricia"}],"issued":{"date-parts":[["2009",1]]}}}],"schema":"https://github.com/citation-style-language/schema/raw/master/csl-citation.json"} </w:instrText>
      </w:r>
      <w:r w:rsidRPr="007F1007">
        <w:rPr>
          <w:sz w:val="16"/>
          <w:szCs w:val="16"/>
        </w:rPr>
        <w:fldChar w:fldCharType="separate"/>
      </w:r>
      <w:r w:rsidRPr="007F1007">
        <w:rPr>
          <w:rFonts w:ascii="Calibri" w:hAnsi="Calibri" w:cs="Calibri"/>
          <w:sz w:val="16"/>
          <w:szCs w:val="16"/>
        </w:rPr>
        <w:t>Anita Franklin and Patricia Sloper, ‘Supporting the Participation of Disabled Children and Young People in Decision-Making’ [2009] Children &amp; Society 3.</w:t>
      </w:r>
      <w:r w:rsidRPr="007F1007">
        <w:rPr>
          <w:sz w:val="16"/>
          <w:szCs w:val="16"/>
        </w:rPr>
        <w:fldChar w:fldCharType="end"/>
      </w:r>
    </w:p>
  </w:footnote>
  <w:footnote w:id="6">
    <w:p w14:paraId="00281FDE" w14:textId="0AE36EB6" w:rsidR="00BE2669" w:rsidRPr="007F1007" w:rsidRDefault="00BE2669">
      <w:pPr>
        <w:pStyle w:val="FootnoteText"/>
        <w:rPr>
          <w:sz w:val="16"/>
          <w:szCs w:val="16"/>
        </w:rPr>
      </w:pPr>
      <w:r w:rsidRPr="007F1007">
        <w:rPr>
          <w:rStyle w:val="FootnoteReference"/>
          <w:sz w:val="16"/>
          <w:szCs w:val="16"/>
        </w:rPr>
        <w:footnoteRef/>
      </w:r>
      <w:r w:rsidRPr="007F1007">
        <w:rPr>
          <w:sz w:val="16"/>
          <w:szCs w:val="16"/>
        </w:rPr>
        <w:t xml:space="preserve"> </w:t>
      </w:r>
      <w:bookmarkStart w:id="0" w:name="_Hlk75023426"/>
      <w:r w:rsidR="00F44C97">
        <w:rPr>
          <w:i/>
          <w:iCs/>
          <w:sz w:val="16"/>
          <w:szCs w:val="16"/>
        </w:rPr>
        <w:t xml:space="preserve">See, for example, </w:t>
      </w:r>
      <w:r w:rsidR="00F44C97">
        <w:rPr>
          <w:sz w:val="16"/>
          <w:szCs w:val="16"/>
        </w:rPr>
        <w:t>Disability Rights International</w:t>
      </w:r>
      <w:r w:rsidRPr="007F1007">
        <w:rPr>
          <w:sz w:val="16"/>
          <w:szCs w:val="16"/>
        </w:rPr>
        <w:t>. "A Dead End for Children: Bulgaria's Group Homes." Available at SSRN 3664732 (2019).</w:t>
      </w:r>
      <w:bookmarkEnd w:id="0"/>
    </w:p>
  </w:footnote>
  <w:footnote w:id="7">
    <w:p w14:paraId="54CE75C0" w14:textId="40A6A50E" w:rsidR="000C2064" w:rsidRPr="007F1007" w:rsidRDefault="000C2064">
      <w:pPr>
        <w:pStyle w:val="FootnoteText"/>
        <w:rPr>
          <w:sz w:val="16"/>
          <w:szCs w:val="16"/>
          <w:lang w:val="en-GB"/>
        </w:rPr>
      </w:pPr>
      <w:r w:rsidRPr="007F1007">
        <w:rPr>
          <w:rStyle w:val="FootnoteReference"/>
          <w:sz w:val="16"/>
          <w:szCs w:val="16"/>
        </w:rPr>
        <w:footnoteRef/>
      </w:r>
      <w:r w:rsidRPr="007F1007">
        <w:rPr>
          <w:sz w:val="16"/>
          <w:szCs w:val="16"/>
          <w:lang w:val="en-GB"/>
        </w:rPr>
        <w:t xml:space="preserve"> </w:t>
      </w:r>
      <w:r w:rsidRPr="007F1007">
        <w:rPr>
          <w:sz w:val="16"/>
          <w:szCs w:val="16"/>
        </w:rPr>
        <w:fldChar w:fldCharType="begin"/>
      </w:r>
      <w:r w:rsidR="003147B6" w:rsidRPr="007F1007">
        <w:rPr>
          <w:sz w:val="16"/>
          <w:szCs w:val="16"/>
          <w:lang w:val="en-GB"/>
        </w:rPr>
        <w:instrText xml:space="preserve"> ADDIN ZOTERO_ITEM CSL_CITATION {"citationID":"r3PfP8PG","properties":{"formattedCitation":"Michael Gallagher and others, \\uc0\\u8216{}Children and Families\\uc0\\u8217{} Involvement in Social Work Decision Making\\uc0\\u8217{} (2012) 26 Children &amp; society 74; Caroline Leeson, \\uc0\\u8216{}My Life in Care: Experiences of Non-Participation in Decision-Making Processes\\uc0\\u8217{} (2007) 12 Child &amp; Family Social Work 268; Mijntje DC Ten Brummelaar and others, \\uc0\\u8216{}Participation of Youth in Decision-Making Procedures during Residential Care: A Narrative Review\\uc0\\u8217{} (2018) 23 Child &amp; family social work 33; Jill Duerr Berrick and others, \\uc0\\u8216{}Children\\uc0\\u8217{}s Involvement in Care Order Decision-Making: A Cross-Country Analysis\\uc0\\u8217{} (2015) 49 Child abuse &amp; neglect 128.","plainCitation":"Michael Gallagher and others, ‘Children and Families’ Involvement in Social Work Decision Making’ (2012) 26 Children &amp; society 74; Caroline Leeson, ‘My Life in Care: Experiences of Non-Participation in Decision-Making Processes’ (2007) 12 Child &amp; Family Social Work 268; Mijntje DC Ten Brummelaar and others, ‘Participation of Youth in Decision-Making Procedures during Residential Care: A Narrative Review’ (2018) 23 Child &amp; family social work 33; Jill Duerr Berrick and others, ‘Children’s Involvement in Care Order Decision-Making: A Cross-Country Analysis’ (2015) 49 Child abuse &amp; neglect 128.","noteIndex":9},"citationItems":[{"id":1276,"uris":["http://zotero.org/users/3417845/items/GSM4KPBI"],"uri":["http://zotero.org/users/3417845/items/GSM4KPBI"],"itemData":{"id":1276,"type":"article-journal","abstract":"This review summarises the research literature on children’s and parents’ involvement in social work decision making, which is regarded, in policy terms, as increasingly important. In practice, however, it tends to be messy, difficult and compromised. Different individuals or groups may have different understandings of participation and related concepts, while differences of age and disability also mediate effective user engagement. The literature highlights common themes in effective participatory practice with both children and their parents. Central to this are the establishment of relationships of trust and respect, clear communication and information and appropriate support to participate.","container-title":"Children &amp; society","DOI":"10.1111/j.1099-0860.2011.00409.x","ISSN":"0951-0605","issue":"1","language":"eng","note":"publisher-place: Oxford, UK\npublisher: Blackwell Publishing Ltd","page":"74–85","source":"leeds.primo.exlibrisgroup.com","title":"Children and Families' Involvement in Social Work Decision Making","volume":"26","author":[{"family":"Gallagher","given":"Michael"},{"family":"Smith","given":"Mark"},{"family":"Hardy","given":"Mark"},{"family":"Wilkinson","given":"Heather"}],"issued":{"date-parts":[["2012"]]}}},{"id":1227,"uris":["http://zotero.org/users/3417845/items/BCQ4V23H"],"uri":["http://zotero.org/users/3417845/items/BCQ4V23H"],"itemData":{"id":1227,"type":"article-journal","abstract":"The extent to which young people are involved in legal decision-making depends on assumptions and perceptions about their ability to participate in decision-making in general. This paper draws on research with four young people, looking at their experiences of involvement in a variety of decision-making processes whilst in the care of the local authority. Through narratives, games and other activities, the thoughts and emotions of the four young people are explored, identifying the development of feelings of helplessness, low self-esteem and poor confidence that have followed the lack of opportunities made available to them to make decisions about their own lives. The efficacy and tension of corporate parenting is also explored with suggestions from the participants on how the care system could be constructed differently to facilitate their voice and that of much younger children than themselves. Thus, the debate becomes one of adult ability and preparedness to involve young people in decisions about their own lives, rather than whether they are able to participate effectively.","container-title":"Child &amp; Family Social Work","DOI":"https://doi.org/10.1111/j.1365-2206.2007.00499.x","ISSN":"1365-2206","issue":"3","language":"en","note":"_eprint: https://onlinelibrary.wiley.com/doi/pdf/10.1111/j.1365-2206.2007.00499.x","page":"268-277","source":"Wiley Online Library","title":"My life in care: experiences of non-participation in decision-making processes","title-short":"My life in care","volume":"12","author":[{"family":"Leeson","given":"Caroline"}],"issued":{"date-parts":[["2007"]]}}},{"id":1275,"uris":["http://zotero.org/users/3417845/items/DB7RQWL5"],"uri":["http://zotero.org/users/3417845/items/DB7RQWL5"],"itemData":{"id":1275,"type":"article-journal","abstract":"Participation in decision-making procedures of young people in care is considered a key element that affects their current or future living circumstances and might improve the quality of decision-making on and delivery of provided services. This narrative literature review, covering the period 2000–2016, focuses on the opportunities of young people to participate, the challenges and facilitators to participation, and the outcomes of care related to participation. Sixteen studies met our search criteria. Several studies show that young people seem to have limited possibilities to “meaningful” participation in decision-making. Various challenges and facilitators in the participation process emerge with regard to the level of the young person, the professional, and the (sociocultural) context. None of the studies provides evidence for a connection between the “amount” of youth participation in decision-making and/or treatment during the care process and the outcomes of residential care. Implications for research and practice are reflected upon.","container-title":"Child &amp; family social work","DOI":"10.1111/cfs.12381","ISSN":"1365-2206","issue":"1","language":"eng","note":"publisher-place: Oxford\npublisher: Wiley Subscription Services, Inc","page":"33–44","source":"leeds.primo.exlibrisgroup.com","title":"Participation of youth in decision-making procedures during residential care: A narrative review","title-short":"Participation of youth in decision-making procedures during residential care","volume":"23","author":[{"family":"Ten Brummelaar","given":"Mijntje D. C."},{"family":"Harder","given":"Annemiek T."},{"family":"Kalverboer","given":"Margrite E."},{"family":"Post","given":"Wendy J."},{"family":"Knorth","given":"Erik J."}],"issued":{"date-parts":[["2018"]]}}},{"id":1235,"uris":["http://zotero.org/users/3417845/items/WZL3UM5N"],"uri":["http://zotero.org/users/3417845/items/WZL3UM5N"],"itemData":{"id":1235,"type":"article-journal","abstract":"Abstract This international comparative paper examines how child protection workers in four countries, England, Finland, Norway, USA (CA), involve children in decision making regarding involuntary child removal. The analysis is based on 772 workers’ responses to a vignette describing preparations for care order proceedings. We examine children's involvement along three dimensions including information given to the child, information gathered from the child, and opportunities for their perspectives and interests to be considered. Results show that child protection workers weigh children's involvement differently based upon age. Staff in the four countries were more likely to talk with an older child, to provide information, to gather information, and to include in relevant decision making if the child were 11 compared to five in our vignette. Although the Nordic countries and England provide policy guidance regarding children's role in child protection decision making, we did not see consistently higher indicators of children's involvement from the respondents in these countries. Using child protection system frames to analyze the findings did not produce consistent differences between the family service systems and child protection systems included in this study. Findings highlight the wide range in practices concerning children's involvement in decision making, and the wide space for professional discretion in implementing practice with children at the local level.","container-title":"Child abuse &amp; neglect","DOI":"10.1016/j.chiabu.2015.07.001","ISSN":"0145-2134","language":"eng","note":"publisher-place: England\npublisher: Elsevier Ltd","page":"128–141","source":"leeds.primo.exlibrisgroup.com","title":"Children's involvement in care order decision-making: A cross-country analysis","title-short":"Children's involvement in care order decision-making","volume":"49","author":[{"family":"Berrick","given":"Jill Duerr"},{"family":"Dickens","given":"Jonathan"},{"family":"Pösö","given":"Tarja"},{"family":"Skivenes","given":"Marit"}],"issued":{"date-parts":[["2015"]]}}}],"schema":"https://github.com/citation-style-language/schema/raw/master/csl-citation.json"} </w:instrText>
      </w:r>
      <w:r w:rsidRPr="007F1007">
        <w:rPr>
          <w:sz w:val="16"/>
          <w:szCs w:val="16"/>
        </w:rPr>
        <w:fldChar w:fldCharType="separate"/>
      </w:r>
      <w:r w:rsidRPr="007F1007">
        <w:rPr>
          <w:rFonts w:ascii="Calibri" w:hAnsi="Calibri" w:cs="Calibri"/>
          <w:sz w:val="16"/>
          <w:szCs w:val="16"/>
        </w:rPr>
        <w:t>Michael Gallagher and others, ‘Children and Families’ Involvement in Social Work Decision Making’ (2012) 26 Children &amp; society 74; Caroline Leeson, ‘My Life in Care: Experiences of Non-Participation in Decision-Making Processes’ (2007) 12 Child &amp; Family Social Work 268; Mijntje DC Ten Brummelaar and others, ‘Participation of Youth in Decision-Making Procedures during Residential Care: A Narrative Review’ (2018) 23 Child &amp; family social work 33; Jill Duerr Berrick and others, ‘Children’s Involvement in Care Order Decision-Making: A Cross-Country Analysis’ (2015) 49 Child abuse &amp; neglect 128.</w:t>
      </w:r>
      <w:r w:rsidRPr="007F1007">
        <w:rPr>
          <w:sz w:val="16"/>
          <w:szCs w:val="16"/>
        </w:rPr>
        <w:fldChar w:fldCharType="end"/>
      </w:r>
    </w:p>
  </w:footnote>
  <w:footnote w:id="8">
    <w:p w14:paraId="281E1C7D" w14:textId="2E9DE788" w:rsidR="002C28C7" w:rsidRPr="00185E67" w:rsidRDefault="002C28C7">
      <w:pPr>
        <w:pStyle w:val="FootnoteText"/>
        <w:rPr>
          <w:color w:val="000000" w:themeColor="text1"/>
          <w:sz w:val="16"/>
          <w:szCs w:val="16"/>
          <w:lang w:val="en-GB"/>
        </w:rPr>
      </w:pPr>
      <w:r w:rsidRPr="007F1007">
        <w:rPr>
          <w:rStyle w:val="FootnoteReference"/>
          <w:sz w:val="16"/>
          <w:szCs w:val="16"/>
        </w:rPr>
        <w:footnoteRef/>
      </w:r>
      <w:r w:rsidRPr="007F1007">
        <w:rPr>
          <w:sz w:val="16"/>
          <w:szCs w:val="16"/>
          <w:lang w:val="it-IT"/>
        </w:rPr>
        <w:t xml:space="preserve"> </w:t>
      </w:r>
      <w:r w:rsidRPr="00185E67">
        <w:rPr>
          <w:color w:val="000000" w:themeColor="text1"/>
          <w:sz w:val="16"/>
          <w:szCs w:val="16"/>
        </w:rPr>
        <w:fldChar w:fldCharType="begin"/>
      </w:r>
      <w:r w:rsidR="00BE2669" w:rsidRPr="00185E67">
        <w:rPr>
          <w:color w:val="000000" w:themeColor="text1"/>
          <w:sz w:val="16"/>
          <w:szCs w:val="16"/>
          <w:lang w:val="it-IT"/>
        </w:rPr>
        <w:instrText xml:space="preserve"> ADDIN ZOTERO_ITEM CSL_CITATION {"citationID":"MQ9hStHl","properties":{"formattedCitation":"Manuela Garcia-Quiroga and Irene Salvo Agoglia, \\uc0\\u8216{}Too Vulnerable to Participate? Challenges for Meaningful Participation in Research With Children in Alternative Care and Adoption\\uc0\\u8217{} (2020) 19 International journal of qualitative methods 160940692095896.","plainCitation":"Manuela Garcia-Quiroga and Irene Salvo Agoglia, ‘Too Vulnerable to Participate? Challenges for Meaningful Participation in Research With Children in Alternative Care and Adoption’ (2020) 19 International journal of qualitative methods 160940692095896.","noteIndex":8},"citationItems":[{"id":1271,"uris":["http://zotero.org/users/3417845/items/P663RZDL"],"uri":["http://zotero.org/users/3417845/items/P663RZDL"],"itemData":{"id":1271,"type":"article-journal","abstract":"In recent years, a significant amount of research has been conducted with children from a rights perspective, especially concerning the right to be heard and participate. However, children living in alternative care and adoption have often been excluded from participating in research because they are viewed as vulnerable children who lack agency and also due to an adult-centric perspective of protection. In this article, we challenge this idea under the view that participation is a main component of protection, children are experts in their own experiences, and their views should be considered through participative research design and methods. Particular challenges that protection contexts impose for research are analyzed and several ways in which these challenges can be faced are outlined. We provide principles and examples that can be implemented to ensure that children who live in alternative care or adoption have the right as any child to be informed, be listened to, and have their views considered regarding topics that affect them.","container-title":"International journal of qualitative methods","DOI":"10.1177/1609406920958965","ISSN":"1609-4069","language":"eng","note":"publisher-place: Los Angeles, CA\npublisher: SAGE Publications","page":"160940692095896-","source":"leeds.primo.exlibrisgroup.com","title":"Too Vulnerable to Participate? Challenges for Meaningful Participation in Research With Children in Alternative Care and Adoption","title-short":"Too Vulnerable to Participate?","volume":"19","author":[{"family":"Garcia-Quiroga","given":"Manuela"},{"family":"Agoglia","given":"Irene Salvo"}],"issued":{"date-parts":[["2020"]]}}}],"schema":"https://github.com/citation-style-language/schema/raw/master/csl-citation.json"} </w:instrText>
      </w:r>
      <w:r w:rsidRPr="00185E67">
        <w:rPr>
          <w:color w:val="000000" w:themeColor="text1"/>
          <w:sz w:val="16"/>
          <w:szCs w:val="16"/>
        </w:rPr>
        <w:fldChar w:fldCharType="separate"/>
      </w:r>
      <w:r w:rsidRPr="00185E67">
        <w:rPr>
          <w:rFonts w:ascii="Calibri" w:hAnsi="Calibri" w:cs="Calibri"/>
          <w:color w:val="000000" w:themeColor="text1"/>
          <w:sz w:val="16"/>
          <w:szCs w:val="16"/>
          <w:lang w:val="it-IT"/>
        </w:rPr>
        <w:t xml:space="preserve">Manuela Garcia-Quiroga and Irene Salvo Agoglia, ‘Too Vulnerable to Participate? </w:t>
      </w:r>
      <w:r w:rsidRPr="00185E67">
        <w:rPr>
          <w:rFonts w:ascii="Calibri" w:hAnsi="Calibri" w:cs="Calibri"/>
          <w:color w:val="000000" w:themeColor="text1"/>
          <w:sz w:val="16"/>
          <w:szCs w:val="16"/>
        </w:rPr>
        <w:t>Challenges for Meaningful Participation in Research With Children in Alternative Care and Adoption’ (2020) 19 International journal of qualitative methods 160940692095896.</w:t>
      </w:r>
      <w:r w:rsidRPr="00185E67">
        <w:rPr>
          <w:color w:val="000000" w:themeColor="text1"/>
          <w:sz w:val="16"/>
          <w:szCs w:val="16"/>
        </w:rPr>
        <w:fldChar w:fldCharType="end"/>
      </w:r>
    </w:p>
  </w:footnote>
  <w:footnote w:id="9">
    <w:p w14:paraId="6C7355B8" w14:textId="78748878" w:rsidR="004D0B3A" w:rsidRPr="00185E67" w:rsidRDefault="004D0B3A">
      <w:pPr>
        <w:pStyle w:val="FootnoteText"/>
        <w:rPr>
          <w:color w:val="000000" w:themeColor="text1"/>
          <w:sz w:val="16"/>
          <w:szCs w:val="16"/>
          <w:lang w:val="en-GB"/>
        </w:rPr>
      </w:pPr>
      <w:r w:rsidRPr="00185E67">
        <w:rPr>
          <w:rStyle w:val="FootnoteReference"/>
          <w:color w:val="000000" w:themeColor="text1"/>
          <w:sz w:val="16"/>
          <w:szCs w:val="16"/>
        </w:rPr>
        <w:footnoteRef/>
      </w:r>
      <w:r w:rsidRPr="00185E67">
        <w:rPr>
          <w:color w:val="000000" w:themeColor="text1"/>
          <w:sz w:val="16"/>
          <w:szCs w:val="16"/>
        </w:rPr>
        <w:t xml:space="preserve"> </w:t>
      </w:r>
      <w:r w:rsidRPr="00185E67">
        <w:rPr>
          <w:color w:val="000000" w:themeColor="text1"/>
          <w:sz w:val="16"/>
          <w:szCs w:val="16"/>
        </w:rPr>
        <w:fldChar w:fldCharType="begin"/>
      </w:r>
      <w:r w:rsidR="003147B6" w:rsidRPr="00185E67">
        <w:rPr>
          <w:color w:val="000000" w:themeColor="text1"/>
          <w:sz w:val="16"/>
          <w:szCs w:val="16"/>
        </w:rPr>
        <w:instrText xml:space="preserve"> ADDIN ZOTERO_ITEM CSL_CITATION {"citationID":"mNGsB08w","properties":{"formattedCitation":"Gallagher and others (n 9); Ten Brummelaar and others (n 9).","plainCitation":"Gallagher and others (n 9); Ten Brummelaar and others (n 9).","noteIndex":11},"citationItems":[{"id":1276,"uris":["http://zotero.org/users/3417845/items/GSM4KPBI"],"uri":["http://zotero.org/users/3417845/items/GSM4KPBI"],"itemData":{"id":1276,"type":"article-journal","abstract":"This review summarises the research literature on children’s and parents’ involvement in social work decision making, which is regarded, in policy terms, as increasingly important. In practice, however, it tends to be messy, difficult and compromised. Different individuals or groups may have different understandings of participation and related concepts, while differences of age and disability also mediate effective user engagement. The literature highlights common themes in effective participatory practice with both children and their parents. Central to this are the establishment of relationships of trust and respect, clear communication and information and appropriate support to participate.","container-title":"Children &amp; society","DOI":"10.1111/j.1099-0860.2011.00409.x","ISSN":"0951-0605","issue":"1","language":"eng","note":"publisher-place: Oxford, UK\npublisher: Blackwell Publishing Ltd","page":"74–85","source":"leeds.primo.exlibrisgroup.com","title":"Children and Families' Involvement in Social Work Decision Making","volume":"26","author":[{"family":"Gallagher","given":"Michael"},{"family":"Smith","given":"Mark"},{"family":"Hardy","given":"Mark"},{"family":"Wilkinson","given":"Heather"}],"issued":{"date-parts":[["2012"]]}}},{"id":1275,"uris":["http://zotero.org/users/3417845/items/DB7RQWL5"],"uri":["http://zotero.org/users/3417845/items/DB7RQWL5"],"itemData":{"id":1275,"type":"article-journal","abstract":"Participation in decision-making procedures of young people in care is considered a key element that affects their current or future living circumstances and might improve the quality of decision-making on and delivery of provided services. This narrative literature review, covering the period 2000–2016, focuses on the opportunities of young people to participate, the challenges and facilitators to participation, and the outcomes of care related to participation. Sixteen studies met our search criteria. Several studies show that young people seem to have limited possibilities to “meaningful” participation in decision-making. Various challenges and facilitators in the participation process emerge with regard to the level of the young person, the professional, and the (sociocultural) context. None of the studies provides evidence for a connection between the “amount” of youth participation in decision-making and/or treatment during the care process and the outcomes of residential care. Implications for research and practice are reflected upon.","container-title":"Child &amp; family social work","DOI":"10.1111/cfs.12381","ISSN":"1365-2206","issue":"1","language":"eng","note":"publisher-place: Oxford\npublisher: Wiley Subscription Services, Inc","page":"33–44","source":"leeds.primo.exlibrisgroup.com","title":"Participation of youth in decision-making procedures during residential care: A narrative review","title-short":"Participation of youth in decision-making procedures during residential care","volume":"23","author":[{"family":"Ten Brummelaar","given":"Mijntje D. C."},{"family":"Harder","given":"Annemiek T."},{"family":"Kalverboer","given":"Margrite E."},{"family":"Post","given":"Wendy J."},{"family":"Knorth","given":"Erik J."}],"issued":{"date-parts":[["2018"]]}}}],"schema":"https://github.com/citation-style-language/schema/raw/master/csl-citation.json"} </w:instrText>
      </w:r>
      <w:r w:rsidRPr="00185E67">
        <w:rPr>
          <w:color w:val="000000" w:themeColor="text1"/>
          <w:sz w:val="16"/>
          <w:szCs w:val="16"/>
        </w:rPr>
        <w:fldChar w:fldCharType="separate"/>
      </w:r>
      <w:r w:rsidR="003147B6" w:rsidRPr="00185E67">
        <w:rPr>
          <w:rFonts w:ascii="Calibri" w:hAnsi="Calibri" w:cs="Calibri"/>
          <w:color w:val="000000" w:themeColor="text1"/>
          <w:sz w:val="16"/>
          <w:szCs w:val="16"/>
        </w:rPr>
        <w:t>Gallagher and others (n 9); Ten Brummelaar and others (n 9).</w:t>
      </w:r>
      <w:r w:rsidRPr="00185E67">
        <w:rPr>
          <w:color w:val="000000" w:themeColor="text1"/>
          <w:sz w:val="16"/>
          <w:szCs w:val="16"/>
        </w:rPr>
        <w:fldChar w:fldCharType="end"/>
      </w:r>
    </w:p>
  </w:footnote>
  <w:footnote w:id="10">
    <w:p w14:paraId="077F4AF9" w14:textId="2D7598DD" w:rsidR="00FE17FD" w:rsidRPr="00FE17FD" w:rsidRDefault="00FE17FD">
      <w:pPr>
        <w:pStyle w:val="FootnoteText"/>
        <w:rPr>
          <w:sz w:val="16"/>
          <w:szCs w:val="16"/>
          <w:lang w:val="sr-Latn-RS"/>
        </w:rPr>
      </w:pPr>
      <w:r w:rsidRPr="00FE17FD">
        <w:rPr>
          <w:rStyle w:val="FootnoteReference"/>
          <w:sz w:val="16"/>
          <w:szCs w:val="16"/>
        </w:rPr>
        <w:footnoteRef/>
      </w:r>
      <w:r w:rsidRPr="00FE17FD">
        <w:rPr>
          <w:sz w:val="16"/>
          <w:szCs w:val="16"/>
        </w:rPr>
        <w:t xml:space="preserve"> </w:t>
      </w:r>
      <w:r w:rsidRPr="00FE17FD">
        <w:rPr>
          <w:rFonts w:ascii="Calibri" w:hAnsi="Calibri" w:cs="Calibri"/>
          <w:sz w:val="16"/>
          <w:szCs w:val="16"/>
        </w:rPr>
        <w:t xml:space="preserve">Jeanette </w:t>
      </w:r>
      <w:proofErr w:type="spellStart"/>
      <w:r w:rsidRPr="00FE17FD">
        <w:rPr>
          <w:rFonts w:ascii="Calibri" w:hAnsi="Calibri" w:cs="Calibri"/>
          <w:sz w:val="16"/>
          <w:szCs w:val="16"/>
        </w:rPr>
        <w:t>Cossar</w:t>
      </w:r>
      <w:proofErr w:type="spellEnd"/>
      <w:r w:rsidRPr="00FE17FD">
        <w:rPr>
          <w:rFonts w:ascii="Calibri" w:hAnsi="Calibri" w:cs="Calibri"/>
          <w:sz w:val="16"/>
          <w:szCs w:val="16"/>
        </w:rPr>
        <w:t xml:space="preserve">, Marian </w:t>
      </w:r>
      <w:proofErr w:type="gramStart"/>
      <w:r w:rsidRPr="00FE17FD">
        <w:rPr>
          <w:rFonts w:ascii="Calibri" w:hAnsi="Calibri" w:cs="Calibri"/>
          <w:sz w:val="16"/>
          <w:szCs w:val="16"/>
        </w:rPr>
        <w:t>Brandon</w:t>
      </w:r>
      <w:proofErr w:type="gramEnd"/>
      <w:r w:rsidRPr="00FE17FD">
        <w:rPr>
          <w:rFonts w:ascii="Calibri" w:hAnsi="Calibri" w:cs="Calibri"/>
          <w:sz w:val="16"/>
          <w:szCs w:val="16"/>
        </w:rPr>
        <w:t xml:space="preserve"> and Peter Jordan, ‘“You’ve Got to Trust Her and She’s Got to Trust You”: Children’s Views on Participation in the Child Protection System’ (2016) 21 Child &amp; family social work 103</w:t>
      </w:r>
    </w:p>
  </w:footnote>
  <w:footnote w:id="11">
    <w:p w14:paraId="4CA07CE2" w14:textId="1F86D919" w:rsidR="00FE17FD" w:rsidRPr="00FE17FD" w:rsidRDefault="00FE17FD">
      <w:pPr>
        <w:pStyle w:val="FootnoteText"/>
        <w:rPr>
          <w:lang w:val="sr-Latn-RS"/>
        </w:rPr>
      </w:pPr>
      <w:r w:rsidRPr="00FE17FD">
        <w:rPr>
          <w:rStyle w:val="FootnoteReference"/>
          <w:sz w:val="16"/>
          <w:szCs w:val="16"/>
        </w:rPr>
        <w:footnoteRef/>
      </w:r>
      <w:r w:rsidRPr="00FE17FD">
        <w:rPr>
          <w:sz w:val="16"/>
          <w:szCs w:val="16"/>
        </w:rPr>
        <w:t xml:space="preserve"> </w:t>
      </w:r>
      <w:r w:rsidRPr="00101B9E">
        <w:rPr>
          <w:rFonts w:ascii="Calibri" w:hAnsi="Calibri" w:cs="Calibri"/>
          <w:sz w:val="16"/>
          <w:szCs w:val="16"/>
        </w:rPr>
        <w:t xml:space="preserve">Judy Cashmore, ‘Promoting the Participation of Children and Young People in Care’ (2002) 26 Child abuse &amp; neglect 837; Aoife Daly, </w:t>
      </w:r>
      <w:r w:rsidRPr="00101B9E">
        <w:rPr>
          <w:rFonts w:ascii="Calibri" w:hAnsi="Calibri" w:cs="Calibri"/>
          <w:i/>
          <w:iCs/>
          <w:sz w:val="16"/>
          <w:szCs w:val="16"/>
        </w:rPr>
        <w:t xml:space="preserve">Children, </w:t>
      </w:r>
      <w:proofErr w:type="gramStart"/>
      <w:r w:rsidRPr="00101B9E">
        <w:rPr>
          <w:rFonts w:ascii="Calibri" w:hAnsi="Calibri" w:cs="Calibri"/>
          <w:i/>
          <w:iCs/>
          <w:sz w:val="16"/>
          <w:szCs w:val="16"/>
        </w:rPr>
        <w:t>Autonomy</w:t>
      </w:r>
      <w:proofErr w:type="gramEnd"/>
      <w:r w:rsidRPr="00101B9E">
        <w:rPr>
          <w:rFonts w:ascii="Calibri" w:hAnsi="Calibri" w:cs="Calibri"/>
          <w:i/>
          <w:iCs/>
          <w:sz w:val="16"/>
          <w:szCs w:val="16"/>
        </w:rPr>
        <w:t xml:space="preserve"> and the Courts: Beyond the Right to Be Heard</w:t>
      </w:r>
      <w:r w:rsidRPr="00101B9E">
        <w:rPr>
          <w:rFonts w:ascii="Calibri" w:hAnsi="Calibri" w:cs="Calibri"/>
          <w:sz w:val="16"/>
          <w:szCs w:val="16"/>
        </w:rPr>
        <w:t xml:space="preserve"> (BRILL 2018</w:t>
      </w:r>
    </w:p>
  </w:footnote>
  <w:footnote w:id="12">
    <w:p w14:paraId="22D3FAEE" w14:textId="7D47463B" w:rsidR="00FE17FD" w:rsidRPr="00FE17FD" w:rsidRDefault="00FE17FD">
      <w:pPr>
        <w:pStyle w:val="FootnoteText"/>
        <w:rPr>
          <w:sz w:val="16"/>
          <w:szCs w:val="16"/>
          <w:lang w:val="sr-Latn-RS"/>
        </w:rPr>
      </w:pPr>
      <w:r w:rsidRPr="00FE17FD">
        <w:rPr>
          <w:rStyle w:val="FootnoteReference"/>
          <w:sz w:val="16"/>
          <w:szCs w:val="16"/>
        </w:rPr>
        <w:footnoteRef/>
      </w:r>
      <w:r w:rsidRPr="00FE17FD">
        <w:rPr>
          <w:sz w:val="16"/>
          <w:szCs w:val="16"/>
        </w:rPr>
        <w:t xml:space="preserve"> </w:t>
      </w:r>
      <w:r w:rsidRPr="00FE17FD">
        <w:rPr>
          <w:rFonts w:ascii="Calibri" w:hAnsi="Calibri" w:cs="Calibri"/>
          <w:sz w:val="16"/>
          <w:szCs w:val="16"/>
        </w:rPr>
        <w:t xml:space="preserve">Munro, ‘Empowering Looked-after Children’ (2001) 6 Child &amp; family social work 129; Ten </w:t>
      </w:r>
      <w:proofErr w:type="spellStart"/>
      <w:r w:rsidRPr="00FE17FD">
        <w:rPr>
          <w:rFonts w:ascii="Calibri" w:hAnsi="Calibri" w:cs="Calibri"/>
          <w:sz w:val="16"/>
          <w:szCs w:val="16"/>
        </w:rPr>
        <w:t>Brummelaar</w:t>
      </w:r>
      <w:proofErr w:type="spellEnd"/>
      <w:r w:rsidRPr="00FE17FD">
        <w:rPr>
          <w:rFonts w:ascii="Calibri" w:hAnsi="Calibri" w:cs="Calibri"/>
          <w:sz w:val="16"/>
          <w:szCs w:val="16"/>
        </w:rPr>
        <w:t xml:space="preserve"> and others (n 9)</w:t>
      </w:r>
    </w:p>
  </w:footnote>
  <w:footnote w:id="13">
    <w:p w14:paraId="6BDB93F3" w14:textId="39CFAF15" w:rsidR="00FE17FD" w:rsidRPr="00FE17FD" w:rsidRDefault="00FE17FD">
      <w:pPr>
        <w:pStyle w:val="FootnoteText"/>
        <w:rPr>
          <w:sz w:val="16"/>
          <w:szCs w:val="16"/>
          <w:lang w:val="sr-Latn-RS"/>
        </w:rPr>
      </w:pPr>
      <w:r w:rsidRPr="00FE17FD">
        <w:rPr>
          <w:rStyle w:val="FootnoteReference"/>
          <w:sz w:val="16"/>
          <w:szCs w:val="16"/>
        </w:rPr>
        <w:footnoteRef/>
      </w:r>
      <w:r w:rsidRPr="00FE17FD">
        <w:rPr>
          <w:sz w:val="16"/>
          <w:szCs w:val="16"/>
        </w:rPr>
        <w:t xml:space="preserve"> </w:t>
      </w:r>
      <w:proofErr w:type="spellStart"/>
      <w:r w:rsidRPr="00FE17FD">
        <w:rPr>
          <w:rFonts w:ascii="Calibri" w:hAnsi="Calibri" w:cs="Calibri"/>
          <w:sz w:val="16"/>
          <w:szCs w:val="16"/>
        </w:rPr>
        <w:t>ly</w:t>
      </w:r>
      <w:proofErr w:type="spellEnd"/>
      <w:r w:rsidRPr="00FE17FD">
        <w:rPr>
          <w:rFonts w:ascii="Calibri" w:hAnsi="Calibri" w:cs="Calibri"/>
          <w:sz w:val="16"/>
          <w:szCs w:val="16"/>
        </w:rPr>
        <w:t xml:space="preserve"> (n 13).</w:t>
      </w:r>
    </w:p>
  </w:footnote>
  <w:footnote w:id="14">
    <w:p w14:paraId="0472FECA" w14:textId="6617627E" w:rsidR="00EC0A19" w:rsidRPr="00185E67" w:rsidRDefault="00B36C64">
      <w:pPr>
        <w:pStyle w:val="FootnoteText"/>
        <w:rPr>
          <w:color w:val="000000" w:themeColor="text1"/>
          <w:sz w:val="16"/>
          <w:szCs w:val="16"/>
          <w:lang w:val="en-GB"/>
        </w:rPr>
      </w:pPr>
      <w:r w:rsidRPr="00185E67">
        <w:rPr>
          <w:rStyle w:val="FootnoteReference"/>
          <w:color w:val="000000" w:themeColor="text1"/>
          <w:sz w:val="16"/>
          <w:szCs w:val="16"/>
        </w:rPr>
        <w:footnoteRef/>
      </w:r>
      <w:r w:rsidRPr="00185E67">
        <w:rPr>
          <w:color w:val="000000" w:themeColor="text1"/>
          <w:sz w:val="16"/>
          <w:szCs w:val="16"/>
        </w:rPr>
        <w:t xml:space="preserve"> </w:t>
      </w:r>
      <w:r w:rsidRPr="00185E67">
        <w:rPr>
          <w:color w:val="000000" w:themeColor="text1"/>
          <w:sz w:val="16"/>
          <w:szCs w:val="16"/>
        </w:rPr>
        <w:fldChar w:fldCharType="begin"/>
      </w:r>
      <w:r w:rsidR="003147B6" w:rsidRPr="00185E67">
        <w:rPr>
          <w:color w:val="000000" w:themeColor="text1"/>
          <w:sz w:val="16"/>
          <w:szCs w:val="16"/>
        </w:rPr>
        <w:instrText xml:space="preserve"> ADDIN ZOTERO_ITEM CSL_CITATION {"citationID":"J6tGMJES","properties":{"formattedCitation":"Grigoras (n 5).","plainCitation":"Grigoras (n 5).","noteIndex":17},"citationItems":[{"id":1205,"uris":["http://zotero.org/users/3417845/items/X5WSVCZI"],"uri":["http://zotero.org/users/3417845/items/X5WSVCZI"],"itemData":{"id":1205,"type":"report","publisher":"UNICEF","title":"White Paper: The role of small-scale residential care for children in the transition from institutional- to community-based care and in the continuum of care in the Europe and Central Asia Region","author":[{"family":"Grigoras","given":"Stela"}],"issued":{"date-parts":[["2020",7]]}}}],"schema":"https://github.com/citation-style-language/schema/raw/master/csl-citation.json"} </w:instrText>
      </w:r>
      <w:r w:rsidRPr="00185E67">
        <w:rPr>
          <w:color w:val="000000" w:themeColor="text1"/>
          <w:sz w:val="16"/>
          <w:szCs w:val="16"/>
        </w:rPr>
        <w:fldChar w:fldCharType="separate"/>
      </w:r>
      <w:proofErr w:type="spellStart"/>
      <w:r w:rsidR="003147B6" w:rsidRPr="00185E67">
        <w:rPr>
          <w:rFonts w:ascii="Calibri" w:hAnsi="Calibri" w:cs="Calibri"/>
          <w:color w:val="000000" w:themeColor="text1"/>
          <w:sz w:val="16"/>
          <w:szCs w:val="16"/>
        </w:rPr>
        <w:t>Grigoras</w:t>
      </w:r>
      <w:proofErr w:type="spellEnd"/>
      <w:r w:rsidR="003147B6" w:rsidRPr="00185E67">
        <w:rPr>
          <w:rFonts w:ascii="Calibri" w:hAnsi="Calibri" w:cs="Calibri"/>
          <w:color w:val="000000" w:themeColor="text1"/>
          <w:sz w:val="16"/>
          <w:szCs w:val="16"/>
        </w:rPr>
        <w:t xml:space="preserve"> (n 5).</w:t>
      </w:r>
      <w:r w:rsidRPr="00185E67">
        <w:rPr>
          <w:color w:val="000000" w:themeColor="text1"/>
          <w:sz w:val="16"/>
          <w:szCs w:val="16"/>
        </w:rPr>
        <w:fldChar w:fldCharType="end"/>
      </w:r>
    </w:p>
  </w:footnote>
  <w:footnote w:id="15">
    <w:p w14:paraId="31076AC7" w14:textId="0E281F11" w:rsidR="009200E8" w:rsidRPr="007F1007" w:rsidRDefault="009200E8">
      <w:pPr>
        <w:pStyle w:val="FootnoteText"/>
        <w:rPr>
          <w:sz w:val="16"/>
          <w:szCs w:val="16"/>
          <w:lang w:val="en-GB"/>
        </w:rPr>
      </w:pPr>
      <w:r w:rsidRPr="00185E67">
        <w:rPr>
          <w:rStyle w:val="FootnoteReference"/>
          <w:color w:val="000000" w:themeColor="text1"/>
          <w:sz w:val="16"/>
          <w:szCs w:val="16"/>
        </w:rPr>
        <w:footnoteRef/>
      </w:r>
      <w:r w:rsidRPr="00185E67">
        <w:rPr>
          <w:color w:val="000000" w:themeColor="text1"/>
          <w:sz w:val="16"/>
          <w:szCs w:val="16"/>
        </w:rPr>
        <w:t xml:space="preserve"> </w:t>
      </w:r>
      <w:r w:rsidRPr="00185E67">
        <w:rPr>
          <w:color w:val="000000" w:themeColor="text1"/>
          <w:sz w:val="16"/>
          <w:szCs w:val="16"/>
        </w:rPr>
        <w:fldChar w:fldCharType="begin"/>
      </w:r>
      <w:r w:rsidR="00BE2669" w:rsidRPr="00185E67">
        <w:rPr>
          <w:color w:val="000000" w:themeColor="text1"/>
          <w:sz w:val="16"/>
          <w:szCs w:val="16"/>
        </w:rPr>
        <w:instrText xml:space="preserve"> ADDIN ZOTERO_ITEM CSL_CITATION {"citationID":"oLtijNdQ","properties":{"formattedCitation":"Tania Burchardt *, \\uc0\\u8216{}Capabilities and Disability: The Capabilities Framework and the Social Model of Disability\\uc0\\u8217{} (2004) 19 Disability &amp; Society 735.","plainCitation":"Tania Burchardt *, ‘Capabilities and Disability: The Capabilities Framework and the Social Model of Disability’ (2004) 19 Disability &amp; Society 735.","noteIndex":16},"citationItems":[{"id":1214,"uris":["http://zotero.org/users/3417845/items/6Q3AW75D"],"uri":["http://zotero.org/users/3417845/items/6Q3AW75D"],"itemData":{"id":1214,"type":"article-journal","abstract":"This article seeks to illuminate the complementarity between the capabilities framework, developed by Amartya Sen and others, and the social model of disability. Common themes include the relationship between social barriers and individual limitations, the importance of autonomy and the value of freedom, and dissatisfaction with income as a measure of well‐being. Bringing the two approaches together has implications for analysis (for example in identifying poverty or disadvantage), and for policy, which are briefly illustrated. The article concludes that the capabilities framework provides a more general theoretical framework in which to locate the social model of disability, without compromising any of its central tenets; and the social model provides a thorough‐going application of the capabilities framework. Each can benefit from exposure to the other.","container-title":"Disability &amp; Society","DOI":"10.1080/0968759042000284213","ISSN":"0968-7599","issue":"7","note":"publisher: Routledge\n_eprint: https://doi.org/10.1080/0968759042000284213","page":"735-751","source":"Taylor and Francis+NEJM","title":"Capabilities and disability: the capabilities framework and the social model of disability","title-short":"Capabilities and disability","volume":"19","author":[{"family":"Burchardt *","given":"Tania"}],"issued":{"date-parts":[["2004",12,1]]}}}],"schema":"https://github.com/citation-style-language/schema/raw/master/csl-citation.json"} </w:instrText>
      </w:r>
      <w:r w:rsidRPr="00185E67">
        <w:rPr>
          <w:color w:val="000000" w:themeColor="text1"/>
          <w:sz w:val="16"/>
          <w:szCs w:val="16"/>
        </w:rPr>
        <w:fldChar w:fldCharType="separate"/>
      </w:r>
      <w:r w:rsidRPr="00185E67">
        <w:rPr>
          <w:rFonts w:ascii="Calibri" w:hAnsi="Calibri" w:cs="Calibri"/>
          <w:color w:val="000000" w:themeColor="text1"/>
          <w:sz w:val="16"/>
          <w:szCs w:val="16"/>
        </w:rPr>
        <w:t>Tania Burchardt *, ‘Capabilities and Disability: The Capabilities Framework and the Social Model of Disability’ (2004) 19 Disability &amp; Society 735.</w:t>
      </w:r>
      <w:r w:rsidRPr="00185E67">
        <w:rPr>
          <w:color w:val="000000" w:themeColor="text1"/>
          <w:sz w:val="16"/>
          <w:szCs w:val="16"/>
        </w:rPr>
        <w:fldChar w:fldCharType="end"/>
      </w:r>
    </w:p>
  </w:footnote>
  <w:footnote w:id="16">
    <w:p w14:paraId="62879425" w14:textId="77777777" w:rsidR="00456B28" w:rsidRPr="007F1007" w:rsidRDefault="00456B28" w:rsidP="00456B28">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Pr="007F1007">
        <w:rPr>
          <w:sz w:val="16"/>
          <w:szCs w:val="16"/>
        </w:rPr>
        <w:instrText xml:space="preserve"> ADDIN ZOTERO_ITEM CSL_CITATION {"citationID":"hG2KpTWR","properties":{"formattedCitation":"Committee on the Rights of Persons with Disabilities, \\uc0\\u8216{}General Comment No. 1 (2014)  Article 12: Equal Recognition before the Law\\uc0\\u8217{} (2014) CRPD/C/GC/1 1.","plainCitation":"Committee on the Rights of Persons with Disabilities, ‘General Comment No. 1 (2014)  Article 12: Equal Recognition before the Law’ (2014) CRPD/C/GC/1 1.","noteIndex":27},"citationItems":[{"id":154,"uris":["http://zotero.org/users/3417845/items/BIYXXCFT"],"uri":["http://zotero.org/users/3417845/items/BIYXXCFT"],"itemData":{"id":154,"type":"report","number":"CRPD/C/GC/1","title":"General comment No. 1 (2014)  Article 12: Equal recognition before the law","author":[{"family":"Committee on the Rights of Persons with Disabilities","given":""}],"issued":{"date-parts":[["2014",5,19]]}},"locator":"1"}],"schema":"https://github.com/citation-style-language/schema/raw/master/csl-citation.json"} </w:instrText>
      </w:r>
      <w:r w:rsidRPr="007F1007">
        <w:rPr>
          <w:sz w:val="16"/>
          <w:szCs w:val="16"/>
        </w:rPr>
        <w:fldChar w:fldCharType="separate"/>
      </w:r>
      <w:r w:rsidRPr="007F1007">
        <w:rPr>
          <w:rFonts w:ascii="Calibri" w:hAnsi="Calibri" w:cs="Calibri"/>
          <w:sz w:val="16"/>
          <w:szCs w:val="16"/>
        </w:rPr>
        <w:t>Committee on the Rights of Persons with Disabilities, ‘General Comment No. 1 (2014)  Article 12: Equal Recognition before the Law’ (2014) CRPD/C/GC/1 1.</w:t>
      </w:r>
      <w:r w:rsidRPr="007F1007">
        <w:rPr>
          <w:sz w:val="16"/>
          <w:szCs w:val="16"/>
        </w:rPr>
        <w:fldChar w:fldCharType="end"/>
      </w:r>
    </w:p>
  </w:footnote>
  <w:footnote w:id="17">
    <w:p w14:paraId="191F7BF5" w14:textId="18E3E46B" w:rsidR="0079424B" w:rsidRPr="007F1007" w:rsidRDefault="0079424B">
      <w:pPr>
        <w:pStyle w:val="FootnoteText"/>
        <w:rPr>
          <w:sz w:val="16"/>
          <w:szCs w:val="16"/>
          <w:lang w:val="sr-Latn-RS"/>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3147B6" w:rsidRPr="007F1007">
        <w:rPr>
          <w:sz w:val="16"/>
          <w:szCs w:val="16"/>
        </w:rPr>
        <w:instrText xml:space="preserve"> ADDIN ZOTERO_ITEM CSL_CITATION {"citationID":"gDyUApY5","properties":{"formattedCitation":"Tisdall (n 26); Annemie Dillen, \\uc0\\u8216{}Children between Liberation and Care: Ethical Perspectives on the Rights of Children and Parent-Child Relationships\\uc0\\u8217{} (2006) 11 International Journal of Children\\uc0\\u8217{}s Spirituality: Children\\uc0\\u8217{}s Spirituality and Children\\uc0\\u8217{}s Rights 237; Carine Le Borgne and E Kay M Tisdall, \\uc0\\u8216{}Children\\uc0\\u8217{}s Participation: Questioning Competence and Competencies?(Report)\\uc0\\u8217{} (2017) 5 Social Inclusion 122.","plainCitation":"Tisdall (n 26); Annemie Dillen, ‘Children between Liberation and Care: Ethical Perspectives on the Rights of Children and Parent-Child Relationships’ (2006) 11 International Journal of Children’s Spirituality: Children’s Spirituality and Children’s Rights 237; Carine Le Borgne and E Kay M Tisdall, ‘Children’s Participation: Questioning Competence and Competencies?(Report)’ (2017) 5 Social Inclusion 122.","noteIndex":31},"citationItems":[{"id":726,"uris":["http://zotero.org/users/3417845/items/V925R543"],"uri":["http://zotero.org/users/3417845/items/V925R543"],"itemData":{"id":726,"type":"article-journal","abstract":"&lt;section class=\"abstract\"&gt;&lt;p id=\"P000001\"&gt;Galvanised by the &lt;span style=\"font-variant: small-caps;\"&gt;un&lt;/span&gt; Convention on the Rights of the Child, many jurisdictions have introduced or strengthened children’s rights to participate in family law proceedings. Yet, the research and legal literature continues to show difficulties in implementation. According to the literature, decisions makers frequently view children as insufficiently competent or lacking in capacity to participate in proceedings or for much weight to be given to the children’s views. This article unpicks the concepts of competence and capacity, both in relevant literature and reported case law from Scotland. The article asks three questions: What are meant by competence and capacity? How are they used? Do the concepts enhance or detract from children’s participation rights? The article finds that competence is often casually used in the literature, alternative terms are used in reported case law (such as maturity), and judging capacity remains problematic in both law and practice. The article concludes that both concepts detract from children’s participation rights, as the concepts suggest competence and capacity are inherent to the child rather than contextual and relational. If the concepts were to be used, they should be subject to more critique and precise definition. However, children’s participation rights are more likely to be furthered by alternatives, such as fresh ideas about recognising and supporting people’s legal capacity within the &lt;span style=\"font-variant: small-caps;\"&gt;un&lt;/span&gt; Convention on the Rights of Persons with Disabilities.&lt;/p&gt;&lt;/section&gt;","container-title":"The International Journal of Children's Rights","DOI":"10.1163/15718182-02601003","ISSN":"1571-8182, 0927-5568","issue":"1","language":"en","note":"publisher: Brill\nsection: The International Journal of Children's Rights","page":"159-182","source":"brill.com","title":"Challenging Competency and Capacity?: Due Weight to Children’s Views in Family Law Proceedings","title-short":"Challenging Competency and Capacity?","volume":"26","author":[{"family":"Tisdall","given":"E. Kay M."}],"issued":{"date-parts":[["2018",3,7]]}}},{"id":630,"uris":["http://zotero.org/users/3417845/items/7TSDUDUW"],"uri":["http://zotero.org/users/3417845/items/7TSDUDUW"],"itemData":{"id":630,"type":"article-journal","abstract":"The UN Convention on the Rights of the Child (1989) is accepted in nearly all countries in the world although the idea of children's rights is still much discussed. The author distinguishes two perspectives for interpreting the children's rights' convention correlated with different child images. On the one hand there is the 'caretaker perspective', mainly based on the idea that children are weak, vulnerable and need to be socialised in order to function in society. On the other hand there is the 'child liberator perspective', which argues that children not only need adequate care, but also the freedom to express their own thoughts. This perspective focuses on participation rights of children. The author shows the relevance of both perspectives and explains how the 'child liberator perspective', based on the idea that children are competent subjects, has greater plausibility. She elaborates bridges between the perspectives of care and liberation, thereby discussing the idea of...","container-title":"International Journal of Children's Spirituality: Children's Spirituality and Children's Rights","DOI":"10.1080/13644360600797230","ISSN":"1364-436X","issue":"2","language":"eng","note":"publisher: Routledge","page":"237–250","source":"leeds.primo.exlibrisgroup.com","title":"Children between liberation and care: ethical perspectives on the rights of children and parent-child relationships","title-short":"Children between liberation and care","volume":"11","author":[{"family":"Dillen","given":"Annemie"}],"issued":{"date-parts":[["2006"]]}}},{"id":840,"uris":["http://zotero.org/users/3417845/items/V3HY37GU"],"uri":["http://zotero.org/users/3417845/items/V3HY37GU"],"itemData":{"id":840,"type":"article-journal","abstract":"While Article 12 of the Convention on the Rights of the Child has encouraged children's (1) participation in collective decision-making, the literature is replete with the challenges as well as successes of such participation. One challenge is adults' perceptions of children's competence and competencies. These are frequently used as threshold criteria, so that children viewed as incompetent or lacking competencies are not allowed or supported to participate. Despite this casual elision between children's participation and their (perceived) competence and competencies, the latter are rarely explicitly defined, theorised or evidenced. This article draws on research undertaken in Tamil Nadu (South India) and Scotland (UK), with two non-governmental organisations supporting children's participation in their communities. The article examines how staff members can validate and enhance children's competence and competencies, by scaffolding children to influence decision-making and recognising and adding to children's knowledge. These empirical findings suggest the need for increased scrutiny of the concepts of competence and competencies, recognising their disempowering potential. The findings argue that competence is situationally and socially constructed rather than a set and individual characteristic. Keywords adults; children; community; competence; competencies; family; participation; school; social competence","container-title":"Social Inclusion","DOI":"10.17645/si.v5i3.986","ISSN":"2183-2803","issue":"3","language":"eng","note":"publisher: Cogitatio Press","page":"122-130","source":"leeds.primo.exlibrisgroup.com","title":"Children's Participation: Questioning Competence and Competencies?(Report)","title-short":"Children's Participation","volume":"5","author":[{"family":"Borgne","given":"Carine Le"},{"family":"Tisdall","given":"E. Kay M."}],"issued":{"date-parts":[["2017"]]}}}],"schema":"https://github.com/citation-style-language/schema/raw/master/csl-citation.json"} </w:instrText>
      </w:r>
      <w:r w:rsidRPr="007F1007">
        <w:rPr>
          <w:sz w:val="16"/>
          <w:szCs w:val="16"/>
        </w:rPr>
        <w:fldChar w:fldCharType="separate"/>
      </w:r>
      <w:r w:rsidR="003147B6" w:rsidRPr="007F1007">
        <w:rPr>
          <w:rFonts w:ascii="Calibri" w:hAnsi="Calibri" w:cs="Calibri"/>
          <w:sz w:val="16"/>
          <w:szCs w:val="16"/>
        </w:rPr>
        <w:t>Tisdall (n 26); Annemie Dillen, ‘Children between Liberation and Care: Ethical Perspectives on the Rights of Children and Parent-Child Relationships’ (2006) 11 International Journal of Children’s Spirituality: Children’s Spirituality and Children’s Rights 237; Carine Le Borgne and E Kay M Tisdall, ‘Children’s Participation: Questioning Competence and Competencies?(Report)’ (2017) 5 Social Inclusion 122.</w:t>
      </w:r>
      <w:r w:rsidRPr="007F1007">
        <w:rPr>
          <w:sz w:val="16"/>
          <w:szCs w:val="16"/>
        </w:rPr>
        <w:fldChar w:fldCharType="end"/>
      </w:r>
    </w:p>
  </w:footnote>
  <w:footnote w:id="18">
    <w:p w14:paraId="1E99B508" w14:textId="69C5B76E" w:rsidR="00535495" w:rsidRPr="007F1007" w:rsidRDefault="00535495">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3147B6" w:rsidRPr="007F1007">
        <w:rPr>
          <w:sz w:val="16"/>
          <w:szCs w:val="16"/>
        </w:rPr>
        <w:instrText xml:space="preserve"> ADDIN ZOTERO_ITEM CSL_CITATION {"citationID":"wB73gJze","properties":{"formattedCitation":"Committee on the Rights of the Child (n 29).","plainCitation":"Committee on the Rights of the Child (n 29).","noteIndex":32},"citationItems":[{"id":129,"uris":["http://zotero.org/users/3417845/items/K5QTWSZM"],"uri":["http://zotero.org/users/3417845/items/K5QTWSZM"],"itemData":{"id":129,"type":"article","call-number":"CRC/C/GC/12","publisher":"Committee on the Rights of the Child","source":"CRC/C/GC/12","title":"General comment No. 12 on the right of the child to be heard","author":[{"family":"Committee on the Rights of the Child","given":""}],"issued":{"date-parts":[["2009",7,1]]}}}],"schema":"https://github.com/citation-style-language/schema/raw/master/csl-citation.json"} </w:instrText>
      </w:r>
      <w:r w:rsidRPr="007F1007">
        <w:rPr>
          <w:sz w:val="16"/>
          <w:szCs w:val="16"/>
        </w:rPr>
        <w:fldChar w:fldCharType="separate"/>
      </w:r>
      <w:r w:rsidR="003147B6" w:rsidRPr="007F1007">
        <w:rPr>
          <w:rFonts w:ascii="Calibri" w:hAnsi="Calibri" w:cs="Calibri"/>
          <w:sz w:val="16"/>
          <w:szCs w:val="16"/>
        </w:rPr>
        <w:t>Committee on the Rights of the Child (n 29).</w:t>
      </w:r>
      <w:r w:rsidRPr="007F1007">
        <w:rPr>
          <w:sz w:val="16"/>
          <w:szCs w:val="16"/>
        </w:rPr>
        <w:fldChar w:fldCharType="end"/>
      </w:r>
      <w:r w:rsidRPr="007F1007">
        <w:rPr>
          <w:sz w:val="16"/>
          <w:szCs w:val="16"/>
        </w:rPr>
        <w:t xml:space="preserve"> para.12</w:t>
      </w:r>
    </w:p>
  </w:footnote>
  <w:footnote w:id="19">
    <w:p w14:paraId="5BF1556E" w14:textId="54A45F61" w:rsidR="00535495" w:rsidRPr="007F1007" w:rsidRDefault="00535495">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003147B6" w:rsidRPr="007F1007">
        <w:rPr>
          <w:sz w:val="16"/>
          <w:szCs w:val="16"/>
        </w:rPr>
        <w:instrText xml:space="preserve"> ADDIN ZOTERO_ITEM CSL_CITATION {"citationID":"lGAgh643","properties":{"formattedCitation":"ibid.","plainCitation":"ibid.","noteIndex":33},"citationItems":[{"id":129,"uris":["http://zotero.org/users/3417845/items/K5QTWSZM"],"uri":["http://zotero.org/users/3417845/items/K5QTWSZM"],"itemData":{"id":129,"type":"article","call-number":"CRC/C/GC/12","publisher":"Committee on the Rights of the Child","source":"CRC/C/GC/12","title":"General comment No. 12 on the right of the child to be heard","author":[{"family":"Committee on the Rights of the Child","given":""}],"issued":{"date-parts":[["2009",7,1]]}}}],"schema":"https://github.com/citation-style-language/schema/raw/master/csl-citation.json"} </w:instrText>
      </w:r>
      <w:r w:rsidRPr="007F1007">
        <w:rPr>
          <w:sz w:val="16"/>
          <w:szCs w:val="16"/>
        </w:rPr>
        <w:fldChar w:fldCharType="separate"/>
      </w:r>
      <w:r w:rsidRPr="007F1007">
        <w:rPr>
          <w:rFonts w:ascii="Calibri" w:hAnsi="Calibri" w:cs="Calibri"/>
          <w:sz w:val="16"/>
          <w:szCs w:val="16"/>
        </w:rPr>
        <w:t>ibid.</w:t>
      </w:r>
      <w:r w:rsidRPr="007F1007">
        <w:rPr>
          <w:sz w:val="16"/>
          <w:szCs w:val="16"/>
        </w:rPr>
        <w:fldChar w:fldCharType="end"/>
      </w:r>
      <w:r w:rsidRPr="007F1007">
        <w:rPr>
          <w:sz w:val="16"/>
          <w:szCs w:val="16"/>
        </w:rPr>
        <w:t xml:space="preserve"> para.73</w:t>
      </w:r>
    </w:p>
  </w:footnote>
  <w:footnote w:id="20">
    <w:p w14:paraId="090BFAEF" w14:textId="57EA5F31" w:rsidR="006E0EEC" w:rsidRPr="007F1007" w:rsidRDefault="006E0EEC">
      <w:pPr>
        <w:pStyle w:val="FootnoteText"/>
        <w:rPr>
          <w:sz w:val="16"/>
          <w:szCs w:val="16"/>
          <w:lang w:val="en-GB"/>
        </w:rPr>
      </w:pPr>
      <w:r w:rsidRPr="007F1007">
        <w:rPr>
          <w:rStyle w:val="FootnoteReference"/>
          <w:sz w:val="16"/>
          <w:szCs w:val="16"/>
        </w:rPr>
        <w:footnoteRef/>
      </w:r>
      <w:r w:rsidRPr="007F1007">
        <w:rPr>
          <w:sz w:val="16"/>
          <w:szCs w:val="16"/>
        </w:rPr>
        <w:t xml:space="preserve"> </w:t>
      </w:r>
      <w:r w:rsidRPr="007F1007">
        <w:rPr>
          <w:sz w:val="16"/>
          <w:szCs w:val="16"/>
        </w:rPr>
        <w:fldChar w:fldCharType="begin"/>
      </w:r>
      <w:r w:rsidRPr="007F1007">
        <w:rPr>
          <w:sz w:val="16"/>
          <w:szCs w:val="16"/>
        </w:rPr>
        <w:instrText xml:space="preserve"> ADDIN ZOTERO_ITEM CSL_CITATION {"citationID":"TmrFquhZ","properties":{"formattedCitation":"CRPD Committee, \\uc0\\u8216{}General Comment No. 7 (2018) on the Participation of Persons with Disabilities, Including Children with Disabilities, through Their Representative Organizations, in the Implementation and Monitoring of the Convention*\\uc0\\u8217{} 7.","plainCitation":"CRPD Committee, ‘General Comment No. 7 (2018) on the Participation of Persons with Disabilities, Including Children with Disabilities, through Their Representative Organizations, in the Implementation and Monitoring of the Convention*’ 7.","noteIndex":31},"citationItems":[{"id":515,"uris":["http://zotero.org/users/3417845/items/LKNAPN95"],"uri":["http://zotero.org/users/3417845/items/LKNAPN95"],"itemData":{"id":515,"type":"article","call-number":"CRPD/C/GC/7","title":"General comment No. 7 (2018) on the participation of persons with disabilities, including children with disabilities, through their representative organizations, in the implementation and monitoring of the Convention*","author":[{"family":"CRPD Committee","given":""}],"issued":{"date-parts":[["2018",11,9]]}},"locator":"7"}],"schema":"https://github.com/citation-style-language/schema/raw/master/csl-citation.json"} </w:instrText>
      </w:r>
      <w:r w:rsidRPr="007F1007">
        <w:rPr>
          <w:sz w:val="16"/>
          <w:szCs w:val="16"/>
        </w:rPr>
        <w:fldChar w:fldCharType="separate"/>
      </w:r>
      <w:r w:rsidRPr="007F1007">
        <w:rPr>
          <w:rFonts w:ascii="Calibri" w:hAnsi="Calibri" w:cs="Calibri"/>
          <w:sz w:val="16"/>
          <w:szCs w:val="16"/>
        </w:rPr>
        <w:t>CRPD Committee, ‘General Comment No. 7 (2018) on the Participation of Persons with Disabilities, Including Children with Disabilities, through Their Representative Organizations, in the Implementation and Monitoring of the Convention*’ 7.</w:t>
      </w:r>
      <w:r w:rsidRPr="007F1007">
        <w:rPr>
          <w:sz w:val="16"/>
          <w:szCs w:val="16"/>
        </w:rPr>
        <w:fldChar w:fldCharType="end"/>
      </w:r>
      <w:r w:rsidRPr="007F1007">
        <w:rPr>
          <w:sz w:val="16"/>
          <w:szCs w:val="16"/>
        </w:rPr>
        <w:t xml:space="preserve"> para. 12 (f)</w:t>
      </w:r>
    </w:p>
  </w:footnote>
  <w:footnote w:id="21">
    <w:p w14:paraId="03D94237" w14:textId="4AC876F9" w:rsidR="006E0EEC" w:rsidRPr="007F1007" w:rsidRDefault="006E0EEC">
      <w:pPr>
        <w:pStyle w:val="FootnoteText"/>
        <w:rPr>
          <w:sz w:val="16"/>
          <w:szCs w:val="16"/>
          <w:lang w:val="en-GB"/>
        </w:rPr>
      </w:pPr>
      <w:r w:rsidRPr="007F1007">
        <w:rPr>
          <w:rStyle w:val="FootnoteReference"/>
          <w:sz w:val="16"/>
          <w:szCs w:val="16"/>
        </w:rPr>
        <w:footnoteRef/>
      </w:r>
      <w:r w:rsidRPr="007F1007">
        <w:rPr>
          <w:sz w:val="16"/>
          <w:szCs w:val="16"/>
        </w:rPr>
        <w:t xml:space="preserve"> </w:t>
      </w:r>
      <w:r w:rsidR="00C64A60">
        <w:rPr>
          <w:sz w:val="16"/>
          <w:szCs w:val="16"/>
          <w:lang w:val="en-GB"/>
        </w:rPr>
        <w:t>E</w:t>
      </w:r>
      <w:r w:rsidRPr="007F1007">
        <w:rPr>
          <w:sz w:val="16"/>
          <w:szCs w:val="16"/>
          <w:lang w:val="en-GB"/>
        </w:rPr>
        <w:t>xamples of children and young people’s participation through advisory bodies set up within the national independent human rights institutions may serve as a good practice</w:t>
      </w:r>
      <w:r w:rsidR="00C64A60">
        <w:rPr>
          <w:sz w:val="16"/>
          <w:szCs w:val="16"/>
          <w:lang w:val="en-GB"/>
        </w:rPr>
        <w:t>,</w:t>
      </w:r>
      <w:r w:rsidRPr="007F1007">
        <w:rPr>
          <w:sz w:val="16"/>
          <w:szCs w:val="16"/>
          <w:lang w:val="en-GB"/>
        </w:rPr>
        <w:t xml:space="preserve"> such as the Panel of Youth set up as advisory bodies of the Ombudsman and the Commissioner for Equality Protection in the Republic of Serbia.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6EA"/>
    <w:multiLevelType w:val="hybridMultilevel"/>
    <w:tmpl w:val="3F5C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4695A"/>
    <w:multiLevelType w:val="hybridMultilevel"/>
    <w:tmpl w:val="A2900854"/>
    <w:lvl w:ilvl="0" w:tplc="BB80C7C0">
      <w:start w:val="20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753C1"/>
    <w:multiLevelType w:val="hybridMultilevel"/>
    <w:tmpl w:val="ED8A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051A1"/>
    <w:multiLevelType w:val="multilevel"/>
    <w:tmpl w:val="89B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C051C"/>
    <w:multiLevelType w:val="hybridMultilevel"/>
    <w:tmpl w:val="0B26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2528C"/>
    <w:multiLevelType w:val="multilevel"/>
    <w:tmpl w:val="3F9EEDB2"/>
    <w:lvl w:ilvl="0">
      <w:start w:val="1"/>
      <w:numFmt w:val="decimal"/>
      <w:lvlText w:val="%1."/>
      <w:lvlJc w:val="left"/>
      <w:pPr>
        <w:ind w:left="720" w:hanging="360"/>
      </w:pPr>
      <w:rPr>
        <w:rFonts w:asciiTheme="minorHAnsi" w:hAnsiTheme="minorHAnsi"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123E67"/>
    <w:multiLevelType w:val="hybridMultilevel"/>
    <w:tmpl w:val="C314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35ABA"/>
    <w:multiLevelType w:val="hybridMultilevel"/>
    <w:tmpl w:val="C9961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0269F8"/>
    <w:multiLevelType w:val="hybridMultilevel"/>
    <w:tmpl w:val="03C6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C0DBD"/>
    <w:multiLevelType w:val="hybridMultilevel"/>
    <w:tmpl w:val="278697C6"/>
    <w:lvl w:ilvl="0" w:tplc="6220B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612CC"/>
    <w:multiLevelType w:val="hybridMultilevel"/>
    <w:tmpl w:val="96BC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65674"/>
    <w:multiLevelType w:val="hybridMultilevel"/>
    <w:tmpl w:val="31E0D6BA"/>
    <w:lvl w:ilvl="0" w:tplc="7528E844">
      <w:start w:val="20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5"/>
  </w:num>
  <w:num w:numId="5">
    <w:abstractNumId w:val="0"/>
  </w:num>
  <w:num w:numId="6">
    <w:abstractNumId w:val="2"/>
  </w:num>
  <w:num w:numId="7">
    <w:abstractNumId w:val="10"/>
  </w:num>
  <w:num w:numId="8">
    <w:abstractNumId w:val="6"/>
  </w:num>
  <w:num w:numId="9">
    <w:abstractNumId w:val="9"/>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2NjW1sLAwMDWwNDZW0lEKTi0uzszPAykwrQUAi16tCSwAAAA="/>
  </w:docVars>
  <w:rsids>
    <w:rsidRoot w:val="007B0C7A"/>
    <w:rsid w:val="000052A7"/>
    <w:rsid w:val="00012361"/>
    <w:rsid w:val="000161D6"/>
    <w:rsid w:val="00050C1D"/>
    <w:rsid w:val="00054BDE"/>
    <w:rsid w:val="00067181"/>
    <w:rsid w:val="000709F9"/>
    <w:rsid w:val="00073171"/>
    <w:rsid w:val="000C2064"/>
    <w:rsid w:val="000C2127"/>
    <w:rsid w:val="000F20D4"/>
    <w:rsid w:val="00136E8D"/>
    <w:rsid w:val="0017414D"/>
    <w:rsid w:val="00181EBF"/>
    <w:rsid w:val="00185E67"/>
    <w:rsid w:val="0019287B"/>
    <w:rsid w:val="001C6E73"/>
    <w:rsid w:val="001D4F63"/>
    <w:rsid w:val="001E24F4"/>
    <w:rsid w:val="001F1E27"/>
    <w:rsid w:val="00237701"/>
    <w:rsid w:val="00275431"/>
    <w:rsid w:val="00290FA5"/>
    <w:rsid w:val="00294DAC"/>
    <w:rsid w:val="002B44F2"/>
    <w:rsid w:val="002B4A64"/>
    <w:rsid w:val="002C28C7"/>
    <w:rsid w:val="002D0567"/>
    <w:rsid w:val="002E12B4"/>
    <w:rsid w:val="003147B6"/>
    <w:rsid w:val="00335743"/>
    <w:rsid w:val="00340934"/>
    <w:rsid w:val="00347CBA"/>
    <w:rsid w:val="00370467"/>
    <w:rsid w:val="0037181A"/>
    <w:rsid w:val="00372108"/>
    <w:rsid w:val="003733B0"/>
    <w:rsid w:val="00382652"/>
    <w:rsid w:val="00393C7C"/>
    <w:rsid w:val="003B45F2"/>
    <w:rsid w:val="003B5D76"/>
    <w:rsid w:val="003E4420"/>
    <w:rsid w:val="003F2BFA"/>
    <w:rsid w:val="00452B2A"/>
    <w:rsid w:val="00456B28"/>
    <w:rsid w:val="00460D7C"/>
    <w:rsid w:val="00464F90"/>
    <w:rsid w:val="00490107"/>
    <w:rsid w:val="004A6AF6"/>
    <w:rsid w:val="004B6960"/>
    <w:rsid w:val="004D0A3E"/>
    <w:rsid w:val="004D0B3A"/>
    <w:rsid w:val="005062A5"/>
    <w:rsid w:val="00522983"/>
    <w:rsid w:val="00535495"/>
    <w:rsid w:val="00535F74"/>
    <w:rsid w:val="005464D2"/>
    <w:rsid w:val="00555AB0"/>
    <w:rsid w:val="00562C9E"/>
    <w:rsid w:val="005B2C16"/>
    <w:rsid w:val="005B7494"/>
    <w:rsid w:val="005F6474"/>
    <w:rsid w:val="00603FB2"/>
    <w:rsid w:val="00604502"/>
    <w:rsid w:val="006223BB"/>
    <w:rsid w:val="00631957"/>
    <w:rsid w:val="00654246"/>
    <w:rsid w:val="00654D29"/>
    <w:rsid w:val="00657CB4"/>
    <w:rsid w:val="00672B92"/>
    <w:rsid w:val="00675618"/>
    <w:rsid w:val="00680B60"/>
    <w:rsid w:val="00687CA4"/>
    <w:rsid w:val="006E0EEC"/>
    <w:rsid w:val="006E3C80"/>
    <w:rsid w:val="006E58BD"/>
    <w:rsid w:val="0070179A"/>
    <w:rsid w:val="00713BBC"/>
    <w:rsid w:val="00722D9B"/>
    <w:rsid w:val="007379DF"/>
    <w:rsid w:val="00744E7F"/>
    <w:rsid w:val="00750E23"/>
    <w:rsid w:val="00771121"/>
    <w:rsid w:val="00785D39"/>
    <w:rsid w:val="0079424B"/>
    <w:rsid w:val="00796DFE"/>
    <w:rsid w:val="007B0C7A"/>
    <w:rsid w:val="007B60C6"/>
    <w:rsid w:val="007C6498"/>
    <w:rsid w:val="007F1007"/>
    <w:rsid w:val="007F388A"/>
    <w:rsid w:val="00811B0A"/>
    <w:rsid w:val="00815AFA"/>
    <w:rsid w:val="00824800"/>
    <w:rsid w:val="00835D42"/>
    <w:rsid w:val="0085480D"/>
    <w:rsid w:val="00877D8E"/>
    <w:rsid w:val="00895FCB"/>
    <w:rsid w:val="00906141"/>
    <w:rsid w:val="009200E8"/>
    <w:rsid w:val="00922E4D"/>
    <w:rsid w:val="009233F4"/>
    <w:rsid w:val="00937510"/>
    <w:rsid w:val="00975E03"/>
    <w:rsid w:val="00995893"/>
    <w:rsid w:val="009D20AC"/>
    <w:rsid w:val="009F07A5"/>
    <w:rsid w:val="009F49ED"/>
    <w:rsid w:val="009F62BD"/>
    <w:rsid w:val="00A10FA6"/>
    <w:rsid w:val="00A42D14"/>
    <w:rsid w:val="00A976E6"/>
    <w:rsid w:val="00AF2505"/>
    <w:rsid w:val="00B1684E"/>
    <w:rsid w:val="00B27EDD"/>
    <w:rsid w:val="00B36C64"/>
    <w:rsid w:val="00B549BC"/>
    <w:rsid w:val="00B8194C"/>
    <w:rsid w:val="00BA3895"/>
    <w:rsid w:val="00BA59AD"/>
    <w:rsid w:val="00BB1C35"/>
    <w:rsid w:val="00BB482F"/>
    <w:rsid w:val="00BC4651"/>
    <w:rsid w:val="00BD445F"/>
    <w:rsid w:val="00BE2669"/>
    <w:rsid w:val="00C045C7"/>
    <w:rsid w:val="00C64A60"/>
    <w:rsid w:val="00C871C6"/>
    <w:rsid w:val="00C95CF4"/>
    <w:rsid w:val="00CA3181"/>
    <w:rsid w:val="00CA46D4"/>
    <w:rsid w:val="00CB2A5A"/>
    <w:rsid w:val="00CB3AA8"/>
    <w:rsid w:val="00CE75F8"/>
    <w:rsid w:val="00CF3413"/>
    <w:rsid w:val="00D14F60"/>
    <w:rsid w:val="00D37C0D"/>
    <w:rsid w:val="00D56688"/>
    <w:rsid w:val="00D61A18"/>
    <w:rsid w:val="00D6507E"/>
    <w:rsid w:val="00DC15CC"/>
    <w:rsid w:val="00DC2E57"/>
    <w:rsid w:val="00DD67DA"/>
    <w:rsid w:val="00DF139B"/>
    <w:rsid w:val="00DF65A9"/>
    <w:rsid w:val="00E03F29"/>
    <w:rsid w:val="00E6419A"/>
    <w:rsid w:val="00E74B64"/>
    <w:rsid w:val="00E9194C"/>
    <w:rsid w:val="00EA74AC"/>
    <w:rsid w:val="00EC0A19"/>
    <w:rsid w:val="00EC7C1A"/>
    <w:rsid w:val="00EF5E83"/>
    <w:rsid w:val="00F21E06"/>
    <w:rsid w:val="00F3311C"/>
    <w:rsid w:val="00F33532"/>
    <w:rsid w:val="00F44C97"/>
    <w:rsid w:val="00F5520E"/>
    <w:rsid w:val="00FA0798"/>
    <w:rsid w:val="00FA7A53"/>
    <w:rsid w:val="00FE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17B89"/>
  <w15:chartTrackingRefBased/>
  <w15:docId w15:val="{3FB5C425-3E9B-423C-8957-2FA8B61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1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39B"/>
    <w:rPr>
      <w:sz w:val="20"/>
      <w:szCs w:val="20"/>
    </w:rPr>
  </w:style>
  <w:style w:type="character" w:styleId="FootnoteReference">
    <w:name w:val="footnote reference"/>
    <w:basedOn w:val="DefaultParagraphFont"/>
    <w:uiPriority w:val="99"/>
    <w:semiHidden/>
    <w:unhideWhenUsed/>
    <w:rsid w:val="00DF139B"/>
    <w:rPr>
      <w:vertAlign w:val="superscript"/>
    </w:rPr>
  </w:style>
  <w:style w:type="paragraph" w:styleId="BalloonText">
    <w:name w:val="Balloon Text"/>
    <w:basedOn w:val="Normal"/>
    <w:link w:val="BalloonTextChar"/>
    <w:uiPriority w:val="99"/>
    <w:semiHidden/>
    <w:unhideWhenUsed/>
    <w:rsid w:val="0018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EBF"/>
    <w:rPr>
      <w:rFonts w:ascii="Segoe UI" w:hAnsi="Segoe UI" w:cs="Segoe UI"/>
      <w:sz w:val="18"/>
      <w:szCs w:val="18"/>
    </w:rPr>
  </w:style>
  <w:style w:type="paragraph" w:styleId="ListParagraph">
    <w:name w:val="List Paragraph"/>
    <w:basedOn w:val="Normal"/>
    <w:uiPriority w:val="34"/>
    <w:qFormat/>
    <w:rsid w:val="000161D6"/>
    <w:pPr>
      <w:ind w:left="720"/>
      <w:contextualSpacing/>
    </w:pPr>
  </w:style>
  <w:style w:type="paragraph" w:styleId="Bibliography">
    <w:name w:val="Bibliography"/>
    <w:basedOn w:val="Normal"/>
    <w:next w:val="Normal"/>
    <w:uiPriority w:val="37"/>
    <w:unhideWhenUsed/>
    <w:rsid w:val="00E6419A"/>
    <w:pPr>
      <w:spacing w:after="240" w:line="240" w:lineRule="auto"/>
    </w:pPr>
  </w:style>
  <w:style w:type="character" w:styleId="CommentReference">
    <w:name w:val="annotation reference"/>
    <w:basedOn w:val="DefaultParagraphFont"/>
    <w:uiPriority w:val="99"/>
    <w:semiHidden/>
    <w:unhideWhenUsed/>
    <w:rsid w:val="001D4F63"/>
    <w:rPr>
      <w:sz w:val="16"/>
      <w:szCs w:val="16"/>
    </w:rPr>
  </w:style>
  <w:style w:type="paragraph" w:styleId="CommentText">
    <w:name w:val="annotation text"/>
    <w:basedOn w:val="Normal"/>
    <w:link w:val="CommentTextChar"/>
    <w:uiPriority w:val="99"/>
    <w:semiHidden/>
    <w:unhideWhenUsed/>
    <w:rsid w:val="001D4F63"/>
    <w:pPr>
      <w:spacing w:line="240" w:lineRule="auto"/>
    </w:pPr>
    <w:rPr>
      <w:sz w:val="20"/>
      <w:szCs w:val="20"/>
    </w:rPr>
  </w:style>
  <w:style w:type="character" w:customStyle="1" w:styleId="CommentTextChar">
    <w:name w:val="Comment Text Char"/>
    <w:basedOn w:val="DefaultParagraphFont"/>
    <w:link w:val="CommentText"/>
    <w:uiPriority w:val="99"/>
    <w:semiHidden/>
    <w:rsid w:val="001D4F63"/>
    <w:rPr>
      <w:sz w:val="20"/>
      <w:szCs w:val="20"/>
    </w:rPr>
  </w:style>
  <w:style w:type="paragraph" w:styleId="CommentSubject">
    <w:name w:val="annotation subject"/>
    <w:basedOn w:val="CommentText"/>
    <w:next w:val="CommentText"/>
    <w:link w:val="CommentSubjectChar"/>
    <w:uiPriority w:val="99"/>
    <w:semiHidden/>
    <w:unhideWhenUsed/>
    <w:rsid w:val="001D4F63"/>
    <w:rPr>
      <w:b/>
      <w:bCs/>
    </w:rPr>
  </w:style>
  <w:style w:type="character" w:customStyle="1" w:styleId="CommentSubjectChar">
    <w:name w:val="Comment Subject Char"/>
    <w:basedOn w:val="CommentTextChar"/>
    <w:link w:val="CommentSubject"/>
    <w:uiPriority w:val="99"/>
    <w:semiHidden/>
    <w:rsid w:val="001D4F63"/>
    <w:rPr>
      <w:b/>
      <w:bCs/>
      <w:sz w:val="20"/>
      <w:szCs w:val="20"/>
    </w:rPr>
  </w:style>
  <w:style w:type="paragraph" w:styleId="NormalWeb">
    <w:name w:val="Normal (Web)"/>
    <w:basedOn w:val="Normal"/>
    <w:uiPriority w:val="99"/>
    <w:semiHidden/>
    <w:unhideWhenUsed/>
    <w:rsid w:val="00E0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7F1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87538">
      <w:bodyDiv w:val="1"/>
      <w:marLeft w:val="0"/>
      <w:marRight w:val="0"/>
      <w:marTop w:val="0"/>
      <w:marBottom w:val="0"/>
      <w:divBdr>
        <w:top w:val="none" w:sz="0" w:space="0" w:color="auto"/>
        <w:left w:val="none" w:sz="0" w:space="0" w:color="auto"/>
        <w:bottom w:val="none" w:sz="0" w:space="0" w:color="auto"/>
        <w:right w:val="none" w:sz="0" w:space="0" w:color="auto"/>
      </w:divBdr>
    </w:div>
    <w:div w:id="715929367">
      <w:bodyDiv w:val="1"/>
      <w:marLeft w:val="0"/>
      <w:marRight w:val="0"/>
      <w:marTop w:val="0"/>
      <w:marBottom w:val="0"/>
      <w:divBdr>
        <w:top w:val="none" w:sz="0" w:space="0" w:color="auto"/>
        <w:left w:val="none" w:sz="0" w:space="0" w:color="auto"/>
        <w:bottom w:val="none" w:sz="0" w:space="0" w:color="auto"/>
        <w:right w:val="none" w:sz="0" w:space="0" w:color="auto"/>
      </w:divBdr>
    </w:div>
    <w:div w:id="804539720">
      <w:bodyDiv w:val="1"/>
      <w:marLeft w:val="0"/>
      <w:marRight w:val="0"/>
      <w:marTop w:val="0"/>
      <w:marBottom w:val="0"/>
      <w:divBdr>
        <w:top w:val="none" w:sz="0" w:space="0" w:color="auto"/>
        <w:left w:val="none" w:sz="0" w:space="0" w:color="auto"/>
        <w:bottom w:val="none" w:sz="0" w:space="0" w:color="auto"/>
        <w:right w:val="none" w:sz="0" w:space="0" w:color="auto"/>
      </w:divBdr>
    </w:div>
    <w:div w:id="1840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Disability Rights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A83521C-A257-46A1-BA41-DCB8CE5E263F}">
  <ds:schemaRefs>
    <ds:schemaRef ds:uri="http://schemas.openxmlformats.org/officeDocument/2006/bibliography"/>
  </ds:schemaRefs>
</ds:datastoreItem>
</file>

<file path=customXml/itemProps2.xml><?xml version="1.0" encoding="utf-8"?>
<ds:datastoreItem xmlns:ds="http://schemas.openxmlformats.org/officeDocument/2006/customXml" ds:itemID="{51A14F49-2A5F-45B9-80DA-9655BB3A9EFA}"/>
</file>

<file path=customXml/itemProps3.xml><?xml version="1.0" encoding="utf-8"?>
<ds:datastoreItem xmlns:ds="http://schemas.openxmlformats.org/officeDocument/2006/customXml" ds:itemID="{F20399D4-A1CB-4365-9F0E-33FEED30516A}"/>
</file>

<file path=customXml/itemProps4.xml><?xml version="1.0" encoding="utf-8"?>
<ds:datastoreItem xmlns:ds="http://schemas.openxmlformats.org/officeDocument/2006/customXml" ds:itemID="{B7D11F0C-9EFF-4B12-A381-B7E6956E4A0E}"/>
</file>

<file path=docProps/app.xml><?xml version="1.0" encoding="utf-8"?>
<Properties xmlns="http://schemas.openxmlformats.org/officeDocument/2006/extended-properties" xmlns:vt="http://schemas.openxmlformats.org/officeDocument/2006/docPropsVTypes">
  <Template>Normal.dotm</Template>
  <TotalTime>27</TotalTime>
  <Pages>7</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 Keravica</dc:creator>
  <cp:keywords/>
  <dc:description/>
  <cp:lastModifiedBy>Dragana Ciric Milovanovic</cp:lastModifiedBy>
  <cp:revision>3</cp:revision>
  <cp:lastPrinted>2021-06-28T22:25:00Z</cp:lastPrinted>
  <dcterms:created xsi:type="dcterms:W3CDTF">2021-06-30T08:44:00Z</dcterms:created>
  <dcterms:modified xsi:type="dcterms:W3CDTF">2021-06-30T09:35:00Z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id="MsPo0n53"/&gt;&lt;style id="http://www.zotero.org/styles/oscola" hasBibliography="1" bibliographyStyleHasBeenSet="1"/&gt;&lt;prefs&gt;&lt;pref name="fieldType" value="Field"/&gt;&lt;pref name="noteType" value="1"/&gt;&lt;/p</vt:lpwstr>
  </property>
  <property fmtid="{D5CDD505-2E9C-101B-9397-08002B2CF9AE}" pid="3" name="ZOTERO_PREF_2">
    <vt:lpwstr>refs&gt;&lt;/data&gt;</vt:lpwstr>
  </property>
  <property fmtid="{D5CDD505-2E9C-101B-9397-08002B2CF9AE}" pid="4" name="ContentTypeId">
    <vt:lpwstr>0x0101009D953D6983EF5F4EB0B6A5354F975E96</vt:lpwstr>
  </property>
</Properties>
</file>