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ACF29" w14:textId="77777777" w:rsidR="00146F5B" w:rsidRDefault="00146F5B" w:rsidP="00146F5B">
      <w:pPr>
        <w:spacing w:line="276" w:lineRule="auto"/>
        <w:jc w:val="center"/>
        <w:rPr>
          <w:b/>
          <w:sz w:val="28"/>
          <w:szCs w:val="28"/>
          <w:u w:val="single"/>
        </w:rPr>
      </w:pPr>
    </w:p>
    <w:p w14:paraId="13EA1D6E" w14:textId="77777777" w:rsidR="00146F5B" w:rsidRDefault="00146F5B" w:rsidP="00146F5B">
      <w:pPr>
        <w:spacing w:line="276" w:lineRule="auto"/>
        <w:jc w:val="center"/>
        <w:rPr>
          <w:b/>
          <w:sz w:val="28"/>
          <w:szCs w:val="28"/>
          <w:u w:val="single"/>
        </w:rPr>
      </w:pPr>
      <w:r>
        <w:rPr>
          <w:b/>
          <w:noProof/>
          <w:lang w:val="en-GB" w:eastAsia="en-GB"/>
        </w:rPr>
        <w:drawing>
          <wp:inline distT="0" distB="0" distL="0" distR="0" wp14:anchorId="53F40544" wp14:editId="537AE030">
            <wp:extent cx="1592580" cy="731520"/>
            <wp:effectExtent l="0" t="0" r="7620" b="0"/>
            <wp:docPr id="1" name="Picture 1" descr="EPIC_ident_colour_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IC_ident_colour_co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2580" cy="731520"/>
                    </a:xfrm>
                    <a:prstGeom prst="rect">
                      <a:avLst/>
                    </a:prstGeom>
                    <a:noFill/>
                    <a:ln>
                      <a:noFill/>
                    </a:ln>
                  </pic:spPr>
                </pic:pic>
              </a:graphicData>
            </a:graphic>
          </wp:inline>
        </w:drawing>
      </w:r>
    </w:p>
    <w:p w14:paraId="1777CE05" w14:textId="77777777" w:rsidR="00146F5B" w:rsidRDefault="00146F5B" w:rsidP="00146F5B">
      <w:pPr>
        <w:spacing w:line="276" w:lineRule="auto"/>
        <w:rPr>
          <w:b/>
          <w:sz w:val="28"/>
          <w:szCs w:val="28"/>
          <w:u w:val="single"/>
        </w:rPr>
      </w:pPr>
    </w:p>
    <w:p w14:paraId="6A274D1C" w14:textId="77777777" w:rsidR="00146F5B" w:rsidRDefault="00146F5B" w:rsidP="00146F5B">
      <w:pPr>
        <w:spacing w:line="276" w:lineRule="auto"/>
        <w:jc w:val="center"/>
        <w:rPr>
          <w:b/>
          <w:sz w:val="28"/>
          <w:szCs w:val="28"/>
          <w:u w:val="single"/>
        </w:rPr>
      </w:pPr>
    </w:p>
    <w:p w14:paraId="00C62D54" w14:textId="77777777" w:rsidR="00146F5B" w:rsidRDefault="00146F5B" w:rsidP="00146F5B">
      <w:pPr>
        <w:spacing w:line="276" w:lineRule="auto"/>
        <w:jc w:val="center"/>
        <w:rPr>
          <w:b/>
          <w:sz w:val="28"/>
          <w:szCs w:val="28"/>
          <w:u w:val="single"/>
        </w:rPr>
      </w:pPr>
    </w:p>
    <w:p w14:paraId="4DC5902F" w14:textId="2C3D02DF" w:rsidR="00146F5B" w:rsidRDefault="00B03A37" w:rsidP="00146F5B">
      <w:pPr>
        <w:spacing w:line="276" w:lineRule="auto"/>
        <w:jc w:val="center"/>
        <w:rPr>
          <w:b/>
          <w:sz w:val="28"/>
          <w:szCs w:val="28"/>
          <w:u w:val="single"/>
        </w:rPr>
      </w:pPr>
      <w:r>
        <w:rPr>
          <w:b/>
          <w:sz w:val="28"/>
          <w:szCs w:val="28"/>
          <w:u w:val="single"/>
        </w:rPr>
        <w:t>United Nations Committee on the Rights of the Child</w:t>
      </w:r>
      <w:r w:rsidR="00146F5B" w:rsidRPr="00CE70E2">
        <w:rPr>
          <w:b/>
          <w:sz w:val="28"/>
          <w:szCs w:val="28"/>
          <w:u w:val="single"/>
        </w:rPr>
        <w:t xml:space="preserve"> </w:t>
      </w:r>
    </w:p>
    <w:p w14:paraId="3185AA35" w14:textId="77777777" w:rsidR="00D15E8F" w:rsidRPr="00D15E8F" w:rsidRDefault="00D15E8F" w:rsidP="002D1829">
      <w:pPr>
        <w:spacing w:after="0" w:line="360" w:lineRule="auto"/>
        <w:jc w:val="center"/>
        <w:rPr>
          <w:rFonts w:eastAsia="Times New Roman" w:cstheme="minorHAnsi"/>
          <w:sz w:val="28"/>
          <w:szCs w:val="28"/>
          <w:lang w:eastAsia="en-IE"/>
        </w:rPr>
      </w:pPr>
      <w:r w:rsidRPr="00D15E8F">
        <w:rPr>
          <w:rFonts w:eastAsia="Times New Roman" w:cstheme="minorHAnsi"/>
          <w:b/>
          <w:bCs/>
          <w:color w:val="000000"/>
          <w:sz w:val="28"/>
          <w:szCs w:val="28"/>
          <w:u w:val="single"/>
          <w:lang w:eastAsia="en-IE"/>
        </w:rPr>
        <w:t>United Nations Day of General Discussions on Children’s Rights and Alternative Care</w:t>
      </w:r>
    </w:p>
    <w:p w14:paraId="6FDF715E" w14:textId="77777777" w:rsidR="00D15E8F" w:rsidRPr="00D15E8F" w:rsidRDefault="00D15E8F" w:rsidP="002D1829">
      <w:pPr>
        <w:spacing w:after="0" w:line="360" w:lineRule="auto"/>
        <w:rPr>
          <w:rFonts w:eastAsia="Times New Roman" w:cstheme="minorHAnsi"/>
          <w:sz w:val="28"/>
          <w:szCs w:val="28"/>
          <w:lang w:eastAsia="en-IE"/>
        </w:rPr>
      </w:pPr>
    </w:p>
    <w:p w14:paraId="7B1C4ABA" w14:textId="7323983D" w:rsidR="00D15E8F" w:rsidRDefault="00D15E8F" w:rsidP="002D1829">
      <w:pPr>
        <w:spacing w:after="0" w:line="360" w:lineRule="auto"/>
        <w:jc w:val="center"/>
        <w:rPr>
          <w:rFonts w:eastAsia="Times New Roman" w:cstheme="minorHAnsi"/>
          <w:sz w:val="28"/>
          <w:szCs w:val="28"/>
          <w:lang w:eastAsia="en-IE"/>
        </w:rPr>
      </w:pPr>
      <w:r w:rsidRPr="00D15E8F">
        <w:rPr>
          <w:rFonts w:eastAsia="Times New Roman" w:cstheme="minorHAnsi"/>
          <w:b/>
          <w:bCs/>
          <w:color w:val="000000"/>
          <w:sz w:val="28"/>
          <w:szCs w:val="28"/>
          <w:u w:val="single"/>
          <w:lang w:eastAsia="en-IE"/>
        </w:rPr>
        <w:t xml:space="preserve">Submission </w:t>
      </w:r>
      <w:r w:rsidR="002D1829">
        <w:rPr>
          <w:rFonts w:eastAsia="Times New Roman" w:cstheme="minorHAnsi"/>
          <w:b/>
          <w:bCs/>
          <w:color w:val="000000"/>
          <w:sz w:val="28"/>
          <w:szCs w:val="28"/>
          <w:u w:val="single"/>
          <w:lang w:eastAsia="en-IE"/>
        </w:rPr>
        <w:t>– Key Points</w:t>
      </w:r>
    </w:p>
    <w:p w14:paraId="0AC35CA2" w14:textId="77777777" w:rsidR="002D1829" w:rsidRPr="00D15E8F" w:rsidRDefault="002D1829" w:rsidP="00D15E8F">
      <w:pPr>
        <w:spacing w:after="0" w:line="240" w:lineRule="auto"/>
        <w:jc w:val="center"/>
        <w:rPr>
          <w:rFonts w:eastAsia="Times New Roman" w:cstheme="minorHAnsi"/>
          <w:sz w:val="28"/>
          <w:szCs w:val="28"/>
          <w:lang w:eastAsia="en-IE"/>
        </w:rPr>
      </w:pPr>
    </w:p>
    <w:p w14:paraId="2F393C69" w14:textId="6A9BEE92" w:rsidR="00146F5B" w:rsidRDefault="00146F5B" w:rsidP="00146F5B">
      <w:pPr>
        <w:spacing w:line="276" w:lineRule="auto"/>
        <w:jc w:val="center"/>
        <w:rPr>
          <w:b/>
          <w:sz w:val="28"/>
          <w:szCs w:val="28"/>
          <w:u w:val="single"/>
        </w:rPr>
      </w:pPr>
      <w:r>
        <w:rPr>
          <w:b/>
          <w:sz w:val="28"/>
          <w:szCs w:val="28"/>
          <w:u w:val="single"/>
        </w:rPr>
        <w:lastRenderedPageBreak/>
        <w:t>June 2021</w:t>
      </w:r>
    </w:p>
    <w:p w14:paraId="01AC989C" w14:textId="77777777" w:rsidR="00146F5B" w:rsidRDefault="00146F5B" w:rsidP="002D1829">
      <w:pPr>
        <w:spacing w:line="276" w:lineRule="auto"/>
        <w:rPr>
          <w:b/>
          <w:sz w:val="28"/>
          <w:szCs w:val="28"/>
          <w:u w:val="single"/>
        </w:rPr>
      </w:pPr>
    </w:p>
    <w:p w14:paraId="5567518B" w14:textId="77777777" w:rsidR="00146F5B" w:rsidRDefault="00146F5B" w:rsidP="00146F5B">
      <w:pPr>
        <w:spacing w:line="276" w:lineRule="auto"/>
        <w:jc w:val="center"/>
        <w:rPr>
          <w:b/>
          <w:sz w:val="28"/>
          <w:szCs w:val="28"/>
          <w:u w:val="single"/>
        </w:rPr>
      </w:pPr>
    </w:p>
    <w:p w14:paraId="77B0162A" w14:textId="57C76D67" w:rsidR="00146F5B" w:rsidRDefault="00B03A37" w:rsidP="00B03A37">
      <w:pPr>
        <w:spacing w:line="276" w:lineRule="auto"/>
        <w:rPr>
          <w:b/>
          <w:sz w:val="28"/>
          <w:szCs w:val="28"/>
          <w:u w:val="single"/>
        </w:rPr>
      </w:pPr>
      <w:r>
        <w:rPr>
          <w:b/>
          <w:sz w:val="28"/>
          <w:szCs w:val="28"/>
          <w:u w:val="single"/>
        </w:rPr>
        <w:t>Contact:</w:t>
      </w:r>
    </w:p>
    <w:p w14:paraId="2CBA52B9" w14:textId="77777777" w:rsidR="00146F5B" w:rsidRDefault="00146F5B" w:rsidP="00146F5B">
      <w:pPr>
        <w:rPr>
          <w:b/>
          <w:sz w:val="28"/>
          <w:szCs w:val="28"/>
        </w:rPr>
      </w:pPr>
      <w:r>
        <w:rPr>
          <w:b/>
          <w:sz w:val="28"/>
          <w:szCs w:val="28"/>
        </w:rPr>
        <w:t>Karla Charles</w:t>
      </w:r>
    </w:p>
    <w:p w14:paraId="03045BB4" w14:textId="77777777" w:rsidR="00146F5B" w:rsidRDefault="00146F5B" w:rsidP="00146F5B">
      <w:pPr>
        <w:rPr>
          <w:b/>
          <w:sz w:val="28"/>
          <w:szCs w:val="28"/>
        </w:rPr>
      </w:pPr>
      <w:r>
        <w:rPr>
          <w:b/>
          <w:sz w:val="28"/>
          <w:szCs w:val="28"/>
        </w:rPr>
        <w:t>Policy Manager, EPIC</w:t>
      </w:r>
    </w:p>
    <w:p w14:paraId="0AB9160F" w14:textId="77777777" w:rsidR="00B03A37" w:rsidRDefault="00F936E1" w:rsidP="00146F5B">
      <w:pPr>
        <w:rPr>
          <w:b/>
          <w:sz w:val="28"/>
          <w:szCs w:val="28"/>
        </w:rPr>
      </w:pPr>
      <w:hyperlink r:id="rId9" w:history="1">
        <w:r w:rsidR="00146F5B" w:rsidRPr="00904770">
          <w:rPr>
            <w:rStyle w:val="Hyperlink"/>
            <w:b/>
            <w:sz w:val="28"/>
            <w:szCs w:val="28"/>
          </w:rPr>
          <w:t>karlacharles@epiconline.ie</w:t>
        </w:r>
      </w:hyperlink>
      <w:r w:rsidR="00146F5B">
        <w:rPr>
          <w:b/>
          <w:sz w:val="28"/>
          <w:szCs w:val="28"/>
        </w:rPr>
        <w:t xml:space="preserve"> </w:t>
      </w:r>
    </w:p>
    <w:p w14:paraId="120C7CCB" w14:textId="77777777" w:rsidR="009E74B5" w:rsidRDefault="009E74B5" w:rsidP="00146F5B">
      <w:pPr>
        <w:rPr>
          <w:b/>
          <w:sz w:val="28"/>
          <w:szCs w:val="28"/>
        </w:rPr>
      </w:pPr>
    </w:p>
    <w:p w14:paraId="44B95C7F" w14:textId="77777777" w:rsidR="009E74B5" w:rsidRDefault="009E74B5" w:rsidP="00146F5B">
      <w:pPr>
        <w:rPr>
          <w:b/>
          <w:sz w:val="28"/>
          <w:szCs w:val="28"/>
        </w:rPr>
      </w:pPr>
      <w:r>
        <w:rPr>
          <w:b/>
          <w:sz w:val="28"/>
          <w:szCs w:val="28"/>
        </w:rPr>
        <w:t xml:space="preserve">John Murphy </w:t>
      </w:r>
    </w:p>
    <w:p w14:paraId="597650C2" w14:textId="7ADD2AF9" w:rsidR="009E74B5" w:rsidRDefault="009E74B5" w:rsidP="00146F5B">
      <w:pPr>
        <w:rPr>
          <w:b/>
          <w:sz w:val="28"/>
          <w:szCs w:val="28"/>
        </w:rPr>
      </w:pPr>
      <w:r>
        <w:rPr>
          <w:b/>
          <w:sz w:val="28"/>
          <w:szCs w:val="28"/>
        </w:rPr>
        <w:t xml:space="preserve">Advocacy and Research Officer </w:t>
      </w:r>
    </w:p>
    <w:p w14:paraId="370B1A40" w14:textId="142C2278" w:rsidR="00146F5B" w:rsidRPr="00FD67DD" w:rsidRDefault="00F936E1" w:rsidP="00C00682">
      <w:pPr>
        <w:rPr>
          <w:b/>
          <w:sz w:val="28"/>
          <w:szCs w:val="28"/>
        </w:rPr>
      </w:pPr>
      <w:hyperlink r:id="rId10" w:history="1">
        <w:r w:rsidR="009E74B5" w:rsidRPr="00904770">
          <w:rPr>
            <w:rStyle w:val="Hyperlink"/>
            <w:b/>
            <w:sz w:val="28"/>
            <w:szCs w:val="28"/>
          </w:rPr>
          <w:t>johnmurphy@epiconline.ie</w:t>
        </w:r>
      </w:hyperlink>
    </w:p>
    <w:p w14:paraId="693CDF1B" w14:textId="77777777" w:rsidR="00FD67DD" w:rsidRDefault="00FD67DD" w:rsidP="00B63335">
      <w:pPr>
        <w:pStyle w:val="xmsonormal0"/>
        <w:rPr>
          <w:rFonts w:ascii="Arial" w:hAnsi="Arial" w:cs="Arial"/>
          <w:b/>
          <w:bCs/>
          <w:lang w:eastAsia="en-US"/>
        </w:rPr>
      </w:pPr>
    </w:p>
    <w:p w14:paraId="6F35EFEE" w14:textId="3132142D" w:rsidR="00584B53" w:rsidRPr="00FD67DD" w:rsidRDefault="006E27EA" w:rsidP="00B63335">
      <w:pPr>
        <w:pStyle w:val="xmsonormal0"/>
        <w:rPr>
          <w:rFonts w:ascii="Arial" w:hAnsi="Arial" w:cs="Arial"/>
          <w:b/>
          <w:bCs/>
          <w:lang w:eastAsia="en-US"/>
        </w:rPr>
      </w:pPr>
      <w:r w:rsidRPr="00FD67DD">
        <w:rPr>
          <w:rFonts w:ascii="Arial" w:hAnsi="Arial" w:cs="Arial"/>
          <w:b/>
          <w:bCs/>
          <w:lang w:eastAsia="en-US"/>
        </w:rPr>
        <w:lastRenderedPageBreak/>
        <w:t xml:space="preserve">This submission is signed by </w:t>
      </w:r>
      <w:r w:rsidR="00B57505" w:rsidRPr="00FD67DD">
        <w:rPr>
          <w:rFonts w:ascii="Arial" w:hAnsi="Arial" w:cs="Arial"/>
          <w:b/>
          <w:bCs/>
          <w:lang w:eastAsia="en-US"/>
        </w:rPr>
        <w:t>M</w:t>
      </w:r>
      <w:r w:rsidRPr="00FD67DD">
        <w:rPr>
          <w:rFonts w:ascii="Arial" w:hAnsi="Arial" w:cs="Arial"/>
          <w:b/>
          <w:bCs/>
          <w:lang w:eastAsia="en-US"/>
        </w:rPr>
        <w:t>embers of EPIC</w:t>
      </w:r>
      <w:r w:rsidR="00150F75" w:rsidRPr="00FD67DD">
        <w:rPr>
          <w:rFonts w:ascii="Arial" w:hAnsi="Arial" w:cs="Arial"/>
          <w:b/>
          <w:bCs/>
          <w:lang w:eastAsia="en-US"/>
        </w:rPr>
        <w:t>’</w:t>
      </w:r>
      <w:r w:rsidRPr="00FD67DD">
        <w:rPr>
          <w:rFonts w:ascii="Arial" w:hAnsi="Arial" w:cs="Arial"/>
          <w:b/>
          <w:bCs/>
          <w:lang w:eastAsia="en-US"/>
        </w:rPr>
        <w:t xml:space="preserve">s </w:t>
      </w:r>
      <w:r w:rsidR="00B57505" w:rsidRPr="00FD67DD">
        <w:rPr>
          <w:rFonts w:ascii="Arial" w:hAnsi="Arial" w:cs="Arial"/>
          <w:b/>
          <w:bCs/>
          <w:lang w:eastAsia="en-US"/>
        </w:rPr>
        <w:t xml:space="preserve">National </w:t>
      </w:r>
      <w:r w:rsidRPr="00FD67DD">
        <w:rPr>
          <w:rFonts w:ascii="Arial" w:hAnsi="Arial" w:cs="Arial"/>
          <w:b/>
          <w:bCs/>
          <w:lang w:eastAsia="en-US"/>
        </w:rPr>
        <w:t>Youth Council</w:t>
      </w:r>
      <w:r w:rsidR="00150F75" w:rsidRPr="00FD67DD">
        <w:rPr>
          <w:rFonts w:ascii="Arial" w:hAnsi="Arial" w:cs="Arial"/>
          <w:b/>
          <w:bCs/>
          <w:lang w:eastAsia="en-US"/>
        </w:rPr>
        <w:t xml:space="preserve">; </w:t>
      </w:r>
      <w:r w:rsidR="002A265D" w:rsidRPr="00FD67DD">
        <w:rPr>
          <w:rFonts w:ascii="Arial" w:hAnsi="Arial" w:cs="Arial"/>
          <w:b/>
          <w:bCs/>
          <w:lang w:eastAsia="en-US"/>
        </w:rPr>
        <w:t xml:space="preserve">Rory Brown; Jessica Duffy; Roisin Farragher; </w:t>
      </w:r>
      <w:r w:rsidR="0007207B" w:rsidRPr="00FD67DD">
        <w:rPr>
          <w:rFonts w:ascii="Arial" w:hAnsi="Arial" w:cs="Arial"/>
          <w:b/>
          <w:bCs/>
          <w:lang w:eastAsia="en-US"/>
        </w:rPr>
        <w:t xml:space="preserve">Mark Hennessy; </w:t>
      </w:r>
      <w:r w:rsidR="00A15CC1" w:rsidRPr="00FD67DD">
        <w:rPr>
          <w:rFonts w:ascii="Arial" w:hAnsi="Arial" w:cs="Arial"/>
          <w:b/>
          <w:bCs/>
          <w:lang w:eastAsia="en-US"/>
        </w:rPr>
        <w:t>Katelyn Kelly; Juliette Kurlink</w:t>
      </w:r>
      <w:r w:rsidR="00584B53" w:rsidRPr="00FD67DD">
        <w:rPr>
          <w:rFonts w:ascii="Arial" w:hAnsi="Arial" w:cs="Arial"/>
          <w:b/>
          <w:bCs/>
          <w:lang w:eastAsia="en-US"/>
        </w:rPr>
        <w:t xml:space="preserve">; Angelika Majer; </w:t>
      </w:r>
      <w:r w:rsidR="00B63335" w:rsidRPr="00FD67DD">
        <w:rPr>
          <w:rFonts w:ascii="Arial" w:hAnsi="Arial" w:cs="Arial"/>
          <w:b/>
          <w:bCs/>
          <w:lang w:eastAsia="en-US"/>
        </w:rPr>
        <w:t xml:space="preserve">Dillon Nolan; </w:t>
      </w:r>
      <w:r w:rsidR="00584B53" w:rsidRPr="00FD67DD">
        <w:rPr>
          <w:rFonts w:ascii="Arial" w:hAnsi="Arial" w:cs="Arial"/>
          <w:b/>
          <w:bCs/>
          <w:lang w:eastAsia="en-US"/>
        </w:rPr>
        <w:t>Clara O’Shea; Lauren O’Toole</w:t>
      </w:r>
      <w:r w:rsidR="00B63335" w:rsidRPr="00FD67DD">
        <w:rPr>
          <w:rFonts w:ascii="Arial" w:hAnsi="Arial" w:cs="Arial"/>
          <w:b/>
          <w:bCs/>
          <w:lang w:eastAsia="en-US"/>
        </w:rPr>
        <w:t>.</w:t>
      </w:r>
    </w:p>
    <w:p w14:paraId="50F37981" w14:textId="77777777" w:rsidR="00FD67DD" w:rsidRDefault="00FD67DD" w:rsidP="004C3BA0">
      <w:pPr>
        <w:jc w:val="center"/>
        <w:rPr>
          <w:rFonts w:ascii="Arial" w:hAnsi="Arial" w:cs="Arial"/>
          <w:b/>
          <w:bCs/>
          <w:sz w:val="28"/>
          <w:szCs w:val="28"/>
        </w:rPr>
      </w:pPr>
    </w:p>
    <w:p w14:paraId="29C4DF66" w14:textId="741E7ECD" w:rsidR="004C3BA0" w:rsidRPr="00653DD7" w:rsidRDefault="00653DD7" w:rsidP="004C3BA0">
      <w:pPr>
        <w:jc w:val="center"/>
        <w:rPr>
          <w:rFonts w:ascii="Arial" w:hAnsi="Arial" w:cs="Arial"/>
          <w:b/>
          <w:bCs/>
          <w:sz w:val="28"/>
          <w:szCs w:val="28"/>
        </w:rPr>
      </w:pPr>
      <w:r w:rsidRPr="00653DD7">
        <w:rPr>
          <w:rFonts w:ascii="Arial" w:hAnsi="Arial" w:cs="Arial"/>
          <w:b/>
          <w:bCs/>
          <w:sz w:val="28"/>
          <w:szCs w:val="28"/>
        </w:rPr>
        <w:t>Key Points</w:t>
      </w:r>
    </w:p>
    <w:p w14:paraId="20DC1FA8" w14:textId="286E56E7" w:rsidR="004C3BA0" w:rsidRPr="00303846" w:rsidRDefault="004C3BA0" w:rsidP="007C01E9">
      <w:pPr>
        <w:pStyle w:val="xmsonormal"/>
        <w:spacing w:after="120" w:line="360" w:lineRule="auto"/>
        <w:jc w:val="both"/>
        <w:rPr>
          <w:rFonts w:ascii="Arial" w:hAnsi="Arial" w:cs="Arial"/>
          <w:lang w:eastAsia="en-US"/>
        </w:rPr>
      </w:pPr>
      <w:r>
        <w:rPr>
          <w:rFonts w:ascii="Arial" w:hAnsi="Arial" w:cs="Arial"/>
          <w:lang w:eastAsia="en-US"/>
        </w:rPr>
        <w:t>EPIC</w:t>
      </w:r>
      <w:r w:rsidR="00DC2A82">
        <w:rPr>
          <w:rFonts w:ascii="Arial" w:hAnsi="Arial" w:cs="Arial"/>
          <w:lang w:eastAsia="en-US"/>
        </w:rPr>
        <w:t xml:space="preserve"> (Empowering People in Care) </w:t>
      </w:r>
      <w:r w:rsidR="00B56582">
        <w:rPr>
          <w:rFonts w:ascii="Arial" w:hAnsi="Arial" w:cs="Arial"/>
          <w:lang w:eastAsia="en-US"/>
        </w:rPr>
        <w:t xml:space="preserve">has focused on </w:t>
      </w:r>
      <w:r w:rsidR="00303846">
        <w:rPr>
          <w:rFonts w:ascii="Arial" w:hAnsi="Arial" w:cs="Arial"/>
          <w:lang w:eastAsia="en-US"/>
        </w:rPr>
        <w:t>“</w:t>
      </w:r>
      <w:r w:rsidR="00C70BF2">
        <w:rPr>
          <w:rFonts w:ascii="Arial" w:hAnsi="Arial" w:cs="Arial"/>
          <w:lang w:eastAsia="en-US"/>
        </w:rPr>
        <w:t>r</w:t>
      </w:r>
      <w:r w:rsidR="00303846" w:rsidRPr="00303846">
        <w:rPr>
          <w:rFonts w:ascii="Arial" w:hAnsi="Arial" w:cs="Arial"/>
          <w:lang w:eastAsia="en-US"/>
        </w:rPr>
        <w:t xml:space="preserve">ecommendations for change where policies and practices have not been successful” and reflects the reality of our day-to-day work. We would </w:t>
      </w:r>
      <w:r w:rsidR="00DC2A82">
        <w:rPr>
          <w:rFonts w:ascii="Arial" w:hAnsi="Arial" w:cs="Arial"/>
          <w:lang w:eastAsia="en-US"/>
        </w:rPr>
        <w:t xml:space="preserve">like </w:t>
      </w:r>
      <w:r>
        <w:rPr>
          <w:rFonts w:ascii="Arial" w:hAnsi="Arial" w:cs="Arial"/>
          <w:lang w:eastAsia="en-US"/>
        </w:rPr>
        <w:t>to draw the following issues to the attention of the United Nations Committee on the Rights of the Child</w:t>
      </w:r>
      <w:r w:rsidR="007C01E9">
        <w:rPr>
          <w:rFonts w:ascii="Arial" w:hAnsi="Arial" w:cs="Arial"/>
          <w:lang w:eastAsia="en-US"/>
        </w:rPr>
        <w:t xml:space="preserve">. </w:t>
      </w:r>
    </w:p>
    <w:p w14:paraId="767612FC" w14:textId="77777777" w:rsidR="005A20C2" w:rsidRDefault="005A20C2" w:rsidP="007040FC">
      <w:pPr>
        <w:spacing w:line="360" w:lineRule="auto"/>
        <w:jc w:val="both"/>
        <w:rPr>
          <w:rFonts w:ascii="Arial" w:hAnsi="Arial" w:cs="Arial"/>
          <w:b/>
          <w:bCs/>
        </w:rPr>
      </w:pPr>
    </w:p>
    <w:p w14:paraId="1B99A5C4" w14:textId="3D6AB213" w:rsidR="002F7FD5" w:rsidRDefault="002F7FD5" w:rsidP="007040FC">
      <w:pPr>
        <w:pStyle w:val="ListParagraph"/>
        <w:numPr>
          <w:ilvl w:val="0"/>
          <w:numId w:val="6"/>
        </w:numPr>
        <w:spacing w:line="360" w:lineRule="auto"/>
        <w:jc w:val="both"/>
        <w:rPr>
          <w:rFonts w:ascii="Arial" w:hAnsi="Arial" w:cs="Arial"/>
          <w:b/>
          <w:bCs/>
        </w:rPr>
      </w:pPr>
      <w:r w:rsidRPr="00215FA9">
        <w:rPr>
          <w:rFonts w:ascii="Arial" w:hAnsi="Arial" w:cs="Arial"/>
          <w:b/>
          <w:bCs/>
        </w:rPr>
        <w:t xml:space="preserve">Lack of </w:t>
      </w:r>
      <w:r w:rsidR="005170F4" w:rsidRPr="00215FA9">
        <w:rPr>
          <w:rFonts w:ascii="Arial" w:hAnsi="Arial" w:cs="Arial"/>
          <w:b/>
          <w:bCs/>
        </w:rPr>
        <w:t xml:space="preserve">Data and </w:t>
      </w:r>
      <w:r w:rsidRPr="00215FA9">
        <w:rPr>
          <w:rFonts w:ascii="Arial" w:hAnsi="Arial" w:cs="Arial"/>
          <w:b/>
          <w:bCs/>
        </w:rPr>
        <w:t>Research.</w:t>
      </w:r>
    </w:p>
    <w:p w14:paraId="413E600A" w14:textId="77777777" w:rsidR="007040FC" w:rsidRPr="00215FA9" w:rsidRDefault="007040FC" w:rsidP="007040FC">
      <w:pPr>
        <w:pStyle w:val="ListParagraph"/>
        <w:spacing w:line="360" w:lineRule="auto"/>
        <w:jc w:val="both"/>
        <w:rPr>
          <w:rFonts w:ascii="Arial" w:hAnsi="Arial" w:cs="Arial"/>
          <w:b/>
          <w:bCs/>
        </w:rPr>
      </w:pPr>
    </w:p>
    <w:p w14:paraId="24E9C298" w14:textId="20CE9C09" w:rsidR="00E02CCA" w:rsidRPr="006D06D0" w:rsidRDefault="005170F4" w:rsidP="007040FC">
      <w:pPr>
        <w:pStyle w:val="NoSpacing"/>
        <w:spacing w:line="360" w:lineRule="auto"/>
        <w:jc w:val="both"/>
        <w:rPr>
          <w:rFonts w:ascii="Arial" w:hAnsi="Arial" w:cs="Arial"/>
          <w:u w:val="single"/>
        </w:rPr>
      </w:pPr>
      <w:r w:rsidRPr="00812CB2">
        <w:rPr>
          <w:rFonts w:ascii="Arial" w:hAnsi="Arial" w:cs="Arial"/>
        </w:rPr>
        <w:t>EPIC call</w:t>
      </w:r>
      <w:r w:rsidR="00FA6662">
        <w:rPr>
          <w:rFonts w:ascii="Arial" w:hAnsi="Arial" w:cs="Arial"/>
        </w:rPr>
        <w:t>s</w:t>
      </w:r>
      <w:r w:rsidRPr="00812CB2">
        <w:rPr>
          <w:rFonts w:ascii="Arial" w:hAnsi="Arial" w:cs="Arial"/>
        </w:rPr>
        <w:t xml:space="preserve"> for </w:t>
      </w:r>
      <w:r w:rsidR="00FA6662">
        <w:rPr>
          <w:rFonts w:ascii="Arial" w:hAnsi="Arial" w:cs="Arial"/>
        </w:rPr>
        <w:t>increased</w:t>
      </w:r>
      <w:r w:rsidRPr="00812CB2">
        <w:rPr>
          <w:rFonts w:ascii="Arial" w:hAnsi="Arial" w:cs="Arial"/>
        </w:rPr>
        <w:t xml:space="preserve"> data gathering on children in care, aftercare and beyond</w:t>
      </w:r>
      <w:r w:rsidR="0092778F">
        <w:rPr>
          <w:rFonts w:ascii="Arial" w:hAnsi="Arial" w:cs="Arial"/>
        </w:rPr>
        <w:t xml:space="preserve">. </w:t>
      </w:r>
      <w:r w:rsidR="003C5D79">
        <w:rPr>
          <w:rFonts w:ascii="Arial" w:hAnsi="Arial" w:cs="Arial"/>
        </w:rPr>
        <w:t xml:space="preserve">A </w:t>
      </w:r>
      <w:r w:rsidRPr="00812CB2">
        <w:rPr>
          <w:rFonts w:ascii="Arial" w:hAnsi="Arial" w:cs="Arial"/>
        </w:rPr>
        <w:t xml:space="preserve">longitudinal study on children leaving care was proposed as an action by the Health Service Executive in response to a </w:t>
      </w:r>
      <w:r w:rsidRPr="00812CB2">
        <w:rPr>
          <w:rFonts w:ascii="Arial" w:hAnsi="Arial" w:cs="Arial"/>
        </w:rPr>
        <w:lastRenderedPageBreak/>
        <w:t>recommendation by the Report of the Commission to Inquire into Child Abuse</w:t>
      </w:r>
      <w:r w:rsidR="004066F9">
        <w:rPr>
          <w:rStyle w:val="FootnoteReference"/>
          <w:rFonts w:ascii="Arial" w:hAnsi="Arial" w:cs="Arial"/>
        </w:rPr>
        <w:footnoteReference w:id="1"/>
      </w:r>
      <w:r w:rsidRPr="00812CB2">
        <w:rPr>
          <w:rFonts w:ascii="Arial" w:hAnsi="Arial" w:cs="Arial"/>
        </w:rPr>
        <w:t xml:space="preserve">. This action was subsequently included in the </w:t>
      </w:r>
      <w:r w:rsidRPr="008B01A5">
        <w:rPr>
          <w:rFonts w:ascii="Arial" w:hAnsi="Arial" w:cs="Arial"/>
          <w:i/>
          <w:iCs/>
        </w:rPr>
        <w:t>National Strategy for Research and Data in Children’s Lives, 2011- 2016</w:t>
      </w:r>
      <w:r w:rsidRPr="00812CB2">
        <w:rPr>
          <w:rFonts w:ascii="Arial" w:hAnsi="Arial" w:cs="Arial"/>
        </w:rPr>
        <w:t xml:space="preserve"> (DCYA, 2011)</w:t>
      </w:r>
      <w:r w:rsidR="001B293C">
        <w:rPr>
          <w:rFonts w:ascii="Arial" w:hAnsi="Arial" w:cs="Arial"/>
        </w:rPr>
        <w:t>, but has</w:t>
      </w:r>
      <w:r w:rsidR="00812CB2">
        <w:rPr>
          <w:rFonts w:ascii="Arial" w:hAnsi="Arial" w:cs="Arial"/>
        </w:rPr>
        <w:t xml:space="preserve"> yet to be carried out</w:t>
      </w:r>
      <w:r w:rsidR="00563BEA">
        <w:rPr>
          <w:rFonts w:ascii="Arial" w:hAnsi="Arial" w:cs="Arial"/>
        </w:rPr>
        <w:t xml:space="preserve">. Such a </w:t>
      </w:r>
      <w:r w:rsidR="00B0579A">
        <w:rPr>
          <w:rFonts w:ascii="Arial" w:hAnsi="Arial" w:cs="Arial"/>
        </w:rPr>
        <w:t>longitudinal study</w:t>
      </w:r>
      <w:r w:rsidR="00563BEA">
        <w:rPr>
          <w:rFonts w:ascii="Arial" w:hAnsi="Arial" w:cs="Arial"/>
        </w:rPr>
        <w:t xml:space="preserve"> is </w:t>
      </w:r>
      <w:r w:rsidRPr="00812CB2">
        <w:rPr>
          <w:rFonts w:ascii="Arial" w:hAnsi="Arial" w:cs="Arial"/>
        </w:rPr>
        <w:t>a much-needed addition to the data currently being gathered by Tusla.</w:t>
      </w:r>
      <w:r w:rsidR="00812CB2">
        <w:rPr>
          <w:rStyle w:val="FootnoteReference"/>
          <w:rFonts w:ascii="Arial" w:hAnsi="Arial" w:cs="Arial"/>
        </w:rPr>
        <w:footnoteReference w:id="2"/>
      </w:r>
      <w:r w:rsidRPr="00812CB2">
        <w:rPr>
          <w:rFonts w:ascii="Arial" w:hAnsi="Arial" w:cs="Arial"/>
        </w:rPr>
        <w:t xml:space="preserve"> </w:t>
      </w:r>
      <w:r w:rsidR="004066F9">
        <w:rPr>
          <w:rFonts w:ascii="Arial" w:hAnsi="Arial" w:cs="Arial"/>
        </w:rPr>
        <w:t>The ability</w:t>
      </w:r>
      <w:r w:rsidRPr="00812CB2">
        <w:rPr>
          <w:rFonts w:ascii="Arial" w:hAnsi="Arial" w:cs="Arial"/>
        </w:rPr>
        <w:t xml:space="preserve"> to analyse data for children in care and leaving care, over an extended period, and to be able to compare this to the non-care population would provide a level of insight and understanding that is </w:t>
      </w:r>
      <w:r w:rsidRPr="00812CB2">
        <w:rPr>
          <w:rFonts w:ascii="Arial" w:hAnsi="Arial" w:cs="Arial"/>
        </w:rPr>
        <w:lastRenderedPageBreak/>
        <w:t>currently unavailable</w:t>
      </w:r>
      <w:r w:rsidR="00FA3CCF">
        <w:rPr>
          <w:rFonts w:ascii="Arial" w:hAnsi="Arial" w:cs="Arial"/>
        </w:rPr>
        <w:t>.</w:t>
      </w:r>
      <w:r w:rsidR="00E67417">
        <w:rPr>
          <w:rStyle w:val="FootnoteReference"/>
          <w:rFonts w:ascii="Arial" w:hAnsi="Arial" w:cs="Arial"/>
        </w:rPr>
        <w:footnoteReference w:id="3"/>
      </w:r>
      <w:r w:rsidR="00FA3CCF">
        <w:rPr>
          <w:rFonts w:ascii="Arial" w:hAnsi="Arial" w:cs="Arial"/>
        </w:rPr>
        <w:t xml:space="preserve"> </w:t>
      </w:r>
      <w:r w:rsidRPr="00812CB2">
        <w:rPr>
          <w:rFonts w:ascii="Arial" w:hAnsi="Arial" w:cs="Arial"/>
        </w:rPr>
        <w:t>Th</w:t>
      </w:r>
      <w:r w:rsidR="00215FA9">
        <w:rPr>
          <w:rFonts w:ascii="Arial" w:hAnsi="Arial" w:cs="Arial"/>
        </w:rPr>
        <w:t>e</w:t>
      </w:r>
      <w:r w:rsidRPr="00812CB2">
        <w:rPr>
          <w:rFonts w:ascii="Arial" w:hAnsi="Arial" w:cs="Arial"/>
        </w:rPr>
        <w:t xml:space="preserve"> lack of data for analysis stymies the ability of policy makers and practitioners to develop informed and robust measures to meet the needs of this cohort.</w:t>
      </w:r>
      <w:r w:rsidR="00E02CCA">
        <w:rPr>
          <w:rFonts w:ascii="Arial" w:hAnsi="Arial" w:cs="Arial"/>
        </w:rPr>
        <w:t xml:space="preserve"> </w:t>
      </w:r>
    </w:p>
    <w:p w14:paraId="4805F24E" w14:textId="66F9FEEC" w:rsidR="007F5CB1" w:rsidRPr="00B43DC9" w:rsidRDefault="004709A8" w:rsidP="007040FC">
      <w:pPr>
        <w:spacing w:before="100" w:beforeAutospacing="1" w:after="100" w:afterAutospacing="1" w:line="360" w:lineRule="auto"/>
        <w:jc w:val="both"/>
        <w:rPr>
          <w:rFonts w:ascii="Arial" w:eastAsia="Times New Roman" w:hAnsi="Arial" w:cs="Arial"/>
          <w:lang w:val="en-GB"/>
        </w:rPr>
      </w:pPr>
      <w:r>
        <w:rPr>
          <w:rFonts w:ascii="Arial" w:hAnsi="Arial" w:cs="Arial"/>
        </w:rPr>
        <w:t xml:space="preserve">Many issues that EPIC deal with on a daily basis through </w:t>
      </w:r>
      <w:r w:rsidR="005170F4">
        <w:rPr>
          <w:rFonts w:ascii="Arial" w:hAnsi="Arial" w:cs="Arial"/>
        </w:rPr>
        <w:t xml:space="preserve">its </w:t>
      </w:r>
      <w:r>
        <w:rPr>
          <w:rFonts w:ascii="Arial" w:hAnsi="Arial" w:cs="Arial"/>
        </w:rPr>
        <w:t xml:space="preserve">advocacy </w:t>
      </w:r>
      <w:r w:rsidR="005170F4">
        <w:rPr>
          <w:rFonts w:ascii="Arial" w:hAnsi="Arial" w:cs="Arial"/>
        </w:rPr>
        <w:t xml:space="preserve">work </w:t>
      </w:r>
      <w:r>
        <w:rPr>
          <w:rFonts w:ascii="Arial" w:hAnsi="Arial" w:cs="Arial"/>
        </w:rPr>
        <w:t>have no empirical or independ</w:t>
      </w:r>
      <w:r w:rsidR="002F7FD5">
        <w:rPr>
          <w:rFonts w:ascii="Arial" w:hAnsi="Arial" w:cs="Arial"/>
        </w:rPr>
        <w:t>ent reports</w:t>
      </w:r>
      <w:r>
        <w:rPr>
          <w:rFonts w:ascii="Arial" w:hAnsi="Arial" w:cs="Arial"/>
        </w:rPr>
        <w:t xml:space="preserve"> to support </w:t>
      </w:r>
      <w:r w:rsidR="005170F4">
        <w:rPr>
          <w:rFonts w:ascii="Arial" w:hAnsi="Arial" w:cs="Arial"/>
        </w:rPr>
        <w:t>th</w:t>
      </w:r>
      <w:r w:rsidR="00B43DC9">
        <w:rPr>
          <w:rFonts w:ascii="Arial" w:hAnsi="Arial" w:cs="Arial"/>
        </w:rPr>
        <w:t>is</w:t>
      </w:r>
      <w:r w:rsidR="005170F4">
        <w:rPr>
          <w:rFonts w:ascii="Arial" w:hAnsi="Arial" w:cs="Arial"/>
        </w:rPr>
        <w:t xml:space="preserve"> work</w:t>
      </w:r>
      <w:r>
        <w:rPr>
          <w:rFonts w:ascii="Arial" w:hAnsi="Arial" w:cs="Arial"/>
        </w:rPr>
        <w:t xml:space="preserve">. </w:t>
      </w:r>
      <w:r w:rsidRPr="004709A8">
        <w:rPr>
          <w:rFonts w:ascii="Arial" w:hAnsi="Arial" w:cs="Arial"/>
        </w:rPr>
        <w:t>Examples of these</w:t>
      </w:r>
      <w:r>
        <w:rPr>
          <w:rFonts w:ascii="Arial" w:hAnsi="Arial" w:cs="Arial"/>
        </w:rPr>
        <w:t xml:space="preserve"> </w:t>
      </w:r>
      <w:r w:rsidR="007F5CB1">
        <w:rPr>
          <w:rFonts w:ascii="Arial" w:hAnsi="Arial" w:cs="Arial"/>
        </w:rPr>
        <w:t>include</w:t>
      </w:r>
      <w:r w:rsidR="005170F4">
        <w:rPr>
          <w:rFonts w:ascii="Arial" w:hAnsi="Arial" w:cs="Arial"/>
        </w:rPr>
        <w:t xml:space="preserve"> c</w:t>
      </w:r>
      <w:r w:rsidRPr="004709A8">
        <w:rPr>
          <w:rFonts w:ascii="Arial" w:hAnsi="Arial" w:cs="Arial"/>
        </w:rPr>
        <w:t xml:space="preserve">hildren in care living outside of Ireland; </w:t>
      </w:r>
      <w:r w:rsidR="002F7FD5">
        <w:rPr>
          <w:rFonts w:ascii="Arial" w:eastAsia="Times New Roman" w:hAnsi="Arial" w:cs="Arial"/>
        </w:rPr>
        <w:t>l</w:t>
      </w:r>
      <w:r w:rsidRPr="004709A8">
        <w:rPr>
          <w:rFonts w:ascii="Arial" w:eastAsia="Times New Roman" w:hAnsi="Arial" w:cs="Arial"/>
        </w:rPr>
        <w:t>ack of independent community accommodation for those with a disability</w:t>
      </w:r>
      <w:r>
        <w:rPr>
          <w:rFonts w:ascii="Arial" w:eastAsia="Times New Roman" w:hAnsi="Arial" w:cs="Arial"/>
        </w:rPr>
        <w:t>;</w:t>
      </w:r>
      <w:r w:rsidR="00FE726B">
        <w:rPr>
          <w:rFonts w:ascii="Arial" w:eastAsia="Times New Roman" w:hAnsi="Arial" w:cs="Arial"/>
        </w:rPr>
        <w:t xml:space="preserve"> lack of continuity of social workers; lack of engagement of young people in their care reviews; </w:t>
      </w:r>
      <w:r w:rsidRPr="004709A8">
        <w:rPr>
          <w:rFonts w:ascii="Arial" w:eastAsia="Times New Roman" w:hAnsi="Arial" w:cs="Arial"/>
        </w:rPr>
        <w:t xml:space="preserve">timely </w:t>
      </w:r>
      <w:r w:rsidRPr="004709A8">
        <w:rPr>
          <w:rFonts w:ascii="Arial" w:eastAsia="Times New Roman" w:hAnsi="Arial" w:cs="Arial"/>
          <w:lang w:val="en-GB"/>
        </w:rPr>
        <w:t>access to therapeutic supports</w:t>
      </w:r>
      <w:r>
        <w:rPr>
          <w:rFonts w:ascii="Arial" w:eastAsia="Times New Roman" w:hAnsi="Arial" w:cs="Arial"/>
          <w:lang w:val="en-GB"/>
        </w:rPr>
        <w:t xml:space="preserve">; children being placed in homeless services under Section 5, Child Care Act 1991, and therefore not technically in care and then not entitled to aftercare. </w:t>
      </w:r>
      <w:r w:rsidR="007F5CB1" w:rsidRPr="00C70BF2">
        <w:rPr>
          <w:rFonts w:ascii="Arial" w:eastAsia="Times New Roman" w:hAnsi="Arial" w:cs="Arial"/>
          <w:color w:val="000000" w:themeColor="text1"/>
          <w:lang w:val="en-GB"/>
        </w:rPr>
        <w:t xml:space="preserve">For improvements to be made and sustained for </w:t>
      </w:r>
      <w:r w:rsidR="007F5CB1" w:rsidRPr="00C70BF2">
        <w:rPr>
          <w:rFonts w:ascii="Arial" w:eastAsia="Times New Roman" w:hAnsi="Arial" w:cs="Arial"/>
          <w:color w:val="000000" w:themeColor="text1"/>
          <w:lang w:val="en-GB"/>
        </w:rPr>
        <w:lastRenderedPageBreak/>
        <w:t>young people in care, research into all a</w:t>
      </w:r>
      <w:r w:rsidR="00B43DC9">
        <w:rPr>
          <w:rFonts w:ascii="Arial" w:eastAsia="Times New Roman" w:hAnsi="Arial" w:cs="Arial"/>
          <w:color w:val="000000" w:themeColor="text1"/>
          <w:lang w:val="en-GB"/>
        </w:rPr>
        <w:t>spects</w:t>
      </w:r>
      <w:r w:rsidR="007F5CB1" w:rsidRPr="00C70BF2">
        <w:rPr>
          <w:rFonts w:ascii="Arial" w:eastAsia="Times New Roman" w:hAnsi="Arial" w:cs="Arial"/>
          <w:color w:val="000000" w:themeColor="text1"/>
          <w:lang w:val="en-GB"/>
        </w:rPr>
        <w:t xml:space="preserve"> of care must be </w:t>
      </w:r>
      <w:r w:rsidR="00C70BF2" w:rsidRPr="00C70BF2">
        <w:rPr>
          <w:rFonts w:ascii="Arial" w:eastAsia="Times New Roman" w:hAnsi="Arial" w:cs="Arial"/>
          <w:color w:val="000000" w:themeColor="text1"/>
          <w:lang w:val="en-GB"/>
        </w:rPr>
        <w:t xml:space="preserve">regularly </w:t>
      </w:r>
      <w:r w:rsidR="007F5CB1" w:rsidRPr="00C70BF2">
        <w:rPr>
          <w:rFonts w:ascii="Arial" w:eastAsia="Times New Roman" w:hAnsi="Arial" w:cs="Arial"/>
          <w:color w:val="000000" w:themeColor="text1"/>
          <w:lang w:val="en-GB"/>
        </w:rPr>
        <w:t xml:space="preserve">carried out. </w:t>
      </w:r>
    </w:p>
    <w:p w14:paraId="0864C4CA" w14:textId="0305B055" w:rsidR="00F9533B" w:rsidRPr="00215FA9" w:rsidRDefault="00F9533B" w:rsidP="007040FC">
      <w:pPr>
        <w:pStyle w:val="ListParagraph"/>
        <w:numPr>
          <w:ilvl w:val="0"/>
          <w:numId w:val="6"/>
        </w:numPr>
        <w:spacing w:line="360" w:lineRule="auto"/>
        <w:jc w:val="both"/>
        <w:rPr>
          <w:rFonts w:ascii="Arial" w:hAnsi="Arial" w:cs="Arial"/>
          <w:b/>
          <w:bCs/>
        </w:rPr>
      </w:pPr>
      <w:r w:rsidRPr="00215FA9">
        <w:rPr>
          <w:rFonts w:ascii="Arial" w:hAnsi="Arial" w:cs="Arial"/>
          <w:b/>
          <w:bCs/>
        </w:rPr>
        <w:t>Aftercare.</w:t>
      </w:r>
    </w:p>
    <w:p w14:paraId="79D20E67" w14:textId="1BF0859D" w:rsidR="00F91227" w:rsidRDefault="00205410" w:rsidP="007040FC">
      <w:pPr>
        <w:spacing w:before="100" w:beforeAutospacing="1" w:after="100" w:afterAutospacing="1" w:line="360" w:lineRule="auto"/>
        <w:jc w:val="both"/>
        <w:rPr>
          <w:rFonts w:ascii="Arial" w:hAnsi="Arial" w:cs="Arial"/>
        </w:rPr>
      </w:pPr>
      <w:r>
        <w:rPr>
          <w:rFonts w:ascii="Arial" w:hAnsi="Arial" w:cs="Arial"/>
        </w:rPr>
        <w:t xml:space="preserve">Aftercare in Ireland </w:t>
      </w:r>
      <w:r w:rsidR="007F5CB1">
        <w:rPr>
          <w:rFonts w:ascii="Arial" w:hAnsi="Arial" w:cs="Arial"/>
        </w:rPr>
        <w:t>must</w:t>
      </w:r>
      <w:r>
        <w:rPr>
          <w:rFonts w:ascii="Arial" w:hAnsi="Arial" w:cs="Arial"/>
        </w:rPr>
        <w:t xml:space="preserve"> be extende</w:t>
      </w:r>
      <w:r w:rsidR="00754CEC">
        <w:rPr>
          <w:rFonts w:ascii="Arial" w:hAnsi="Arial" w:cs="Arial"/>
        </w:rPr>
        <w:t>d</w:t>
      </w:r>
      <w:r>
        <w:rPr>
          <w:rFonts w:ascii="Arial" w:hAnsi="Arial" w:cs="Arial"/>
        </w:rPr>
        <w:t xml:space="preserve"> to the age of 26 in line with the age at which the average person leaves home. </w:t>
      </w:r>
      <w:r w:rsidR="004F3A06">
        <w:rPr>
          <w:rFonts w:ascii="Arial" w:hAnsi="Arial" w:cs="Arial"/>
        </w:rPr>
        <w:t xml:space="preserve"> Barriers which hinder children in care accessing aftercare must be removed</w:t>
      </w:r>
      <w:r w:rsidR="005E7068">
        <w:rPr>
          <w:rFonts w:ascii="Arial" w:hAnsi="Arial" w:cs="Arial"/>
        </w:rPr>
        <w:t xml:space="preserve">, and children must be appropriately supported </w:t>
      </w:r>
      <w:r w:rsidR="006D03C8">
        <w:rPr>
          <w:rFonts w:ascii="Arial" w:hAnsi="Arial" w:cs="Arial"/>
        </w:rPr>
        <w:t xml:space="preserve">in accessing the right kind of </w:t>
      </w:r>
      <w:r w:rsidR="00635B17">
        <w:rPr>
          <w:rFonts w:ascii="Arial" w:hAnsi="Arial" w:cs="Arial"/>
        </w:rPr>
        <w:t>higher education or training which will allow them to be independent later on.</w:t>
      </w:r>
    </w:p>
    <w:p w14:paraId="1CDE26CB" w14:textId="07BA9145" w:rsidR="00F9533B" w:rsidRPr="00F9533B" w:rsidRDefault="00A866BA" w:rsidP="007040FC">
      <w:pPr>
        <w:spacing w:before="100" w:beforeAutospacing="1" w:after="100" w:afterAutospacing="1" w:line="360" w:lineRule="auto"/>
        <w:jc w:val="both"/>
        <w:rPr>
          <w:rFonts w:ascii="Arial" w:hAnsi="Arial" w:cs="Arial"/>
        </w:rPr>
      </w:pPr>
      <w:r>
        <w:rPr>
          <w:rFonts w:ascii="Arial" w:hAnsi="Arial" w:cs="Arial"/>
        </w:rPr>
        <w:t>A</w:t>
      </w:r>
      <w:r w:rsidR="00F9533B" w:rsidRPr="00F9533B">
        <w:rPr>
          <w:rFonts w:ascii="Arial" w:hAnsi="Arial" w:cs="Arial"/>
        </w:rPr>
        <w:t>ftercare legislation in Ireland,</w:t>
      </w:r>
      <w:r w:rsidR="00F9533B" w:rsidRPr="00F9533B">
        <w:rPr>
          <w:rFonts w:ascii="Arial" w:hAnsi="Arial" w:cs="Arial"/>
          <w:vertAlign w:val="superscript"/>
        </w:rPr>
        <w:footnoteReference w:id="4"/>
      </w:r>
      <w:r w:rsidR="00F9533B" w:rsidRPr="00F9533B">
        <w:rPr>
          <w:rFonts w:ascii="Arial" w:hAnsi="Arial" w:cs="Arial"/>
        </w:rPr>
        <w:t xml:space="preserve"> </w:t>
      </w:r>
      <w:r>
        <w:rPr>
          <w:rFonts w:ascii="Arial" w:hAnsi="Arial" w:cs="Arial"/>
        </w:rPr>
        <w:t>states</w:t>
      </w:r>
      <w:r w:rsidR="00F9533B" w:rsidRPr="00F9533B">
        <w:rPr>
          <w:rFonts w:ascii="Arial" w:hAnsi="Arial" w:cs="Arial"/>
        </w:rPr>
        <w:t xml:space="preserve"> the nature of the assistance “that </w:t>
      </w:r>
      <w:r w:rsidR="00F9533B" w:rsidRPr="00B43DC9">
        <w:rPr>
          <w:rFonts w:ascii="Arial" w:hAnsi="Arial" w:cs="Arial"/>
          <w:i/>
          <w:iCs/>
        </w:rPr>
        <w:t>may</w:t>
      </w:r>
      <w:r w:rsidR="00F9533B" w:rsidRPr="00F9533B">
        <w:rPr>
          <w:rFonts w:ascii="Arial" w:hAnsi="Arial" w:cs="Arial"/>
        </w:rPr>
        <w:t xml:space="preserve"> be provided”</w:t>
      </w:r>
      <w:r w:rsidR="00F9533B" w:rsidRPr="00F9533B">
        <w:rPr>
          <w:rFonts w:ascii="Arial" w:hAnsi="Arial" w:cs="Arial"/>
          <w:vertAlign w:val="superscript"/>
        </w:rPr>
        <w:footnoteReference w:id="5"/>
      </w:r>
      <w:r w:rsidR="00F9533B" w:rsidRPr="00F9533B">
        <w:rPr>
          <w:rFonts w:ascii="Arial" w:hAnsi="Arial" w:cs="Arial"/>
        </w:rPr>
        <w:t xml:space="preserve"> to the eligible child on or after they have attained the age of 18. A needs assessment will be carried out to determine eligibility, and considers factors such as need, age and length of </w:t>
      </w:r>
      <w:r w:rsidR="00F9533B" w:rsidRPr="00F9533B">
        <w:rPr>
          <w:rFonts w:ascii="Arial" w:hAnsi="Arial" w:cs="Arial"/>
        </w:rPr>
        <w:lastRenderedPageBreak/>
        <w:t xml:space="preserve">time in care. </w:t>
      </w:r>
      <w:r w:rsidR="001C349C">
        <w:rPr>
          <w:rFonts w:ascii="Arial" w:hAnsi="Arial" w:cs="Arial"/>
        </w:rPr>
        <w:t>F</w:t>
      </w:r>
      <w:r w:rsidR="00F9533B" w:rsidRPr="00F9533B">
        <w:rPr>
          <w:rFonts w:ascii="Arial" w:hAnsi="Arial" w:cs="Arial"/>
        </w:rPr>
        <w:t xml:space="preserve">urther barriers also apply in relation to young people who come into care </w:t>
      </w:r>
      <w:r w:rsidR="001C349C">
        <w:rPr>
          <w:rFonts w:ascii="Arial" w:hAnsi="Arial" w:cs="Arial"/>
        </w:rPr>
        <w:t>shortly</w:t>
      </w:r>
      <w:r w:rsidR="00F9533B" w:rsidRPr="00F9533B">
        <w:rPr>
          <w:rFonts w:ascii="Arial" w:hAnsi="Arial" w:cs="Arial"/>
        </w:rPr>
        <w:t xml:space="preserve"> before their 18</w:t>
      </w:r>
      <w:r w:rsidR="00F9533B" w:rsidRPr="00F9533B">
        <w:rPr>
          <w:rFonts w:ascii="Arial" w:hAnsi="Arial" w:cs="Arial"/>
          <w:vertAlign w:val="superscript"/>
        </w:rPr>
        <w:t>th</w:t>
      </w:r>
      <w:r w:rsidR="00F9533B" w:rsidRPr="00F9533B">
        <w:rPr>
          <w:rFonts w:ascii="Arial" w:hAnsi="Arial" w:cs="Arial"/>
        </w:rPr>
        <w:t xml:space="preserve"> birthday</w:t>
      </w:r>
      <w:r w:rsidR="001C349C">
        <w:rPr>
          <w:rFonts w:ascii="Arial" w:hAnsi="Arial" w:cs="Arial"/>
        </w:rPr>
        <w:t>,</w:t>
      </w:r>
      <w:r w:rsidR="00F9533B" w:rsidRPr="00F9533B">
        <w:rPr>
          <w:rFonts w:ascii="Arial" w:hAnsi="Arial" w:cs="Arial"/>
        </w:rPr>
        <w:t xml:space="preserve"> as the current law requires that the young person must have spent at least 12 months in care between the ages of 13 and18.</w:t>
      </w:r>
      <w:r w:rsidR="00F9533B" w:rsidRPr="00F9533B">
        <w:rPr>
          <w:rFonts w:ascii="Arial" w:hAnsi="Arial" w:cs="Arial"/>
          <w:vertAlign w:val="superscript"/>
        </w:rPr>
        <w:footnoteReference w:id="6"/>
      </w:r>
    </w:p>
    <w:p w14:paraId="1182F013" w14:textId="77777777" w:rsidR="00F9533B" w:rsidRPr="00F9533B" w:rsidRDefault="00F9533B" w:rsidP="007040FC">
      <w:pPr>
        <w:spacing w:before="100" w:beforeAutospacing="1" w:after="100" w:afterAutospacing="1" w:line="360" w:lineRule="auto"/>
        <w:jc w:val="both"/>
        <w:rPr>
          <w:rFonts w:ascii="Arial" w:hAnsi="Arial" w:cs="Arial"/>
        </w:rPr>
      </w:pPr>
      <w:r w:rsidRPr="00F9533B">
        <w:rPr>
          <w:rFonts w:ascii="Arial" w:hAnsi="Arial" w:cs="Arial"/>
        </w:rPr>
        <w:t>“To qualify for an Aftercare Allowance at 18 years of age an eligible adult must:</w:t>
      </w:r>
    </w:p>
    <w:p w14:paraId="6740B076" w14:textId="77777777" w:rsidR="00F9533B" w:rsidRPr="00F9533B" w:rsidRDefault="00F9533B" w:rsidP="007040FC">
      <w:pPr>
        <w:numPr>
          <w:ilvl w:val="0"/>
          <w:numId w:val="1"/>
        </w:numPr>
        <w:spacing w:before="100" w:beforeAutospacing="1" w:after="100" w:afterAutospacing="1" w:line="360" w:lineRule="auto"/>
        <w:contextualSpacing/>
        <w:jc w:val="both"/>
        <w:rPr>
          <w:rFonts w:ascii="Arial" w:hAnsi="Arial" w:cs="Arial"/>
        </w:rPr>
      </w:pPr>
      <w:r w:rsidRPr="00F9533B">
        <w:rPr>
          <w:rFonts w:ascii="Arial" w:hAnsi="Arial" w:cs="Arial"/>
        </w:rPr>
        <w:t>Have turned 18 in the care of the Child and Family Agency having spent 12 months in the care of the Agency between the age of 17-18 years</w:t>
      </w:r>
    </w:p>
    <w:p w14:paraId="37BE9B79" w14:textId="77777777" w:rsidR="00F9533B" w:rsidRPr="00F9533B" w:rsidRDefault="00F9533B" w:rsidP="007040FC">
      <w:pPr>
        <w:numPr>
          <w:ilvl w:val="0"/>
          <w:numId w:val="1"/>
        </w:numPr>
        <w:spacing w:before="100" w:beforeAutospacing="1" w:after="100" w:afterAutospacing="1" w:line="360" w:lineRule="auto"/>
        <w:contextualSpacing/>
        <w:jc w:val="both"/>
        <w:rPr>
          <w:rFonts w:ascii="Arial" w:hAnsi="Arial" w:cs="Arial"/>
        </w:rPr>
      </w:pPr>
      <w:r w:rsidRPr="00F9533B">
        <w:rPr>
          <w:rFonts w:ascii="Arial" w:hAnsi="Arial" w:cs="Arial"/>
        </w:rPr>
        <w:t>Be attending an accredited education course, third level course or training programme as outlined in the young adult’s Aftercare Plan.”</w:t>
      </w:r>
      <w:r w:rsidRPr="00F9533B">
        <w:rPr>
          <w:rFonts w:ascii="Arial" w:hAnsi="Arial" w:cs="Arial"/>
          <w:vertAlign w:val="superscript"/>
        </w:rPr>
        <w:footnoteReference w:id="7"/>
      </w:r>
    </w:p>
    <w:p w14:paraId="351A50E2" w14:textId="77777777" w:rsidR="00630D57" w:rsidRDefault="00630D57" w:rsidP="007040FC">
      <w:pPr>
        <w:spacing w:before="100" w:beforeAutospacing="1" w:after="100" w:afterAutospacing="1" w:line="360" w:lineRule="auto"/>
        <w:jc w:val="both"/>
        <w:rPr>
          <w:rFonts w:ascii="Arial" w:hAnsi="Arial" w:cs="Arial"/>
        </w:rPr>
      </w:pPr>
    </w:p>
    <w:p w14:paraId="265F4D6C" w14:textId="3415D9B1" w:rsidR="00F9533B" w:rsidRPr="00F9533B" w:rsidRDefault="00F9533B" w:rsidP="007040FC">
      <w:pPr>
        <w:spacing w:before="100" w:beforeAutospacing="1" w:after="100" w:afterAutospacing="1" w:line="360" w:lineRule="auto"/>
        <w:jc w:val="both"/>
        <w:rPr>
          <w:rFonts w:ascii="Arial" w:hAnsi="Arial" w:cs="Arial"/>
        </w:rPr>
      </w:pPr>
      <w:r w:rsidRPr="00F9533B">
        <w:rPr>
          <w:rFonts w:ascii="Arial" w:hAnsi="Arial" w:cs="Arial"/>
        </w:rPr>
        <w:t xml:space="preserve">The difficulty is not all young people leaving care </w:t>
      </w:r>
      <w:r w:rsidR="007F5CB1">
        <w:rPr>
          <w:rFonts w:ascii="Arial" w:hAnsi="Arial" w:cs="Arial"/>
        </w:rPr>
        <w:t>go</w:t>
      </w:r>
      <w:r w:rsidRPr="00F9533B">
        <w:rPr>
          <w:rFonts w:ascii="Arial" w:hAnsi="Arial" w:cs="Arial"/>
        </w:rPr>
        <w:t xml:space="preserve"> on to further education or entering training</w:t>
      </w:r>
      <w:r w:rsidR="002E24FE">
        <w:rPr>
          <w:rFonts w:ascii="Arial" w:hAnsi="Arial" w:cs="Arial"/>
        </w:rPr>
        <w:t xml:space="preserve"> and therefore</w:t>
      </w:r>
      <w:r w:rsidRPr="00F9533B">
        <w:rPr>
          <w:rFonts w:ascii="Arial" w:hAnsi="Arial" w:cs="Arial"/>
        </w:rPr>
        <w:t xml:space="preserve"> “</w:t>
      </w:r>
      <w:r w:rsidR="002E24FE">
        <w:rPr>
          <w:rFonts w:ascii="Arial" w:hAnsi="Arial" w:cs="Arial"/>
        </w:rPr>
        <w:t>a</w:t>
      </w:r>
      <w:r w:rsidRPr="00F9533B">
        <w:rPr>
          <w:rFonts w:ascii="Arial" w:hAnsi="Arial" w:cs="Arial"/>
        </w:rPr>
        <w:t>ccess to aftercare is therefore not a guaranteed right for young people who have lived in State care”</w:t>
      </w:r>
      <w:r w:rsidRPr="00F9533B">
        <w:rPr>
          <w:rFonts w:ascii="Arial" w:hAnsi="Arial" w:cs="Arial"/>
          <w:vertAlign w:val="superscript"/>
        </w:rPr>
        <w:footnoteReference w:id="8"/>
      </w:r>
      <w:r w:rsidR="00B43DC9">
        <w:rPr>
          <w:rFonts w:ascii="Arial" w:hAnsi="Arial" w:cs="Arial"/>
        </w:rPr>
        <w:t xml:space="preserve"> beyond the age of 21</w:t>
      </w:r>
      <w:r w:rsidR="00AE0886">
        <w:rPr>
          <w:rFonts w:ascii="Arial" w:hAnsi="Arial" w:cs="Arial"/>
        </w:rPr>
        <w:t>.</w:t>
      </w:r>
      <w:r w:rsidRPr="00F9533B">
        <w:rPr>
          <w:rFonts w:ascii="Arial" w:hAnsi="Arial" w:cs="Arial"/>
        </w:rPr>
        <w:t xml:space="preserve"> </w:t>
      </w:r>
    </w:p>
    <w:p w14:paraId="3129E142" w14:textId="454D1E49" w:rsidR="00F9533B" w:rsidRPr="00F9533B" w:rsidRDefault="00F9533B" w:rsidP="007040FC">
      <w:pPr>
        <w:spacing w:before="100" w:beforeAutospacing="1" w:after="100" w:afterAutospacing="1" w:line="360" w:lineRule="auto"/>
        <w:jc w:val="both"/>
        <w:rPr>
          <w:rFonts w:ascii="Arial" w:hAnsi="Arial" w:cs="Arial"/>
        </w:rPr>
      </w:pPr>
      <w:bookmarkStart w:id="3" w:name="_Hlk75790661"/>
      <w:r w:rsidRPr="00F9533B">
        <w:rPr>
          <w:rFonts w:ascii="Arial" w:hAnsi="Arial" w:cs="Arial"/>
        </w:rPr>
        <w:t>Tusla’s latest published figures</w:t>
      </w:r>
      <w:r w:rsidR="00C70BF2">
        <w:rPr>
          <w:rFonts w:ascii="Arial" w:hAnsi="Arial" w:cs="Arial"/>
        </w:rPr>
        <w:t xml:space="preserve"> outline</w:t>
      </w:r>
      <w:r w:rsidRPr="00F9533B">
        <w:rPr>
          <w:rFonts w:ascii="Arial" w:hAnsi="Arial" w:cs="Arial"/>
        </w:rPr>
        <w:t xml:space="preserve"> 2,243</w:t>
      </w:r>
      <w:r w:rsidR="00AE0886">
        <w:rPr>
          <w:rFonts w:ascii="Arial" w:hAnsi="Arial" w:cs="Arial"/>
        </w:rPr>
        <w:t xml:space="preserve"> young people in the 18-22 age group</w:t>
      </w:r>
      <w:r w:rsidRPr="00F9533B">
        <w:rPr>
          <w:rFonts w:ascii="Arial" w:hAnsi="Arial" w:cs="Arial"/>
        </w:rPr>
        <w:t xml:space="preserve"> in receipt of an aftercare service. However, only 1,697 are in education or training.</w:t>
      </w:r>
      <w:r w:rsidRPr="00F9533B">
        <w:rPr>
          <w:rFonts w:ascii="Arial" w:hAnsi="Arial" w:cs="Arial"/>
          <w:vertAlign w:val="superscript"/>
        </w:rPr>
        <w:footnoteReference w:id="9"/>
      </w:r>
      <w:r w:rsidRPr="00F9533B">
        <w:rPr>
          <w:rFonts w:ascii="Arial" w:hAnsi="Arial" w:cs="Arial"/>
        </w:rPr>
        <w:t xml:space="preserve"> This leaves 546 </w:t>
      </w:r>
      <w:r w:rsidR="00302064">
        <w:rPr>
          <w:rFonts w:ascii="Arial" w:hAnsi="Arial" w:cs="Arial"/>
        </w:rPr>
        <w:t>young people</w:t>
      </w:r>
      <w:r w:rsidR="00323FBA">
        <w:rPr>
          <w:rFonts w:ascii="Arial" w:hAnsi="Arial" w:cs="Arial"/>
        </w:rPr>
        <w:t xml:space="preserve"> </w:t>
      </w:r>
      <w:r w:rsidR="00323FBA" w:rsidRPr="00F9533B">
        <w:rPr>
          <w:rFonts w:ascii="Arial" w:hAnsi="Arial" w:cs="Arial"/>
        </w:rPr>
        <w:t>(24%)</w:t>
      </w:r>
      <w:r w:rsidR="00323FBA">
        <w:rPr>
          <w:rFonts w:ascii="Arial" w:hAnsi="Arial" w:cs="Arial"/>
        </w:rPr>
        <w:t xml:space="preserve"> </w:t>
      </w:r>
      <w:r w:rsidRPr="00F9533B">
        <w:rPr>
          <w:rFonts w:ascii="Arial" w:hAnsi="Arial" w:cs="Arial"/>
        </w:rPr>
        <w:t>that are</w:t>
      </w:r>
      <w:r w:rsidR="00302064">
        <w:rPr>
          <w:rFonts w:ascii="Arial" w:hAnsi="Arial" w:cs="Arial"/>
        </w:rPr>
        <w:t xml:space="preserve"> </w:t>
      </w:r>
      <w:r w:rsidRPr="00F9533B">
        <w:rPr>
          <w:rFonts w:ascii="Arial" w:hAnsi="Arial" w:cs="Arial"/>
        </w:rPr>
        <w:t>in receipt of an aftercare service but are not attending an educa</w:t>
      </w:r>
      <w:r w:rsidRPr="00F9533B">
        <w:rPr>
          <w:rFonts w:ascii="Arial" w:hAnsi="Arial" w:cs="Arial"/>
        </w:rPr>
        <w:lastRenderedPageBreak/>
        <w:t xml:space="preserve">tion placement or in training. </w:t>
      </w:r>
      <w:r w:rsidR="00323FBA">
        <w:rPr>
          <w:rFonts w:ascii="Arial" w:hAnsi="Arial" w:cs="Arial"/>
        </w:rPr>
        <w:t xml:space="preserve">As a result, this cohort will not have supports beyond 21 years of age, and for many this will mean only basic employment options and limitations on their future prospects. </w:t>
      </w:r>
    </w:p>
    <w:bookmarkEnd w:id="3"/>
    <w:p w14:paraId="2EB35D38" w14:textId="218B842C" w:rsidR="00F9533B" w:rsidRPr="00630D57" w:rsidRDefault="00C555D4" w:rsidP="00630D57">
      <w:pPr>
        <w:spacing w:before="100" w:beforeAutospacing="1" w:after="100" w:afterAutospacing="1" w:line="360" w:lineRule="auto"/>
        <w:jc w:val="both"/>
        <w:rPr>
          <w:rFonts w:ascii="Arial" w:hAnsi="Arial" w:cs="Arial"/>
          <w:shd w:val="clear" w:color="auto" w:fill="FFFFFF"/>
        </w:rPr>
      </w:pPr>
      <w:r>
        <w:rPr>
          <w:rFonts w:ascii="Arial" w:hAnsi="Arial" w:cs="Arial"/>
          <w:shd w:val="clear" w:color="auto" w:fill="FFFFFF"/>
        </w:rPr>
        <w:t>A</w:t>
      </w:r>
      <w:r w:rsidR="00F9533B" w:rsidRPr="00F9533B">
        <w:rPr>
          <w:rFonts w:ascii="Arial" w:hAnsi="Arial" w:cs="Arial"/>
          <w:shd w:val="clear" w:color="auto" w:fill="FFFFFF"/>
        </w:rPr>
        <w:t xml:space="preserve"> member of EPIC’s </w:t>
      </w:r>
      <w:r>
        <w:rPr>
          <w:rFonts w:ascii="Arial" w:hAnsi="Arial" w:cs="Arial"/>
          <w:shd w:val="clear" w:color="auto" w:fill="FFFFFF"/>
        </w:rPr>
        <w:t>Y</w:t>
      </w:r>
      <w:r w:rsidR="00F9533B" w:rsidRPr="00F9533B">
        <w:rPr>
          <w:rFonts w:ascii="Arial" w:hAnsi="Arial" w:cs="Arial"/>
          <w:shd w:val="clear" w:color="auto" w:fill="FFFFFF"/>
        </w:rPr>
        <w:t xml:space="preserve">outh </w:t>
      </w:r>
      <w:r>
        <w:rPr>
          <w:rFonts w:ascii="Arial" w:hAnsi="Arial" w:cs="Arial"/>
          <w:shd w:val="clear" w:color="auto" w:fill="FFFFFF"/>
        </w:rPr>
        <w:t>C</w:t>
      </w:r>
      <w:r w:rsidR="00F9533B" w:rsidRPr="00F9533B">
        <w:rPr>
          <w:rFonts w:ascii="Arial" w:hAnsi="Arial" w:cs="Arial"/>
          <w:shd w:val="clear" w:color="auto" w:fill="FFFFFF"/>
        </w:rPr>
        <w:t xml:space="preserve">ouncil </w:t>
      </w:r>
      <w:r w:rsidR="001C349C">
        <w:rPr>
          <w:rFonts w:ascii="Arial" w:hAnsi="Arial" w:cs="Arial"/>
          <w:shd w:val="clear" w:color="auto" w:fill="FFFFFF"/>
        </w:rPr>
        <w:t>s</w:t>
      </w:r>
      <w:r w:rsidR="00F9533B" w:rsidRPr="00F9533B">
        <w:rPr>
          <w:rFonts w:ascii="Arial" w:hAnsi="Arial" w:cs="Arial"/>
          <w:shd w:val="clear" w:color="auto" w:fill="FFFFFF"/>
        </w:rPr>
        <w:t xml:space="preserve">poke with </w:t>
      </w:r>
      <w:r w:rsidR="001C349C">
        <w:rPr>
          <w:rFonts w:ascii="Arial" w:hAnsi="Arial" w:cs="Arial"/>
          <w:shd w:val="clear" w:color="auto" w:fill="FFFFFF"/>
        </w:rPr>
        <w:t>the</w:t>
      </w:r>
      <w:r w:rsidR="00F9533B" w:rsidRPr="00F9533B">
        <w:rPr>
          <w:rFonts w:ascii="Arial" w:hAnsi="Arial" w:cs="Arial"/>
          <w:shd w:val="clear" w:color="auto" w:fill="FFFFFF"/>
        </w:rPr>
        <w:t xml:space="preserve"> homeless charity Focus Ireland on the eve of last year’s </w:t>
      </w:r>
      <w:r w:rsidR="00302064">
        <w:rPr>
          <w:rFonts w:ascii="Arial" w:hAnsi="Arial" w:cs="Arial"/>
          <w:shd w:val="clear" w:color="auto" w:fill="FFFFFF"/>
        </w:rPr>
        <w:t>G</w:t>
      </w:r>
      <w:r w:rsidR="00F9533B" w:rsidRPr="00F9533B">
        <w:rPr>
          <w:rFonts w:ascii="Arial" w:hAnsi="Arial" w:cs="Arial"/>
          <w:shd w:val="clear" w:color="auto" w:fill="FFFFFF"/>
        </w:rPr>
        <w:t xml:space="preserve">eneral </w:t>
      </w:r>
      <w:r w:rsidR="00302064">
        <w:rPr>
          <w:rFonts w:ascii="Arial" w:hAnsi="Arial" w:cs="Arial"/>
          <w:shd w:val="clear" w:color="auto" w:fill="FFFFFF"/>
        </w:rPr>
        <w:t>E</w:t>
      </w:r>
      <w:r w:rsidR="00F9533B" w:rsidRPr="00F9533B">
        <w:rPr>
          <w:rFonts w:ascii="Arial" w:hAnsi="Arial" w:cs="Arial"/>
          <w:shd w:val="clear" w:color="auto" w:fill="FFFFFF"/>
        </w:rPr>
        <w:t>lection. He stated that when he</w:t>
      </w:r>
      <w:r w:rsidR="00630D57">
        <w:rPr>
          <w:rFonts w:ascii="Arial" w:hAnsi="Arial" w:cs="Arial"/>
          <w:shd w:val="clear" w:color="auto" w:fill="FFFFFF"/>
        </w:rPr>
        <w:t xml:space="preserve"> </w:t>
      </w:r>
      <w:r w:rsidR="00F9533B" w:rsidRPr="00630D57">
        <w:rPr>
          <w:rFonts w:ascii="Arial" w:hAnsi="Arial" w:cs="Arial"/>
          <w:shd w:val="clear" w:color="auto" w:fill="FFFFFF"/>
        </w:rPr>
        <w:t>“turned 18, that stability ended. I came into the risk of homelessness and</w:t>
      </w:r>
      <w:r w:rsidR="00630D57">
        <w:rPr>
          <w:rFonts w:ascii="Arial" w:hAnsi="Arial" w:cs="Arial"/>
          <w:shd w:val="clear" w:color="auto" w:fill="FFFFFF"/>
        </w:rPr>
        <w:t xml:space="preserve"> </w:t>
      </w:r>
      <w:r w:rsidR="00F9533B" w:rsidRPr="00630D57">
        <w:rPr>
          <w:rFonts w:ascii="Arial" w:hAnsi="Arial" w:cs="Arial"/>
          <w:shd w:val="clear" w:color="auto" w:fill="FFFFFF"/>
        </w:rPr>
        <w:t>insecure housing because it was suddenly deemed, overnight, that I was an adult now and able to support myself independently. I was now an adult that had to learn about renting, learn how to live on my own and to actually</w:t>
      </w:r>
      <w:r w:rsidR="00F9533B" w:rsidRPr="00201573">
        <w:rPr>
          <w:rFonts w:ascii="Arial" w:hAnsi="Arial" w:cs="Arial"/>
          <w:i/>
          <w:iCs/>
          <w:shd w:val="clear" w:color="auto" w:fill="FFFFFF"/>
        </w:rPr>
        <w:t xml:space="preserve"> </w:t>
      </w:r>
      <w:r w:rsidR="00F9533B" w:rsidRPr="00630D57">
        <w:rPr>
          <w:rFonts w:ascii="Arial" w:hAnsi="Arial" w:cs="Arial"/>
          <w:shd w:val="clear" w:color="auto" w:fill="FFFFFF"/>
        </w:rPr>
        <w:t>have a roof over my head. I also had to learn how to cope with loneliness when living on my own</w:t>
      </w:r>
      <w:r w:rsidR="00F9533B" w:rsidRPr="00201573">
        <w:rPr>
          <w:rFonts w:ascii="Arial" w:hAnsi="Arial" w:cs="Arial"/>
          <w:i/>
          <w:iCs/>
          <w:shd w:val="clear" w:color="auto" w:fill="FFFFFF"/>
        </w:rPr>
        <w:t>.”</w:t>
      </w:r>
      <w:r w:rsidR="00F9533B" w:rsidRPr="00201573">
        <w:rPr>
          <w:rFonts w:ascii="Arial" w:hAnsi="Arial" w:cs="Arial"/>
          <w:i/>
          <w:iCs/>
          <w:shd w:val="clear" w:color="auto" w:fill="FFFFFF"/>
          <w:vertAlign w:val="superscript"/>
        </w:rPr>
        <w:footnoteReference w:id="10"/>
      </w:r>
      <w:r w:rsidR="00F9533B" w:rsidRPr="00201573">
        <w:rPr>
          <w:rFonts w:ascii="Arial" w:hAnsi="Arial" w:cs="Arial"/>
          <w:i/>
          <w:iCs/>
          <w:shd w:val="clear" w:color="auto" w:fill="FFFFFF"/>
        </w:rPr>
        <w:t xml:space="preserve"> </w:t>
      </w:r>
    </w:p>
    <w:p w14:paraId="001144A3" w14:textId="53BD7A40" w:rsidR="00A866BA" w:rsidRPr="00A866BA" w:rsidRDefault="00F9533B" w:rsidP="007040FC">
      <w:pPr>
        <w:spacing w:before="100" w:beforeAutospacing="1" w:after="100" w:afterAutospacing="1" w:line="360" w:lineRule="auto"/>
        <w:jc w:val="both"/>
        <w:rPr>
          <w:rFonts w:ascii="Arial" w:hAnsi="Arial" w:cs="Arial"/>
          <w:shd w:val="clear" w:color="auto" w:fill="FFFFFF"/>
        </w:rPr>
      </w:pPr>
      <w:r w:rsidRPr="00F9533B">
        <w:rPr>
          <w:rFonts w:ascii="Arial" w:hAnsi="Arial" w:cs="Arial"/>
          <w:shd w:val="clear" w:color="auto" w:fill="FFFFFF"/>
        </w:rPr>
        <w:lastRenderedPageBreak/>
        <w:t>Many of these issues are common among care leaver in EPIC’s experience and show that aftercare payments and supports need to be expanded to all who leave care.</w:t>
      </w:r>
      <w:r w:rsidR="006A0F78">
        <w:rPr>
          <w:rFonts w:ascii="Arial" w:hAnsi="Arial" w:cs="Arial"/>
          <w:shd w:val="clear" w:color="auto" w:fill="FFFFFF"/>
        </w:rPr>
        <w:t xml:space="preserve"> EPIC is also lobbying to have the </w:t>
      </w:r>
      <w:r w:rsidR="0002705D">
        <w:rPr>
          <w:rFonts w:ascii="Arial" w:hAnsi="Arial" w:cs="Arial"/>
          <w:shd w:val="clear" w:color="auto" w:fill="FFFFFF"/>
        </w:rPr>
        <w:t>age of aftercare supports and services extended to 26, an age more in line with the average age that young people in the general population leave home.</w:t>
      </w:r>
      <w:r w:rsidR="003644A1">
        <w:rPr>
          <w:rStyle w:val="FootnoteReference"/>
          <w:rFonts w:ascii="Arial" w:hAnsi="Arial" w:cs="Arial"/>
          <w:shd w:val="clear" w:color="auto" w:fill="FFFFFF"/>
        </w:rPr>
        <w:footnoteReference w:id="11"/>
      </w:r>
      <w:r w:rsidR="0002705D">
        <w:rPr>
          <w:rFonts w:ascii="Arial" w:hAnsi="Arial" w:cs="Arial"/>
          <w:shd w:val="clear" w:color="auto" w:fill="FFFFFF"/>
        </w:rPr>
        <w:t xml:space="preserve"> </w:t>
      </w:r>
      <w:r w:rsidRPr="00F9533B">
        <w:rPr>
          <w:rFonts w:ascii="Arial" w:hAnsi="Arial" w:cs="Arial"/>
          <w:shd w:val="clear" w:color="auto" w:fill="FFFFFF"/>
        </w:rPr>
        <w:t xml:space="preserve"> </w:t>
      </w:r>
    </w:p>
    <w:p w14:paraId="1AD1C2B1" w14:textId="07C2654D" w:rsidR="00CC026C" w:rsidRPr="00CC026C" w:rsidRDefault="00CC026C" w:rsidP="00CC026C">
      <w:pPr>
        <w:pStyle w:val="ListParagraph"/>
        <w:numPr>
          <w:ilvl w:val="0"/>
          <w:numId w:val="6"/>
        </w:numPr>
        <w:spacing w:line="360" w:lineRule="auto"/>
        <w:jc w:val="both"/>
        <w:rPr>
          <w:rFonts w:ascii="Arial" w:hAnsi="Arial" w:cs="Arial"/>
          <w:b/>
          <w:bCs/>
        </w:rPr>
      </w:pPr>
      <w:r w:rsidRPr="00CC026C">
        <w:rPr>
          <w:rFonts w:ascii="Arial" w:hAnsi="Arial" w:cs="Arial"/>
          <w:b/>
          <w:bCs/>
        </w:rPr>
        <w:t>Educational Outcomes</w:t>
      </w:r>
    </w:p>
    <w:p w14:paraId="7C26D318" w14:textId="58638E26" w:rsidR="00CC026C" w:rsidRPr="00F54F6F" w:rsidRDefault="00CC026C" w:rsidP="00CC026C">
      <w:pPr>
        <w:spacing w:before="100" w:beforeAutospacing="1" w:after="100" w:afterAutospacing="1" w:line="360" w:lineRule="auto"/>
        <w:jc w:val="both"/>
        <w:rPr>
          <w:rFonts w:ascii="Arial" w:hAnsi="Arial" w:cs="Arial"/>
        </w:rPr>
      </w:pPr>
      <w:r>
        <w:rPr>
          <w:rFonts w:ascii="Arial" w:hAnsi="Arial" w:cs="Arial"/>
        </w:rPr>
        <w:t xml:space="preserve">Educational outcomes and training must be prioritised in order to achieve independence for young people leaving care. </w:t>
      </w:r>
      <w:r w:rsidRPr="00653DD7">
        <w:rPr>
          <w:rFonts w:ascii="Arial" w:hAnsi="Arial" w:cs="Arial"/>
        </w:rPr>
        <w:t xml:space="preserve">As a specific cohort, children in care have, on average, some of the lowest levels of educational attainment in comparison to their non-care experienced peers, and their outcomes continue to be a major concern in all the countries in which relevant data is collected.  The implications of this </w:t>
      </w:r>
      <w:r w:rsidRPr="00653DD7">
        <w:rPr>
          <w:rFonts w:ascii="Arial" w:hAnsi="Arial" w:cs="Arial"/>
        </w:rPr>
        <w:lastRenderedPageBreak/>
        <w:t xml:space="preserve">are far reaching and extend beyond education, since the educational outcomes of children and young people with care experience are strongly linked to subsequent employment (Hook &amp; Courtney, 2011), housing (Davison &amp; Burris, 2014), mental and physical health (Dixon, 2008) and offending (Cusick et al. 2012). Under achievement at primary and secondary level means that young people who have been in the care system are significantly less likely to go to on to further and higher education than </w:t>
      </w:r>
      <w:r w:rsidR="00B43DC9">
        <w:rPr>
          <w:rFonts w:ascii="Arial" w:hAnsi="Arial" w:cs="Arial"/>
        </w:rPr>
        <w:t xml:space="preserve">not only their </w:t>
      </w:r>
      <w:r w:rsidRPr="00653DD7">
        <w:rPr>
          <w:rFonts w:ascii="Arial" w:hAnsi="Arial" w:cs="Arial"/>
        </w:rPr>
        <w:t>non-care experienced peers, but also other disadvantaged cohorts of young people.</w:t>
      </w:r>
      <w:r>
        <w:rPr>
          <w:rFonts w:ascii="Arial" w:hAnsi="Arial" w:cs="Arial"/>
        </w:rPr>
        <w:t xml:space="preserve"> </w:t>
      </w:r>
      <w:r w:rsidRPr="00653DD7">
        <w:rPr>
          <w:rFonts w:ascii="Arial" w:hAnsi="Arial" w:cs="Arial"/>
        </w:rPr>
        <w:t>Educational data in Ireland must be improved and published so that essential supports can be put in place.</w:t>
      </w:r>
      <w:r w:rsidRPr="00011D66">
        <w:rPr>
          <w:rFonts w:ascii="Arial" w:hAnsi="Arial" w:cs="Arial"/>
        </w:rPr>
        <w:t xml:space="preserve"> </w:t>
      </w:r>
    </w:p>
    <w:p w14:paraId="7720FAAE" w14:textId="77777777" w:rsidR="00CC026C" w:rsidRDefault="00CC026C" w:rsidP="00CC026C">
      <w:pPr>
        <w:pStyle w:val="ListParagraph"/>
        <w:spacing w:line="360" w:lineRule="auto"/>
        <w:jc w:val="both"/>
        <w:rPr>
          <w:rFonts w:ascii="Arial" w:hAnsi="Arial" w:cs="Arial"/>
          <w:b/>
          <w:bCs/>
        </w:rPr>
      </w:pPr>
    </w:p>
    <w:p w14:paraId="67252996" w14:textId="16C0097F" w:rsidR="00F9533B" w:rsidRPr="004C3BA0" w:rsidRDefault="00F9533B" w:rsidP="00CC026C">
      <w:pPr>
        <w:pStyle w:val="ListParagraph"/>
        <w:numPr>
          <w:ilvl w:val="0"/>
          <w:numId w:val="6"/>
        </w:numPr>
        <w:spacing w:line="360" w:lineRule="auto"/>
        <w:jc w:val="both"/>
        <w:rPr>
          <w:rFonts w:ascii="Arial" w:hAnsi="Arial" w:cs="Arial"/>
          <w:b/>
          <w:bCs/>
        </w:rPr>
      </w:pPr>
      <w:r w:rsidRPr="004C3BA0">
        <w:rPr>
          <w:rFonts w:ascii="Arial" w:hAnsi="Arial" w:cs="Arial"/>
          <w:b/>
          <w:bCs/>
        </w:rPr>
        <w:t>Sibling Access.</w:t>
      </w:r>
    </w:p>
    <w:p w14:paraId="17B95B94" w14:textId="45DD1FB6" w:rsidR="00F9533B" w:rsidRPr="00F9533B" w:rsidRDefault="001659D4" w:rsidP="007040FC">
      <w:pPr>
        <w:spacing w:before="100" w:beforeAutospacing="1" w:after="100" w:afterAutospacing="1" w:line="360" w:lineRule="auto"/>
        <w:jc w:val="both"/>
        <w:rPr>
          <w:rFonts w:ascii="Arial" w:hAnsi="Arial" w:cs="Arial"/>
        </w:rPr>
      </w:pPr>
      <w:r>
        <w:rPr>
          <w:rFonts w:ascii="Arial" w:hAnsi="Arial" w:cs="Arial"/>
        </w:rPr>
        <w:t xml:space="preserve">EPIC calls </w:t>
      </w:r>
      <w:r w:rsidR="001468FD">
        <w:rPr>
          <w:rFonts w:ascii="Arial" w:hAnsi="Arial" w:cs="Arial"/>
        </w:rPr>
        <w:t xml:space="preserve">for greater emphasis and resources </w:t>
      </w:r>
      <w:r w:rsidR="00C555D4">
        <w:rPr>
          <w:rFonts w:ascii="Arial" w:hAnsi="Arial" w:cs="Arial"/>
        </w:rPr>
        <w:t xml:space="preserve">for </w:t>
      </w:r>
      <w:r w:rsidR="001468FD">
        <w:rPr>
          <w:rFonts w:ascii="Arial" w:hAnsi="Arial" w:cs="Arial"/>
        </w:rPr>
        <w:t xml:space="preserve">family access. </w:t>
      </w:r>
      <w:r w:rsidR="00F9533B" w:rsidRPr="00F9533B">
        <w:rPr>
          <w:rFonts w:ascii="Arial" w:hAnsi="Arial" w:cs="Arial"/>
        </w:rPr>
        <w:t>One of the main</w:t>
      </w:r>
      <w:r>
        <w:rPr>
          <w:rFonts w:ascii="Arial" w:hAnsi="Arial" w:cs="Arial"/>
        </w:rPr>
        <w:t xml:space="preserve"> </w:t>
      </w:r>
      <w:r w:rsidR="00F9533B" w:rsidRPr="00F9533B">
        <w:rPr>
          <w:rFonts w:ascii="Arial" w:hAnsi="Arial" w:cs="Arial"/>
        </w:rPr>
        <w:t xml:space="preserve">recurring issues presented to EPIC for advocacy </w:t>
      </w:r>
      <w:r>
        <w:rPr>
          <w:rFonts w:ascii="Arial" w:hAnsi="Arial" w:cs="Arial"/>
        </w:rPr>
        <w:t>over the last number of years</w:t>
      </w:r>
      <w:r w:rsidRPr="00F9533B">
        <w:rPr>
          <w:rFonts w:ascii="Arial" w:hAnsi="Arial" w:cs="Arial"/>
        </w:rPr>
        <w:t xml:space="preserve"> </w:t>
      </w:r>
      <w:r w:rsidR="00F9533B" w:rsidRPr="00F9533B">
        <w:rPr>
          <w:rFonts w:ascii="Arial" w:hAnsi="Arial" w:cs="Arial"/>
        </w:rPr>
        <w:t xml:space="preserve">is family contact and sibling access. In EPIC’s </w:t>
      </w:r>
      <w:r w:rsidR="00F9533B" w:rsidRPr="00F9533B">
        <w:rPr>
          <w:rFonts w:ascii="Arial" w:hAnsi="Arial" w:cs="Arial"/>
        </w:rPr>
        <w:lastRenderedPageBreak/>
        <w:t>last report, family contact was the third highest request for advocacy totalling</w:t>
      </w:r>
      <w:r w:rsidR="00C555D4">
        <w:rPr>
          <w:rFonts w:ascii="Arial" w:hAnsi="Arial" w:cs="Arial"/>
        </w:rPr>
        <w:t xml:space="preserve"> </w:t>
      </w:r>
      <w:r w:rsidR="00F9533B" w:rsidRPr="00F9533B">
        <w:rPr>
          <w:rFonts w:ascii="Arial" w:hAnsi="Arial" w:cs="Arial"/>
        </w:rPr>
        <w:t>11% of referrals.</w:t>
      </w:r>
      <w:r w:rsidR="00F9533B" w:rsidRPr="00F9533B">
        <w:rPr>
          <w:rFonts w:ascii="Arial" w:hAnsi="Arial" w:cs="Arial"/>
          <w:vertAlign w:val="superscript"/>
        </w:rPr>
        <w:footnoteReference w:id="12"/>
      </w:r>
      <w:r w:rsidR="00F9533B" w:rsidRPr="00F9533B">
        <w:rPr>
          <w:rFonts w:ascii="Arial" w:hAnsi="Arial" w:cs="Arial"/>
        </w:rPr>
        <w:t xml:space="preserve"> Unfortunately no research is available regarding sibling access in Ireland. </w:t>
      </w:r>
      <w:r w:rsidR="00630D57">
        <w:rPr>
          <w:rFonts w:ascii="Arial" w:hAnsi="Arial" w:cs="Arial"/>
        </w:rPr>
        <w:t>A</w:t>
      </w:r>
      <w:r w:rsidR="00F9533B" w:rsidRPr="00F9533B">
        <w:rPr>
          <w:rFonts w:ascii="Arial" w:hAnsi="Arial" w:cs="Arial"/>
        </w:rPr>
        <w:t xml:space="preserve"> recent study in Scotland “found very high rates of sibling estrangement with seven in ten relationships between a child in out-of-home care and a sibling classified as estranged and half of all siblings classified as strangers.”</w:t>
      </w:r>
      <w:r w:rsidR="00F9533B" w:rsidRPr="00F9533B">
        <w:rPr>
          <w:rFonts w:ascii="Arial" w:hAnsi="Arial" w:cs="Arial"/>
          <w:vertAlign w:val="superscript"/>
        </w:rPr>
        <w:footnoteReference w:id="13"/>
      </w:r>
      <w:r w:rsidR="00F9533B" w:rsidRPr="00F9533B">
        <w:rPr>
          <w:rFonts w:ascii="Arial" w:hAnsi="Arial" w:cs="Arial"/>
        </w:rPr>
        <w:t xml:space="preserve"> </w:t>
      </w:r>
      <w:r w:rsidR="00B43DC9">
        <w:rPr>
          <w:rFonts w:ascii="Arial" w:hAnsi="Arial" w:cs="Arial"/>
        </w:rPr>
        <w:t>T</w:t>
      </w:r>
      <w:r w:rsidR="00F9533B" w:rsidRPr="00F9533B">
        <w:rPr>
          <w:rFonts w:ascii="Arial" w:hAnsi="Arial" w:cs="Arial"/>
        </w:rPr>
        <w:t>here is no reason to believe that the numbers</w:t>
      </w:r>
      <w:r w:rsidR="00160BD8">
        <w:rPr>
          <w:rFonts w:ascii="Arial" w:hAnsi="Arial" w:cs="Arial"/>
        </w:rPr>
        <w:t xml:space="preserve"> and situation</w:t>
      </w:r>
      <w:r w:rsidR="00F9533B" w:rsidRPr="00F9533B">
        <w:rPr>
          <w:rFonts w:ascii="Arial" w:hAnsi="Arial" w:cs="Arial"/>
        </w:rPr>
        <w:t xml:space="preserve"> in Ireland would be significantly different.</w:t>
      </w:r>
      <w:r w:rsidR="00323FBA">
        <w:rPr>
          <w:rFonts w:ascii="Arial" w:hAnsi="Arial" w:cs="Arial"/>
        </w:rPr>
        <w:t xml:space="preserve"> </w:t>
      </w:r>
    </w:p>
    <w:p w14:paraId="3CFAE873" w14:textId="3A6CE4C1" w:rsidR="00F9533B" w:rsidRPr="00F9533B" w:rsidRDefault="00F9533B" w:rsidP="007040FC">
      <w:pPr>
        <w:spacing w:before="100" w:beforeAutospacing="1" w:after="100" w:afterAutospacing="1" w:line="360" w:lineRule="auto"/>
        <w:jc w:val="both"/>
        <w:rPr>
          <w:rFonts w:ascii="Arial" w:hAnsi="Arial" w:cs="Arial"/>
        </w:rPr>
      </w:pPr>
      <w:r w:rsidRPr="00F9533B">
        <w:rPr>
          <w:rFonts w:ascii="Arial" w:hAnsi="Arial" w:cs="Arial"/>
        </w:rPr>
        <w:t>Most children in the care system emphasise the importance of their sibling relationships.</w:t>
      </w:r>
      <w:r w:rsidRPr="00F9533B">
        <w:rPr>
          <w:rFonts w:ascii="Arial" w:hAnsi="Arial" w:cs="Arial"/>
          <w:vertAlign w:val="superscript"/>
        </w:rPr>
        <w:footnoteReference w:id="14"/>
      </w:r>
      <w:r w:rsidRPr="00F9533B">
        <w:rPr>
          <w:rFonts w:ascii="Arial" w:hAnsi="Arial" w:cs="Arial"/>
        </w:rPr>
        <w:t xml:space="preserve"> Benefits of sibling contact reported by children </w:t>
      </w:r>
      <w:r w:rsidRPr="00F9533B">
        <w:rPr>
          <w:rFonts w:ascii="Arial" w:hAnsi="Arial" w:cs="Arial"/>
        </w:rPr>
        <w:lastRenderedPageBreak/>
        <w:t>and carers include improved family relationships, reassuring a child of a sibling’s welfare</w:t>
      </w:r>
      <w:r w:rsidR="00160BD8">
        <w:rPr>
          <w:rFonts w:ascii="Arial" w:hAnsi="Arial" w:cs="Arial"/>
        </w:rPr>
        <w:t>,</w:t>
      </w:r>
      <w:r w:rsidRPr="00F9533B">
        <w:rPr>
          <w:rFonts w:ascii="Arial" w:hAnsi="Arial" w:cs="Arial"/>
        </w:rPr>
        <w:t xml:space="preserve"> and the promotion of identity and belonging.</w:t>
      </w:r>
      <w:r w:rsidRPr="00F9533B">
        <w:rPr>
          <w:rFonts w:ascii="Arial" w:hAnsi="Arial" w:cs="Arial"/>
          <w:vertAlign w:val="superscript"/>
        </w:rPr>
        <w:footnoteReference w:id="15"/>
      </w:r>
      <w:r w:rsidRPr="00F9533B">
        <w:rPr>
          <w:rFonts w:ascii="Arial" w:hAnsi="Arial" w:cs="Arial"/>
        </w:rPr>
        <w:t xml:space="preserve">  </w:t>
      </w:r>
    </w:p>
    <w:p w14:paraId="00B459A6" w14:textId="40B72492" w:rsidR="00F9533B" w:rsidRPr="00F9533B" w:rsidRDefault="00F9533B" w:rsidP="007040FC">
      <w:pPr>
        <w:spacing w:before="100" w:beforeAutospacing="1" w:after="100" w:afterAutospacing="1" w:line="360" w:lineRule="auto"/>
        <w:jc w:val="both"/>
        <w:rPr>
          <w:rFonts w:ascii="Arial" w:eastAsia="Times New Roman" w:hAnsi="Arial" w:cs="Arial"/>
          <w:b/>
          <w:bCs/>
          <w:lang w:eastAsia="en-IE"/>
        </w:rPr>
      </w:pPr>
      <w:r w:rsidRPr="00F9533B">
        <w:rPr>
          <w:rFonts w:ascii="Arial" w:eastAsia="Times New Roman" w:hAnsi="Arial" w:cs="Arial"/>
          <w:lang w:eastAsia="en-IE"/>
        </w:rPr>
        <w:t xml:space="preserve">Indeed, the </w:t>
      </w:r>
      <w:r w:rsidRPr="00C555D4">
        <w:rPr>
          <w:rFonts w:ascii="Arial" w:eastAsia="Times New Roman" w:hAnsi="Arial" w:cs="Arial"/>
          <w:lang w:eastAsia="en-IE"/>
        </w:rPr>
        <w:t>Commission to Inquire into Child Abuse</w:t>
      </w:r>
      <w:r w:rsidRPr="00F9533B">
        <w:rPr>
          <w:rFonts w:ascii="Arial" w:eastAsia="Times New Roman" w:hAnsi="Arial" w:cs="Arial"/>
          <w:vertAlign w:val="superscript"/>
          <w:lang w:eastAsia="en-IE"/>
        </w:rPr>
        <w:footnoteReference w:id="16"/>
      </w:r>
      <w:r w:rsidRPr="00F9533B">
        <w:rPr>
          <w:rFonts w:ascii="Arial" w:eastAsia="Times New Roman" w:hAnsi="Arial" w:cs="Arial"/>
          <w:lang w:eastAsia="en-IE"/>
        </w:rPr>
        <w:t xml:space="preserve"> made the recommendation to ensure that </w:t>
      </w:r>
      <w:r w:rsidRPr="00F9533B">
        <w:rPr>
          <w:rFonts w:ascii="Arial" w:eastAsia="Times New Roman" w:hAnsi="Arial" w:cs="Arial"/>
          <w:b/>
          <w:bCs/>
          <w:lang w:eastAsia="en-IE"/>
        </w:rPr>
        <w:t>“</w:t>
      </w:r>
      <w:r w:rsidRPr="00F9533B">
        <w:rPr>
          <w:rFonts w:ascii="Arial" w:eastAsia="Times New Roman" w:hAnsi="Arial" w:cs="Arial"/>
          <w:lang w:eastAsia="en-IE"/>
        </w:rPr>
        <w:t>Children in care should not, save in exceptional circumstances, be cut off from their families. Priority should be given to supporting ongoing contact with family members for the benefit of the child.”</w:t>
      </w:r>
      <w:r w:rsidRPr="00F9533B">
        <w:rPr>
          <w:rFonts w:ascii="Arial" w:eastAsia="Times New Roman" w:hAnsi="Arial" w:cs="Arial"/>
          <w:vertAlign w:val="superscript"/>
          <w:lang w:eastAsia="en-IE"/>
        </w:rPr>
        <w:footnoteReference w:id="17"/>
      </w:r>
      <w:r w:rsidRPr="00F9533B">
        <w:rPr>
          <w:rFonts w:ascii="Arial" w:eastAsia="Times New Roman" w:hAnsi="Arial" w:cs="Arial"/>
          <w:lang w:eastAsia="en-IE"/>
        </w:rPr>
        <w:t xml:space="preserve"> This was an important recommendation as part of this report examined the </w:t>
      </w:r>
      <w:r w:rsidR="004709A8" w:rsidRPr="00F9533B">
        <w:rPr>
          <w:rFonts w:ascii="Arial" w:eastAsia="Times New Roman" w:hAnsi="Arial" w:cs="Arial"/>
          <w:lang w:eastAsia="en-IE"/>
        </w:rPr>
        <w:t>loss</w:t>
      </w:r>
      <w:r w:rsidRPr="00F9533B">
        <w:rPr>
          <w:rFonts w:ascii="Arial" w:eastAsia="Times New Roman" w:hAnsi="Arial" w:cs="Arial"/>
          <w:lang w:eastAsia="en-IE"/>
        </w:rPr>
        <w:t xml:space="preserve"> of family contact and the impact that this had on children and as adults in later life. </w:t>
      </w:r>
    </w:p>
    <w:p w14:paraId="2543F071" w14:textId="4F166D5F" w:rsidR="00F9533B" w:rsidRPr="00774F48" w:rsidRDefault="00F9533B" w:rsidP="007040FC">
      <w:pPr>
        <w:spacing w:before="100" w:beforeAutospacing="1" w:after="100" w:afterAutospacing="1" w:line="360" w:lineRule="auto"/>
        <w:jc w:val="both"/>
        <w:rPr>
          <w:rFonts w:ascii="Arial" w:hAnsi="Arial" w:cs="Arial"/>
          <w:color w:val="000000" w:themeColor="text1"/>
        </w:rPr>
      </w:pPr>
      <w:r w:rsidRPr="00F9533B">
        <w:rPr>
          <w:rFonts w:ascii="Arial" w:hAnsi="Arial" w:cs="Arial"/>
        </w:rPr>
        <w:lastRenderedPageBreak/>
        <w:t>Research into the area of sibling access must be a priority for</w:t>
      </w:r>
      <w:r w:rsidR="00215FA9">
        <w:rPr>
          <w:rFonts w:ascii="Arial" w:hAnsi="Arial" w:cs="Arial"/>
        </w:rPr>
        <w:t xml:space="preserve"> </w:t>
      </w:r>
      <w:r w:rsidR="00C555D4">
        <w:rPr>
          <w:rFonts w:ascii="Arial" w:hAnsi="Arial" w:cs="Arial"/>
        </w:rPr>
        <w:t>Tusla</w:t>
      </w:r>
      <w:r w:rsidR="00B43DC9">
        <w:rPr>
          <w:rStyle w:val="FootnoteReference"/>
          <w:rFonts w:ascii="Arial" w:hAnsi="Arial" w:cs="Arial"/>
        </w:rPr>
        <w:footnoteReference w:id="18"/>
      </w:r>
      <w:r w:rsidR="00215FA9">
        <w:rPr>
          <w:rFonts w:ascii="Arial" w:hAnsi="Arial" w:cs="Arial"/>
        </w:rPr>
        <w:t xml:space="preserve"> </w:t>
      </w:r>
      <w:r w:rsidRPr="00F9533B">
        <w:rPr>
          <w:rFonts w:ascii="Arial" w:hAnsi="Arial" w:cs="Arial"/>
        </w:rPr>
        <w:t xml:space="preserve">and action to ensure that siblings </w:t>
      </w:r>
      <w:r w:rsidRPr="00774F48">
        <w:rPr>
          <w:rFonts w:ascii="Arial" w:hAnsi="Arial" w:cs="Arial"/>
          <w:color w:val="000000" w:themeColor="text1"/>
        </w:rPr>
        <w:t>have consistent and positive experiences of their time together must be undertaken.</w:t>
      </w:r>
    </w:p>
    <w:p w14:paraId="1B4BB708" w14:textId="2B3AAF79" w:rsidR="00670054" w:rsidRPr="00774F48" w:rsidRDefault="00630D57" w:rsidP="007040FC">
      <w:pPr>
        <w:spacing w:before="100" w:beforeAutospacing="1" w:after="100" w:afterAutospacing="1" w:line="360" w:lineRule="auto"/>
        <w:jc w:val="both"/>
        <w:rPr>
          <w:rFonts w:ascii="Arial" w:hAnsi="Arial" w:cs="Arial"/>
          <w:color w:val="000000" w:themeColor="text1"/>
        </w:rPr>
      </w:pPr>
      <w:r w:rsidRPr="00774F48">
        <w:rPr>
          <w:rFonts w:ascii="Arial" w:hAnsi="Arial" w:cs="Arial"/>
          <w:color w:val="000000" w:themeColor="text1"/>
        </w:rPr>
        <w:t>The</w:t>
      </w:r>
      <w:r w:rsidR="00A866BA" w:rsidRPr="00774F48">
        <w:rPr>
          <w:rFonts w:ascii="Arial" w:hAnsi="Arial" w:cs="Arial"/>
          <w:color w:val="000000" w:themeColor="text1"/>
        </w:rPr>
        <w:t xml:space="preserve"> recommendations from the General Assembly are clear </w:t>
      </w:r>
      <w:r w:rsidR="007C01E9" w:rsidRPr="00774F48">
        <w:rPr>
          <w:rFonts w:ascii="Arial" w:hAnsi="Arial" w:cs="Arial"/>
          <w:color w:val="000000" w:themeColor="text1"/>
        </w:rPr>
        <w:t>in relation to sibling access</w:t>
      </w:r>
      <w:r w:rsidR="00160BD8">
        <w:rPr>
          <w:rFonts w:ascii="Arial" w:hAnsi="Arial" w:cs="Arial"/>
          <w:color w:val="000000" w:themeColor="text1"/>
        </w:rPr>
        <w:t>, and this should be reiterated</w:t>
      </w:r>
      <w:r w:rsidR="007C01E9" w:rsidRPr="00774F48">
        <w:rPr>
          <w:rFonts w:ascii="Arial" w:hAnsi="Arial" w:cs="Arial"/>
          <w:color w:val="000000" w:themeColor="text1"/>
        </w:rPr>
        <w:t>.</w:t>
      </w:r>
      <w:r w:rsidR="003551BB" w:rsidRPr="00774F48">
        <w:rPr>
          <w:rStyle w:val="FootnoteReference"/>
          <w:rFonts w:ascii="Arial" w:hAnsi="Arial" w:cs="Arial"/>
          <w:color w:val="000000" w:themeColor="text1"/>
        </w:rPr>
        <w:footnoteReference w:id="19"/>
      </w:r>
      <w:r w:rsidR="007C01E9" w:rsidRPr="00774F48">
        <w:rPr>
          <w:rFonts w:ascii="Arial" w:hAnsi="Arial" w:cs="Arial"/>
          <w:color w:val="000000" w:themeColor="text1"/>
        </w:rPr>
        <w:t xml:space="preserve"> </w:t>
      </w:r>
      <w:r w:rsidR="00A866BA" w:rsidRPr="00774F48">
        <w:rPr>
          <w:rFonts w:ascii="Arial" w:hAnsi="Arial" w:cs="Arial"/>
          <w:color w:val="000000" w:themeColor="text1"/>
        </w:rPr>
        <w:t xml:space="preserve"> </w:t>
      </w:r>
    </w:p>
    <w:p w14:paraId="3A6BF448" w14:textId="75FBB7CF" w:rsidR="00F9533B" w:rsidRPr="004C3BA0" w:rsidRDefault="00F9533B" w:rsidP="00CC026C">
      <w:pPr>
        <w:pStyle w:val="ListParagraph"/>
        <w:numPr>
          <w:ilvl w:val="0"/>
          <w:numId w:val="6"/>
        </w:numPr>
        <w:spacing w:line="360" w:lineRule="auto"/>
        <w:jc w:val="both"/>
        <w:rPr>
          <w:rFonts w:ascii="Arial" w:hAnsi="Arial" w:cs="Arial"/>
          <w:b/>
          <w:bCs/>
        </w:rPr>
      </w:pPr>
      <w:r w:rsidRPr="004C3BA0">
        <w:rPr>
          <w:rFonts w:ascii="Arial" w:hAnsi="Arial" w:cs="Arial"/>
          <w:b/>
          <w:bCs/>
        </w:rPr>
        <w:t>Privatisation of Care.</w:t>
      </w:r>
    </w:p>
    <w:p w14:paraId="5A874C74" w14:textId="7591FDBC" w:rsidR="00F9533B" w:rsidRPr="00F9533B" w:rsidRDefault="001D12EF" w:rsidP="007040FC">
      <w:pPr>
        <w:spacing w:before="100" w:beforeAutospacing="1" w:after="100" w:afterAutospacing="1" w:line="360" w:lineRule="auto"/>
        <w:jc w:val="both"/>
        <w:rPr>
          <w:rFonts w:ascii="Arial" w:hAnsi="Arial" w:cs="Arial"/>
        </w:rPr>
      </w:pPr>
      <w:r>
        <w:rPr>
          <w:rFonts w:ascii="Arial" w:hAnsi="Arial" w:cs="Arial"/>
        </w:rPr>
        <w:t>The increase in privat</w:t>
      </w:r>
      <w:r w:rsidR="003363DF">
        <w:rPr>
          <w:rFonts w:ascii="Arial" w:hAnsi="Arial" w:cs="Arial"/>
        </w:rPr>
        <w:t xml:space="preserve">isation of care </w:t>
      </w:r>
      <w:r w:rsidR="00630D57">
        <w:rPr>
          <w:rFonts w:ascii="Arial" w:hAnsi="Arial" w:cs="Arial"/>
        </w:rPr>
        <w:t>in Ireland needs</w:t>
      </w:r>
      <w:r w:rsidR="003363DF">
        <w:rPr>
          <w:rFonts w:ascii="Arial" w:hAnsi="Arial" w:cs="Arial"/>
        </w:rPr>
        <w:t xml:space="preserve"> </w:t>
      </w:r>
      <w:r w:rsidR="00B43DC9">
        <w:rPr>
          <w:rFonts w:ascii="Arial" w:hAnsi="Arial" w:cs="Arial"/>
        </w:rPr>
        <w:t xml:space="preserve">to be </w:t>
      </w:r>
      <w:r w:rsidR="003363DF">
        <w:rPr>
          <w:rFonts w:ascii="Arial" w:hAnsi="Arial" w:cs="Arial"/>
        </w:rPr>
        <w:t>examin</w:t>
      </w:r>
      <w:r w:rsidR="00B43DC9">
        <w:rPr>
          <w:rFonts w:ascii="Arial" w:hAnsi="Arial" w:cs="Arial"/>
        </w:rPr>
        <w:t>ed</w:t>
      </w:r>
      <w:r w:rsidR="003363DF">
        <w:rPr>
          <w:rFonts w:ascii="Arial" w:hAnsi="Arial" w:cs="Arial"/>
        </w:rPr>
        <w:t xml:space="preserve">. </w:t>
      </w:r>
      <w:r w:rsidR="00F9533B" w:rsidRPr="00F9533B">
        <w:rPr>
          <w:rFonts w:ascii="Arial" w:hAnsi="Arial" w:cs="Arial"/>
        </w:rPr>
        <w:t>The number of children in care placements provided by private providers has risen by over 75% in the last 7 years. Tusla</w:t>
      </w:r>
      <w:r w:rsidR="00774F48">
        <w:rPr>
          <w:rFonts w:ascii="Arial" w:hAnsi="Arial" w:cs="Arial"/>
        </w:rPr>
        <w:t xml:space="preserve">’s </w:t>
      </w:r>
      <w:r w:rsidR="00F9533B" w:rsidRPr="00F9533B">
        <w:rPr>
          <w:rFonts w:ascii="Arial" w:hAnsi="Arial" w:cs="Arial"/>
        </w:rPr>
        <w:t xml:space="preserve">first recorded </w:t>
      </w:r>
      <w:r w:rsidR="00F9533B" w:rsidRPr="00F9533B">
        <w:rPr>
          <w:rFonts w:ascii="Arial" w:hAnsi="Arial" w:cs="Arial"/>
        </w:rPr>
        <w:lastRenderedPageBreak/>
        <w:t>figures</w:t>
      </w:r>
      <w:r w:rsidR="00774F48">
        <w:rPr>
          <w:rFonts w:ascii="Arial" w:hAnsi="Arial" w:cs="Arial"/>
        </w:rPr>
        <w:t xml:space="preserve"> from</w:t>
      </w:r>
      <w:r w:rsidR="00F9533B" w:rsidRPr="00F9533B">
        <w:rPr>
          <w:rFonts w:ascii="Arial" w:hAnsi="Arial" w:cs="Arial"/>
        </w:rPr>
        <w:t xml:space="preserve"> March 2014 stated that 417 children were in private placements.</w:t>
      </w:r>
      <w:r w:rsidR="00F9533B" w:rsidRPr="00F9533B">
        <w:rPr>
          <w:rFonts w:ascii="Arial" w:hAnsi="Arial" w:cs="Arial"/>
          <w:vertAlign w:val="superscript"/>
        </w:rPr>
        <w:footnoteReference w:id="20"/>
      </w:r>
      <w:r w:rsidR="00F9533B" w:rsidRPr="00F9533B">
        <w:rPr>
          <w:rFonts w:ascii="Arial" w:hAnsi="Arial" w:cs="Arial"/>
        </w:rPr>
        <w:t xml:space="preserve"> The number</w:t>
      </w:r>
      <w:r w:rsidR="00C555D4">
        <w:rPr>
          <w:rFonts w:ascii="Arial" w:hAnsi="Arial" w:cs="Arial"/>
        </w:rPr>
        <w:t xml:space="preserve"> </w:t>
      </w:r>
      <w:r w:rsidR="00774F48">
        <w:rPr>
          <w:rFonts w:ascii="Arial" w:hAnsi="Arial" w:cs="Arial"/>
        </w:rPr>
        <w:t>by</w:t>
      </w:r>
      <w:r w:rsidR="00F9533B" w:rsidRPr="00F9533B">
        <w:rPr>
          <w:rFonts w:ascii="Arial" w:hAnsi="Arial" w:cs="Arial"/>
        </w:rPr>
        <w:t xml:space="preserve"> December 2020 </w:t>
      </w:r>
      <w:r w:rsidR="00774F48">
        <w:rPr>
          <w:rFonts w:ascii="Arial" w:hAnsi="Arial" w:cs="Arial"/>
        </w:rPr>
        <w:t>wa</w:t>
      </w:r>
      <w:r w:rsidR="00F9533B" w:rsidRPr="00F9533B">
        <w:rPr>
          <w:rFonts w:ascii="Arial" w:hAnsi="Arial" w:cs="Arial"/>
        </w:rPr>
        <w:t>s 729.</w:t>
      </w:r>
      <w:r w:rsidR="00F9533B" w:rsidRPr="00F9533B">
        <w:rPr>
          <w:rFonts w:ascii="Arial" w:hAnsi="Arial" w:cs="Arial"/>
          <w:vertAlign w:val="superscript"/>
        </w:rPr>
        <w:footnoteReference w:id="21"/>
      </w:r>
      <w:r w:rsidR="00F9533B" w:rsidRPr="00F9533B">
        <w:rPr>
          <w:rFonts w:ascii="Arial" w:hAnsi="Arial" w:cs="Arial"/>
        </w:rPr>
        <w:t xml:space="preserve"> In 2014 a total of 6,504 children were in care</w:t>
      </w:r>
      <w:r w:rsidR="00630D57">
        <w:rPr>
          <w:rFonts w:ascii="Arial" w:hAnsi="Arial" w:cs="Arial"/>
        </w:rPr>
        <w:t>,</w:t>
      </w:r>
      <w:r w:rsidR="00F9533B" w:rsidRPr="00F9533B">
        <w:rPr>
          <w:rFonts w:ascii="Arial" w:hAnsi="Arial" w:cs="Arial"/>
          <w:vertAlign w:val="superscript"/>
        </w:rPr>
        <w:footnoteReference w:id="22"/>
      </w:r>
      <w:r w:rsidR="00F9533B" w:rsidRPr="00F9533B">
        <w:rPr>
          <w:rFonts w:ascii="Arial" w:hAnsi="Arial" w:cs="Arial"/>
        </w:rPr>
        <w:t xml:space="preserve"> 6%</w:t>
      </w:r>
      <w:r w:rsidR="00504CDD">
        <w:rPr>
          <w:rFonts w:ascii="Arial" w:hAnsi="Arial" w:cs="Arial"/>
        </w:rPr>
        <w:t xml:space="preserve"> were </w:t>
      </w:r>
      <w:r w:rsidR="00F9533B" w:rsidRPr="00F9533B">
        <w:rPr>
          <w:rFonts w:ascii="Arial" w:hAnsi="Arial" w:cs="Arial"/>
        </w:rPr>
        <w:t>in private placements. In 2020 5,882 children were in care</w:t>
      </w:r>
      <w:r w:rsidR="00630D57">
        <w:rPr>
          <w:rFonts w:ascii="Arial" w:hAnsi="Arial" w:cs="Arial"/>
        </w:rPr>
        <w:t xml:space="preserve">, </w:t>
      </w:r>
      <w:r w:rsidR="00774F48">
        <w:rPr>
          <w:rFonts w:ascii="Arial" w:hAnsi="Arial" w:cs="Arial"/>
        </w:rPr>
        <w:t xml:space="preserve">and </w:t>
      </w:r>
      <w:r w:rsidR="00F9533B" w:rsidRPr="00F9533B">
        <w:rPr>
          <w:rFonts w:ascii="Arial" w:hAnsi="Arial" w:cs="Arial"/>
        </w:rPr>
        <w:t>those in private care had doubled to 12%.</w:t>
      </w:r>
      <w:r w:rsidR="00F9533B" w:rsidRPr="00F9533B">
        <w:rPr>
          <w:rFonts w:ascii="Arial" w:hAnsi="Arial" w:cs="Arial"/>
          <w:vertAlign w:val="superscript"/>
        </w:rPr>
        <w:footnoteReference w:id="23"/>
      </w:r>
      <w:r w:rsidR="00F9533B" w:rsidRPr="00F9533B">
        <w:rPr>
          <w:rFonts w:ascii="Arial" w:hAnsi="Arial" w:cs="Arial"/>
        </w:rPr>
        <w:t xml:space="preserve"> </w:t>
      </w:r>
    </w:p>
    <w:p w14:paraId="1DD36385" w14:textId="2AF69DB6" w:rsidR="00F9533B" w:rsidRPr="00F9533B" w:rsidRDefault="00F9533B" w:rsidP="007040FC">
      <w:pPr>
        <w:spacing w:before="100" w:beforeAutospacing="1" w:after="100" w:afterAutospacing="1" w:line="360" w:lineRule="auto"/>
        <w:jc w:val="both"/>
        <w:rPr>
          <w:rFonts w:ascii="Arial" w:eastAsia="Times New Roman" w:hAnsi="Arial" w:cs="Arial"/>
          <w:lang w:eastAsia="en-IE"/>
        </w:rPr>
      </w:pPr>
      <w:r w:rsidRPr="00F9533B">
        <w:rPr>
          <w:rFonts w:ascii="Arial" w:eastAsia="Times New Roman" w:hAnsi="Arial" w:cs="Arial"/>
          <w:lang w:eastAsia="en-IE"/>
        </w:rPr>
        <w:t>An Irish TD</w:t>
      </w:r>
      <w:r w:rsidR="000A2F9C">
        <w:rPr>
          <w:rStyle w:val="FootnoteReference"/>
          <w:rFonts w:ascii="Arial" w:eastAsia="Times New Roman" w:hAnsi="Arial" w:cs="Arial"/>
          <w:lang w:eastAsia="en-IE"/>
        </w:rPr>
        <w:footnoteReference w:id="24"/>
      </w:r>
      <w:r w:rsidR="000A2F9C">
        <w:rPr>
          <w:rFonts w:ascii="Arial" w:eastAsia="Times New Roman" w:hAnsi="Arial" w:cs="Arial"/>
          <w:lang w:eastAsia="en-IE"/>
        </w:rPr>
        <w:t xml:space="preserve"> i</w:t>
      </w:r>
      <w:r w:rsidRPr="00F9533B">
        <w:rPr>
          <w:rFonts w:ascii="Arial" w:eastAsia="Times New Roman" w:hAnsi="Arial" w:cs="Arial"/>
          <w:lang w:eastAsia="en-IE"/>
        </w:rPr>
        <w:t xml:space="preserve">n an opinion piece to an online news platform expressed concerns when he acknowledged that </w:t>
      </w:r>
      <w:r w:rsidR="000A2F9C">
        <w:rPr>
          <w:rFonts w:ascii="Arial" w:eastAsia="Times New Roman" w:hAnsi="Arial" w:cs="Arial"/>
          <w:lang w:eastAsia="en-IE"/>
        </w:rPr>
        <w:t>“</w:t>
      </w:r>
      <w:r w:rsidRPr="00F9533B">
        <w:rPr>
          <w:rFonts w:ascii="Arial" w:eastAsia="Times New Roman" w:hAnsi="Arial" w:cs="Arial"/>
          <w:lang w:eastAsia="en-IE"/>
        </w:rPr>
        <w:t>private companies recruit and support their own foster carers and charge Tusla to place children in care in one of the agency’s families.</w:t>
      </w:r>
      <w:r w:rsidR="00504CDD">
        <w:rPr>
          <w:rFonts w:ascii="Arial" w:eastAsia="Times New Roman" w:hAnsi="Arial" w:cs="Arial"/>
          <w:lang w:eastAsia="en-IE"/>
        </w:rPr>
        <w:t xml:space="preserve"> </w:t>
      </w:r>
      <w:r w:rsidRPr="00F9533B">
        <w:rPr>
          <w:rFonts w:ascii="Arial" w:eastAsia="Times New Roman" w:hAnsi="Arial" w:cs="Arial"/>
          <w:lang w:eastAsia="en-IE"/>
        </w:rPr>
        <w:t xml:space="preserve">While these companies plug a </w:t>
      </w:r>
      <w:r w:rsidRPr="00F9533B">
        <w:rPr>
          <w:rFonts w:ascii="Arial" w:eastAsia="Times New Roman" w:hAnsi="Arial" w:cs="Arial"/>
          <w:lang w:eastAsia="en-IE"/>
        </w:rPr>
        <w:lastRenderedPageBreak/>
        <w:t>gap in services, a gap that can leave children at risk, ultimately they lead to negative outcomes across the system.”</w:t>
      </w:r>
      <w:r w:rsidRPr="00F9533B">
        <w:rPr>
          <w:rFonts w:ascii="Arial" w:eastAsia="Times New Roman" w:hAnsi="Arial" w:cs="Arial"/>
          <w:vertAlign w:val="superscript"/>
          <w:lang w:eastAsia="en-IE"/>
        </w:rPr>
        <w:footnoteReference w:id="25"/>
      </w:r>
    </w:p>
    <w:p w14:paraId="519DB497" w14:textId="20F5FE57" w:rsidR="00F9533B" w:rsidRPr="00F9533B" w:rsidRDefault="00F9533B" w:rsidP="007040FC">
      <w:pPr>
        <w:spacing w:after="0" w:line="360" w:lineRule="auto"/>
        <w:jc w:val="both"/>
        <w:rPr>
          <w:rFonts w:ascii="Arial" w:hAnsi="Arial" w:cs="Arial"/>
        </w:rPr>
      </w:pPr>
      <w:r w:rsidRPr="00F9533B">
        <w:rPr>
          <w:rFonts w:ascii="Arial" w:hAnsi="Arial" w:cs="Arial"/>
        </w:rPr>
        <w:t>A total</w:t>
      </w:r>
      <w:r w:rsidR="000A2F9C">
        <w:rPr>
          <w:rStyle w:val="FootnoteReference"/>
          <w:rFonts w:ascii="Arial" w:hAnsi="Arial" w:cs="Arial"/>
        </w:rPr>
        <w:footnoteReference w:id="26"/>
      </w:r>
      <w:r w:rsidR="000A2F9C">
        <w:rPr>
          <w:rFonts w:ascii="Arial" w:hAnsi="Arial" w:cs="Arial"/>
        </w:rPr>
        <w:t xml:space="preserve"> </w:t>
      </w:r>
      <w:r w:rsidRPr="00F9533B">
        <w:rPr>
          <w:rFonts w:ascii="Arial" w:hAnsi="Arial" w:cs="Arial"/>
        </w:rPr>
        <w:t>of €192,962,018</w:t>
      </w:r>
      <w:r w:rsidRPr="00F9533B">
        <w:rPr>
          <w:rFonts w:ascii="Arial" w:hAnsi="Arial" w:cs="Arial"/>
          <w:vertAlign w:val="superscript"/>
        </w:rPr>
        <w:footnoteReference w:id="27"/>
      </w:r>
      <w:r w:rsidRPr="00F9533B">
        <w:rPr>
          <w:rFonts w:ascii="Arial" w:hAnsi="Arial" w:cs="Arial"/>
        </w:rPr>
        <w:t xml:space="preserve"> was spent on residential care in 2019</w:t>
      </w:r>
      <w:r w:rsidR="00160BD8">
        <w:rPr>
          <w:rFonts w:ascii="Arial" w:hAnsi="Arial" w:cs="Arial"/>
        </w:rPr>
        <w:t>, and o</w:t>
      </w:r>
      <w:r w:rsidRPr="00F9533B">
        <w:rPr>
          <w:rFonts w:ascii="Arial" w:hAnsi="Arial" w:cs="Arial"/>
        </w:rPr>
        <w:t>f that total €109,559,728</w:t>
      </w:r>
      <w:r w:rsidRPr="00F9533B">
        <w:rPr>
          <w:rFonts w:ascii="Arial" w:hAnsi="Arial" w:cs="Arial"/>
          <w:vertAlign w:val="superscript"/>
        </w:rPr>
        <w:footnoteReference w:id="28"/>
      </w:r>
      <w:r w:rsidRPr="00F9533B">
        <w:rPr>
          <w:rFonts w:ascii="Arial" w:hAnsi="Arial" w:cs="Arial"/>
        </w:rPr>
        <w:t xml:space="preserve"> or 57% of the total spend </w:t>
      </w:r>
      <w:r w:rsidR="00160BD8">
        <w:rPr>
          <w:rFonts w:ascii="Arial" w:hAnsi="Arial" w:cs="Arial"/>
        </w:rPr>
        <w:t xml:space="preserve">was </w:t>
      </w:r>
      <w:r w:rsidRPr="00F9533B">
        <w:rPr>
          <w:rFonts w:ascii="Arial" w:hAnsi="Arial" w:cs="Arial"/>
        </w:rPr>
        <w:t xml:space="preserve">on private residential services. </w:t>
      </w:r>
    </w:p>
    <w:p w14:paraId="3B2345D7" w14:textId="7AF890A6" w:rsidR="00670054" w:rsidRPr="00F9533B" w:rsidRDefault="00F9533B" w:rsidP="007040FC">
      <w:pPr>
        <w:spacing w:before="100" w:beforeAutospacing="1" w:after="100" w:afterAutospacing="1" w:line="360" w:lineRule="auto"/>
        <w:jc w:val="both"/>
        <w:rPr>
          <w:rFonts w:ascii="Arial" w:hAnsi="Arial" w:cs="Arial"/>
        </w:rPr>
      </w:pPr>
      <w:r w:rsidRPr="00F9533B">
        <w:rPr>
          <w:rFonts w:ascii="Arial" w:hAnsi="Arial" w:cs="Arial"/>
        </w:rPr>
        <w:t xml:space="preserve">The rate of increase for private residential services over the four -year period 2016-2019 </w:t>
      </w:r>
      <w:r w:rsidR="00083787">
        <w:rPr>
          <w:rFonts w:ascii="Arial" w:hAnsi="Arial" w:cs="Arial"/>
        </w:rPr>
        <w:t>wa</w:t>
      </w:r>
      <w:r w:rsidRPr="00F9533B">
        <w:rPr>
          <w:rFonts w:ascii="Arial" w:hAnsi="Arial" w:cs="Arial"/>
        </w:rPr>
        <w:t>s 87%.</w:t>
      </w:r>
      <w:r w:rsidRPr="00F9533B">
        <w:rPr>
          <w:rFonts w:ascii="Arial" w:hAnsi="Arial" w:cs="Arial"/>
          <w:vertAlign w:val="superscript"/>
        </w:rPr>
        <w:footnoteReference w:id="29"/>
      </w:r>
      <w:r w:rsidRPr="00F9533B">
        <w:rPr>
          <w:rFonts w:ascii="Arial" w:hAnsi="Arial" w:cs="Arial"/>
        </w:rPr>
        <w:t xml:space="preserve"> Tusla ha</w:t>
      </w:r>
      <w:r w:rsidR="000A2F9C">
        <w:rPr>
          <w:rFonts w:ascii="Arial" w:hAnsi="Arial" w:cs="Arial"/>
        </w:rPr>
        <w:t>s</w:t>
      </w:r>
      <w:r w:rsidRPr="00F9533B">
        <w:rPr>
          <w:rFonts w:ascii="Arial" w:hAnsi="Arial" w:cs="Arial"/>
        </w:rPr>
        <w:t xml:space="preserve"> stated that the “basic private </w:t>
      </w:r>
      <w:r w:rsidR="00083787">
        <w:rPr>
          <w:rFonts w:ascii="Arial" w:hAnsi="Arial" w:cs="Arial"/>
        </w:rPr>
        <w:t>‘</w:t>
      </w:r>
      <w:r w:rsidRPr="00F9533B">
        <w:rPr>
          <w:rFonts w:ascii="Arial" w:hAnsi="Arial" w:cs="Arial"/>
        </w:rPr>
        <w:t>mainstream</w:t>
      </w:r>
      <w:r w:rsidR="00083787">
        <w:rPr>
          <w:rFonts w:ascii="Arial" w:hAnsi="Arial" w:cs="Arial"/>
        </w:rPr>
        <w:t>’</w:t>
      </w:r>
      <w:r w:rsidRPr="00F9533B">
        <w:rPr>
          <w:rFonts w:ascii="Arial" w:hAnsi="Arial" w:cs="Arial"/>
        </w:rPr>
        <w:t xml:space="preserve"> placement rate increased from €5,000 to €6,000 per week. Dual </w:t>
      </w:r>
      <w:r w:rsidR="000A2F9C">
        <w:rPr>
          <w:rFonts w:ascii="Arial" w:hAnsi="Arial" w:cs="Arial"/>
        </w:rPr>
        <w:t>o</w:t>
      </w:r>
      <w:r w:rsidRPr="00F9533B">
        <w:rPr>
          <w:rFonts w:ascii="Arial" w:hAnsi="Arial" w:cs="Arial"/>
        </w:rPr>
        <w:t xml:space="preserve">ccupancies were set at €8,500 and </w:t>
      </w:r>
      <w:r w:rsidR="000A2F9C">
        <w:rPr>
          <w:rFonts w:ascii="Arial" w:hAnsi="Arial" w:cs="Arial"/>
        </w:rPr>
        <w:t>s</w:t>
      </w:r>
      <w:r w:rsidRPr="00F9533B">
        <w:rPr>
          <w:rFonts w:ascii="Arial" w:hAnsi="Arial" w:cs="Arial"/>
        </w:rPr>
        <w:t xml:space="preserve">ingle </w:t>
      </w:r>
      <w:r w:rsidR="000A2F9C">
        <w:rPr>
          <w:rFonts w:ascii="Arial" w:hAnsi="Arial" w:cs="Arial"/>
        </w:rPr>
        <w:t>o</w:t>
      </w:r>
      <w:r w:rsidRPr="00F9533B">
        <w:rPr>
          <w:rFonts w:ascii="Arial" w:hAnsi="Arial" w:cs="Arial"/>
        </w:rPr>
        <w:t xml:space="preserve">ccupancies </w:t>
      </w:r>
      <w:r w:rsidRPr="00F9533B">
        <w:rPr>
          <w:rFonts w:ascii="Arial" w:hAnsi="Arial" w:cs="Arial"/>
        </w:rPr>
        <w:lastRenderedPageBreak/>
        <w:t>at €13,500 per child per week.”</w:t>
      </w:r>
      <w:r w:rsidRPr="00F9533B">
        <w:rPr>
          <w:rFonts w:ascii="Arial" w:hAnsi="Arial" w:cs="Arial"/>
          <w:vertAlign w:val="superscript"/>
        </w:rPr>
        <w:footnoteReference w:id="30"/>
      </w:r>
      <w:r w:rsidR="00160BD8">
        <w:rPr>
          <w:rFonts w:ascii="Arial" w:hAnsi="Arial" w:cs="Arial"/>
        </w:rPr>
        <w:t xml:space="preserve"> A value for money analysis, as well and an evaluation of outcomes should be carried out.</w:t>
      </w:r>
    </w:p>
    <w:p w14:paraId="79A47339" w14:textId="2BA0AEAC" w:rsidR="00F9533B" w:rsidRPr="004C3BA0" w:rsidRDefault="00F9533B" w:rsidP="00CC026C">
      <w:pPr>
        <w:pStyle w:val="ListParagraph"/>
        <w:numPr>
          <w:ilvl w:val="0"/>
          <w:numId w:val="6"/>
        </w:numPr>
        <w:spacing w:line="360" w:lineRule="auto"/>
        <w:jc w:val="both"/>
        <w:rPr>
          <w:rFonts w:ascii="Arial" w:hAnsi="Arial" w:cs="Arial"/>
          <w:b/>
          <w:bCs/>
        </w:rPr>
      </w:pPr>
      <w:r w:rsidRPr="004C3BA0">
        <w:rPr>
          <w:rFonts w:ascii="Arial" w:hAnsi="Arial" w:cs="Arial"/>
          <w:b/>
          <w:bCs/>
        </w:rPr>
        <w:t>Statutory Care v</w:t>
      </w:r>
      <w:r w:rsidR="00AF707B">
        <w:rPr>
          <w:rFonts w:ascii="Arial" w:hAnsi="Arial" w:cs="Arial"/>
          <w:b/>
          <w:bCs/>
        </w:rPr>
        <w:t>ersus</w:t>
      </w:r>
      <w:r w:rsidRPr="004C3BA0">
        <w:rPr>
          <w:rFonts w:ascii="Arial" w:hAnsi="Arial" w:cs="Arial"/>
          <w:b/>
          <w:bCs/>
        </w:rPr>
        <w:t xml:space="preserve"> Voluntary Care. </w:t>
      </w:r>
    </w:p>
    <w:p w14:paraId="34E55D60" w14:textId="1647BE26" w:rsidR="00F9533B" w:rsidRPr="00F9533B" w:rsidRDefault="003363DF" w:rsidP="007040FC">
      <w:pPr>
        <w:shd w:val="clear" w:color="auto" w:fill="FFFFFF"/>
        <w:spacing w:before="100" w:beforeAutospacing="1" w:after="100" w:afterAutospacing="1" w:line="360" w:lineRule="auto"/>
        <w:jc w:val="both"/>
        <w:rPr>
          <w:rFonts w:ascii="Arial" w:hAnsi="Arial" w:cs="Arial"/>
          <w:bCs/>
        </w:rPr>
      </w:pPr>
      <w:r>
        <w:rPr>
          <w:rFonts w:ascii="Arial" w:hAnsi="Arial" w:cs="Arial"/>
          <w:bCs/>
        </w:rPr>
        <w:t>The use of voluntary care arrangements in Ireland</w:t>
      </w:r>
      <w:r w:rsidR="00361346">
        <w:rPr>
          <w:rFonts w:ascii="Arial" w:hAnsi="Arial" w:cs="Arial"/>
          <w:bCs/>
        </w:rPr>
        <w:t>, especially in the longer term,</w:t>
      </w:r>
      <w:r>
        <w:rPr>
          <w:rFonts w:ascii="Arial" w:hAnsi="Arial" w:cs="Arial"/>
          <w:bCs/>
        </w:rPr>
        <w:t xml:space="preserve"> must be</w:t>
      </w:r>
      <w:r w:rsidR="00361346">
        <w:rPr>
          <w:rFonts w:ascii="Arial" w:hAnsi="Arial" w:cs="Arial"/>
          <w:bCs/>
        </w:rPr>
        <w:t xml:space="preserve"> reviewed.</w:t>
      </w:r>
      <w:r>
        <w:rPr>
          <w:rFonts w:ascii="Arial" w:hAnsi="Arial" w:cs="Arial"/>
          <w:bCs/>
        </w:rPr>
        <w:t xml:space="preserve"> </w:t>
      </w:r>
      <w:r w:rsidR="001C349C">
        <w:rPr>
          <w:rFonts w:ascii="Arial" w:hAnsi="Arial" w:cs="Arial"/>
          <w:bCs/>
        </w:rPr>
        <w:t>T</w:t>
      </w:r>
      <w:r w:rsidR="00F9533B" w:rsidRPr="00F9533B">
        <w:rPr>
          <w:rFonts w:ascii="Arial" w:hAnsi="Arial" w:cs="Arial"/>
          <w:bCs/>
        </w:rPr>
        <w:t>he number of children in care under a voluntary arrangement is 1,532 or 26% of all those in care of the State.</w:t>
      </w:r>
      <w:r w:rsidR="00F9533B" w:rsidRPr="00F9533B">
        <w:rPr>
          <w:rFonts w:ascii="Arial" w:hAnsi="Arial" w:cs="Arial"/>
          <w:bCs/>
          <w:vertAlign w:val="superscript"/>
        </w:rPr>
        <w:footnoteReference w:id="31"/>
      </w:r>
      <w:r w:rsidR="00F9533B" w:rsidRPr="00F9533B">
        <w:rPr>
          <w:rFonts w:ascii="Arial" w:hAnsi="Arial" w:cs="Arial"/>
          <w:bCs/>
        </w:rPr>
        <w:t xml:space="preserve"> </w:t>
      </w:r>
    </w:p>
    <w:p w14:paraId="6444707B" w14:textId="77777777" w:rsidR="001C349C" w:rsidRDefault="00F9533B" w:rsidP="007040FC">
      <w:pPr>
        <w:spacing w:before="100" w:beforeAutospacing="1" w:after="100" w:afterAutospacing="1" w:line="360" w:lineRule="auto"/>
        <w:jc w:val="both"/>
        <w:rPr>
          <w:rFonts w:ascii="Arial" w:hAnsi="Arial" w:cs="Arial"/>
        </w:rPr>
      </w:pPr>
      <w:r w:rsidRPr="00F9533B">
        <w:rPr>
          <w:rFonts w:ascii="Arial" w:hAnsi="Arial" w:cs="Arial"/>
        </w:rPr>
        <w:t xml:space="preserve">The </w:t>
      </w:r>
      <w:r w:rsidR="00C3462C">
        <w:rPr>
          <w:rFonts w:ascii="Arial" w:hAnsi="Arial" w:cs="Arial"/>
          <w:lang w:val="en-GB"/>
        </w:rPr>
        <w:t>Ombudsman for Children’s Office (</w:t>
      </w:r>
      <w:r w:rsidR="00C3462C" w:rsidRPr="00F9533B">
        <w:rPr>
          <w:rFonts w:ascii="Arial" w:hAnsi="Arial" w:cs="Arial"/>
          <w:lang w:val="en-GB"/>
        </w:rPr>
        <w:t>OCO</w:t>
      </w:r>
      <w:r w:rsidR="00C3462C">
        <w:rPr>
          <w:rFonts w:ascii="Arial" w:hAnsi="Arial" w:cs="Arial"/>
          <w:lang w:val="en-GB"/>
        </w:rPr>
        <w:t>)</w:t>
      </w:r>
      <w:r w:rsidR="009E7F52">
        <w:rPr>
          <w:rFonts w:ascii="Arial" w:hAnsi="Arial" w:cs="Arial"/>
        </w:rPr>
        <w:t xml:space="preserve"> </w:t>
      </w:r>
      <w:r w:rsidRPr="00F9533B">
        <w:rPr>
          <w:rFonts w:ascii="Arial" w:hAnsi="Arial" w:cs="Arial"/>
        </w:rPr>
        <w:t xml:space="preserve">reported that “parents may not always fully understand what voluntary admission to care entails prior to making a decision. A number of cases suggest that there </w:t>
      </w:r>
      <w:r w:rsidRPr="00F9533B">
        <w:rPr>
          <w:rFonts w:ascii="Arial" w:hAnsi="Arial" w:cs="Arial"/>
        </w:rPr>
        <w:lastRenderedPageBreak/>
        <w:t>can be confusion about the differences between a placement with relatives and voluntary admission to care.”</w:t>
      </w:r>
      <w:r w:rsidRPr="00F9533B">
        <w:rPr>
          <w:rFonts w:ascii="Arial" w:hAnsi="Arial" w:cs="Arial"/>
          <w:vertAlign w:val="superscript"/>
        </w:rPr>
        <w:footnoteReference w:id="32"/>
      </w:r>
      <w:r w:rsidR="003A045E">
        <w:t xml:space="preserve"> </w:t>
      </w:r>
      <w:r w:rsidRPr="00F9533B">
        <w:rPr>
          <w:rFonts w:ascii="Arial" w:hAnsi="Arial" w:cs="Arial"/>
        </w:rPr>
        <w:t xml:space="preserve"> </w:t>
      </w:r>
      <w:r w:rsidR="003A045E">
        <w:rPr>
          <w:rFonts w:ascii="Arial" w:hAnsi="Arial" w:cs="Arial"/>
        </w:rPr>
        <w:t xml:space="preserve">The potential </w:t>
      </w:r>
      <w:r w:rsidRPr="00F9533B">
        <w:rPr>
          <w:rFonts w:ascii="Arial" w:hAnsi="Arial" w:cs="Arial"/>
        </w:rPr>
        <w:t xml:space="preserve">imbalance of power </w:t>
      </w:r>
      <w:r w:rsidR="003A045E">
        <w:rPr>
          <w:rFonts w:ascii="Arial" w:hAnsi="Arial" w:cs="Arial"/>
        </w:rPr>
        <w:t>leaves</w:t>
      </w:r>
      <w:r w:rsidRPr="00F9533B">
        <w:rPr>
          <w:rFonts w:ascii="Arial" w:hAnsi="Arial" w:cs="Arial"/>
        </w:rPr>
        <w:t xml:space="preserve"> parents at a distinct disadvantage. </w:t>
      </w:r>
    </w:p>
    <w:p w14:paraId="6E4CCC2C" w14:textId="304F63B7" w:rsidR="00F9533B" w:rsidRPr="00F9533B" w:rsidRDefault="00710E09" w:rsidP="007040FC">
      <w:pPr>
        <w:spacing w:before="100" w:beforeAutospacing="1" w:after="100" w:afterAutospacing="1" w:line="360" w:lineRule="auto"/>
        <w:jc w:val="both"/>
        <w:rPr>
          <w:rFonts w:ascii="Arial" w:hAnsi="Arial" w:cs="Arial"/>
          <w:lang w:val="en-GB"/>
        </w:rPr>
      </w:pPr>
      <w:r>
        <w:rPr>
          <w:rFonts w:ascii="Arial" w:hAnsi="Arial" w:cs="Arial"/>
        </w:rPr>
        <w:t>The OCO highlight</w:t>
      </w:r>
      <w:r w:rsidR="000A2F9C">
        <w:rPr>
          <w:rFonts w:ascii="Arial" w:hAnsi="Arial" w:cs="Arial"/>
        </w:rPr>
        <w:t>ed</w:t>
      </w:r>
      <w:r>
        <w:rPr>
          <w:rFonts w:ascii="Arial" w:hAnsi="Arial" w:cs="Arial"/>
        </w:rPr>
        <w:t xml:space="preserve"> the</w:t>
      </w:r>
      <w:r w:rsidR="00F9533B" w:rsidRPr="00F9533B">
        <w:rPr>
          <w:rFonts w:ascii="Arial" w:hAnsi="Arial" w:cs="Arial"/>
        </w:rPr>
        <w:t xml:space="preserve"> Council of Europe document on rights of families of children in contact with social services.</w:t>
      </w:r>
      <w:r w:rsidR="00F9533B" w:rsidRPr="00F9533B">
        <w:rPr>
          <w:rFonts w:ascii="Arial" w:hAnsi="Arial" w:cs="Arial"/>
          <w:vertAlign w:val="superscript"/>
          <w:lang w:val="en-GB"/>
        </w:rPr>
        <w:footnoteReference w:id="33"/>
      </w:r>
      <w:r w:rsidR="00F9533B" w:rsidRPr="00F9533B">
        <w:rPr>
          <w:rFonts w:ascii="Arial" w:hAnsi="Arial" w:cs="Arial"/>
        </w:rPr>
        <w:t xml:space="preserve"> </w:t>
      </w:r>
      <w:r w:rsidR="000B7AAC">
        <w:rPr>
          <w:rFonts w:ascii="Arial" w:hAnsi="Arial" w:cs="Arial"/>
          <w:lang w:val="en-GB"/>
        </w:rPr>
        <w:t>T</w:t>
      </w:r>
      <w:r w:rsidR="00F9533B" w:rsidRPr="00F9533B">
        <w:rPr>
          <w:rFonts w:ascii="Arial" w:hAnsi="Arial" w:cs="Arial"/>
          <w:lang w:val="en-GB"/>
        </w:rPr>
        <w:t>his report recommend</w:t>
      </w:r>
      <w:r w:rsidR="000A2F9C">
        <w:rPr>
          <w:rFonts w:ascii="Arial" w:hAnsi="Arial" w:cs="Arial"/>
          <w:lang w:val="en-GB"/>
        </w:rPr>
        <w:t>ed</w:t>
      </w:r>
      <w:r w:rsidR="00F9533B" w:rsidRPr="00F9533B">
        <w:rPr>
          <w:rFonts w:ascii="Arial" w:hAnsi="Arial" w:cs="Arial"/>
          <w:lang w:val="en-GB"/>
        </w:rPr>
        <w:t xml:space="preserve"> that </w:t>
      </w:r>
      <w:r w:rsidR="00F9533B" w:rsidRPr="00F9533B">
        <w:rPr>
          <w:rFonts w:ascii="Arial" w:hAnsi="Arial" w:cs="Arial"/>
        </w:rPr>
        <w:t xml:space="preserve">“[F]rom their first involvement with the social service system, children and families should be promptly and adequately informed and advised, inter alia, of: a. their rights to services including the instruments available to remedy possible violations of these rights; b. the range of services available and the procedure by which they are delivered; c. the role the child may exercise in different procedural </w:t>
      </w:r>
      <w:r w:rsidR="00F9533B" w:rsidRPr="00F9533B">
        <w:rPr>
          <w:rFonts w:ascii="Arial" w:hAnsi="Arial" w:cs="Arial"/>
        </w:rPr>
        <w:lastRenderedPageBreak/>
        <w:t>steps and the actors that may accompany or support the child in her or his dealings with the social services.”</w:t>
      </w:r>
      <w:r w:rsidR="00F9533B" w:rsidRPr="00F9533B">
        <w:rPr>
          <w:rFonts w:ascii="Arial" w:hAnsi="Arial" w:cs="Arial"/>
          <w:vertAlign w:val="superscript"/>
        </w:rPr>
        <w:footnoteReference w:id="34"/>
      </w:r>
    </w:p>
    <w:p w14:paraId="1341A461" w14:textId="79846B2D" w:rsidR="00F9533B" w:rsidRPr="00F9533B" w:rsidRDefault="00F9533B" w:rsidP="007040FC">
      <w:pPr>
        <w:spacing w:before="100" w:beforeAutospacing="1" w:after="100" w:afterAutospacing="1" w:line="360" w:lineRule="auto"/>
        <w:jc w:val="both"/>
        <w:rPr>
          <w:rFonts w:ascii="Arial" w:hAnsi="Arial" w:cs="Arial"/>
        </w:rPr>
      </w:pPr>
      <w:r w:rsidRPr="00F9533B">
        <w:rPr>
          <w:rFonts w:ascii="Arial" w:hAnsi="Arial" w:cs="Arial"/>
          <w:lang w:val="en-GB"/>
        </w:rPr>
        <w:t xml:space="preserve">The </w:t>
      </w:r>
      <w:r w:rsidR="00C3462C">
        <w:rPr>
          <w:rFonts w:ascii="Arial" w:hAnsi="Arial" w:cs="Arial"/>
          <w:lang w:val="en-GB"/>
        </w:rPr>
        <w:t>O</w:t>
      </w:r>
      <w:r w:rsidR="00221D61">
        <w:rPr>
          <w:rFonts w:ascii="Arial" w:hAnsi="Arial" w:cs="Arial"/>
          <w:lang w:val="en-GB"/>
        </w:rPr>
        <w:t>mbudsman</w:t>
      </w:r>
      <w:r w:rsidR="00C3462C">
        <w:rPr>
          <w:rFonts w:ascii="Arial" w:hAnsi="Arial" w:cs="Arial"/>
          <w:lang w:val="en-GB"/>
        </w:rPr>
        <w:t xml:space="preserve"> </w:t>
      </w:r>
      <w:r w:rsidRPr="00F9533B">
        <w:rPr>
          <w:rFonts w:ascii="Arial" w:hAnsi="Arial" w:cs="Arial"/>
          <w:lang w:val="en-GB"/>
        </w:rPr>
        <w:t>then directly criticise</w:t>
      </w:r>
      <w:r w:rsidR="000A2F9C">
        <w:rPr>
          <w:rFonts w:ascii="Arial" w:hAnsi="Arial" w:cs="Arial"/>
          <w:lang w:val="en-GB"/>
        </w:rPr>
        <w:t>d</w:t>
      </w:r>
      <w:r w:rsidRPr="00F9533B">
        <w:rPr>
          <w:rFonts w:ascii="Arial" w:hAnsi="Arial" w:cs="Arial"/>
          <w:lang w:val="en-GB"/>
        </w:rPr>
        <w:t xml:space="preserve"> the legislation for voluntary care </w:t>
      </w:r>
      <w:r w:rsidR="000A2F9C">
        <w:rPr>
          <w:rFonts w:ascii="Arial" w:hAnsi="Arial" w:cs="Arial"/>
          <w:lang w:val="en-GB"/>
        </w:rPr>
        <w:t xml:space="preserve">and wrote that </w:t>
      </w:r>
      <w:r w:rsidRPr="00F9533B">
        <w:rPr>
          <w:rFonts w:ascii="Arial" w:hAnsi="Arial" w:cs="Arial"/>
          <w:lang w:val="en-GB"/>
        </w:rPr>
        <w:t>“[</w:t>
      </w:r>
      <w:r w:rsidRPr="00F9533B">
        <w:rPr>
          <w:rFonts w:ascii="Arial" w:hAnsi="Arial" w:cs="Arial"/>
        </w:rPr>
        <w:t>S]ection 4 of the 1991 Act provides legislative underpinning for the system of voluntary care. It does not provide for the right of the child or his or family to receive information and advice about the operation of the voluntary care arrangement.”</w:t>
      </w:r>
      <w:r w:rsidRPr="00F9533B">
        <w:rPr>
          <w:rFonts w:ascii="Arial" w:hAnsi="Arial" w:cs="Arial"/>
          <w:vertAlign w:val="superscript"/>
        </w:rPr>
        <w:footnoteReference w:id="35"/>
      </w:r>
      <w:r w:rsidRPr="00F9533B">
        <w:rPr>
          <w:rFonts w:ascii="Arial" w:hAnsi="Arial" w:cs="Arial"/>
        </w:rPr>
        <w:t xml:space="preserve"> This is an important intervention regarding the issue of voluntary care. </w:t>
      </w:r>
    </w:p>
    <w:p w14:paraId="584BE265" w14:textId="03113DEA" w:rsidR="00F9533B" w:rsidRPr="00F9533B" w:rsidRDefault="00F9533B" w:rsidP="007040FC">
      <w:pPr>
        <w:spacing w:before="100" w:beforeAutospacing="1" w:after="100" w:afterAutospacing="1" w:line="360" w:lineRule="auto"/>
        <w:jc w:val="both"/>
        <w:rPr>
          <w:rFonts w:ascii="Arial" w:hAnsi="Arial" w:cs="Arial"/>
        </w:rPr>
      </w:pPr>
      <w:r w:rsidRPr="00F9533B">
        <w:rPr>
          <w:rFonts w:ascii="Arial" w:hAnsi="Arial" w:cs="Arial"/>
        </w:rPr>
        <w:t xml:space="preserve">The OCO </w:t>
      </w:r>
      <w:r w:rsidR="000A2F9C">
        <w:rPr>
          <w:rFonts w:ascii="Arial" w:hAnsi="Arial" w:cs="Arial"/>
        </w:rPr>
        <w:t xml:space="preserve">further </w:t>
      </w:r>
      <w:r w:rsidRPr="00F9533B">
        <w:rPr>
          <w:rFonts w:ascii="Arial" w:hAnsi="Arial" w:cs="Arial"/>
        </w:rPr>
        <w:t>recommend</w:t>
      </w:r>
      <w:r w:rsidR="000A2F9C">
        <w:rPr>
          <w:rFonts w:ascii="Arial" w:hAnsi="Arial" w:cs="Arial"/>
        </w:rPr>
        <w:t>ed</w:t>
      </w:r>
      <w:r w:rsidR="00160BD8">
        <w:rPr>
          <w:rFonts w:ascii="Arial" w:hAnsi="Arial" w:cs="Arial"/>
        </w:rPr>
        <w:t>, and EPIC supports,</w:t>
      </w:r>
      <w:r w:rsidRPr="00F9533B">
        <w:rPr>
          <w:rFonts w:ascii="Arial" w:hAnsi="Arial" w:cs="Arial"/>
        </w:rPr>
        <w:t xml:space="preserve"> that “Explicit statutory provision should be made for the right of children and their </w:t>
      </w:r>
      <w:r w:rsidRPr="00F9533B">
        <w:rPr>
          <w:rFonts w:ascii="Arial" w:hAnsi="Arial" w:cs="Arial"/>
        </w:rPr>
        <w:lastRenderedPageBreak/>
        <w:t>parent(s)/guardian(s) to receive timely, accessible and comprehensive information about any decisions or actions taken under the 1991 Act, which affect them.”</w:t>
      </w:r>
      <w:r w:rsidRPr="00F9533B">
        <w:rPr>
          <w:rFonts w:ascii="Arial" w:hAnsi="Arial" w:cs="Arial"/>
          <w:vertAlign w:val="superscript"/>
        </w:rPr>
        <w:footnoteReference w:id="36"/>
      </w:r>
      <w:r w:rsidRPr="00F9533B">
        <w:rPr>
          <w:rFonts w:ascii="Arial" w:hAnsi="Arial" w:cs="Arial"/>
        </w:rPr>
        <w:t xml:space="preserve"> </w:t>
      </w:r>
    </w:p>
    <w:p w14:paraId="6FE63719" w14:textId="64AC7788" w:rsidR="00F9533B" w:rsidRPr="00F9533B" w:rsidRDefault="003F6795" w:rsidP="007040FC">
      <w:pPr>
        <w:spacing w:before="100" w:beforeAutospacing="1" w:after="100" w:afterAutospacing="1" w:line="360" w:lineRule="auto"/>
        <w:jc w:val="both"/>
        <w:rPr>
          <w:rFonts w:ascii="Arial" w:hAnsi="Arial" w:cs="Arial"/>
        </w:rPr>
      </w:pPr>
      <w:r>
        <w:rPr>
          <w:rFonts w:ascii="Arial" w:hAnsi="Arial" w:cs="Arial"/>
        </w:rPr>
        <w:t>T</w:t>
      </w:r>
      <w:r w:rsidR="00F9533B" w:rsidRPr="00F9533B">
        <w:rPr>
          <w:rFonts w:ascii="Arial" w:hAnsi="Arial" w:cs="Arial"/>
        </w:rPr>
        <w:t>he Child Care Law Reporting Project</w:t>
      </w:r>
      <w:r>
        <w:rPr>
          <w:rFonts w:ascii="Arial" w:hAnsi="Arial" w:cs="Arial"/>
        </w:rPr>
        <w:t xml:space="preserve"> </w:t>
      </w:r>
      <w:r w:rsidR="00C3462C">
        <w:rPr>
          <w:rFonts w:ascii="Arial" w:hAnsi="Arial" w:cs="Arial"/>
        </w:rPr>
        <w:t>demonstrate</w:t>
      </w:r>
      <w:r w:rsidR="00E34EC3">
        <w:rPr>
          <w:rFonts w:ascii="Arial" w:hAnsi="Arial" w:cs="Arial"/>
        </w:rPr>
        <w:t>d</w:t>
      </w:r>
      <w:r w:rsidR="00C3462C">
        <w:rPr>
          <w:rFonts w:ascii="Arial" w:hAnsi="Arial" w:cs="Arial"/>
        </w:rPr>
        <w:t xml:space="preserve"> in a recent publication how legislation impacts on practice, stating </w:t>
      </w:r>
      <w:r w:rsidR="00F9533B" w:rsidRPr="00F9533B">
        <w:rPr>
          <w:rFonts w:ascii="Arial" w:hAnsi="Arial" w:cs="Arial"/>
        </w:rPr>
        <w:t>the “[</w:t>
      </w:r>
      <w:r w:rsidR="00F9533B" w:rsidRPr="00F9533B">
        <w:rPr>
          <w:rFonts w:ascii="Arial" w:hAnsi="Arial" w:cs="Arial"/>
          <w:lang w:val="en-US"/>
        </w:rPr>
        <w:t xml:space="preserve">N]eed to </w:t>
      </w:r>
      <w:r w:rsidR="00F9533B" w:rsidRPr="00F9533B">
        <w:rPr>
          <w:rFonts w:ascii="Arial" w:hAnsi="Arial" w:cs="Arial"/>
        </w:rPr>
        <w:t>formalise</w:t>
      </w:r>
      <w:r w:rsidR="00CC026C">
        <w:rPr>
          <w:rFonts w:ascii="Arial" w:hAnsi="Arial" w:cs="Arial"/>
        </w:rPr>
        <w:t xml:space="preserve"> [the]</w:t>
      </w:r>
      <w:r w:rsidR="00F9533B" w:rsidRPr="00F9533B">
        <w:rPr>
          <w:rFonts w:ascii="Arial" w:hAnsi="Arial" w:cs="Arial"/>
          <w:lang w:val="en-US"/>
        </w:rPr>
        <w:t xml:space="preserve"> situation of </w:t>
      </w:r>
      <w:r w:rsidR="00E34EC3">
        <w:rPr>
          <w:rFonts w:ascii="Arial" w:hAnsi="Arial" w:cs="Arial"/>
          <w:lang w:val="en-US"/>
        </w:rPr>
        <w:t xml:space="preserve">a </w:t>
      </w:r>
      <w:r w:rsidR="00F9533B" w:rsidRPr="00F9533B">
        <w:rPr>
          <w:rFonts w:ascii="Arial" w:hAnsi="Arial" w:cs="Arial"/>
          <w:lang w:val="en-US"/>
        </w:rPr>
        <w:t>girl in voluntary care for almost eight years”</w:t>
      </w:r>
      <w:r w:rsidR="00F9533B" w:rsidRPr="00F9533B">
        <w:rPr>
          <w:rFonts w:ascii="Arial" w:eastAsia="Times New Roman" w:hAnsi="Arial" w:cs="Arial"/>
          <w:b/>
          <w:kern w:val="36"/>
          <w:vertAlign w:val="superscript"/>
          <w:lang w:val="en-US"/>
        </w:rPr>
        <w:footnoteReference w:id="37"/>
      </w:r>
      <w:r w:rsidR="00F9533B" w:rsidRPr="00F9533B">
        <w:rPr>
          <w:rFonts w:ascii="Arial" w:hAnsi="Arial" w:cs="Arial"/>
          <w:lang w:val="en-US"/>
        </w:rPr>
        <w:t>.</w:t>
      </w:r>
      <w:r w:rsidR="00F9533B" w:rsidRPr="00F9533B">
        <w:rPr>
          <w:rFonts w:ascii="Arial" w:hAnsi="Arial" w:cs="Arial"/>
        </w:rPr>
        <w:t xml:space="preserve"> This was the case of an almost eight-year girl who had been in a foster placement since she was two days old. When replying to the judge’s question of what would happen if an interim order was not granted, the social worker replied that “[</w:t>
      </w:r>
      <w:r w:rsidR="00F9533B" w:rsidRPr="00F9533B">
        <w:rPr>
          <w:rFonts w:ascii="Arial" w:hAnsi="Arial" w:cs="Arial"/>
          <w:shd w:val="clear" w:color="auto" w:fill="FFFFFF"/>
        </w:rPr>
        <w:t xml:space="preserve">F]rom an emotional point of view, [the child’s] attachment is to her foster parents and from a mental health point of view, [she is involved with] her school and friends. I </w:t>
      </w:r>
      <w:r w:rsidR="00F9533B" w:rsidRPr="00F9533B">
        <w:rPr>
          <w:rFonts w:ascii="Arial" w:hAnsi="Arial" w:cs="Arial"/>
          <w:shd w:val="clear" w:color="auto" w:fill="FFFFFF"/>
        </w:rPr>
        <w:lastRenderedPageBreak/>
        <w:t>can’t imagine the trauma it would cause.”</w:t>
      </w:r>
      <w:r w:rsidR="00F9533B" w:rsidRPr="00F9533B">
        <w:rPr>
          <w:rFonts w:ascii="Arial" w:hAnsi="Arial" w:cs="Arial"/>
          <w:b/>
          <w:shd w:val="clear" w:color="auto" w:fill="FFFFFF"/>
          <w:vertAlign w:val="superscript"/>
        </w:rPr>
        <w:footnoteReference w:id="38"/>
      </w:r>
      <w:r w:rsidR="00F9533B" w:rsidRPr="00F9533B">
        <w:rPr>
          <w:rFonts w:ascii="Arial" w:hAnsi="Arial" w:cs="Arial"/>
        </w:rPr>
        <w:t xml:space="preserve"> The Guardian </w:t>
      </w:r>
      <w:r w:rsidR="00F9533B" w:rsidRPr="00F9533B">
        <w:rPr>
          <w:rFonts w:ascii="Arial" w:hAnsi="Arial" w:cs="Arial"/>
          <w:i/>
        </w:rPr>
        <w:t xml:space="preserve">ad Litem </w:t>
      </w:r>
      <w:r w:rsidR="00F9533B" w:rsidRPr="00F9533B">
        <w:rPr>
          <w:rFonts w:ascii="Arial" w:hAnsi="Arial" w:cs="Arial"/>
        </w:rPr>
        <w:t>who had been appointed also worryingly stated that “</w:t>
      </w:r>
      <w:r w:rsidR="00F9533B" w:rsidRPr="00F9533B">
        <w:rPr>
          <w:rFonts w:ascii="Arial" w:hAnsi="Arial" w:cs="Arial"/>
          <w:shd w:val="clear" w:color="auto" w:fill="FFFFFF"/>
        </w:rPr>
        <w:t>she was looking at the child’s files and noticed a certain level of drift in the case between 2011 and 2014.”</w:t>
      </w:r>
      <w:r w:rsidR="00F9533B" w:rsidRPr="00F9533B">
        <w:rPr>
          <w:rFonts w:ascii="Arial" w:hAnsi="Arial" w:cs="Arial"/>
          <w:shd w:val="clear" w:color="auto" w:fill="FFFFFF"/>
          <w:vertAlign w:val="superscript"/>
        </w:rPr>
        <w:footnoteReference w:id="39"/>
      </w:r>
      <w:r w:rsidR="00F9533B" w:rsidRPr="00F9533B">
        <w:rPr>
          <w:rFonts w:ascii="Arial" w:hAnsi="Arial" w:cs="Arial"/>
          <w:shd w:val="clear" w:color="auto" w:fill="FFFFFF"/>
        </w:rPr>
        <w:t xml:space="preserve"> </w:t>
      </w:r>
      <w:r w:rsidR="000A2F9C">
        <w:rPr>
          <w:rFonts w:ascii="Arial" w:hAnsi="Arial" w:cs="Arial"/>
          <w:lang w:val="en-GB"/>
        </w:rPr>
        <w:t>T</w:t>
      </w:r>
      <w:r w:rsidR="00F9533B" w:rsidRPr="00F9533B">
        <w:rPr>
          <w:rFonts w:ascii="Arial" w:hAnsi="Arial" w:cs="Arial"/>
          <w:lang w:val="en-GB"/>
        </w:rPr>
        <w:t>he judge noted that “[</w:t>
      </w:r>
      <w:r w:rsidR="00F9533B" w:rsidRPr="00F9533B">
        <w:rPr>
          <w:rFonts w:ascii="Arial" w:hAnsi="Arial" w:cs="Arial"/>
          <w:shd w:val="clear" w:color="auto" w:fill="FFFFFF"/>
        </w:rPr>
        <w:t>V]oluntary care orders going on for this length lead to complications.”</w:t>
      </w:r>
      <w:r w:rsidR="00F9533B" w:rsidRPr="00F9533B">
        <w:rPr>
          <w:rFonts w:ascii="Arial" w:hAnsi="Arial" w:cs="Arial"/>
          <w:shd w:val="clear" w:color="auto" w:fill="FFFFFF"/>
          <w:vertAlign w:val="superscript"/>
        </w:rPr>
        <w:footnoteReference w:id="40"/>
      </w:r>
      <w:r w:rsidR="00F9533B" w:rsidRPr="00F9533B">
        <w:rPr>
          <w:rFonts w:ascii="Arial" w:hAnsi="Arial" w:cs="Arial"/>
          <w:shd w:val="clear" w:color="auto" w:fill="FFFFFF"/>
        </w:rPr>
        <w:t xml:space="preserve"> </w:t>
      </w:r>
    </w:p>
    <w:p w14:paraId="6DDCC00D" w14:textId="12A9E173" w:rsidR="00F9533B" w:rsidRPr="00F9533B" w:rsidRDefault="00F9533B" w:rsidP="007040FC">
      <w:pPr>
        <w:spacing w:before="100" w:beforeAutospacing="1" w:after="100" w:afterAutospacing="1" w:line="360" w:lineRule="auto"/>
        <w:jc w:val="both"/>
        <w:rPr>
          <w:rFonts w:ascii="Arial" w:hAnsi="Arial" w:cs="Arial"/>
        </w:rPr>
      </w:pPr>
      <w:r w:rsidRPr="00F9533B">
        <w:rPr>
          <w:rFonts w:ascii="Arial" w:hAnsi="Arial" w:cs="Arial"/>
          <w:shd w:val="clear" w:color="auto" w:fill="FFFFFF"/>
        </w:rPr>
        <w:t xml:space="preserve">A recent report published by the </w:t>
      </w:r>
      <w:r w:rsidRPr="00F9533B">
        <w:rPr>
          <w:rFonts w:ascii="Arial" w:hAnsi="Arial" w:cs="Arial"/>
        </w:rPr>
        <w:t>School of Applied Social Studies and School of Law at UCC also raise</w:t>
      </w:r>
      <w:r w:rsidR="000A2F9C">
        <w:rPr>
          <w:rFonts w:ascii="Arial" w:hAnsi="Arial" w:cs="Arial"/>
        </w:rPr>
        <w:t>d</w:t>
      </w:r>
      <w:r w:rsidRPr="00F9533B">
        <w:rPr>
          <w:rFonts w:ascii="Arial" w:hAnsi="Arial" w:cs="Arial"/>
        </w:rPr>
        <w:t xml:space="preserve"> many issues. It stated that “voluntary care agreements are concluded between the parent (s) and Tusla with no independent oversight at the point of entry to care. Thus, there is no safeguard at the outset to ensure that the placement and care plan are adequate to meet the child’s needs.”</w:t>
      </w:r>
      <w:r w:rsidRPr="00F9533B">
        <w:rPr>
          <w:rFonts w:ascii="Arial" w:hAnsi="Arial" w:cs="Arial"/>
          <w:vertAlign w:val="superscript"/>
        </w:rPr>
        <w:footnoteReference w:id="41"/>
      </w:r>
      <w:r w:rsidRPr="00F9533B">
        <w:rPr>
          <w:rFonts w:ascii="Arial" w:hAnsi="Arial" w:cs="Arial"/>
        </w:rPr>
        <w:t xml:space="preserve"> </w:t>
      </w:r>
    </w:p>
    <w:p w14:paraId="48C0AA3C" w14:textId="144FD3A5" w:rsidR="00F9533B" w:rsidRPr="00F9533B" w:rsidRDefault="00F9533B" w:rsidP="007040FC">
      <w:pPr>
        <w:spacing w:before="100" w:beforeAutospacing="1" w:after="100" w:afterAutospacing="1" w:line="360" w:lineRule="auto"/>
        <w:jc w:val="both"/>
        <w:rPr>
          <w:rFonts w:ascii="Arial" w:hAnsi="Arial" w:cs="Arial"/>
        </w:rPr>
      </w:pPr>
      <w:r w:rsidRPr="00F9533B">
        <w:rPr>
          <w:rFonts w:ascii="Arial" w:hAnsi="Arial" w:cs="Arial"/>
        </w:rPr>
        <w:lastRenderedPageBreak/>
        <w:t>Concerns around the statutory obligations “have been raised [and] about the effectiveness of periodic reviews in voluntary care placements, particularly in long-term voluntary care placements, which may be less visible within the system than care order cases involving more complex needs or more serious abuse or neglect.”</w:t>
      </w:r>
      <w:r w:rsidRPr="00F9533B">
        <w:rPr>
          <w:rFonts w:ascii="Arial" w:hAnsi="Arial" w:cs="Arial"/>
          <w:vertAlign w:val="superscript"/>
        </w:rPr>
        <w:footnoteReference w:id="42"/>
      </w:r>
    </w:p>
    <w:p w14:paraId="462C6A8F" w14:textId="1A3AC1FC" w:rsidR="002F7FD5" w:rsidRDefault="00CC026C" w:rsidP="007040FC">
      <w:pPr>
        <w:spacing w:before="100" w:beforeAutospacing="1" w:after="100" w:afterAutospacing="1" w:line="360" w:lineRule="auto"/>
        <w:jc w:val="both"/>
        <w:rPr>
          <w:rFonts w:ascii="Arial" w:hAnsi="Arial" w:cs="Arial"/>
        </w:rPr>
      </w:pPr>
      <w:r>
        <w:rPr>
          <w:rFonts w:ascii="Arial" w:hAnsi="Arial" w:cs="Arial"/>
        </w:rPr>
        <w:t>As evidenced above, t</w:t>
      </w:r>
      <w:r w:rsidR="00F9533B" w:rsidRPr="00F9533B">
        <w:rPr>
          <w:rFonts w:ascii="Arial" w:hAnsi="Arial" w:cs="Arial"/>
        </w:rPr>
        <w:t xml:space="preserve">he concerns </w:t>
      </w:r>
      <w:r>
        <w:rPr>
          <w:rFonts w:ascii="Arial" w:hAnsi="Arial" w:cs="Arial"/>
        </w:rPr>
        <w:t xml:space="preserve">around </w:t>
      </w:r>
      <w:r w:rsidR="00F9533B" w:rsidRPr="00F9533B">
        <w:rPr>
          <w:rFonts w:ascii="Arial" w:hAnsi="Arial" w:cs="Arial"/>
        </w:rPr>
        <w:t xml:space="preserve">voluntary arrangements </w:t>
      </w:r>
      <w:r>
        <w:rPr>
          <w:rFonts w:ascii="Arial" w:hAnsi="Arial" w:cs="Arial"/>
        </w:rPr>
        <w:t xml:space="preserve">are numerous, and this significant </w:t>
      </w:r>
      <w:r w:rsidR="00F9533B" w:rsidRPr="00F9533B">
        <w:rPr>
          <w:rFonts w:ascii="Arial" w:hAnsi="Arial" w:cs="Arial"/>
        </w:rPr>
        <w:t>issue must be rectified.</w:t>
      </w:r>
    </w:p>
    <w:p w14:paraId="2D92B648" w14:textId="4FC589C2" w:rsidR="00215FA9" w:rsidRPr="00D82AA0" w:rsidRDefault="00215FA9" w:rsidP="00CC026C">
      <w:pPr>
        <w:pStyle w:val="ListParagraph"/>
        <w:numPr>
          <w:ilvl w:val="0"/>
          <w:numId w:val="6"/>
        </w:numPr>
        <w:spacing w:before="100" w:beforeAutospacing="1" w:after="100" w:afterAutospacing="1" w:line="360" w:lineRule="auto"/>
        <w:jc w:val="both"/>
        <w:rPr>
          <w:rFonts w:ascii="Arial" w:hAnsi="Arial" w:cs="Arial"/>
          <w:b/>
          <w:bCs/>
        </w:rPr>
      </w:pPr>
      <w:r w:rsidRPr="00D82AA0">
        <w:rPr>
          <w:rFonts w:ascii="Arial" w:hAnsi="Arial" w:cs="Arial"/>
          <w:b/>
          <w:bCs/>
        </w:rPr>
        <w:t xml:space="preserve">Mental Health and Therapeutic Intervention </w:t>
      </w:r>
    </w:p>
    <w:p w14:paraId="6559DEAA" w14:textId="2090EE88" w:rsidR="00C555D4" w:rsidRDefault="00AA14E2" w:rsidP="00630D57">
      <w:pPr>
        <w:spacing w:line="360" w:lineRule="auto"/>
        <w:contextualSpacing/>
        <w:jc w:val="both"/>
        <w:rPr>
          <w:rFonts w:ascii="Arial" w:hAnsi="Arial" w:cs="Arial"/>
        </w:rPr>
      </w:pPr>
      <w:r w:rsidRPr="00D55FC4">
        <w:rPr>
          <w:rFonts w:ascii="Arial" w:hAnsi="Arial" w:cs="Arial"/>
        </w:rPr>
        <w:t xml:space="preserve">EPIC </w:t>
      </w:r>
      <w:r w:rsidR="00193980">
        <w:rPr>
          <w:rFonts w:ascii="Arial" w:hAnsi="Arial" w:cs="Arial"/>
        </w:rPr>
        <w:t>calls</w:t>
      </w:r>
      <w:r w:rsidRPr="00D55FC4">
        <w:rPr>
          <w:rFonts w:ascii="Arial" w:hAnsi="Arial" w:cs="Arial"/>
        </w:rPr>
        <w:t xml:space="preserve"> for mental health support and therapeutic support for all children in care as a matter of course, as well as continued therapeutic support in aftercare and beyond. The current access route is too slow, and often inaccessible to those who have aged out of care but still </w:t>
      </w:r>
      <w:r w:rsidRPr="00D55FC4">
        <w:rPr>
          <w:rFonts w:ascii="Arial" w:hAnsi="Arial" w:cs="Arial"/>
        </w:rPr>
        <w:lastRenderedPageBreak/>
        <w:t xml:space="preserve">require support. </w:t>
      </w:r>
      <w:r w:rsidR="00334049">
        <w:rPr>
          <w:rFonts w:ascii="Arial" w:hAnsi="Arial" w:cs="Arial"/>
        </w:rPr>
        <w:t>U</w:t>
      </w:r>
      <w:r w:rsidRPr="00D55FC4">
        <w:rPr>
          <w:rFonts w:ascii="Arial" w:hAnsi="Arial" w:cs="Arial"/>
        </w:rPr>
        <w:t>nresolved trauma can shape how young people respond to everyday life experiences, including how they respond to the services provided by professionals.</w:t>
      </w:r>
      <w:r w:rsidR="00B92E75">
        <w:rPr>
          <w:rStyle w:val="FootnoteReference"/>
          <w:rFonts w:ascii="Arial" w:hAnsi="Arial" w:cs="Arial"/>
        </w:rPr>
        <w:footnoteReference w:id="43"/>
      </w:r>
      <w:r w:rsidRPr="00D55FC4">
        <w:rPr>
          <w:rFonts w:ascii="Arial" w:hAnsi="Arial" w:cs="Arial"/>
        </w:rPr>
        <w:t xml:space="preserve"> </w:t>
      </w:r>
    </w:p>
    <w:p w14:paraId="387241C3" w14:textId="77777777" w:rsidR="00C555D4" w:rsidRDefault="00C555D4" w:rsidP="00630D57">
      <w:pPr>
        <w:spacing w:line="360" w:lineRule="auto"/>
        <w:contextualSpacing/>
        <w:jc w:val="both"/>
        <w:rPr>
          <w:rFonts w:ascii="Arial" w:hAnsi="Arial" w:cs="Arial"/>
        </w:rPr>
      </w:pPr>
    </w:p>
    <w:p w14:paraId="6CDEA43A" w14:textId="43C00450" w:rsidR="001C349C" w:rsidRDefault="00AA14E2" w:rsidP="00630D57">
      <w:pPr>
        <w:spacing w:line="360" w:lineRule="auto"/>
        <w:contextualSpacing/>
        <w:jc w:val="both"/>
        <w:rPr>
          <w:rFonts w:ascii="Arial" w:hAnsi="Arial" w:cs="Arial"/>
          <w:u w:val="single"/>
        </w:rPr>
      </w:pPr>
      <w:r w:rsidRPr="00D55FC4">
        <w:rPr>
          <w:rFonts w:ascii="Arial" w:hAnsi="Arial" w:cs="Arial"/>
        </w:rPr>
        <w:t>Trauma-informed practice is a framework that is based on knowledge and understanding of how trauma affects people’s lives and their service needs. Many children in care will have been removed from their family in very traumatic circumstances and will have experienced feelings of fear, rejection and powerlessness. Unfortunately, similar feelings re-emerge when children and young people prepare to leave care, and then leave care at 18. This highlights the need for priority access to mental health supports for children in care, leaving care, aftercare and ageing out of care.</w:t>
      </w:r>
    </w:p>
    <w:p w14:paraId="5C1A6F78" w14:textId="77777777" w:rsidR="00630D57" w:rsidRPr="00630D57" w:rsidRDefault="00630D57" w:rsidP="00630D57">
      <w:pPr>
        <w:spacing w:line="360" w:lineRule="auto"/>
        <w:contextualSpacing/>
        <w:jc w:val="both"/>
        <w:rPr>
          <w:rFonts w:ascii="Arial" w:hAnsi="Arial" w:cs="Arial"/>
          <w:u w:val="single"/>
        </w:rPr>
      </w:pPr>
    </w:p>
    <w:p w14:paraId="6A434858" w14:textId="7451C1F7" w:rsidR="00847807" w:rsidRDefault="00215FA9" w:rsidP="00CC026C">
      <w:pPr>
        <w:pStyle w:val="ListParagraph"/>
        <w:numPr>
          <w:ilvl w:val="0"/>
          <w:numId w:val="6"/>
        </w:numPr>
        <w:spacing w:before="100" w:beforeAutospacing="1" w:after="100" w:afterAutospacing="1" w:line="360" w:lineRule="auto"/>
        <w:jc w:val="both"/>
        <w:rPr>
          <w:rFonts w:ascii="Arial" w:hAnsi="Arial" w:cs="Arial"/>
          <w:b/>
          <w:bCs/>
        </w:rPr>
      </w:pPr>
      <w:r w:rsidRPr="00D82AA0">
        <w:rPr>
          <w:rFonts w:ascii="Arial" w:hAnsi="Arial" w:cs="Arial"/>
          <w:b/>
          <w:bCs/>
        </w:rPr>
        <w:t>C</w:t>
      </w:r>
      <w:r w:rsidR="002F7FD5" w:rsidRPr="00D82AA0">
        <w:rPr>
          <w:rFonts w:ascii="Arial" w:hAnsi="Arial" w:cs="Arial"/>
          <w:b/>
          <w:bCs/>
        </w:rPr>
        <w:t>onclusion.</w:t>
      </w:r>
    </w:p>
    <w:p w14:paraId="63C6411A" w14:textId="0E43C7AB" w:rsidR="00C00682" w:rsidRPr="00AF707B" w:rsidRDefault="00C00682" w:rsidP="00C00682">
      <w:pPr>
        <w:spacing w:before="100" w:beforeAutospacing="1" w:after="100" w:afterAutospacing="1" w:line="360" w:lineRule="auto"/>
        <w:jc w:val="both"/>
        <w:rPr>
          <w:rFonts w:ascii="Arial" w:hAnsi="Arial" w:cs="Arial"/>
          <w:color w:val="000000" w:themeColor="text1"/>
        </w:rPr>
      </w:pPr>
      <w:r w:rsidRPr="00AF707B">
        <w:rPr>
          <w:rFonts w:ascii="Arial" w:hAnsi="Arial" w:cs="Arial"/>
          <w:color w:val="000000" w:themeColor="text1"/>
        </w:rPr>
        <w:t xml:space="preserve">The care of children living out of home in Ireland still presents many issues for the young people and for organisations like EPIC who advocate for them. A lack of research creates many difficulties to show empirically the issues and the number of young people affected. </w:t>
      </w:r>
    </w:p>
    <w:p w14:paraId="594FA198" w14:textId="455CE5D6" w:rsidR="00C00682" w:rsidRPr="00AF707B" w:rsidRDefault="00AF707B" w:rsidP="00C00682">
      <w:pPr>
        <w:spacing w:before="100" w:beforeAutospacing="1" w:after="100" w:afterAutospacing="1" w:line="360" w:lineRule="auto"/>
        <w:jc w:val="both"/>
        <w:rPr>
          <w:rFonts w:ascii="Arial" w:hAnsi="Arial" w:cs="Arial"/>
          <w:color w:val="000000" w:themeColor="text1"/>
        </w:rPr>
      </w:pPr>
      <w:r w:rsidRPr="00AF707B">
        <w:rPr>
          <w:rFonts w:ascii="Arial" w:hAnsi="Arial" w:cs="Arial"/>
          <w:color w:val="000000" w:themeColor="text1"/>
        </w:rPr>
        <w:t>EPIC</w:t>
      </w:r>
      <w:r w:rsidR="00C00682" w:rsidRPr="00AF707B">
        <w:rPr>
          <w:rFonts w:ascii="Arial" w:hAnsi="Arial" w:cs="Arial"/>
          <w:color w:val="000000" w:themeColor="text1"/>
        </w:rPr>
        <w:t xml:space="preserve"> recommend</w:t>
      </w:r>
      <w:r w:rsidRPr="00AF707B">
        <w:rPr>
          <w:rFonts w:ascii="Arial" w:hAnsi="Arial" w:cs="Arial"/>
          <w:color w:val="000000" w:themeColor="text1"/>
        </w:rPr>
        <w:t>s</w:t>
      </w:r>
      <w:r w:rsidR="00C00682" w:rsidRPr="00AF707B">
        <w:rPr>
          <w:rFonts w:ascii="Arial" w:hAnsi="Arial" w:cs="Arial"/>
          <w:color w:val="000000" w:themeColor="text1"/>
        </w:rPr>
        <w:t xml:space="preserve"> greater resources to ensure aftercare for all young people turning 18.</w:t>
      </w:r>
    </w:p>
    <w:p w14:paraId="3B26011B" w14:textId="34D3093D" w:rsidR="00C00682" w:rsidRPr="00AF707B" w:rsidRDefault="00C00682" w:rsidP="00C00682">
      <w:pPr>
        <w:spacing w:before="100" w:beforeAutospacing="1" w:after="100" w:afterAutospacing="1" w:line="360" w:lineRule="auto"/>
        <w:jc w:val="both"/>
        <w:rPr>
          <w:rFonts w:ascii="Arial" w:hAnsi="Arial" w:cs="Arial"/>
          <w:color w:val="000000" w:themeColor="text1"/>
        </w:rPr>
      </w:pPr>
      <w:r w:rsidRPr="00AF707B">
        <w:rPr>
          <w:rFonts w:ascii="Arial" w:hAnsi="Arial" w:cs="Arial"/>
          <w:color w:val="000000" w:themeColor="text1"/>
        </w:rPr>
        <w:t>A great emphasis much be placed on keeping families together and when this is not possible, to support sibling a</w:t>
      </w:r>
      <w:r w:rsidR="00AF707B" w:rsidRPr="00AF707B">
        <w:rPr>
          <w:rFonts w:ascii="Arial" w:hAnsi="Arial" w:cs="Arial"/>
          <w:color w:val="000000" w:themeColor="text1"/>
        </w:rPr>
        <w:t>cc</w:t>
      </w:r>
      <w:r w:rsidRPr="00AF707B">
        <w:rPr>
          <w:rFonts w:ascii="Arial" w:hAnsi="Arial" w:cs="Arial"/>
          <w:color w:val="000000" w:themeColor="text1"/>
        </w:rPr>
        <w:t xml:space="preserve">ess. </w:t>
      </w:r>
    </w:p>
    <w:p w14:paraId="6C15C990" w14:textId="7E086D0D" w:rsidR="00C00682" w:rsidRPr="00AF707B" w:rsidRDefault="00C00682" w:rsidP="00C00682">
      <w:pPr>
        <w:spacing w:before="100" w:beforeAutospacing="1" w:after="100" w:afterAutospacing="1" w:line="360" w:lineRule="auto"/>
        <w:jc w:val="both"/>
        <w:rPr>
          <w:rFonts w:ascii="Arial" w:hAnsi="Arial" w:cs="Arial"/>
          <w:color w:val="000000" w:themeColor="text1"/>
        </w:rPr>
      </w:pPr>
      <w:r w:rsidRPr="00AF707B">
        <w:rPr>
          <w:rFonts w:ascii="Arial" w:hAnsi="Arial" w:cs="Arial"/>
          <w:color w:val="000000" w:themeColor="text1"/>
        </w:rPr>
        <w:t>In everyday care, more funding and accessibility for mental health services</w:t>
      </w:r>
      <w:r w:rsidR="007C01E9" w:rsidRPr="00AF707B">
        <w:rPr>
          <w:rFonts w:ascii="Arial" w:hAnsi="Arial" w:cs="Arial"/>
          <w:color w:val="000000" w:themeColor="text1"/>
        </w:rPr>
        <w:t>, therapeutic interventions and emphasis and supports for education must be realised immediately.</w:t>
      </w:r>
    </w:p>
    <w:p w14:paraId="7D55F477" w14:textId="244C778C" w:rsidR="00C00682" w:rsidRPr="00AF707B" w:rsidRDefault="00C00682" w:rsidP="00C00682">
      <w:pPr>
        <w:spacing w:before="100" w:beforeAutospacing="1" w:after="100" w:afterAutospacing="1" w:line="360" w:lineRule="auto"/>
        <w:jc w:val="both"/>
        <w:rPr>
          <w:rFonts w:ascii="Arial" w:hAnsi="Arial" w:cs="Arial"/>
          <w:color w:val="000000" w:themeColor="text1"/>
        </w:rPr>
      </w:pPr>
      <w:r w:rsidRPr="00AF707B">
        <w:rPr>
          <w:rFonts w:ascii="Arial" w:hAnsi="Arial" w:cs="Arial"/>
          <w:color w:val="000000" w:themeColor="text1"/>
        </w:rPr>
        <w:lastRenderedPageBreak/>
        <w:t xml:space="preserve">In broader terms, privatisation of care must be lessened, and a greater emphasis placed on children being in care under a statutory basis. </w:t>
      </w:r>
    </w:p>
    <w:p w14:paraId="2492F806" w14:textId="3C5662CA" w:rsidR="007C01E9" w:rsidRDefault="007C01E9" w:rsidP="00C00682">
      <w:pPr>
        <w:spacing w:before="100" w:beforeAutospacing="1" w:after="100" w:afterAutospacing="1" w:line="360" w:lineRule="auto"/>
        <w:jc w:val="both"/>
        <w:rPr>
          <w:rFonts w:ascii="Arial" w:hAnsi="Arial" w:cs="Arial"/>
          <w:color w:val="000000" w:themeColor="text1"/>
        </w:rPr>
      </w:pPr>
      <w:r w:rsidRPr="00AF707B">
        <w:rPr>
          <w:rFonts w:ascii="Arial" w:hAnsi="Arial" w:cs="Arial"/>
          <w:color w:val="000000" w:themeColor="text1"/>
        </w:rPr>
        <w:t>It is only when these are accomplished that children in care in Ireland can be</w:t>
      </w:r>
      <w:r w:rsidR="00AF707B" w:rsidRPr="00AF707B">
        <w:rPr>
          <w:rFonts w:ascii="Arial" w:hAnsi="Arial" w:cs="Arial"/>
          <w:color w:val="000000" w:themeColor="text1"/>
        </w:rPr>
        <w:t>gin to have</w:t>
      </w:r>
      <w:r w:rsidRPr="00AF707B">
        <w:rPr>
          <w:rFonts w:ascii="Arial" w:hAnsi="Arial" w:cs="Arial"/>
          <w:color w:val="000000" w:themeColor="text1"/>
        </w:rPr>
        <w:t xml:space="preserve"> equal</w:t>
      </w:r>
      <w:r w:rsidR="00AF707B" w:rsidRPr="00AF707B">
        <w:rPr>
          <w:rFonts w:ascii="Arial" w:hAnsi="Arial" w:cs="Arial"/>
          <w:color w:val="000000" w:themeColor="text1"/>
        </w:rPr>
        <w:t>ity of opportunity</w:t>
      </w:r>
      <w:r w:rsidRPr="00AF707B">
        <w:rPr>
          <w:rFonts w:ascii="Arial" w:hAnsi="Arial" w:cs="Arial"/>
          <w:color w:val="000000" w:themeColor="text1"/>
        </w:rPr>
        <w:t xml:space="preserve"> with their peers. </w:t>
      </w:r>
    </w:p>
    <w:p w14:paraId="5918A2F8" w14:textId="5A2CF2BB" w:rsidR="00AF707B" w:rsidRPr="00AF707B" w:rsidRDefault="00AF707B" w:rsidP="00C00682">
      <w:pPr>
        <w:spacing w:before="100" w:beforeAutospacing="1" w:after="100" w:afterAutospacing="1" w:line="360" w:lineRule="auto"/>
        <w:jc w:val="both"/>
        <w:rPr>
          <w:rFonts w:ascii="Arial" w:hAnsi="Arial" w:cs="Arial"/>
          <w:color w:val="000000" w:themeColor="text1"/>
        </w:rPr>
      </w:pPr>
      <w:r>
        <w:rPr>
          <w:rFonts w:ascii="Arial" w:hAnsi="Arial" w:cs="Arial"/>
          <w:color w:val="000000" w:themeColor="text1"/>
        </w:rPr>
        <w:t>EPIC welcomes the opportunity to highlight these issues to the United Nations Committee on the Rights of the Child.</w:t>
      </w:r>
      <w:bookmarkStart w:id="7" w:name="_GoBack"/>
      <w:bookmarkEnd w:id="7"/>
    </w:p>
    <w:p w14:paraId="70E562C2" w14:textId="77777777" w:rsidR="00C00682" w:rsidRPr="00C00682" w:rsidRDefault="00C00682" w:rsidP="00C00682">
      <w:pPr>
        <w:spacing w:before="100" w:beforeAutospacing="1" w:after="100" w:afterAutospacing="1" w:line="360" w:lineRule="auto"/>
        <w:jc w:val="both"/>
        <w:rPr>
          <w:rFonts w:ascii="Arial" w:hAnsi="Arial" w:cs="Arial"/>
          <w:color w:val="4472C4" w:themeColor="accent1"/>
        </w:rPr>
      </w:pPr>
    </w:p>
    <w:p w14:paraId="5BB14488" w14:textId="021BE799" w:rsidR="002F7FD5" w:rsidRPr="002F7FD5" w:rsidRDefault="002F7FD5" w:rsidP="007040FC">
      <w:pPr>
        <w:spacing w:before="100" w:beforeAutospacing="1" w:after="100" w:afterAutospacing="1" w:line="360" w:lineRule="auto"/>
        <w:jc w:val="both"/>
        <w:rPr>
          <w:rFonts w:ascii="Arial" w:hAnsi="Arial" w:cs="Arial"/>
        </w:rPr>
      </w:pPr>
    </w:p>
    <w:sectPr w:rsidR="002F7FD5" w:rsidRPr="002F7FD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D00AD" w14:textId="77777777" w:rsidR="00167A9B" w:rsidRDefault="00167A9B" w:rsidP="00F9533B">
      <w:pPr>
        <w:spacing w:after="0" w:line="240" w:lineRule="auto"/>
      </w:pPr>
      <w:r>
        <w:separator/>
      </w:r>
    </w:p>
  </w:endnote>
  <w:endnote w:type="continuationSeparator" w:id="0">
    <w:p w14:paraId="6CA5B809" w14:textId="77777777" w:rsidR="00167A9B" w:rsidRDefault="00167A9B" w:rsidP="00F95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haris SIL">
    <w:altName w:val="Calibri"/>
    <w:panose1 w:val="00000000000000000000"/>
    <w:charset w:val="00"/>
    <w:family w:val="swiss"/>
    <w:notTrueType/>
    <w:pitch w:val="default"/>
    <w:sig w:usb0="00000003" w:usb1="00000000" w:usb2="00000000" w:usb3="00000000" w:csb0="00000001" w:csb1="00000000"/>
  </w:font>
  <w:font w:name="PalatinoLinotype-Italic">
    <w:altName w:val="Palatino Linotyp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5657047"/>
      <w:docPartObj>
        <w:docPartGallery w:val="Page Numbers (Bottom of Page)"/>
        <w:docPartUnique/>
      </w:docPartObj>
    </w:sdtPr>
    <w:sdtEndPr>
      <w:rPr>
        <w:noProof/>
      </w:rPr>
    </w:sdtEndPr>
    <w:sdtContent>
      <w:p w14:paraId="1C0E7F1C" w14:textId="4D7CDF51" w:rsidR="00982D6D" w:rsidRDefault="000A3C50">
        <w:pPr>
          <w:pStyle w:val="Footer"/>
          <w:jc w:val="right"/>
        </w:pPr>
        <w:r>
          <w:fldChar w:fldCharType="begin"/>
        </w:r>
        <w:r>
          <w:instrText xml:space="preserve"> PAGE   \* MERGEFORMAT </w:instrText>
        </w:r>
        <w:r>
          <w:fldChar w:fldCharType="separate"/>
        </w:r>
        <w:r w:rsidR="00F936E1">
          <w:rPr>
            <w:noProof/>
          </w:rPr>
          <w:t>10</w:t>
        </w:r>
        <w:r>
          <w:rPr>
            <w:noProof/>
          </w:rPr>
          <w:fldChar w:fldCharType="end"/>
        </w:r>
      </w:p>
    </w:sdtContent>
  </w:sdt>
  <w:p w14:paraId="732F06FF" w14:textId="77777777" w:rsidR="00982D6D" w:rsidRDefault="00F936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0D936" w14:textId="77777777" w:rsidR="00167A9B" w:rsidRDefault="00167A9B" w:rsidP="00F9533B">
      <w:pPr>
        <w:spacing w:after="0" w:line="240" w:lineRule="auto"/>
      </w:pPr>
      <w:r>
        <w:separator/>
      </w:r>
    </w:p>
  </w:footnote>
  <w:footnote w:type="continuationSeparator" w:id="0">
    <w:p w14:paraId="46E775D0" w14:textId="77777777" w:rsidR="00167A9B" w:rsidRDefault="00167A9B" w:rsidP="00F9533B">
      <w:pPr>
        <w:spacing w:after="0" w:line="240" w:lineRule="auto"/>
      </w:pPr>
      <w:r>
        <w:continuationSeparator/>
      </w:r>
    </w:p>
  </w:footnote>
  <w:footnote w:id="1">
    <w:p w14:paraId="58F93431" w14:textId="12582F30" w:rsidR="004066F9" w:rsidRDefault="004066F9">
      <w:pPr>
        <w:pStyle w:val="FootnoteText"/>
      </w:pPr>
      <w:r>
        <w:rPr>
          <w:rStyle w:val="FootnoteReference"/>
        </w:rPr>
        <w:footnoteRef/>
      </w:r>
      <w:r>
        <w:t xml:space="preserve"> Ryan, Mr. Justice S. </w:t>
      </w:r>
      <w:r>
        <w:rPr>
          <w:i/>
          <w:iCs/>
        </w:rPr>
        <w:t xml:space="preserve">Commission to Inquire into Child Abuse. </w:t>
      </w:r>
      <w:r>
        <w:t xml:space="preserve">2009, Vol. IV. Chapter 7.  </w:t>
      </w:r>
    </w:p>
  </w:footnote>
  <w:footnote w:id="2">
    <w:p w14:paraId="4B74F340" w14:textId="6737349A" w:rsidR="00812CB2" w:rsidRPr="004C3BA0" w:rsidRDefault="00812CB2">
      <w:pPr>
        <w:pStyle w:val="FootnoteText"/>
        <w:rPr>
          <w:rFonts w:cs="Arial"/>
        </w:rPr>
      </w:pPr>
      <w:r>
        <w:rPr>
          <w:rStyle w:val="FootnoteReference"/>
        </w:rPr>
        <w:footnoteRef/>
      </w:r>
      <w:r>
        <w:t xml:space="preserve"> </w:t>
      </w:r>
      <w:r w:rsidRPr="004C3BA0">
        <w:rPr>
          <w:rFonts w:cs="Arial"/>
        </w:rPr>
        <w:t>As part of the implementation of this Strategy the HSE commissioned a scoping study to identify and document the key issues for consideration in undertaking a research project of this kind. Following this, a feasibility study built on that scoping exercise. This latest study was published in 2018 entitled</w:t>
      </w:r>
      <w:r w:rsidRPr="004C3BA0">
        <w:rPr>
          <w:rFonts w:cs="Arial"/>
          <w:i/>
          <w:iCs/>
        </w:rPr>
        <w:t xml:space="preserve"> The Feasibility of Conducting A Longitudinal Study on Children in Care or Children Leaving Care Within the Irish Context</w:t>
      </w:r>
      <w:r w:rsidR="004C3BA0">
        <w:rPr>
          <w:rFonts w:cs="Arial"/>
          <w:i/>
          <w:iCs/>
        </w:rPr>
        <w:t>.</w:t>
      </w:r>
      <w:r w:rsidR="004C3BA0">
        <w:rPr>
          <w:rFonts w:cs="Arial"/>
        </w:rPr>
        <w:t xml:space="preserve"> </w:t>
      </w:r>
      <w:r w:rsidR="004C3BA0">
        <w:t xml:space="preserve">Devaney, C.; Rooney C; 2018; </w:t>
      </w:r>
      <w:r w:rsidR="004C3BA0" w:rsidRPr="006458D5">
        <w:rPr>
          <w:rFonts w:cs="Arial"/>
          <w:i/>
          <w:iCs/>
        </w:rPr>
        <w:t>The Feasibility of Conducting A Longitudinal Study on Children in Care on Children Leaving Care Within the Irish Context</w:t>
      </w:r>
      <w:r w:rsidR="004C3BA0">
        <w:rPr>
          <w:rFonts w:cs="Arial"/>
        </w:rPr>
        <w:t xml:space="preserve">; available at: </w:t>
      </w:r>
      <w:hyperlink r:id="rId1" w:history="1">
        <w:r w:rsidR="004C3BA0">
          <w:rPr>
            <w:rStyle w:val="Hyperlink"/>
          </w:rPr>
          <w:t>Feasibility_Study_on_Longitudinal_Study.pdf (tusla.ie)</w:t>
        </w:r>
      </w:hyperlink>
      <w:r w:rsidR="004C3BA0">
        <w:t xml:space="preserve"> [accessed January 2021].</w:t>
      </w:r>
    </w:p>
  </w:footnote>
  <w:footnote w:id="3">
    <w:p w14:paraId="654CBE68" w14:textId="7CF153FC" w:rsidR="00E67417" w:rsidRPr="00125886" w:rsidRDefault="00E67417" w:rsidP="00E67417">
      <w:pPr>
        <w:pStyle w:val="FootnoteText"/>
        <w:rPr>
          <w:rFonts w:ascii="Arial" w:hAnsi="Arial" w:cs="Arial"/>
        </w:rPr>
      </w:pPr>
      <w:r>
        <w:rPr>
          <w:rStyle w:val="FootnoteReference"/>
        </w:rPr>
        <w:footnoteRef/>
      </w:r>
      <w:r>
        <w:t xml:space="preserve"> </w:t>
      </w:r>
      <w:r w:rsidR="00E5383B" w:rsidRPr="00C7275D">
        <w:rPr>
          <w:rFonts w:cstheme="minorHAnsi"/>
        </w:rPr>
        <w:t xml:space="preserve">The </w:t>
      </w:r>
      <w:r w:rsidR="00E5383B" w:rsidRPr="00C7275D">
        <w:rPr>
          <w:rFonts w:cstheme="minorHAnsi"/>
          <w:i/>
          <w:iCs/>
        </w:rPr>
        <w:t xml:space="preserve">Growing up in Ireland </w:t>
      </w:r>
      <w:r w:rsidR="00E5383B" w:rsidRPr="00C7275D">
        <w:rPr>
          <w:rFonts w:cstheme="minorHAnsi"/>
        </w:rPr>
        <w:t xml:space="preserve">study and the </w:t>
      </w:r>
      <w:r w:rsidR="00E5383B" w:rsidRPr="00C7275D">
        <w:rPr>
          <w:rFonts w:cstheme="minorHAnsi"/>
          <w:i/>
          <w:iCs/>
        </w:rPr>
        <w:t xml:space="preserve">State of the </w:t>
      </w:r>
      <w:r w:rsidR="007F5CB1" w:rsidRPr="00C7275D">
        <w:rPr>
          <w:rFonts w:cstheme="minorHAnsi"/>
          <w:i/>
          <w:iCs/>
        </w:rPr>
        <w:t>Nation’s</w:t>
      </w:r>
      <w:r w:rsidR="00E5383B" w:rsidRPr="00C7275D">
        <w:rPr>
          <w:rFonts w:cstheme="minorHAnsi"/>
          <w:i/>
          <w:iCs/>
        </w:rPr>
        <w:t xml:space="preserve"> Children</w:t>
      </w:r>
      <w:r w:rsidR="00E5383B" w:rsidRPr="00C7275D">
        <w:rPr>
          <w:rFonts w:cstheme="minorHAnsi"/>
        </w:rPr>
        <w:t xml:space="preserve"> should both have included separate cohorts of children in care to understand fully how they are developing relative to children in the general population.</w:t>
      </w:r>
      <w:r w:rsidR="00E5383B" w:rsidRPr="00812CB2">
        <w:rPr>
          <w:rFonts w:ascii="Arial" w:hAnsi="Arial" w:cs="Arial"/>
        </w:rPr>
        <w:t xml:space="preserve"> </w:t>
      </w:r>
      <w:r>
        <w:t xml:space="preserve">Available at: </w:t>
      </w:r>
      <w:hyperlink r:id="rId2" w:history="1">
        <w:r>
          <w:rPr>
            <w:rStyle w:val="Hyperlink"/>
          </w:rPr>
          <w:t>Growing Up in Ireland – National Longitudinal Study of Children</w:t>
        </w:r>
      </w:hyperlink>
      <w:r>
        <w:t xml:space="preserve"> </w:t>
      </w:r>
      <w:r w:rsidR="00E5383B">
        <w:t xml:space="preserve">and </w:t>
      </w:r>
      <w:hyperlink r:id="rId3" w:anchor=":~:text=The%20State%20of%20the%20Nation%E2%80%99s%20Children%20%28SONC%29%20report,their%20relationships%20with%20their%20parents%20and%20their%20friends." w:history="1">
        <w:r w:rsidR="00E5383B">
          <w:rPr>
            <w:rStyle w:val="Hyperlink"/>
          </w:rPr>
          <w:t>gov.ie - State of the Nation's Children (www.gov.ie)</w:t>
        </w:r>
      </w:hyperlink>
      <w:r w:rsidR="00E5383B">
        <w:t xml:space="preserve"> </w:t>
      </w:r>
      <w:r>
        <w:t>[accessed 0</w:t>
      </w:r>
      <w:r w:rsidR="00E5383B">
        <w:t>5</w:t>
      </w:r>
      <w:r>
        <w:t>.21].</w:t>
      </w:r>
    </w:p>
  </w:footnote>
  <w:footnote w:id="4">
    <w:p w14:paraId="6127E682" w14:textId="77777777" w:rsidR="00F9533B" w:rsidRPr="002E5205" w:rsidRDefault="00F9533B" w:rsidP="00F9533B">
      <w:pPr>
        <w:pStyle w:val="FootnoteText"/>
      </w:pPr>
      <w:r>
        <w:rPr>
          <w:rStyle w:val="FootnoteReference"/>
        </w:rPr>
        <w:footnoteRef/>
      </w:r>
      <w:r>
        <w:t xml:space="preserve"> </w:t>
      </w:r>
      <w:r>
        <w:rPr>
          <w:i/>
          <w:iCs/>
        </w:rPr>
        <w:t>Child Care (Amendment) Act 2015.</w:t>
      </w:r>
      <w:r>
        <w:t xml:space="preserve"> </w:t>
      </w:r>
      <w:hyperlink r:id="rId4" w:history="1">
        <w:r w:rsidRPr="00E12DEA">
          <w:rPr>
            <w:rStyle w:val="Hyperlink"/>
          </w:rPr>
          <w:t>http://www.irishstatutebook.ie/eli/2015/act/45/enacted/en/html</w:t>
        </w:r>
      </w:hyperlink>
      <w:r>
        <w:t xml:space="preserve"> [accessed: 2 June 2021]. </w:t>
      </w:r>
    </w:p>
  </w:footnote>
  <w:footnote w:id="5">
    <w:p w14:paraId="52C2F499" w14:textId="77777777" w:rsidR="00F9533B" w:rsidRPr="002E5205" w:rsidRDefault="00F9533B" w:rsidP="00F9533B">
      <w:pPr>
        <w:pStyle w:val="FootnoteText"/>
        <w:rPr>
          <w:i/>
          <w:iCs/>
        </w:rPr>
      </w:pPr>
      <w:r>
        <w:rPr>
          <w:rStyle w:val="FootnoteReference"/>
        </w:rPr>
        <w:footnoteRef/>
      </w:r>
      <w:r>
        <w:t xml:space="preserve"> </w:t>
      </w:r>
      <w:r>
        <w:rPr>
          <w:i/>
          <w:iCs/>
        </w:rPr>
        <w:t xml:space="preserve">Ibid. </w:t>
      </w:r>
    </w:p>
  </w:footnote>
  <w:footnote w:id="6">
    <w:p w14:paraId="1C2E7696" w14:textId="77777777" w:rsidR="00F9533B" w:rsidRDefault="00F9533B" w:rsidP="00F9533B">
      <w:pPr>
        <w:pStyle w:val="FootnoteText"/>
      </w:pPr>
      <w:r>
        <w:rPr>
          <w:rStyle w:val="FootnoteReference"/>
        </w:rPr>
        <w:footnoteRef/>
      </w:r>
      <w:r>
        <w:t xml:space="preserve"> </w:t>
      </w:r>
      <w:bookmarkStart w:id="0" w:name="_Hlk73609988"/>
      <w:r>
        <w:t xml:space="preserve">McNamara, Dr. D.E., </w:t>
      </w:r>
      <w:r>
        <w:rPr>
          <w:i/>
          <w:iCs/>
        </w:rPr>
        <w:t xml:space="preserve">Developing a Right of Aftercare for Young People Transitioning Out of State Care, </w:t>
      </w:r>
      <w:r>
        <w:t>Irish Journal of Family Law, 2020. p.3.</w:t>
      </w:r>
    </w:p>
    <w:bookmarkEnd w:id="0"/>
  </w:footnote>
  <w:footnote w:id="7">
    <w:p w14:paraId="3D882CA3" w14:textId="77777777" w:rsidR="00F9533B" w:rsidRPr="00842499" w:rsidRDefault="00F9533B" w:rsidP="00F9533B">
      <w:pPr>
        <w:pStyle w:val="FootnoteText"/>
      </w:pPr>
      <w:r>
        <w:rPr>
          <w:rStyle w:val="FootnoteReference"/>
        </w:rPr>
        <w:footnoteRef/>
      </w:r>
      <w:r>
        <w:t xml:space="preserve"> Tusla, </w:t>
      </w:r>
      <w:r>
        <w:rPr>
          <w:i/>
          <w:iCs/>
        </w:rPr>
        <w:t xml:space="preserve">Financial Support in Aftercare. </w:t>
      </w:r>
      <w:r>
        <w:t xml:space="preserve">Child and Family Agency, 2017. </w:t>
      </w:r>
    </w:p>
  </w:footnote>
  <w:footnote w:id="8">
    <w:p w14:paraId="2C254262" w14:textId="77777777" w:rsidR="00F9533B" w:rsidRPr="0047252F" w:rsidRDefault="00F9533B" w:rsidP="00F9533B">
      <w:pPr>
        <w:pStyle w:val="FootnoteText"/>
      </w:pPr>
      <w:r>
        <w:rPr>
          <w:rStyle w:val="FootnoteReference"/>
        </w:rPr>
        <w:footnoteRef/>
      </w:r>
      <w:r>
        <w:t xml:space="preserve"> </w:t>
      </w:r>
      <w:bookmarkStart w:id="1" w:name="_Hlk73610427"/>
      <w:bookmarkStart w:id="2" w:name="_Hlk73609180"/>
      <w:r>
        <w:t xml:space="preserve">McNamara, Dr. D.E., </w:t>
      </w:r>
      <w:r>
        <w:rPr>
          <w:i/>
          <w:iCs/>
        </w:rPr>
        <w:t xml:space="preserve">Developing a Right of Aftercare for Young People Transitioning Out of State Care, </w:t>
      </w:r>
      <w:r>
        <w:t>Irish Journal of Family Law, 2020. p.3.</w:t>
      </w:r>
      <w:bookmarkEnd w:id="1"/>
    </w:p>
    <w:bookmarkEnd w:id="2"/>
  </w:footnote>
  <w:footnote w:id="9">
    <w:p w14:paraId="2C7062EC" w14:textId="77777777" w:rsidR="00F9533B" w:rsidRPr="0047252F" w:rsidRDefault="00F9533B" w:rsidP="00F9533B">
      <w:pPr>
        <w:pStyle w:val="FootnoteText"/>
        <w:rPr>
          <w:rFonts w:cstheme="minorHAnsi"/>
        </w:rPr>
      </w:pPr>
      <w:r>
        <w:rPr>
          <w:rStyle w:val="FootnoteReference"/>
        </w:rPr>
        <w:footnoteRef/>
      </w:r>
      <w:r>
        <w:t xml:space="preserve"> Tusla, </w:t>
      </w:r>
      <w:r w:rsidRPr="0047252F">
        <w:rPr>
          <w:rFonts w:cstheme="minorHAnsi"/>
          <w:i/>
          <w:iCs/>
        </w:rPr>
        <w:t xml:space="preserve">Quarterly Service Performance </w:t>
      </w:r>
      <w:r>
        <w:rPr>
          <w:rFonts w:cstheme="minorHAnsi"/>
          <w:i/>
          <w:iCs/>
        </w:rPr>
        <w:t xml:space="preserve">and </w:t>
      </w:r>
      <w:r w:rsidRPr="0047252F">
        <w:rPr>
          <w:rFonts w:cstheme="minorHAnsi"/>
          <w:i/>
          <w:iCs/>
        </w:rPr>
        <w:t>Activity Report Q</w:t>
      </w:r>
      <w:r>
        <w:rPr>
          <w:rFonts w:cstheme="minorHAnsi"/>
          <w:i/>
          <w:iCs/>
        </w:rPr>
        <w:t>uarter</w:t>
      </w:r>
      <w:r w:rsidRPr="0047252F">
        <w:rPr>
          <w:rFonts w:cstheme="minorHAnsi"/>
          <w:i/>
          <w:iCs/>
        </w:rPr>
        <w:t xml:space="preserve"> 4 2020</w:t>
      </w:r>
      <w:r>
        <w:rPr>
          <w:rFonts w:cstheme="minorHAnsi"/>
          <w:i/>
          <w:iCs/>
        </w:rPr>
        <w:t xml:space="preserve">. </w:t>
      </w:r>
      <w:r>
        <w:rPr>
          <w:rFonts w:cstheme="minorHAnsi"/>
        </w:rPr>
        <w:t xml:space="preserve">March 2021, pgs. 39 &amp; 40. </w:t>
      </w:r>
      <w:hyperlink r:id="rId5" w:history="1">
        <w:r w:rsidRPr="009002EA">
          <w:rPr>
            <w:rStyle w:val="Hyperlink"/>
            <w:rFonts w:cstheme="minorHAnsi"/>
          </w:rPr>
          <w:t>https://www.tusla.ie/uploads/content/Q4_2020_Service_Performance_and_Activity_Report_V1.0.pdf</w:t>
        </w:r>
      </w:hyperlink>
      <w:r>
        <w:rPr>
          <w:rFonts w:cstheme="minorHAnsi"/>
        </w:rPr>
        <w:t xml:space="preserve"> [accessed: 3 June 2021]. </w:t>
      </w:r>
    </w:p>
  </w:footnote>
  <w:footnote w:id="10">
    <w:p w14:paraId="6E8FCFD9" w14:textId="443F946C" w:rsidR="00F9533B" w:rsidRPr="00265167" w:rsidRDefault="00F9533B" w:rsidP="00F9533B">
      <w:pPr>
        <w:autoSpaceDE w:val="0"/>
        <w:autoSpaceDN w:val="0"/>
        <w:adjustRightInd w:val="0"/>
        <w:spacing w:after="0" w:line="240" w:lineRule="auto"/>
        <w:rPr>
          <w:rFonts w:ascii="PalatinoLinotype-Italic" w:hAnsi="PalatinoLinotype-Italic" w:cs="PalatinoLinotype-Italic"/>
          <w:sz w:val="21"/>
          <w:szCs w:val="21"/>
        </w:rPr>
      </w:pPr>
      <w:r>
        <w:rPr>
          <w:rStyle w:val="FootnoteReference"/>
        </w:rPr>
        <w:footnoteRef/>
      </w:r>
      <w:r>
        <w:t xml:space="preserve"> </w:t>
      </w:r>
      <w:r w:rsidRPr="00D9785F">
        <w:rPr>
          <w:rFonts w:cstheme="minorHAnsi"/>
          <w:sz w:val="20"/>
          <w:szCs w:val="20"/>
        </w:rPr>
        <w:t>Focus Ireland</w:t>
      </w:r>
      <w:r w:rsidR="004709A8">
        <w:rPr>
          <w:rFonts w:cstheme="minorHAnsi"/>
          <w:sz w:val="20"/>
          <w:szCs w:val="20"/>
        </w:rPr>
        <w:t>.</w:t>
      </w:r>
      <w:r w:rsidRPr="00D9785F">
        <w:rPr>
          <w:rFonts w:cstheme="minorHAnsi"/>
          <w:sz w:val="20"/>
          <w:szCs w:val="20"/>
        </w:rPr>
        <w:t xml:space="preserve">, </w:t>
      </w:r>
      <w:r w:rsidRPr="00D9785F">
        <w:rPr>
          <w:rFonts w:cstheme="minorHAnsi"/>
          <w:i/>
          <w:iCs/>
          <w:sz w:val="20"/>
          <w:szCs w:val="20"/>
        </w:rPr>
        <w:t xml:space="preserve">We need the next government to understand the urgency of the housing crisis. </w:t>
      </w:r>
      <w:hyperlink r:id="rId6" w:history="1">
        <w:r w:rsidRPr="00D9785F">
          <w:rPr>
            <w:rStyle w:val="Hyperlink"/>
            <w:rFonts w:cstheme="minorHAnsi"/>
            <w:i/>
            <w:iCs/>
            <w:sz w:val="20"/>
            <w:szCs w:val="20"/>
          </w:rPr>
          <w:t>https://www.focusireland.ie/nextgovernment- needs-to-understand- urgency-of-housing-crisis/</w:t>
        </w:r>
      </w:hyperlink>
      <w:r>
        <w:rPr>
          <w:rFonts w:cstheme="minorHAnsi"/>
          <w:i/>
          <w:iCs/>
          <w:sz w:val="20"/>
          <w:szCs w:val="20"/>
        </w:rPr>
        <w:t xml:space="preserve"> </w:t>
      </w:r>
      <w:r>
        <w:rPr>
          <w:rFonts w:cstheme="minorHAnsi"/>
          <w:sz w:val="20"/>
          <w:szCs w:val="20"/>
        </w:rPr>
        <w:t xml:space="preserve">[accessed: 3 June 2021]. </w:t>
      </w:r>
    </w:p>
  </w:footnote>
  <w:footnote w:id="11">
    <w:p w14:paraId="0A260547" w14:textId="140154A2" w:rsidR="003644A1" w:rsidRDefault="003644A1">
      <w:pPr>
        <w:pStyle w:val="FootnoteText"/>
      </w:pPr>
      <w:r>
        <w:rPr>
          <w:rStyle w:val="FootnoteReference"/>
        </w:rPr>
        <w:footnoteRef/>
      </w:r>
      <w:r>
        <w:t xml:space="preserve"> </w:t>
      </w:r>
      <w:r w:rsidR="00B40EF7">
        <w:t xml:space="preserve">Eurostat; 2018; </w:t>
      </w:r>
      <w:hyperlink r:id="rId7" w:history="1">
        <w:r w:rsidR="00B40EF7">
          <w:rPr>
            <w:rStyle w:val="Hyperlink"/>
          </w:rPr>
          <w:t>Bye bye parents: when do young Europeans flee the nest? - Products Eurostat News - Eurostat (europa.eu)</w:t>
        </w:r>
      </w:hyperlink>
      <w:r w:rsidR="00B40EF7">
        <w:t xml:space="preserve"> (accessed </w:t>
      </w:r>
      <w:r w:rsidR="00330A0C">
        <w:t>0</w:t>
      </w:r>
      <w:r w:rsidR="00B40EF7">
        <w:t>5.0</w:t>
      </w:r>
      <w:r w:rsidR="00330A0C">
        <w:t>6</w:t>
      </w:r>
      <w:r w:rsidR="00B40EF7">
        <w:t>.21)</w:t>
      </w:r>
    </w:p>
  </w:footnote>
  <w:footnote w:id="12">
    <w:p w14:paraId="1E25A90D" w14:textId="77777777" w:rsidR="00F9533B" w:rsidRPr="0055516E" w:rsidRDefault="00F9533B" w:rsidP="00F9533B">
      <w:pPr>
        <w:pStyle w:val="FootnoteText"/>
      </w:pPr>
      <w:r>
        <w:rPr>
          <w:rStyle w:val="FootnoteReference"/>
        </w:rPr>
        <w:footnoteRef/>
      </w:r>
      <w:r>
        <w:t xml:space="preserve"> Daly, F., </w:t>
      </w:r>
      <w:r>
        <w:rPr>
          <w:i/>
          <w:iCs/>
        </w:rPr>
        <w:t xml:space="preserve">Report on Advocacy Cases, </w:t>
      </w:r>
      <w:r>
        <w:t>EPIC, August 2020 (unpublished). p. 25.</w:t>
      </w:r>
    </w:p>
  </w:footnote>
  <w:footnote w:id="13">
    <w:p w14:paraId="25D31CE2" w14:textId="77777777" w:rsidR="00F9533B" w:rsidRPr="0055516E" w:rsidRDefault="00F9533B" w:rsidP="00F9533B">
      <w:pPr>
        <w:pStyle w:val="FootnoteText"/>
        <w:rPr>
          <w:rFonts w:cstheme="minorHAnsi"/>
        </w:rPr>
      </w:pPr>
      <w:r>
        <w:rPr>
          <w:rStyle w:val="FootnoteReference"/>
        </w:rPr>
        <w:footnoteRef/>
      </w:r>
      <w:r>
        <w:t xml:space="preserve"> </w:t>
      </w:r>
      <w:r w:rsidRPr="0055516E">
        <w:rPr>
          <w:rFonts w:cstheme="minorHAnsi"/>
        </w:rPr>
        <w:t>Jones</w:t>
      </w:r>
      <w:r>
        <w:rPr>
          <w:rFonts w:cstheme="minorHAnsi"/>
        </w:rPr>
        <w:t xml:space="preserve">, C., </w:t>
      </w:r>
      <w:r w:rsidRPr="0055516E">
        <w:rPr>
          <w:rFonts w:cstheme="minorHAnsi"/>
        </w:rPr>
        <w:t>Henderson</w:t>
      </w:r>
      <w:r>
        <w:rPr>
          <w:rFonts w:cstheme="minorHAnsi"/>
        </w:rPr>
        <w:t xml:space="preserve">, G., </w:t>
      </w:r>
      <w:r w:rsidRPr="0055516E">
        <w:rPr>
          <w:rFonts w:cstheme="minorHAnsi"/>
        </w:rPr>
        <w:t>and</w:t>
      </w:r>
      <w:r>
        <w:rPr>
          <w:rFonts w:cstheme="minorHAnsi"/>
        </w:rPr>
        <w:t xml:space="preserve"> </w:t>
      </w:r>
      <w:r w:rsidRPr="0055516E">
        <w:rPr>
          <w:rFonts w:cstheme="minorHAnsi"/>
        </w:rPr>
        <w:t>Woods,</w:t>
      </w:r>
      <w:r>
        <w:rPr>
          <w:rFonts w:cstheme="minorHAnsi"/>
        </w:rPr>
        <w:t xml:space="preserve"> R., </w:t>
      </w:r>
      <w:r w:rsidRPr="00865A98">
        <w:rPr>
          <w:rFonts w:cstheme="minorHAnsi"/>
          <w:i/>
          <w:iCs/>
        </w:rPr>
        <w:t>Relative strangers: Sibling estrangements experienced by children in out-of-home care and moving towards permanence</w:t>
      </w:r>
      <w:r w:rsidRPr="0055516E">
        <w:rPr>
          <w:rFonts w:cstheme="minorHAnsi"/>
        </w:rPr>
        <w:t>,</w:t>
      </w:r>
      <w:r>
        <w:rPr>
          <w:rFonts w:cstheme="minorHAnsi"/>
        </w:rPr>
        <w:t xml:space="preserve"> </w:t>
      </w:r>
      <w:r w:rsidRPr="0055516E">
        <w:rPr>
          <w:rFonts w:cstheme="minorHAnsi"/>
        </w:rPr>
        <w:t>Children</w:t>
      </w:r>
      <w:r>
        <w:rPr>
          <w:rFonts w:cstheme="minorHAnsi"/>
        </w:rPr>
        <w:t xml:space="preserve"> </w:t>
      </w:r>
      <w:r w:rsidRPr="0055516E">
        <w:rPr>
          <w:rFonts w:cstheme="minorHAnsi"/>
        </w:rPr>
        <w:t>and</w:t>
      </w:r>
      <w:r>
        <w:rPr>
          <w:rFonts w:cstheme="minorHAnsi"/>
        </w:rPr>
        <w:t xml:space="preserve"> </w:t>
      </w:r>
      <w:r w:rsidRPr="0055516E">
        <w:rPr>
          <w:rFonts w:cstheme="minorHAnsi"/>
        </w:rPr>
        <w:t>Youth</w:t>
      </w:r>
      <w:r>
        <w:rPr>
          <w:rFonts w:cstheme="minorHAnsi"/>
        </w:rPr>
        <w:t xml:space="preserve"> </w:t>
      </w:r>
      <w:r w:rsidRPr="0055516E">
        <w:rPr>
          <w:rFonts w:cstheme="minorHAnsi"/>
        </w:rPr>
        <w:t>Services</w:t>
      </w:r>
      <w:r>
        <w:rPr>
          <w:rFonts w:cstheme="minorHAnsi"/>
        </w:rPr>
        <w:t xml:space="preserve"> </w:t>
      </w:r>
      <w:r w:rsidRPr="0055516E">
        <w:rPr>
          <w:rFonts w:cstheme="minorHAnsi"/>
        </w:rPr>
        <w:t>Review</w:t>
      </w:r>
      <w:r>
        <w:rPr>
          <w:rFonts w:cstheme="minorHAnsi"/>
        </w:rPr>
        <w:t>, August 2019, Vol.103 pgs. 226-235. p. 227.</w:t>
      </w:r>
    </w:p>
  </w:footnote>
  <w:footnote w:id="14">
    <w:p w14:paraId="2F07D6AE" w14:textId="77777777" w:rsidR="00F9533B" w:rsidRDefault="00F9533B" w:rsidP="00F9533B">
      <w:pPr>
        <w:pStyle w:val="FootnoteText"/>
      </w:pPr>
      <w:r>
        <w:rPr>
          <w:rStyle w:val="FootnoteReference"/>
        </w:rPr>
        <w:footnoteRef/>
      </w:r>
      <w:r>
        <w:t xml:space="preserve"> </w:t>
      </w:r>
      <w:r w:rsidRPr="00865A98">
        <w:rPr>
          <w:rFonts w:cstheme="minorHAnsi"/>
        </w:rPr>
        <w:t xml:space="preserve">Wojciak, A. S., McWey, L. M., &amp; Helfrich, C. M. </w:t>
      </w:r>
      <w:r w:rsidRPr="00865A98">
        <w:rPr>
          <w:rFonts w:cstheme="minorHAnsi"/>
          <w:i/>
          <w:iCs/>
        </w:rPr>
        <w:t>Sibling relationships and internalizing symptoms of youth in foster care</w:t>
      </w:r>
      <w:r w:rsidRPr="00865A98">
        <w:rPr>
          <w:rFonts w:cstheme="minorHAnsi"/>
        </w:rPr>
        <w:t>.</w:t>
      </w:r>
      <w:r>
        <w:rPr>
          <w:rFonts w:cstheme="minorHAnsi"/>
        </w:rPr>
        <w:t xml:space="preserve"> </w:t>
      </w:r>
      <w:r w:rsidRPr="00865A98">
        <w:rPr>
          <w:rFonts w:cstheme="minorHAnsi"/>
        </w:rPr>
        <w:t>Children and Youth Services Review,</w:t>
      </w:r>
      <w:r>
        <w:rPr>
          <w:rFonts w:cstheme="minorHAnsi"/>
        </w:rPr>
        <w:t xml:space="preserve"> 2013, </w:t>
      </w:r>
      <w:r w:rsidRPr="00865A98">
        <w:rPr>
          <w:rFonts w:cstheme="minorHAnsi"/>
        </w:rPr>
        <w:t>35(7), 1071-1077</w:t>
      </w:r>
      <w:r>
        <w:rPr>
          <w:rFonts w:cstheme="minorHAnsi"/>
        </w:rPr>
        <w:t xml:space="preserve">. </w:t>
      </w:r>
    </w:p>
  </w:footnote>
  <w:footnote w:id="15">
    <w:p w14:paraId="5AC39D1D" w14:textId="77777777" w:rsidR="00F9533B" w:rsidRDefault="00F9533B" w:rsidP="00F9533B">
      <w:pPr>
        <w:pStyle w:val="FootnoteText"/>
        <w:rPr>
          <w:rFonts w:cstheme="minorHAnsi"/>
        </w:rPr>
      </w:pPr>
      <w:r>
        <w:rPr>
          <w:rStyle w:val="FootnoteReference"/>
        </w:rPr>
        <w:footnoteRef/>
      </w:r>
      <w:r>
        <w:t xml:space="preserve"> </w:t>
      </w:r>
      <w:r w:rsidRPr="005378AF">
        <w:rPr>
          <w:rFonts w:cstheme="minorHAnsi"/>
        </w:rPr>
        <w:t>Neil E., Cossar J., Jones C., Lorgelly P.&amp;Young J.</w:t>
      </w:r>
      <w:r>
        <w:rPr>
          <w:rFonts w:cstheme="minorHAnsi"/>
        </w:rPr>
        <w:t xml:space="preserve"> </w:t>
      </w:r>
      <w:r w:rsidRPr="005378AF">
        <w:rPr>
          <w:rFonts w:cstheme="minorHAnsi"/>
          <w:i/>
          <w:iCs/>
        </w:rPr>
        <w:t>Supporting Direct Contact after Adoption</w:t>
      </w:r>
      <w:r w:rsidRPr="005378AF">
        <w:rPr>
          <w:rFonts w:cstheme="minorHAnsi"/>
        </w:rPr>
        <w:t xml:space="preserve">, </w:t>
      </w:r>
      <w:r>
        <w:rPr>
          <w:rFonts w:cstheme="minorHAnsi"/>
        </w:rPr>
        <w:t xml:space="preserve">2011. </w:t>
      </w:r>
      <w:r w:rsidRPr="005378AF">
        <w:rPr>
          <w:rFonts w:cstheme="minorHAnsi"/>
        </w:rPr>
        <w:t>London: BAAF</w:t>
      </w:r>
      <w:r>
        <w:rPr>
          <w:rFonts w:cstheme="minorHAnsi"/>
        </w:rPr>
        <w:t xml:space="preserve">.  </w:t>
      </w:r>
    </w:p>
    <w:p w14:paraId="1D6F3B74" w14:textId="37A811FD" w:rsidR="00F9533B" w:rsidRPr="005378AF" w:rsidRDefault="00F9533B" w:rsidP="00F9533B">
      <w:pPr>
        <w:pStyle w:val="FootnoteText"/>
        <w:rPr>
          <w:rFonts w:cstheme="minorHAnsi"/>
        </w:rPr>
      </w:pPr>
      <w:r w:rsidRPr="005378AF">
        <w:rPr>
          <w:rFonts w:cstheme="minorHAnsi"/>
        </w:rPr>
        <w:t xml:space="preserve">Neil, E., Beek, M., &amp; Ward, E. </w:t>
      </w:r>
      <w:r w:rsidRPr="005378AF">
        <w:rPr>
          <w:rFonts w:cstheme="minorHAnsi"/>
          <w:i/>
          <w:iCs/>
        </w:rPr>
        <w:t>Contact after adoption:</w:t>
      </w:r>
      <w:r w:rsidRPr="005378AF">
        <w:rPr>
          <w:rFonts w:ascii="Arial" w:hAnsi="Arial" w:cs="Arial"/>
          <w:i/>
          <w:iCs/>
          <w:sz w:val="30"/>
          <w:szCs w:val="30"/>
        </w:rPr>
        <w:t xml:space="preserve"> </w:t>
      </w:r>
      <w:r w:rsidRPr="005378AF">
        <w:rPr>
          <w:rFonts w:cstheme="minorHAnsi"/>
          <w:i/>
          <w:iCs/>
        </w:rPr>
        <w:t>a follow-up in late adolescence</w:t>
      </w:r>
      <w:r w:rsidRPr="005378AF">
        <w:rPr>
          <w:rFonts w:cstheme="minorHAnsi"/>
        </w:rPr>
        <w:t>.</w:t>
      </w:r>
      <w:r>
        <w:rPr>
          <w:rFonts w:cstheme="minorHAnsi"/>
        </w:rPr>
        <w:t xml:space="preserve"> 2013.</w:t>
      </w:r>
      <w:r>
        <w:rPr>
          <w:rFonts w:ascii="Arial" w:hAnsi="Arial" w:cs="Arial"/>
          <w:sz w:val="30"/>
          <w:szCs w:val="30"/>
        </w:rPr>
        <w:t xml:space="preserve"> </w:t>
      </w:r>
      <w:r w:rsidRPr="005378AF">
        <w:rPr>
          <w:rFonts w:cstheme="minorHAnsi"/>
        </w:rPr>
        <w:t xml:space="preserve">Norwich: </w:t>
      </w:r>
      <w:r w:rsidR="004709A8" w:rsidRPr="005378AF">
        <w:rPr>
          <w:rFonts w:cstheme="minorHAnsi"/>
        </w:rPr>
        <w:t>The</w:t>
      </w:r>
      <w:r w:rsidRPr="005378AF">
        <w:rPr>
          <w:rFonts w:cstheme="minorHAnsi"/>
        </w:rPr>
        <w:t xml:space="preserve"> Centre for Research on Children and Families, University of East Anglia</w:t>
      </w:r>
      <w:r>
        <w:rPr>
          <w:rFonts w:cstheme="minorHAnsi"/>
        </w:rPr>
        <w:t>.</w:t>
      </w:r>
    </w:p>
  </w:footnote>
  <w:footnote w:id="16">
    <w:p w14:paraId="4F48836B" w14:textId="77777777" w:rsidR="00F9533B" w:rsidRPr="002D50DD" w:rsidRDefault="00F9533B" w:rsidP="00F9533B">
      <w:pPr>
        <w:pStyle w:val="FootnoteText"/>
      </w:pPr>
      <w:r>
        <w:rPr>
          <w:rStyle w:val="FootnoteReference"/>
        </w:rPr>
        <w:footnoteRef/>
      </w:r>
      <w:r>
        <w:t xml:space="preserve"> </w:t>
      </w:r>
      <w:bookmarkStart w:id="4" w:name="_Hlk75785135"/>
      <w:r>
        <w:t xml:space="preserve">Ryan, Mr. Justice S. </w:t>
      </w:r>
      <w:r>
        <w:rPr>
          <w:i/>
          <w:iCs/>
        </w:rPr>
        <w:t xml:space="preserve">Commission to Inquire into Child Abuse. </w:t>
      </w:r>
      <w:r>
        <w:t xml:space="preserve">2009, Vol. IV. Chapter 7.  </w:t>
      </w:r>
      <w:bookmarkEnd w:id="4"/>
    </w:p>
  </w:footnote>
  <w:footnote w:id="17">
    <w:p w14:paraId="2BE67524" w14:textId="77777777" w:rsidR="00F9533B" w:rsidRPr="003012D6" w:rsidRDefault="00F9533B" w:rsidP="00F9533B">
      <w:pPr>
        <w:pStyle w:val="FootnoteText"/>
      </w:pPr>
      <w:r>
        <w:rPr>
          <w:rStyle w:val="FootnoteReference"/>
        </w:rPr>
        <w:footnoteRef/>
      </w:r>
      <w:r>
        <w:t xml:space="preserve"> </w:t>
      </w:r>
      <w:r>
        <w:rPr>
          <w:i/>
          <w:iCs/>
        </w:rPr>
        <w:t xml:space="preserve">Ibid, </w:t>
      </w:r>
      <w:r>
        <w:t xml:space="preserve">Recommendation 7.19. </w:t>
      </w:r>
    </w:p>
  </w:footnote>
  <w:footnote w:id="18">
    <w:p w14:paraId="2A6EB0B3" w14:textId="6A9D94B3" w:rsidR="00B43DC9" w:rsidRDefault="00B43DC9">
      <w:pPr>
        <w:pStyle w:val="FootnoteText"/>
      </w:pPr>
      <w:r>
        <w:rPr>
          <w:rStyle w:val="FootnoteReference"/>
        </w:rPr>
        <w:footnoteRef/>
      </w:r>
      <w:r>
        <w:t xml:space="preserve"> The Child and Family Agency </w:t>
      </w:r>
      <w:hyperlink r:id="rId8" w:history="1">
        <w:r w:rsidRPr="004A5442">
          <w:rPr>
            <w:rStyle w:val="Hyperlink"/>
          </w:rPr>
          <w:t>www.tusla.ie</w:t>
        </w:r>
      </w:hyperlink>
      <w:r>
        <w:t xml:space="preserve"> </w:t>
      </w:r>
    </w:p>
  </w:footnote>
  <w:footnote w:id="19">
    <w:p w14:paraId="49529F3E" w14:textId="41079027" w:rsidR="003551BB" w:rsidRPr="003551BB" w:rsidRDefault="003551BB">
      <w:pPr>
        <w:pStyle w:val="FootnoteText"/>
      </w:pPr>
      <w:r>
        <w:rPr>
          <w:rStyle w:val="FootnoteReference"/>
        </w:rPr>
        <w:footnoteRef/>
      </w:r>
      <w:r>
        <w:t xml:space="preserve"> </w:t>
      </w:r>
      <w:r w:rsidRPr="00774F48">
        <w:rPr>
          <w:rFonts w:ascii="Arial" w:hAnsi="Arial" w:cs="Arial"/>
          <w:color w:val="000000" w:themeColor="text1"/>
        </w:rPr>
        <w:t xml:space="preserve">“Siblings with existing bonds should in principle not be separated by placements in alternative care unless there is a clear risk of abuse or other justification in the best interests of the child. In any case, every effort should be made to enable siblings to maintain contact with each other, unless this is against their wishes or interests.” </w:t>
      </w:r>
      <w:r>
        <w:t xml:space="preserve">United Nations General Assembly, </w:t>
      </w:r>
      <w:r>
        <w:rPr>
          <w:i/>
          <w:iCs/>
        </w:rPr>
        <w:t xml:space="preserve">Guidelines for the Alternative Care of Children, </w:t>
      </w:r>
      <w:r>
        <w:t>24 February 2010, 64/142 p.4.</w:t>
      </w:r>
    </w:p>
  </w:footnote>
  <w:footnote w:id="20">
    <w:p w14:paraId="4328B4AE" w14:textId="77777777" w:rsidR="00F9533B" w:rsidRPr="009B2A4B" w:rsidRDefault="00F9533B" w:rsidP="00F9533B">
      <w:pPr>
        <w:pStyle w:val="FootnoteText"/>
        <w:rPr>
          <w:rFonts w:cstheme="minorHAnsi"/>
        </w:rPr>
      </w:pPr>
      <w:r>
        <w:rPr>
          <w:rStyle w:val="FootnoteReference"/>
        </w:rPr>
        <w:footnoteRef/>
      </w:r>
      <w:r>
        <w:t xml:space="preserve"> </w:t>
      </w:r>
      <w:bookmarkStart w:id="5" w:name="_Hlk73538417"/>
      <w:r>
        <w:t xml:space="preserve">Tusla, </w:t>
      </w:r>
      <w:r w:rsidRPr="009B2A4B">
        <w:rPr>
          <w:rFonts w:cstheme="minorHAnsi"/>
          <w:i/>
          <w:iCs/>
        </w:rPr>
        <w:t>Integrated Performance and Activity Report Q</w:t>
      </w:r>
      <w:r>
        <w:rPr>
          <w:rFonts w:cstheme="minorHAnsi"/>
          <w:i/>
          <w:iCs/>
        </w:rPr>
        <w:t>uarter</w:t>
      </w:r>
      <w:r w:rsidRPr="009B2A4B">
        <w:rPr>
          <w:rFonts w:cstheme="minorHAnsi"/>
          <w:i/>
          <w:iCs/>
        </w:rPr>
        <w:t xml:space="preserve"> 1 2015</w:t>
      </w:r>
      <w:r>
        <w:rPr>
          <w:rFonts w:cstheme="minorHAnsi"/>
          <w:i/>
          <w:iCs/>
        </w:rPr>
        <w:t xml:space="preserve">. </w:t>
      </w:r>
      <w:r>
        <w:rPr>
          <w:rFonts w:cstheme="minorHAnsi"/>
        </w:rPr>
        <w:t>May 2015. p.21.</w:t>
      </w:r>
      <w:bookmarkEnd w:id="5"/>
    </w:p>
  </w:footnote>
  <w:footnote w:id="21">
    <w:p w14:paraId="0BA83F72" w14:textId="77777777" w:rsidR="00F9533B" w:rsidRPr="009B2A4B" w:rsidRDefault="00F9533B" w:rsidP="00F9533B">
      <w:pPr>
        <w:pStyle w:val="FootnoteText"/>
        <w:rPr>
          <w:rFonts w:cstheme="minorHAnsi"/>
        </w:rPr>
      </w:pPr>
      <w:r>
        <w:rPr>
          <w:rStyle w:val="FootnoteReference"/>
        </w:rPr>
        <w:footnoteRef/>
      </w:r>
      <w:r>
        <w:t xml:space="preserve"> </w:t>
      </w:r>
      <w:bookmarkStart w:id="6" w:name="_Hlk73541454"/>
      <w:r>
        <w:t xml:space="preserve">Tusla, </w:t>
      </w:r>
      <w:r w:rsidRPr="009B2A4B">
        <w:rPr>
          <w:rFonts w:cstheme="minorHAnsi"/>
          <w:i/>
          <w:iCs/>
        </w:rPr>
        <w:t>Quarterly Service Performance and Activity Report</w:t>
      </w:r>
      <w:r>
        <w:rPr>
          <w:rFonts w:cstheme="minorHAnsi"/>
          <w:i/>
          <w:iCs/>
        </w:rPr>
        <w:t xml:space="preserve"> </w:t>
      </w:r>
      <w:r w:rsidRPr="009B2A4B">
        <w:rPr>
          <w:rFonts w:cstheme="minorHAnsi"/>
          <w:i/>
          <w:iCs/>
        </w:rPr>
        <w:t>Q</w:t>
      </w:r>
      <w:r>
        <w:rPr>
          <w:rFonts w:cstheme="minorHAnsi"/>
          <w:i/>
          <w:iCs/>
        </w:rPr>
        <w:t>uarter</w:t>
      </w:r>
      <w:r w:rsidRPr="009B2A4B">
        <w:rPr>
          <w:rFonts w:cstheme="minorHAnsi"/>
        </w:rPr>
        <w:t xml:space="preserve"> 4 2020</w:t>
      </w:r>
      <w:r>
        <w:rPr>
          <w:rFonts w:cstheme="minorHAnsi"/>
        </w:rPr>
        <w:t>, p.32.</w:t>
      </w:r>
    </w:p>
    <w:bookmarkEnd w:id="6"/>
  </w:footnote>
  <w:footnote w:id="22">
    <w:p w14:paraId="5096AFC9" w14:textId="77777777" w:rsidR="00F9533B" w:rsidRDefault="00F9533B" w:rsidP="00F9533B">
      <w:pPr>
        <w:pStyle w:val="FootnoteText"/>
      </w:pPr>
      <w:r>
        <w:rPr>
          <w:rStyle w:val="FootnoteReference"/>
        </w:rPr>
        <w:footnoteRef/>
      </w:r>
      <w:r>
        <w:t xml:space="preserve"> Tusla, </w:t>
      </w:r>
      <w:r w:rsidRPr="009B2A4B">
        <w:rPr>
          <w:rFonts w:cstheme="minorHAnsi"/>
          <w:i/>
          <w:iCs/>
        </w:rPr>
        <w:t>Integrated Performance and Activity Report Q</w:t>
      </w:r>
      <w:r>
        <w:rPr>
          <w:rFonts w:cstheme="minorHAnsi"/>
          <w:i/>
          <w:iCs/>
        </w:rPr>
        <w:t>uarter</w:t>
      </w:r>
      <w:r w:rsidRPr="009B2A4B">
        <w:rPr>
          <w:rFonts w:cstheme="minorHAnsi"/>
          <w:i/>
          <w:iCs/>
        </w:rPr>
        <w:t xml:space="preserve"> 1 2015</w:t>
      </w:r>
      <w:r>
        <w:rPr>
          <w:rFonts w:cstheme="minorHAnsi"/>
          <w:i/>
          <w:iCs/>
        </w:rPr>
        <w:t xml:space="preserve">. </w:t>
      </w:r>
      <w:r>
        <w:rPr>
          <w:rFonts w:cstheme="minorHAnsi"/>
        </w:rPr>
        <w:t>May 2015. p.19.</w:t>
      </w:r>
    </w:p>
  </w:footnote>
  <w:footnote w:id="23">
    <w:p w14:paraId="3FE294C6" w14:textId="77777777" w:rsidR="00F9533B" w:rsidRPr="00117086" w:rsidRDefault="00F9533B" w:rsidP="00F9533B">
      <w:pPr>
        <w:pStyle w:val="FootnoteText"/>
        <w:rPr>
          <w:rFonts w:cstheme="minorHAnsi"/>
        </w:rPr>
      </w:pPr>
      <w:r>
        <w:rPr>
          <w:rStyle w:val="FootnoteReference"/>
        </w:rPr>
        <w:footnoteRef/>
      </w:r>
      <w:r>
        <w:t xml:space="preserve"> Tusla, </w:t>
      </w:r>
      <w:r w:rsidRPr="009B2A4B">
        <w:rPr>
          <w:rFonts w:cstheme="minorHAnsi"/>
          <w:i/>
          <w:iCs/>
        </w:rPr>
        <w:t>Quarterly Service Performance and Activity Report</w:t>
      </w:r>
      <w:r>
        <w:rPr>
          <w:rFonts w:cstheme="minorHAnsi"/>
          <w:i/>
          <w:iCs/>
        </w:rPr>
        <w:t xml:space="preserve"> </w:t>
      </w:r>
      <w:r w:rsidRPr="009B2A4B">
        <w:rPr>
          <w:rFonts w:cstheme="minorHAnsi"/>
          <w:i/>
          <w:iCs/>
        </w:rPr>
        <w:t>Q</w:t>
      </w:r>
      <w:r>
        <w:rPr>
          <w:rFonts w:cstheme="minorHAnsi"/>
          <w:i/>
          <w:iCs/>
        </w:rPr>
        <w:t>uarter</w:t>
      </w:r>
      <w:r w:rsidRPr="009B2A4B">
        <w:rPr>
          <w:rFonts w:cstheme="minorHAnsi"/>
        </w:rPr>
        <w:t xml:space="preserve"> 4 2020</w:t>
      </w:r>
      <w:r>
        <w:rPr>
          <w:rFonts w:cstheme="minorHAnsi"/>
        </w:rPr>
        <w:t>, p.29.</w:t>
      </w:r>
    </w:p>
  </w:footnote>
  <w:footnote w:id="24">
    <w:p w14:paraId="7AB1013A" w14:textId="762DBEBE" w:rsidR="000A2F9C" w:rsidRDefault="000A2F9C">
      <w:pPr>
        <w:pStyle w:val="FootnoteText"/>
      </w:pPr>
      <w:r>
        <w:rPr>
          <w:rStyle w:val="FootnoteReference"/>
        </w:rPr>
        <w:footnoteRef/>
      </w:r>
      <w:r>
        <w:t xml:space="preserve"> </w:t>
      </w:r>
      <w:r>
        <w:rPr>
          <w:rFonts w:ascii="Arial" w:eastAsia="Times New Roman" w:hAnsi="Arial" w:cs="Arial"/>
          <w:lang w:eastAsia="en-IE"/>
        </w:rPr>
        <w:t>A m</w:t>
      </w:r>
      <w:r w:rsidRPr="00F9533B">
        <w:rPr>
          <w:rFonts w:ascii="Arial" w:eastAsia="Times New Roman" w:hAnsi="Arial" w:cs="Arial"/>
          <w:lang w:eastAsia="en-IE"/>
        </w:rPr>
        <w:t>ember of parliament</w:t>
      </w:r>
      <w:r>
        <w:rPr>
          <w:rFonts w:ascii="Arial" w:eastAsia="Times New Roman" w:hAnsi="Arial" w:cs="Arial"/>
          <w:lang w:eastAsia="en-IE"/>
        </w:rPr>
        <w:t>.</w:t>
      </w:r>
    </w:p>
  </w:footnote>
  <w:footnote w:id="25">
    <w:p w14:paraId="72725934" w14:textId="77777777" w:rsidR="00F9533B" w:rsidRPr="00325B50" w:rsidRDefault="00F9533B" w:rsidP="00F9533B">
      <w:pPr>
        <w:pStyle w:val="Heading1"/>
        <w:spacing w:before="0" w:line="240" w:lineRule="auto"/>
        <w:rPr>
          <w:rFonts w:asciiTheme="minorHAnsi" w:eastAsia="Times New Roman" w:hAnsiTheme="minorHAnsi" w:cstheme="minorHAnsi"/>
          <w:color w:val="auto"/>
          <w:kern w:val="36"/>
          <w:sz w:val="20"/>
          <w:szCs w:val="20"/>
          <w:lang w:eastAsia="en-IE"/>
        </w:rPr>
      </w:pPr>
      <w:r w:rsidRPr="006517A2">
        <w:rPr>
          <w:rStyle w:val="FootnoteReference"/>
          <w:rFonts w:asciiTheme="minorHAnsi" w:hAnsiTheme="minorHAnsi" w:cstheme="minorHAnsi"/>
          <w:color w:val="auto"/>
          <w:sz w:val="22"/>
          <w:szCs w:val="22"/>
        </w:rPr>
        <w:footnoteRef/>
      </w:r>
      <w:r w:rsidRPr="006517A2">
        <w:rPr>
          <w:rFonts w:asciiTheme="minorHAnsi" w:hAnsiTheme="minorHAnsi" w:cstheme="minorHAnsi"/>
          <w:color w:val="auto"/>
          <w:sz w:val="22"/>
          <w:szCs w:val="22"/>
        </w:rPr>
        <w:t xml:space="preserve"> </w:t>
      </w:r>
      <w:r w:rsidRPr="006517A2">
        <w:rPr>
          <w:rFonts w:asciiTheme="minorHAnsi" w:hAnsiTheme="minorHAnsi" w:cstheme="minorHAnsi"/>
          <w:color w:val="auto"/>
          <w:sz w:val="20"/>
          <w:szCs w:val="20"/>
        </w:rPr>
        <w:t xml:space="preserve">Costello, P., </w:t>
      </w:r>
      <w:r w:rsidRPr="006517A2">
        <w:rPr>
          <w:rFonts w:asciiTheme="minorHAnsi" w:eastAsia="Times New Roman" w:hAnsiTheme="minorHAnsi" w:cstheme="minorHAnsi"/>
          <w:i/>
          <w:iCs/>
          <w:color w:val="auto"/>
          <w:kern w:val="36"/>
          <w:sz w:val="20"/>
          <w:szCs w:val="20"/>
          <w:lang w:eastAsia="en-IE"/>
        </w:rPr>
        <w:t>Opinion: Foster care is in trouble in Ireland and its privatisation is not the answer</w:t>
      </w:r>
      <w:r>
        <w:rPr>
          <w:rFonts w:asciiTheme="minorHAnsi" w:eastAsia="Times New Roman" w:hAnsiTheme="minorHAnsi" w:cstheme="minorHAnsi"/>
          <w:i/>
          <w:iCs/>
          <w:color w:val="auto"/>
          <w:kern w:val="36"/>
          <w:sz w:val="20"/>
          <w:szCs w:val="20"/>
          <w:lang w:eastAsia="en-IE"/>
        </w:rPr>
        <w:t xml:space="preserve">. </w:t>
      </w:r>
      <w:r>
        <w:rPr>
          <w:rFonts w:asciiTheme="minorHAnsi" w:eastAsia="Times New Roman" w:hAnsiTheme="minorHAnsi" w:cstheme="minorHAnsi"/>
          <w:color w:val="auto"/>
          <w:kern w:val="36"/>
          <w:sz w:val="20"/>
          <w:szCs w:val="20"/>
          <w:lang w:eastAsia="en-IE"/>
        </w:rPr>
        <w:t xml:space="preserve">The Journal. </w:t>
      </w:r>
      <w:r w:rsidRPr="00F9533B">
        <w:rPr>
          <w:rFonts w:asciiTheme="minorHAnsi" w:eastAsia="Times New Roman" w:hAnsiTheme="minorHAnsi" w:cstheme="minorHAnsi"/>
          <w:color w:val="auto"/>
          <w:kern w:val="36"/>
          <w:sz w:val="20"/>
          <w:szCs w:val="20"/>
          <w:lang w:eastAsia="en-IE"/>
        </w:rPr>
        <w:t xml:space="preserve">14 September 2020. </w:t>
      </w:r>
      <w:hyperlink r:id="rId9" w:history="1">
        <w:r w:rsidRPr="00F9533B">
          <w:rPr>
            <w:rStyle w:val="Hyperlink"/>
            <w:rFonts w:asciiTheme="minorHAnsi" w:eastAsia="Times New Roman" w:hAnsiTheme="minorHAnsi" w:cstheme="minorHAnsi"/>
            <w:color w:val="auto"/>
            <w:kern w:val="36"/>
            <w:sz w:val="20"/>
            <w:szCs w:val="20"/>
            <w:u w:val="none"/>
            <w:lang w:eastAsia="en-IE"/>
          </w:rPr>
          <w:t>https://www.thejournal.ie/readme/fostering-coronavirus-5160844-Sep2020/</w:t>
        </w:r>
      </w:hyperlink>
      <w:r w:rsidRPr="00F9533B">
        <w:rPr>
          <w:rFonts w:asciiTheme="minorHAnsi" w:eastAsia="Times New Roman" w:hAnsiTheme="minorHAnsi" w:cstheme="minorHAnsi"/>
          <w:color w:val="auto"/>
          <w:kern w:val="36"/>
          <w:sz w:val="20"/>
          <w:szCs w:val="20"/>
          <w:lang w:eastAsia="en-IE"/>
        </w:rPr>
        <w:t xml:space="preserve"> [accessed</w:t>
      </w:r>
      <w:r>
        <w:rPr>
          <w:rFonts w:asciiTheme="minorHAnsi" w:eastAsia="Times New Roman" w:hAnsiTheme="minorHAnsi" w:cstheme="minorHAnsi"/>
          <w:color w:val="auto"/>
          <w:kern w:val="36"/>
          <w:sz w:val="20"/>
          <w:szCs w:val="20"/>
          <w:lang w:eastAsia="en-IE"/>
        </w:rPr>
        <w:t xml:space="preserve">: 1 June 2021]. </w:t>
      </w:r>
    </w:p>
  </w:footnote>
  <w:footnote w:id="26">
    <w:p w14:paraId="182B1A3D" w14:textId="607C5506" w:rsidR="000A2F9C" w:rsidRDefault="000A2F9C">
      <w:pPr>
        <w:pStyle w:val="FootnoteText"/>
      </w:pPr>
      <w:r>
        <w:rPr>
          <w:rStyle w:val="FootnoteReference"/>
        </w:rPr>
        <w:footnoteRef/>
      </w:r>
      <w:r>
        <w:t xml:space="preserve"> </w:t>
      </w:r>
      <w:r w:rsidRPr="00F9533B">
        <w:rPr>
          <w:rFonts w:ascii="Arial" w:hAnsi="Arial" w:cs="Arial"/>
        </w:rPr>
        <w:t>incl</w:t>
      </w:r>
      <w:r>
        <w:rPr>
          <w:rFonts w:ascii="Arial" w:hAnsi="Arial" w:cs="Arial"/>
        </w:rPr>
        <w:t>uding</w:t>
      </w:r>
      <w:r w:rsidRPr="00F9533B">
        <w:rPr>
          <w:rFonts w:ascii="Arial" w:hAnsi="Arial" w:cs="Arial"/>
        </w:rPr>
        <w:t xml:space="preserve"> administrative and development cost</w:t>
      </w:r>
      <w:r>
        <w:rPr>
          <w:rFonts w:ascii="Arial" w:hAnsi="Arial" w:cs="Arial"/>
        </w:rPr>
        <w:t>.</w:t>
      </w:r>
    </w:p>
  </w:footnote>
  <w:footnote w:id="27">
    <w:p w14:paraId="27D50199" w14:textId="77777777" w:rsidR="00F9533B" w:rsidRDefault="00F9533B" w:rsidP="00F9533B">
      <w:pPr>
        <w:pStyle w:val="FootnoteText"/>
      </w:pPr>
      <w:r>
        <w:rPr>
          <w:rStyle w:val="FootnoteReference"/>
        </w:rPr>
        <w:footnoteRef/>
      </w:r>
      <w:r>
        <w:t xml:space="preserve"> </w:t>
      </w:r>
      <w:r w:rsidRPr="00E11965">
        <w:rPr>
          <w:rFonts w:cstheme="minorHAnsi"/>
        </w:rPr>
        <w:t xml:space="preserve">R. Branigan &amp; C. Madden, </w:t>
      </w:r>
      <w:r w:rsidRPr="00353662">
        <w:rPr>
          <w:rFonts w:cstheme="minorHAnsi"/>
          <w:i/>
          <w:iCs/>
        </w:rPr>
        <w:t xml:space="preserve">Spending Review 2020 </w:t>
      </w:r>
      <w:r w:rsidRPr="00E11965">
        <w:rPr>
          <w:rFonts w:cstheme="minorHAnsi"/>
          <w:i/>
          <w:iCs/>
        </w:rPr>
        <w:t>Tusla Residential Care Costs.</w:t>
      </w:r>
      <w:r w:rsidRPr="00E11965">
        <w:rPr>
          <w:rFonts w:cstheme="minorHAnsi"/>
        </w:rPr>
        <w:t xml:space="preserve"> DCYA</w:t>
      </w:r>
      <w:r w:rsidRPr="00E11965">
        <w:rPr>
          <w:rFonts w:cstheme="minorHAnsi"/>
          <w:i/>
          <w:iCs/>
        </w:rPr>
        <w:t xml:space="preserve">, </w:t>
      </w:r>
      <w:r w:rsidRPr="00E11965">
        <w:rPr>
          <w:rFonts w:cstheme="minorHAnsi"/>
        </w:rPr>
        <w:t>October 2020.</w:t>
      </w:r>
      <w:r>
        <w:rPr>
          <w:rFonts w:cstheme="minorHAnsi"/>
        </w:rPr>
        <w:t xml:space="preserve"> p. 37</w:t>
      </w:r>
    </w:p>
  </w:footnote>
  <w:footnote w:id="28">
    <w:p w14:paraId="31AB1F07" w14:textId="77777777" w:rsidR="00F9533B" w:rsidRPr="00885DEA" w:rsidRDefault="00F9533B" w:rsidP="00F9533B">
      <w:pPr>
        <w:pStyle w:val="FootnoteText"/>
      </w:pPr>
      <w:r>
        <w:rPr>
          <w:rStyle w:val="FootnoteReference"/>
        </w:rPr>
        <w:footnoteRef/>
      </w:r>
      <w:r>
        <w:t xml:space="preserve"> </w:t>
      </w:r>
      <w:r>
        <w:rPr>
          <w:i/>
          <w:iCs/>
        </w:rPr>
        <w:t xml:space="preserve">Ibid. </w:t>
      </w:r>
      <w:r>
        <w:t>p. 38.</w:t>
      </w:r>
    </w:p>
  </w:footnote>
  <w:footnote w:id="29">
    <w:p w14:paraId="0CD21E39" w14:textId="77777777" w:rsidR="00F9533B" w:rsidRPr="00657694" w:rsidRDefault="00F9533B" w:rsidP="00F9533B">
      <w:pPr>
        <w:pStyle w:val="FootnoteText"/>
      </w:pPr>
      <w:r>
        <w:rPr>
          <w:rStyle w:val="FootnoteReference"/>
        </w:rPr>
        <w:footnoteRef/>
      </w:r>
      <w:r>
        <w:t xml:space="preserve"> </w:t>
      </w:r>
      <w:r>
        <w:rPr>
          <w:i/>
          <w:iCs/>
        </w:rPr>
        <w:t xml:space="preserve">Ibid. </w:t>
      </w:r>
      <w:r>
        <w:t xml:space="preserve">p. ix. </w:t>
      </w:r>
    </w:p>
  </w:footnote>
  <w:footnote w:id="30">
    <w:p w14:paraId="73DE198A" w14:textId="77777777" w:rsidR="00F9533B" w:rsidRPr="00867E6D" w:rsidRDefault="00F9533B" w:rsidP="00F9533B">
      <w:pPr>
        <w:pStyle w:val="FootnoteText"/>
        <w:rPr>
          <w:i/>
          <w:iCs/>
        </w:rPr>
      </w:pPr>
      <w:r>
        <w:rPr>
          <w:rStyle w:val="FootnoteReference"/>
        </w:rPr>
        <w:footnoteRef/>
      </w:r>
      <w:r>
        <w:t xml:space="preserve"> </w:t>
      </w:r>
      <w:r>
        <w:rPr>
          <w:i/>
          <w:iCs/>
        </w:rPr>
        <w:t xml:space="preserve">Ibid. </w:t>
      </w:r>
    </w:p>
  </w:footnote>
  <w:footnote w:id="31">
    <w:p w14:paraId="2A86C31D" w14:textId="77777777" w:rsidR="00F9533B" w:rsidRPr="00863845" w:rsidRDefault="00F9533B" w:rsidP="00F9533B">
      <w:pPr>
        <w:pStyle w:val="FootnoteText"/>
        <w:rPr>
          <w:i/>
          <w:lang w:val="en-GB"/>
        </w:rPr>
      </w:pPr>
      <w:r>
        <w:rPr>
          <w:rStyle w:val="FootnoteReference"/>
        </w:rPr>
        <w:footnoteRef/>
      </w:r>
      <w:r>
        <w:t xml:space="preserve"> </w:t>
      </w:r>
      <w:r>
        <w:rPr>
          <w:lang w:val="en-GB"/>
        </w:rPr>
        <w:t xml:space="preserve">Tusla, </w:t>
      </w:r>
      <w:r>
        <w:rPr>
          <w:i/>
          <w:lang w:val="en-GB"/>
        </w:rPr>
        <w:t xml:space="preserve">Annual Review on the Adequacy of Child Care and Family Support Services 2019. </w:t>
      </w:r>
      <w:r>
        <w:rPr>
          <w:lang w:val="en-GB"/>
        </w:rPr>
        <w:t>November 2020, p.62.</w:t>
      </w:r>
      <w:r>
        <w:rPr>
          <w:i/>
          <w:lang w:val="en-GB"/>
        </w:rPr>
        <w:t xml:space="preserve"> </w:t>
      </w:r>
    </w:p>
  </w:footnote>
  <w:footnote w:id="32">
    <w:p w14:paraId="0EF7EC4E" w14:textId="77777777" w:rsidR="00F9533B" w:rsidRPr="001748DB" w:rsidRDefault="00F9533B" w:rsidP="00F9533B">
      <w:pPr>
        <w:pStyle w:val="NoSpacing"/>
        <w:rPr>
          <w:lang w:val="en-GB"/>
        </w:rPr>
      </w:pPr>
      <w:r>
        <w:rPr>
          <w:rStyle w:val="FootnoteReference"/>
        </w:rPr>
        <w:footnoteRef/>
      </w:r>
      <w:r>
        <w:t xml:space="preserve"> </w:t>
      </w:r>
      <w:r w:rsidRPr="001748DB">
        <w:rPr>
          <w:sz w:val="20"/>
          <w:szCs w:val="20"/>
        </w:rPr>
        <w:t xml:space="preserve">Office of the Ombudsman’s Office, </w:t>
      </w:r>
      <w:r w:rsidRPr="001748DB">
        <w:rPr>
          <w:sz w:val="20"/>
          <w:szCs w:val="20"/>
          <w:lang w:val="en-GB"/>
        </w:rPr>
        <w:t>Department of Children and Youth Affairs, Submission by the Ombudsman’s Office.  23 February 2018</w:t>
      </w:r>
      <w:r>
        <w:rPr>
          <w:sz w:val="20"/>
          <w:szCs w:val="20"/>
          <w:lang w:val="en-GB"/>
        </w:rPr>
        <w:t>.p.19.</w:t>
      </w:r>
    </w:p>
  </w:footnote>
  <w:footnote w:id="33">
    <w:p w14:paraId="58312BB9" w14:textId="77777777" w:rsidR="00F9533B" w:rsidRPr="00EE0027" w:rsidRDefault="00F9533B" w:rsidP="00F9533B">
      <w:pPr>
        <w:pStyle w:val="FootnoteText"/>
        <w:rPr>
          <w:lang w:val="en-GB"/>
        </w:rPr>
      </w:pPr>
      <w:r>
        <w:rPr>
          <w:rStyle w:val="FootnoteReference"/>
        </w:rPr>
        <w:footnoteRef/>
      </w:r>
      <w:r>
        <w:t xml:space="preserve"> </w:t>
      </w:r>
      <w:r>
        <w:rPr>
          <w:rFonts w:ascii="Arial" w:hAnsi="Arial" w:cs="Arial"/>
        </w:rPr>
        <w:t xml:space="preserve">Council of Europe </w:t>
      </w:r>
      <w:r w:rsidRPr="00EE0027">
        <w:rPr>
          <w:rFonts w:ascii="Arial" w:hAnsi="Arial" w:cs="Arial"/>
          <w:i/>
        </w:rPr>
        <w:t>Children’s rights and social services friendly to children</w:t>
      </w:r>
      <w:r>
        <w:rPr>
          <w:rFonts w:ascii="Arial" w:hAnsi="Arial" w:cs="Arial"/>
          <w:i/>
        </w:rPr>
        <w:t xml:space="preserve"> and families. </w:t>
      </w:r>
      <w:r>
        <w:t xml:space="preserve">Recommendation CM/Rec (2011)12 2011. </w:t>
      </w:r>
    </w:p>
  </w:footnote>
  <w:footnote w:id="34">
    <w:p w14:paraId="71674BAB" w14:textId="77777777" w:rsidR="00F9533B" w:rsidRPr="00EE0027" w:rsidRDefault="00F9533B" w:rsidP="00F9533B">
      <w:pPr>
        <w:pStyle w:val="FootnoteText"/>
        <w:rPr>
          <w:lang w:val="en-GB"/>
        </w:rPr>
      </w:pPr>
      <w:r>
        <w:rPr>
          <w:rStyle w:val="FootnoteReference"/>
        </w:rPr>
        <w:footnoteRef/>
      </w:r>
      <w:r>
        <w:t xml:space="preserve"> </w:t>
      </w:r>
      <w:r>
        <w:rPr>
          <w:i/>
          <w:lang w:val="en-GB"/>
        </w:rPr>
        <w:t xml:space="preserve">Ibid. </w:t>
      </w:r>
      <w:r>
        <w:rPr>
          <w:lang w:val="en-GB"/>
        </w:rPr>
        <w:t>p.11.</w:t>
      </w:r>
    </w:p>
  </w:footnote>
  <w:footnote w:id="35">
    <w:p w14:paraId="22CEDBCE" w14:textId="77777777" w:rsidR="00F9533B" w:rsidRPr="00545FFD" w:rsidRDefault="00F9533B" w:rsidP="00F9533B">
      <w:pPr>
        <w:pStyle w:val="FootnoteText"/>
        <w:rPr>
          <w:lang w:val="en-GB"/>
        </w:rPr>
      </w:pPr>
      <w:r>
        <w:rPr>
          <w:rStyle w:val="FootnoteReference"/>
        </w:rPr>
        <w:footnoteRef/>
      </w:r>
      <w:r>
        <w:t xml:space="preserve"> </w:t>
      </w:r>
      <w:r w:rsidRPr="001748DB">
        <w:t xml:space="preserve">Office of the Ombudsman’s Office, </w:t>
      </w:r>
      <w:r w:rsidRPr="001748DB">
        <w:rPr>
          <w:lang w:val="en-GB"/>
        </w:rPr>
        <w:t>Department of Children and Youth Affairs, Submission by the Ombudsman’s Office.  23 February 2018</w:t>
      </w:r>
      <w:r>
        <w:rPr>
          <w:lang w:val="en-GB"/>
        </w:rPr>
        <w:t>.p.19.</w:t>
      </w:r>
    </w:p>
  </w:footnote>
  <w:footnote w:id="36">
    <w:p w14:paraId="74D32AE6" w14:textId="77777777" w:rsidR="00F9533B" w:rsidRPr="00545FFD" w:rsidRDefault="00F9533B" w:rsidP="00F9533B">
      <w:pPr>
        <w:pStyle w:val="FootnoteText"/>
        <w:rPr>
          <w:lang w:val="en-GB"/>
        </w:rPr>
      </w:pPr>
      <w:r>
        <w:rPr>
          <w:rStyle w:val="FootnoteReference"/>
        </w:rPr>
        <w:footnoteRef/>
      </w:r>
      <w:r>
        <w:t xml:space="preserve"> </w:t>
      </w:r>
      <w:r>
        <w:rPr>
          <w:i/>
          <w:lang w:val="en-GB"/>
        </w:rPr>
        <w:t xml:space="preserve">Ibid. </w:t>
      </w:r>
      <w:r>
        <w:rPr>
          <w:lang w:val="en-GB"/>
        </w:rPr>
        <w:t>p.20.</w:t>
      </w:r>
    </w:p>
  </w:footnote>
  <w:footnote w:id="37">
    <w:p w14:paraId="6421BB2E" w14:textId="77777777" w:rsidR="00F9533B" w:rsidRPr="00262D14" w:rsidRDefault="00F9533B" w:rsidP="00F9533B">
      <w:pPr>
        <w:pStyle w:val="FootnoteText"/>
        <w:rPr>
          <w:lang w:val="en-GB"/>
        </w:rPr>
      </w:pPr>
      <w:r>
        <w:rPr>
          <w:rStyle w:val="FootnoteReference"/>
        </w:rPr>
        <w:footnoteRef/>
      </w:r>
      <w:r>
        <w:t xml:space="preserve"> </w:t>
      </w:r>
      <w:r>
        <w:rPr>
          <w:lang w:val="en-GB"/>
        </w:rPr>
        <w:t xml:space="preserve">Child Law Reporting Project, </w:t>
      </w:r>
      <w:r>
        <w:rPr>
          <w:i/>
          <w:lang w:val="en-GB"/>
        </w:rPr>
        <w:t xml:space="preserve">Case Reports 2018 Vol. 1. No.16. </w:t>
      </w:r>
      <w:hyperlink r:id="rId10" w:history="1">
        <w:r w:rsidRPr="00262D14">
          <w:rPr>
            <w:color w:val="0000FF"/>
            <w:u w:val="single"/>
          </w:rPr>
          <w:t>https://www.childlawproject.ie/publications/need-to-formalise-situation-of-girl-in-voluntary-care-for-almost-eight-years/</w:t>
        </w:r>
      </w:hyperlink>
      <w:r>
        <w:t xml:space="preserve"> [accessed: 16 March 2020].</w:t>
      </w:r>
    </w:p>
  </w:footnote>
  <w:footnote w:id="38">
    <w:p w14:paraId="7D16B6D6" w14:textId="77777777" w:rsidR="00F9533B" w:rsidRPr="00262D14" w:rsidRDefault="00F9533B" w:rsidP="00F9533B">
      <w:pPr>
        <w:pStyle w:val="FootnoteText"/>
        <w:rPr>
          <w:i/>
          <w:lang w:val="en-GB"/>
        </w:rPr>
      </w:pPr>
      <w:r>
        <w:rPr>
          <w:rStyle w:val="FootnoteReference"/>
        </w:rPr>
        <w:footnoteRef/>
      </w:r>
      <w:r>
        <w:t xml:space="preserve"> </w:t>
      </w:r>
      <w:r>
        <w:rPr>
          <w:i/>
          <w:lang w:val="en-GB"/>
        </w:rPr>
        <w:t xml:space="preserve">Ibid. </w:t>
      </w:r>
    </w:p>
  </w:footnote>
  <w:footnote w:id="39">
    <w:p w14:paraId="6B713BDB" w14:textId="77777777" w:rsidR="00F9533B" w:rsidRPr="00262D14" w:rsidRDefault="00F9533B" w:rsidP="00F9533B">
      <w:pPr>
        <w:pStyle w:val="FootnoteText"/>
        <w:rPr>
          <w:i/>
          <w:lang w:val="en-GB"/>
        </w:rPr>
      </w:pPr>
      <w:r>
        <w:rPr>
          <w:rStyle w:val="FootnoteReference"/>
        </w:rPr>
        <w:footnoteRef/>
      </w:r>
      <w:r>
        <w:t xml:space="preserve"> </w:t>
      </w:r>
      <w:r>
        <w:rPr>
          <w:i/>
          <w:lang w:val="en-GB"/>
        </w:rPr>
        <w:t xml:space="preserve">Ibid. </w:t>
      </w:r>
    </w:p>
  </w:footnote>
  <w:footnote w:id="40">
    <w:p w14:paraId="7212342C" w14:textId="77777777" w:rsidR="00F9533B" w:rsidRPr="007C1835" w:rsidRDefault="00F9533B" w:rsidP="00F9533B">
      <w:pPr>
        <w:pStyle w:val="FootnoteText"/>
        <w:rPr>
          <w:i/>
          <w:lang w:val="en-GB"/>
        </w:rPr>
      </w:pPr>
      <w:r>
        <w:rPr>
          <w:rStyle w:val="FootnoteReference"/>
        </w:rPr>
        <w:footnoteRef/>
      </w:r>
      <w:r>
        <w:t xml:space="preserve"> </w:t>
      </w:r>
      <w:r>
        <w:rPr>
          <w:i/>
          <w:lang w:val="en-GB"/>
        </w:rPr>
        <w:t xml:space="preserve">Ibid. </w:t>
      </w:r>
    </w:p>
  </w:footnote>
  <w:footnote w:id="41">
    <w:p w14:paraId="3F686050" w14:textId="77777777" w:rsidR="00F9533B" w:rsidRPr="00070C59" w:rsidRDefault="00F9533B" w:rsidP="00F9533B">
      <w:pPr>
        <w:pStyle w:val="Default"/>
      </w:pPr>
      <w:r>
        <w:rPr>
          <w:rStyle w:val="FootnoteReference"/>
        </w:rPr>
        <w:footnoteRef/>
      </w:r>
      <w:r>
        <w:t xml:space="preserve"> </w:t>
      </w:r>
      <w:r>
        <w:rPr>
          <w:rFonts w:asciiTheme="minorHAnsi" w:hAnsiTheme="minorHAnsi" w:cstheme="minorHAnsi"/>
          <w:sz w:val="20"/>
          <w:szCs w:val="20"/>
        </w:rPr>
        <w:t xml:space="preserve">Brennan, Dr. R., et al. </w:t>
      </w:r>
      <w:r w:rsidRPr="00070C59">
        <w:rPr>
          <w:rFonts w:asciiTheme="minorHAnsi" w:hAnsiTheme="minorHAnsi" w:cstheme="minorHAnsi"/>
          <w:i/>
          <w:iCs/>
          <w:sz w:val="20"/>
          <w:szCs w:val="20"/>
        </w:rPr>
        <w:t>The rights of the child in voluntary care in Ireland: A call for reform in law, policy and practice</w:t>
      </w:r>
      <w:r>
        <w:rPr>
          <w:rFonts w:asciiTheme="minorHAnsi" w:hAnsiTheme="minorHAnsi" w:cstheme="minorHAnsi"/>
          <w:i/>
          <w:iCs/>
          <w:sz w:val="20"/>
          <w:szCs w:val="20"/>
        </w:rPr>
        <w:t xml:space="preserve">. </w:t>
      </w:r>
      <w:r w:rsidRPr="00070C59">
        <w:rPr>
          <w:rFonts w:asciiTheme="minorHAnsi" w:hAnsiTheme="minorHAnsi" w:cstheme="minorHAnsi"/>
          <w:sz w:val="20"/>
          <w:szCs w:val="20"/>
        </w:rPr>
        <w:t>Children and Youth Services Review</w:t>
      </w:r>
      <w:r>
        <w:rPr>
          <w:rFonts w:asciiTheme="minorHAnsi" w:hAnsiTheme="minorHAnsi" w:cstheme="minorHAnsi"/>
          <w:sz w:val="20"/>
          <w:szCs w:val="20"/>
        </w:rPr>
        <w:t xml:space="preserve"> 125, 2021. p.3. </w:t>
      </w:r>
    </w:p>
  </w:footnote>
  <w:footnote w:id="42">
    <w:p w14:paraId="2243BF4C" w14:textId="77777777" w:rsidR="00F9533B" w:rsidRPr="00070C59" w:rsidRDefault="00F9533B" w:rsidP="00F9533B">
      <w:pPr>
        <w:pStyle w:val="FootnoteText"/>
        <w:rPr>
          <w:i/>
          <w:iCs/>
        </w:rPr>
      </w:pPr>
      <w:r>
        <w:rPr>
          <w:rStyle w:val="FootnoteReference"/>
        </w:rPr>
        <w:footnoteRef/>
      </w:r>
      <w:r>
        <w:t xml:space="preserve"> </w:t>
      </w:r>
      <w:r>
        <w:rPr>
          <w:i/>
          <w:iCs/>
        </w:rPr>
        <w:t xml:space="preserve">Ibid. </w:t>
      </w:r>
    </w:p>
  </w:footnote>
  <w:footnote w:id="43">
    <w:p w14:paraId="258956B9" w14:textId="372AEF77" w:rsidR="00B92E75" w:rsidRDefault="00B92E75">
      <w:pPr>
        <w:pStyle w:val="FootnoteText"/>
      </w:pPr>
      <w:r>
        <w:rPr>
          <w:rStyle w:val="FootnoteReference"/>
        </w:rPr>
        <w:footnoteRef/>
      </w:r>
      <w:r>
        <w:t xml:space="preserve"> </w:t>
      </w:r>
      <w:r w:rsidRPr="00D55FC4">
        <w:rPr>
          <w:rFonts w:ascii="Arial" w:hAnsi="Arial" w:cs="Arial"/>
        </w:rPr>
        <w:t xml:space="preserve">Gary Broderick of the </w:t>
      </w:r>
      <w:hyperlink r:id="rId11" w:history="1">
        <w:r w:rsidRPr="00D55FC4">
          <w:rPr>
            <w:rStyle w:val="Hyperlink"/>
            <w:rFonts w:ascii="Arial" w:hAnsi="Arial" w:cs="Arial"/>
          </w:rPr>
          <w:t>Learning Curve Institute</w:t>
        </w:r>
      </w:hyperlink>
      <w:r>
        <w:rPr>
          <w:rFonts w:ascii="Arial" w:hAnsi="Arial" w:cs="Arial"/>
        </w:rPr>
        <w:t xml:space="preserve"> (</w:t>
      </w:r>
      <w:r w:rsidR="009F16A5" w:rsidRPr="00D55FC4">
        <w:rPr>
          <w:rFonts w:ascii="Arial" w:hAnsi="Arial" w:cs="Arial"/>
        </w:rPr>
        <w:t>an organisation that provides training to those working with trauma-affected groups</w:t>
      </w:r>
      <w:r w:rsidR="009F16A5">
        <w:rPr>
          <w:rFonts w:ascii="Arial" w:hAnsi="Arial" w:cs="Arial"/>
        </w:rPr>
        <w:t>)</w:t>
      </w:r>
      <w:r w:rsidRPr="00D55FC4">
        <w:rPr>
          <w:rFonts w:ascii="Arial" w:hAnsi="Arial" w:cs="Arial"/>
        </w:rPr>
        <w:t xml:space="preserve"> has highlighted how</w:t>
      </w:r>
      <w:r w:rsidR="009F16A5">
        <w:rPr>
          <w:rFonts w:ascii="Arial" w:hAnsi="Arial" w:cs="Arial"/>
        </w:rPr>
        <w:t xml:space="preserve"> unresolved tr</w:t>
      </w:r>
      <w:r w:rsidR="001946A4">
        <w:rPr>
          <w:rFonts w:ascii="Arial" w:hAnsi="Arial" w:cs="Arial"/>
        </w:rPr>
        <w:t xml:space="preserve">auma can determine how young people respond to </w:t>
      </w:r>
      <w:r w:rsidR="007F5CB1">
        <w:rPr>
          <w:rFonts w:ascii="Arial" w:hAnsi="Arial" w:cs="Arial"/>
        </w:rPr>
        <w:t>everyday</w:t>
      </w:r>
      <w:r w:rsidR="001946A4">
        <w:rPr>
          <w:rFonts w:ascii="Arial" w:hAnsi="Arial" w:cs="Arial"/>
        </w:rPr>
        <w:t xml:space="preserve"> experiences, and how they respond to professionals.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D071B"/>
    <w:multiLevelType w:val="hybridMultilevel"/>
    <w:tmpl w:val="7E703560"/>
    <w:lvl w:ilvl="0" w:tplc="8F94B76A">
      <w:start w:val="1"/>
      <w:numFmt w:val="decimal"/>
      <w:lvlText w:val="%1."/>
      <w:lvlJc w:val="left"/>
      <w:pPr>
        <w:ind w:left="360" w:hanging="360"/>
      </w:pPr>
      <w:rPr>
        <w:sz w:val="22"/>
        <w:szCs w:val="22"/>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 w15:restartNumberingAfterBreak="0">
    <w:nsid w:val="1A0B5400"/>
    <w:multiLevelType w:val="hybridMultilevel"/>
    <w:tmpl w:val="84705A3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DB2698D"/>
    <w:multiLevelType w:val="hybridMultilevel"/>
    <w:tmpl w:val="9DA689C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F2E43A5"/>
    <w:multiLevelType w:val="hybridMultilevel"/>
    <w:tmpl w:val="41F8337A"/>
    <w:lvl w:ilvl="0" w:tplc="2B76ADE4">
      <w:numFmt w:val="bullet"/>
      <w:lvlText w:val="•"/>
      <w:lvlJc w:val="left"/>
      <w:pPr>
        <w:ind w:left="1080" w:hanging="360"/>
      </w:pPr>
      <w:rPr>
        <w:rFonts w:ascii="Arial" w:eastAsiaTheme="minorHAnsi"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572D2C71"/>
    <w:multiLevelType w:val="hybridMultilevel"/>
    <w:tmpl w:val="EEBC2528"/>
    <w:lvl w:ilvl="0" w:tplc="B6B4BE1C">
      <w:start w:val="1"/>
      <w:numFmt w:val="lowerRoman"/>
      <w:lvlText w:val="%1)"/>
      <w:lvlJc w:val="left"/>
      <w:pPr>
        <w:ind w:left="1080" w:hanging="72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5C2539D8"/>
    <w:multiLevelType w:val="hybridMultilevel"/>
    <w:tmpl w:val="20D264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7C1B7170"/>
    <w:multiLevelType w:val="hybridMultilevel"/>
    <w:tmpl w:val="9DA689C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E0976D9"/>
    <w:multiLevelType w:val="hybridMultilevel"/>
    <w:tmpl w:val="B5A6123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7"/>
  </w:num>
  <w:num w:numId="5">
    <w:abstractNumId w:val="1"/>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33B"/>
    <w:rsid w:val="00010E81"/>
    <w:rsid w:val="00013877"/>
    <w:rsid w:val="0002705D"/>
    <w:rsid w:val="000627DD"/>
    <w:rsid w:val="0007207B"/>
    <w:rsid w:val="00083787"/>
    <w:rsid w:val="000A258F"/>
    <w:rsid w:val="000A2F9C"/>
    <w:rsid w:val="000A3C50"/>
    <w:rsid w:val="000B7AAC"/>
    <w:rsid w:val="000C06DF"/>
    <w:rsid w:val="000F6E18"/>
    <w:rsid w:val="00125886"/>
    <w:rsid w:val="001468FD"/>
    <w:rsid w:val="00146F5B"/>
    <w:rsid w:val="00150F75"/>
    <w:rsid w:val="00160BD8"/>
    <w:rsid w:val="001659D4"/>
    <w:rsid w:val="00167A9B"/>
    <w:rsid w:val="00193980"/>
    <w:rsid w:val="001946A4"/>
    <w:rsid w:val="001A355C"/>
    <w:rsid w:val="001B293C"/>
    <w:rsid w:val="001C349C"/>
    <w:rsid w:val="001D12EF"/>
    <w:rsid w:val="001D4082"/>
    <w:rsid w:val="001D549B"/>
    <w:rsid w:val="001F4321"/>
    <w:rsid w:val="001F6531"/>
    <w:rsid w:val="00201573"/>
    <w:rsid w:val="00205410"/>
    <w:rsid w:val="00215FA9"/>
    <w:rsid w:val="00221D61"/>
    <w:rsid w:val="00224FEB"/>
    <w:rsid w:val="002A265D"/>
    <w:rsid w:val="002B1C8C"/>
    <w:rsid w:val="002D1829"/>
    <w:rsid w:val="002D3EED"/>
    <w:rsid w:val="002E24FE"/>
    <w:rsid w:val="002F3D13"/>
    <w:rsid w:val="002F7FD5"/>
    <w:rsid w:val="00302064"/>
    <w:rsid w:val="00303846"/>
    <w:rsid w:val="00323FBA"/>
    <w:rsid w:val="00330A0C"/>
    <w:rsid w:val="00334049"/>
    <w:rsid w:val="003363DF"/>
    <w:rsid w:val="003551BB"/>
    <w:rsid w:val="003557C6"/>
    <w:rsid w:val="00361346"/>
    <w:rsid w:val="003644A1"/>
    <w:rsid w:val="00366B9B"/>
    <w:rsid w:val="00387BA2"/>
    <w:rsid w:val="00392E0F"/>
    <w:rsid w:val="00397FB3"/>
    <w:rsid w:val="003A045E"/>
    <w:rsid w:val="003C5D79"/>
    <w:rsid w:val="003D1ECD"/>
    <w:rsid w:val="003F6795"/>
    <w:rsid w:val="004066F9"/>
    <w:rsid w:val="004709A8"/>
    <w:rsid w:val="004B6433"/>
    <w:rsid w:val="004C3BA0"/>
    <w:rsid w:val="004F3A06"/>
    <w:rsid w:val="00504CDD"/>
    <w:rsid w:val="00512254"/>
    <w:rsid w:val="005170F4"/>
    <w:rsid w:val="00527794"/>
    <w:rsid w:val="00536758"/>
    <w:rsid w:val="00562292"/>
    <w:rsid w:val="00563BEA"/>
    <w:rsid w:val="00584B53"/>
    <w:rsid w:val="005872F9"/>
    <w:rsid w:val="005A20C2"/>
    <w:rsid w:val="005A4AB1"/>
    <w:rsid w:val="005C46BB"/>
    <w:rsid w:val="005C70D7"/>
    <w:rsid w:val="005E7068"/>
    <w:rsid w:val="00600123"/>
    <w:rsid w:val="006152CA"/>
    <w:rsid w:val="00622BEE"/>
    <w:rsid w:val="00630BFC"/>
    <w:rsid w:val="00630D57"/>
    <w:rsid w:val="00631B29"/>
    <w:rsid w:val="00635B17"/>
    <w:rsid w:val="00653DD7"/>
    <w:rsid w:val="00670054"/>
    <w:rsid w:val="0067144E"/>
    <w:rsid w:val="006765F9"/>
    <w:rsid w:val="006A0F78"/>
    <w:rsid w:val="006D03C8"/>
    <w:rsid w:val="006D06D0"/>
    <w:rsid w:val="006D4BAA"/>
    <w:rsid w:val="006E27EA"/>
    <w:rsid w:val="007040FC"/>
    <w:rsid w:val="00710C35"/>
    <w:rsid w:val="00710E09"/>
    <w:rsid w:val="00723705"/>
    <w:rsid w:val="007249E8"/>
    <w:rsid w:val="00735A52"/>
    <w:rsid w:val="00751450"/>
    <w:rsid w:val="00754CEC"/>
    <w:rsid w:val="007621C5"/>
    <w:rsid w:val="00772378"/>
    <w:rsid w:val="00774F48"/>
    <w:rsid w:val="007C01E9"/>
    <w:rsid w:val="007D4C6D"/>
    <w:rsid w:val="007F5CB1"/>
    <w:rsid w:val="00812CB2"/>
    <w:rsid w:val="00847807"/>
    <w:rsid w:val="00854E92"/>
    <w:rsid w:val="008B01A5"/>
    <w:rsid w:val="008B38E2"/>
    <w:rsid w:val="008F7C1C"/>
    <w:rsid w:val="0092778F"/>
    <w:rsid w:val="00953512"/>
    <w:rsid w:val="00981922"/>
    <w:rsid w:val="009E74B5"/>
    <w:rsid w:val="009E7F52"/>
    <w:rsid w:val="009F16A5"/>
    <w:rsid w:val="00A1051F"/>
    <w:rsid w:val="00A10CCC"/>
    <w:rsid w:val="00A11825"/>
    <w:rsid w:val="00A15CC1"/>
    <w:rsid w:val="00A44F61"/>
    <w:rsid w:val="00A502D0"/>
    <w:rsid w:val="00A51069"/>
    <w:rsid w:val="00A70496"/>
    <w:rsid w:val="00A866BA"/>
    <w:rsid w:val="00AA14E2"/>
    <w:rsid w:val="00AC25C1"/>
    <w:rsid w:val="00AE0886"/>
    <w:rsid w:val="00AF2535"/>
    <w:rsid w:val="00AF707B"/>
    <w:rsid w:val="00B03A37"/>
    <w:rsid w:val="00B0579A"/>
    <w:rsid w:val="00B40EF7"/>
    <w:rsid w:val="00B43DC9"/>
    <w:rsid w:val="00B56582"/>
    <w:rsid w:val="00B57505"/>
    <w:rsid w:val="00B63335"/>
    <w:rsid w:val="00B9043F"/>
    <w:rsid w:val="00B92CFD"/>
    <w:rsid w:val="00B92E75"/>
    <w:rsid w:val="00BA66BF"/>
    <w:rsid w:val="00BB7E40"/>
    <w:rsid w:val="00C00682"/>
    <w:rsid w:val="00C3462C"/>
    <w:rsid w:val="00C555D4"/>
    <w:rsid w:val="00C70BF2"/>
    <w:rsid w:val="00C7275D"/>
    <w:rsid w:val="00C8235B"/>
    <w:rsid w:val="00C93E84"/>
    <w:rsid w:val="00CC026C"/>
    <w:rsid w:val="00D15E8F"/>
    <w:rsid w:val="00D55FC4"/>
    <w:rsid w:val="00D743CB"/>
    <w:rsid w:val="00D82AA0"/>
    <w:rsid w:val="00DC2A82"/>
    <w:rsid w:val="00DC6C0B"/>
    <w:rsid w:val="00E02CCA"/>
    <w:rsid w:val="00E34EC3"/>
    <w:rsid w:val="00E5383B"/>
    <w:rsid w:val="00E67417"/>
    <w:rsid w:val="00F113E0"/>
    <w:rsid w:val="00F14D81"/>
    <w:rsid w:val="00F162B4"/>
    <w:rsid w:val="00F54F6F"/>
    <w:rsid w:val="00F71CC4"/>
    <w:rsid w:val="00F7527F"/>
    <w:rsid w:val="00F752DA"/>
    <w:rsid w:val="00F91227"/>
    <w:rsid w:val="00F936E1"/>
    <w:rsid w:val="00F9533B"/>
    <w:rsid w:val="00FA11CF"/>
    <w:rsid w:val="00FA3CCF"/>
    <w:rsid w:val="00FA6662"/>
    <w:rsid w:val="00FC6EA3"/>
    <w:rsid w:val="00FD67DD"/>
    <w:rsid w:val="00FE0ACB"/>
    <w:rsid w:val="00FE726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D85DF"/>
  <w15:chartTrackingRefBased/>
  <w15:docId w15:val="{3592A8A5-2FE2-4AEA-A934-72208F297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953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9533B"/>
    <w:pPr>
      <w:spacing w:after="0" w:line="240" w:lineRule="auto"/>
    </w:pPr>
  </w:style>
  <w:style w:type="character" w:customStyle="1" w:styleId="Heading1Char">
    <w:name w:val="Heading 1 Char"/>
    <w:basedOn w:val="DefaultParagraphFont"/>
    <w:link w:val="Heading1"/>
    <w:uiPriority w:val="9"/>
    <w:rsid w:val="00F9533B"/>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unhideWhenUsed/>
    <w:rsid w:val="00F9533B"/>
    <w:pPr>
      <w:spacing w:after="0" w:line="240" w:lineRule="auto"/>
    </w:pPr>
    <w:rPr>
      <w:sz w:val="20"/>
      <w:szCs w:val="20"/>
    </w:rPr>
  </w:style>
  <w:style w:type="character" w:customStyle="1" w:styleId="FootnoteTextChar">
    <w:name w:val="Footnote Text Char"/>
    <w:basedOn w:val="DefaultParagraphFont"/>
    <w:link w:val="FootnoteText"/>
    <w:uiPriority w:val="99"/>
    <w:rsid w:val="00F9533B"/>
    <w:rPr>
      <w:sz w:val="20"/>
      <w:szCs w:val="20"/>
    </w:rPr>
  </w:style>
  <w:style w:type="character" w:styleId="FootnoteReference">
    <w:name w:val="footnote reference"/>
    <w:basedOn w:val="DefaultParagraphFont"/>
    <w:uiPriority w:val="99"/>
    <w:unhideWhenUsed/>
    <w:rsid w:val="00F9533B"/>
    <w:rPr>
      <w:vertAlign w:val="superscript"/>
    </w:rPr>
  </w:style>
  <w:style w:type="character" w:styleId="Hyperlink">
    <w:name w:val="Hyperlink"/>
    <w:basedOn w:val="DefaultParagraphFont"/>
    <w:uiPriority w:val="99"/>
    <w:unhideWhenUsed/>
    <w:rsid w:val="00F9533B"/>
    <w:rPr>
      <w:color w:val="0563C1" w:themeColor="hyperlink"/>
      <w:u w:val="single"/>
    </w:rPr>
  </w:style>
  <w:style w:type="paragraph" w:customStyle="1" w:styleId="Default">
    <w:name w:val="Default"/>
    <w:rsid w:val="00F9533B"/>
    <w:pPr>
      <w:autoSpaceDE w:val="0"/>
      <w:autoSpaceDN w:val="0"/>
      <w:adjustRightInd w:val="0"/>
      <w:spacing w:after="0" w:line="240" w:lineRule="auto"/>
    </w:pPr>
    <w:rPr>
      <w:rFonts w:ascii="Charis SIL" w:hAnsi="Charis SIL" w:cs="Charis SIL"/>
      <w:color w:val="000000"/>
      <w:sz w:val="24"/>
      <w:szCs w:val="24"/>
    </w:rPr>
  </w:style>
  <w:style w:type="paragraph" w:styleId="Footer">
    <w:name w:val="footer"/>
    <w:basedOn w:val="Normal"/>
    <w:link w:val="FooterChar"/>
    <w:uiPriority w:val="99"/>
    <w:unhideWhenUsed/>
    <w:rsid w:val="00F953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33B"/>
  </w:style>
  <w:style w:type="paragraph" w:styleId="ListParagraph">
    <w:name w:val="List Paragraph"/>
    <w:basedOn w:val="Normal"/>
    <w:uiPriority w:val="34"/>
    <w:qFormat/>
    <w:rsid w:val="004709A8"/>
    <w:pPr>
      <w:spacing w:after="0" w:line="240" w:lineRule="auto"/>
      <w:ind w:left="720"/>
    </w:pPr>
    <w:rPr>
      <w:rFonts w:ascii="Calibri" w:hAnsi="Calibri" w:cs="Calibri"/>
    </w:rPr>
  </w:style>
  <w:style w:type="character" w:customStyle="1" w:styleId="NoSpacingChar">
    <w:name w:val="No Spacing Char"/>
    <w:basedOn w:val="DefaultParagraphFont"/>
    <w:link w:val="NoSpacing"/>
    <w:uiPriority w:val="1"/>
    <w:rsid w:val="005170F4"/>
  </w:style>
  <w:style w:type="character" w:customStyle="1" w:styleId="markedcontent">
    <w:name w:val="markedcontent"/>
    <w:basedOn w:val="DefaultParagraphFont"/>
    <w:rsid w:val="00397FB3"/>
  </w:style>
  <w:style w:type="character" w:customStyle="1" w:styleId="UnresolvedMention">
    <w:name w:val="Unresolved Mention"/>
    <w:basedOn w:val="DefaultParagraphFont"/>
    <w:uiPriority w:val="99"/>
    <w:semiHidden/>
    <w:unhideWhenUsed/>
    <w:rsid w:val="00146F5B"/>
    <w:rPr>
      <w:color w:val="605E5C"/>
      <w:shd w:val="clear" w:color="auto" w:fill="E1DFDD"/>
    </w:rPr>
  </w:style>
  <w:style w:type="paragraph" w:customStyle="1" w:styleId="xmsonormal">
    <w:name w:val="x_msonormal"/>
    <w:basedOn w:val="Normal"/>
    <w:rsid w:val="00710C35"/>
    <w:pPr>
      <w:spacing w:after="0" w:line="240" w:lineRule="auto"/>
    </w:pPr>
    <w:rPr>
      <w:rFonts w:ascii="Calibri" w:hAnsi="Calibri" w:cs="Calibri"/>
      <w:lang w:eastAsia="en-IE"/>
    </w:rPr>
  </w:style>
  <w:style w:type="character" w:styleId="CommentReference">
    <w:name w:val="annotation reference"/>
    <w:basedOn w:val="DefaultParagraphFont"/>
    <w:uiPriority w:val="99"/>
    <w:semiHidden/>
    <w:unhideWhenUsed/>
    <w:rsid w:val="00C70BF2"/>
    <w:rPr>
      <w:sz w:val="16"/>
      <w:szCs w:val="16"/>
    </w:rPr>
  </w:style>
  <w:style w:type="paragraph" w:styleId="CommentText">
    <w:name w:val="annotation text"/>
    <w:basedOn w:val="Normal"/>
    <w:link w:val="CommentTextChar"/>
    <w:uiPriority w:val="99"/>
    <w:semiHidden/>
    <w:unhideWhenUsed/>
    <w:rsid w:val="00C70BF2"/>
    <w:pPr>
      <w:spacing w:line="240" w:lineRule="auto"/>
    </w:pPr>
    <w:rPr>
      <w:sz w:val="20"/>
      <w:szCs w:val="20"/>
    </w:rPr>
  </w:style>
  <w:style w:type="character" w:customStyle="1" w:styleId="CommentTextChar">
    <w:name w:val="Comment Text Char"/>
    <w:basedOn w:val="DefaultParagraphFont"/>
    <w:link w:val="CommentText"/>
    <w:uiPriority w:val="99"/>
    <w:semiHidden/>
    <w:rsid w:val="00C70BF2"/>
    <w:rPr>
      <w:sz w:val="20"/>
      <w:szCs w:val="20"/>
    </w:rPr>
  </w:style>
  <w:style w:type="paragraph" w:styleId="CommentSubject">
    <w:name w:val="annotation subject"/>
    <w:basedOn w:val="CommentText"/>
    <w:next w:val="CommentText"/>
    <w:link w:val="CommentSubjectChar"/>
    <w:uiPriority w:val="99"/>
    <w:semiHidden/>
    <w:unhideWhenUsed/>
    <w:rsid w:val="00C70BF2"/>
    <w:rPr>
      <w:b/>
      <w:bCs/>
    </w:rPr>
  </w:style>
  <w:style w:type="character" w:customStyle="1" w:styleId="CommentSubjectChar">
    <w:name w:val="Comment Subject Char"/>
    <w:basedOn w:val="CommentTextChar"/>
    <w:link w:val="CommentSubject"/>
    <w:uiPriority w:val="99"/>
    <w:semiHidden/>
    <w:rsid w:val="00C70BF2"/>
    <w:rPr>
      <w:b/>
      <w:bCs/>
      <w:sz w:val="20"/>
      <w:szCs w:val="20"/>
    </w:rPr>
  </w:style>
  <w:style w:type="paragraph" w:styleId="NormalWeb">
    <w:name w:val="Normal (Web)"/>
    <w:basedOn w:val="Normal"/>
    <w:uiPriority w:val="99"/>
    <w:semiHidden/>
    <w:unhideWhenUsed/>
    <w:rsid w:val="00D15E8F"/>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xmsonormal0">
    <w:name w:val="xmsonormal"/>
    <w:basedOn w:val="Normal"/>
    <w:rsid w:val="00A70496"/>
    <w:pPr>
      <w:spacing w:after="0" w:line="240" w:lineRule="auto"/>
    </w:pPr>
    <w:rPr>
      <w:rFonts w:ascii="Calibri" w:hAnsi="Calibri" w:cs="Calibri"/>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85515">
      <w:bodyDiv w:val="1"/>
      <w:marLeft w:val="0"/>
      <w:marRight w:val="0"/>
      <w:marTop w:val="0"/>
      <w:marBottom w:val="0"/>
      <w:divBdr>
        <w:top w:val="none" w:sz="0" w:space="0" w:color="auto"/>
        <w:left w:val="none" w:sz="0" w:space="0" w:color="auto"/>
        <w:bottom w:val="none" w:sz="0" w:space="0" w:color="auto"/>
        <w:right w:val="none" w:sz="0" w:space="0" w:color="auto"/>
      </w:divBdr>
    </w:div>
    <w:div w:id="382099340">
      <w:bodyDiv w:val="1"/>
      <w:marLeft w:val="0"/>
      <w:marRight w:val="0"/>
      <w:marTop w:val="0"/>
      <w:marBottom w:val="0"/>
      <w:divBdr>
        <w:top w:val="none" w:sz="0" w:space="0" w:color="auto"/>
        <w:left w:val="none" w:sz="0" w:space="0" w:color="auto"/>
        <w:bottom w:val="none" w:sz="0" w:space="0" w:color="auto"/>
        <w:right w:val="none" w:sz="0" w:space="0" w:color="auto"/>
      </w:divBdr>
    </w:div>
    <w:div w:id="849833426">
      <w:bodyDiv w:val="1"/>
      <w:marLeft w:val="0"/>
      <w:marRight w:val="0"/>
      <w:marTop w:val="0"/>
      <w:marBottom w:val="0"/>
      <w:divBdr>
        <w:top w:val="none" w:sz="0" w:space="0" w:color="auto"/>
        <w:left w:val="none" w:sz="0" w:space="0" w:color="auto"/>
        <w:bottom w:val="none" w:sz="0" w:space="0" w:color="auto"/>
        <w:right w:val="none" w:sz="0" w:space="0" w:color="auto"/>
      </w:divBdr>
    </w:div>
    <w:div w:id="1077826867">
      <w:bodyDiv w:val="1"/>
      <w:marLeft w:val="0"/>
      <w:marRight w:val="0"/>
      <w:marTop w:val="0"/>
      <w:marBottom w:val="0"/>
      <w:divBdr>
        <w:top w:val="none" w:sz="0" w:space="0" w:color="auto"/>
        <w:left w:val="none" w:sz="0" w:space="0" w:color="auto"/>
        <w:bottom w:val="none" w:sz="0" w:space="0" w:color="auto"/>
        <w:right w:val="none" w:sz="0" w:space="0" w:color="auto"/>
      </w:divBdr>
    </w:div>
    <w:div w:id="126210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johnmurphy@epiconline.ie" TargetMode="External"/><Relationship Id="rId4" Type="http://schemas.openxmlformats.org/officeDocument/2006/relationships/settings" Target="settings.xml"/><Relationship Id="rId9" Type="http://schemas.openxmlformats.org/officeDocument/2006/relationships/hyperlink" Target="mailto:karlacharles@epiconline.ie" TargetMode="Externa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www.tusla.ie" TargetMode="External"/><Relationship Id="rId3" Type="http://schemas.openxmlformats.org/officeDocument/2006/relationships/hyperlink" Target="https://www.gov.ie/en/campaigns/1f703-state-of-the-nations-children/" TargetMode="External"/><Relationship Id="rId7" Type="http://schemas.openxmlformats.org/officeDocument/2006/relationships/hyperlink" Target="https://ec.europa.eu/eurostat/web/products-eurostat-news/-/EDN-20180515-1" TargetMode="External"/><Relationship Id="rId2" Type="http://schemas.openxmlformats.org/officeDocument/2006/relationships/hyperlink" Target="https://www.growingup.ie/" TargetMode="External"/><Relationship Id="rId1" Type="http://schemas.openxmlformats.org/officeDocument/2006/relationships/hyperlink" Target="https://www.tusla.ie/uploads/content/Feasibility_Study_on_Longitudinal_Study.pdf" TargetMode="External"/><Relationship Id="rId6" Type="http://schemas.openxmlformats.org/officeDocument/2006/relationships/hyperlink" Target="https://www.focusireland.ie/nextgovernment-%20needs-to-understand-%20urgency-of-housing-crisis/" TargetMode="External"/><Relationship Id="rId11" Type="http://schemas.openxmlformats.org/officeDocument/2006/relationships/hyperlink" Target="https://www.thelearningcurve.ie/" TargetMode="External"/><Relationship Id="rId5" Type="http://schemas.openxmlformats.org/officeDocument/2006/relationships/hyperlink" Target="https://www.tusla.ie/uploads/content/Q4_2020_Service_Performance_and_Activity_Report_V1.0.pdf" TargetMode="External"/><Relationship Id="rId10" Type="http://schemas.openxmlformats.org/officeDocument/2006/relationships/hyperlink" Target="https://www.childlawproject.ie/publications/need-to-formalise-situation-of-girl-in-voluntary-care-for-almost-eight-years/" TargetMode="External"/><Relationship Id="rId4" Type="http://schemas.openxmlformats.org/officeDocument/2006/relationships/hyperlink" Target="http://www.irishstatutebook.ie/eli/2015/act/45/enacted/en/html" TargetMode="External"/><Relationship Id="rId9" Type="http://schemas.openxmlformats.org/officeDocument/2006/relationships/hyperlink" Target="https://www.thejournal.ie/readme/fostering-coronavirus-5160844-Sep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NGOs and NGO coalitions</Category>
    <Doctype xmlns="d42e65b2-cf21-49c1-b27d-d23f90380c0e">input</Doctype>
    <Contributor xmlns="d42e65b2-cf21-49c1-b27d-d23f90380c0e">Empowering Children in Care, Ireland</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866F9700-F858-42C9-A84F-427E041DE4A0}">
  <ds:schemaRefs>
    <ds:schemaRef ds:uri="http://schemas.openxmlformats.org/officeDocument/2006/bibliography"/>
  </ds:schemaRefs>
</ds:datastoreItem>
</file>

<file path=customXml/itemProps2.xml><?xml version="1.0" encoding="utf-8"?>
<ds:datastoreItem xmlns:ds="http://schemas.openxmlformats.org/officeDocument/2006/customXml" ds:itemID="{CA56E0FF-F922-48C1-A0F1-E5C293D22280}"/>
</file>

<file path=customXml/itemProps3.xml><?xml version="1.0" encoding="utf-8"?>
<ds:datastoreItem xmlns:ds="http://schemas.openxmlformats.org/officeDocument/2006/customXml" ds:itemID="{76132A15-3403-47EA-9AAD-5BA37E42B909}"/>
</file>

<file path=customXml/itemProps4.xml><?xml version="1.0" encoding="utf-8"?>
<ds:datastoreItem xmlns:ds="http://schemas.openxmlformats.org/officeDocument/2006/customXml" ds:itemID="{86748945-3B35-466F-AEBB-9DCC9E5D2139}"/>
</file>

<file path=docProps/app.xml><?xml version="1.0" encoding="utf-8"?>
<Properties xmlns="http://schemas.openxmlformats.org/officeDocument/2006/extended-properties" xmlns:vt="http://schemas.openxmlformats.org/officeDocument/2006/docPropsVTypes">
  <Template>Normal.dotm</Template>
  <TotalTime>3</TotalTime>
  <Pages>10</Pages>
  <Words>2559</Words>
  <Characters>13268</Characters>
  <Application>Microsoft Office Word</Application>
  <DocSecurity>4</DocSecurity>
  <Lines>228</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Murphy</dc:creator>
  <cp:keywords/>
  <dc:description/>
  <cp:lastModifiedBy>BAGLAI Christina</cp:lastModifiedBy>
  <cp:revision>2</cp:revision>
  <dcterms:created xsi:type="dcterms:W3CDTF">2021-07-08T20:58:00Z</dcterms:created>
  <dcterms:modified xsi:type="dcterms:W3CDTF">2021-07-08T20:58:00Z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