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50CFC" w14:textId="245945BA" w:rsidR="0013162D" w:rsidRDefault="0013162D">
      <w:pPr>
        <w:rPr>
          <w:rFonts w:ascii="Century Gothic" w:hAnsi="Century Gothic"/>
          <w:b/>
          <w:bCs/>
          <w:u w:val="single"/>
          <w:lang w:val="en-GB"/>
        </w:rPr>
      </w:pPr>
      <w:bookmarkStart w:id="0" w:name="_GoBack"/>
      <w:bookmarkEnd w:id="0"/>
      <w:r w:rsidRPr="00100D1A">
        <w:rPr>
          <w:rFonts w:ascii="Century Gothic" w:hAnsi="Century Gothic"/>
          <w:noProof/>
          <w:lang w:val="en-GB" w:eastAsia="en-GB"/>
        </w:rPr>
        <w:drawing>
          <wp:anchor distT="0" distB="0" distL="0" distR="0" simplePos="0" relativeHeight="251659264" behindDoc="0" locked="0" layoutInCell="1" allowOverlap="1" wp14:anchorId="7BBE28D0" wp14:editId="114E6DFA">
            <wp:simplePos x="0" y="0"/>
            <wp:positionH relativeFrom="page">
              <wp:posOffset>2782402</wp:posOffset>
            </wp:positionH>
            <wp:positionV relativeFrom="page">
              <wp:posOffset>681990</wp:posOffset>
            </wp:positionV>
            <wp:extent cx="1933575" cy="931545"/>
            <wp:effectExtent l="0" t="0" r="0" b="0"/>
            <wp:wrapThrough wrapText="bothSides">
              <wp:wrapPolygon edited="0">
                <wp:start x="638" y="1325"/>
                <wp:lineTo x="638" y="18552"/>
                <wp:lineTo x="14897" y="20319"/>
                <wp:lineTo x="15748" y="20319"/>
                <wp:lineTo x="21281" y="18110"/>
                <wp:lineTo x="20855" y="1325"/>
                <wp:lineTo x="638" y="1325"/>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A34EB" w14:textId="77777777" w:rsidR="0013162D" w:rsidRDefault="0013162D" w:rsidP="0013162D">
      <w:pPr>
        <w:pStyle w:val="TextA"/>
        <w:suppressAutoHyphens/>
        <w:spacing w:after="0" w:line="240" w:lineRule="auto"/>
        <w:rPr>
          <w:rStyle w:val="dnA"/>
          <w:rFonts w:ascii="Century Gothic" w:hAnsi="Century Gothic"/>
          <w:bCs/>
          <w:sz w:val="24"/>
          <w:szCs w:val="24"/>
          <w:lang w:val="en-GB"/>
        </w:rPr>
      </w:pPr>
    </w:p>
    <w:p w14:paraId="34F4F9DE" w14:textId="77777777" w:rsidR="0013162D" w:rsidRDefault="0013162D" w:rsidP="0013162D">
      <w:pPr>
        <w:pStyle w:val="TextA"/>
        <w:suppressAutoHyphens/>
        <w:spacing w:after="0" w:line="240" w:lineRule="auto"/>
        <w:rPr>
          <w:rStyle w:val="dnA"/>
          <w:rFonts w:ascii="Century Gothic" w:hAnsi="Century Gothic"/>
          <w:bCs/>
          <w:sz w:val="24"/>
          <w:szCs w:val="24"/>
          <w:lang w:val="en-GB"/>
        </w:rPr>
      </w:pPr>
    </w:p>
    <w:p w14:paraId="06BDFF69" w14:textId="77777777" w:rsidR="0013162D" w:rsidRDefault="0013162D" w:rsidP="0013162D">
      <w:pPr>
        <w:pStyle w:val="TextA"/>
        <w:suppressAutoHyphens/>
        <w:spacing w:after="0" w:line="240" w:lineRule="auto"/>
        <w:rPr>
          <w:rStyle w:val="dnA"/>
          <w:rFonts w:ascii="Century Gothic" w:hAnsi="Century Gothic"/>
          <w:bCs/>
          <w:sz w:val="24"/>
          <w:szCs w:val="24"/>
          <w:lang w:val="en-GB"/>
        </w:rPr>
      </w:pPr>
    </w:p>
    <w:p w14:paraId="7E3DD11C" w14:textId="77777777" w:rsidR="0013162D" w:rsidRDefault="0013162D" w:rsidP="0013162D">
      <w:pPr>
        <w:pStyle w:val="TextA"/>
        <w:suppressAutoHyphens/>
        <w:spacing w:after="0" w:line="240" w:lineRule="auto"/>
        <w:rPr>
          <w:rStyle w:val="dnA"/>
          <w:rFonts w:ascii="Century Gothic" w:hAnsi="Century Gothic"/>
          <w:bCs/>
          <w:sz w:val="24"/>
          <w:szCs w:val="24"/>
          <w:lang w:val="en-GB"/>
        </w:rPr>
      </w:pPr>
    </w:p>
    <w:p w14:paraId="30D2BE12" w14:textId="77777777" w:rsidR="0013162D" w:rsidRDefault="0013162D" w:rsidP="0013162D">
      <w:pPr>
        <w:pStyle w:val="TextA"/>
        <w:suppressAutoHyphens/>
        <w:spacing w:after="0" w:line="240" w:lineRule="auto"/>
        <w:rPr>
          <w:rStyle w:val="dnA"/>
          <w:rFonts w:ascii="Century Gothic" w:hAnsi="Century Gothic"/>
          <w:bCs/>
          <w:sz w:val="24"/>
          <w:szCs w:val="24"/>
          <w:lang w:val="en-GB"/>
        </w:rPr>
      </w:pPr>
    </w:p>
    <w:p w14:paraId="1B522BBA" w14:textId="1A702DFE" w:rsidR="0013162D" w:rsidRPr="00100D1A" w:rsidRDefault="0013162D" w:rsidP="0013162D">
      <w:pPr>
        <w:pStyle w:val="TextA"/>
        <w:suppressAutoHyphens/>
        <w:spacing w:after="0" w:line="240" w:lineRule="auto"/>
        <w:jc w:val="center"/>
        <w:rPr>
          <w:rStyle w:val="dnA"/>
          <w:rFonts w:ascii="Century Gothic" w:eastAsia="Century Gothic" w:hAnsi="Century Gothic" w:cs="Century Gothic"/>
          <w:bCs/>
          <w:sz w:val="24"/>
          <w:szCs w:val="24"/>
          <w:lang w:val="en-GB"/>
        </w:rPr>
      </w:pPr>
      <w:r w:rsidRPr="00100D1A">
        <w:rPr>
          <w:rStyle w:val="dnA"/>
          <w:rFonts w:ascii="Century Gothic" w:hAnsi="Century Gothic"/>
          <w:bCs/>
          <w:sz w:val="24"/>
          <w:szCs w:val="24"/>
          <w:lang w:val="en-GB"/>
        </w:rPr>
        <w:t xml:space="preserve">NGO </w:t>
      </w:r>
      <w:r>
        <w:rPr>
          <w:rStyle w:val="dnA"/>
          <w:rFonts w:ascii="Century Gothic" w:hAnsi="Century Gothic"/>
          <w:bCs/>
          <w:sz w:val="24"/>
          <w:szCs w:val="24"/>
          <w:lang w:val="en-GB"/>
        </w:rPr>
        <w:t>submission</w:t>
      </w:r>
      <w:r w:rsidRPr="00100D1A">
        <w:rPr>
          <w:rStyle w:val="dnA"/>
          <w:rFonts w:ascii="Century Gothic" w:hAnsi="Century Gothic"/>
          <w:bCs/>
          <w:sz w:val="24"/>
          <w:szCs w:val="24"/>
          <w:lang w:val="en-GB"/>
        </w:rPr>
        <w:t xml:space="preserve"> to the UN Committee on the Rights of the Child</w:t>
      </w:r>
    </w:p>
    <w:p w14:paraId="3A642E27" w14:textId="77777777" w:rsidR="0013162D" w:rsidRPr="00100D1A" w:rsidRDefault="0013162D" w:rsidP="0013162D">
      <w:pPr>
        <w:pStyle w:val="TextA"/>
        <w:suppressAutoHyphens/>
        <w:spacing w:after="0" w:line="240" w:lineRule="auto"/>
        <w:jc w:val="center"/>
        <w:rPr>
          <w:rFonts w:ascii="Century Gothic" w:hAnsi="Century Gothic"/>
          <w:sz w:val="24"/>
          <w:szCs w:val="24"/>
        </w:rPr>
      </w:pPr>
    </w:p>
    <w:p w14:paraId="304B4EC2" w14:textId="77777777" w:rsidR="0013162D" w:rsidRPr="00100D1A" w:rsidRDefault="0013162D" w:rsidP="0013162D">
      <w:pPr>
        <w:pStyle w:val="TextA"/>
        <w:suppressAutoHyphens/>
        <w:spacing w:after="0" w:line="240" w:lineRule="auto"/>
        <w:jc w:val="center"/>
        <w:rPr>
          <w:rFonts w:ascii="Century Gothic" w:eastAsia="Century Gothic" w:hAnsi="Century Gothic" w:cs="Century Gothic"/>
          <w:bCs/>
          <w:sz w:val="24"/>
          <w:szCs w:val="24"/>
          <w:lang w:val="en-GB"/>
        </w:rPr>
      </w:pPr>
    </w:p>
    <w:p w14:paraId="541931FB" w14:textId="77777777" w:rsidR="0013162D" w:rsidRPr="00100D1A" w:rsidRDefault="0013162D" w:rsidP="0013162D">
      <w:pPr>
        <w:pStyle w:val="TextA"/>
        <w:suppressAutoHyphens/>
        <w:spacing w:after="0" w:line="240" w:lineRule="auto"/>
        <w:jc w:val="center"/>
        <w:rPr>
          <w:rFonts w:ascii="Century Gothic" w:eastAsia="Century Gothic" w:hAnsi="Century Gothic" w:cs="Century Gothic"/>
          <w:bCs/>
          <w:sz w:val="24"/>
          <w:szCs w:val="24"/>
          <w:lang w:val="en-GB"/>
        </w:rPr>
      </w:pPr>
    </w:p>
    <w:p w14:paraId="659F4B4A" w14:textId="0D5F71F8" w:rsidR="0013162D" w:rsidRDefault="0013162D" w:rsidP="0013162D">
      <w:pPr>
        <w:pStyle w:val="TextA"/>
        <w:suppressAutoHyphens/>
        <w:spacing w:after="0" w:line="240" w:lineRule="auto"/>
        <w:jc w:val="center"/>
        <w:rPr>
          <w:rStyle w:val="dnA"/>
          <w:rFonts w:ascii="Century Gothic" w:hAnsi="Century Gothic"/>
          <w:bCs/>
          <w:sz w:val="24"/>
          <w:szCs w:val="24"/>
          <w:lang w:val="en-GB"/>
        </w:rPr>
      </w:pPr>
      <w:r w:rsidRPr="00100D1A">
        <w:rPr>
          <w:rStyle w:val="dnA"/>
          <w:rFonts w:ascii="Century Gothic" w:hAnsi="Century Gothic"/>
          <w:bCs/>
          <w:sz w:val="24"/>
          <w:szCs w:val="24"/>
          <w:lang w:val="en-GB"/>
        </w:rPr>
        <w:t xml:space="preserve">For </w:t>
      </w:r>
      <w:r>
        <w:rPr>
          <w:rStyle w:val="dnA"/>
          <w:rFonts w:ascii="Century Gothic" w:hAnsi="Century Gothic"/>
          <w:bCs/>
          <w:sz w:val="24"/>
          <w:szCs w:val="24"/>
          <w:lang w:val="en-GB"/>
        </w:rPr>
        <w:t>the Day of the Day of General Discussion:</w:t>
      </w:r>
    </w:p>
    <w:p w14:paraId="5B73BA82" w14:textId="64A759D1" w:rsidR="0013162D" w:rsidRDefault="0013162D" w:rsidP="0013162D">
      <w:pPr>
        <w:pStyle w:val="TextA"/>
        <w:suppressAutoHyphens/>
        <w:spacing w:after="0" w:line="240" w:lineRule="auto"/>
        <w:jc w:val="center"/>
        <w:rPr>
          <w:rStyle w:val="dnA"/>
          <w:rFonts w:ascii="Century Gothic" w:hAnsi="Century Gothic"/>
          <w:bCs/>
          <w:sz w:val="24"/>
          <w:szCs w:val="24"/>
          <w:lang w:val="en-GB"/>
        </w:rPr>
      </w:pPr>
    </w:p>
    <w:p w14:paraId="032D973F" w14:textId="77777777" w:rsidR="0013162D" w:rsidRDefault="0013162D" w:rsidP="0013162D">
      <w:pPr>
        <w:pStyle w:val="TextA"/>
        <w:suppressAutoHyphens/>
        <w:spacing w:after="0" w:line="240" w:lineRule="auto"/>
        <w:jc w:val="center"/>
        <w:rPr>
          <w:rStyle w:val="dnA"/>
          <w:rFonts w:ascii="Century Gothic" w:hAnsi="Century Gothic"/>
          <w:bCs/>
          <w:sz w:val="24"/>
          <w:szCs w:val="24"/>
          <w:lang w:val="en-GB"/>
        </w:rPr>
      </w:pPr>
    </w:p>
    <w:p w14:paraId="2B183F4F" w14:textId="07100A15" w:rsidR="0013162D" w:rsidRPr="0013162D" w:rsidRDefault="0013162D" w:rsidP="0013162D">
      <w:pPr>
        <w:pStyle w:val="TextA"/>
        <w:suppressAutoHyphens/>
        <w:spacing w:after="0" w:line="240" w:lineRule="auto"/>
        <w:jc w:val="center"/>
        <w:rPr>
          <w:rStyle w:val="dnA"/>
          <w:rFonts w:ascii="Century Gothic" w:hAnsi="Century Gothic"/>
          <w:b/>
          <w:sz w:val="32"/>
          <w:szCs w:val="32"/>
          <w:lang w:val="en-GB"/>
        </w:rPr>
      </w:pPr>
      <w:r>
        <w:rPr>
          <w:rStyle w:val="dnA"/>
          <w:rFonts w:ascii="Century Gothic" w:hAnsi="Century Gothic"/>
          <w:b/>
          <w:sz w:val="32"/>
          <w:szCs w:val="32"/>
          <w:lang w:val="en-GB"/>
        </w:rPr>
        <w:t>“Children’s Rights and Alternative Care”</w:t>
      </w:r>
    </w:p>
    <w:p w14:paraId="5C4182FA" w14:textId="77777777" w:rsidR="0013162D" w:rsidRPr="00100D1A" w:rsidRDefault="0013162D" w:rsidP="0013162D">
      <w:pPr>
        <w:pStyle w:val="TextA"/>
        <w:suppressAutoHyphens/>
        <w:spacing w:after="0" w:line="240" w:lineRule="auto"/>
        <w:jc w:val="center"/>
        <w:rPr>
          <w:rStyle w:val="dnA"/>
          <w:rFonts w:ascii="Century Gothic" w:hAnsi="Century Gothic"/>
          <w:bCs/>
          <w:sz w:val="24"/>
          <w:szCs w:val="24"/>
          <w:lang w:val="en-GB"/>
        </w:rPr>
      </w:pPr>
    </w:p>
    <w:p w14:paraId="1895B07D" w14:textId="77777777" w:rsidR="0013162D" w:rsidRPr="00100D1A" w:rsidRDefault="0013162D" w:rsidP="0013162D">
      <w:pPr>
        <w:pStyle w:val="TextA"/>
        <w:suppressAutoHyphens/>
        <w:spacing w:after="0" w:line="240" w:lineRule="auto"/>
        <w:jc w:val="center"/>
        <w:rPr>
          <w:rFonts w:ascii="Century Gothic" w:eastAsia="Century Gothic" w:hAnsi="Century Gothic" w:cs="Century Gothic"/>
          <w:b/>
          <w:bCs/>
          <w:sz w:val="24"/>
          <w:szCs w:val="24"/>
          <w:lang w:val="en-GB"/>
        </w:rPr>
      </w:pPr>
    </w:p>
    <w:p w14:paraId="41A05BD0" w14:textId="77777777" w:rsidR="0013162D" w:rsidRPr="00100D1A" w:rsidRDefault="0013162D" w:rsidP="0013162D">
      <w:pPr>
        <w:pStyle w:val="TextA"/>
        <w:suppressAutoHyphens/>
        <w:spacing w:after="0" w:line="240" w:lineRule="auto"/>
        <w:jc w:val="center"/>
        <w:rPr>
          <w:rFonts w:ascii="Century Gothic" w:eastAsia="Century Gothic" w:hAnsi="Century Gothic" w:cs="Century Gothic"/>
          <w:b/>
          <w:bCs/>
          <w:sz w:val="24"/>
          <w:szCs w:val="24"/>
          <w:lang w:val="en-GB"/>
        </w:rPr>
      </w:pPr>
    </w:p>
    <w:p w14:paraId="3FEF2170" w14:textId="4F665860" w:rsidR="0013162D" w:rsidRPr="00100D1A" w:rsidRDefault="0013162D" w:rsidP="0013162D">
      <w:pPr>
        <w:pStyle w:val="TextA"/>
        <w:suppressAutoHyphens/>
        <w:spacing w:after="0" w:line="240" w:lineRule="auto"/>
        <w:jc w:val="center"/>
        <w:rPr>
          <w:rStyle w:val="dnA"/>
          <w:rFonts w:ascii="Century Gothic" w:hAnsi="Century Gothic"/>
          <w:sz w:val="24"/>
          <w:szCs w:val="24"/>
        </w:rPr>
      </w:pPr>
      <w:r w:rsidRPr="00100D1A">
        <w:rPr>
          <w:rStyle w:val="dnA"/>
          <w:rFonts w:ascii="Century Gothic" w:hAnsi="Century Gothic"/>
          <w:b/>
          <w:bCs/>
          <w:sz w:val="24"/>
          <w:szCs w:val="24"/>
          <w:lang w:val="en-GB"/>
        </w:rPr>
        <w:t>_______________________________________</w:t>
      </w:r>
    </w:p>
    <w:p w14:paraId="53E2AE96" w14:textId="77777777" w:rsidR="0013162D" w:rsidRPr="00100D1A" w:rsidRDefault="0013162D" w:rsidP="0013162D">
      <w:pPr>
        <w:pStyle w:val="TextA"/>
        <w:suppressAutoHyphens/>
        <w:spacing w:after="0" w:line="240" w:lineRule="auto"/>
        <w:jc w:val="center"/>
        <w:rPr>
          <w:rFonts w:ascii="Century Gothic" w:hAnsi="Century Gothic"/>
          <w:sz w:val="24"/>
          <w:szCs w:val="24"/>
        </w:rPr>
      </w:pPr>
    </w:p>
    <w:p w14:paraId="3A5095B9" w14:textId="77777777" w:rsidR="0013162D" w:rsidRPr="00100D1A" w:rsidRDefault="0013162D" w:rsidP="0013162D">
      <w:pPr>
        <w:pStyle w:val="TextA"/>
        <w:suppressAutoHyphens/>
        <w:spacing w:after="0" w:line="240" w:lineRule="auto"/>
        <w:jc w:val="center"/>
        <w:rPr>
          <w:rFonts w:ascii="Century Gothic" w:eastAsia="Century Gothic" w:hAnsi="Century Gothic" w:cs="Century Gothic"/>
          <w:b/>
          <w:bCs/>
          <w:sz w:val="24"/>
          <w:szCs w:val="24"/>
          <w:lang w:val="en-GB"/>
        </w:rPr>
      </w:pPr>
    </w:p>
    <w:p w14:paraId="408C9CE5" w14:textId="77777777" w:rsidR="0013162D" w:rsidRPr="00100D1A" w:rsidRDefault="0013162D" w:rsidP="0013162D">
      <w:pPr>
        <w:pStyle w:val="TextA"/>
        <w:suppressAutoHyphens/>
        <w:spacing w:after="0" w:line="240" w:lineRule="auto"/>
        <w:jc w:val="center"/>
        <w:rPr>
          <w:rFonts w:ascii="Century Gothic" w:eastAsia="Century Gothic" w:hAnsi="Century Gothic" w:cs="Century Gothic"/>
          <w:b/>
          <w:bCs/>
          <w:sz w:val="24"/>
          <w:szCs w:val="24"/>
          <w:lang w:val="en-GB"/>
        </w:rPr>
      </w:pPr>
    </w:p>
    <w:p w14:paraId="6D6BC9FE" w14:textId="77777777" w:rsidR="0013162D" w:rsidRPr="00100D1A" w:rsidRDefault="0013162D" w:rsidP="0013162D">
      <w:pPr>
        <w:pStyle w:val="TextA"/>
        <w:suppressAutoHyphens/>
        <w:spacing w:after="0" w:line="240" w:lineRule="auto"/>
        <w:jc w:val="center"/>
        <w:rPr>
          <w:rStyle w:val="dnA"/>
          <w:rFonts w:ascii="Century Gothic" w:eastAsia="Arial Unicode MS" w:hAnsi="Century Gothic" w:cs="Arial Unicode MS"/>
          <w:sz w:val="24"/>
          <w:szCs w:val="24"/>
        </w:rPr>
      </w:pPr>
      <w:r w:rsidRPr="00100D1A">
        <w:rPr>
          <w:rStyle w:val="dnA"/>
          <w:rFonts w:ascii="Century Gothic" w:hAnsi="Century Gothic"/>
          <w:sz w:val="24"/>
          <w:szCs w:val="24"/>
          <w:lang w:val="en-GB"/>
        </w:rPr>
        <w:t>Submitted by:</w:t>
      </w:r>
    </w:p>
    <w:p w14:paraId="5B30F614" w14:textId="77777777" w:rsidR="0013162D" w:rsidRPr="00100D1A" w:rsidRDefault="0013162D" w:rsidP="0013162D">
      <w:pPr>
        <w:pStyle w:val="TextA"/>
        <w:suppressAutoHyphens/>
        <w:spacing w:after="0" w:line="240" w:lineRule="auto"/>
        <w:jc w:val="center"/>
        <w:rPr>
          <w:rFonts w:ascii="Century Gothic" w:eastAsia="Century Gothic" w:hAnsi="Century Gothic" w:cs="Century Gothic"/>
          <w:sz w:val="24"/>
          <w:szCs w:val="24"/>
        </w:rPr>
      </w:pPr>
    </w:p>
    <w:p w14:paraId="005D512F" w14:textId="6AACC113" w:rsidR="0013162D" w:rsidRPr="00100D1A" w:rsidRDefault="0013162D" w:rsidP="0013162D">
      <w:pPr>
        <w:pStyle w:val="TextA"/>
        <w:suppressAutoHyphens/>
        <w:spacing w:after="0" w:line="240" w:lineRule="auto"/>
        <w:jc w:val="center"/>
        <w:rPr>
          <w:rStyle w:val="dnA"/>
          <w:rFonts w:ascii="Century Gothic" w:eastAsia="Century Gothic" w:hAnsi="Century Gothic" w:cs="Century Gothic"/>
          <w:sz w:val="24"/>
          <w:szCs w:val="24"/>
        </w:rPr>
      </w:pPr>
      <w:r w:rsidRPr="00100D1A">
        <w:rPr>
          <w:rStyle w:val="dnA"/>
          <w:rFonts w:ascii="Century Gothic" w:hAnsi="Century Gothic"/>
          <w:sz w:val="24"/>
          <w:szCs w:val="24"/>
          <w:lang w:val="en-GB"/>
        </w:rPr>
        <w:t>Forum for Human Rights (FORUM)</w:t>
      </w:r>
      <w:r>
        <w:rPr>
          <w:rStyle w:val="FootnoteReference"/>
          <w:rFonts w:ascii="Century Gothic" w:hAnsi="Century Gothic"/>
          <w:sz w:val="24"/>
          <w:szCs w:val="24"/>
          <w:lang w:val="en-GB"/>
        </w:rPr>
        <w:footnoteReference w:id="1"/>
      </w:r>
    </w:p>
    <w:p w14:paraId="17002B7A" w14:textId="77777777" w:rsidR="0013162D" w:rsidRPr="00100D1A" w:rsidRDefault="0013162D" w:rsidP="0013162D">
      <w:pPr>
        <w:pStyle w:val="TextA"/>
        <w:suppressAutoHyphens/>
        <w:spacing w:after="0" w:line="240" w:lineRule="auto"/>
        <w:jc w:val="center"/>
        <w:rPr>
          <w:rFonts w:ascii="Century Gothic" w:hAnsi="Century Gothic"/>
          <w:sz w:val="24"/>
          <w:szCs w:val="24"/>
        </w:rPr>
      </w:pPr>
    </w:p>
    <w:p w14:paraId="7C90B206" w14:textId="77777777" w:rsidR="0013162D" w:rsidRPr="00100D1A" w:rsidRDefault="0013162D" w:rsidP="0013162D">
      <w:pPr>
        <w:pStyle w:val="TextA"/>
        <w:suppressAutoHyphens/>
        <w:spacing w:after="0" w:line="240" w:lineRule="auto"/>
        <w:jc w:val="center"/>
        <w:rPr>
          <w:rFonts w:ascii="Century Gothic" w:eastAsia="Century Gothic" w:hAnsi="Century Gothic" w:cs="Century Gothic"/>
          <w:sz w:val="24"/>
          <w:szCs w:val="24"/>
          <w:lang w:val="en-GB"/>
        </w:rPr>
      </w:pPr>
    </w:p>
    <w:p w14:paraId="560A7C0F" w14:textId="15878A09" w:rsidR="0013162D" w:rsidRPr="00100D1A" w:rsidRDefault="00CF273E" w:rsidP="0013162D">
      <w:pPr>
        <w:pStyle w:val="TextA"/>
        <w:suppressAutoHyphens/>
        <w:spacing w:after="0" w:line="240" w:lineRule="auto"/>
        <w:jc w:val="center"/>
        <w:rPr>
          <w:rStyle w:val="dnA"/>
          <w:rFonts w:ascii="Century Gothic" w:hAnsi="Century Gothic"/>
          <w:sz w:val="24"/>
          <w:szCs w:val="24"/>
          <w:shd w:val="clear" w:color="auto" w:fill="FFFFFF"/>
        </w:rPr>
      </w:pPr>
      <w:r>
        <w:rPr>
          <w:rStyle w:val="dnA"/>
          <w:rFonts w:ascii="Century Gothic" w:hAnsi="Century Gothic"/>
          <w:sz w:val="24"/>
          <w:szCs w:val="24"/>
          <w:shd w:val="clear" w:color="auto" w:fill="FFFFFF"/>
          <w:lang w:val="en-GB"/>
        </w:rPr>
        <w:t>14</w:t>
      </w:r>
      <w:r w:rsidR="0013162D" w:rsidRPr="00100D1A">
        <w:rPr>
          <w:rStyle w:val="dnA"/>
          <w:rFonts w:ascii="Century Gothic" w:hAnsi="Century Gothic"/>
          <w:sz w:val="24"/>
          <w:szCs w:val="24"/>
          <w:shd w:val="clear" w:color="auto" w:fill="FFFFFF"/>
          <w:lang w:val="en-GB"/>
        </w:rPr>
        <w:t xml:space="preserve"> </w:t>
      </w:r>
      <w:r w:rsidR="0013162D">
        <w:rPr>
          <w:rStyle w:val="dnA"/>
          <w:rFonts w:ascii="Century Gothic" w:hAnsi="Century Gothic"/>
          <w:sz w:val="24"/>
          <w:szCs w:val="24"/>
          <w:shd w:val="clear" w:color="auto" w:fill="FFFFFF"/>
          <w:lang w:val="en-GB"/>
        </w:rPr>
        <w:t>June</w:t>
      </w:r>
      <w:r w:rsidR="0013162D" w:rsidRPr="00100D1A">
        <w:rPr>
          <w:rStyle w:val="dnA"/>
          <w:rFonts w:ascii="Century Gothic" w:hAnsi="Century Gothic"/>
          <w:sz w:val="24"/>
          <w:szCs w:val="24"/>
          <w:shd w:val="clear" w:color="auto" w:fill="FFFFFF"/>
          <w:lang w:val="en-GB"/>
        </w:rPr>
        <w:t xml:space="preserve"> 202</w:t>
      </w:r>
      <w:r w:rsidR="0013162D">
        <w:rPr>
          <w:rStyle w:val="dnA"/>
          <w:rFonts w:ascii="Century Gothic" w:hAnsi="Century Gothic"/>
          <w:sz w:val="24"/>
          <w:szCs w:val="24"/>
          <w:shd w:val="clear" w:color="auto" w:fill="FFFFFF"/>
          <w:lang w:val="en-GB"/>
        </w:rPr>
        <w:t>1</w:t>
      </w:r>
    </w:p>
    <w:p w14:paraId="1476B2F1" w14:textId="1DB92072" w:rsidR="0013162D" w:rsidRDefault="0013162D">
      <w:pPr>
        <w:rPr>
          <w:rFonts w:ascii="Century Gothic" w:hAnsi="Century Gothic"/>
          <w:b/>
          <w:bCs/>
          <w:u w:val="single"/>
          <w:lang w:val="en-GB"/>
        </w:rPr>
      </w:pPr>
      <w:r>
        <w:rPr>
          <w:rFonts w:ascii="Century Gothic" w:hAnsi="Century Gothic"/>
          <w:b/>
          <w:bCs/>
          <w:u w:val="single"/>
          <w:lang w:val="en-GB"/>
        </w:rPr>
        <w:br w:type="page"/>
      </w:r>
    </w:p>
    <w:p w14:paraId="6F03AF9A" w14:textId="26CFFF02" w:rsidR="00E825FC" w:rsidRPr="00E27305" w:rsidRDefault="003941FC">
      <w:pPr>
        <w:rPr>
          <w:rFonts w:ascii="Century Gothic" w:hAnsi="Century Gothic"/>
          <w:b/>
          <w:bCs/>
          <w:u w:val="single"/>
          <w:lang w:val="en-GB"/>
        </w:rPr>
      </w:pPr>
      <w:r w:rsidRPr="00E27305">
        <w:rPr>
          <w:rFonts w:ascii="Century Gothic" w:hAnsi="Century Gothic"/>
          <w:b/>
          <w:bCs/>
          <w:u w:val="single"/>
          <w:lang w:val="en-GB"/>
        </w:rPr>
        <w:lastRenderedPageBreak/>
        <w:t>ABBREVIATIONS</w:t>
      </w:r>
    </w:p>
    <w:p w14:paraId="49F2FCF9" w14:textId="6BDF4269" w:rsidR="003941FC" w:rsidRPr="00E27305" w:rsidRDefault="003941FC">
      <w:pPr>
        <w:rPr>
          <w:rFonts w:ascii="Century Gothic" w:hAnsi="Century Gothic"/>
          <w:lang w:val="en-GB"/>
        </w:rPr>
      </w:pPr>
      <w:r w:rsidRPr="00E27305">
        <w:rPr>
          <w:rFonts w:ascii="Century Gothic" w:hAnsi="Century Gothic"/>
          <w:b/>
          <w:bCs/>
          <w:lang w:val="en-GB"/>
        </w:rPr>
        <w:t>CRC</w:t>
      </w:r>
      <w:r w:rsidRPr="00E27305">
        <w:rPr>
          <w:rFonts w:ascii="Century Gothic" w:hAnsi="Century Gothic"/>
          <w:b/>
          <w:bCs/>
          <w:lang w:val="en-GB"/>
        </w:rPr>
        <w:tab/>
      </w:r>
      <w:r w:rsidRPr="00E27305">
        <w:rPr>
          <w:rFonts w:ascii="Century Gothic" w:hAnsi="Century Gothic"/>
          <w:lang w:val="en-GB"/>
        </w:rPr>
        <w:t>Convention on the Rights of the Child</w:t>
      </w:r>
    </w:p>
    <w:p w14:paraId="2C06DBC9" w14:textId="1A1F57C3" w:rsidR="003941FC" w:rsidRPr="00E27305" w:rsidRDefault="003941FC">
      <w:pPr>
        <w:rPr>
          <w:rFonts w:ascii="Century Gothic" w:hAnsi="Century Gothic"/>
          <w:lang w:val="en-GB"/>
        </w:rPr>
      </w:pPr>
      <w:r w:rsidRPr="00E27305">
        <w:rPr>
          <w:rFonts w:ascii="Century Gothic" w:hAnsi="Century Gothic"/>
          <w:b/>
          <w:bCs/>
          <w:lang w:val="en-GB"/>
        </w:rPr>
        <w:t>CRPD</w:t>
      </w:r>
      <w:r w:rsidRPr="00E27305">
        <w:rPr>
          <w:rFonts w:ascii="Century Gothic" w:hAnsi="Century Gothic"/>
          <w:b/>
          <w:bCs/>
          <w:lang w:val="en-GB"/>
        </w:rPr>
        <w:tab/>
      </w:r>
      <w:r w:rsidRPr="00E27305">
        <w:rPr>
          <w:rFonts w:ascii="Century Gothic" w:hAnsi="Century Gothic"/>
          <w:lang w:val="en-GB"/>
        </w:rPr>
        <w:t>Convention on the Rights of Persons with Disabilities</w:t>
      </w:r>
    </w:p>
    <w:p w14:paraId="419EC1C6" w14:textId="21477570" w:rsidR="00DD179D" w:rsidRPr="00E27305" w:rsidRDefault="00DD179D">
      <w:pPr>
        <w:rPr>
          <w:rFonts w:ascii="Century Gothic" w:hAnsi="Century Gothic"/>
          <w:b/>
          <w:bCs/>
          <w:lang w:val="en-GB"/>
        </w:rPr>
      </w:pPr>
      <w:r w:rsidRPr="00E27305">
        <w:rPr>
          <w:rFonts w:ascii="Century Gothic" w:hAnsi="Century Gothic"/>
          <w:b/>
          <w:bCs/>
          <w:lang w:val="en-GB"/>
        </w:rPr>
        <w:t>ECHR</w:t>
      </w:r>
      <w:r w:rsidRPr="00E27305">
        <w:rPr>
          <w:rFonts w:ascii="Century Gothic" w:hAnsi="Century Gothic"/>
          <w:b/>
          <w:bCs/>
          <w:lang w:val="en-GB"/>
        </w:rPr>
        <w:tab/>
      </w:r>
      <w:r w:rsidRPr="00E27305">
        <w:rPr>
          <w:rFonts w:ascii="Century Gothic" w:hAnsi="Century Gothic"/>
          <w:lang w:val="en-GB"/>
        </w:rPr>
        <w:t>European Convention on Human Rights and Fundamental Freedoms</w:t>
      </w:r>
    </w:p>
    <w:p w14:paraId="082B76A6" w14:textId="74497873" w:rsidR="00DD179D" w:rsidRPr="00E27305" w:rsidRDefault="00DD179D">
      <w:pPr>
        <w:rPr>
          <w:rFonts w:ascii="Century Gothic" w:hAnsi="Century Gothic"/>
          <w:b/>
          <w:bCs/>
          <w:lang w:val="en-GB"/>
        </w:rPr>
      </w:pPr>
      <w:r w:rsidRPr="00E27305">
        <w:rPr>
          <w:rFonts w:ascii="Century Gothic" w:hAnsi="Century Gothic"/>
          <w:b/>
          <w:bCs/>
          <w:lang w:val="en-GB"/>
        </w:rPr>
        <w:t>ECtHR</w:t>
      </w:r>
      <w:r w:rsidRPr="00E27305">
        <w:rPr>
          <w:rFonts w:ascii="Century Gothic" w:hAnsi="Century Gothic"/>
          <w:b/>
          <w:bCs/>
          <w:lang w:val="en-GB"/>
        </w:rPr>
        <w:tab/>
      </w:r>
      <w:r w:rsidRPr="00E27305">
        <w:rPr>
          <w:rFonts w:ascii="Century Gothic" w:hAnsi="Century Gothic"/>
          <w:lang w:val="en-GB"/>
        </w:rPr>
        <w:t>European Court of Human Rights</w:t>
      </w:r>
    </w:p>
    <w:p w14:paraId="4559E383" w14:textId="1B2C7B2D" w:rsidR="003941FC" w:rsidRPr="00E27305" w:rsidRDefault="003941FC">
      <w:pPr>
        <w:rPr>
          <w:rFonts w:ascii="Century Gothic" w:hAnsi="Century Gothic"/>
          <w:lang w:val="en-GB"/>
        </w:rPr>
      </w:pPr>
      <w:r w:rsidRPr="00E27305">
        <w:rPr>
          <w:rFonts w:ascii="Century Gothic" w:hAnsi="Century Gothic"/>
          <w:b/>
          <w:bCs/>
          <w:lang w:val="en-GB"/>
        </w:rPr>
        <w:t>GC</w:t>
      </w:r>
      <w:r w:rsidRPr="00E27305">
        <w:rPr>
          <w:rFonts w:ascii="Century Gothic" w:hAnsi="Century Gothic"/>
          <w:b/>
          <w:bCs/>
          <w:lang w:val="en-GB"/>
        </w:rPr>
        <w:tab/>
      </w:r>
      <w:r w:rsidRPr="00E27305">
        <w:rPr>
          <w:rFonts w:ascii="Century Gothic" w:hAnsi="Century Gothic"/>
          <w:lang w:val="en-GB"/>
        </w:rPr>
        <w:t>General Comment</w:t>
      </w:r>
    </w:p>
    <w:p w14:paraId="147E4085" w14:textId="4B45A9D6" w:rsidR="00DC577D" w:rsidRPr="00E27305" w:rsidRDefault="00DC577D">
      <w:pPr>
        <w:rPr>
          <w:rFonts w:ascii="Century Gothic" w:hAnsi="Century Gothic"/>
          <w:lang w:val="en-GB"/>
        </w:rPr>
      </w:pPr>
      <w:r w:rsidRPr="00E27305">
        <w:rPr>
          <w:rFonts w:ascii="Century Gothic" w:hAnsi="Century Gothic"/>
          <w:b/>
          <w:bCs/>
          <w:lang w:val="en-GB"/>
        </w:rPr>
        <w:t>SCC</w:t>
      </w:r>
      <w:r w:rsidRPr="00E27305">
        <w:rPr>
          <w:rFonts w:ascii="Century Gothic" w:hAnsi="Century Gothic"/>
          <w:lang w:val="en-GB"/>
        </w:rPr>
        <w:tab/>
        <w:t>Supreme Court of Canada</w:t>
      </w:r>
    </w:p>
    <w:p w14:paraId="3D5A8ADA" w14:textId="5E42E11B" w:rsidR="00E27305" w:rsidRPr="00E27305" w:rsidRDefault="00DC577D">
      <w:pPr>
        <w:rPr>
          <w:rFonts w:ascii="Century Gothic" w:hAnsi="Century Gothic"/>
          <w:lang w:val="en-GB"/>
        </w:rPr>
      </w:pPr>
      <w:r w:rsidRPr="00E27305">
        <w:rPr>
          <w:rFonts w:ascii="Century Gothic" w:hAnsi="Century Gothic"/>
          <w:b/>
          <w:bCs/>
          <w:lang w:val="en-GB"/>
        </w:rPr>
        <w:t>UKSC</w:t>
      </w:r>
      <w:r w:rsidRPr="00E27305">
        <w:rPr>
          <w:rFonts w:ascii="Century Gothic" w:hAnsi="Century Gothic"/>
          <w:b/>
          <w:bCs/>
          <w:lang w:val="en-GB"/>
        </w:rPr>
        <w:tab/>
      </w:r>
      <w:r w:rsidRPr="00E27305">
        <w:rPr>
          <w:rFonts w:ascii="Century Gothic" w:hAnsi="Century Gothic"/>
          <w:lang w:val="en-GB"/>
        </w:rPr>
        <w:t>Supreme Court of the United Kingdom</w:t>
      </w:r>
    </w:p>
    <w:p w14:paraId="7EC81E64" w14:textId="7E4602B4" w:rsidR="003941FC" w:rsidRPr="00E27305" w:rsidRDefault="00E27305">
      <w:pPr>
        <w:rPr>
          <w:rFonts w:ascii="Century Gothic" w:hAnsi="Century Gothic"/>
          <w:lang w:val="en-GB"/>
        </w:rPr>
      </w:pPr>
      <w:r w:rsidRPr="00E27305">
        <w:rPr>
          <w:rFonts w:ascii="Century Gothic" w:hAnsi="Century Gothic"/>
          <w:lang w:val="en-GB"/>
        </w:rPr>
        <w:br w:type="page"/>
      </w:r>
    </w:p>
    <w:sdt>
      <w:sdtPr>
        <w:rPr>
          <w:rFonts w:ascii="Century Gothic" w:eastAsiaTheme="minorHAnsi" w:hAnsi="Century Gothic" w:cstheme="minorBidi"/>
          <w:b w:val="0"/>
          <w:bCs w:val="0"/>
          <w:color w:val="auto"/>
          <w:sz w:val="24"/>
          <w:szCs w:val="24"/>
          <w:lang w:eastAsia="en-US"/>
        </w:rPr>
        <w:id w:val="-2001806120"/>
        <w:docPartObj>
          <w:docPartGallery w:val="Table of Contents"/>
          <w:docPartUnique/>
        </w:docPartObj>
      </w:sdtPr>
      <w:sdtEndPr/>
      <w:sdtContent>
        <w:p w14:paraId="17523787" w14:textId="6759E228" w:rsidR="005604DF" w:rsidRPr="00E27305" w:rsidRDefault="00E27305">
          <w:pPr>
            <w:pStyle w:val="TOCHeading"/>
            <w:rPr>
              <w:rFonts w:ascii="Century Gothic" w:hAnsi="Century Gothic"/>
              <w:color w:val="000000" w:themeColor="text1"/>
            </w:rPr>
          </w:pPr>
          <w:r w:rsidRPr="00E27305">
            <w:rPr>
              <w:rFonts w:ascii="Century Gothic" w:hAnsi="Century Gothic"/>
              <w:color w:val="000000" w:themeColor="text1"/>
            </w:rPr>
            <w:t>TABLE OF CONTENTS</w:t>
          </w:r>
        </w:p>
        <w:p w14:paraId="09BC3C2F" w14:textId="692E91FE" w:rsidR="00D53264" w:rsidRPr="00E27305" w:rsidRDefault="005604DF">
          <w:pPr>
            <w:pStyle w:val="TOC1"/>
            <w:tabs>
              <w:tab w:val="right" w:leader="dot" w:pos="9056"/>
            </w:tabs>
            <w:rPr>
              <w:rFonts w:ascii="Century Gothic" w:eastAsiaTheme="minorEastAsia" w:hAnsi="Century Gothic" w:cstheme="minorBidi"/>
              <w:b w:val="0"/>
              <w:bCs w:val="0"/>
              <w:caps w:val="0"/>
              <w:noProof/>
              <w:sz w:val="24"/>
              <w:szCs w:val="24"/>
              <w:lang w:eastAsia="cs-CZ"/>
            </w:rPr>
          </w:pPr>
          <w:r w:rsidRPr="00E27305">
            <w:rPr>
              <w:rFonts w:ascii="Century Gothic" w:hAnsi="Century Gothic"/>
              <w:b w:val="0"/>
              <w:bCs w:val="0"/>
            </w:rPr>
            <w:fldChar w:fldCharType="begin"/>
          </w:r>
          <w:r w:rsidRPr="00E27305">
            <w:rPr>
              <w:rFonts w:ascii="Century Gothic" w:hAnsi="Century Gothic"/>
            </w:rPr>
            <w:instrText>TOC \o "1-3" \h \z \u</w:instrText>
          </w:r>
          <w:r w:rsidRPr="00E27305">
            <w:rPr>
              <w:rFonts w:ascii="Century Gothic" w:hAnsi="Century Gothic"/>
              <w:b w:val="0"/>
              <w:bCs w:val="0"/>
            </w:rPr>
            <w:fldChar w:fldCharType="separate"/>
          </w:r>
          <w:hyperlink w:anchor="_Toc74034871" w:history="1">
            <w:r w:rsidR="00D53264" w:rsidRPr="00E27305">
              <w:rPr>
                <w:rStyle w:val="Hyperlink"/>
                <w:rFonts w:ascii="Century Gothic" w:hAnsi="Century Gothic"/>
                <w:b w:val="0"/>
                <w:bCs w:val="0"/>
                <w:noProof/>
                <w:lang w:val="en-GB"/>
              </w:rPr>
              <w:t>I. BRIEF HISTORICAL BACKGROUND</w:t>
            </w:r>
            <w:r w:rsidR="00D53264" w:rsidRPr="00E27305">
              <w:rPr>
                <w:rFonts w:ascii="Century Gothic" w:hAnsi="Century Gothic"/>
                <w:b w:val="0"/>
                <w:bCs w:val="0"/>
                <w:noProof/>
                <w:webHidden/>
              </w:rPr>
              <w:tab/>
            </w:r>
            <w:r w:rsidR="00D53264" w:rsidRPr="00E27305">
              <w:rPr>
                <w:rFonts w:ascii="Century Gothic" w:hAnsi="Century Gothic"/>
                <w:b w:val="0"/>
                <w:bCs w:val="0"/>
                <w:noProof/>
                <w:webHidden/>
              </w:rPr>
              <w:fldChar w:fldCharType="begin"/>
            </w:r>
            <w:r w:rsidR="00D53264" w:rsidRPr="00E27305">
              <w:rPr>
                <w:rFonts w:ascii="Century Gothic" w:hAnsi="Century Gothic"/>
                <w:b w:val="0"/>
                <w:bCs w:val="0"/>
                <w:noProof/>
                <w:webHidden/>
              </w:rPr>
              <w:instrText xml:space="preserve"> PAGEREF _Toc74034871 \h </w:instrText>
            </w:r>
            <w:r w:rsidR="00D53264" w:rsidRPr="00E27305">
              <w:rPr>
                <w:rFonts w:ascii="Century Gothic" w:hAnsi="Century Gothic"/>
                <w:b w:val="0"/>
                <w:bCs w:val="0"/>
                <w:noProof/>
                <w:webHidden/>
              </w:rPr>
            </w:r>
            <w:r w:rsidR="00D53264" w:rsidRPr="00E27305">
              <w:rPr>
                <w:rFonts w:ascii="Century Gothic" w:hAnsi="Century Gothic"/>
                <w:b w:val="0"/>
                <w:bCs w:val="0"/>
                <w:noProof/>
                <w:webHidden/>
              </w:rPr>
              <w:fldChar w:fldCharType="separate"/>
            </w:r>
            <w:r w:rsidR="00061456">
              <w:rPr>
                <w:rFonts w:ascii="Century Gothic" w:hAnsi="Century Gothic"/>
                <w:b w:val="0"/>
                <w:bCs w:val="0"/>
                <w:noProof/>
                <w:webHidden/>
              </w:rPr>
              <w:t>4</w:t>
            </w:r>
            <w:r w:rsidR="00D53264" w:rsidRPr="00E27305">
              <w:rPr>
                <w:rFonts w:ascii="Century Gothic" w:hAnsi="Century Gothic"/>
                <w:b w:val="0"/>
                <w:bCs w:val="0"/>
                <w:noProof/>
                <w:webHidden/>
              </w:rPr>
              <w:fldChar w:fldCharType="end"/>
            </w:r>
          </w:hyperlink>
        </w:p>
        <w:p w14:paraId="155D7A4B" w14:textId="3B3AD5CE" w:rsidR="00D53264" w:rsidRPr="00E27305" w:rsidRDefault="00525C8B">
          <w:pPr>
            <w:pStyle w:val="TOC1"/>
            <w:tabs>
              <w:tab w:val="right" w:leader="dot" w:pos="9056"/>
            </w:tabs>
            <w:rPr>
              <w:rFonts w:ascii="Century Gothic" w:eastAsiaTheme="minorEastAsia" w:hAnsi="Century Gothic" w:cstheme="minorBidi"/>
              <w:b w:val="0"/>
              <w:bCs w:val="0"/>
              <w:caps w:val="0"/>
              <w:noProof/>
              <w:sz w:val="24"/>
              <w:szCs w:val="24"/>
              <w:lang w:eastAsia="cs-CZ"/>
            </w:rPr>
          </w:pPr>
          <w:hyperlink w:anchor="_Toc74034872" w:history="1">
            <w:r w:rsidR="00D53264" w:rsidRPr="00E27305">
              <w:rPr>
                <w:rStyle w:val="Hyperlink"/>
                <w:rFonts w:ascii="Century Gothic" w:hAnsi="Century Gothic"/>
                <w:b w:val="0"/>
                <w:bCs w:val="0"/>
                <w:noProof/>
                <w:lang w:val="en-GB"/>
              </w:rPr>
              <w:t xml:space="preserve">II. THE </w:t>
            </w:r>
            <w:r w:rsidR="00671385" w:rsidRPr="00E27305">
              <w:rPr>
                <w:rStyle w:val="Hyperlink"/>
                <w:rFonts w:ascii="Century Gothic" w:hAnsi="Century Gothic"/>
                <w:b w:val="0"/>
                <w:bCs w:val="0"/>
                <w:noProof/>
                <w:lang w:val="en-GB"/>
              </w:rPr>
              <w:t>APPROPRIATENESS</w:t>
            </w:r>
            <w:r w:rsidR="00D53264" w:rsidRPr="00E27305">
              <w:rPr>
                <w:rStyle w:val="Hyperlink"/>
                <w:rFonts w:ascii="Century Gothic" w:hAnsi="Century Gothic"/>
                <w:b w:val="0"/>
                <w:bCs w:val="0"/>
                <w:noProof/>
                <w:lang w:val="en-GB"/>
              </w:rPr>
              <w:t xml:space="preserve"> OF THE DISABILITY RIGHTS CONCEPTS</w:t>
            </w:r>
            <w:r w:rsidR="00D53264" w:rsidRPr="00E27305">
              <w:rPr>
                <w:rFonts w:ascii="Century Gothic" w:hAnsi="Century Gothic"/>
                <w:b w:val="0"/>
                <w:bCs w:val="0"/>
                <w:noProof/>
                <w:webHidden/>
              </w:rPr>
              <w:tab/>
            </w:r>
            <w:r w:rsidR="00D53264" w:rsidRPr="00E27305">
              <w:rPr>
                <w:rFonts w:ascii="Century Gothic" w:hAnsi="Century Gothic"/>
                <w:b w:val="0"/>
                <w:bCs w:val="0"/>
                <w:noProof/>
                <w:webHidden/>
              </w:rPr>
              <w:fldChar w:fldCharType="begin"/>
            </w:r>
            <w:r w:rsidR="00D53264" w:rsidRPr="00E27305">
              <w:rPr>
                <w:rFonts w:ascii="Century Gothic" w:hAnsi="Century Gothic"/>
                <w:b w:val="0"/>
                <w:bCs w:val="0"/>
                <w:noProof/>
                <w:webHidden/>
              </w:rPr>
              <w:instrText xml:space="preserve"> PAGEREF _Toc74034872 \h </w:instrText>
            </w:r>
            <w:r w:rsidR="00D53264" w:rsidRPr="00E27305">
              <w:rPr>
                <w:rFonts w:ascii="Century Gothic" w:hAnsi="Century Gothic"/>
                <w:b w:val="0"/>
                <w:bCs w:val="0"/>
                <w:noProof/>
                <w:webHidden/>
              </w:rPr>
            </w:r>
            <w:r w:rsidR="00D53264" w:rsidRPr="00E27305">
              <w:rPr>
                <w:rFonts w:ascii="Century Gothic" w:hAnsi="Century Gothic"/>
                <w:b w:val="0"/>
                <w:bCs w:val="0"/>
                <w:noProof/>
                <w:webHidden/>
              </w:rPr>
              <w:fldChar w:fldCharType="separate"/>
            </w:r>
            <w:r w:rsidR="00061456">
              <w:rPr>
                <w:rFonts w:ascii="Century Gothic" w:hAnsi="Century Gothic"/>
                <w:b w:val="0"/>
                <w:bCs w:val="0"/>
                <w:noProof/>
                <w:webHidden/>
              </w:rPr>
              <w:t>5</w:t>
            </w:r>
            <w:r w:rsidR="00D53264" w:rsidRPr="00E27305">
              <w:rPr>
                <w:rFonts w:ascii="Century Gothic" w:hAnsi="Century Gothic"/>
                <w:b w:val="0"/>
                <w:bCs w:val="0"/>
                <w:noProof/>
                <w:webHidden/>
              </w:rPr>
              <w:fldChar w:fldCharType="end"/>
            </w:r>
          </w:hyperlink>
        </w:p>
        <w:p w14:paraId="3E2950F5" w14:textId="5071AC6E" w:rsidR="00D53264" w:rsidRPr="00E27305" w:rsidRDefault="00525C8B">
          <w:pPr>
            <w:pStyle w:val="TOC1"/>
            <w:tabs>
              <w:tab w:val="right" w:leader="dot" w:pos="9056"/>
            </w:tabs>
            <w:rPr>
              <w:rFonts w:ascii="Century Gothic" w:eastAsiaTheme="minorEastAsia" w:hAnsi="Century Gothic" w:cstheme="minorBidi"/>
              <w:b w:val="0"/>
              <w:bCs w:val="0"/>
              <w:caps w:val="0"/>
              <w:noProof/>
              <w:sz w:val="24"/>
              <w:szCs w:val="24"/>
              <w:lang w:eastAsia="cs-CZ"/>
            </w:rPr>
          </w:pPr>
          <w:hyperlink w:anchor="_Toc74034873" w:history="1">
            <w:r w:rsidR="00D53264" w:rsidRPr="00E27305">
              <w:rPr>
                <w:rStyle w:val="Hyperlink"/>
                <w:rFonts w:ascii="Century Gothic" w:hAnsi="Century Gothic"/>
                <w:b w:val="0"/>
                <w:bCs w:val="0"/>
                <w:noProof/>
                <w:lang w:val="en-GB"/>
              </w:rPr>
              <w:t>III. FORCED INTERVENTIONS V. AVAILABLE, ACCESSIBLE, ACCEPTABLE AND ADAPTABLE OPPORTUNITIES</w:t>
            </w:r>
            <w:r w:rsidR="00D53264" w:rsidRPr="00E27305">
              <w:rPr>
                <w:rFonts w:ascii="Century Gothic" w:hAnsi="Century Gothic"/>
                <w:b w:val="0"/>
                <w:bCs w:val="0"/>
                <w:noProof/>
                <w:webHidden/>
              </w:rPr>
              <w:tab/>
            </w:r>
            <w:r w:rsidR="00D53264" w:rsidRPr="00E27305">
              <w:rPr>
                <w:rFonts w:ascii="Century Gothic" w:hAnsi="Century Gothic"/>
                <w:b w:val="0"/>
                <w:bCs w:val="0"/>
                <w:noProof/>
                <w:webHidden/>
              </w:rPr>
              <w:fldChar w:fldCharType="begin"/>
            </w:r>
            <w:r w:rsidR="00D53264" w:rsidRPr="00E27305">
              <w:rPr>
                <w:rFonts w:ascii="Century Gothic" w:hAnsi="Century Gothic"/>
                <w:b w:val="0"/>
                <w:bCs w:val="0"/>
                <w:noProof/>
                <w:webHidden/>
              </w:rPr>
              <w:instrText xml:space="preserve"> PAGEREF _Toc74034873 \h </w:instrText>
            </w:r>
            <w:r w:rsidR="00D53264" w:rsidRPr="00E27305">
              <w:rPr>
                <w:rFonts w:ascii="Century Gothic" w:hAnsi="Century Gothic"/>
                <w:b w:val="0"/>
                <w:bCs w:val="0"/>
                <w:noProof/>
                <w:webHidden/>
              </w:rPr>
            </w:r>
            <w:r w:rsidR="00D53264" w:rsidRPr="00E27305">
              <w:rPr>
                <w:rFonts w:ascii="Century Gothic" w:hAnsi="Century Gothic"/>
                <w:b w:val="0"/>
                <w:bCs w:val="0"/>
                <w:noProof/>
                <w:webHidden/>
              </w:rPr>
              <w:fldChar w:fldCharType="separate"/>
            </w:r>
            <w:r w:rsidR="00061456">
              <w:rPr>
                <w:rFonts w:ascii="Century Gothic" w:hAnsi="Century Gothic"/>
                <w:b w:val="0"/>
                <w:bCs w:val="0"/>
                <w:noProof/>
                <w:webHidden/>
              </w:rPr>
              <w:t>5</w:t>
            </w:r>
            <w:r w:rsidR="00D53264" w:rsidRPr="00E27305">
              <w:rPr>
                <w:rFonts w:ascii="Century Gothic" w:hAnsi="Century Gothic"/>
                <w:b w:val="0"/>
                <w:bCs w:val="0"/>
                <w:noProof/>
                <w:webHidden/>
              </w:rPr>
              <w:fldChar w:fldCharType="end"/>
            </w:r>
          </w:hyperlink>
        </w:p>
        <w:p w14:paraId="5213AC4E" w14:textId="732B0F77" w:rsidR="00D53264" w:rsidRPr="00E27305" w:rsidRDefault="00525C8B">
          <w:pPr>
            <w:pStyle w:val="TOC1"/>
            <w:tabs>
              <w:tab w:val="right" w:leader="dot" w:pos="9056"/>
            </w:tabs>
            <w:rPr>
              <w:rFonts w:ascii="Century Gothic" w:eastAsiaTheme="minorEastAsia" w:hAnsi="Century Gothic" w:cstheme="minorBidi"/>
              <w:b w:val="0"/>
              <w:bCs w:val="0"/>
              <w:caps w:val="0"/>
              <w:noProof/>
              <w:sz w:val="24"/>
              <w:szCs w:val="24"/>
              <w:lang w:eastAsia="cs-CZ"/>
            </w:rPr>
          </w:pPr>
          <w:hyperlink w:anchor="_Toc74034874" w:history="1">
            <w:r w:rsidR="00D53264" w:rsidRPr="00E27305">
              <w:rPr>
                <w:rStyle w:val="Hyperlink"/>
                <w:rFonts w:ascii="Century Gothic" w:hAnsi="Century Gothic"/>
                <w:b w:val="0"/>
                <w:bCs w:val="0"/>
                <w:noProof/>
                <w:lang w:val="en-GB"/>
              </w:rPr>
              <w:t xml:space="preserve">IV. THE PERSPECTIVE OF THE CHILD’S ABSOLUTE RIGHTS AND THE </w:t>
            </w:r>
            <w:r w:rsidR="00671385" w:rsidRPr="00E27305">
              <w:rPr>
                <w:rStyle w:val="Hyperlink"/>
                <w:rFonts w:ascii="Century Gothic" w:hAnsi="Century Gothic"/>
                <w:b w:val="0"/>
                <w:bCs w:val="0"/>
                <w:noProof/>
                <w:lang w:val="en-GB"/>
              </w:rPr>
              <w:t>THRESHOLD</w:t>
            </w:r>
            <w:r w:rsidR="00D53264" w:rsidRPr="00E27305">
              <w:rPr>
                <w:rStyle w:val="Hyperlink"/>
                <w:rFonts w:ascii="Century Gothic" w:hAnsi="Century Gothic"/>
                <w:b w:val="0"/>
                <w:bCs w:val="0"/>
                <w:noProof/>
                <w:lang w:val="en-GB"/>
              </w:rPr>
              <w:t xml:space="preserve"> OF THEIR ENDANGERMENT</w:t>
            </w:r>
            <w:r w:rsidR="00D53264" w:rsidRPr="00E27305">
              <w:rPr>
                <w:rFonts w:ascii="Century Gothic" w:hAnsi="Century Gothic"/>
                <w:b w:val="0"/>
                <w:bCs w:val="0"/>
                <w:noProof/>
                <w:webHidden/>
              </w:rPr>
              <w:tab/>
            </w:r>
            <w:r w:rsidR="00D53264" w:rsidRPr="00E27305">
              <w:rPr>
                <w:rFonts w:ascii="Century Gothic" w:hAnsi="Century Gothic"/>
                <w:b w:val="0"/>
                <w:bCs w:val="0"/>
                <w:noProof/>
                <w:webHidden/>
              </w:rPr>
              <w:fldChar w:fldCharType="begin"/>
            </w:r>
            <w:r w:rsidR="00D53264" w:rsidRPr="00E27305">
              <w:rPr>
                <w:rFonts w:ascii="Century Gothic" w:hAnsi="Century Gothic"/>
                <w:b w:val="0"/>
                <w:bCs w:val="0"/>
                <w:noProof/>
                <w:webHidden/>
              </w:rPr>
              <w:instrText xml:space="preserve"> PAGEREF _Toc74034874 \h </w:instrText>
            </w:r>
            <w:r w:rsidR="00D53264" w:rsidRPr="00E27305">
              <w:rPr>
                <w:rFonts w:ascii="Century Gothic" w:hAnsi="Century Gothic"/>
                <w:b w:val="0"/>
                <w:bCs w:val="0"/>
                <w:noProof/>
                <w:webHidden/>
              </w:rPr>
            </w:r>
            <w:r w:rsidR="00D53264" w:rsidRPr="00E27305">
              <w:rPr>
                <w:rFonts w:ascii="Century Gothic" w:hAnsi="Century Gothic"/>
                <w:b w:val="0"/>
                <w:bCs w:val="0"/>
                <w:noProof/>
                <w:webHidden/>
              </w:rPr>
              <w:fldChar w:fldCharType="separate"/>
            </w:r>
            <w:r w:rsidR="00061456">
              <w:rPr>
                <w:rFonts w:ascii="Century Gothic" w:hAnsi="Century Gothic"/>
                <w:b w:val="0"/>
                <w:bCs w:val="0"/>
                <w:noProof/>
                <w:webHidden/>
              </w:rPr>
              <w:t>7</w:t>
            </w:r>
            <w:r w:rsidR="00D53264" w:rsidRPr="00E27305">
              <w:rPr>
                <w:rFonts w:ascii="Century Gothic" w:hAnsi="Century Gothic"/>
                <w:b w:val="0"/>
                <w:bCs w:val="0"/>
                <w:noProof/>
                <w:webHidden/>
              </w:rPr>
              <w:fldChar w:fldCharType="end"/>
            </w:r>
          </w:hyperlink>
        </w:p>
        <w:p w14:paraId="57C61C5A" w14:textId="29F41819" w:rsidR="00D53264" w:rsidRPr="00E27305" w:rsidRDefault="00525C8B">
          <w:pPr>
            <w:pStyle w:val="TOC1"/>
            <w:tabs>
              <w:tab w:val="right" w:leader="dot" w:pos="9056"/>
            </w:tabs>
            <w:rPr>
              <w:rFonts w:ascii="Century Gothic" w:eastAsiaTheme="minorEastAsia" w:hAnsi="Century Gothic" w:cstheme="minorBidi"/>
              <w:b w:val="0"/>
              <w:bCs w:val="0"/>
              <w:caps w:val="0"/>
              <w:noProof/>
              <w:sz w:val="24"/>
              <w:szCs w:val="24"/>
              <w:lang w:eastAsia="cs-CZ"/>
            </w:rPr>
          </w:pPr>
          <w:hyperlink w:anchor="_Toc74034875" w:history="1">
            <w:r w:rsidR="00D53264" w:rsidRPr="00E27305">
              <w:rPr>
                <w:rStyle w:val="Hyperlink"/>
                <w:rFonts w:ascii="Century Gothic" w:hAnsi="Century Gothic"/>
                <w:b w:val="0"/>
                <w:bCs w:val="0"/>
                <w:noProof/>
                <w:lang w:val="en-GB"/>
              </w:rPr>
              <w:t>V. THE NEED TO REDEFINE THE RELATIONSHIP BETWEEN ALTERNATIVE CARE AND DEPRIVATION OF THE CHILD’S PERSONAL LIBERTY</w:t>
            </w:r>
            <w:r w:rsidR="00D53264" w:rsidRPr="00E27305">
              <w:rPr>
                <w:rFonts w:ascii="Century Gothic" w:hAnsi="Century Gothic"/>
                <w:b w:val="0"/>
                <w:bCs w:val="0"/>
                <w:noProof/>
                <w:webHidden/>
              </w:rPr>
              <w:tab/>
            </w:r>
            <w:r w:rsidR="00D53264" w:rsidRPr="00E27305">
              <w:rPr>
                <w:rFonts w:ascii="Century Gothic" w:hAnsi="Century Gothic"/>
                <w:b w:val="0"/>
                <w:bCs w:val="0"/>
                <w:noProof/>
                <w:webHidden/>
              </w:rPr>
              <w:fldChar w:fldCharType="begin"/>
            </w:r>
            <w:r w:rsidR="00D53264" w:rsidRPr="00E27305">
              <w:rPr>
                <w:rFonts w:ascii="Century Gothic" w:hAnsi="Century Gothic"/>
                <w:b w:val="0"/>
                <w:bCs w:val="0"/>
                <w:noProof/>
                <w:webHidden/>
              </w:rPr>
              <w:instrText xml:space="preserve"> PAGEREF _Toc74034875 \h </w:instrText>
            </w:r>
            <w:r w:rsidR="00D53264" w:rsidRPr="00E27305">
              <w:rPr>
                <w:rFonts w:ascii="Century Gothic" w:hAnsi="Century Gothic"/>
                <w:b w:val="0"/>
                <w:bCs w:val="0"/>
                <w:noProof/>
                <w:webHidden/>
              </w:rPr>
            </w:r>
            <w:r w:rsidR="00D53264" w:rsidRPr="00E27305">
              <w:rPr>
                <w:rFonts w:ascii="Century Gothic" w:hAnsi="Century Gothic"/>
                <w:b w:val="0"/>
                <w:bCs w:val="0"/>
                <w:noProof/>
                <w:webHidden/>
              </w:rPr>
              <w:fldChar w:fldCharType="separate"/>
            </w:r>
            <w:r w:rsidR="00061456">
              <w:rPr>
                <w:rFonts w:ascii="Century Gothic" w:hAnsi="Century Gothic"/>
                <w:b w:val="0"/>
                <w:bCs w:val="0"/>
                <w:noProof/>
                <w:webHidden/>
              </w:rPr>
              <w:t>8</w:t>
            </w:r>
            <w:r w:rsidR="00D53264" w:rsidRPr="00E27305">
              <w:rPr>
                <w:rFonts w:ascii="Century Gothic" w:hAnsi="Century Gothic"/>
                <w:b w:val="0"/>
                <w:bCs w:val="0"/>
                <w:noProof/>
                <w:webHidden/>
              </w:rPr>
              <w:fldChar w:fldCharType="end"/>
            </w:r>
          </w:hyperlink>
        </w:p>
        <w:p w14:paraId="663A97BD" w14:textId="14BF364B" w:rsidR="00D53264" w:rsidRPr="00E27305" w:rsidRDefault="00525C8B">
          <w:pPr>
            <w:pStyle w:val="TOC1"/>
            <w:tabs>
              <w:tab w:val="right" w:leader="dot" w:pos="9056"/>
            </w:tabs>
            <w:rPr>
              <w:rFonts w:ascii="Century Gothic" w:eastAsiaTheme="minorEastAsia" w:hAnsi="Century Gothic" w:cstheme="minorBidi"/>
              <w:b w:val="0"/>
              <w:bCs w:val="0"/>
              <w:caps w:val="0"/>
              <w:noProof/>
              <w:sz w:val="24"/>
              <w:szCs w:val="24"/>
              <w:lang w:eastAsia="cs-CZ"/>
            </w:rPr>
          </w:pPr>
          <w:hyperlink w:anchor="_Toc74034876" w:history="1">
            <w:r w:rsidR="00D53264" w:rsidRPr="00E27305">
              <w:rPr>
                <w:rStyle w:val="Hyperlink"/>
                <w:rFonts w:ascii="Century Gothic" w:hAnsi="Century Gothic"/>
                <w:b w:val="0"/>
                <w:bCs w:val="0"/>
                <w:noProof/>
                <w:lang w:val="en-GB"/>
              </w:rPr>
              <w:t>CONCLUSIONS</w:t>
            </w:r>
            <w:r w:rsidR="00D53264" w:rsidRPr="00E27305">
              <w:rPr>
                <w:rFonts w:ascii="Century Gothic" w:hAnsi="Century Gothic"/>
                <w:b w:val="0"/>
                <w:bCs w:val="0"/>
                <w:noProof/>
                <w:webHidden/>
              </w:rPr>
              <w:tab/>
            </w:r>
            <w:r w:rsidR="00D53264" w:rsidRPr="00E27305">
              <w:rPr>
                <w:rFonts w:ascii="Century Gothic" w:hAnsi="Century Gothic"/>
                <w:b w:val="0"/>
                <w:bCs w:val="0"/>
                <w:noProof/>
                <w:webHidden/>
              </w:rPr>
              <w:fldChar w:fldCharType="begin"/>
            </w:r>
            <w:r w:rsidR="00D53264" w:rsidRPr="00E27305">
              <w:rPr>
                <w:rFonts w:ascii="Century Gothic" w:hAnsi="Century Gothic"/>
                <w:b w:val="0"/>
                <w:bCs w:val="0"/>
                <w:noProof/>
                <w:webHidden/>
              </w:rPr>
              <w:instrText xml:space="preserve"> PAGEREF _Toc74034876 \h </w:instrText>
            </w:r>
            <w:r w:rsidR="00D53264" w:rsidRPr="00E27305">
              <w:rPr>
                <w:rFonts w:ascii="Century Gothic" w:hAnsi="Century Gothic"/>
                <w:b w:val="0"/>
                <w:bCs w:val="0"/>
                <w:noProof/>
                <w:webHidden/>
              </w:rPr>
            </w:r>
            <w:r w:rsidR="00D53264" w:rsidRPr="00E27305">
              <w:rPr>
                <w:rFonts w:ascii="Century Gothic" w:hAnsi="Century Gothic"/>
                <w:b w:val="0"/>
                <w:bCs w:val="0"/>
                <w:noProof/>
                <w:webHidden/>
              </w:rPr>
              <w:fldChar w:fldCharType="separate"/>
            </w:r>
            <w:r w:rsidR="00061456">
              <w:rPr>
                <w:rFonts w:ascii="Century Gothic" w:hAnsi="Century Gothic"/>
                <w:b w:val="0"/>
                <w:bCs w:val="0"/>
                <w:noProof/>
                <w:webHidden/>
              </w:rPr>
              <w:t>9</w:t>
            </w:r>
            <w:r w:rsidR="00D53264" w:rsidRPr="00E27305">
              <w:rPr>
                <w:rFonts w:ascii="Century Gothic" w:hAnsi="Century Gothic"/>
                <w:b w:val="0"/>
                <w:bCs w:val="0"/>
                <w:noProof/>
                <w:webHidden/>
              </w:rPr>
              <w:fldChar w:fldCharType="end"/>
            </w:r>
          </w:hyperlink>
        </w:p>
        <w:p w14:paraId="4828EBFE" w14:textId="70DC0ED7" w:rsidR="005604DF" w:rsidRPr="00E27305" w:rsidRDefault="005604DF">
          <w:pPr>
            <w:rPr>
              <w:rFonts w:ascii="Century Gothic" w:hAnsi="Century Gothic"/>
            </w:rPr>
          </w:pPr>
          <w:r w:rsidRPr="00E27305">
            <w:rPr>
              <w:rFonts w:ascii="Century Gothic" w:hAnsi="Century Gothic"/>
              <w:b/>
              <w:bCs/>
            </w:rPr>
            <w:fldChar w:fldCharType="end"/>
          </w:r>
        </w:p>
      </w:sdtContent>
    </w:sdt>
    <w:p w14:paraId="59BCA50F" w14:textId="35D4F5BC" w:rsidR="00E27305" w:rsidRPr="00E27305" w:rsidRDefault="00E27305">
      <w:pPr>
        <w:rPr>
          <w:rFonts w:ascii="Century Gothic" w:hAnsi="Century Gothic"/>
          <w:b/>
          <w:bCs/>
          <w:lang w:val="en-GB"/>
        </w:rPr>
      </w:pPr>
      <w:r w:rsidRPr="00E27305">
        <w:rPr>
          <w:rFonts w:ascii="Century Gothic" w:hAnsi="Century Gothic"/>
          <w:b/>
          <w:bCs/>
          <w:lang w:val="en-GB"/>
        </w:rPr>
        <w:br w:type="page"/>
      </w:r>
    </w:p>
    <w:p w14:paraId="3CB04EBC" w14:textId="5FD5AB87" w:rsidR="000E5622" w:rsidRPr="00E27305" w:rsidRDefault="00522724" w:rsidP="00522724">
      <w:pPr>
        <w:pStyle w:val="Heading1"/>
        <w:rPr>
          <w:rFonts w:ascii="Century Gothic" w:hAnsi="Century Gothic"/>
          <w:lang w:val="en-GB"/>
        </w:rPr>
      </w:pPr>
      <w:bookmarkStart w:id="1" w:name="_Toc74034871"/>
      <w:r w:rsidRPr="00E27305">
        <w:rPr>
          <w:rFonts w:ascii="Century Gothic" w:hAnsi="Century Gothic"/>
          <w:lang w:val="en-GB"/>
        </w:rPr>
        <w:lastRenderedPageBreak/>
        <w:t xml:space="preserve">I. </w:t>
      </w:r>
      <w:r w:rsidR="0090593A" w:rsidRPr="00E27305">
        <w:rPr>
          <w:rFonts w:ascii="Century Gothic" w:hAnsi="Century Gothic"/>
          <w:lang w:val="en-GB"/>
        </w:rPr>
        <w:t>BRIEF HISTORICAL BACKGROUND</w:t>
      </w:r>
      <w:bookmarkEnd w:id="1"/>
    </w:p>
    <w:p w14:paraId="70452A69" w14:textId="2878F7D4" w:rsidR="00D05EC4" w:rsidRPr="00E27305" w:rsidRDefault="00D05EC4">
      <w:pPr>
        <w:rPr>
          <w:rFonts w:ascii="Century Gothic" w:hAnsi="Century Gothic"/>
          <w:lang w:val="en-GB"/>
        </w:rPr>
      </w:pPr>
    </w:p>
    <w:p w14:paraId="05388881" w14:textId="139420B7" w:rsidR="0027671C" w:rsidRPr="00E27305" w:rsidRDefault="00D05EC4" w:rsidP="00E5714D">
      <w:pPr>
        <w:jc w:val="both"/>
        <w:rPr>
          <w:rFonts w:ascii="Century Gothic" w:hAnsi="Century Gothic"/>
          <w:lang w:val="en-GB"/>
        </w:rPr>
      </w:pPr>
      <w:r w:rsidRPr="00E27305">
        <w:rPr>
          <w:rFonts w:ascii="Century Gothic" w:hAnsi="Century Gothic"/>
          <w:lang w:val="en-GB"/>
        </w:rPr>
        <w:t xml:space="preserve">Article 20 of the CRC formulates alternative care as a right of the child deprived of her family environment. </w:t>
      </w:r>
      <w:r w:rsidR="0027671C" w:rsidRPr="00E27305">
        <w:rPr>
          <w:rFonts w:ascii="Century Gothic" w:hAnsi="Century Gothic"/>
          <w:lang w:val="en-GB"/>
        </w:rPr>
        <w:t>Nonetheless</w:t>
      </w:r>
      <w:r w:rsidRPr="00E27305">
        <w:rPr>
          <w:rFonts w:ascii="Century Gothic" w:hAnsi="Century Gothic"/>
          <w:lang w:val="en-GB"/>
        </w:rPr>
        <w:t xml:space="preserve">, </w:t>
      </w:r>
      <w:r w:rsidR="00D53264" w:rsidRPr="00E27305">
        <w:rPr>
          <w:rFonts w:ascii="Century Gothic" w:hAnsi="Century Gothic"/>
          <w:lang w:val="en-GB"/>
        </w:rPr>
        <w:t xml:space="preserve">alternative care </w:t>
      </w:r>
      <w:r w:rsidRPr="00E27305">
        <w:rPr>
          <w:rFonts w:ascii="Century Gothic" w:hAnsi="Century Gothic"/>
          <w:lang w:val="en-GB"/>
        </w:rPr>
        <w:t xml:space="preserve">is usually connected with </w:t>
      </w:r>
      <w:r w:rsidR="00D53264" w:rsidRPr="00E27305">
        <w:rPr>
          <w:rFonts w:ascii="Century Gothic" w:hAnsi="Century Gothic"/>
          <w:lang w:val="en-GB"/>
        </w:rPr>
        <w:t>the child’s</w:t>
      </w:r>
      <w:r w:rsidRPr="00E27305">
        <w:rPr>
          <w:rFonts w:ascii="Century Gothic" w:hAnsi="Century Gothic"/>
          <w:lang w:val="en-GB"/>
        </w:rPr>
        <w:t xml:space="preserve"> separation from parents, either ordered by a</w:t>
      </w:r>
      <w:r w:rsidR="00D53264" w:rsidRPr="00E27305">
        <w:rPr>
          <w:rFonts w:ascii="Century Gothic" w:hAnsi="Century Gothic"/>
          <w:lang w:val="en-GB"/>
        </w:rPr>
        <w:t xml:space="preserve">n authoritative </w:t>
      </w:r>
      <w:r w:rsidRPr="00E27305">
        <w:rPr>
          <w:rFonts w:ascii="Century Gothic" w:hAnsi="Century Gothic"/>
          <w:lang w:val="en-GB"/>
        </w:rPr>
        <w:t xml:space="preserve">decision or </w:t>
      </w:r>
      <w:r w:rsidR="0027671C" w:rsidRPr="00E27305">
        <w:rPr>
          <w:rFonts w:ascii="Century Gothic" w:hAnsi="Century Gothic"/>
          <w:lang w:val="en-GB"/>
        </w:rPr>
        <w:t xml:space="preserve">required by the family’s circumstances. Therefore, it is also one of </w:t>
      </w:r>
      <w:r w:rsidR="0027671C" w:rsidRPr="00E27305">
        <w:rPr>
          <w:rFonts w:ascii="Century Gothic" w:hAnsi="Century Gothic"/>
          <w:b/>
          <w:bCs/>
          <w:lang w:val="en-GB"/>
        </w:rPr>
        <w:t>the m</w:t>
      </w:r>
      <w:r w:rsidR="00B31508" w:rsidRPr="00E27305">
        <w:rPr>
          <w:rFonts w:ascii="Century Gothic" w:hAnsi="Century Gothic"/>
          <w:b/>
          <w:bCs/>
          <w:lang w:val="en-GB"/>
        </w:rPr>
        <w:t xml:space="preserve">ost serious </w:t>
      </w:r>
      <w:r w:rsidR="0027671C" w:rsidRPr="00E27305">
        <w:rPr>
          <w:rFonts w:ascii="Century Gothic" w:hAnsi="Century Gothic"/>
          <w:b/>
          <w:bCs/>
          <w:lang w:val="en-GB"/>
        </w:rPr>
        <w:t>interferences</w:t>
      </w:r>
      <w:r w:rsidR="0027671C" w:rsidRPr="00E27305">
        <w:rPr>
          <w:rFonts w:ascii="Century Gothic" w:hAnsi="Century Gothic"/>
          <w:lang w:val="en-GB"/>
        </w:rPr>
        <w:t xml:space="preserve"> </w:t>
      </w:r>
      <w:r w:rsidR="00B31508" w:rsidRPr="00E27305">
        <w:rPr>
          <w:rFonts w:ascii="Century Gothic" w:hAnsi="Century Gothic"/>
          <w:lang w:val="en-GB"/>
        </w:rPr>
        <w:t>with</w:t>
      </w:r>
      <w:r w:rsidR="0027671C" w:rsidRPr="00E27305">
        <w:rPr>
          <w:rFonts w:ascii="Century Gothic" w:hAnsi="Century Gothic"/>
          <w:lang w:val="en-GB"/>
        </w:rPr>
        <w:t xml:space="preserve"> the child’s life</w:t>
      </w:r>
      <w:r w:rsidR="00671385" w:rsidRPr="00E27305">
        <w:rPr>
          <w:rFonts w:ascii="Century Gothic" w:hAnsi="Century Gothic"/>
          <w:lang w:val="en-GB"/>
        </w:rPr>
        <w:t>,</w:t>
      </w:r>
      <w:r w:rsidR="0027671C" w:rsidRPr="00E27305">
        <w:rPr>
          <w:rFonts w:ascii="Century Gothic" w:hAnsi="Century Gothic"/>
          <w:lang w:val="en-GB"/>
        </w:rPr>
        <w:t xml:space="preserve"> and the experience of the alternative care may be for the child </w:t>
      </w:r>
      <w:r w:rsidR="0027671C" w:rsidRPr="00E27305">
        <w:rPr>
          <w:rFonts w:ascii="Century Gothic" w:hAnsi="Century Gothic"/>
          <w:b/>
          <w:bCs/>
          <w:lang w:val="en-GB"/>
        </w:rPr>
        <w:t>very painful</w:t>
      </w:r>
      <w:r w:rsidR="0027671C" w:rsidRPr="00E27305">
        <w:rPr>
          <w:rFonts w:ascii="Century Gothic" w:hAnsi="Century Gothic"/>
          <w:lang w:val="en-GB"/>
        </w:rPr>
        <w:t xml:space="preserve">. </w:t>
      </w:r>
    </w:p>
    <w:p w14:paraId="710A1659" w14:textId="2B08495F" w:rsidR="0027671C" w:rsidRPr="00E27305" w:rsidRDefault="0027671C" w:rsidP="00E5714D">
      <w:pPr>
        <w:jc w:val="both"/>
        <w:rPr>
          <w:rFonts w:ascii="Century Gothic" w:hAnsi="Century Gothic"/>
          <w:lang w:val="en-GB"/>
        </w:rPr>
      </w:pPr>
    </w:p>
    <w:p w14:paraId="75E988C8" w14:textId="723CAF8F" w:rsidR="0090593A" w:rsidRPr="00E27305" w:rsidRDefault="008957EB" w:rsidP="008931F1">
      <w:pPr>
        <w:jc w:val="both"/>
        <w:rPr>
          <w:rFonts w:ascii="Century Gothic" w:hAnsi="Century Gothic"/>
          <w:lang w:val="en-GB"/>
        </w:rPr>
      </w:pPr>
      <w:r>
        <w:rPr>
          <w:rFonts w:ascii="Century Gothic" w:hAnsi="Century Gothic"/>
          <w:lang w:val="en-GB"/>
        </w:rPr>
        <w:t>The</w:t>
      </w:r>
      <w:r w:rsidR="0027671C" w:rsidRPr="00E27305">
        <w:rPr>
          <w:rFonts w:ascii="Century Gothic" w:hAnsi="Century Gothic"/>
          <w:lang w:val="en-GB"/>
        </w:rPr>
        <w:t xml:space="preserve"> idea behind the </w:t>
      </w:r>
      <w:r>
        <w:rPr>
          <w:rFonts w:ascii="Century Gothic" w:hAnsi="Century Gothic"/>
          <w:lang w:val="en-GB"/>
        </w:rPr>
        <w:t xml:space="preserve">introduction of </w:t>
      </w:r>
      <w:r w:rsidR="0027671C" w:rsidRPr="00E27305">
        <w:rPr>
          <w:rFonts w:ascii="Century Gothic" w:hAnsi="Century Gothic"/>
          <w:lang w:val="en-GB"/>
        </w:rPr>
        <w:t>systems of alternative care</w:t>
      </w:r>
      <w:r w:rsidR="0090593A" w:rsidRPr="00E27305">
        <w:rPr>
          <w:rFonts w:ascii="Century Gothic" w:hAnsi="Century Gothic"/>
          <w:lang w:val="en-GB"/>
        </w:rPr>
        <w:t xml:space="preserve"> </w:t>
      </w:r>
      <w:r>
        <w:rPr>
          <w:rFonts w:ascii="Century Gothic" w:hAnsi="Century Gothic"/>
          <w:lang w:val="en-GB"/>
        </w:rPr>
        <w:t>dates back to</w:t>
      </w:r>
      <w:r w:rsidRPr="00E27305">
        <w:rPr>
          <w:rFonts w:ascii="Century Gothic" w:hAnsi="Century Gothic"/>
          <w:lang w:val="en-GB"/>
        </w:rPr>
        <w:t xml:space="preserve"> </w:t>
      </w:r>
      <w:r w:rsidR="0090593A" w:rsidRPr="00E27305">
        <w:rPr>
          <w:rFonts w:ascii="Century Gothic" w:hAnsi="Century Gothic"/>
          <w:lang w:val="en-GB"/>
        </w:rPr>
        <w:t xml:space="preserve">the </w:t>
      </w:r>
      <w:r w:rsidR="00700069">
        <w:rPr>
          <w:rFonts w:ascii="Century Gothic" w:hAnsi="Century Gothic"/>
          <w:lang w:val="en-GB"/>
        </w:rPr>
        <w:t>late</w:t>
      </w:r>
      <w:r w:rsidR="0090593A" w:rsidRPr="00E27305">
        <w:rPr>
          <w:rFonts w:ascii="Century Gothic" w:hAnsi="Century Gothic"/>
          <w:lang w:val="en-GB"/>
        </w:rPr>
        <w:t xml:space="preserve"> 18</w:t>
      </w:r>
      <w:r w:rsidR="0090593A" w:rsidRPr="00E27305">
        <w:rPr>
          <w:rFonts w:ascii="Century Gothic" w:hAnsi="Century Gothic"/>
          <w:vertAlign w:val="superscript"/>
          <w:lang w:val="en-GB"/>
        </w:rPr>
        <w:t>th</w:t>
      </w:r>
      <w:r w:rsidR="0090593A" w:rsidRPr="00E27305">
        <w:rPr>
          <w:rFonts w:ascii="Century Gothic" w:hAnsi="Century Gothic"/>
          <w:lang w:val="en-GB"/>
        </w:rPr>
        <w:t xml:space="preserve"> and</w:t>
      </w:r>
      <w:r w:rsidR="0027671C" w:rsidRPr="00E27305">
        <w:rPr>
          <w:rFonts w:ascii="Century Gothic" w:hAnsi="Century Gothic"/>
          <w:lang w:val="en-GB"/>
        </w:rPr>
        <w:t xml:space="preserve"> </w:t>
      </w:r>
      <w:r w:rsidR="00CD3166" w:rsidRPr="00700069">
        <w:rPr>
          <w:rFonts w:ascii="Century Gothic" w:hAnsi="Century Gothic"/>
          <w:lang w:val="en-GB"/>
        </w:rPr>
        <w:t>the</w:t>
      </w:r>
      <w:r w:rsidR="00CD3166">
        <w:rPr>
          <w:rFonts w:ascii="Century Gothic" w:hAnsi="Century Gothic"/>
          <w:lang w:val="en-GB"/>
        </w:rPr>
        <w:t xml:space="preserve"> </w:t>
      </w:r>
      <w:r w:rsidR="0027671C" w:rsidRPr="00E27305">
        <w:rPr>
          <w:rFonts w:ascii="Century Gothic" w:hAnsi="Century Gothic"/>
          <w:lang w:val="en-GB"/>
        </w:rPr>
        <w:t>19</w:t>
      </w:r>
      <w:r w:rsidR="0027671C" w:rsidRPr="00E27305">
        <w:rPr>
          <w:rFonts w:ascii="Century Gothic" w:hAnsi="Century Gothic"/>
          <w:vertAlign w:val="superscript"/>
          <w:lang w:val="en-GB"/>
        </w:rPr>
        <w:t>th</w:t>
      </w:r>
      <w:r w:rsidR="0027671C" w:rsidRPr="00E27305">
        <w:rPr>
          <w:rFonts w:ascii="Century Gothic" w:hAnsi="Century Gothic"/>
          <w:lang w:val="en-GB"/>
        </w:rPr>
        <w:t xml:space="preserve"> centur</w:t>
      </w:r>
      <w:r w:rsidR="00700069">
        <w:rPr>
          <w:rFonts w:ascii="Century Gothic" w:hAnsi="Century Gothic"/>
          <w:lang w:val="en-GB"/>
        </w:rPr>
        <w:t>ies</w:t>
      </w:r>
      <w:r w:rsidR="0027671C" w:rsidRPr="00E27305">
        <w:rPr>
          <w:rFonts w:ascii="Century Gothic" w:hAnsi="Century Gothic"/>
          <w:lang w:val="en-GB"/>
        </w:rPr>
        <w:t xml:space="preserve"> in Europe and North America</w:t>
      </w:r>
      <w:r>
        <w:rPr>
          <w:rFonts w:ascii="Century Gothic" w:hAnsi="Century Gothic"/>
          <w:lang w:val="en-GB"/>
        </w:rPr>
        <w:t>. Indeed, then, it</w:t>
      </w:r>
      <w:r w:rsidR="0027671C" w:rsidRPr="00E27305">
        <w:rPr>
          <w:rFonts w:ascii="Century Gothic" w:hAnsi="Century Gothic"/>
          <w:lang w:val="en-GB"/>
        </w:rPr>
        <w:t xml:space="preserve"> </w:t>
      </w:r>
      <w:r w:rsidR="00E5714D" w:rsidRPr="00E27305">
        <w:rPr>
          <w:rFonts w:ascii="Century Gothic" w:hAnsi="Century Gothic"/>
          <w:lang w:val="en-GB"/>
        </w:rPr>
        <w:t xml:space="preserve">was not connected with the idea of </w:t>
      </w:r>
      <w:r w:rsidR="00CD3166">
        <w:rPr>
          <w:rFonts w:ascii="Century Gothic" w:hAnsi="Century Gothic"/>
          <w:lang w:val="en-GB"/>
        </w:rPr>
        <w:t>children's</w:t>
      </w:r>
      <w:r w:rsidRPr="00E27305">
        <w:rPr>
          <w:rFonts w:ascii="Century Gothic" w:hAnsi="Century Gothic"/>
          <w:lang w:val="en-GB"/>
        </w:rPr>
        <w:t xml:space="preserve"> </w:t>
      </w:r>
      <w:r w:rsidR="00E5714D" w:rsidRPr="00E27305">
        <w:rPr>
          <w:rFonts w:ascii="Century Gothic" w:hAnsi="Century Gothic"/>
          <w:lang w:val="en-GB"/>
        </w:rPr>
        <w:t>rights as underst</w:t>
      </w:r>
      <w:r>
        <w:rPr>
          <w:rFonts w:ascii="Century Gothic" w:hAnsi="Century Gothic"/>
          <w:lang w:val="en-GB"/>
        </w:rPr>
        <w:t>oo</w:t>
      </w:r>
      <w:r w:rsidR="00E5714D" w:rsidRPr="00E27305">
        <w:rPr>
          <w:rFonts w:ascii="Century Gothic" w:hAnsi="Century Gothic"/>
          <w:lang w:val="en-GB"/>
        </w:rPr>
        <w:t xml:space="preserve">d nowadays. It </w:t>
      </w:r>
      <w:r>
        <w:rPr>
          <w:rFonts w:ascii="Century Gothic" w:hAnsi="Century Gothic"/>
          <w:lang w:val="en-GB"/>
        </w:rPr>
        <w:t xml:space="preserve">was developed as </w:t>
      </w:r>
      <w:r w:rsidR="00E5714D" w:rsidRPr="00E27305">
        <w:rPr>
          <w:rFonts w:ascii="Century Gothic" w:hAnsi="Century Gothic"/>
          <w:lang w:val="en-GB"/>
        </w:rPr>
        <w:t>part of the transition from the traditional society to the modern one – the type of society</w:t>
      </w:r>
      <w:r>
        <w:rPr>
          <w:rFonts w:ascii="Century Gothic" w:hAnsi="Century Gothic"/>
          <w:lang w:val="en-GB"/>
        </w:rPr>
        <w:t xml:space="preserve"> that</w:t>
      </w:r>
      <w:r w:rsidR="00E5714D" w:rsidRPr="00E27305">
        <w:rPr>
          <w:rFonts w:ascii="Century Gothic" w:hAnsi="Century Gothic"/>
          <w:lang w:val="en-GB"/>
        </w:rPr>
        <w:t xml:space="preserve"> Michel Foucault described as </w:t>
      </w:r>
      <w:r w:rsidR="00E5714D" w:rsidRPr="00E27305">
        <w:rPr>
          <w:rFonts w:ascii="Century Gothic" w:hAnsi="Century Gothic"/>
          <w:b/>
          <w:bCs/>
          <w:lang w:val="en-GB"/>
        </w:rPr>
        <w:t>“disciplinary”</w:t>
      </w:r>
      <w:r w:rsidR="00E5714D" w:rsidRPr="00E27305">
        <w:rPr>
          <w:rFonts w:ascii="Century Gothic" w:hAnsi="Century Gothic"/>
          <w:lang w:val="en-GB"/>
        </w:rPr>
        <w:t>.</w:t>
      </w:r>
      <w:r w:rsidR="00E5714D" w:rsidRPr="00E27305">
        <w:rPr>
          <w:rStyle w:val="FootnoteReference"/>
          <w:rFonts w:ascii="Century Gothic" w:hAnsi="Century Gothic"/>
          <w:lang w:val="en-GB"/>
        </w:rPr>
        <w:footnoteReference w:id="2"/>
      </w:r>
      <w:r w:rsidR="00E5714D" w:rsidRPr="00E27305">
        <w:rPr>
          <w:rFonts w:ascii="Century Gothic" w:hAnsi="Century Gothic"/>
          <w:lang w:val="en-GB"/>
        </w:rPr>
        <w:t xml:space="preserve"> </w:t>
      </w:r>
      <w:r w:rsidR="00D53264" w:rsidRPr="00E27305">
        <w:rPr>
          <w:rFonts w:ascii="Century Gothic" w:hAnsi="Century Gothic"/>
          <w:lang w:val="en-GB"/>
        </w:rPr>
        <w:t>E</w:t>
      </w:r>
      <w:r w:rsidR="00E5714D" w:rsidRPr="00E27305">
        <w:rPr>
          <w:rFonts w:ascii="Century Gothic" w:hAnsi="Century Gothic"/>
          <w:lang w:val="en-GB"/>
        </w:rPr>
        <w:t xml:space="preserve">xcept for </w:t>
      </w:r>
      <w:r w:rsidR="00272D38" w:rsidRPr="00E27305">
        <w:rPr>
          <w:rFonts w:ascii="Century Gothic" w:hAnsi="Century Gothic"/>
          <w:lang w:val="en-GB"/>
        </w:rPr>
        <w:t>the traditional</w:t>
      </w:r>
      <w:r w:rsidR="00E5714D" w:rsidRPr="00E27305">
        <w:rPr>
          <w:rFonts w:ascii="Century Gothic" w:hAnsi="Century Gothic"/>
          <w:lang w:val="en-GB"/>
        </w:rPr>
        <w:t xml:space="preserve"> charity care for orphans and foundlings, the alternative care pursued collective objectives.</w:t>
      </w:r>
      <w:r w:rsidR="008931F1" w:rsidRPr="00E27305">
        <w:rPr>
          <w:rFonts w:ascii="Century Gothic" w:hAnsi="Century Gothic"/>
          <w:lang w:val="en-GB"/>
        </w:rPr>
        <w:t xml:space="preserve"> It became an important instrument of social control. </w:t>
      </w:r>
      <w:r>
        <w:rPr>
          <w:rFonts w:ascii="Century Gothic" w:hAnsi="Century Gothic"/>
          <w:lang w:val="en-GB"/>
        </w:rPr>
        <w:t xml:space="preserve">In </w:t>
      </w:r>
      <w:r w:rsidR="00CD3166">
        <w:rPr>
          <w:rFonts w:ascii="Century Gothic" w:hAnsi="Century Gothic"/>
          <w:lang w:val="en-GB"/>
        </w:rPr>
        <w:t>Foucault's</w:t>
      </w:r>
      <w:r w:rsidR="008931F1" w:rsidRPr="00E27305">
        <w:rPr>
          <w:rFonts w:ascii="Century Gothic" w:hAnsi="Century Gothic"/>
          <w:lang w:val="en-GB"/>
        </w:rPr>
        <w:t xml:space="preserve"> </w:t>
      </w:r>
      <w:r>
        <w:rPr>
          <w:rFonts w:ascii="Century Gothic" w:hAnsi="Century Gothic"/>
          <w:lang w:val="en-GB"/>
        </w:rPr>
        <w:t xml:space="preserve">terms, </w:t>
      </w:r>
      <w:r w:rsidR="008931F1" w:rsidRPr="00E27305">
        <w:rPr>
          <w:rFonts w:ascii="Century Gothic" w:hAnsi="Century Gothic"/>
          <w:lang w:val="en-GB"/>
        </w:rPr>
        <w:t>the phenomenon of “panopticism”</w:t>
      </w:r>
      <w:r>
        <w:rPr>
          <w:rFonts w:ascii="Century Gothic" w:hAnsi="Century Gothic"/>
          <w:lang w:val="en-GB"/>
        </w:rPr>
        <w:t>, apparent in alternative care, aimed</w:t>
      </w:r>
      <w:r w:rsidR="008931F1" w:rsidRPr="00E27305">
        <w:rPr>
          <w:rFonts w:ascii="Century Gothic" w:hAnsi="Century Gothic"/>
          <w:lang w:val="en-GB"/>
        </w:rPr>
        <w:t xml:space="preserve"> to </w:t>
      </w:r>
      <w:r w:rsidR="008931F1" w:rsidRPr="00E27305">
        <w:rPr>
          <w:rFonts w:ascii="Century Gothic" w:hAnsi="Century Gothic"/>
          <w:b/>
          <w:bCs/>
          <w:lang w:val="en-GB"/>
        </w:rPr>
        <w:t>transform individuals in</w:t>
      </w:r>
      <w:r>
        <w:rPr>
          <w:rFonts w:ascii="Century Gothic" w:hAnsi="Century Gothic"/>
          <w:b/>
          <w:bCs/>
          <w:lang w:val="en-GB"/>
        </w:rPr>
        <w:t>to subjects compliant</w:t>
      </w:r>
      <w:r w:rsidR="0090593A" w:rsidRPr="00E27305">
        <w:rPr>
          <w:rFonts w:ascii="Century Gothic" w:hAnsi="Century Gothic"/>
          <w:b/>
          <w:bCs/>
          <w:lang w:val="en-GB"/>
        </w:rPr>
        <w:t xml:space="preserve"> </w:t>
      </w:r>
      <w:r>
        <w:rPr>
          <w:rFonts w:ascii="Century Gothic" w:hAnsi="Century Gothic"/>
          <w:b/>
          <w:bCs/>
          <w:lang w:val="en-GB"/>
        </w:rPr>
        <w:t>with certain</w:t>
      </w:r>
      <w:r w:rsidR="0090593A" w:rsidRPr="00E27305">
        <w:rPr>
          <w:rFonts w:ascii="Century Gothic" w:hAnsi="Century Gothic"/>
          <w:b/>
          <w:bCs/>
          <w:lang w:val="en-GB"/>
        </w:rPr>
        <w:t xml:space="preserve"> norms</w:t>
      </w:r>
      <w:r w:rsidR="0090593A" w:rsidRPr="00E27305">
        <w:rPr>
          <w:rFonts w:ascii="Century Gothic" w:hAnsi="Century Gothic"/>
          <w:lang w:val="en-GB"/>
        </w:rPr>
        <w:t xml:space="preserve">. These norms were formulated by the emerging industrial </w:t>
      </w:r>
      <w:r>
        <w:rPr>
          <w:rFonts w:ascii="Century Gothic" w:hAnsi="Century Gothic"/>
          <w:lang w:val="en-GB"/>
        </w:rPr>
        <w:t xml:space="preserve">and capitalist </w:t>
      </w:r>
      <w:r w:rsidR="0090593A" w:rsidRPr="00E27305">
        <w:rPr>
          <w:rFonts w:ascii="Century Gothic" w:hAnsi="Century Gothic"/>
          <w:lang w:val="en-GB"/>
        </w:rPr>
        <w:t xml:space="preserve">society </w:t>
      </w:r>
      <w:r>
        <w:rPr>
          <w:rFonts w:ascii="Century Gothic" w:hAnsi="Century Gothic"/>
          <w:lang w:val="en-GB"/>
        </w:rPr>
        <w:t>that</w:t>
      </w:r>
      <w:r w:rsidRPr="00E27305">
        <w:rPr>
          <w:rFonts w:ascii="Century Gothic" w:hAnsi="Century Gothic"/>
          <w:lang w:val="en-GB"/>
        </w:rPr>
        <w:t xml:space="preserve"> </w:t>
      </w:r>
      <w:r w:rsidR="0090593A" w:rsidRPr="00E27305">
        <w:rPr>
          <w:rFonts w:ascii="Century Gothic" w:hAnsi="Century Gothic"/>
          <w:lang w:val="en-GB"/>
        </w:rPr>
        <w:t>viewed the individua</w:t>
      </w:r>
      <w:r>
        <w:rPr>
          <w:rFonts w:ascii="Century Gothic" w:hAnsi="Century Gothic"/>
          <w:lang w:val="en-GB"/>
        </w:rPr>
        <w:t xml:space="preserve">l typically </w:t>
      </w:r>
      <w:r w:rsidR="0090593A" w:rsidRPr="00E27305">
        <w:rPr>
          <w:rFonts w:ascii="Century Gothic" w:hAnsi="Century Gothic"/>
          <w:lang w:val="en-GB"/>
        </w:rPr>
        <w:t xml:space="preserve">as </w:t>
      </w:r>
      <w:r w:rsidR="00671385" w:rsidRPr="00E27305">
        <w:rPr>
          <w:rFonts w:ascii="Century Gothic" w:hAnsi="Century Gothic"/>
          <w:lang w:val="en-GB"/>
        </w:rPr>
        <w:t xml:space="preserve">a </w:t>
      </w:r>
      <w:r w:rsidR="0090593A" w:rsidRPr="00E27305">
        <w:rPr>
          <w:rFonts w:ascii="Century Gothic" w:hAnsi="Century Gothic"/>
          <w:lang w:val="en-GB"/>
        </w:rPr>
        <w:t>labour force.</w:t>
      </w:r>
      <w:r w:rsidR="0090593A" w:rsidRPr="00E27305">
        <w:rPr>
          <w:rStyle w:val="FootnoteReference"/>
          <w:rFonts w:ascii="Century Gothic" w:hAnsi="Century Gothic"/>
          <w:lang w:val="en-GB"/>
        </w:rPr>
        <w:footnoteReference w:id="3"/>
      </w:r>
      <w:r w:rsidR="0090593A" w:rsidRPr="00E27305">
        <w:rPr>
          <w:rFonts w:ascii="Century Gothic" w:hAnsi="Century Gothic"/>
          <w:lang w:val="en-GB"/>
        </w:rPr>
        <w:t xml:space="preserve"> </w:t>
      </w:r>
    </w:p>
    <w:p w14:paraId="4C2A9A09" w14:textId="77777777" w:rsidR="0090593A" w:rsidRPr="00E27305" w:rsidRDefault="0090593A" w:rsidP="008931F1">
      <w:pPr>
        <w:jc w:val="both"/>
        <w:rPr>
          <w:rFonts w:ascii="Century Gothic" w:hAnsi="Century Gothic"/>
          <w:lang w:val="en-GB"/>
        </w:rPr>
      </w:pPr>
    </w:p>
    <w:p w14:paraId="24270D14" w14:textId="2129D88A" w:rsidR="008931F1" w:rsidRPr="00E27305" w:rsidRDefault="008957EB" w:rsidP="008931F1">
      <w:pPr>
        <w:jc w:val="both"/>
        <w:rPr>
          <w:rFonts w:ascii="Century Gothic" w:hAnsi="Century Gothic"/>
          <w:lang w:val="en-GB"/>
        </w:rPr>
      </w:pPr>
      <w:r>
        <w:rPr>
          <w:rFonts w:ascii="Century Gothic" w:hAnsi="Century Gothic"/>
          <w:lang w:val="en-GB"/>
        </w:rPr>
        <w:t>F</w:t>
      </w:r>
      <w:r w:rsidR="0090593A" w:rsidRPr="00E27305">
        <w:rPr>
          <w:rFonts w:ascii="Century Gothic" w:hAnsi="Century Gothic"/>
          <w:lang w:val="en-GB"/>
        </w:rPr>
        <w:t xml:space="preserve">rom its very </w:t>
      </w:r>
      <w:r>
        <w:rPr>
          <w:rFonts w:ascii="Century Gothic" w:hAnsi="Century Gothic"/>
          <w:lang w:val="en-GB"/>
        </w:rPr>
        <w:t>beginning</w:t>
      </w:r>
      <w:r w:rsidR="0090593A" w:rsidRPr="00E27305">
        <w:rPr>
          <w:rFonts w:ascii="Century Gothic" w:hAnsi="Century Gothic"/>
          <w:lang w:val="en-GB"/>
        </w:rPr>
        <w:t xml:space="preserve">, the alternative care in modern society </w:t>
      </w:r>
      <w:r>
        <w:rPr>
          <w:rFonts w:ascii="Century Gothic" w:hAnsi="Century Gothic"/>
          <w:lang w:val="en-GB"/>
        </w:rPr>
        <w:t>was directed against</w:t>
      </w:r>
      <w:r w:rsidRPr="00E27305">
        <w:rPr>
          <w:rFonts w:ascii="Century Gothic" w:hAnsi="Century Gothic"/>
          <w:lang w:val="en-GB"/>
        </w:rPr>
        <w:t xml:space="preserve"> </w:t>
      </w:r>
      <w:r>
        <w:rPr>
          <w:rFonts w:ascii="Century Gothic" w:hAnsi="Century Gothic"/>
          <w:lang w:val="en-GB"/>
        </w:rPr>
        <w:t>the</w:t>
      </w:r>
      <w:r w:rsidR="0090593A" w:rsidRPr="00E27305">
        <w:rPr>
          <w:rFonts w:ascii="Century Gothic" w:hAnsi="Century Gothic"/>
          <w:lang w:val="en-GB"/>
        </w:rPr>
        <w:t xml:space="preserve"> idleness</w:t>
      </w:r>
      <w:r w:rsidR="008F7697" w:rsidRPr="00E27305">
        <w:rPr>
          <w:rFonts w:ascii="Century Gothic" w:hAnsi="Century Gothic"/>
          <w:lang w:val="en-GB"/>
        </w:rPr>
        <w:t>, often understood as school truancy</w:t>
      </w:r>
      <w:r w:rsidR="0090593A" w:rsidRPr="00E27305">
        <w:rPr>
          <w:rFonts w:ascii="Century Gothic" w:hAnsi="Century Gothic"/>
          <w:lang w:val="en-GB"/>
        </w:rPr>
        <w:t>, begging</w:t>
      </w:r>
      <w:r w:rsidR="00671385" w:rsidRPr="00E27305">
        <w:rPr>
          <w:rFonts w:ascii="Century Gothic" w:hAnsi="Century Gothic"/>
          <w:lang w:val="en-GB"/>
        </w:rPr>
        <w:t>,</w:t>
      </w:r>
      <w:r w:rsidR="0090593A" w:rsidRPr="00E27305">
        <w:rPr>
          <w:rFonts w:ascii="Century Gothic" w:hAnsi="Century Gothic"/>
          <w:lang w:val="en-GB"/>
        </w:rPr>
        <w:t xml:space="preserve"> and vagrancy</w:t>
      </w:r>
      <w:r>
        <w:rPr>
          <w:rFonts w:ascii="Century Gothic" w:hAnsi="Century Gothic"/>
          <w:lang w:val="en-GB"/>
        </w:rPr>
        <w:t xml:space="preserve"> that concerned</w:t>
      </w:r>
      <w:r w:rsidRPr="00E27305">
        <w:rPr>
          <w:rFonts w:ascii="Century Gothic" w:hAnsi="Century Gothic"/>
          <w:lang w:val="en-GB"/>
        </w:rPr>
        <w:t xml:space="preserve"> </w:t>
      </w:r>
      <w:r w:rsidR="00272D38" w:rsidRPr="00E27305">
        <w:rPr>
          <w:rFonts w:ascii="Century Gothic" w:hAnsi="Century Gothic"/>
          <w:lang w:val="en-GB"/>
        </w:rPr>
        <w:t xml:space="preserve">mainly </w:t>
      </w:r>
      <w:r w:rsidR="0090593A" w:rsidRPr="00E27305">
        <w:rPr>
          <w:rFonts w:ascii="Century Gothic" w:hAnsi="Century Gothic"/>
          <w:lang w:val="en-GB"/>
        </w:rPr>
        <w:t>children living in poverty</w:t>
      </w:r>
      <w:r w:rsidR="00272D38" w:rsidRPr="00E27305">
        <w:rPr>
          <w:rFonts w:ascii="Century Gothic" w:hAnsi="Century Gothic"/>
          <w:lang w:val="en-GB"/>
        </w:rPr>
        <w:t>.</w:t>
      </w:r>
      <w:r w:rsidR="00FF28FA" w:rsidRPr="00E27305">
        <w:rPr>
          <w:rFonts w:ascii="Century Gothic" w:hAnsi="Century Gothic"/>
          <w:lang w:val="en-GB"/>
        </w:rPr>
        <w:t xml:space="preserve"> </w:t>
      </w:r>
      <w:r w:rsidR="008F7697" w:rsidRPr="00E27305">
        <w:rPr>
          <w:rFonts w:ascii="Century Gothic" w:hAnsi="Century Gothic"/>
          <w:lang w:val="en-GB"/>
        </w:rPr>
        <w:t>The industrial schools being established in England, Scotland</w:t>
      </w:r>
      <w:r w:rsidR="00671385" w:rsidRPr="00E27305">
        <w:rPr>
          <w:rFonts w:ascii="Century Gothic" w:hAnsi="Century Gothic"/>
          <w:lang w:val="en-GB"/>
        </w:rPr>
        <w:t>,</w:t>
      </w:r>
      <w:r w:rsidR="008F7697" w:rsidRPr="00E27305">
        <w:rPr>
          <w:rFonts w:ascii="Century Gothic" w:hAnsi="Century Gothic"/>
          <w:lang w:val="en-GB"/>
        </w:rPr>
        <w:t xml:space="preserve"> and other English-speaking countries all over the world </w:t>
      </w:r>
      <w:r>
        <w:rPr>
          <w:rFonts w:ascii="Century Gothic" w:hAnsi="Century Gothic"/>
          <w:lang w:val="en-GB"/>
        </w:rPr>
        <w:t>since the</w:t>
      </w:r>
      <w:r w:rsidRPr="00E27305">
        <w:rPr>
          <w:rFonts w:ascii="Century Gothic" w:hAnsi="Century Gothic"/>
          <w:lang w:val="en-GB"/>
        </w:rPr>
        <w:t xml:space="preserve"> </w:t>
      </w:r>
      <w:r>
        <w:rPr>
          <w:rFonts w:ascii="Century Gothic" w:hAnsi="Century Gothic"/>
          <w:lang w:val="en-GB"/>
        </w:rPr>
        <w:t xml:space="preserve">first </w:t>
      </w:r>
      <w:r w:rsidR="008F7697" w:rsidRPr="00E27305">
        <w:rPr>
          <w:rFonts w:ascii="Century Gothic" w:hAnsi="Century Gothic"/>
          <w:lang w:val="en-GB"/>
        </w:rPr>
        <w:t>half of the 19</w:t>
      </w:r>
      <w:r w:rsidR="008F7697" w:rsidRPr="00E27305">
        <w:rPr>
          <w:rFonts w:ascii="Century Gothic" w:hAnsi="Century Gothic"/>
          <w:vertAlign w:val="superscript"/>
          <w:lang w:val="en-GB"/>
        </w:rPr>
        <w:t>th</w:t>
      </w:r>
      <w:r w:rsidR="008F7697" w:rsidRPr="00E27305">
        <w:rPr>
          <w:rFonts w:ascii="Century Gothic" w:hAnsi="Century Gothic"/>
          <w:lang w:val="en-GB"/>
        </w:rPr>
        <w:t xml:space="preserve"> century </w:t>
      </w:r>
      <w:r>
        <w:rPr>
          <w:rFonts w:ascii="Century Gothic" w:hAnsi="Century Gothic"/>
          <w:lang w:val="en-GB"/>
        </w:rPr>
        <w:t>have been</w:t>
      </w:r>
      <w:r w:rsidRPr="00E27305">
        <w:rPr>
          <w:rFonts w:ascii="Century Gothic" w:hAnsi="Century Gothic"/>
          <w:lang w:val="en-GB"/>
        </w:rPr>
        <w:t xml:space="preserve"> </w:t>
      </w:r>
      <w:r w:rsidR="008F7697" w:rsidRPr="00E27305">
        <w:rPr>
          <w:rFonts w:ascii="Century Gothic" w:hAnsi="Century Gothic"/>
          <w:lang w:val="en-GB"/>
        </w:rPr>
        <w:t xml:space="preserve">an eloquent example of this </w:t>
      </w:r>
      <w:r w:rsidR="00671385" w:rsidRPr="00E27305">
        <w:rPr>
          <w:rFonts w:ascii="Century Gothic" w:hAnsi="Century Gothic"/>
          <w:lang w:val="en-GB"/>
        </w:rPr>
        <w:t>phenomenon</w:t>
      </w:r>
      <w:r w:rsidR="008F7697" w:rsidRPr="00E27305">
        <w:rPr>
          <w:rFonts w:ascii="Century Gothic" w:hAnsi="Century Gothic"/>
          <w:lang w:val="en-GB"/>
        </w:rPr>
        <w:t>.</w:t>
      </w:r>
      <w:r w:rsidR="008F7697" w:rsidRPr="00E27305">
        <w:rPr>
          <w:rStyle w:val="FootnoteReference"/>
          <w:rFonts w:ascii="Century Gothic" w:hAnsi="Century Gothic"/>
          <w:lang w:val="en-GB"/>
        </w:rPr>
        <w:footnoteReference w:id="4"/>
      </w:r>
      <w:r w:rsidR="008F7697" w:rsidRPr="00E27305">
        <w:rPr>
          <w:rFonts w:ascii="Century Gothic" w:hAnsi="Century Gothic"/>
          <w:lang w:val="en-GB"/>
        </w:rPr>
        <w:t xml:space="preserve"> And a similar type of institutions started to appear </w:t>
      </w:r>
      <w:r>
        <w:rPr>
          <w:rFonts w:ascii="Century Gothic" w:hAnsi="Century Gothic"/>
          <w:lang w:val="en-GB"/>
        </w:rPr>
        <w:t>all around</w:t>
      </w:r>
      <w:r w:rsidR="008F7697" w:rsidRPr="00E27305">
        <w:rPr>
          <w:rFonts w:ascii="Century Gothic" w:hAnsi="Century Gothic"/>
          <w:lang w:val="en-GB"/>
        </w:rPr>
        <w:t xml:space="preserve"> the world. </w:t>
      </w:r>
    </w:p>
    <w:p w14:paraId="6EAA4476" w14:textId="15114B78" w:rsidR="0090593A" w:rsidRPr="00E27305" w:rsidRDefault="0090593A" w:rsidP="008931F1">
      <w:pPr>
        <w:jc w:val="both"/>
        <w:rPr>
          <w:rFonts w:ascii="Century Gothic" w:hAnsi="Century Gothic"/>
          <w:lang w:val="en-GB"/>
        </w:rPr>
      </w:pPr>
    </w:p>
    <w:p w14:paraId="2BEAEE28" w14:textId="254C1134" w:rsidR="0081191D" w:rsidRPr="00E27305" w:rsidRDefault="0090593A" w:rsidP="00606207">
      <w:pPr>
        <w:jc w:val="both"/>
        <w:rPr>
          <w:rFonts w:ascii="Century Gothic" w:hAnsi="Century Gothic"/>
          <w:lang w:val="en-GB"/>
        </w:rPr>
      </w:pPr>
      <w:r w:rsidRPr="00E27305">
        <w:rPr>
          <w:rFonts w:ascii="Century Gothic" w:hAnsi="Century Gothic"/>
          <w:lang w:val="en-GB"/>
        </w:rPr>
        <w:t xml:space="preserve">To achieve its disciplinary objectives, “panopticism” </w:t>
      </w:r>
      <w:r w:rsidR="00CA6B84" w:rsidRPr="00E27305">
        <w:rPr>
          <w:rFonts w:ascii="Century Gothic" w:hAnsi="Century Gothic"/>
          <w:lang w:val="en-GB"/>
        </w:rPr>
        <w:t xml:space="preserve">had to </w:t>
      </w:r>
      <w:r w:rsidR="008957EB">
        <w:rPr>
          <w:rFonts w:ascii="Century Gothic" w:hAnsi="Century Gothic"/>
          <w:lang w:val="en-GB"/>
        </w:rPr>
        <w:t>be broken</w:t>
      </w:r>
      <w:r w:rsidR="008957EB" w:rsidRPr="00E27305">
        <w:rPr>
          <w:rFonts w:ascii="Century Gothic" w:hAnsi="Century Gothic"/>
          <w:lang w:val="en-GB"/>
        </w:rPr>
        <w:t xml:space="preserve"> </w:t>
      </w:r>
      <w:r w:rsidR="00CA6B84" w:rsidRPr="00E27305">
        <w:rPr>
          <w:rFonts w:ascii="Century Gothic" w:hAnsi="Century Gothic"/>
          <w:lang w:val="en-GB"/>
        </w:rPr>
        <w:t xml:space="preserve">into the law and </w:t>
      </w:r>
      <w:r w:rsidR="008957EB">
        <w:rPr>
          <w:rFonts w:ascii="Century Gothic" w:hAnsi="Century Gothic"/>
          <w:lang w:val="en-GB"/>
        </w:rPr>
        <w:t>legal</w:t>
      </w:r>
      <w:r w:rsidR="00CA6B84" w:rsidRPr="00E27305">
        <w:rPr>
          <w:rFonts w:ascii="Century Gothic" w:hAnsi="Century Gothic"/>
          <w:lang w:val="en-GB"/>
        </w:rPr>
        <w:t xml:space="preserve"> theory.</w:t>
      </w:r>
      <w:r w:rsidR="00CA6B84" w:rsidRPr="00E27305">
        <w:rPr>
          <w:rStyle w:val="FootnoteReference"/>
          <w:rFonts w:ascii="Century Gothic" w:hAnsi="Century Gothic"/>
          <w:lang w:val="en-GB"/>
        </w:rPr>
        <w:footnoteReference w:id="5"/>
      </w:r>
      <w:r w:rsidR="00CA6B84" w:rsidRPr="00E27305">
        <w:rPr>
          <w:rFonts w:ascii="Century Gothic" w:hAnsi="Century Gothic"/>
          <w:lang w:val="en-GB"/>
        </w:rPr>
        <w:t xml:space="preserve"> </w:t>
      </w:r>
      <w:r w:rsidR="008957EB">
        <w:rPr>
          <w:rFonts w:ascii="Century Gothic" w:hAnsi="Century Gothic"/>
          <w:lang w:val="en-GB"/>
        </w:rPr>
        <w:t>As a consequence,</w:t>
      </w:r>
      <w:r w:rsidR="008957EB" w:rsidRPr="00E27305">
        <w:rPr>
          <w:rFonts w:ascii="Century Gothic" w:hAnsi="Century Gothic"/>
          <w:lang w:val="en-GB"/>
        </w:rPr>
        <w:t xml:space="preserve"> </w:t>
      </w:r>
      <w:r w:rsidR="00FF28FA" w:rsidRPr="00E27305">
        <w:rPr>
          <w:rFonts w:ascii="Century Gothic" w:hAnsi="Century Gothic"/>
          <w:lang w:val="en-GB"/>
        </w:rPr>
        <w:t xml:space="preserve">national legislations enabling </w:t>
      </w:r>
      <w:r w:rsidR="008957EB">
        <w:rPr>
          <w:rFonts w:ascii="Century Gothic" w:hAnsi="Century Gothic"/>
          <w:lang w:val="en-GB"/>
        </w:rPr>
        <w:t>child removal</w:t>
      </w:r>
      <w:r w:rsidR="008957EB" w:rsidRPr="00E27305">
        <w:rPr>
          <w:rFonts w:ascii="Century Gothic" w:hAnsi="Century Gothic"/>
          <w:lang w:val="en-GB"/>
        </w:rPr>
        <w:t xml:space="preserve"> </w:t>
      </w:r>
      <w:r w:rsidR="008957EB">
        <w:rPr>
          <w:rFonts w:ascii="Century Gothic" w:hAnsi="Century Gothic"/>
          <w:lang w:val="en-GB"/>
        </w:rPr>
        <w:t>from her</w:t>
      </w:r>
      <w:r w:rsidR="00FF28FA" w:rsidRPr="00E27305">
        <w:rPr>
          <w:rFonts w:ascii="Century Gothic" w:hAnsi="Century Gothic"/>
          <w:lang w:val="en-GB"/>
        </w:rPr>
        <w:t xml:space="preserve"> family were formulated </w:t>
      </w:r>
      <w:r w:rsidR="00FF28FA" w:rsidRPr="00E27305">
        <w:rPr>
          <w:rFonts w:ascii="Century Gothic" w:hAnsi="Century Gothic"/>
          <w:b/>
          <w:bCs/>
          <w:lang w:val="en-GB"/>
        </w:rPr>
        <w:t>in vague terms</w:t>
      </w:r>
      <w:r w:rsidR="00FF28FA" w:rsidRPr="00E27305">
        <w:rPr>
          <w:rFonts w:ascii="Century Gothic" w:hAnsi="Century Gothic"/>
          <w:lang w:val="en-GB"/>
        </w:rPr>
        <w:t xml:space="preserve">, often referring to </w:t>
      </w:r>
      <w:r w:rsidR="00FF28FA" w:rsidRPr="00E27305">
        <w:rPr>
          <w:rFonts w:ascii="Century Gothic" w:hAnsi="Century Gothic"/>
          <w:b/>
          <w:bCs/>
          <w:lang w:val="en-GB"/>
        </w:rPr>
        <w:t>moral categories</w:t>
      </w:r>
      <w:r w:rsidR="00FF28FA" w:rsidRPr="00E27305">
        <w:rPr>
          <w:rFonts w:ascii="Century Gothic" w:hAnsi="Century Gothic"/>
          <w:lang w:val="en-GB"/>
        </w:rPr>
        <w:t xml:space="preserve">, creating sufficient space for the public authorities to enforce </w:t>
      </w:r>
      <w:r w:rsidR="008957EB">
        <w:rPr>
          <w:rFonts w:ascii="Century Gothic" w:hAnsi="Century Gothic"/>
          <w:lang w:val="en-GB"/>
        </w:rPr>
        <w:t xml:space="preserve">currently </w:t>
      </w:r>
      <w:r w:rsidR="00FF28FA" w:rsidRPr="00E27305">
        <w:rPr>
          <w:rFonts w:ascii="Century Gothic" w:hAnsi="Century Gothic"/>
          <w:lang w:val="en-GB"/>
        </w:rPr>
        <w:t>prevailing social norms.</w:t>
      </w:r>
      <w:r w:rsidR="0081191D" w:rsidRPr="00E27305">
        <w:rPr>
          <w:rFonts w:ascii="Century Gothic" w:hAnsi="Century Gothic"/>
          <w:lang w:val="en-GB"/>
        </w:rPr>
        <w:t xml:space="preserve"> The phenomenon became so </w:t>
      </w:r>
      <w:r w:rsidR="009041E2" w:rsidRPr="00E27305">
        <w:rPr>
          <w:rFonts w:ascii="Century Gothic" w:hAnsi="Century Gothic"/>
          <w:lang w:val="en-GB"/>
        </w:rPr>
        <w:t>widespread and natural</w:t>
      </w:r>
      <w:r w:rsidR="0081191D" w:rsidRPr="00E27305">
        <w:rPr>
          <w:rFonts w:ascii="Century Gothic" w:hAnsi="Century Gothic"/>
          <w:lang w:val="en-GB"/>
        </w:rPr>
        <w:t xml:space="preserve">, that the </w:t>
      </w:r>
      <w:r w:rsidR="00DD179D" w:rsidRPr="00E27305">
        <w:rPr>
          <w:rFonts w:ascii="Century Gothic" w:hAnsi="Century Gothic"/>
          <w:lang w:val="en-GB"/>
        </w:rPr>
        <w:t>ECHR</w:t>
      </w:r>
      <w:r w:rsidR="0081191D" w:rsidRPr="00E27305">
        <w:rPr>
          <w:rFonts w:ascii="Century Gothic" w:hAnsi="Century Gothic"/>
          <w:lang w:val="en-GB"/>
        </w:rPr>
        <w:t xml:space="preserve"> </w:t>
      </w:r>
      <w:r w:rsidR="009041E2" w:rsidRPr="00E27305">
        <w:rPr>
          <w:rFonts w:ascii="Century Gothic" w:hAnsi="Century Gothic"/>
          <w:lang w:val="en-GB"/>
        </w:rPr>
        <w:t xml:space="preserve">adopted in 1950 </w:t>
      </w:r>
      <w:r w:rsidR="00DD179D" w:rsidRPr="00E27305">
        <w:rPr>
          <w:rFonts w:ascii="Century Gothic" w:hAnsi="Century Gothic"/>
          <w:lang w:val="en-GB"/>
        </w:rPr>
        <w:t>legitimised</w:t>
      </w:r>
      <w:r w:rsidR="009041E2" w:rsidRPr="00E27305">
        <w:rPr>
          <w:rFonts w:ascii="Century Gothic" w:hAnsi="Century Gothic"/>
          <w:lang w:val="en-GB"/>
        </w:rPr>
        <w:t xml:space="preserve"> “educational supervision” as a ground to deprive the child of her personal liberty</w:t>
      </w:r>
      <w:r w:rsidR="00B31508" w:rsidRPr="00E27305">
        <w:rPr>
          <w:rFonts w:ascii="Century Gothic" w:hAnsi="Century Gothic"/>
          <w:lang w:val="en-GB"/>
        </w:rPr>
        <w:t>.</w:t>
      </w:r>
      <w:r w:rsidR="009041E2" w:rsidRPr="00E27305">
        <w:rPr>
          <w:rStyle w:val="FootnoteReference"/>
          <w:rFonts w:ascii="Century Gothic" w:hAnsi="Century Gothic"/>
          <w:lang w:val="en-GB"/>
        </w:rPr>
        <w:footnoteReference w:id="6"/>
      </w:r>
      <w:r w:rsidR="00B31508" w:rsidRPr="00E27305">
        <w:rPr>
          <w:rFonts w:ascii="Century Gothic" w:hAnsi="Century Gothic"/>
          <w:lang w:val="en-GB"/>
        </w:rPr>
        <w:t xml:space="preserve"> This </w:t>
      </w:r>
      <w:r w:rsidR="0095004D" w:rsidRPr="00E27305">
        <w:rPr>
          <w:rFonts w:ascii="Century Gothic" w:hAnsi="Century Gothic"/>
          <w:lang w:val="en-GB"/>
        </w:rPr>
        <w:t>enabled</w:t>
      </w:r>
      <w:r w:rsidR="00B31508" w:rsidRPr="00E27305">
        <w:rPr>
          <w:rFonts w:ascii="Century Gothic" w:hAnsi="Century Gothic"/>
          <w:lang w:val="en-GB"/>
        </w:rPr>
        <w:t xml:space="preserve"> </w:t>
      </w:r>
      <w:r w:rsidR="0095004D" w:rsidRPr="00E27305">
        <w:rPr>
          <w:rFonts w:ascii="Century Gothic" w:hAnsi="Century Gothic"/>
          <w:lang w:val="en-GB"/>
        </w:rPr>
        <w:t>to</w:t>
      </w:r>
      <w:r w:rsidR="009041E2" w:rsidRPr="00E27305">
        <w:rPr>
          <w:rFonts w:ascii="Century Gothic" w:hAnsi="Century Gothic"/>
          <w:lang w:val="en-GB"/>
        </w:rPr>
        <w:t xml:space="preserve"> deprive</w:t>
      </w:r>
      <w:r w:rsidR="0095004D" w:rsidRPr="00E27305">
        <w:rPr>
          <w:rFonts w:ascii="Century Gothic" w:hAnsi="Century Gothic"/>
          <w:lang w:val="en-GB"/>
        </w:rPr>
        <w:t xml:space="preserve"> children</w:t>
      </w:r>
      <w:r w:rsidR="009041E2" w:rsidRPr="00E27305">
        <w:rPr>
          <w:rFonts w:ascii="Century Gothic" w:hAnsi="Century Gothic"/>
          <w:lang w:val="en-GB"/>
        </w:rPr>
        <w:t xml:space="preserve"> of their liberty under the pretext of their </w:t>
      </w:r>
      <w:r w:rsidR="009E5850" w:rsidRPr="00E27305">
        <w:rPr>
          <w:rFonts w:ascii="Century Gothic" w:hAnsi="Century Gothic"/>
          <w:lang w:val="en-GB"/>
        </w:rPr>
        <w:t>“</w:t>
      </w:r>
      <w:r w:rsidR="009041E2" w:rsidRPr="00E27305">
        <w:rPr>
          <w:rFonts w:ascii="Century Gothic" w:hAnsi="Century Gothic"/>
          <w:lang w:val="en-GB"/>
        </w:rPr>
        <w:t xml:space="preserve">need for </w:t>
      </w:r>
      <w:r w:rsidR="009041E2" w:rsidRPr="00E27305">
        <w:rPr>
          <w:rFonts w:ascii="Century Gothic" w:hAnsi="Century Gothic"/>
          <w:lang w:val="en-GB"/>
        </w:rPr>
        <w:lastRenderedPageBreak/>
        <w:t>protection</w:t>
      </w:r>
      <w:r w:rsidR="009E5850" w:rsidRPr="00E27305">
        <w:rPr>
          <w:rFonts w:ascii="Century Gothic" w:hAnsi="Century Gothic"/>
          <w:lang w:val="en-GB"/>
        </w:rPr>
        <w:t>”</w:t>
      </w:r>
      <w:r w:rsidR="009041E2" w:rsidRPr="00E27305">
        <w:rPr>
          <w:rFonts w:ascii="Century Gothic" w:hAnsi="Century Gothic"/>
          <w:lang w:val="en-GB"/>
        </w:rPr>
        <w:t xml:space="preserve"> in situations when the personal liberty of </w:t>
      </w:r>
      <w:r w:rsidR="0095004D" w:rsidRPr="00E27305">
        <w:rPr>
          <w:rFonts w:ascii="Century Gothic" w:hAnsi="Century Gothic"/>
          <w:lang w:val="en-GB"/>
        </w:rPr>
        <w:t>adults</w:t>
      </w:r>
      <w:r w:rsidR="009041E2" w:rsidRPr="00E27305">
        <w:rPr>
          <w:rFonts w:ascii="Century Gothic" w:hAnsi="Century Gothic"/>
          <w:lang w:val="en-GB"/>
        </w:rPr>
        <w:t xml:space="preserve"> would be duly respected.</w:t>
      </w:r>
      <w:r w:rsidR="000F6959" w:rsidRPr="00E27305">
        <w:rPr>
          <w:rStyle w:val="FootnoteReference"/>
          <w:rFonts w:ascii="Century Gothic" w:hAnsi="Century Gothic"/>
          <w:lang w:val="en-GB"/>
        </w:rPr>
        <w:footnoteReference w:id="7"/>
      </w:r>
      <w:r w:rsidR="009041E2" w:rsidRPr="00E27305">
        <w:rPr>
          <w:rFonts w:ascii="Century Gothic" w:hAnsi="Century Gothic"/>
          <w:lang w:val="en-GB"/>
        </w:rPr>
        <w:t xml:space="preserve"> </w:t>
      </w:r>
    </w:p>
    <w:p w14:paraId="6A9051AD" w14:textId="3D9A5B66" w:rsidR="009041E2" w:rsidRPr="00E27305" w:rsidRDefault="009041E2" w:rsidP="00606207">
      <w:pPr>
        <w:jc w:val="both"/>
        <w:rPr>
          <w:rFonts w:ascii="Century Gothic" w:hAnsi="Century Gothic"/>
          <w:lang w:val="en-GB"/>
        </w:rPr>
      </w:pPr>
    </w:p>
    <w:p w14:paraId="5E2AB144" w14:textId="176A3AE3" w:rsidR="00121529" w:rsidRPr="00E27305" w:rsidRDefault="0060244E" w:rsidP="00606207">
      <w:pPr>
        <w:jc w:val="both"/>
        <w:rPr>
          <w:rFonts w:ascii="Century Gothic" w:hAnsi="Century Gothic"/>
          <w:lang w:val="en-GB"/>
        </w:rPr>
      </w:pPr>
      <w:r>
        <w:rPr>
          <w:rFonts w:ascii="Century Gothic" w:hAnsi="Century Gothic"/>
          <w:lang w:val="en-GB"/>
        </w:rPr>
        <w:t>Recently, t</w:t>
      </w:r>
      <w:r w:rsidR="009041E2" w:rsidRPr="00E27305">
        <w:rPr>
          <w:rFonts w:ascii="Century Gothic" w:hAnsi="Century Gothic"/>
          <w:lang w:val="en-GB"/>
        </w:rPr>
        <w:t>h</w:t>
      </w:r>
      <w:r w:rsidR="00AD0A3F" w:rsidRPr="00E27305">
        <w:rPr>
          <w:rFonts w:ascii="Century Gothic" w:hAnsi="Century Gothic"/>
          <w:lang w:val="en-GB"/>
        </w:rPr>
        <w:t>e UN Global Study on children deprived of liberty confirmed that the situation of children hasn’t changed much, and children are still massively deprived of their personal liberty as an alternative care measure.</w:t>
      </w:r>
      <w:r w:rsidR="00AD0A3F" w:rsidRPr="00E27305">
        <w:rPr>
          <w:rStyle w:val="FootnoteReference"/>
          <w:rFonts w:ascii="Century Gothic" w:hAnsi="Century Gothic"/>
          <w:lang w:val="en-GB"/>
        </w:rPr>
        <w:footnoteReference w:id="8"/>
      </w:r>
      <w:r w:rsidR="00AD0A3F" w:rsidRPr="00E27305">
        <w:rPr>
          <w:rFonts w:ascii="Century Gothic" w:hAnsi="Century Gothic"/>
          <w:lang w:val="en-GB"/>
        </w:rPr>
        <w:t xml:space="preserve"> </w:t>
      </w:r>
    </w:p>
    <w:p w14:paraId="3C826261" w14:textId="7104FA27" w:rsidR="00121529" w:rsidRPr="00E27305" w:rsidRDefault="00121529" w:rsidP="00606207">
      <w:pPr>
        <w:jc w:val="both"/>
        <w:rPr>
          <w:rFonts w:ascii="Century Gothic" w:hAnsi="Century Gothic"/>
          <w:lang w:val="en-GB"/>
        </w:rPr>
      </w:pPr>
    </w:p>
    <w:p w14:paraId="66FD9EFB" w14:textId="1217C2E9" w:rsidR="00121529" w:rsidRPr="00E27305" w:rsidRDefault="00522724" w:rsidP="00522724">
      <w:pPr>
        <w:pStyle w:val="Heading1"/>
        <w:rPr>
          <w:rFonts w:ascii="Century Gothic" w:hAnsi="Century Gothic"/>
          <w:lang w:val="en-GB"/>
        </w:rPr>
      </w:pPr>
      <w:bookmarkStart w:id="2" w:name="_Toc74034872"/>
      <w:r w:rsidRPr="00E27305">
        <w:rPr>
          <w:rFonts w:ascii="Century Gothic" w:hAnsi="Century Gothic"/>
          <w:lang w:val="en-GB"/>
        </w:rPr>
        <w:t xml:space="preserve">II. </w:t>
      </w:r>
      <w:r w:rsidR="00121529" w:rsidRPr="00E27305">
        <w:rPr>
          <w:rFonts w:ascii="Century Gothic" w:hAnsi="Century Gothic"/>
          <w:lang w:val="en-GB"/>
        </w:rPr>
        <w:t xml:space="preserve">THE </w:t>
      </w:r>
      <w:r w:rsidR="00671385" w:rsidRPr="00E27305">
        <w:rPr>
          <w:rFonts w:ascii="Century Gothic" w:hAnsi="Century Gothic"/>
          <w:lang w:val="en-GB"/>
        </w:rPr>
        <w:t>APPROPRIATENESS</w:t>
      </w:r>
      <w:r w:rsidR="00121529" w:rsidRPr="00E27305">
        <w:rPr>
          <w:rFonts w:ascii="Century Gothic" w:hAnsi="Century Gothic"/>
          <w:lang w:val="en-GB"/>
        </w:rPr>
        <w:t xml:space="preserve"> OF THE DISABILITY RIGHTS CONCEPTS</w:t>
      </w:r>
      <w:bookmarkEnd w:id="2"/>
    </w:p>
    <w:p w14:paraId="1C229938" w14:textId="77777777" w:rsidR="00121529" w:rsidRPr="00E27305" w:rsidRDefault="00121529" w:rsidP="00606207">
      <w:pPr>
        <w:jc w:val="both"/>
        <w:rPr>
          <w:rFonts w:ascii="Century Gothic" w:hAnsi="Century Gothic"/>
          <w:lang w:val="en-GB"/>
        </w:rPr>
      </w:pPr>
    </w:p>
    <w:p w14:paraId="7F78DC16" w14:textId="016C6640" w:rsidR="00606207" w:rsidRPr="00E27305" w:rsidRDefault="00B31508" w:rsidP="00606207">
      <w:pPr>
        <w:jc w:val="both"/>
        <w:rPr>
          <w:rFonts w:ascii="Century Gothic" w:hAnsi="Century Gothic"/>
          <w:lang w:val="en-GB"/>
        </w:rPr>
      </w:pPr>
      <w:r w:rsidRPr="00E27305">
        <w:rPr>
          <w:rFonts w:ascii="Century Gothic" w:hAnsi="Century Gothic"/>
          <w:lang w:val="en-GB"/>
        </w:rPr>
        <w:t>T</w:t>
      </w:r>
      <w:r w:rsidR="00121529" w:rsidRPr="00E27305">
        <w:rPr>
          <w:rFonts w:ascii="Century Gothic" w:hAnsi="Century Gothic"/>
          <w:lang w:val="en-GB"/>
        </w:rPr>
        <w:t xml:space="preserve">he paradigmatic approach to children changed massively, not only thanks to the adoption of the </w:t>
      </w:r>
      <w:r w:rsidR="009E5850" w:rsidRPr="00CF273E">
        <w:rPr>
          <w:rFonts w:ascii="Century Gothic" w:hAnsi="Century Gothic"/>
          <w:b/>
          <w:bCs/>
          <w:lang w:val="en-GB"/>
        </w:rPr>
        <w:t>CRC</w:t>
      </w:r>
      <w:r w:rsidR="00121529" w:rsidRPr="00E27305">
        <w:rPr>
          <w:rFonts w:ascii="Century Gothic" w:hAnsi="Century Gothic"/>
          <w:lang w:val="en-GB"/>
        </w:rPr>
        <w:t xml:space="preserve">, but also </w:t>
      </w:r>
      <w:r w:rsidR="00121529" w:rsidRPr="00CF273E">
        <w:rPr>
          <w:rFonts w:ascii="Century Gothic" w:hAnsi="Century Gothic"/>
          <w:lang w:val="en-GB"/>
        </w:rPr>
        <w:t>the</w:t>
      </w:r>
      <w:r w:rsidR="00121529" w:rsidRPr="00E27305">
        <w:rPr>
          <w:rFonts w:ascii="Century Gothic" w:hAnsi="Century Gothic"/>
          <w:b/>
          <w:bCs/>
          <w:lang w:val="en-GB"/>
        </w:rPr>
        <w:t xml:space="preserve"> </w:t>
      </w:r>
      <w:r w:rsidR="009E5850" w:rsidRPr="00E27305">
        <w:rPr>
          <w:rFonts w:ascii="Century Gothic" w:hAnsi="Century Gothic"/>
          <w:b/>
          <w:bCs/>
          <w:lang w:val="en-GB"/>
        </w:rPr>
        <w:t>CRPD</w:t>
      </w:r>
      <w:r w:rsidR="00121529" w:rsidRPr="00E27305">
        <w:rPr>
          <w:rFonts w:ascii="Century Gothic" w:hAnsi="Century Gothic"/>
          <w:lang w:val="en-GB"/>
        </w:rPr>
        <w:t xml:space="preserve">. Both groups share common </w:t>
      </w:r>
      <w:r w:rsidR="008957EB">
        <w:rPr>
          <w:rFonts w:ascii="Century Gothic" w:hAnsi="Century Gothic"/>
          <w:lang w:val="en-GB"/>
        </w:rPr>
        <w:t>characteristics</w:t>
      </w:r>
      <w:r w:rsidR="00121529" w:rsidRPr="00E27305">
        <w:rPr>
          <w:rFonts w:ascii="Century Gothic" w:hAnsi="Century Gothic"/>
          <w:lang w:val="en-GB"/>
        </w:rPr>
        <w:t xml:space="preserve">. Both historically belonged </w:t>
      </w:r>
      <w:r w:rsidR="008957EB">
        <w:rPr>
          <w:rFonts w:ascii="Century Gothic" w:hAnsi="Century Gothic"/>
          <w:lang w:val="en-GB"/>
        </w:rPr>
        <w:t>to</w:t>
      </w:r>
      <w:r w:rsidR="008957EB" w:rsidRPr="00E27305">
        <w:rPr>
          <w:rFonts w:ascii="Century Gothic" w:hAnsi="Century Gothic"/>
          <w:lang w:val="en-GB"/>
        </w:rPr>
        <w:t xml:space="preserve"> </w:t>
      </w:r>
      <w:r w:rsidR="00121529" w:rsidRPr="00E27305">
        <w:rPr>
          <w:rFonts w:ascii="Century Gothic" w:hAnsi="Century Gothic"/>
          <w:lang w:val="en-GB"/>
        </w:rPr>
        <w:t xml:space="preserve">the most affected by </w:t>
      </w:r>
      <w:r w:rsidR="008957EB">
        <w:rPr>
          <w:rFonts w:ascii="Century Gothic" w:hAnsi="Century Gothic"/>
          <w:lang w:val="en-GB"/>
        </w:rPr>
        <w:t xml:space="preserve">the </w:t>
      </w:r>
      <w:r w:rsidR="00121529" w:rsidRPr="00E27305">
        <w:rPr>
          <w:rFonts w:ascii="Century Gothic" w:hAnsi="Century Gothic"/>
          <w:lang w:val="en-GB"/>
        </w:rPr>
        <w:t xml:space="preserve">disciplination, </w:t>
      </w:r>
      <w:r w:rsidR="00143BCF" w:rsidRPr="00E27305">
        <w:rPr>
          <w:rFonts w:ascii="Century Gothic" w:hAnsi="Century Gothic"/>
          <w:lang w:val="en-GB"/>
        </w:rPr>
        <w:t>both face</w:t>
      </w:r>
      <w:r w:rsidR="008957EB">
        <w:rPr>
          <w:rFonts w:ascii="Century Gothic" w:hAnsi="Century Gothic"/>
          <w:lang w:val="en-GB"/>
        </w:rPr>
        <w:t>d</w:t>
      </w:r>
      <w:r w:rsidR="00143BCF" w:rsidRPr="00E27305">
        <w:rPr>
          <w:rFonts w:ascii="Century Gothic" w:hAnsi="Century Gothic"/>
          <w:lang w:val="en-GB"/>
        </w:rPr>
        <w:t xml:space="preserve"> strong paternalistic tendencies connected with the stigma of </w:t>
      </w:r>
      <w:r w:rsidR="00272D38" w:rsidRPr="00E27305">
        <w:rPr>
          <w:rFonts w:ascii="Century Gothic" w:hAnsi="Century Gothic"/>
          <w:lang w:val="en-GB"/>
        </w:rPr>
        <w:t>incapacity</w:t>
      </w:r>
      <w:r w:rsidR="00143BCF" w:rsidRPr="00E27305">
        <w:rPr>
          <w:rFonts w:ascii="Century Gothic" w:hAnsi="Century Gothic"/>
          <w:lang w:val="en-GB"/>
        </w:rPr>
        <w:t xml:space="preserve"> and both were disproportionately deprived of their personal liberty under the pretext of their </w:t>
      </w:r>
      <w:r w:rsidR="009E5850" w:rsidRPr="00E27305">
        <w:rPr>
          <w:rFonts w:ascii="Century Gothic" w:hAnsi="Century Gothic"/>
          <w:lang w:val="en-GB"/>
        </w:rPr>
        <w:t>“</w:t>
      </w:r>
      <w:r w:rsidR="00143BCF" w:rsidRPr="00E27305">
        <w:rPr>
          <w:rFonts w:ascii="Century Gothic" w:hAnsi="Century Gothic"/>
          <w:lang w:val="en-GB"/>
        </w:rPr>
        <w:t>protection</w:t>
      </w:r>
      <w:r w:rsidR="009E5850" w:rsidRPr="00E27305">
        <w:rPr>
          <w:rFonts w:ascii="Century Gothic" w:hAnsi="Century Gothic"/>
          <w:lang w:val="en-GB"/>
        </w:rPr>
        <w:t>”</w:t>
      </w:r>
      <w:r w:rsidR="00143BCF" w:rsidRPr="00E27305">
        <w:rPr>
          <w:rFonts w:ascii="Century Gothic" w:hAnsi="Century Gothic"/>
          <w:lang w:val="en-GB"/>
        </w:rPr>
        <w:t xml:space="preserve">. Ian Binnie, former judge of the </w:t>
      </w:r>
      <w:r w:rsidR="00DC577D" w:rsidRPr="00E27305">
        <w:rPr>
          <w:rFonts w:ascii="Century Gothic" w:hAnsi="Century Gothic"/>
          <w:lang w:val="en-GB"/>
        </w:rPr>
        <w:t>SCC</w:t>
      </w:r>
      <w:r w:rsidR="00143BCF" w:rsidRPr="00E27305">
        <w:rPr>
          <w:rFonts w:ascii="Century Gothic" w:hAnsi="Century Gothic"/>
          <w:lang w:val="en-GB"/>
        </w:rPr>
        <w:t xml:space="preserve">, </w:t>
      </w:r>
      <w:r w:rsidR="008957EB">
        <w:rPr>
          <w:rFonts w:ascii="Century Gothic" w:hAnsi="Century Gothic"/>
          <w:lang w:val="en-GB"/>
        </w:rPr>
        <w:t>referred to</w:t>
      </w:r>
      <w:r w:rsidR="004D09DE" w:rsidRPr="00E27305">
        <w:rPr>
          <w:rFonts w:ascii="Century Gothic" w:hAnsi="Century Gothic"/>
          <w:lang w:val="en-GB"/>
        </w:rPr>
        <w:t xml:space="preserve"> the term “legal disability”</w:t>
      </w:r>
      <w:r w:rsidR="004D09DE" w:rsidRPr="00E27305">
        <w:rPr>
          <w:rStyle w:val="FootnoteReference"/>
          <w:rFonts w:ascii="Century Gothic" w:hAnsi="Century Gothic"/>
          <w:lang w:val="en-GB"/>
        </w:rPr>
        <w:footnoteReference w:id="9"/>
      </w:r>
      <w:r w:rsidR="009E5850" w:rsidRPr="00E27305">
        <w:rPr>
          <w:rFonts w:ascii="Century Gothic" w:hAnsi="Century Gothic"/>
          <w:lang w:val="en-GB"/>
        </w:rPr>
        <w:t xml:space="preserve"> </w:t>
      </w:r>
      <w:r w:rsidR="00D84B14" w:rsidRPr="00E27305">
        <w:rPr>
          <w:rFonts w:ascii="Century Gothic" w:hAnsi="Century Gothic"/>
          <w:lang w:val="en-GB"/>
        </w:rPr>
        <w:t>express</w:t>
      </w:r>
      <w:r w:rsidR="008957EB">
        <w:rPr>
          <w:rFonts w:ascii="Century Gothic" w:hAnsi="Century Gothic"/>
          <w:lang w:val="en-GB"/>
        </w:rPr>
        <w:t>ing</w:t>
      </w:r>
      <w:r w:rsidR="00D84B14" w:rsidRPr="00E27305">
        <w:rPr>
          <w:rFonts w:ascii="Century Gothic" w:hAnsi="Century Gothic"/>
          <w:lang w:val="en-GB"/>
        </w:rPr>
        <w:t xml:space="preserve"> that</w:t>
      </w:r>
      <w:r w:rsidR="009E5850" w:rsidRPr="00E27305">
        <w:rPr>
          <w:rFonts w:ascii="Century Gothic" w:hAnsi="Century Gothic"/>
          <w:lang w:val="en-GB"/>
        </w:rPr>
        <w:t xml:space="preserve"> the </w:t>
      </w:r>
      <w:r w:rsidRPr="00E27305">
        <w:rPr>
          <w:rFonts w:ascii="Century Gothic" w:hAnsi="Century Gothic"/>
          <w:lang w:val="en-GB"/>
        </w:rPr>
        <w:t>reasons disqualifying the child from taking her own decision</w:t>
      </w:r>
      <w:r w:rsidR="00D84B14" w:rsidRPr="00E27305">
        <w:rPr>
          <w:rFonts w:ascii="Century Gothic" w:hAnsi="Century Gothic"/>
          <w:lang w:val="en-GB"/>
        </w:rPr>
        <w:t xml:space="preserve"> are the consequence of legal approach to the child rather than her real incapacity. </w:t>
      </w:r>
      <w:r w:rsidR="004A146F">
        <w:rPr>
          <w:rFonts w:ascii="Century Gothic" w:hAnsi="Century Gothic"/>
          <w:lang w:val="en-GB"/>
        </w:rPr>
        <w:t>X</w:t>
      </w:r>
      <w:r w:rsidR="00824CAA" w:rsidRPr="00E27305">
        <w:rPr>
          <w:rFonts w:ascii="Century Gothic" w:hAnsi="Century Gothic"/>
          <w:lang w:val="en-GB"/>
        </w:rPr>
        <w:t>.</w:t>
      </w:r>
      <w:r w:rsidR="00824CAA" w:rsidRPr="00E27305">
        <w:rPr>
          <w:rStyle w:val="FootnoteReference"/>
          <w:rFonts w:ascii="Century Gothic" w:hAnsi="Century Gothic"/>
          <w:lang w:val="en-GB"/>
        </w:rPr>
        <w:footnoteReference w:id="10"/>
      </w:r>
    </w:p>
    <w:p w14:paraId="6E4B8CE7" w14:textId="63695E8B" w:rsidR="00143BCF" w:rsidRPr="00E27305" w:rsidRDefault="00143BCF" w:rsidP="00606207">
      <w:pPr>
        <w:jc w:val="both"/>
        <w:rPr>
          <w:rFonts w:ascii="Century Gothic" w:hAnsi="Century Gothic"/>
          <w:lang w:val="en-GB"/>
        </w:rPr>
      </w:pPr>
    </w:p>
    <w:p w14:paraId="43C85941" w14:textId="0A9FFB7D" w:rsidR="00D05EC4" w:rsidRPr="00E27305" w:rsidRDefault="00143BCF" w:rsidP="005C04DA">
      <w:pPr>
        <w:jc w:val="both"/>
        <w:rPr>
          <w:rFonts w:ascii="Century Gothic" w:hAnsi="Century Gothic"/>
          <w:lang w:val="en-GB"/>
        </w:rPr>
      </w:pPr>
      <w:r w:rsidRPr="00E27305">
        <w:rPr>
          <w:rFonts w:ascii="Century Gothic" w:hAnsi="Century Gothic"/>
          <w:lang w:val="en-GB"/>
        </w:rPr>
        <w:t xml:space="preserve">Children may profit from </w:t>
      </w:r>
      <w:r w:rsidR="005C04DA" w:rsidRPr="00E27305">
        <w:rPr>
          <w:rFonts w:ascii="Century Gothic" w:hAnsi="Century Gothic"/>
          <w:lang w:val="en-GB"/>
        </w:rPr>
        <w:t>many concepts formulated in the field of disability</w:t>
      </w:r>
      <w:r w:rsidR="003941FC" w:rsidRPr="00E27305">
        <w:rPr>
          <w:rFonts w:ascii="Century Gothic" w:hAnsi="Century Gothic"/>
          <w:lang w:val="en-GB"/>
        </w:rPr>
        <w:t xml:space="preserve"> rights</w:t>
      </w:r>
      <w:r w:rsidR="005C04DA" w:rsidRPr="00E27305">
        <w:rPr>
          <w:rFonts w:ascii="Century Gothic" w:hAnsi="Century Gothic"/>
          <w:lang w:val="en-GB"/>
        </w:rPr>
        <w:t xml:space="preserve">. Particularly one should be mentioned, and this is the concept of </w:t>
      </w:r>
      <w:r w:rsidR="005C04DA" w:rsidRPr="00E27305">
        <w:rPr>
          <w:rFonts w:ascii="Century Gothic" w:hAnsi="Century Gothic"/>
          <w:b/>
          <w:bCs/>
          <w:lang w:val="en-GB"/>
        </w:rPr>
        <w:t>inclusive equality</w:t>
      </w:r>
      <w:r w:rsidR="005C04DA" w:rsidRPr="00E27305">
        <w:rPr>
          <w:rFonts w:ascii="Century Gothic" w:hAnsi="Century Gothic"/>
          <w:lang w:val="en-GB"/>
        </w:rPr>
        <w:t xml:space="preserve">. </w:t>
      </w:r>
      <w:r w:rsidR="00375052" w:rsidRPr="00E27305">
        <w:rPr>
          <w:rFonts w:ascii="Century Gothic" w:hAnsi="Century Gothic"/>
          <w:lang w:val="en-GB"/>
        </w:rPr>
        <w:t xml:space="preserve">The concept consists of </w:t>
      </w:r>
      <w:r w:rsidR="00375052" w:rsidRPr="00E27305">
        <w:rPr>
          <w:rFonts w:ascii="Century Gothic" w:hAnsi="Century Gothic"/>
          <w:b/>
          <w:bCs/>
          <w:lang w:val="en-GB"/>
        </w:rPr>
        <w:t>four dimensions</w:t>
      </w:r>
      <w:r w:rsidR="00375052" w:rsidRPr="00E27305">
        <w:rPr>
          <w:rFonts w:ascii="Century Gothic" w:hAnsi="Century Gothic"/>
          <w:lang w:val="en-GB"/>
        </w:rPr>
        <w:t xml:space="preserve"> </w:t>
      </w:r>
      <w:r w:rsidR="00824CAA" w:rsidRPr="00E27305">
        <w:rPr>
          <w:rFonts w:ascii="Century Gothic" w:hAnsi="Century Gothic"/>
          <w:lang w:val="en-GB"/>
        </w:rPr>
        <w:t>to express</w:t>
      </w:r>
      <w:r w:rsidR="00375052" w:rsidRPr="00E27305">
        <w:rPr>
          <w:rFonts w:ascii="Century Gothic" w:hAnsi="Century Gothic"/>
          <w:lang w:val="en-GB"/>
        </w:rPr>
        <w:t xml:space="preserve"> that equality is a multidimensional phenomenon and requires structural changes in different areas. These </w:t>
      </w:r>
      <w:r w:rsidR="00E27305" w:rsidRPr="00E27305">
        <w:rPr>
          <w:rFonts w:ascii="Century Gothic" w:hAnsi="Century Gothic"/>
          <w:lang w:val="en-GB"/>
        </w:rPr>
        <w:t>dimensions</w:t>
      </w:r>
      <w:r w:rsidR="00375052" w:rsidRPr="00E27305">
        <w:rPr>
          <w:rFonts w:ascii="Century Gothic" w:hAnsi="Century Gothic"/>
          <w:lang w:val="en-GB"/>
        </w:rPr>
        <w:t xml:space="preserve"> are: “(a) </w:t>
      </w:r>
      <w:r w:rsidR="00375052" w:rsidRPr="00E27305">
        <w:rPr>
          <w:rFonts w:ascii="Century Gothic" w:hAnsi="Century Gothic"/>
          <w:b/>
          <w:bCs/>
          <w:lang w:val="en-GB"/>
        </w:rPr>
        <w:t>a fair redistributive dimension</w:t>
      </w:r>
      <w:r w:rsidR="00375052" w:rsidRPr="00E27305">
        <w:rPr>
          <w:rFonts w:ascii="Century Gothic" w:hAnsi="Century Gothic"/>
          <w:lang w:val="en-GB"/>
        </w:rPr>
        <w:t xml:space="preserve"> to address socioeconomic disadvantages; (b) </w:t>
      </w:r>
      <w:r w:rsidR="00375052" w:rsidRPr="00E27305">
        <w:rPr>
          <w:rFonts w:ascii="Century Gothic" w:hAnsi="Century Gothic"/>
          <w:b/>
          <w:bCs/>
          <w:lang w:val="en-GB"/>
        </w:rPr>
        <w:t>a recognition dimension</w:t>
      </w:r>
      <w:r w:rsidR="00375052" w:rsidRPr="00E27305">
        <w:rPr>
          <w:rFonts w:ascii="Century Gothic" w:hAnsi="Century Gothic"/>
          <w:lang w:val="en-GB"/>
        </w:rPr>
        <w:t xml:space="preserve"> to combat stigma, stereotyping, prejudice and violence and to recognize the dignity of human beings and their intersectionality; (c) </w:t>
      </w:r>
      <w:r w:rsidR="00375052" w:rsidRPr="00E27305">
        <w:rPr>
          <w:rFonts w:ascii="Century Gothic" w:hAnsi="Century Gothic"/>
          <w:b/>
          <w:bCs/>
          <w:lang w:val="en-GB"/>
        </w:rPr>
        <w:t>a participative dimension</w:t>
      </w:r>
      <w:r w:rsidR="00375052" w:rsidRPr="00E27305">
        <w:rPr>
          <w:rFonts w:ascii="Century Gothic" w:hAnsi="Century Gothic"/>
          <w:lang w:val="en-GB"/>
        </w:rPr>
        <w:t xml:space="preserve"> to reaffirm the social nature of people as members of social groups and the full recognition of humanity through inclusion in society; and (d) </w:t>
      </w:r>
      <w:r w:rsidR="00375052" w:rsidRPr="00E27305">
        <w:rPr>
          <w:rFonts w:ascii="Century Gothic" w:hAnsi="Century Gothic"/>
          <w:b/>
          <w:bCs/>
          <w:lang w:val="en-GB"/>
        </w:rPr>
        <w:t>an accommodating dimension</w:t>
      </w:r>
      <w:r w:rsidR="00375052" w:rsidRPr="00E27305">
        <w:rPr>
          <w:rFonts w:ascii="Century Gothic" w:hAnsi="Century Gothic"/>
          <w:lang w:val="en-GB"/>
        </w:rPr>
        <w:t xml:space="preserve"> to make space for difference as a matter of human dignity.”</w:t>
      </w:r>
      <w:r w:rsidR="00375052" w:rsidRPr="00E27305">
        <w:rPr>
          <w:rStyle w:val="FootnoteReference"/>
          <w:rFonts w:ascii="Century Gothic" w:hAnsi="Century Gothic"/>
          <w:lang w:val="en-GB"/>
        </w:rPr>
        <w:footnoteReference w:id="11"/>
      </w:r>
    </w:p>
    <w:p w14:paraId="40F1AE9E" w14:textId="0283115A" w:rsidR="00EB4EAD" w:rsidRPr="00E27305" w:rsidRDefault="00EB4EAD" w:rsidP="005C04DA">
      <w:pPr>
        <w:jc w:val="both"/>
        <w:rPr>
          <w:rFonts w:ascii="Century Gothic" w:hAnsi="Century Gothic"/>
          <w:lang w:val="en-GB"/>
        </w:rPr>
      </w:pPr>
    </w:p>
    <w:p w14:paraId="793D6B67" w14:textId="152DC866" w:rsidR="00EB4EAD" w:rsidRPr="00E27305" w:rsidRDefault="00F6715C" w:rsidP="005C04DA">
      <w:pPr>
        <w:jc w:val="both"/>
        <w:rPr>
          <w:rFonts w:ascii="Century Gothic" w:hAnsi="Century Gothic"/>
          <w:lang w:val="en-GB"/>
        </w:rPr>
      </w:pPr>
      <w:r w:rsidRPr="00E27305">
        <w:rPr>
          <w:rFonts w:ascii="Century Gothic" w:hAnsi="Century Gothic"/>
          <w:lang w:val="en-GB"/>
        </w:rPr>
        <w:t>The concept of inclusive equality may provide us with a referential framework to formulate the principles that need to be respected to ensure that alternative care is applied as a right of the child and not as an instrument of normalisation of the child</w:t>
      </w:r>
      <w:r w:rsidR="001970D3" w:rsidRPr="00E27305">
        <w:rPr>
          <w:rFonts w:ascii="Century Gothic" w:hAnsi="Century Gothic"/>
          <w:lang w:val="en-GB"/>
        </w:rPr>
        <w:t xml:space="preserve"> and her family</w:t>
      </w:r>
      <w:r w:rsidRPr="00E27305">
        <w:rPr>
          <w:rFonts w:ascii="Century Gothic" w:hAnsi="Century Gothic"/>
          <w:lang w:val="en-GB"/>
        </w:rPr>
        <w:t xml:space="preserve">. </w:t>
      </w:r>
    </w:p>
    <w:p w14:paraId="599C5753" w14:textId="5DCEF2ED" w:rsidR="000F6959" w:rsidRPr="00E27305" w:rsidRDefault="000F6959" w:rsidP="005C04DA">
      <w:pPr>
        <w:jc w:val="both"/>
        <w:rPr>
          <w:rFonts w:ascii="Century Gothic" w:hAnsi="Century Gothic"/>
          <w:lang w:val="en-GB"/>
        </w:rPr>
      </w:pPr>
    </w:p>
    <w:p w14:paraId="674A5DE3" w14:textId="15C223C2" w:rsidR="000F6959" w:rsidRPr="00E27305" w:rsidRDefault="00522724" w:rsidP="00522724">
      <w:pPr>
        <w:pStyle w:val="Heading1"/>
        <w:jc w:val="both"/>
        <w:rPr>
          <w:rFonts w:ascii="Century Gothic" w:hAnsi="Century Gothic"/>
          <w:lang w:val="en-GB"/>
        </w:rPr>
      </w:pPr>
      <w:bookmarkStart w:id="3" w:name="_Toc74034873"/>
      <w:r w:rsidRPr="00E27305">
        <w:rPr>
          <w:rFonts w:ascii="Century Gothic" w:hAnsi="Century Gothic"/>
          <w:lang w:val="en-GB"/>
        </w:rPr>
        <w:t xml:space="preserve">III. </w:t>
      </w:r>
      <w:r w:rsidR="00D53264" w:rsidRPr="00E27305">
        <w:rPr>
          <w:rFonts w:ascii="Century Gothic" w:hAnsi="Century Gothic"/>
          <w:lang w:val="en-GB"/>
        </w:rPr>
        <w:t>FORCED</w:t>
      </w:r>
      <w:r w:rsidR="000F6959" w:rsidRPr="00E27305">
        <w:rPr>
          <w:rFonts w:ascii="Century Gothic" w:hAnsi="Century Gothic"/>
          <w:lang w:val="en-GB"/>
        </w:rPr>
        <w:t xml:space="preserve"> INTERVENTIONS V. OPPORTUNITIES</w:t>
      </w:r>
      <w:bookmarkEnd w:id="3"/>
    </w:p>
    <w:p w14:paraId="5B581B10" w14:textId="5E132055" w:rsidR="00F6715C" w:rsidRPr="00E27305" w:rsidRDefault="00F6715C" w:rsidP="005C04DA">
      <w:pPr>
        <w:jc w:val="both"/>
        <w:rPr>
          <w:rFonts w:ascii="Century Gothic" w:hAnsi="Century Gothic"/>
          <w:lang w:val="en-GB"/>
        </w:rPr>
      </w:pPr>
    </w:p>
    <w:p w14:paraId="3A6F9F4D" w14:textId="56E1D5C5" w:rsidR="003941FC" w:rsidRPr="00E27305" w:rsidRDefault="00D84B14" w:rsidP="005C04DA">
      <w:pPr>
        <w:jc w:val="both"/>
        <w:rPr>
          <w:rFonts w:ascii="Century Gothic" w:hAnsi="Century Gothic"/>
          <w:lang w:val="en-GB"/>
        </w:rPr>
      </w:pPr>
      <w:r w:rsidRPr="00E27305">
        <w:rPr>
          <w:rFonts w:ascii="Century Gothic" w:hAnsi="Century Gothic"/>
          <w:lang w:val="en-GB"/>
        </w:rPr>
        <w:t>T</w:t>
      </w:r>
      <w:r w:rsidR="000F6959" w:rsidRPr="00E27305">
        <w:rPr>
          <w:rFonts w:ascii="Century Gothic" w:hAnsi="Century Gothic"/>
          <w:lang w:val="en-GB"/>
        </w:rPr>
        <w:t>he UN Global Study on children deprived of liberty</w:t>
      </w:r>
      <w:r w:rsidRPr="00E27305">
        <w:rPr>
          <w:rFonts w:ascii="Century Gothic" w:hAnsi="Century Gothic"/>
          <w:lang w:val="en-GB"/>
        </w:rPr>
        <w:t xml:space="preserve"> emphasises that </w:t>
      </w:r>
      <w:r w:rsidR="000F6959" w:rsidRPr="00E27305">
        <w:rPr>
          <w:rFonts w:ascii="Century Gothic" w:hAnsi="Century Gothic"/>
          <w:lang w:val="en-GB"/>
        </w:rPr>
        <w:t>children end up in institutions due to various reasons, including the socioeconomic conditions of the families, discrimination, family violence</w:t>
      </w:r>
      <w:r w:rsidR="00E27305" w:rsidRPr="00E27305">
        <w:rPr>
          <w:rFonts w:ascii="Century Gothic" w:hAnsi="Century Gothic"/>
          <w:lang w:val="en-GB"/>
        </w:rPr>
        <w:t>,</w:t>
      </w:r>
      <w:r w:rsidR="000F6959" w:rsidRPr="00E27305">
        <w:rPr>
          <w:rFonts w:ascii="Century Gothic" w:hAnsi="Century Gothic"/>
          <w:lang w:val="en-GB"/>
        </w:rPr>
        <w:t xml:space="preserve"> and lack of access </w:t>
      </w:r>
      <w:r w:rsidR="000B5BCE" w:rsidRPr="00E27305">
        <w:rPr>
          <w:rFonts w:ascii="Century Gothic" w:hAnsi="Century Gothic"/>
          <w:lang w:val="en-GB"/>
        </w:rPr>
        <w:t xml:space="preserve">to </w:t>
      </w:r>
      <w:r w:rsidR="000B5BCE" w:rsidRPr="00E27305">
        <w:rPr>
          <w:rFonts w:ascii="Century Gothic" w:hAnsi="Century Gothic"/>
          <w:lang w:val="en-GB"/>
        </w:rPr>
        <w:lastRenderedPageBreak/>
        <w:t>essential services (e. g. health, education, rehabilitation, treatment). It is obvious that not all these reasons could comply with inclusive equality.</w:t>
      </w:r>
    </w:p>
    <w:p w14:paraId="57601D3A" w14:textId="1D4E20B9" w:rsidR="003941FC" w:rsidRPr="00E27305" w:rsidRDefault="003941FC" w:rsidP="005C04DA">
      <w:pPr>
        <w:jc w:val="both"/>
        <w:rPr>
          <w:rFonts w:ascii="Century Gothic" w:hAnsi="Century Gothic"/>
          <w:lang w:val="en-GB"/>
        </w:rPr>
      </w:pPr>
    </w:p>
    <w:p w14:paraId="06E5204A" w14:textId="76518861" w:rsidR="0078044D" w:rsidRPr="00E27305" w:rsidRDefault="003941FC" w:rsidP="005C04DA">
      <w:pPr>
        <w:jc w:val="both"/>
        <w:rPr>
          <w:rFonts w:ascii="Century Gothic" w:hAnsi="Century Gothic"/>
          <w:lang w:val="en-GB"/>
        </w:rPr>
      </w:pPr>
      <w:r w:rsidRPr="00E27305">
        <w:rPr>
          <w:rFonts w:ascii="Century Gothic" w:hAnsi="Century Gothic"/>
          <w:lang w:val="en-GB"/>
        </w:rPr>
        <w:t>It seems that</w:t>
      </w:r>
      <w:r w:rsidR="00A424DB" w:rsidRPr="00E27305">
        <w:rPr>
          <w:rFonts w:ascii="Century Gothic" w:hAnsi="Century Gothic"/>
          <w:lang w:val="en-GB"/>
        </w:rPr>
        <w:t xml:space="preserve"> </w:t>
      </w:r>
      <w:r w:rsidR="00D53264" w:rsidRPr="00E27305">
        <w:rPr>
          <w:rFonts w:ascii="Century Gothic" w:hAnsi="Century Gothic"/>
          <w:lang w:val="en-GB"/>
        </w:rPr>
        <w:t>forced</w:t>
      </w:r>
      <w:r w:rsidRPr="00E27305">
        <w:rPr>
          <w:rFonts w:ascii="Century Gothic" w:hAnsi="Century Gothic"/>
          <w:lang w:val="en-GB"/>
        </w:rPr>
        <w:t xml:space="preserve"> removal of children from their families </w:t>
      </w:r>
      <w:r w:rsidR="009B1670" w:rsidRPr="00E27305">
        <w:rPr>
          <w:rFonts w:ascii="Century Gothic" w:hAnsi="Century Gothic"/>
          <w:lang w:val="en-GB"/>
        </w:rPr>
        <w:t>is</w:t>
      </w:r>
      <w:r w:rsidRPr="00E27305">
        <w:rPr>
          <w:rFonts w:ascii="Century Gothic" w:hAnsi="Century Gothic"/>
          <w:lang w:val="en-GB"/>
        </w:rPr>
        <w:t xml:space="preserve"> still used as a universal solution to </w:t>
      </w:r>
      <w:r w:rsidR="00A424DB" w:rsidRPr="00E27305">
        <w:rPr>
          <w:rFonts w:ascii="Century Gothic" w:hAnsi="Century Gothic"/>
          <w:lang w:val="en-GB"/>
        </w:rPr>
        <w:t>a wide range of</w:t>
      </w:r>
      <w:r w:rsidRPr="00E27305">
        <w:rPr>
          <w:rFonts w:ascii="Century Gothic" w:hAnsi="Century Gothic"/>
          <w:lang w:val="en-GB"/>
        </w:rPr>
        <w:t xml:space="preserve"> </w:t>
      </w:r>
      <w:r w:rsidR="00A424DB" w:rsidRPr="00E27305">
        <w:rPr>
          <w:rFonts w:ascii="Century Gothic" w:hAnsi="Century Gothic"/>
          <w:lang w:val="en-GB"/>
        </w:rPr>
        <w:t xml:space="preserve">negative circumstances in </w:t>
      </w:r>
      <w:r w:rsidR="00093253" w:rsidRPr="00E27305">
        <w:rPr>
          <w:rFonts w:ascii="Century Gothic" w:hAnsi="Century Gothic"/>
          <w:lang w:val="en-GB"/>
        </w:rPr>
        <w:t>children’s</w:t>
      </w:r>
      <w:r w:rsidR="00A424DB" w:rsidRPr="00E27305">
        <w:rPr>
          <w:rFonts w:ascii="Century Gothic" w:hAnsi="Century Gothic"/>
          <w:lang w:val="en-GB"/>
        </w:rPr>
        <w:t xml:space="preserve"> li</w:t>
      </w:r>
      <w:r w:rsidR="00093253" w:rsidRPr="00E27305">
        <w:rPr>
          <w:rFonts w:ascii="Century Gothic" w:hAnsi="Century Gothic"/>
          <w:lang w:val="en-GB"/>
        </w:rPr>
        <w:t>ves</w:t>
      </w:r>
      <w:r w:rsidR="00F50F45" w:rsidRPr="00E27305">
        <w:rPr>
          <w:rFonts w:ascii="Century Gothic" w:hAnsi="Century Gothic"/>
          <w:lang w:val="en-GB"/>
        </w:rPr>
        <w:t xml:space="preserve"> which the system is not able to handle </w:t>
      </w:r>
      <w:r w:rsidR="00093253" w:rsidRPr="00E27305">
        <w:rPr>
          <w:rFonts w:ascii="Century Gothic" w:hAnsi="Century Gothic"/>
          <w:lang w:val="en-GB"/>
        </w:rPr>
        <w:t>otherwise</w:t>
      </w:r>
      <w:r w:rsidR="00A424DB" w:rsidRPr="00E27305">
        <w:rPr>
          <w:rFonts w:ascii="Century Gothic" w:hAnsi="Century Gothic"/>
          <w:lang w:val="en-GB"/>
        </w:rPr>
        <w:t>. The last resort</w:t>
      </w:r>
      <w:r w:rsidR="009B1670" w:rsidRPr="00E27305">
        <w:rPr>
          <w:rFonts w:ascii="Century Gothic" w:hAnsi="Century Gothic"/>
          <w:lang w:val="en-GB"/>
        </w:rPr>
        <w:t xml:space="preserve"> rule</w:t>
      </w:r>
      <w:r w:rsidR="00F50F45" w:rsidRPr="00E27305">
        <w:rPr>
          <w:rStyle w:val="FootnoteReference"/>
          <w:rFonts w:ascii="Century Gothic" w:hAnsi="Century Gothic"/>
          <w:lang w:val="en-GB"/>
        </w:rPr>
        <w:footnoteReference w:id="12"/>
      </w:r>
      <w:r w:rsidR="00A424DB" w:rsidRPr="00E27305">
        <w:rPr>
          <w:rFonts w:ascii="Century Gothic" w:hAnsi="Century Gothic"/>
          <w:lang w:val="en-GB"/>
        </w:rPr>
        <w:t xml:space="preserve"> is usually not contested by the national legislations. Nonetheless, </w:t>
      </w:r>
      <w:r w:rsidR="00093253" w:rsidRPr="00E27305">
        <w:rPr>
          <w:rFonts w:ascii="Century Gothic" w:hAnsi="Century Gothic"/>
          <w:lang w:val="en-GB"/>
        </w:rPr>
        <w:t>it</w:t>
      </w:r>
      <w:r w:rsidR="00A424DB" w:rsidRPr="00E27305">
        <w:rPr>
          <w:rFonts w:ascii="Century Gothic" w:hAnsi="Century Gothic"/>
          <w:lang w:val="en-GB"/>
        </w:rPr>
        <w:t xml:space="preserve"> seems incomplete since it addresses </w:t>
      </w:r>
      <w:r w:rsidR="00A424DB" w:rsidRPr="00E27305">
        <w:rPr>
          <w:rFonts w:ascii="Century Gothic" w:hAnsi="Century Gothic"/>
          <w:b/>
          <w:bCs/>
          <w:lang w:val="en-GB"/>
        </w:rPr>
        <w:t>only the proportionality</w:t>
      </w:r>
      <w:r w:rsidR="00A424DB" w:rsidRPr="00E27305">
        <w:rPr>
          <w:rFonts w:ascii="Century Gothic" w:hAnsi="Century Gothic"/>
          <w:lang w:val="en-GB"/>
        </w:rPr>
        <w:t xml:space="preserve"> of the measure and does not guarantee to the child any redistribution, recognition, participation</w:t>
      </w:r>
      <w:r w:rsidR="00E27305" w:rsidRPr="00E27305">
        <w:rPr>
          <w:rFonts w:ascii="Century Gothic" w:hAnsi="Century Gothic"/>
          <w:lang w:val="en-GB"/>
        </w:rPr>
        <w:t>,</w:t>
      </w:r>
      <w:r w:rsidR="00A424DB" w:rsidRPr="00E27305">
        <w:rPr>
          <w:rFonts w:ascii="Century Gothic" w:hAnsi="Century Gothic"/>
          <w:lang w:val="en-GB"/>
        </w:rPr>
        <w:t xml:space="preserve"> or accommodation. The findings by the Study show that in the current discourse, the primary issue to be addressed </w:t>
      </w:r>
      <w:r w:rsidR="009B1670" w:rsidRPr="00E27305">
        <w:rPr>
          <w:rFonts w:ascii="Century Gothic" w:hAnsi="Century Gothic"/>
          <w:lang w:val="en-GB"/>
        </w:rPr>
        <w:t xml:space="preserve">is that </w:t>
      </w:r>
      <w:r w:rsidR="00A424DB" w:rsidRPr="00E27305">
        <w:rPr>
          <w:rFonts w:ascii="Century Gothic" w:hAnsi="Century Gothic"/>
          <w:lang w:val="en-GB"/>
        </w:rPr>
        <w:t xml:space="preserve">of </w:t>
      </w:r>
      <w:r w:rsidR="00E27305" w:rsidRPr="00E27305">
        <w:rPr>
          <w:rFonts w:ascii="Century Gothic" w:hAnsi="Century Gothic"/>
          <w:lang w:val="en-GB"/>
        </w:rPr>
        <w:t xml:space="preserve">the </w:t>
      </w:r>
      <w:r w:rsidR="00A424DB" w:rsidRPr="00E27305">
        <w:rPr>
          <w:rFonts w:ascii="Century Gothic" w:hAnsi="Century Gothic"/>
          <w:b/>
          <w:bCs/>
          <w:lang w:val="en-GB"/>
        </w:rPr>
        <w:t xml:space="preserve">legitimacy </w:t>
      </w:r>
      <w:r w:rsidR="00A424DB" w:rsidRPr="00E27305">
        <w:rPr>
          <w:rFonts w:ascii="Century Gothic" w:hAnsi="Century Gothic"/>
          <w:lang w:val="en-GB"/>
        </w:rPr>
        <w:t xml:space="preserve">of </w:t>
      </w:r>
      <w:r w:rsidR="009B1670" w:rsidRPr="00E27305">
        <w:rPr>
          <w:rFonts w:ascii="Century Gothic" w:hAnsi="Century Gothic"/>
          <w:lang w:val="en-GB"/>
        </w:rPr>
        <w:t>forced separation</w:t>
      </w:r>
      <w:r w:rsidR="00A424DB" w:rsidRPr="00E27305">
        <w:rPr>
          <w:rFonts w:ascii="Century Gothic" w:hAnsi="Century Gothic"/>
          <w:lang w:val="en-GB"/>
        </w:rPr>
        <w:t xml:space="preserve">. </w:t>
      </w:r>
      <w:r w:rsidR="00F50F45" w:rsidRPr="00E27305">
        <w:rPr>
          <w:rFonts w:ascii="Century Gothic" w:hAnsi="Century Gothic"/>
          <w:lang w:val="en-GB"/>
        </w:rPr>
        <w:t>The question</w:t>
      </w:r>
      <w:r w:rsidR="0078044D" w:rsidRPr="00E27305">
        <w:rPr>
          <w:rFonts w:ascii="Century Gothic" w:hAnsi="Century Gothic"/>
          <w:lang w:val="en-GB"/>
        </w:rPr>
        <w:t xml:space="preserve"> is: </w:t>
      </w:r>
    </w:p>
    <w:p w14:paraId="52AEB89A" w14:textId="0E6E5F26" w:rsidR="0078044D" w:rsidRPr="00E27305" w:rsidRDefault="00F50F45" w:rsidP="0078044D">
      <w:pPr>
        <w:pStyle w:val="ListParagraph"/>
        <w:numPr>
          <w:ilvl w:val="0"/>
          <w:numId w:val="3"/>
        </w:numPr>
        <w:jc w:val="both"/>
        <w:rPr>
          <w:rFonts w:ascii="Century Gothic" w:hAnsi="Century Gothic"/>
          <w:lang w:val="en-GB"/>
        </w:rPr>
      </w:pPr>
      <w:r w:rsidRPr="00E27305">
        <w:rPr>
          <w:rFonts w:ascii="Century Gothic" w:hAnsi="Century Gothic"/>
          <w:lang w:val="en-GB"/>
        </w:rPr>
        <w:t xml:space="preserve">Can </w:t>
      </w:r>
      <w:r w:rsidR="009B1670" w:rsidRPr="00E27305">
        <w:rPr>
          <w:rFonts w:ascii="Century Gothic" w:hAnsi="Century Gothic"/>
          <w:lang w:val="en-GB"/>
        </w:rPr>
        <w:t>it</w:t>
      </w:r>
      <w:r w:rsidRPr="00E27305">
        <w:rPr>
          <w:rFonts w:ascii="Century Gothic" w:hAnsi="Century Gothic"/>
          <w:lang w:val="en-GB"/>
        </w:rPr>
        <w:t xml:space="preserve"> be used in any situation when the rights of the child are </w:t>
      </w:r>
      <w:r w:rsidR="00093253" w:rsidRPr="00E27305">
        <w:rPr>
          <w:rFonts w:ascii="Century Gothic" w:hAnsi="Century Gothic"/>
          <w:lang w:val="en-GB"/>
        </w:rPr>
        <w:t>threatened</w:t>
      </w:r>
      <w:r w:rsidRPr="00E27305">
        <w:rPr>
          <w:rFonts w:ascii="Century Gothic" w:hAnsi="Century Gothic"/>
          <w:lang w:val="en-GB"/>
        </w:rPr>
        <w:t>, and the less intrusive measures are not sufficient to protect them</w:t>
      </w:r>
      <w:r w:rsidR="0078044D" w:rsidRPr="00E27305">
        <w:rPr>
          <w:rFonts w:ascii="Century Gothic" w:hAnsi="Century Gothic"/>
          <w:lang w:val="en-GB"/>
        </w:rPr>
        <w:t>?</w:t>
      </w:r>
    </w:p>
    <w:p w14:paraId="1EA58D44" w14:textId="56505179" w:rsidR="0078044D" w:rsidRPr="00E27305" w:rsidRDefault="0078044D" w:rsidP="0078044D">
      <w:pPr>
        <w:jc w:val="both"/>
        <w:rPr>
          <w:rFonts w:ascii="Century Gothic" w:hAnsi="Century Gothic"/>
          <w:lang w:val="en-GB"/>
        </w:rPr>
      </w:pPr>
    </w:p>
    <w:p w14:paraId="62527E13" w14:textId="2DB3F694" w:rsidR="0078044D" w:rsidRPr="00E27305" w:rsidRDefault="0078044D" w:rsidP="0078044D">
      <w:pPr>
        <w:jc w:val="both"/>
        <w:rPr>
          <w:rFonts w:ascii="Century Gothic" w:hAnsi="Century Gothic"/>
          <w:lang w:val="en-GB"/>
        </w:rPr>
      </w:pPr>
      <w:r w:rsidRPr="00E27305">
        <w:rPr>
          <w:rFonts w:ascii="Century Gothic" w:hAnsi="Century Gothic"/>
          <w:lang w:val="en-GB"/>
        </w:rPr>
        <w:t xml:space="preserve">In GC no. 14, the Committee explicitly excluded economic reasons </w:t>
      </w:r>
      <w:r w:rsidR="008A271D" w:rsidRPr="00E27305">
        <w:rPr>
          <w:rFonts w:ascii="Century Gothic" w:hAnsi="Century Gothic"/>
          <w:lang w:val="en-GB"/>
        </w:rPr>
        <w:t>from</w:t>
      </w:r>
      <w:r w:rsidRPr="00E27305">
        <w:rPr>
          <w:rFonts w:ascii="Century Gothic" w:hAnsi="Century Gothic"/>
          <w:lang w:val="en-GB"/>
        </w:rPr>
        <w:t xml:space="preserve"> the legitimate grounds for </w:t>
      </w:r>
      <w:r w:rsidR="00E27305" w:rsidRPr="00E27305">
        <w:rPr>
          <w:rFonts w:ascii="Century Gothic" w:hAnsi="Century Gothic"/>
          <w:lang w:val="en-GB"/>
        </w:rPr>
        <w:t xml:space="preserve">the </w:t>
      </w:r>
      <w:r w:rsidR="00D53264" w:rsidRPr="00E27305">
        <w:rPr>
          <w:rFonts w:ascii="Century Gothic" w:hAnsi="Century Gothic"/>
          <w:lang w:val="en-GB"/>
        </w:rPr>
        <w:t>forced</w:t>
      </w:r>
      <w:r w:rsidRPr="00E27305">
        <w:rPr>
          <w:rFonts w:ascii="Century Gothic" w:hAnsi="Century Gothic"/>
          <w:lang w:val="en-GB"/>
        </w:rPr>
        <w:t xml:space="preserve"> separation of the child from her family</w:t>
      </w:r>
      <w:r w:rsidRPr="00E27305">
        <w:rPr>
          <w:rStyle w:val="FootnoteReference"/>
          <w:rFonts w:ascii="Century Gothic" w:hAnsi="Century Gothic"/>
          <w:lang w:val="en-GB"/>
        </w:rPr>
        <w:footnoteReference w:id="13"/>
      </w:r>
      <w:r w:rsidR="001970D3" w:rsidRPr="00E27305">
        <w:rPr>
          <w:rFonts w:ascii="Century Gothic" w:hAnsi="Century Gothic"/>
          <w:lang w:val="en-GB"/>
        </w:rPr>
        <w:t xml:space="preserve">, </w:t>
      </w:r>
      <w:r w:rsidR="00E27305" w:rsidRPr="00E27305">
        <w:rPr>
          <w:rFonts w:ascii="Century Gothic" w:hAnsi="Century Gothic"/>
          <w:lang w:val="en-GB"/>
        </w:rPr>
        <w:t>which</w:t>
      </w:r>
      <w:r w:rsidR="001970D3" w:rsidRPr="00E27305">
        <w:rPr>
          <w:rFonts w:ascii="Century Gothic" w:hAnsi="Century Gothic"/>
          <w:lang w:val="en-GB"/>
        </w:rPr>
        <w:t xml:space="preserve"> is closely connected with the redistributive dimension of inclusive equality. Could we formulate </w:t>
      </w:r>
      <w:r w:rsidR="008A271D" w:rsidRPr="00E27305">
        <w:rPr>
          <w:rFonts w:ascii="Century Gothic" w:hAnsi="Century Gothic"/>
          <w:lang w:val="en-GB"/>
        </w:rPr>
        <w:t>further</w:t>
      </w:r>
      <w:r w:rsidR="001970D3" w:rsidRPr="00E27305">
        <w:rPr>
          <w:rFonts w:ascii="Century Gothic" w:hAnsi="Century Gothic"/>
          <w:lang w:val="en-GB"/>
        </w:rPr>
        <w:t xml:space="preserve"> rules that would reflect</w:t>
      </w:r>
      <w:r w:rsidR="00A04D38" w:rsidRPr="00E27305">
        <w:rPr>
          <w:rFonts w:ascii="Century Gothic" w:hAnsi="Century Gothic"/>
          <w:lang w:val="en-GB"/>
        </w:rPr>
        <w:t xml:space="preserve"> </w:t>
      </w:r>
      <w:r w:rsidR="001970D3" w:rsidRPr="00E27305">
        <w:rPr>
          <w:rFonts w:ascii="Century Gothic" w:hAnsi="Century Gothic"/>
          <w:lang w:val="en-GB"/>
        </w:rPr>
        <w:t xml:space="preserve">its other dimensions?  </w:t>
      </w:r>
    </w:p>
    <w:p w14:paraId="3F15C514" w14:textId="77777777" w:rsidR="001970D3" w:rsidRPr="00E27305" w:rsidRDefault="001970D3" w:rsidP="0078044D">
      <w:pPr>
        <w:jc w:val="both"/>
        <w:rPr>
          <w:rFonts w:ascii="Century Gothic" w:hAnsi="Century Gothic"/>
          <w:lang w:val="en-GB"/>
        </w:rPr>
      </w:pPr>
    </w:p>
    <w:p w14:paraId="1C18EF30" w14:textId="71FB319F" w:rsidR="00EA46DB" w:rsidRPr="00E27305" w:rsidRDefault="00D44D78" w:rsidP="00EA46DB">
      <w:pPr>
        <w:jc w:val="both"/>
        <w:rPr>
          <w:rFonts w:ascii="Century Gothic" w:hAnsi="Century Gothic"/>
          <w:lang w:val="en-GB"/>
        </w:rPr>
      </w:pPr>
      <w:r w:rsidRPr="00E27305">
        <w:rPr>
          <w:rFonts w:ascii="Century Gothic" w:hAnsi="Century Gothic"/>
          <w:lang w:val="en-GB"/>
        </w:rPr>
        <w:t>The recognitive dimension of inclusive equality reminds us that</w:t>
      </w:r>
      <w:r w:rsidR="001970D3" w:rsidRPr="00E27305">
        <w:rPr>
          <w:rFonts w:ascii="Century Gothic" w:hAnsi="Century Gothic"/>
          <w:lang w:val="en-GB"/>
        </w:rPr>
        <w:t xml:space="preserve"> the authoritative decisions </w:t>
      </w:r>
      <w:r w:rsidR="00671385" w:rsidRPr="00E27305">
        <w:rPr>
          <w:rFonts w:ascii="Century Gothic" w:hAnsi="Century Gothic"/>
          <w:lang w:val="en-GB"/>
        </w:rPr>
        <w:t xml:space="preserve">in the field </w:t>
      </w:r>
      <w:r w:rsidR="001970D3" w:rsidRPr="00E27305">
        <w:rPr>
          <w:rFonts w:ascii="Century Gothic" w:hAnsi="Century Gothic"/>
          <w:lang w:val="en-GB"/>
        </w:rPr>
        <w:t xml:space="preserve">cannot </w:t>
      </w:r>
      <w:r w:rsidR="00E27305" w:rsidRPr="00E27305">
        <w:rPr>
          <w:rFonts w:ascii="Century Gothic" w:hAnsi="Century Gothic"/>
          <w:lang w:val="en-GB"/>
        </w:rPr>
        <w:t>follow</w:t>
      </w:r>
      <w:r w:rsidR="001970D3" w:rsidRPr="00E27305">
        <w:rPr>
          <w:rFonts w:ascii="Century Gothic" w:hAnsi="Century Gothic"/>
          <w:lang w:val="en-GB"/>
        </w:rPr>
        <w:t xml:space="preserve"> the positively defined models </w:t>
      </w:r>
      <w:r w:rsidR="00093253" w:rsidRPr="00E27305">
        <w:rPr>
          <w:rFonts w:ascii="Century Gothic" w:hAnsi="Century Gothic"/>
          <w:lang w:val="en-GB"/>
        </w:rPr>
        <w:t>of care and upbringing of a child</w:t>
      </w:r>
      <w:r w:rsidR="00FC3EEA" w:rsidRPr="00E27305">
        <w:rPr>
          <w:rFonts w:ascii="Century Gothic" w:hAnsi="Century Gothic"/>
          <w:lang w:val="en-GB"/>
        </w:rPr>
        <w:t>.</w:t>
      </w:r>
      <w:r w:rsidR="001970D3" w:rsidRPr="00E27305">
        <w:rPr>
          <w:rFonts w:ascii="Century Gothic" w:hAnsi="Century Gothic"/>
          <w:lang w:val="en-GB"/>
        </w:rPr>
        <w:t xml:space="preserve"> Application of such models</w:t>
      </w:r>
      <w:r w:rsidR="00D84B14" w:rsidRPr="00E27305">
        <w:rPr>
          <w:rFonts w:ascii="Century Gothic" w:hAnsi="Century Gothic"/>
          <w:lang w:val="en-GB"/>
        </w:rPr>
        <w:t xml:space="preserve"> </w:t>
      </w:r>
      <w:r w:rsidR="000C7BFE" w:rsidRPr="00E27305">
        <w:rPr>
          <w:rFonts w:ascii="Century Gothic" w:hAnsi="Century Gothic"/>
          <w:lang w:val="en-GB"/>
        </w:rPr>
        <w:t xml:space="preserve">would lead to </w:t>
      </w:r>
      <w:r w:rsidR="000C7BFE" w:rsidRPr="00E27305">
        <w:rPr>
          <w:rFonts w:ascii="Century Gothic" w:hAnsi="Century Gothic"/>
          <w:b/>
          <w:bCs/>
          <w:lang w:val="en-GB"/>
        </w:rPr>
        <w:t>totality instead of plurality</w:t>
      </w:r>
      <w:r w:rsidR="000C7BFE" w:rsidRPr="00E27305">
        <w:rPr>
          <w:rFonts w:ascii="Century Gothic" w:hAnsi="Century Gothic"/>
          <w:lang w:val="en-GB"/>
        </w:rPr>
        <w:t xml:space="preserve">. The legitimate grounds </w:t>
      </w:r>
      <w:r w:rsidR="00EA46DB" w:rsidRPr="00E27305">
        <w:rPr>
          <w:rFonts w:ascii="Century Gothic" w:hAnsi="Century Gothic"/>
          <w:lang w:val="en-GB"/>
        </w:rPr>
        <w:t xml:space="preserve">must be </w:t>
      </w:r>
      <w:r w:rsidR="00EA46DB" w:rsidRPr="00E27305">
        <w:rPr>
          <w:rFonts w:ascii="Century Gothic" w:hAnsi="Century Gothic"/>
          <w:b/>
          <w:bCs/>
          <w:lang w:val="en-GB"/>
        </w:rPr>
        <w:t>determined in negative terms</w:t>
      </w:r>
      <w:r w:rsidR="00A04D38" w:rsidRPr="00E27305">
        <w:rPr>
          <w:rFonts w:ascii="Century Gothic" w:hAnsi="Century Gothic"/>
          <w:lang w:val="en-GB"/>
        </w:rPr>
        <w:t>. T</w:t>
      </w:r>
      <w:r w:rsidR="00EA46DB" w:rsidRPr="00E27305">
        <w:rPr>
          <w:rFonts w:ascii="Century Gothic" w:hAnsi="Century Gothic"/>
          <w:lang w:val="en-GB"/>
        </w:rPr>
        <w:t xml:space="preserve">hey </w:t>
      </w:r>
      <w:r w:rsidR="00A04D38" w:rsidRPr="00E27305">
        <w:rPr>
          <w:rFonts w:ascii="Century Gothic" w:hAnsi="Century Gothic"/>
          <w:lang w:val="en-GB"/>
        </w:rPr>
        <w:t>must</w:t>
      </w:r>
      <w:r w:rsidR="00EA46DB" w:rsidRPr="00E27305">
        <w:rPr>
          <w:rFonts w:ascii="Century Gothic" w:hAnsi="Century Gothic"/>
          <w:lang w:val="en-GB"/>
        </w:rPr>
        <w:t xml:space="preserve"> refer to </w:t>
      </w:r>
      <w:r w:rsidR="00093253" w:rsidRPr="00E27305">
        <w:rPr>
          <w:rFonts w:ascii="Century Gothic" w:hAnsi="Century Gothic"/>
          <w:lang w:val="en-GB"/>
        </w:rPr>
        <w:t>behaviours of the</w:t>
      </w:r>
      <w:r w:rsidR="00EA46DB" w:rsidRPr="00E27305">
        <w:rPr>
          <w:rFonts w:ascii="Century Gothic" w:hAnsi="Century Gothic"/>
          <w:lang w:val="en-GB"/>
        </w:rPr>
        <w:t xml:space="preserve"> child’s family that are </w:t>
      </w:r>
      <w:r w:rsidR="00EA46DB" w:rsidRPr="00E27305">
        <w:rPr>
          <w:rFonts w:ascii="Century Gothic" w:hAnsi="Century Gothic"/>
          <w:b/>
          <w:bCs/>
          <w:lang w:val="en-GB"/>
        </w:rPr>
        <w:t>unacceptable</w:t>
      </w:r>
      <w:r w:rsidR="00EA46DB" w:rsidRPr="00E27305">
        <w:rPr>
          <w:rFonts w:ascii="Century Gothic" w:hAnsi="Century Gothic"/>
          <w:lang w:val="en-GB"/>
        </w:rPr>
        <w:t xml:space="preserve"> for the child while these situations must be formulated in the national legislations very clearly to meet </w:t>
      </w:r>
      <w:r w:rsidR="00EA46DB" w:rsidRPr="00E27305">
        <w:rPr>
          <w:rFonts w:ascii="Century Gothic" w:hAnsi="Century Gothic"/>
          <w:b/>
          <w:bCs/>
          <w:lang w:val="en-GB"/>
        </w:rPr>
        <w:t>the requirements of legality</w:t>
      </w:r>
      <w:r w:rsidR="00CF273E">
        <w:rPr>
          <w:rFonts w:ascii="Century Gothic" w:hAnsi="Century Gothic"/>
          <w:b/>
          <w:bCs/>
          <w:lang w:val="en-GB"/>
        </w:rPr>
        <w:t xml:space="preserve"> (clarity and foreseeability</w:t>
      </w:r>
      <w:r w:rsidR="00CF273E" w:rsidRPr="00CF273E">
        <w:rPr>
          <w:rStyle w:val="FootnoteReference"/>
          <w:rFonts w:ascii="Century Gothic" w:hAnsi="Century Gothic"/>
          <w:b/>
          <w:bCs/>
          <w:lang w:val="en-GB"/>
        </w:rPr>
        <w:footnoteReference w:id="14"/>
      </w:r>
      <w:r w:rsidR="00CF273E">
        <w:rPr>
          <w:rFonts w:ascii="Century Gothic" w:hAnsi="Century Gothic"/>
          <w:b/>
          <w:bCs/>
          <w:lang w:val="en-GB"/>
        </w:rPr>
        <w:t>)</w:t>
      </w:r>
      <w:r w:rsidR="00EA46DB" w:rsidRPr="00E27305">
        <w:rPr>
          <w:rFonts w:ascii="Century Gothic" w:hAnsi="Century Gothic"/>
          <w:lang w:val="en-GB"/>
        </w:rPr>
        <w:t xml:space="preserve">, and not vaguely to create an inappropriate risk of arbitrariness. </w:t>
      </w:r>
    </w:p>
    <w:p w14:paraId="0F97A25E" w14:textId="473C9CA8" w:rsidR="00EA46DB" w:rsidRPr="00E27305" w:rsidRDefault="00EA46DB" w:rsidP="00EA46DB">
      <w:pPr>
        <w:jc w:val="both"/>
        <w:rPr>
          <w:rFonts w:ascii="Century Gothic" w:hAnsi="Century Gothic"/>
          <w:lang w:val="en-GB"/>
        </w:rPr>
      </w:pPr>
    </w:p>
    <w:p w14:paraId="3C8F8A9B" w14:textId="0FA69D92" w:rsidR="00AE47B3" w:rsidRPr="00E27305" w:rsidRDefault="00EA46DB" w:rsidP="005557A2">
      <w:pPr>
        <w:jc w:val="both"/>
        <w:rPr>
          <w:rFonts w:ascii="Century Gothic" w:hAnsi="Century Gothic"/>
          <w:lang w:val="en-GB"/>
        </w:rPr>
      </w:pPr>
      <w:r w:rsidRPr="00E27305">
        <w:rPr>
          <w:rFonts w:ascii="Century Gothic" w:hAnsi="Century Gothic"/>
          <w:lang w:val="en-GB"/>
        </w:rPr>
        <w:t>The child</w:t>
      </w:r>
      <w:r w:rsidR="00A04D38" w:rsidRPr="00E27305">
        <w:rPr>
          <w:rFonts w:ascii="Century Gothic" w:hAnsi="Century Gothic"/>
          <w:lang w:val="en-GB"/>
        </w:rPr>
        <w:t xml:space="preserve"> </w:t>
      </w:r>
      <w:r w:rsidRPr="00E27305">
        <w:rPr>
          <w:rFonts w:ascii="Century Gothic" w:hAnsi="Century Gothic"/>
          <w:lang w:val="en-GB"/>
        </w:rPr>
        <w:t>rights</w:t>
      </w:r>
      <w:r w:rsidR="00A04D38" w:rsidRPr="00E27305">
        <w:rPr>
          <w:rFonts w:ascii="Century Gothic" w:hAnsi="Century Gothic"/>
          <w:lang w:val="en-GB"/>
        </w:rPr>
        <w:t>-</w:t>
      </w:r>
      <w:r w:rsidRPr="00E27305">
        <w:rPr>
          <w:rFonts w:ascii="Century Gothic" w:hAnsi="Century Gothic"/>
          <w:lang w:val="en-GB"/>
        </w:rPr>
        <w:t xml:space="preserve">based approach invites us to formulate these unacceptable situations </w:t>
      </w:r>
      <w:r w:rsidR="005B353E" w:rsidRPr="00E27305">
        <w:rPr>
          <w:rFonts w:ascii="Century Gothic" w:hAnsi="Century Gothic"/>
          <w:lang w:val="en-GB"/>
        </w:rPr>
        <w:t xml:space="preserve">based </w:t>
      </w:r>
      <w:r w:rsidR="00E27305" w:rsidRPr="00E27305">
        <w:rPr>
          <w:rFonts w:ascii="Century Gothic" w:hAnsi="Century Gothic"/>
          <w:lang w:val="en-GB"/>
        </w:rPr>
        <w:t>on</w:t>
      </w:r>
      <w:r w:rsidR="005B353E" w:rsidRPr="00E27305">
        <w:rPr>
          <w:rFonts w:ascii="Century Gothic" w:hAnsi="Century Gothic"/>
          <w:lang w:val="en-GB"/>
        </w:rPr>
        <w:t xml:space="preserve"> the rights of the child. Similar to the CRPD which lists as one of its general principles the individual autonomy and independence of persons, the child’s right to </w:t>
      </w:r>
      <w:r w:rsidRPr="00E27305">
        <w:rPr>
          <w:rFonts w:ascii="Century Gothic" w:hAnsi="Century Gothic"/>
          <w:lang w:val="en-GB"/>
        </w:rPr>
        <w:t xml:space="preserve">autonomy of her family and herself in compliance with her evolving capacities (Article 5) as well as the right to her parents having the primary responsibility for </w:t>
      </w:r>
      <w:r w:rsidR="00C308C8" w:rsidRPr="00E27305">
        <w:rPr>
          <w:rFonts w:ascii="Century Gothic" w:hAnsi="Century Gothic"/>
          <w:lang w:val="en-GB"/>
        </w:rPr>
        <w:t>her</w:t>
      </w:r>
      <w:r w:rsidRPr="00E27305">
        <w:rPr>
          <w:rFonts w:ascii="Century Gothic" w:hAnsi="Century Gothic"/>
          <w:lang w:val="en-GB"/>
        </w:rPr>
        <w:t xml:space="preserve"> upbringing and development </w:t>
      </w:r>
      <w:r w:rsidR="005B353E" w:rsidRPr="00E27305">
        <w:rPr>
          <w:rFonts w:ascii="Century Gothic" w:hAnsi="Century Gothic"/>
          <w:lang w:val="en-GB"/>
        </w:rPr>
        <w:t>[Article 18 (1)] should be taken as the starting point.</w:t>
      </w:r>
      <w:r w:rsidR="00C308C8" w:rsidRPr="00E27305">
        <w:rPr>
          <w:rFonts w:ascii="Century Gothic" w:hAnsi="Century Gothic"/>
          <w:lang w:val="en-GB"/>
        </w:rPr>
        <w:t xml:space="preserve"> </w:t>
      </w:r>
    </w:p>
    <w:p w14:paraId="6FBFCF3E" w14:textId="5B1EE59D" w:rsidR="005557A2" w:rsidRPr="00E27305" w:rsidRDefault="005557A2" w:rsidP="005557A2">
      <w:pPr>
        <w:jc w:val="both"/>
        <w:rPr>
          <w:rFonts w:ascii="Century Gothic" w:hAnsi="Century Gothic"/>
          <w:lang w:val="en-GB"/>
        </w:rPr>
      </w:pPr>
    </w:p>
    <w:p w14:paraId="4B5B9612" w14:textId="05F7B4E5" w:rsidR="00AD0207" w:rsidRPr="00E27305" w:rsidRDefault="00AD0207" w:rsidP="005557A2">
      <w:pPr>
        <w:jc w:val="both"/>
        <w:rPr>
          <w:rFonts w:ascii="Century Gothic" w:hAnsi="Century Gothic"/>
          <w:lang w:val="en-GB"/>
        </w:rPr>
      </w:pPr>
      <w:r w:rsidRPr="00E27305">
        <w:rPr>
          <w:rFonts w:ascii="Century Gothic" w:hAnsi="Century Gothic"/>
          <w:lang w:val="en-GB"/>
        </w:rPr>
        <w:t xml:space="preserve">The State should have always in mind that the impact of its </w:t>
      </w:r>
      <w:r w:rsidR="00D53264" w:rsidRPr="00E27305">
        <w:rPr>
          <w:rFonts w:ascii="Century Gothic" w:hAnsi="Century Gothic"/>
          <w:lang w:val="en-GB"/>
        </w:rPr>
        <w:t>forced</w:t>
      </w:r>
      <w:r w:rsidRPr="00E27305">
        <w:rPr>
          <w:rFonts w:ascii="Century Gothic" w:hAnsi="Century Gothic"/>
          <w:lang w:val="en-GB"/>
        </w:rPr>
        <w:t xml:space="preserve"> interventions is very limited and that in general those actions </w:t>
      </w:r>
      <w:r w:rsidR="00AE47B3" w:rsidRPr="00E27305">
        <w:rPr>
          <w:rFonts w:ascii="Century Gothic" w:hAnsi="Century Gothic"/>
          <w:lang w:val="en-GB"/>
        </w:rPr>
        <w:t xml:space="preserve">are </w:t>
      </w:r>
      <w:r w:rsidRPr="00E27305">
        <w:rPr>
          <w:rFonts w:ascii="Century Gothic" w:hAnsi="Century Gothic"/>
          <w:lang w:val="en-GB"/>
        </w:rPr>
        <w:t xml:space="preserve">not able to </w:t>
      </w:r>
      <w:r w:rsidR="00FC3EEA" w:rsidRPr="00E27305">
        <w:rPr>
          <w:rFonts w:ascii="Century Gothic" w:hAnsi="Century Gothic"/>
          <w:lang w:val="en-GB"/>
        </w:rPr>
        <w:t>achieve</w:t>
      </w:r>
      <w:r w:rsidRPr="00E27305">
        <w:rPr>
          <w:rFonts w:ascii="Century Gothic" w:hAnsi="Century Gothic"/>
          <w:lang w:val="en-GB"/>
        </w:rPr>
        <w:t xml:space="preserve"> </w:t>
      </w:r>
      <w:r w:rsidR="00671385" w:rsidRPr="00E27305">
        <w:rPr>
          <w:rFonts w:ascii="Century Gothic" w:hAnsi="Century Gothic"/>
          <w:lang w:val="en-GB"/>
        </w:rPr>
        <w:t>positively formulated</w:t>
      </w:r>
      <w:r w:rsidRPr="00E27305">
        <w:rPr>
          <w:rFonts w:ascii="Century Gothic" w:hAnsi="Century Gothic"/>
          <w:lang w:val="en-GB"/>
        </w:rPr>
        <w:t xml:space="preserve"> objectives </w:t>
      </w:r>
      <w:r w:rsidR="00FC3EEA" w:rsidRPr="00E27305">
        <w:rPr>
          <w:rFonts w:ascii="Century Gothic" w:hAnsi="Century Gothic"/>
          <w:lang w:val="en-GB"/>
        </w:rPr>
        <w:t>like</w:t>
      </w:r>
      <w:r w:rsidRPr="00E27305">
        <w:rPr>
          <w:rFonts w:ascii="Century Gothic" w:hAnsi="Century Gothic"/>
          <w:lang w:val="en-GB"/>
        </w:rPr>
        <w:t xml:space="preserve"> well-being and happiness. The action oriented </w:t>
      </w:r>
      <w:r w:rsidR="00FC3EEA" w:rsidRPr="00E27305">
        <w:rPr>
          <w:rFonts w:ascii="Century Gothic" w:hAnsi="Century Gothic"/>
          <w:lang w:val="en-GB"/>
        </w:rPr>
        <w:t>towards</w:t>
      </w:r>
      <w:r w:rsidRPr="00E27305">
        <w:rPr>
          <w:rFonts w:ascii="Century Gothic" w:hAnsi="Century Gothic"/>
          <w:lang w:val="en-GB"/>
        </w:rPr>
        <w:t xml:space="preserve"> creating an environment accommodating </w:t>
      </w:r>
      <w:r w:rsidR="00FC3EEA" w:rsidRPr="00E27305">
        <w:rPr>
          <w:rFonts w:ascii="Century Gothic" w:hAnsi="Century Gothic"/>
          <w:lang w:val="en-GB"/>
        </w:rPr>
        <w:t>the child’s</w:t>
      </w:r>
      <w:r w:rsidRPr="00E27305">
        <w:rPr>
          <w:rFonts w:ascii="Century Gothic" w:hAnsi="Century Gothic"/>
          <w:lang w:val="en-GB"/>
        </w:rPr>
        <w:t xml:space="preserve"> needs by offering her life opportunities, that are available, accessible, acceptable for </w:t>
      </w:r>
      <w:r w:rsidRPr="00E27305">
        <w:rPr>
          <w:rFonts w:ascii="Century Gothic" w:hAnsi="Century Gothic"/>
          <w:lang w:val="en-GB"/>
        </w:rPr>
        <w:lastRenderedPageBreak/>
        <w:t>her</w:t>
      </w:r>
      <w:r w:rsidR="00E27305" w:rsidRPr="00E27305">
        <w:rPr>
          <w:rFonts w:ascii="Century Gothic" w:hAnsi="Century Gothic"/>
          <w:lang w:val="en-GB"/>
        </w:rPr>
        <w:t>,</w:t>
      </w:r>
      <w:r w:rsidRPr="00E27305">
        <w:rPr>
          <w:rFonts w:ascii="Century Gothic" w:hAnsi="Century Gothic"/>
          <w:lang w:val="en-GB"/>
        </w:rPr>
        <w:t xml:space="preserve"> and adaptable to her, is much more fruitful and correspond better to the idea of rights being for their holder opportunities </w:t>
      </w:r>
      <w:r w:rsidR="00A87439" w:rsidRPr="00E27305">
        <w:rPr>
          <w:rFonts w:ascii="Century Gothic" w:hAnsi="Century Gothic"/>
          <w:lang w:val="en-GB"/>
        </w:rPr>
        <w:t xml:space="preserve">rather </w:t>
      </w:r>
      <w:r w:rsidRPr="00E27305">
        <w:rPr>
          <w:rFonts w:ascii="Century Gothic" w:hAnsi="Century Gothic"/>
          <w:lang w:val="en-GB"/>
        </w:rPr>
        <w:t>than obligations and restrictions.</w:t>
      </w:r>
      <w:r w:rsidR="00D15E09" w:rsidRPr="00E27305">
        <w:rPr>
          <w:rStyle w:val="FootnoteReference"/>
          <w:rFonts w:ascii="Century Gothic" w:hAnsi="Century Gothic"/>
          <w:lang w:val="en-GB"/>
        </w:rPr>
        <w:footnoteReference w:id="15"/>
      </w:r>
      <w:r w:rsidRPr="00E27305">
        <w:rPr>
          <w:rFonts w:ascii="Century Gothic" w:hAnsi="Century Gothic"/>
          <w:lang w:val="en-GB"/>
        </w:rPr>
        <w:t xml:space="preserve"> </w:t>
      </w:r>
      <w:r w:rsidR="00D53264" w:rsidRPr="00E27305">
        <w:rPr>
          <w:rFonts w:ascii="Century Gothic" w:hAnsi="Century Gothic"/>
          <w:lang w:val="en-GB"/>
        </w:rPr>
        <w:t>Forced</w:t>
      </w:r>
      <w:r w:rsidRPr="00E27305">
        <w:rPr>
          <w:rFonts w:ascii="Century Gothic" w:hAnsi="Century Gothic"/>
          <w:lang w:val="en-GB"/>
        </w:rPr>
        <w:t xml:space="preserve"> interventions </w:t>
      </w:r>
      <w:r w:rsidR="00A9074E" w:rsidRPr="00E27305">
        <w:rPr>
          <w:rFonts w:ascii="Century Gothic" w:hAnsi="Century Gothic"/>
          <w:lang w:val="en-GB"/>
        </w:rPr>
        <w:t xml:space="preserve">don’t enable us to bring positive results, they only let us prevent the worst results for the child in situations where no real good solution exists. </w:t>
      </w:r>
    </w:p>
    <w:p w14:paraId="14DCA77B" w14:textId="182F0E45" w:rsidR="00A87439" w:rsidRPr="00E27305" w:rsidRDefault="00A87439" w:rsidP="005557A2">
      <w:pPr>
        <w:jc w:val="both"/>
        <w:rPr>
          <w:rFonts w:ascii="Century Gothic" w:hAnsi="Century Gothic"/>
          <w:lang w:val="en-GB"/>
        </w:rPr>
      </w:pPr>
    </w:p>
    <w:p w14:paraId="60433BE4" w14:textId="53D6BB67" w:rsidR="00BE6AB1" w:rsidRPr="00E27305" w:rsidRDefault="00522724" w:rsidP="00522724">
      <w:pPr>
        <w:pStyle w:val="Heading1"/>
        <w:jc w:val="both"/>
        <w:rPr>
          <w:rFonts w:ascii="Century Gothic" w:hAnsi="Century Gothic"/>
          <w:lang w:val="en-GB"/>
        </w:rPr>
      </w:pPr>
      <w:bookmarkStart w:id="4" w:name="_Toc74034874"/>
      <w:r w:rsidRPr="00E27305">
        <w:rPr>
          <w:rFonts w:ascii="Century Gothic" w:hAnsi="Century Gothic"/>
          <w:lang w:val="en-GB"/>
        </w:rPr>
        <w:t xml:space="preserve">IV. </w:t>
      </w:r>
      <w:r w:rsidR="00BE6AB1" w:rsidRPr="00E27305">
        <w:rPr>
          <w:rFonts w:ascii="Century Gothic" w:hAnsi="Century Gothic"/>
          <w:lang w:val="en-GB"/>
        </w:rPr>
        <w:t xml:space="preserve">THE PERSPECTIVE OF THE CHILD’S ABSOLUTE RIGHTS AND THE </w:t>
      </w:r>
      <w:r w:rsidR="00E27305" w:rsidRPr="00E27305">
        <w:rPr>
          <w:rFonts w:ascii="Century Gothic" w:hAnsi="Century Gothic"/>
          <w:lang w:val="en-GB"/>
        </w:rPr>
        <w:t>THRESHOLD</w:t>
      </w:r>
      <w:r w:rsidR="00BE6AB1" w:rsidRPr="00E27305">
        <w:rPr>
          <w:rFonts w:ascii="Century Gothic" w:hAnsi="Century Gothic"/>
          <w:lang w:val="en-GB"/>
        </w:rPr>
        <w:t xml:space="preserve"> OF THEIR ENDANGERMENT</w:t>
      </w:r>
      <w:bookmarkEnd w:id="4"/>
      <w:r w:rsidR="00BE6AB1" w:rsidRPr="00E27305">
        <w:rPr>
          <w:rFonts w:ascii="Century Gothic" w:hAnsi="Century Gothic"/>
          <w:lang w:val="en-GB"/>
        </w:rPr>
        <w:t xml:space="preserve"> </w:t>
      </w:r>
    </w:p>
    <w:p w14:paraId="0A272AE7" w14:textId="77777777" w:rsidR="00BE6AB1" w:rsidRPr="00E27305" w:rsidRDefault="00BE6AB1" w:rsidP="005557A2">
      <w:pPr>
        <w:jc w:val="both"/>
        <w:rPr>
          <w:rFonts w:ascii="Century Gothic" w:hAnsi="Century Gothic"/>
          <w:lang w:val="en-GB"/>
        </w:rPr>
      </w:pPr>
    </w:p>
    <w:p w14:paraId="7BCA2953" w14:textId="6FE02E70" w:rsidR="00BE6AB1" w:rsidRPr="00E27305" w:rsidRDefault="00A87439" w:rsidP="005557A2">
      <w:pPr>
        <w:jc w:val="both"/>
        <w:rPr>
          <w:rFonts w:ascii="Century Gothic" w:hAnsi="Century Gothic"/>
          <w:lang w:val="en-GB"/>
        </w:rPr>
      </w:pPr>
      <w:r w:rsidRPr="00E27305">
        <w:rPr>
          <w:rFonts w:ascii="Century Gothic" w:hAnsi="Century Gothic"/>
          <w:lang w:val="en-GB"/>
        </w:rPr>
        <w:t xml:space="preserve">We thus have to ask where there is no room to deal with the situation of an individual child in the described accommodating way and take the </w:t>
      </w:r>
      <w:r w:rsidR="00D15E09" w:rsidRPr="00E27305">
        <w:rPr>
          <w:rFonts w:ascii="Century Gothic" w:hAnsi="Century Gothic"/>
          <w:lang w:val="en-GB"/>
        </w:rPr>
        <w:t xml:space="preserve">measure of </w:t>
      </w:r>
      <w:r w:rsidR="00D53264" w:rsidRPr="00E27305">
        <w:rPr>
          <w:rFonts w:ascii="Century Gothic" w:hAnsi="Century Gothic"/>
          <w:lang w:val="en-GB"/>
        </w:rPr>
        <w:t>forced</w:t>
      </w:r>
      <w:r w:rsidRPr="00E27305">
        <w:rPr>
          <w:rFonts w:ascii="Century Gothic" w:hAnsi="Century Gothic"/>
          <w:lang w:val="en-GB"/>
        </w:rPr>
        <w:t xml:space="preserve"> </w:t>
      </w:r>
      <w:r w:rsidR="00D15E09" w:rsidRPr="00E27305">
        <w:rPr>
          <w:rFonts w:ascii="Century Gothic" w:hAnsi="Century Gothic"/>
          <w:lang w:val="en-GB"/>
        </w:rPr>
        <w:t xml:space="preserve">separation of the child </w:t>
      </w:r>
      <w:r w:rsidRPr="00E27305">
        <w:rPr>
          <w:rFonts w:ascii="Century Gothic" w:hAnsi="Century Gothic"/>
          <w:lang w:val="en-GB"/>
        </w:rPr>
        <w:t xml:space="preserve">as the least bad of bad solutions. </w:t>
      </w:r>
      <w:r w:rsidR="00A04D38" w:rsidRPr="00E27305">
        <w:rPr>
          <w:rFonts w:ascii="Century Gothic" w:hAnsi="Century Gothic"/>
          <w:lang w:val="en-GB"/>
        </w:rPr>
        <w:t xml:space="preserve">Should we follow the rights-based perspective, we can answer that such room will usually not exist in situations when the child is at risk on </w:t>
      </w:r>
      <w:r w:rsidR="00BE6AB1" w:rsidRPr="00E27305">
        <w:rPr>
          <w:rFonts w:ascii="Century Gothic" w:hAnsi="Century Gothic"/>
          <w:lang w:val="en-GB"/>
        </w:rPr>
        <w:t xml:space="preserve">her </w:t>
      </w:r>
      <w:r w:rsidR="00BE6AB1" w:rsidRPr="00E27305">
        <w:rPr>
          <w:rFonts w:ascii="Century Gothic" w:hAnsi="Century Gothic"/>
          <w:b/>
          <w:bCs/>
          <w:lang w:val="en-GB"/>
        </w:rPr>
        <w:t>absolute</w:t>
      </w:r>
      <w:r w:rsidR="00A04D38" w:rsidRPr="00E27305">
        <w:rPr>
          <w:rFonts w:ascii="Century Gothic" w:hAnsi="Century Gothic"/>
          <w:b/>
          <w:bCs/>
          <w:lang w:val="en-GB"/>
        </w:rPr>
        <w:t xml:space="preserve"> rights</w:t>
      </w:r>
      <w:r w:rsidR="00A04D38" w:rsidRPr="00E27305">
        <w:rPr>
          <w:rFonts w:ascii="Century Gothic" w:hAnsi="Century Gothic"/>
          <w:lang w:val="en-GB"/>
        </w:rPr>
        <w:t xml:space="preserve">, i.e. </w:t>
      </w:r>
      <w:r w:rsidR="00A04D38" w:rsidRPr="00E27305">
        <w:rPr>
          <w:rFonts w:ascii="Century Gothic" w:hAnsi="Century Gothic"/>
          <w:b/>
          <w:bCs/>
          <w:lang w:val="en-GB"/>
        </w:rPr>
        <w:t>her right to life</w:t>
      </w:r>
      <w:r w:rsidR="00A04D38" w:rsidRPr="00E27305">
        <w:rPr>
          <w:rFonts w:ascii="Century Gothic" w:hAnsi="Century Gothic"/>
          <w:lang w:val="en-GB"/>
        </w:rPr>
        <w:t xml:space="preserve"> (Article 6)</w:t>
      </w:r>
      <w:r w:rsidR="00584CC8" w:rsidRPr="00E27305">
        <w:rPr>
          <w:rFonts w:ascii="Century Gothic" w:hAnsi="Century Gothic"/>
          <w:lang w:val="en-GB"/>
        </w:rPr>
        <w:t xml:space="preserve">, </w:t>
      </w:r>
      <w:r w:rsidR="00584CC8" w:rsidRPr="00E27305">
        <w:rPr>
          <w:rFonts w:ascii="Century Gothic" w:hAnsi="Century Gothic"/>
          <w:b/>
          <w:bCs/>
          <w:lang w:val="en-GB"/>
        </w:rPr>
        <w:t>not to be subjected to ill-treatment</w:t>
      </w:r>
      <w:r w:rsidR="00584CC8" w:rsidRPr="00E27305">
        <w:rPr>
          <w:rFonts w:ascii="Century Gothic" w:hAnsi="Century Gothic"/>
          <w:lang w:val="en-GB"/>
        </w:rPr>
        <w:t xml:space="preserve"> [Article 37 (a)] </w:t>
      </w:r>
      <w:r w:rsidR="00584CC8" w:rsidRPr="00E27305">
        <w:rPr>
          <w:rFonts w:ascii="Century Gothic" w:hAnsi="Century Gothic"/>
          <w:b/>
          <w:bCs/>
          <w:lang w:val="en-GB"/>
        </w:rPr>
        <w:t>or any form of exploitation</w:t>
      </w:r>
      <w:r w:rsidR="00584CC8" w:rsidRPr="00E27305">
        <w:rPr>
          <w:rFonts w:ascii="Century Gothic" w:hAnsi="Century Gothic"/>
          <w:lang w:val="en-GB"/>
        </w:rPr>
        <w:t xml:space="preserve"> (Articles 34 – 36) and </w:t>
      </w:r>
      <w:r w:rsidR="00584CC8" w:rsidRPr="00E27305">
        <w:rPr>
          <w:rFonts w:ascii="Century Gothic" w:hAnsi="Century Gothic"/>
          <w:b/>
          <w:bCs/>
          <w:lang w:val="en-GB"/>
        </w:rPr>
        <w:t>freedom from all forms of violence</w:t>
      </w:r>
      <w:r w:rsidR="00584CC8" w:rsidRPr="00E27305">
        <w:rPr>
          <w:rFonts w:ascii="Century Gothic" w:hAnsi="Century Gothic"/>
          <w:lang w:val="en-GB"/>
        </w:rPr>
        <w:t xml:space="preserve"> (Article 19). </w:t>
      </w:r>
    </w:p>
    <w:p w14:paraId="44C06151" w14:textId="77777777" w:rsidR="00BE6AB1" w:rsidRPr="00E27305" w:rsidRDefault="00BE6AB1" w:rsidP="005557A2">
      <w:pPr>
        <w:jc w:val="both"/>
        <w:rPr>
          <w:rFonts w:ascii="Century Gothic" w:hAnsi="Century Gothic"/>
          <w:lang w:val="en-GB"/>
        </w:rPr>
      </w:pPr>
    </w:p>
    <w:p w14:paraId="15F25845" w14:textId="369B63F7" w:rsidR="00A37821" w:rsidRPr="00E27305" w:rsidRDefault="00BE6AB1" w:rsidP="005557A2">
      <w:pPr>
        <w:jc w:val="both"/>
        <w:rPr>
          <w:rFonts w:ascii="Century Gothic" w:hAnsi="Century Gothic"/>
          <w:lang w:val="en-GB"/>
        </w:rPr>
      </w:pPr>
      <w:r w:rsidRPr="00E27305">
        <w:rPr>
          <w:rFonts w:ascii="Century Gothic" w:hAnsi="Century Gothic"/>
          <w:lang w:val="en-GB"/>
        </w:rPr>
        <w:t xml:space="preserve">The reason is that neither the child’s </w:t>
      </w:r>
      <w:r w:rsidR="00F1551F" w:rsidRPr="00E27305">
        <w:rPr>
          <w:rFonts w:ascii="Century Gothic" w:hAnsi="Century Gothic"/>
          <w:lang w:val="en-GB"/>
        </w:rPr>
        <w:t>nor</w:t>
      </w:r>
      <w:r w:rsidRPr="00E27305">
        <w:rPr>
          <w:rFonts w:ascii="Century Gothic" w:hAnsi="Century Gothic"/>
          <w:lang w:val="en-GB"/>
        </w:rPr>
        <w:t xml:space="preserve"> family’s autonomy can go so far </w:t>
      </w:r>
      <w:r w:rsidR="00E27305" w:rsidRPr="00E27305">
        <w:rPr>
          <w:rFonts w:ascii="Century Gothic" w:hAnsi="Century Gothic"/>
          <w:lang w:val="en-GB"/>
        </w:rPr>
        <w:t xml:space="preserve">as </w:t>
      </w:r>
      <w:r w:rsidRPr="00E27305">
        <w:rPr>
          <w:rFonts w:ascii="Century Gothic" w:hAnsi="Century Gothic"/>
          <w:lang w:val="en-GB"/>
        </w:rPr>
        <w:t xml:space="preserve">to breach the child’s absolute rights. </w:t>
      </w:r>
      <w:r w:rsidRPr="00E27305">
        <w:rPr>
          <w:rFonts w:ascii="Century Gothic" w:hAnsi="Century Gothic"/>
          <w:b/>
          <w:bCs/>
          <w:lang w:val="en-GB"/>
        </w:rPr>
        <w:t>T</w:t>
      </w:r>
      <w:r w:rsidR="00584CC8" w:rsidRPr="00E27305">
        <w:rPr>
          <w:rFonts w:ascii="Century Gothic" w:hAnsi="Century Gothic"/>
          <w:b/>
          <w:bCs/>
          <w:lang w:val="en-GB"/>
        </w:rPr>
        <w:t>he risk has to be caused by the child’s parents</w:t>
      </w:r>
      <w:r w:rsidR="004A146F">
        <w:rPr>
          <w:rFonts w:ascii="Century Gothic" w:hAnsi="Century Gothic"/>
          <w:b/>
          <w:bCs/>
          <w:lang w:val="en-GB"/>
        </w:rPr>
        <w:t xml:space="preserve"> or other caregivers</w:t>
      </w:r>
      <w:r w:rsidR="00584CC8" w:rsidRPr="00E27305">
        <w:rPr>
          <w:rFonts w:ascii="Century Gothic" w:hAnsi="Century Gothic"/>
          <w:lang w:val="en-GB"/>
        </w:rPr>
        <w:t>.</w:t>
      </w:r>
      <w:r w:rsidR="00A37821" w:rsidRPr="00E27305">
        <w:rPr>
          <w:rFonts w:ascii="Century Gothic" w:hAnsi="Century Gothic"/>
          <w:lang w:val="en-GB"/>
        </w:rPr>
        <w:t xml:space="preserve"> Other</w:t>
      </w:r>
      <w:r w:rsidR="00584CC8" w:rsidRPr="00E27305">
        <w:rPr>
          <w:rFonts w:ascii="Century Gothic" w:hAnsi="Century Gothic"/>
          <w:lang w:val="en-GB"/>
        </w:rPr>
        <w:t xml:space="preserve"> </w:t>
      </w:r>
      <w:r w:rsidR="00A37821" w:rsidRPr="00E27305">
        <w:rPr>
          <w:rFonts w:ascii="Century Gothic" w:hAnsi="Century Gothic"/>
          <w:lang w:val="en-GB"/>
        </w:rPr>
        <w:t>risks to the absolute rights of the child caused by other persons</w:t>
      </w:r>
      <w:r w:rsidR="00AE47B3" w:rsidRPr="00E27305">
        <w:rPr>
          <w:rFonts w:ascii="Century Gothic" w:hAnsi="Century Gothic"/>
          <w:lang w:val="en-GB"/>
        </w:rPr>
        <w:t xml:space="preserve"> than her caregivers</w:t>
      </w:r>
      <w:r w:rsidR="00A37821" w:rsidRPr="00E27305">
        <w:rPr>
          <w:rFonts w:ascii="Century Gothic" w:hAnsi="Century Gothic"/>
          <w:lang w:val="en-GB"/>
        </w:rPr>
        <w:t xml:space="preserve"> or constituted by the child’s own behaviour (usually classified as “risky” or “antisocial”) should be treated by other mechanisms than the forced separation of the child from her family and her placement in alternative care. </w:t>
      </w:r>
    </w:p>
    <w:p w14:paraId="1521C9CB" w14:textId="77777777" w:rsidR="00A37821" w:rsidRPr="00E27305" w:rsidRDefault="00A37821" w:rsidP="005557A2">
      <w:pPr>
        <w:jc w:val="both"/>
        <w:rPr>
          <w:rFonts w:ascii="Century Gothic" w:hAnsi="Century Gothic"/>
          <w:lang w:val="en-GB"/>
        </w:rPr>
      </w:pPr>
    </w:p>
    <w:p w14:paraId="77D86415" w14:textId="77DDBA32" w:rsidR="00A04D38" w:rsidRPr="00E27305" w:rsidRDefault="00D15E09" w:rsidP="005557A2">
      <w:pPr>
        <w:jc w:val="both"/>
        <w:rPr>
          <w:rFonts w:ascii="Century Gothic" w:hAnsi="Century Gothic"/>
          <w:lang w:val="en-GB"/>
        </w:rPr>
      </w:pPr>
      <w:r w:rsidRPr="00E27305">
        <w:rPr>
          <w:rFonts w:ascii="Century Gothic" w:hAnsi="Century Gothic"/>
          <w:lang w:val="en-GB"/>
        </w:rPr>
        <w:t xml:space="preserve">And to be not only legitimate but also proportionate, </w:t>
      </w:r>
      <w:r w:rsidR="00A37821" w:rsidRPr="00E27305">
        <w:rPr>
          <w:rFonts w:ascii="Century Gothic" w:hAnsi="Century Gothic"/>
          <w:lang w:val="en-GB"/>
        </w:rPr>
        <w:t>the risk to the child’s absolute rights</w:t>
      </w:r>
      <w:r w:rsidRPr="00E27305">
        <w:rPr>
          <w:rFonts w:ascii="Century Gothic" w:hAnsi="Century Gothic"/>
          <w:lang w:val="en-GB"/>
        </w:rPr>
        <w:t xml:space="preserve"> has to reach a </w:t>
      </w:r>
      <w:r w:rsidR="00DD1942" w:rsidRPr="00E27305">
        <w:rPr>
          <w:rFonts w:ascii="Century Gothic" w:hAnsi="Century Gothic"/>
          <w:b/>
          <w:bCs/>
          <w:lang w:val="en-GB"/>
        </w:rPr>
        <w:t>threshold</w:t>
      </w:r>
      <w:r w:rsidR="00A37821" w:rsidRPr="00E27305">
        <w:rPr>
          <w:rFonts w:ascii="Century Gothic" w:hAnsi="Century Gothic"/>
          <w:lang w:val="en-GB"/>
        </w:rPr>
        <w:t xml:space="preserve">. It seems suitable to define this </w:t>
      </w:r>
      <w:r w:rsidR="00DD1942" w:rsidRPr="00E27305">
        <w:rPr>
          <w:rFonts w:ascii="Century Gothic" w:hAnsi="Century Gothic"/>
          <w:lang w:val="en-GB"/>
        </w:rPr>
        <w:t>threshold</w:t>
      </w:r>
      <w:r w:rsidR="00A37821" w:rsidRPr="00E27305">
        <w:rPr>
          <w:rFonts w:ascii="Century Gothic" w:hAnsi="Century Gothic"/>
          <w:lang w:val="en-GB"/>
        </w:rPr>
        <w:t xml:space="preserve"> by </w:t>
      </w:r>
      <w:r w:rsidR="00E27305" w:rsidRPr="00E27305">
        <w:rPr>
          <w:rFonts w:ascii="Century Gothic" w:hAnsi="Century Gothic"/>
          <w:lang w:val="en-GB"/>
        </w:rPr>
        <w:t xml:space="preserve">the </w:t>
      </w:r>
      <w:r w:rsidR="00A37821" w:rsidRPr="00E27305">
        <w:rPr>
          <w:rFonts w:ascii="Century Gothic" w:hAnsi="Century Gothic"/>
          <w:lang w:val="en-GB"/>
        </w:rPr>
        <w:t xml:space="preserve">combination of two factors: </w:t>
      </w:r>
    </w:p>
    <w:p w14:paraId="06DA5591" w14:textId="267F60D6" w:rsidR="00A37821" w:rsidRPr="00E27305" w:rsidRDefault="00AE47B3" w:rsidP="00A37821">
      <w:pPr>
        <w:pStyle w:val="ListParagraph"/>
        <w:numPr>
          <w:ilvl w:val="0"/>
          <w:numId w:val="6"/>
        </w:numPr>
        <w:jc w:val="both"/>
        <w:rPr>
          <w:rFonts w:ascii="Century Gothic" w:hAnsi="Century Gothic"/>
          <w:lang w:val="en-GB"/>
        </w:rPr>
      </w:pPr>
      <w:r w:rsidRPr="00E27305">
        <w:rPr>
          <w:rFonts w:ascii="Century Gothic" w:hAnsi="Century Gothic"/>
          <w:lang w:val="en-GB"/>
        </w:rPr>
        <w:t>gravity</w:t>
      </w:r>
      <w:r w:rsidR="00A37821" w:rsidRPr="00E27305">
        <w:rPr>
          <w:rFonts w:ascii="Century Gothic" w:hAnsi="Century Gothic"/>
          <w:lang w:val="en-GB"/>
        </w:rPr>
        <w:t xml:space="preserve">; and </w:t>
      </w:r>
    </w:p>
    <w:p w14:paraId="2971E617" w14:textId="1D5C1905" w:rsidR="000F6959" w:rsidRPr="00E27305" w:rsidRDefault="00A37821" w:rsidP="003F2E3E">
      <w:pPr>
        <w:pStyle w:val="ListParagraph"/>
        <w:numPr>
          <w:ilvl w:val="0"/>
          <w:numId w:val="6"/>
        </w:numPr>
        <w:jc w:val="both"/>
        <w:rPr>
          <w:rFonts w:ascii="Century Gothic" w:hAnsi="Century Gothic"/>
          <w:lang w:val="en-GB"/>
        </w:rPr>
      </w:pPr>
      <w:r w:rsidRPr="00E27305">
        <w:rPr>
          <w:rFonts w:ascii="Century Gothic" w:hAnsi="Century Gothic"/>
          <w:lang w:val="en-GB"/>
        </w:rPr>
        <w:t>probability</w:t>
      </w:r>
      <w:r w:rsidR="00DD1942" w:rsidRPr="00E27305">
        <w:rPr>
          <w:rFonts w:ascii="Century Gothic" w:hAnsi="Century Gothic"/>
          <w:lang w:val="en-GB"/>
        </w:rPr>
        <w:t>.</w:t>
      </w:r>
      <w:r w:rsidRPr="00E27305">
        <w:rPr>
          <w:rFonts w:ascii="Century Gothic" w:hAnsi="Century Gothic"/>
          <w:lang w:val="en-GB"/>
        </w:rPr>
        <w:t xml:space="preserve"> </w:t>
      </w:r>
    </w:p>
    <w:p w14:paraId="75E52895" w14:textId="30B1D854" w:rsidR="00A37821" w:rsidRPr="00E27305" w:rsidRDefault="00A37821" w:rsidP="00A37821">
      <w:pPr>
        <w:jc w:val="both"/>
        <w:rPr>
          <w:rFonts w:ascii="Century Gothic" w:hAnsi="Century Gothic"/>
          <w:lang w:val="en-GB"/>
        </w:rPr>
      </w:pPr>
    </w:p>
    <w:p w14:paraId="31C4E9EE" w14:textId="4D03AD39" w:rsidR="00A37821" w:rsidRPr="00E27305" w:rsidRDefault="00DD1942" w:rsidP="00A37821">
      <w:pPr>
        <w:jc w:val="both"/>
        <w:rPr>
          <w:rFonts w:ascii="Century Gothic" w:hAnsi="Century Gothic"/>
          <w:lang w:val="en-GB"/>
        </w:rPr>
      </w:pPr>
      <w:r w:rsidRPr="00E27305">
        <w:rPr>
          <w:rFonts w:ascii="Century Gothic" w:hAnsi="Century Gothic"/>
          <w:lang w:val="en-GB"/>
        </w:rPr>
        <w:t>The forced separation and placement in the alternative care will be possible only in case th</w:t>
      </w:r>
      <w:r w:rsidR="00E27305" w:rsidRPr="00E27305">
        <w:rPr>
          <w:rFonts w:ascii="Century Gothic" w:hAnsi="Century Gothic"/>
          <w:lang w:val="en-GB"/>
        </w:rPr>
        <w:t>e</w:t>
      </w:r>
      <w:r w:rsidRPr="00E27305">
        <w:rPr>
          <w:rFonts w:ascii="Century Gothic" w:hAnsi="Century Gothic"/>
          <w:lang w:val="en-GB"/>
        </w:rPr>
        <w:t xml:space="preserve"> </w:t>
      </w:r>
      <w:r w:rsidR="00E27305" w:rsidRPr="00E27305">
        <w:rPr>
          <w:rFonts w:ascii="Century Gothic" w:hAnsi="Century Gothic"/>
          <w:lang w:val="en-GB"/>
        </w:rPr>
        <w:t>threat</w:t>
      </w:r>
      <w:r w:rsidRPr="00E27305">
        <w:rPr>
          <w:rFonts w:ascii="Century Gothic" w:hAnsi="Century Gothic"/>
          <w:lang w:val="en-GB"/>
        </w:rPr>
        <w:t xml:space="preserve"> to the above-mentioned child’s absolute rights is </w:t>
      </w:r>
      <w:r w:rsidRPr="00E27305">
        <w:rPr>
          <w:rFonts w:ascii="Century Gothic" w:hAnsi="Century Gothic"/>
          <w:b/>
          <w:bCs/>
          <w:lang w:val="en-GB"/>
        </w:rPr>
        <w:t xml:space="preserve">at the same time </w:t>
      </w:r>
      <w:r w:rsidR="00E27305" w:rsidRPr="00E27305">
        <w:rPr>
          <w:rFonts w:ascii="Century Gothic" w:hAnsi="Century Gothic"/>
          <w:b/>
          <w:bCs/>
          <w:lang w:val="en-GB"/>
        </w:rPr>
        <w:t>grave</w:t>
      </w:r>
      <w:r w:rsidRPr="00E27305">
        <w:rPr>
          <w:rFonts w:ascii="Century Gothic" w:hAnsi="Century Gothic"/>
          <w:b/>
          <w:bCs/>
          <w:lang w:val="en-GB"/>
        </w:rPr>
        <w:t xml:space="preserve"> and probable</w:t>
      </w:r>
      <w:r w:rsidRPr="00E27305">
        <w:rPr>
          <w:rFonts w:ascii="Century Gothic" w:hAnsi="Century Gothic"/>
          <w:lang w:val="en-GB"/>
        </w:rPr>
        <w:t xml:space="preserve">. </w:t>
      </w:r>
    </w:p>
    <w:p w14:paraId="47BECB8E" w14:textId="30DFE38C" w:rsidR="00A37821" w:rsidRPr="00E27305" w:rsidRDefault="00A37821" w:rsidP="00A37821">
      <w:pPr>
        <w:jc w:val="both"/>
        <w:rPr>
          <w:rFonts w:ascii="Century Gothic" w:hAnsi="Century Gothic"/>
          <w:lang w:val="en-GB"/>
        </w:rPr>
      </w:pPr>
    </w:p>
    <w:p w14:paraId="18293260" w14:textId="2D4282D2" w:rsidR="00DD1942" w:rsidRPr="00E27305" w:rsidRDefault="00DD1942" w:rsidP="00A37821">
      <w:pPr>
        <w:jc w:val="both"/>
        <w:rPr>
          <w:rFonts w:ascii="Century Gothic" w:hAnsi="Century Gothic"/>
          <w:lang w:val="en-GB"/>
        </w:rPr>
      </w:pPr>
      <w:r w:rsidRPr="00E27305">
        <w:rPr>
          <w:rFonts w:ascii="Century Gothic" w:hAnsi="Century Gothic"/>
          <w:lang w:val="en-GB"/>
        </w:rPr>
        <w:t xml:space="preserve">The requirement to set up national legislations to enable the forced separation of the child and her placement in alternative care only in case the child’s absolute rights are put at </w:t>
      </w:r>
      <w:r w:rsidR="00E27305" w:rsidRPr="00E27305">
        <w:rPr>
          <w:rFonts w:ascii="Century Gothic" w:hAnsi="Century Gothic"/>
          <w:lang w:val="en-GB"/>
        </w:rPr>
        <w:t xml:space="preserve">the </w:t>
      </w:r>
      <w:r w:rsidR="00AE47B3" w:rsidRPr="00E27305">
        <w:rPr>
          <w:rFonts w:ascii="Century Gothic" w:hAnsi="Century Gothic"/>
          <w:lang w:val="en-GB"/>
        </w:rPr>
        <w:t>grave</w:t>
      </w:r>
      <w:r w:rsidRPr="00E27305">
        <w:rPr>
          <w:rFonts w:ascii="Century Gothic" w:hAnsi="Century Gothic"/>
          <w:lang w:val="en-GB"/>
        </w:rPr>
        <w:t xml:space="preserve"> and probable risk caused by the child’s parents or other caregivers could constitute </w:t>
      </w:r>
      <w:r w:rsidR="00C373BC" w:rsidRPr="00E27305">
        <w:rPr>
          <w:rFonts w:ascii="Century Gothic" w:hAnsi="Century Gothic"/>
          <w:lang w:val="en-GB"/>
        </w:rPr>
        <w:t xml:space="preserve">a </w:t>
      </w:r>
      <w:r w:rsidRPr="00E27305">
        <w:rPr>
          <w:rFonts w:ascii="Century Gothic" w:hAnsi="Century Gothic"/>
          <w:b/>
          <w:bCs/>
          <w:lang w:val="en-GB"/>
        </w:rPr>
        <w:t>significant gatekeeping mechanism</w:t>
      </w:r>
      <w:r w:rsidRPr="00E27305">
        <w:rPr>
          <w:rFonts w:ascii="Century Gothic" w:hAnsi="Century Gothic"/>
          <w:lang w:val="en-GB"/>
        </w:rPr>
        <w:t xml:space="preserve"> to </w:t>
      </w:r>
      <w:r w:rsidR="00AE47B3" w:rsidRPr="00E27305">
        <w:rPr>
          <w:rFonts w:ascii="Century Gothic" w:hAnsi="Century Gothic"/>
          <w:lang w:val="en-GB"/>
        </w:rPr>
        <w:t>protect</w:t>
      </w:r>
      <w:r w:rsidRPr="00E27305">
        <w:rPr>
          <w:rFonts w:ascii="Century Gothic" w:hAnsi="Century Gothic"/>
          <w:lang w:val="en-GB"/>
        </w:rPr>
        <w:t xml:space="preserve"> children from unnecessary separation from their families. </w:t>
      </w:r>
      <w:r w:rsidR="00C373BC" w:rsidRPr="00E27305">
        <w:rPr>
          <w:rFonts w:ascii="Century Gothic" w:hAnsi="Century Gothic"/>
          <w:lang w:val="en-GB"/>
        </w:rPr>
        <w:t xml:space="preserve">Except for these situations, the national legislation should rather </w:t>
      </w:r>
      <w:r w:rsidR="00C373BC" w:rsidRPr="00E27305">
        <w:rPr>
          <w:rFonts w:ascii="Century Gothic" w:hAnsi="Century Gothic"/>
          <w:b/>
          <w:bCs/>
          <w:lang w:val="en-GB"/>
        </w:rPr>
        <w:t xml:space="preserve">provide </w:t>
      </w:r>
      <w:r w:rsidR="00AE47B3" w:rsidRPr="00E27305">
        <w:rPr>
          <w:rFonts w:ascii="Century Gothic" w:hAnsi="Century Gothic"/>
          <w:b/>
          <w:bCs/>
          <w:lang w:val="en-GB"/>
        </w:rPr>
        <w:t>children</w:t>
      </w:r>
      <w:r w:rsidR="00C373BC" w:rsidRPr="00E27305">
        <w:rPr>
          <w:rFonts w:ascii="Century Gothic" w:hAnsi="Century Gothic"/>
          <w:b/>
          <w:bCs/>
          <w:lang w:val="en-GB"/>
        </w:rPr>
        <w:t xml:space="preserve"> with legal claims</w:t>
      </w:r>
      <w:r w:rsidR="00C373BC" w:rsidRPr="00E27305">
        <w:rPr>
          <w:rFonts w:ascii="Century Gothic" w:hAnsi="Century Gothic"/>
          <w:lang w:val="en-GB"/>
        </w:rPr>
        <w:t xml:space="preserve"> than the public authorities with powers to </w:t>
      </w:r>
      <w:r w:rsidR="00D53264" w:rsidRPr="00E27305">
        <w:rPr>
          <w:rFonts w:ascii="Century Gothic" w:hAnsi="Century Gothic"/>
          <w:lang w:val="en-GB"/>
        </w:rPr>
        <w:t>forcibly</w:t>
      </w:r>
      <w:r w:rsidR="00C373BC" w:rsidRPr="00E27305">
        <w:rPr>
          <w:rFonts w:ascii="Century Gothic" w:hAnsi="Century Gothic"/>
          <w:lang w:val="en-GB"/>
        </w:rPr>
        <w:t xml:space="preserve"> intervene in </w:t>
      </w:r>
      <w:r w:rsidR="00AE47B3" w:rsidRPr="00E27305">
        <w:rPr>
          <w:rFonts w:ascii="Century Gothic" w:hAnsi="Century Gothic"/>
          <w:lang w:val="en-GB"/>
        </w:rPr>
        <w:t>their</w:t>
      </w:r>
      <w:r w:rsidR="00C373BC" w:rsidRPr="00E27305">
        <w:rPr>
          <w:rFonts w:ascii="Century Gothic" w:hAnsi="Century Gothic"/>
          <w:lang w:val="en-GB"/>
        </w:rPr>
        <w:t xml:space="preserve"> li</w:t>
      </w:r>
      <w:r w:rsidR="00AE47B3" w:rsidRPr="00E27305">
        <w:rPr>
          <w:rFonts w:ascii="Century Gothic" w:hAnsi="Century Gothic"/>
          <w:lang w:val="en-GB"/>
        </w:rPr>
        <w:t>ves</w:t>
      </w:r>
      <w:r w:rsidR="00C373BC" w:rsidRPr="00E27305">
        <w:rPr>
          <w:rFonts w:ascii="Century Gothic" w:hAnsi="Century Gothic"/>
          <w:lang w:val="en-GB"/>
        </w:rPr>
        <w:t xml:space="preserve"> under the pretext of fulfilment </w:t>
      </w:r>
      <w:r w:rsidR="00FC3EEA" w:rsidRPr="00E27305">
        <w:rPr>
          <w:rFonts w:ascii="Century Gothic" w:hAnsi="Century Gothic"/>
          <w:lang w:val="en-GB"/>
        </w:rPr>
        <w:t xml:space="preserve">of </w:t>
      </w:r>
      <w:r w:rsidR="00AE47B3" w:rsidRPr="00E27305">
        <w:rPr>
          <w:rFonts w:ascii="Century Gothic" w:hAnsi="Century Gothic"/>
          <w:lang w:val="en-GB"/>
        </w:rPr>
        <w:t>their</w:t>
      </w:r>
      <w:r w:rsidR="00C373BC" w:rsidRPr="00E27305">
        <w:rPr>
          <w:rFonts w:ascii="Century Gothic" w:hAnsi="Century Gothic"/>
          <w:lang w:val="en-GB"/>
        </w:rPr>
        <w:t xml:space="preserve"> rights. </w:t>
      </w:r>
    </w:p>
    <w:p w14:paraId="58F19A0B" w14:textId="77777777" w:rsidR="00DD1942" w:rsidRPr="00E27305" w:rsidRDefault="00DD1942" w:rsidP="00A37821">
      <w:pPr>
        <w:jc w:val="both"/>
        <w:rPr>
          <w:rFonts w:ascii="Century Gothic" w:hAnsi="Century Gothic"/>
          <w:lang w:val="en-GB"/>
        </w:rPr>
      </w:pPr>
    </w:p>
    <w:p w14:paraId="14B4B6A9" w14:textId="2F77E7BA" w:rsidR="000F6959" w:rsidRPr="00E27305" w:rsidRDefault="00522724" w:rsidP="00522724">
      <w:pPr>
        <w:pStyle w:val="Heading1"/>
        <w:jc w:val="both"/>
        <w:rPr>
          <w:rFonts w:ascii="Century Gothic" w:hAnsi="Century Gothic"/>
          <w:lang w:val="en-GB"/>
        </w:rPr>
      </w:pPr>
      <w:bookmarkStart w:id="5" w:name="_Toc74034875"/>
      <w:r w:rsidRPr="00E27305">
        <w:rPr>
          <w:rFonts w:ascii="Century Gothic" w:hAnsi="Century Gothic"/>
          <w:lang w:val="en-GB"/>
        </w:rPr>
        <w:lastRenderedPageBreak/>
        <w:t xml:space="preserve">V. </w:t>
      </w:r>
      <w:r w:rsidR="000F6959" w:rsidRPr="00E27305">
        <w:rPr>
          <w:rFonts w:ascii="Century Gothic" w:hAnsi="Century Gothic"/>
          <w:lang w:val="en-GB"/>
        </w:rPr>
        <w:t>THE NEED TO REDEFINE THE RELATIONSHIP BETWEEN ALTERNATIVE CARE AND DEPRIVATION OF THE CHILD’S PERSONAL LIBERTY</w:t>
      </w:r>
      <w:bookmarkEnd w:id="5"/>
    </w:p>
    <w:p w14:paraId="5A800D90" w14:textId="5B9EB2F2" w:rsidR="00C373BC" w:rsidRPr="00E27305" w:rsidRDefault="00C373BC" w:rsidP="00DD1942">
      <w:pPr>
        <w:jc w:val="both"/>
        <w:rPr>
          <w:rFonts w:ascii="Century Gothic" w:hAnsi="Century Gothic"/>
          <w:b/>
          <w:bCs/>
          <w:lang w:val="en-GB"/>
        </w:rPr>
      </w:pPr>
    </w:p>
    <w:p w14:paraId="31DA55CB" w14:textId="5DF001D2" w:rsidR="00AE47B3" w:rsidRPr="00E27305" w:rsidRDefault="00FC3EEA" w:rsidP="00DD1942">
      <w:pPr>
        <w:jc w:val="both"/>
        <w:rPr>
          <w:rFonts w:ascii="Century Gothic" w:hAnsi="Century Gothic"/>
          <w:lang w:val="en-GB"/>
        </w:rPr>
      </w:pPr>
      <w:r w:rsidRPr="00E27305">
        <w:rPr>
          <w:rFonts w:ascii="Century Gothic" w:hAnsi="Century Gothic"/>
          <w:lang w:val="en-GB"/>
        </w:rPr>
        <w:t>Finally</w:t>
      </w:r>
      <w:r w:rsidR="00522724" w:rsidRPr="00E27305">
        <w:rPr>
          <w:rFonts w:ascii="Century Gothic" w:hAnsi="Century Gothic"/>
          <w:lang w:val="en-GB"/>
        </w:rPr>
        <w:t>, we would like to call the Committee to use this opportunity to redefine the relationship between alternative care and deprivation of liberty. In GC no. 21</w:t>
      </w:r>
      <w:r w:rsidR="00E27305" w:rsidRPr="00E27305">
        <w:rPr>
          <w:rFonts w:ascii="Century Gothic" w:hAnsi="Century Gothic"/>
          <w:lang w:val="en-GB"/>
        </w:rPr>
        <w:t>,</w:t>
      </w:r>
      <w:r w:rsidR="00522724" w:rsidRPr="00E27305">
        <w:rPr>
          <w:rFonts w:ascii="Century Gothic" w:hAnsi="Century Gothic"/>
          <w:lang w:val="en-GB"/>
        </w:rPr>
        <w:t xml:space="preserve"> the Committee emphasised that “deprivation of liberty (…) is never a form of protection.”</w:t>
      </w:r>
      <w:r w:rsidR="00522724" w:rsidRPr="00E27305">
        <w:rPr>
          <w:rStyle w:val="FootnoteReference"/>
          <w:rFonts w:ascii="Century Gothic" w:hAnsi="Century Gothic"/>
          <w:lang w:val="en-GB"/>
        </w:rPr>
        <w:footnoteReference w:id="16"/>
      </w:r>
      <w:r w:rsidR="00522724" w:rsidRPr="00E27305">
        <w:rPr>
          <w:rFonts w:ascii="Century Gothic" w:hAnsi="Century Gothic"/>
          <w:lang w:val="en-GB"/>
        </w:rPr>
        <w:t xml:space="preserve"> Nonetheless, the concrete examples the Committee gave – detention cells and closed centres -   risk </w:t>
      </w:r>
      <w:r w:rsidR="00E27305" w:rsidRPr="00E27305">
        <w:rPr>
          <w:rFonts w:ascii="Century Gothic" w:hAnsi="Century Gothic"/>
          <w:lang w:val="en-GB"/>
        </w:rPr>
        <w:t>introducing</w:t>
      </w:r>
      <w:r w:rsidR="00522724" w:rsidRPr="00E27305">
        <w:rPr>
          <w:rFonts w:ascii="Century Gothic" w:hAnsi="Century Gothic"/>
          <w:lang w:val="en-GB"/>
        </w:rPr>
        <w:t xml:space="preserve"> </w:t>
      </w:r>
      <w:r w:rsidR="00E27305" w:rsidRPr="00E27305">
        <w:rPr>
          <w:rFonts w:ascii="Century Gothic" w:hAnsi="Century Gothic"/>
          <w:lang w:val="en-GB"/>
        </w:rPr>
        <w:t xml:space="preserve">a </w:t>
      </w:r>
      <w:r w:rsidR="00522724" w:rsidRPr="00E27305">
        <w:rPr>
          <w:rFonts w:ascii="Century Gothic" w:hAnsi="Century Gothic"/>
          <w:lang w:val="en-GB"/>
        </w:rPr>
        <w:t xml:space="preserve">too narrow approach to </w:t>
      </w:r>
      <w:r w:rsidR="00AE47B3" w:rsidRPr="00E27305">
        <w:rPr>
          <w:rFonts w:ascii="Century Gothic" w:hAnsi="Century Gothic"/>
          <w:lang w:val="en-GB"/>
        </w:rPr>
        <w:t>the definition of deprivation of liberty.</w:t>
      </w:r>
    </w:p>
    <w:p w14:paraId="0E9C4167" w14:textId="1B85BB7A" w:rsidR="0019742F" w:rsidRPr="00E27305" w:rsidRDefault="0019742F" w:rsidP="00DD1942">
      <w:pPr>
        <w:jc w:val="both"/>
        <w:rPr>
          <w:rFonts w:ascii="Century Gothic" w:hAnsi="Century Gothic"/>
          <w:lang w:val="en-GB"/>
        </w:rPr>
      </w:pPr>
    </w:p>
    <w:p w14:paraId="01AF8494" w14:textId="488CC9D0" w:rsidR="005604DF" w:rsidRPr="00E27305" w:rsidRDefault="0019742F" w:rsidP="005604DF">
      <w:pPr>
        <w:jc w:val="both"/>
        <w:rPr>
          <w:rFonts w:ascii="Century Gothic" w:hAnsi="Century Gothic"/>
          <w:lang w:val="en-GB"/>
        </w:rPr>
      </w:pPr>
      <w:r w:rsidRPr="00E27305">
        <w:rPr>
          <w:rFonts w:ascii="Century Gothic" w:hAnsi="Century Gothic"/>
          <w:lang w:val="en-GB"/>
        </w:rPr>
        <w:t xml:space="preserve">Since the system of alternative care usually comprises a whole complex of measures interfering </w:t>
      </w:r>
      <w:r w:rsidR="00927F1C" w:rsidRPr="00E27305">
        <w:rPr>
          <w:rFonts w:ascii="Century Gothic" w:hAnsi="Century Gothic"/>
          <w:lang w:val="en-GB"/>
        </w:rPr>
        <w:t xml:space="preserve">in different ways </w:t>
      </w:r>
      <w:r w:rsidRPr="00E27305">
        <w:rPr>
          <w:rFonts w:ascii="Century Gothic" w:hAnsi="Century Gothic"/>
          <w:lang w:val="en-GB"/>
        </w:rPr>
        <w:t xml:space="preserve">with </w:t>
      </w:r>
      <w:r w:rsidR="00AE47B3" w:rsidRPr="00E27305">
        <w:rPr>
          <w:rFonts w:ascii="Century Gothic" w:hAnsi="Century Gothic"/>
          <w:lang w:val="en-GB"/>
        </w:rPr>
        <w:t>children</w:t>
      </w:r>
      <w:r w:rsidRPr="00E27305">
        <w:rPr>
          <w:rFonts w:ascii="Century Gothic" w:hAnsi="Century Gothic"/>
          <w:lang w:val="en-GB"/>
        </w:rPr>
        <w:t>’s personal liberty, a more subtle approach might be useful</w:t>
      </w:r>
      <w:r w:rsidR="005604DF" w:rsidRPr="00E27305">
        <w:rPr>
          <w:rFonts w:ascii="Century Gothic" w:hAnsi="Century Gothic"/>
          <w:lang w:val="en-GB"/>
        </w:rPr>
        <w:t xml:space="preserve">. National case-laws may already contain important precedents on this issue. We would like to mention particularly the decision of the </w:t>
      </w:r>
      <w:r w:rsidR="00927F1C" w:rsidRPr="00E27305">
        <w:rPr>
          <w:rFonts w:ascii="Century Gothic" w:hAnsi="Century Gothic"/>
          <w:lang w:val="en-GB"/>
        </w:rPr>
        <w:t>UK</w:t>
      </w:r>
      <w:r w:rsidR="00DC577D" w:rsidRPr="00E27305">
        <w:rPr>
          <w:rFonts w:ascii="Century Gothic" w:hAnsi="Century Gothic"/>
          <w:lang w:val="en-GB"/>
        </w:rPr>
        <w:t>SC</w:t>
      </w:r>
      <w:r w:rsidR="00927F1C" w:rsidRPr="00E27305">
        <w:rPr>
          <w:rFonts w:ascii="Century Gothic" w:hAnsi="Century Gothic"/>
          <w:lang w:val="en-GB"/>
        </w:rPr>
        <w:t xml:space="preserve"> </w:t>
      </w:r>
      <w:r w:rsidR="005604DF" w:rsidRPr="00E27305">
        <w:rPr>
          <w:rFonts w:ascii="Century Gothic" w:hAnsi="Century Gothic"/>
          <w:lang w:val="en-GB"/>
        </w:rPr>
        <w:t xml:space="preserve">in the case of </w:t>
      </w:r>
      <w:r w:rsidR="00E27305" w:rsidRPr="00E27305">
        <w:rPr>
          <w:rFonts w:ascii="Century Gothic" w:hAnsi="Century Gothic"/>
          <w:i/>
          <w:iCs/>
          <w:lang w:val="en-GB"/>
        </w:rPr>
        <w:t>Cheshire</w:t>
      </w:r>
      <w:r w:rsidR="005604DF" w:rsidRPr="00E27305">
        <w:rPr>
          <w:rFonts w:ascii="Century Gothic" w:hAnsi="Century Gothic"/>
          <w:i/>
          <w:iCs/>
          <w:lang w:val="en-GB"/>
        </w:rPr>
        <w:t xml:space="preserve"> West</w:t>
      </w:r>
      <w:r w:rsidR="00BC162C" w:rsidRPr="00E27305">
        <w:rPr>
          <w:rFonts w:ascii="Century Gothic" w:hAnsi="Century Gothic"/>
          <w:lang w:val="en-GB"/>
        </w:rPr>
        <w:t xml:space="preserve"> which concerned three persons with disabilities</w:t>
      </w:r>
      <w:r w:rsidR="00AE47B3" w:rsidRPr="00E27305">
        <w:rPr>
          <w:rFonts w:ascii="Century Gothic" w:hAnsi="Century Gothic"/>
          <w:lang w:val="en-GB"/>
        </w:rPr>
        <w:t xml:space="preserve"> - </w:t>
      </w:r>
      <w:r w:rsidR="00BC162C" w:rsidRPr="00E27305">
        <w:rPr>
          <w:rFonts w:ascii="Century Gothic" w:hAnsi="Century Gothic"/>
          <w:lang w:val="en-GB"/>
        </w:rPr>
        <w:t xml:space="preserve">two of them children of whom one was </w:t>
      </w:r>
      <w:r w:rsidR="00DD179D" w:rsidRPr="00E27305">
        <w:rPr>
          <w:rFonts w:ascii="Century Gothic" w:hAnsi="Century Gothic"/>
          <w:lang w:val="en-GB"/>
        </w:rPr>
        <w:t xml:space="preserve">living in a </w:t>
      </w:r>
      <w:r w:rsidR="00E27305" w:rsidRPr="00E27305">
        <w:rPr>
          <w:rFonts w:ascii="Century Gothic" w:hAnsi="Century Gothic"/>
          <w:lang w:val="en-GB"/>
        </w:rPr>
        <w:t>foster</w:t>
      </w:r>
      <w:r w:rsidR="00DD179D" w:rsidRPr="00E27305">
        <w:rPr>
          <w:rFonts w:ascii="Century Gothic" w:hAnsi="Century Gothic"/>
          <w:lang w:val="en-GB"/>
        </w:rPr>
        <w:t xml:space="preserve"> home and the other in a residential home.</w:t>
      </w:r>
      <w:r w:rsidR="00BC162C" w:rsidRPr="00E27305">
        <w:rPr>
          <w:rStyle w:val="FootnoteReference"/>
          <w:rFonts w:ascii="Century Gothic" w:hAnsi="Century Gothic"/>
          <w:lang w:val="en-GB"/>
        </w:rPr>
        <w:footnoteReference w:id="17"/>
      </w:r>
      <w:r w:rsidR="00BC162C" w:rsidRPr="00E27305">
        <w:rPr>
          <w:rFonts w:ascii="Century Gothic" w:hAnsi="Century Gothic"/>
          <w:lang w:val="en-GB"/>
        </w:rPr>
        <w:t xml:space="preserve"> </w:t>
      </w:r>
      <w:r w:rsidR="00DD179D" w:rsidRPr="00E27305">
        <w:rPr>
          <w:rFonts w:ascii="Century Gothic" w:hAnsi="Century Gothic"/>
          <w:lang w:val="en-GB"/>
        </w:rPr>
        <w:t xml:space="preserve">The Court was to assess whether their living arrangements resulted in their being deprived of liberty. And to do this he applied the so-called </w:t>
      </w:r>
      <w:r w:rsidR="00DD179D" w:rsidRPr="00E27305">
        <w:rPr>
          <w:rFonts w:ascii="Century Gothic" w:hAnsi="Century Gothic"/>
          <w:b/>
          <w:bCs/>
          <w:lang w:val="en-GB"/>
        </w:rPr>
        <w:t>“acid test”</w:t>
      </w:r>
      <w:r w:rsidR="00DD179D" w:rsidRPr="00E27305">
        <w:rPr>
          <w:rFonts w:ascii="Century Gothic" w:hAnsi="Century Gothic"/>
          <w:lang w:val="en-GB"/>
        </w:rPr>
        <w:t xml:space="preserve">, formulated </w:t>
      </w:r>
      <w:r w:rsidR="00737F7A" w:rsidRPr="00E27305">
        <w:rPr>
          <w:rFonts w:ascii="Century Gothic" w:hAnsi="Century Gothic"/>
          <w:lang w:val="en-GB"/>
        </w:rPr>
        <w:t xml:space="preserve">following the jurisprudence of the ECtHR which started with the </w:t>
      </w:r>
      <w:r w:rsidR="00DD179D" w:rsidRPr="00E27305">
        <w:rPr>
          <w:rFonts w:ascii="Century Gothic" w:hAnsi="Century Gothic"/>
          <w:lang w:val="en-GB"/>
        </w:rPr>
        <w:t>c</w:t>
      </w:r>
      <w:r w:rsidR="0095004D" w:rsidRPr="00E27305">
        <w:rPr>
          <w:rFonts w:ascii="Century Gothic" w:hAnsi="Century Gothic"/>
          <w:lang w:val="en-GB"/>
        </w:rPr>
        <w:t xml:space="preserve">ase of </w:t>
      </w:r>
      <w:r w:rsidR="0095004D" w:rsidRPr="00E27305">
        <w:rPr>
          <w:rFonts w:ascii="Century Gothic" w:hAnsi="Century Gothic"/>
          <w:i/>
          <w:iCs/>
          <w:lang w:val="en-GB"/>
        </w:rPr>
        <w:t>H.L. v. the United Kingdom</w:t>
      </w:r>
      <w:r w:rsidR="00E27305" w:rsidRPr="00E27305">
        <w:rPr>
          <w:rFonts w:ascii="Century Gothic" w:hAnsi="Century Gothic"/>
          <w:i/>
          <w:iCs/>
          <w:lang w:val="en-GB"/>
        </w:rPr>
        <w:t>,</w:t>
      </w:r>
      <w:r w:rsidR="00737F7A" w:rsidRPr="00E27305">
        <w:rPr>
          <w:rFonts w:ascii="Century Gothic" w:hAnsi="Century Gothic"/>
          <w:lang w:val="en-GB"/>
        </w:rPr>
        <w:t xml:space="preserve"> and the criterion of “complete control and supervision” formulated therein.</w:t>
      </w:r>
      <w:r w:rsidR="0095004D" w:rsidRPr="00E27305">
        <w:rPr>
          <w:rStyle w:val="FootnoteReference"/>
          <w:rFonts w:ascii="Century Gothic" w:hAnsi="Century Gothic"/>
          <w:lang w:val="en-GB"/>
        </w:rPr>
        <w:footnoteReference w:id="18"/>
      </w:r>
      <w:r w:rsidR="0095004D" w:rsidRPr="00E27305">
        <w:rPr>
          <w:rFonts w:ascii="Century Gothic" w:hAnsi="Century Gothic"/>
          <w:lang w:val="en-GB"/>
        </w:rPr>
        <w:t xml:space="preserve"> </w:t>
      </w:r>
    </w:p>
    <w:p w14:paraId="1BDDE702" w14:textId="166B5739" w:rsidR="005604DF" w:rsidRPr="00E27305" w:rsidRDefault="005604DF" w:rsidP="005604DF">
      <w:pPr>
        <w:jc w:val="both"/>
        <w:rPr>
          <w:rFonts w:ascii="Century Gothic" w:hAnsi="Century Gothic"/>
          <w:lang w:val="en-GB"/>
        </w:rPr>
      </w:pPr>
    </w:p>
    <w:p w14:paraId="2EFDDFA1" w14:textId="628C1FB0" w:rsidR="0095004D" w:rsidRPr="00E27305" w:rsidRDefault="008B3D38" w:rsidP="005604DF">
      <w:pPr>
        <w:jc w:val="both"/>
        <w:rPr>
          <w:rFonts w:ascii="Century Gothic" w:hAnsi="Century Gothic"/>
          <w:lang w:val="en-GB"/>
        </w:rPr>
      </w:pPr>
      <w:r w:rsidRPr="00E27305">
        <w:rPr>
          <w:rFonts w:ascii="Century Gothic" w:hAnsi="Century Gothic"/>
          <w:lang w:val="en-GB"/>
        </w:rPr>
        <w:t>Based on the cited jurisprudence the acid test consists of two components:</w:t>
      </w:r>
    </w:p>
    <w:p w14:paraId="2E7BCFDA" w14:textId="0AB97AA6" w:rsidR="008B3D38" w:rsidRPr="00E27305" w:rsidRDefault="008B3D38" w:rsidP="008B3D38">
      <w:pPr>
        <w:pStyle w:val="ListParagraph"/>
        <w:numPr>
          <w:ilvl w:val="0"/>
          <w:numId w:val="7"/>
        </w:numPr>
        <w:jc w:val="both"/>
        <w:rPr>
          <w:rFonts w:ascii="Century Gothic" w:hAnsi="Century Gothic"/>
          <w:lang w:val="en-GB"/>
        </w:rPr>
      </w:pPr>
      <w:r w:rsidRPr="00E27305">
        <w:rPr>
          <w:rFonts w:ascii="Century Gothic" w:hAnsi="Century Gothic"/>
          <w:lang w:val="en-GB"/>
        </w:rPr>
        <w:t>whether the person is under continuous supervision and control</w:t>
      </w:r>
      <w:r w:rsidR="00927F1C" w:rsidRPr="00E27305">
        <w:rPr>
          <w:rFonts w:ascii="Century Gothic" w:hAnsi="Century Gothic"/>
          <w:lang w:val="en-GB"/>
        </w:rPr>
        <w:t>;</w:t>
      </w:r>
      <w:r w:rsidRPr="00E27305">
        <w:rPr>
          <w:rFonts w:ascii="Century Gothic" w:hAnsi="Century Gothic"/>
          <w:lang w:val="en-GB"/>
        </w:rPr>
        <w:t xml:space="preserve"> and </w:t>
      </w:r>
    </w:p>
    <w:p w14:paraId="66B5BE36" w14:textId="6F9C0963" w:rsidR="008B3D38" w:rsidRPr="00E27305" w:rsidRDefault="008B3D38" w:rsidP="008B3D38">
      <w:pPr>
        <w:pStyle w:val="ListParagraph"/>
        <w:numPr>
          <w:ilvl w:val="0"/>
          <w:numId w:val="7"/>
        </w:numPr>
        <w:jc w:val="both"/>
        <w:rPr>
          <w:rFonts w:ascii="Century Gothic" w:hAnsi="Century Gothic"/>
          <w:lang w:val="en-GB"/>
        </w:rPr>
      </w:pPr>
      <w:r w:rsidRPr="00E27305">
        <w:rPr>
          <w:rFonts w:ascii="Century Gothic" w:hAnsi="Century Gothic"/>
          <w:lang w:val="en-GB"/>
        </w:rPr>
        <w:t xml:space="preserve">is not free to leave. </w:t>
      </w:r>
    </w:p>
    <w:p w14:paraId="5603D656" w14:textId="7F7B31A0" w:rsidR="008B3D38" w:rsidRPr="00E27305" w:rsidRDefault="008B3D38" w:rsidP="008B3D38">
      <w:pPr>
        <w:jc w:val="both"/>
        <w:rPr>
          <w:rFonts w:ascii="Century Gothic" w:hAnsi="Century Gothic"/>
          <w:lang w:val="en-GB"/>
        </w:rPr>
      </w:pPr>
    </w:p>
    <w:p w14:paraId="342BC202" w14:textId="6AB75734" w:rsidR="008B3D38" w:rsidRPr="00E27305" w:rsidRDefault="008B3D38" w:rsidP="008B3D38">
      <w:pPr>
        <w:jc w:val="both"/>
        <w:rPr>
          <w:rFonts w:ascii="Century Gothic" w:hAnsi="Century Gothic"/>
          <w:lang w:val="en-GB"/>
        </w:rPr>
      </w:pPr>
      <w:r w:rsidRPr="00E27305">
        <w:rPr>
          <w:rFonts w:ascii="Century Gothic" w:hAnsi="Century Gothic"/>
          <w:lang w:val="en-GB"/>
        </w:rPr>
        <w:t>On the contrary, the following criteria are not relevant:</w:t>
      </w:r>
    </w:p>
    <w:p w14:paraId="1699553D" w14:textId="5E9C1C0C" w:rsidR="008B3D38" w:rsidRPr="00E27305" w:rsidRDefault="008B3D38" w:rsidP="00927F1C">
      <w:pPr>
        <w:pStyle w:val="ListParagraph"/>
        <w:numPr>
          <w:ilvl w:val="0"/>
          <w:numId w:val="9"/>
        </w:numPr>
        <w:jc w:val="both"/>
        <w:rPr>
          <w:rFonts w:ascii="Century Gothic" w:hAnsi="Century Gothic"/>
          <w:lang w:val="en-GB"/>
        </w:rPr>
      </w:pPr>
      <w:r w:rsidRPr="00E27305">
        <w:rPr>
          <w:rFonts w:ascii="Century Gothic" w:hAnsi="Century Gothic"/>
          <w:lang w:val="en-GB"/>
        </w:rPr>
        <w:t xml:space="preserve">the person’s compliance </w:t>
      </w:r>
      <w:r w:rsidR="00E27305" w:rsidRPr="00E27305">
        <w:rPr>
          <w:rFonts w:ascii="Century Gothic" w:hAnsi="Century Gothic"/>
          <w:lang w:val="en-GB"/>
        </w:rPr>
        <w:t>or</w:t>
      </w:r>
      <w:r w:rsidRPr="00E27305">
        <w:rPr>
          <w:rFonts w:ascii="Century Gothic" w:hAnsi="Century Gothic"/>
          <w:lang w:val="en-GB"/>
        </w:rPr>
        <w:t xml:space="preserve"> lack of objection;</w:t>
      </w:r>
    </w:p>
    <w:p w14:paraId="6C47656C" w14:textId="40120AA2" w:rsidR="008B3D38" w:rsidRPr="00E27305" w:rsidRDefault="008B3D38" w:rsidP="00927F1C">
      <w:pPr>
        <w:pStyle w:val="ListParagraph"/>
        <w:numPr>
          <w:ilvl w:val="0"/>
          <w:numId w:val="9"/>
        </w:numPr>
        <w:jc w:val="both"/>
        <w:rPr>
          <w:rFonts w:ascii="Century Gothic" w:hAnsi="Century Gothic"/>
          <w:lang w:val="en-GB"/>
        </w:rPr>
      </w:pPr>
      <w:r w:rsidRPr="00E27305">
        <w:rPr>
          <w:rFonts w:ascii="Century Gothic" w:hAnsi="Century Gothic"/>
          <w:lang w:val="en-GB"/>
        </w:rPr>
        <w:t xml:space="preserve">the relative normality of the placement (whatever the comparison made); and </w:t>
      </w:r>
    </w:p>
    <w:p w14:paraId="0F2ED1FB" w14:textId="6171A418" w:rsidR="008B3D38" w:rsidRPr="00E27305" w:rsidRDefault="008B3D38" w:rsidP="00927F1C">
      <w:pPr>
        <w:pStyle w:val="ListParagraph"/>
        <w:numPr>
          <w:ilvl w:val="0"/>
          <w:numId w:val="9"/>
        </w:numPr>
        <w:jc w:val="both"/>
        <w:rPr>
          <w:rFonts w:ascii="Century Gothic" w:hAnsi="Century Gothic"/>
          <w:lang w:val="en-GB"/>
        </w:rPr>
      </w:pPr>
      <w:r w:rsidRPr="00E27305">
        <w:rPr>
          <w:rFonts w:ascii="Century Gothic" w:hAnsi="Century Gothic"/>
          <w:lang w:val="en-GB"/>
        </w:rPr>
        <w:t>the reason or purpose behind a particular placement.</w:t>
      </w:r>
    </w:p>
    <w:p w14:paraId="5FB12786" w14:textId="4166202C" w:rsidR="008B3D38" w:rsidRPr="00E27305" w:rsidRDefault="008B3D38" w:rsidP="008B3D38">
      <w:pPr>
        <w:jc w:val="both"/>
        <w:rPr>
          <w:rFonts w:ascii="Century Gothic" w:hAnsi="Century Gothic"/>
          <w:lang w:val="en-GB"/>
        </w:rPr>
      </w:pPr>
    </w:p>
    <w:p w14:paraId="05ED0E4E" w14:textId="48CEB8EC" w:rsidR="008B3D38" w:rsidRPr="00E27305" w:rsidRDefault="008B3D38" w:rsidP="008B3D38">
      <w:pPr>
        <w:jc w:val="both"/>
        <w:rPr>
          <w:rFonts w:ascii="Century Gothic" w:hAnsi="Century Gothic"/>
          <w:lang w:val="en-GB"/>
        </w:rPr>
      </w:pPr>
      <w:r w:rsidRPr="00E27305">
        <w:rPr>
          <w:rFonts w:ascii="Century Gothic" w:hAnsi="Century Gothic"/>
          <w:lang w:val="en-GB"/>
        </w:rPr>
        <w:t xml:space="preserve">The Court formulated also the corrective applicable in cases of children when he removed from the scope of the acid test those measures that </w:t>
      </w:r>
      <w:r w:rsidR="00927F1C" w:rsidRPr="00E27305">
        <w:rPr>
          <w:rFonts w:ascii="Century Gothic" w:hAnsi="Century Gothic"/>
          <w:lang w:val="en-GB"/>
        </w:rPr>
        <w:t xml:space="preserve">are imposed by parents in the exercise of their ordinary parental responsibilities. </w:t>
      </w:r>
    </w:p>
    <w:p w14:paraId="50AF79E4" w14:textId="6B2CC1D3" w:rsidR="008B3D38" w:rsidRPr="00E27305" w:rsidRDefault="008B3D38" w:rsidP="008B3D38">
      <w:pPr>
        <w:jc w:val="both"/>
        <w:rPr>
          <w:rFonts w:ascii="Century Gothic" w:hAnsi="Century Gothic"/>
          <w:lang w:val="en-GB"/>
        </w:rPr>
      </w:pPr>
    </w:p>
    <w:p w14:paraId="2F149CD6" w14:textId="36E58A52" w:rsidR="00927F1C" w:rsidRPr="00E27305" w:rsidRDefault="00927F1C" w:rsidP="008B3D38">
      <w:pPr>
        <w:jc w:val="both"/>
        <w:rPr>
          <w:rFonts w:ascii="Century Gothic" w:hAnsi="Century Gothic"/>
          <w:lang w:val="en-GB"/>
        </w:rPr>
      </w:pPr>
      <w:r w:rsidRPr="00E27305">
        <w:rPr>
          <w:rFonts w:ascii="Century Gothic" w:hAnsi="Century Gothic"/>
          <w:lang w:val="en-GB"/>
        </w:rPr>
        <w:t xml:space="preserve">The application of the acid test perspective to alternative care would mean </w:t>
      </w:r>
      <w:r w:rsidR="00E27305" w:rsidRPr="00E27305">
        <w:rPr>
          <w:rFonts w:ascii="Century Gothic" w:hAnsi="Century Gothic"/>
          <w:lang w:val="en-GB"/>
        </w:rPr>
        <w:t>accepting</w:t>
      </w:r>
      <w:r w:rsidRPr="00E27305">
        <w:rPr>
          <w:rFonts w:ascii="Century Gothic" w:hAnsi="Century Gothic"/>
          <w:lang w:val="en-GB"/>
        </w:rPr>
        <w:t xml:space="preserve"> that an alternative care measure may constitute a deprivation of the child’s liberty, even in case the child is</w:t>
      </w:r>
      <w:r w:rsidR="00E825FC" w:rsidRPr="00E27305">
        <w:rPr>
          <w:rFonts w:ascii="Century Gothic" w:hAnsi="Century Gothic"/>
          <w:lang w:val="en-GB"/>
        </w:rPr>
        <w:t xml:space="preserve"> </w:t>
      </w:r>
      <w:r w:rsidRPr="00E27305">
        <w:rPr>
          <w:rFonts w:ascii="Century Gothic" w:hAnsi="Century Gothic"/>
          <w:lang w:val="en-GB"/>
        </w:rPr>
        <w:t xml:space="preserve">being placed </w:t>
      </w:r>
      <w:r w:rsidR="00E825FC" w:rsidRPr="00E27305">
        <w:rPr>
          <w:rFonts w:ascii="Century Gothic" w:hAnsi="Century Gothic"/>
          <w:lang w:val="en-GB"/>
        </w:rPr>
        <w:t xml:space="preserve">for instance in alternative family </w:t>
      </w:r>
      <w:r w:rsidRPr="00E27305">
        <w:rPr>
          <w:rFonts w:ascii="Century Gothic" w:hAnsi="Century Gothic"/>
          <w:lang w:val="en-GB"/>
        </w:rPr>
        <w:t xml:space="preserve">care. </w:t>
      </w:r>
      <w:r w:rsidR="00E825FC" w:rsidRPr="00E27305">
        <w:rPr>
          <w:rFonts w:ascii="Century Gothic" w:hAnsi="Century Gothic"/>
          <w:lang w:val="en-GB"/>
        </w:rPr>
        <w:t>I</w:t>
      </w:r>
      <w:r w:rsidRPr="00E27305">
        <w:rPr>
          <w:rFonts w:ascii="Century Gothic" w:hAnsi="Century Gothic"/>
          <w:lang w:val="en-GB"/>
        </w:rPr>
        <w:t xml:space="preserve">t could </w:t>
      </w:r>
      <w:r w:rsidR="00E825FC" w:rsidRPr="00E27305">
        <w:rPr>
          <w:rFonts w:ascii="Century Gothic" w:hAnsi="Century Gothic"/>
          <w:lang w:val="en-GB"/>
        </w:rPr>
        <w:t xml:space="preserve">thus </w:t>
      </w:r>
      <w:r w:rsidRPr="00E27305">
        <w:rPr>
          <w:rFonts w:ascii="Century Gothic" w:hAnsi="Century Gothic"/>
          <w:lang w:val="en-GB"/>
        </w:rPr>
        <w:t xml:space="preserve">significantly enhance the </w:t>
      </w:r>
      <w:r w:rsidR="00E825FC" w:rsidRPr="00E27305">
        <w:rPr>
          <w:rFonts w:ascii="Century Gothic" w:hAnsi="Century Gothic"/>
          <w:lang w:val="en-GB"/>
        </w:rPr>
        <w:t xml:space="preserve">legal </w:t>
      </w:r>
      <w:r w:rsidRPr="00E27305">
        <w:rPr>
          <w:rFonts w:ascii="Century Gothic" w:hAnsi="Century Gothic"/>
          <w:lang w:val="en-GB"/>
        </w:rPr>
        <w:t xml:space="preserve">position of children since it would clearly indicate the applicability of safeguards guaranteed under Article 37 (b) – (d) to cases of alternative care placement. </w:t>
      </w:r>
    </w:p>
    <w:p w14:paraId="713A3589" w14:textId="6124AA40" w:rsidR="00927F1C" w:rsidRPr="00E27305" w:rsidRDefault="00927F1C" w:rsidP="008B3D38">
      <w:pPr>
        <w:jc w:val="both"/>
        <w:rPr>
          <w:rFonts w:ascii="Century Gothic" w:hAnsi="Century Gothic"/>
          <w:lang w:val="en-GB"/>
        </w:rPr>
      </w:pPr>
    </w:p>
    <w:p w14:paraId="319A900D" w14:textId="354C2665" w:rsidR="00955567" w:rsidRPr="00E27305" w:rsidRDefault="00E27305" w:rsidP="00955567">
      <w:pPr>
        <w:jc w:val="both"/>
        <w:rPr>
          <w:rFonts w:ascii="Century Gothic" w:hAnsi="Century Gothic"/>
          <w:lang w:val="en-GB"/>
        </w:rPr>
      </w:pPr>
      <w:r w:rsidRPr="00E27305">
        <w:rPr>
          <w:rFonts w:ascii="Century Gothic" w:hAnsi="Century Gothic"/>
          <w:lang w:val="en-GB"/>
        </w:rPr>
        <w:lastRenderedPageBreak/>
        <w:t>A more</w:t>
      </w:r>
      <w:r w:rsidR="00E51936" w:rsidRPr="00E27305">
        <w:rPr>
          <w:rFonts w:ascii="Century Gothic" w:hAnsi="Century Gothic"/>
          <w:lang w:val="en-GB"/>
        </w:rPr>
        <w:t xml:space="preserve"> subtle approach to the assessment of </w:t>
      </w:r>
      <w:r w:rsidR="00E825FC" w:rsidRPr="00E27305">
        <w:rPr>
          <w:rFonts w:ascii="Century Gothic" w:hAnsi="Century Gothic"/>
          <w:lang w:val="en-GB"/>
        </w:rPr>
        <w:t xml:space="preserve">deprivation of liberty </w:t>
      </w:r>
      <w:r w:rsidR="00E51936" w:rsidRPr="00E27305">
        <w:rPr>
          <w:rFonts w:ascii="Century Gothic" w:hAnsi="Century Gothic"/>
          <w:lang w:val="en-GB"/>
        </w:rPr>
        <w:t xml:space="preserve">could also serve as another </w:t>
      </w:r>
      <w:r w:rsidR="00E51936" w:rsidRPr="00E27305">
        <w:rPr>
          <w:rFonts w:ascii="Century Gothic" w:hAnsi="Century Gothic"/>
          <w:b/>
          <w:bCs/>
          <w:lang w:val="en-GB"/>
        </w:rPr>
        <w:t>important gatekeeping safeguard</w:t>
      </w:r>
      <w:r w:rsidR="00E825FC" w:rsidRPr="00E27305">
        <w:rPr>
          <w:rFonts w:ascii="Century Gothic" w:hAnsi="Century Gothic"/>
          <w:lang w:val="en-GB"/>
        </w:rPr>
        <w:t>.</w:t>
      </w:r>
      <w:r w:rsidR="00E51936" w:rsidRPr="00E27305">
        <w:rPr>
          <w:rFonts w:ascii="Century Gothic" w:hAnsi="Century Gothic"/>
          <w:lang w:val="en-GB"/>
        </w:rPr>
        <w:t xml:space="preserve"> </w:t>
      </w:r>
      <w:r w:rsidR="00E825FC" w:rsidRPr="00E27305">
        <w:rPr>
          <w:rFonts w:ascii="Century Gothic" w:hAnsi="Century Gothic"/>
          <w:lang w:val="en-GB"/>
        </w:rPr>
        <w:t>I</w:t>
      </w:r>
      <w:r w:rsidR="00E51936" w:rsidRPr="00E27305">
        <w:rPr>
          <w:rFonts w:ascii="Century Gothic" w:hAnsi="Century Gothic"/>
          <w:lang w:val="en-GB"/>
        </w:rPr>
        <w:t>t could protect especially those children who are no longer dependent on care, typically adolescents</w:t>
      </w:r>
      <w:r w:rsidR="00E51936" w:rsidRPr="00E27305">
        <w:rPr>
          <w:rStyle w:val="FootnoteReference"/>
          <w:rFonts w:ascii="Century Gothic" w:hAnsi="Century Gothic"/>
          <w:lang w:val="en-GB"/>
        </w:rPr>
        <w:footnoteReference w:id="19"/>
      </w:r>
      <w:r w:rsidR="00E51936" w:rsidRPr="00E27305">
        <w:rPr>
          <w:rFonts w:ascii="Century Gothic" w:hAnsi="Century Gothic"/>
          <w:lang w:val="en-GB"/>
        </w:rPr>
        <w:t>, but who should be eventually offered other types of support</w:t>
      </w:r>
      <w:r w:rsidR="00955567" w:rsidRPr="00E27305">
        <w:rPr>
          <w:rFonts w:ascii="Century Gothic" w:hAnsi="Century Gothic"/>
          <w:lang w:val="en-GB"/>
        </w:rPr>
        <w:t>, including supported and social housing</w:t>
      </w:r>
      <w:r w:rsidR="00E51936" w:rsidRPr="00E27305">
        <w:rPr>
          <w:rFonts w:ascii="Century Gothic" w:hAnsi="Century Gothic"/>
          <w:lang w:val="en-GB"/>
        </w:rPr>
        <w:t>. The decision</w:t>
      </w:r>
      <w:r w:rsidR="00955567" w:rsidRPr="00E27305">
        <w:rPr>
          <w:rFonts w:ascii="Century Gothic" w:hAnsi="Century Gothic"/>
          <w:lang w:val="en-GB"/>
        </w:rPr>
        <w:t xml:space="preserve">-making bodies would always have to deal with the question of whether or not it is necessary to deprive a child of her personal liberty when deciding about separating her from her family and placing her in alternative care. </w:t>
      </w:r>
    </w:p>
    <w:p w14:paraId="07737AD2" w14:textId="743B8F98" w:rsidR="00955567" w:rsidRPr="00E27305" w:rsidRDefault="00955567" w:rsidP="00955567">
      <w:pPr>
        <w:jc w:val="both"/>
        <w:rPr>
          <w:rFonts w:ascii="Century Gothic" w:hAnsi="Century Gothic"/>
          <w:lang w:val="en-GB"/>
        </w:rPr>
      </w:pPr>
    </w:p>
    <w:p w14:paraId="2C00BB19" w14:textId="31BDB09B" w:rsidR="00955567" w:rsidRPr="00E27305" w:rsidRDefault="00955567" w:rsidP="00955567">
      <w:pPr>
        <w:jc w:val="both"/>
        <w:rPr>
          <w:rFonts w:ascii="Century Gothic" w:hAnsi="Century Gothic"/>
          <w:lang w:val="en-GB"/>
        </w:rPr>
      </w:pPr>
      <w:r w:rsidRPr="00E27305">
        <w:rPr>
          <w:rFonts w:ascii="Century Gothic" w:hAnsi="Century Gothic"/>
          <w:lang w:val="en-GB"/>
        </w:rPr>
        <w:t xml:space="preserve">Furthermore, the systemic application of the acid test to cases of alternative care would open the doors to a </w:t>
      </w:r>
      <w:r w:rsidRPr="00E27305">
        <w:rPr>
          <w:rFonts w:ascii="Century Gothic" w:hAnsi="Century Gothic"/>
          <w:b/>
          <w:bCs/>
          <w:lang w:val="en-GB"/>
        </w:rPr>
        <w:t>CRC-compliant interpretation of Article 5 (d) of the ECHR</w:t>
      </w:r>
      <w:r w:rsidRPr="00E27305">
        <w:rPr>
          <w:rFonts w:ascii="Century Gothic" w:hAnsi="Century Gothic"/>
          <w:lang w:val="en-GB"/>
        </w:rPr>
        <w:t xml:space="preserve"> that would no longer have to be understood as covering correctional placements of children in closed educational facilities, but on the contrary as reflecting the modern approach to the deprivation of liberty assessment. </w:t>
      </w:r>
    </w:p>
    <w:p w14:paraId="552CEA39" w14:textId="37226439" w:rsidR="00955567" w:rsidRPr="00E27305" w:rsidRDefault="00955567" w:rsidP="00955567">
      <w:pPr>
        <w:jc w:val="both"/>
        <w:rPr>
          <w:rFonts w:ascii="Century Gothic" w:hAnsi="Century Gothic"/>
          <w:lang w:val="en-GB"/>
        </w:rPr>
      </w:pPr>
    </w:p>
    <w:p w14:paraId="3D6BBE8A" w14:textId="421E99AD" w:rsidR="00955567" w:rsidRDefault="00955567" w:rsidP="00955567">
      <w:pPr>
        <w:pStyle w:val="Heading1"/>
        <w:rPr>
          <w:rFonts w:ascii="Century Gothic" w:hAnsi="Century Gothic"/>
          <w:lang w:val="en-GB"/>
        </w:rPr>
      </w:pPr>
      <w:bookmarkStart w:id="6" w:name="_Toc74034876"/>
      <w:r w:rsidRPr="00E27305">
        <w:rPr>
          <w:rFonts w:ascii="Century Gothic" w:hAnsi="Century Gothic"/>
          <w:lang w:val="en-GB"/>
        </w:rPr>
        <w:t>CONCLUSIONS</w:t>
      </w:r>
      <w:bookmarkEnd w:id="6"/>
    </w:p>
    <w:p w14:paraId="2AFA6AF9" w14:textId="77777777" w:rsidR="00DD7D71" w:rsidRPr="00DD7D71" w:rsidRDefault="00DD7D71" w:rsidP="00DD7D71">
      <w:pPr>
        <w:rPr>
          <w:lang w:val="en-GB"/>
        </w:rPr>
      </w:pPr>
    </w:p>
    <w:p w14:paraId="630920A7" w14:textId="04AB8AAE" w:rsidR="00DD1942" w:rsidRPr="00E27305" w:rsidRDefault="0065107A" w:rsidP="006810A4">
      <w:pPr>
        <w:pStyle w:val="ListParagraph"/>
        <w:numPr>
          <w:ilvl w:val="0"/>
          <w:numId w:val="3"/>
        </w:numPr>
        <w:spacing w:line="276" w:lineRule="auto"/>
        <w:jc w:val="both"/>
        <w:rPr>
          <w:rFonts w:ascii="Century Gothic" w:hAnsi="Century Gothic"/>
          <w:b/>
          <w:bCs/>
          <w:lang w:val="en-GB"/>
        </w:rPr>
      </w:pPr>
      <w:r w:rsidRPr="00E27305">
        <w:rPr>
          <w:rFonts w:ascii="Century Gothic" w:hAnsi="Century Gothic"/>
          <w:b/>
          <w:bCs/>
          <w:lang w:val="en-GB"/>
        </w:rPr>
        <w:t xml:space="preserve">Only a threat to the child's absolute rights from his parents should constitute legitimate grounds for </w:t>
      </w:r>
      <w:r w:rsidR="00E27305" w:rsidRPr="00E27305">
        <w:rPr>
          <w:rFonts w:ascii="Century Gothic" w:hAnsi="Century Gothic"/>
          <w:b/>
          <w:bCs/>
          <w:lang w:val="en-GB"/>
        </w:rPr>
        <w:t xml:space="preserve">the </w:t>
      </w:r>
      <w:r w:rsidRPr="00E27305">
        <w:rPr>
          <w:rFonts w:ascii="Century Gothic" w:hAnsi="Century Gothic"/>
          <w:b/>
          <w:bCs/>
          <w:lang w:val="en-GB"/>
        </w:rPr>
        <w:t>forced separation of the child from her family.</w:t>
      </w:r>
    </w:p>
    <w:p w14:paraId="778DEDFD" w14:textId="26FDC846" w:rsidR="0065107A" w:rsidRPr="00E27305" w:rsidRDefault="0065107A" w:rsidP="006810A4">
      <w:pPr>
        <w:pStyle w:val="ListParagraph"/>
        <w:numPr>
          <w:ilvl w:val="0"/>
          <w:numId w:val="3"/>
        </w:numPr>
        <w:spacing w:line="276" w:lineRule="auto"/>
        <w:jc w:val="both"/>
        <w:rPr>
          <w:rFonts w:ascii="Century Gothic" w:hAnsi="Century Gothic"/>
          <w:b/>
          <w:bCs/>
          <w:lang w:val="en-GB"/>
        </w:rPr>
      </w:pPr>
      <w:r w:rsidRPr="00E27305">
        <w:rPr>
          <w:rFonts w:ascii="Century Gothic" w:hAnsi="Century Gothic"/>
          <w:b/>
          <w:bCs/>
          <w:lang w:val="en-GB"/>
        </w:rPr>
        <w:t xml:space="preserve">To ensure that the forced separation </w:t>
      </w:r>
      <w:r w:rsidR="00671385" w:rsidRPr="00E27305">
        <w:rPr>
          <w:rFonts w:ascii="Century Gothic" w:hAnsi="Century Gothic"/>
          <w:b/>
          <w:bCs/>
          <w:lang w:val="en-GB"/>
        </w:rPr>
        <w:t>is</w:t>
      </w:r>
      <w:r w:rsidRPr="00E27305">
        <w:rPr>
          <w:rFonts w:ascii="Century Gothic" w:hAnsi="Century Gothic"/>
          <w:b/>
          <w:bCs/>
          <w:lang w:val="en-GB"/>
        </w:rPr>
        <w:t xml:space="preserve"> proportionate, the threat needs to reach the threshold of </w:t>
      </w:r>
      <w:r w:rsidR="00AE47B3" w:rsidRPr="00E27305">
        <w:rPr>
          <w:rFonts w:ascii="Century Gothic" w:hAnsi="Century Gothic"/>
          <w:b/>
          <w:bCs/>
          <w:lang w:val="en-GB"/>
        </w:rPr>
        <w:t>gravity</w:t>
      </w:r>
      <w:r w:rsidRPr="00E27305">
        <w:rPr>
          <w:rFonts w:ascii="Century Gothic" w:hAnsi="Century Gothic"/>
          <w:b/>
          <w:bCs/>
          <w:lang w:val="en-GB"/>
        </w:rPr>
        <w:t xml:space="preserve"> and probability.</w:t>
      </w:r>
    </w:p>
    <w:p w14:paraId="1829A5DE" w14:textId="3E5D73C2" w:rsidR="0065107A" w:rsidRPr="00E27305" w:rsidRDefault="0065107A" w:rsidP="006810A4">
      <w:pPr>
        <w:pStyle w:val="ListParagraph"/>
        <w:numPr>
          <w:ilvl w:val="0"/>
          <w:numId w:val="3"/>
        </w:numPr>
        <w:spacing w:line="276" w:lineRule="auto"/>
        <w:jc w:val="both"/>
        <w:rPr>
          <w:rFonts w:ascii="Century Gothic" w:hAnsi="Century Gothic"/>
          <w:b/>
          <w:bCs/>
          <w:lang w:val="en-GB"/>
        </w:rPr>
      </w:pPr>
      <w:r w:rsidRPr="00E27305">
        <w:rPr>
          <w:rFonts w:ascii="Century Gothic" w:hAnsi="Century Gothic"/>
          <w:b/>
          <w:bCs/>
          <w:lang w:val="en-GB"/>
        </w:rPr>
        <w:t>National legislations have to be very clear on the legitimacy and proportionality of forced separation of children from her family</w:t>
      </w:r>
      <w:r w:rsidR="00671385" w:rsidRPr="00E27305">
        <w:rPr>
          <w:rFonts w:ascii="Century Gothic" w:hAnsi="Century Gothic"/>
          <w:b/>
          <w:bCs/>
          <w:lang w:val="en-GB"/>
        </w:rPr>
        <w:t>, don’t</w:t>
      </w:r>
      <w:r w:rsidR="00C07695" w:rsidRPr="00E27305">
        <w:rPr>
          <w:rFonts w:ascii="Century Gothic" w:hAnsi="Century Gothic"/>
          <w:b/>
          <w:bCs/>
          <w:lang w:val="en-GB"/>
        </w:rPr>
        <w:t xml:space="preserve"> include vague terms</w:t>
      </w:r>
      <w:r w:rsidR="00671385" w:rsidRPr="00E27305">
        <w:rPr>
          <w:rFonts w:ascii="Century Gothic" w:hAnsi="Century Gothic"/>
          <w:b/>
          <w:bCs/>
          <w:lang w:val="en-GB"/>
        </w:rPr>
        <w:t xml:space="preserve"> like “protection”</w:t>
      </w:r>
      <w:r w:rsidR="00C07695" w:rsidRPr="00E27305">
        <w:rPr>
          <w:rFonts w:ascii="Century Gothic" w:hAnsi="Century Gothic"/>
          <w:b/>
          <w:bCs/>
          <w:lang w:val="en-GB"/>
        </w:rPr>
        <w:t xml:space="preserve"> </w:t>
      </w:r>
      <w:r w:rsidR="00671385" w:rsidRPr="00E27305">
        <w:rPr>
          <w:rFonts w:ascii="Century Gothic" w:hAnsi="Century Gothic"/>
          <w:b/>
          <w:bCs/>
          <w:lang w:val="en-GB"/>
        </w:rPr>
        <w:t>or</w:t>
      </w:r>
      <w:r w:rsidR="00C07695" w:rsidRPr="00E27305">
        <w:rPr>
          <w:rFonts w:ascii="Century Gothic" w:hAnsi="Century Gothic"/>
          <w:b/>
          <w:bCs/>
          <w:lang w:val="en-GB"/>
        </w:rPr>
        <w:t xml:space="preserve"> refer to positively defined models of care like “proper upbringing”. </w:t>
      </w:r>
    </w:p>
    <w:p w14:paraId="4C5C1209" w14:textId="2C60B011" w:rsidR="0065107A" w:rsidRPr="00E27305" w:rsidRDefault="0065107A" w:rsidP="006810A4">
      <w:pPr>
        <w:pStyle w:val="ListParagraph"/>
        <w:numPr>
          <w:ilvl w:val="0"/>
          <w:numId w:val="3"/>
        </w:numPr>
        <w:spacing w:line="276" w:lineRule="auto"/>
        <w:jc w:val="both"/>
        <w:rPr>
          <w:rFonts w:ascii="Century Gothic" w:hAnsi="Century Gothic"/>
          <w:b/>
          <w:bCs/>
          <w:lang w:val="en-GB"/>
        </w:rPr>
      </w:pPr>
      <w:r w:rsidRPr="00E27305">
        <w:rPr>
          <w:rFonts w:ascii="Century Gothic" w:hAnsi="Century Gothic"/>
          <w:b/>
          <w:bCs/>
          <w:lang w:val="en-GB"/>
        </w:rPr>
        <w:t xml:space="preserve">Forced separation should never be adopted in reaction to self-inflicted threats of a child, classified often as </w:t>
      </w:r>
      <w:r w:rsidR="00671385" w:rsidRPr="00E27305">
        <w:rPr>
          <w:rFonts w:ascii="Century Gothic" w:hAnsi="Century Gothic"/>
          <w:b/>
          <w:bCs/>
          <w:lang w:val="en-GB"/>
        </w:rPr>
        <w:t xml:space="preserve">her </w:t>
      </w:r>
      <w:r w:rsidRPr="00E27305">
        <w:rPr>
          <w:rFonts w:ascii="Century Gothic" w:hAnsi="Century Gothic"/>
          <w:b/>
          <w:bCs/>
          <w:lang w:val="en-GB"/>
        </w:rPr>
        <w:t xml:space="preserve">risky or antisocial behaviour. </w:t>
      </w:r>
    </w:p>
    <w:p w14:paraId="7D85A50C" w14:textId="32C6B341" w:rsidR="0065107A" w:rsidRDefault="0065107A" w:rsidP="006810A4">
      <w:pPr>
        <w:pStyle w:val="ListParagraph"/>
        <w:numPr>
          <w:ilvl w:val="0"/>
          <w:numId w:val="3"/>
        </w:numPr>
        <w:spacing w:line="276" w:lineRule="auto"/>
        <w:jc w:val="both"/>
        <w:rPr>
          <w:rFonts w:ascii="Century Gothic" w:hAnsi="Century Gothic"/>
          <w:b/>
          <w:bCs/>
          <w:lang w:val="en-GB"/>
        </w:rPr>
      </w:pPr>
      <w:r w:rsidRPr="00E27305">
        <w:rPr>
          <w:rFonts w:ascii="Century Gothic" w:hAnsi="Century Gothic"/>
          <w:b/>
          <w:bCs/>
          <w:lang w:val="en-GB"/>
        </w:rPr>
        <w:t xml:space="preserve">The assessment of deprivation of liberty should be reconsidered according to the acid test to cover also </w:t>
      </w:r>
      <w:r w:rsidR="00671385" w:rsidRPr="00E27305">
        <w:rPr>
          <w:rFonts w:ascii="Century Gothic" w:hAnsi="Century Gothic"/>
          <w:b/>
          <w:bCs/>
          <w:lang w:val="en-GB"/>
        </w:rPr>
        <w:t xml:space="preserve">alternative care arrangements where the child is </w:t>
      </w:r>
      <w:r w:rsidRPr="00E27305">
        <w:rPr>
          <w:rFonts w:ascii="Century Gothic" w:hAnsi="Century Gothic"/>
          <w:b/>
          <w:bCs/>
          <w:lang w:val="en-GB"/>
        </w:rPr>
        <w:t>subjected to continuous control and supervision and is not allowed to leave.</w:t>
      </w:r>
    </w:p>
    <w:p w14:paraId="59B16AC2" w14:textId="065972BD" w:rsidR="002F2E0C" w:rsidRDefault="002F2E0C" w:rsidP="002F2E0C">
      <w:pPr>
        <w:jc w:val="both"/>
        <w:rPr>
          <w:rFonts w:ascii="Century Gothic" w:hAnsi="Century Gothic"/>
          <w:b/>
          <w:bCs/>
          <w:lang w:val="en-GB"/>
        </w:rPr>
      </w:pPr>
    </w:p>
    <w:p w14:paraId="30938378" w14:textId="26275F06" w:rsidR="002F2E0C" w:rsidRDefault="002F2E0C" w:rsidP="002F2E0C">
      <w:pPr>
        <w:jc w:val="right"/>
        <w:rPr>
          <w:rFonts w:ascii="Century Gothic" w:hAnsi="Century Gothic"/>
          <w:b/>
          <w:bCs/>
          <w:lang w:val="en-GB"/>
        </w:rPr>
      </w:pPr>
    </w:p>
    <w:p w14:paraId="4F752725" w14:textId="51E1885A" w:rsidR="002F2E0C" w:rsidRPr="002F2E0C" w:rsidRDefault="002F2E0C" w:rsidP="002F2E0C">
      <w:pPr>
        <w:jc w:val="right"/>
        <w:rPr>
          <w:rFonts w:ascii="Century Gothic" w:hAnsi="Century Gothic"/>
          <w:lang w:val="en-GB"/>
        </w:rPr>
      </w:pPr>
      <w:r w:rsidRPr="002F2E0C">
        <w:rPr>
          <w:rFonts w:ascii="Century Gothic" w:hAnsi="Century Gothic"/>
          <w:lang w:val="en-GB"/>
        </w:rPr>
        <w:t>Anna Hofschneiderová</w:t>
      </w:r>
    </w:p>
    <w:p w14:paraId="5438D802" w14:textId="1FE1AC44" w:rsidR="002F2E0C" w:rsidRDefault="002F2E0C" w:rsidP="002F2E0C">
      <w:pPr>
        <w:jc w:val="right"/>
        <w:rPr>
          <w:rFonts w:ascii="Century Gothic" w:hAnsi="Century Gothic"/>
          <w:b/>
          <w:bCs/>
          <w:lang w:val="en-GB"/>
        </w:rPr>
      </w:pPr>
      <w:r w:rsidRPr="002F2E0C">
        <w:rPr>
          <w:rFonts w:ascii="Century Gothic" w:hAnsi="Century Gothic"/>
          <w:lang w:val="en-GB"/>
        </w:rPr>
        <w:t>Senior Lawyer,</w:t>
      </w:r>
      <w:r>
        <w:rPr>
          <w:rFonts w:ascii="Century Gothic" w:hAnsi="Century Gothic"/>
          <w:b/>
          <w:bCs/>
          <w:lang w:val="en-GB"/>
        </w:rPr>
        <w:t xml:space="preserve"> FORUM</w:t>
      </w:r>
    </w:p>
    <w:p w14:paraId="2F9A7862" w14:textId="1CE3D1C5" w:rsidR="002F2E0C" w:rsidRDefault="002F2E0C" w:rsidP="002F2E0C">
      <w:pPr>
        <w:jc w:val="right"/>
        <w:rPr>
          <w:rFonts w:ascii="Century Gothic" w:hAnsi="Century Gothic"/>
          <w:b/>
          <w:bCs/>
          <w:lang w:val="en-GB"/>
        </w:rPr>
      </w:pPr>
    </w:p>
    <w:p w14:paraId="6AF32B0F" w14:textId="77777777" w:rsidR="003641E4" w:rsidRDefault="003641E4" w:rsidP="002F2E0C">
      <w:pPr>
        <w:jc w:val="right"/>
        <w:rPr>
          <w:rFonts w:ascii="Century Gothic" w:hAnsi="Century Gothic"/>
          <w:b/>
          <w:bCs/>
          <w:lang w:val="en-GB"/>
        </w:rPr>
      </w:pPr>
    </w:p>
    <w:p w14:paraId="7A35A1AC" w14:textId="62990164" w:rsidR="002F2E0C" w:rsidRPr="002F2E0C" w:rsidRDefault="002F2E0C" w:rsidP="002F2E0C">
      <w:pPr>
        <w:jc w:val="right"/>
        <w:rPr>
          <w:rFonts w:ascii="Century Gothic" w:hAnsi="Century Gothic"/>
          <w:lang w:val="en-GB"/>
        </w:rPr>
      </w:pPr>
      <w:r w:rsidRPr="002F2E0C">
        <w:rPr>
          <w:rFonts w:ascii="Century Gothic" w:hAnsi="Century Gothic"/>
          <w:lang w:val="en-GB"/>
        </w:rPr>
        <w:t>Maroš Matiaško</w:t>
      </w:r>
    </w:p>
    <w:p w14:paraId="22D73C9C" w14:textId="5E3273EF" w:rsidR="002F2E0C" w:rsidRPr="002F2E0C" w:rsidRDefault="002F2E0C" w:rsidP="002F2E0C">
      <w:pPr>
        <w:jc w:val="right"/>
        <w:rPr>
          <w:rFonts w:ascii="Century Gothic" w:hAnsi="Century Gothic"/>
          <w:b/>
          <w:bCs/>
          <w:lang w:val="en-GB"/>
        </w:rPr>
      </w:pPr>
      <w:r w:rsidRPr="002F2E0C">
        <w:rPr>
          <w:rFonts w:ascii="Century Gothic" w:hAnsi="Century Gothic"/>
          <w:lang w:val="en-GB"/>
        </w:rPr>
        <w:t>Senior</w:t>
      </w:r>
      <w:r w:rsidR="00061456">
        <w:rPr>
          <w:rFonts w:ascii="Century Gothic" w:hAnsi="Century Gothic"/>
          <w:lang w:val="en-GB"/>
        </w:rPr>
        <w:t xml:space="preserve"> Human Rights</w:t>
      </w:r>
      <w:r w:rsidRPr="002F2E0C">
        <w:rPr>
          <w:rFonts w:ascii="Century Gothic" w:hAnsi="Century Gothic"/>
          <w:lang w:val="en-GB"/>
        </w:rPr>
        <w:t xml:space="preserve"> Lawyer,</w:t>
      </w:r>
      <w:r>
        <w:rPr>
          <w:rFonts w:ascii="Century Gothic" w:hAnsi="Century Gothic"/>
          <w:b/>
          <w:bCs/>
          <w:lang w:val="en-GB"/>
        </w:rPr>
        <w:t xml:space="preserve"> FORUM</w:t>
      </w:r>
    </w:p>
    <w:sectPr w:rsidR="002F2E0C" w:rsidRPr="002F2E0C" w:rsidSect="0013162D">
      <w:footerReference w:type="even" r:id="rId9"/>
      <w:foot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35A66" w14:textId="77777777" w:rsidR="00943FBD" w:rsidRDefault="00943FBD" w:rsidP="00E5714D">
      <w:r>
        <w:separator/>
      </w:r>
    </w:p>
  </w:endnote>
  <w:endnote w:type="continuationSeparator" w:id="0">
    <w:p w14:paraId="7F9A5173" w14:textId="77777777" w:rsidR="00943FBD" w:rsidRDefault="00943FBD" w:rsidP="00E5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0972387"/>
      <w:docPartObj>
        <w:docPartGallery w:val="Page Numbers (Bottom of Page)"/>
        <w:docPartUnique/>
      </w:docPartObj>
    </w:sdtPr>
    <w:sdtEndPr>
      <w:rPr>
        <w:rStyle w:val="PageNumber"/>
      </w:rPr>
    </w:sdtEndPr>
    <w:sdtContent>
      <w:p w14:paraId="422675A2" w14:textId="1ADFAA80" w:rsidR="00E27305" w:rsidRDefault="00E27305" w:rsidP="00F25F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C29A5" w14:textId="77777777" w:rsidR="00E27305" w:rsidRDefault="00E27305" w:rsidP="00E27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3720748"/>
      <w:docPartObj>
        <w:docPartGallery w:val="Page Numbers (Bottom of Page)"/>
        <w:docPartUnique/>
      </w:docPartObj>
    </w:sdtPr>
    <w:sdtEndPr>
      <w:rPr>
        <w:rStyle w:val="PageNumber"/>
      </w:rPr>
    </w:sdtEndPr>
    <w:sdtContent>
      <w:p w14:paraId="41CB6F0B" w14:textId="1247DCDE" w:rsidR="00E27305" w:rsidRDefault="00E27305" w:rsidP="00F25F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25C8B">
          <w:rPr>
            <w:rStyle w:val="PageNumber"/>
            <w:noProof/>
          </w:rPr>
          <w:t>8</w:t>
        </w:r>
        <w:r>
          <w:rPr>
            <w:rStyle w:val="PageNumber"/>
          </w:rPr>
          <w:fldChar w:fldCharType="end"/>
        </w:r>
      </w:p>
    </w:sdtContent>
  </w:sdt>
  <w:p w14:paraId="5237CD4A" w14:textId="77777777" w:rsidR="00E27305" w:rsidRDefault="00E27305" w:rsidP="00E273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2CF27" w14:textId="77777777" w:rsidR="00943FBD" w:rsidRDefault="00943FBD" w:rsidP="00E5714D">
      <w:r>
        <w:separator/>
      </w:r>
    </w:p>
  </w:footnote>
  <w:footnote w:type="continuationSeparator" w:id="0">
    <w:p w14:paraId="48848AAC" w14:textId="77777777" w:rsidR="00943FBD" w:rsidRDefault="00943FBD" w:rsidP="00E5714D">
      <w:r>
        <w:continuationSeparator/>
      </w:r>
    </w:p>
  </w:footnote>
  <w:footnote w:id="1">
    <w:p w14:paraId="6F0171AF" w14:textId="6F1BFACB" w:rsidR="0013162D" w:rsidRPr="0013162D" w:rsidRDefault="0013162D" w:rsidP="0013162D">
      <w:pPr>
        <w:jc w:val="both"/>
        <w:rPr>
          <w:rFonts w:ascii="Century Gothic" w:hAnsi="Century Gothic" w:cs="Times New Roman"/>
          <w:sz w:val="20"/>
          <w:szCs w:val="20"/>
          <w:lang w:eastAsia="cs-CZ"/>
        </w:rPr>
      </w:pPr>
      <w:r>
        <w:rPr>
          <w:rStyle w:val="FootnoteReference"/>
        </w:rPr>
        <w:footnoteRef/>
      </w:r>
      <w:r>
        <w:t xml:space="preserve"> </w:t>
      </w:r>
      <w:r w:rsidRPr="0013162D">
        <w:rPr>
          <w:rFonts w:ascii="Century Gothic" w:eastAsia="Century Gothic" w:hAnsi="Century Gothic" w:cs="Century Gothic"/>
          <w:b/>
          <w:bCs/>
          <w:sz w:val="20"/>
          <w:szCs w:val="20"/>
          <w:lang w:val="en-GB"/>
        </w:rPr>
        <w:t>FORUM</w:t>
      </w:r>
      <w:r w:rsidRPr="0013162D">
        <w:rPr>
          <w:rFonts w:ascii="Century Gothic" w:eastAsia="Century Gothic" w:hAnsi="Century Gothic" w:cs="Century Gothic"/>
          <w:sz w:val="20"/>
          <w:szCs w:val="20"/>
          <w:lang w:val="en-GB"/>
        </w:rPr>
        <w:t xml:space="preserve"> is an international human rights organisation active in the Central European region. It provides support to domestic and international human rights organisations in advocacy and litigation . FORUM has been supporting a number of cases pending before domestic judicial authorities and before the European Court of Human Rights. FORUM has authored and co-authored a number of reports and has provided information to UN and Council of Europe bodies on the situation in the Central European region, especially in Slovakia and Czechia. For more information, please visit </w:t>
      </w:r>
      <w:hyperlink r:id="rId1" w:history="1">
        <w:r w:rsidRPr="0013162D">
          <w:rPr>
            <w:rStyle w:val="Hyperlink"/>
            <w:rFonts w:ascii="Century Gothic" w:eastAsia="Century Gothic" w:hAnsi="Century Gothic" w:cs="Century Gothic"/>
            <w:sz w:val="20"/>
            <w:szCs w:val="20"/>
            <w:lang w:val="en-GB"/>
          </w:rPr>
          <w:t>www.forumhr.eu</w:t>
        </w:r>
      </w:hyperlink>
      <w:r>
        <w:rPr>
          <w:rFonts w:ascii="Century Gothic" w:hAnsi="Century Gothic" w:cs="Times New Roman"/>
          <w:sz w:val="20"/>
          <w:szCs w:val="20"/>
          <w:lang w:eastAsia="cs-CZ"/>
        </w:rPr>
        <w:t>.</w:t>
      </w:r>
    </w:p>
    <w:p w14:paraId="0077F79B" w14:textId="25732745" w:rsidR="0013162D" w:rsidRDefault="0013162D">
      <w:pPr>
        <w:pStyle w:val="FootnoteText"/>
      </w:pPr>
    </w:p>
  </w:footnote>
  <w:footnote w:id="2">
    <w:p w14:paraId="7ADD3096" w14:textId="6C17A0B8" w:rsidR="00E5714D" w:rsidRPr="00E27305" w:rsidRDefault="00E5714D">
      <w:pPr>
        <w:pStyle w:val="FootnoteText"/>
        <w:rPr>
          <w:rFonts w:ascii="Century Gothic" w:hAnsi="Century Gothic"/>
        </w:rPr>
      </w:pPr>
      <w:r>
        <w:rPr>
          <w:rStyle w:val="FootnoteReference"/>
        </w:rPr>
        <w:footnoteRef/>
      </w:r>
      <w:r>
        <w:t xml:space="preserve"> </w:t>
      </w:r>
      <w:r w:rsidR="00C373BC" w:rsidRPr="00E27305">
        <w:rPr>
          <w:rFonts w:ascii="Century Gothic" w:hAnsi="Century Gothic"/>
        </w:rPr>
        <w:t xml:space="preserve">FOUCAULT, M. </w:t>
      </w:r>
      <w:r w:rsidR="00C373BC" w:rsidRPr="00E27305">
        <w:rPr>
          <w:rFonts w:ascii="Century Gothic" w:hAnsi="Century Gothic"/>
          <w:i/>
          <w:iCs/>
        </w:rPr>
        <w:t>Truth and Juridical Forms.</w:t>
      </w:r>
      <w:r w:rsidR="00C373BC" w:rsidRPr="00E27305">
        <w:rPr>
          <w:rFonts w:ascii="Century Gothic" w:hAnsi="Century Gothic"/>
        </w:rPr>
        <w:t xml:space="preserve"> In FOUCAULT, M. </w:t>
      </w:r>
      <w:r w:rsidR="00C373BC" w:rsidRPr="00E27305">
        <w:rPr>
          <w:rFonts w:ascii="Century Gothic" w:hAnsi="Century Gothic"/>
          <w:i/>
          <w:iCs/>
        </w:rPr>
        <w:t xml:space="preserve">Power. Essential Works 1954-84. </w:t>
      </w:r>
      <w:r w:rsidR="00C373BC" w:rsidRPr="00E27305">
        <w:rPr>
          <w:rFonts w:ascii="Century Gothic" w:hAnsi="Century Gothic"/>
        </w:rPr>
        <w:t>London: Penguin Random House UK, 2020. p. 1-133.</w:t>
      </w:r>
    </w:p>
  </w:footnote>
  <w:footnote w:id="3">
    <w:p w14:paraId="6A7B19D5" w14:textId="10DC719A" w:rsidR="0090593A" w:rsidRPr="00E27305" w:rsidRDefault="0090593A">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w:t>
      </w:r>
      <w:r w:rsidR="00C373BC" w:rsidRPr="00E27305">
        <w:rPr>
          <w:rFonts w:ascii="Century Gothic" w:hAnsi="Century Gothic"/>
        </w:rPr>
        <w:t>Ibid.</w:t>
      </w:r>
    </w:p>
  </w:footnote>
  <w:footnote w:id="4">
    <w:p w14:paraId="72802EC6" w14:textId="1D8E4191" w:rsidR="008F7697" w:rsidRPr="00E27305" w:rsidRDefault="008F7697">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w:t>
      </w:r>
      <w:hyperlink r:id="rId2" w:history="1">
        <w:r w:rsidRPr="00E27305">
          <w:rPr>
            <w:rStyle w:val="Hyperlink"/>
            <w:rFonts w:ascii="Century Gothic" w:hAnsi="Century Gothic"/>
          </w:rPr>
          <w:t>https://core.ac.uk/download/pdf/83889.pdf</w:t>
        </w:r>
      </w:hyperlink>
      <w:r w:rsidRPr="00E27305">
        <w:rPr>
          <w:rFonts w:ascii="Century Gothic" w:hAnsi="Century Gothic"/>
        </w:rPr>
        <w:t xml:space="preserve"> </w:t>
      </w:r>
    </w:p>
  </w:footnote>
  <w:footnote w:id="5">
    <w:p w14:paraId="362F659B" w14:textId="34390EBD" w:rsidR="00CA6B84" w:rsidRPr="00E27305" w:rsidRDefault="00CA6B84">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T</w:t>
      </w:r>
      <w:r w:rsidR="00C373BC" w:rsidRPr="00E27305">
        <w:rPr>
          <w:rFonts w:ascii="Century Gothic" w:hAnsi="Century Gothic"/>
        </w:rPr>
        <w:t xml:space="preserve"> FOUCAULT, M. </w:t>
      </w:r>
      <w:r w:rsidR="00C373BC" w:rsidRPr="00E27305">
        <w:rPr>
          <w:rFonts w:ascii="Century Gothic" w:hAnsi="Century Gothic"/>
          <w:i/>
          <w:iCs/>
        </w:rPr>
        <w:t>Truth and Juridical Forms.</w:t>
      </w:r>
      <w:r w:rsidR="00C373BC" w:rsidRPr="00E27305">
        <w:rPr>
          <w:rFonts w:ascii="Century Gothic" w:hAnsi="Century Gothic"/>
        </w:rPr>
        <w:t xml:space="preserve"> In FOUCAULT, M. </w:t>
      </w:r>
      <w:r w:rsidR="00C373BC" w:rsidRPr="00E27305">
        <w:rPr>
          <w:rFonts w:ascii="Century Gothic" w:hAnsi="Century Gothic"/>
          <w:i/>
          <w:iCs/>
        </w:rPr>
        <w:t xml:space="preserve">Power. Essential Works 1954-84. </w:t>
      </w:r>
      <w:r w:rsidR="00C373BC" w:rsidRPr="00E27305">
        <w:rPr>
          <w:rFonts w:ascii="Century Gothic" w:hAnsi="Century Gothic"/>
        </w:rPr>
        <w:t>London: Penguin Random House UK, 2020. p. 1-133.</w:t>
      </w:r>
    </w:p>
  </w:footnote>
  <w:footnote w:id="6">
    <w:p w14:paraId="5DDB5AC6" w14:textId="490D4DCF" w:rsidR="009041E2" w:rsidRPr="00E27305" w:rsidRDefault="009041E2">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Article 5 (1) (d). </w:t>
      </w:r>
    </w:p>
  </w:footnote>
  <w:footnote w:id="7">
    <w:p w14:paraId="5ECE0C81" w14:textId="5E398EE2" w:rsidR="000F6959" w:rsidRPr="00E27305" w:rsidRDefault="000F6959">
      <w:pPr>
        <w:pStyle w:val="FootnoteText"/>
        <w:rPr>
          <w:rFonts w:ascii="Century Gothic" w:hAnsi="Century Gothic"/>
          <w:iCs/>
        </w:rPr>
      </w:pPr>
      <w:r w:rsidRPr="00E27305">
        <w:rPr>
          <w:rStyle w:val="FootnoteReference"/>
          <w:rFonts w:ascii="Century Gothic" w:hAnsi="Century Gothic"/>
        </w:rPr>
        <w:footnoteRef/>
      </w:r>
      <w:r w:rsidRPr="00E27305">
        <w:rPr>
          <w:rFonts w:ascii="Century Gothic" w:hAnsi="Century Gothic"/>
        </w:rPr>
        <w:t xml:space="preserve"> See, </w:t>
      </w:r>
      <w:r w:rsidRPr="00E27305">
        <w:rPr>
          <w:rFonts w:ascii="Century Gothic" w:hAnsi="Century Gothic"/>
          <w:i/>
          <w:iCs/>
        </w:rPr>
        <w:t xml:space="preserve">inter alia, </w:t>
      </w:r>
      <w:r w:rsidRPr="00E27305">
        <w:rPr>
          <w:rFonts w:ascii="Century Gothic" w:hAnsi="Century Gothic"/>
          <w:i/>
        </w:rPr>
        <w:t xml:space="preserve">A. and others v. Bulgaria, </w:t>
      </w:r>
      <w:r w:rsidRPr="00E27305">
        <w:rPr>
          <w:rFonts w:ascii="Century Gothic" w:hAnsi="Century Gothic"/>
          <w:iCs/>
        </w:rPr>
        <w:t xml:space="preserve">judgement of the </w:t>
      </w:r>
      <w:r w:rsidR="00DC577D" w:rsidRPr="00E27305">
        <w:rPr>
          <w:rFonts w:ascii="Century Gothic" w:hAnsi="Century Gothic"/>
          <w:iCs/>
        </w:rPr>
        <w:t>ECtHR</w:t>
      </w:r>
      <w:r w:rsidRPr="00E27305">
        <w:rPr>
          <w:rFonts w:ascii="Century Gothic" w:hAnsi="Century Gothic"/>
          <w:iCs/>
        </w:rPr>
        <w:t xml:space="preserve"> of 29/11/2011, complaint no. 51776/08. </w:t>
      </w:r>
    </w:p>
  </w:footnote>
  <w:footnote w:id="8">
    <w:p w14:paraId="678F3383" w14:textId="2A8DEEB7" w:rsidR="00AD0A3F" w:rsidRPr="00E27305" w:rsidRDefault="00AD0A3F">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w:t>
      </w:r>
      <w:r w:rsidR="00C373BC" w:rsidRPr="00E27305">
        <w:rPr>
          <w:rFonts w:ascii="Century Gothic" w:hAnsi="Century Gothic"/>
        </w:rPr>
        <w:t>A/74/136, para. 62.</w:t>
      </w:r>
    </w:p>
  </w:footnote>
  <w:footnote w:id="9">
    <w:p w14:paraId="33AC90D9" w14:textId="7835422A" w:rsidR="00C373BC" w:rsidRPr="00E27305" w:rsidRDefault="004D09DE">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w:t>
      </w:r>
      <w:r w:rsidR="00597FB8" w:rsidRPr="00E27305">
        <w:rPr>
          <w:rFonts w:ascii="Century Gothic" w:hAnsi="Century Gothic"/>
        </w:rPr>
        <w:t>[2009] 2 SCR 181</w:t>
      </w:r>
      <w:r w:rsidR="00C373BC" w:rsidRPr="00E27305">
        <w:rPr>
          <w:rFonts w:ascii="Century Gothic" w:hAnsi="Century Gothic"/>
        </w:rPr>
        <w:t xml:space="preserve">, para. 222. </w:t>
      </w:r>
    </w:p>
  </w:footnote>
  <w:footnote w:id="10">
    <w:p w14:paraId="2816C165" w14:textId="5E54EEDB" w:rsidR="00824CAA" w:rsidRPr="00E27305" w:rsidRDefault="00824CAA">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CRPD/C/GC/6, para. 9. </w:t>
      </w:r>
    </w:p>
  </w:footnote>
  <w:footnote w:id="11">
    <w:p w14:paraId="31CCE708" w14:textId="764F9478" w:rsidR="00375052" w:rsidRPr="00E27305" w:rsidRDefault="00375052">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CRPD/C/GC/6, para. 11. </w:t>
      </w:r>
    </w:p>
  </w:footnote>
  <w:footnote w:id="12">
    <w:p w14:paraId="0A45FAA0" w14:textId="5209ECDB" w:rsidR="00F50F45" w:rsidRPr="00E27305" w:rsidRDefault="00F50F45">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CRC/C/GC/14, para. 61.</w:t>
      </w:r>
    </w:p>
  </w:footnote>
  <w:footnote w:id="13">
    <w:p w14:paraId="00764AA1" w14:textId="688D2116" w:rsidR="0078044D" w:rsidRPr="00E27305" w:rsidRDefault="0078044D">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Ibid.</w:t>
      </w:r>
    </w:p>
  </w:footnote>
  <w:footnote w:id="14">
    <w:p w14:paraId="4CAB931A" w14:textId="361A59F0" w:rsidR="00CF273E" w:rsidRDefault="00CF273E">
      <w:pPr>
        <w:pStyle w:val="FootnoteText"/>
      </w:pPr>
      <w:r>
        <w:rPr>
          <w:rStyle w:val="FootnoteReference"/>
        </w:rPr>
        <w:footnoteRef/>
      </w:r>
      <w:r>
        <w:t xml:space="preserve"> </w:t>
      </w:r>
      <w:r w:rsidRPr="00E27305">
        <w:rPr>
          <w:rFonts w:ascii="Century Gothic" w:hAnsi="Century Gothic"/>
        </w:rPr>
        <w:t>ECtHR. Guide on Article 8 of the ECHR, updated to 31/12/2020, para. 15.</w:t>
      </w:r>
    </w:p>
  </w:footnote>
  <w:footnote w:id="15">
    <w:p w14:paraId="718E1663" w14:textId="77C18592" w:rsidR="00D15E09" w:rsidRPr="00E27305" w:rsidRDefault="00D15E09">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w:t>
      </w:r>
      <w:r w:rsidR="00DC577D" w:rsidRPr="00E27305">
        <w:rPr>
          <w:rFonts w:ascii="Century Gothic" w:hAnsi="Century Gothic"/>
        </w:rPr>
        <w:t xml:space="preserve">The Committee’s GC no. 21 is an exellent example of this approach. </w:t>
      </w:r>
    </w:p>
  </w:footnote>
  <w:footnote w:id="16">
    <w:p w14:paraId="10BE3612" w14:textId="44C39F86" w:rsidR="00522724" w:rsidRPr="00E27305" w:rsidRDefault="00522724">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CRC/C/GC/21, para. 44. </w:t>
      </w:r>
    </w:p>
  </w:footnote>
  <w:footnote w:id="17">
    <w:p w14:paraId="285859EE" w14:textId="7219327D" w:rsidR="00DC577D" w:rsidRPr="00E27305" w:rsidRDefault="00BC162C">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w:t>
      </w:r>
      <w:r w:rsidR="00DC577D" w:rsidRPr="00E27305">
        <w:rPr>
          <w:rFonts w:ascii="Century Gothic" w:hAnsi="Century Gothic"/>
        </w:rPr>
        <w:t xml:space="preserve">[2014] UKSC 19. </w:t>
      </w:r>
    </w:p>
  </w:footnote>
  <w:footnote w:id="18">
    <w:p w14:paraId="7B95831E" w14:textId="64C9EEE6" w:rsidR="00CD3166" w:rsidRPr="00014D90" w:rsidRDefault="0095004D" w:rsidP="00CD3166">
      <w:pPr>
        <w:rPr>
          <w:rFonts w:ascii="Times New Roman" w:eastAsia="Times New Roman" w:hAnsi="Times New Roman" w:cs="Times New Roman"/>
          <w:sz w:val="20"/>
          <w:szCs w:val="20"/>
          <w:lang w:eastAsia="cs-CZ"/>
        </w:rPr>
      </w:pPr>
      <w:r w:rsidRPr="00E27305">
        <w:rPr>
          <w:rStyle w:val="FootnoteReference"/>
          <w:rFonts w:ascii="Century Gothic" w:hAnsi="Century Gothic"/>
        </w:rPr>
        <w:footnoteRef/>
      </w:r>
      <w:r w:rsidRPr="00E27305">
        <w:rPr>
          <w:rFonts w:ascii="Century Gothic" w:hAnsi="Century Gothic"/>
        </w:rPr>
        <w:t xml:space="preserve"> </w:t>
      </w:r>
      <w:r w:rsidR="00DC577D" w:rsidRPr="00014D90">
        <w:rPr>
          <w:rFonts w:ascii="Century Gothic" w:hAnsi="Century Gothic"/>
          <w:sz w:val="20"/>
          <w:szCs w:val="20"/>
        </w:rPr>
        <w:t>40 EHRR 761</w:t>
      </w:r>
      <w:r w:rsidR="00014D90" w:rsidRPr="00014D90">
        <w:rPr>
          <w:rFonts w:ascii="Century Gothic" w:hAnsi="Century Gothic"/>
          <w:sz w:val="20"/>
          <w:szCs w:val="20"/>
        </w:rPr>
        <w:t>.</w:t>
      </w:r>
    </w:p>
    <w:p w14:paraId="488E1735" w14:textId="31D4005F" w:rsidR="00DC577D" w:rsidRPr="00E27305" w:rsidRDefault="00DC577D">
      <w:pPr>
        <w:pStyle w:val="FootnoteText"/>
        <w:rPr>
          <w:rFonts w:ascii="Century Gothic" w:hAnsi="Century Gothic"/>
        </w:rPr>
      </w:pPr>
    </w:p>
  </w:footnote>
  <w:footnote w:id="19">
    <w:p w14:paraId="67943460" w14:textId="6938B085" w:rsidR="00E51936" w:rsidRPr="00E27305" w:rsidRDefault="00E51936">
      <w:pPr>
        <w:pStyle w:val="FootnoteText"/>
        <w:rPr>
          <w:rFonts w:ascii="Century Gothic" w:hAnsi="Century Gothic"/>
        </w:rPr>
      </w:pPr>
      <w:r w:rsidRPr="00E27305">
        <w:rPr>
          <w:rStyle w:val="FootnoteReference"/>
          <w:rFonts w:ascii="Century Gothic" w:hAnsi="Century Gothic"/>
        </w:rPr>
        <w:footnoteRef/>
      </w:r>
      <w:r w:rsidRPr="00E27305">
        <w:rPr>
          <w:rFonts w:ascii="Century Gothic" w:hAnsi="Century Gothic"/>
        </w:rPr>
        <w:t xml:space="preserve"> See CRC/C/GC/20, paras. 18 – 20 and 39 – 40.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30A"/>
    <w:multiLevelType w:val="hybridMultilevel"/>
    <w:tmpl w:val="1E96AB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885E8B"/>
    <w:multiLevelType w:val="hybridMultilevel"/>
    <w:tmpl w:val="79DED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670CAA"/>
    <w:multiLevelType w:val="hybridMultilevel"/>
    <w:tmpl w:val="FD460E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CF48C9"/>
    <w:multiLevelType w:val="multilevel"/>
    <w:tmpl w:val="3328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10F7E"/>
    <w:multiLevelType w:val="hybridMultilevel"/>
    <w:tmpl w:val="1C1822B2"/>
    <w:styleLink w:val="Importovanstyl1"/>
    <w:lvl w:ilvl="0" w:tplc="5E86AA30">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694AB7C">
      <w:start w:val="1"/>
      <w:numFmt w:val="lowerLetter"/>
      <w:lvlText w:val="%2."/>
      <w:lvlJc w:val="left"/>
      <w:pPr>
        <w:tabs>
          <w:tab w:val="left" w:pos="426"/>
        </w:tabs>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2E22480">
      <w:start w:val="1"/>
      <w:numFmt w:val="lowerRoman"/>
      <w:lvlText w:val="%3."/>
      <w:lvlJc w:val="left"/>
      <w:pPr>
        <w:tabs>
          <w:tab w:val="left" w:pos="426"/>
        </w:tabs>
        <w:ind w:left="1866" w:hanging="28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28C930C">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116C05E">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D5469B8">
      <w:start w:val="1"/>
      <w:numFmt w:val="lowerRoman"/>
      <w:lvlText w:val="%6."/>
      <w:lvlJc w:val="left"/>
      <w:pPr>
        <w:tabs>
          <w:tab w:val="left" w:pos="426"/>
        </w:tabs>
        <w:ind w:left="4026" w:hanging="28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4E61406">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8A28890">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C2C510C">
      <w:start w:val="1"/>
      <w:numFmt w:val="lowerRoman"/>
      <w:lvlText w:val="%9."/>
      <w:lvlJc w:val="left"/>
      <w:pPr>
        <w:tabs>
          <w:tab w:val="left" w:pos="426"/>
        </w:tabs>
        <w:ind w:left="6186" w:hanging="28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F146B0A"/>
    <w:multiLevelType w:val="hybridMultilevel"/>
    <w:tmpl w:val="33ACA988"/>
    <w:lvl w:ilvl="0" w:tplc="E4D41C8A">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1F7273"/>
    <w:multiLevelType w:val="hybridMultilevel"/>
    <w:tmpl w:val="F4089B30"/>
    <w:lvl w:ilvl="0" w:tplc="04050011">
      <w:start w:val="1"/>
      <w:numFmt w:val="decimal"/>
      <w:lvlText w:val="%1)"/>
      <w:lvlJc w:val="left"/>
      <w:pPr>
        <w:ind w:left="1495" w:hanging="360"/>
      </w:pPr>
      <w:rPr>
        <w:rFonts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7" w15:restartNumberingAfterBreak="0">
    <w:nsid w:val="2B54679E"/>
    <w:multiLevelType w:val="hybridMultilevel"/>
    <w:tmpl w:val="1C1822B2"/>
    <w:numStyleLink w:val="Importovanstyl1"/>
  </w:abstractNum>
  <w:abstractNum w:abstractNumId="8" w15:restartNumberingAfterBreak="0">
    <w:nsid w:val="2EB92C56"/>
    <w:multiLevelType w:val="hybridMultilevel"/>
    <w:tmpl w:val="3B14D9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3A5443"/>
    <w:multiLevelType w:val="hybridMultilevel"/>
    <w:tmpl w:val="D15AFF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1775FD"/>
    <w:multiLevelType w:val="hybridMultilevel"/>
    <w:tmpl w:val="509277DC"/>
    <w:lvl w:ilvl="0" w:tplc="E4D41C8A">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9E5540"/>
    <w:multiLevelType w:val="hybridMultilevel"/>
    <w:tmpl w:val="70109AB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3"/>
  </w:num>
  <w:num w:numId="5">
    <w:abstractNumId w:val="6"/>
  </w:num>
  <w:num w:numId="6">
    <w:abstractNumId w:val="0"/>
  </w:num>
  <w:num w:numId="7">
    <w:abstractNumId w:val="11"/>
  </w:num>
  <w:num w:numId="8">
    <w:abstractNumId w:val="2"/>
  </w:num>
  <w:num w:numId="9">
    <w:abstractNumId w:val="8"/>
  </w:num>
  <w:num w:numId="10">
    <w:abstractNumId w:val="1"/>
  </w:num>
  <w:num w:numId="11">
    <w:abstractNumId w:val="7"/>
    <w:lvlOverride w:ilvl="0">
      <w:lvl w:ilvl="0" w:tplc="8026C49A">
        <w:start w:val="1"/>
        <w:numFmt w:val="decimal"/>
        <w:lvlText w:val="%1."/>
        <w:lvlJc w:val="left"/>
        <w:pPr>
          <w:ind w:left="426" w:hanging="36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C4"/>
    <w:rsid w:val="00014D90"/>
    <w:rsid w:val="00061456"/>
    <w:rsid w:val="00070693"/>
    <w:rsid w:val="00070EFD"/>
    <w:rsid w:val="0007616E"/>
    <w:rsid w:val="00087E1A"/>
    <w:rsid w:val="00093253"/>
    <w:rsid w:val="000B5BCE"/>
    <w:rsid w:val="000C7BFE"/>
    <w:rsid w:val="000E5622"/>
    <w:rsid w:val="000F0A3C"/>
    <w:rsid w:val="000F6959"/>
    <w:rsid w:val="00121529"/>
    <w:rsid w:val="0013162D"/>
    <w:rsid w:val="00143BCF"/>
    <w:rsid w:val="001970D3"/>
    <w:rsid w:val="0019742F"/>
    <w:rsid w:val="001C26ED"/>
    <w:rsid w:val="00272D38"/>
    <w:rsid w:val="00273ACF"/>
    <w:rsid w:val="0027671C"/>
    <w:rsid w:val="0029398D"/>
    <w:rsid w:val="002F2E0C"/>
    <w:rsid w:val="003641E4"/>
    <w:rsid w:val="00375052"/>
    <w:rsid w:val="003941FC"/>
    <w:rsid w:val="003A089D"/>
    <w:rsid w:val="003C4C76"/>
    <w:rsid w:val="004A146F"/>
    <w:rsid w:val="004D09DE"/>
    <w:rsid w:val="00522724"/>
    <w:rsid w:val="00525C8B"/>
    <w:rsid w:val="005557A2"/>
    <w:rsid w:val="005604DF"/>
    <w:rsid w:val="00584CC8"/>
    <w:rsid w:val="00597FB8"/>
    <w:rsid w:val="005B353E"/>
    <w:rsid w:val="005C04DA"/>
    <w:rsid w:val="0060244E"/>
    <w:rsid w:val="00606207"/>
    <w:rsid w:val="0065107A"/>
    <w:rsid w:val="00664727"/>
    <w:rsid w:val="00671385"/>
    <w:rsid w:val="006810A4"/>
    <w:rsid w:val="00700069"/>
    <w:rsid w:val="00721B6E"/>
    <w:rsid w:val="00737F7A"/>
    <w:rsid w:val="0078044D"/>
    <w:rsid w:val="0081191D"/>
    <w:rsid w:val="00824CAA"/>
    <w:rsid w:val="008931F1"/>
    <w:rsid w:val="008957EB"/>
    <w:rsid w:val="008A271D"/>
    <w:rsid w:val="008B3D38"/>
    <w:rsid w:val="008F7697"/>
    <w:rsid w:val="009041E2"/>
    <w:rsid w:val="0090593A"/>
    <w:rsid w:val="00927F1C"/>
    <w:rsid w:val="00943FBD"/>
    <w:rsid w:val="0095004D"/>
    <w:rsid w:val="00955567"/>
    <w:rsid w:val="009B1670"/>
    <w:rsid w:val="009C6A9E"/>
    <w:rsid w:val="009E5850"/>
    <w:rsid w:val="00A04D38"/>
    <w:rsid w:val="00A37821"/>
    <w:rsid w:val="00A424DB"/>
    <w:rsid w:val="00A87439"/>
    <w:rsid w:val="00A9074E"/>
    <w:rsid w:val="00AD0207"/>
    <w:rsid w:val="00AD0A3F"/>
    <w:rsid w:val="00AE47B3"/>
    <w:rsid w:val="00B1741C"/>
    <w:rsid w:val="00B31508"/>
    <w:rsid w:val="00B96717"/>
    <w:rsid w:val="00BC162C"/>
    <w:rsid w:val="00BE6AB1"/>
    <w:rsid w:val="00C07695"/>
    <w:rsid w:val="00C308C8"/>
    <w:rsid w:val="00C373BC"/>
    <w:rsid w:val="00CA6B84"/>
    <w:rsid w:val="00CD3166"/>
    <w:rsid w:val="00CF273E"/>
    <w:rsid w:val="00D05EC4"/>
    <w:rsid w:val="00D15E09"/>
    <w:rsid w:val="00D44D78"/>
    <w:rsid w:val="00D53264"/>
    <w:rsid w:val="00D84B14"/>
    <w:rsid w:val="00DC577D"/>
    <w:rsid w:val="00DD179D"/>
    <w:rsid w:val="00DD1942"/>
    <w:rsid w:val="00DD7D71"/>
    <w:rsid w:val="00DF4470"/>
    <w:rsid w:val="00E05C7E"/>
    <w:rsid w:val="00E1371C"/>
    <w:rsid w:val="00E27305"/>
    <w:rsid w:val="00E51936"/>
    <w:rsid w:val="00E5714D"/>
    <w:rsid w:val="00E825FC"/>
    <w:rsid w:val="00EA46DB"/>
    <w:rsid w:val="00EB1A1E"/>
    <w:rsid w:val="00EB4EAD"/>
    <w:rsid w:val="00EF57D7"/>
    <w:rsid w:val="00EF713F"/>
    <w:rsid w:val="00F1551F"/>
    <w:rsid w:val="00F50F45"/>
    <w:rsid w:val="00F6715C"/>
    <w:rsid w:val="00F87FF1"/>
    <w:rsid w:val="00FB4508"/>
    <w:rsid w:val="00FC3EEA"/>
    <w:rsid w:val="00FC4150"/>
    <w:rsid w:val="00FD496C"/>
    <w:rsid w:val="00FF2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F178"/>
  <w15:chartTrackingRefBased/>
  <w15:docId w15:val="{413AF1DA-2075-6D43-8A91-C4BDCF91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2724"/>
    <w:pPr>
      <w:keepNext/>
      <w:keepLines/>
      <w:outlineLvl w:val="0"/>
    </w:pPr>
    <w:rPr>
      <w:rFonts w:eastAsiaTheme="majorEastAsia" w:cstheme="majorBidi"/>
      <w:b/>
      <w:color w:val="000000" w:themeColor="text1"/>
      <w:szCs w:val="32"/>
      <w:u w:val="single"/>
    </w:rPr>
  </w:style>
  <w:style w:type="paragraph" w:styleId="Heading2">
    <w:name w:val="heading 2"/>
    <w:basedOn w:val="Normal"/>
    <w:next w:val="Normal"/>
    <w:link w:val="Heading2Char"/>
    <w:uiPriority w:val="9"/>
    <w:semiHidden/>
    <w:unhideWhenUsed/>
    <w:qFormat/>
    <w:rsid w:val="001316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373BC"/>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714D"/>
    <w:rPr>
      <w:sz w:val="20"/>
      <w:szCs w:val="20"/>
    </w:rPr>
  </w:style>
  <w:style w:type="character" w:customStyle="1" w:styleId="FootnoteTextChar">
    <w:name w:val="Footnote Text Char"/>
    <w:basedOn w:val="DefaultParagraphFont"/>
    <w:link w:val="FootnoteText"/>
    <w:uiPriority w:val="99"/>
    <w:rsid w:val="00E5714D"/>
    <w:rPr>
      <w:sz w:val="20"/>
      <w:szCs w:val="20"/>
    </w:rPr>
  </w:style>
  <w:style w:type="character" w:styleId="FootnoteReference">
    <w:name w:val="footnote reference"/>
    <w:basedOn w:val="DefaultParagraphFont"/>
    <w:uiPriority w:val="99"/>
    <w:semiHidden/>
    <w:unhideWhenUsed/>
    <w:rsid w:val="00E5714D"/>
    <w:rPr>
      <w:vertAlign w:val="superscript"/>
    </w:rPr>
  </w:style>
  <w:style w:type="character" w:styleId="Hyperlink">
    <w:name w:val="Hyperlink"/>
    <w:basedOn w:val="DefaultParagraphFont"/>
    <w:uiPriority w:val="99"/>
    <w:unhideWhenUsed/>
    <w:rsid w:val="008F7697"/>
    <w:rPr>
      <w:color w:val="0563C1" w:themeColor="hyperlink"/>
      <w:u w:val="single"/>
    </w:rPr>
  </w:style>
  <w:style w:type="character" w:customStyle="1" w:styleId="UnresolvedMention">
    <w:name w:val="Unresolved Mention"/>
    <w:basedOn w:val="DefaultParagraphFont"/>
    <w:uiPriority w:val="99"/>
    <w:semiHidden/>
    <w:unhideWhenUsed/>
    <w:rsid w:val="008F7697"/>
    <w:rPr>
      <w:color w:val="605E5C"/>
      <w:shd w:val="clear" w:color="auto" w:fill="E1DFDD"/>
    </w:rPr>
  </w:style>
  <w:style w:type="paragraph" w:styleId="ListParagraph">
    <w:name w:val="List Paragraph"/>
    <w:basedOn w:val="Normal"/>
    <w:uiPriority w:val="34"/>
    <w:qFormat/>
    <w:rsid w:val="000F6959"/>
    <w:pPr>
      <w:ind w:left="720"/>
      <w:contextualSpacing/>
    </w:pPr>
  </w:style>
  <w:style w:type="character" w:customStyle="1" w:styleId="Heading3Char">
    <w:name w:val="Heading 3 Char"/>
    <w:basedOn w:val="DefaultParagraphFont"/>
    <w:link w:val="Heading3"/>
    <w:uiPriority w:val="9"/>
    <w:rsid w:val="00C373BC"/>
    <w:rPr>
      <w:rFonts w:ascii="Times New Roman" w:eastAsia="Times New Roman" w:hAnsi="Times New Roman" w:cs="Times New Roman"/>
      <w:b/>
      <w:bCs/>
      <w:sz w:val="27"/>
      <w:szCs w:val="27"/>
      <w:lang w:eastAsia="cs-CZ"/>
    </w:rPr>
  </w:style>
  <w:style w:type="character" w:customStyle="1" w:styleId="Heading1Char">
    <w:name w:val="Heading 1 Char"/>
    <w:basedOn w:val="DefaultParagraphFont"/>
    <w:link w:val="Heading1"/>
    <w:uiPriority w:val="9"/>
    <w:rsid w:val="00522724"/>
    <w:rPr>
      <w:rFonts w:eastAsiaTheme="majorEastAsia" w:cstheme="majorBidi"/>
      <w:b/>
      <w:color w:val="000000" w:themeColor="text1"/>
      <w:szCs w:val="32"/>
      <w:u w:val="single"/>
    </w:rPr>
  </w:style>
  <w:style w:type="paragraph" w:styleId="TOCHeading">
    <w:name w:val="TOC Heading"/>
    <w:basedOn w:val="Heading1"/>
    <w:next w:val="Normal"/>
    <w:uiPriority w:val="39"/>
    <w:unhideWhenUsed/>
    <w:qFormat/>
    <w:rsid w:val="005604DF"/>
    <w:pPr>
      <w:spacing w:before="480" w:line="276" w:lineRule="auto"/>
      <w:outlineLvl w:val="9"/>
    </w:pPr>
    <w:rPr>
      <w:rFonts w:asciiTheme="majorHAnsi" w:hAnsiTheme="majorHAnsi"/>
      <w:bCs/>
      <w:color w:val="2F5496" w:themeColor="accent1" w:themeShade="BF"/>
      <w:sz w:val="28"/>
      <w:szCs w:val="28"/>
      <w:u w:val="none"/>
      <w:lang w:eastAsia="cs-CZ"/>
    </w:rPr>
  </w:style>
  <w:style w:type="paragraph" w:styleId="TOC1">
    <w:name w:val="toc 1"/>
    <w:basedOn w:val="Normal"/>
    <w:next w:val="Normal"/>
    <w:autoRedefine/>
    <w:uiPriority w:val="39"/>
    <w:unhideWhenUsed/>
    <w:rsid w:val="005604DF"/>
    <w:pPr>
      <w:spacing w:before="120" w:after="120"/>
    </w:pPr>
    <w:rPr>
      <w:rFonts w:cstheme="minorHAnsi"/>
      <w:b/>
      <w:bCs/>
      <w:caps/>
      <w:sz w:val="20"/>
      <w:szCs w:val="20"/>
    </w:rPr>
  </w:style>
  <w:style w:type="paragraph" w:styleId="TOC2">
    <w:name w:val="toc 2"/>
    <w:basedOn w:val="Normal"/>
    <w:next w:val="Normal"/>
    <w:autoRedefine/>
    <w:uiPriority w:val="39"/>
    <w:semiHidden/>
    <w:unhideWhenUsed/>
    <w:rsid w:val="005604DF"/>
    <w:pPr>
      <w:ind w:left="240"/>
    </w:pPr>
    <w:rPr>
      <w:rFonts w:cstheme="minorHAnsi"/>
      <w:smallCaps/>
      <w:sz w:val="20"/>
      <w:szCs w:val="20"/>
    </w:rPr>
  </w:style>
  <w:style w:type="paragraph" w:styleId="TOC3">
    <w:name w:val="toc 3"/>
    <w:basedOn w:val="Normal"/>
    <w:next w:val="Normal"/>
    <w:autoRedefine/>
    <w:uiPriority w:val="39"/>
    <w:semiHidden/>
    <w:unhideWhenUsed/>
    <w:rsid w:val="005604DF"/>
    <w:pPr>
      <w:ind w:left="480"/>
    </w:pPr>
    <w:rPr>
      <w:rFonts w:cstheme="minorHAnsi"/>
      <w:i/>
      <w:iCs/>
      <w:sz w:val="20"/>
      <w:szCs w:val="20"/>
    </w:rPr>
  </w:style>
  <w:style w:type="paragraph" w:styleId="TOC4">
    <w:name w:val="toc 4"/>
    <w:basedOn w:val="Normal"/>
    <w:next w:val="Normal"/>
    <w:autoRedefine/>
    <w:uiPriority w:val="39"/>
    <w:semiHidden/>
    <w:unhideWhenUsed/>
    <w:rsid w:val="005604DF"/>
    <w:pPr>
      <w:ind w:left="720"/>
    </w:pPr>
    <w:rPr>
      <w:rFonts w:cstheme="minorHAnsi"/>
      <w:sz w:val="18"/>
      <w:szCs w:val="18"/>
    </w:rPr>
  </w:style>
  <w:style w:type="paragraph" w:styleId="TOC5">
    <w:name w:val="toc 5"/>
    <w:basedOn w:val="Normal"/>
    <w:next w:val="Normal"/>
    <w:autoRedefine/>
    <w:uiPriority w:val="39"/>
    <w:semiHidden/>
    <w:unhideWhenUsed/>
    <w:rsid w:val="005604DF"/>
    <w:pPr>
      <w:ind w:left="960"/>
    </w:pPr>
    <w:rPr>
      <w:rFonts w:cstheme="minorHAnsi"/>
      <w:sz w:val="18"/>
      <w:szCs w:val="18"/>
    </w:rPr>
  </w:style>
  <w:style w:type="paragraph" w:styleId="TOC6">
    <w:name w:val="toc 6"/>
    <w:basedOn w:val="Normal"/>
    <w:next w:val="Normal"/>
    <w:autoRedefine/>
    <w:uiPriority w:val="39"/>
    <w:semiHidden/>
    <w:unhideWhenUsed/>
    <w:rsid w:val="005604DF"/>
    <w:pPr>
      <w:ind w:left="1200"/>
    </w:pPr>
    <w:rPr>
      <w:rFonts w:cstheme="minorHAnsi"/>
      <w:sz w:val="18"/>
      <w:szCs w:val="18"/>
    </w:rPr>
  </w:style>
  <w:style w:type="paragraph" w:styleId="TOC7">
    <w:name w:val="toc 7"/>
    <w:basedOn w:val="Normal"/>
    <w:next w:val="Normal"/>
    <w:autoRedefine/>
    <w:uiPriority w:val="39"/>
    <w:semiHidden/>
    <w:unhideWhenUsed/>
    <w:rsid w:val="005604DF"/>
    <w:pPr>
      <w:ind w:left="1440"/>
    </w:pPr>
    <w:rPr>
      <w:rFonts w:cstheme="minorHAnsi"/>
      <w:sz w:val="18"/>
      <w:szCs w:val="18"/>
    </w:rPr>
  </w:style>
  <w:style w:type="paragraph" w:styleId="TOC8">
    <w:name w:val="toc 8"/>
    <w:basedOn w:val="Normal"/>
    <w:next w:val="Normal"/>
    <w:autoRedefine/>
    <w:uiPriority w:val="39"/>
    <w:semiHidden/>
    <w:unhideWhenUsed/>
    <w:rsid w:val="005604DF"/>
    <w:pPr>
      <w:ind w:left="1680"/>
    </w:pPr>
    <w:rPr>
      <w:rFonts w:cstheme="minorHAnsi"/>
      <w:sz w:val="18"/>
      <w:szCs w:val="18"/>
    </w:rPr>
  </w:style>
  <w:style w:type="paragraph" w:styleId="TOC9">
    <w:name w:val="toc 9"/>
    <w:basedOn w:val="Normal"/>
    <w:next w:val="Normal"/>
    <w:autoRedefine/>
    <w:uiPriority w:val="39"/>
    <w:semiHidden/>
    <w:unhideWhenUsed/>
    <w:rsid w:val="005604DF"/>
    <w:pPr>
      <w:ind w:left="1920"/>
    </w:pPr>
    <w:rPr>
      <w:rFonts w:cstheme="minorHAnsi"/>
      <w:sz w:val="18"/>
      <w:szCs w:val="18"/>
    </w:rPr>
  </w:style>
  <w:style w:type="character" w:styleId="CommentReference">
    <w:name w:val="annotation reference"/>
    <w:basedOn w:val="DefaultParagraphFont"/>
    <w:uiPriority w:val="99"/>
    <w:semiHidden/>
    <w:unhideWhenUsed/>
    <w:rsid w:val="0065107A"/>
    <w:rPr>
      <w:sz w:val="16"/>
      <w:szCs w:val="16"/>
    </w:rPr>
  </w:style>
  <w:style w:type="paragraph" w:styleId="CommentText">
    <w:name w:val="annotation text"/>
    <w:basedOn w:val="Normal"/>
    <w:link w:val="CommentTextChar"/>
    <w:uiPriority w:val="99"/>
    <w:semiHidden/>
    <w:unhideWhenUsed/>
    <w:rsid w:val="0065107A"/>
    <w:rPr>
      <w:sz w:val="20"/>
      <w:szCs w:val="20"/>
    </w:rPr>
  </w:style>
  <w:style w:type="character" w:customStyle="1" w:styleId="CommentTextChar">
    <w:name w:val="Comment Text Char"/>
    <w:basedOn w:val="DefaultParagraphFont"/>
    <w:link w:val="CommentText"/>
    <w:uiPriority w:val="99"/>
    <w:semiHidden/>
    <w:rsid w:val="0065107A"/>
    <w:rPr>
      <w:sz w:val="20"/>
      <w:szCs w:val="20"/>
    </w:rPr>
  </w:style>
  <w:style w:type="paragraph" w:styleId="Footer">
    <w:name w:val="footer"/>
    <w:basedOn w:val="Normal"/>
    <w:link w:val="FooterChar"/>
    <w:uiPriority w:val="99"/>
    <w:unhideWhenUsed/>
    <w:rsid w:val="00E27305"/>
    <w:pPr>
      <w:tabs>
        <w:tab w:val="center" w:pos="4536"/>
        <w:tab w:val="right" w:pos="9072"/>
      </w:tabs>
    </w:pPr>
  </w:style>
  <w:style w:type="character" w:customStyle="1" w:styleId="FooterChar">
    <w:name w:val="Footer Char"/>
    <w:basedOn w:val="DefaultParagraphFont"/>
    <w:link w:val="Footer"/>
    <w:uiPriority w:val="99"/>
    <w:rsid w:val="00E27305"/>
  </w:style>
  <w:style w:type="character" w:styleId="PageNumber">
    <w:name w:val="page number"/>
    <w:basedOn w:val="DefaultParagraphFont"/>
    <w:uiPriority w:val="99"/>
    <w:semiHidden/>
    <w:unhideWhenUsed/>
    <w:rsid w:val="00E27305"/>
  </w:style>
  <w:style w:type="paragraph" w:styleId="Header">
    <w:name w:val="header"/>
    <w:basedOn w:val="Normal"/>
    <w:link w:val="HeaderChar"/>
    <w:uiPriority w:val="99"/>
    <w:unhideWhenUsed/>
    <w:rsid w:val="0013162D"/>
    <w:pPr>
      <w:tabs>
        <w:tab w:val="center" w:pos="4536"/>
        <w:tab w:val="right" w:pos="9072"/>
      </w:tabs>
    </w:pPr>
  </w:style>
  <w:style w:type="character" w:customStyle="1" w:styleId="HeaderChar">
    <w:name w:val="Header Char"/>
    <w:basedOn w:val="DefaultParagraphFont"/>
    <w:link w:val="Header"/>
    <w:uiPriority w:val="99"/>
    <w:rsid w:val="0013162D"/>
  </w:style>
  <w:style w:type="paragraph" w:customStyle="1" w:styleId="TextA">
    <w:name w:val="Text A"/>
    <w:rsid w:val="0013162D"/>
    <w:pPr>
      <w:spacing w:after="200" w:line="276" w:lineRule="auto"/>
    </w:pPr>
    <w:rPr>
      <w:rFonts w:ascii="Calibri" w:eastAsia="Calibri" w:hAnsi="Calibri" w:cs="Calibri"/>
      <w:color w:val="000000"/>
      <w:sz w:val="22"/>
      <w:szCs w:val="22"/>
      <w:u w:color="000000"/>
      <w:lang w:eastAsia="cs-CZ"/>
    </w:rPr>
  </w:style>
  <w:style w:type="character" w:customStyle="1" w:styleId="dnA">
    <w:name w:val="Žádný A"/>
    <w:rsid w:val="0013162D"/>
  </w:style>
  <w:style w:type="character" w:customStyle="1" w:styleId="Heading2Char">
    <w:name w:val="Heading 2 Char"/>
    <w:basedOn w:val="DefaultParagraphFont"/>
    <w:link w:val="Heading2"/>
    <w:uiPriority w:val="9"/>
    <w:semiHidden/>
    <w:rsid w:val="0013162D"/>
    <w:rPr>
      <w:rFonts w:asciiTheme="majorHAnsi" w:eastAsiaTheme="majorEastAsia" w:hAnsiTheme="majorHAnsi" w:cstheme="majorBidi"/>
      <w:color w:val="2F5496" w:themeColor="accent1" w:themeShade="BF"/>
      <w:sz w:val="26"/>
      <w:szCs w:val="26"/>
    </w:rPr>
  </w:style>
  <w:style w:type="numbering" w:customStyle="1" w:styleId="Importovanstyl1">
    <w:name w:val="Importovaný styl 1"/>
    <w:rsid w:val="0013162D"/>
    <w:pPr>
      <w:numPr>
        <w:numId w:val="12"/>
      </w:numPr>
    </w:pPr>
  </w:style>
  <w:style w:type="paragraph" w:styleId="CommentSubject">
    <w:name w:val="annotation subject"/>
    <w:basedOn w:val="CommentText"/>
    <w:next w:val="CommentText"/>
    <w:link w:val="CommentSubjectChar"/>
    <w:uiPriority w:val="99"/>
    <w:semiHidden/>
    <w:unhideWhenUsed/>
    <w:rsid w:val="008957EB"/>
    <w:rPr>
      <w:b/>
      <w:bCs/>
    </w:rPr>
  </w:style>
  <w:style w:type="character" w:customStyle="1" w:styleId="CommentSubjectChar">
    <w:name w:val="Comment Subject Char"/>
    <w:basedOn w:val="CommentTextChar"/>
    <w:link w:val="CommentSubject"/>
    <w:uiPriority w:val="99"/>
    <w:semiHidden/>
    <w:rsid w:val="008957EB"/>
    <w:rPr>
      <w:b/>
      <w:bCs/>
      <w:sz w:val="20"/>
      <w:szCs w:val="20"/>
    </w:rPr>
  </w:style>
  <w:style w:type="paragraph" w:styleId="Revision">
    <w:name w:val="Revision"/>
    <w:hidden/>
    <w:uiPriority w:val="99"/>
    <w:semiHidden/>
    <w:rsid w:val="0089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1666">
      <w:bodyDiv w:val="1"/>
      <w:marLeft w:val="0"/>
      <w:marRight w:val="0"/>
      <w:marTop w:val="0"/>
      <w:marBottom w:val="0"/>
      <w:divBdr>
        <w:top w:val="none" w:sz="0" w:space="0" w:color="auto"/>
        <w:left w:val="none" w:sz="0" w:space="0" w:color="auto"/>
        <w:bottom w:val="none" w:sz="0" w:space="0" w:color="auto"/>
        <w:right w:val="none" w:sz="0" w:space="0" w:color="auto"/>
      </w:divBdr>
    </w:div>
    <w:div w:id="119804234">
      <w:bodyDiv w:val="1"/>
      <w:marLeft w:val="0"/>
      <w:marRight w:val="0"/>
      <w:marTop w:val="0"/>
      <w:marBottom w:val="0"/>
      <w:divBdr>
        <w:top w:val="none" w:sz="0" w:space="0" w:color="auto"/>
        <w:left w:val="none" w:sz="0" w:space="0" w:color="auto"/>
        <w:bottom w:val="none" w:sz="0" w:space="0" w:color="auto"/>
        <w:right w:val="none" w:sz="0" w:space="0" w:color="auto"/>
      </w:divBdr>
    </w:div>
    <w:div w:id="204753023">
      <w:bodyDiv w:val="1"/>
      <w:marLeft w:val="0"/>
      <w:marRight w:val="0"/>
      <w:marTop w:val="0"/>
      <w:marBottom w:val="0"/>
      <w:divBdr>
        <w:top w:val="none" w:sz="0" w:space="0" w:color="auto"/>
        <w:left w:val="none" w:sz="0" w:space="0" w:color="auto"/>
        <w:bottom w:val="none" w:sz="0" w:space="0" w:color="auto"/>
        <w:right w:val="none" w:sz="0" w:space="0" w:color="auto"/>
      </w:divBdr>
    </w:div>
    <w:div w:id="482236443">
      <w:bodyDiv w:val="1"/>
      <w:marLeft w:val="0"/>
      <w:marRight w:val="0"/>
      <w:marTop w:val="0"/>
      <w:marBottom w:val="0"/>
      <w:divBdr>
        <w:top w:val="none" w:sz="0" w:space="0" w:color="auto"/>
        <w:left w:val="none" w:sz="0" w:space="0" w:color="auto"/>
        <w:bottom w:val="none" w:sz="0" w:space="0" w:color="auto"/>
        <w:right w:val="none" w:sz="0" w:space="0" w:color="auto"/>
      </w:divBdr>
    </w:div>
    <w:div w:id="486898702">
      <w:bodyDiv w:val="1"/>
      <w:marLeft w:val="0"/>
      <w:marRight w:val="0"/>
      <w:marTop w:val="0"/>
      <w:marBottom w:val="0"/>
      <w:divBdr>
        <w:top w:val="none" w:sz="0" w:space="0" w:color="auto"/>
        <w:left w:val="none" w:sz="0" w:space="0" w:color="auto"/>
        <w:bottom w:val="none" w:sz="0" w:space="0" w:color="auto"/>
        <w:right w:val="none" w:sz="0" w:space="0" w:color="auto"/>
      </w:divBdr>
    </w:div>
    <w:div w:id="541212006">
      <w:bodyDiv w:val="1"/>
      <w:marLeft w:val="0"/>
      <w:marRight w:val="0"/>
      <w:marTop w:val="0"/>
      <w:marBottom w:val="0"/>
      <w:divBdr>
        <w:top w:val="none" w:sz="0" w:space="0" w:color="auto"/>
        <w:left w:val="none" w:sz="0" w:space="0" w:color="auto"/>
        <w:bottom w:val="none" w:sz="0" w:space="0" w:color="auto"/>
        <w:right w:val="none" w:sz="0" w:space="0" w:color="auto"/>
      </w:divBdr>
    </w:div>
    <w:div w:id="564073255">
      <w:bodyDiv w:val="1"/>
      <w:marLeft w:val="0"/>
      <w:marRight w:val="0"/>
      <w:marTop w:val="0"/>
      <w:marBottom w:val="0"/>
      <w:divBdr>
        <w:top w:val="none" w:sz="0" w:space="0" w:color="auto"/>
        <w:left w:val="none" w:sz="0" w:space="0" w:color="auto"/>
        <w:bottom w:val="none" w:sz="0" w:space="0" w:color="auto"/>
        <w:right w:val="none" w:sz="0" w:space="0" w:color="auto"/>
      </w:divBdr>
    </w:div>
    <w:div w:id="617178535">
      <w:bodyDiv w:val="1"/>
      <w:marLeft w:val="0"/>
      <w:marRight w:val="0"/>
      <w:marTop w:val="0"/>
      <w:marBottom w:val="0"/>
      <w:divBdr>
        <w:top w:val="none" w:sz="0" w:space="0" w:color="auto"/>
        <w:left w:val="none" w:sz="0" w:space="0" w:color="auto"/>
        <w:bottom w:val="none" w:sz="0" w:space="0" w:color="auto"/>
        <w:right w:val="none" w:sz="0" w:space="0" w:color="auto"/>
      </w:divBdr>
    </w:div>
    <w:div w:id="701973974">
      <w:bodyDiv w:val="1"/>
      <w:marLeft w:val="0"/>
      <w:marRight w:val="0"/>
      <w:marTop w:val="0"/>
      <w:marBottom w:val="0"/>
      <w:divBdr>
        <w:top w:val="none" w:sz="0" w:space="0" w:color="auto"/>
        <w:left w:val="none" w:sz="0" w:space="0" w:color="auto"/>
        <w:bottom w:val="none" w:sz="0" w:space="0" w:color="auto"/>
        <w:right w:val="none" w:sz="0" w:space="0" w:color="auto"/>
      </w:divBdr>
    </w:div>
    <w:div w:id="991713142">
      <w:bodyDiv w:val="1"/>
      <w:marLeft w:val="0"/>
      <w:marRight w:val="0"/>
      <w:marTop w:val="0"/>
      <w:marBottom w:val="0"/>
      <w:divBdr>
        <w:top w:val="none" w:sz="0" w:space="0" w:color="auto"/>
        <w:left w:val="none" w:sz="0" w:space="0" w:color="auto"/>
        <w:bottom w:val="none" w:sz="0" w:space="0" w:color="auto"/>
        <w:right w:val="none" w:sz="0" w:space="0" w:color="auto"/>
      </w:divBdr>
    </w:div>
    <w:div w:id="1054888558">
      <w:bodyDiv w:val="1"/>
      <w:marLeft w:val="0"/>
      <w:marRight w:val="0"/>
      <w:marTop w:val="0"/>
      <w:marBottom w:val="0"/>
      <w:divBdr>
        <w:top w:val="none" w:sz="0" w:space="0" w:color="auto"/>
        <w:left w:val="none" w:sz="0" w:space="0" w:color="auto"/>
        <w:bottom w:val="none" w:sz="0" w:space="0" w:color="auto"/>
        <w:right w:val="none" w:sz="0" w:space="0" w:color="auto"/>
      </w:divBdr>
    </w:div>
    <w:div w:id="1062680327">
      <w:bodyDiv w:val="1"/>
      <w:marLeft w:val="0"/>
      <w:marRight w:val="0"/>
      <w:marTop w:val="0"/>
      <w:marBottom w:val="0"/>
      <w:divBdr>
        <w:top w:val="none" w:sz="0" w:space="0" w:color="auto"/>
        <w:left w:val="none" w:sz="0" w:space="0" w:color="auto"/>
        <w:bottom w:val="none" w:sz="0" w:space="0" w:color="auto"/>
        <w:right w:val="none" w:sz="0" w:space="0" w:color="auto"/>
      </w:divBdr>
    </w:div>
    <w:div w:id="1065180624">
      <w:bodyDiv w:val="1"/>
      <w:marLeft w:val="0"/>
      <w:marRight w:val="0"/>
      <w:marTop w:val="0"/>
      <w:marBottom w:val="0"/>
      <w:divBdr>
        <w:top w:val="none" w:sz="0" w:space="0" w:color="auto"/>
        <w:left w:val="none" w:sz="0" w:space="0" w:color="auto"/>
        <w:bottom w:val="none" w:sz="0" w:space="0" w:color="auto"/>
        <w:right w:val="none" w:sz="0" w:space="0" w:color="auto"/>
      </w:divBdr>
    </w:div>
    <w:div w:id="1418550144">
      <w:bodyDiv w:val="1"/>
      <w:marLeft w:val="0"/>
      <w:marRight w:val="0"/>
      <w:marTop w:val="0"/>
      <w:marBottom w:val="0"/>
      <w:divBdr>
        <w:top w:val="none" w:sz="0" w:space="0" w:color="auto"/>
        <w:left w:val="none" w:sz="0" w:space="0" w:color="auto"/>
        <w:bottom w:val="none" w:sz="0" w:space="0" w:color="auto"/>
        <w:right w:val="none" w:sz="0" w:space="0" w:color="auto"/>
      </w:divBdr>
    </w:div>
    <w:div w:id="1436904767">
      <w:bodyDiv w:val="1"/>
      <w:marLeft w:val="0"/>
      <w:marRight w:val="0"/>
      <w:marTop w:val="0"/>
      <w:marBottom w:val="0"/>
      <w:divBdr>
        <w:top w:val="none" w:sz="0" w:space="0" w:color="auto"/>
        <w:left w:val="none" w:sz="0" w:space="0" w:color="auto"/>
        <w:bottom w:val="none" w:sz="0" w:space="0" w:color="auto"/>
        <w:right w:val="none" w:sz="0" w:space="0" w:color="auto"/>
      </w:divBdr>
    </w:div>
    <w:div w:id="1486822948">
      <w:bodyDiv w:val="1"/>
      <w:marLeft w:val="0"/>
      <w:marRight w:val="0"/>
      <w:marTop w:val="0"/>
      <w:marBottom w:val="0"/>
      <w:divBdr>
        <w:top w:val="none" w:sz="0" w:space="0" w:color="auto"/>
        <w:left w:val="none" w:sz="0" w:space="0" w:color="auto"/>
        <w:bottom w:val="none" w:sz="0" w:space="0" w:color="auto"/>
        <w:right w:val="none" w:sz="0" w:space="0" w:color="auto"/>
      </w:divBdr>
    </w:div>
    <w:div w:id="1677881578">
      <w:bodyDiv w:val="1"/>
      <w:marLeft w:val="0"/>
      <w:marRight w:val="0"/>
      <w:marTop w:val="0"/>
      <w:marBottom w:val="0"/>
      <w:divBdr>
        <w:top w:val="none" w:sz="0" w:space="0" w:color="auto"/>
        <w:left w:val="none" w:sz="0" w:space="0" w:color="auto"/>
        <w:bottom w:val="none" w:sz="0" w:space="0" w:color="auto"/>
        <w:right w:val="none" w:sz="0" w:space="0" w:color="auto"/>
      </w:divBdr>
    </w:div>
    <w:div w:id="1762330110">
      <w:bodyDiv w:val="1"/>
      <w:marLeft w:val="0"/>
      <w:marRight w:val="0"/>
      <w:marTop w:val="0"/>
      <w:marBottom w:val="0"/>
      <w:divBdr>
        <w:top w:val="none" w:sz="0" w:space="0" w:color="auto"/>
        <w:left w:val="none" w:sz="0" w:space="0" w:color="auto"/>
        <w:bottom w:val="none" w:sz="0" w:space="0" w:color="auto"/>
        <w:right w:val="none" w:sz="0" w:space="0" w:color="auto"/>
      </w:divBdr>
    </w:div>
    <w:div w:id="1864972852">
      <w:bodyDiv w:val="1"/>
      <w:marLeft w:val="0"/>
      <w:marRight w:val="0"/>
      <w:marTop w:val="0"/>
      <w:marBottom w:val="0"/>
      <w:divBdr>
        <w:top w:val="none" w:sz="0" w:space="0" w:color="auto"/>
        <w:left w:val="none" w:sz="0" w:space="0" w:color="auto"/>
        <w:bottom w:val="none" w:sz="0" w:space="0" w:color="auto"/>
        <w:right w:val="none" w:sz="0" w:space="0" w:color="auto"/>
      </w:divBdr>
    </w:div>
    <w:div w:id="1876043018">
      <w:bodyDiv w:val="1"/>
      <w:marLeft w:val="0"/>
      <w:marRight w:val="0"/>
      <w:marTop w:val="0"/>
      <w:marBottom w:val="0"/>
      <w:divBdr>
        <w:top w:val="none" w:sz="0" w:space="0" w:color="auto"/>
        <w:left w:val="none" w:sz="0" w:space="0" w:color="auto"/>
        <w:bottom w:val="none" w:sz="0" w:space="0" w:color="auto"/>
        <w:right w:val="none" w:sz="0" w:space="0" w:color="auto"/>
      </w:divBdr>
    </w:div>
    <w:div w:id="19733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ore.ac.uk/download/pdf/83889.pdf" TargetMode="External"/><Relationship Id="rId1" Type="http://schemas.openxmlformats.org/officeDocument/2006/relationships/hyperlink" Target="http://www.forumhr.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B74AA3-7BC8-7F44-8C8A-670F1B618553}">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Forum for Human Rights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70E434B-5263-470B-AFF4-CCBD802F6B31}">
  <ds:schemaRefs>
    <ds:schemaRef ds:uri="http://schemas.openxmlformats.org/officeDocument/2006/bibliography"/>
  </ds:schemaRefs>
</ds:datastoreItem>
</file>

<file path=customXml/itemProps2.xml><?xml version="1.0" encoding="utf-8"?>
<ds:datastoreItem xmlns:ds="http://schemas.openxmlformats.org/officeDocument/2006/customXml" ds:itemID="{195561EA-8AF2-47C6-8695-7E97E8E0E159}"/>
</file>

<file path=customXml/itemProps3.xml><?xml version="1.0" encoding="utf-8"?>
<ds:datastoreItem xmlns:ds="http://schemas.openxmlformats.org/officeDocument/2006/customXml" ds:itemID="{41B58954-87FD-4706-B44F-97942CC66B99}"/>
</file>

<file path=customXml/itemProps4.xml><?xml version="1.0" encoding="utf-8"?>
<ds:datastoreItem xmlns:ds="http://schemas.openxmlformats.org/officeDocument/2006/customXml" ds:itemID="{B695A6F4-080E-4C88-9DAE-199F0FAB4E42}"/>
</file>

<file path=docProps/app.xml><?xml version="1.0" encoding="utf-8"?>
<Properties xmlns="http://schemas.openxmlformats.org/officeDocument/2006/extended-properties" xmlns:vt="http://schemas.openxmlformats.org/officeDocument/2006/docPropsVTypes">
  <Template>Normal.dotm</Template>
  <TotalTime>0</TotalTime>
  <Pages>9</Pages>
  <Words>2402</Words>
  <Characters>13696</Characters>
  <Application>Microsoft Office Word</Application>
  <DocSecurity>4</DocSecurity>
  <Lines>114</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Hofschneiderová</dc:creator>
  <cp:keywords/>
  <dc:description/>
  <cp:lastModifiedBy>BAGLAI Christina</cp:lastModifiedBy>
  <cp:revision>2</cp:revision>
  <dcterms:created xsi:type="dcterms:W3CDTF">2021-06-22T11:33:00Z</dcterms:created>
  <dcterms:modified xsi:type="dcterms:W3CDTF">2021-06-22T11:33:00Z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documentId_7428</vt:lpwstr>
  </property>
  <property fmtid="{D5CDD505-2E9C-101B-9397-08002B2CF9AE}" pid="3" name="grammarly_documentContext">
    <vt:lpwstr>{"goals":[],"domain":"general","emotions":[],"dialect":"american"}</vt:lpwstr>
  </property>
  <property fmtid="{D5CDD505-2E9C-101B-9397-08002B2CF9AE}" pid="4" name="ContentTypeId">
    <vt:lpwstr>0x0101009D953D6983EF5F4EB0B6A5354F975E96</vt:lpwstr>
  </property>
</Properties>
</file>