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7273" w14:textId="53972ACA" w:rsidR="00C9557A" w:rsidRPr="00C9557A" w:rsidRDefault="008949B0" w:rsidP="00C9557A">
      <w:pPr>
        <w:spacing w:line="240" w:lineRule="auto"/>
        <w:jc w:val="center"/>
        <w:rPr>
          <w:rFonts w:ascii="Times New Roman" w:eastAsia="Times New Roman" w:hAnsi="Times New Roman" w:cs="Times New Roman"/>
          <w:b/>
          <w:bCs/>
          <w:sz w:val="32"/>
          <w:szCs w:val="32"/>
          <w:u w:val="single"/>
          <w:lang w:bidi="ar-EG"/>
        </w:rPr>
      </w:pPr>
      <w:r>
        <w:rPr>
          <w:rFonts w:ascii="Times New Roman" w:eastAsia="Times New Roman" w:hAnsi="Times New Roman" w:cs="Times New Roman"/>
          <w:b/>
          <w:bCs/>
          <w:sz w:val="32"/>
          <w:szCs w:val="32"/>
          <w:u w:val="single"/>
          <w:lang w:bidi="ar-EG"/>
        </w:rPr>
        <w:t>Submission:</w:t>
      </w:r>
      <w:r w:rsidR="001445C6">
        <w:rPr>
          <w:rFonts w:ascii="Times New Roman" w:eastAsia="Times New Roman" w:hAnsi="Times New Roman" w:cs="Times New Roman"/>
          <w:b/>
          <w:bCs/>
          <w:sz w:val="32"/>
          <w:szCs w:val="32"/>
          <w:u w:val="single"/>
          <w:lang w:bidi="ar-EG"/>
        </w:rPr>
        <w:t xml:space="preserve"> Alternative Care and Children's R</w:t>
      </w:r>
      <w:r w:rsidR="00C9557A" w:rsidRPr="00C9557A">
        <w:rPr>
          <w:rFonts w:ascii="Times New Roman" w:eastAsia="Times New Roman" w:hAnsi="Times New Roman" w:cs="Times New Roman"/>
          <w:b/>
          <w:bCs/>
          <w:sz w:val="32"/>
          <w:szCs w:val="32"/>
          <w:u w:val="single"/>
          <w:lang w:bidi="ar-EG"/>
        </w:rPr>
        <w:t>ights</w:t>
      </w:r>
    </w:p>
    <w:p w14:paraId="725DB579" w14:textId="77777777" w:rsidR="00C9557A" w:rsidRPr="00C9557A" w:rsidRDefault="00C9557A" w:rsidP="00C9557A">
      <w:pPr>
        <w:spacing w:line="240" w:lineRule="auto"/>
        <w:jc w:val="lowKashida"/>
        <w:rPr>
          <w:rFonts w:ascii="Times New Roman" w:eastAsia="Times New Roman" w:hAnsi="Times New Roman" w:cs="Times New Roman"/>
          <w:sz w:val="28"/>
          <w:szCs w:val="28"/>
          <w:lang w:bidi="ar-EG"/>
        </w:rPr>
      </w:pPr>
    </w:p>
    <w:p w14:paraId="1007DDB1" w14:textId="77777777" w:rsidR="00C9557A" w:rsidRPr="00C9557A" w:rsidRDefault="001445C6" w:rsidP="001445C6">
      <w:pPr>
        <w:spacing w:line="240" w:lineRule="auto"/>
        <w:ind w:firstLine="567"/>
        <w:rPr>
          <w:rFonts w:ascii="Times New Roman" w:eastAsia="Times New Roman" w:hAnsi="Times New Roman" w:cs="Times New Roman"/>
          <w:sz w:val="28"/>
          <w:szCs w:val="28"/>
          <w:rtl/>
          <w:lang w:bidi="ar-EG"/>
        </w:rPr>
      </w:pPr>
      <w:r>
        <w:rPr>
          <w:rFonts w:ascii="Times New Roman" w:eastAsia="Times New Roman" w:hAnsi="Times New Roman" w:cs="Times New Roman"/>
          <w:sz w:val="28"/>
          <w:szCs w:val="28"/>
          <w:lang w:bidi="ar-EG"/>
        </w:rPr>
        <w:t>Family</w:t>
      </w:r>
      <w:r w:rsidR="00C9557A" w:rsidRPr="00C9557A">
        <w:rPr>
          <w:rFonts w:ascii="Times New Roman" w:eastAsia="Times New Roman" w:hAnsi="Times New Roman" w:cs="Times New Roman"/>
          <w:sz w:val="28"/>
          <w:szCs w:val="28"/>
          <w:lang w:bidi="ar-EG"/>
        </w:rPr>
        <w:t xml:space="preserve"> i</w:t>
      </w:r>
      <w:r>
        <w:rPr>
          <w:rFonts w:ascii="Times New Roman" w:eastAsia="Times New Roman" w:hAnsi="Times New Roman" w:cs="Times New Roman"/>
          <w:sz w:val="28"/>
          <w:szCs w:val="28"/>
          <w:lang w:bidi="ar-EG"/>
        </w:rPr>
        <w:t>s the most fundamental component of any society.</w:t>
      </w:r>
      <w:r w:rsidR="00C9557A" w:rsidRPr="00C9557A">
        <w:rPr>
          <w:rFonts w:ascii="Times New Roman" w:eastAsia="Times New Roman" w:hAnsi="Times New Roman" w:cs="Times New Roman"/>
          <w:sz w:val="28"/>
          <w:szCs w:val="28"/>
          <w:lang w:bidi="ar-EG"/>
        </w:rPr>
        <w:t xml:space="preserve"> Article 23 of the International Covenant on Civil and Political Rights mentions that the family is the natural and basic unit of society. The state has to protect the family from any dangers that may disintegrate it, especially children because they are the most vulnerable. The state may intervene to protect the child from violence, abuse, neglect, or any other threats to his safety, and it does not conflict with the child's best interests. However, the state has no right to deprive a child of his family except for the aforementioned reasons. Children may be deprived of their families due to armed conflicts, wars, natural disasters, or family disintegration for any reasons that prevent children from being with their parents. In this case, the state must protect the child in a manner th</w:t>
      </w:r>
      <w:r w:rsidR="00B04BB0">
        <w:rPr>
          <w:rFonts w:ascii="Times New Roman" w:eastAsia="Times New Roman" w:hAnsi="Times New Roman" w:cs="Times New Roman"/>
          <w:sz w:val="28"/>
          <w:szCs w:val="28"/>
          <w:lang w:bidi="ar-EG"/>
        </w:rPr>
        <w:t>at preserves his best interests,</w:t>
      </w:r>
      <w:r w:rsidR="00C9557A" w:rsidRPr="00C9557A">
        <w:rPr>
          <w:rFonts w:ascii="Times New Roman" w:eastAsia="Times New Roman" w:hAnsi="Times New Roman" w:cs="Times New Roman"/>
          <w:sz w:val="28"/>
          <w:szCs w:val="28"/>
          <w:lang w:bidi="ar-EG"/>
        </w:rPr>
        <w:t xml:space="preserve"> by securing alternative care for him, whether this care is formal through government institutions; or informal by granting some individuals and private institutions the right to adopt these children</w:t>
      </w:r>
      <w:r w:rsidR="00C9557A" w:rsidRPr="00C9557A">
        <w:rPr>
          <w:rFonts w:ascii="Times New Roman" w:eastAsia="Times New Roman" w:hAnsi="Times New Roman" w:cs="Times New Roman"/>
          <w:sz w:val="28"/>
          <w:szCs w:val="28"/>
          <w:vertAlign w:val="superscript"/>
          <w:rtl/>
          <w:lang w:bidi="ar-EG"/>
        </w:rPr>
        <w:footnoteReference w:id="1"/>
      </w:r>
      <w:r w:rsidR="00C9557A" w:rsidRPr="00C9557A">
        <w:rPr>
          <w:rFonts w:ascii="Times New Roman" w:eastAsia="Times New Roman" w:hAnsi="Times New Roman" w:cs="Times New Roman"/>
          <w:sz w:val="28"/>
          <w:szCs w:val="28"/>
          <w:rtl/>
          <w:lang w:bidi="ar-EG"/>
        </w:rPr>
        <w:t>.</w:t>
      </w:r>
    </w:p>
    <w:p w14:paraId="18D09729" w14:textId="72470BED" w:rsidR="00C9557A" w:rsidRPr="00C9557A" w:rsidRDefault="00C9557A" w:rsidP="00582B5B">
      <w:pPr>
        <w:spacing w:line="240" w:lineRule="auto"/>
        <w:ind w:firstLine="567"/>
        <w:rPr>
          <w:rFonts w:ascii="Times New Roman" w:eastAsia="Times New Roman" w:hAnsi="Times New Roman" w:cs="Times New Roman"/>
          <w:sz w:val="28"/>
          <w:szCs w:val="28"/>
          <w:lang w:bidi="ar-EG"/>
        </w:rPr>
      </w:pPr>
      <w:r w:rsidRPr="00B04BB0">
        <w:rPr>
          <w:rFonts w:ascii="Times New Roman" w:eastAsia="Times New Roman" w:hAnsi="Times New Roman" w:cs="Times New Roman"/>
          <w:b/>
          <w:bCs/>
          <w:sz w:val="28"/>
          <w:szCs w:val="28"/>
          <w:lang w:bidi="ar-EG"/>
        </w:rPr>
        <w:t>Maat for Peace</w:t>
      </w:r>
      <w:r w:rsidR="008949B0">
        <w:rPr>
          <w:rFonts w:ascii="Times New Roman" w:eastAsia="Times New Roman" w:hAnsi="Times New Roman" w:cs="Times New Roman"/>
          <w:b/>
          <w:bCs/>
          <w:sz w:val="28"/>
          <w:szCs w:val="28"/>
          <w:lang w:bidi="ar-EG"/>
        </w:rPr>
        <w:t xml:space="preserve"> </w:t>
      </w:r>
      <w:r w:rsidR="00B04BB0">
        <w:rPr>
          <w:rFonts w:ascii="Times New Roman" w:eastAsia="Times New Roman" w:hAnsi="Times New Roman" w:cs="Times New Roman"/>
          <w:sz w:val="28"/>
          <w:szCs w:val="28"/>
          <w:lang w:bidi="ar-EG"/>
        </w:rPr>
        <w:t xml:space="preserve">praises the </w:t>
      </w:r>
      <w:r w:rsidR="00B04BB0" w:rsidRPr="00C9557A">
        <w:rPr>
          <w:rFonts w:ascii="Times New Roman" w:eastAsia="Times New Roman" w:hAnsi="Times New Roman" w:cs="Times New Roman"/>
          <w:sz w:val="28"/>
          <w:szCs w:val="28"/>
          <w:lang w:bidi="ar-EG"/>
        </w:rPr>
        <w:t>Committee on the Rights of the Child</w:t>
      </w:r>
      <w:r w:rsidR="00B04BB0">
        <w:rPr>
          <w:rFonts w:ascii="Times New Roman" w:eastAsia="Times New Roman" w:hAnsi="Times New Roman" w:cs="Times New Roman"/>
          <w:sz w:val="28"/>
          <w:szCs w:val="28"/>
          <w:lang w:bidi="ar-EG"/>
        </w:rPr>
        <w:t>’s decision to</w:t>
      </w:r>
      <w:r w:rsidR="00B04BB0" w:rsidRPr="00C9557A">
        <w:rPr>
          <w:rFonts w:ascii="Times New Roman" w:eastAsia="Times New Roman" w:hAnsi="Times New Roman" w:cs="Times New Roman"/>
          <w:sz w:val="28"/>
          <w:szCs w:val="28"/>
          <w:lang w:bidi="ar-EG"/>
        </w:rPr>
        <w:t xml:space="preserve"> </w:t>
      </w:r>
      <w:r w:rsidR="00B04BB0">
        <w:rPr>
          <w:rFonts w:ascii="Times New Roman" w:eastAsia="Times New Roman" w:hAnsi="Times New Roman" w:cs="Times New Roman"/>
          <w:sz w:val="28"/>
          <w:szCs w:val="28"/>
          <w:lang w:bidi="ar-EG"/>
        </w:rPr>
        <w:t>dedicate</w:t>
      </w:r>
      <w:r w:rsidRPr="00C9557A">
        <w:rPr>
          <w:rFonts w:ascii="Times New Roman" w:eastAsia="Times New Roman" w:hAnsi="Times New Roman" w:cs="Times New Roman"/>
          <w:sz w:val="28"/>
          <w:szCs w:val="28"/>
          <w:lang w:bidi="ar-EG"/>
        </w:rPr>
        <w:t xml:space="preserve"> 16 and17 September 2021 as a day of general discussion on "alternative care and children's rights". This topic was not previously addressed by the Committee in its general discussions, despite its importance to hundreds of thousands of children around the world</w:t>
      </w:r>
      <w:r w:rsidRPr="00C9557A">
        <w:rPr>
          <w:rFonts w:ascii="Times New Roman" w:eastAsia="Times New Roman" w:hAnsi="Times New Roman" w:cs="Times New Roman"/>
          <w:sz w:val="28"/>
          <w:szCs w:val="28"/>
          <w:vertAlign w:val="superscript"/>
          <w:rtl/>
          <w:lang w:bidi="ar-EG"/>
        </w:rPr>
        <w:footnoteReference w:id="2"/>
      </w:r>
      <w:r w:rsidRPr="00C9557A">
        <w:rPr>
          <w:rFonts w:ascii="Times New Roman" w:eastAsia="Times New Roman" w:hAnsi="Times New Roman" w:cs="Times New Roman"/>
          <w:sz w:val="28"/>
          <w:szCs w:val="28"/>
          <w:lang w:bidi="ar-EG"/>
        </w:rPr>
        <w:t>. Accordingly, this intervention focuses on child rights, alternative care and highlights the alternative care is a mechanism to combat the worst forms of child labor. Given that the year 2021 will be the International Year for the Elimination of Child Labor with about 160 million child laborers, most of them work in hazardous conditions. In the second part of the intervention, we discuss s</w:t>
      </w:r>
      <w:r w:rsidR="00B04BB0">
        <w:rPr>
          <w:rFonts w:ascii="Times New Roman" w:eastAsia="Times New Roman" w:hAnsi="Times New Roman" w:cs="Times New Roman"/>
          <w:sz w:val="28"/>
          <w:szCs w:val="28"/>
          <w:lang w:bidi="ar-EG"/>
        </w:rPr>
        <w:t>ome of the innovative practices</w:t>
      </w:r>
      <w:r w:rsidRPr="00C9557A">
        <w:rPr>
          <w:rFonts w:ascii="Times New Roman" w:eastAsia="Times New Roman" w:hAnsi="Times New Roman" w:cs="Times New Roman"/>
          <w:sz w:val="28"/>
          <w:szCs w:val="28"/>
          <w:lang w:bidi="ar-EG"/>
        </w:rPr>
        <w:t xml:space="preserve"> to promote family unity and </w:t>
      </w:r>
      <w:r w:rsidR="00B04BB0">
        <w:rPr>
          <w:rFonts w:ascii="Times New Roman" w:eastAsia="Times New Roman" w:hAnsi="Times New Roman" w:cs="Times New Roman"/>
          <w:sz w:val="28"/>
          <w:szCs w:val="28"/>
          <w:lang w:bidi="ar-EG"/>
        </w:rPr>
        <w:t>prevent disintegration</w:t>
      </w:r>
      <w:r w:rsidRPr="00C9557A">
        <w:rPr>
          <w:rFonts w:ascii="Times New Roman" w:eastAsia="Times New Roman" w:hAnsi="Times New Roman" w:cs="Times New Roman"/>
          <w:sz w:val="28"/>
          <w:szCs w:val="28"/>
          <w:lang w:bidi="ar-EG"/>
        </w:rPr>
        <w:t>,</w:t>
      </w:r>
      <w:r w:rsidR="00B04BB0">
        <w:rPr>
          <w:rFonts w:ascii="Times New Roman" w:eastAsia="Times New Roman" w:hAnsi="Times New Roman" w:cs="Times New Roman"/>
          <w:sz w:val="28"/>
          <w:szCs w:val="28"/>
          <w:lang w:bidi="ar-EG"/>
        </w:rPr>
        <w:t xml:space="preserve"> enhance</w:t>
      </w:r>
      <w:r w:rsidRPr="00C9557A">
        <w:rPr>
          <w:rFonts w:ascii="Times New Roman" w:eastAsia="Times New Roman" w:hAnsi="Times New Roman" w:cs="Times New Roman"/>
          <w:sz w:val="28"/>
          <w:szCs w:val="28"/>
          <w:lang w:bidi="ar-EG"/>
        </w:rPr>
        <w:t xml:space="preserve"> good alternative care, the transition from alternative care to independent living, and the processes of leaving institutions as </w:t>
      </w:r>
      <w:bookmarkStart w:id="0" w:name="OLE_LINK1"/>
      <w:r w:rsidR="00B04BB0">
        <w:rPr>
          <w:rFonts w:ascii="Times New Roman" w:eastAsia="Times New Roman" w:hAnsi="Times New Roman" w:cs="Times New Roman"/>
          <w:sz w:val="28"/>
          <w:szCs w:val="28"/>
          <w:lang w:bidi="ar-EG"/>
        </w:rPr>
        <w:t>its cons outweigh</w:t>
      </w:r>
      <w:r w:rsidR="00B04BB0" w:rsidRPr="00B04BB0">
        <w:rPr>
          <w:rFonts w:ascii="Times New Roman" w:eastAsia="Times New Roman" w:hAnsi="Times New Roman" w:cs="Times New Roman"/>
          <w:sz w:val="28"/>
          <w:szCs w:val="28"/>
          <w:lang w:bidi="ar-EG"/>
        </w:rPr>
        <w:t xml:space="preserve"> the </w:t>
      </w:r>
      <w:r w:rsidR="00B04BB0" w:rsidRPr="00B04BB0">
        <w:rPr>
          <w:rFonts w:ascii="Times New Roman" w:eastAsia="Times New Roman" w:hAnsi="Times New Roman" w:cs="Times New Roman"/>
          <w:sz w:val="28"/>
          <w:szCs w:val="28"/>
          <w:lang w:bidi="ar-EG"/>
        </w:rPr>
        <w:lastRenderedPageBreak/>
        <w:t xml:space="preserve">pros </w:t>
      </w:r>
      <w:bookmarkEnd w:id="0"/>
      <w:r w:rsidR="00B04BB0">
        <w:rPr>
          <w:rFonts w:ascii="Times New Roman" w:eastAsia="Times New Roman" w:hAnsi="Times New Roman" w:cs="Times New Roman"/>
          <w:sz w:val="28"/>
          <w:szCs w:val="28"/>
          <w:lang w:bidi="ar-EG"/>
        </w:rPr>
        <w:t>for</w:t>
      </w:r>
      <w:r w:rsidRPr="00C9557A">
        <w:rPr>
          <w:rFonts w:ascii="Times New Roman" w:eastAsia="Times New Roman" w:hAnsi="Times New Roman" w:cs="Times New Roman"/>
          <w:sz w:val="28"/>
          <w:szCs w:val="28"/>
          <w:lang w:bidi="ar-EG"/>
        </w:rPr>
        <w:t xml:space="preserve"> children at an </w:t>
      </w:r>
      <w:r w:rsidR="00582B5B">
        <w:rPr>
          <w:rFonts w:ascii="Times New Roman" w:eastAsia="Times New Roman" w:hAnsi="Times New Roman" w:cs="Times New Roman"/>
          <w:sz w:val="28"/>
          <w:szCs w:val="28"/>
          <w:lang w:bidi="ar-EG"/>
        </w:rPr>
        <w:t>early age</w:t>
      </w:r>
      <w:r w:rsidRPr="00C9557A">
        <w:rPr>
          <w:rFonts w:ascii="Times New Roman" w:eastAsia="Times New Roman" w:hAnsi="Times New Roman" w:cs="Times New Roman"/>
          <w:sz w:val="28"/>
          <w:szCs w:val="28"/>
          <w:vertAlign w:val="superscript"/>
          <w:rtl/>
          <w:lang w:bidi="ar-EG"/>
        </w:rPr>
        <w:footnoteReference w:id="3"/>
      </w:r>
      <w:r w:rsidRPr="00C9557A">
        <w:rPr>
          <w:rFonts w:ascii="Times New Roman" w:eastAsia="Times New Roman" w:hAnsi="Times New Roman" w:cs="Times New Roman"/>
          <w:sz w:val="28"/>
          <w:szCs w:val="28"/>
          <w:lang w:bidi="ar-EG"/>
        </w:rPr>
        <w:t>. The intervention does not deviate from the framework outlined by the Guidelines for the Alternative Care of Children approved by the United Nations General Assembly on December 18, 2009</w:t>
      </w:r>
      <w:r w:rsidRPr="00C9557A">
        <w:rPr>
          <w:rFonts w:ascii="Times New Roman" w:eastAsia="Times New Roman" w:hAnsi="Times New Roman" w:cs="Times New Roman"/>
          <w:sz w:val="28"/>
          <w:szCs w:val="28"/>
          <w:rtl/>
          <w:lang w:bidi="ar-EG"/>
        </w:rPr>
        <w:t>.</w:t>
      </w:r>
    </w:p>
    <w:p w14:paraId="1543BACB" w14:textId="77777777" w:rsidR="00C9557A" w:rsidRPr="00582B5B" w:rsidRDefault="00C9557A" w:rsidP="00C9557A">
      <w:pPr>
        <w:spacing w:after="0"/>
        <w:ind w:hanging="357"/>
        <w:rPr>
          <w:rFonts w:ascii="Times New Roman" w:eastAsia="Times New Roman" w:hAnsi="Times New Roman" w:cs="Times New Roman"/>
          <w:b/>
          <w:color w:val="C00000"/>
          <w:sz w:val="28"/>
          <w:szCs w:val="28"/>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bookmarkStart w:id="1" w:name="_Hlk75352556"/>
      <w:r w:rsidRPr="00582B5B">
        <w:rPr>
          <w:rFonts w:ascii="Times New Roman" w:eastAsia="Times New Roman" w:hAnsi="Times New Roman" w:cs="Times New Roman"/>
          <w:b/>
          <w:color w:val="C00000"/>
          <w:sz w:val="28"/>
          <w:szCs w:val="28"/>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Alternative care as a mechanism to combat child labor</w:t>
      </w:r>
    </w:p>
    <w:bookmarkEnd w:id="1"/>
    <w:p w14:paraId="6261A861" w14:textId="77777777" w:rsidR="00C9557A" w:rsidRPr="00C9557A" w:rsidRDefault="00C9557A" w:rsidP="0040587F">
      <w:pPr>
        <w:spacing w:after="0"/>
        <w:ind w:firstLine="720"/>
        <w:rPr>
          <w:rFonts w:ascii="Times New Roman" w:eastAsia="Times New Roman" w:hAnsi="Times New Roman" w:cs="Times New Roman"/>
          <w:sz w:val="28"/>
          <w:szCs w:val="28"/>
          <w:rtl/>
          <w:lang w:bidi="ar-EG"/>
        </w:rPr>
      </w:pPr>
      <w:r w:rsidRPr="00C9557A">
        <w:rPr>
          <w:rFonts w:ascii="Times New Roman" w:eastAsia="Times New Roman" w:hAnsi="Times New Roman" w:cs="Times New Roman"/>
          <w:sz w:val="28"/>
          <w:szCs w:val="28"/>
          <w:lang w:bidi="ar-EG"/>
        </w:rPr>
        <w:t xml:space="preserve">Whether alternative care </w:t>
      </w:r>
      <w:r w:rsidR="00F33AEB">
        <w:rPr>
          <w:rFonts w:ascii="Times New Roman" w:eastAsia="Times New Roman" w:hAnsi="Times New Roman" w:cs="Times New Roman"/>
          <w:sz w:val="28"/>
          <w:szCs w:val="28"/>
          <w:lang w:bidi="ar-EG"/>
        </w:rPr>
        <w:t>is provided formally through</w:t>
      </w:r>
      <w:r w:rsidRPr="00C9557A">
        <w:rPr>
          <w:rFonts w:ascii="Times New Roman" w:eastAsia="Times New Roman" w:hAnsi="Times New Roman" w:cs="Times New Roman"/>
          <w:sz w:val="28"/>
          <w:szCs w:val="28"/>
          <w:lang w:bidi="ar-EG"/>
        </w:rPr>
        <w:t xml:space="preserve"> government institutions, </w:t>
      </w:r>
      <w:r w:rsidR="00F33AEB">
        <w:rPr>
          <w:rFonts w:ascii="Times New Roman" w:eastAsia="Times New Roman" w:hAnsi="Times New Roman" w:cs="Times New Roman"/>
          <w:sz w:val="28"/>
          <w:szCs w:val="28"/>
          <w:lang w:bidi="ar-EG"/>
        </w:rPr>
        <w:t xml:space="preserve">or </w:t>
      </w:r>
      <w:r w:rsidRPr="00C9557A">
        <w:rPr>
          <w:rFonts w:ascii="Times New Roman" w:eastAsia="Times New Roman" w:hAnsi="Times New Roman" w:cs="Times New Roman"/>
          <w:sz w:val="28"/>
          <w:szCs w:val="28"/>
          <w:lang w:bidi="ar-EG"/>
        </w:rPr>
        <w:t>informal</w:t>
      </w:r>
      <w:r w:rsidR="00F33AEB">
        <w:rPr>
          <w:rFonts w:ascii="Times New Roman" w:eastAsia="Times New Roman" w:hAnsi="Times New Roman" w:cs="Times New Roman"/>
          <w:sz w:val="28"/>
          <w:szCs w:val="28"/>
          <w:lang w:bidi="ar-EG"/>
        </w:rPr>
        <w:t>ly</w:t>
      </w:r>
      <w:r w:rsidRPr="00C9557A">
        <w:rPr>
          <w:rFonts w:ascii="Times New Roman" w:eastAsia="Times New Roman" w:hAnsi="Times New Roman" w:cs="Times New Roman"/>
          <w:sz w:val="28"/>
          <w:szCs w:val="28"/>
          <w:lang w:bidi="ar-EG"/>
        </w:rPr>
        <w:t xml:space="preserve"> through community adoption </w:t>
      </w:r>
      <w:r w:rsidR="00F33AEB">
        <w:rPr>
          <w:rFonts w:ascii="Times New Roman" w:eastAsia="Times New Roman" w:hAnsi="Times New Roman" w:cs="Times New Roman"/>
          <w:sz w:val="28"/>
          <w:szCs w:val="28"/>
          <w:lang w:bidi="ar-EG"/>
        </w:rPr>
        <w:t>by</w:t>
      </w:r>
      <w:r w:rsidRPr="00C9557A">
        <w:rPr>
          <w:rFonts w:ascii="Times New Roman" w:eastAsia="Times New Roman" w:hAnsi="Times New Roman" w:cs="Times New Roman"/>
          <w:sz w:val="28"/>
          <w:szCs w:val="28"/>
          <w:lang w:bidi="ar-EG"/>
        </w:rPr>
        <w:t xml:space="preserve"> private individuals, or</w:t>
      </w:r>
      <w:r w:rsidR="00F33AEB">
        <w:rPr>
          <w:rFonts w:ascii="Times New Roman" w:eastAsia="Times New Roman" w:hAnsi="Times New Roman" w:cs="Times New Roman"/>
          <w:sz w:val="28"/>
          <w:szCs w:val="28"/>
          <w:lang w:bidi="ar-EG"/>
        </w:rPr>
        <w:t xml:space="preserve"> individuals</w:t>
      </w:r>
      <w:r w:rsidRPr="00C9557A">
        <w:rPr>
          <w:rFonts w:ascii="Times New Roman" w:eastAsia="Times New Roman" w:hAnsi="Times New Roman" w:cs="Times New Roman"/>
          <w:sz w:val="28"/>
          <w:szCs w:val="28"/>
          <w:lang w:bidi="ar-EG"/>
        </w:rPr>
        <w:t xml:space="preserve"> related to </w:t>
      </w:r>
      <w:r w:rsidR="00F33AEB">
        <w:rPr>
          <w:rFonts w:ascii="Times New Roman" w:eastAsia="Times New Roman" w:hAnsi="Times New Roman" w:cs="Times New Roman"/>
          <w:sz w:val="28"/>
          <w:szCs w:val="28"/>
          <w:lang w:bidi="ar-EG"/>
        </w:rPr>
        <w:t>civil</w:t>
      </w:r>
      <w:r w:rsidRPr="00C9557A">
        <w:rPr>
          <w:rFonts w:ascii="Times New Roman" w:eastAsia="Times New Roman" w:hAnsi="Times New Roman" w:cs="Times New Roman"/>
          <w:sz w:val="28"/>
          <w:szCs w:val="28"/>
          <w:lang w:bidi="ar-EG"/>
        </w:rPr>
        <w:t xml:space="preserve"> institutions, </w:t>
      </w:r>
      <w:r w:rsidR="00F33AEB">
        <w:rPr>
          <w:rFonts w:ascii="Times New Roman" w:eastAsia="Times New Roman" w:hAnsi="Times New Roman" w:cs="Times New Roman"/>
          <w:sz w:val="28"/>
          <w:szCs w:val="28"/>
          <w:lang w:bidi="ar-EG"/>
        </w:rPr>
        <w:t xml:space="preserve">in both cases </w:t>
      </w:r>
      <w:r w:rsidRPr="00C9557A">
        <w:rPr>
          <w:rFonts w:ascii="Times New Roman" w:eastAsia="Times New Roman" w:hAnsi="Times New Roman" w:cs="Times New Roman"/>
          <w:sz w:val="28"/>
          <w:szCs w:val="28"/>
          <w:lang w:bidi="ar-EG"/>
        </w:rPr>
        <w:t xml:space="preserve">such care is necessary to prevent child labor at a young age. </w:t>
      </w:r>
      <w:r w:rsidR="00F33AEB">
        <w:rPr>
          <w:rFonts w:ascii="Times New Roman" w:eastAsia="Times New Roman" w:hAnsi="Times New Roman" w:cs="Times New Roman"/>
          <w:sz w:val="28"/>
          <w:szCs w:val="28"/>
          <w:lang w:bidi="ar-EG"/>
        </w:rPr>
        <w:t>Alternative</w:t>
      </w:r>
      <w:r w:rsidRPr="00C9557A">
        <w:rPr>
          <w:rFonts w:ascii="Times New Roman" w:eastAsia="Times New Roman" w:hAnsi="Times New Roman" w:cs="Times New Roman"/>
          <w:sz w:val="28"/>
          <w:szCs w:val="28"/>
          <w:lang w:bidi="ar-EG"/>
        </w:rPr>
        <w:t xml:space="preserve"> care system can prevent children from engaging in the worst forms of illegal work. Unaccompanied, separated children, </w:t>
      </w:r>
      <w:bookmarkStart w:id="2" w:name="OLE_LINK2"/>
      <w:bookmarkStart w:id="3" w:name="OLE_LINK3"/>
      <w:r w:rsidRPr="00C9557A">
        <w:rPr>
          <w:rFonts w:ascii="Times New Roman" w:eastAsia="Times New Roman" w:hAnsi="Times New Roman" w:cs="Times New Roman"/>
          <w:sz w:val="28"/>
          <w:szCs w:val="28"/>
          <w:lang w:bidi="ar-EG"/>
        </w:rPr>
        <w:t>street children</w:t>
      </w:r>
      <w:bookmarkEnd w:id="2"/>
      <w:bookmarkEnd w:id="3"/>
      <w:r w:rsidRPr="00C9557A">
        <w:rPr>
          <w:rFonts w:ascii="Times New Roman" w:eastAsia="Times New Roman" w:hAnsi="Times New Roman" w:cs="Times New Roman"/>
          <w:sz w:val="28"/>
          <w:szCs w:val="28"/>
          <w:lang w:bidi="ar-EG"/>
        </w:rPr>
        <w:t>, orphaned, and homeless children</w:t>
      </w:r>
      <w:r w:rsidRPr="00C9557A">
        <w:rPr>
          <w:rFonts w:ascii="Times New Roman" w:eastAsia="Times New Roman" w:hAnsi="Times New Roman" w:cs="Times New Roman"/>
          <w:sz w:val="28"/>
          <w:szCs w:val="28"/>
          <w:vertAlign w:val="superscript"/>
          <w:rtl/>
          <w:lang w:bidi="ar-EG"/>
        </w:rPr>
        <w:footnoteReference w:id="4"/>
      </w:r>
      <w:r w:rsidRPr="00C9557A">
        <w:rPr>
          <w:rFonts w:ascii="Times New Roman" w:eastAsia="Times New Roman" w:hAnsi="Times New Roman" w:cs="Times New Roman"/>
          <w:sz w:val="28"/>
          <w:szCs w:val="28"/>
          <w:lang w:bidi="ar-EG"/>
        </w:rPr>
        <w:t xml:space="preserve"> are the most likely to engage in hazardous labor, joining </w:t>
      </w:r>
      <w:bookmarkStart w:id="4" w:name="OLE_LINK4"/>
      <w:bookmarkStart w:id="5" w:name="OLE_LINK5"/>
      <w:r w:rsidRPr="00C9557A">
        <w:rPr>
          <w:rFonts w:ascii="Times New Roman" w:eastAsia="Times New Roman" w:hAnsi="Times New Roman" w:cs="Times New Roman"/>
          <w:sz w:val="28"/>
          <w:szCs w:val="28"/>
          <w:lang w:bidi="ar-EG"/>
        </w:rPr>
        <w:t xml:space="preserve">criminal networks to beg </w:t>
      </w:r>
      <w:bookmarkEnd w:id="4"/>
      <w:bookmarkEnd w:id="5"/>
      <w:r w:rsidRPr="00C9557A">
        <w:rPr>
          <w:rFonts w:ascii="Times New Roman" w:eastAsia="Times New Roman" w:hAnsi="Times New Roman" w:cs="Times New Roman"/>
          <w:sz w:val="28"/>
          <w:szCs w:val="28"/>
          <w:lang w:bidi="ar-EG"/>
        </w:rPr>
        <w:t>or be exploited by these networks to engage in prostitution and commercial sexual exploitation</w:t>
      </w:r>
      <w:r w:rsidR="0040587F">
        <w:rPr>
          <w:rFonts w:ascii="Times New Roman" w:eastAsia="Times New Roman" w:hAnsi="Times New Roman" w:cs="Times New Roman"/>
          <w:sz w:val="28"/>
          <w:szCs w:val="28"/>
          <w:lang w:bidi="ar-EG"/>
        </w:rPr>
        <w:t>, which may arise to</w:t>
      </w:r>
      <w:r w:rsidRPr="00C9557A">
        <w:rPr>
          <w:rFonts w:ascii="Times New Roman" w:eastAsia="Times New Roman" w:hAnsi="Times New Roman" w:cs="Times New Roman"/>
          <w:sz w:val="28"/>
          <w:szCs w:val="28"/>
          <w:lang w:bidi="ar-EG"/>
        </w:rPr>
        <w:t xml:space="preserve"> human trafficking</w:t>
      </w:r>
      <w:r w:rsidRPr="00C9557A">
        <w:rPr>
          <w:rFonts w:ascii="Times New Roman" w:eastAsia="Times New Roman" w:hAnsi="Times New Roman" w:cs="Times New Roman"/>
          <w:sz w:val="28"/>
          <w:szCs w:val="28"/>
          <w:vertAlign w:val="superscript"/>
          <w:rtl/>
          <w:lang w:bidi="ar-EG"/>
        </w:rPr>
        <w:footnoteReference w:id="5"/>
      </w:r>
      <w:r w:rsidRPr="00C9557A">
        <w:rPr>
          <w:rFonts w:ascii="Times New Roman" w:eastAsia="Times New Roman" w:hAnsi="Times New Roman" w:cs="Times New Roman"/>
          <w:sz w:val="28"/>
          <w:szCs w:val="28"/>
          <w:rtl/>
          <w:lang w:bidi="ar-EG"/>
        </w:rPr>
        <w:t>.</w:t>
      </w:r>
      <w:r w:rsidRPr="00C9557A">
        <w:rPr>
          <w:rFonts w:ascii="Times New Roman" w:eastAsia="Times New Roman" w:hAnsi="Times New Roman" w:cs="Times New Roman"/>
          <w:sz w:val="28"/>
          <w:szCs w:val="28"/>
          <w:lang w:bidi="ar-EG"/>
        </w:rPr>
        <w:t xml:space="preserve"> </w:t>
      </w:r>
      <w:r w:rsidR="0040587F">
        <w:rPr>
          <w:rFonts w:ascii="Times New Roman" w:eastAsia="Times New Roman" w:hAnsi="Times New Roman" w:cs="Times New Roman"/>
          <w:sz w:val="28"/>
          <w:szCs w:val="28"/>
          <w:lang w:bidi="ar-EG"/>
        </w:rPr>
        <w:t>These practices</w:t>
      </w:r>
      <w:r w:rsidRPr="00C9557A">
        <w:rPr>
          <w:rFonts w:ascii="Times New Roman" w:eastAsia="Times New Roman" w:hAnsi="Times New Roman" w:cs="Times New Roman"/>
          <w:sz w:val="28"/>
          <w:szCs w:val="28"/>
          <w:lang w:bidi="ar-EG"/>
        </w:rPr>
        <w:t xml:space="preserve"> are inconsistent w</w:t>
      </w:r>
      <w:r w:rsidR="0040587F">
        <w:rPr>
          <w:rFonts w:ascii="Times New Roman" w:eastAsia="Times New Roman" w:hAnsi="Times New Roman" w:cs="Times New Roman"/>
          <w:sz w:val="28"/>
          <w:szCs w:val="28"/>
          <w:lang w:bidi="ar-EG"/>
        </w:rPr>
        <w:t xml:space="preserve">ith the child's best interests provided for in </w:t>
      </w:r>
      <w:r w:rsidRPr="00C9557A">
        <w:rPr>
          <w:rFonts w:ascii="Times New Roman" w:eastAsia="Times New Roman" w:hAnsi="Times New Roman" w:cs="Times New Roman"/>
          <w:sz w:val="28"/>
          <w:szCs w:val="28"/>
          <w:lang w:bidi="ar-EG"/>
        </w:rPr>
        <w:t>Article 3 of the 1989 Convention on the Child Rights</w:t>
      </w:r>
      <w:r w:rsidRPr="00C9557A">
        <w:rPr>
          <w:rFonts w:ascii="Times New Roman" w:eastAsia="Times New Roman" w:hAnsi="Times New Roman" w:cs="Times New Roman"/>
          <w:sz w:val="28"/>
          <w:szCs w:val="28"/>
          <w:vertAlign w:val="superscript"/>
          <w:rtl/>
          <w:lang w:bidi="ar-EG"/>
        </w:rPr>
        <w:footnoteReference w:id="6"/>
      </w:r>
      <w:r w:rsidRPr="00C9557A">
        <w:rPr>
          <w:rFonts w:ascii="Times New Roman" w:eastAsia="Times New Roman" w:hAnsi="Times New Roman" w:cs="Times New Roman"/>
          <w:sz w:val="28"/>
          <w:szCs w:val="28"/>
          <w:rtl/>
          <w:lang w:bidi="ar-EG"/>
        </w:rPr>
        <w:t>.</w:t>
      </w:r>
      <w:r w:rsidRPr="00C9557A">
        <w:rPr>
          <w:rFonts w:ascii="Times New Roman" w:eastAsia="Times New Roman" w:hAnsi="Times New Roman" w:cs="Times New Roman"/>
          <w:sz w:val="28"/>
          <w:szCs w:val="28"/>
          <w:lang w:bidi="ar-EG"/>
        </w:rPr>
        <w:t xml:space="preserve">Over 90% of separated, unaccompanied, homeless, and street children are engaged in some form of the worst labor. Over 90% of separated, unaccompanied, homeless, and street children are engaged in some form of the worst labor. </w:t>
      </w:r>
      <w:r w:rsidR="0040587F" w:rsidRPr="00C9557A">
        <w:rPr>
          <w:rFonts w:ascii="Times New Roman" w:eastAsia="Times New Roman" w:hAnsi="Times New Roman" w:cs="Times New Roman"/>
          <w:sz w:val="28"/>
          <w:szCs w:val="28"/>
          <w:lang w:bidi="ar-EG"/>
        </w:rPr>
        <w:t xml:space="preserve">According to the classification of the International Labor Organization in Convention No. 182 of 1999 </w:t>
      </w:r>
      <w:r w:rsidR="0040587F">
        <w:rPr>
          <w:rFonts w:ascii="Times New Roman" w:eastAsia="Times New Roman" w:hAnsi="Times New Roman" w:cs="Times New Roman"/>
          <w:sz w:val="28"/>
          <w:szCs w:val="28"/>
          <w:lang w:bidi="ar-EG"/>
        </w:rPr>
        <w:t>on</w:t>
      </w:r>
      <w:r w:rsidR="0040587F" w:rsidRPr="00C9557A">
        <w:rPr>
          <w:rFonts w:ascii="Times New Roman" w:eastAsia="Times New Roman" w:hAnsi="Times New Roman" w:cs="Times New Roman"/>
          <w:sz w:val="28"/>
          <w:szCs w:val="28"/>
          <w:lang w:bidi="ar-EG"/>
        </w:rPr>
        <w:t xml:space="preserve"> the Prohibition and Immediate Elimination of the Worst Forms of Work</w:t>
      </w:r>
      <w:r w:rsidR="0040587F">
        <w:rPr>
          <w:rFonts w:ascii="Times New Roman" w:eastAsia="Times New Roman" w:hAnsi="Times New Roman" w:cs="Times New Roman"/>
          <w:sz w:val="28"/>
          <w:szCs w:val="28"/>
          <w:lang w:bidi="ar-EG"/>
        </w:rPr>
        <w:t>, nine out of</w:t>
      </w:r>
      <w:r w:rsidRPr="00C9557A">
        <w:rPr>
          <w:rFonts w:ascii="Times New Roman" w:eastAsia="Times New Roman" w:hAnsi="Times New Roman" w:cs="Times New Roman"/>
          <w:sz w:val="28"/>
          <w:szCs w:val="28"/>
          <w:lang w:bidi="ar-EG"/>
        </w:rPr>
        <w:t xml:space="preserve"> every ten children who do not have a family and </w:t>
      </w:r>
      <w:r w:rsidR="0040587F">
        <w:rPr>
          <w:rFonts w:ascii="Times New Roman" w:eastAsia="Times New Roman" w:hAnsi="Times New Roman" w:cs="Times New Roman"/>
          <w:sz w:val="28"/>
          <w:szCs w:val="28"/>
          <w:lang w:bidi="ar-EG"/>
        </w:rPr>
        <w:t>not</w:t>
      </w:r>
      <w:r w:rsidRPr="00C9557A">
        <w:rPr>
          <w:rFonts w:ascii="Times New Roman" w:eastAsia="Times New Roman" w:hAnsi="Times New Roman" w:cs="Times New Roman"/>
          <w:sz w:val="28"/>
          <w:szCs w:val="28"/>
          <w:lang w:bidi="ar-EG"/>
        </w:rPr>
        <w:t xml:space="preserve"> cover</w:t>
      </w:r>
      <w:r w:rsidR="0040587F">
        <w:rPr>
          <w:rFonts w:ascii="Times New Roman" w:eastAsia="Times New Roman" w:hAnsi="Times New Roman" w:cs="Times New Roman"/>
          <w:sz w:val="28"/>
          <w:szCs w:val="28"/>
          <w:lang w:bidi="ar-EG"/>
        </w:rPr>
        <w:t>ed</w:t>
      </w:r>
      <w:r w:rsidRPr="00C9557A">
        <w:rPr>
          <w:rFonts w:ascii="Times New Roman" w:eastAsia="Times New Roman" w:hAnsi="Times New Roman" w:cs="Times New Roman"/>
          <w:sz w:val="28"/>
          <w:szCs w:val="28"/>
          <w:lang w:bidi="ar-EG"/>
        </w:rPr>
        <w:t xml:space="preserve"> by family care, are involved in this dangerous work, which amounts to contem</w:t>
      </w:r>
      <w:r w:rsidR="0040587F">
        <w:rPr>
          <w:rFonts w:ascii="Times New Roman" w:eastAsia="Times New Roman" w:hAnsi="Times New Roman" w:cs="Times New Roman"/>
          <w:sz w:val="28"/>
          <w:szCs w:val="28"/>
          <w:lang w:bidi="ar-EG"/>
        </w:rPr>
        <w:t>porary slavery and forced labor.</w:t>
      </w:r>
      <w:r w:rsidRPr="00C9557A">
        <w:rPr>
          <w:rFonts w:ascii="Times New Roman" w:eastAsia="Times New Roman" w:hAnsi="Times New Roman" w:cs="Times New Roman"/>
          <w:sz w:val="28"/>
          <w:szCs w:val="28"/>
          <w:vertAlign w:val="superscript"/>
          <w:rtl/>
          <w:lang w:bidi="ar-EG"/>
        </w:rPr>
        <w:footnoteReference w:id="7"/>
      </w:r>
    </w:p>
    <w:p w14:paraId="578578A3" w14:textId="77777777" w:rsidR="00C9557A" w:rsidRPr="00C9557A" w:rsidRDefault="00C9557A" w:rsidP="0039177B">
      <w:pPr>
        <w:spacing w:after="0"/>
        <w:ind w:firstLine="720"/>
        <w:rPr>
          <w:rFonts w:ascii="Times New Roman" w:eastAsia="Times New Roman" w:hAnsi="Times New Roman" w:cs="Times New Roman"/>
          <w:sz w:val="28"/>
          <w:szCs w:val="28"/>
          <w:rtl/>
          <w:lang w:bidi="ar-EG"/>
        </w:rPr>
      </w:pPr>
      <w:r w:rsidRPr="00C9557A">
        <w:rPr>
          <w:rFonts w:ascii="Times New Roman" w:eastAsia="Times New Roman" w:hAnsi="Times New Roman" w:cs="Times New Roman"/>
          <w:sz w:val="28"/>
          <w:szCs w:val="28"/>
          <w:lang w:bidi="ar-EG"/>
        </w:rPr>
        <w:t xml:space="preserve">States parties to the Convention on the Child Rights may avoid children's </w:t>
      </w:r>
      <w:r w:rsidR="0039177B">
        <w:rPr>
          <w:rFonts w:ascii="Times New Roman" w:eastAsia="Times New Roman" w:hAnsi="Times New Roman" w:cs="Times New Roman"/>
          <w:sz w:val="28"/>
          <w:szCs w:val="28"/>
          <w:lang w:bidi="ar-EG"/>
        </w:rPr>
        <w:t>engagement</w:t>
      </w:r>
      <w:r w:rsidRPr="00C9557A">
        <w:rPr>
          <w:rFonts w:ascii="Times New Roman" w:eastAsia="Times New Roman" w:hAnsi="Times New Roman" w:cs="Times New Roman"/>
          <w:sz w:val="28"/>
          <w:szCs w:val="28"/>
          <w:lang w:bidi="ar-EG"/>
        </w:rPr>
        <w:t xml:space="preserve"> </w:t>
      </w:r>
      <w:r w:rsidR="0039177B">
        <w:rPr>
          <w:rFonts w:ascii="Times New Roman" w:eastAsia="Times New Roman" w:hAnsi="Times New Roman" w:cs="Times New Roman"/>
          <w:sz w:val="28"/>
          <w:szCs w:val="28"/>
          <w:lang w:bidi="ar-EG"/>
        </w:rPr>
        <w:t>in such practices</w:t>
      </w:r>
      <w:r w:rsidRPr="00C9557A">
        <w:rPr>
          <w:rFonts w:ascii="Times New Roman" w:eastAsia="Times New Roman" w:hAnsi="Times New Roman" w:cs="Times New Roman"/>
          <w:sz w:val="28"/>
          <w:szCs w:val="28"/>
          <w:lang w:bidi="ar-EG"/>
        </w:rPr>
        <w:t xml:space="preserve"> by developing an updated database. It includes unaccompanied, separated children, the homeless and street children, and their placement </w:t>
      </w:r>
      <w:r w:rsidRPr="00C9557A">
        <w:rPr>
          <w:rFonts w:ascii="Times New Roman" w:eastAsia="Times New Roman" w:hAnsi="Times New Roman" w:cs="Times New Roman"/>
          <w:sz w:val="28"/>
          <w:szCs w:val="28"/>
          <w:lang w:bidi="ar-EG"/>
        </w:rPr>
        <w:lastRenderedPageBreak/>
        <w:t>in alternative care institutions, whether formal or informal. It thus avoids the resorting of these children to the worst forms of work and the practice of work that may have an impact on these children. In Egypt, for example, smugglers facilitate the travel procedures for some children to European countries in partnership with criminal mafias in these countries to sexually exploit children. An example of this is the unaccompanied, separated Egyptian children, in 2018 about 930 children and traveled to Italy</w:t>
      </w:r>
      <w:r w:rsidRPr="00C9557A">
        <w:rPr>
          <w:rFonts w:ascii="Times New Roman" w:eastAsia="Times New Roman" w:hAnsi="Times New Roman" w:cs="Times New Roman"/>
          <w:sz w:val="28"/>
          <w:szCs w:val="28"/>
          <w:vertAlign w:val="superscript"/>
          <w:rtl/>
          <w:lang w:bidi="ar-EG"/>
        </w:rPr>
        <w:footnoteReference w:id="8"/>
      </w:r>
      <w:r w:rsidRPr="00C9557A">
        <w:rPr>
          <w:rFonts w:ascii="Times New Roman" w:eastAsia="Times New Roman" w:hAnsi="Times New Roman" w:cs="Times New Roman"/>
          <w:sz w:val="28"/>
          <w:szCs w:val="28"/>
          <w:lang w:bidi="ar-EG"/>
        </w:rPr>
        <w:t>. They worked for about 2 euros per day in prostitution through criminal networks that exploit these children once they arrive in Italy in agreement with smugglers in Egypt</w:t>
      </w:r>
      <w:r w:rsidRPr="00C9557A">
        <w:rPr>
          <w:rFonts w:ascii="Times New Roman" w:eastAsia="Times New Roman" w:hAnsi="Times New Roman" w:cs="Times New Roman"/>
          <w:sz w:val="28"/>
          <w:szCs w:val="28"/>
          <w:vertAlign w:val="superscript"/>
          <w:rtl/>
          <w:lang w:bidi="ar-EG"/>
        </w:rPr>
        <w:footnoteReference w:id="9"/>
      </w:r>
      <w:r w:rsidRPr="00C9557A">
        <w:rPr>
          <w:rFonts w:ascii="Times New Roman" w:eastAsia="Times New Roman" w:hAnsi="Times New Roman" w:cs="Times New Roman"/>
          <w:sz w:val="28"/>
          <w:szCs w:val="28"/>
          <w:lang w:bidi="ar-EG"/>
        </w:rPr>
        <w:t>. If there is a database of these children, tracing them back to their families, or leaving them in an alternative care home, they would not have fallen victim to exploitation by these smugglers</w:t>
      </w:r>
      <w:r w:rsidRPr="00C9557A">
        <w:rPr>
          <w:rFonts w:ascii="Times New Roman" w:eastAsia="Times New Roman" w:hAnsi="Times New Roman" w:cs="Times New Roman"/>
          <w:sz w:val="28"/>
          <w:szCs w:val="28"/>
          <w:rtl/>
          <w:lang w:bidi="ar-EG"/>
        </w:rPr>
        <w:t>.</w:t>
      </w:r>
    </w:p>
    <w:p w14:paraId="3671F888" w14:textId="77777777" w:rsidR="00C9557A" w:rsidRPr="00C9557A" w:rsidRDefault="00C9557A" w:rsidP="00C9557A">
      <w:pPr>
        <w:spacing w:after="0"/>
        <w:ind w:hanging="12"/>
        <w:jc w:val="right"/>
        <w:rPr>
          <w:rFonts w:ascii="Times New Roman" w:eastAsia="Times New Roman" w:hAnsi="Times New Roman" w:cs="Times New Roman"/>
          <w:sz w:val="28"/>
          <w:szCs w:val="28"/>
          <w:lang w:bidi="ar-EG"/>
        </w:rPr>
      </w:pPr>
    </w:p>
    <w:p w14:paraId="4D5841C9" w14:textId="77777777" w:rsidR="00C9557A" w:rsidRPr="00C9557A" w:rsidRDefault="00C9557A" w:rsidP="0039177B">
      <w:pPr>
        <w:spacing w:after="0"/>
        <w:ind w:firstLine="720"/>
        <w:jc w:val="both"/>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That is what the Egyptian government is currently working on.  It has resorted to some practices to track the impact of the displaced and separated from their families. It intends at the end of June 2021 to launch the platform of the missing</w:t>
      </w:r>
      <w:r w:rsidRPr="00C9557A">
        <w:rPr>
          <w:rFonts w:ascii="Times New Roman" w:eastAsia="Times New Roman" w:hAnsi="Times New Roman" w:cs="Times New Roman"/>
          <w:sz w:val="28"/>
          <w:szCs w:val="28"/>
          <w:vertAlign w:val="superscript"/>
          <w:rtl/>
          <w:lang w:bidi="ar-EG"/>
        </w:rPr>
        <w:footnoteReference w:id="10"/>
      </w:r>
      <w:r w:rsidR="0039177B">
        <w:rPr>
          <w:rFonts w:ascii="Times New Roman" w:eastAsia="Times New Roman" w:hAnsi="Times New Roman" w:cs="Times New Roman"/>
          <w:sz w:val="28"/>
          <w:szCs w:val="28"/>
          <w:lang w:bidi="ar-EG"/>
        </w:rPr>
        <w:t>,</w:t>
      </w:r>
      <w:r w:rsidRPr="00C9557A">
        <w:rPr>
          <w:rFonts w:ascii="Times New Roman" w:eastAsia="Times New Roman" w:hAnsi="Times New Roman" w:cs="Times New Roman"/>
          <w:sz w:val="28"/>
          <w:szCs w:val="28"/>
          <w:lang w:bidi="ar-EG"/>
        </w:rPr>
        <w:t xml:space="preserve"> </w:t>
      </w:r>
      <w:r w:rsidR="0039177B">
        <w:rPr>
          <w:rFonts w:ascii="Times New Roman" w:eastAsia="Times New Roman" w:hAnsi="Times New Roman" w:cs="Times New Roman"/>
          <w:sz w:val="28"/>
          <w:szCs w:val="28"/>
          <w:lang w:bidi="ar-EG"/>
        </w:rPr>
        <w:t xml:space="preserve">which is an electronic application that </w:t>
      </w:r>
      <w:r w:rsidRPr="00C9557A">
        <w:rPr>
          <w:rFonts w:ascii="Times New Roman" w:eastAsia="Times New Roman" w:hAnsi="Times New Roman" w:cs="Times New Roman"/>
          <w:sz w:val="28"/>
          <w:szCs w:val="28"/>
          <w:lang w:bidi="ar-EG"/>
        </w:rPr>
        <w:t xml:space="preserve">enables the citizen to report </w:t>
      </w:r>
      <w:r w:rsidR="0039177B">
        <w:rPr>
          <w:rFonts w:ascii="Times New Roman" w:eastAsia="Times New Roman" w:hAnsi="Times New Roman" w:cs="Times New Roman"/>
          <w:sz w:val="28"/>
          <w:szCs w:val="28"/>
          <w:lang w:bidi="ar-EG"/>
        </w:rPr>
        <w:t>cases of child kidnapping</w:t>
      </w:r>
      <w:r w:rsidRPr="00C9557A">
        <w:rPr>
          <w:rFonts w:ascii="Times New Roman" w:eastAsia="Times New Roman" w:hAnsi="Times New Roman" w:cs="Times New Roman"/>
          <w:sz w:val="28"/>
          <w:szCs w:val="28"/>
          <w:lang w:bidi="ar-EG"/>
        </w:rPr>
        <w:t xml:space="preserve"> </w:t>
      </w:r>
      <w:r w:rsidR="0039177B">
        <w:rPr>
          <w:rFonts w:ascii="Times New Roman" w:eastAsia="Times New Roman" w:hAnsi="Times New Roman" w:cs="Times New Roman"/>
          <w:sz w:val="28"/>
          <w:szCs w:val="28"/>
          <w:lang w:bidi="ar-EG"/>
        </w:rPr>
        <w:t>by</w:t>
      </w:r>
      <w:r w:rsidRPr="00C9557A">
        <w:rPr>
          <w:rFonts w:ascii="Times New Roman" w:eastAsia="Times New Roman" w:hAnsi="Times New Roman" w:cs="Times New Roman"/>
          <w:sz w:val="28"/>
          <w:szCs w:val="28"/>
          <w:lang w:bidi="ar-EG"/>
        </w:rPr>
        <w:t xml:space="preserve"> criminal </w:t>
      </w:r>
      <w:r w:rsidR="0039177B">
        <w:rPr>
          <w:rFonts w:ascii="Times New Roman" w:eastAsia="Times New Roman" w:hAnsi="Times New Roman" w:cs="Times New Roman"/>
          <w:sz w:val="28"/>
          <w:szCs w:val="28"/>
          <w:lang w:bidi="ar-EG"/>
        </w:rPr>
        <w:t xml:space="preserve">groups, or </w:t>
      </w:r>
      <w:r w:rsidR="0039177B" w:rsidRPr="00C9557A">
        <w:rPr>
          <w:rFonts w:ascii="Times New Roman" w:eastAsia="Times New Roman" w:hAnsi="Times New Roman" w:cs="Times New Roman"/>
          <w:sz w:val="28"/>
          <w:szCs w:val="28"/>
          <w:lang w:bidi="ar-EG"/>
        </w:rPr>
        <w:t xml:space="preserve">homeless </w:t>
      </w:r>
      <w:r w:rsidR="0039177B">
        <w:rPr>
          <w:rFonts w:ascii="Times New Roman" w:eastAsia="Times New Roman" w:hAnsi="Times New Roman" w:cs="Times New Roman"/>
          <w:sz w:val="28"/>
          <w:szCs w:val="28"/>
          <w:lang w:bidi="ar-EG"/>
        </w:rPr>
        <w:t xml:space="preserve">children exploitation </w:t>
      </w:r>
      <w:r w:rsidRPr="00C9557A">
        <w:rPr>
          <w:rFonts w:ascii="Times New Roman" w:eastAsia="Times New Roman" w:hAnsi="Times New Roman" w:cs="Times New Roman"/>
          <w:sz w:val="28"/>
          <w:szCs w:val="28"/>
          <w:lang w:bidi="ar-EG"/>
        </w:rPr>
        <w:t xml:space="preserve">in a way that may offend the child </w:t>
      </w:r>
      <w:r w:rsidR="0039177B">
        <w:rPr>
          <w:rFonts w:ascii="Times New Roman" w:eastAsia="Times New Roman" w:hAnsi="Times New Roman" w:cs="Times New Roman"/>
          <w:sz w:val="28"/>
          <w:szCs w:val="28"/>
          <w:lang w:bidi="ar-EG"/>
        </w:rPr>
        <w:t xml:space="preserve">and violates </w:t>
      </w:r>
      <w:r w:rsidRPr="00C9557A">
        <w:rPr>
          <w:rFonts w:ascii="Times New Roman" w:eastAsia="Times New Roman" w:hAnsi="Times New Roman" w:cs="Times New Roman"/>
          <w:sz w:val="28"/>
          <w:szCs w:val="28"/>
          <w:lang w:bidi="ar-EG"/>
        </w:rPr>
        <w:t>all the rights guaranteed to him under international and regional instruments and treaties</w:t>
      </w:r>
      <w:r w:rsidRPr="00C9557A">
        <w:rPr>
          <w:rFonts w:ascii="Times New Roman" w:eastAsia="Times New Roman" w:hAnsi="Times New Roman" w:cs="Times New Roman"/>
          <w:sz w:val="28"/>
          <w:szCs w:val="28"/>
          <w:vertAlign w:val="superscript"/>
          <w:rtl/>
          <w:lang w:bidi="ar-EG"/>
        </w:rPr>
        <w:footnoteReference w:id="11"/>
      </w:r>
      <w:r w:rsidRPr="00C9557A">
        <w:rPr>
          <w:rFonts w:ascii="Times New Roman" w:eastAsia="Times New Roman" w:hAnsi="Times New Roman" w:cs="Times New Roman"/>
          <w:sz w:val="28"/>
          <w:szCs w:val="28"/>
          <w:rtl/>
          <w:lang w:bidi="ar-EG"/>
        </w:rPr>
        <w:t>.</w:t>
      </w:r>
    </w:p>
    <w:p w14:paraId="4DE0A7B1" w14:textId="77777777" w:rsidR="00C9557A" w:rsidRPr="00C9557A" w:rsidRDefault="00C9557A" w:rsidP="00C9557A">
      <w:pPr>
        <w:spacing w:after="0"/>
        <w:ind w:hanging="12"/>
        <w:jc w:val="both"/>
        <w:rPr>
          <w:rFonts w:ascii="Times New Roman" w:eastAsia="Times New Roman" w:hAnsi="Times New Roman" w:cs="Times New Roman"/>
          <w:sz w:val="28"/>
          <w:szCs w:val="28"/>
          <w:rtl/>
          <w:lang w:bidi="ar-EG"/>
        </w:rPr>
      </w:pPr>
    </w:p>
    <w:p w14:paraId="3E8E0BD1" w14:textId="77777777" w:rsidR="00C9557A" w:rsidRPr="00C9557A" w:rsidRDefault="00C9557A" w:rsidP="0039177B">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 xml:space="preserve">In this context, Maat believes that the phenomenon of child exploitation in the worst forms of work, including commercial sexual exploitation and human trafficking, is linked to the countries of destination and transit to which unaccompanied and separated children and children that have lost their way in their countries resort. They resort to other countries either in search of work and the money needed to survive, escape armed conflicts, or natural disasters in their country of origin. Therefore, it is recommended that these </w:t>
      </w:r>
      <w:r w:rsidRPr="00C9557A">
        <w:rPr>
          <w:rFonts w:ascii="Times New Roman" w:eastAsia="Times New Roman" w:hAnsi="Times New Roman" w:cs="Times New Roman"/>
          <w:sz w:val="28"/>
          <w:szCs w:val="28"/>
          <w:lang w:bidi="ar-EG"/>
        </w:rPr>
        <w:lastRenderedPageBreak/>
        <w:t>countries include immigrant and refugee children in their alternative care system, as they apply to children who hold the country's nationality. Maat considers the need to attach special importance to this issue of providing refugee-hosting countries with a similar system of alternative care for refugee and asylum-seeking children</w:t>
      </w:r>
      <w:r w:rsidRPr="00C9557A">
        <w:rPr>
          <w:rFonts w:ascii="Times New Roman" w:eastAsia="Times New Roman" w:hAnsi="Times New Roman" w:cs="Times New Roman"/>
          <w:sz w:val="28"/>
          <w:szCs w:val="28"/>
          <w:rtl/>
          <w:lang w:bidi="ar-EG"/>
        </w:rPr>
        <w:t>.</w:t>
      </w:r>
    </w:p>
    <w:p w14:paraId="6A681495" w14:textId="77777777" w:rsidR="00C9557A" w:rsidRPr="00C9557A" w:rsidRDefault="00C9557A" w:rsidP="003245F5">
      <w:pPr>
        <w:spacing w:after="0"/>
        <w:ind w:firstLine="720"/>
        <w:jc w:val="both"/>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 xml:space="preserve">Another evidence of the importance of alternative care in combating child labor is the internal conflicts and civil wars that some countries in the Middle East are witnessing. These countries no longer have any specific systems or policies for adoption or alternative care because of the conflict. In these countries, there are hundreds of thousands of children working in dangerous conditions. Most of </w:t>
      </w:r>
      <w:r w:rsidR="003245F5">
        <w:rPr>
          <w:rFonts w:ascii="Times New Roman" w:eastAsia="Times New Roman" w:hAnsi="Times New Roman" w:cs="Times New Roman"/>
          <w:sz w:val="28"/>
          <w:szCs w:val="28"/>
          <w:lang w:bidi="ar-EG"/>
        </w:rPr>
        <w:t>these children, who</w:t>
      </w:r>
      <w:r w:rsidRPr="00C9557A">
        <w:rPr>
          <w:rFonts w:ascii="Times New Roman" w:eastAsia="Times New Roman" w:hAnsi="Times New Roman" w:cs="Times New Roman"/>
          <w:sz w:val="28"/>
          <w:szCs w:val="28"/>
          <w:lang w:bidi="ar-EG"/>
        </w:rPr>
        <w:t xml:space="preserve"> have lost their families, are exploited by armed groups, and are recruited to fight or help young fighters in those groups. On this basis, state parties to the Convention on the Rights of the Child are required to integrate children into the alternative care system, whether at the national or local level;  under the Convention articles, the Guidelines for the Alternative Care of Children, and all relevant international and regional instruments and treaties</w:t>
      </w:r>
      <w:r w:rsidRPr="00C9557A">
        <w:rPr>
          <w:rFonts w:ascii="Times New Roman" w:eastAsia="Times New Roman" w:hAnsi="Times New Roman" w:cs="Times New Roman"/>
          <w:sz w:val="28"/>
          <w:szCs w:val="28"/>
          <w:rtl/>
          <w:lang w:bidi="ar-EG"/>
        </w:rPr>
        <w:t>.</w:t>
      </w:r>
    </w:p>
    <w:p w14:paraId="35EA9928" w14:textId="77777777" w:rsidR="00C9557A" w:rsidRPr="00C9557A" w:rsidRDefault="00C9557A" w:rsidP="003245F5">
      <w:pPr>
        <w:spacing w:after="0"/>
        <w:ind w:firstLine="720"/>
        <w:rPr>
          <w:rFonts w:ascii="Times New Roman" w:eastAsia="Times New Roman" w:hAnsi="Times New Roman" w:cs="Times New Roman"/>
          <w:sz w:val="28"/>
          <w:szCs w:val="28"/>
          <w:rtl/>
          <w:lang w:bidi="ar-EG"/>
        </w:rPr>
      </w:pPr>
      <w:r w:rsidRPr="00C9557A">
        <w:rPr>
          <w:rFonts w:ascii="Times New Roman" w:eastAsia="Times New Roman" w:hAnsi="Times New Roman" w:cs="Times New Roman"/>
          <w:sz w:val="28"/>
          <w:szCs w:val="28"/>
          <w:lang w:bidi="ar-EG"/>
        </w:rPr>
        <w:t>Both those unaccompanied and separated children, street children, and homeless children, whether they are children who hold the state nationality, refugee and asylum-seeking children, or children who immigrate illegally and have not obtained legal residence in the country of destination. Children who do not have a state nationality and a child with a nationality should be treated equally in alternative care systems. That is according to the principle of non-discrimination contained in international human rights law</w:t>
      </w:r>
      <w:r w:rsidRPr="00C9557A">
        <w:rPr>
          <w:rFonts w:ascii="Times New Roman" w:eastAsia="Times New Roman" w:hAnsi="Times New Roman" w:cs="Times New Roman"/>
          <w:sz w:val="28"/>
          <w:szCs w:val="28"/>
          <w:rtl/>
          <w:lang w:bidi="ar-EG"/>
        </w:rPr>
        <w:t>.</w:t>
      </w:r>
    </w:p>
    <w:p w14:paraId="04026522" w14:textId="77777777" w:rsidR="00C9557A" w:rsidRPr="00C9557A" w:rsidRDefault="00C9557A" w:rsidP="00C9557A">
      <w:pPr>
        <w:spacing w:after="0"/>
        <w:ind w:hanging="12"/>
        <w:jc w:val="right"/>
        <w:rPr>
          <w:rFonts w:ascii="Times New Roman" w:eastAsia="Times New Roman" w:hAnsi="Times New Roman" w:cs="Times New Roman"/>
          <w:sz w:val="28"/>
          <w:szCs w:val="28"/>
          <w:lang w:bidi="ar-EG"/>
        </w:rPr>
      </w:pPr>
    </w:p>
    <w:p w14:paraId="6AEE7568" w14:textId="77777777" w:rsidR="00C9557A" w:rsidRPr="003245F5" w:rsidRDefault="003245F5" w:rsidP="00C9557A">
      <w:pPr>
        <w:spacing w:after="0"/>
        <w:ind w:hanging="12"/>
        <w:rPr>
          <w:rFonts w:ascii="Times New Roman" w:eastAsia="Times New Roman" w:hAnsi="Times New Roman" w:cs="Times New Roman"/>
          <w:b/>
          <w:color w:val="C00000"/>
          <w:sz w:val="28"/>
          <w:szCs w:val="28"/>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Times New Roman" w:hAnsi="Times New Roman" w:cs="Times New Roman"/>
          <w:b/>
          <w:color w:val="C00000"/>
          <w:sz w:val="28"/>
          <w:szCs w:val="28"/>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Innovative practices</w:t>
      </w:r>
      <w:r w:rsidR="00C9557A" w:rsidRPr="003245F5">
        <w:rPr>
          <w:rFonts w:ascii="Times New Roman" w:eastAsia="Times New Roman" w:hAnsi="Times New Roman" w:cs="Times New Roman"/>
          <w:b/>
          <w:color w:val="C00000"/>
          <w:sz w:val="28"/>
          <w:szCs w:val="28"/>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to promote family unity, transition from alternative care to independent living and formal institutionalization exit processes</w:t>
      </w:r>
      <w:r w:rsidR="00C9557A" w:rsidRPr="003245F5">
        <w:rPr>
          <w:rFonts w:ascii="Times New Roman" w:eastAsia="Times New Roman" w:hAnsi="Times New Roman" w:cs="Times New Roman"/>
          <w:b/>
          <w:color w:val="C00000"/>
          <w:sz w:val="28"/>
          <w:szCs w:val="28"/>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591B0F7D"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 xml:space="preserve">As stated in the Guidelines </w:t>
      </w:r>
      <w:r w:rsidR="003245F5">
        <w:rPr>
          <w:rFonts w:ascii="Times New Roman" w:eastAsia="Times New Roman" w:hAnsi="Times New Roman" w:cs="Times New Roman"/>
          <w:sz w:val="28"/>
          <w:szCs w:val="28"/>
          <w:lang w:bidi="ar-EG"/>
        </w:rPr>
        <w:t>of</w:t>
      </w:r>
      <w:r w:rsidRPr="00C9557A">
        <w:rPr>
          <w:rFonts w:ascii="Times New Roman" w:eastAsia="Times New Roman" w:hAnsi="Times New Roman" w:cs="Times New Roman"/>
          <w:sz w:val="28"/>
          <w:szCs w:val="28"/>
          <w:lang w:bidi="ar-EG"/>
        </w:rPr>
        <w:t xml:space="preserve"> the Alternative Care of Children, </w:t>
      </w:r>
      <w:r w:rsidR="003245F5">
        <w:rPr>
          <w:rFonts w:ascii="Times New Roman" w:eastAsia="Times New Roman" w:hAnsi="Times New Roman" w:cs="Times New Roman"/>
          <w:sz w:val="28"/>
          <w:szCs w:val="28"/>
          <w:lang w:bidi="ar-EG"/>
        </w:rPr>
        <w:t>separating</w:t>
      </w:r>
      <w:r w:rsidRPr="00C9557A">
        <w:rPr>
          <w:rFonts w:ascii="Times New Roman" w:eastAsia="Times New Roman" w:hAnsi="Times New Roman" w:cs="Times New Roman"/>
          <w:sz w:val="28"/>
          <w:szCs w:val="28"/>
          <w:lang w:bidi="ar-EG"/>
        </w:rPr>
        <w:t xml:space="preserve"> a child from his family should be the last resort of the state, and it should be temporary and for a specific period. On this basis, the party entrusted with the care of the child whose family </w:t>
      </w:r>
      <w:r w:rsidRPr="00C9557A">
        <w:rPr>
          <w:rFonts w:ascii="Times New Roman" w:eastAsia="Times New Roman" w:hAnsi="Times New Roman" w:cs="Times New Roman"/>
          <w:sz w:val="28"/>
          <w:szCs w:val="28"/>
          <w:lang w:bidi="ar-EG"/>
        </w:rPr>
        <w:lastRenderedPageBreak/>
        <w:t>decided to abandon him must be aware of the main reasons for this abandonment</w:t>
      </w:r>
      <w:r w:rsidRPr="00C9557A">
        <w:rPr>
          <w:rFonts w:ascii="Times New Roman" w:eastAsia="Times New Roman" w:hAnsi="Times New Roman" w:cs="Times New Roman"/>
          <w:sz w:val="28"/>
          <w:szCs w:val="28"/>
          <w:vertAlign w:val="superscript"/>
          <w:rtl/>
          <w:lang w:bidi="ar-EG"/>
        </w:rPr>
        <w:footnoteReference w:id="12"/>
      </w:r>
      <w:r w:rsidRPr="00C9557A">
        <w:rPr>
          <w:rFonts w:ascii="Times New Roman" w:eastAsia="Times New Roman" w:hAnsi="Times New Roman" w:cs="Times New Roman"/>
          <w:sz w:val="28"/>
          <w:szCs w:val="28"/>
          <w:lang w:bidi="ar-EG"/>
        </w:rPr>
        <w:t>. Some families may be forced to abandon their children because of poverty, as they no longer bear the expenses of a child who needs a lot of care. In this case, it is possible to intervene with comprehensive protection programs that include monthly expenses for the child's family.  The need for financial support is a reason for the child's loss of his family</w:t>
      </w:r>
      <w:r w:rsidRPr="00C9557A">
        <w:rPr>
          <w:rFonts w:ascii="Times New Roman" w:eastAsia="Times New Roman" w:hAnsi="Times New Roman" w:cs="Times New Roman"/>
          <w:sz w:val="28"/>
          <w:szCs w:val="28"/>
          <w:vertAlign w:val="superscript"/>
          <w:rtl/>
          <w:lang w:bidi="ar-EG"/>
        </w:rPr>
        <w:footnoteReference w:id="13"/>
      </w:r>
      <w:r w:rsidRPr="00C9557A">
        <w:rPr>
          <w:rFonts w:ascii="Times New Roman" w:eastAsia="Times New Roman" w:hAnsi="Times New Roman" w:cs="Times New Roman"/>
          <w:sz w:val="28"/>
          <w:szCs w:val="28"/>
          <w:rtl/>
          <w:lang w:bidi="ar-EG"/>
        </w:rPr>
        <w:t>.</w:t>
      </w:r>
    </w:p>
    <w:p w14:paraId="7E2E2039" w14:textId="77777777" w:rsidR="00C9557A" w:rsidRPr="00C9557A" w:rsidRDefault="00C9557A" w:rsidP="00C9557A">
      <w:pPr>
        <w:spacing w:after="0"/>
        <w:ind w:hanging="12"/>
        <w:jc w:val="right"/>
        <w:rPr>
          <w:rFonts w:ascii="Times New Roman" w:eastAsia="Times New Roman" w:hAnsi="Times New Roman" w:cs="Times New Roman"/>
          <w:sz w:val="28"/>
          <w:szCs w:val="28"/>
          <w:lang w:bidi="ar-EG"/>
        </w:rPr>
      </w:pPr>
    </w:p>
    <w:p w14:paraId="4A97278A"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The majority of educational experts believe that the basic assumption of strategies to prevent family disintegration is the possibility of intervention with appropriate support to overcome the obstacles that may disintegrate the family. These include alleviating poverty through some cash assistance, home visiting programs, and training programs in positive discipline and parenting skills. These factors can stabilize the family, make it safe for children, and prevent separation from his parents</w:t>
      </w:r>
      <w:r w:rsidRPr="00C9557A">
        <w:rPr>
          <w:rFonts w:ascii="Times New Roman" w:eastAsia="Times New Roman" w:hAnsi="Times New Roman" w:cs="Times New Roman"/>
          <w:sz w:val="28"/>
          <w:szCs w:val="28"/>
          <w:rtl/>
          <w:lang w:bidi="ar-EG"/>
        </w:rPr>
        <w:t>.</w:t>
      </w:r>
    </w:p>
    <w:p w14:paraId="23D4A44A"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In a situation where conflicts between parents are exacerbated in the home, children are exposed to risks. Among them is the possibility of escaping from home or resorting to illegal means to not think about these differences. In these cases, the state must intervene to prevent the aggravation of these disputes. It may lead to the separation of the child from his parents permanently. In this context, some countries have implemented similar programs, such as the Kingdom of Morocco. It considered the family mediation program; as an alternative mechanism for resolving family disputes away from the judiciary; by adopting the principle of dialogue and negotiation; to build and restore family ties. That contributes to maintaining the cohesion of families and protecting them from disintegration and spreading the culture of dialogue within the family, as a protection for the child, before it is a protection for the spouses. The family mediation program aims to maintain family cohesion and social stability. In addition to the involvement of civil society, non-governmental organizations in an active role in this program reject differences and activate the values ​​of understanding and discussion between spouses</w:t>
      </w:r>
      <w:r w:rsidRPr="00C9557A">
        <w:rPr>
          <w:rFonts w:ascii="Times New Roman" w:eastAsia="Times New Roman" w:hAnsi="Times New Roman" w:cs="Times New Roman"/>
          <w:sz w:val="28"/>
          <w:szCs w:val="28"/>
          <w:vertAlign w:val="superscript"/>
          <w:rtl/>
          <w:lang w:bidi="ar-EG"/>
        </w:rPr>
        <w:footnoteReference w:id="14"/>
      </w:r>
      <w:r w:rsidRPr="00C9557A">
        <w:rPr>
          <w:rFonts w:ascii="Times New Roman" w:eastAsia="Times New Roman" w:hAnsi="Times New Roman" w:cs="Times New Roman"/>
          <w:sz w:val="28"/>
          <w:szCs w:val="28"/>
          <w:rtl/>
          <w:lang w:bidi="ar-EG"/>
        </w:rPr>
        <w:t>.</w:t>
      </w:r>
    </w:p>
    <w:p w14:paraId="2FAF657A" w14:textId="77777777" w:rsidR="00C9557A" w:rsidRPr="00C9557A" w:rsidRDefault="00C9557A" w:rsidP="00C9557A">
      <w:pPr>
        <w:spacing w:after="0"/>
        <w:ind w:hanging="12"/>
        <w:jc w:val="right"/>
        <w:rPr>
          <w:rFonts w:ascii="Times New Roman" w:eastAsia="Times New Roman" w:hAnsi="Times New Roman" w:cs="Times New Roman"/>
          <w:sz w:val="28"/>
          <w:szCs w:val="28"/>
          <w:lang w:bidi="ar-EG"/>
        </w:rPr>
      </w:pPr>
    </w:p>
    <w:p w14:paraId="76D4D4CE"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In Egypt, too, some initiatives have played a decisive role in ending family disputes and preventing family disintegration and the separation of children. Among these initiatives is the "Reunion" initiative, an initiative launched by the Egyptian Al-Azhar Foundation. It aims to settle family disputes and reduce parental separation. This initiative was present in all Egyptian governorates, with 27 headquarters. While its supervisors were 54, and 270 preachers deal with it, an average of 10 preachers in each governorate. It resulted in ending 23,000 family disputes out of 25,000. It is equivalent to 95% of the disputes</w:t>
      </w:r>
      <w:r w:rsidRPr="00C9557A">
        <w:rPr>
          <w:rFonts w:ascii="Times New Roman" w:eastAsia="Times New Roman" w:hAnsi="Times New Roman" w:cs="Times New Roman"/>
          <w:sz w:val="28"/>
          <w:szCs w:val="28"/>
          <w:vertAlign w:val="superscript"/>
          <w:rtl/>
          <w:lang w:bidi="ar-EG"/>
        </w:rPr>
        <w:footnoteReference w:id="15"/>
      </w:r>
      <w:r w:rsidRPr="00C9557A">
        <w:rPr>
          <w:rFonts w:ascii="Times New Roman" w:eastAsia="Times New Roman" w:hAnsi="Times New Roman" w:cs="Times New Roman"/>
          <w:sz w:val="28"/>
          <w:szCs w:val="28"/>
          <w:lang w:bidi="ar-EG"/>
        </w:rPr>
        <w:t>. The initiative is a practical application of the text of Paragraph 34 of the Guidelines for the Alternative Care of Children. That refers to the need to mobilize the complementary capacities of the state and civil society, including NGOs, community-based organizations, and religious leaders, to prevent family disintegration and ensure the care and protection of children</w:t>
      </w:r>
      <w:r w:rsidRPr="00C9557A">
        <w:rPr>
          <w:rFonts w:ascii="Times New Roman" w:eastAsia="Times New Roman" w:hAnsi="Times New Roman" w:cs="Times New Roman"/>
          <w:sz w:val="28"/>
          <w:szCs w:val="28"/>
          <w:rtl/>
          <w:lang w:bidi="ar-EG"/>
        </w:rPr>
        <w:t>.</w:t>
      </w:r>
    </w:p>
    <w:p w14:paraId="5DF4DAB8" w14:textId="77777777" w:rsidR="00C9557A" w:rsidRPr="00C9557A" w:rsidRDefault="00C9557A" w:rsidP="00C9557A">
      <w:pPr>
        <w:spacing w:after="0"/>
        <w:ind w:hanging="12"/>
        <w:rPr>
          <w:rFonts w:ascii="Times New Roman" w:eastAsia="Times New Roman" w:hAnsi="Times New Roman" w:cs="Times New Roman"/>
          <w:sz w:val="28"/>
          <w:szCs w:val="28"/>
          <w:lang w:bidi="ar-EG"/>
        </w:rPr>
      </w:pPr>
    </w:p>
    <w:p w14:paraId="1577B6AA" w14:textId="77777777" w:rsidR="00C9557A" w:rsidRPr="003245F5" w:rsidRDefault="00C9557A" w:rsidP="00C9557A">
      <w:pPr>
        <w:spacing w:after="0"/>
        <w:ind w:hanging="12"/>
        <w:rPr>
          <w:rFonts w:ascii="Times New Roman" w:eastAsia="Times New Roman" w:hAnsi="Times New Roman" w:cs="Times New Roman"/>
          <w:b/>
          <w:color w:val="C00000"/>
          <w:sz w:val="28"/>
          <w:szCs w:val="28"/>
          <w:rtl/>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245F5">
        <w:rPr>
          <w:rFonts w:ascii="Times New Roman" w:eastAsia="Times New Roman" w:hAnsi="Times New Roman" w:cs="Times New Roman"/>
          <w:b/>
          <w:color w:val="C00000"/>
          <w:sz w:val="28"/>
          <w:szCs w:val="28"/>
          <w:lang w:bidi="ar-EG"/>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Transitioning from institutional care to alternative family care: policies and legislation</w:t>
      </w:r>
    </w:p>
    <w:p w14:paraId="2CA747DD"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Child rights experts report that institutional care can cause damage to a child's physical, intellectual and emotional development. With children under the age of three at particular risk, in line with the guidelines for the alternative care of children, it includes the need to give importance to the non-institutionalization of alternative care where possible</w:t>
      </w:r>
      <w:r w:rsidRPr="00C9557A">
        <w:rPr>
          <w:rFonts w:ascii="Times New Roman" w:eastAsia="Times New Roman" w:hAnsi="Times New Roman" w:cs="Times New Roman"/>
          <w:sz w:val="28"/>
          <w:szCs w:val="28"/>
          <w:vertAlign w:val="superscript"/>
          <w:rtl/>
          <w:lang w:bidi="ar-EG"/>
        </w:rPr>
        <w:footnoteReference w:id="16"/>
      </w:r>
      <w:r w:rsidRPr="00C9557A">
        <w:rPr>
          <w:rFonts w:ascii="Times New Roman" w:eastAsia="Times New Roman" w:hAnsi="Times New Roman" w:cs="Times New Roman"/>
          <w:sz w:val="28"/>
          <w:szCs w:val="28"/>
          <w:lang w:bidi="ar-EG"/>
        </w:rPr>
        <w:t xml:space="preserve">. In the same context, some countries have adopted policies and legislation to implement this principle. In Egypt, the National Strategy for the Alternative Care of Children and Youth (2021-2030) was launched on April 21, 2021, in partnership with the United Nations Children's Fund (UNICEF). This strategy included seven main goals. These goals include developing the legislative system in line with the guidelines for the alternative care of children, developing an informational knowledge structure for the </w:t>
      </w:r>
      <w:r w:rsidRPr="00C9557A">
        <w:rPr>
          <w:rFonts w:ascii="Times New Roman" w:eastAsia="Times New Roman" w:hAnsi="Times New Roman" w:cs="Times New Roman"/>
          <w:sz w:val="28"/>
          <w:szCs w:val="28"/>
          <w:lang w:bidi="ar-EG"/>
        </w:rPr>
        <w:lastRenderedPageBreak/>
        <w:t>alternative care system for children and youth, and creating a general societal climate for the principle of integrating children and youth; in addition to promoting the principles of participation and governance in the development, implementation, and follow-up of the national strategy and its implementation plan. And include supporting the ability of families to provide better care for children and youth, strengthening the capacity of the alternative care system for children and young people to provide better care and protection. Finally, providing sufficient certified human cadres willing to work in family support and alternative care for children and youth</w:t>
      </w:r>
      <w:r w:rsidRPr="00C9557A">
        <w:rPr>
          <w:rFonts w:ascii="Times New Roman" w:eastAsia="Times New Roman" w:hAnsi="Times New Roman" w:cs="Times New Roman"/>
          <w:sz w:val="28"/>
          <w:szCs w:val="28"/>
          <w:vertAlign w:val="superscript"/>
          <w:rtl/>
          <w:lang w:bidi="ar-EG"/>
        </w:rPr>
        <w:footnoteReference w:id="17"/>
      </w:r>
      <w:r w:rsidRPr="00C9557A">
        <w:rPr>
          <w:rFonts w:ascii="Times New Roman" w:eastAsia="Times New Roman" w:hAnsi="Times New Roman" w:cs="Times New Roman"/>
          <w:sz w:val="28"/>
          <w:szCs w:val="28"/>
          <w:lang w:bidi="ar-EG"/>
        </w:rPr>
        <w:t>. In the same context, Egypt launched the "A family for every child" campaign; in cooperation with Save the Children. It is a campaign that aims to ensure that there are no children in health offices or alternative care homes affiliated with the Ministry of Solidarity and that these children are reintegrated into alternative families</w:t>
      </w:r>
      <w:r w:rsidRPr="00C9557A">
        <w:rPr>
          <w:rFonts w:ascii="Times New Roman" w:eastAsia="Times New Roman" w:hAnsi="Times New Roman" w:cs="Times New Roman"/>
          <w:sz w:val="28"/>
          <w:szCs w:val="28"/>
          <w:vertAlign w:val="superscript"/>
          <w:rtl/>
          <w:lang w:bidi="ar-EG"/>
        </w:rPr>
        <w:footnoteReference w:id="18"/>
      </w:r>
      <w:r w:rsidRPr="00C9557A">
        <w:rPr>
          <w:rFonts w:ascii="Times New Roman" w:eastAsia="Times New Roman" w:hAnsi="Times New Roman" w:cs="Times New Roman"/>
          <w:sz w:val="28"/>
          <w:szCs w:val="28"/>
          <w:rtl/>
          <w:lang w:bidi="ar-EG"/>
        </w:rPr>
        <w:t>.</w:t>
      </w:r>
    </w:p>
    <w:p w14:paraId="287CB44A"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In June 2020, Egypt introduced new amendments to the executive regulations of Child Law No. 12 of 1996 as amended by Law No. 126 of 2008. The amendments aim to facilitate the process of adopting and fostering children. The most important of these articles is Article 90, which stipulates the method of sponsoring children. That by applying for sponsorship by the family who wants to adopts a child. The family applied on the website of the Egyptian Ministry of Social Solidarity. These requests are recorded in a special register. Then the Ministry entrusts it to the directorate in which the foster family, association, or civil institution resides</w:t>
      </w:r>
      <w:r w:rsidRPr="00C9557A">
        <w:rPr>
          <w:rFonts w:ascii="Times New Roman" w:eastAsia="Times New Roman" w:hAnsi="Times New Roman" w:cs="Times New Roman"/>
          <w:sz w:val="28"/>
          <w:szCs w:val="28"/>
          <w:vertAlign w:val="superscript"/>
          <w:rtl/>
          <w:lang w:bidi="ar-EG"/>
        </w:rPr>
        <w:footnoteReference w:id="19"/>
      </w:r>
      <w:r w:rsidRPr="00C9557A">
        <w:rPr>
          <w:rFonts w:ascii="Times New Roman" w:eastAsia="Times New Roman" w:hAnsi="Times New Roman" w:cs="Times New Roman"/>
          <w:sz w:val="28"/>
          <w:szCs w:val="28"/>
          <w:lang w:bidi="ar-EG"/>
        </w:rPr>
        <w:t>.</w:t>
      </w:r>
    </w:p>
    <w:p w14:paraId="531D4DE7" w14:textId="77777777" w:rsidR="00C9557A" w:rsidRPr="00C9557A" w:rsidRDefault="00C9557A" w:rsidP="003245F5">
      <w:pPr>
        <w:spacing w:after="0"/>
        <w:ind w:firstLine="720"/>
        <w:rPr>
          <w:rFonts w:ascii="Times New Roman" w:eastAsia="Times New Roman" w:hAnsi="Times New Roman" w:cs="Times New Roman"/>
          <w:sz w:val="28"/>
          <w:szCs w:val="28"/>
          <w:lang w:bidi="ar-EG"/>
        </w:rPr>
      </w:pPr>
      <w:r w:rsidRPr="00C9557A">
        <w:rPr>
          <w:rFonts w:ascii="Times New Roman" w:eastAsia="Times New Roman" w:hAnsi="Times New Roman" w:cs="Times New Roman"/>
          <w:sz w:val="28"/>
          <w:szCs w:val="28"/>
          <w:lang w:bidi="ar-EG"/>
        </w:rPr>
        <w:t xml:space="preserve">Article 99 reduced the amount that the foster family deposited in the bank for the child's account. Its value before the amendments was 5,000 pounds, but according to the amendments, the amount was 3,000 pounds. It was placed in the child's account in one of the state's government banks (Nasser Social Bank). It is not permissible to spend from this amount except after the approval of the Higher Committee for alternative foster families. The amendments also included changing the age of spouses in foster families to 21 years </w:t>
      </w:r>
      <w:r w:rsidRPr="00C9557A">
        <w:rPr>
          <w:rFonts w:ascii="Times New Roman" w:eastAsia="Times New Roman" w:hAnsi="Times New Roman" w:cs="Times New Roman"/>
          <w:sz w:val="28"/>
          <w:szCs w:val="28"/>
          <w:lang w:bidi="ar-EG"/>
        </w:rPr>
        <w:lastRenderedPageBreak/>
        <w:t>instead of 25 years. They are obtaining educational guardianship and the full guardianship of the child after passing an assessment from the Ministry of Social Solidarity. According to NGO reports, the amendments resulted in a growing demand for child sponsorship. From June 2020 to August, the Ministry of Social Solidarity received 1,000 sponsorship requests from alternative families. That means the success of these legal amendments in facilitating the sponsorship process, to put an end to the institutionalization of alternative care for the realization of children's rights</w:t>
      </w:r>
      <w:r w:rsidRPr="00C9557A">
        <w:rPr>
          <w:rFonts w:ascii="Times New Roman" w:eastAsia="Times New Roman" w:hAnsi="Times New Roman" w:cs="Times New Roman"/>
          <w:sz w:val="28"/>
          <w:szCs w:val="28"/>
          <w:vertAlign w:val="superscript"/>
          <w:rtl/>
          <w:lang w:bidi="ar-EG"/>
        </w:rPr>
        <w:footnoteReference w:id="20"/>
      </w:r>
      <w:r w:rsidRPr="00C9557A">
        <w:rPr>
          <w:rFonts w:ascii="Times New Roman" w:eastAsia="Times New Roman" w:hAnsi="Times New Roman" w:cs="Times New Roman"/>
          <w:sz w:val="28"/>
          <w:szCs w:val="28"/>
          <w:lang w:bidi="ar-EG"/>
        </w:rPr>
        <w:t>.</w:t>
      </w:r>
    </w:p>
    <w:p w14:paraId="26427AA6" w14:textId="77777777" w:rsidR="00C9557A" w:rsidRPr="00C9557A" w:rsidRDefault="00C9557A" w:rsidP="00C9557A">
      <w:pPr>
        <w:spacing w:after="0"/>
        <w:ind w:hanging="12"/>
        <w:jc w:val="right"/>
        <w:rPr>
          <w:rFonts w:ascii="Times New Roman" w:eastAsia="Times New Roman" w:hAnsi="Times New Roman" w:cs="Times New Roman"/>
          <w:sz w:val="28"/>
          <w:szCs w:val="28"/>
          <w:lang w:bidi="ar-EG"/>
        </w:rPr>
      </w:pPr>
    </w:p>
    <w:p w14:paraId="5F680313" w14:textId="77777777" w:rsidR="00C9557A" w:rsidRPr="003245F5" w:rsidRDefault="00C9557A" w:rsidP="00C9557A">
      <w:pPr>
        <w:spacing w:after="0" w:line="240" w:lineRule="auto"/>
        <w:jc w:val="both"/>
        <w:rPr>
          <w:rFonts w:ascii="Times New Roman" w:eastAsia="Times New Roman" w:hAnsi="Times New Roman" w:cs="Times New Roman"/>
          <w:b/>
          <w:bCs/>
          <w:color w:val="FF0000"/>
          <w:sz w:val="28"/>
          <w:szCs w:val="28"/>
          <w:lang w:bidi="ar-EG"/>
        </w:rPr>
      </w:pPr>
      <w:r w:rsidRPr="003245F5">
        <w:rPr>
          <w:rFonts w:ascii="Times New Roman" w:eastAsia="Times New Roman" w:hAnsi="Times New Roman" w:cs="Times New Roman"/>
          <w:b/>
          <w:bCs/>
          <w:color w:val="FF0000"/>
          <w:sz w:val="28"/>
          <w:szCs w:val="28"/>
          <w:lang w:bidi="ar-EG"/>
        </w:rPr>
        <w:t>Recommendations</w:t>
      </w:r>
      <w:r w:rsidRPr="003245F5">
        <w:rPr>
          <w:rFonts w:ascii="Times New Roman" w:eastAsia="Times New Roman" w:hAnsi="Times New Roman" w:cs="Times New Roman"/>
          <w:b/>
          <w:bCs/>
          <w:color w:val="FF0000"/>
          <w:sz w:val="28"/>
          <w:szCs w:val="28"/>
          <w:rtl/>
          <w:lang w:bidi="ar-EG"/>
        </w:rPr>
        <w:t>:</w:t>
      </w:r>
    </w:p>
    <w:p w14:paraId="344AE8C3" w14:textId="77777777" w:rsidR="00C9557A" w:rsidRPr="003245F5" w:rsidRDefault="00C9557A" w:rsidP="003245F5">
      <w:pPr>
        <w:pStyle w:val="ListParagraph"/>
        <w:numPr>
          <w:ilvl w:val="0"/>
          <w:numId w:val="4"/>
        </w:numPr>
        <w:spacing w:after="0" w:line="240" w:lineRule="auto"/>
        <w:jc w:val="both"/>
        <w:rPr>
          <w:rFonts w:ascii="Times New Roman" w:eastAsia="Times New Roman" w:hAnsi="Times New Roman" w:cs="Times New Roman"/>
          <w:sz w:val="28"/>
          <w:szCs w:val="28"/>
          <w:lang w:bidi="ar-EG"/>
        </w:rPr>
      </w:pPr>
      <w:r w:rsidRPr="003245F5">
        <w:rPr>
          <w:rFonts w:ascii="Times New Roman" w:eastAsia="Times New Roman" w:hAnsi="Times New Roman" w:cs="Times New Roman"/>
          <w:sz w:val="28"/>
          <w:szCs w:val="28"/>
          <w:lang w:bidi="ar-EG"/>
        </w:rPr>
        <w:t>The member states of the Convention on the Rights of the Child must include separated, unaccompanied refugee and asylum-seeking children in an alternative care system similar to the one applied to children of nationalities</w:t>
      </w:r>
      <w:r w:rsidRPr="003245F5">
        <w:rPr>
          <w:rFonts w:ascii="Times New Roman" w:eastAsia="Times New Roman" w:hAnsi="Times New Roman" w:cs="Times New Roman"/>
          <w:sz w:val="28"/>
          <w:szCs w:val="28"/>
          <w:rtl/>
          <w:lang w:bidi="ar-EG"/>
        </w:rPr>
        <w:t xml:space="preserve">. </w:t>
      </w:r>
    </w:p>
    <w:p w14:paraId="38D05A28" w14:textId="77777777" w:rsidR="00C9557A" w:rsidRPr="00C9557A" w:rsidRDefault="00C9557A" w:rsidP="00C9557A">
      <w:pPr>
        <w:spacing w:after="0" w:line="240" w:lineRule="auto"/>
        <w:jc w:val="both"/>
        <w:rPr>
          <w:rFonts w:ascii="Times New Roman" w:eastAsia="Times New Roman" w:hAnsi="Times New Roman" w:cs="Times New Roman"/>
          <w:sz w:val="28"/>
          <w:szCs w:val="28"/>
          <w:rtl/>
          <w:lang w:bidi="ar-EG"/>
        </w:rPr>
      </w:pPr>
    </w:p>
    <w:p w14:paraId="2C1F77CA" w14:textId="77777777" w:rsidR="00C9557A" w:rsidRPr="003245F5" w:rsidRDefault="00C9557A" w:rsidP="003245F5">
      <w:pPr>
        <w:pStyle w:val="ListParagraph"/>
        <w:numPr>
          <w:ilvl w:val="0"/>
          <w:numId w:val="4"/>
        </w:numPr>
        <w:spacing w:after="0" w:line="240" w:lineRule="auto"/>
        <w:jc w:val="both"/>
        <w:rPr>
          <w:rFonts w:ascii="Times New Roman" w:eastAsia="Times New Roman" w:hAnsi="Times New Roman" w:cs="Times New Roman"/>
          <w:sz w:val="28"/>
          <w:szCs w:val="28"/>
          <w:lang w:bidi="ar-EG"/>
        </w:rPr>
      </w:pPr>
      <w:r w:rsidRPr="003245F5">
        <w:rPr>
          <w:rFonts w:ascii="Times New Roman" w:eastAsia="Times New Roman" w:hAnsi="Times New Roman" w:cs="Times New Roman"/>
          <w:sz w:val="28"/>
          <w:szCs w:val="28"/>
          <w:lang w:bidi="ar-EG"/>
        </w:rPr>
        <w:t>Particular importance should be given to the need for regular and ongoing review of any child moving to alternative family care. A child's transfer to alternative family care does not mean that his or her best interests have been achieved</w:t>
      </w:r>
      <w:r w:rsidRPr="003245F5">
        <w:rPr>
          <w:rFonts w:ascii="Times New Roman" w:eastAsia="Times New Roman" w:hAnsi="Times New Roman" w:cs="Times New Roman"/>
          <w:sz w:val="28"/>
          <w:szCs w:val="28"/>
          <w:rtl/>
          <w:lang w:bidi="ar-EG"/>
        </w:rPr>
        <w:t>.</w:t>
      </w:r>
    </w:p>
    <w:p w14:paraId="4E435041" w14:textId="77777777" w:rsidR="003245F5" w:rsidRDefault="003245F5" w:rsidP="003245F5">
      <w:pPr>
        <w:spacing w:after="0" w:line="240" w:lineRule="auto"/>
        <w:contextualSpacing/>
        <w:rPr>
          <w:rFonts w:ascii="Times New Roman" w:eastAsia="Times New Roman" w:hAnsi="Times New Roman" w:cs="Times New Roman"/>
          <w:sz w:val="28"/>
          <w:szCs w:val="28"/>
          <w:lang w:bidi="ar-EG"/>
        </w:rPr>
      </w:pPr>
    </w:p>
    <w:p w14:paraId="076ABF95" w14:textId="77777777" w:rsidR="00C9557A" w:rsidRPr="003245F5" w:rsidRDefault="00C9557A" w:rsidP="003245F5">
      <w:pPr>
        <w:pStyle w:val="ListParagraph"/>
        <w:numPr>
          <w:ilvl w:val="0"/>
          <w:numId w:val="4"/>
        </w:numPr>
        <w:spacing w:after="0" w:line="240" w:lineRule="auto"/>
        <w:rPr>
          <w:rFonts w:ascii="Times New Roman" w:eastAsia="Times New Roman" w:hAnsi="Times New Roman" w:cs="Times New Roman"/>
          <w:sz w:val="28"/>
          <w:szCs w:val="28"/>
          <w:lang w:bidi="ar-EG"/>
        </w:rPr>
      </w:pPr>
      <w:r w:rsidRPr="003245F5">
        <w:rPr>
          <w:rFonts w:ascii="Times New Roman" w:eastAsia="Times New Roman" w:hAnsi="Times New Roman" w:cs="Times New Roman"/>
          <w:sz w:val="28"/>
          <w:szCs w:val="28"/>
          <w:lang w:bidi="ar-EG"/>
        </w:rPr>
        <w:t>Expanding innovative practices aimed at tracing homeless, street children, and missing persons from their families in a way that may expedite their return to their families again</w:t>
      </w:r>
      <w:r w:rsidRPr="003245F5">
        <w:rPr>
          <w:rFonts w:ascii="Times New Roman" w:eastAsia="Times New Roman" w:hAnsi="Times New Roman" w:cs="Times New Roman"/>
          <w:sz w:val="28"/>
          <w:szCs w:val="28"/>
          <w:rtl/>
          <w:lang w:bidi="ar-EG"/>
        </w:rPr>
        <w:t>.</w:t>
      </w:r>
    </w:p>
    <w:p w14:paraId="2544752C" w14:textId="77777777" w:rsidR="00C9557A" w:rsidRPr="003245F5" w:rsidRDefault="00C9557A" w:rsidP="003245F5">
      <w:pPr>
        <w:spacing w:after="0"/>
        <w:rPr>
          <w:rFonts w:ascii="Times New Roman" w:eastAsia="Times New Roman" w:hAnsi="Times New Roman" w:cs="Times New Roman"/>
          <w:sz w:val="28"/>
          <w:szCs w:val="28"/>
          <w:rtl/>
          <w:lang w:bidi="ar-EG"/>
        </w:rPr>
      </w:pPr>
    </w:p>
    <w:p w14:paraId="4E4FDBBF" w14:textId="77777777" w:rsidR="00C23FC5" w:rsidRDefault="00C23FC5" w:rsidP="00C9557A">
      <w:pPr>
        <w:rPr>
          <w:lang w:bidi="ar-EG"/>
        </w:rPr>
      </w:pPr>
    </w:p>
    <w:sectPr w:rsidR="00C23FC5" w:rsidSect="00C9557A">
      <w:headerReference w:type="default" r:id="rId7"/>
      <w:footerReference w:type="default" r:id="rId8"/>
      <w:pgSz w:w="12240" w:h="15840"/>
      <w:pgMar w:top="851" w:right="104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5A51" w14:textId="77777777" w:rsidR="00612DB8" w:rsidRDefault="00612DB8" w:rsidP="00C9557A">
      <w:pPr>
        <w:spacing w:after="0" w:line="240" w:lineRule="auto"/>
      </w:pPr>
      <w:r>
        <w:separator/>
      </w:r>
    </w:p>
  </w:endnote>
  <w:endnote w:type="continuationSeparator" w:id="0">
    <w:p w14:paraId="72B2913C" w14:textId="77777777" w:rsidR="00612DB8" w:rsidRDefault="00612DB8" w:rsidP="00C9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571"/>
      <w:gridCol w:w="1377"/>
      <w:gridCol w:w="684"/>
      <w:gridCol w:w="449"/>
      <w:gridCol w:w="809"/>
      <w:gridCol w:w="519"/>
      <w:gridCol w:w="4677"/>
    </w:tblGrid>
    <w:tr w:rsidR="0086433E" w14:paraId="3CABC092" w14:textId="77777777" w:rsidTr="0086433E">
      <w:trPr>
        <w:jc w:val="center"/>
      </w:trPr>
      <w:tc>
        <w:tcPr>
          <w:tcW w:w="740" w:type="pct"/>
          <w:vMerge w:val="restart"/>
          <w:vAlign w:val="center"/>
        </w:tcPr>
        <w:p w14:paraId="6F048F20" w14:textId="77777777" w:rsidR="0086433E" w:rsidRDefault="002F4387" w:rsidP="0086433E">
          <w:pPr>
            <w:bidi w:val="0"/>
            <w:spacing w:after="60"/>
            <w:jc w:val="center"/>
            <w:rPr>
              <w:noProof/>
              <w:rtl/>
            </w:rPr>
          </w:pPr>
          <w:r>
            <w:rPr>
              <w:rFonts w:hint="cs"/>
              <w:noProof/>
            </w:rPr>
            <w:drawing>
              <wp:inline distT="0" distB="0" distL="0" distR="0" wp14:anchorId="4C61A04E" wp14:editId="584FB736">
                <wp:extent cx="721378" cy="560173"/>
                <wp:effectExtent l="0" t="0" r="254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60" w:type="pct"/>
          <w:gridSpan w:val="7"/>
        </w:tcPr>
        <w:p w14:paraId="1CF3B70A" w14:textId="77777777" w:rsidR="0086433E" w:rsidRDefault="002F4387" w:rsidP="00C124EA">
          <w:pPr>
            <w:bidi w:val="0"/>
            <w:spacing w:after="60"/>
            <w:rPr>
              <w:rFonts w:ascii="Times New Roman" w:hAnsi="Times New Roman" w:cs="Times New Roman"/>
              <w:b/>
              <w:bCs/>
              <w:color w:val="000066"/>
              <w:sz w:val="20"/>
              <w:szCs w:val="20"/>
            </w:rPr>
          </w:pPr>
          <w:r>
            <w:rPr>
              <w:noProof/>
              <w:rtl/>
            </w:rPr>
            <mc:AlternateContent>
              <mc:Choice Requires="wps">
                <w:drawing>
                  <wp:inline distT="0" distB="0" distL="0" distR="0" wp14:anchorId="05347B85" wp14:editId="49735C2E">
                    <wp:extent cx="5632106" cy="38615"/>
                    <wp:effectExtent l="19050" t="19050" r="6985" b="19050"/>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32106" cy="3861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544CAC" id="Line 1" o:spid="_x0000_s1026" style="flip:x y;visibility:visible;mso-wrap-style:square;mso-left-percent:-10001;mso-top-percent:-10001;mso-position-horizontal:absolute;mso-position-horizontal-relative:char;mso-position-vertical:absolute;mso-position-vertical-relative:line;mso-left-percent:-10001;mso-top-percent:-10001" from="0,0" to="4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" strokecolor="red" strokeweight="2.25pt">
                    <w10:anchorlock/>
                  </v:line>
                </w:pict>
              </mc:Fallback>
            </mc:AlternateContent>
          </w:r>
        </w:p>
        <w:p w14:paraId="4CC1AA36" w14:textId="77777777" w:rsidR="0086433E" w:rsidRPr="006F4190" w:rsidRDefault="002F4387" w:rsidP="00C124EA">
          <w:pPr>
            <w:bidi w:val="0"/>
            <w:spacing w:after="60"/>
            <w:jc w:val="center"/>
            <w:rPr>
              <w:rFonts w:ascii="Times New Roman" w:hAnsi="Times New Roman" w:cs="Times New Rom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86433E" w14:paraId="66C91DCA" w14:textId="77777777" w:rsidTr="0086433E">
      <w:trPr>
        <w:jc w:val="center"/>
      </w:trPr>
      <w:tc>
        <w:tcPr>
          <w:tcW w:w="740" w:type="pct"/>
          <w:vMerge/>
        </w:tcPr>
        <w:p w14:paraId="24076A8C" w14:textId="77777777" w:rsidR="0086433E" w:rsidRDefault="00612DB8" w:rsidP="00BF1E65">
          <w:pPr>
            <w:bidi w:val="0"/>
            <w:jc w:val="center"/>
            <w:rPr>
              <w:b/>
              <w:bCs/>
              <w:noProof/>
              <w:lang w:bidi="ar-EG"/>
            </w:rPr>
          </w:pPr>
        </w:p>
      </w:tc>
      <w:tc>
        <w:tcPr>
          <w:tcW w:w="269" w:type="pct"/>
          <w:vMerge w:val="restart"/>
          <w:vAlign w:val="center"/>
        </w:tcPr>
        <w:p w14:paraId="4B8F379A" w14:textId="77777777" w:rsidR="0086433E" w:rsidRPr="000F15D5" w:rsidRDefault="002F4387" w:rsidP="00BF1E65">
          <w:pPr>
            <w:bidi w:val="0"/>
            <w:jc w:val="center"/>
            <w:rPr>
              <w:b/>
              <w:bCs/>
              <w:lang w:bidi="ar-EG"/>
            </w:rPr>
          </w:pPr>
          <w:r>
            <w:rPr>
              <w:b/>
              <w:bCs/>
              <w:noProof/>
            </w:rPr>
            <w:drawing>
              <wp:inline distT="0" distB="0" distL="0" distR="0" wp14:anchorId="69A439C2" wp14:editId="5C48BAA4">
                <wp:extent cx="113208" cy="180000"/>
                <wp:effectExtent l="0" t="0" r="1270" b="0"/>
                <wp:docPr id="3"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3991" w:type="pct"/>
          <w:gridSpan w:val="6"/>
          <w:vAlign w:val="center"/>
        </w:tcPr>
        <w:p w14:paraId="5054F85E" w14:textId="77777777" w:rsidR="0086433E" w:rsidRPr="000F15D5" w:rsidRDefault="002F4387" w:rsidP="00BF1E65">
          <w:pPr>
            <w:bidi w:val="0"/>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86433E" w14:paraId="2B9F6FA1" w14:textId="77777777" w:rsidTr="0086433E">
      <w:trPr>
        <w:jc w:val="center"/>
      </w:trPr>
      <w:tc>
        <w:tcPr>
          <w:tcW w:w="740" w:type="pct"/>
          <w:vMerge/>
        </w:tcPr>
        <w:p w14:paraId="4C88C0F3" w14:textId="77777777" w:rsidR="0086433E" w:rsidRDefault="00612DB8" w:rsidP="00BF1E65">
          <w:pPr>
            <w:bidi w:val="0"/>
            <w:jc w:val="center"/>
            <w:rPr>
              <w:lang w:bidi="ar-EG"/>
            </w:rPr>
          </w:pPr>
        </w:p>
      </w:tc>
      <w:tc>
        <w:tcPr>
          <w:tcW w:w="269" w:type="pct"/>
          <w:vMerge/>
          <w:vAlign w:val="center"/>
        </w:tcPr>
        <w:p w14:paraId="355EF9B4" w14:textId="77777777" w:rsidR="0086433E" w:rsidRDefault="00612DB8" w:rsidP="00BF1E65">
          <w:pPr>
            <w:bidi w:val="0"/>
            <w:jc w:val="center"/>
            <w:rPr>
              <w:lang w:bidi="ar-EG"/>
            </w:rPr>
          </w:pPr>
        </w:p>
      </w:tc>
      <w:tc>
        <w:tcPr>
          <w:tcW w:w="3991" w:type="pct"/>
          <w:gridSpan w:val="6"/>
          <w:vAlign w:val="center"/>
        </w:tcPr>
        <w:p w14:paraId="179E368D" w14:textId="77777777" w:rsidR="0086433E" w:rsidRPr="000F15D5" w:rsidRDefault="002F4387" w:rsidP="00BF1E65">
          <w:pPr>
            <w:bidi w:val="0"/>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C124EA" w14:paraId="2167213F" w14:textId="77777777" w:rsidTr="0086433E">
      <w:trPr>
        <w:jc w:val="center"/>
      </w:trPr>
      <w:tc>
        <w:tcPr>
          <w:tcW w:w="740" w:type="pct"/>
          <w:vMerge/>
        </w:tcPr>
        <w:p w14:paraId="1E8A3401" w14:textId="77777777" w:rsidR="0086433E" w:rsidRDefault="00612DB8" w:rsidP="00BF1E65">
          <w:pPr>
            <w:bidi w:val="0"/>
            <w:jc w:val="center"/>
            <w:rPr>
              <w:noProof/>
              <w:lang w:bidi="ar-EG"/>
            </w:rPr>
          </w:pPr>
        </w:p>
      </w:tc>
      <w:tc>
        <w:tcPr>
          <w:tcW w:w="269" w:type="pct"/>
          <w:vAlign w:val="center"/>
        </w:tcPr>
        <w:p w14:paraId="36F9CCE7" w14:textId="77777777" w:rsidR="0086433E" w:rsidRDefault="002F4387" w:rsidP="00BF1E65">
          <w:pPr>
            <w:bidi w:val="0"/>
            <w:jc w:val="center"/>
            <w:rPr>
              <w:lang w:bidi="ar-EG"/>
            </w:rPr>
          </w:pPr>
          <w:r>
            <w:rPr>
              <w:noProof/>
            </w:rPr>
            <w:drawing>
              <wp:inline distT="0" distB="0" distL="0" distR="0" wp14:anchorId="6D2D0662" wp14:editId="735AD183">
                <wp:extent cx="178378" cy="180000"/>
                <wp:effectExtent l="0" t="0" r="0" b="0"/>
                <wp:docPr id="4"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52" w:type="pct"/>
          <w:vAlign w:val="center"/>
        </w:tcPr>
        <w:p w14:paraId="283678C9" w14:textId="77777777" w:rsidR="0086433E" w:rsidRPr="000F15D5" w:rsidRDefault="002F4387" w:rsidP="00BF1E65">
          <w:pPr>
            <w:bidi w:val="0"/>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875" w:type="pct"/>
          <w:gridSpan w:val="3"/>
          <w:vAlign w:val="center"/>
        </w:tcPr>
        <w:p w14:paraId="4CC479B5" w14:textId="77777777" w:rsidR="0086433E" w:rsidRPr="000F15D5" w:rsidRDefault="002F4387" w:rsidP="00BF1E65">
          <w:pPr>
            <w:bidi w:val="0"/>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45" w:type="pct"/>
          <w:vAlign w:val="center"/>
        </w:tcPr>
        <w:p w14:paraId="287DE18F" w14:textId="77777777" w:rsidR="0086433E" w:rsidRPr="00A20672" w:rsidRDefault="002F4387" w:rsidP="00BF1E65">
          <w:pPr>
            <w:bidi w:val="0"/>
            <w:rPr>
              <w:b/>
              <w:bCs/>
              <w:sz w:val="18"/>
              <w:szCs w:val="18"/>
              <w:lang w:bidi="ar-EG"/>
            </w:rPr>
          </w:pPr>
          <w:r>
            <w:rPr>
              <w:b/>
              <w:bCs/>
              <w:noProof/>
              <w:sz w:val="18"/>
              <w:szCs w:val="18"/>
            </w:rPr>
            <w:drawing>
              <wp:inline distT="0" distB="0" distL="0" distR="0" wp14:anchorId="7E248ECA" wp14:editId="5B86D37E">
                <wp:extent cx="185455" cy="180000"/>
                <wp:effectExtent l="0" t="0" r="5080" b="0"/>
                <wp:docPr id="5"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219" w:type="pct"/>
          <w:vAlign w:val="center"/>
        </w:tcPr>
        <w:p w14:paraId="0042E566" w14:textId="77777777" w:rsidR="0086433E" w:rsidRPr="000F15D5" w:rsidRDefault="002F4387" w:rsidP="00BF1E65">
          <w:pPr>
            <w:bidi w:val="0"/>
            <w:rPr>
              <w:sz w:val="18"/>
              <w:szCs w:val="18"/>
              <w:lang w:bidi="ar-EG"/>
            </w:rPr>
          </w:pPr>
          <w:r w:rsidRPr="0086433E">
            <w:rPr>
              <w:rStyle w:val="apple-style-span"/>
              <w:color w:val="000000"/>
              <w:sz w:val="20"/>
              <w:szCs w:val="20"/>
            </w:rPr>
            <w:t>maat@maatpeace.org</w:t>
          </w:r>
        </w:p>
      </w:tc>
    </w:tr>
    <w:tr w:rsidR="00C124EA" w14:paraId="6AE3680A" w14:textId="77777777" w:rsidTr="0086433E">
      <w:trPr>
        <w:jc w:val="center"/>
      </w:trPr>
      <w:tc>
        <w:tcPr>
          <w:tcW w:w="740" w:type="pct"/>
          <w:vMerge/>
        </w:tcPr>
        <w:p w14:paraId="0C73214B" w14:textId="77777777" w:rsidR="0086433E" w:rsidRDefault="00612DB8" w:rsidP="00BF1E65">
          <w:pPr>
            <w:bidi w:val="0"/>
            <w:jc w:val="center"/>
            <w:rPr>
              <w:noProof/>
              <w:lang w:bidi="ar-EG"/>
            </w:rPr>
          </w:pPr>
        </w:p>
      </w:tc>
      <w:tc>
        <w:tcPr>
          <w:tcW w:w="269" w:type="pct"/>
          <w:vAlign w:val="center"/>
        </w:tcPr>
        <w:p w14:paraId="37D0ECF9" w14:textId="77777777" w:rsidR="0086433E" w:rsidRDefault="002F4387" w:rsidP="00BF1E65">
          <w:pPr>
            <w:bidi w:val="0"/>
            <w:jc w:val="center"/>
            <w:rPr>
              <w:lang w:bidi="ar-EG"/>
            </w:rPr>
          </w:pPr>
          <w:r>
            <w:rPr>
              <w:noProof/>
            </w:rPr>
            <w:drawing>
              <wp:inline distT="0" distB="0" distL="0" distR="0" wp14:anchorId="5E6C6934" wp14:editId="000CE755">
                <wp:extent cx="178378" cy="180000"/>
                <wp:effectExtent l="0" t="0" r="0" b="0"/>
                <wp:docPr id="6"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960" w:type="pct"/>
          <w:gridSpan w:val="2"/>
          <w:vAlign w:val="center"/>
        </w:tcPr>
        <w:p w14:paraId="651FE52C" w14:textId="77777777" w:rsidR="0086433E" w:rsidRPr="005C2948" w:rsidRDefault="002F4387" w:rsidP="00BF1E65">
          <w:pPr>
            <w:bidi w:val="0"/>
            <w:rPr>
              <w:rFonts w:asciiTheme="majorBidi" w:hAnsiTheme="majorBidi" w:cstheme="majorBidi"/>
              <w:b/>
              <w:bCs/>
              <w:color w:val="000000"/>
              <w:sz w:val="18"/>
              <w:szCs w:val="18"/>
              <w:shd w:val="clear" w:color="auto" w:fill="FFFFFF"/>
            </w:rPr>
          </w:pPr>
          <w:r w:rsidRPr="005C2948">
            <w:rPr>
              <w:rStyle w:val="apple-style-span"/>
              <w:b/>
              <w:bCs/>
              <w:color w:val="000000"/>
              <w:sz w:val="18"/>
              <w:szCs w:val="18"/>
            </w:rPr>
            <w:t>00(20) (2) 25344706/</w:t>
          </w:r>
          <w:r w:rsidRPr="005C2948">
            <w:rPr>
              <w:rStyle w:val="apple-style-span"/>
              <w:b/>
              <w:bCs/>
              <w:sz w:val="18"/>
              <w:szCs w:val="18"/>
            </w:rPr>
            <w:t>7</w:t>
          </w:r>
        </w:p>
      </w:tc>
      <w:tc>
        <w:tcPr>
          <w:tcW w:w="202" w:type="pct"/>
          <w:vAlign w:val="center"/>
        </w:tcPr>
        <w:p w14:paraId="13A7A539" w14:textId="77777777" w:rsidR="0086433E" w:rsidRPr="005C2948" w:rsidRDefault="002F4387" w:rsidP="00BF1E65">
          <w:pPr>
            <w:bidi w:val="0"/>
            <w:jc w:val="center"/>
            <w:rPr>
              <w:rFonts w:asciiTheme="majorBidi" w:hAnsiTheme="majorBidi" w:cstheme="majorBidi"/>
              <w:b/>
              <w:bCs/>
              <w:color w:val="000000"/>
              <w:sz w:val="18"/>
              <w:szCs w:val="18"/>
              <w:shd w:val="clear" w:color="auto" w:fill="FFFFFF"/>
            </w:rPr>
          </w:pPr>
          <w:r w:rsidRPr="005C2948">
            <w:rPr>
              <w:rFonts w:asciiTheme="majorBidi" w:hAnsiTheme="majorBidi" w:cstheme="majorBidi"/>
              <w:b/>
              <w:bCs/>
              <w:noProof/>
              <w:color w:val="000000"/>
              <w:sz w:val="18"/>
              <w:szCs w:val="18"/>
              <w:shd w:val="clear" w:color="auto" w:fill="FFFFFF"/>
            </w:rPr>
            <w:drawing>
              <wp:inline distT="0" distB="0" distL="0" distR="0" wp14:anchorId="0A134986" wp14:editId="20F86283">
                <wp:extent cx="100547" cy="180000"/>
                <wp:effectExtent l="0" t="0" r="0" b="0"/>
                <wp:docPr id="7"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829" w:type="pct"/>
          <w:gridSpan w:val="3"/>
          <w:vAlign w:val="center"/>
        </w:tcPr>
        <w:p w14:paraId="217A4630" w14:textId="77777777" w:rsidR="0086433E" w:rsidRPr="0086433E" w:rsidRDefault="002F4387" w:rsidP="00BF1E65">
          <w:pPr>
            <w:bidi w:val="0"/>
            <w:rPr>
              <w:rFonts w:asciiTheme="majorBidi" w:hAnsiTheme="majorBidi" w:cstheme="majorBidi"/>
              <w:b/>
              <w:bCs/>
              <w:color w:val="000000" w:themeColor="text1"/>
              <w:sz w:val="18"/>
              <w:szCs w:val="18"/>
              <w:shd w:val="clear" w:color="auto" w:fill="FFFFFF"/>
            </w:rPr>
          </w:pPr>
          <w:r w:rsidRPr="0086433E">
            <w:rPr>
              <w:rStyle w:val="apple-style-span"/>
              <w:b/>
              <w:bCs/>
              <w:color w:val="000000" w:themeColor="text1"/>
              <w:sz w:val="18"/>
              <w:szCs w:val="18"/>
            </w:rPr>
            <w:t>+201226521170</w:t>
          </w:r>
        </w:p>
      </w:tc>
    </w:tr>
  </w:tbl>
  <w:p w14:paraId="311B4836" w14:textId="77777777" w:rsidR="00BF1E65" w:rsidRPr="00BF1E65" w:rsidRDefault="00612DB8" w:rsidP="00BF1E6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1F27" w14:textId="77777777" w:rsidR="00612DB8" w:rsidRDefault="00612DB8" w:rsidP="00C9557A">
      <w:pPr>
        <w:spacing w:after="0" w:line="240" w:lineRule="auto"/>
      </w:pPr>
      <w:r>
        <w:separator/>
      </w:r>
    </w:p>
  </w:footnote>
  <w:footnote w:type="continuationSeparator" w:id="0">
    <w:p w14:paraId="561F9BC7" w14:textId="77777777" w:rsidR="00612DB8" w:rsidRDefault="00612DB8" w:rsidP="00C9557A">
      <w:pPr>
        <w:spacing w:after="0" w:line="240" w:lineRule="auto"/>
      </w:pPr>
      <w:r>
        <w:continuationSeparator/>
      </w:r>
    </w:p>
  </w:footnote>
  <w:footnote w:id="1">
    <w:p w14:paraId="73E81200"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تشمل "مصالح الطفل الفضلى" سلامة الطفل الجسدية والعاطفية "رفاهية الطفل" بالإضافة إلى حقه في النمو السليم. ويرتبط النمو السليم للطفل بما يقدمه لـه الوالدان وغيرهما من الكبار من توجيـه وإرشاد لازمين.</w:t>
      </w:r>
    </w:p>
  </w:footnote>
  <w:footnote w:id="2">
    <w:p w14:paraId="29076C88" w14:textId="77777777" w:rsidR="00C9557A" w:rsidRPr="002C0C9E" w:rsidRDefault="00C9557A" w:rsidP="00C9557A">
      <w:pPr>
        <w:pStyle w:val="FootnoteText"/>
        <w:bidi w:val="0"/>
        <w:ind w:left="0" w:firstLine="0"/>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2021</w:t>
      </w:r>
      <w:r w:rsidRPr="002C0C9E">
        <w:rPr>
          <w:rFonts w:ascii="Sakkal Majalla" w:hAnsi="Sakkal Majalla" w:cs="Sakkal Majalla"/>
        </w:rPr>
        <w:t xml:space="preserve"> Day of General Discussion Children’s Rights and Alternative Care Guidelines on participation and submissions</w:t>
      </w:r>
      <w:r w:rsidRPr="002C0C9E">
        <w:rPr>
          <w:rFonts w:ascii="Sakkal Majalla" w:hAnsi="Sakkal Majalla" w:cs="Sakkal Majalla"/>
          <w:rtl/>
        </w:rPr>
        <w:t xml:space="preserve">: </w:t>
      </w:r>
      <w:r w:rsidRPr="002C0C9E">
        <w:rPr>
          <w:rFonts w:ascii="Sakkal Majalla" w:hAnsi="Sakkal Majalla" w:cs="Sakkal Majalla"/>
        </w:rPr>
        <w:t>Available at the following link:</w:t>
      </w:r>
      <w:r w:rsidRPr="002C0C9E">
        <w:rPr>
          <w:rFonts w:ascii="Sakkal Majalla" w:hAnsi="Sakkal Majalla" w:cs="Sakkal Majalla"/>
          <w:rtl/>
        </w:rPr>
        <w:t xml:space="preserve"> </w:t>
      </w:r>
      <w:hyperlink r:id="rId1" w:history="1">
        <w:r w:rsidRPr="002C0C9E">
          <w:rPr>
            <w:rStyle w:val="Hyperlink1"/>
            <w:rFonts w:ascii="Sakkal Majalla" w:hAnsi="Sakkal Majalla" w:cs="Sakkal Majalla"/>
          </w:rPr>
          <w:t>https://bit.ly/2STw4eC</w:t>
        </w:r>
      </w:hyperlink>
      <w:r w:rsidRPr="002C0C9E">
        <w:rPr>
          <w:rFonts w:ascii="Sakkal Majalla" w:hAnsi="Sakkal Majalla" w:cs="Sakkal Majalla"/>
          <w:rtl/>
        </w:rPr>
        <w:t xml:space="preserve"> </w:t>
      </w:r>
    </w:p>
  </w:footnote>
  <w:footnote w:id="3">
    <w:p w14:paraId="1CDB71DA" w14:textId="77777777" w:rsidR="00C9557A" w:rsidRPr="002C0C9E" w:rsidRDefault="00C9557A" w:rsidP="00C9557A">
      <w:pPr>
        <w:pStyle w:val="FootnoteText"/>
        <w:bidi w:val="0"/>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Pr>
        <w:t xml:space="preserve">Ibid, page 3 </w:t>
      </w:r>
    </w:p>
  </w:footnote>
  <w:footnote w:id="4">
    <w:p w14:paraId="29AB86DF"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الأطفال غير المصحوبين والمنفصلين عن ذويهم الأطفال غير المصحوبين هم أشخاص دون سن الرشد القانوني وليسوا بصحبة شخص بالغ، بموجب القانون أو العرف، مسؤول عن القيام بذلك، مثل الآباء أو الأوصياء أو مقدمي الرعاية الأساسيين.</w:t>
      </w:r>
    </w:p>
  </w:footnote>
  <w:footnote w:id="5">
    <w:p w14:paraId="3461E836"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تقرير مفوض الأمم المتحدة السامي لشئون اللاجئين، والمسائل المتصلة باللاجئين والعائدين والمشردين داخليا والمسائل الإنسانية، ص3، على الرابط التالي: </w:t>
      </w:r>
      <w:hyperlink r:id="rId2" w:history="1">
        <w:r w:rsidRPr="002C0C9E">
          <w:rPr>
            <w:rStyle w:val="Hyperlink1"/>
            <w:rFonts w:ascii="Sakkal Majalla" w:hAnsi="Sakkal Majalla" w:cs="Sakkal Majalla"/>
          </w:rPr>
          <w:t>https://bit.ly/3zQvv5K</w:t>
        </w:r>
      </w:hyperlink>
      <w:r w:rsidRPr="002C0C9E">
        <w:rPr>
          <w:rFonts w:ascii="Sakkal Majalla" w:hAnsi="Sakkal Majalla" w:cs="Sakkal Majalla"/>
          <w:rtl/>
        </w:rPr>
        <w:t xml:space="preserve"> </w:t>
      </w:r>
    </w:p>
  </w:footnote>
  <w:footnote w:id="6">
    <w:p w14:paraId="2B16393C"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اتفاقية حقوق الطفل، المادة 3، على الرابط التالي:</w:t>
      </w:r>
      <w:r w:rsidRPr="002C0C9E">
        <w:rPr>
          <w:rFonts w:ascii="Sakkal Majalla" w:hAnsi="Sakkal Majalla" w:cs="Sakkal Majalla"/>
        </w:rPr>
        <w:t xml:space="preserve"> </w:t>
      </w:r>
      <w:hyperlink r:id="rId3" w:history="1">
        <w:r w:rsidRPr="002C0C9E">
          <w:rPr>
            <w:rStyle w:val="Hyperlink1"/>
            <w:rFonts w:ascii="Sakkal Majalla" w:hAnsi="Sakkal Majalla" w:cs="Sakkal Majalla"/>
          </w:rPr>
          <w:t>https://bit.ly/3qmHXpv</w:t>
        </w:r>
      </w:hyperlink>
      <w:r w:rsidRPr="002C0C9E">
        <w:rPr>
          <w:rFonts w:ascii="Sakkal Majalla" w:hAnsi="Sakkal Majalla" w:cs="Sakkal Majalla"/>
          <w:rtl/>
        </w:rPr>
        <w:t xml:space="preserve"> </w:t>
      </w:r>
    </w:p>
  </w:footnote>
  <w:footnote w:id="7">
    <w:p w14:paraId="0E9E6F91"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اتفاقية منظمة العمل الدولية رقم 182 لعام 1999، المادة 3، على الرابط التالي:</w:t>
      </w:r>
      <w:r w:rsidRPr="002C0C9E">
        <w:rPr>
          <w:rFonts w:ascii="Sakkal Majalla" w:hAnsi="Sakkal Majalla" w:cs="Sakkal Majalla"/>
        </w:rPr>
        <w:t xml:space="preserve"> </w:t>
      </w:r>
      <w:hyperlink r:id="rId4" w:history="1">
        <w:r w:rsidRPr="002C0C9E">
          <w:rPr>
            <w:rStyle w:val="Hyperlink1"/>
            <w:rFonts w:ascii="Sakkal Majalla" w:hAnsi="Sakkal Majalla" w:cs="Sakkal Majalla"/>
          </w:rPr>
          <w:t>https://bit.ly/3wWSvhC</w:t>
        </w:r>
      </w:hyperlink>
      <w:r w:rsidRPr="002C0C9E">
        <w:rPr>
          <w:rFonts w:ascii="Sakkal Majalla" w:hAnsi="Sakkal Majalla" w:cs="Sakkal Majalla"/>
          <w:rtl/>
        </w:rPr>
        <w:t xml:space="preserve"> </w:t>
      </w:r>
    </w:p>
  </w:footnote>
  <w:footnote w:id="8">
    <w:p w14:paraId="6F2ACD10" w14:textId="77777777" w:rsidR="00C9557A" w:rsidRPr="002C0C9E" w:rsidRDefault="00C9557A" w:rsidP="00C9557A">
      <w:pPr>
        <w:pStyle w:val="FootnoteText"/>
        <w:rPr>
          <w:rFonts w:ascii="Sakkal Majalla" w:hAnsi="Sakkal Majalla" w:cs="Sakkal Majalla"/>
          <w:rtl/>
          <w:lang w:bidi="ar-EG"/>
        </w:rPr>
      </w:pPr>
      <w:r w:rsidRPr="002C0C9E">
        <w:rPr>
          <w:rStyle w:val="FootnoteReference"/>
          <w:rFonts w:ascii="Sakkal Majalla" w:hAnsi="Sakkal Majalla" w:cs="Sakkal Majalla"/>
        </w:rPr>
        <w:footnoteRef/>
      </w:r>
      <w:r w:rsidRPr="002C0C9E">
        <w:rPr>
          <w:rFonts w:ascii="Sakkal Majalla" w:hAnsi="Sakkal Majalla" w:cs="Sakkal Majalla"/>
        </w:rPr>
        <w:t xml:space="preserve"> </w:t>
      </w:r>
      <w:r w:rsidRPr="002C0C9E">
        <w:rPr>
          <w:rFonts w:ascii="Sakkal Majalla" w:hAnsi="Sakkal Majalla" w:cs="Sakkal Majalla"/>
          <w:rtl/>
          <w:lang w:bidi="ar-EG"/>
        </w:rPr>
        <w:t xml:space="preserve">  2018</w:t>
      </w:r>
      <w:r w:rsidRPr="002C0C9E">
        <w:rPr>
          <w:rFonts w:ascii="Sakkal Majalla" w:hAnsi="Sakkal Majalla" w:cs="Sakkal Majalla"/>
          <w:lang w:bidi="ar-EG"/>
        </w:rPr>
        <w:t xml:space="preserve"> Findings on the Worst Forms of Child Labor: Egypt, Page 2,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5" w:history="1">
        <w:r w:rsidRPr="002C0C9E">
          <w:rPr>
            <w:rStyle w:val="Hyperlink1"/>
            <w:rFonts w:ascii="Sakkal Majalla" w:hAnsi="Sakkal Majalla" w:cs="Sakkal Majalla"/>
            <w:lang w:bidi="ar-EG"/>
          </w:rPr>
          <w:t>https://bit.ly/3qajNi2</w:t>
        </w:r>
      </w:hyperlink>
      <w:r w:rsidRPr="002C0C9E">
        <w:rPr>
          <w:rFonts w:ascii="Sakkal Majalla" w:hAnsi="Sakkal Majalla" w:cs="Sakkal Majalla"/>
          <w:rtl/>
          <w:lang w:bidi="ar-EG"/>
        </w:rPr>
        <w:t xml:space="preserve"> </w:t>
      </w:r>
    </w:p>
  </w:footnote>
  <w:footnote w:id="9">
    <w:p w14:paraId="5809D247"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Pr>
        <w:t xml:space="preserve"> </w:t>
      </w:r>
      <w:r w:rsidRPr="002C0C9E">
        <w:rPr>
          <w:rFonts w:ascii="Sakkal Majalla" w:hAnsi="Sakkal Majalla" w:cs="Sakkal Majalla"/>
          <w:rtl/>
          <w:lang w:bidi="ar-EG"/>
        </w:rPr>
        <w:t xml:space="preserve"> «المصريين في أوروبا»: أطفال مصريون في إيطاليا يمارسون «الدعارة» بـ2 يورو، المصري اليوم، 13 مايو 2017، علي الرابط التالي:</w:t>
      </w:r>
      <w:r w:rsidRPr="002C0C9E">
        <w:rPr>
          <w:rFonts w:ascii="Sakkal Majalla" w:hAnsi="Sakkal Majalla" w:cs="Sakkal Majalla"/>
        </w:rPr>
        <w:t xml:space="preserve"> </w:t>
      </w:r>
      <w:hyperlink r:id="rId6" w:history="1">
        <w:r w:rsidRPr="002C0C9E">
          <w:rPr>
            <w:rStyle w:val="Hyperlink1"/>
            <w:rFonts w:ascii="Sakkal Majalla" w:hAnsi="Sakkal Majalla" w:cs="Sakkal Majalla"/>
            <w:lang w:bidi="ar-EG"/>
          </w:rPr>
          <w:t>https://bit.ly/3qaA6LN</w:t>
        </w:r>
      </w:hyperlink>
      <w:r w:rsidRPr="002C0C9E">
        <w:rPr>
          <w:rFonts w:ascii="Sakkal Majalla" w:hAnsi="Sakkal Majalla" w:cs="Sakkal Majalla"/>
          <w:rtl/>
          <w:lang w:bidi="ar-EG"/>
        </w:rPr>
        <w:t xml:space="preserve"> </w:t>
      </w:r>
    </w:p>
  </w:footnote>
  <w:footnote w:id="10">
    <w:p w14:paraId="0BD4C430"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وزيرة التضامن لـ"البوابة نيوز": إطلاق منصة المفقودين نهاية يونيو الجاري، البوابة نيوز، 12 يونيو 2021، علي الرابط التالي:</w:t>
      </w:r>
      <w:r w:rsidRPr="002C0C9E">
        <w:rPr>
          <w:rFonts w:ascii="Sakkal Majalla" w:hAnsi="Sakkal Majalla" w:cs="Sakkal Majalla"/>
        </w:rPr>
        <w:t xml:space="preserve"> </w:t>
      </w:r>
      <w:hyperlink r:id="rId7" w:history="1">
        <w:r w:rsidRPr="002C0C9E">
          <w:rPr>
            <w:rStyle w:val="Hyperlink1"/>
            <w:rFonts w:ascii="Sakkal Majalla" w:hAnsi="Sakkal Majalla" w:cs="Sakkal Majalla"/>
          </w:rPr>
          <w:t>https://bit.ly/3d7vjWd</w:t>
        </w:r>
      </w:hyperlink>
      <w:r w:rsidRPr="002C0C9E">
        <w:rPr>
          <w:rFonts w:ascii="Sakkal Majalla" w:hAnsi="Sakkal Majalla" w:cs="Sakkal Majalla"/>
          <w:rtl/>
        </w:rPr>
        <w:t xml:space="preserve"> </w:t>
      </w:r>
    </w:p>
  </w:footnote>
  <w:footnote w:id="11">
    <w:p w14:paraId="7C772978" w14:textId="77777777" w:rsidR="00C9557A" w:rsidRPr="002C0C9E" w:rsidRDefault="00C9557A" w:rsidP="00C9557A">
      <w:pPr>
        <w:pStyle w:val="FootnoteText"/>
        <w:rPr>
          <w:rFonts w:ascii="Sakkal Majalla" w:hAnsi="Sakkal Majalla" w:cs="Sakkal Majalla"/>
        </w:rPr>
      </w:pPr>
      <w:r w:rsidRPr="002C0C9E">
        <w:rPr>
          <w:rStyle w:val="FootnoteReference"/>
          <w:rFonts w:ascii="Sakkal Majalla" w:hAnsi="Sakkal Majalla" w:cs="Sakkal Majalla"/>
        </w:rPr>
        <w:footnoteRef/>
      </w:r>
      <w:r w:rsidRPr="002C0C9E">
        <w:rPr>
          <w:rFonts w:ascii="Sakkal Majalla" w:hAnsi="Sakkal Majalla" w:cs="Sakkal Majalla"/>
          <w:rtl/>
        </w:rPr>
        <w:t xml:space="preserve"> مدير أطفال بلا مأوى: تعاملنا مع 18 ألف وضعية في الشارع.. والكبار أصعب، الوطن، 3 يونيو 2021، علي الرابط التالي:</w:t>
      </w:r>
      <w:r w:rsidRPr="002C0C9E">
        <w:rPr>
          <w:rFonts w:ascii="Sakkal Majalla" w:hAnsi="Sakkal Majalla" w:cs="Sakkal Majalla"/>
        </w:rPr>
        <w:t xml:space="preserve"> </w:t>
      </w:r>
      <w:hyperlink r:id="rId8" w:history="1">
        <w:r w:rsidRPr="002C0C9E">
          <w:rPr>
            <w:rStyle w:val="Hyperlink1"/>
            <w:rFonts w:ascii="Sakkal Majalla" w:hAnsi="Sakkal Majalla" w:cs="Sakkal Majalla"/>
          </w:rPr>
          <w:t>https://bit.ly/3gW7C49</w:t>
        </w:r>
      </w:hyperlink>
      <w:r w:rsidRPr="002C0C9E">
        <w:rPr>
          <w:rFonts w:ascii="Sakkal Majalla" w:hAnsi="Sakkal Majalla" w:cs="Sakkal Majalla"/>
          <w:rtl/>
        </w:rPr>
        <w:t xml:space="preserve"> </w:t>
      </w:r>
    </w:p>
  </w:footnote>
  <w:footnote w:id="12">
    <w:p w14:paraId="027EDE1A" w14:textId="77777777" w:rsidR="00C9557A" w:rsidRPr="002C0C9E" w:rsidRDefault="00C9557A" w:rsidP="00C9557A">
      <w:pPr>
        <w:pStyle w:val="FootnoteText"/>
        <w:bidi w:val="0"/>
        <w:rPr>
          <w:rFonts w:ascii="Sakkal Majalla" w:hAnsi="Sakkal Majalla" w:cs="Sakkal Majalla"/>
          <w:rtl/>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w:t>
      </w:r>
      <w:r w:rsidRPr="002C0C9E">
        <w:rPr>
          <w:rFonts w:ascii="Sakkal Majalla" w:hAnsi="Sakkal Majalla" w:cs="Sakkal Majalla"/>
          <w:lang w:bidi="ar-EG"/>
        </w:rPr>
        <w:t>Guidelines for the Alternative Care of Children, page 4,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9" w:history="1">
        <w:r w:rsidRPr="002C0C9E">
          <w:rPr>
            <w:rStyle w:val="Hyperlink1"/>
            <w:rFonts w:ascii="Sakkal Majalla" w:hAnsi="Sakkal Majalla" w:cs="Sakkal Majalla"/>
            <w:lang w:bidi="ar-EG"/>
          </w:rPr>
          <w:t>https://undocs.org/en/A/RES/64/142</w:t>
        </w:r>
      </w:hyperlink>
      <w:r w:rsidRPr="002C0C9E">
        <w:rPr>
          <w:rFonts w:ascii="Sakkal Majalla" w:hAnsi="Sakkal Majalla" w:cs="Sakkal Majalla"/>
          <w:rtl/>
          <w:lang w:bidi="ar-EG"/>
        </w:rPr>
        <w:t xml:space="preserve"> </w:t>
      </w:r>
    </w:p>
  </w:footnote>
  <w:footnote w:id="13">
    <w:p w14:paraId="581B4883" w14:textId="77777777" w:rsidR="00C9557A" w:rsidRPr="002C0C9E" w:rsidRDefault="00C9557A" w:rsidP="00C9557A">
      <w:pPr>
        <w:pStyle w:val="FootnoteText"/>
        <w:bidi w:val="0"/>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w:t>
      </w:r>
      <w:r w:rsidRPr="002C0C9E">
        <w:rPr>
          <w:rFonts w:ascii="Sakkal Majalla" w:hAnsi="Sakkal Majalla" w:cs="Sakkal Majalla"/>
          <w:lang w:bidi="ar-EG"/>
        </w:rPr>
        <w:t>Ibid</w:t>
      </w:r>
    </w:p>
  </w:footnote>
  <w:footnote w:id="14">
    <w:p w14:paraId="29B9A4DB"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برنامج الوساطة الأسرية، وزارة التضامن الاجتماعي المملكة المغربية، للمزيد على الرابط التالي:</w:t>
      </w:r>
      <w:r w:rsidRPr="002C0C9E">
        <w:rPr>
          <w:rFonts w:ascii="Sakkal Majalla" w:hAnsi="Sakkal Majalla" w:cs="Sakkal Majalla"/>
        </w:rPr>
        <w:t xml:space="preserve"> </w:t>
      </w:r>
      <w:hyperlink r:id="rId10" w:history="1">
        <w:r w:rsidRPr="002C0C9E">
          <w:rPr>
            <w:rStyle w:val="Hyperlink1"/>
            <w:rFonts w:ascii="Sakkal Majalla" w:hAnsi="Sakkal Majalla" w:cs="Sakkal Majalla"/>
            <w:lang w:bidi="ar-EG"/>
          </w:rPr>
          <w:t>https://bit.ly/3gQM4FS</w:t>
        </w:r>
      </w:hyperlink>
      <w:r w:rsidRPr="002C0C9E">
        <w:rPr>
          <w:rFonts w:ascii="Sakkal Majalla" w:hAnsi="Sakkal Majalla" w:cs="Sakkal Majalla"/>
          <w:rtl/>
          <w:lang w:bidi="ar-EG"/>
        </w:rPr>
        <w:t xml:space="preserve"> </w:t>
      </w:r>
    </w:p>
  </w:footnote>
  <w:footnote w:id="15">
    <w:p w14:paraId="51F6392E"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tl/>
          <w:lang w:bidi="ar-EG"/>
        </w:rPr>
        <w:t xml:space="preserve"> "لم الشمل".. مبادرة الأزهر تنهي 23 ألف خلاف أسري في مصر، سكاي نيوز عربية، 12 فبراير 2021، على الرابط التالي:</w:t>
      </w:r>
      <w:r w:rsidRPr="002C0C9E">
        <w:rPr>
          <w:rFonts w:ascii="Sakkal Majalla" w:hAnsi="Sakkal Majalla" w:cs="Sakkal Majalla"/>
        </w:rPr>
        <w:t xml:space="preserve"> </w:t>
      </w:r>
      <w:hyperlink r:id="rId11" w:history="1">
        <w:r w:rsidRPr="002C0C9E">
          <w:rPr>
            <w:rStyle w:val="Hyperlink1"/>
            <w:rFonts w:ascii="Sakkal Majalla" w:hAnsi="Sakkal Majalla" w:cs="Sakkal Majalla"/>
            <w:lang w:bidi="ar-EG"/>
          </w:rPr>
          <w:t>https://bit.ly/3zUIovQ</w:t>
        </w:r>
      </w:hyperlink>
      <w:r w:rsidRPr="002C0C9E">
        <w:rPr>
          <w:rFonts w:ascii="Sakkal Majalla" w:hAnsi="Sakkal Majalla" w:cs="Sakkal Majalla"/>
          <w:rtl/>
          <w:lang w:bidi="ar-EG"/>
        </w:rPr>
        <w:t xml:space="preserve"> </w:t>
      </w:r>
    </w:p>
  </w:footnote>
  <w:footnote w:id="16">
    <w:p w14:paraId="6DFC6875" w14:textId="77777777" w:rsidR="00C9557A" w:rsidRPr="002C0C9E" w:rsidRDefault="00C9557A" w:rsidP="00C9557A">
      <w:pPr>
        <w:pStyle w:val="FootnoteText"/>
        <w:bidi w:val="0"/>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w:t>
      </w:r>
      <w:r w:rsidRPr="002C0C9E">
        <w:rPr>
          <w:rFonts w:ascii="Sakkal Majalla" w:hAnsi="Sakkal Majalla" w:cs="Sakkal Majalla"/>
        </w:rPr>
        <w:t>The Risk of Harm to Young Children in Institutional Care</w:t>
      </w:r>
      <w:r w:rsidRPr="002C0C9E">
        <w:rPr>
          <w:rFonts w:ascii="Sakkal Majalla" w:hAnsi="Sakkal Majalla" w:cs="Sakkal Majalla"/>
          <w:lang w:bidi="ar-EG"/>
        </w:rPr>
        <w:t>, Save The Children, Page 15, Available at the following link</w:t>
      </w:r>
      <w:r w:rsidRPr="002C0C9E">
        <w:rPr>
          <w:rFonts w:ascii="Sakkal Majalla" w:hAnsi="Sakkal Majalla" w:cs="Sakkal Majalla"/>
          <w:rtl/>
          <w:lang w:bidi="ar-EG"/>
        </w:rPr>
        <w:t>:</w:t>
      </w:r>
      <w:r w:rsidRPr="002C0C9E">
        <w:rPr>
          <w:rFonts w:ascii="Sakkal Majalla" w:hAnsi="Sakkal Majalla" w:cs="Sakkal Majalla"/>
        </w:rPr>
        <w:t xml:space="preserve"> </w:t>
      </w:r>
      <w:hyperlink r:id="rId12" w:history="1">
        <w:r w:rsidRPr="002C0C9E">
          <w:rPr>
            <w:rStyle w:val="Hyperlink1"/>
            <w:rFonts w:ascii="Sakkal Majalla" w:hAnsi="Sakkal Majalla" w:cs="Sakkal Majalla"/>
            <w:lang w:bidi="ar-EG"/>
          </w:rPr>
          <w:t>https://bit.ly/3gSE5JX</w:t>
        </w:r>
      </w:hyperlink>
      <w:r w:rsidRPr="002C0C9E">
        <w:rPr>
          <w:rFonts w:ascii="Sakkal Majalla" w:hAnsi="Sakkal Majalla" w:cs="Sakkal Majalla"/>
          <w:rtl/>
          <w:lang w:bidi="ar-EG"/>
        </w:rPr>
        <w:t xml:space="preserve"> </w:t>
      </w:r>
      <w:r w:rsidRPr="002C0C9E">
        <w:rPr>
          <w:rFonts w:ascii="Sakkal Majalla" w:hAnsi="Sakkal Majalla" w:cs="Sakkal Majalla"/>
          <w:lang w:bidi="ar-EG"/>
        </w:rPr>
        <w:t xml:space="preserve"> </w:t>
      </w:r>
    </w:p>
  </w:footnote>
  <w:footnote w:id="17">
    <w:p w14:paraId="07404D0A"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وزيرة التضامن الاجتماعي تطلق الاستراتيجية الوطنية للرعاية البديلة للأطفال والشباب في مصر، الهيئة العامة للاستعلامات، 11 أبريل 2021، على الرابط التالي:</w:t>
      </w:r>
      <w:r w:rsidRPr="002C0C9E">
        <w:rPr>
          <w:rFonts w:ascii="Sakkal Majalla" w:hAnsi="Sakkal Majalla" w:cs="Sakkal Majalla"/>
        </w:rPr>
        <w:t xml:space="preserve"> </w:t>
      </w:r>
      <w:hyperlink r:id="rId13" w:history="1">
        <w:r w:rsidRPr="002C0C9E">
          <w:rPr>
            <w:rStyle w:val="Hyperlink1"/>
            <w:rFonts w:ascii="Sakkal Majalla" w:hAnsi="Sakkal Majalla" w:cs="Sakkal Majalla"/>
          </w:rPr>
          <w:t>https://bit.ly/2UmYa1Y</w:t>
        </w:r>
      </w:hyperlink>
      <w:r w:rsidRPr="002C0C9E">
        <w:rPr>
          <w:rFonts w:ascii="Sakkal Majalla" w:hAnsi="Sakkal Majalla" w:cs="Sakkal Majalla"/>
          <w:rtl/>
        </w:rPr>
        <w:t xml:space="preserve"> </w:t>
      </w:r>
    </w:p>
  </w:footnote>
  <w:footnote w:id="18">
    <w:p w14:paraId="48D827EA"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احتفالية إطلاق حملة أسرة لكل طفل، وزارة التضامن الاجتماعي، 22 أكتوبر 2019، على الرابط التالي:</w:t>
      </w:r>
      <w:r w:rsidRPr="002C0C9E">
        <w:rPr>
          <w:rFonts w:ascii="Sakkal Majalla" w:hAnsi="Sakkal Majalla" w:cs="Sakkal Majalla"/>
        </w:rPr>
        <w:t xml:space="preserve"> </w:t>
      </w:r>
      <w:hyperlink r:id="rId14" w:history="1">
        <w:r w:rsidRPr="002C0C9E">
          <w:rPr>
            <w:rStyle w:val="Hyperlink1"/>
            <w:rFonts w:ascii="Sakkal Majalla" w:hAnsi="Sakkal Majalla" w:cs="Sakkal Majalla"/>
          </w:rPr>
          <w:t>https://bit.ly/3gWRpvp</w:t>
        </w:r>
      </w:hyperlink>
      <w:r w:rsidRPr="002C0C9E">
        <w:rPr>
          <w:rFonts w:ascii="Sakkal Majalla" w:hAnsi="Sakkal Majalla" w:cs="Sakkal Majalla"/>
          <w:rtl/>
        </w:rPr>
        <w:t xml:space="preserve"> </w:t>
      </w:r>
    </w:p>
  </w:footnote>
  <w:footnote w:id="19">
    <w:p w14:paraId="27800716"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تعديل بعض أحكام اللائحة التنفيذية لقانون الطفل بالقرار 1143 لسنة 2020، الجريدة الرسمية (العدد23 مكرر) 9 يونيو 2020، على الرابط التالي:</w:t>
      </w:r>
      <w:r w:rsidRPr="002C0C9E">
        <w:rPr>
          <w:rFonts w:ascii="Sakkal Majalla" w:hAnsi="Sakkal Majalla" w:cs="Sakkal Majalla"/>
        </w:rPr>
        <w:t xml:space="preserve"> </w:t>
      </w:r>
      <w:hyperlink r:id="rId15" w:history="1">
        <w:r w:rsidRPr="002C0C9E">
          <w:rPr>
            <w:rStyle w:val="Hyperlink1"/>
            <w:rFonts w:ascii="Sakkal Majalla" w:hAnsi="Sakkal Majalla" w:cs="Sakkal Majalla"/>
          </w:rPr>
          <w:t>https://bit.ly/2SnonwX</w:t>
        </w:r>
      </w:hyperlink>
      <w:r w:rsidRPr="002C0C9E">
        <w:rPr>
          <w:rFonts w:ascii="Sakkal Majalla" w:hAnsi="Sakkal Majalla" w:cs="Sakkal Majalla"/>
          <w:rtl/>
        </w:rPr>
        <w:t xml:space="preserve"> </w:t>
      </w:r>
    </w:p>
  </w:footnote>
  <w:footnote w:id="20">
    <w:p w14:paraId="759CB0FA" w14:textId="77777777" w:rsidR="00C9557A" w:rsidRPr="002C0C9E" w:rsidRDefault="00C9557A" w:rsidP="00C9557A">
      <w:pPr>
        <w:pStyle w:val="FootnoteText"/>
        <w:rPr>
          <w:rFonts w:ascii="Sakkal Majalla" w:hAnsi="Sakkal Majalla" w:cs="Sakkal Majalla"/>
          <w:lang w:bidi="ar-EG"/>
        </w:rPr>
      </w:pPr>
      <w:r w:rsidRPr="002C0C9E">
        <w:rPr>
          <w:rStyle w:val="FootnoteReference"/>
          <w:rFonts w:ascii="Sakkal Majalla" w:hAnsi="Sakkal Majalla" w:cs="Sakkal Majalla"/>
        </w:rPr>
        <w:footnoteRef/>
      </w:r>
      <w:r w:rsidRPr="002C0C9E">
        <w:rPr>
          <w:rFonts w:ascii="Sakkal Majalla" w:hAnsi="Sakkal Majalla" w:cs="Sakkal Majalla"/>
          <w:rtl/>
        </w:rPr>
        <w:t xml:space="preserve"> “التضامن”: تلقينا أكبر عدد لطلبات كفالة الأطفال في تاريخ مصر خلال 4 أشهر فقط (تفاصيل)، القاهرة 24، 14 أكتوبر 2020، على الرابط التالي:</w:t>
      </w:r>
      <w:r w:rsidRPr="002C0C9E">
        <w:rPr>
          <w:rFonts w:ascii="Sakkal Majalla" w:hAnsi="Sakkal Majalla" w:cs="Sakkal Majalla"/>
        </w:rPr>
        <w:t xml:space="preserve"> </w:t>
      </w:r>
      <w:hyperlink r:id="rId16" w:history="1">
        <w:r w:rsidRPr="002C0C9E">
          <w:rPr>
            <w:rStyle w:val="Hyperlink1"/>
            <w:rFonts w:ascii="Sakkal Majalla" w:hAnsi="Sakkal Majalla" w:cs="Sakkal Majalla"/>
          </w:rPr>
          <w:t>https://bit.ly/35LHjs7</w:t>
        </w:r>
      </w:hyperlink>
      <w:r w:rsidRPr="002C0C9E">
        <w:rPr>
          <w:rFonts w:ascii="Sakkal Majalla" w:hAnsi="Sakkal Majalla" w:cs="Sakkal Majalla"/>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2B47" w14:textId="77777777" w:rsidR="0086433E" w:rsidRDefault="002F4387" w:rsidP="0086433E">
    <w:pPr>
      <w:pStyle w:val="Header"/>
      <w:jc w:val="right"/>
    </w:pPr>
    <w:r>
      <w:rPr>
        <w:rFonts w:hint="cs"/>
        <w:noProof/>
      </w:rPr>
      <w:drawing>
        <wp:inline distT="0" distB="0" distL="0" distR="0" wp14:anchorId="69B463F1" wp14:editId="486B0312">
          <wp:extent cx="1471930" cy="1143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470"/>
    <w:multiLevelType w:val="hybridMultilevel"/>
    <w:tmpl w:val="BC187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83F1B"/>
    <w:multiLevelType w:val="hybridMultilevel"/>
    <w:tmpl w:val="A8681AAC"/>
    <w:lvl w:ilvl="0" w:tplc="04090001">
      <w:start w:val="1"/>
      <w:numFmt w:val="bullet"/>
      <w:lvlText w:val=""/>
      <w:lvlJc w:val="left"/>
      <w:pPr>
        <w:ind w:left="720" w:hanging="360"/>
      </w:pPr>
      <w:rPr>
        <w:rFonts w:ascii="Symbol" w:hAnsi="Symbol" w:hint="default"/>
      </w:rPr>
    </w:lvl>
    <w:lvl w:ilvl="1" w:tplc="79E0EBAC">
      <w:numFmt w:val="bullet"/>
      <w:lvlText w:val="•"/>
      <w:lvlJc w:val="left"/>
      <w:pPr>
        <w:ind w:left="1440" w:hanging="360"/>
      </w:pPr>
      <w:rPr>
        <w:rFonts w:ascii="Sakkal Majalla" w:eastAsiaTheme="minorEastAsia"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61C0D"/>
    <w:multiLevelType w:val="hybridMultilevel"/>
    <w:tmpl w:val="FFDE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4581A"/>
    <w:multiLevelType w:val="hybridMultilevel"/>
    <w:tmpl w:val="6FC8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7A"/>
    <w:rsid w:val="001445C6"/>
    <w:rsid w:val="002F4387"/>
    <w:rsid w:val="003245F5"/>
    <w:rsid w:val="0039177B"/>
    <w:rsid w:val="0040587F"/>
    <w:rsid w:val="00582B5B"/>
    <w:rsid w:val="00612DB8"/>
    <w:rsid w:val="008949B0"/>
    <w:rsid w:val="00B04BB0"/>
    <w:rsid w:val="00C23FC5"/>
    <w:rsid w:val="00C9557A"/>
    <w:rsid w:val="00CC5124"/>
    <w:rsid w:val="00F33A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AB82A"/>
  <w15:docId w15:val="{D42C9E34-3DA0-42A3-BDD5-252EB642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55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57A"/>
  </w:style>
  <w:style w:type="paragraph" w:styleId="Footer">
    <w:name w:val="footer"/>
    <w:basedOn w:val="Normal"/>
    <w:link w:val="FooterChar"/>
    <w:uiPriority w:val="99"/>
    <w:unhideWhenUsed/>
    <w:rsid w:val="00C9557A"/>
    <w:pPr>
      <w:tabs>
        <w:tab w:val="center" w:pos="4680"/>
        <w:tab w:val="right" w:pos="9360"/>
      </w:tabs>
      <w:bidi/>
      <w:spacing w:after="0" w:line="240" w:lineRule="auto"/>
      <w:ind w:left="300" w:hanging="357"/>
    </w:pPr>
    <w:rPr>
      <w:rFonts w:eastAsia="Times New Roman"/>
    </w:rPr>
  </w:style>
  <w:style w:type="character" w:customStyle="1" w:styleId="FooterChar">
    <w:name w:val="Footer Char"/>
    <w:basedOn w:val="DefaultParagraphFont"/>
    <w:link w:val="Footer"/>
    <w:uiPriority w:val="99"/>
    <w:rsid w:val="00C9557A"/>
    <w:rPr>
      <w:rFonts w:eastAsia="Times New Roman"/>
    </w:rPr>
  </w:style>
  <w:style w:type="character" w:customStyle="1" w:styleId="apple-style-span">
    <w:name w:val="apple-style-span"/>
    <w:basedOn w:val="DefaultParagraphFont"/>
    <w:rsid w:val="00C9557A"/>
  </w:style>
  <w:style w:type="table" w:styleId="TableGrid">
    <w:name w:val="Table Grid"/>
    <w:basedOn w:val="TableNormal"/>
    <w:uiPriority w:val="39"/>
    <w:rsid w:val="00C9557A"/>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
    <w:basedOn w:val="Normal"/>
    <w:link w:val="FootnoteTextChar"/>
    <w:uiPriority w:val="99"/>
    <w:unhideWhenUsed/>
    <w:qFormat/>
    <w:rsid w:val="00C9557A"/>
    <w:pPr>
      <w:bidi/>
      <w:spacing w:after="0" w:line="240" w:lineRule="auto"/>
      <w:ind w:left="300" w:hanging="357"/>
    </w:pPr>
    <w:rPr>
      <w:rFonts w:eastAsia="Times New Roman"/>
      <w:sz w:val="20"/>
      <w:szCs w:val="20"/>
    </w:rPr>
  </w:style>
  <w:style w:type="character" w:customStyle="1" w:styleId="FootnoteTextChar">
    <w:name w:val="Footnote Text Char"/>
    <w:aliases w:val="5_G Char"/>
    <w:basedOn w:val="DefaultParagraphFont"/>
    <w:link w:val="FootnoteText"/>
    <w:uiPriority w:val="99"/>
    <w:rsid w:val="00C9557A"/>
    <w:rPr>
      <w:rFonts w:eastAsia="Times New Roman"/>
      <w:sz w:val="20"/>
      <w:szCs w:val="20"/>
    </w:rPr>
  </w:style>
  <w:style w:type="character" w:styleId="FootnoteReference">
    <w:name w:val="footnote reference"/>
    <w:aliases w:val="4_G,4_GA"/>
    <w:basedOn w:val="DefaultParagraphFont"/>
    <w:uiPriority w:val="99"/>
    <w:unhideWhenUsed/>
    <w:qFormat/>
    <w:rsid w:val="00C9557A"/>
    <w:rPr>
      <w:vertAlign w:val="superscript"/>
    </w:rPr>
  </w:style>
  <w:style w:type="character" w:customStyle="1" w:styleId="Hyperlink1">
    <w:name w:val="Hyperlink1"/>
    <w:basedOn w:val="DefaultParagraphFont"/>
    <w:uiPriority w:val="99"/>
    <w:unhideWhenUsed/>
    <w:rsid w:val="00C9557A"/>
    <w:rPr>
      <w:color w:val="0563C1"/>
      <w:u w:val="single"/>
    </w:rPr>
  </w:style>
  <w:style w:type="character" w:styleId="Hyperlink">
    <w:name w:val="Hyperlink"/>
    <w:basedOn w:val="DefaultParagraphFont"/>
    <w:uiPriority w:val="99"/>
    <w:semiHidden/>
    <w:unhideWhenUsed/>
    <w:rsid w:val="00C9557A"/>
    <w:rPr>
      <w:color w:val="0000FF" w:themeColor="hyperlink"/>
      <w:u w:val="single"/>
    </w:rPr>
  </w:style>
  <w:style w:type="paragraph" w:styleId="BalloonText">
    <w:name w:val="Balloon Text"/>
    <w:basedOn w:val="Normal"/>
    <w:link w:val="BalloonTextChar"/>
    <w:uiPriority w:val="99"/>
    <w:semiHidden/>
    <w:unhideWhenUsed/>
    <w:rsid w:val="00C9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57A"/>
    <w:rPr>
      <w:rFonts w:ascii="Tahoma" w:hAnsi="Tahoma" w:cs="Tahoma"/>
      <w:sz w:val="16"/>
      <w:szCs w:val="16"/>
    </w:rPr>
  </w:style>
  <w:style w:type="paragraph" w:styleId="ListParagraph">
    <w:name w:val="List Paragraph"/>
    <w:basedOn w:val="Normal"/>
    <w:uiPriority w:val="34"/>
    <w:qFormat/>
    <w:rsid w:val="0032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gW7C49" TargetMode="External"/><Relationship Id="rId13" Type="http://schemas.openxmlformats.org/officeDocument/2006/relationships/hyperlink" Target="https://bit.ly/2UmYa1Y" TargetMode="External"/><Relationship Id="rId3" Type="http://schemas.openxmlformats.org/officeDocument/2006/relationships/hyperlink" Target="https://bit.ly/3qmHXpv" TargetMode="External"/><Relationship Id="rId7" Type="http://schemas.openxmlformats.org/officeDocument/2006/relationships/hyperlink" Target="https://bit.ly/3d7vjWd" TargetMode="External"/><Relationship Id="rId12" Type="http://schemas.openxmlformats.org/officeDocument/2006/relationships/hyperlink" Target="https://bit.ly/3gSE5JX" TargetMode="External"/><Relationship Id="rId2" Type="http://schemas.openxmlformats.org/officeDocument/2006/relationships/hyperlink" Target="https://bit.ly/3zQvv5K" TargetMode="External"/><Relationship Id="rId16" Type="http://schemas.openxmlformats.org/officeDocument/2006/relationships/hyperlink" Target="https://bit.ly/35LHjs7" TargetMode="External"/><Relationship Id="rId1" Type="http://schemas.openxmlformats.org/officeDocument/2006/relationships/hyperlink" Target="https://bit.ly/2STw4eC" TargetMode="External"/><Relationship Id="rId6" Type="http://schemas.openxmlformats.org/officeDocument/2006/relationships/hyperlink" Target="https://bit.ly/3qaA6LN" TargetMode="External"/><Relationship Id="rId11" Type="http://schemas.openxmlformats.org/officeDocument/2006/relationships/hyperlink" Target="https://bit.ly/3zUIovQ" TargetMode="External"/><Relationship Id="rId5" Type="http://schemas.openxmlformats.org/officeDocument/2006/relationships/hyperlink" Target="https://bit.ly/3qajNi2" TargetMode="External"/><Relationship Id="rId15" Type="http://schemas.openxmlformats.org/officeDocument/2006/relationships/hyperlink" Target="https://bit.ly/2SnonwX" TargetMode="External"/><Relationship Id="rId10" Type="http://schemas.openxmlformats.org/officeDocument/2006/relationships/hyperlink" Target="https://bit.ly/3gQM4FS" TargetMode="External"/><Relationship Id="rId4" Type="http://schemas.openxmlformats.org/officeDocument/2006/relationships/hyperlink" Target="https://bit.ly/3wWSvhC" TargetMode="External"/><Relationship Id="rId9" Type="http://schemas.openxmlformats.org/officeDocument/2006/relationships/hyperlink" Target="https://undocs.org/en/A/RES/64/142" TargetMode="External"/><Relationship Id="rId14" Type="http://schemas.openxmlformats.org/officeDocument/2006/relationships/hyperlink" Target="https://bit.ly/3gWRpv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Maat for Peace Development and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1177627-3D9E-44C1-AA3C-CD6F2C993FD3}"/>
</file>

<file path=customXml/itemProps2.xml><?xml version="1.0" encoding="utf-8"?>
<ds:datastoreItem xmlns:ds="http://schemas.openxmlformats.org/officeDocument/2006/customXml" ds:itemID="{3CAF087D-1FB2-4E5F-860D-0DD03C1F14A5}"/>
</file>

<file path=customXml/itemProps3.xml><?xml version="1.0" encoding="utf-8"?>
<ds:datastoreItem xmlns:ds="http://schemas.openxmlformats.org/officeDocument/2006/customXml" ds:itemID="{4D4B1A3F-A5B9-4667-83C5-EA99F1BB3669}"/>
</file>

<file path=docProps/app.xml><?xml version="1.0" encoding="utf-8"?>
<Properties xmlns="http://schemas.openxmlformats.org/officeDocument/2006/extended-properties" xmlns:vt="http://schemas.openxmlformats.org/officeDocument/2006/docPropsVTypes">
  <Template>Normal</Template>
  <TotalTime>85</TotalTime>
  <Pages>8</Pages>
  <Words>2449</Words>
  <Characters>13254</Characters>
  <Application>Microsoft Office Word</Application>
  <DocSecurity>0</DocSecurity>
  <Lines>200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dalal</dc:creator>
  <cp:lastModifiedBy>Mennatallah Bakr</cp:lastModifiedBy>
  <cp:revision>3</cp:revision>
  <dcterms:created xsi:type="dcterms:W3CDTF">2021-06-26T23:04:00Z</dcterms:created>
  <dcterms:modified xsi:type="dcterms:W3CDTF">2021-06-30T04:42:00Z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