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1F3" w:rsidRDefault="00DC2212">
      <w:pPr>
        <w:rPr>
          <w:b/>
          <w:sz w:val="32"/>
        </w:rPr>
      </w:pPr>
      <w:r>
        <w:rPr>
          <w:b/>
          <w:sz w:val="32"/>
        </w:rPr>
        <w:t>Presentación Comité Derechos del Niño</w:t>
      </w:r>
    </w:p>
    <w:p w:rsidR="00EA31F3" w:rsidRPr="00DC2212" w:rsidRDefault="009C2E88">
      <w:pPr>
        <w:rPr>
          <w:b/>
          <w:sz w:val="28"/>
        </w:rPr>
      </w:pPr>
      <w:r w:rsidRPr="00DC2212">
        <w:rPr>
          <w:b/>
          <w:sz w:val="28"/>
        </w:rPr>
        <w:t xml:space="preserve">Día de debate general: "Derechos del niño y cuidados alternativos" </w:t>
      </w:r>
    </w:p>
    <w:p w:rsidR="00834203" w:rsidRPr="00AD61B7" w:rsidRDefault="009C2E88">
      <w:pPr>
        <w:rPr>
          <w:b/>
          <w:sz w:val="24"/>
        </w:rPr>
      </w:pPr>
      <w:r w:rsidRPr="00AD61B7">
        <w:rPr>
          <w:b/>
          <w:sz w:val="24"/>
        </w:rPr>
        <w:t>16-17 de septiembre de 2021</w:t>
      </w:r>
    </w:p>
    <w:p w:rsidR="001E6AD9" w:rsidRDefault="001E6AD9" w:rsidP="001E6AD9"/>
    <w:p w:rsidR="00532F5B" w:rsidRDefault="00EA31F3" w:rsidP="00FA32A3">
      <w:pPr>
        <w:spacing w:line="360" w:lineRule="auto"/>
        <w:jc w:val="both"/>
        <w:rPr>
          <w:rFonts w:ascii="Arial" w:hAnsi="Arial" w:cs="Arial"/>
          <w:sz w:val="24"/>
          <w:szCs w:val="24"/>
        </w:rPr>
      </w:pPr>
      <w:r>
        <w:rPr>
          <w:rFonts w:ascii="Arial" w:hAnsi="Arial" w:cs="Arial"/>
          <w:sz w:val="24"/>
          <w:szCs w:val="24"/>
        </w:rPr>
        <w:t>A lo largo de la historia</w:t>
      </w:r>
      <w:r w:rsidR="001E6AD9" w:rsidRPr="00CC0822">
        <w:rPr>
          <w:rFonts w:ascii="Arial" w:hAnsi="Arial" w:cs="Arial"/>
          <w:sz w:val="24"/>
          <w:szCs w:val="24"/>
        </w:rPr>
        <w:t xml:space="preserve">, desde la vida cooperativa de los </w:t>
      </w:r>
      <w:r w:rsidR="001E6AD9" w:rsidRPr="00CC0822">
        <w:rPr>
          <w:rFonts w:ascii="Arial" w:hAnsi="Arial" w:cs="Arial"/>
          <w:i/>
          <w:sz w:val="24"/>
          <w:szCs w:val="24"/>
        </w:rPr>
        <w:t>ayllus</w:t>
      </w:r>
      <w:r w:rsidR="00AB3C35" w:rsidRPr="00CC0822">
        <w:rPr>
          <w:rStyle w:val="Refdenotaalpie"/>
          <w:rFonts w:ascii="Arial" w:hAnsi="Arial" w:cs="Arial"/>
          <w:i/>
          <w:sz w:val="24"/>
          <w:szCs w:val="24"/>
        </w:rPr>
        <w:footnoteReference w:id="1"/>
      </w:r>
      <w:r w:rsidR="001E6AD9" w:rsidRPr="00CC0822">
        <w:rPr>
          <w:rFonts w:ascii="Arial" w:hAnsi="Arial" w:cs="Arial"/>
          <w:sz w:val="24"/>
          <w:szCs w:val="24"/>
        </w:rPr>
        <w:t xml:space="preserve"> y otras comunidades, </w:t>
      </w:r>
      <w:r w:rsidR="00FE447F" w:rsidRPr="00CC0822">
        <w:rPr>
          <w:rFonts w:ascii="Arial" w:hAnsi="Arial" w:cs="Arial"/>
          <w:sz w:val="24"/>
          <w:szCs w:val="24"/>
        </w:rPr>
        <w:t>los</w:t>
      </w:r>
      <w:r w:rsidR="001E6AD9" w:rsidRPr="00CC0822">
        <w:rPr>
          <w:rFonts w:ascii="Arial" w:hAnsi="Arial" w:cs="Arial"/>
          <w:sz w:val="24"/>
          <w:szCs w:val="24"/>
        </w:rPr>
        <w:t xml:space="preserve"> pueblos </w:t>
      </w:r>
      <w:r>
        <w:rPr>
          <w:rFonts w:ascii="Arial" w:hAnsi="Arial" w:cs="Arial"/>
          <w:sz w:val="24"/>
          <w:szCs w:val="24"/>
        </w:rPr>
        <w:t xml:space="preserve">nuestroamericanos </w:t>
      </w:r>
      <w:r w:rsidR="00FE447F" w:rsidRPr="00CC0822">
        <w:rPr>
          <w:rFonts w:ascii="Arial" w:hAnsi="Arial" w:cs="Arial"/>
          <w:sz w:val="24"/>
          <w:szCs w:val="24"/>
        </w:rPr>
        <w:t>han desarrollado</w:t>
      </w:r>
      <w:r w:rsidR="001E6AD9" w:rsidRPr="00CC0822">
        <w:rPr>
          <w:rFonts w:ascii="Arial" w:hAnsi="Arial" w:cs="Arial"/>
          <w:sz w:val="24"/>
          <w:szCs w:val="24"/>
        </w:rPr>
        <w:t xml:space="preserve"> formas de vida que buscaron asegurar el bienestar de todos sus integrantes. </w:t>
      </w:r>
      <w:r w:rsidR="00FE447F" w:rsidRPr="00CC0822">
        <w:rPr>
          <w:rFonts w:ascii="Arial" w:hAnsi="Arial" w:cs="Arial"/>
          <w:sz w:val="24"/>
          <w:szCs w:val="24"/>
        </w:rPr>
        <w:t>La</w:t>
      </w:r>
      <w:r w:rsidR="001E6AD9" w:rsidRPr="00CC0822">
        <w:rPr>
          <w:rFonts w:ascii="Arial" w:hAnsi="Arial" w:cs="Arial"/>
          <w:sz w:val="24"/>
          <w:szCs w:val="24"/>
        </w:rPr>
        <w:t xml:space="preserve"> tradición comunitaria del cuidado es previa a las for</w:t>
      </w:r>
      <w:r w:rsidR="00FE447F" w:rsidRPr="00CC0822">
        <w:rPr>
          <w:rFonts w:ascii="Arial" w:hAnsi="Arial" w:cs="Arial"/>
          <w:sz w:val="24"/>
          <w:szCs w:val="24"/>
        </w:rPr>
        <w:t>mas organizativas que luego tomaron los Estados modernos</w:t>
      </w:r>
      <w:r>
        <w:rPr>
          <w:rFonts w:ascii="Arial" w:hAnsi="Arial" w:cs="Arial"/>
          <w:sz w:val="24"/>
          <w:szCs w:val="24"/>
        </w:rPr>
        <w:t xml:space="preserve"> del continente</w:t>
      </w:r>
      <w:r w:rsidR="00FE447F" w:rsidRPr="00CC0822">
        <w:rPr>
          <w:rFonts w:ascii="Arial" w:hAnsi="Arial" w:cs="Arial"/>
          <w:sz w:val="24"/>
          <w:szCs w:val="24"/>
        </w:rPr>
        <w:t xml:space="preserve">, </w:t>
      </w:r>
      <w:r>
        <w:rPr>
          <w:rFonts w:ascii="Arial" w:hAnsi="Arial" w:cs="Arial"/>
          <w:sz w:val="24"/>
          <w:szCs w:val="24"/>
        </w:rPr>
        <w:t>configurados en el escenario de un capitalismo emergente</w:t>
      </w:r>
      <w:r w:rsidR="005119D1">
        <w:rPr>
          <w:rFonts w:ascii="Arial" w:hAnsi="Arial" w:cs="Arial"/>
          <w:sz w:val="24"/>
          <w:szCs w:val="24"/>
        </w:rPr>
        <w:t xml:space="preserve"> </w:t>
      </w:r>
      <w:r w:rsidR="00FE447F" w:rsidRPr="00CC0822">
        <w:rPr>
          <w:rFonts w:ascii="Arial" w:hAnsi="Arial" w:cs="Arial"/>
          <w:sz w:val="24"/>
          <w:szCs w:val="24"/>
        </w:rPr>
        <w:t>lejos de aqu</w:t>
      </w:r>
      <w:r>
        <w:rPr>
          <w:rFonts w:ascii="Arial" w:hAnsi="Arial" w:cs="Arial"/>
          <w:sz w:val="24"/>
          <w:szCs w:val="24"/>
        </w:rPr>
        <w:t>e</w:t>
      </w:r>
      <w:r w:rsidR="00FE447F" w:rsidRPr="00CC0822">
        <w:rPr>
          <w:rFonts w:ascii="Arial" w:hAnsi="Arial" w:cs="Arial"/>
          <w:sz w:val="24"/>
          <w:szCs w:val="24"/>
        </w:rPr>
        <w:t xml:space="preserve">l espíritu comunal. Por esta razón, a lo largo de la historia, las comunidades buscaron dejar marcas en </w:t>
      </w:r>
      <w:r>
        <w:rPr>
          <w:rFonts w:ascii="Arial" w:hAnsi="Arial" w:cs="Arial"/>
          <w:sz w:val="24"/>
          <w:szCs w:val="24"/>
        </w:rPr>
        <w:t>las instituciones</w:t>
      </w:r>
      <w:r w:rsidR="00FE447F" w:rsidRPr="00CC0822">
        <w:rPr>
          <w:rFonts w:ascii="Arial" w:hAnsi="Arial" w:cs="Arial"/>
          <w:sz w:val="24"/>
          <w:szCs w:val="24"/>
        </w:rPr>
        <w:t>, para que, finalmen</w:t>
      </w:r>
      <w:r w:rsidR="005119D1">
        <w:rPr>
          <w:rFonts w:ascii="Arial" w:hAnsi="Arial" w:cs="Arial"/>
          <w:sz w:val="24"/>
          <w:szCs w:val="24"/>
        </w:rPr>
        <w:t>te, los Estados se les parezcan</w:t>
      </w:r>
      <w:r w:rsidR="00FE447F" w:rsidRPr="00CC0822">
        <w:rPr>
          <w:rFonts w:ascii="Arial" w:hAnsi="Arial" w:cs="Arial"/>
          <w:sz w:val="24"/>
          <w:szCs w:val="24"/>
        </w:rPr>
        <w:t>.</w:t>
      </w:r>
      <w:r w:rsidR="003E520A" w:rsidRPr="00CC0822">
        <w:rPr>
          <w:rFonts w:ascii="Arial" w:hAnsi="Arial" w:cs="Arial"/>
          <w:sz w:val="24"/>
          <w:szCs w:val="24"/>
        </w:rPr>
        <w:t xml:space="preserve"> </w:t>
      </w:r>
    </w:p>
    <w:p w:rsidR="00771DCB" w:rsidRPr="00CC0822" w:rsidRDefault="003B0901" w:rsidP="00FA32A3">
      <w:pPr>
        <w:spacing w:line="360" w:lineRule="auto"/>
        <w:jc w:val="both"/>
        <w:rPr>
          <w:rFonts w:ascii="Arial" w:hAnsi="Arial" w:cs="Arial"/>
          <w:sz w:val="24"/>
          <w:szCs w:val="24"/>
        </w:rPr>
      </w:pPr>
      <w:r w:rsidRPr="00CC0822">
        <w:rPr>
          <w:rFonts w:ascii="Arial" w:hAnsi="Arial" w:cs="Arial"/>
          <w:sz w:val="24"/>
          <w:szCs w:val="24"/>
        </w:rPr>
        <w:t>Ser niño no es un hecho natural. Contar con pocos años, sí. Las edades tempranas son un hecho de la biología, ser niño/a o adolescente es un hecho cultural. Para que se constituyan niñas, niños y adolescentes, tienen que reunirse, en un mismo escenario, personas de edades tempranas y personas adultas. Pero esto tampoco alcanza: esas personas tienen que estar, además, ligadas por vínculos profundos, de reconocimiento mutuo. Esas relaciones afectivas abrigan y dan nombre. La función primordial de la estirpe es dar la bienvenida a los/as nuevos/as integrantes, celebrar su existencia cada año. Ese medio familiar - comunitario dibuja, pacientemente, un nido</w:t>
      </w:r>
      <w:r w:rsidR="00474954">
        <w:rPr>
          <w:rFonts w:ascii="Arial" w:hAnsi="Arial" w:cs="Arial"/>
          <w:sz w:val="24"/>
          <w:szCs w:val="24"/>
        </w:rPr>
        <w:t>, lo que da inicio a la tarea que hoy conocemos como cuidado.</w:t>
      </w:r>
    </w:p>
    <w:p w:rsidR="00100441" w:rsidRPr="00CC0822" w:rsidRDefault="00FD4284" w:rsidP="00FA32A3">
      <w:pPr>
        <w:spacing w:line="360" w:lineRule="auto"/>
        <w:jc w:val="both"/>
        <w:rPr>
          <w:rFonts w:ascii="Arial" w:hAnsi="Arial" w:cs="Arial"/>
          <w:sz w:val="24"/>
          <w:szCs w:val="24"/>
        </w:rPr>
      </w:pPr>
      <w:r w:rsidRPr="00CC0822">
        <w:rPr>
          <w:rFonts w:ascii="Arial" w:hAnsi="Arial" w:cs="Arial"/>
          <w:sz w:val="24"/>
          <w:szCs w:val="24"/>
        </w:rPr>
        <w:t xml:space="preserve">En la historia </w:t>
      </w:r>
      <w:r w:rsidR="00CD7E79">
        <w:rPr>
          <w:rFonts w:ascii="Arial" w:hAnsi="Arial" w:cs="Arial"/>
          <w:sz w:val="24"/>
          <w:szCs w:val="24"/>
        </w:rPr>
        <w:t>argentina</w:t>
      </w:r>
      <w:r w:rsidRPr="00CC0822">
        <w:rPr>
          <w:rFonts w:ascii="Arial" w:hAnsi="Arial" w:cs="Arial"/>
          <w:sz w:val="24"/>
          <w:szCs w:val="24"/>
        </w:rPr>
        <w:t xml:space="preserve">, así como en la de otros países a América Latina, hubo </w:t>
      </w:r>
      <w:r w:rsidR="000E06B2">
        <w:rPr>
          <w:rFonts w:ascii="Arial" w:hAnsi="Arial" w:cs="Arial"/>
          <w:sz w:val="24"/>
          <w:szCs w:val="24"/>
        </w:rPr>
        <w:t>etapas</w:t>
      </w:r>
      <w:r w:rsidRPr="00CC0822">
        <w:rPr>
          <w:rFonts w:ascii="Arial" w:hAnsi="Arial" w:cs="Arial"/>
          <w:sz w:val="24"/>
          <w:szCs w:val="24"/>
        </w:rPr>
        <w:t xml:space="preserve"> en los que </w:t>
      </w:r>
      <w:r w:rsidR="002C41BA" w:rsidRPr="00CC0822">
        <w:rPr>
          <w:rFonts w:ascii="Arial" w:hAnsi="Arial" w:cs="Arial"/>
          <w:sz w:val="24"/>
          <w:szCs w:val="24"/>
        </w:rPr>
        <w:t xml:space="preserve">los </w:t>
      </w:r>
      <w:r w:rsidRPr="00CC0822">
        <w:rPr>
          <w:rFonts w:ascii="Arial" w:hAnsi="Arial" w:cs="Arial"/>
          <w:sz w:val="24"/>
          <w:szCs w:val="24"/>
        </w:rPr>
        <w:t>Estado</w:t>
      </w:r>
      <w:r w:rsidR="002C41BA" w:rsidRPr="00CC0822">
        <w:rPr>
          <w:rFonts w:ascii="Arial" w:hAnsi="Arial" w:cs="Arial"/>
          <w:sz w:val="24"/>
          <w:szCs w:val="24"/>
        </w:rPr>
        <w:t>s acompañaron</w:t>
      </w:r>
      <w:r w:rsidRPr="00CC0822">
        <w:rPr>
          <w:rFonts w:ascii="Arial" w:hAnsi="Arial" w:cs="Arial"/>
          <w:sz w:val="24"/>
          <w:szCs w:val="24"/>
        </w:rPr>
        <w:t xml:space="preserve"> el fortalecimiento de esos nidos. </w:t>
      </w:r>
      <w:r w:rsidR="00474954">
        <w:rPr>
          <w:rFonts w:ascii="Arial" w:hAnsi="Arial" w:cs="Arial"/>
          <w:sz w:val="24"/>
          <w:szCs w:val="24"/>
        </w:rPr>
        <w:t xml:space="preserve">En tiempos oscuros de nuestra historia, y en </w:t>
      </w:r>
      <w:r w:rsidR="00A33D80">
        <w:rPr>
          <w:rFonts w:ascii="Arial" w:hAnsi="Arial" w:cs="Arial"/>
          <w:sz w:val="24"/>
          <w:szCs w:val="24"/>
        </w:rPr>
        <w:t>los</w:t>
      </w:r>
      <w:r w:rsidR="00474954">
        <w:rPr>
          <w:rFonts w:ascii="Arial" w:hAnsi="Arial" w:cs="Arial"/>
          <w:sz w:val="24"/>
          <w:szCs w:val="24"/>
        </w:rPr>
        <w:t xml:space="preserve"> escenario</w:t>
      </w:r>
      <w:r w:rsidR="00A33D80">
        <w:rPr>
          <w:rFonts w:ascii="Arial" w:hAnsi="Arial" w:cs="Arial"/>
          <w:sz w:val="24"/>
          <w:szCs w:val="24"/>
        </w:rPr>
        <w:t>s</w:t>
      </w:r>
      <w:r w:rsidR="00474954">
        <w:rPr>
          <w:rFonts w:ascii="Arial" w:hAnsi="Arial" w:cs="Arial"/>
          <w:sz w:val="24"/>
          <w:szCs w:val="24"/>
        </w:rPr>
        <w:t xml:space="preserve"> de desigualdad</w:t>
      </w:r>
      <w:r w:rsidR="00A33D80">
        <w:rPr>
          <w:rFonts w:ascii="Arial" w:hAnsi="Arial" w:cs="Arial"/>
          <w:sz w:val="24"/>
          <w:szCs w:val="24"/>
        </w:rPr>
        <w:t xml:space="preserve"> que profundizó el neoliberalismo</w:t>
      </w:r>
      <w:r w:rsidR="00474954">
        <w:rPr>
          <w:rFonts w:ascii="Arial" w:hAnsi="Arial" w:cs="Arial"/>
          <w:sz w:val="24"/>
          <w:szCs w:val="24"/>
        </w:rPr>
        <w:t xml:space="preserve">, </w:t>
      </w:r>
      <w:proofErr w:type="gramStart"/>
      <w:r w:rsidR="00474954">
        <w:rPr>
          <w:rFonts w:ascii="Arial" w:hAnsi="Arial" w:cs="Arial"/>
          <w:sz w:val="24"/>
          <w:szCs w:val="24"/>
        </w:rPr>
        <w:t>lo</w:t>
      </w:r>
      <w:r w:rsidR="006E5F07" w:rsidRPr="00CC0822">
        <w:rPr>
          <w:rFonts w:ascii="Arial" w:hAnsi="Arial" w:cs="Arial"/>
          <w:sz w:val="24"/>
          <w:szCs w:val="24"/>
        </w:rPr>
        <w:t>s</w:t>
      </w:r>
      <w:r w:rsidRPr="00CC0822">
        <w:rPr>
          <w:rFonts w:ascii="Arial" w:hAnsi="Arial" w:cs="Arial"/>
          <w:sz w:val="24"/>
          <w:szCs w:val="24"/>
        </w:rPr>
        <w:t xml:space="preserve"> lazos </w:t>
      </w:r>
      <w:r w:rsidR="00474954">
        <w:rPr>
          <w:rFonts w:ascii="Arial" w:hAnsi="Arial" w:cs="Arial"/>
          <w:sz w:val="24"/>
          <w:szCs w:val="24"/>
        </w:rPr>
        <w:t>familiar</w:t>
      </w:r>
      <w:proofErr w:type="gramEnd"/>
      <w:r w:rsidR="00474954">
        <w:rPr>
          <w:rFonts w:ascii="Arial" w:hAnsi="Arial" w:cs="Arial"/>
          <w:sz w:val="24"/>
          <w:szCs w:val="24"/>
        </w:rPr>
        <w:t xml:space="preserve"> </w:t>
      </w:r>
      <w:r w:rsidR="00A33D80">
        <w:rPr>
          <w:rFonts w:ascii="Arial" w:hAnsi="Arial" w:cs="Arial"/>
          <w:sz w:val="24"/>
          <w:szCs w:val="24"/>
        </w:rPr>
        <w:t xml:space="preserve">- </w:t>
      </w:r>
      <w:r w:rsidR="00474954">
        <w:rPr>
          <w:rFonts w:ascii="Arial" w:hAnsi="Arial" w:cs="Arial"/>
          <w:sz w:val="24"/>
          <w:szCs w:val="24"/>
        </w:rPr>
        <w:t xml:space="preserve">comunitarios se debilitaron o rompieron. </w:t>
      </w:r>
      <w:r w:rsidR="00A33D80">
        <w:rPr>
          <w:rFonts w:ascii="Arial" w:hAnsi="Arial" w:cs="Arial"/>
          <w:sz w:val="24"/>
          <w:szCs w:val="24"/>
        </w:rPr>
        <w:t xml:space="preserve">En ese contexto, a </w:t>
      </w:r>
      <w:r w:rsidR="006E5F07" w:rsidRPr="00CC0822">
        <w:rPr>
          <w:rFonts w:ascii="Arial" w:hAnsi="Arial" w:cs="Arial"/>
          <w:sz w:val="24"/>
          <w:szCs w:val="24"/>
        </w:rPr>
        <w:t xml:space="preserve">comienzos de la década del 80, </w:t>
      </w:r>
      <w:r w:rsidR="00A33D80">
        <w:rPr>
          <w:rFonts w:ascii="Arial" w:hAnsi="Arial" w:cs="Arial"/>
          <w:sz w:val="24"/>
          <w:szCs w:val="24"/>
        </w:rPr>
        <w:t xml:space="preserve">en </w:t>
      </w:r>
      <w:r w:rsidR="006E5F07" w:rsidRPr="00CC0822">
        <w:rPr>
          <w:rFonts w:ascii="Arial" w:hAnsi="Arial" w:cs="Arial"/>
          <w:sz w:val="24"/>
          <w:szCs w:val="24"/>
        </w:rPr>
        <w:t xml:space="preserve">la ciudad de Buenos Aires, </w:t>
      </w:r>
      <w:r w:rsidR="008368F1">
        <w:rPr>
          <w:rFonts w:ascii="Arial" w:hAnsi="Arial" w:cs="Arial"/>
          <w:sz w:val="24"/>
          <w:szCs w:val="24"/>
        </w:rPr>
        <w:t>como</w:t>
      </w:r>
      <w:r w:rsidR="006E5F07" w:rsidRPr="00CC0822">
        <w:rPr>
          <w:rFonts w:ascii="Arial" w:hAnsi="Arial" w:cs="Arial"/>
          <w:sz w:val="24"/>
          <w:szCs w:val="24"/>
        </w:rPr>
        <w:t xml:space="preserve"> otras grandes ciudades del país y del continente, </w:t>
      </w:r>
      <w:r w:rsidR="00A33D80">
        <w:rPr>
          <w:rFonts w:ascii="Arial" w:hAnsi="Arial" w:cs="Arial"/>
          <w:sz w:val="24"/>
          <w:szCs w:val="24"/>
        </w:rPr>
        <w:t>se producía e</w:t>
      </w:r>
      <w:r w:rsidR="006E5F07" w:rsidRPr="00CC0822">
        <w:rPr>
          <w:rFonts w:ascii="Arial" w:hAnsi="Arial" w:cs="Arial"/>
          <w:sz w:val="24"/>
          <w:szCs w:val="24"/>
        </w:rPr>
        <w:t xml:space="preserve">l fenómeno de los “chicos de la calle”. </w:t>
      </w:r>
      <w:r w:rsidR="00A33D80">
        <w:rPr>
          <w:rFonts w:ascii="Arial" w:hAnsi="Arial" w:cs="Arial"/>
          <w:sz w:val="24"/>
          <w:szCs w:val="24"/>
        </w:rPr>
        <w:t xml:space="preserve">Como </w:t>
      </w:r>
      <w:r w:rsidR="00100441" w:rsidRPr="00CC0822">
        <w:rPr>
          <w:rFonts w:ascii="Arial" w:hAnsi="Arial" w:cs="Arial"/>
          <w:sz w:val="24"/>
          <w:szCs w:val="24"/>
        </w:rPr>
        <w:t xml:space="preserve">consecuencia </w:t>
      </w:r>
      <w:r w:rsidR="00A33D80">
        <w:rPr>
          <w:rFonts w:ascii="Arial" w:hAnsi="Arial" w:cs="Arial"/>
          <w:sz w:val="24"/>
          <w:szCs w:val="24"/>
        </w:rPr>
        <w:t>del</w:t>
      </w:r>
      <w:r w:rsidR="006E5F07" w:rsidRPr="00CC0822">
        <w:rPr>
          <w:rFonts w:ascii="Arial" w:hAnsi="Arial" w:cs="Arial"/>
          <w:sz w:val="24"/>
          <w:szCs w:val="24"/>
        </w:rPr>
        <w:t xml:space="preserve"> plan económico </w:t>
      </w:r>
      <w:r w:rsidR="008368F1">
        <w:rPr>
          <w:rFonts w:ascii="Arial" w:hAnsi="Arial" w:cs="Arial"/>
          <w:sz w:val="24"/>
          <w:szCs w:val="24"/>
        </w:rPr>
        <w:t>de</w:t>
      </w:r>
      <w:r w:rsidR="006E5F07" w:rsidRPr="00CC0822">
        <w:rPr>
          <w:rFonts w:ascii="Arial" w:hAnsi="Arial" w:cs="Arial"/>
          <w:sz w:val="24"/>
          <w:szCs w:val="24"/>
        </w:rPr>
        <w:t xml:space="preserve"> la</w:t>
      </w:r>
      <w:r w:rsidR="00A33D80">
        <w:rPr>
          <w:rFonts w:ascii="Arial" w:hAnsi="Arial" w:cs="Arial"/>
          <w:sz w:val="24"/>
          <w:szCs w:val="24"/>
        </w:rPr>
        <w:t xml:space="preserve"> dictadura cívico militar del período 1976 - 1983</w:t>
      </w:r>
      <w:r w:rsidR="006E5F07" w:rsidRPr="00CC0822">
        <w:rPr>
          <w:rFonts w:ascii="Arial" w:hAnsi="Arial" w:cs="Arial"/>
          <w:sz w:val="24"/>
          <w:szCs w:val="24"/>
        </w:rPr>
        <w:t xml:space="preserve">, </w:t>
      </w:r>
      <w:r w:rsidR="00A33D80">
        <w:rPr>
          <w:rFonts w:ascii="Arial" w:hAnsi="Arial" w:cs="Arial"/>
          <w:sz w:val="24"/>
          <w:szCs w:val="24"/>
        </w:rPr>
        <w:t xml:space="preserve">miles de </w:t>
      </w:r>
      <w:r w:rsidR="00A33D80">
        <w:rPr>
          <w:rFonts w:ascii="Arial" w:hAnsi="Arial" w:cs="Arial"/>
          <w:sz w:val="24"/>
          <w:szCs w:val="24"/>
        </w:rPr>
        <w:lastRenderedPageBreak/>
        <w:t xml:space="preserve">familias </w:t>
      </w:r>
      <w:r w:rsidR="006E5F07" w:rsidRPr="00CC0822">
        <w:rPr>
          <w:rFonts w:ascii="Arial" w:hAnsi="Arial" w:cs="Arial"/>
          <w:sz w:val="24"/>
          <w:szCs w:val="24"/>
        </w:rPr>
        <w:t xml:space="preserve">dependían de las estrategias de supervivencia que </w:t>
      </w:r>
      <w:r w:rsidR="00AB3C35" w:rsidRPr="00CC0822">
        <w:rPr>
          <w:rFonts w:ascii="Arial" w:hAnsi="Arial" w:cs="Arial"/>
          <w:sz w:val="24"/>
          <w:szCs w:val="24"/>
        </w:rPr>
        <w:t>sus hijos/as</w:t>
      </w:r>
      <w:r w:rsidR="006E5F07" w:rsidRPr="00CC0822">
        <w:rPr>
          <w:rFonts w:ascii="Arial" w:hAnsi="Arial" w:cs="Arial"/>
          <w:sz w:val="24"/>
          <w:szCs w:val="24"/>
        </w:rPr>
        <w:t xml:space="preserve"> pudieran desplegar durante el día. Las estaciones </w:t>
      </w:r>
      <w:r w:rsidR="00A33D80">
        <w:rPr>
          <w:rFonts w:ascii="Arial" w:hAnsi="Arial" w:cs="Arial"/>
          <w:sz w:val="24"/>
          <w:szCs w:val="24"/>
        </w:rPr>
        <w:t>ferroviarias de</w:t>
      </w:r>
      <w:r w:rsidR="006E5F07" w:rsidRPr="00CC0822">
        <w:rPr>
          <w:rFonts w:ascii="Arial" w:hAnsi="Arial" w:cs="Arial"/>
          <w:sz w:val="24"/>
          <w:szCs w:val="24"/>
        </w:rPr>
        <w:t xml:space="preserve"> Retiro, Once y Constitución, hasta entonces lugares de paso, eran elegidas por los chicos para “ranchear”</w:t>
      </w:r>
      <w:r w:rsidR="00AB3C35" w:rsidRPr="00CC0822">
        <w:rPr>
          <w:rStyle w:val="Refdenotaalpie"/>
          <w:rFonts w:ascii="Arial" w:hAnsi="Arial" w:cs="Arial"/>
          <w:sz w:val="24"/>
          <w:szCs w:val="24"/>
        </w:rPr>
        <w:footnoteReference w:id="2"/>
      </w:r>
      <w:r w:rsidR="006E5F07" w:rsidRPr="00CC0822">
        <w:rPr>
          <w:rFonts w:ascii="Arial" w:hAnsi="Arial" w:cs="Arial"/>
          <w:sz w:val="24"/>
          <w:szCs w:val="24"/>
        </w:rPr>
        <w:t xml:space="preserve">. Ante esta situación, personas anónimas que no sabían nada unas de otras buscaron una salida, acompañadas por un clima democrático que traía estas prácticas nuevamente a la </w:t>
      </w:r>
      <w:r w:rsidR="006C586D" w:rsidRPr="00CC0822">
        <w:rPr>
          <w:rFonts w:ascii="Arial" w:hAnsi="Arial" w:cs="Arial"/>
          <w:sz w:val="24"/>
          <w:szCs w:val="24"/>
        </w:rPr>
        <w:t xml:space="preserve">superficie. Frente a la ausencia de cuidados parentales, las respuestas fueron </w:t>
      </w:r>
      <w:r w:rsidR="00100441" w:rsidRPr="00CC0822">
        <w:rPr>
          <w:rFonts w:ascii="Arial" w:hAnsi="Arial" w:cs="Arial"/>
          <w:sz w:val="24"/>
          <w:szCs w:val="24"/>
        </w:rPr>
        <w:t xml:space="preserve">las </w:t>
      </w:r>
      <w:r w:rsidR="006C586D" w:rsidRPr="00CC0822">
        <w:rPr>
          <w:rFonts w:ascii="Arial" w:hAnsi="Arial" w:cs="Arial"/>
          <w:sz w:val="24"/>
          <w:szCs w:val="24"/>
        </w:rPr>
        <w:t xml:space="preserve">convivencias comunitarias, las únicas capaces de poner el cuerpo desde la ternura. “Queremos vivir con vos”, le dijeron los pibes de la ranchada de la Facultad de Derecho a Alberto </w:t>
      </w:r>
      <w:proofErr w:type="spellStart"/>
      <w:r w:rsidR="006C586D" w:rsidRPr="00CC0822">
        <w:rPr>
          <w:rFonts w:ascii="Arial" w:hAnsi="Arial" w:cs="Arial"/>
          <w:sz w:val="24"/>
          <w:szCs w:val="24"/>
        </w:rPr>
        <w:t>Morlachetti</w:t>
      </w:r>
      <w:proofErr w:type="spellEnd"/>
      <w:r w:rsidR="006C586D" w:rsidRPr="00CC0822">
        <w:rPr>
          <w:rFonts w:ascii="Arial" w:hAnsi="Arial" w:cs="Arial"/>
          <w:sz w:val="24"/>
          <w:szCs w:val="24"/>
        </w:rPr>
        <w:t xml:space="preserve">. Lo mismo le dijeron un grupo de pibes al cura Carlos </w:t>
      </w:r>
      <w:proofErr w:type="spellStart"/>
      <w:r w:rsidR="006C586D" w:rsidRPr="00CC0822">
        <w:rPr>
          <w:rFonts w:ascii="Arial" w:hAnsi="Arial" w:cs="Arial"/>
          <w:sz w:val="24"/>
          <w:szCs w:val="24"/>
        </w:rPr>
        <w:t>Cajade</w:t>
      </w:r>
      <w:proofErr w:type="spellEnd"/>
      <w:r w:rsidR="006C586D" w:rsidRPr="00CC0822">
        <w:rPr>
          <w:rFonts w:ascii="Arial" w:hAnsi="Arial" w:cs="Arial"/>
          <w:sz w:val="24"/>
          <w:szCs w:val="24"/>
        </w:rPr>
        <w:t xml:space="preserve"> </w:t>
      </w:r>
      <w:r w:rsidR="002E6F4F">
        <w:rPr>
          <w:rFonts w:ascii="Arial" w:hAnsi="Arial" w:cs="Arial"/>
          <w:sz w:val="24"/>
          <w:szCs w:val="24"/>
        </w:rPr>
        <w:t xml:space="preserve">en </w:t>
      </w:r>
      <w:r w:rsidR="006C586D" w:rsidRPr="00CC0822">
        <w:rPr>
          <w:rFonts w:ascii="Arial" w:hAnsi="Arial" w:cs="Arial"/>
          <w:sz w:val="24"/>
          <w:szCs w:val="24"/>
        </w:rPr>
        <w:t xml:space="preserve">una Nochebuena. Enrique </w:t>
      </w:r>
      <w:proofErr w:type="spellStart"/>
      <w:r w:rsidR="006C586D" w:rsidRPr="00CC0822">
        <w:rPr>
          <w:rFonts w:ascii="Arial" w:hAnsi="Arial" w:cs="Arial"/>
          <w:sz w:val="24"/>
          <w:szCs w:val="24"/>
        </w:rPr>
        <w:t>Spinetta</w:t>
      </w:r>
      <w:proofErr w:type="spellEnd"/>
      <w:r w:rsidR="006C586D" w:rsidRPr="00CC0822">
        <w:rPr>
          <w:rFonts w:ascii="Arial" w:hAnsi="Arial" w:cs="Arial"/>
          <w:sz w:val="24"/>
          <w:szCs w:val="24"/>
        </w:rPr>
        <w:t xml:space="preserve"> en Berazategui, Susana Gómez en La Plata, Teresa Rodas y </w:t>
      </w:r>
      <w:proofErr w:type="spellStart"/>
      <w:r w:rsidR="006C586D" w:rsidRPr="00CC0822">
        <w:rPr>
          <w:rFonts w:ascii="Arial" w:hAnsi="Arial" w:cs="Arial"/>
          <w:sz w:val="24"/>
          <w:szCs w:val="24"/>
        </w:rPr>
        <w:t>Elvio</w:t>
      </w:r>
      <w:proofErr w:type="spellEnd"/>
      <w:r w:rsidR="006C586D" w:rsidRPr="00CC0822">
        <w:rPr>
          <w:rFonts w:ascii="Arial" w:hAnsi="Arial" w:cs="Arial"/>
          <w:sz w:val="24"/>
          <w:szCs w:val="24"/>
        </w:rPr>
        <w:t xml:space="preserve"> </w:t>
      </w:r>
      <w:proofErr w:type="spellStart"/>
      <w:r w:rsidR="006C586D" w:rsidRPr="00CC0822">
        <w:rPr>
          <w:rFonts w:ascii="Arial" w:hAnsi="Arial" w:cs="Arial"/>
          <w:sz w:val="24"/>
          <w:szCs w:val="24"/>
        </w:rPr>
        <w:t>Mettone</w:t>
      </w:r>
      <w:proofErr w:type="spellEnd"/>
      <w:r w:rsidR="006C586D" w:rsidRPr="00CC0822">
        <w:rPr>
          <w:rFonts w:ascii="Arial" w:hAnsi="Arial" w:cs="Arial"/>
          <w:sz w:val="24"/>
          <w:szCs w:val="24"/>
        </w:rPr>
        <w:t xml:space="preserve"> en Moreno, Ana y Juan von Engels en Villa Ballester, sin saber unos de otros, se enfrentaron al mismo desafío: viv</w:t>
      </w:r>
      <w:r w:rsidR="0093477B" w:rsidRPr="00CC0822">
        <w:rPr>
          <w:rFonts w:ascii="Arial" w:hAnsi="Arial" w:cs="Arial"/>
          <w:sz w:val="24"/>
          <w:szCs w:val="24"/>
        </w:rPr>
        <w:t>ir juntos en la noche del mundo</w:t>
      </w:r>
      <w:r w:rsidR="006C586D" w:rsidRPr="00CC0822">
        <w:rPr>
          <w:rFonts w:ascii="Arial" w:hAnsi="Arial" w:cs="Arial"/>
          <w:sz w:val="24"/>
          <w:szCs w:val="24"/>
        </w:rPr>
        <w:t>.</w:t>
      </w:r>
      <w:r w:rsidR="009C53B3" w:rsidRPr="00CC0822">
        <w:rPr>
          <w:rFonts w:ascii="Arial" w:hAnsi="Arial" w:cs="Arial"/>
          <w:sz w:val="24"/>
          <w:szCs w:val="24"/>
        </w:rPr>
        <w:t xml:space="preserve"> </w:t>
      </w:r>
    </w:p>
    <w:p w:rsidR="003A71EB" w:rsidRPr="00CC0822" w:rsidRDefault="00A33D80" w:rsidP="00FA32A3">
      <w:pPr>
        <w:spacing w:line="360" w:lineRule="auto"/>
        <w:jc w:val="both"/>
        <w:rPr>
          <w:rFonts w:ascii="Arial" w:hAnsi="Arial" w:cs="Arial"/>
          <w:sz w:val="24"/>
          <w:szCs w:val="24"/>
        </w:rPr>
      </w:pPr>
      <w:r>
        <w:rPr>
          <w:rFonts w:ascii="Arial" w:hAnsi="Arial" w:cs="Arial"/>
          <w:sz w:val="24"/>
          <w:szCs w:val="24"/>
        </w:rPr>
        <w:t>Estas</w:t>
      </w:r>
      <w:r w:rsidR="009C53B3" w:rsidRPr="00CC0822">
        <w:rPr>
          <w:rFonts w:ascii="Arial" w:hAnsi="Arial" w:cs="Arial"/>
          <w:sz w:val="24"/>
          <w:szCs w:val="24"/>
        </w:rPr>
        <w:t xml:space="preserve"> casas nacidas al calor de la democracia se convirtieron en referencia en materia de convivencia alternativa. No fueron una propuesta para crecer “fuera de casa”, sino que ampliaron un hábitat familiar-comunitario. </w:t>
      </w:r>
      <w:r>
        <w:rPr>
          <w:rFonts w:ascii="Arial" w:hAnsi="Arial" w:cs="Arial"/>
          <w:sz w:val="24"/>
          <w:szCs w:val="24"/>
        </w:rPr>
        <w:t>Se fundan entonces el</w:t>
      </w:r>
      <w:r w:rsidR="009C53B3" w:rsidRPr="00CC0822">
        <w:rPr>
          <w:rFonts w:ascii="Arial" w:hAnsi="Arial" w:cs="Arial"/>
          <w:sz w:val="24"/>
          <w:szCs w:val="24"/>
        </w:rPr>
        <w:t xml:space="preserve"> hogar Pelota de Trapo</w:t>
      </w:r>
      <w:r w:rsidR="00D64AB6" w:rsidRPr="00CC0822">
        <w:rPr>
          <w:rFonts w:ascii="Arial" w:hAnsi="Arial" w:cs="Arial"/>
          <w:sz w:val="24"/>
          <w:szCs w:val="24"/>
        </w:rPr>
        <w:t xml:space="preserve"> en</w:t>
      </w:r>
      <w:r w:rsidR="009C53B3" w:rsidRPr="00CC0822">
        <w:rPr>
          <w:rFonts w:ascii="Arial" w:hAnsi="Arial" w:cs="Arial"/>
          <w:sz w:val="24"/>
          <w:szCs w:val="24"/>
        </w:rPr>
        <w:t xml:space="preserve"> Avellaneda, el hogar Lugar del Sol en Berazategui, </w:t>
      </w:r>
      <w:r w:rsidR="00D64AB6" w:rsidRPr="00CC0822">
        <w:rPr>
          <w:rFonts w:ascii="Arial" w:hAnsi="Arial" w:cs="Arial"/>
          <w:sz w:val="24"/>
          <w:szCs w:val="24"/>
        </w:rPr>
        <w:t xml:space="preserve">nace </w:t>
      </w:r>
      <w:r w:rsidR="009C53B3" w:rsidRPr="00CC0822">
        <w:rPr>
          <w:rFonts w:ascii="Arial" w:hAnsi="Arial" w:cs="Arial"/>
          <w:sz w:val="24"/>
          <w:szCs w:val="24"/>
        </w:rPr>
        <w:t xml:space="preserve">La Casa de Teresa y La Casita del padre </w:t>
      </w:r>
      <w:proofErr w:type="spellStart"/>
      <w:r w:rsidR="009C53B3" w:rsidRPr="00CC0822">
        <w:rPr>
          <w:rFonts w:ascii="Arial" w:hAnsi="Arial" w:cs="Arial"/>
          <w:sz w:val="24"/>
          <w:szCs w:val="24"/>
        </w:rPr>
        <w:t>Elvio</w:t>
      </w:r>
      <w:proofErr w:type="spellEnd"/>
      <w:r w:rsidR="009C53B3" w:rsidRPr="00CC0822">
        <w:rPr>
          <w:rFonts w:ascii="Arial" w:hAnsi="Arial" w:cs="Arial"/>
          <w:sz w:val="24"/>
          <w:szCs w:val="24"/>
        </w:rPr>
        <w:t xml:space="preserve"> en Moreno, el hogar MAMA de Ana y Juan von Eng</w:t>
      </w:r>
      <w:r w:rsidR="0093477B" w:rsidRPr="00CC0822">
        <w:rPr>
          <w:rFonts w:ascii="Arial" w:hAnsi="Arial" w:cs="Arial"/>
          <w:sz w:val="24"/>
          <w:szCs w:val="24"/>
        </w:rPr>
        <w:t xml:space="preserve">els en </w:t>
      </w:r>
      <w:r w:rsidR="00D64AB6" w:rsidRPr="00CC0822">
        <w:rPr>
          <w:rFonts w:ascii="Arial" w:hAnsi="Arial" w:cs="Arial"/>
          <w:sz w:val="24"/>
          <w:szCs w:val="24"/>
        </w:rPr>
        <w:t>San Martín</w:t>
      </w:r>
      <w:r>
        <w:rPr>
          <w:rFonts w:ascii="Arial" w:hAnsi="Arial" w:cs="Arial"/>
          <w:sz w:val="24"/>
          <w:szCs w:val="24"/>
        </w:rPr>
        <w:t xml:space="preserve">. En </w:t>
      </w:r>
      <w:r w:rsidR="00FF3983">
        <w:rPr>
          <w:rFonts w:ascii="Arial" w:hAnsi="Arial" w:cs="Arial"/>
          <w:sz w:val="24"/>
          <w:szCs w:val="24"/>
        </w:rPr>
        <w:t xml:space="preserve">la ciudad de </w:t>
      </w:r>
      <w:r>
        <w:rPr>
          <w:rFonts w:ascii="Arial" w:hAnsi="Arial" w:cs="Arial"/>
          <w:sz w:val="24"/>
          <w:szCs w:val="24"/>
        </w:rPr>
        <w:t>La Plata, e</w:t>
      </w:r>
      <w:r w:rsidR="0093477B" w:rsidRPr="00CC0822">
        <w:rPr>
          <w:rFonts w:ascii="Arial" w:hAnsi="Arial" w:cs="Arial"/>
          <w:sz w:val="24"/>
          <w:szCs w:val="24"/>
        </w:rPr>
        <w:t xml:space="preserve">l padre Carlos </w:t>
      </w:r>
      <w:proofErr w:type="spellStart"/>
      <w:r w:rsidR="0093477B" w:rsidRPr="00CC0822">
        <w:rPr>
          <w:rFonts w:ascii="Arial" w:hAnsi="Arial" w:cs="Arial"/>
          <w:sz w:val="24"/>
          <w:szCs w:val="24"/>
        </w:rPr>
        <w:t>Cajade</w:t>
      </w:r>
      <w:proofErr w:type="spellEnd"/>
      <w:r w:rsidR="0093477B" w:rsidRPr="00CC0822">
        <w:rPr>
          <w:rFonts w:ascii="Arial" w:hAnsi="Arial" w:cs="Arial"/>
          <w:sz w:val="24"/>
          <w:szCs w:val="24"/>
        </w:rPr>
        <w:t xml:space="preserve"> </w:t>
      </w:r>
      <w:r w:rsidR="00D64AB6" w:rsidRPr="00CC0822">
        <w:rPr>
          <w:rFonts w:ascii="Arial" w:hAnsi="Arial" w:cs="Arial"/>
          <w:sz w:val="24"/>
          <w:szCs w:val="24"/>
        </w:rPr>
        <w:t>abre</w:t>
      </w:r>
      <w:r w:rsidR="0093477B" w:rsidRPr="00CC0822">
        <w:rPr>
          <w:rFonts w:ascii="Arial" w:hAnsi="Arial" w:cs="Arial"/>
          <w:sz w:val="24"/>
          <w:szCs w:val="24"/>
        </w:rPr>
        <w:t xml:space="preserve"> las puertas d</w:t>
      </w:r>
      <w:r w:rsidR="009C53B3" w:rsidRPr="00CC0822">
        <w:rPr>
          <w:rFonts w:ascii="Arial" w:hAnsi="Arial" w:cs="Arial"/>
          <w:sz w:val="24"/>
          <w:szCs w:val="24"/>
        </w:rPr>
        <w:t>el Hogar d</w:t>
      </w:r>
      <w:r w:rsidR="0093477B" w:rsidRPr="00CC0822">
        <w:rPr>
          <w:rFonts w:ascii="Arial" w:hAnsi="Arial" w:cs="Arial"/>
          <w:sz w:val="24"/>
          <w:szCs w:val="24"/>
        </w:rPr>
        <w:t>e la Madre Tres Veces Admirable</w:t>
      </w:r>
      <w:r>
        <w:rPr>
          <w:rFonts w:ascii="Arial" w:hAnsi="Arial" w:cs="Arial"/>
          <w:sz w:val="24"/>
          <w:szCs w:val="24"/>
        </w:rPr>
        <w:t xml:space="preserve"> y Susana Gómez funda el hogar Pantalón Cortito</w:t>
      </w:r>
      <w:r w:rsidR="0093477B" w:rsidRPr="00CC0822">
        <w:rPr>
          <w:rFonts w:ascii="Arial" w:hAnsi="Arial" w:cs="Arial"/>
          <w:sz w:val="24"/>
          <w:szCs w:val="24"/>
        </w:rPr>
        <w:t xml:space="preserve">. </w:t>
      </w:r>
      <w:r>
        <w:rPr>
          <w:rFonts w:ascii="Arial" w:hAnsi="Arial" w:cs="Arial"/>
          <w:sz w:val="24"/>
          <w:szCs w:val="24"/>
        </w:rPr>
        <w:t xml:space="preserve">Nace así </w:t>
      </w:r>
      <w:r w:rsidR="009C53B3" w:rsidRPr="00CC0822">
        <w:rPr>
          <w:rFonts w:ascii="Arial" w:hAnsi="Arial" w:cs="Arial"/>
          <w:sz w:val="24"/>
          <w:szCs w:val="24"/>
        </w:rPr>
        <w:t>una forma nueva de acompañar a las familias</w:t>
      </w:r>
      <w:r w:rsidR="00562A59" w:rsidRPr="00CC0822">
        <w:rPr>
          <w:rStyle w:val="Refdenotaalpie"/>
          <w:rFonts w:ascii="Arial" w:hAnsi="Arial" w:cs="Arial"/>
          <w:sz w:val="24"/>
          <w:szCs w:val="24"/>
        </w:rPr>
        <w:footnoteReference w:id="3"/>
      </w:r>
      <w:r w:rsidR="009C53B3" w:rsidRPr="00CC0822">
        <w:rPr>
          <w:rFonts w:ascii="Arial" w:hAnsi="Arial" w:cs="Arial"/>
          <w:sz w:val="24"/>
          <w:szCs w:val="24"/>
        </w:rPr>
        <w:t>. La estrategia de estas casas</w:t>
      </w:r>
      <w:r>
        <w:rPr>
          <w:rFonts w:ascii="Arial" w:hAnsi="Arial" w:cs="Arial"/>
          <w:sz w:val="24"/>
          <w:szCs w:val="24"/>
        </w:rPr>
        <w:t>,</w:t>
      </w:r>
      <w:r w:rsidR="00D64AB6" w:rsidRPr="00CC0822">
        <w:rPr>
          <w:rFonts w:ascii="Arial" w:hAnsi="Arial" w:cs="Arial"/>
          <w:sz w:val="24"/>
          <w:szCs w:val="24"/>
        </w:rPr>
        <w:t xml:space="preserve"> que aún siguen abiertas</w:t>
      </w:r>
      <w:r w:rsidR="009C53B3" w:rsidRPr="00CC0822">
        <w:rPr>
          <w:rFonts w:ascii="Arial" w:hAnsi="Arial" w:cs="Arial"/>
          <w:sz w:val="24"/>
          <w:szCs w:val="24"/>
        </w:rPr>
        <w:t xml:space="preserve">, </w:t>
      </w:r>
      <w:r>
        <w:rPr>
          <w:rFonts w:ascii="Arial" w:hAnsi="Arial" w:cs="Arial"/>
          <w:sz w:val="24"/>
          <w:szCs w:val="24"/>
        </w:rPr>
        <w:t>fue</w:t>
      </w:r>
      <w:r w:rsidR="009C53B3" w:rsidRPr="00CC0822">
        <w:rPr>
          <w:rFonts w:ascii="Arial" w:hAnsi="Arial" w:cs="Arial"/>
          <w:sz w:val="24"/>
          <w:szCs w:val="24"/>
        </w:rPr>
        <w:t xml:space="preserve"> clara: construir vínculos afectivos para arropar y abrigar, vivir y proyectar</w:t>
      </w:r>
      <w:r>
        <w:rPr>
          <w:rFonts w:ascii="Arial" w:hAnsi="Arial" w:cs="Arial"/>
          <w:sz w:val="24"/>
          <w:szCs w:val="24"/>
        </w:rPr>
        <w:t>, muy lejos de las instituciones del Patronato</w:t>
      </w:r>
      <w:r w:rsidR="009C53B3" w:rsidRPr="00CC0822">
        <w:rPr>
          <w:rFonts w:ascii="Arial" w:hAnsi="Arial" w:cs="Arial"/>
          <w:sz w:val="24"/>
          <w:szCs w:val="24"/>
        </w:rPr>
        <w:t xml:space="preserve">. </w:t>
      </w:r>
      <w:r>
        <w:rPr>
          <w:rFonts w:ascii="Arial" w:hAnsi="Arial" w:cs="Arial"/>
          <w:sz w:val="24"/>
          <w:szCs w:val="24"/>
        </w:rPr>
        <w:t xml:space="preserve">En estas casas, como en las casas que se fueron abriendo en todo el país, </w:t>
      </w:r>
      <w:r w:rsidR="009C53B3" w:rsidRPr="00CC0822">
        <w:rPr>
          <w:rFonts w:ascii="Arial" w:hAnsi="Arial" w:cs="Arial"/>
          <w:sz w:val="24"/>
          <w:szCs w:val="24"/>
        </w:rPr>
        <w:t>se fortalecen vínculos previos al mismo tiempo que se busca una autonomía creciente</w:t>
      </w:r>
      <w:r w:rsidR="00212DC2">
        <w:rPr>
          <w:rFonts w:ascii="Arial" w:hAnsi="Arial" w:cs="Arial"/>
          <w:sz w:val="24"/>
          <w:szCs w:val="24"/>
        </w:rPr>
        <w:t xml:space="preserve">. En </w:t>
      </w:r>
      <w:r w:rsidR="00212DC2">
        <w:rPr>
          <w:rFonts w:ascii="Arial" w:hAnsi="Arial" w:cs="Arial"/>
          <w:sz w:val="24"/>
          <w:szCs w:val="24"/>
        </w:rPr>
        <w:lastRenderedPageBreak/>
        <w:t xml:space="preserve">los casos de retorno al seno familiar o inicio de un proceso de adopción, esta dinámica </w:t>
      </w:r>
      <w:r w:rsidR="009C53B3" w:rsidRPr="00CC0822">
        <w:rPr>
          <w:rFonts w:ascii="Arial" w:hAnsi="Arial" w:cs="Arial"/>
          <w:sz w:val="24"/>
          <w:szCs w:val="24"/>
        </w:rPr>
        <w:t>n</w:t>
      </w:r>
      <w:r w:rsidR="00212DC2">
        <w:rPr>
          <w:rFonts w:ascii="Arial" w:hAnsi="Arial" w:cs="Arial"/>
          <w:sz w:val="24"/>
          <w:szCs w:val="24"/>
        </w:rPr>
        <w:t>unca finaliza con un</w:t>
      </w:r>
      <w:r w:rsidR="009C53B3" w:rsidRPr="00CC0822">
        <w:rPr>
          <w:rFonts w:ascii="Arial" w:hAnsi="Arial" w:cs="Arial"/>
          <w:sz w:val="24"/>
          <w:szCs w:val="24"/>
        </w:rPr>
        <w:t xml:space="preserve"> corte abrupto de la</w:t>
      </w:r>
      <w:r w:rsidR="00212DC2">
        <w:rPr>
          <w:rFonts w:ascii="Arial" w:hAnsi="Arial" w:cs="Arial"/>
          <w:sz w:val="24"/>
          <w:szCs w:val="24"/>
        </w:rPr>
        <w:t xml:space="preserve">s relaciones que se entablan. Dado que los vínculos se suman y no compiten entre sí, la teoría del </w:t>
      </w:r>
      <w:r w:rsidR="009C53B3" w:rsidRPr="00CC0822">
        <w:rPr>
          <w:rFonts w:ascii="Arial" w:hAnsi="Arial" w:cs="Arial"/>
          <w:sz w:val="24"/>
          <w:szCs w:val="24"/>
        </w:rPr>
        <w:t>desapego que hoy se pregona en algunos círculos</w:t>
      </w:r>
      <w:r w:rsidR="00212DC2">
        <w:rPr>
          <w:rFonts w:ascii="Arial" w:hAnsi="Arial" w:cs="Arial"/>
          <w:sz w:val="24"/>
          <w:szCs w:val="24"/>
        </w:rPr>
        <w:t xml:space="preserve"> ha hecho -y continúa haciendo- mucho daño en esta materia</w:t>
      </w:r>
      <w:r w:rsidR="009C53B3" w:rsidRPr="00CC0822">
        <w:rPr>
          <w:rFonts w:ascii="Arial" w:hAnsi="Arial" w:cs="Arial"/>
          <w:sz w:val="24"/>
          <w:szCs w:val="24"/>
        </w:rPr>
        <w:t xml:space="preserve">. </w:t>
      </w:r>
    </w:p>
    <w:p w:rsidR="00100441" w:rsidRPr="00CC0822" w:rsidRDefault="00100441" w:rsidP="00FA32A3">
      <w:pPr>
        <w:spacing w:line="360" w:lineRule="auto"/>
        <w:jc w:val="both"/>
        <w:rPr>
          <w:rFonts w:ascii="Arial" w:hAnsi="Arial" w:cs="Arial"/>
          <w:b/>
          <w:sz w:val="24"/>
          <w:szCs w:val="24"/>
        </w:rPr>
      </w:pPr>
    </w:p>
    <w:p w:rsidR="00100441" w:rsidRPr="00CC0822" w:rsidRDefault="00100441" w:rsidP="00FA32A3">
      <w:pPr>
        <w:spacing w:line="360" w:lineRule="auto"/>
        <w:jc w:val="both"/>
        <w:rPr>
          <w:rFonts w:ascii="Arial" w:hAnsi="Arial" w:cs="Arial"/>
          <w:b/>
          <w:sz w:val="24"/>
          <w:szCs w:val="24"/>
        </w:rPr>
      </w:pPr>
      <w:r w:rsidRPr="00CC0822">
        <w:rPr>
          <w:rFonts w:ascii="Arial" w:hAnsi="Arial" w:cs="Arial"/>
          <w:b/>
          <w:sz w:val="24"/>
          <w:szCs w:val="24"/>
        </w:rPr>
        <w:t xml:space="preserve">De la situación irregular a la </w:t>
      </w:r>
      <w:r w:rsidR="00CB5F4E" w:rsidRPr="00CC0822">
        <w:rPr>
          <w:rFonts w:ascii="Arial" w:hAnsi="Arial" w:cs="Arial"/>
          <w:b/>
          <w:sz w:val="24"/>
          <w:szCs w:val="24"/>
        </w:rPr>
        <w:t>protección integral de derechos.</w:t>
      </w:r>
    </w:p>
    <w:p w:rsidR="00100441" w:rsidRPr="00CC0822" w:rsidRDefault="00100441" w:rsidP="00FA32A3">
      <w:pPr>
        <w:spacing w:line="360" w:lineRule="auto"/>
        <w:jc w:val="both"/>
        <w:rPr>
          <w:rFonts w:ascii="Arial" w:hAnsi="Arial" w:cs="Arial"/>
          <w:sz w:val="24"/>
          <w:szCs w:val="24"/>
        </w:rPr>
      </w:pPr>
      <w:r w:rsidRPr="00CC0822">
        <w:rPr>
          <w:rFonts w:ascii="Arial" w:hAnsi="Arial" w:cs="Arial"/>
          <w:sz w:val="24"/>
          <w:szCs w:val="24"/>
        </w:rPr>
        <w:t xml:space="preserve">A lo largo del siglo XX, el enfoque de </w:t>
      </w:r>
      <w:r w:rsidR="00212DC2">
        <w:rPr>
          <w:rFonts w:ascii="Arial" w:hAnsi="Arial" w:cs="Arial"/>
          <w:sz w:val="24"/>
          <w:szCs w:val="24"/>
        </w:rPr>
        <w:t>P</w:t>
      </w:r>
      <w:r w:rsidRPr="00CC0822">
        <w:rPr>
          <w:rFonts w:ascii="Arial" w:hAnsi="Arial" w:cs="Arial"/>
          <w:sz w:val="24"/>
          <w:szCs w:val="24"/>
        </w:rPr>
        <w:t>atronato primó en la relación adulto - niño así como en las relaciones Estado - infancia</w:t>
      </w:r>
      <w:r w:rsidR="00212DC2">
        <w:rPr>
          <w:rFonts w:ascii="Arial" w:hAnsi="Arial" w:cs="Arial"/>
          <w:sz w:val="24"/>
          <w:szCs w:val="24"/>
        </w:rPr>
        <w:t>s</w:t>
      </w:r>
      <w:r w:rsidRPr="00CC0822">
        <w:rPr>
          <w:rFonts w:ascii="Arial" w:hAnsi="Arial" w:cs="Arial"/>
          <w:sz w:val="24"/>
          <w:szCs w:val="24"/>
        </w:rPr>
        <w:t>. Este enfoque, en nombre de la protección del “menor” frente al peligro, lo hizo objeto de sus leyes</w:t>
      </w:r>
      <w:r w:rsidR="00212DC2">
        <w:rPr>
          <w:rFonts w:ascii="Arial" w:hAnsi="Arial" w:cs="Arial"/>
          <w:sz w:val="24"/>
          <w:szCs w:val="24"/>
        </w:rPr>
        <w:t xml:space="preserve"> y</w:t>
      </w:r>
      <w:r w:rsidRPr="00CC0822">
        <w:rPr>
          <w:rFonts w:ascii="Arial" w:hAnsi="Arial" w:cs="Arial"/>
          <w:sz w:val="24"/>
          <w:szCs w:val="24"/>
        </w:rPr>
        <w:t xml:space="preserve"> mandas en una relación asimétrica que neutralizó resistencias.</w:t>
      </w:r>
      <w:r w:rsidR="00CB5F4E" w:rsidRPr="00CC0822">
        <w:rPr>
          <w:rFonts w:ascii="Arial" w:hAnsi="Arial" w:cs="Arial"/>
          <w:sz w:val="24"/>
          <w:szCs w:val="24"/>
        </w:rPr>
        <w:t xml:space="preserve"> </w:t>
      </w:r>
      <w:r w:rsidR="00212DC2">
        <w:rPr>
          <w:rFonts w:ascii="Arial" w:hAnsi="Arial" w:cs="Arial"/>
          <w:sz w:val="24"/>
          <w:szCs w:val="24"/>
        </w:rPr>
        <w:t>En la Argentina, l</w:t>
      </w:r>
      <w:r w:rsidRPr="00CC0822">
        <w:rPr>
          <w:rFonts w:ascii="Arial" w:hAnsi="Arial" w:cs="Arial"/>
          <w:sz w:val="24"/>
          <w:szCs w:val="24"/>
        </w:rPr>
        <w:t xml:space="preserve">a </w:t>
      </w:r>
      <w:r w:rsidR="00212DC2">
        <w:rPr>
          <w:rFonts w:ascii="Arial" w:hAnsi="Arial" w:cs="Arial"/>
          <w:sz w:val="24"/>
          <w:szCs w:val="24"/>
        </w:rPr>
        <w:t>l</w:t>
      </w:r>
      <w:r w:rsidRPr="00CC0822">
        <w:rPr>
          <w:rFonts w:ascii="Arial" w:hAnsi="Arial" w:cs="Arial"/>
          <w:sz w:val="24"/>
          <w:szCs w:val="24"/>
        </w:rPr>
        <w:t>ey</w:t>
      </w:r>
      <w:r w:rsidR="00212DC2">
        <w:rPr>
          <w:rFonts w:ascii="Arial" w:hAnsi="Arial" w:cs="Arial"/>
          <w:sz w:val="24"/>
          <w:szCs w:val="24"/>
        </w:rPr>
        <w:t xml:space="preserve"> </w:t>
      </w:r>
      <w:r w:rsidRPr="00CC0822">
        <w:rPr>
          <w:rFonts w:ascii="Arial" w:hAnsi="Arial" w:cs="Arial"/>
          <w:sz w:val="24"/>
          <w:szCs w:val="24"/>
        </w:rPr>
        <w:t>10</w:t>
      </w:r>
      <w:r w:rsidR="00A503CA">
        <w:rPr>
          <w:rFonts w:ascii="Arial" w:hAnsi="Arial" w:cs="Arial"/>
          <w:sz w:val="24"/>
          <w:szCs w:val="24"/>
        </w:rPr>
        <w:t>.</w:t>
      </w:r>
      <w:r w:rsidRPr="00CC0822">
        <w:rPr>
          <w:rFonts w:ascii="Arial" w:hAnsi="Arial" w:cs="Arial"/>
          <w:sz w:val="24"/>
          <w:szCs w:val="24"/>
        </w:rPr>
        <w:t>903, conocida como ley de Patronato o ley Agote</w:t>
      </w:r>
      <w:r w:rsidR="00212DC2">
        <w:rPr>
          <w:rFonts w:ascii="Arial" w:hAnsi="Arial" w:cs="Arial"/>
          <w:sz w:val="24"/>
          <w:szCs w:val="24"/>
        </w:rPr>
        <w:t xml:space="preserve">, </w:t>
      </w:r>
      <w:r w:rsidRPr="00CC0822">
        <w:rPr>
          <w:rFonts w:ascii="Arial" w:hAnsi="Arial" w:cs="Arial"/>
          <w:sz w:val="24"/>
          <w:szCs w:val="24"/>
        </w:rPr>
        <w:t xml:space="preserve">tradujo prejuicios de clase al lenguaje del racionalismo científico. </w:t>
      </w:r>
      <w:r w:rsidR="00212DC2">
        <w:rPr>
          <w:rFonts w:ascii="Arial" w:hAnsi="Arial" w:cs="Arial"/>
          <w:sz w:val="24"/>
          <w:szCs w:val="24"/>
        </w:rPr>
        <w:t>Con leyes similares, l</w:t>
      </w:r>
      <w:r w:rsidRPr="00CC0822">
        <w:rPr>
          <w:rFonts w:ascii="Arial" w:hAnsi="Arial" w:cs="Arial"/>
          <w:sz w:val="24"/>
          <w:szCs w:val="24"/>
        </w:rPr>
        <w:t>as elites de todo el continente trata</w:t>
      </w:r>
      <w:r w:rsidR="00212DC2">
        <w:rPr>
          <w:rFonts w:ascii="Arial" w:hAnsi="Arial" w:cs="Arial"/>
          <w:sz w:val="24"/>
          <w:szCs w:val="24"/>
        </w:rPr>
        <w:t>ron</w:t>
      </w:r>
      <w:r w:rsidRPr="00CC0822">
        <w:rPr>
          <w:rFonts w:ascii="Arial" w:hAnsi="Arial" w:cs="Arial"/>
          <w:sz w:val="24"/>
          <w:szCs w:val="24"/>
        </w:rPr>
        <w:t xml:space="preserve"> de resolver, a través de la filantropía y el reformismo, el peligro que significaban las familias pobres para su seguridad y patrimonio. Esa situación anómala se consolidó como doctrina y legislación.</w:t>
      </w:r>
      <w:r w:rsidR="00212DC2">
        <w:rPr>
          <w:rFonts w:ascii="Arial" w:hAnsi="Arial" w:cs="Arial"/>
          <w:sz w:val="24"/>
          <w:szCs w:val="24"/>
        </w:rPr>
        <w:t xml:space="preserve"> </w:t>
      </w:r>
      <w:r w:rsidRPr="00CC0822">
        <w:rPr>
          <w:rFonts w:ascii="Arial" w:hAnsi="Arial" w:cs="Arial"/>
          <w:sz w:val="24"/>
          <w:szCs w:val="24"/>
        </w:rPr>
        <w:t>La internación, piedra angular de la propuesta, resolvería el tema de los “menores” abandonados o hijos de familias malvivientes. Entre las paredes del “reformatorio”, construidos a prudente distancia de los centros urbanos, se forjaría el “hombre del mañana”.</w:t>
      </w:r>
    </w:p>
    <w:p w:rsidR="00100441" w:rsidRPr="00CC0822" w:rsidRDefault="00212DC2" w:rsidP="00FA32A3">
      <w:pPr>
        <w:spacing w:line="360" w:lineRule="auto"/>
        <w:jc w:val="both"/>
        <w:rPr>
          <w:rFonts w:ascii="Arial" w:hAnsi="Arial" w:cs="Arial"/>
          <w:sz w:val="24"/>
          <w:szCs w:val="24"/>
        </w:rPr>
      </w:pPr>
      <w:r>
        <w:rPr>
          <w:rFonts w:ascii="Arial" w:hAnsi="Arial" w:cs="Arial"/>
          <w:sz w:val="24"/>
          <w:szCs w:val="24"/>
        </w:rPr>
        <w:t>En nuestro país, l</w:t>
      </w:r>
      <w:r w:rsidR="00100441" w:rsidRPr="00CC0822">
        <w:rPr>
          <w:rFonts w:ascii="Arial" w:hAnsi="Arial" w:cs="Arial"/>
          <w:sz w:val="24"/>
          <w:szCs w:val="24"/>
        </w:rPr>
        <w:t>a llegada del peronismo al poder</w:t>
      </w:r>
      <w:r w:rsidR="00A503CA">
        <w:rPr>
          <w:rFonts w:ascii="Arial" w:hAnsi="Arial" w:cs="Arial"/>
          <w:sz w:val="24"/>
          <w:szCs w:val="24"/>
        </w:rPr>
        <w:t xml:space="preserve"> trajo un nuevo enfoque</w:t>
      </w:r>
      <w:r w:rsidR="00100441" w:rsidRPr="00CC0822">
        <w:rPr>
          <w:rFonts w:ascii="Arial" w:hAnsi="Arial" w:cs="Arial"/>
          <w:sz w:val="24"/>
          <w:szCs w:val="24"/>
        </w:rPr>
        <w:t xml:space="preserve">. La Constitución </w:t>
      </w:r>
      <w:r w:rsidR="00A503CA">
        <w:rPr>
          <w:rFonts w:ascii="Arial" w:hAnsi="Arial" w:cs="Arial"/>
          <w:sz w:val="24"/>
          <w:szCs w:val="24"/>
        </w:rPr>
        <w:t xml:space="preserve">Nacional </w:t>
      </w:r>
      <w:r w:rsidR="00100441" w:rsidRPr="00CC0822">
        <w:rPr>
          <w:rFonts w:ascii="Arial" w:hAnsi="Arial" w:cs="Arial"/>
          <w:sz w:val="24"/>
          <w:szCs w:val="24"/>
        </w:rPr>
        <w:t xml:space="preserve">de 1949 enumeró, por primera vez, los derechos de la infancia. Precursora de la declaración de las Naciones Unidas, impuso, durante un breve interregno, una perspectiva novedosa en materia de protección de la niñez. El golpe </w:t>
      </w:r>
      <w:r w:rsidR="004B7B46">
        <w:rPr>
          <w:rFonts w:ascii="Arial" w:hAnsi="Arial" w:cs="Arial"/>
          <w:sz w:val="24"/>
          <w:szCs w:val="24"/>
        </w:rPr>
        <w:t xml:space="preserve">de Estado </w:t>
      </w:r>
      <w:r w:rsidR="00100441" w:rsidRPr="00CC0822">
        <w:rPr>
          <w:rFonts w:ascii="Arial" w:hAnsi="Arial" w:cs="Arial"/>
          <w:sz w:val="24"/>
          <w:szCs w:val="24"/>
        </w:rPr>
        <w:t xml:space="preserve">de Aramburu y Rojas dio por tierra con estas novedades y la doctrina de la </w:t>
      </w:r>
      <w:r w:rsidR="00A503CA">
        <w:rPr>
          <w:rFonts w:ascii="Arial" w:hAnsi="Arial" w:cs="Arial"/>
          <w:sz w:val="24"/>
          <w:szCs w:val="24"/>
        </w:rPr>
        <w:t>s</w:t>
      </w:r>
      <w:r w:rsidR="00100441" w:rsidRPr="00CC0822">
        <w:rPr>
          <w:rFonts w:ascii="Arial" w:hAnsi="Arial" w:cs="Arial"/>
          <w:sz w:val="24"/>
          <w:szCs w:val="24"/>
        </w:rPr>
        <w:t xml:space="preserve">ituación </w:t>
      </w:r>
      <w:r w:rsidR="00A503CA">
        <w:rPr>
          <w:rFonts w:ascii="Arial" w:hAnsi="Arial" w:cs="Arial"/>
          <w:sz w:val="24"/>
          <w:szCs w:val="24"/>
        </w:rPr>
        <w:t>i</w:t>
      </w:r>
      <w:r w:rsidR="00100441" w:rsidRPr="00CC0822">
        <w:rPr>
          <w:rFonts w:ascii="Arial" w:hAnsi="Arial" w:cs="Arial"/>
          <w:sz w:val="24"/>
          <w:szCs w:val="24"/>
        </w:rPr>
        <w:t xml:space="preserve">rregular se afianzó </w:t>
      </w:r>
      <w:r w:rsidR="00A503CA">
        <w:rPr>
          <w:rFonts w:ascii="Arial" w:hAnsi="Arial" w:cs="Arial"/>
          <w:sz w:val="24"/>
          <w:szCs w:val="24"/>
        </w:rPr>
        <w:t>en los</w:t>
      </w:r>
      <w:r w:rsidR="00100441" w:rsidRPr="00CC0822">
        <w:rPr>
          <w:rFonts w:ascii="Arial" w:hAnsi="Arial" w:cs="Arial"/>
          <w:sz w:val="24"/>
          <w:szCs w:val="24"/>
        </w:rPr>
        <w:t xml:space="preserve"> sucesivos gobiernos de facto. </w:t>
      </w:r>
    </w:p>
    <w:p w:rsidR="0067647A" w:rsidRDefault="00100441" w:rsidP="00FA32A3">
      <w:pPr>
        <w:spacing w:line="360" w:lineRule="auto"/>
        <w:jc w:val="both"/>
        <w:rPr>
          <w:rFonts w:ascii="Arial" w:hAnsi="Arial" w:cs="Arial"/>
          <w:sz w:val="24"/>
          <w:szCs w:val="24"/>
        </w:rPr>
      </w:pPr>
      <w:r w:rsidRPr="00CC0822">
        <w:rPr>
          <w:rFonts w:ascii="Arial" w:hAnsi="Arial" w:cs="Arial"/>
          <w:sz w:val="24"/>
          <w:szCs w:val="24"/>
        </w:rPr>
        <w:t>En 1990, a más de 30 años de la Declaración de los Derechos del Niño  y también a instancias de las Naciones Unidas, Argentina firma y ratifica la Convención de los Derechos del Niño (CDN</w:t>
      </w:r>
      <w:r w:rsidR="00CB5F4E" w:rsidRPr="00CC0822">
        <w:rPr>
          <w:rFonts w:ascii="Arial" w:hAnsi="Arial" w:cs="Arial"/>
          <w:sz w:val="24"/>
          <w:szCs w:val="24"/>
        </w:rPr>
        <w:t xml:space="preserve">). </w:t>
      </w:r>
      <w:r w:rsidRPr="00CC0822">
        <w:rPr>
          <w:rFonts w:ascii="Arial" w:hAnsi="Arial" w:cs="Arial"/>
          <w:sz w:val="24"/>
          <w:szCs w:val="24"/>
        </w:rPr>
        <w:t xml:space="preserve">Este instrumento adquiere rango constitucional con la reforma de 1994. Pero hubo que esperar más de una </w:t>
      </w:r>
      <w:r w:rsidRPr="00CC0822">
        <w:rPr>
          <w:rFonts w:ascii="Arial" w:hAnsi="Arial" w:cs="Arial"/>
          <w:sz w:val="24"/>
          <w:szCs w:val="24"/>
        </w:rPr>
        <w:lastRenderedPageBreak/>
        <w:t xml:space="preserve">década para que este precepto se hiciera operativo. La Ley 26.061 de Protección Integral de los Derechos de Niñas, Niños y Adolescentes, sancionada el 28 de setiembre de 2005 y reglamentada en el año 2006 a través de los Decretos N° 415/06 y 416/06, reemplaza finalmente la ley Agote. </w:t>
      </w:r>
      <w:r w:rsidR="00A503CA">
        <w:rPr>
          <w:rFonts w:ascii="Arial" w:hAnsi="Arial" w:cs="Arial"/>
          <w:sz w:val="24"/>
          <w:szCs w:val="24"/>
        </w:rPr>
        <w:t>Sin embargo, como sabemos, la cultura no cambia al ritmo de las leyes</w:t>
      </w:r>
      <w:r w:rsidR="002522E6">
        <w:rPr>
          <w:rFonts w:ascii="Arial" w:hAnsi="Arial" w:cs="Arial"/>
          <w:sz w:val="24"/>
          <w:szCs w:val="24"/>
        </w:rPr>
        <w:t>. Es por eso que creemos</w:t>
      </w:r>
      <w:r w:rsidR="003B0901" w:rsidRPr="00CC0822">
        <w:rPr>
          <w:rFonts w:ascii="Arial" w:hAnsi="Arial" w:cs="Arial"/>
          <w:sz w:val="24"/>
          <w:szCs w:val="24"/>
        </w:rPr>
        <w:t xml:space="preserve"> conviene regresar sobre nuestros pasos y recor</w:t>
      </w:r>
      <w:r w:rsidR="00BF10CE">
        <w:rPr>
          <w:rFonts w:ascii="Arial" w:hAnsi="Arial" w:cs="Arial"/>
          <w:sz w:val="24"/>
          <w:szCs w:val="24"/>
        </w:rPr>
        <w:t xml:space="preserve">dar los elementos centrales </w:t>
      </w:r>
      <w:r w:rsidR="002522E6">
        <w:rPr>
          <w:rFonts w:ascii="Arial" w:hAnsi="Arial" w:cs="Arial"/>
          <w:sz w:val="24"/>
          <w:szCs w:val="24"/>
        </w:rPr>
        <w:t>de la</w:t>
      </w:r>
      <w:r w:rsidR="00227872">
        <w:rPr>
          <w:rFonts w:ascii="Arial" w:hAnsi="Arial" w:cs="Arial"/>
          <w:sz w:val="24"/>
          <w:szCs w:val="24"/>
        </w:rPr>
        <w:t xml:space="preserve"> </w:t>
      </w:r>
      <w:r w:rsidR="00227872" w:rsidRPr="00A503CA">
        <w:rPr>
          <w:rFonts w:ascii="Arial" w:hAnsi="Arial" w:cs="Arial"/>
          <w:i/>
          <w:sz w:val="24"/>
          <w:szCs w:val="24"/>
        </w:rPr>
        <w:t>crianza comunitaria</w:t>
      </w:r>
      <w:r w:rsidR="00532F5B">
        <w:rPr>
          <w:rFonts w:ascii="Arial" w:hAnsi="Arial" w:cs="Arial"/>
          <w:sz w:val="24"/>
          <w:szCs w:val="24"/>
        </w:rPr>
        <w:t>, much</w:t>
      </w:r>
      <w:r w:rsidR="00A503CA">
        <w:rPr>
          <w:rFonts w:ascii="Arial" w:hAnsi="Arial" w:cs="Arial"/>
          <w:sz w:val="24"/>
          <w:szCs w:val="24"/>
        </w:rPr>
        <w:t>o</w:t>
      </w:r>
      <w:r w:rsidR="00532F5B">
        <w:rPr>
          <w:rFonts w:ascii="Arial" w:hAnsi="Arial" w:cs="Arial"/>
          <w:sz w:val="24"/>
          <w:szCs w:val="24"/>
        </w:rPr>
        <w:t>s de l</w:t>
      </w:r>
      <w:r w:rsidR="00A503CA">
        <w:rPr>
          <w:rFonts w:ascii="Arial" w:hAnsi="Arial" w:cs="Arial"/>
          <w:sz w:val="24"/>
          <w:szCs w:val="24"/>
        </w:rPr>
        <w:t>o</w:t>
      </w:r>
      <w:r w:rsidR="00532F5B">
        <w:rPr>
          <w:rFonts w:ascii="Arial" w:hAnsi="Arial" w:cs="Arial"/>
          <w:sz w:val="24"/>
          <w:szCs w:val="24"/>
        </w:rPr>
        <w:t>s cu</w:t>
      </w:r>
      <w:r w:rsidR="00A503CA">
        <w:rPr>
          <w:rFonts w:ascii="Arial" w:hAnsi="Arial" w:cs="Arial"/>
          <w:sz w:val="24"/>
          <w:szCs w:val="24"/>
        </w:rPr>
        <w:t>a</w:t>
      </w:r>
      <w:r w:rsidR="00532F5B">
        <w:rPr>
          <w:rFonts w:ascii="Arial" w:hAnsi="Arial" w:cs="Arial"/>
          <w:sz w:val="24"/>
          <w:szCs w:val="24"/>
        </w:rPr>
        <w:t xml:space="preserve">les fueron insumo para </w:t>
      </w:r>
      <w:r w:rsidR="00A503CA">
        <w:rPr>
          <w:rFonts w:ascii="Arial" w:hAnsi="Arial" w:cs="Arial"/>
          <w:sz w:val="24"/>
          <w:szCs w:val="24"/>
        </w:rPr>
        <w:t xml:space="preserve">el diseño de políticas y </w:t>
      </w:r>
      <w:r w:rsidR="00532F5B">
        <w:rPr>
          <w:rFonts w:ascii="Arial" w:hAnsi="Arial" w:cs="Arial"/>
          <w:sz w:val="24"/>
          <w:szCs w:val="24"/>
        </w:rPr>
        <w:t xml:space="preserve">programas </w:t>
      </w:r>
      <w:r w:rsidR="00A503CA">
        <w:rPr>
          <w:rFonts w:ascii="Arial" w:hAnsi="Arial" w:cs="Arial"/>
          <w:sz w:val="24"/>
          <w:szCs w:val="24"/>
        </w:rPr>
        <w:t xml:space="preserve">con enfoque de </w:t>
      </w:r>
      <w:r w:rsidR="00532F5B">
        <w:rPr>
          <w:rFonts w:ascii="Arial" w:hAnsi="Arial" w:cs="Arial"/>
          <w:sz w:val="24"/>
          <w:szCs w:val="24"/>
        </w:rPr>
        <w:t xml:space="preserve">derechos. </w:t>
      </w:r>
    </w:p>
    <w:p w:rsidR="00AD61B7" w:rsidRDefault="00AD61B7" w:rsidP="00FA32A3">
      <w:pPr>
        <w:spacing w:line="360" w:lineRule="auto"/>
        <w:jc w:val="both"/>
        <w:rPr>
          <w:rFonts w:ascii="Arial" w:hAnsi="Arial" w:cs="Arial"/>
          <w:b/>
          <w:sz w:val="24"/>
          <w:szCs w:val="24"/>
        </w:rPr>
      </w:pPr>
    </w:p>
    <w:p w:rsidR="0067647A" w:rsidRPr="0067647A" w:rsidRDefault="002522E6" w:rsidP="00FA32A3">
      <w:pPr>
        <w:spacing w:line="360" w:lineRule="auto"/>
        <w:jc w:val="both"/>
        <w:rPr>
          <w:rFonts w:ascii="Arial" w:hAnsi="Arial" w:cs="Arial"/>
          <w:b/>
          <w:sz w:val="24"/>
          <w:szCs w:val="24"/>
        </w:rPr>
      </w:pPr>
      <w:r>
        <w:rPr>
          <w:rFonts w:ascii="Arial" w:hAnsi="Arial" w:cs="Arial"/>
          <w:b/>
          <w:sz w:val="24"/>
          <w:szCs w:val="24"/>
        </w:rPr>
        <w:t>Vivir en comunidad</w:t>
      </w:r>
    </w:p>
    <w:p w:rsidR="003B0901" w:rsidRPr="00CC0822" w:rsidRDefault="003B0901" w:rsidP="00FA32A3">
      <w:pPr>
        <w:spacing w:line="360" w:lineRule="auto"/>
        <w:jc w:val="both"/>
        <w:rPr>
          <w:rFonts w:ascii="Arial" w:hAnsi="Arial" w:cs="Arial"/>
          <w:sz w:val="24"/>
          <w:szCs w:val="24"/>
        </w:rPr>
      </w:pPr>
      <w:r w:rsidRPr="00CC0822">
        <w:rPr>
          <w:rFonts w:ascii="Arial" w:hAnsi="Arial" w:cs="Arial"/>
          <w:sz w:val="24"/>
          <w:szCs w:val="24"/>
        </w:rPr>
        <w:t>Podemos tener los edificios, las becas y los presupuestos, pero para construir respuestas de convivencia se necesitan, fundamentalmente, cuerpos. No hablamos de vocaciones apostólicas ni santidades: hablamos de una manera de entender el mundo y la convivencia humana. Si la crianza es concebida como una responsabilidad de uno o dos adultos que ejercen las funciones parentales, muchas personas de edades tempranas están en problemas. Jamás conocerán la niñez. Porque las funciones del límite y el abrazo son complejas, necesitan adultos que también estén abrigados. Esa adultez</w:t>
      </w:r>
      <w:r w:rsidR="00A503CA">
        <w:rPr>
          <w:rFonts w:ascii="Arial" w:hAnsi="Arial" w:cs="Arial"/>
          <w:sz w:val="24"/>
          <w:szCs w:val="24"/>
        </w:rPr>
        <w:t>, así como la capacidad de ejercer roles maternos/paternos,</w:t>
      </w:r>
      <w:r w:rsidRPr="00CC0822">
        <w:rPr>
          <w:rFonts w:ascii="Arial" w:hAnsi="Arial" w:cs="Arial"/>
          <w:sz w:val="24"/>
          <w:szCs w:val="24"/>
        </w:rPr>
        <w:t xml:space="preserve"> </w:t>
      </w:r>
      <w:r w:rsidR="00A503CA">
        <w:rPr>
          <w:rFonts w:ascii="Arial" w:hAnsi="Arial" w:cs="Arial"/>
          <w:sz w:val="24"/>
          <w:szCs w:val="24"/>
        </w:rPr>
        <w:t xml:space="preserve">se adquiere en </w:t>
      </w:r>
      <w:r w:rsidRPr="00CC0822">
        <w:rPr>
          <w:rFonts w:ascii="Arial" w:hAnsi="Arial" w:cs="Arial"/>
          <w:sz w:val="24"/>
          <w:szCs w:val="24"/>
        </w:rPr>
        <w:t>un proceso del que también participan hermanos</w:t>
      </w:r>
      <w:r w:rsidR="00A503CA">
        <w:rPr>
          <w:rFonts w:ascii="Arial" w:hAnsi="Arial" w:cs="Arial"/>
          <w:sz w:val="24"/>
          <w:szCs w:val="24"/>
        </w:rPr>
        <w:t>/as</w:t>
      </w:r>
      <w:r w:rsidRPr="00CC0822">
        <w:rPr>
          <w:rFonts w:ascii="Arial" w:hAnsi="Arial" w:cs="Arial"/>
          <w:sz w:val="24"/>
          <w:szCs w:val="24"/>
        </w:rPr>
        <w:t xml:space="preserve"> mayores, tíos/as, abuelos/as. El clan primordial es un nido amplio, y por eso abrigado. Y si a ese clan lo rodean maestros/as, referentes sociales, vecinos/as y amigos/as, el mundo </w:t>
      </w:r>
      <w:r w:rsidR="00A503CA">
        <w:rPr>
          <w:rFonts w:ascii="Arial" w:hAnsi="Arial" w:cs="Arial"/>
          <w:sz w:val="24"/>
          <w:szCs w:val="24"/>
        </w:rPr>
        <w:t>se vuelve</w:t>
      </w:r>
      <w:r w:rsidRPr="00CC0822">
        <w:rPr>
          <w:rFonts w:ascii="Arial" w:hAnsi="Arial" w:cs="Arial"/>
          <w:sz w:val="24"/>
          <w:szCs w:val="24"/>
        </w:rPr>
        <w:t xml:space="preserve"> más amable, o al menos más abordable. Con referencias múltiples y complementarias, la niñez y la adolescencia no serán un privilegio de clase.</w:t>
      </w:r>
    </w:p>
    <w:p w:rsidR="003B0901" w:rsidRPr="00CC0822" w:rsidRDefault="003B0901" w:rsidP="00FA32A3">
      <w:pPr>
        <w:spacing w:line="360" w:lineRule="auto"/>
        <w:jc w:val="both"/>
        <w:rPr>
          <w:rFonts w:ascii="Arial" w:hAnsi="Arial" w:cs="Arial"/>
          <w:sz w:val="24"/>
          <w:szCs w:val="24"/>
        </w:rPr>
      </w:pPr>
      <w:r w:rsidRPr="00CC0822">
        <w:rPr>
          <w:rFonts w:ascii="Arial" w:hAnsi="Arial" w:cs="Arial"/>
          <w:sz w:val="24"/>
          <w:szCs w:val="24"/>
        </w:rPr>
        <w:t xml:space="preserve">Si las niñas, niños y adolescentes necesitan, para su desarrollo, </w:t>
      </w:r>
      <w:r w:rsidR="00A503CA">
        <w:rPr>
          <w:rFonts w:ascii="Arial" w:hAnsi="Arial" w:cs="Arial"/>
          <w:sz w:val="24"/>
          <w:szCs w:val="24"/>
        </w:rPr>
        <w:t xml:space="preserve">contar con </w:t>
      </w:r>
      <w:r w:rsidRPr="00CC0822">
        <w:rPr>
          <w:rFonts w:ascii="Arial" w:hAnsi="Arial" w:cs="Arial"/>
          <w:sz w:val="24"/>
          <w:szCs w:val="24"/>
        </w:rPr>
        <w:t>referencias afectivas, la ternura deja de ser una categoría romántica para convertirse en categoría política. La ternura</w:t>
      </w:r>
      <w:r w:rsidR="00A503CA">
        <w:rPr>
          <w:rFonts w:ascii="Arial" w:hAnsi="Arial" w:cs="Arial"/>
          <w:sz w:val="24"/>
          <w:szCs w:val="24"/>
        </w:rPr>
        <w:t xml:space="preserve">, como </w:t>
      </w:r>
      <w:r w:rsidRPr="00CC0822">
        <w:rPr>
          <w:rFonts w:ascii="Arial" w:hAnsi="Arial" w:cs="Arial"/>
          <w:sz w:val="24"/>
          <w:szCs w:val="24"/>
        </w:rPr>
        <w:t>forma particular de</w:t>
      </w:r>
      <w:r w:rsidR="00FF3983">
        <w:rPr>
          <w:rFonts w:ascii="Arial" w:hAnsi="Arial" w:cs="Arial"/>
          <w:sz w:val="24"/>
          <w:szCs w:val="24"/>
        </w:rPr>
        <w:t>l</w:t>
      </w:r>
      <w:r w:rsidRPr="00CC0822">
        <w:rPr>
          <w:rFonts w:ascii="Arial" w:hAnsi="Arial" w:cs="Arial"/>
          <w:sz w:val="24"/>
          <w:szCs w:val="24"/>
        </w:rPr>
        <w:t xml:space="preserve"> amor</w:t>
      </w:r>
      <w:r w:rsidR="00A503CA">
        <w:rPr>
          <w:rFonts w:ascii="Arial" w:hAnsi="Arial" w:cs="Arial"/>
          <w:sz w:val="24"/>
          <w:szCs w:val="24"/>
        </w:rPr>
        <w:t xml:space="preserve"> </w:t>
      </w:r>
      <w:r w:rsidR="00FF3983">
        <w:rPr>
          <w:rFonts w:ascii="Arial" w:hAnsi="Arial" w:cs="Arial"/>
          <w:sz w:val="24"/>
          <w:szCs w:val="24"/>
        </w:rPr>
        <w:t>vinculada al abrigo y el cuidado, se despliega en</w:t>
      </w:r>
      <w:r w:rsidRPr="00CC0822">
        <w:rPr>
          <w:rFonts w:ascii="Arial" w:hAnsi="Arial" w:cs="Arial"/>
          <w:sz w:val="24"/>
          <w:szCs w:val="24"/>
        </w:rPr>
        <w:t xml:space="preserve"> un medio específico: el familiar-comunitario. Cualquier otro medio le resulta ajeno, cuando no hostil. La tribu tuareg lo sabe desde hace siglos: “para criar a un niño, hace falta una aldea entera”.</w:t>
      </w:r>
      <w:r w:rsidR="00FF3983">
        <w:rPr>
          <w:rFonts w:ascii="Arial" w:hAnsi="Arial" w:cs="Arial"/>
          <w:sz w:val="24"/>
          <w:szCs w:val="24"/>
        </w:rPr>
        <w:t xml:space="preserve"> Las instituciones con directivos y turnos rotativos, se alejan, irremediablemente, del cuidado que anhelamos. </w:t>
      </w:r>
    </w:p>
    <w:p w:rsidR="003B0901" w:rsidRDefault="003B0901" w:rsidP="00FA32A3">
      <w:pPr>
        <w:spacing w:line="360" w:lineRule="auto"/>
        <w:jc w:val="both"/>
        <w:rPr>
          <w:rFonts w:ascii="Arial" w:hAnsi="Arial" w:cs="Arial"/>
          <w:sz w:val="24"/>
          <w:szCs w:val="24"/>
        </w:rPr>
      </w:pPr>
      <w:r w:rsidRPr="00CC0822">
        <w:rPr>
          <w:rFonts w:ascii="Arial" w:hAnsi="Arial" w:cs="Arial"/>
          <w:sz w:val="24"/>
          <w:szCs w:val="24"/>
        </w:rPr>
        <w:lastRenderedPageBreak/>
        <w:t xml:space="preserve">Las sedes administrativas y judiciales </w:t>
      </w:r>
      <w:r w:rsidR="00FF3983">
        <w:rPr>
          <w:rFonts w:ascii="Arial" w:hAnsi="Arial" w:cs="Arial"/>
          <w:sz w:val="24"/>
          <w:szCs w:val="24"/>
        </w:rPr>
        <w:t xml:space="preserve">de nuestros estados </w:t>
      </w:r>
      <w:r w:rsidRPr="00CC0822">
        <w:rPr>
          <w:rFonts w:ascii="Arial" w:hAnsi="Arial" w:cs="Arial"/>
          <w:sz w:val="24"/>
          <w:szCs w:val="24"/>
        </w:rPr>
        <w:t>pueden acompañar</w:t>
      </w:r>
      <w:r w:rsidR="00FF3983">
        <w:rPr>
          <w:rFonts w:ascii="Arial" w:hAnsi="Arial" w:cs="Arial"/>
          <w:sz w:val="24"/>
          <w:szCs w:val="24"/>
        </w:rPr>
        <w:t xml:space="preserve"> y orientar</w:t>
      </w:r>
      <w:r w:rsidRPr="00CC0822">
        <w:rPr>
          <w:rFonts w:ascii="Arial" w:hAnsi="Arial" w:cs="Arial"/>
          <w:sz w:val="24"/>
          <w:szCs w:val="24"/>
        </w:rPr>
        <w:t xml:space="preserve"> </w:t>
      </w:r>
      <w:r w:rsidR="00FF3983">
        <w:rPr>
          <w:rFonts w:ascii="Arial" w:hAnsi="Arial" w:cs="Arial"/>
          <w:sz w:val="24"/>
          <w:szCs w:val="24"/>
        </w:rPr>
        <w:t xml:space="preserve">las respuestas comunitarias que una sociedad va ensayando, </w:t>
      </w:r>
      <w:r w:rsidRPr="00CC0822">
        <w:rPr>
          <w:rFonts w:ascii="Arial" w:hAnsi="Arial" w:cs="Arial"/>
          <w:sz w:val="24"/>
          <w:szCs w:val="24"/>
        </w:rPr>
        <w:t xml:space="preserve">pero no pueden, ni deben, reemplazar lo que toda niñez reclama: vivir con alguien que los considere un milagro. Frente a chicos y chicas despojados de todo por las pandemias de este siglo, las respuestas comunitarias de convivencia son las únicas que han demostrado eficacia. </w:t>
      </w:r>
      <w:r w:rsidR="00FF3983">
        <w:rPr>
          <w:rFonts w:ascii="Arial" w:hAnsi="Arial" w:cs="Arial"/>
          <w:sz w:val="24"/>
          <w:szCs w:val="24"/>
        </w:rPr>
        <w:t xml:space="preserve">Las instituciones y programas públicos deberán </w:t>
      </w:r>
      <w:r w:rsidRPr="00CC0822">
        <w:rPr>
          <w:rFonts w:ascii="Arial" w:hAnsi="Arial" w:cs="Arial"/>
          <w:sz w:val="24"/>
          <w:szCs w:val="24"/>
        </w:rPr>
        <w:t xml:space="preserve">ir </w:t>
      </w:r>
      <w:r w:rsidR="00FF3983">
        <w:rPr>
          <w:rFonts w:ascii="Arial" w:hAnsi="Arial" w:cs="Arial"/>
          <w:sz w:val="24"/>
          <w:szCs w:val="24"/>
        </w:rPr>
        <w:t>a su encuentro</w:t>
      </w:r>
      <w:r w:rsidRPr="00CC0822">
        <w:rPr>
          <w:rFonts w:ascii="Arial" w:hAnsi="Arial" w:cs="Arial"/>
          <w:sz w:val="24"/>
          <w:szCs w:val="24"/>
        </w:rPr>
        <w:t xml:space="preserve">, para reconocer la ternura y abrazar a los que abrazan. </w:t>
      </w:r>
    </w:p>
    <w:p w:rsidR="00BB5679" w:rsidRPr="00CC0822" w:rsidRDefault="00FF3983" w:rsidP="00F51241">
      <w:pPr>
        <w:spacing w:line="360" w:lineRule="auto"/>
        <w:jc w:val="both"/>
        <w:rPr>
          <w:rFonts w:ascii="Arial" w:hAnsi="Arial" w:cs="Arial"/>
          <w:sz w:val="24"/>
          <w:szCs w:val="24"/>
        </w:rPr>
      </w:pPr>
      <w:r>
        <w:rPr>
          <w:rFonts w:ascii="Arial" w:hAnsi="Arial" w:cs="Arial"/>
          <w:sz w:val="24"/>
          <w:szCs w:val="24"/>
        </w:rPr>
        <w:t xml:space="preserve">Las respuestas </w:t>
      </w:r>
      <w:r w:rsidR="00BB5679" w:rsidRPr="00CC0822">
        <w:rPr>
          <w:rFonts w:ascii="Arial" w:hAnsi="Arial" w:cs="Arial"/>
          <w:sz w:val="24"/>
          <w:szCs w:val="24"/>
        </w:rPr>
        <w:t>comunitaria</w:t>
      </w:r>
      <w:r>
        <w:rPr>
          <w:rFonts w:ascii="Arial" w:hAnsi="Arial" w:cs="Arial"/>
          <w:sz w:val="24"/>
          <w:szCs w:val="24"/>
        </w:rPr>
        <w:t>s</w:t>
      </w:r>
      <w:r w:rsidR="00BB5679" w:rsidRPr="00CC0822">
        <w:rPr>
          <w:rFonts w:ascii="Arial" w:hAnsi="Arial" w:cs="Arial"/>
          <w:sz w:val="24"/>
          <w:szCs w:val="24"/>
        </w:rPr>
        <w:t xml:space="preserve"> suma</w:t>
      </w:r>
      <w:r>
        <w:rPr>
          <w:rFonts w:ascii="Arial" w:hAnsi="Arial" w:cs="Arial"/>
          <w:sz w:val="24"/>
          <w:szCs w:val="24"/>
        </w:rPr>
        <w:t>n</w:t>
      </w:r>
      <w:r w:rsidR="00BB5679" w:rsidRPr="00CC0822">
        <w:rPr>
          <w:rFonts w:ascii="Arial" w:hAnsi="Arial" w:cs="Arial"/>
          <w:sz w:val="24"/>
          <w:szCs w:val="24"/>
        </w:rPr>
        <w:t xml:space="preserve"> vínculos, iden</w:t>
      </w:r>
      <w:r w:rsidR="00532F5B">
        <w:rPr>
          <w:rFonts w:ascii="Arial" w:hAnsi="Arial" w:cs="Arial"/>
          <w:sz w:val="24"/>
          <w:szCs w:val="24"/>
        </w:rPr>
        <w:t xml:space="preserve">tificaciones, límites y afectos. </w:t>
      </w:r>
      <w:r>
        <w:rPr>
          <w:rFonts w:ascii="Arial" w:hAnsi="Arial" w:cs="Arial"/>
          <w:sz w:val="24"/>
          <w:szCs w:val="24"/>
        </w:rPr>
        <w:t>V</w:t>
      </w:r>
      <w:r w:rsidR="00BB5679" w:rsidRPr="00CC0822">
        <w:rPr>
          <w:rFonts w:ascii="Arial" w:hAnsi="Arial" w:cs="Arial"/>
          <w:sz w:val="24"/>
          <w:szCs w:val="24"/>
        </w:rPr>
        <w:t>ínculos debilitad</w:t>
      </w:r>
      <w:r>
        <w:rPr>
          <w:rFonts w:ascii="Arial" w:hAnsi="Arial" w:cs="Arial"/>
          <w:sz w:val="24"/>
          <w:szCs w:val="24"/>
        </w:rPr>
        <w:t>o</w:t>
      </w:r>
      <w:r w:rsidR="00BB5679" w:rsidRPr="00CC0822">
        <w:rPr>
          <w:rFonts w:ascii="Arial" w:hAnsi="Arial" w:cs="Arial"/>
          <w:sz w:val="24"/>
          <w:szCs w:val="24"/>
        </w:rPr>
        <w:t>s o fragmentari</w:t>
      </w:r>
      <w:r>
        <w:rPr>
          <w:rFonts w:ascii="Arial" w:hAnsi="Arial" w:cs="Arial"/>
          <w:sz w:val="24"/>
          <w:szCs w:val="24"/>
        </w:rPr>
        <w:t>o</w:t>
      </w:r>
      <w:r w:rsidR="00BB5679" w:rsidRPr="00CC0822">
        <w:rPr>
          <w:rFonts w:ascii="Arial" w:hAnsi="Arial" w:cs="Arial"/>
          <w:sz w:val="24"/>
          <w:szCs w:val="24"/>
        </w:rPr>
        <w:t>s se ven fortalecid</w:t>
      </w:r>
      <w:r>
        <w:rPr>
          <w:rFonts w:ascii="Arial" w:hAnsi="Arial" w:cs="Arial"/>
          <w:sz w:val="24"/>
          <w:szCs w:val="24"/>
        </w:rPr>
        <w:t>o</w:t>
      </w:r>
      <w:r w:rsidR="00BB5679" w:rsidRPr="00CC0822">
        <w:rPr>
          <w:rFonts w:ascii="Arial" w:hAnsi="Arial" w:cs="Arial"/>
          <w:sz w:val="24"/>
          <w:szCs w:val="24"/>
        </w:rPr>
        <w:t xml:space="preserve">s por quienes recorren lo incompleto, completándolo. Una canchita de fútbol y un entrenador barrial, una Casa del Niño o una murga reunida en una sociedad de fomento cicatrizan heridas, completan identidades y proponen futuros. </w:t>
      </w:r>
      <w:r w:rsidR="00F51241" w:rsidRPr="00F51241">
        <w:rPr>
          <w:rFonts w:ascii="Arial" w:hAnsi="Arial" w:cs="Arial"/>
          <w:sz w:val="24"/>
          <w:szCs w:val="24"/>
        </w:rPr>
        <w:t>Las organizaciones comunitarias han cumplido y cumplen, con creces, los compromisos firmados con el Estado respecto de la niñez. Este cumplimiento ha excedido, en su capacidad de crear respuestas, las acciones que los programas han imaginado, acompañando así el deber del Estado de garantizar el abrigo de las infancias. </w:t>
      </w:r>
      <w:r w:rsidR="00BB5679" w:rsidRPr="00717B5F">
        <w:rPr>
          <w:rFonts w:ascii="Arial" w:hAnsi="Arial" w:cs="Arial"/>
          <w:sz w:val="24"/>
          <w:szCs w:val="24"/>
        </w:rPr>
        <w:t>L</w:t>
      </w:r>
      <w:r w:rsidR="00BB5679" w:rsidRPr="00CC0822">
        <w:rPr>
          <w:rFonts w:ascii="Arial" w:hAnsi="Arial" w:cs="Arial"/>
          <w:sz w:val="24"/>
          <w:szCs w:val="24"/>
        </w:rPr>
        <w:t xml:space="preserve">as respuestas comunitarias trazan, en el campo de lo público, caminos capilares. La terminal de esos caminos son proyectos vitales concretos, con nombre y apellido. </w:t>
      </w:r>
    </w:p>
    <w:p w:rsidR="00A00989" w:rsidRDefault="00A00989" w:rsidP="00FA32A3">
      <w:pPr>
        <w:spacing w:before="120" w:after="0" w:line="360" w:lineRule="auto"/>
        <w:jc w:val="both"/>
        <w:rPr>
          <w:rFonts w:ascii="Arial" w:eastAsia="Bookman Old Style" w:hAnsi="Arial" w:cs="Arial"/>
          <w:b/>
          <w:bCs/>
          <w:sz w:val="24"/>
          <w:szCs w:val="24"/>
        </w:rPr>
      </w:pPr>
    </w:p>
    <w:p w:rsidR="000204B0" w:rsidRDefault="000204B0" w:rsidP="00FA32A3">
      <w:pPr>
        <w:spacing w:before="120" w:after="0" w:line="360" w:lineRule="auto"/>
        <w:jc w:val="both"/>
        <w:rPr>
          <w:rFonts w:ascii="Arial" w:eastAsia="Bookman Old Style" w:hAnsi="Arial" w:cs="Arial"/>
          <w:b/>
          <w:bCs/>
          <w:sz w:val="24"/>
          <w:szCs w:val="24"/>
        </w:rPr>
      </w:pPr>
      <w:r w:rsidRPr="00CC0822">
        <w:rPr>
          <w:rFonts w:ascii="Arial" w:eastAsia="Bookman Old Style" w:hAnsi="Arial" w:cs="Arial"/>
          <w:b/>
          <w:bCs/>
          <w:sz w:val="24"/>
          <w:szCs w:val="24"/>
        </w:rPr>
        <w:t>La ternura como categoría política y acción pública</w:t>
      </w:r>
    </w:p>
    <w:p w:rsidR="000204B0" w:rsidRPr="00CC0822" w:rsidRDefault="000204B0" w:rsidP="00FA32A3">
      <w:pPr>
        <w:spacing w:before="120" w:after="0" w:line="360" w:lineRule="auto"/>
        <w:jc w:val="both"/>
        <w:rPr>
          <w:rFonts w:ascii="Arial" w:eastAsia="Bookman Old Style" w:hAnsi="Arial" w:cs="Arial"/>
          <w:sz w:val="24"/>
          <w:szCs w:val="24"/>
        </w:rPr>
      </w:pPr>
      <w:r w:rsidRPr="00800AEE">
        <w:rPr>
          <w:rFonts w:ascii="Arial" w:eastAsia="Bookman Old Style" w:hAnsi="Arial" w:cs="Arial"/>
          <w:sz w:val="24"/>
          <w:szCs w:val="24"/>
        </w:rPr>
        <w:t>La</w:t>
      </w:r>
      <w:r w:rsidR="00532F5B" w:rsidRPr="00800AEE">
        <w:rPr>
          <w:rFonts w:ascii="Arial" w:eastAsia="Bookman Old Style" w:hAnsi="Arial" w:cs="Arial"/>
          <w:sz w:val="24"/>
          <w:szCs w:val="24"/>
        </w:rPr>
        <w:t xml:space="preserve">s organizaciones de niñez </w:t>
      </w:r>
      <w:r w:rsidR="00E235FA" w:rsidRPr="00800AEE">
        <w:rPr>
          <w:rFonts w:ascii="Arial" w:eastAsia="Bookman Old Style" w:hAnsi="Arial" w:cs="Arial"/>
          <w:sz w:val="24"/>
          <w:szCs w:val="24"/>
        </w:rPr>
        <w:t>surgidas en</w:t>
      </w:r>
      <w:r w:rsidR="00532F5B" w:rsidRPr="00800AEE">
        <w:rPr>
          <w:rFonts w:ascii="Arial" w:eastAsia="Bookman Old Style" w:hAnsi="Arial" w:cs="Arial"/>
          <w:sz w:val="24"/>
          <w:szCs w:val="24"/>
        </w:rPr>
        <w:t xml:space="preserve"> los años 80</w:t>
      </w:r>
      <w:r w:rsidRPr="00800AEE">
        <w:rPr>
          <w:rFonts w:ascii="Arial" w:eastAsia="Bookman Old Style" w:hAnsi="Arial" w:cs="Arial"/>
          <w:sz w:val="24"/>
          <w:szCs w:val="24"/>
        </w:rPr>
        <w:t xml:space="preserve"> nos han legado, con su praxis, un marco teórico situado, a la medida de nuestra realidad. Para estas</w:t>
      </w:r>
      <w:r w:rsidRPr="00CC0822">
        <w:rPr>
          <w:rFonts w:ascii="Arial" w:eastAsia="Bookman Old Style" w:hAnsi="Arial" w:cs="Arial"/>
          <w:sz w:val="24"/>
          <w:szCs w:val="24"/>
        </w:rPr>
        <w:t xml:space="preserve"> organizaciones, la ternura es bandera y modo de actuación. La comunidad que abriga y alienta los proyectos de vida de la niñez y la adolescencia es, por esta razón, una pieza central de las trasformaciones. </w:t>
      </w:r>
      <w:r w:rsidRPr="00F95641">
        <w:rPr>
          <w:rFonts w:ascii="Arial" w:eastAsia="Bookman Old Style" w:hAnsi="Arial" w:cs="Arial"/>
          <w:sz w:val="24"/>
          <w:szCs w:val="24"/>
        </w:rPr>
        <w:t>Estas organizaciones interpelaron -e interpelan- con su acción, los dispositivos y discursos estatales y sociales referidos a la niñez.</w:t>
      </w:r>
      <w:r w:rsidRPr="00CC0822">
        <w:rPr>
          <w:rFonts w:ascii="Arial" w:eastAsia="Bookman Old Style" w:hAnsi="Arial" w:cs="Arial"/>
          <w:sz w:val="24"/>
          <w:szCs w:val="24"/>
        </w:rPr>
        <w:t xml:space="preserve"> Las consignas </w:t>
      </w:r>
      <w:r w:rsidRPr="00CC0822">
        <w:rPr>
          <w:rFonts w:ascii="Arial" w:eastAsia="Bookman Old Style" w:hAnsi="Arial" w:cs="Arial"/>
          <w:i/>
          <w:sz w:val="24"/>
          <w:szCs w:val="24"/>
        </w:rPr>
        <w:t>El Hambre es un Crimen</w:t>
      </w:r>
      <w:r w:rsidRPr="00CC0822">
        <w:rPr>
          <w:rFonts w:ascii="Arial" w:eastAsia="Bookman Old Style" w:hAnsi="Arial" w:cs="Arial"/>
          <w:sz w:val="24"/>
          <w:szCs w:val="24"/>
        </w:rPr>
        <w:t xml:space="preserve"> y </w:t>
      </w:r>
      <w:r w:rsidRPr="00CC0822">
        <w:rPr>
          <w:rFonts w:ascii="Arial" w:eastAsia="Bookman Old Style" w:hAnsi="Arial" w:cs="Arial"/>
          <w:i/>
          <w:sz w:val="24"/>
          <w:szCs w:val="24"/>
        </w:rPr>
        <w:t>Con Ternura Venceremos</w:t>
      </w:r>
      <w:r w:rsidRPr="00CC0822">
        <w:rPr>
          <w:rFonts w:ascii="Arial" w:eastAsia="Bookman Old Style" w:hAnsi="Arial" w:cs="Arial"/>
          <w:sz w:val="24"/>
          <w:szCs w:val="24"/>
        </w:rPr>
        <w:t xml:space="preserve"> señalan el camino a seguir: a partir de estas convicciones, la ternura deja de ser una invocación romántica para convertirse en una categoría política.</w:t>
      </w:r>
    </w:p>
    <w:p w:rsidR="000204B0" w:rsidRPr="00CC0822" w:rsidRDefault="000E1F79" w:rsidP="00FA32A3">
      <w:pPr>
        <w:spacing w:before="120" w:after="0" w:line="360" w:lineRule="auto"/>
        <w:jc w:val="both"/>
        <w:rPr>
          <w:rFonts w:ascii="Arial" w:eastAsia="Times New Roman" w:hAnsi="Arial" w:cs="Arial"/>
          <w:color w:val="000000"/>
          <w:sz w:val="24"/>
          <w:szCs w:val="24"/>
        </w:rPr>
      </w:pPr>
      <w:r>
        <w:rPr>
          <w:rFonts w:ascii="Arial" w:eastAsia="Times New Roman" w:hAnsi="Arial" w:cs="Arial"/>
          <w:color w:val="000000"/>
          <w:sz w:val="24"/>
          <w:szCs w:val="24"/>
        </w:rPr>
        <w:lastRenderedPageBreak/>
        <w:t xml:space="preserve">Alberto </w:t>
      </w:r>
      <w:proofErr w:type="spellStart"/>
      <w:r>
        <w:rPr>
          <w:rFonts w:ascii="Arial" w:eastAsia="Times New Roman" w:hAnsi="Arial" w:cs="Arial"/>
          <w:color w:val="000000"/>
          <w:sz w:val="24"/>
          <w:szCs w:val="24"/>
        </w:rPr>
        <w:t>Morlachetti</w:t>
      </w:r>
      <w:proofErr w:type="spellEnd"/>
      <w:r>
        <w:rPr>
          <w:rFonts w:ascii="Arial" w:eastAsia="Times New Roman" w:hAnsi="Arial" w:cs="Arial"/>
          <w:color w:val="000000"/>
          <w:sz w:val="24"/>
          <w:szCs w:val="24"/>
        </w:rPr>
        <w:t xml:space="preserve"> sostenía</w:t>
      </w:r>
      <w:r w:rsidR="000204B0" w:rsidRPr="00CC0822">
        <w:rPr>
          <w:rFonts w:ascii="Arial" w:eastAsia="Times New Roman" w:hAnsi="Arial" w:cs="Arial"/>
          <w:color w:val="000000"/>
          <w:sz w:val="24"/>
          <w:szCs w:val="24"/>
        </w:rPr>
        <w:t xml:space="preserve"> que la ternura “tiene el secreto pedagógico”, </w:t>
      </w:r>
      <w:r w:rsidR="00EA28D0">
        <w:rPr>
          <w:rFonts w:ascii="Arial" w:eastAsia="Times New Roman" w:hAnsi="Arial" w:cs="Arial"/>
          <w:color w:val="000000"/>
          <w:sz w:val="24"/>
          <w:szCs w:val="24"/>
        </w:rPr>
        <w:t xml:space="preserve">subrayando que </w:t>
      </w:r>
      <w:r w:rsidR="000204B0" w:rsidRPr="00CC0822">
        <w:rPr>
          <w:rFonts w:ascii="Arial" w:eastAsia="Times New Roman" w:hAnsi="Arial" w:cs="Arial"/>
          <w:color w:val="000000"/>
          <w:sz w:val="24"/>
          <w:szCs w:val="24"/>
        </w:rPr>
        <w:t>en tiempos de “</w:t>
      </w:r>
      <w:proofErr w:type="spellStart"/>
      <w:r w:rsidR="000204B0" w:rsidRPr="00CC0822">
        <w:rPr>
          <w:rFonts w:ascii="Arial" w:eastAsia="Times New Roman" w:hAnsi="Arial" w:cs="Arial"/>
          <w:color w:val="000000"/>
          <w:sz w:val="24"/>
          <w:szCs w:val="24"/>
        </w:rPr>
        <w:t>desangelamiento</w:t>
      </w:r>
      <w:proofErr w:type="spellEnd"/>
      <w:r w:rsidR="000204B0" w:rsidRPr="00CC0822">
        <w:rPr>
          <w:rFonts w:ascii="Arial" w:eastAsia="Times New Roman" w:hAnsi="Arial" w:cs="Arial"/>
          <w:color w:val="000000"/>
          <w:sz w:val="24"/>
          <w:szCs w:val="24"/>
        </w:rPr>
        <w:t xml:space="preserve"> humano”, de lo que se trata es de “seducir para la vida” (</w:t>
      </w:r>
      <w:proofErr w:type="spellStart"/>
      <w:r w:rsidR="000204B0" w:rsidRPr="00CC0822">
        <w:rPr>
          <w:rFonts w:ascii="Arial" w:eastAsia="Times New Roman" w:hAnsi="Arial" w:cs="Arial"/>
          <w:color w:val="000000"/>
          <w:sz w:val="24"/>
          <w:szCs w:val="24"/>
        </w:rPr>
        <w:t>Morlachetti</w:t>
      </w:r>
      <w:proofErr w:type="spellEnd"/>
      <w:r w:rsidR="000204B0" w:rsidRPr="00CC0822">
        <w:rPr>
          <w:rFonts w:ascii="Arial" w:eastAsia="Times New Roman" w:hAnsi="Arial" w:cs="Arial"/>
          <w:color w:val="000000"/>
          <w:sz w:val="24"/>
          <w:szCs w:val="24"/>
        </w:rPr>
        <w:t>, 2007, p.269)</w:t>
      </w:r>
      <w:r w:rsidR="00EA28D0">
        <w:rPr>
          <w:rFonts w:ascii="Arial" w:eastAsia="Times New Roman" w:hAnsi="Arial" w:cs="Arial"/>
          <w:color w:val="000000"/>
          <w:sz w:val="24"/>
          <w:szCs w:val="24"/>
        </w:rPr>
        <w:t>:</w:t>
      </w:r>
      <w:r w:rsidR="000204B0" w:rsidRPr="00CC0822">
        <w:rPr>
          <w:rFonts w:ascii="Arial" w:eastAsia="Times New Roman" w:hAnsi="Arial" w:cs="Arial"/>
          <w:color w:val="000000"/>
          <w:sz w:val="24"/>
          <w:szCs w:val="24"/>
        </w:rPr>
        <w:t xml:space="preserve"> </w:t>
      </w:r>
    </w:p>
    <w:p w:rsidR="000204B0" w:rsidRPr="00AD61B7" w:rsidRDefault="000204B0" w:rsidP="00FA32A3">
      <w:pPr>
        <w:spacing w:before="120" w:after="0" w:line="360" w:lineRule="auto"/>
        <w:ind w:left="568" w:right="568"/>
        <w:jc w:val="both"/>
        <w:rPr>
          <w:rFonts w:ascii="Arial" w:eastAsia="Times New Roman" w:hAnsi="Arial" w:cs="Arial"/>
          <w:color w:val="000000"/>
        </w:rPr>
      </w:pPr>
      <w:r w:rsidRPr="00AD61B7">
        <w:rPr>
          <w:rFonts w:ascii="Arial" w:eastAsia="Times New Roman" w:hAnsi="Arial" w:cs="Arial"/>
          <w:color w:val="000000"/>
        </w:rPr>
        <w:t>La ternura es el vehículo privilegiado del vínculo humano, proveedor de capacidades para mediatizar y orientar la afectividad (...). Posteriormente, este vínculo dará soporte a la capacidad de reconocer al otro como semejante, de inquietarse y responsabilizarse por las consecuencias de sus actos, es decir: de confiar en la reparación. Esto se hace posible cuando se ha experimentado la perdurabilidad, disponibilidad de las figuras vinculadas, constitutivo del sentimiento de amparo. (</w:t>
      </w:r>
      <w:proofErr w:type="spellStart"/>
      <w:r w:rsidRPr="00AD61B7">
        <w:rPr>
          <w:rFonts w:ascii="Arial" w:eastAsia="Times New Roman" w:hAnsi="Arial" w:cs="Arial"/>
          <w:color w:val="000000"/>
        </w:rPr>
        <w:t>Morlachetti</w:t>
      </w:r>
      <w:proofErr w:type="spellEnd"/>
      <w:r w:rsidRPr="00AD61B7">
        <w:rPr>
          <w:rFonts w:ascii="Arial" w:eastAsia="Times New Roman" w:hAnsi="Arial" w:cs="Arial"/>
          <w:color w:val="000000"/>
        </w:rPr>
        <w:t>, 2007, p.270)</w:t>
      </w:r>
      <w:r w:rsidR="00DE706A" w:rsidRPr="00AD61B7">
        <w:rPr>
          <w:rStyle w:val="Refdenotaalpie"/>
          <w:rFonts w:ascii="Arial" w:eastAsia="Times New Roman" w:hAnsi="Arial" w:cs="Arial"/>
          <w:color w:val="000000"/>
        </w:rPr>
        <w:footnoteReference w:id="4"/>
      </w:r>
    </w:p>
    <w:p w:rsidR="00E313CB" w:rsidRPr="00CC0822" w:rsidRDefault="00E313CB" w:rsidP="00FA32A3">
      <w:pPr>
        <w:spacing w:line="360" w:lineRule="auto"/>
        <w:jc w:val="both"/>
        <w:rPr>
          <w:rFonts w:ascii="Arial" w:hAnsi="Arial" w:cs="Arial"/>
          <w:b/>
          <w:sz w:val="24"/>
          <w:szCs w:val="24"/>
        </w:rPr>
      </w:pPr>
    </w:p>
    <w:p w:rsidR="00BD3154" w:rsidRDefault="00BD3154" w:rsidP="00FA32A3">
      <w:pPr>
        <w:spacing w:before="120" w:after="0" w:line="360" w:lineRule="auto"/>
        <w:jc w:val="both"/>
        <w:rPr>
          <w:rFonts w:ascii="Arial" w:hAnsi="Arial" w:cs="Arial"/>
          <w:sz w:val="24"/>
          <w:szCs w:val="24"/>
        </w:rPr>
      </w:pPr>
      <w:r w:rsidRPr="00BD3154">
        <w:rPr>
          <w:rFonts w:ascii="Arial" w:hAnsi="Arial" w:cs="Arial"/>
          <w:sz w:val="24"/>
          <w:szCs w:val="24"/>
        </w:rPr>
        <w:t>Al fundarse en lazos afectivos, las experiencias de convivencia reflejan su carácter comunitario. Las casas abiertas, las propue</w:t>
      </w:r>
      <w:r>
        <w:rPr>
          <w:rFonts w:ascii="Arial" w:hAnsi="Arial" w:cs="Arial"/>
          <w:sz w:val="24"/>
          <w:szCs w:val="24"/>
        </w:rPr>
        <w:t xml:space="preserve">stas de convivencia </w:t>
      </w:r>
      <w:r w:rsidRPr="00BD3154">
        <w:rPr>
          <w:rFonts w:ascii="Arial" w:hAnsi="Arial" w:cs="Arial"/>
          <w:sz w:val="24"/>
          <w:szCs w:val="24"/>
        </w:rPr>
        <w:t>de referentes barriales, así como las alternativas familiares de acogimiento, son algunas de las  formas que adoptan estas respuestas. En contraposición, los ámbitos institucionales basados en jerarquías y turnos de trabajo no están preparados para abrazar: por esta razón, para garantizar el abrigo, sin el Estado no se puede, pero con el Estado solo no alcanza.</w:t>
      </w:r>
    </w:p>
    <w:p w:rsidR="000204B0" w:rsidRPr="00F95641" w:rsidRDefault="00054508" w:rsidP="00FA32A3">
      <w:pPr>
        <w:spacing w:before="120" w:after="0" w:line="360" w:lineRule="auto"/>
        <w:jc w:val="both"/>
        <w:rPr>
          <w:rFonts w:ascii="Arial" w:hAnsi="Arial" w:cs="Arial"/>
          <w:sz w:val="24"/>
          <w:szCs w:val="24"/>
        </w:rPr>
      </w:pPr>
      <w:r w:rsidRPr="00F95641">
        <w:rPr>
          <w:rFonts w:ascii="Arial" w:hAnsi="Arial" w:cs="Arial"/>
          <w:sz w:val="24"/>
          <w:szCs w:val="24"/>
        </w:rPr>
        <w:t xml:space="preserve">A los </w:t>
      </w:r>
      <w:proofErr w:type="spellStart"/>
      <w:r w:rsidRPr="00F95641">
        <w:rPr>
          <w:rFonts w:ascii="Arial" w:hAnsi="Arial" w:cs="Arial"/>
          <w:sz w:val="24"/>
          <w:szCs w:val="24"/>
        </w:rPr>
        <w:t>macroinstitutos</w:t>
      </w:r>
      <w:proofErr w:type="spellEnd"/>
      <w:r w:rsidRPr="00F95641">
        <w:rPr>
          <w:rFonts w:ascii="Arial" w:hAnsi="Arial" w:cs="Arial"/>
          <w:sz w:val="24"/>
          <w:szCs w:val="24"/>
        </w:rPr>
        <w:t xml:space="preserve">, </w:t>
      </w:r>
      <w:r w:rsidR="00EA28D0" w:rsidRPr="00F95641">
        <w:rPr>
          <w:rFonts w:ascii="Arial" w:hAnsi="Arial" w:cs="Arial"/>
          <w:sz w:val="24"/>
          <w:szCs w:val="24"/>
        </w:rPr>
        <w:t xml:space="preserve">las respuestas comunitarias </w:t>
      </w:r>
      <w:r w:rsidRPr="00F95641">
        <w:rPr>
          <w:rFonts w:ascii="Arial" w:hAnsi="Arial" w:cs="Arial"/>
          <w:sz w:val="24"/>
          <w:szCs w:val="24"/>
        </w:rPr>
        <w:t>le contrap</w:t>
      </w:r>
      <w:r w:rsidR="00EA28D0" w:rsidRPr="00F95641">
        <w:rPr>
          <w:rFonts w:ascii="Arial" w:hAnsi="Arial" w:cs="Arial"/>
          <w:sz w:val="24"/>
          <w:szCs w:val="24"/>
        </w:rPr>
        <w:t>onen</w:t>
      </w:r>
      <w:r w:rsidR="00E01130" w:rsidRPr="00F95641">
        <w:rPr>
          <w:rFonts w:ascii="Arial" w:hAnsi="Arial" w:cs="Arial"/>
          <w:sz w:val="24"/>
          <w:szCs w:val="24"/>
        </w:rPr>
        <w:t xml:space="preserve"> </w:t>
      </w:r>
      <w:r w:rsidR="00EA28D0" w:rsidRPr="00F95641">
        <w:rPr>
          <w:rFonts w:ascii="Arial" w:hAnsi="Arial" w:cs="Arial"/>
          <w:sz w:val="24"/>
          <w:szCs w:val="24"/>
        </w:rPr>
        <w:t>pe</w:t>
      </w:r>
      <w:r w:rsidRPr="00F95641">
        <w:rPr>
          <w:rFonts w:ascii="Arial" w:hAnsi="Arial" w:cs="Arial"/>
          <w:sz w:val="24"/>
          <w:szCs w:val="24"/>
        </w:rPr>
        <w:t>queñas casas de convivencia. En estas comunidades</w:t>
      </w:r>
      <w:r w:rsidRPr="00F95641">
        <w:rPr>
          <w:rFonts w:ascii="Arial" w:hAnsi="Arial" w:cs="Arial"/>
          <w:iCs/>
          <w:sz w:val="24"/>
          <w:szCs w:val="24"/>
        </w:rPr>
        <w:t>,</w:t>
      </w:r>
      <w:r w:rsidRPr="00F95641">
        <w:rPr>
          <w:rFonts w:ascii="Arial" w:hAnsi="Arial" w:cs="Arial"/>
          <w:sz w:val="24"/>
          <w:szCs w:val="24"/>
        </w:rPr>
        <w:t xml:space="preserve"> niños y niñas comparten </w:t>
      </w:r>
      <w:r w:rsidR="00EA28D0" w:rsidRPr="00F95641">
        <w:rPr>
          <w:rFonts w:ascii="Arial" w:hAnsi="Arial" w:cs="Arial"/>
          <w:sz w:val="24"/>
          <w:szCs w:val="24"/>
        </w:rPr>
        <w:t xml:space="preserve">su vida cotidiana </w:t>
      </w:r>
      <w:r w:rsidRPr="00F95641">
        <w:rPr>
          <w:rFonts w:ascii="Arial" w:hAnsi="Arial" w:cs="Arial"/>
          <w:sz w:val="24"/>
          <w:szCs w:val="24"/>
        </w:rPr>
        <w:t xml:space="preserve">con referentes adultos que </w:t>
      </w:r>
      <w:r w:rsidR="00EA28D0" w:rsidRPr="00F95641">
        <w:rPr>
          <w:rFonts w:ascii="Arial" w:hAnsi="Arial" w:cs="Arial"/>
          <w:sz w:val="24"/>
          <w:szCs w:val="24"/>
        </w:rPr>
        <w:t>viven</w:t>
      </w:r>
      <w:r w:rsidRPr="00F95641">
        <w:rPr>
          <w:rFonts w:ascii="Arial" w:hAnsi="Arial" w:cs="Arial"/>
          <w:sz w:val="24"/>
          <w:szCs w:val="24"/>
        </w:rPr>
        <w:t xml:space="preserve"> con ellos/as</w:t>
      </w:r>
      <w:r w:rsidR="00EA28D0" w:rsidRPr="00F95641">
        <w:rPr>
          <w:rFonts w:ascii="Arial" w:hAnsi="Arial" w:cs="Arial"/>
          <w:sz w:val="24"/>
          <w:szCs w:val="24"/>
        </w:rPr>
        <w:t>, compartiendo un mismo destino</w:t>
      </w:r>
      <w:r w:rsidRPr="00F95641">
        <w:rPr>
          <w:rFonts w:ascii="Arial" w:hAnsi="Arial" w:cs="Arial"/>
          <w:sz w:val="24"/>
          <w:szCs w:val="24"/>
        </w:rPr>
        <w:t>.</w:t>
      </w:r>
    </w:p>
    <w:p w:rsidR="00EA28D0" w:rsidRDefault="00EA28D0" w:rsidP="00FA32A3">
      <w:pPr>
        <w:spacing w:before="120" w:after="0" w:line="360" w:lineRule="auto"/>
        <w:jc w:val="both"/>
        <w:rPr>
          <w:rFonts w:ascii="Arial" w:hAnsi="Arial" w:cs="Arial"/>
          <w:b/>
          <w:sz w:val="24"/>
          <w:szCs w:val="24"/>
        </w:rPr>
      </w:pPr>
      <w:r w:rsidRPr="00F95641">
        <w:rPr>
          <w:rFonts w:ascii="Arial" w:hAnsi="Arial" w:cs="Arial"/>
          <w:b/>
          <w:sz w:val="24"/>
          <w:szCs w:val="24"/>
        </w:rPr>
        <w:t>En materia de cuidados alternativos, si no basamos nuestras recomendaciones en este saber ancestral del continente, habremos equivocado el camino.</w:t>
      </w:r>
    </w:p>
    <w:p w:rsidR="00AD61B7" w:rsidRPr="00AD61B7" w:rsidRDefault="00AD61B7" w:rsidP="00AD61B7">
      <w:pPr>
        <w:spacing w:before="120" w:after="0" w:line="360" w:lineRule="auto"/>
        <w:jc w:val="right"/>
        <w:rPr>
          <w:rFonts w:ascii="Arial" w:hAnsi="Arial" w:cs="Arial"/>
        </w:rPr>
      </w:pPr>
      <w:r w:rsidRPr="00AD61B7">
        <w:rPr>
          <w:rFonts w:ascii="Arial" w:hAnsi="Arial" w:cs="Arial"/>
        </w:rPr>
        <w:t xml:space="preserve">Diputada Nacional </w:t>
      </w:r>
      <w:proofErr w:type="spellStart"/>
      <w:r w:rsidRPr="00AD61B7">
        <w:rPr>
          <w:rFonts w:ascii="Arial" w:hAnsi="Arial" w:cs="Arial"/>
        </w:rPr>
        <w:t>Bernazza</w:t>
      </w:r>
      <w:proofErr w:type="spellEnd"/>
      <w:r w:rsidR="00E863C7">
        <w:rPr>
          <w:rFonts w:ascii="Arial" w:hAnsi="Arial" w:cs="Arial"/>
        </w:rPr>
        <w:t>,</w:t>
      </w:r>
      <w:r w:rsidRPr="00AD61B7">
        <w:rPr>
          <w:rFonts w:ascii="Arial" w:hAnsi="Arial" w:cs="Arial"/>
        </w:rPr>
        <w:t xml:space="preserve"> Claudia</w:t>
      </w:r>
      <w:r w:rsidR="00E863C7">
        <w:rPr>
          <w:rFonts w:ascii="Arial" w:hAnsi="Arial" w:cs="Arial"/>
        </w:rPr>
        <w:t xml:space="preserve"> Alicia</w:t>
      </w:r>
    </w:p>
    <w:p w:rsidR="00AD61B7" w:rsidRPr="00AD61B7" w:rsidRDefault="00AD61B7" w:rsidP="00AD61B7">
      <w:pPr>
        <w:spacing w:before="120" w:after="0" w:line="360" w:lineRule="auto"/>
        <w:jc w:val="right"/>
        <w:rPr>
          <w:rFonts w:ascii="Arial" w:hAnsi="Arial" w:cs="Arial"/>
        </w:rPr>
      </w:pPr>
      <w:r w:rsidRPr="00AD61B7">
        <w:rPr>
          <w:rFonts w:ascii="Arial" w:hAnsi="Arial" w:cs="Arial"/>
        </w:rPr>
        <w:t>Diputada Nacional López</w:t>
      </w:r>
      <w:r w:rsidR="00E863C7">
        <w:rPr>
          <w:rFonts w:ascii="Arial" w:hAnsi="Arial" w:cs="Arial"/>
        </w:rPr>
        <w:t>, María</w:t>
      </w:r>
      <w:r w:rsidRPr="00AD61B7">
        <w:rPr>
          <w:rFonts w:ascii="Arial" w:hAnsi="Arial" w:cs="Arial"/>
        </w:rPr>
        <w:t xml:space="preserve"> Jimena</w:t>
      </w:r>
    </w:p>
    <w:p w:rsidR="00AD61B7" w:rsidRPr="00AD61B7" w:rsidRDefault="00AD61B7" w:rsidP="00AD61B7">
      <w:pPr>
        <w:spacing w:before="120" w:after="0" w:line="360" w:lineRule="auto"/>
        <w:jc w:val="right"/>
        <w:rPr>
          <w:rFonts w:ascii="Arial" w:hAnsi="Arial" w:cs="Arial"/>
        </w:rPr>
      </w:pPr>
      <w:r w:rsidRPr="00AD61B7">
        <w:rPr>
          <w:rFonts w:ascii="Arial" w:hAnsi="Arial" w:cs="Arial"/>
        </w:rPr>
        <w:t xml:space="preserve">Diputada Nacional </w:t>
      </w:r>
      <w:proofErr w:type="spellStart"/>
      <w:r w:rsidRPr="00AD61B7">
        <w:rPr>
          <w:rFonts w:ascii="Arial" w:hAnsi="Arial" w:cs="Arial"/>
        </w:rPr>
        <w:t>Russo</w:t>
      </w:r>
      <w:proofErr w:type="spellEnd"/>
      <w:r w:rsidR="00E863C7">
        <w:rPr>
          <w:rFonts w:ascii="Arial" w:hAnsi="Arial" w:cs="Arial"/>
        </w:rPr>
        <w:t>,</w:t>
      </w:r>
      <w:r w:rsidRPr="00AD61B7">
        <w:rPr>
          <w:rFonts w:ascii="Arial" w:hAnsi="Arial" w:cs="Arial"/>
        </w:rPr>
        <w:t xml:space="preserve"> Laura</w:t>
      </w:r>
    </w:p>
    <w:p w:rsidR="00AD61B7" w:rsidRPr="00AD61B7" w:rsidRDefault="00AD61B7" w:rsidP="00AD61B7">
      <w:pPr>
        <w:spacing w:before="120" w:after="0" w:line="360" w:lineRule="auto"/>
        <w:jc w:val="right"/>
        <w:rPr>
          <w:rFonts w:ascii="Arial" w:hAnsi="Arial" w:cs="Arial"/>
        </w:rPr>
      </w:pPr>
      <w:r w:rsidRPr="00AD61B7">
        <w:rPr>
          <w:rFonts w:ascii="Arial" w:hAnsi="Arial" w:cs="Arial"/>
        </w:rPr>
        <w:t xml:space="preserve">Diputada Nacional </w:t>
      </w:r>
      <w:proofErr w:type="spellStart"/>
      <w:r w:rsidRPr="00AD61B7">
        <w:rPr>
          <w:rFonts w:ascii="Arial" w:hAnsi="Arial" w:cs="Arial"/>
        </w:rPr>
        <w:t>Vessvessian</w:t>
      </w:r>
      <w:proofErr w:type="spellEnd"/>
      <w:r w:rsidR="00E863C7">
        <w:rPr>
          <w:rFonts w:ascii="Arial" w:hAnsi="Arial" w:cs="Arial"/>
        </w:rPr>
        <w:t>,</w:t>
      </w:r>
      <w:r w:rsidRPr="00AD61B7">
        <w:rPr>
          <w:rFonts w:ascii="Arial" w:hAnsi="Arial" w:cs="Arial"/>
        </w:rPr>
        <w:t xml:space="preserve"> Paola</w:t>
      </w:r>
      <w:bookmarkStart w:id="0" w:name="_GoBack"/>
      <w:bookmarkEnd w:id="0"/>
    </w:p>
    <w:p w:rsidR="00AD61B7" w:rsidRPr="00CC0822" w:rsidRDefault="00AD61B7" w:rsidP="00FA32A3">
      <w:pPr>
        <w:spacing w:before="120" w:after="0" w:line="360" w:lineRule="auto"/>
        <w:jc w:val="both"/>
        <w:rPr>
          <w:rFonts w:ascii="Arial" w:hAnsi="Arial" w:cs="Arial"/>
          <w:b/>
          <w:sz w:val="24"/>
          <w:szCs w:val="24"/>
        </w:rPr>
      </w:pPr>
    </w:p>
    <w:sectPr w:rsidR="00AD61B7" w:rsidRPr="00CC0822">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B06" w:rsidRDefault="00307B06" w:rsidP="00A15D5E">
      <w:pPr>
        <w:spacing w:after="0" w:line="240" w:lineRule="auto"/>
      </w:pPr>
      <w:r>
        <w:separator/>
      </w:r>
    </w:p>
  </w:endnote>
  <w:endnote w:type="continuationSeparator" w:id="0">
    <w:p w:rsidR="00307B06" w:rsidRDefault="00307B06" w:rsidP="00A15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5824677"/>
      <w:docPartObj>
        <w:docPartGallery w:val="Page Numbers (Bottom of Page)"/>
        <w:docPartUnique/>
      </w:docPartObj>
    </w:sdtPr>
    <w:sdtEndPr/>
    <w:sdtContent>
      <w:p w:rsidR="00EA28D0" w:rsidRDefault="00EA28D0">
        <w:pPr>
          <w:pStyle w:val="Piedepgina"/>
          <w:jc w:val="right"/>
        </w:pPr>
        <w:r>
          <w:fldChar w:fldCharType="begin"/>
        </w:r>
        <w:r>
          <w:instrText>PAGE   \* MERGEFORMAT</w:instrText>
        </w:r>
        <w:r>
          <w:fldChar w:fldCharType="separate"/>
        </w:r>
        <w:r w:rsidR="00E863C7" w:rsidRPr="00E863C7">
          <w:rPr>
            <w:noProof/>
            <w:lang w:val="es-ES"/>
          </w:rPr>
          <w:t>6</w:t>
        </w:r>
        <w:r>
          <w:fldChar w:fldCharType="end"/>
        </w:r>
      </w:p>
    </w:sdtContent>
  </w:sdt>
  <w:p w:rsidR="00EA28D0" w:rsidRDefault="00EA28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B06" w:rsidRDefault="00307B06" w:rsidP="00A15D5E">
      <w:pPr>
        <w:spacing w:after="0" w:line="240" w:lineRule="auto"/>
      </w:pPr>
      <w:r>
        <w:separator/>
      </w:r>
    </w:p>
  </w:footnote>
  <w:footnote w:type="continuationSeparator" w:id="0">
    <w:p w:rsidR="00307B06" w:rsidRDefault="00307B06" w:rsidP="00A15D5E">
      <w:pPr>
        <w:spacing w:after="0" w:line="240" w:lineRule="auto"/>
      </w:pPr>
      <w:r>
        <w:continuationSeparator/>
      </w:r>
    </w:p>
  </w:footnote>
  <w:footnote w:id="1">
    <w:p w:rsidR="00AB3C35" w:rsidRDefault="00AB3C35">
      <w:pPr>
        <w:pStyle w:val="Textonotapie"/>
      </w:pPr>
      <w:r>
        <w:rPr>
          <w:rStyle w:val="Refdenotaalpie"/>
        </w:rPr>
        <w:footnoteRef/>
      </w:r>
      <w:r w:rsidR="003B64CD">
        <w:t xml:space="preserve"> Forma de organización comunal propio de la región andina de América del Sur. </w:t>
      </w:r>
    </w:p>
  </w:footnote>
  <w:footnote w:id="2">
    <w:p w:rsidR="00AB3C35" w:rsidRDefault="00AB3C35" w:rsidP="00383EB8">
      <w:pPr>
        <w:pStyle w:val="Textonotapie"/>
        <w:ind w:left="0" w:firstLine="0"/>
      </w:pPr>
      <w:r>
        <w:rPr>
          <w:rStyle w:val="Refdenotaalpie"/>
        </w:rPr>
        <w:footnoteRef/>
      </w:r>
      <w:r w:rsidR="00383EB8">
        <w:t xml:space="preserve"> En Argentina los jóvenes utilizan este término para dar cuenta de una práctica que consiste en instalarse en un lugar y compartir/convivir con otros en un clima de vínculos que protege a los pares que forman parte. A partir de esta forma de vida </w:t>
      </w:r>
      <w:r w:rsidR="008143F4">
        <w:t>se</w:t>
      </w:r>
      <w:r w:rsidR="00383EB8">
        <w:t xml:space="preserve"> llam</w:t>
      </w:r>
      <w:r w:rsidR="008143F4">
        <w:t>a</w:t>
      </w:r>
      <w:r w:rsidR="00383EB8">
        <w:t xml:space="preserve"> “ranchada” al lugar elegido por el grupo. </w:t>
      </w:r>
    </w:p>
  </w:footnote>
  <w:footnote w:id="3">
    <w:p w:rsidR="00562A59" w:rsidRPr="00383EB8" w:rsidRDefault="00562A59" w:rsidP="00562A59">
      <w:pPr>
        <w:jc w:val="both"/>
        <w:rPr>
          <w:rFonts w:ascii="Arial" w:hAnsi="Arial" w:cs="Arial"/>
          <w:sz w:val="20"/>
          <w:szCs w:val="20"/>
        </w:rPr>
      </w:pPr>
      <w:r w:rsidRPr="000A6588">
        <w:rPr>
          <w:rStyle w:val="Refdenotaalpie"/>
          <w:rFonts w:ascii="Arial" w:hAnsi="Arial" w:cs="Arial"/>
          <w:sz w:val="20"/>
          <w:szCs w:val="20"/>
        </w:rPr>
        <w:footnoteRef/>
      </w:r>
      <w:r>
        <w:t xml:space="preserve"> </w:t>
      </w:r>
      <w:r w:rsidR="008C543F">
        <w:rPr>
          <w:rFonts w:ascii="Arial" w:hAnsi="Arial" w:cs="Arial"/>
          <w:sz w:val="20"/>
          <w:szCs w:val="20"/>
        </w:rPr>
        <w:t>La</w:t>
      </w:r>
      <w:r w:rsidRPr="00383EB8">
        <w:rPr>
          <w:rFonts w:ascii="Arial" w:hAnsi="Arial" w:cs="Arial"/>
          <w:sz w:val="20"/>
          <w:szCs w:val="20"/>
        </w:rPr>
        <w:t xml:space="preserve"> progresiva confluencia </w:t>
      </w:r>
      <w:r w:rsidR="008C543F">
        <w:rPr>
          <w:rFonts w:ascii="Arial" w:hAnsi="Arial" w:cs="Arial"/>
          <w:sz w:val="20"/>
          <w:szCs w:val="20"/>
        </w:rPr>
        <w:t xml:space="preserve">de </w:t>
      </w:r>
      <w:r w:rsidR="008143F4">
        <w:rPr>
          <w:rFonts w:ascii="Arial" w:hAnsi="Arial" w:cs="Arial"/>
          <w:sz w:val="20"/>
          <w:szCs w:val="20"/>
        </w:rPr>
        <w:t>e</w:t>
      </w:r>
      <w:r w:rsidR="008C543F">
        <w:rPr>
          <w:rFonts w:ascii="Arial" w:hAnsi="Arial" w:cs="Arial"/>
          <w:sz w:val="20"/>
          <w:szCs w:val="20"/>
        </w:rPr>
        <w:t xml:space="preserve">stas casas </w:t>
      </w:r>
      <w:r w:rsidRPr="00383EB8">
        <w:rPr>
          <w:rFonts w:ascii="Arial" w:hAnsi="Arial" w:cs="Arial"/>
          <w:sz w:val="20"/>
          <w:szCs w:val="20"/>
        </w:rPr>
        <w:t>dio lugar, en 1987, a</w:t>
      </w:r>
      <w:r w:rsidR="008143F4">
        <w:rPr>
          <w:rFonts w:ascii="Arial" w:hAnsi="Arial" w:cs="Arial"/>
          <w:sz w:val="20"/>
          <w:szCs w:val="20"/>
        </w:rPr>
        <w:t xml:space="preserve">l surgimiento del </w:t>
      </w:r>
      <w:r w:rsidRPr="008143F4">
        <w:rPr>
          <w:rFonts w:ascii="Arial" w:hAnsi="Arial" w:cs="Arial"/>
          <w:i/>
          <w:sz w:val="20"/>
          <w:szCs w:val="20"/>
        </w:rPr>
        <w:t xml:space="preserve">Movimiento Nacional de los Chicos del </w:t>
      </w:r>
      <w:r w:rsidR="000A6588" w:rsidRPr="008143F4">
        <w:rPr>
          <w:rFonts w:ascii="Arial" w:hAnsi="Arial" w:cs="Arial"/>
          <w:i/>
          <w:sz w:val="20"/>
          <w:szCs w:val="20"/>
        </w:rPr>
        <w:t>Pueblo</w:t>
      </w:r>
      <w:r w:rsidR="008143F4">
        <w:rPr>
          <w:rFonts w:ascii="Arial" w:hAnsi="Arial" w:cs="Arial"/>
          <w:sz w:val="20"/>
          <w:szCs w:val="20"/>
        </w:rPr>
        <w:t>,</w:t>
      </w:r>
      <w:r w:rsidR="000A6588">
        <w:rPr>
          <w:rFonts w:ascii="Arial" w:hAnsi="Arial" w:cs="Arial"/>
          <w:sz w:val="20"/>
          <w:szCs w:val="20"/>
        </w:rPr>
        <w:t xml:space="preserve"> cuyas consignas fundantes </w:t>
      </w:r>
      <w:r w:rsidR="008143F4">
        <w:rPr>
          <w:rFonts w:ascii="Arial" w:hAnsi="Arial" w:cs="Arial"/>
          <w:sz w:val="20"/>
          <w:szCs w:val="20"/>
        </w:rPr>
        <w:t>aún persisten</w:t>
      </w:r>
      <w:r w:rsidR="000A6588">
        <w:rPr>
          <w:rFonts w:ascii="Arial" w:hAnsi="Arial" w:cs="Arial"/>
          <w:sz w:val="20"/>
          <w:szCs w:val="20"/>
        </w:rPr>
        <w:t>: “El hambre es un crimen”</w:t>
      </w:r>
      <w:r w:rsidR="008143F4">
        <w:rPr>
          <w:rFonts w:ascii="Arial" w:hAnsi="Arial" w:cs="Arial"/>
          <w:sz w:val="20"/>
          <w:szCs w:val="20"/>
        </w:rPr>
        <w:t xml:space="preserve">, </w:t>
      </w:r>
      <w:r w:rsidR="000A6588">
        <w:rPr>
          <w:rFonts w:ascii="Arial" w:hAnsi="Arial" w:cs="Arial"/>
          <w:sz w:val="20"/>
          <w:szCs w:val="20"/>
        </w:rPr>
        <w:t>“Con ternura, venceremos”.</w:t>
      </w:r>
    </w:p>
    <w:p w:rsidR="00562A59" w:rsidRDefault="00562A59">
      <w:pPr>
        <w:pStyle w:val="Textonotapie"/>
      </w:pPr>
    </w:p>
  </w:footnote>
  <w:footnote w:id="4">
    <w:p w:rsidR="00DE706A" w:rsidRDefault="00DE706A">
      <w:pPr>
        <w:pStyle w:val="Textonotapie"/>
      </w:pPr>
      <w:r>
        <w:rPr>
          <w:rStyle w:val="Refdenotaalpie"/>
        </w:rPr>
        <w:footnoteRef/>
      </w:r>
      <w:r>
        <w:t xml:space="preserve"> </w:t>
      </w:r>
      <w:proofErr w:type="spellStart"/>
      <w:r w:rsidRPr="00DE706A">
        <w:t>Morlachetti</w:t>
      </w:r>
      <w:proofErr w:type="spellEnd"/>
      <w:r w:rsidRPr="00DE706A">
        <w:t xml:space="preserve">, A. (2007). </w:t>
      </w:r>
      <w:r w:rsidRPr="00DE706A">
        <w:rPr>
          <w:i/>
        </w:rPr>
        <w:t>Crónicas desangeladas</w:t>
      </w:r>
      <w:r w:rsidRPr="00DE706A">
        <w:t>. Avellaneda: Escuela T. G. Manchita.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59D"/>
    <w:rsid w:val="000204B0"/>
    <w:rsid w:val="0002505C"/>
    <w:rsid w:val="000413DA"/>
    <w:rsid w:val="00046E7B"/>
    <w:rsid w:val="00054508"/>
    <w:rsid w:val="00095AAA"/>
    <w:rsid w:val="000A6588"/>
    <w:rsid w:val="000E06B2"/>
    <w:rsid w:val="000E1F79"/>
    <w:rsid w:val="00100441"/>
    <w:rsid w:val="001E6AD9"/>
    <w:rsid w:val="00212DC2"/>
    <w:rsid w:val="00227872"/>
    <w:rsid w:val="002522E6"/>
    <w:rsid w:val="00253C9A"/>
    <w:rsid w:val="00282C8F"/>
    <w:rsid w:val="002C41BA"/>
    <w:rsid w:val="002E6F4F"/>
    <w:rsid w:val="003033D6"/>
    <w:rsid w:val="00307B06"/>
    <w:rsid w:val="00383EB8"/>
    <w:rsid w:val="003A71EB"/>
    <w:rsid w:val="003B0901"/>
    <w:rsid w:val="003B64CD"/>
    <w:rsid w:val="003C799B"/>
    <w:rsid w:val="003E520A"/>
    <w:rsid w:val="003F58A9"/>
    <w:rsid w:val="004449B6"/>
    <w:rsid w:val="00474954"/>
    <w:rsid w:val="004B7B46"/>
    <w:rsid w:val="004C125C"/>
    <w:rsid w:val="004E3EC0"/>
    <w:rsid w:val="005119D1"/>
    <w:rsid w:val="00532F5B"/>
    <w:rsid w:val="00562A59"/>
    <w:rsid w:val="00572D88"/>
    <w:rsid w:val="00602BBD"/>
    <w:rsid w:val="00657D9D"/>
    <w:rsid w:val="00671F31"/>
    <w:rsid w:val="0067647A"/>
    <w:rsid w:val="006B3B78"/>
    <w:rsid w:val="006C586D"/>
    <w:rsid w:val="006D1E6D"/>
    <w:rsid w:val="006E5F07"/>
    <w:rsid w:val="00717B5F"/>
    <w:rsid w:val="00771DCB"/>
    <w:rsid w:val="007B5BCE"/>
    <w:rsid w:val="007E159D"/>
    <w:rsid w:val="00800AEE"/>
    <w:rsid w:val="008143F4"/>
    <w:rsid w:val="00834203"/>
    <w:rsid w:val="008368F1"/>
    <w:rsid w:val="008C543F"/>
    <w:rsid w:val="0093477B"/>
    <w:rsid w:val="009C2E88"/>
    <w:rsid w:val="009C53B3"/>
    <w:rsid w:val="00A00989"/>
    <w:rsid w:val="00A15D5E"/>
    <w:rsid w:val="00A33D80"/>
    <w:rsid w:val="00A503CA"/>
    <w:rsid w:val="00A8356A"/>
    <w:rsid w:val="00AA6F40"/>
    <w:rsid w:val="00AB3C35"/>
    <w:rsid w:val="00AD61B7"/>
    <w:rsid w:val="00BB5679"/>
    <w:rsid w:val="00BD3154"/>
    <w:rsid w:val="00BF10CE"/>
    <w:rsid w:val="00C44861"/>
    <w:rsid w:val="00C73F19"/>
    <w:rsid w:val="00CB5F4E"/>
    <w:rsid w:val="00CC0822"/>
    <w:rsid w:val="00CD7E79"/>
    <w:rsid w:val="00D2054F"/>
    <w:rsid w:val="00D566D6"/>
    <w:rsid w:val="00D64AB6"/>
    <w:rsid w:val="00DC2212"/>
    <w:rsid w:val="00DC3AE6"/>
    <w:rsid w:val="00DD0EAA"/>
    <w:rsid w:val="00DE706A"/>
    <w:rsid w:val="00E01130"/>
    <w:rsid w:val="00E235FA"/>
    <w:rsid w:val="00E313CB"/>
    <w:rsid w:val="00E863C7"/>
    <w:rsid w:val="00EA057E"/>
    <w:rsid w:val="00EA28D0"/>
    <w:rsid w:val="00EA31F3"/>
    <w:rsid w:val="00F51241"/>
    <w:rsid w:val="00F95641"/>
    <w:rsid w:val="00FA32A3"/>
    <w:rsid w:val="00FD4284"/>
    <w:rsid w:val="00FE447F"/>
    <w:rsid w:val="00FF3983"/>
  </w:rsids>
  <m:mathPr>
    <m:mathFont m:val="Cambria Math"/>
    <m:brkBin m:val="before"/>
    <m:brkBinSub m:val="--"/>
    <m:smallFrac m:val="0"/>
    <m:dispDef/>
    <m:lMargin m:val="0"/>
    <m:rMargin m:val="0"/>
    <m:defJc m:val="centerGroup"/>
    <m:wrapIndent m:val="1440"/>
    <m:intLim m:val="subSup"/>
    <m:naryLim m:val="undOvr"/>
  </m:mathPr>
  <w:themeFontLang w:val="es-A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15D5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A15D5E"/>
  </w:style>
  <w:style w:type="paragraph" w:styleId="Textonotapie">
    <w:name w:val="footnote text"/>
    <w:basedOn w:val="Normal"/>
    <w:link w:val="TextonotapieCar"/>
    <w:uiPriority w:val="99"/>
    <w:semiHidden/>
    <w:unhideWhenUsed/>
    <w:rsid w:val="00A15D5E"/>
    <w:pPr>
      <w:spacing w:after="0" w:line="240" w:lineRule="auto"/>
      <w:ind w:left="2279" w:hanging="2279"/>
      <w:jc w:val="both"/>
    </w:pPr>
    <w:rPr>
      <w:rFonts w:ascii="Arial" w:hAnsi="Arial" w:cs="Arial"/>
      <w:sz w:val="20"/>
      <w:szCs w:val="20"/>
    </w:rPr>
  </w:style>
  <w:style w:type="character" w:customStyle="1" w:styleId="TextonotapieCar">
    <w:name w:val="Texto nota pie Car"/>
    <w:basedOn w:val="Fuentedeprrafopredeter"/>
    <w:link w:val="Textonotapie"/>
    <w:uiPriority w:val="99"/>
    <w:semiHidden/>
    <w:rsid w:val="00A15D5E"/>
    <w:rPr>
      <w:rFonts w:ascii="Arial" w:hAnsi="Arial" w:cs="Arial"/>
      <w:sz w:val="20"/>
      <w:szCs w:val="20"/>
    </w:rPr>
  </w:style>
  <w:style w:type="character" w:styleId="Refdenotaalpie">
    <w:name w:val="footnote reference"/>
    <w:basedOn w:val="Fuentedeprrafopredeter"/>
    <w:uiPriority w:val="99"/>
    <w:semiHidden/>
    <w:unhideWhenUsed/>
    <w:rsid w:val="00A15D5E"/>
    <w:rPr>
      <w:vertAlign w:val="superscript"/>
    </w:rPr>
  </w:style>
  <w:style w:type="character" w:customStyle="1" w:styleId="spelle">
    <w:name w:val="spelle"/>
    <w:basedOn w:val="Fuentedeprrafopredeter"/>
    <w:rsid w:val="00D2054F"/>
  </w:style>
  <w:style w:type="paragraph" w:styleId="Prrafodelista">
    <w:name w:val="List Paragraph"/>
    <w:basedOn w:val="Normal"/>
    <w:uiPriority w:val="34"/>
    <w:qFormat/>
    <w:rsid w:val="00D2054F"/>
    <w:pPr>
      <w:spacing w:after="0" w:line="360" w:lineRule="auto"/>
      <w:ind w:left="720" w:hanging="2279"/>
      <w:contextualSpacing/>
      <w:jc w:val="both"/>
    </w:pPr>
    <w:rPr>
      <w:rFonts w:ascii="Arial" w:hAnsi="Arial" w:cs="Arial"/>
    </w:rPr>
  </w:style>
  <w:style w:type="paragraph" w:styleId="Encabezado">
    <w:name w:val="header"/>
    <w:basedOn w:val="Normal"/>
    <w:link w:val="EncabezadoCar"/>
    <w:uiPriority w:val="99"/>
    <w:unhideWhenUsed/>
    <w:rsid w:val="00EA28D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28D0"/>
  </w:style>
  <w:style w:type="paragraph" w:styleId="Piedepgina">
    <w:name w:val="footer"/>
    <w:basedOn w:val="Normal"/>
    <w:link w:val="PiedepginaCar"/>
    <w:uiPriority w:val="99"/>
    <w:unhideWhenUsed/>
    <w:rsid w:val="00EA28D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28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15D5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A15D5E"/>
  </w:style>
  <w:style w:type="paragraph" w:styleId="Textonotapie">
    <w:name w:val="footnote text"/>
    <w:basedOn w:val="Normal"/>
    <w:link w:val="TextonotapieCar"/>
    <w:uiPriority w:val="99"/>
    <w:semiHidden/>
    <w:unhideWhenUsed/>
    <w:rsid w:val="00A15D5E"/>
    <w:pPr>
      <w:spacing w:after="0" w:line="240" w:lineRule="auto"/>
      <w:ind w:left="2279" w:hanging="2279"/>
      <w:jc w:val="both"/>
    </w:pPr>
    <w:rPr>
      <w:rFonts w:ascii="Arial" w:hAnsi="Arial" w:cs="Arial"/>
      <w:sz w:val="20"/>
      <w:szCs w:val="20"/>
    </w:rPr>
  </w:style>
  <w:style w:type="character" w:customStyle="1" w:styleId="TextonotapieCar">
    <w:name w:val="Texto nota pie Car"/>
    <w:basedOn w:val="Fuentedeprrafopredeter"/>
    <w:link w:val="Textonotapie"/>
    <w:uiPriority w:val="99"/>
    <w:semiHidden/>
    <w:rsid w:val="00A15D5E"/>
    <w:rPr>
      <w:rFonts w:ascii="Arial" w:hAnsi="Arial" w:cs="Arial"/>
      <w:sz w:val="20"/>
      <w:szCs w:val="20"/>
    </w:rPr>
  </w:style>
  <w:style w:type="character" w:styleId="Refdenotaalpie">
    <w:name w:val="footnote reference"/>
    <w:basedOn w:val="Fuentedeprrafopredeter"/>
    <w:uiPriority w:val="99"/>
    <w:semiHidden/>
    <w:unhideWhenUsed/>
    <w:rsid w:val="00A15D5E"/>
    <w:rPr>
      <w:vertAlign w:val="superscript"/>
    </w:rPr>
  </w:style>
  <w:style w:type="character" w:customStyle="1" w:styleId="spelle">
    <w:name w:val="spelle"/>
    <w:basedOn w:val="Fuentedeprrafopredeter"/>
    <w:rsid w:val="00D2054F"/>
  </w:style>
  <w:style w:type="paragraph" w:styleId="Prrafodelista">
    <w:name w:val="List Paragraph"/>
    <w:basedOn w:val="Normal"/>
    <w:uiPriority w:val="34"/>
    <w:qFormat/>
    <w:rsid w:val="00D2054F"/>
    <w:pPr>
      <w:spacing w:after="0" w:line="360" w:lineRule="auto"/>
      <w:ind w:left="720" w:hanging="2279"/>
      <w:contextualSpacing/>
      <w:jc w:val="both"/>
    </w:pPr>
    <w:rPr>
      <w:rFonts w:ascii="Arial" w:hAnsi="Arial" w:cs="Arial"/>
    </w:rPr>
  </w:style>
  <w:style w:type="paragraph" w:styleId="Encabezado">
    <w:name w:val="header"/>
    <w:basedOn w:val="Normal"/>
    <w:link w:val="EncabezadoCar"/>
    <w:uiPriority w:val="99"/>
    <w:unhideWhenUsed/>
    <w:rsid w:val="00EA28D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28D0"/>
  </w:style>
  <w:style w:type="paragraph" w:styleId="Piedepgina">
    <w:name w:val="footer"/>
    <w:basedOn w:val="Normal"/>
    <w:link w:val="PiedepginaCar"/>
    <w:uiPriority w:val="99"/>
    <w:unhideWhenUsed/>
    <w:rsid w:val="00EA28D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2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738713">
      <w:bodyDiv w:val="1"/>
      <w:marLeft w:val="0"/>
      <w:marRight w:val="0"/>
      <w:marTop w:val="0"/>
      <w:marBottom w:val="0"/>
      <w:divBdr>
        <w:top w:val="none" w:sz="0" w:space="0" w:color="auto"/>
        <w:left w:val="none" w:sz="0" w:space="0" w:color="auto"/>
        <w:bottom w:val="none" w:sz="0" w:space="0" w:color="auto"/>
        <w:right w:val="none" w:sz="0" w:space="0" w:color="auto"/>
      </w:divBdr>
    </w:div>
    <w:div w:id="81711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Other</Category>
    <Doctype xmlns="d42e65b2-cf21-49c1-b27d-d23f90380c0e">input</Doctype>
    <Contributor xmlns="d42e65b2-cf21-49c1-b27d-d23f90380c0e">Congreso de la Nation Diputadas Nacionales, Argentina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4EEFC77B-E2F9-4D57-9DF1-C911905040F3}">
  <ds:schemaRefs>
    <ds:schemaRef ds:uri="http://schemas.openxmlformats.org/officeDocument/2006/bibliography"/>
  </ds:schemaRefs>
</ds:datastoreItem>
</file>

<file path=customXml/itemProps2.xml><?xml version="1.0" encoding="utf-8"?>
<ds:datastoreItem xmlns:ds="http://schemas.openxmlformats.org/officeDocument/2006/customXml" ds:itemID="{8A66B5DB-4619-4A7A-8403-653DE34921DC}"/>
</file>

<file path=customXml/itemProps3.xml><?xml version="1.0" encoding="utf-8"?>
<ds:datastoreItem xmlns:ds="http://schemas.openxmlformats.org/officeDocument/2006/customXml" ds:itemID="{DB890837-4362-4C23-B72F-41C3ECAC68BF}"/>
</file>

<file path=customXml/itemProps4.xml><?xml version="1.0" encoding="utf-8"?>
<ds:datastoreItem xmlns:ds="http://schemas.openxmlformats.org/officeDocument/2006/customXml" ds:itemID="{08FD58E2-8580-4114-8020-F9C875B57E9F}"/>
</file>

<file path=docProps/app.xml><?xml version="1.0" encoding="utf-8"?>
<Properties xmlns="http://schemas.openxmlformats.org/officeDocument/2006/extended-properties" xmlns:vt="http://schemas.openxmlformats.org/officeDocument/2006/docPropsVTypes">
  <Template>Normal</Template>
  <TotalTime>19</TotalTime>
  <Pages>6</Pages>
  <Words>1901</Words>
  <Characters>10458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5</cp:revision>
  <dcterms:created xsi:type="dcterms:W3CDTF">2021-06-14T11:24:00Z</dcterms:created>
  <dcterms:modified xsi:type="dcterms:W3CDTF">2021-06-14T11:42:00Z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