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color="auto" w:space="0" w:sz="0" w:val="none"/>
          <w:left w:color="auto" w:space="0" w:sz="0" w:val="none"/>
          <w:bottom w:color="auto" w:space="0" w:sz="0" w:val="none"/>
          <w:right w:color="auto" w:space="0" w:sz="0" w:val="none"/>
          <w:between w:color="auto" w:space="0" w:sz="0" w:val="none"/>
        </w:pBdr>
        <w:shd w:fill="ffffff" w:val="clear"/>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widowControl w:val="0"/>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Draft General comment No. 26 Children’s rights and the environment with a special focus on climate change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3">
      <w:pPr>
        <w:widowControl w:val="0"/>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February 2023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4">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6">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Joint submission </w:t>
      </w:r>
      <w:r w:rsidDel="00000000" w:rsidR="00000000" w:rsidRPr="00000000">
        <w:rPr>
          <w:rFonts w:ascii="Times New Roman" w:cs="Times New Roman" w:eastAsia="Times New Roman" w:hAnsi="Times New Roman"/>
          <w:sz w:val="24"/>
          <w:szCs w:val="24"/>
          <w:rtl w:val="0"/>
        </w:rPr>
        <w:t xml:space="preserve">on behalf of</w:t>
      </w:r>
      <w:r w:rsidDel="00000000" w:rsidR="00000000" w:rsidRPr="00000000">
        <w:rPr>
          <w:rFonts w:ascii="Times New Roman" w:cs="Times New Roman" w:eastAsia="Times New Roman" w:hAnsi="Times New Roman"/>
          <w:i w:val="1"/>
          <w:sz w:val="24"/>
          <w:szCs w:val="24"/>
          <w:rtl w:val="0"/>
        </w:rPr>
        <w:t xml:space="preserve"> Instituto Alana, Instituto Árvores Vivas, Centro Internacional de Estudos e Pesquisas sobre a Infância (</w:t>
      </w:r>
      <w:r w:rsidDel="00000000" w:rsidR="00000000" w:rsidRPr="00000000">
        <w:rPr>
          <w:rFonts w:ascii="Times New Roman" w:cs="Times New Roman" w:eastAsia="Times New Roman" w:hAnsi="Times New Roman"/>
          <w:i w:val="1"/>
          <w:sz w:val="24"/>
          <w:szCs w:val="24"/>
          <w:rtl w:val="0"/>
        </w:rPr>
        <w:t xml:space="preserve">CIESPI</w:t>
      </w:r>
      <w:r w:rsidDel="00000000" w:rsidR="00000000" w:rsidRPr="00000000">
        <w:rPr>
          <w:rFonts w:ascii="Times New Roman" w:cs="Times New Roman" w:eastAsia="Times New Roman" w:hAnsi="Times New Roman"/>
          <w:i w:val="1"/>
          <w:sz w:val="24"/>
          <w:szCs w:val="24"/>
          <w:rtl w:val="0"/>
        </w:rPr>
        <w:t xml:space="preserve">/PUC-Rio), Instituto da Infância (IFAN), Plan International and United Way Brasil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7">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group welcomes the opportunity to provide comments to the Draft General comment No. 26 Children’s rights and the environment with a special focus on climate change (GC26), and hope that our contributions are helpful to the Committee, especially on bringing specific and important issues regarding the reality of Brazil, Latin America and the Global South. </w:t>
      </w:r>
    </w:p>
    <w:p w:rsidR="00000000" w:rsidDel="00000000" w:rsidP="00000000" w:rsidRDefault="00000000" w:rsidRPr="00000000" w14:paraId="00000009">
      <w:pPr>
        <w:widowControl w:val="0"/>
        <w:rPr>
          <w:sz w:val="24"/>
          <w:szCs w:val="24"/>
        </w:rPr>
      </w:pPr>
      <w:r w:rsidDel="00000000" w:rsidR="00000000" w:rsidRPr="00000000">
        <w:rPr>
          <w:rtl w:val="0"/>
        </w:rPr>
      </w:r>
    </w:p>
    <w:p w:rsidR="00000000" w:rsidDel="00000000" w:rsidP="00000000" w:rsidRDefault="00000000" w:rsidRPr="00000000" w14:paraId="0000000A">
      <w:pPr>
        <w:widowControl w:val="0"/>
        <w:numPr>
          <w:ilvl w:val="0"/>
          <w:numId w:val="5"/>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GENERAL</w:t>
      </w:r>
      <w:r w:rsidDel="00000000" w:rsidR="00000000" w:rsidRPr="00000000">
        <w:rPr>
          <w:rFonts w:ascii="Times New Roman" w:cs="Times New Roman" w:eastAsia="Times New Roman" w:hAnsi="Times New Roman"/>
          <w:b w:val="1"/>
          <w:sz w:val="24"/>
          <w:szCs w:val="24"/>
          <w:u w:val="single"/>
          <w:rtl w:val="0"/>
        </w:rPr>
        <w:t xml:space="preserve"> COMMENTS ON THE DRAFT</w:t>
      </w:r>
      <w:r w:rsidDel="00000000" w:rsidR="00000000" w:rsidRPr="00000000">
        <w:rPr>
          <w:rtl w:val="0"/>
        </w:rPr>
      </w:r>
    </w:p>
    <w:p w:rsidR="00000000" w:rsidDel="00000000" w:rsidP="00000000" w:rsidRDefault="00000000" w:rsidRPr="00000000" w14:paraId="0000000B">
      <w:pPr>
        <w:widowControl w:val="0"/>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numPr>
          <w:ilvl w:val="0"/>
          <w:numId w:val="2"/>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w:t>
      </w:r>
      <w:r w:rsidDel="00000000" w:rsidR="00000000" w:rsidRPr="00000000">
        <w:rPr>
          <w:rFonts w:ascii="Times New Roman" w:cs="Times New Roman" w:eastAsia="Times New Roman" w:hAnsi="Times New Roman"/>
          <w:b w:val="1"/>
          <w:sz w:val="24"/>
          <w:szCs w:val="24"/>
          <w:rtl w:val="0"/>
        </w:rPr>
        <w:t xml:space="preserve"> obligations of the business sector</w:t>
      </w:r>
      <w:r w:rsidDel="00000000" w:rsidR="00000000" w:rsidRPr="00000000">
        <w:rPr>
          <w:rtl w:val="0"/>
        </w:rPr>
      </w:r>
    </w:p>
    <w:p w:rsidR="00000000" w:rsidDel="00000000" w:rsidP="00000000" w:rsidRDefault="00000000" w:rsidRPr="00000000" w14:paraId="0000000D">
      <w:pPr>
        <w:widowControl w:val="0"/>
        <w:numPr>
          <w:ilvl w:val="0"/>
          <w:numId w:val="3"/>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the inclusion of a section called “General obligations of the business sector”, considering the relevance of its activities on environmental harm and climate change, the legal duty, the horizontal effect and the shared responsibility of businesses in ensuring a safe, clean, healthy and sustainable environment for children, especially considering the GC16 and the private responsibility fixed in article 3.1 of the CRC.    </w:t>
      </w:r>
    </w:p>
    <w:p w:rsidR="00000000" w:rsidDel="00000000" w:rsidP="00000000" w:rsidRDefault="00000000" w:rsidRPr="00000000" w14:paraId="0000000E">
      <w:pPr>
        <w:widowControl w:val="0"/>
        <w:numPr>
          <w:ilvl w:val="0"/>
          <w:numId w:val="3"/>
        </w:numPr>
        <w:spacing w:after="200" w:before="0" w:line="276" w:lineRule="auto"/>
        <w:ind w:left="720" w:hanging="360"/>
        <w:jc w:val="both"/>
        <w:rPr>
          <w:rFonts w:ascii="Times New Roman" w:cs="Times New Roman" w:eastAsia="Times New Roman" w:hAnsi="Times New Roman"/>
          <w:sz w:val="24"/>
          <w:szCs w:val="24"/>
          <w:u w:val="none"/>
        </w:rPr>
        <w:sectPr>
          <w:headerReference r:id="rId7" w:type="default"/>
          <w:headerReference r:id="rId8" w:type="first"/>
          <w:footerReference r:id="rId9" w:type="default"/>
          <w:footerReference r:id="rId10" w:type="first"/>
          <w:pgSz w:h="16834" w:w="11909" w:orient="portrait"/>
          <w:pgMar w:bottom="1440.0000000000002" w:top="2976.377952755906" w:left="1440.0000000000002" w:right="1440.0000000000002" w:header="720.0000000000001" w:footer="720.0000000000001"/>
          <w:pgNumType w:start="1"/>
        </w:sectPr>
      </w:pPr>
      <w:r w:rsidDel="00000000" w:rsidR="00000000" w:rsidRPr="00000000">
        <w:rPr>
          <w:rFonts w:ascii="Times New Roman" w:cs="Times New Roman" w:eastAsia="Times New Roman" w:hAnsi="Times New Roman"/>
          <w:sz w:val="24"/>
          <w:szCs w:val="24"/>
          <w:rtl w:val="0"/>
        </w:rPr>
        <w:t xml:space="preserve">It is also essential that the document establishes the </w:t>
      </w:r>
      <w:r w:rsidDel="00000000" w:rsidR="00000000" w:rsidRPr="00000000">
        <w:rPr>
          <w:rFonts w:ascii="Times New Roman" w:cs="Times New Roman" w:eastAsia="Times New Roman" w:hAnsi="Times New Roman"/>
          <w:b w:val="1"/>
          <w:sz w:val="24"/>
          <w:szCs w:val="24"/>
          <w:rtl w:val="0"/>
        </w:rPr>
        <w:t xml:space="preserve">principle of non-discrimination in business practices on Chapter III, G (the right to non-discrimination)</w:t>
      </w:r>
      <w:r w:rsidDel="00000000" w:rsidR="00000000" w:rsidRPr="00000000">
        <w:rPr>
          <w:rFonts w:ascii="Times New Roman" w:cs="Times New Roman" w:eastAsia="Times New Roman" w:hAnsi="Times New Roman"/>
          <w:sz w:val="24"/>
          <w:szCs w:val="24"/>
          <w:rtl w:val="0"/>
        </w:rPr>
        <w:t xml:space="preserve">, avoiding double standards and discriminatory actions, mainly considering developing countries. Also, b</w:t>
      </w:r>
      <w:r w:rsidDel="00000000" w:rsidR="00000000" w:rsidRPr="00000000">
        <w:rPr>
          <w:rFonts w:ascii="Times New Roman" w:cs="Times New Roman" w:eastAsia="Times New Roman" w:hAnsi="Times New Roman"/>
          <w:sz w:val="24"/>
          <w:szCs w:val="24"/>
          <w:rtl w:val="0"/>
        </w:rPr>
        <w:t xml:space="preserve">usiness activity should consider the impacts over different stages of product and services development (extraction, manufacturing, packaging, selling, logistics, energy use, materials and emissions, marketing, reverse waste, circular project technologies, life cycle assessment with special focus on social and environmental impacts), and have special consideration with employees´ families and communities where sites </w:t>
      </w:r>
      <w:r w:rsidDel="00000000" w:rsidR="00000000" w:rsidRPr="00000000">
        <w:rPr>
          <w:rFonts w:ascii="Times New Roman" w:cs="Times New Roman" w:eastAsia="Times New Roman" w:hAnsi="Times New Roman"/>
          <w:sz w:val="24"/>
          <w:szCs w:val="24"/>
          <w:rtl w:val="0"/>
        </w:rPr>
        <w:t xml:space="preserve">are based</w:t>
      </w:r>
      <w:r w:rsidDel="00000000" w:rsidR="00000000" w:rsidRPr="00000000">
        <w:rPr>
          <w:rFonts w:ascii="Times New Roman" w:cs="Times New Roman" w:eastAsia="Times New Roman" w:hAnsi="Times New Roman"/>
          <w:sz w:val="24"/>
          <w:szCs w:val="24"/>
          <w:rtl w:val="0"/>
        </w:rPr>
        <w:t xml:space="preserve">, and where services and product process, logistic and outreach promotes impacts</w:t>
      </w:r>
    </w:p>
    <w:p w:rsidR="00000000" w:rsidDel="00000000" w:rsidP="00000000" w:rsidRDefault="00000000" w:rsidRPr="00000000" w14:paraId="0000000F">
      <w:pPr>
        <w:widowControl w:val="0"/>
        <w:spacing w:after="200" w:before="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numPr>
          <w:ilvl w:val="0"/>
          <w:numId w:val="3"/>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Considering the private sector’s obligation to respect human rights established by the UN’s Guiding Principles on Business and Human Rights (2011) and major environmental disasters caused by companies’ operations, there should be an increased responsibility for industrial sectors with higher environmental risk (such as mining, extractive, chemical, oil, gas, etc.) in identifying, preventing and mitigating their impacts on the environment and children’s </w:t>
      </w:r>
      <w:r w:rsidDel="00000000" w:rsidR="00000000" w:rsidRPr="00000000">
        <w:rPr>
          <w:rFonts w:ascii="Times New Roman" w:cs="Times New Roman" w:eastAsia="Times New Roman" w:hAnsi="Times New Roman"/>
          <w:sz w:val="24"/>
          <w:szCs w:val="24"/>
          <w:rtl w:val="0"/>
        </w:rPr>
        <w:t xml:space="preserve">rights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widowControl w:val="0"/>
        <w:spacing w:after="20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2"/>
        </w:numPr>
        <w:spacing w:after="200" w:before="12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Indigenous children and children from local or traditional communities </w:t>
      </w:r>
    </w:p>
    <w:p w:rsidR="00000000" w:rsidDel="00000000" w:rsidP="00000000" w:rsidRDefault="00000000" w:rsidRPr="00000000" w14:paraId="00000013">
      <w:pPr>
        <w:numPr>
          <w:ilvl w:val="0"/>
          <w:numId w:val="1"/>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hildren from traditional or local communities are more affected by environmental degradation and climate change. Thus, i</w:t>
      </w:r>
      <w:r w:rsidDel="00000000" w:rsidR="00000000" w:rsidRPr="00000000">
        <w:rPr>
          <w:rFonts w:ascii="Times New Roman" w:cs="Times New Roman" w:eastAsia="Times New Roman" w:hAnsi="Times New Roman"/>
          <w:sz w:val="24"/>
          <w:szCs w:val="24"/>
          <w:rtl w:val="0"/>
        </w:rPr>
        <w:t xml:space="preserve">n addition to indigenous children, </w:t>
      </w:r>
      <w:r w:rsidDel="00000000" w:rsidR="00000000" w:rsidRPr="00000000">
        <w:rPr>
          <w:rFonts w:ascii="Times New Roman" w:cs="Times New Roman" w:eastAsia="Times New Roman" w:hAnsi="Times New Roman"/>
          <w:b w:val="1"/>
          <w:sz w:val="24"/>
          <w:szCs w:val="24"/>
          <w:rtl w:val="0"/>
        </w:rPr>
        <w:t xml:space="preserve">it is necessary to include children from local or traditional communities, to recognize their need for protection as well the indigenous children. </w:t>
      </w:r>
      <w:r w:rsidDel="00000000" w:rsidR="00000000" w:rsidRPr="00000000">
        <w:rPr>
          <w:rFonts w:ascii="Times New Roman" w:cs="Times New Roman" w:eastAsia="Times New Roman" w:hAnsi="Times New Roman"/>
          <w:sz w:val="24"/>
          <w:szCs w:val="24"/>
          <w:rtl w:val="0"/>
        </w:rPr>
        <w:t xml:space="preserve">Thus, it is suggested that, along with the express mention of "indigenous children", also be mentioned "children from local or traditional communities". </w:t>
      </w:r>
    </w:p>
    <w:p w:rsidR="00000000" w:rsidDel="00000000" w:rsidP="00000000" w:rsidRDefault="00000000" w:rsidRPr="00000000" w14:paraId="00000014">
      <w:pPr>
        <w:numPr>
          <w:ilvl w:val="0"/>
          <w:numId w:val="1"/>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Therefore, it is necessary that States take into consideration the reality and the demands of these children, </w:t>
      </w:r>
      <w:r w:rsidDel="00000000" w:rsidR="00000000" w:rsidRPr="00000000">
        <w:rPr>
          <w:rFonts w:ascii="Times New Roman" w:cs="Times New Roman" w:eastAsia="Times New Roman" w:hAnsi="Times New Roman"/>
          <w:b w:val="1"/>
          <w:sz w:val="24"/>
          <w:szCs w:val="24"/>
          <w:rtl w:val="0"/>
        </w:rPr>
        <w:t xml:space="preserve">especially their connection with nature itself and the importance of their land to guarantee the right to culture and identity, it could be included in Chapter III, F (the right of indigenous children)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numPr>
          <w:ilvl w:val="0"/>
          <w:numId w:val="1"/>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the relationship between environmental and social impacts should be strengthened.</w:t>
      </w:r>
      <w:r w:rsidDel="00000000" w:rsidR="00000000" w:rsidRPr="00000000">
        <w:rPr>
          <w:rtl w:val="0"/>
        </w:rPr>
      </w:r>
    </w:p>
    <w:p w:rsidR="00000000" w:rsidDel="00000000" w:rsidP="00000000" w:rsidRDefault="00000000" w:rsidRPr="00000000" w14:paraId="00000016">
      <w:pPr>
        <w:spacing w:before="12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2"/>
        </w:numPr>
        <w:spacing w:before="12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Major issues</w:t>
      </w:r>
    </w:p>
    <w:p w:rsidR="00000000" w:rsidDel="00000000" w:rsidP="00000000" w:rsidRDefault="00000000" w:rsidRPr="00000000" w14:paraId="00000018">
      <w:pPr>
        <w:spacing w:before="120"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We don't see in the text mentions of main problems linked to the environment degradation such as: </w:t>
      </w:r>
      <w:r w:rsidDel="00000000" w:rsidR="00000000" w:rsidRPr="00000000">
        <w:rPr>
          <w:rFonts w:ascii="Times New Roman" w:cs="Times New Roman" w:eastAsia="Times New Roman" w:hAnsi="Times New Roman"/>
          <w:b w:val="1"/>
          <w:sz w:val="24"/>
          <w:szCs w:val="24"/>
          <w:rtl w:val="0"/>
        </w:rPr>
        <w:t xml:space="preserve">deforestation, destruction of native forests, fires, noise pollution, contamination by solid waste, use of pesticides and illegal activities such as illegal gold mining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before="120" w:line="276" w:lineRule="auto"/>
        <w:ind w:left="708.6614173228347" w:hanging="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We propose to the Committee to include in paragraph 73 of the draft measures such as the regulation of deforestation, as well as urging the most developed countries to avoid installing plants/activities that contaminate the environment in developing countries. </w:t>
      </w:r>
      <w:r w:rsidDel="00000000" w:rsidR="00000000" w:rsidRPr="00000000">
        <w:rPr>
          <w:rtl w:val="0"/>
        </w:rPr>
      </w:r>
    </w:p>
    <w:p w:rsidR="00000000" w:rsidDel="00000000" w:rsidP="00000000" w:rsidRDefault="00000000" w:rsidRPr="00000000" w14:paraId="0000001A">
      <w:pPr>
        <w:spacing w:before="120"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B">
      <w:pPr>
        <w:widowControl w:val="0"/>
        <w:numPr>
          <w:ilvl w:val="0"/>
          <w:numId w:val="2"/>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Kunming-Montreal Global Biodiversity Framework and Minamata Convention</w:t>
      </w:r>
    </w:p>
    <w:p w:rsidR="00000000" w:rsidDel="00000000" w:rsidP="00000000" w:rsidRDefault="00000000" w:rsidRPr="00000000" w14:paraId="0000001C">
      <w:pPr>
        <w:widowControl w:val="0"/>
        <w:numPr>
          <w:ilvl w:val="0"/>
          <w:numId w:val="6"/>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General Comment 26 could embody the latest international agreement on biodiversity, namely the Kunming-Montreal Global Biodiversity Framework. The document brings measures from States with direct and indirect impacts on child rights, such as targets 2 and 3 (biodiversity conservation), target 12 (access to green and blue spaces), target 15 (businesses), target 16 (consumption), target 20 (transfer of technology), target 22 (children participation), target 23 (gender equity and girls), among</w:t>
      </w:r>
      <w:r w:rsidDel="00000000" w:rsidR="00000000" w:rsidRPr="00000000">
        <w:rPr>
          <w:rFonts w:ascii="Times New Roman" w:cs="Times New Roman" w:eastAsia="Times New Roman" w:hAnsi="Times New Roman"/>
          <w:sz w:val="24"/>
          <w:szCs w:val="24"/>
          <w:rtl w:val="0"/>
        </w:rPr>
        <w:t xml:space="preserve"> others</w:t>
      </w:r>
      <w:r w:rsidDel="00000000" w:rsidR="00000000" w:rsidRPr="00000000">
        <w:rPr>
          <w:rFonts w:ascii="Times New Roman" w:cs="Times New Roman" w:eastAsia="Times New Roman" w:hAnsi="Times New Roman"/>
          <w:sz w:val="24"/>
          <w:szCs w:val="24"/>
          <w:rtl w:val="0"/>
        </w:rPr>
        <w:t xml:space="preserve"> which are inclusive and universal for all children and adolescents regardless of their special needs, such as indigenous children. A possible suggestion is that a specific section on biodiversity is included in GC26, as it has been made for climate change in Chapter VI. </w:t>
      </w:r>
    </w:p>
    <w:p w:rsidR="00000000" w:rsidDel="00000000" w:rsidP="00000000" w:rsidRDefault="00000000" w:rsidRPr="00000000" w14:paraId="0000001D">
      <w:pPr>
        <w:widowControl w:val="0"/>
        <w:numPr>
          <w:ilvl w:val="0"/>
          <w:numId w:val="6"/>
        </w:numPr>
        <w:spacing w:after="20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addition, the Minamata Convention, an important landmark for environmental and life protection in relation to mercury, could be incorporated, as illegal activities, such as gold mining, are polluting the water and food, contaminating children with severe impact on their health, especially impacting  their nervous system.</w:t>
      </w:r>
    </w:p>
    <w:p w:rsidR="00000000" w:rsidDel="00000000" w:rsidP="00000000" w:rsidRDefault="00000000" w:rsidRPr="00000000" w14:paraId="0000001E">
      <w:pPr>
        <w:widowControl w:val="0"/>
        <w:spacing w:after="20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numPr>
          <w:ilvl w:val="0"/>
          <w:numId w:val="2"/>
        </w:numPr>
        <w:spacing w:after="20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 for post-</w:t>
      </w:r>
      <w:r w:rsidDel="00000000" w:rsidR="00000000" w:rsidRPr="00000000">
        <w:rPr>
          <w:rFonts w:ascii="Times New Roman" w:cs="Times New Roman" w:eastAsia="Times New Roman" w:hAnsi="Times New Roman"/>
          <w:b w:val="1"/>
          <w:sz w:val="24"/>
          <w:szCs w:val="24"/>
          <w:rtl w:val="0"/>
        </w:rPr>
        <w:t xml:space="preserve">consumeris</w:t>
      </w:r>
      <w:r w:rsidDel="00000000" w:rsidR="00000000" w:rsidRPr="00000000">
        <w:rPr>
          <w:rFonts w:ascii="Times New Roman" w:cs="Times New Roman" w:eastAsia="Times New Roman" w:hAnsi="Times New Roman"/>
          <w:b w:val="1"/>
          <w:sz w:val="24"/>
          <w:szCs w:val="24"/>
          <w:rtl w:val="0"/>
        </w:rPr>
        <w:t xml:space="preserve">m values</w:t>
      </w:r>
      <w:r w:rsidDel="00000000" w:rsidR="00000000" w:rsidRPr="00000000">
        <w:rPr>
          <w:rtl w:val="0"/>
        </w:rPr>
      </w:r>
    </w:p>
    <w:p w:rsidR="00000000" w:rsidDel="00000000" w:rsidP="00000000" w:rsidRDefault="00000000" w:rsidRPr="00000000" w14:paraId="00000020">
      <w:pPr>
        <w:widowControl w:val="0"/>
        <w:spacing w:after="20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suggest that the GC26 indicates the adoption of education for post-consumeristic, which causes direct pressure on consumerist values. It is essential to approach the spread of the materialist culture that ends up causing severe damages to the environment, especially from plastic waste. Thus, in addition to monitoring the practice of advertising aimed at children, the document could determine that States promote education against consumerism, especially in Chapter III, C. A human rights-based environmental education should be free from advertising aimed at children, and it is essential to bring up the discussion of consumerist values taught to children in school environments.</w:t>
      </w:r>
    </w:p>
    <w:p w:rsidR="00000000" w:rsidDel="00000000" w:rsidP="00000000" w:rsidRDefault="00000000" w:rsidRPr="00000000" w14:paraId="00000021">
      <w:pPr>
        <w:numPr>
          <w:ilvl w:val="0"/>
          <w:numId w:val="2"/>
        </w:numPr>
        <w:spacing w:before="12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Loss and damage</w:t>
      </w:r>
    </w:p>
    <w:p w:rsidR="00000000" w:rsidDel="00000000" w:rsidP="00000000" w:rsidRDefault="00000000" w:rsidRPr="00000000" w14:paraId="00000022">
      <w:pPr>
        <w:spacing w:before="1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Loss and damage is missing in GC26 and is a predominant issue when discussing child rights and climate change. Where adaptation measures are insufficient, States should take action towards mitigating loss and damage, especially </w:t>
      </w:r>
      <w:r w:rsidDel="00000000" w:rsidR="00000000" w:rsidRPr="00000000">
        <w:rPr>
          <w:rFonts w:ascii="Times New Roman" w:cs="Times New Roman" w:eastAsia="Times New Roman" w:hAnsi="Times New Roman"/>
          <w:sz w:val="24"/>
          <w:szCs w:val="24"/>
          <w:rtl w:val="0"/>
        </w:rPr>
        <w:t xml:space="preserve">affecting children</w:t>
      </w:r>
      <w:r w:rsidDel="00000000" w:rsidR="00000000" w:rsidRPr="00000000">
        <w:rPr>
          <w:rFonts w:ascii="Times New Roman" w:cs="Times New Roman" w:eastAsia="Times New Roman" w:hAnsi="Times New Roman"/>
          <w:sz w:val="24"/>
          <w:szCs w:val="24"/>
          <w:rtl w:val="0"/>
        </w:rPr>
        <w:t xml:space="preserve"> from the global south and from least developed countries. Considering the commitment announced at COP27 establishing a loss and damage fund, chapter VI, D (Climate Finance) should emphasize the importance of developed countries providing funding for loss and </w:t>
      </w:r>
      <w:r w:rsidDel="00000000" w:rsidR="00000000" w:rsidRPr="00000000">
        <w:rPr>
          <w:rFonts w:ascii="Times New Roman" w:cs="Times New Roman" w:eastAsia="Times New Roman" w:hAnsi="Times New Roman"/>
          <w:sz w:val="24"/>
          <w:szCs w:val="24"/>
          <w:rtl w:val="0"/>
        </w:rPr>
        <w:t xml:space="preserve">damage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before="12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spacing w:before="12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w:t>
      </w:r>
      <w:r w:rsidDel="00000000" w:rsidR="00000000" w:rsidRPr="00000000">
        <w:rPr>
          <w:rFonts w:ascii="Times New Roman" w:cs="Times New Roman" w:eastAsia="Times New Roman" w:hAnsi="Times New Roman"/>
          <w:b w:val="1"/>
          <w:sz w:val="24"/>
          <w:szCs w:val="24"/>
          <w:rtl w:val="0"/>
        </w:rPr>
        <w:t xml:space="preserve">e obligation of the States to promote the direct contact of children with nature</w:t>
      </w:r>
      <w:r w:rsidDel="00000000" w:rsidR="00000000" w:rsidRPr="00000000">
        <w:rPr>
          <w:rtl w:val="0"/>
        </w:rPr>
      </w:r>
    </w:p>
    <w:p w:rsidR="00000000" w:rsidDel="00000000" w:rsidP="00000000" w:rsidRDefault="00000000" w:rsidRPr="00000000" w14:paraId="00000025">
      <w:pPr>
        <w:spacing w:before="1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document should contemplate, in a transversal way and especially in the themes of </w:t>
      </w:r>
      <w:r w:rsidDel="00000000" w:rsidR="00000000" w:rsidRPr="00000000">
        <w:rPr>
          <w:rFonts w:ascii="Times New Roman" w:cs="Times New Roman" w:eastAsia="Times New Roman" w:hAnsi="Times New Roman"/>
          <w:sz w:val="24"/>
          <w:szCs w:val="24"/>
          <w:rtl w:val="0"/>
        </w:rPr>
        <w:t xml:space="preserve">education and health, the obligation of the States to promote the direct contact of children with nature.</w:t>
      </w:r>
      <w:r w:rsidDel="00000000" w:rsidR="00000000" w:rsidRPr="00000000">
        <w:rPr>
          <w:rFonts w:ascii="Times New Roman" w:cs="Times New Roman" w:eastAsia="Times New Roman" w:hAnsi="Times New Roman"/>
          <w:sz w:val="24"/>
          <w:szCs w:val="24"/>
          <w:rtl w:val="0"/>
        </w:rPr>
        <w:t xml:space="preserve"> Education in contact with nature, through green outdoor areas, natural playspaces and schoolyards, promote resilience and psychological healing, in addition to preparing children for responsible life in society. Other examples involving “nature based solutions” such as planting trees for water drainage and a comfortable </w:t>
      </w:r>
      <w:r w:rsidDel="00000000" w:rsidR="00000000" w:rsidRPr="00000000">
        <w:rPr>
          <w:rFonts w:ascii="Times New Roman" w:cs="Times New Roman" w:eastAsia="Times New Roman" w:hAnsi="Times New Roman"/>
          <w:sz w:val="24"/>
          <w:szCs w:val="24"/>
          <w:rtl w:val="0"/>
        </w:rPr>
        <w:t xml:space="preserve">micro-climat</w:t>
      </w:r>
      <w:r w:rsidDel="00000000" w:rsidR="00000000" w:rsidRPr="00000000">
        <w:rPr>
          <w:rFonts w:ascii="Times New Roman" w:cs="Times New Roman" w:eastAsia="Times New Roman" w:hAnsi="Times New Roman"/>
          <w:sz w:val="24"/>
          <w:szCs w:val="24"/>
          <w:rtl w:val="0"/>
        </w:rPr>
        <w:t xml:space="preserve">e could be included.</w:t>
      </w:r>
    </w:p>
    <w:p w:rsidR="00000000" w:rsidDel="00000000" w:rsidP="00000000" w:rsidRDefault="00000000" w:rsidRPr="00000000" w14:paraId="00000026">
      <w:pPr>
        <w:spacing w:before="12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2"/>
        </w:numPr>
        <w:spacing w:before="12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w:t>
      </w:r>
    </w:p>
    <w:p w:rsidR="00000000" w:rsidDel="00000000" w:rsidP="00000000" w:rsidRDefault="00000000" w:rsidRPr="00000000" w14:paraId="00000028">
      <w:pPr>
        <w:spacing w:before="12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the language, given the urgency and seriousness of the situation, it is important that the document be more incisive towards the States and companies, preferring the verb '”must”' to '”should'”, such as paragraph 81, in which States don’t should, but must “ensure the collection of reliable data” in regard to the right to access to information and the principle of transparency.</w:t>
      </w:r>
    </w:p>
    <w:p w:rsidR="00000000" w:rsidDel="00000000" w:rsidP="00000000" w:rsidRDefault="00000000" w:rsidRPr="00000000" w14:paraId="00000029">
      <w:pPr>
        <w:widowControl w:val="0"/>
        <w:spacing w:after="20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spacing w:after="200" w:line="276" w:lineRule="auto"/>
        <w:ind w:left="708.6614173228347" w:hanging="283.46456692913375"/>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b w:val="1"/>
          <w:sz w:val="24"/>
          <w:szCs w:val="24"/>
          <w:highlight w:val="white"/>
          <w:rtl w:val="0"/>
        </w:rPr>
        <w:t xml:space="preserve">B) </w:t>
      </w:r>
      <w:r w:rsidDel="00000000" w:rsidR="00000000" w:rsidRPr="00000000">
        <w:rPr>
          <w:rFonts w:ascii="Times New Roman" w:cs="Times New Roman" w:eastAsia="Times New Roman" w:hAnsi="Times New Roman"/>
          <w:b w:val="1"/>
          <w:sz w:val="24"/>
          <w:szCs w:val="24"/>
          <w:highlight w:val="white"/>
          <w:u w:val="single"/>
          <w:rtl w:val="0"/>
        </w:rPr>
        <w:t xml:space="preserve">RECOMMENDATIONS ON THE INTRODUCTION, KEY CONCEPTS, OBJECTIVE AND RIGHTS</w:t>
      </w:r>
      <w:r w:rsidDel="00000000" w:rsidR="00000000" w:rsidRPr="00000000">
        <w:rPr>
          <w:rtl w:val="0"/>
        </w:rPr>
      </w:r>
    </w:p>
    <w:p w:rsidR="00000000" w:rsidDel="00000000" w:rsidP="00000000" w:rsidRDefault="00000000" w:rsidRPr="00000000" w14:paraId="0000002B">
      <w:pPr>
        <w:numPr>
          <w:ilvl w:val="0"/>
          <w:numId w:val="8"/>
        </w:numPr>
        <w:spacing w:after="200" w:before="12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some key concepts missing, such as </w:t>
      </w:r>
      <w:r w:rsidDel="00000000" w:rsidR="00000000" w:rsidRPr="00000000">
        <w:rPr>
          <w:rFonts w:ascii="Times New Roman" w:cs="Times New Roman" w:eastAsia="Times New Roman" w:hAnsi="Times New Roman"/>
          <w:b w:val="1"/>
          <w:sz w:val="24"/>
          <w:szCs w:val="24"/>
          <w:rtl w:val="0"/>
        </w:rPr>
        <w:t xml:space="preserve">nature conservancy, access to nature and free play</w:t>
      </w:r>
      <w:r w:rsidDel="00000000" w:rsidR="00000000" w:rsidRPr="00000000">
        <w:rPr>
          <w:rFonts w:ascii="Times New Roman" w:cs="Times New Roman" w:eastAsia="Times New Roman" w:hAnsi="Times New Roman"/>
          <w:sz w:val="24"/>
          <w:szCs w:val="24"/>
          <w:rtl w:val="0"/>
        </w:rPr>
        <w:t xml:space="preserve">. A suggestion would be to adapt a section to "Key Principles", as it was made in General Comment 25. </w:t>
      </w:r>
    </w:p>
    <w:p w:rsidR="00000000" w:rsidDel="00000000" w:rsidP="00000000" w:rsidRDefault="00000000" w:rsidRPr="00000000" w14:paraId="0000002C">
      <w:pPr>
        <w:numPr>
          <w:ilvl w:val="0"/>
          <w:numId w:val="8"/>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important to avoid opposing technological and environmental development, as occurs in paragraph 5 of the first draft, but to consider that technology can also bring solutions and should be intertwined with social and environmental development, finding new economic models, such as bioeconomy.</w:t>
      </w:r>
    </w:p>
    <w:p w:rsidR="00000000" w:rsidDel="00000000" w:rsidP="00000000" w:rsidRDefault="00000000" w:rsidRPr="00000000" w14:paraId="0000002D">
      <w:pPr>
        <w:numPr>
          <w:ilvl w:val="0"/>
          <w:numId w:val="8"/>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on the scholar curricula the </w:t>
      </w:r>
      <w:r w:rsidDel="00000000" w:rsidR="00000000" w:rsidRPr="00000000">
        <w:rPr>
          <w:rFonts w:ascii="Times New Roman" w:cs="Times New Roman" w:eastAsia="Times New Roman" w:hAnsi="Times New Roman"/>
          <w:b w:val="1"/>
          <w:sz w:val="24"/>
          <w:szCs w:val="24"/>
          <w:rtl w:val="0"/>
        </w:rPr>
        <w:t xml:space="preserve">study of indigenous and local communities history and culture, including different aspects of the history and culture </w:t>
      </w:r>
      <w:r w:rsidDel="00000000" w:rsidR="00000000" w:rsidRPr="00000000">
        <w:rPr>
          <w:rFonts w:ascii="Times New Roman" w:cs="Times New Roman" w:eastAsia="Times New Roman" w:hAnsi="Times New Roman"/>
          <w:sz w:val="24"/>
          <w:szCs w:val="24"/>
          <w:rtl w:val="0"/>
        </w:rPr>
        <w:t xml:space="preserve">that characterize those populations, especially recovering their contributions in the social, economic, philosophical and environmental areas. Not only to respect their values, but to also learn with their ancient knowledge. </w:t>
      </w:r>
    </w:p>
    <w:p w:rsidR="00000000" w:rsidDel="00000000" w:rsidP="00000000" w:rsidRDefault="00000000" w:rsidRPr="00000000" w14:paraId="0000002E">
      <w:pPr>
        <w:numPr>
          <w:ilvl w:val="0"/>
          <w:numId w:val="8"/>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notice </w:t>
      </w:r>
      <w:r w:rsidDel="00000000" w:rsidR="00000000" w:rsidRPr="00000000">
        <w:rPr>
          <w:rFonts w:ascii="Times New Roman" w:cs="Times New Roman" w:eastAsia="Times New Roman" w:hAnsi="Times New Roman"/>
          <w:b w:val="1"/>
          <w:sz w:val="24"/>
          <w:szCs w:val="24"/>
          <w:rtl w:val="0"/>
        </w:rPr>
        <w:t xml:space="preserve">that there is no mention of a racial perspective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that is a huge miss. </w:t>
      </w:r>
      <w:r w:rsidDel="00000000" w:rsidR="00000000" w:rsidRPr="00000000">
        <w:rPr>
          <w:rFonts w:ascii="Times New Roman" w:cs="Times New Roman" w:eastAsia="Times New Roman" w:hAnsi="Times New Roman"/>
          <w:b w:val="1"/>
          <w:sz w:val="24"/>
          <w:szCs w:val="24"/>
          <w:rtl w:val="0"/>
        </w:rPr>
        <w:t xml:space="preserve">Chapter III, G (non-discrimination) should replace the term “minority groups” with another expression that better emphasizes the racial dimension of discrimination</w:t>
      </w:r>
      <w:r w:rsidDel="00000000" w:rsidR="00000000" w:rsidRPr="00000000">
        <w:rPr>
          <w:rFonts w:ascii="Times New Roman" w:cs="Times New Roman" w:eastAsia="Times New Roman" w:hAnsi="Times New Roman"/>
          <w:sz w:val="24"/>
          <w:szCs w:val="24"/>
          <w:rtl w:val="0"/>
        </w:rPr>
        <w:t xml:space="preserve">. Climate justice is profoundly linked to </w:t>
      </w:r>
      <w:r w:rsidDel="00000000" w:rsidR="00000000" w:rsidRPr="00000000">
        <w:rPr>
          <w:rFonts w:ascii="Times New Roman" w:cs="Times New Roman" w:eastAsia="Times New Roman" w:hAnsi="Times New Roman"/>
          <w:b w:val="1"/>
          <w:sz w:val="24"/>
          <w:szCs w:val="24"/>
          <w:rtl w:val="0"/>
        </w:rPr>
        <w:t xml:space="preserve">environmental racism</w:t>
      </w:r>
      <w:r w:rsidDel="00000000" w:rsidR="00000000" w:rsidRPr="00000000">
        <w:rPr>
          <w:rFonts w:ascii="Times New Roman" w:cs="Times New Roman" w:eastAsia="Times New Roman" w:hAnsi="Times New Roman"/>
          <w:sz w:val="24"/>
          <w:szCs w:val="24"/>
          <w:rtl w:val="0"/>
        </w:rPr>
        <w:t xml:space="preserve">, considering that black people are the most affected by environmental harm and climate change. Black communities are often located in degraded areas or near pollution sites and have less access to environmental goods and resources such as land, water, energy and green spaces. It estimates that the population most vulnerable to disaster risks in Brazil is formed by single-parent families headed by black women, with the presence of children</w:t>
      </w:r>
      <w:r w:rsidDel="00000000" w:rsidR="00000000" w:rsidRPr="00000000">
        <w:rPr>
          <w:rFonts w:ascii="Times New Roman" w:cs="Times New Roman" w:eastAsia="Times New Roman" w:hAnsi="Times New Roman"/>
          <w:sz w:val="24"/>
          <w:szCs w:val="24"/>
          <w:rtl w:val="0"/>
        </w:rPr>
        <w:t xml:space="preserve"> (UNICEF, 2022)</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 is no climate justice without racial justice.</w:t>
      </w:r>
    </w:p>
    <w:p w:rsidR="00000000" w:rsidDel="00000000" w:rsidP="00000000" w:rsidRDefault="00000000" w:rsidRPr="00000000" w14:paraId="0000002F">
      <w:pPr>
        <w:numPr>
          <w:ilvl w:val="0"/>
          <w:numId w:val="8"/>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“Climate refugee” is another possible suggestion for </w:t>
      </w:r>
      <w:r w:rsidDel="00000000" w:rsidR="00000000" w:rsidRPr="00000000">
        <w:rPr>
          <w:rFonts w:ascii="Times New Roman" w:cs="Times New Roman" w:eastAsia="Times New Roman" w:hAnsi="Times New Roman"/>
          <w:b w:val="1"/>
          <w:sz w:val="24"/>
          <w:szCs w:val="24"/>
          <w:rtl w:val="0"/>
        </w:rPr>
        <w:t xml:space="preserve">a paragraph in the section “Right to survival and development”</w:t>
      </w:r>
      <w:r w:rsidDel="00000000" w:rsidR="00000000" w:rsidRPr="00000000">
        <w:rPr>
          <w:rFonts w:ascii="Times New Roman" w:cs="Times New Roman" w:eastAsia="Times New Roman" w:hAnsi="Times New Roman"/>
          <w:sz w:val="24"/>
          <w:szCs w:val="24"/>
          <w:rtl w:val="0"/>
        </w:rPr>
        <w:t xml:space="preserve"> as it is directly related to this right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0">
      <w:pPr>
        <w:numPr>
          <w:ilvl w:val="0"/>
          <w:numId w:val="8"/>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States must not only “consider'' the impacts of pollution in early life, as pointed out in the draft, but have an obligation to mitigate them. </w:t>
      </w:r>
      <w:r w:rsidDel="00000000" w:rsidR="00000000" w:rsidRPr="00000000">
        <w:rPr>
          <w:rFonts w:ascii="Times New Roman" w:cs="Times New Roman" w:eastAsia="Times New Roman" w:hAnsi="Times New Roman"/>
          <w:b w:val="1"/>
          <w:sz w:val="24"/>
          <w:szCs w:val="24"/>
          <w:rtl w:val="0"/>
        </w:rPr>
        <w:t xml:space="preserve">It could be included in Section B (The right to the highest attainable standard of health) prenatal exposure to toxic chemicals as well as prenatal care</w:t>
      </w:r>
      <w:r w:rsidDel="00000000" w:rsidR="00000000" w:rsidRPr="00000000">
        <w:rPr>
          <w:rFonts w:ascii="Times New Roman" w:cs="Times New Roman" w:eastAsia="Times New Roman" w:hAnsi="Times New Roman"/>
          <w:sz w:val="24"/>
          <w:szCs w:val="24"/>
          <w:rtl w:val="0"/>
        </w:rPr>
        <w:t xml:space="preserve">. Also, indicate inequalities in an intersectional perspective in relation to unsafe drinking water, inadequate sanitation and household and outdoor air pollution that pose serious challenges to children’s health. </w:t>
      </w:r>
    </w:p>
    <w:p w:rsidR="00000000" w:rsidDel="00000000" w:rsidP="00000000" w:rsidRDefault="00000000" w:rsidRPr="00000000" w14:paraId="00000031">
      <w:pPr>
        <w:numPr>
          <w:ilvl w:val="0"/>
          <w:numId w:val="8"/>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to r</w:t>
      </w:r>
      <w:r w:rsidDel="00000000" w:rsidR="00000000" w:rsidRPr="00000000">
        <w:rPr>
          <w:rFonts w:ascii="Times New Roman" w:cs="Times New Roman" w:eastAsia="Times New Roman" w:hAnsi="Times New Roman"/>
          <w:b w:val="1"/>
          <w:sz w:val="24"/>
          <w:szCs w:val="24"/>
          <w:rtl w:val="0"/>
        </w:rPr>
        <w:t xml:space="preserve">emove the expressions “unforeseeable”, “even if the scientific evidence is inconclusive” and ''uncertain threats to health'', as in draft’s paragraph 15 and in paragraph 24, </w:t>
      </w:r>
      <w:r w:rsidDel="00000000" w:rsidR="00000000" w:rsidRPr="00000000">
        <w:rPr>
          <w:rFonts w:ascii="Times New Roman" w:cs="Times New Roman" w:eastAsia="Times New Roman" w:hAnsi="Times New Roman"/>
          <w:sz w:val="24"/>
          <w:szCs w:val="24"/>
          <w:rtl w:val="0"/>
        </w:rPr>
        <w:t xml:space="preserve">as we have data of the direct threats to health and t</w:t>
      </w:r>
      <w:r w:rsidDel="00000000" w:rsidR="00000000" w:rsidRPr="00000000">
        <w:rPr>
          <w:rFonts w:ascii="Times New Roman" w:cs="Times New Roman" w:eastAsia="Times New Roman" w:hAnsi="Times New Roman"/>
          <w:sz w:val="24"/>
          <w:szCs w:val="24"/>
          <w:rtl w:val="0"/>
        </w:rPr>
        <w:t xml:space="preserve">hese are predictable risks and therefore must be mitigated.</w:t>
      </w:r>
    </w:p>
    <w:p w:rsidR="00000000" w:rsidDel="00000000" w:rsidP="00000000" w:rsidRDefault="00000000" w:rsidRPr="00000000" w14:paraId="00000032">
      <w:pPr>
        <w:numPr>
          <w:ilvl w:val="0"/>
          <w:numId w:val="8"/>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Regarding the subject of evictions, </w:t>
      </w:r>
      <w:r w:rsidDel="00000000" w:rsidR="00000000" w:rsidRPr="00000000">
        <w:rPr>
          <w:rFonts w:ascii="Times New Roman" w:cs="Times New Roman" w:eastAsia="Times New Roman" w:hAnsi="Times New Roman"/>
          <w:b w:val="1"/>
          <w:sz w:val="24"/>
          <w:szCs w:val="24"/>
          <w:rtl w:val="0"/>
        </w:rPr>
        <w:t xml:space="preserve">paragraph 43</w:t>
      </w:r>
      <w:r w:rsidDel="00000000" w:rsidR="00000000" w:rsidRPr="00000000">
        <w:rPr>
          <w:rFonts w:ascii="Times New Roman" w:cs="Times New Roman" w:eastAsia="Times New Roman" w:hAnsi="Times New Roman"/>
          <w:sz w:val="24"/>
          <w:szCs w:val="24"/>
          <w:rtl w:val="0"/>
        </w:rPr>
        <w:t xml:space="preserve">, beyond the prior provision of adequate alternative accommodation, which should necessarily be housing, it is also necessary to point out to </w:t>
      </w:r>
      <w:r w:rsidDel="00000000" w:rsidR="00000000" w:rsidRPr="00000000">
        <w:rPr>
          <w:rFonts w:ascii="Times New Roman" w:cs="Times New Roman" w:eastAsia="Times New Roman" w:hAnsi="Times New Roman"/>
          <w:b w:val="1"/>
          <w:sz w:val="24"/>
          <w:szCs w:val="24"/>
          <w:rtl w:val="0"/>
        </w:rPr>
        <w:t xml:space="preserve">ensure that children are not victims of police violence at the moment of eviction</w:t>
      </w:r>
      <w:r w:rsidDel="00000000" w:rsidR="00000000" w:rsidRPr="00000000">
        <w:rPr>
          <w:rFonts w:ascii="Times New Roman" w:cs="Times New Roman" w:eastAsia="Times New Roman" w:hAnsi="Times New Roman"/>
          <w:sz w:val="24"/>
          <w:szCs w:val="24"/>
          <w:rtl w:val="0"/>
        </w:rPr>
        <w:t xml:space="preserve">. Ensuring protective measures, including social, legal and health assistance in these cases.</w:t>
      </w:r>
    </w:p>
    <w:p w:rsidR="00000000" w:rsidDel="00000000" w:rsidP="00000000" w:rsidRDefault="00000000" w:rsidRPr="00000000" w14:paraId="00000033">
      <w:pPr>
        <w:widowControl w:val="0"/>
        <w:numPr>
          <w:ilvl w:val="0"/>
          <w:numId w:val="2"/>
        </w:numPr>
        <w:spacing w:after="200" w:before="0"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right to a clean, healthy and sustainable environment as a diffuse and collective right</w:t>
      </w:r>
    </w:p>
    <w:p w:rsidR="00000000" w:rsidDel="00000000" w:rsidP="00000000" w:rsidRDefault="00000000" w:rsidRPr="00000000" w14:paraId="00000034">
      <w:pPr>
        <w:widowControl w:val="0"/>
        <w:spacing w:after="200" w:before="0" w:line="276" w:lineRule="auto"/>
        <w:ind w:left="720" w:hanging="294.803149606299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The diffuse and collective rights are those whose holders are the community and/or a group of people and not just a particular individual, transcending the notion of individuality. Diffuse and collective rights are related to an active and committed</w:t>
      </w:r>
      <w:r w:rsidDel="00000000" w:rsidR="00000000" w:rsidRPr="00000000">
        <w:rPr>
          <w:rFonts w:ascii="Times New Roman" w:cs="Times New Roman" w:eastAsia="Times New Roman" w:hAnsi="Times New Roman"/>
          <w:sz w:val="24"/>
          <w:szCs w:val="24"/>
          <w:shd w:fill="b6d7a8" w:val="clear"/>
          <w:rtl w:val="0"/>
        </w:rPr>
        <w:t xml:space="preserve"> </w:t>
      </w:r>
      <w:r w:rsidDel="00000000" w:rsidR="00000000" w:rsidRPr="00000000">
        <w:rPr>
          <w:rFonts w:ascii="Times New Roman" w:cs="Times New Roman" w:eastAsia="Times New Roman" w:hAnsi="Times New Roman"/>
          <w:sz w:val="24"/>
          <w:szCs w:val="24"/>
          <w:rtl w:val="0"/>
        </w:rPr>
        <w:t xml:space="preserve">posture of the States for their guarantee, especially through the implementation of public policies. The importance of diffuse and collective rights consists of involving a maximum dimension of universality and collectivity, aiming at the concretization of a more solidary, egalitarian, and fraternal society. Thus, it is important to understand the right to a clean, healthy, and sustainable environment as a diffuse and collective right in order to allow groups, with </w:t>
      </w:r>
      <w:r w:rsidDel="00000000" w:rsidR="00000000" w:rsidRPr="00000000">
        <w:rPr>
          <w:rFonts w:ascii="Times New Roman" w:cs="Times New Roman" w:eastAsia="Times New Roman" w:hAnsi="Times New Roman"/>
          <w:sz w:val="24"/>
          <w:szCs w:val="24"/>
          <w:rtl w:val="0"/>
        </w:rPr>
        <w:t xml:space="preserve">unidentified individuals,</w:t>
      </w:r>
      <w:r w:rsidDel="00000000" w:rsidR="00000000" w:rsidRPr="00000000">
        <w:rPr>
          <w:rFonts w:ascii="Times New Roman" w:cs="Times New Roman" w:eastAsia="Times New Roman" w:hAnsi="Times New Roman"/>
          <w:sz w:val="24"/>
          <w:szCs w:val="24"/>
          <w:rtl w:val="0"/>
        </w:rPr>
        <w:t xml:space="preserve"> to plead in cases of violations of this right and to ensure the maximum effectiveness of it, beyond the class actions and </w:t>
      </w:r>
      <w:r w:rsidDel="00000000" w:rsidR="00000000" w:rsidRPr="00000000">
        <w:rPr>
          <w:rFonts w:ascii="Times New Roman" w:cs="Times New Roman" w:eastAsia="Times New Roman" w:hAnsi="Times New Roman"/>
          <w:sz w:val="24"/>
          <w:szCs w:val="24"/>
          <w:rtl w:val="0"/>
        </w:rPr>
        <w:t xml:space="preserve">public interest litigation</w:t>
      </w:r>
      <w:r w:rsidDel="00000000" w:rsidR="00000000" w:rsidRPr="00000000">
        <w:rPr>
          <w:rFonts w:ascii="Times New Roman" w:cs="Times New Roman" w:eastAsia="Times New Roman" w:hAnsi="Times New Roman"/>
          <w:sz w:val="24"/>
          <w:szCs w:val="24"/>
          <w:rtl w:val="0"/>
        </w:rPr>
        <w:t xml:space="preserve"> mentioned in paragraph 65. It is necessary that States adopt a legal interpretation of the right to a clean, healthy, and sustainable environment as diffuse and collective so that they can be collectively claimed by children or organizations and adopt adequate legal remedies to address collective complaints regarding this right. </w:t>
      </w:r>
    </w:p>
    <w:p w:rsidR="00000000" w:rsidDel="00000000" w:rsidP="00000000" w:rsidRDefault="00000000" w:rsidRPr="00000000" w14:paraId="00000035">
      <w:pPr>
        <w:widowControl w:val="0"/>
        <w:spacing w:after="200" w:before="0" w:line="276" w:lineRule="auto"/>
        <w:ind w:left="720" w:hanging="294.8031496062991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Still, it is very important the reinforcement in CG n. 26 that, according to OP n. 3, the admissibility of complaints to the Committee under the criterion of exhaustion of domestic remedies must always assess the due and reasonable time of the judicial process, which itself can be a violation.</w:t>
      </w:r>
    </w:p>
    <w:p w:rsidR="00000000" w:rsidDel="00000000" w:rsidP="00000000" w:rsidRDefault="00000000" w:rsidRPr="00000000" w14:paraId="00000036">
      <w:pPr>
        <w:numPr>
          <w:ilvl w:val="0"/>
          <w:numId w:val="2"/>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suggest including</w:t>
      </w:r>
      <w:r w:rsidDel="00000000" w:rsidR="00000000" w:rsidRPr="00000000">
        <w:rPr>
          <w:rFonts w:ascii="Times New Roman" w:cs="Times New Roman" w:eastAsia="Times New Roman" w:hAnsi="Times New Roman"/>
          <w:sz w:val="24"/>
          <w:szCs w:val="24"/>
          <w:rtl w:val="0"/>
        </w:rPr>
        <w:t xml:space="preserve"> both </w:t>
      </w:r>
      <w:r w:rsidDel="00000000" w:rsidR="00000000" w:rsidRPr="00000000">
        <w:rPr>
          <w:rFonts w:ascii="Times New Roman" w:cs="Times New Roman" w:eastAsia="Times New Roman" w:hAnsi="Times New Roman"/>
          <w:sz w:val="24"/>
          <w:szCs w:val="24"/>
          <w:rtl w:val="0"/>
        </w:rPr>
        <w:t xml:space="preserve">outdoor</w:t>
      </w:r>
      <w:r w:rsidDel="00000000" w:rsidR="00000000" w:rsidRPr="00000000">
        <w:rPr>
          <w:rFonts w:ascii="Times New Roman" w:cs="Times New Roman" w:eastAsia="Times New Roman" w:hAnsi="Times New Roman"/>
          <w:sz w:val="24"/>
          <w:szCs w:val="24"/>
          <w:rtl w:val="0"/>
        </w:rPr>
        <w:t xml:space="preserve"> and indoor air pollution to prevent child mortality, sometimes the text mentions only the household pollution.</w:t>
      </w:r>
      <w:r w:rsidDel="00000000" w:rsidR="00000000" w:rsidRPr="00000000">
        <w:rPr>
          <w:rtl w:val="0"/>
        </w:rPr>
      </w:r>
    </w:p>
    <w:p w:rsidR="00000000" w:rsidDel="00000000" w:rsidP="00000000" w:rsidRDefault="00000000" w:rsidRPr="00000000" w14:paraId="00000037">
      <w:pPr>
        <w:numPr>
          <w:ilvl w:val="0"/>
          <w:numId w:val="2"/>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paragraph 78, </w:t>
      </w:r>
      <w:r w:rsidDel="00000000" w:rsidR="00000000" w:rsidRPr="00000000">
        <w:rPr>
          <w:rFonts w:ascii="Times New Roman" w:cs="Times New Roman" w:eastAsia="Times New Roman" w:hAnsi="Times New Roman"/>
          <w:sz w:val="24"/>
          <w:szCs w:val="24"/>
          <w:rtl w:val="0"/>
        </w:rPr>
        <w:t xml:space="preserve">we suggest</w:t>
      </w:r>
      <w:r w:rsidDel="00000000" w:rsidR="00000000" w:rsidRPr="00000000">
        <w:rPr>
          <w:rFonts w:ascii="Times New Roman" w:cs="Times New Roman" w:eastAsia="Times New Roman" w:hAnsi="Times New Roman"/>
          <w:b w:val="1"/>
          <w:sz w:val="24"/>
          <w:szCs w:val="24"/>
          <w:rtl w:val="0"/>
        </w:rPr>
        <w:t xml:space="preserve"> deleting the expression “without convincing justification'”,</w:t>
      </w:r>
      <w:r w:rsidDel="00000000" w:rsidR="00000000" w:rsidRPr="00000000">
        <w:rPr>
          <w:rFonts w:ascii="Times New Roman" w:cs="Times New Roman" w:eastAsia="Times New Roman" w:hAnsi="Times New Roman"/>
          <w:sz w:val="24"/>
          <w:szCs w:val="24"/>
          <w:rtl w:val="0"/>
        </w:rPr>
        <w:t xml:space="preserve"> as States must respect the principle of non-regression in terms of human and environmental rights.  </w:t>
      </w:r>
    </w:p>
    <w:p w:rsidR="00000000" w:rsidDel="00000000" w:rsidP="00000000" w:rsidRDefault="00000000" w:rsidRPr="00000000" w14:paraId="00000038">
      <w:pPr>
        <w:spacing w:before="12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before="120" w:line="276" w:lineRule="auto"/>
        <w:ind w:left="708.6614173228347" w:hanging="283.46456692913375"/>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b w:val="1"/>
          <w:sz w:val="24"/>
          <w:szCs w:val="24"/>
          <w:u w:val="single"/>
          <w:rtl w:val="0"/>
        </w:rPr>
        <w:t xml:space="preserve">ADDITION, SUBSTITUTION AND DELETION OF TERMS AND EXPRESSIONS</w:t>
      </w:r>
      <w:r w:rsidDel="00000000" w:rsidR="00000000" w:rsidRPr="00000000">
        <w:rPr>
          <w:rtl w:val="0"/>
        </w:rPr>
      </w:r>
    </w:p>
    <w:p w:rsidR="00000000" w:rsidDel="00000000" w:rsidP="00000000" w:rsidRDefault="00000000" w:rsidRPr="00000000" w14:paraId="0000003A">
      <w:pPr>
        <w:numPr>
          <w:ilvl w:val="0"/>
          <w:numId w:val="7"/>
        </w:numPr>
        <w:spacing w:after="200" w:before="12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the addition of 4 paragraphs, </w:t>
      </w:r>
      <w:r w:rsidDel="00000000" w:rsidR="00000000" w:rsidRPr="00000000">
        <w:rPr>
          <w:color w:val="222222"/>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inspired by the GC n. </w:t>
      </w:r>
      <w:r w:rsidDel="00000000" w:rsidR="00000000" w:rsidRPr="00000000">
        <w:rPr>
          <w:rFonts w:ascii="Times New Roman" w:cs="Times New Roman" w:eastAsia="Times New Roman" w:hAnsi="Times New Roman"/>
          <w:color w:val="222222"/>
          <w:sz w:val="24"/>
          <w:szCs w:val="24"/>
          <w:highlight w:val="white"/>
          <w:rtl w:val="0"/>
        </w:rPr>
        <w:t xml:space="preserve">25</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3B">
      <w:pPr>
        <w:numPr>
          <w:ilvl w:val="0"/>
          <w:numId w:val="4"/>
        </w:numPr>
        <w:shd w:fill="ffffff" w:val="clear"/>
        <w:spacing w:after="200" w:before="0" w:line="276"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sz w:val="24"/>
          <w:szCs w:val="24"/>
          <w:rtl w:val="0"/>
        </w:rPr>
        <w:t xml:space="preserve">The business sector, including not-for-profit organizations, affects children’s rights directly and indirectly in the provision of services and products relating to their right to a clean, healthy and sustainable environment and climate. Businesses should respect children’s rights and prevent and remedy abuse of their rights in relation to their rights under the CRC. States parties have the obligation to ensure that businesses meet those responsibilities.</w:t>
      </w:r>
    </w:p>
    <w:p w:rsidR="00000000" w:rsidDel="00000000" w:rsidP="00000000" w:rsidRDefault="00000000" w:rsidRPr="00000000" w14:paraId="0000003C">
      <w:pPr>
        <w:numPr>
          <w:ilvl w:val="0"/>
          <w:numId w:val="4"/>
        </w:numPr>
        <w:shd w:fill="ffffff" w:val="clear"/>
        <w:spacing w:after="200" w:before="0" w:line="276"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sz w:val="24"/>
          <w:szCs w:val="24"/>
          <w:rtl w:val="0"/>
        </w:rPr>
        <w:t xml:space="preserve">States parties should take measures, including through the development, monitoring, implementation and evaluation of legislation, regulations and policies, to ensure compliance by businesses with their obligations to prevent  violations or abuses of children’s rights, including their right to non-discrimination by double-standards in environmental and climate policies, and to provide children, parents and caregivers with prompt and effective remedies. </w:t>
      </w:r>
    </w:p>
    <w:p w:rsidR="00000000" w:rsidDel="00000000" w:rsidP="00000000" w:rsidRDefault="00000000" w:rsidRPr="00000000" w14:paraId="0000003D">
      <w:pPr>
        <w:numPr>
          <w:ilvl w:val="0"/>
          <w:numId w:val="4"/>
        </w:numPr>
        <w:shd w:fill="ffffff" w:val="clear"/>
        <w:spacing w:after="200" w:before="0" w:line="276"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sz w:val="24"/>
          <w:szCs w:val="24"/>
          <w:rtl w:val="0"/>
        </w:rPr>
        <w:t xml:space="preserve">States parties have a duty to protect children from infringements of their rights by business enterprises, including the right to be protected from all forms of discrimination and environment and climate malpractices. Although businesses may not be directly involved in perpetrating harmful acts, they can cause or contribute to violations of children’s right to life, health and development. States parties should put in place, monitor and enforce laws and regulations aimed at preventing violations of the right to protection against environmental and climate damage, as well as those aimed at investigating, adjudicating on and redressing violations as they occur. </w:t>
      </w:r>
    </w:p>
    <w:p w:rsidR="00000000" w:rsidDel="00000000" w:rsidP="00000000" w:rsidRDefault="00000000" w:rsidRPr="00000000" w14:paraId="0000003E">
      <w:pPr>
        <w:numPr>
          <w:ilvl w:val="0"/>
          <w:numId w:val="4"/>
        </w:numPr>
        <w:shd w:fill="ffffff" w:val="clear"/>
        <w:spacing w:after="200" w:before="0" w:line="276" w:lineRule="auto"/>
        <w:ind w:left="144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sz w:val="24"/>
          <w:szCs w:val="24"/>
          <w:rtl w:val="0"/>
        </w:rPr>
        <w:t xml:space="preserve">States parties should require the business sector to undertake child rights due diligence, in particular to carry out child rights impact assessments and disclose them to the public, with special consideration given to the differentiated and, at times, severe impacts of the climate and environment business practices on children.  They should take appropriate steps to prevent, monitor, investigate and punish child rights abuses by businesses.</w:t>
      </w:r>
      <w:r w:rsidDel="00000000" w:rsidR="00000000" w:rsidRPr="00000000">
        <w:rPr>
          <w:rtl w:val="0"/>
        </w:rPr>
      </w:r>
    </w:p>
    <w:p w:rsidR="00000000" w:rsidDel="00000000" w:rsidP="00000000" w:rsidRDefault="00000000" w:rsidRPr="00000000" w14:paraId="0000003F">
      <w:pPr>
        <w:numPr>
          <w:ilvl w:val="0"/>
          <w:numId w:val="7"/>
        </w:numPr>
        <w:spacing w:after="200" w:before="12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the addition in paragraph 3 of: "</w:t>
      </w:r>
      <w:r w:rsidDel="00000000" w:rsidR="00000000" w:rsidRPr="00000000">
        <w:rPr>
          <w:rFonts w:ascii="Times New Roman" w:cs="Times New Roman" w:eastAsia="Times New Roman" w:hAnsi="Times New Roman"/>
          <w:b w:val="1"/>
          <w:sz w:val="24"/>
          <w:szCs w:val="24"/>
          <w:rtl w:val="0"/>
        </w:rPr>
        <w:t xml:space="preserve">in view of its transnational characteristic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and also combined by the disorderly densification, land occupation and urbanization systems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noise pollution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0">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to paragraph 19: “[...] in the places where children live, study, play, work </w:t>
      </w:r>
      <w:r w:rsidDel="00000000" w:rsidR="00000000" w:rsidRPr="00000000">
        <w:rPr>
          <w:rFonts w:ascii="Times New Roman" w:cs="Times New Roman" w:eastAsia="Times New Roman" w:hAnsi="Times New Roman"/>
          <w:b w:val="1"/>
          <w:sz w:val="24"/>
          <w:szCs w:val="24"/>
          <w:rtl w:val="0"/>
        </w:rPr>
        <w:t xml:space="preserve">and where they are treated (long term hospitalization or hospices)</w:t>
      </w:r>
      <w:r w:rsidDel="00000000" w:rsidR="00000000" w:rsidRPr="00000000">
        <w:rPr>
          <w:rFonts w:ascii="Times New Roman" w:cs="Times New Roman" w:eastAsia="Times New Roman" w:hAnsi="Times New Roman"/>
          <w:sz w:val="24"/>
          <w:szCs w:val="24"/>
          <w:rtl w:val="0"/>
        </w:rPr>
        <w:t xml:space="preserve"> and detrimental mental health effects linked to climate change.”.</w:t>
      </w:r>
    </w:p>
    <w:p w:rsidR="00000000" w:rsidDel="00000000" w:rsidP="00000000" w:rsidRDefault="00000000" w:rsidRPr="00000000" w14:paraId="00000041">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to paragraph 24: “inadequate or </w:t>
      </w: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sanitation, noise pollution and</w:t>
      </w:r>
      <w:r w:rsidDel="00000000" w:rsidR="00000000" w:rsidRPr="00000000">
        <w:rPr>
          <w:rFonts w:ascii="Times New Roman" w:cs="Times New Roman" w:eastAsia="Times New Roman" w:hAnsi="Times New Roman"/>
          <w:b w:val="1"/>
          <w:sz w:val="24"/>
          <w:szCs w:val="24"/>
          <w:rtl w:val="0"/>
        </w:rPr>
        <w:t xml:space="preserve"> contaminated food by agrochemicals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2">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to paragraph 25: “Climate change, pollution and toxic substances all represent key drivers of the </w:t>
      </w:r>
      <w:r w:rsidDel="00000000" w:rsidR="00000000" w:rsidRPr="00000000">
        <w:rPr>
          <w:rFonts w:ascii="Times New Roman" w:cs="Times New Roman" w:eastAsia="Times New Roman" w:hAnsi="Times New Roman"/>
          <w:b w:val="1"/>
          <w:sz w:val="24"/>
          <w:szCs w:val="24"/>
          <w:rtl w:val="0"/>
        </w:rPr>
        <w:t xml:space="preserve">alarming food insecurity</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43">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to 28: “comprehensive and</w:t>
      </w:r>
      <w:r w:rsidDel="00000000" w:rsidR="00000000" w:rsidRPr="00000000">
        <w:rPr>
          <w:rFonts w:ascii="Times New Roman" w:cs="Times New Roman" w:eastAsia="Times New Roman" w:hAnsi="Times New Roman"/>
          <w:b w:val="1"/>
          <w:sz w:val="24"/>
          <w:szCs w:val="24"/>
          <w:rtl w:val="0"/>
        </w:rPr>
        <w:t xml:space="preserve"> inclusive</w:t>
      </w:r>
      <w:r w:rsidDel="00000000" w:rsidR="00000000" w:rsidRPr="00000000">
        <w:rPr>
          <w:rFonts w:ascii="Times New Roman" w:cs="Times New Roman" w:eastAsia="Times New Roman" w:hAnsi="Times New Roman"/>
          <w:sz w:val="24"/>
          <w:szCs w:val="24"/>
          <w:rtl w:val="0"/>
        </w:rPr>
        <w:t xml:space="preserve">” e “where they live, study… </w:t>
      </w:r>
      <w:r w:rsidDel="00000000" w:rsidR="00000000" w:rsidRPr="00000000">
        <w:rPr>
          <w:rFonts w:ascii="Times New Roman" w:cs="Times New Roman" w:eastAsia="Times New Roman" w:hAnsi="Times New Roman"/>
          <w:b w:val="1"/>
          <w:sz w:val="24"/>
          <w:szCs w:val="24"/>
          <w:rtl w:val="0"/>
        </w:rPr>
        <w:t xml:space="preserve">and where they are treated (long term hospitalization or hospices)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conditions mentioned in paragraph 29 should include the school environment, as a guarantee of the right to </w:t>
      </w:r>
      <w:r w:rsidDel="00000000" w:rsidR="00000000" w:rsidRPr="00000000">
        <w:rPr>
          <w:rFonts w:ascii="Times New Roman" w:cs="Times New Roman" w:eastAsia="Times New Roman" w:hAnsi="Times New Roman"/>
          <w:sz w:val="24"/>
          <w:szCs w:val="24"/>
          <w:rtl w:val="0"/>
        </w:rPr>
        <w:t xml:space="preserve">education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to paragraph 35: “[...] </w:t>
      </w:r>
      <w:r w:rsidDel="00000000" w:rsidR="00000000" w:rsidRPr="00000000">
        <w:rPr>
          <w:rFonts w:ascii="Times New Roman" w:cs="Times New Roman" w:eastAsia="Times New Roman" w:hAnsi="Times New Roman"/>
          <w:b w:val="1"/>
          <w:sz w:val="24"/>
          <w:szCs w:val="24"/>
          <w:rtl w:val="0"/>
        </w:rPr>
        <w:t xml:space="preserve">recognizing the particular biogeographic, biomes, local and similar global interactions and ecological systems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to paragraph 36: “</w:t>
      </w:r>
      <w:r w:rsidDel="00000000" w:rsidR="00000000" w:rsidRPr="00000000">
        <w:rPr>
          <w:rFonts w:ascii="Times New Roman" w:cs="Times New Roman" w:eastAsia="Times New Roman" w:hAnsi="Times New Roman"/>
          <w:b w:val="1"/>
          <w:sz w:val="24"/>
          <w:szCs w:val="24"/>
          <w:rtl w:val="0"/>
        </w:rPr>
        <w:t xml:space="preserve">This includes safe, inclusive and accessible walking and biking routes to school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to paragraph 36: “[...] Environmentally-friendly school facilities such as </w:t>
      </w:r>
      <w:r w:rsidDel="00000000" w:rsidR="00000000" w:rsidRPr="00000000">
        <w:rPr>
          <w:rFonts w:ascii="Times New Roman" w:cs="Times New Roman" w:eastAsia="Times New Roman" w:hAnsi="Times New Roman"/>
          <w:b w:val="1"/>
          <w:sz w:val="24"/>
          <w:szCs w:val="24"/>
          <w:rtl w:val="0"/>
        </w:rPr>
        <w:t xml:space="preserve">edible gardens, orchards, spaces with native biodiversity representative of regional identity and culture, structures for the collection and storage of water for ecological use, mediating structures that value the development of motor skills, ample natural environments and spaces for free play, being, socializing and learning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to paragraph 37: “[...] </w:t>
      </w:r>
      <w:r w:rsidDel="00000000" w:rsidR="00000000" w:rsidRPr="00000000">
        <w:rPr>
          <w:rFonts w:ascii="Times New Roman" w:cs="Times New Roman" w:eastAsia="Times New Roman" w:hAnsi="Times New Roman"/>
          <w:b w:val="1"/>
          <w:sz w:val="24"/>
          <w:szCs w:val="24"/>
          <w:rtl w:val="0"/>
        </w:rPr>
        <w:t xml:space="preserve">and systems, with continuous monitoring of educators offering a support network to help them face the particular challenges they experience.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numPr>
          <w:ilvl w:val="0"/>
          <w:numId w:val="7"/>
        </w:numPr>
        <w:spacing w:after="200" w:before="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suggest adding to paragraph 42: “[...] pollution sources, radiation</w:t>
      </w:r>
      <w:r w:rsidDel="00000000" w:rsidR="00000000" w:rsidRPr="00000000">
        <w:rPr>
          <w:rFonts w:ascii="Times New Roman" w:cs="Times New Roman" w:eastAsia="Times New Roman" w:hAnsi="Times New Roman"/>
          <w:b w:val="1"/>
          <w:sz w:val="24"/>
          <w:szCs w:val="24"/>
          <w:rtl w:val="0"/>
        </w:rPr>
        <w:t xml:space="preserve"> or agrochemical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numPr>
          <w:ilvl w:val="0"/>
          <w:numId w:val="2"/>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suggest adding to paragraph 47: “[...] without discrimination </w:t>
      </w:r>
      <w:r w:rsidDel="00000000" w:rsidR="00000000" w:rsidRPr="00000000">
        <w:rPr>
          <w:rFonts w:ascii="Times New Roman" w:cs="Times New Roman" w:eastAsia="Times New Roman" w:hAnsi="Times New Roman"/>
          <w:b w:val="1"/>
          <w:sz w:val="24"/>
          <w:szCs w:val="24"/>
          <w:rtl w:val="0"/>
        </w:rPr>
        <w:t xml:space="preserve">and inclusive way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numPr>
          <w:ilvl w:val="0"/>
          <w:numId w:val="2"/>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suggest adding to paragraph 47: “[...]</w:t>
      </w:r>
      <w:r w:rsidDel="00000000" w:rsidR="00000000" w:rsidRPr="00000000">
        <w:rPr>
          <w:rFonts w:ascii="Times New Roman" w:cs="Times New Roman" w:eastAsia="Times New Roman" w:hAnsi="Times New Roman"/>
          <w:b w:val="1"/>
          <w:sz w:val="24"/>
          <w:szCs w:val="24"/>
          <w:rtl w:val="0"/>
        </w:rPr>
        <w:t xml:space="preserve"> hospitals and health centers, libraries, community and cultural centers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C">
      <w:pPr>
        <w:numPr>
          <w:ilvl w:val="0"/>
          <w:numId w:val="2"/>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suggest deleting, in paragraph 52, “[...] </w:t>
      </w:r>
      <w:r w:rsidDel="00000000" w:rsidR="00000000" w:rsidRPr="00000000">
        <w:rPr>
          <w:rFonts w:ascii="Times New Roman" w:cs="Times New Roman" w:eastAsia="Times New Roman" w:hAnsi="Times New Roman"/>
          <w:b w:val="1"/>
          <w:sz w:val="24"/>
          <w:szCs w:val="24"/>
          <w:rtl w:val="0"/>
        </w:rPr>
        <w:t xml:space="preserve">affecting children</w:t>
      </w:r>
      <w:r w:rsidDel="00000000" w:rsidR="00000000" w:rsidRPr="00000000">
        <w:rPr>
          <w:rFonts w:ascii="Times New Roman" w:cs="Times New Roman" w:eastAsia="Times New Roman" w:hAnsi="Times New Roman"/>
          <w:sz w:val="24"/>
          <w:szCs w:val="24"/>
          <w:rtl w:val="0"/>
        </w:rPr>
        <w:t xml:space="preserve">” and a sentence “</w:t>
      </w:r>
      <w:r w:rsidDel="00000000" w:rsidR="00000000" w:rsidRPr="00000000">
        <w:rPr>
          <w:rFonts w:ascii="Times New Roman" w:cs="Times New Roman" w:eastAsia="Times New Roman" w:hAnsi="Times New Roman"/>
          <w:b w:val="1"/>
          <w:sz w:val="24"/>
          <w:szCs w:val="24"/>
          <w:rtl w:val="0"/>
        </w:rPr>
        <w:t xml:space="preserve">Where a decision may have a major environmental impact on children, a more detailed procedure to consider their best interests is appropriate</w:t>
      </w:r>
      <w:r w:rsidDel="00000000" w:rsidR="00000000" w:rsidRPr="00000000">
        <w:rPr>
          <w:rFonts w:ascii="Times New Roman" w:cs="Times New Roman" w:eastAsia="Times New Roman" w:hAnsi="Times New Roman"/>
          <w:sz w:val="24"/>
          <w:szCs w:val="24"/>
          <w:rtl w:val="0"/>
        </w:rPr>
        <w:t xml:space="preserve">”, in view of the fact that all environmental decisions primarily affect children.</w:t>
      </w:r>
      <w:r w:rsidDel="00000000" w:rsidR="00000000" w:rsidRPr="00000000">
        <w:rPr>
          <w:rtl w:val="0"/>
        </w:rPr>
      </w:r>
    </w:p>
    <w:p w:rsidR="00000000" w:rsidDel="00000000" w:rsidP="00000000" w:rsidRDefault="00000000" w:rsidRPr="00000000" w14:paraId="0000004D">
      <w:pPr>
        <w:numPr>
          <w:ilvl w:val="0"/>
          <w:numId w:val="2"/>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suggest adding to paragraph 73, (c): “</w:t>
      </w:r>
      <w:r w:rsidDel="00000000" w:rsidR="00000000" w:rsidRPr="00000000">
        <w:rPr>
          <w:rFonts w:ascii="Times New Roman" w:cs="Times New Roman" w:eastAsia="Times New Roman" w:hAnsi="Times New Roman"/>
          <w:b w:val="1"/>
          <w:sz w:val="24"/>
          <w:szCs w:val="24"/>
          <w:rtl w:val="0"/>
        </w:rPr>
        <w:t xml:space="preserve">and intoxication with pesticides</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b w:val="1"/>
          <w:sz w:val="24"/>
          <w:szCs w:val="24"/>
          <w:rtl w:val="0"/>
        </w:rPr>
        <w:t xml:space="preserve">and amplify accessible green areas, landscaped and native species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numPr>
          <w:ilvl w:val="0"/>
          <w:numId w:val="2"/>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suggest adding to paragraph 75: “[...] including business enterprises </w:t>
      </w:r>
      <w:r w:rsidDel="00000000" w:rsidR="00000000" w:rsidRPr="00000000">
        <w:rPr>
          <w:rFonts w:ascii="Times New Roman" w:cs="Times New Roman" w:eastAsia="Times New Roman" w:hAnsi="Times New Roman"/>
          <w:b w:val="1"/>
          <w:sz w:val="24"/>
          <w:szCs w:val="24"/>
          <w:rtl w:val="0"/>
        </w:rPr>
        <w:t xml:space="preserve">and agrobusiness, in their actions in the use of natural resources; impacts on the handling of these resources in environmental and social terms; processing; product and service designs developed and </w:t>
      </w:r>
      <w:r w:rsidDel="00000000" w:rsidR="00000000" w:rsidRPr="00000000">
        <w:rPr>
          <w:rFonts w:ascii="Times New Roman" w:cs="Times New Roman" w:eastAsia="Times New Roman" w:hAnsi="Times New Roman"/>
          <w:b w:val="1"/>
          <w:sz w:val="24"/>
          <w:szCs w:val="24"/>
          <w:rtl w:val="0"/>
        </w:rPr>
        <w:t xml:space="preserve">delivered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numPr>
          <w:ilvl w:val="0"/>
          <w:numId w:val="2"/>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suggest adding to paragraph 86: [...] “capacities of children, </w:t>
      </w:r>
      <w:r w:rsidDel="00000000" w:rsidR="00000000" w:rsidRPr="00000000">
        <w:rPr>
          <w:rFonts w:ascii="Times New Roman" w:cs="Times New Roman" w:eastAsia="Times New Roman" w:hAnsi="Times New Roman"/>
          <w:b w:val="1"/>
          <w:sz w:val="24"/>
          <w:szCs w:val="24"/>
          <w:rtl w:val="0"/>
        </w:rPr>
        <w:t xml:space="preserve">and particularities of their territories, identity and culture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numPr>
          <w:ilvl w:val="0"/>
          <w:numId w:val="2"/>
        </w:numPr>
        <w:spacing w:after="200" w:before="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suggest adding to paragraph 91: “[...] </w:t>
      </w:r>
      <w:r w:rsidDel="00000000" w:rsidR="00000000" w:rsidRPr="00000000">
        <w:rPr>
          <w:rFonts w:ascii="Times New Roman" w:cs="Times New Roman" w:eastAsia="Times New Roman" w:hAnsi="Times New Roman"/>
          <w:b w:val="1"/>
          <w:sz w:val="24"/>
          <w:szCs w:val="24"/>
          <w:rtl w:val="0"/>
        </w:rPr>
        <w:t xml:space="preserve">noise pollution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1">
      <w:pPr>
        <w:spacing w:before="12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rtl w:val="0"/>
        </w:rPr>
      </w:r>
    </w:p>
    <w:sectPr>
      <w:headerReference r:id="rId11" w:type="default"/>
      <w:headerReference r:id="rId12" w:type="first"/>
      <w:type w:val="nextPage"/>
      <w:pgSz w:h="16834" w:w="11909" w:orient="portrait"/>
      <w:pgMar w:bottom="1440.0000000000002" w:top="2976.377952755906" w:left="1440.0000000000002" w:right="1440.0000000000002" w:header="113.38582677165356"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UNICEF. </w:t>
      </w:r>
      <w:r w:rsidDel="00000000" w:rsidR="00000000" w:rsidRPr="00000000">
        <w:rPr>
          <w:rFonts w:ascii="Times New Roman" w:cs="Times New Roman" w:eastAsia="Times New Roman" w:hAnsi="Times New Roman"/>
          <w:b w:val="1"/>
          <w:sz w:val="20"/>
          <w:szCs w:val="20"/>
          <w:rtl w:val="0"/>
        </w:rPr>
        <w:t xml:space="preserve">Crianças, adolescentes e mudanças climáticas no Brasil</w:t>
      </w:r>
      <w:r w:rsidDel="00000000" w:rsidR="00000000" w:rsidRPr="00000000">
        <w:rPr>
          <w:rFonts w:ascii="Times New Roman" w:cs="Times New Roman" w:eastAsia="Times New Roman" w:hAnsi="Times New Roman"/>
          <w:sz w:val="20"/>
          <w:szCs w:val="20"/>
          <w:rtl w:val="0"/>
        </w:rPr>
        <w:t xml:space="preserve">. 2022. </w:t>
      </w:r>
      <w:hyperlink r:id="rId1">
        <w:r w:rsidDel="00000000" w:rsidR="00000000" w:rsidRPr="00000000">
          <w:rPr>
            <w:rFonts w:ascii="Times New Roman" w:cs="Times New Roman" w:eastAsia="Times New Roman" w:hAnsi="Times New Roman"/>
            <w:color w:val="1155cc"/>
            <w:sz w:val="20"/>
            <w:szCs w:val="20"/>
            <w:u w:val="single"/>
            <w:rtl w:val="0"/>
          </w:rPr>
          <w:t xml:space="preserve">https://www.unicef.org/brazil/media/21346/file/criancas-adolescentes-e-mudancas-climaticas-brasil-2022.pdf</w:t>
        </w:r>
      </w:hyperlink>
      <w:r w:rsidDel="00000000" w:rsidR="00000000" w:rsidRPr="00000000">
        <w:rPr>
          <w:rFonts w:ascii="Times New Roman" w:cs="Times New Roman" w:eastAsia="Times New Roman" w:hAnsi="Times New Roman"/>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ind w:firstLine="720"/>
      <w:rPr>
        <w:sz w:val="24"/>
        <w:szCs w:val="24"/>
      </w:rPr>
    </w:pPr>
    <w:r w:rsidDel="00000000" w:rsidR="00000000" w:rsidRPr="00000000">
      <w:rPr/>
      <w:drawing>
        <wp:inline distB="114300" distT="114300" distL="114300" distR="114300">
          <wp:extent cx="1338263" cy="739980"/>
          <wp:effectExtent b="0" l="0" r="0" t="0"/>
          <wp:docPr id="5" name="image3.gif"/>
          <a:graphic>
            <a:graphicData uri="http://schemas.openxmlformats.org/drawingml/2006/picture">
              <pic:pic>
                <pic:nvPicPr>
                  <pic:cNvPr id="0" name="image3.gif"/>
                  <pic:cNvPicPr preferRelativeResize="0"/>
                </pic:nvPicPr>
                <pic:blipFill>
                  <a:blip r:embed="rId1"/>
                  <a:srcRect b="0" l="0" r="0" t="0"/>
                  <a:stretch>
                    <a:fillRect/>
                  </a:stretch>
                </pic:blipFill>
                <pic:spPr>
                  <a:xfrm>
                    <a:off x="0" y="0"/>
                    <a:ext cx="1338263" cy="739980"/>
                  </a:xfrm>
                  <a:prstGeom prst="rect"/>
                  <a:ln/>
                </pic:spPr>
              </pic:pic>
            </a:graphicData>
          </a:graphic>
        </wp:inline>
      </w:drawing>
    </w:r>
    <w:r w:rsidDel="00000000" w:rsidR="00000000" w:rsidRPr="00000000">
      <w:rPr>
        <w:rtl w:val="0"/>
      </w:rPr>
      <w:tab/>
      <w:t xml:space="preserve">   </w:t>
    </w:r>
    <w:r w:rsidDel="00000000" w:rsidR="00000000" w:rsidRPr="00000000">
      <w:rPr>
        <w:sz w:val="24"/>
        <w:szCs w:val="24"/>
      </w:rPr>
      <w:drawing>
        <wp:inline distB="114300" distT="114300" distL="114300" distR="114300">
          <wp:extent cx="590550" cy="519277"/>
          <wp:effectExtent b="0" l="0" r="0" t="0"/>
          <wp:docPr id="6"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590550" cy="519277"/>
                  </a:xfrm>
                  <a:prstGeom prst="rect"/>
                  <a:ln/>
                </pic:spPr>
              </pic:pic>
            </a:graphicData>
          </a:graphic>
        </wp:inline>
      </w:drawing>
    </w:r>
    <w:r w:rsidDel="00000000" w:rsidR="00000000" w:rsidRPr="00000000">
      <w:rPr>
        <w:sz w:val="24"/>
        <w:szCs w:val="24"/>
        <w:rtl w:val="0"/>
      </w:rPr>
      <w:t xml:space="preserve">  </w:t>
      <w:tab/>
      <w:tab/>
    </w:r>
    <w:r w:rsidDel="00000000" w:rsidR="00000000" w:rsidRPr="00000000">
      <w:rPr>
        <w:sz w:val="24"/>
        <w:szCs w:val="24"/>
      </w:rPr>
      <w:drawing>
        <wp:inline distB="114300" distT="114300" distL="114300" distR="114300">
          <wp:extent cx="1017170" cy="408863"/>
          <wp:effectExtent b="0" l="0" r="0" t="0"/>
          <wp:docPr id="3" name="image5.png"/>
          <a:graphic>
            <a:graphicData uri="http://schemas.openxmlformats.org/drawingml/2006/picture">
              <pic:pic>
                <pic:nvPicPr>
                  <pic:cNvPr id="0" name="image5.png"/>
                  <pic:cNvPicPr preferRelativeResize="0"/>
                </pic:nvPicPr>
                <pic:blipFill>
                  <a:blip r:embed="rId3"/>
                  <a:srcRect b="0" l="0" r="0" t="23893"/>
                  <a:stretch>
                    <a:fillRect/>
                  </a:stretch>
                </pic:blipFill>
                <pic:spPr>
                  <a:xfrm>
                    <a:off x="0" y="0"/>
                    <a:ext cx="1017170" cy="408863"/>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ind w:firstLine="720"/>
      <w:rPr>
        <w:sz w:val="24"/>
        <w:szCs w:val="24"/>
      </w:rPr>
    </w:pPr>
    <w:r w:rsidDel="00000000" w:rsidR="00000000" w:rsidRPr="00000000">
      <w:rPr>
        <w:sz w:val="24"/>
        <w:szCs w:val="24"/>
      </w:rPr>
      <w:drawing>
        <wp:inline distB="114300" distT="114300" distL="114300" distR="114300">
          <wp:extent cx="1440951" cy="848479"/>
          <wp:effectExtent b="0" l="0" r="0" t="0"/>
          <wp:docPr id="1" name="image6.png"/>
          <a:graphic>
            <a:graphicData uri="http://schemas.openxmlformats.org/drawingml/2006/picture">
              <pic:pic>
                <pic:nvPicPr>
                  <pic:cNvPr id="0" name="image6.png"/>
                  <pic:cNvPicPr preferRelativeResize="0"/>
                </pic:nvPicPr>
                <pic:blipFill>
                  <a:blip r:embed="rId4"/>
                  <a:srcRect b="15291" l="0" r="0" t="15291"/>
                  <a:stretch>
                    <a:fillRect/>
                  </a:stretch>
                </pic:blipFill>
                <pic:spPr>
                  <a:xfrm>
                    <a:off x="0" y="0"/>
                    <a:ext cx="1440951" cy="848479"/>
                  </a:xfrm>
                  <a:prstGeom prst="rect"/>
                  <a:ln/>
                </pic:spPr>
              </pic:pic>
            </a:graphicData>
          </a:graphic>
        </wp:inline>
      </w:drawing>
    </w: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1329333" cy="790575"/>
          <wp:effectExtent b="0" l="0" r="0" t="0"/>
          <wp:docPr id="4" name="image2.png"/>
          <a:graphic>
            <a:graphicData uri="http://schemas.openxmlformats.org/drawingml/2006/picture">
              <pic:pic>
                <pic:nvPicPr>
                  <pic:cNvPr id="0" name="image2.png"/>
                  <pic:cNvPicPr preferRelativeResize="0"/>
                </pic:nvPicPr>
                <pic:blipFill>
                  <a:blip r:embed="rId5"/>
                  <a:srcRect b="5515" l="0" r="-30746" t="-19968"/>
                  <a:stretch>
                    <a:fillRect/>
                  </a:stretch>
                </pic:blipFill>
                <pic:spPr>
                  <a:xfrm>
                    <a:off x="0" y="0"/>
                    <a:ext cx="1329333" cy="790575"/>
                  </a:xfrm>
                  <a:prstGeom prst="rect"/>
                  <a:ln/>
                </pic:spPr>
              </pic:pic>
            </a:graphicData>
          </a:graphic>
        </wp:inline>
      </w:drawing>
    </w:r>
    <w:r w:rsidDel="00000000" w:rsidR="00000000" w:rsidRPr="00000000">
      <w:rPr/>
      <w:drawing>
        <wp:inline distB="0" distT="0" distL="0" distR="0">
          <wp:extent cx="1286768" cy="792007"/>
          <wp:effectExtent b="0" l="0" r="0" t="0"/>
          <wp:docPr id="2" name="image1.png"/>
          <a:graphic>
            <a:graphicData uri="http://schemas.openxmlformats.org/drawingml/2006/picture">
              <pic:pic>
                <pic:nvPicPr>
                  <pic:cNvPr id="0" name="image1.png"/>
                  <pic:cNvPicPr preferRelativeResize="0"/>
                </pic:nvPicPr>
                <pic:blipFill>
                  <a:blip r:embed="rId6"/>
                  <a:srcRect b="-20217" l="12469" r="0" t="9350"/>
                  <a:stretch>
                    <a:fillRect/>
                  </a:stretch>
                </pic:blipFill>
                <pic:spPr>
                  <a:xfrm>
                    <a:off x="0" y="0"/>
                    <a:ext cx="1286768" cy="792007"/>
                  </a:xfrm>
                  <a:prstGeom prst="rect"/>
                  <a:ln/>
                </pic:spPr>
              </pic:pic>
            </a:graphicData>
          </a:graphic>
        </wp:inline>
      </w:drawing>
    </w:r>
    <w:r w:rsidDel="00000000" w:rsidR="00000000" w:rsidRPr="00000000">
      <w:rPr>
        <w:sz w:val="24"/>
        <w:szCs w:val="24"/>
        <w:rtl w:val="0"/>
      </w:rPr>
      <w:t xml:space="preserve">   </w:t>
    </w:r>
  </w:p>
  <w:p w:rsidR="00000000" w:rsidDel="00000000" w:rsidP="00000000" w:rsidRDefault="00000000" w:rsidRPr="00000000" w14:paraId="00000056">
    <w:pPr>
      <w:ind w:firstLine="720"/>
      <w:rPr>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4.xml"/><Relationship Id="rId10" Type="http://schemas.openxmlformats.org/officeDocument/2006/relationships/footer" Target="footer2.xml"/><Relationship Id="rId12" Type="http://schemas.openxmlformats.org/officeDocument/2006/relationships/header" Target="header3.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brazil/media/21346/file/criancas-adolescentes-e-mudancas-climaticas-brasil-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2.png"/><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