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0FCE" w14:textId="77777777" w:rsidR="00DD0C8C" w:rsidRPr="00EC7F52" w:rsidRDefault="00D6501E" w:rsidP="00560405">
      <w:pPr>
        <w:jc w:val="both"/>
        <w:rPr>
          <w:rFonts w:ascii="Garamond" w:hAnsi="Garamond"/>
          <w:b/>
          <w:bCs/>
          <w:lang w:val="en-US"/>
        </w:rPr>
      </w:pPr>
      <w:r w:rsidRPr="00EC7F52">
        <w:rPr>
          <w:rFonts w:ascii="Garamond" w:hAnsi="Garamond"/>
          <w:b/>
          <w:bCs/>
          <w:lang w:val="en-US"/>
        </w:rPr>
        <w:t>Draft General Comment No.26 of the UN Committee on the Rights of the Child on</w:t>
      </w:r>
    </w:p>
    <w:p w14:paraId="5BC164D2" w14:textId="3743F9E8" w:rsidR="00D6501E" w:rsidRPr="00EC7F52" w:rsidRDefault="00D6501E" w:rsidP="00560405">
      <w:pPr>
        <w:jc w:val="both"/>
        <w:rPr>
          <w:rFonts w:ascii="Garamond" w:hAnsi="Garamond"/>
          <w:b/>
          <w:bCs/>
          <w:lang w:val="en-US"/>
        </w:rPr>
      </w:pPr>
      <w:r w:rsidRPr="00EC7F52">
        <w:rPr>
          <w:rFonts w:ascii="Garamond" w:hAnsi="Garamond"/>
          <w:b/>
          <w:bCs/>
          <w:lang w:val="en-US"/>
        </w:rPr>
        <w:t xml:space="preserve"> Children’s Rights, the Environment and Climate Change</w:t>
      </w:r>
    </w:p>
    <w:p w14:paraId="7FC32676" w14:textId="7CA78143" w:rsidR="00D6501E" w:rsidRPr="00EC7F52" w:rsidRDefault="00D6501E" w:rsidP="00560405">
      <w:pPr>
        <w:jc w:val="both"/>
        <w:rPr>
          <w:rFonts w:ascii="Garamond" w:hAnsi="Garamond"/>
          <w:b/>
          <w:bCs/>
          <w:lang w:val="en-US"/>
        </w:rPr>
      </w:pPr>
    </w:p>
    <w:p w14:paraId="505896BD" w14:textId="23FA1ADF" w:rsidR="0094631E" w:rsidRPr="004252E4" w:rsidRDefault="006538CB" w:rsidP="0094631E">
      <w:pPr>
        <w:jc w:val="both"/>
        <w:rPr>
          <w:rFonts w:ascii="Garamond" w:hAnsi="Garamond"/>
          <w:lang w:val="en-US"/>
        </w:rPr>
      </w:pPr>
      <w:r w:rsidRPr="00EC7F52">
        <w:rPr>
          <w:rFonts w:ascii="Garamond" w:hAnsi="Garamond"/>
          <w:b/>
          <w:bCs/>
          <w:lang w:val="en-US"/>
        </w:rPr>
        <w:t>Submission of comments</w:t>
      </w:r>
      <w:r w:rsidR="00EC7F52">
        <w:rPr>
          <w:rFonts w:ascii="Garamond" w:hAnsi="Garamond"/>
          <w:b/>
          <w:bCs/>
          <w:lang w:val="en-US"/>
        </w:rPr>
        <w:t xml:space="preserve"> </w:t>
      </w:r>
      <w:r w:rsidR="00560405">
        <w:rPr>
          <w:rFonts w:ascii="Garamond" w:hAnsi="Garamond"/>
          <w:lang w:val="en-US"/>
        </w:rPr>
        <w:t>b</w:t>
      </w:r>
      <w:r w:rsidRPr="00EC7F52">
        <w:rPr>
          <w:rFonts w:ascii="Garamond" w:hAnsi="Garamond"/>
          <w:lang w:val="en-US"/>
        </w:rPr>
        <w:t xml:space="preserve">y Dr Christine A.E. Bakker, Visiting Research Fellow, British Institute of International and Comparative Law (BIICL, London), and Affiliated Researcher, </w:t>
      </w:r>
      <w:proofErr w:type="spellStart"/>
      <w:r w:rsidRPr="00EC7F52">
        <w:rPr>
          <w:rFonts w:ascii="Garamond" w:hAnsi="Garamond"/>
          <w:lang w:val="en-US"/>
        </w:rPr>
        <w:t>Sant’Anna</w:t>
      </w:r>
      <w:proofErr w:type="spellEnd"/>
      <w:r w:rsidRPr="00EC7F52">
        <w:rPr>
          <w:rFonts w:ascii="Garamond" w:hAnsi="Garamond"/>
          <w:lang w:val="en-US"/>
        </w:rPr>
        <w:t xml:space="preserve"> School of Advanced Studies (Pisa, Italy)</w:t>
      </w:r>
      <w:r w:rsidR="0094631E">
        <w:rPr>
          <w:rFonts w:ascii="Garamond" w:hAnsi="Garamond"/>
          <w:lang w:val="en-US"/>
        </w:rPr>
        <w:t>, 15 February 2023.</w:t>
      </w:r>
    </w:p>
    <w:p w14:paraId="7D6C9A08" w14:textId="4A5E1C31" w:rsidR="006538CB" w:rsidRPr="00EC7F52" w:rsidRDefault="006538CB" w:rsidP="00560405">
      <w:pPr>
        <w:jc w:val="both"/>
        <w:rPr>
          <w:rFonts w:ascii="Garamond" w:hAnsi="Garamond"/>
          <w:lang w:val="en-US"/>
        </w:rPr>
      </w:pPr>
    </w:p>
    <w:p w14:paraId="349C8D05" w14:textId="74DAC1A5" w:rsidR="006538CB" w:rsidRPr="00EC7F52" w:rsidRDefault="006538CB" w:rsidP="00560405">
      <w:pPr>
        <w:jc w:val="both"/>
        <w:rPr>
          <w:rFonts w:ascii="Garamond" w:hAnsi="Garamond"/>
          <w:lang w:val="en-US"/>
        </w:rPr>
      </w:pPr>
    </w:p>
    <w:p w14:paraId="49473EF6" w14:textId="358612FB" w:rsidR="006538CB" w:rsidRPr="00EC7F52" w:rsidRDefault="006538CB" w:rsidP="00560405">
      <w:pPr>
        <w:jc w:val="both"/>
        <w:rPr>
          <w:rFonts w:ascii="Garamond" w:hAnsi="Garamond"/>
          <w:lang w:val="en-US"/>
        </w:rPr>
      </w:pPr>
      <w:r w:rsidRPr="00EC7F52">
        <w:rPr>
          <w:rFonts w:ascii="Garamond" w:hAnsi="Garamond"/>
          <w:lang w:val="en-US"/>
        </w:rPr>
        <w:t>Dear M</w:t>
      </w:r>
      <w:r w:rsidR="006B3337">
        <w:rPr>
          <w:rFonts w:ascii="Garamond" w:hAnsi="Garamond"/>
          <w:lang w:val="en-US"/>
        </w:rPr>
        <w:t>embers of the Committee</w:t>
      </w:r>
      <w:r w:rsidRPr="00EC7F52">
        <w:rPr>
          <w:rFonts w:ascii="Garamond" w:hAnsi="Garamond"/>
          <w:lang w:val="en-US"/>
        </w:rPr>
        <w:t>,</w:t>
      </w:r>
      <w:r w:rsidR="00EC7F52">
        <w:rPr>
          <w:rFonts w:ascii="Garamond" w:hAnsi="Garamond"/>
          <w:lang w:val="en-US"/>
        </w:rPr>
        <w:t xml:space="preserve"> </w:t>
      </w:r>
    </w:p>
    <w:p w14:paraId="727477B9" w14:textId="7921E8CB" w:rsidR="006538CB" w:rsidRPr="00EC7F52" w:rsidRDefault="006538CB" w:rsidP="00560405">
      <w:pPr>
        <w:jc w:val="both"/>
        <w:rPr>
          <w:rFonts w:ascii="Garamond" w:hAnsi="Garamond"/>
          <w:lang w:val="en-US"/>
        </w:rPr>
      </w:pPr>
    </w:p>
    <w:p w14:paraId="3A69A1C7" w14:textId="60E7A9F3" w:rsidR="009F605C" w:rsidRDefault="006538CB" w:rsidP="00560405">
      <w:pPr>
        <w:jc w:val="both"/>
        <w:rPr>
          <w:rFonts w:ascii="Garamond" w:hAnsi="Garamond"/>
          <w:lang w:val="en-US"/>
        </w:rPr>
      </w:pPr>
      <w:r w:rsidRPr="00EC7F52">
        <w:rPr>
          <w:rFonts w:ascii="Garamond" w:hAnsi="Garamond"/>
          <w:lang w:val="en-US"/>
        </w:rPr>
        <w:t xml:space="preserve">Following my participation in the oral </w:t>
      </w:r>
      <w:r w:rsidR="00ED084A">
        <w:rPr>
          <w:rFonts w:ascii="Garamond" w:hAnsi="Garamond"/>
          <w:lang w:val="en-US"/>
        </w:rPr>
        <w:t>‘</w:t>
      </w:r>
      <w:r w:rsidRPr="00EC7F52">
        <w:rPr>
          <w:rFonts w:ascii="Garamond" w:hAnsi="Garamond"/>
          <w:lang w:val="en-US"/>
        </w:rPr>
        <w:t>Thematic Consultations 2 on child</w:t>
      </w:r>
      <w:r w:rsidR="00ED084A">
        <w:rPr>
          <w:rFonts w:ascii="Garamond" w:hAnsi="Garamond"/>
          <w:lang w:val="en-US"/>
        </w:rPr>
        <w:t xml:space="preserve"> </w:t>
      </w:r>
      <w:r w:rsidRPr="00EC7F52">
        <w:rPr>
          <w:rFonts w:ascii="Garamond" w:hAnsi="Garamond"/>
          <w:lang w:val="en-US"/>
        </w:rPr>
        <w:t xml:space="preserve">rights </w:t>
      </w:r>
      <w:r w:rsidR="00ED084A">
        <w:rPr>
          <w:rFonts w:ascii="Garamond" w:hAnsi="Garamond"/>
          <w:lang w:val="en-US"/>
        </w:rPr>
        <w:t xml:space="preserve">and </w:t>
      </w:r>
      <w:r w:rsidRPr="00EC7F52">
        <w:rPr>
          <w:rFonts w:ascii="Garamond" w:hAnsi="Garamond"/>
          <w:lang w:val="en-US"/>
        </w:rPr>
        <w:t>climate change</w:t>
      </w:r>
      <w:r w:rsidR="00ED084A">
        <w:rPr>
          <w:rFonts w:ascii="Garamond" w:hAnsi="Garamond"/>
          <w:lang w:val="en-US"/>
        </w:rPr>
        <w:t>’</w:t>
      </w:r>
      <w:r w:rsidR="00071F71">
        <w:rPr>
          <w:rFonts w:ascii="Garamond" w:hAnsi="Garamond"/>
          <w:lang w:val="en-US"/>
        </w:rPr>
        <w:t xml:space="preserve"> held on 28 March 2022</w:t>
      </w:r>
      <w:r w:rsidRPr="00EC7F52">
        <w:rPr>
          <w:rFonts w:ascii="Garamond" w:hAnsi="Garamond"/>
          <w:lang w:val="en-US"/>
        </w:rPr>
        <w:t xml:space="preserve">, I </w:t>
      </w:r>
      <w:r w:rsidR="008B303C">
        <w:rPr>
          <w:rFonts w:ascii="Garamond" w:hAnsi="Garamond"/>
          <w:lang w:val="en-US"/>
        </w:rPr>
        <w:t>herewith</w:t>
      </w:r>
      <w:r w:rsidRPr="00EC7F52">
        <w:rPr>
          <w:rFonts w:ascii="Garamond" w:hAnsi="Garamond"/>
          <w:lang w:val="en-US"/>
        </w:rPr>
        <w:t xml:space="preserve"> submit </w:t>
      </w:r>
      <w:r w:rsidR="00560405">
        <w:rPr>
          <w:rFonts w:ascii="Garamond" w:hAnsi="Garamond"/>
          <w:lang w:val="en-US"/>
        </w:rPr>
        <w:t>my</w:t>
      </w:r>
      <w:r w:rsidR="00F557B3">
        <w:rPr>
          <w:rFonts w:ascii="Garamond" w:hAnsi="Garamond"/>
          <w:lang w:val="en-US"/>
        </w:rPr>
        <w:t xml:space="preserve"> </w:t>
      </w:r>
      <w:r w:rsidRPr="00EC7F52">
        <w:rPr>
          <w:rFonts w:ascii="Garamond" w:hAnsi="Garamond"/>
          <w:lang w:val="en-US"/>
        </w:rPr>
        <w:t>comments on the Draft General Comment</w:t>
      </w:r>
      <w:r w:rsidR="004D73C7">
        <w:rPr>
          <w:rFonts w:ascii="Garamond" w:hAnsi="Garamond"/>
          <w:lang w:val="en-US"/>
        </w:rPr>
        <w:t>.</w:t>
      </w:r>
      <w:r w:rsidR="004D73C7">
        <w:rPr>
          <w:rStyle w:val="FootnoteReference"/>
          <w:rFonts w:ascii="Garamond" w:hAnsi="Garamond"/>
          <w:lang w:val="en-US"/>
        </w:rPr>
        <w:footnoteReference w:id="1"/>
      </w:r>
      <w:r w:rsidR="004D73C7">
        <w:rPr>
          <w:rFonts w:ascii="Garamond" w:hAnsi="Garamond"/>
          <w:lang w:val="en-US"/>
        </w:rPr>
        <w:t xml:space="preserve"> </w:t>
      </w:r>
    </w:p>
    <w:p w14:paraId="0DECA5B0" w14:textId="4A9D0E74" w:rsidR="004252E4" w:rsidRDefault="004252E4" w:rsidP="00560405">
      <w:pPr>
        <w:jc w:val="both"/>
        <w:rPr>
          <w:rFonts w:ascii="Garamond" w:hAnsi="Garamond"/>
          <w:lang w:val="en-US"/>
        </w:rPr>
      </w:pPr>
    </w:p>
    <w:p w14:paraId="307F2A93" w14:textId="610CC5BA" w:rsidR="005E1EEC" w:rsidRPr="007A621B" w:rsidRDefault="007A621B" w:rsidP="007A621B">
      <w:pPr>
        <w:jc w:val="both"/>
        <w:rPr>
          <w:rFonts w:ascii="Garamond" w:hAnsi="Garamond"/>
          <w:lang w:val="en-US"/>
        </w:rPr>
      </w:pPr>
      <w:r>
        <w:rPr>
          <w:rFonts w:ascii="Garamond" w:hAnsi="Garamond"/>
          <w:lang w:val="en-US"/>
        </w:rPr>
        <w:t>Overall, t</w:t>
      </w:r>
      <w:r w:rsidR="004252E4" w:rsidRPr="007A621B">
        <w:rPr>
          <w:rFonts w:ascii="Garamond" w:hAnsi="Garamond"/>
          <w:lang w:val="en-US"/>
        </w:rPr>
        <w:t xml:space="preserve">he Draft General Comment provides a clear and comprehensive overview of the interlinkages between children’s rights, the environment, and climate change, and of the way in which the rights and obligations </w:t>
      </w:r>
      <w:r w:rsidRPr="007A621B">
        <w:rPr>
          <w:rFonts w:ascii="Garamond" w:hAnsi="Garamond"/>
          <w:lang w:val="en-US"/>
        </w:rPr>
        <w:t>set forth in the CRC</w:t>
      </w:r>
      <w:r w:rsidR="004252E4" w:rsidRPr="007A621B">
        <w:rPr>
          <w:rFonts w:ascii="Garamond" w:hAnsi="Garamond"/>
          <w:lang w:val="en-US"/>
        </w:rPr>
        <w:t xml:space="preserve"> </w:t>
      </w:r>
      <w:r w:rsidRPr="007A621B">
        <w:rPr>
          <w:rFonts w:ascii="Garamond" w:hAnsi="Garamond"/>
          <w:lang w:val="en-US"/>
        </w:rPr>
        <w:t xml:space="preserve">should be interpreted in the light of global environmental and climate-related challenges. </w:t>
      </w:r>
    </w:p>
    <w:p w14:paraId="5F69D668" w14:textId="186BE32F" w:rsidR="007A621B" w:rsidRDefault="007A621B" w:rsidP="007A621B">
      <w:pPr>
        <w:jc w:val="both"/>
        <w:rPr>
          <w:rFonts w:ascii="Garamond" w:hAnsi="Garamond"/>
          <w:lang w:val="en-US"/>
        </w:rPr>
      </w:pPr>
    </w:p>
    <w:p w14:paraId="7DF74DD3" w14:textId="26981883" w:rsidR="007A621B" w:rsidRPr="007A621B" w:rsidRDefault="007A621B" w:rsidP="007A621B">
      <w:pPr>
        <w:jc w:val="both"/>
        <w:rPr>
          <w:rFonts w:ascii="Garamond" w:hAnsi="Garamond"/>
          <w:lang w:val="en-US"/>
        </w:rPr>
      </w:pPr>
      <w:r>
        <w:rPr>
          <w:rFonts w:ascii="Garamond" w:hAnsi="Garamond"/>
          <w:lang w:val="en-US"/>
        </w:rPr>
        <w:t xml:space="preserve">Regarding Section VI, ‘Climate Change’, </w:t>
      </w:r>
      <w:r w:rsidR="008B303C">
        <w:rPr>
          <w:rFonts w:ascii="Garamond" w:hAnsi="Garamond"/>
          <w:lang w:val="en-US"/>
        </w:rPr>
        <w:t>I would recommend the Committee to consider the following suggestions:</w:t>
      </w:r>
    </w:p>
    <w:p w14:paraId="654420DA" w14:textId="77777777" w:rsidR="007A621B" w:rsidRPr="00EC7F52" w:rsidRDefault="007A621B" w:rsidP="007A621B">
      <w:pPr>
        <w:pStyle w:val="ListParagraph"/>
        <w:ind w:left="426"/>
        <w:jc w:val="both"/>
        <w:rPr>
          <w:rFonts w:ascii="Garamond" w:hAnsi="Garamond"/>
          <w:lang w:val="en-US"/>
        </w:rPr>
      </w:pPr>
    </w:p>
    <w:p w14:paraId="0D39449B" w14:textId="26318ADB" w:rsidR="00DD0C8C" w:rsidRPr="00EC7F52" w:rsidRDefault="009B7BBA" w:rsidP="00560405">
      <w:pPr>
        <w:pStyle w:val="ListParagraph"/>
        <w:numPr>
          <w:ilvl w:val="0"/>
          <w:numId w:val="1"/>
        </w:numPr>
        <w:snapToGrid w:val="0"/>
        <w:spacing w:after="120"/>
        <w:ind w:left="426" w:hanging="426"/>
        <w:contextualSpacing w:val="0"/>
        <w:jc w:val="both"/>
        <w:rPr>
          <w:rFonts w:ascii="Garamond" w:hAnsi="Garamond"/>
          <w:i/>
          <w:iCs/>
          <w:lang w:val="en-US"/>
        </w:rPr>
      </w:pPr>
      <w:r w:rsidRPr="00EC7F52">
        <w:rPr>
          <w:rFonts w:ascii="Garamond" w:hAnsi="Garamond"/>
          <w:b/>
          <w:bCs/>
          <w:lang w:val="en-US"/>
        </w:rPr>
        <w:t>Para 100</w:t>
      </w:r>
      <w:r w:rsidR="004206FB">
        <w:rPr>
          <w:rFonts w:ascii="Garamond" w:hAnsi="Garamond"/>
          <w:b/>
          <w:bCs/>
          <w:lang w:val="en-US"/>
        </w:rPr>
        <w:t>, regarding extraterritoriality and foreseeability:</w:t>
      </w:r>
    </w:p>
    <w:p w14:paraId="67CE0765" w14:textId="0C2996C7" w:rsidR="00DD0012" w:rsidRDefault="00DD0012" w:rsidP="00560405">
      <w:pPr>
        <w:pStyle w:val="ListParagraph"/>
        <w:snapToGrid w:val="0"/>
        <w:spacing w:after="120"/>
        <w:ind w:left="426"/>
        <w:contextualSpacing w:val="0"/>
        <w:jc w:val="both"/>
        <w:rPr>
          <w:rFonts w:ascii="Garamond" w:hAnsi="Garamond"/>
          <w:lang w:val="en-US"/>
        </w:rPr>
      </w:pPr>
      <w:r>
        <w:rPr>
          <w:rFonts w:ascii="Garamond" w:hAnsi="Garamond"/>
          <w:lang w:val="en-US"/>
        </w:rPr>
        <w:t>This paragraph reads:</w:t>
      </w:r>
    </w:p>
    <w:p w14:paraId="07F08170" w14:textId="797A66FE" w:rsidR="004206FB" w:rsidRDefault="00333DBF" w:rsidP="00560405">
      <w:pPr>
        <w:pStyle w:val="ListParagraph"/>
        <w:snapToGrid w:val="0"/>
        <w:spacing w:after="120"/>
        <w:ind w:left="426"/>
        <w:contextualSpacing w:val="0"/>
        <w:jc w:val="both"/>
        <w:rPr>
          <w:rFonts w:ascii="Garamond" w:hAnsi="Garamond"/>
          <w:lang w:val="en-US"/>
        </w:rPr>
      </w:pPr>
      <w:r>
        <w:rPr>
          <w:rFonts w:ascii="Garamond" w:hAnsi="Garamond"/>
          <w:lang w:val="en-US"/>
        </w:rPr>
        <w:t>“</w:t>
      </w:r>
      <w:r w:rsidR="004206FB" w:rsidRPr="004206FB">
        <w:rPr>
          <w:rFonts w:ascii="Garamond" w:hAnsi="Garamond"/>
          <w:lang w:val="en-US"/>
        </w:rPr>
        <w:t>100.</w:t>
      </w:r>
      <w:r w:rsidR="004206FB" w:rsidRPr="004206FB">
        <w:rPr>
          <w:rFonts w:ascii="Garamond" w:hAnsi="Garamond"/>
          <w:lang w:val="en-US"/>
        </w:rPr>
        <w:tab/>
        <w:t>Under the Convention, States have obligations, including extraterritorial obligations, to respect, protect and fulfil children’s rights. The foreseeable adverse effects of climate change on the enjoyment of children’s rights give rise to obligations of States to take actions to protect against those effects, and to mobilize the maximum available resources for the adoption of measures aimed at mitigating its cause and effect and preventing further harm.</w:t>
      </w:r>
      <w:r w:rsidR="004206FB">
        <w:rPr>
          <w:rFonts w:ascii="Garamond" w:hAnsi="Garamond"/>
          <w:lang w:val="en-US"/>
        </w:rPr>
        <w:t>”</w:t>
      </w:r>
    </w:p>
    <w:p w14:paraId="31B591D0" w14:textId="561ABB1D" w:rsidR="00902F6C" w:rsidRPr="00902F6C" w:rsidRDefault="00902F6C" w:rsidP="00560405">
      <w:pPr>
        <w:pStyle w:val="ListParagraph"/>
        <w:snapToGrid w:val="0"/>
        <w:spacing w:after="120"/>
        <w:ind w:left="426"/>
        <w:contextualSpacing w:val="0"/>
        <w:jc w:val="both"/>
        <w:rPr>
          <w:rFonts w:ascii="Garamond" w:hAnsi="Garamond"/>
          <w:lang w:val="en-US"/>
        </w:rPr>
      </w:pPr>
      <w:r>
        <w:rPr>
          <w:rFonts w:ascii="Garamond" w:hAnsi="Garamond"/>
          <w:lang w:val="en-US"/>
        </w:rPr>
        <w:t xml:space="preserve">This statement is very clear and straightforward. Arguably, an even more explicit, and more elaborate statement outlining the approach it has taken in </w:t>
      </w:r>
      <w:proofErr w:type="spellStart"/>
      <w:r>
        <w:rPr>
          <w:rFonts w:ascii="Garamond" w:hAnsi="Garamond"/>
          <w:i/>
          <w:iCs/>
          <w:lang w:val="en-US"/>
        </w:rPr>
        <w:t>Sacchi</w:t>
      </w:r>
      <w:proofErr w:type="spellEnd"/>
      <w:r>
        <w:rPr>
          <w:rFonts w:ascii="Garamond" w:hAnsi="Garamond"/>
          <w:i/>
          <w:iCs/>
          <w:lang w:val="en-US"/>
        </w:rPr>
        <w:t xml:space="preserve"> </w:t>
      </w:r>
      <w:proofErr w:type="spellStart"/>
      <w:r>
        <w:rPr>
          <w:rFonts w:ascii="Garamond" w:hAnsi="Garamond"/>
          <w:i/>
          <w:iCs/>
          <w:lang w:val="en-US"/>
        </w:rPr>
        <w:t>a.o.</w:t>
      </w:r>
      <w:proofErr w:type="spellEnd"/>
      <w:r>
        <w:rPr>
          <w:rFonts w:ascii="Garamond" w:hAnsi="Garamond"/>
          <w:i/>
          <w:iCs/>
          <w:lang w:val="en-US"/>
        </w:rPr>
        <w:t xml:space="preserve"> v A. </w:t>
      </w:r>
      <w:proofErr w:type="spellStart"/>
      <w:r>
        <w:rPr>
          <w:rFonts w:ascii="Garamond" w:hAnsi="Garamond"/>
          <w:i/>
          <w:iCs/>
          <w:lang w:val="en-US"/>
        </w:rPr>
        <w:t>a.o.</w:t>
      </w:r>
      <w:proofErr w:type="spellEnd"/>
      <w:r>
        <w:rPr>
          <w:rFonts w:ascii="Garamond" w:hAnsi="Garamond"/>
          <w:i/>
          <w:iCs/>
          <w:lang w:val="en-US"/>
        </w:rPr>
        <w:t xml:space="preserve"> </w:t>
      </w:r>
      <w:r>
        <w:rPr>
          <w:rFonts w:ascii="Garamond" w:hAnsi="Garamond"/>
          <w:lang w:val="en-US"/>
        </w:rPr>
        <w:t xml:space="preserve">regarding the extraterritorial obligations of States in connection with environmental harm including climate change, also referring to the Advisory Opinion </w:t>
      </w:r>
      <w:r w:rsidR="00EA5B24">
        <w:rPr>
          <w:rFonts w:ascii="Garamond" w:hAnsi="Garamond"/>
          <w:lang w:val="en-US"/>
        </w:rPr>
        <w:t>OC-</w:t>
      </w:r>
      <w:r>
        <w:rPr>
          <w:rFonts w:ascii="Garamond" w:hAnsi="Garamond"/>
          <w:lang w:val="en-US"/>
        </w:rPr>
        <w:t>23</w:t>
      </w:r>
      <w:r w:rsidR="00EA5B24">
        <w:rPr>
          <w:rFonts w:ascii="Garamond" w:hAnsi="Garamond"/>
          <w:lang w:val="en-US"/>
        </w:rPr>
        <w:t>/17</w:t>
      </w:r>
      <w:r>
        <w:rPr>
          <w:rFonts w:ascii="Garamond" w:hAnsi="Garamond"/>
          <w:lang w:val="en-US"/>
        </w:rPr>
        <w:t xml:space="preserve"> of the Inter-American Court of Human Rights, would have further contributed to the clarification of the relevant obligations of States.  </w:t>
      </w:r>
    </w:p>
    <w:p w14:paraId="08FF0042" w14:textId="6191978F" w:rsidR="00EC7F52" w:rsidRDefault="00296F0B" w:rsidP="00560405">
      <w:pPr>
        <w:pStyle w:val="ListParagraph"/>
        <w:snapToGrid w:val="0"/>
        <w:spacing w:after="120"/>
        <w:ind w:left="426"/>
        <w:contextualSpacing w:val="0"/>
        <w:jc w:val="both"/>
        <w:rPr>
          <w:rFonts w:ascii="Garamond" w:hAnsi="Garamond"/>
          <w:i/>
          <w:iCs/>
          <w:lang w:val="en-US"/>
        </w:rPr>
      </w:pPr>
      <w:r>
        <w:rPr>
          <w:rFonts w:ascii="Garamond" w:hAnsi="Garamond"/>
          <w:lang w:val="en-US"/>
        </w:rPr>
        <w:t>While</w:t>
      </w:r>
      <w:r w:rsidR="009B7BBA" w:rsidRPr="00EC7F52">
        <w:rPr>
          <w:rFonts w:ascii="Garamond" w:hAnsi="Garamond"/>
          <w:lang w:val="en-US"/>
        </w:rPr>
        <w:t xml:space="preserve"> there are different views among States and regional human rights courts about the scope of extraterritorial obligations for environmental harm, </w:t>
      </w:r>
      <w:r w:rsidR="00DD0012">
        <w:rPr>
          <w:rFonts w:ascii="Garamond" w:hAnsi="Garamond"/>
          <w:lang w:val="en-US"/>
        </w:rPr>
        <w:t xml:space="preserve">in this context, </w:t>
      </w:r>
      <w:r w:rsidR="009B7BBA" w:rsidRPr="00EC7F52">
        <w:rPr>
          <w:rFonts w:ascii="Garamond" w:hAnsi="Garamond"/>
          <w:lang w:val="en-US"/>
        </w:rPr>
        <w:t xml:space="preserve">the element of </w:t>
      </w:r>
      <w:r w:rsidR="009B7BBA" w:rsidRPr="00EC7F52">
        <w:rPr>
          <w:rFonts w:ascii="Garamond" w:hAnsi="Garamond"/>
          <w:i/>
          <w:iCs/>
          <w:lang w:val="en-US"/>
        </w:rPr>
        <w:t>foreseeability</w:t>
      </w:r>
      <w:r w:rsidR="009B7BBA" w:rsidRPr="00EC7F52">
        <w:rPr>
          <w:rFonts w:ascii="Garamond" w:hAnsi="Garamond"/>
          <w:lang w:val="en-US"/>
        </w:rPr>
        <w:t xml:space="preserve"> of potential</w:t>
      </w:r>
      <w:r w:rsidR="00DD0C8C" w:rsidRPr="00EC7F52">
        <w:rPr>
          <w:rFonts w:ascii="Garamond" w:hAnsi="Garamond"/>
          <w:lang w:val="en-US"/>
        </w:rPr>
        <w:t xml:space="preserve">ly adverse effects on the enjoyment of children’s rights (and of human rights more generally) </w:t>
      </w:r>
      <w:r w:rsidR="009B7BBA" w:rsidRPr="00EC7F52">
        <w:rPr>
          <w:rFonts w:ascii="Garamond" w:hAnsi="Garamond"/>
          <w:lang w:val="en-US"/>
        </w:rPr>
        <w:t>is</w:t>
      </w:r>
      <w:r w:rsidR="00560405">
        <w:rPr>
          <w:rFonts w:ascii="Garamond" w:hAnsi="Garamond"/>
          <w:lang w:val="en-US"/>
        </w:rPr>
        <w:t>, indeed,</w:t>
      </w:r>
      <w:r w:rsidR="009B7BBA" w:rsidRPr="00EC7F52">
        <w:rPr>
          <w:rFonts w:ascii="Garamond" w:hAnsi="Garamond"/>
          <w:lang w:val="en-US"/>
        </w:rPr>
        <w:t xml:space="preserve"> crucial. Courts increasingly accept that </w:t>
      </w:r>
      <w:r w:rsidR="009B7BBA" w:rsidRPr="00EC7F52">
        <w:rPr>
          <w:rFonts w:ascii="Garamond" w:hAnsi="Garamond"/>
          <w:i/>
          <w:iCs/>
          <w:lang w:val="en-US"/>
        </w:rPr>
        <w:t>climate science</w:t>
      </w:r>
      <w:r w:rsidR="009B7BBA" w:rsidRPr="00EC7F52">
        <w:rPr>
          <w:rFonts w:ascii="Garamond" w:hAnsi="Garamond"/>
          <w:lang w:val="en-US"/>
        </w:rPr>
        <w:t xml:space="preserve"> offers insights into </w:t>
      </w:r>
      <w:r w:rsidR="00C80B0B" w:rsidRPr="00EC7F52">
        <w:rPr>
          <w:rFonts w:ascii="Garamond" w:hAnsi="Garamond"/>
          <w:lang w:val="en-US"/>
        </w:rPr>
        <w:t>the</w:t>
      </w:r>
      <w:r w:rsidR="009B7BBA" w:rsidRPr="00EC7F52">
        <w:rPr>
          <w:rFonts w:ascii="Garamond" w:hAnsi="Garamond"/>
          <w:lang w:val="en-US"/>
        </w:rPr>
        <w:t xml:space="preserve"> foreseeability</w:t>
      </w:r>
      <w:r w:rsidR="00C80B0B" w:rsidRPr="00EC7F52">
        <w:rPr>
          <w:rFonts w:ascii="Garamond" w:hAnsi="Garamond"/>
          <w:lang w:val="en-US"/>
        </w:rPr>
        <w:t xml:space="preserve"> of climate-change related harm</w:t>
      </w:r>
      <w:r w:rsidR="00182521">
        <w:rPr>
          <w:rFonts w:ascii="Garamond" w:hAnsi="Garamond"/>
          <w:lang w:val="en-US"/>
        </w:rPr>
        <w:t xml:space="preserve"> (both within a </w:t>
      </w:r>
      <w:proofErr w:type="gramStart"/>
      <w:r w:rsidR="00182521">
        <w:rPr>
          <w:rFonts w:ascii="Garamond" w:hAnsi="Garamond"/>
          <w:lang w:val="en-US"/>
        </w:rPr>
        <w:t>State’s</w:t>
      </w:r>
      <w:proofErr w:type="gramEnd"/>
      <w:r w:rsidR="00182521">
        <w:rPr>
          <w:rFonts w:ascii="Garamond" w:hAnsi="Garamond"/>
          <w:lang w:val="en-US"/>
        </w:rPr>
        <w:t xml:space="preserve"> territory and beyond)</w:t>
      </w:r>
      <w:r w:rsidR="00C80B0B" w:rsidRPr="00EC7F52">
        <w:rPr>
          <w:rFonts w:ascii="Garamond" w:hAnsi="Garamond"/>
          <w:lang w:val="en-US"/>
        </w:rPr>
        <w:t xml:space="preserve">, </w:t>
      </w:r>
      <w:r w:rsidR="009B7BBA" w:rsidRPr="00EC7F52">
        <w:rPr>
          <w:rFonts w:ascii="Garamond" w:hAnsi="Garamond"/>
          <w:lang w:val="en-US"/>
        </w:rPr>
        <w:t>a</w:t>
      </w:r>
      <w:r w:rsidR="00182521">
        <w:rPr>
          <w:rFonts w:ascii="Garamond" w:hAnsi="Garamond"/>
          <w:lang w:val="en-US"/>
        </w:rPr>
        <w:t>s</w:t>
      </w:r>
      <w:r w:rsidR="009B7BBA" w:rsidRPr="00EC7F52">
        <w:rPr>
          <w:rFonts w:ascii="Garamond" w:hAnsi="Garamond"/>
          <w:lang w:val="en-US"/>
        </w:rPr>
        <w:t xml:space="preserve"> the Committee has </w:t>
      </w:r>
      <w:r w:rsidR="00182521">
        <w:rPr>
          <w:rFonts w:ascii="Garamond" w:hAnsi="Garamond"/>
          <w:lang w:val="en-US"/>
        </w:rPr>
        <w:t xml:space="preserve">highlighted </w:t>
      </w:r>
      <w:r w:rsidR="009B7BBA" w:rsidRPr="00EC7F52">
        <w:rPr>
          <w:rFonts w:ascii="Garamond" w:hAnsi="Garamond"/>
          <w:lang w:val="en-US"/>
        </w:rPr>
        <w:t xml:space="preserve">also in </w:t>
      </w:r>
      <w:r w:rsidR="00182521">
        <w:rPr>
          <w:rFonts w:ascii="Garamond" w:hAnsi="Garamond"/>
          <w:lang w:val="en-US"/>
        </w:rPr>
        <w:t>its</w:t>
      </w:r>
      <w:r w:rsidR="008B303C">
        <w:rPr>
          <w:rFonts w:ascii="Garamond" w:hAnsi="Garamond"/>
          <w:lang w:val="en-US"/>
        </w:rPr>
        <w:t xml:space="preserve"> Admissibility Decisions in </w:t>
      </w:r>
      <w:proofErr w:type="spellStart"/>
      <w:r w:rsidR="009B7BBA" w:rsidRPr="00EC7F52">
        <w:rPr>
          <w:rFonts w:ascii="Garamond" w:hAnsi="Garamond"/>
          <w:i/>
          <w:iCs/>
          <w:lang w:val="en-US"/>
        </w:rPr>
        <w:t>Sacchi</w:t>
      </w:r>
      <w:proofErr w:type="spellEnd"/>
      <w:r w:rsidR="009B7BBA" w:rsidRPr="00EC7F52">
        <w:rPr>
          <w:rFonts w:ascii="Garamond" w:hAnsi="Garamond"/>
          <w:i/>
          <w:iCs/>
          <w:lang w:val="en-US"/>
        </w:rPr>
        <w:t xml:space="preserve"> </w:t>
      </w:r>
      <w:proofErr w:type="spellStart"/>
      <w:r w:rsidR="009B7BBA" w:rsidRPr="00EC7F52">
        <w:rPr>
          <w:rFonts w:ascii="Garamond" w:hAnsi="Garamond"/>
          <w:i/>
          <w:iCs/>
          <w:lang w:val="en-US"/>
        </w:rPr>
        <w:t>a.o.</w:t>
      </w:r>
      <w:proofErr w:type="spellEnd"/>
      <w:r w:rsidR="009B7BBA" w:rsidRPr="00EC7F52">
        <w:rPr>
          <w:rFonts w:ascii="Garamond" w:hAnsi="Garamond"/>
          <w:i/>
          <w:iCs/>
          <w:lang w:val="en-US"/>
        </w:rPr>
        <w:t xml:space="preserve"> v A. </w:t>
      </w:r>
      <w:proofErr w:type="spellStart"/>
      <w:r w:rsidR="00815227" w:rsidRPr="00EC7F52">
        <w:rPr>
          <w:rFonts w:ascii="Garamond" w:hAnsi="Garamond"/>
          <w:i/>
          <w:iCs/>
          <w:lang w:val="en-US"/>
        </w:rPr>
        <w:t>a.o.</w:t>
      </w:r>
      <w:proofErr w:type="spellEnd"/>
      <w:r w:rsidR="009B7BBA" w:rsidRPr="00EC7F52">
        <w:rPr>
          <w:rFonts w:ascii="Garamond" w:hAnsi="Garamond"/>
          <w:i/>
          <w:iCs/>
          <w:lang w:val="en-US"/>
        </w:rPr>
        <w:t xml:space="preserve"> </w:t>
      </w:r>
    </w:p>
    <w:p w14:paraId="29703752" w14:textId="51070D9E" w:rsidR="00296F0B" w:rsidRDefault="00296F0B" w:rsidP="00560405">
      <w:pPr>
        <w:pStyle w:val="ListParagraph"/>
        <w:snapToGrid w:val="0"/>
        <w:spacing w:after="120"/>
        <w:ind w:left="426"/>
        <w:contextualSpacing w:val="0"/>
        <w:jc w:val="both"/>
        <w:rPr>
          <w:rFonts w:ascii="Garamond" w:hAnsi="Garamond"/>
          <w:i/>
          <w:iCs/>
          <w:lang w:val="en-US"/>
        </w:rPr>
      </w:pPr>
    </w:p>
    <w:p w14:paraId="16A25585" w14:textId="77777777" w:rsidR="00296F0B" w:rsidRDefault="00296F0B" w:rsidP="00560405">
      <w:pPr>
        <w:pStyle w:val="ListParagraph"/>
        <w:snapToGrid w:val="0"/>
        <w:spacing w:after="120"/>
        <w:ind w:left="426"/>
        <w:contextualSpacing w:val="0"/>
        <w:jc w:val="both"/>
        <w:rPr>
          <w:rFonts w:ascii="Garamond" w:hAnsi="Garamond"/>
          <w:i/>
          <w:iCs/>
          <w:lang w:val="en-US"/>
        </w:rPr>
      </w:pPr>
    </w:p>
    <w:p w14:paraId="433DDF30" w14:textId="051EF4EE" w:rsidR="009B7BBA" w:rsidRPr="00EC7F52" w:rsidRDefault="009B7BBA" w:rsidP="00560405">
      <w:pPr>
        <w:pStyle w:val="ListParagraph"/>
        <w:snapToGrid w:val="0"/>
        <w:spacing w:after="120"/>
        <w:ind w:left="426"/>
        <w:contextualSpacing w:val="0"/>
        <w:jc w:val="both"/>
        <w:rPr>
          <w:rFonts w:ascii="Garamond" w:hAnsi="Garamond"/>
          <w:i/>
          <w:iCs/>
          <w:lang w:val="en-US"/>
        </w:rPr>
      </w:pPr>
      <w:r w:rsidRPr="00EC7F52">
        <w:rPr>
          <w:rFonts w:ascii="Garamond" w:hAnsi="Garamond"/>
          <w:lang w:val="en-US"/>
        </w:rPr>
        <w:lastRenderedPageBreak/>
        <w:t>Therefore, I would suggest to</w:t>
      </w:r>
      <w:r w:rsidR="00815227" w:rsidRPr="00EC7F52">
        <w:rPr>
          <w:rFonts w:ascii="Garamond" w:hAnsi="Garamond"/>
          <w:lang w:val="en-US"/>
        </w:rPr>
        <w:t>:</w:t>
      </w:r>
    </w:p>
    <w:p w14:paraId="02C0C8A9" w14:textId="07007A44" w:rsidR="00560405" w:rsidRPr="00560405" w:rsidRDefault="00EC7F52" w:rsidP="004206FB">
      <w:pPr>
        <w:pStyle w:val="ListParagraph"/>
        <w:numPr>
          <w:ilvl w:val="0"/>
          <w:numId w:val="3"/>
        </w:numPr>
        <w:snapToGrid w:val="0"/>
        <w:spacing w:after="240"/>
        <w:ind w:left="851" w:hanging="425"/>
        <w:contextualSpacing w:val="0"/>
        <w:jc w:val="both"/>
        <w:rPr>
          <w:rFonts w:ascii="Garamond" w:hAnsi="Garamond"/>
          <w:i/>
          <w:iCs/>
          <w:lang w:val="en-US"/>
        </w:rPr>
      </w:pPr>
      <w:r w:rsidRPr="00EC7F52">
        <w:rPr>
          <w:rFonts w:ascii="Garamond" w:hAnsi="Garamond"/>
          <w:lang w:val="en-US"/>
        </w:rPr>
        <w:t>A</w:t>
      </w:r>
      <w:r w:rsidR="00815227" w:rsidRPr="00EC7F52">
        <w:rPr>
          <w:rFonts w:ascii="Garamond" w:hAnsi="Garamond"/>
          <w:lang w:val="en-US"/>
        </w:rPr>
        <w:t>dd a footnote at the end of para 100, referring to</w:t>
      </w:r>
      <w:r w:rsidR="00D13B44" w:rsidRPr="00EC7F52">
        <w:rPr>
          <w:rFonts w:ascii="Garamond" w:hAnsi="Garamond"/>
          <w:lang w:val="en-US"/>
        </w:rPr>
        <w:t xml:space="preserve"> the Admissibility Decisions in</w:t>
      </w:r>
      <w:r w:rsidR="00815227" w:rsidRPr="00EC7F52">
        <w:rPr>
          <w:rFonts w:ascii="Garamond" w:hAnsi="Garamond"/>
          <w:lang w:val="en-US"/>
        </w:rPr>
        <w:t xml:space="preserve"> “</w:t>
      </w:r>
      <w:proofErr w:type="spellStart"/>
      <w:r w:rsidR="00815227" w:rsidRPr="0027772B">
        <w:rPr>
          <w:rFonts w:ascii="Garamond" w:hAnsi="Garamond"/>
          <w:i/>
          <w:iCs/>
          <w:lang w:val="en-US"/>
        </w:rPr>
        <w:t>Sacchi</w:t>
      </w:r>
      <w:proofErr w:type="spellEnd"/>
      <w:r w:rsidR="00815227" w:rsidRPr="0027772B">
        <w:rPr>
          <w:rFonts w:ascii="Garamond" w:hAnsi="Garamond"/>
          <w:i/>
          <w:iCs/>
          <w:lang w:val="en-US"/>
        </w:rPr>
        <w:t xml:space="preserve"> </w:t>
      </w:r>
      <w:proofErr w:type="spellStart"/>
      <w:r w:rsidR="00815227" w:rsidRPr="0027772B">
        <w:rPr>
          <w:rFonts w:ascii="Garamond" w:hAnsi="Garamond"/>
          <w:i/>
          <w:iCs/>
          <w:lang w:val="en-US"/>
        </w:rPr>
        <w:t>a.o.</w:t>
      </w:r>
      <w:proofErr w:type="spellEnd"/>
      <w:r w:rsidR="00815227" w:rsidRPr="0027772B">
        <w:rPr>
          <w:rFonts w:ascii="Garamond" w:hAnsi="Garamond"/>
          <w:i/>
          <w:iCs/>
          <w:lang w:val="en-US"/>
        </w:rPr>
        <w:t xml:space="preserve"> v A</w:t>
      </w:r>
      <w:r w:rsidR="002D27B7" w:rsidRPr="0027772B">
        <w:rPr>
          <w:rFonts w:ascii="Garamond" w:hAnsi="Garamond"/>
          <w:i/>
          <w:iCs/>
          <w:lang w:val="en-US"/>
        </w:rPr>
        <w:t>rgenti</w:t>
      </w:r>
      <w:r w:rsidR="00952BE4" w:rsidRPr="0027772B">
        <w:rPr>
          <w:rFonts w:ascii="Garamond" w:hAnsi="Garamond"/>
          <w:i/>
          <w:iCs/>
          <w:lang w:val="en-US"/>
        </w:rPr>
        <w:t>na</w:t>
      </w:r>
      <w:r w:rsidR="00815227" w:rsidRPr="0027772B">
        <w:rPr>
          <w:rFonts w:ascii="Garamond" w:hAnsi="Garamond"/>
          <w:i/>
          <w:iCs/>
          <w:lang w:val="en-US"/>
        </w:rPr>
        <w:t xml:space="preserve">, </w:t>
      </w:r>
      <w:r w:rsidR="00945670" w:rsidRPr="0027772B">
        <w:rPr>
          <w:rFonts w:ascii="Garamond" w:hAnsi="Garamond"/>
          <w:i/>
          <w:iCs/>
          <w:lang w:val="en-US"/>
        </w:rPr>
        <w:t>para</w:t>
      </w:r>
      <w:r w:rsidR="0027543D" w:rsidRPr="0027772B">
        <w:rPr>
          <w:rFonts w:ascii="Garamond" w:hAnsi="Garamond"/>
          <w:i/>
          <w:iCs/>
          <w:lang w:val="en-US"/>
        </w:rPr>
        <w:t>s 10.6 and</w:t>
      </w:r>
      <w:r w:rsidR="00945670" w:rsidRPr="0027772B">
        <w:rPr>
          <w:rFonts w:ascii="Garamond" w:hAnsi="Garamond"/>
          <w:i/>
          <w:iCs/>
          <w:lang w:val="en-US"/>
        </w:rPr>
        <w:t xml:space="preserve"> 10.11</w:t>
      </w:r>
      <w:r w:rsidR="002D27B7" w:rsidRPr="0027772B">
        <w:rPr>
          <w:rFonts w:ascii="Garamond" w:hAnsi="Garamond"/>
          <w:i/>
          <w:iCs/>
          <w:lang w:val="en-US"/>
        </w:rPr>
        <w:t>,</w:t>
      </w:r>
      <w:r w:rsidR="002D27B7" w:rsidRPr="0027772B">
        <w:rPr>
          <w:rFonts w:ascii="Garamond" w:hAnsi="Garamond"/>
          <w:lang w:val="en-US"/>
        </w:rPr>
        <w:t xml:space="preserve"> </w:t>
      </w:r>
      <w:proofErr w:type="spellStart"/>
      <w:r w:rsidR="002D27B7" w:rsidRPr="0027772B">
        <w:rPr>
          <w:rFonts w:ascii="Garamond" w:hAnsi="Garamond"/>
          <w:i/>
          <w:iCs/>
          <w:lang w:val="en-US"/>
        </w:rPr>
        <w:t>Sacchi</w:t>
      </w:r>
      <w:proofErr w:type="spellEnd"/>
      <w:r w:rsidR="002D27B7" w:rsidRPr="0027772B">
        <w:rPr>
          <w:rFonts w:ascii="Garamond" w:hAnsi="Garamond"/>
          <w:i/>
          <w:iCs/>
          <w:lang w:val="en-US"/>
        </w:rPr>
        <w:t xml:space="preserve"> </w:t>
      </w:r>
      <w:proofErr w:type="spellStart"/>
      <w:r w:rsidR="002D27B7" w:rsidRPr="0027772B">
        <w:rPr>
          <w:rFonts w:ascii="Garamond" w:hAnsi="Garamond"/>
          <w:i/>
          <w:iCs/>
          <w:lang w:val="en-US"/>
        </w:rPr>
        <w:t>a.o.</w:t>
      </w:r>
      <w:proofErr w:type="spellEnd"/>
      <w:r w:rsidR="002D27B7" w:rsidRPr="0027772B">
        <w:rPr>
          <w:rFonts w:ascii="Garamond" w:hAnsi="Garamond"/>
          <w:i/>
          <w:iCs/>
          <w:lang w:val="en-US"/>
        </w:rPr>
        <w:t xml:space="preserve"> v. Germany, para</w:t>
      </w:r>
      <w:r w:rsidR="00585133" w:rsidRPr="0027772B">
        <w:rPr>
          <w:rFonts w:ascii="Garamond" w:hAnsi="Garamond"/>
          <w:i/>
          <w:iCs/>
          <w:lang w:val="en-US"/>
        </w:rPr>
        <w:t>s</w:t>
      </w:r>
      <w:r w:rsidR="002D27B7" w:rsidRPr="0027772B">
        <w:rPr>
          <w:rFonts w:ascii="Garamond" w:hAnsi="Garamond"/>
          <w:i/>
          <w:iCs/>
          <w:lang w:val="en-US"/>
        </w:rPr>
        <w:t xml:space="preserve"> 9.6</w:t>
      </w:r>
      <w:r w:rsidR="00585133" w:rsidRPr="0027772B">
        <w:rPr>
          <w:rFonts w:ascii="Garamond" w:hAnsi="Garamond"/>
          <w:i/>
          <w:iCs/>
          <w:lang w:val="en-US"/>
        </w:rPr>
        <w:t xml:space="preserve"> and 9.11</w:t>
      </w:r>
      <w:r w:rsidR="002D27B7" w:rsidRPr="0027772B">
        <w:rPr>
          <w:rFonts w:ascii="Garamond" w:hAnsi="Garamond"/>
          <w:i/>
          <w:iCs/>
          <w:lang w:val="en-US"/>
        </w:rPr>
        <w:t xml:space="preserve">, </w:t>
      </w:r>
      <w:proofErr w:type="spellStart"/>
      <w:r w:rsidR="002D27B7" w:rsidRPr="0027772B">
        <w:rPr>
          <w:rFonts w:ascii="Garamond" w:hAnsi="Garamond"/>
          <w:i/>
          <w:iCs/>
          <w:lang w:val="en-US"/>
        </w:rPr>
        <w:t>Sacchi</w:t>
      </w:r>
      <w:proofErr w:type="spellEnd"/>
      <w:r w:rsidR="002D27B7" w:rsidRPr="0027772B">
        <w:rPr>
          <w:rFonts w:ascii="Garamond" w:hAnsi="Garamond"/>
          <w:i/>
          <w:iCs/>
          <w:lang w:val="en-US"/>
        </w:rPr>
        <w:t xml:space="preserve"> </w:t>
      </w:r>
      <w:proofErr w:type="spellStart"/>
      <w:r w:rsidR="002D27B7" w:rsidRPr="0027772B">
        <w:rPr>
          <w:rFonts w:ascii="Garamond" w:hAnsi="Garamond"/>
          <w:i/>
          <w:iCs/>
          <w:lang w:val="en-US"/>
        </w:rPr>
        <w:t>a.o.</w:t>
      </w:r>
      <w:proofErr w:type="spellEnd"/>
      <w:r w:rsidR="002D27B7" w:rsidRPr="0027772B">
        <w:rPr>
          <w:rFonts w:ascii="Garamond" w:hAnsi="Garamond"/>
          <w:i/>
          <w:iCs/>
          <w:lang w:val="en-US"/>
        </w:rPr>
        <w:t xml:space="preserve"> v Brazil, para</w:t>
      </w:r>
      <w:r w:rsidR="00C10ACA" w:rsidRPr="0027772B">
        <w:rPr>
          <w:rFonts w:ascii="Garamond" w:hAnsi="Garamond"/>
          <w:i/>
          <w:iCs/>
          <w:lang w:val="en-US"/>
        </w:rPr>
        <w:t>s 10.6 and</w:t>
      </w:r>
      <w:r w:rsidR="002D27B7" w:rsidRPr="0027772B">
        <w:rPr>
          <w:rFonts w:ascii="Garamond" w:hAnsi="Garamond"/>
          <w:i/>
          <w:iCs/>
          <w:lang w:val="en-US"/>
        </w:rPr>
        <w:t xml:space="preserve"> </w:t>
      </w:r>
      <w:r w:rsidR="004C17A4" w:rsidRPr="0027772B">
        <w:rPr>
          <w:rFonts w:ascii="Garamond" w:hAnsi="Garamond"/>
          <w:i/>
          <w:iCs/>
          <w:lang w:val="en-US"/>
        </w:rPr>
        <w:t>10.9</w:t>
      </w:r>
      <w:r w:rsidR="00952BE4" w:rsidRPr="0027772B">
        <w:rPr>
          <w:rFonts w:ascii="Garamond" w:hAnsi="Garamond"/>
          <w:i/>
          <w:iCs/>
          <w:lang w:val="en-US"/>
        </w:rPr>
        <w:t xml:space="preserve">, </w:t>
      </w:r>
      <w:proofErr w:type="spellStart"/>
      <w:r w:rsidR="00220BE2" w:rsidRPr="0027772B">
        <w:rPr>
          <w:rFonts w:ascii="Garamond" w:hAnsi="Garamond"/>
          <w:i/>
          <w:iCs/>
          <w:lang w:val="en-US"/>
        </w:rPr>
        <w:t>Sacchi</w:t>
      </w:r>
      <w:proofErr w:type="spellEnd"/>
      <w:r w:rsidR="00220BE2" w:rsidRPr="0027772B">
        <w:rPr>
          <w:rFonts w:ascii="Garamond" w:hAnsi="Garamond"/>
          <w:i/>
          <w:iCs/>
          <w:lang w:val="en-US"/>
        </w:rPr>
        <w:t xml:space="preserve"> </w:t>
      </w:r>
      <w:proofErr w:type="spellStart"/>
      <w:r w:rsidR="00220BE2" w:rsidRPr="0027772B">
        <w:rPr>
          <w:rFonts w:ascii="Garamond" w:hAnsi="Garamond"/>
          <w:i/>
          <w:iCs/>
          <w:lang w:val="en-US"/>
        </w:rPr>
        <w:t>a.o.</w:t>
      </w:r>
      <w:proofErr w:type="spellEnd"/>
      <w:r w:rsidR="00220BE2" w:rsidRPr="0027772B">
        <w:rPr>
          <w:rFonts w:ascii="Garamond" w:hAnsi="Garamond"/>
          <w:i/>
          <w:iCs/>
          <w:lang w:val="en-US"/>
        </w:rPr>
        <w:t xml:space="preserve"> v France, para</w:t>
      </w:r>
      <w:r w:rsidR="00C10ACA" w:rsidRPr="0027772B">
        <w:rPr>
          <w:rFonts w:ascii="Garamond" w:hAnsi="Garamond"/>
          <w:i/>
          <w:iCs/>
          <w:lang w:val="en-US"/>
        </w:rPr>
        <w:t>s</w:t>
      </w:r>
      <w:r w:rsidR="00220BE2" w:rsidRPr="0027772B">
        <w:rPr>
          <w:rFonts w:ascii="Garamond" w:hAnsi="Garamond"/>
          <w:i/>
          <w:iCs/>
          <w:lang w:val="en-US"/>
        </w:rPr>
        <w:t xml:space="preserve"> </w:t>
      </w:r>
      <w:r w:rsidR="001D253E" w:rsidRPr="0027772B">
        <w:rPr>
          <w:rFonts w:ascii="Garamond" w:hAnsi="Garamond"/>
          <w:i/>
          <w:iCs/>
          <w:lang w:val="en-US"/>
        </w:rPr>
        <w:t xml:space="preserve">10.6 and </w:t>
      </w:r>
      <w:r w:rsidR="009534F9" w:rsidRPr="0027772B">
        <w:rPr>
          <w:rFonts w:ascii="Garamond" w:hAnsi="Garamond"/>
          <w:i/>
          <w:iCs/>
          <w:lang w:val="en-US"/>
        </w:rPr>
        <w:t xml:space="preserve">10.11, </w:t>
      </w:r>
      <w:proofErr w:type="spellStart"/>
      <w:r w:rsidR="009534F9" w:rsidRPr="0027772B">
        <w:rPr>
          <w:rFonts w:ascii="Garamond" w:hAnsi="Garamond"/>
          <w:i/>
          <w:iCs/>
          <w:lang w:val="en-US"/>
        </w:rPr>
        <w:t>Sacchi</w:t>
      </w:r>
      <w:proofErr w:type="spellEnd"/>
      <w:r w:rsidR="009534F9" w:rsidRPr="0027772B">
        <w:rPr>
          <w:rFonts w:ascii="Garamond" w:hAnsi="Garamond"/>
          <w:i/>
          <w:iCs/>
          <w:lang w:val="en-US"/>
        </w:rPr>
        <w:t xml:space="preserve"> </w:t>
      </w:r>
      <w:proofErr w:type="spellStart"/>
      <w:r w:rsidR="009534F9" w:rsidRPr="0027772B">
        <w:rPr>
          <w:rFonts w:ascii="Garamond" w:hAnsi="Garamond"/>
          <w:i/>
          <w:iCs/>
          <w:lang w:val="en-US"/>
        </w:rPr>
        <w:t>a.o.</w:t>
      </w:r>
      <w:proofErr w:type="spellEnd"/>
      <w:r w:rsidR="009534F9" w:rsidRPr="0027772B">
        <w:rPr>
          <w:rFonts w:ascii="Garamond" w:hAnsi="Garamond"/>
          <w:i/>
          <w:iCs/>
          <w:lang w:val="en-US"/>
        </w:rPr>
        <w:t xml:space="preserve"> v Turkey, para</w:t>
      </w:r>
      <w:r w:rsidR="008933D8" w:rsidRPr="0027772B">
        <w:rPr>
          <w:rFonts w:ascii="Garamond" w:hAnsi="Garamond"/>
          <w:i/>
          <w:iCs/>
          <w:lang w:val="en-US"/>
        </w:rPr>
        <w:t>s 9.6 and</w:t>
      </w:r>
      <w:r w:rsidR="007C3F80" w:rsidRPr="0027772B">
        <w:rPr>
          <w:rFonts w:ascii="Garamond" w:hAnsi="Garamond"/>
          <w:i/>
          <w:iCs/>
          <w:lang w:val="en-US"/>
        </w:rPr>
        <w:t xml:space="preserve"> 9.11</w:t>
      </w:r>
      <w:r w:rsidR="00560405" w:rsidRPr="0027772B">
        <w:rPr>
          <w:rFonts w:ascii="Garamond" w:hAnsi="Garamond"/>
          <w:i/>
          <w:iCs/>
          <w:lang w:val="en-US"/>
        </w:rPr>
        <w:t>.</w:t>
      </w:r>
      <w:r w:rsidR="00945670" w:rsidRPr="0027772B">
        <w:rPr>
          <w:rFonts w:ascii="Garamond" w:hAnsi="Garamond"/>
          <w:lang w:val="en-US"/>
        </w:rPr>
        <w:t>”</w:t>
      </w:r>
      <w:r w:rsidR="00560405">
        <w:rPr>
          <w:rFonts w:ascii="Garamond" w:hAnsi="Garamond"/>
          <w:lang w:val="en-US"/>
        </w:rPr>
        <w:t xml:space="preserve"> </w:t>
      </w:r>
      <w:r w:rsidR="006A6745" w:rsidRPr="00EC7F52">
        <w:rPr>
          <w:rFonts w:ascii="Garamond" w:hAnsi="Garamond"/>
          <w:lang w:val="en-US"/>
        </w:rPr>
        <w:t>In my view, citing all these admissibility decisions individually (even though the relevant paragraphs are identical) reinforces the point made by the Committee</w:t>
      </w:r>
      <w:r w:rsidRPr="00EC7F52">
        <w:rPr>
          <w:rFonts w:ascii="Garamond" w:hAnsi="Garamond"/>
          <w:lang w:val="en-US"/>
        </w:rPr>
        <w:t xml:space="preserve">. </w:t>
      </w:r>
      <w:r w:rsidR="0096319A" w:rsidRPr="00EC7F52">
        <w:rPr>
          <w:rFonts w:ascii="Garamond" w:hAnsi="Garamond"/>
          <w:lang w:val="en-US"/>
        </w:rPr>
        <w:t>Moreover</w:t>
      </w:r>
      <w:r w:rsidR="00DD0C8C" w:rsidRPr="00EC7F52">
        <w:rPr>
          <w:rFonts w:ascii="Garamond" w:hAnsi="Garamond"/>
          <w:lang w:val="en-US"/>
        </w:rPr>
        <w:t xml:space="preserve">, </w:t>
      </w:r>
      <w:r w:rsidRPr="00EC7F52">
        <w:rPr>
          <w:rFonts w:ascii="Garamond" w:hAnsi="Garamond"/>
          <w:lang w:val="en-US"/>
        </w:rPr>
        <w:t xml:space="preserve">such a specific reference </w:t>
      </w:r>
      <w:r w:rsidR="00DD0C8C" w:rsidRPr="00EC7F52">
        <w:rPr>
          <w:rFonts w:ascii="Garamond" w:hAnsi="Garamond"/>
          <w:lang w:val="en-US"/>
        </w:rPr>
        <w:t xml:space="preserve">to the </w:t>
      </w:r>
      <w:r w:rsidR="00D13B44" w:rsidRPr="00EC7F52">
        <w:rPr>
          <w:rFonts w:ascii="Garamond" w:hAnsi="Garamond"/>
          <w:lang w:val="en-US"/>
        </w:rPr>
        <w:t xml:space="preserve">abovementioned </w:t>
      </w:r>
      <w:r w:rsidR="00DD0C8C" w:rsidRPr="00EC7F52">
        <w:rPr>
          <w:rFonts w:ascii="Garamond" w:hAnsi="Garamond"/>
          <w:lang w:val="en-US"/>
        </w:rPr>
        <w:t xml:space="preserve">paragraphs in which the Committee confirmed that </w:t>
      </w:r>
      <w:r w:rsidR="00D13B44" w:rsidRPr="00EC7F52">
        <w:rPr>
          <w:rFonts w:ascii="Garamond" w:hAnsi="Garamond"/>
          <w:lang w:val="en-US"/>
        </w:rPr>
        <w:t xml:space="preserve">the </w:t>
      </w:r>
      <w:r w:rsidR="00585133">
        <w:rPr>
          <w:rFonts w:ascii="Garamond" w:hAnsi="Garamond"/>
          <w:lang w:val="en-US"/>
        </w:rPr>
        <w:t xml:space="preserve">adverse effects on the enjoyment of the rights of the youth applicants was indeed foreseeable, </w:t>
      </w:r>
      <w:r w:rsidRPr="00EC7F52">
        <w:rPr>
          <w:rFonts w:ascii="Garamond" w:hAnsi="Garamond"/>
          <w:lang w:val="en-US"/>
        </w:rPr>
        <w:t>significantly illustrates</w:t>
      </w:r>
      <w:r w:rsidR="00D13B44" w:rsidRPr="00EC7F52">
        <w:rPr>
          <w:rFonts w:ascii="Garamond" w:hAnsi="Garamond"/>
          <w:lang w:val="en-US"/>
        </w:rPr>
        <w:t xml:space="preserve"> the Committee’s</w:t>
      </w:r>
      <w:r w:rsidRPr="00EC7F52">
        <w:rPr>
          <w:rFonts w:ascii="Garamond" w:hAnsi="Garamond"/>
          <w:lang w:val="en-US"/>
        </w:rPr>
        <w:t xml:space="preserve"> interpretation of this criterion. </w:t>
      </w:r>
    </w:p>
    <w:p w14:paraId="6DDCD6B2" w14:textId="028BA0B6" w:rsidR="00DF5DF1" w:rsidRPr="00631FF7" w:rsidRDefault="00560405" w:rsidP="00182521">
      <w:pPr>
        <w:pStyle w:val="ListParagraph"/>
        <w:numPr>
          <w:ilvl w:val="0"/>
          <w:numId w:val="3"/>
        </w:numPr>
        <w:snapToGrid w:val="0"/>
        <w:spacing w:after="240"/>
        <w:ind w:left="850" w:hanging="425"/>
        <w:contextualSpacing w:val="0"/>
        <w:jc w:val="both"/>
        <w:rPr>
          <w:rFonts w:ascii="Garamond" w:hAnsi="Garamond"/>
          <w:i/>
          <w:iCs/>
          <w:lang w:val="en-US"/>
        </w:rPr>
      </w:pPr>
      <w:r>
        <w:rPr>
          <w:rFonts w:ascii="Garamond" w:hAnsi="Garamond"/>
          <w:lang w:val="en-US"/>
        </w:rPr>
        <w:t xml:space="preserve">Consider adding </w:t>
      </w:r>
      <w:r w:rsidR="00E50DF3">
        <w:rPr>
          <w:rFonts w:ascii="Garamond" w:hAnsi="Garamond"/>
          <w:lang w:val="en-US"/>
        </w:rPr>
        <w:t>two</w:t>
      </w:r>
      <w:r>
        <w:rPr>
          <w:rFonts w:ascii="Garamond" w:hAnsi="Garamond"/>
          <w:lang w:val="en-US"/>
        </w:rPr>
        <w:t xml:space="preserve"> </w:t>
      </w:r>
      <w:r w:rsidR="00631FF7">
        <w:rPr>
          <w:rFonts w:ascii="Garamond" w:hAnsi="Garamond"/>
          <w:lang w:val="en-US"/>
        </w:rPr>
        <w:t>new (sub-)paragraph</w:t>
      </w:r>
      <w:r w:rsidR="00E50DF3">
        <w:rPr>
          <w:rFonts w:ascii="Garamond" w:hAnsi="Garamond"/>
          <w:lang w:val="en-US"/>
        </w:rPr>
        <w:t>s</w:t>
      </w:r>
      <w:r w:rsidR="00631FF7">
        <w:rPr>
          <w:rFonts w:ascii="Garamond" w:hAnsi="Garamond"/>
          <w:lang w:val="en-US"/>
        </w:rPr>
        <w:t xml:space="preserve"> after current para 100</w:t>
      </w:r>
      <w:r w:rsidR="001F5C32">
        <w:rPr>
          <w:rFonts w:ascii="Garamond" w:hAnsi="Garamond"/>
          <w:lang w:val="en-US"/>
        </w:rPr>
        <w:t xml:space="preserve">, essentially </w:t>
      </w:r>
      <w:r w:rsidR="00DF5DF1">
        <w:rPr>
          <w:rFonts w:ascii="Garamond" w:hAnsi="Garamond"/>
          <w:lang w:val="en-US"/>
        </w:rPr>
        <w:t xml:space="preserve">repeating the Committee’s </w:t>
      </w:r>
      <w:r w:rsidR="00F151F6">
        <w:rPr>
          <w:rFonts w:ascii="Garamond" w:hAnsi="Garamond"/>
          <w:lang w:val="en-US"/>
        </w:rPr>
        <w:t>views regarding ‘foresee</w:t>
      </w:r>
      <w:r w:rsidR="0094631E">
        <w:rPr>
          <w:rFonts w:ascii="Garamond" w:hAnsi="Garamond"/>
          <w:lang w:val="en-US"/>
        </w:rPr>
        <w:t>a</w:t>
      </w:r>
      <w:r w:rsidR="00F151F6">
        <w:rPr>
          <w:rFonts w:ascii="Garamond" w:hAnsi="Garamond"/>
          <w:lang w:val="en-US"/>
        </w:rPr>
        <w:t>bility’</w:t>
      </w:r>
      <w:r w:rsidR="00DF5DF1">
        <w:rPr>
          <w:rFonts w:ascii="Garamond" w:hAnsi="Garamond"/>
          <w:lang w:val="en-US"/>
        </w:rPr>
        <w:t xml:space="preserve">, as already expressed in the abovementioned Admissibility Decisions in </w:t>
      </w:r>
      <w:proofErr w:type="spellStart"/>
      <w:r w:rsidR="00DF5DF1">
        <w:rPr>
          <w:rFonts w:ascii="Garamond" w:hAnsi="Garamond"/>
          <w:i/>
          <w:iCs/>
          <w:lang w:val="en-US"/>
        </w:rPr>
        <w:t>Sacchi</w:t>
      </w:r>
      <w:proofErr w:type="spellEnd"/>
      <w:r w:rsidR="00DF5DF1">
        <w:rPr>
          <w:rFonts w:ascii="Garamond" w:hAnsi="Garamond"/>
          <w:i/>
          <w:iCs/>
          <w:lang w:val="en-US"/>
        </w:rPr>
        <w:t xml:space="preserve"> </w:t>
      </w:r>
      <w:proofErr w:type="spellStart"/>
      <w:r w:rsidR="00DF5DF1">
        <w:rPr>
          <w:rFonts w:ascii="Garamond" w:hAnsi="Garamond"/>
          <w:i/>
          <w:iCs/>
          <w:lang w:val="en-US"/>
        </w:rPr>
        <w:t>a.o.</w:t>
      </w:r>
      <w:proofErr w:type="spellEnd"/>
      <w:r w:rsidR="00DF5DF1">
        <w:rPr>
          <w:rFonts w:ascii="Garamond" w:hAnsi="Garamond"/>
          <w:i/>
          <w:iCs/>
          <w:lang w:val="en-US"/>
        </w:rPr>
        <w:t xml:space="preserve"> v A. </w:t>
      </w:r>
      <w:proofErr w:type="spellStart"/>
      <w:r w:rsidR="00DF5DF1">
        <w:rPr>
          <w:rFonts w:ascii="Garamond" w:hAnsi="Garamond"/>
          <w:i/>
          <w:iCs/>
          <w:lang w:val="en-US"/>
        </w:rPr>
        <w:t>a.o.</w:t>
      </w:r>
      <w:proofErr w:type="spellEnd"/>
      <w:r w:rsidR="002C1EF5">
        <w:rPr>
          <w:rFonts w:ascii="Garamond" w:hAnsi="Garamond"/>
          <w:lang w:val="en-US"/>
        </w:rPr>
        <w:t>:</w:t>
      </w:r>
      <w:r w:rsidR="00DF5DF1">
        <w:rPr>
          <w:rFonts w:ascii="Garamond" w:hAnsi="Garamond"/>
          <w:lang w:val="en-US"/>
        </w:rPr>
        <w:t xml:space="preserve"> </w:t>
      </w:r>
    </w:p>
    <w:p w14:paraId="53E5049E" w14:textId="3F2CFC36" w:rsidR="00631FF7" w:rsidRPr="00631FF7" w:rsidRDefault="002513BF" w:rsidP="002C1EF5">
      <w:pPr>
        <w:pStyle w:val="ListParagraph"/>
        <w:tabs>
          <w:tab w:val="left" w:pos="1418"/>
        </w:tabs>
        <w:snapToGrid w:val="0"/>
        <w:spacing w:after="240"/>
        <w:ind w:left="851" w:hanging="1"/>
        <w:contextualSpacing w:val="0"/>
        <w:jc w:val="both"/>
        <w:rPr>
          <w:rFonts w:ascii="Garamond" w:hAnsi="Garamond"/>
          <w:lang w:val="en-US"/>
        </w:rPr>
      </w:pPr>
      <w:r>
        <w:rPr>
          <w:rFonts w:ascii="Garamond" w:hAnsi="Garamond"/>
          <w:lang w:val="en-US"/>
        </w:rPr>
        <w:t>“</w:t>
      </w:r>
      <w:r w:rsidR="002C1EF5">
        <w:rPr>
          <w:rFonts w:ascii="Garamond" w:hAnsi="Garamond"/>
          <w:lang w:val="en-US"/>
        </w:rPr>
        <w:t>100a.</w:t>
      </w:r>
      <w:r w:rsidR="002C1EF5">
        <w:rPr>
          <w:rFonts w:ascii="Garamond" w:hAnsi="Garamond"/>
          <w:lang w:val="en-US"/>
        </w:rPr>
        <w:tab/>
      </w:r>
      <w:r>
        <w:rPr>
          <w:rFonts w:ascii="Garamond" w:hAnsi="Garamond"/>
          <w:lang w:val="en-US"/>
        </w:rPr>
        <w:t xml:space="preserve">In </w:t>
      </w:r>
      <w:r w:rsidRPr="002513BF">
        <w:rPr>
          <w:rFonts w:ascii="Garamond" w:hAnsi="Garamond"/>
          <w:lang w:val="en-US"/>
        </w:rPr>
        <w:t>its Joint Statement on Human Rights and Climate Change</w:t>
      </w:r>
      <w:r>
        <w:rPr>
          <w:rStyle w:val="FootnoteReference"/>
          <w:rFonts w:ascii="Garamond" w:hAnsi="Garamond"/>
          <w:lang w:val="en-US"/>
        </w:rPr>
        <w:footnoteReference w:id="2"/>
      </w:r>
      <w:r>
        <w:rPr>
          <w:rFonts w:ascii="Garamond" w:hAnsi="Garamond"/>
          <w:lang w:val="en-US"/>
        </w:rPr>
        <w:t>, the Committee</w:t>
      </w:r>
      <w:r w:rsidRPr="002513BF">
        <w:rPr>
          <w:rFonts w:ascii="Garamond" w:hAnsi="Garamond"/>
          <w:lang w:val="en-US"/>
        </w:rPr>
        <w:t xml:space="preserve"> has expressed that</w:t>
      </w:r>
      <w:r w:rsidR="00631FF7">
        <w:rPr>
          <w:rFonts w:ascii="Garamond" w:hAnsi="Garamond"/>
          <w:lang w:val="en-US"/>
        </w:rPr>
        <w:t xml:space="preserve"> </w:t>
      </w:r>
      <w:r>
        <w:rPr>
          <w:rFonts w:ascii="Garamond" w:hAnsi="Garamond"/>
          <w:lang w:val="en-US"/>
        </w:rPr>
        <w:t>c</w:t>
      </w:r>
      <w:r w:rsidR="00631FF7" w:rsidRPr="00631FF7">
        <w:rPr>
          <w:rFonts w:ascii="Garamond" w:hAnsi="Garamond"/>
          <w:lang w:val="en-US"/>
        </w:rPr>
        <w:t>limate change poses significant risks to the enjoyment of the human rights protected by the Convention such as the right to life, the right to adequate food, the right to adequate housing, the right to health, the right to water and cultural rights. Failure to take measures to prevent foreseeable human rights harm caused by climate change, or to regulate activities contributing to such harm, could constitute a violation of States’ human rights obligations.</w:t>
      </w:r>
    </w:p>
    <w:p w14:paraId="3177023F" w14:textId="63E64B2D" w:rsidR="001F5C32" w:rsidRDefault="002C1EF5" w:rsidP="00DF5DF1">
      <w:pPr>
        <w:pStyle w:val="ListParagraph"/>
        <w:snapToGrid w:val="0"/>
        <w:spacing w:after="120"/>
        <w:ind w:left="851"/>
        <w:jc w:val="both"/>
        <w:rPr>
          <w:rFonts w:ascii="Garamond" w:hAnsi="Garamond"/>
          <w:lang w:val="en-US"/>
        </w:rPr>
      </w:pPr>
      <w:r>
        <w:rPr>
          <w:rFonts w:ascii="Garamond" w:hAnsi="Garamond"/>
          <w:lang w:val="en-US"/>
        </w:rPr>
        <w:t xml:space="preserve">100b. </w:t>
      </w:r>
      <w:r>
        <w:rPr>
          <w:rFonts w:ascii="Garamond" w:hAnsi="Garamond"/>
          <w:lang w:val="en-US"/>
        </w:rPr>
        <w:tab/>
      </w:r>
      <w:r>
        <w:rPr>
          <w:rFonts w:ascii="Garamond" w:hAnsi="Garamond"/>
          <w:lang w:val="en-US"/>
        </w:rPr>
        <w:tab/>
      </w:r>
      <w:proofErr w:type="gramStart"/>
      <w:r w:rsidR="005053D1" w:rsidRPr="005053D1">
        <w:rPr>
          <w:rFonts w:ascii="Garamond" w:hAnsi="Garamond"/>
          <w:lang w:val="en-US"/>
        </w:rPr>
        <w:t>In light of</w:t>
      </w:r>
      <w:proofErr w:type="gramEnd"/>
      <w:r w:rsidR="005053D1" w:rsidRPr="005053D1">
        <w:rPr>
          <w:rFonts w:ascii="Garamond" w:hAnsi="Garamond"/>
          <w:lang w:val="en-US"/>
        </w:rPr>
        <w:t xml:space="preserve"> existing scientific evidence showing the impact of the cumulative effect of carbon emissions on the enjoyment of human rights, including rights under the Convention,</w:t>
      </w:r>
      <w:r w:rsidR="00CF5A82">
        <w:rPr>
          <w:rStyle w:val="FootnoteReference"/>
          <w:rFonts w:ascii="Garamond" w:hAnsi="Garamond"/>
          <w:lang w:val="en-US"/>
        </w:rPr>
        <w:footnoteReference w:id="3"/>
      </w:r>
      <w:r w:rsidR="005053D1" w:rsidRPr="005053D1">
        <w:rPr>
          <w:rFonts w:ascii="Garamond" w:hAnsi="Garamond"/>
          <w:lang w:val="en-US"/>
        </w:rPr>
        <w:t xml:space="preserve"> </w:t>
      </w:r>
      <w:r w:rsidR="00F151F6">
        <w:rPr>
          <w:rFonts w:ascii="Garamond" w:hAnsi="Garamond"/>
          <w:lang w:val="en-US"/>
        </w:rPr>
        <w:t xml:space="preserve">the Committee considers that </w:t>
      </w:r>
      <w:r w:rsidR="002C43C3" w:rsidRPr="00E50DF3">
        <w:rPr>
          <w:rFonts w:ascii="Garamond" w:hAnsi="Garamond"/>
          <w:i/>
          <w:iCs/>
          <w:lang w:val="en-US"/>
        </w:rPr>
        <w:t xml:space="preserve">there </w:t>
      </w:r>
      <w:r w:rsidR="00E50DF3" w:rsidRPr="00E50DF3">
        <w:rPr>
          <w:rFonts w:ascii="Garamond" w:hAnsi="Garamond"/>
          <w:i/>
          <w:iCs/>
          <w:lang w:val="en-US"/>
        </w:rPr>
        <w:t>may be situations in which</w:t>
      </w:r>
      <w:r w:rsidR="00E50DF3">
        <w:rPr>
          <w:rFonts w:ascii="Garamond" w:hAnsi="Garamond"/>
          <w:lang w:val="en-US"/>
        </w:rPr>
        <w:t xml:space="preserve"> </w:t>
      </w:r>
      <w:r w:rsidR="005053D1" w:rsidRPr="005053D1">
        <w:rPr>
          <w:rFonts w:ascii="Garamond" w:hAnsi="Garamond"/>
          <w:lang w:val="en-US"/>
        </w:rPr>
        <w:t xml:space="preserve">the potential harm of acts or omissions </w:t>
      </w:r>
      <w:r w:rsidR="005053D1">
        <w:rPr>
          <w:rFonts w:ascii="Garamond" w:hAnsi="Garamond"/>
          <w:lang w:val="en-US"/>
        </w:rPr>
        <w:t xml:space="preserve">of States Parties to the Convention </w:t>
      </w:r>
      <w:r w:rsidR="005053D1" w:rsidRPr="005053D1">
        <w:rPr>
          <w:rFonts w:ascii="Garamond" w:hAnsi="Garamond"/>
          <w:lang w:val="en-US"/>
        </w:rPr>
        <w:t xml:space="preserve">regarding carbon emissions originating in </w:t>
      </w:r>
      <w:r w:rsidR="00731FA5">
        <w:rPr>
          <w:rFonts w:ascii="Garamond" w:hAnsi="Garamond"/>
          <w:lang w:val="en-US"/>
        </w:rPr>
        <w:t>their</w:t>
      </w:r>
      <w:r w:rsidR="005053D1" w:rsidRPr="005053D1">
        <w:rPr>
          <w:rFonts w:ascii="Garamond" w:hAnsi="Garamond"/>
          <w:lang w:val="en-US"/>
        </w:rPr>
        <w:t xml:space="preserve"> territory </w:t>
      </w:r>
      <w:r w:rsidR="005053D1" w:rsidRPr="00CF5A82">
        <w:rPr>
          <w:rFonts w:ascii="Garamond" w:hAnsi="Garamond"/>
          <w:i/>
          <w:iCs/>
          <w:lang w:val="en-US"/>
        </w:rPr>
        <w:t>could</w:t>
      </w:r>
      <w:r w:rsidR="00F151F6">
        <w:rPr>
          <w:rFonts w:ascii="Garamond" w:hAnsi="Garamond"/>
          <w:i/>
          <w:iCs/>
          <w:lang w:val="en-US"/>
        </w:rPr>
        <w:t xml:space="preserve"> potentially,</w:t>
      </w:r>
      <w:r w:rsidR="00731FA5">
        <w:rPr>
          <w:rFonts w:ascii="Garamond" w:hAnsi="Garamond"/>
          <w:i/>
          <w:iCs/>
          <w:lang w:val="en-US"/>
        </w:rPr>
        <w:t xml:space="preserve"> in accordance with all relevant </w:t>
      </w:r>
      <w:r w:rsidR="005B17C1">
        <w:rPr>
          <w:rFonts w:ascii="Garamond" w:hAnsi="Garamond"/>
          <w:i/>
          <w:iCs/>
          <w:lang w:val="en-US"/>
        </w:rPr>
        <w:t xml:space="preserve">facts and </w:t>
      </w:r>
      <w:r w:rsidR="00731FA5">
        <w:rPr>
          <w:rFonts w:ascii="Garamond" w:hAnsi="Garamond"/>
          <w:i/>
          <w:iCs/>
          <w:lang w:val="en-US"/>
        </w:rPr>
        <w:t xml:space="preserve">circumstances, </w:t>
      </w:r>
      <w:r w:rsidR="005053D1">
        <w:rPr>
          <w:rFonts w:ascii="Garamond" w:hAnsi="Garamond"/>
          <w:lang w:val="en-US"/>
        </w:rPr>
        <w:t>be considered</w:t>
      </w:r>
      <w:r w:rsidR="005053D1" w:rsidRPr="005053D1">
        <w:rPr>
          <w:rFonts w:ascii="Garamond" w:hAnsi="Garamond"/>
          <w:lang w:val="en-US"/>
        </w:rPr>
        <w:t xml:space="preserve"> reasonably foreseeable.</w:t>
      </w:r>
      <w:r w:rsidR="005053D1">
        <w:rPr>
          <w:rFonts w:ascii="Garamond" w:hAnsi="Garamond"/>
          <w:lang w:val="en-US"/>
        </w:rPr>
        <w:t xml:space="preserve">” </w:t>
      </w:r>
    </w:p>
    <w:p w14:paraId="6496A0E8" w14:textId="01A7CD56" w:rsidR="002C1EF5" w:rsidRDefault="002C1EF5" w:rsidP="00DF5DF1">
      <w:pPr>
        <w:pStyle w:val="ListParagraph"/>
        <w:snapToGrid w:val="0"/>
        <w:spacing w:after="120"/>
        <w:ind w:left="851"/>
        <w:jc w:val="both"/>
        <w:rPr>
          <w:rFonts w:ascii="Garamond" w:hAnsi="Garamond"/>
          <w:lang w:val="en-US"/>
        </w:rPr>
      </w:pPr>
    </w:p>
    <w:p w14:paraId="1D7D02AF" w14:textId="46D2F344" w:rsidR="002C1EF5" w:rsidRDefault="002C1EF5" w:rsidP="00DF5DF1">
      <w:pPr>
        <w:pStyle w:val="ListParagraph"/>
        <w:snapToGrid w:val="0"/>
        <w:spacing w:after="120"/>
        <w:ind w:left="851"/>
        <w:jc w:val="both"/>
        <w:rPr>
          <w:rFonts w:ascii="Garamond" w:hAnsi="Garamond"/>
          <w:lang w:val="en-US"/>
        </w:rPr>
      </w:pPr>
      <w:r>
        <w:rPr>
          <w:rFonts w:ascii="Garamond" w:hAnsi="Garamond"/>
          <w:lang w:val="en-US"/>
        </w:rPr>
        <w:t xml:space="preserve">Note: in the suggested formulation of sub-para 100b, the original formulation used by the Committee in the Admissibility Decision in </w:t>
      </w:r>
      <w:proofErr w:type="spellStart"/>
      <w:r>
        <w:rPr>
          <w:rFonts w:ascii="Garamond" w:hAnsi="Garamond"/>
          <w:i/>
          <w:iCs/>
          <w:lang w:val="en-US"/>
        </w:rPr>
        <w:t>Sacchi</w:t>
      </w:r>
      <w:proofErr w:type="spellEnd"/>
      <w:r>
        <w:rPr>
          <w:rFonts w:ascii="Garamond" w:hAnsi="Garamond"/>
          <w:i/>
          <w:iCs/>
          <w:lang w:val="en-US"/>
        </w:rPr>
        <w:t xml:space="preserve"> </w:t>
      </w:r>
      <w:proofErr w:type="spellStart"/>
      <w:r>
        <w:rPr>
          <w:rFonts w:ascii="Garamond" w:hAnsi="Garamond"/>
          <w:i/>
          <w:iCs/>
          <w:lang w:val="en-US"/>
        </w:rPr>
        <w:t>a.o.</w:t>
      </w:r>
      <w:proofErr w:type="spellEnd"/>
      <w:r>
        <w:rPr>
          <w:rFonts w:ascii="Garamond" w:hAnsi="Garamond"/>
          <w:i/>
          <w:iCs/>
          <w:lang w:val="en-US"/>
        </w:rPr>
        <w:t xml:space="preserve"> v A. </w:t>
      </w:r>
      <w:r w:rsidR="001B0A9C">
        <w:rPr>
          <w:rFonts w:ascii="Garamond" w:hAnsi="Garamond"/>
          <w:lang w:val="en-US"/>
        </w:rPr>
        <w:t>par 10.11</w:t>
      </w:r>
      <w:r w:rsidR="005B17C1">
        <w:rPr>
          <w:rFonts w:ascii="Garamond" w:hAnsi="Garamond"/>
          <w:lang w:val="en-US"/>
        </w:rPr>
        <w:t xml:space="preserve"> (and equivalent paras in the other decisions) </w:t>
      </w:r>
      <w:r w:rsidR="001B0A9C">
        <w:rPr>
          <w:rFonts w:ascii="Garamond" w:hAnsi="Garamond"/>
          <w:lang w:val="en-US"/>
        </w:rPr>
        <w:t xml:space="preserve">has been adjusted to render it more general and ‘neutral’, emphasizing the specific </w:t>
      </w:r>
      <w:r w:rsidR="005B17C1">
        <w:rPr>
          <w:rFonts w:ascii="Garamond" w:hAnsi="Garamond"/>
          <w:lang w:val="en-US"/>
        </w:rPr>
        <w:t xml:space="preserve">facts and </w:t>
      </w:r>
      <w:r w:rsidR="001B0A9C">
        <w:rPr>
          <w:rFonts w:ascii="Garamond" w:hAnsi="Garamond"/>
          <w:lang w:val="en-US"/>
        </w:rPr>
        <w:t>circumstances of each</w:t>
      </w:r>
      <w:r w:rsidR="005B17C1">
        <w:rPr>
          <w:rFonts w:ascii="Garamond" w:hAnsi="Garamond"/>
          <w:lang w:val="en-US"/>
        </w:rPr>
        <w:t xml:space="preserve"> situation. </w:t>
      </w:r>
      <w:r w:rsidR="001B0A9C">
        <w:rPr>
          <w:rFonts w:ascii="Garamond" w:hAnsi="Garamond"/>
          <w:lang w:val="en-US"/>
        </w:rPr>
        <w:t xml:space="preserve"> </w:t>
      </w:r>
      <w:r>
        <w:rPr>
          <w:rFonts w:ascii="Garamond" w:hAnsi="Garamond"/>
          <w:lang w:val="en-US"/>
        </w:rPr>
        <w:t xml:space="preserve"> </w:t>
      </w:r>
    </w:p>
    <w:p w14:paraId="2B5FA743" w14:textId="0FA078EE" w:rsidR="004206FB" w:rsidRDefault="004206FB" w:rsidP="004206FB">
      <w:pPr>
        <w:pStyle w:val="ListParagraph"/>
        <w:snapToGrid w:val="0"/>
        <w:spacing w:after="120"/>
        <w:ind w:left="1146"/>
        <w:jc w:val="both"/>
        <w:rPr>
          <w:rFonts w:ascii="Garamond" w:hAnsi="Garamond"/>
          <w:lang w:val="en-US"/>
        </w:rPr>
      </w:pPr>
    </w:p>
    <w:p w14:paraId="16E03DF9" w14:textId="77777777" w:rsidR="00815227" w:rsidRPr="00EC7F52" w:rsidRDefault="00815227" w:rsidP="00560405">
      <w:pPr>
        <w:pStyle w:val="ListParagraph"/>
        <w:snapToGrid w:val="0"/>
        <w:spacing w:after="120"/>
        <w:ind w:left="1800"/>
        <w:jc w:val="both"/>
        <w:rPr>
          <w:rFonts w:ascii="Garamond" w:hAnsi="Garamond"/>
          <w:i/>
          <w:iCs/>
          <w:lang w:val="en-US"/>
        </w:rPr>
      </w:pPr>
    </w:p>
    <w:p w14:paraId="5733A855" w14:textId="2E26419F" w:rsidR="00C87D15" w:rsidRPr="00EC7F52" w:rsidRDefault="005E13C0" w:rsidP="00333DBF">
      <w:pPr>
        <w:pStyle w:val="ListParagraph"/>
        <w:numPr>
          <w:ilvl w:val="0"/>
          <w:numId w:val="1"/>
        </w:numPr>
        <w:snapToGrid w:val="0"/>
        <w:spacing w:after="120"/>
        <w:ind w:left="426" w:hanging="426"/>
        <w:contextualSpacing w:val="0"/>
        <w:jc w:val="both"/>
        <w:rPr>
          <w:rFonts w:ascii="Garamond" w:hAnsi="Garamond"/>
          <w:lang w:val="en-US"/>
        </w:rPr>
      </w:pPr>
      <w:r w:rsidRPr="00EC7F52">
        <w:rPr>
          <w:rFonts w:ascii="Garamond" w:hAnsi="Garamond"/>
          <w:b/>
          <w:bCs/>
          <w:lang w:val="en-US"/>
        </w:rPr>
        <w:t>Para 10</w:t>
      </w:r>
      <w:r w:rsidR="00C87D15" w:rsidRPr="00EC7F52">
        <w:rPr>
          <w:rFonts w:ascii="Garamond" w:hAnsi="Garamond"/>
          <w:b/>
          <w:bCs/>
          <w:lang w:val="en-US"/>
        </w:rPr>
        <w:t>9</w:t>
      </w:r>
      <w:r w:rsidR="00C87D15" w:rsidRPr="00EC7F52">
        <w:rPr>
          <w:rFonts w:ascii="Garamond" w:hAnsi="Garamond"/>
          <w:lang w:val="en-US"/>
        </w:rPr>
        <w:t xml:space="preserve">: </w:t>
      </w:r>
      <w:r w:rsidR="00182521">
        <w:rPr>
          <w:rFonts w:ascii="Garamond" w:hAnsi="Garamond"/>
          <w:lang w:val="en-US"/>
        </w:rPr>
        <w:t>T</w:t>
      </w:r>
      <w:r w:rsidR="00A744E6">
        <w:rPr>
          <w:rFonts w:ascii="Garamond" w:hAnsi="Garamond"/>
          <w:lang w:val="en-US"/>
        </w:rPr>
        <w:t xml:space="preserve">he </w:t>
      </w:r>
      <w:r w:rsidR="00C87D15" w:rsidRPr="00EC7F52">
        <w:rPr>
          <w:rFonts w:ascii="Garamond" w:hAnsi="Garamond"/>
          <w:lang w:val="en-US"/>
        </w:rPr>
        <w:t xml:space="preserve">following sentence </w:t>
      </w:r>
      <w:r w:rsidR="008B303C">
        <w:rPr>
          <w:rFonts w:ascii="Garamond" w:hAnsi="Garamond"/>
          <w:lang w:val="en-US"/>
        </w:rPr>
        <w:t>should</w:t>
      </w:r>
      <w:r w:rsidR="00C87D15" w:rsidRPr="00EC7F52">
        <w:rPr>
          <w:rFonts w:ascii="Garamond" w:hAnsi="Garamond"/>
          <w:lang w:val="en-US"/>
        </w:rPr>
        <w:t xml:space="preserve"> be corrected:</w:t>
      </w:r>
    </w:p>
    <w:p w14:paraId="2AB169EB" w14:textId="344F6347" w:rsidR="005E13C0" w:rsidRPr="007B3F83" w:rsidRDefault="00C87D15" w:rsidP="004206FB">
      <w:pPr>
        <w:pStyle w:val="ListParagraph"/>
        <w:ind w:left="426"/>
        <w:jc w:val="both"/>
        <w:rPr>
          <w:rFonts w:ascii="Garamond" w:hAnsi="Garamond"/>
          <w:i/>
          <w:iCs/>
          <w:u w:val="single"/>
          <w:lang w:val="en-US"/>
        </w:rPr>
      </w:pPr>
      <w:r w:rsidRPr="00EC7F52">
        <w:rPr>
          <w:rFonts w:ascii="Garamond" w:hAnsi="Garamond"/>
          <w:i/>
          <w:iCs/>
          <w:lang w:val="en-US"/>
        </w:rPr>
        <w:t xml:space="preserve"> </w:t>
      </w:r>
      <w:r w:rsidRPr="00EC7F52">
        <w:rPr>
          <w:rFonts w:ascii="Garamond" w:hAnsi="Garamond"/>
          <w:lang w:val="en-US"/>
        </w:rPr>
        <w:t>“Insufficient progress in achieving international commitments to limit global warming</w:t>
      </w:r>
      <w:r w:rsidRPr="00EC7F52">
        <w:rPr>
          <w:rFonts w:ascii="Garamond" w:hAnsi="Garamond"/>
          <w:u w:val="single"/>
          <w:lang w:val="en-US"/>
        </w:rPr>
        <w:t xml:space="preserve"> to pre-industrial levels</w:t>
      </w:r>
      <w:r w:rsidRPr="00EC7F52">
        <w:rPr>
          <w:rFonts w:ascii="Garamond" w:hAnsi="Garamond"/>
          <w:lang w:val="en-US"/>
        </w:rPr>
        <w:t xml:space="preserve"> exposes children to the significant threats to their rights associated with greater concentrations of greenhouse gas emissions and correlative temperature increases.”</w:t>
      </w:r>
      <w:r w:rsidR="00A744E6">
        <w:rPr>
          <w:rFonts w:ascii="Garamond" w:hAnsi="Garamond"/>
          <w:lang w:val="en-US"/>
        </w:rPr>
        <w:t xml:space="preserve"> </w:t>
      </w:r>
      <w:r w:rsidR="007B3F83" w:rsidRPr="007B3F83">
        <w:rPr>
          <w:rFonts w:ascii="Garamond" w:hAnsi="Garamond"/>
          <w:i/>
          <w:iCs/>
          <w:lang w:val="en-US"/>
        </w:rPr>
        <w:t>(</w:t>
      </w:r>
      <w:r w:rsidR="007B3F83">
        <w:rPr>
          <w:rFonts w:ascii="Garamond" w:hAnsi="Garamond"/>
          <w:i/>
          <w:iCs/>
          <w:u w:val="single"/>
          <w:lang w:val="en-US"/>
        </w:rPr>
        <w:t>E</w:t>
      </w:r>
      <w:r w:rsidR="007B3F83" w:rsidRPr="007B3F83">
        <w:rPr>
          <w:rFonts w:ascii="Garamond" w:hAnsi="Garamond"/>
          <w:i/>
          <w:iCs/>
          <w:u w:val="single"/>
          <w:lang w:val="en-US"/>
        </w:rPr>
        <w:t xml:space="preserve">mphasis </w:t>
      </w:r>
      <w:r w:rsidR="007B3F83" w:rsidRPr="007B3F83">
        <w:rPr>
          <w:rFonts w:ascii="Garamond" w:hAnsi="Garamond"/>
          <w:i/>
          <w:iCs/>
          <w:lang w:val="en-US"/>
        </w:rPr>
        <w:t>added</w:t>
      </w:r>
      <w:r w:rsidR="007B3F83" w:rsidRPr="007B3F83">
        <w:rPr>
          <w:rFonts w:ascii="Garamond" w:hAnsi="Garamond"/>
          <w:i/>
          <w:iCs/>
          <w:u w:val="single"/>
          <w:lang w:val="en-US"/>
        </w:rPr>
        <w:t>)</w:t>
      </w:r>
    </w:p>
    <w:p w14:paraId="3F2111FF" w14:textId="72BC3142" w:rsidR="00C87D15" w:rsidRPr="00EC7F52" w:rsidRDefault="00C87D15" w:rsidP="004206FB">
      <w:pPr>
        <w:pStyle w:val="ListParagraph"/>
        <w:ind w:left="426"/>
        <w:jc w:val="both"/>
        <w:rPr>
          <w:rFonts w:ascii="Garamond" w:hAnsi="Garamond"/>
          <w:lang w:val="en-US"/>
        </w:rPr>
      </w:pPr>
    </w:p>
    <w:p w14:paraId="102B8F9E" w14:textId="176BD1B8" w:rsidR="008313A3" w:rsidRPr="00EC7F52" w:rsidRDefault="002D596C" w:rsidP="004206FB">
      <w:pPr>
        <w:pStyle w:val="ListParagraph"/>
        <w:ind w:left="426"/>
        <w:jc w:val="both"/>
        <w:rPr>
          <w:rFonts w:ascii="Garamond" w:hAnsi="Garamond"/>
          <w:lang w:val="en-US"/>
        </w:rPr>
      </w:pPr>
      <w:r>
        <w:rPr>
          <w:rFonts w:ascii="Garamond" w:hAnsi="Garamond"/>
          <w:lang w:val="en-US"/>
        </w:rPr>
        <w:t>In fact, t</w:t>
      </w:r>
      <w:r w:rsidR="008313A3" w:rsidRPr="00EC7F52">
        <w:rPr>
          <w:rFonts w:ascii="Garamond" w:hAnsi="Garamond"/>
          <w:lang w:val="en-US"/>
        </w:rPr>
        <w:t xml:space="preserve">here is no international commitment to “limit global warming to pre-industrial levels”, but rather to “keep global warming within the limits set forth in the Paris Agreement”. </w:t>
      </w:r>
      <w:r w:rsidR="000D6F9F" w:rsidRPr="00EC7F52">
        <w:rPr>
          <w:rFonts w:ascii="Garamond" w:hAnsi="Garamond"/>
          <w:lang w:val="en-US"/>
        </w:rPr>
        <w:t xml:space="preserve">The sentence should be corrected accordingly. </w:t>
      </w:r>
    </w:p>
    <w:p w14:paraId="03E18205" w14:textId="3DD4D941" w:rsidR="00954C36" w:rsidRDefault="00954C36" w:rsidP="00560405">
      <w:pPr>
        <w:jc w:val="both"/>
        <w:rPr>
          <w:rFonts w:ascii="Garamond" w:hAnsi="Garamond"/>
          <w:lang w:val="en-US"/>
        </w:rPr>
      </w:pPr>
    </w:p>
    <w:p w14:paraId="7594623A" w14:textId="77777777" w:rsidR="00954C36" w:rsidRPr="00EC7F52" w:rsidRDefault="00954C36" w:rsidP="00560405">
      <w:pPr>
        <w:jc w:val="both"/>
        <w:rPr>
          <w:rFonts w:ascii="Garamond" w:hAnsi="Garamond"/>
          <w:lang w:val="en-US"/>
        </w:rPr>
      </w:pPr>
    </w:p>
    <w:p w14:paraId="77A7BF0D" w14:textId="7AD8A2AD" w:rsidR="007B3F83" w:rsidRDefault="00160B58" w:rsidP="004206FB">
      <w:pPr>
        <w:pStyle w:val="ListParagraph"/>
        <w:numPr>
          <w:ilvl w:val="0"/>
          <w:numId w:val="1"/>
        </w:numPr>
        <w:snapToGrid w:val="0"/>
        <w:spacing w:after="120"/>
        <w:ind w:left="426" w:hanging="426"/>
        <w:contextualSpacing w:val="0"/>
        <w:jc w:val="both"/>
        <w:rPr>
          <w:rFonts w:ascii="Garamond" w:hAnsi="Garamond"/>
          <w:lang w:val="en-US"/>
        </w:rPr>
      </w:pPr>
      <w:r w:rsidRPr="00EC7F52">
        <w:rPr>
          <w:rFonts w:ascii="Garamond" w:hAnsi="Garamond"/>
          <w:b/>
          <w:bCs/>
          <w:lang w:val="en-US"/>
        </w:rPr>
        <w:t>Para 111(e):</w:t>
      </w:r>
      <w:r w:rsidRPr="00EC7F52">
        <w:rPr>
          <w:rFonts w:ascii="Garamond" w:hAnsi="Garamond"/>
          <w:lang w:val="en-US"/>
        </w:rPr>
        <w:t xml:space="preserve"> Th</w:t>
      </w:r>
      <w:r w:rsidR="002A4904" w:rsidRPr="00EC7F52">
        <w:rPr>
          <w:rFonts w:ascii="Garamond" w:hAnsi="Garamond"/>
          <w:lang w:val="en-US"/>
        </w:rPr>
        <w:t>is paragraph should</w:t>
      </w:r>
      <w:r w:rsidR="00A6048D" w:rsidRPr="00EC7F52">
        <w:rPr>
          <w:rFonts w:ascii="Garamond" w:hAnsi="Garamond"/>
          <w:lang w:val="en-US"/>
        </w:rPr>
        <w:t>, I my view, be rephrased</w:t>
      </w:r>
      <w:r w:rsidR="002A4904" w:rsidRPr="00EC7F52">
        <w:rPr>
          <w:rFonts w:ascii="Garamond" w:hAnsi="Garamond"/>
          <w:lang w:val="en-US"/>
        </w:rPr>
        <w:t xml:space="preserve">. </w:t>
      </w:r>
      <w:r w:rsidR="007B3F83">
        <w:rPr>
          <w:rFonts w:ascii="Garamond" w:hAnsi="Garamond"/>
          <w:lang w:val="en-US"/>
        </w:rPr>
        <w:t>It now reads:</w:t>
      </w:r>
    </w:p>
    <w:p w14:paraId="715C6CC6" w14:textId="0D522C7C" w:rsidR="007B3F83" w:rsidRPr="00333DBF" w:rsidRDefault="00333DBF" w:rsidP="004206FB">
      <w:pPr>
        <w:pStyle w:val="ListParagraph"/>
        <w:snapToGrid w:val="0"/>
        <w:spacing w:after="120"/>
        <w:ind w:left="426"/>
        <w:contextualSpacing w:val="0"/>
        <w:jc w:val="both"/>
        <w:rPr>
          <w:rFonts w:ascii="Garamond" w:hAnsi="Garamond"/>
          <w:lang w:val="en-US"/>
        </w:rPr>
      </w:pPr>
      <w:r>
        <w:rPr>
          <w:rFonts w:ascii="Garamond" w:hAnsi="Garamond"/>
          <w:lang w:val="en-US"/>
        </w:rPr>
        <w:t>“</w:t>
      </w:r>
      <w:r w:rsidRPr="00333DBF">
        <w:rPr>
          <w:rFonts w:ascii="Garamond" w:hAnsi="Garamond"/>
          <w:lang w:val="en-US"/>
        </w:rPr>
        <w:t>(e)</w:t>
      </w:r>
      <w:r w:rsidRPr="00333DBF">
        <w:rPr>
          <w:rFonts w:ascii="Garamond" w:hAnsi="Garamond"/>
          <w:lang w:val="en-US"/>
        </w:rPr>
        <w:tab/>
        <w:t xml:space="preserve">Mitigation measures should not rely only on negative emissions to remove carbon dioxide from the atmosphere. States should also take measures to reduce emissions now </w:t>
      </w:r>
      <w:proofErr w:type="gramStart"/>
      <w:r w:rsidRPr="00333DBF">
        <w:rPr>
          <w:rFonts w:ascii="Garamond" w:hAnsi="Garamond"/>
          <w:lang w:val="en-US"/>
        </w:rPr>
        <w:t>in order to</w:t>
      </w:r>
      <w:proofErr w:type="gramEnd"/>
      <w:r w:rsidRPr="00333DBF">
        <w:rPr>
          <w:rFonts w:ascii="Garamond" w:hAnsi="Garamond"/>
          <w:lang w:val="en-US"/>
        </w:rPr>
        <w:t xml:space="preserve"> support children in full enjoyment of their environment-related rights in the shortest possible period of time.</w:t>
      </w:r>
      <w:r>
        <w:rPr>
          <w:rFonts w:ascii="Garamond" w:hAnsi="Garamond"/>
          <w:lang w:val="en-US"/>
        </w:rPr>
        <w:t>”</w:t>
      </w:r>
      <w:r w:rsidRPr="00333DBF">
        <w:rPr>
          <w:rFonts w:ascii="Garamond" w:hAnsi="Garamond"/>
          <w:lang w:val="en-US"/>
        </w:rPr>
        <w:t xml:space="preserve">  </w:t>
      </w:r>
    </w:p>
    <w:p w14:paraId="3FA33350" w14:textId="63A9B520" w:rsidR="002A4904" w:rsidRPr="00EC7F52" w:rsidRDefault="00A05534" w:rsidP="004206FB">
      <w:pPr>
        <w:pStyle w:val="ListParagraph"/>
        <w:snapToGrid w:val="0"/>
        <w:spacing w:after="120"/>
        <w:ind w:left="426"/>
        <w:contextualSpacing w:val="0"/>
        <w:jc w:val="both"/>
        <w:rPr>
          <w:rFonts w:ascii="Garamond" w:hAnsi="Garamond"/>
          <w:lang w:val="en-US"/>
        </w:rPr>
      </w:pPr>
      <w:r>
        <w:rPr>
          <w:rFonts w:ascii="Garamond" w:hAnsi="Garamond"/>
          <w:lang w:val="en-US"/>
        </w:rPr>
        <w:t>However, in practice</w:t>
      </w:r>
      <w:r w:rsidR="002A4904" w:rsidRPr="00EC7F52">
        <w:rPr>
          <w:rFonts w:ascii="Garamond" w:hAnsi="Garamond"/>
          <w:lang w:val="en-US"/>
        </w:rPr>
        <w:t xml:space="preserve">, most mitigation measures are already aimed at reducing emissions, and much less </w:t>
      </w:r>
      <w:r w:rsidR="004E0353" w:rsidRPr="00EC7F52">
        <w:rPr>
          <w:rFonts w:ascii="Garamond" w:hAnsi="Garamond"/>
          <w:lang w:val="en-US"/>
        </w:rPr>
        <w:t xml:space="preserve">(and certainly not “only”) </w:t>
      </w:r>
      <w:r w:rsidR="002A4904" w:rsidRPr="00EC7F52">
        <w:rPr>
          <w:rFonts w:ascii="Garamond" w:hAnsi="Garamond"/>
          <w:lang w:val="en-US"/>
        </w:rPr>
        <w:t xml:space="preserve">on measures to remove carbon dioxide from the atmosphere. </w:t>
      </w:r>
      <w:r>
        <w:rPr>
          <w:rFonts w:ascii="Garamond" w:hAnsi="Garamond"/>
          <w:lang w:val="en-US"/>
        </w:rPr>
        <w:t>Therefore, I suggest rephrasing it as follows:</w:t>
      </w:r>
      <w:r w:rsidR="002A4904" w:rsidRPr="00EC7F52">
        <w:rPr>
          <w:rFonts w:ascii="Garamond" w:hAnsi="Garamond"/>
          <w:lang w:val="en-US"/>
        </w:rPr>
        <w:t xml:space="preserve"> </w:t>
      </w:r>
    </w:p>
    <w:p w14:paraId="64AE0DA6" w14:textId="426D49A8" w:rsidR="00420A6B" w:rsidRPr="00EC7F52" w:rsidRDefault="00B40D0A" w:rsidP="004206FB">
      <w:pPr>
        <w:pStyle w:val="ListParagraph"/>
        <w:snapToGrid w:val="0"/>
        <w:spacing w:after="120"/>
        <w:ind w:left="426"/>
        <w:contextualSpacing w:val="0"/>
        <w:jc w:val="both"/>
        <w:rPr>
          <w:rFonts w:ascii="Garamond" w:hAnsi="Garamond"/>
          <w:lang w:val="en-US"/>
        </w:rPr>
      </w:pPr>
      <w:r w:rsidRPr="00EC7F52">
        <w:rPr>
          <w:rFonts w:ascii="Garamond" w:hAnsi="Garamond"/>
          <w:lang w:val="en-US"/>
        </w:rPr>
        <w:t xml:space="preserve">“(e) Mitigation measures should not </w:t>
      </w:r>
      <w:r w:rsidRPr="00333DBF">
        <w:rPr>
          <w:rFonts w:ascii="Garamond" w:hAnsi="Garamond"/>
          <w:u w:val="single"/>
          <w:lang w:val="en-US"/>
        </w:rPr>
        <w:t>excessively</w:t>
      </w:r>
      <w:r w:rsidRPr="00EC7F52">
        <w:rPr>
          <w:rFonts w:ascii="Garamond" w:hAnsi="Garamond"/>
          <w:i/>
          <w:iCs/>
          <w:lang w:val="en-US"/>
        </w:rPr>
        <w:t xml:space="preserve"> </w:t>
      </w:r>
      <w:r w:rsidRPr="00EC7F52">
        <w:rPr>
          <w:rFonts w:ascii="Garamond" w:hAnsi="Garamond"/>
          <w:lang w:val="en-US"/>
        </w:rPr>
        <w:t xml:space="preserve">rely on negative emissions </w:t>
      </w:r>
      <w:r w:rsidRPr="00333DBF">
        <w:rPr>
          <w:rFonts w:ascii="Garamond" w:hAnsi="Garamond"/>
          <w:u w:val="single"/>
          <w:lang w:val="en-US"/>
        </w:rPr>
        <w:t>by removing</w:t>
      </w:r>
      <w:r w:rsidRPr="00EC7F52">
        <w:rPr>
          <w:rFonts w:ascii="Garamond" w:hAnsi="Garamond"/>
          <w:lang w:val="en-US"/>
        </w:rPr>
        <w:t xml:space="preserve"> carbon dioxide from the atmosphere. States should </w:t>
      </w:r>
      <w:r w:rsidRPr="00333DBF">
        <w:rPr>
          <w:rFonts w:ascii="Garamond" w:hAnsi="Garamond"/>
          <w:u w:val="single"/>
          <w:lang w:val="en-US"/>
        </w:rPr>
        <w:t>step up their efforts</w:t>
      </w:r>
      <w:r w:rsidRPr="00EC7F52">
        <w:rPr>
          <w:rFonts w:ascii="Garamond" w:hAnsi="Garamond"/>
          <w:lang w:val="en-US"/>
        </w:rPr>
        <w:t xml:space="preserve"> to reduce emissions now </w:t>
      </w:r>
      <w:proofErr w:type="gramStart"/>
      <w:r w:rsidRPr="00EC7F52">
        <w:rPr>
          <w:rFonts w:ascii="Garamond" w:hAnsi="Garamond"/>
          <w:lang w:val="en-US"/>
        </w:rPr>
        <w:t>in order to</w:t>
      </w:r>
      <w:proofErr w:type="gramEnd"/>
      <w:r w:rsidRPr="00EC7F52">
        <w:rPr>
          <w:rFonts w:ascii="Garamond" w:hAnsi="Garamond"/>
          <w:lang w:val="en-US"/>
        </w:rPr>
        <w:t xml:space="preserve"> support children in </w:t>
      </w:r>
      <w:r w:rsidRPr="00A05534">
        <w:rPr>
          <w:rFonts w:ascii="Garamond" w:hAnsi="Garamond"/>
          <w:lang w:val="en-US"/>
        </w:rPr>
        <w:t>their</w:t>
      </w:r>
      <w:r w:rsidRPr="00EC7F52">
        <w:rPr>
          <w:rFonts w:ascii="Garamond" w:hAnsi="Garamond"/>
          <w:i/>
          <w:iCs/>
          <w:lang w:val="en-US"/>
        </w:rPr>
        <w:t xml:space="preserve"> </w:t>
      </w:r>
      <w:r w:rsidRPr="00EC7F52">
        <w:rPr>
          <w:rFonts w:ascii="Garamond" w:hAnsi="Garamond"/>
          <w:lang w:val="en-US"/>
        </w:rPr>
        <w:t>full enjoyment of their environment-related rights in the shortest possible period of time.</w:t>
      </w:r>
      <w:r w:rsidR="00DD0C8C" w:rsidRPr="00EC7F52">
        <w:rPr>
          <w:rFonts w:ascii="Garamond" w:hAnsi="Garamond"/>
          <w:lang w:val="en-US"/>
        </w:rPr>
        <w:t>”</w:t>
      </w:r>
      <w:r w:rsidRPr="00EC7F52">
        <w:rPr>
          <w:rFonts w:ascii="Garamond" w:hAnsi="Garamond"/>
          <w:lang w:val="en-US"/>
        </w:rPr>
        <w:t xml:space="preserve">  </w:t>
      </w:r>
    </w:p>
    <w:p w14:paraId="13BBEC2D" w14:textId="77777777" w:rsidR="006F5524" w:rsidRPr="00EC7F52" w:rsidRDefault="006F5524" w:rsidP="00560405">
      <w:pPr>
        <w:pStyle w:val="ListParagraph"/>
        <w:jc w:val="both"/>
        <w:rPr>
          <w:rFonts w:ascii="Garamond" w:hAnsi="Garamond"/>
          <w:lang w:val="en-US"/>
        </w:rPr>
      </w:pPr>
    </w:p>
    <w:p w14:paraId="6F0B5F45" w14:textId="56C069A4" w:rsidR="006538CB" w:rsidRDefault="00834B4D" w:rsidP="00560405">
      <w:pPr>
        <w:jc w:val="both"/>
        <w:rPr>
          <w:rFonts w:ascii="Garamond" w:hAnsi="Garamond"/>
          <w:lang w:val="en-US"/>
        </w:rPr>
      </w:pPr>
      <w:r>
        <w:rPr>
          <w:rFonts w:ascii="Garamond" w:hAnsi="Garamond"/>
          <w:lang w:val="en-US"/>
        </w:rPr>
        <w:t>Thank you for your consideration.</w:t>
      </w:r>
    </w:p>
    <w:p w14:paraId="2EA1ABAB" w14:textId="0B4398F7" w:rsidR="00834B4D" w:rsidRDefault="00834B4D" w:rsidP="00560405">
      <w:pPr>
        <w:jc w:val="both"/>
        <w:rPr>
          <w:rFonts w:ascii="Garamond" w:hAnsi="Garamond"/>
          <w:lang w:val="en-US"/>
        </w:rPr>
      </w:pPr>
    </w:p>
    <w:p w14:paraId="3B4FE70A" w14:textId="5CF197F8" w:rsidR="00834B4D" w:rsidRDefault="00834B4D" w:rsidP="00560405">
      <w:pPr>
        <w:jc w:val="both"/>
        <w:rPr>
          <w:rFonts w:ascii="Garamond" w:hAnsi="Garamond"/>
          <w:lang w:val="en-US"/>
        </w:rPr>
      </w:pPr>
      <w:r>
        <w:rPr>
          <w:rFonts w:ascii="Garamond" w:hAnsi="Garamond"/>
          <w:lang w:val="en-US"/>
        </w:rPr>
        <w:t>Sincerely yours,</w:t>
      </w:r>
    </w:p>
    <w:p w14:paraId="3B5FE4ED" w14:textId="166827C1" w:rsidR="00834B4D" w:rsidRDefault="00C3169F" w:rsidP="00560405">
      <w:pPr>
        <w:jc w:val="both"/>
        <w:rPr>
          <w:rFonts w:ascii="Garamond" w:hAnsi="Garamond"/>
          <w:lang w:val="en-US"/>
        </w:rPr>
      </w:pPr>
      <w:r w:rsidRPr="000F3328">
        <w:rPr>
          <w:rFonts w:ascii="Times New Roman" w:hAnsi="Times New Roman"/>
          <w:noProof/>
        </w:rPr>
        <w:drawing>
          <wp:inline distT="0" distB="0" distL="0" distR="0" wp14:anchorId="34C9E27E" wp14:editId="4002CB46">
            <wp:extent cx="973455" cy="406400"/>
            <wp:effectExtent l="0" t="0" r="0" b="0"/>
            <wp:docPr id="1" name="Picture 1"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ap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3455" cy="406400"/>
                    </a:xfrm>
                    <a:prstGeom prst="rect">
                      <a:avLst/>
                    </a:prstGeom>
                    <a:noFill/>
                    <a:ln>
                      <a:noFill/>
                    </a:ln>
                  </pic:spPr>
                </pic:pic>
              </a:graphicData>
            </a:graphic>
          </wp:inline>
        </w:drawing>
      </w:r>
    </w:p>
    <w:p w14:paraId="2E32250B" w14:textId="57B34B09" w:rsidR="006538CB" w:rsidRDefault="006B3337" w:rsidP="00560405">
      <w:pPr>
        <w:jc w:val="both"/>
        <w:rPr>
          <w:rFonts w:ascii="Garamond" w:hAnsi="Garamond"/>
          <w:lang w:val="en-US"/>
        </w:rPr>
      </w:pPr>
      <w:r>
        <w:rPr>
          <w:rFonts w:ascii="Garamond" w:hAnsi="Garamond"/>
          <w:lang w:val="en-US"/>
        </w:rPr>
        <w:t xml:space="preserve">Dr </w:t>
      </w:r>
      <w:r w:rsidR="00834B4D">
        <w:rPr>
          <w:rFonts w:ascii="Garamond" w:hAnsi="Garamond"/>
          <w:lang w:val="en-US"/>
        </w:rPr>
        <w:t xml:space="preserve">Christine </w:t>
      </w:r>
      <w:r w:rsidR="00C3169F">
        <w:rPr>
          <w:rFonts w:ascii="Garamond" w:hAnsi="Garamond"/>
          <w:lang w:val="en-US"/>
        </w:rPr>
        <w:t xml:space="preserve">A.E. </w:t>
      </w:r>
      <w:r w:rsidR="00834B4D">
        <w:rPr>
          <w:rFonts w:ascii="Garamond" w:hAnsi="Garamond"/>
          <w:lang w:val="en-US"/>
        </w:rPr>
        <w:t>Bakker</w:t>
      </w:r>
    </w:p>
    <w:p w14:paraId="41EC1859" w14:textId="0C4DD90E" w:rsidR="003E2602" w:rsidRPr="00EC7F52" w:rsidRDefault="003E2602" w:rsidP="00560405">
      <w:pPr>
        <w:jc w:val="both"/>
        <w:rPr>
          <w:rFonts w:ascii="Garamond" w:hAnsi="Garamond"/>
          <w:lang w:val="en-US"/>
        </w:rPr>
      </w:pPr>
    </w:p>
    <w:sectPr w:rsidR="003E2602" w:rsidRPr="00EC7F52">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24A7" w14:textId="77777777" w:rsidR="000F6CCB" w:rsidRDefault="000F6CCB" w:rsidP="004206FB">
      <w:r>
        <w:separator/>
      </w:r>
    </w:p>
  </w:endnote>
  <w:endnote w:type="continuationSeparator" w:id="0">
    <w:p w14:paraId="0BE495BE" w14:textId="77777777" w:rsidR="000F6CCB" w:rsidRDefault="000F6CCB" w:rsidP="0042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0114959"/>
      <w:docPartObj>
        <w:docPartGallery w:val="Page Numbers (Bottom of Page)"/>
        <w:docPartUnique/>
      </w:docPartObj>
    </w:sdtPr>
    <w:sdtContent>
      <w:p w14:paraId="48015A44" w14:textId="0ED99703" w:rsidR="004206FB" w:rsidRDefault="004206FB" w:rsidP="001658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D3B1C" w14:textId="77777777" w:rsidR="004206FB" w:rsidRDefault="00420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4985380"/>
      <w:docPartObj>
        <w:docPartGallery w:val="Page Numbers (Bottom of Page)"/>
        <w:docPartUnique/>
      </w:docPartObj>
    </w:sdtPr>
    <w:sdtContent>
      <w:p w14:paraId="35512319" w14:textId="32118E62" w:rsidR="004206FB" w:rsidRDefault="004206FB" w:rsidP="001658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4A8EB2" w14:textId="77777777" w:rsidR="004206FB" w:rsidRDefault="0042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36D7" w14:textId="77777777" w:rsidR="000F6CCB" w:rsidRDefault="000F6CCB" w:rsidP="004206FB">
      <w:r>
        <w:separator/>
      </w:r>
    </w:p>
  </w:footnote>
  <w:footnote w:type="continuationSeparator" w:id="0">
    <w:p w14:paraId="4382E2A3" w14:textId="77777777" w:rsidR="000F6CCB" w:rsidRDefault="000F6CCB" w:rsidP="004206FB">
      <w:r>
        <w:continuationSeparator/>
      </w:r>
    </w:p>
  </w:footnote>
  <w:footnote w:id="1">
    <w:p w14:paraId="0F820875" w14:textId="5A03869D" w:rsidR="004D73C7" w:rsidRDefault="004D73C7">
      <w:pPr>
        <w:pStyle w:val="FootnoteText"/>
        <w:rPr>
          <w:rFonts w:ascii="Garamond" w:hAnsi="Garamond"/>
          <w:lang w:val="en-US"/>
        </w:rPr>
      </w:pPr>
      <w:r>
        <w:rPr>
          <w:rStyle w:val="FootnoteReference"/>
        </w:rPr>
        <w:footnoteRef/>
      </w:r>
      <w:r>
        <w:t xml:space="preserve"> </w:t>
      </w:r>
      <w:r w:rsidRPr="004D73C7">
        <w:rPr>
          <w:rFonts w:ascii="Garamond" w:hAnsi="Garamond"/>
        </w:rPr>
        <w:t>The</w:t>
      </w:r>
      <w:r w:rsidR="0094631E">
        <w:rPr>
          <w:rFonts w:ascii="Garamond" w:hAnsi="Garamond"/>
          <w:lang w:val="en-US"/>
        </w:rPr>
        <w:t>se</w:t>
      </w:r>
      <w:r w:rsidRPr="004D73C7">
        <w:rPr>
          <w:rFonts w:ascii="Garamond" w:hAnsi="Garamond"/>
        </w:rPr>
        <w:t xml:space="preserve"> </w:t>
      </w:r>
      <w:proofErr w:type="spellStart"/>
      <w:r w:rsidRPr="004D73C7">
        <w:rPr>
          <w:rFonts w:ascii="Garamond" w:hAnsi="Garamond"/>
        </w:rPr>
        <w:t>comments</w:t>
      </w:r>
      <w:proofErr w:type="spellEnd"/>
      <w:r w:rsidRPr="004D73C7">
        <w:rPr>
          <w:rFonts w:ascii="Garamond" w:hAnsi="Garamond"/>
        </w:rPr>
        <w:t xml:space="preserve"> </w:t>
      </w:r>
      <w:r w:rsidR="0094631E">
        <w:rPr>
          <w:rFonts w:ascii="Garamond" w:hAnsi="Garamond"/>
          <w:lang w:val="en-US"/>
        </w:rPr>
        <w:t xml:space="preserve">and views </w:t>
      </w:r>
      <w:proofErr w:type="spellStart"/>
      <w:r w:rsidRPr="004D73C7">
        <w:rPr>
          <w:rFonts w:ascii="Garamond" w:hAnsi="Garamond"/>
        </w:rPr>
        <w:t>are</w:t>
      </w:r>
      <w:proofErr w:type="spellEnd"/>
      <w:r w:rsidRPr="004D73C7">
        <w:rPr>
          <w:rFonts w:ascii="Garamond" w:hAnsi="Garamond"/>
        </w:rPr>
        <w:t xml:space="preserve"> </w:t>
      </w:r>
      <w:proofErr w:type="spellStart"/>
      <w:r w:rsidRPr="004D73C7">
        <w:rPr>
          <w:rFonts w:ascii="Garamond" w:hAnsi="Garamond"/>
        </w:rPr>
        <w:t>expressed</w:t>
      </w:r>
      <w:proofErr w:type="spellEnd"/>
      <w:r w:rsidRPr="004D73C7">
        <w:rPr>
          <w:rFonts w:ascii="Garamond" w:hAnsi="Garamond"/>
        </w:rPr>
        <w:t xml:space="preserve"> </w:t>
      </w:r>
      <w:proofErr w:type="spellStart"/>
      <w:r w:rsidRPr="004D73C7">
        <w:rPr>
          <w:rFonts w:ascii="Garamond" w:hAnsi="Garamond"/>
        </w:rPr>
        <w:t>in</w:t>
      </w:r>
      <w:proofErr w:type="spellEnd"/>
      <w:r w:rsidRPr="004D73C7">
        <w:rPr>
          <w:rFonts w:ascii="Garamond" w:hAnsi="Garamond"/>
        </w:rPr>
        <w:t xml:space="preserve"> </w:t>
      </w:r>
      <w:proofErr w:type="spellStart"/>
      <w:r w:rsidRPr="004D73C7">
        <w:rPr>
          <w:rFonts w:ascii="Garamond" w:hAnsi="Garamond"/>
        </w:rPr>
        <w:t>my</w:t>
      </w:r>
      <w:proofErr w:type="spellEnd"/>
      <w:r w:rsidRPr="004D73C7">
        <w:rPr>
          <w:rFonts w:ascii="Garamond" w:hAnsi="Garamond"/>
        </w:rPr>
        <w:t xml:space="preserve"> </w:t>
      </w:r>
      <w:proofErr w:type="spellStart"/>
      <w:r w:rsidRPr="004D73C7">
        <w:rPr>
          <w:rFonts w:ascii="Garamond" w:hAnsi="Garamond"/>
        </w:rPr>
        <w:t>personal</w:t>
      </w:r>
      <w:proofErr w:type="spellEnd"/>
      <w:r w:rsidRPr="004D73C7">
        <w:rPr>
          <w:rFonts w:ascii="Garamond" w:hAnsi="Garamond"/>
        </w:rPr>
        <w:t xml:space="preserve"> </w:t>
      </w:r>
      <w:proofErr w:type="spellStart"/>
      <w:r w:rsidRPr="004D73C7">
        <w:rPr>
          <w:rFonts w:ascii="Garamond" w:hAnsi="Garamond"/>
        </w:rPr>
        <w:t>capacity</w:t>
      </w:r>
      <w:proofErr w:type="spellEnd"/>
      <w:r w:rsidRPr="004D73C7">
        <w:rPr>
          <w:rFonts w:ascii="Garamond" w:hAnsi="Garamond"/>
        </w:rPr>
        <w:t xml:space="preserve">, </w:t>
      </w:r>
      <w:proofErr w:type="spellStart"/>
      <w:r w:rsidRPr="004D73C7">
        <w:rPr>
          <w:rFonts w:ascii="Garamond" w:hAnsi="Garamond"/>
        </w:rPr>
        <w:t>based</w:t>
      </w:r>
      <w:proofErr w:type="spellEnd"/>
      <w:r w:rsidRPr="004D73C7">
        <w:rPr>
          <w:rFonts w:ascii="Garamond" w:hAnsi="Garamond"/>
        </w:rPr>
        <w:t xml:space="preserve"> </w:t>
      </w:r>
      <w:proofErr w:type="spellStart"/>
      <w:r w:rsidRPr="004D73C7">
        <w:rPr>
          <w:rFonts w:ascii="Garamond" w:hAnsi="Garamond"/>
        </w:rPr>
        <w:t>on</w:t>
      </w:r>
      <w:proofErr w:type="spellEnd"/>
      <w:r w:rsidRPr="004D73C7">
        <w:rPr>
          <w:rFonts w:ascii="Garamond" w:hAnsi="Garamond"/>
        </w:rPr>
        <w:t xml:space="preserve"> </w:t>
      </w:r>
      <w:proofErr w:type="spellStart"/>
      <w:r w:rsidRPr="004D73C7">
        <w:rPr>
          <w:rFonts w:ascii="Garamond" w:hAnsi="Garamond"/>
        </w:rPr>
        <w:t>my</w:t>
      </w:r>
      <w:proofErr w:type="spellEnd"/>
      <w:r w:rsidRPr="004D73C7">
        <w:rPr>
          <w:rFonts w:ascii="Garamond" w:hAnsi="Garamond"/>
        </w:rPr>
        <w:t xml:space="preserve"> </w:t>
      </w:r>
      <w:proofErr w:type="spellStart"/>
      <w:r w:rsidRPr="004D73C7">
        <w:rPr>
          <w:rFonts w:ascii="Garamond" w:hAnsi="Garamond"/>
        </w:rPr>
        <w:t>academic</w:t>
      </w:r>
      <w:proofErr w:type="spellEnd"/>
      <w:r w:rsidRPr="004D73C7">
        <w:rPr>
          <w:rFonts w:ascii="Garamond" w:hAnsi="Garamond"/>
        </w:rPr>
        <w:t xml:space="preserve"> </w:t>
      </w:r>
      <w:r w:rsidR="00FC5AA6">
        <w:rPr>
          <w:rFonts w:ascii="Garamond" w:hAnsi="Garamond"/>
          <w:lang w:val="en-US"/>
        </w:rPr>
        <w:t>research and publications</w:t>
      </w:r>
      <w:r w:rsidRPr="004D73C7">
        <w:rPr>
          <w:rFonts w:ascii="Garamond" w:hAnsi="Garamond"/>
        </w:rPr>
        <w:t xml:space="preserve"> </w:t>
      </w:r>
      <w:proofErr w:type="spellStart"/>
      <w:r w:rsidRPr="004D73C7">
        <w:rPr>
          <w:rFonts w:ascii="Garamond" w:hAnsi="Garamond"/>
        </w:rPr>
        <w:t>in</w:t>
      </w:r>
      <w:proofErr w:type="spellEnd"/>
      <w:r w:rsidRPr="004D73C7">
        <w:rPr>
          <w:rFonts w:ascii="Garamond" w:hAnsi="Garamond"/>
        </w:rPr>
        <w:t xml:space="preserve"> </w:t>
      </w:r>
      <w:proofErr w:type="spellStart"/>
      <w:r w:rsidRPr="004D73C7">
        <w:rPr>
          <w:rFonts w:ascii="Garamond" w:hAnsi="Garamond"/>
        </w:rPr>
        <w:t>the</w:t>
      </w:r>
      <w:proofErr w:type="spellEnd"/>
      <w:r w:rsidRPr="004D73C7">
        <w:rPr>
          <w:rFonts w:ascii="Garamond" w:hAnsi="Garamond"/>
        </w:rPr>
        <w:t xml:space="preserve"> </w:t>
      </w:r>
      <w:proofErr w:type="spellStart"/>
      <w:r w:rsidRPr="004D73C7">
        <w:rPr>
          <w:rFonts w:ascii="Garamond" w:hAnsi="Garamond"/>
        </w:rPr>
        <w:t>field</w:t>
      </w:r>
      <w:proofErr w:type="spellEnd"/>
      <w:r w:rsidR="00FC5AA6">
        <w:rPr>
          <w:rFonts w:ascii="Garamond" w:hAnsi="Garamond"/>
          <w:lang w:val="en-US"/>
        </w:rPr>
        <w:t xml:space="preserve">s of human rights, children’s rights, international environmental law and climate change, and climate litigation. For a list of these publications, see: </w:t>
      </w:r>
      <w:hyperlink r:id="rId1" w:history="1">
        <w:r w:rsidR="00FD2230" w:rsidRPr="005B174F">
          <w:rPr>
            <w:rStyle w:val="Hyperlink"/>
            <w:rFonts w:ascii="Garamond" w:hAnsi="Garamond"/>
            <w:lang w:val="en-US"/>
          </w:rPr>
          <w:t>https://www.biicl.org/people/christine-bakker</w:t>
        </w:r>
      </w:hyperlink>
    </w:p>
    <w:p w14:paraId="4BD5A65F" w14:textId="77777777" w:rsidR="00FD2230" w:rsidRPr="00FC5AA6" w:rsidRDefault="00FD2230">
      <w:pPr>
        <w:pStyle w:val="FootnoteText"/>
        <w:rPr>
          <w:rFonts w:ascii="Garamond" w:hAnsi="Garamond"/>
          <w:lang w:val="en-US"/>
        </w:rPr>
      </w:pPr>
    </w:p>
  </w:footnote>
  <w:footnote w:id="2">
    <w:p w14:paraId="37FD580F" w14:textId="77777777" w:rsidR="00954C36" w:rsidRPr="00954C36" w:rsidRDefault="002513BF" w:rsidP="00954C36">
      <w:pPr>
        <w:pStyle w:val="FootnoteText"/>
        <w:rPr>
          <w:rFonts w:ascii="Garamond" w:hAnsi="Garamond"/>
        </w:rPr>
      </w:pPr>
      <w:r w:rsidRPr="00954C36">
        <w:rPr>
          <w:rStyle w:val="FootnoteReference"/>
          <w:rFonts w:ascii="Garamond" w:hAnsi="Garamond"/>
        </w:rPr>
        <w:footnoteRef/>
      </w:r>
      <w:r w:rsidRPr="00954C36">
        <w:rPr>
          <w:rFonts w:ascii="Garamond" w:hAnsi="Garamond"/>
        </w:rPr>
        <w:t xml:space="preserve"> </w:t>
      </w:r>
      <w:r w:rsidR="00954C36" w:rsidRPr="00954C36">
        <w:rPr>
          <w:rFonts w:ascii="Garamond" w:hAnsi="Garamond"/>
        </w:rPr>
        <w:t xml:space="preserve">Joint </w:t>
      </w:r>
      <w:proofErr w:type="spellStart"/>
      <w:r w:rsidR="00954C36" w:rsidRPr="00954C36">
        <w:rPr>
          <w:rFonts w:ascii="Garamond" w:hAnsi="Garamond"/>
        </w:rPr>
        <w:t>Statement</w:t>
      </w:r>
      <w:proofErr w:type="spellEnd"/>
      <w:r w:rsidR="00954C36" w:rsidRPr="00954C36">
        <w:rPr>
          <w:rFonts w:ascii="Garamond" w:hAnsi="Garamond"/>
        </w:rPr>
        <w:t xml:space="preserve"> </w:t>
      </w:r>
      <w:proofErr w:type="spellStart"/>
      <w:r w:rsidR="00954C36" w:rsidRPr="00954C36">
        <w:rPr>
          <w:rFonts w:ascii="Garamond" w:hAnsi="Garamond"/>
        </w:rPr>
        <w:t>on</w:t>
      </w:r>
      <w:proofErr w:type="spellEnd"/>
      <w:r w:rsidR="00954C36" w:rsidRPr="00954C36">
        <w:rPr>
          <w:rFonts w:ascii="Garamond" w:hAnsi="Garamond"/>
        </w:rPr>
        <w:t xml:space="preserve"> ‘Human Rights </w:t>
      </w:r>
      <w:proofErr w:type="spellStart"/>
      <w:r w:rsidR="00954C36" w:rsidRPr="00954C36">
        <w:rPr>
          <w:rFonts w:ascii="Garamond" w:hAnsi="Garamond"/>
        </w:rPr>
        <w:t>and</w:t>
      </w:r>
      <w:proofErr w:type="spellEnd"/>
      <w:r w:rsidR="00954C36" w:rsidRPr="00954C36">
        <w:rPr>
          <w:rFonts w:ascii="Garamond" w:hAnsi="Garamond"/>
        </w:rPr>
        <w:t xml:space="preserve"> </w:t>
      </w:r>
      <w:proofErr w:type="spellStart"/>
      <w:r w:rsidR="00954C36" w:rsidRPr="00954C36">
        <w:rPr>
          <w:rFonts w:ascii="Garamond" w:hAnsi="Garamond"/>
        </w:rPr>
        <w:t>Climate</w:t>
      </w:r>
      <w:proofErr w:type="spellEnd"/>
      <w:r w:rsidR="00954C36" w:rsidRPr="00954C36">
        <w:rPr>
          <w:rFonts w:ascii="Garamond" w:hAnsi="Garamond"/>
        </w:rPr>
        <w:t xml:space="preserve"> Change’, CEDAW, CESC, CMW, CRC, CRPD, 16</w:t>
      </w:r>
    </w:p>
    <w:p w14:paraId="3258D517" w14:textId="0D2804EE" w:rsidR="002513BF" w:rsidRPr="00954C36" w:rsidRDefault="00954C36" w:rsidP="00954C36">
      <w:pPr>
        <w:pStyle w:val="FootnoteText"/>
        <w:rPr>
          <w:rFonts w:ascii="Garamond" w:hAnsi="Garamond"/>
        </w:rPr>
      </w:pPr>
      <w:proofErr w:type="spellStart"/>
      <w:r w:rsidRPr="00954C36">
        <w:rPr>
          <w:rFonts w:ascii="Garamond" w:hAnsi="Garamond"/>
        </w:rPr>
        <w:t>September</w:t>
      </w:r>
      <w:proofErr w:type="spellEnd"/>
      <w:r w:rsidRPr="00954C36">
        <w:rPr>
          <w:rFonts w:ascii="Garamond" w:hAnsi="Garamond"/>
        </w:rPr>
        <w:t xml:space="preserve"> 2019.</w:t>
      </w:r>
    </w:p>
  </w:footnote>
  <w:footnote w:id="3">
    <w:p w14:paraId="216C1623" w14:textId="1E69D23C" w:rsidR="00CF5A82" w:rsidRPr="00954C36" w:rsidRDefault="00CF5A82" w:rsidP="00CA0835">
      <w:pPr>
        <w:pStyle w:val="NormalWeb"/>
        <w:rPr>
          <w:rFonts w:ascii="Garamond" w:hAnsi="Garamond"/>
          <w:b/>
          <w:bCs/>
          <w:lang w:val="en-US"/>
        </w:rPr>
      </w:pPr>
      <w:r w:rsidRPr="00954C36">
        <w:rPr>
          <w:rStyle w:val="FootnoteReference"/>
          <w:rFonts w:ascii="Garamond" w:hAnsi="Garamond"/>
        </w:rPr>
        <w:footnoteRef/>
      </w:r>
      <w:r w:rsidRPr="00954C36">
        <w:rPr>
          <w:rFonts w:ascii="Garamond" w:hAnsi="Garamond"/>
        </w:rPr>
        <w:t xml:space="preserve"> </w:t>
      </w:r>
      <w:r w:rsidRPr="00954C36">
        <w:rPr>
          <w:rFonts w:ascii="Garamond" w:hAnsi="Garamond"/>
          <w:sz w:val="18"/>
          <w:szCs w:val="18"/>
        </w:rPr>
        <w:t xml:space="preserve">IPCC (2013) </w:t>
      </w:r>
      <w:r w:rsidRPr="00954C36">
        <w:rPr>
          <w:rFonts w:ascii="Garamond" w:hAnsi="Garamond"/>
          <w:i/>
          <w:iCs/>
          <w:sz w:val="18"/>
          <w:szCs w:val="18"/>
        </w:rPr>
        <w:t>Climate Change 2013: The Physical Science Basis. Contribution of Working Group I to the Fifth Assessment Report of the Intergovernmental Panel on Climate Change</w:t>
      </w:r>
      <w:r w:rsidR="00DD0012" w:rsidRPr="00954C36">
        <w:rPr>
          <w:rFonts w:ascii="Garamond" w:hAnsi="Garamond"/>
          <w:i/>
          <w:iCs/>
          <w:sz w:val="18"/>
          <w:szCs w:val="18"/>
          <w:lang w:val="en-US"/>
        </w:rPr>
        <w:t xml:space="preserve">; </w:t>
      </w:r>
      <w:r w:rsidRPr="00954C36">
        <w:rPr>
          <w:rFonts w:ascii="Garamond" w:hAnsi="Garamond"/>
          <w:sz w:val="18"/>
          <w:szCs w:val="18"/>
        </w:rPr>
        <w:t>IPC Special Report, ‘Global Warming of 1.5°C: Summary for Policymakers’, 2018</w:t>
      </w:r>
      <w:r w:rsidR="00DD0012" w:rsidRPr="00954C36">
        <w:rPr>
          <w:rFonts w:ascii="Garamond" w:hAnsi="Garamond"/>
          <w:sz w:val="18"/>
          <w:szCs w:val="18"/>
          <w:lang w:val="en-US"/>
        </w:rPr>
        <w:t xml:space="preserve">; </w:t>
      </w:r>
      <w:r w:rsidR="00DD0012" w:rsidRPr="00954C36">
        <w:rPr>
          <w:rFonts w:ascii="Garamond" w:hAnsi="Garamond"/>
          <w:b/>
          <w:bCs/>
          <w:sz w:val="18"/>
          <w:szCs w:val="18"/>
          <w:lang w:val="en-US"/>
        </w:rPr>
        <w:t xml:space="preserve">and IPCC (2022) </w:t>
      </w:r>
      <w:r w:rsidR="00DD0012" w:rsidRPr="00954C36">
        <w:rPr>
          <w:rFonts w:ascii="Garamond" w:hAnsi="Garamond"/>
          <w:b/>
          <w:bCs/>
          <w:i/>
          <w:iCs/>
          <w:sz w:val="18"/>
          <w:szCs w:val="18"/>
          <w:lang w:val="en-US"/>
        </w:rPr>
        <w:t>Climate Change 2022: Impacts, Adaptation and Vulnerability. Contribution of Working Group II to the Sixth Assessment Report of the Intergovernmental Panel on Climate Change</w:t>
      </w:r>
      <w:r w:rsidR="00DD0012" w:rsidRPr="00954C36">
        <w:rPr>
          <w:rFonts w:ascii="Garamond" w:hAnsi="Garamond"/>
          <w:b/>
          <w:bCs/>
          <w:sz w:val="18"/>
          <w:szCs w:val="18"/>
          <w:lang w:val="en-US"/>
        </w:rPr>
        <w:t>: Summary for Policymakers</w:t>
      </w:r>
    </w:p>
    <w:p w14:paraId="3967212B" w14:textId="4A9A0372" w:rsidR="00CF5A82" w:rsidRPr="00CF5A82" w:rsidRDefault="00CF5A82">
      <w:pPr>
        <w:pStyle w:val="FootnoteText"/>
        <w:rPr>
          <w:lang w:val="en-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25C"/>
    <w:multiLevelType w:val="hybridMultilevel"/>
    <w:tmpl w:val="2804AADA"/>
    <w:lvl w:ilvl="0" w:tplc="FFC25C68">
      <w:start w:val="1"/>
      <w:numFmt w:val="decimal"/>
      <w:lvlText w:val="%1."/>
      <w:lvlJc w:val="left"/>
      <w:pPr>
        <w:ind w:left="72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659DD"/>
    <w:multiLevelType w:val="hybridMultilevel"/>
    <w:tmpl w:val="719E5F36"/>
    <w:lvl w:ilvl="0" w:tplc="9D4E27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A0DE6"/>
    <w:multiLevelType w:val="multilevel"/>
    <w:tmpl w:val="DEE6B4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B1EC0"/>
    <w:multiLevelType w:val="hybridMultilevel"/>
    <w:tmpl w:val="AA76006A"/>
    <w:lvl w:ilvl="0" w:tplc="9D4E2742">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2360D4D"/>
    <w:multiLevelType w:val="hybridMultilevel"/>
    <w:tmpl w:val="C862F03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895926">
    <w:abstractNumId w:val="0"/>
  </w:num>
  <w:num w:numId="2" w16cid:durableId="1258977415">
    <w:abstractNumId w:val="1"/>
  </w:num>
  <w:num w:numId="3" w16cid:durableId="56562606">
    <w:abstractNumId w:val="3"/>
  </w:num>
  <w:num w:numId="4" w16cid:durableId="54478671">
    <w:abstractNumId w:val="4"/>
  </w:num>
  <w:num w:numId="5" w16cid:durableId="2082210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E"/>
    <w:rsid w:val="00046A93"/>
    <w:rsid w:val="00071F71"/>
    <w:rsid w:val="00085360"/>
    <w:rsid w:val="000D6F9F"/>
    <w:rsid w:val="000E1569"/>
    <w:rsid w:val="000F6CCB"/>
    <w:rsid w:val="00160B58"/>
    <w:rsid w:val="001618B2"/>
    <w:rsid w:val="001645CD"/>
    <w:rsid w:val="00182521"/>
    <w:rsid w:val="001B0A9C"/>
    <w:rsid w:val="001D253E"/>
    <w:rsid w:val="001F5C32"/>
    <w:rsid w:val="002102F9"/>
    <w:rsid w:val="00220BE2"/>
    <w:rsid w:val="00245E50"/>
    <w:rsid w:val="002513BF"/>
    <w:rsid w:val="002554DB"/>
    <w:rsid w:val="0027543D"/>
    <w:rsid w:val="0027772B"/>
    <w:rsid w:val="00296F0B"/>
    <w:rsid w:val="002A4904"/>
    <w:rsid w:val="002C1EF5"/>
    <w:rsid w:val="002C43C3"/>
    <w:rsid w:val="002D27B7"/>
    <w:rsid w:val="002D596C"/>
    <w:rsid w:val="002F0A13"/>
    <w:rsid w:val="00333DBF"/>
    <w:rsid w:val="003E2602"/>
    <w:rsid w:val="004206FB"/>
    <w:rsid w:val="00420A6B"/>
    <w:rsid w:val="004252E4"/>
    <w:rsid w:val="004C17A4"/>
    <w:rsid w:val="004D73C7"/>
    <w:rsid w:val="004E0353"/>
    <w:rsid w:val="005053D1"/>
    <w:rsid w:val="005253E8"/>
    <w:rsid w:val="00526EA9"/>
    <w:rsid w:val="00560405"/>
    <w:rsid w:val="00585133"/>
    <w:rsid w:val="005B17C1"/>
    <w:rsid w:val="005E13C0"/>
    <w:rsid w:val="005E1EEC"/>
    <w:rsid w:val="005E77A4"/>
    <w:rsid w:val="00631FF7"/>
    <w:rsid w:val="006538CB"/>
    <w:rsid w:val="006A6745"/>
    <w:rsid w:val="006B3337"/>
    <w:rsid w:val="006E5EEA"/>
    <w:rsid w:val="006E6C9E"/>
    <w:rsid w:val="006F5524"/>
    <w:rsid w:val="00731FA5"/>
    <w:rsid w:val="007A621B"/>
    <w:rsid w:val="007B228A"/>
    <w:rsid w:val="007B3F83"/>
    <w:rsid w:val="007C3F80"/>
    <w:rsid w:val="00815227"/>
    <w:rsid w:val="008313A3"/>
    <w:rsid w:val="00834B4D"/>
    <w:rsid w:val="008933D8"/>
    <w:rsid w:val="008B303C"/>
    <w:rsid w:val="008C1465"/>
    <w:rsid w:val="008D57B6"/>
    <w:rsid w:val="008F4605"/>
    <w:rsid w:val="00901E38"/>
    <w:rsid w:val="00902F6C"/>
    <w:rsid w:val="00926F64"/>
    <w:rsid w:val="00927E79"/>
    <w:rsid w:val="00945670"/>
    <w:rsid w:val="0094631E"/>
    <w:rsid w:val="00952BE4"/>
    <w:rsid w:val="009534F9"/>
    <w:rsid w:val="00954C36"/>
    <w:rsid w:val="0096319A"/>
    <w:rsid w:val="00993692"/>
    <w:rsid w:val="009A1F3E"/>
    <w:rsid w:val="009B7BBA"/>
    <w:rsid w:val="009F605C"/>
    <w:rsid w:val="00A05534"/>
    <w:rsid w:val="00A41398"/>
    <w:rsid w:val="00A6048D"/>
    <w:rsid w:val="00A744E6"/>
    <w:rsid w:val="00AB5A81"/>
    <w:rsid w:val="00B14FF5"/>
    <w:rsid w:val="00B40D0A"/>
    <w:rsid w:val="00B50B85"/>
    <w:rsid w:val="00B8085C"/>
    <w:rsid w:val="00BC571A"/>
    <w:rsid w:val="00C10ACA"/>
    <w:rsid w:val="00C30442"/>
    <w:rsid w:val="00C3169F"/>
    <w:rsid w:val="00C80B0B"/>
    <w:rsid w:val="00C87D15"/>
    <w:rsid w:val="00CA0835"/>
    <w:rsid w:val="00CD32CD"/>
    <w:rsid w:val="00CF5A82"/>
    <w:rsid w:val="00D13B44"/>
    <w:rsid w:val="00D35079"/>
    <w:rsid w:val="00D61D4A"/>
    <w:rsid w:val="00D6501E"/>
    <w:rsid w:val="00DD0012"/>
    <w:rsid w:val="00DD0C8C"/>
    <w:rsid w:val="00DF5DF1"/>
    <w:rsid w:val="00E50DF3"/>
    <w:rsid w:val="00EA5B24"/>
    <w:rsid w:val="00EC7F52"/>
    <w:rsid w:val="00ED084A"/>
    <w:rsid w:val="00F151F6"/>
    <w:rsid w:val="00F557B3"/>
    <w:rsid w:val="00F86714"/>
    <w:rsid w:val="00FC5AA6"/>
    <w:rsid w:val="00FD2230"/>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F833EE"/>
  <w15:chartTrackingRefBased/>
  <w15:docId w15:val="{55327A1A-C5C6-4545-A43F-EB27194A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EEC"/>
    <w:pPr>
      <w:ind w:left="720"/>
      <w:contextualSpacing/>
    </w:pPr>
  </w:style>
  <w:style w:type="paragraph" w:styleId="Footer">
    <w:name w:val="footer"/>
    <w:basedOn w:val="Normal"/>
    <w:link w:val="FooterChar"/>
    <w:uiPriority w:val="99"/>
    <w:unhideWhenUsed/>
    <w:rsid w:val="004206FB"/>
    <w:pPr>
      <w:tabs>
        <w:tab w:val="center" w:pos="4513"/>
        <w:tab w:val="right" w:pos="9026"/>
      </w:tabs>
    </w:pPr>
  </w:style>
  <w:style w:type="character" w:customStyle="1" w:styleId="FooterChar">
    <w:name w:val="Footer Char"/>
    <w:basedOn w:val="DefaultParagraphFont"/>
    <w:link w:val="Footer"/>
    <w:uiPriority w:val="99"/>
    <w:rsid w:val="004206FB"/>
  </w:style>
  <w:style w:type="character" w:styleId="PageNumber">
    <w:name w:val="page number"/>
    <w:basedOn w:val="DefaultParagraphFont"/>
    <w:uiPriority w:val="99"/>
    <w:semiHidden/>
    <w:unhideWhenUsed/>
    <w:rsid w:val="004206FB"/>
  </w:style>
  <w:style w:type="paragraph" w:styleId="FootnoteText">
    <w:name w:val="footnote text"/>
    <w:basedOn w:val="Normal"/>
    <w:link w:val="FootnoteTextChar"/>
    <w:uiPriority w:val="99"/>
    <w:semiHidden/>
    <w:unhideWhenUsed/>
    <w:rsid w:val="00CF5A82"/>
    <w:rPr>
      <w:sz w:val="20"/>
      <w:szCs w:val="20"/>
    </w:rPr>
  </w:style>
  <w:style w:type="character" w:customStyle="1" w:styleId="FootnoteTextChar">
    <w:name w:val="Footnote Text Char"/>
    <w:basedOn w:val="DefaultParagraphFont"/>
    <w:link w:val="FootnoteText"/>
    <w:uiPriority w:val="99"/>
    <w:semiHidden/>
    <w:rsid w:val="00CF5A82"/>
    <w:rPr>
      <w:sz w:val="20"/>
      <w:szCs w:val="20"/>
    </w:rPr>
  </w:style>
  <w:style w:type="character" w:styleId="FootnoteReference">
    <w:name w:val="footnote reference"/>
    <w:basedOn w:val="DefaultParagraphFont"/>
    <w:uiPriority w:val="99"/>
    <w:semiHidden/>
    <w:unhideWhenUsed/>
    <w:rsid w:val="00CF5A82"/>
    <w:rPr>
      <w:vertAlign w:val="superscript"/>
    </w:rPr>
  </w:style>
  <w:style w:type="paragraph" w:styleId="NormalWeb">
    <w:name w:val="Normal (Web)"/>
    <w:basedOn w:val="Normal"/>
    <w:uiPriority w:val="99"/>
    <w:semiHidden/>
    <w:unhideWhenUsed/>
    <w:rsid w:val="00CF5A82"/>
    <w:pPr>
      <w:spacing w:before="100" w:beforeAutospacing="1" w:after="100" w:afterAutospacing="1"/>
    </w:pPr>
    <w:rPr>
      <w:rFonts w:ascii="Times New Roman" w:eastAsia="Times New Roman" w:hAnsi="Times New Roman" w:cs="Times New Roman"/>
      <w:lang w:val="en-IT" w:eastAsia="en-GB"/>
    </w:rPr>
  </w:style>
  <w:style w:type="character" w:styleId="Hyperlink">
    <w:name w:val="Hyperlink"/>
    <w:basedOn w:val="DefaultParagraphFont"/>
    <w:uiPriority w:val="99"/>
    <w:unhideWhenUsed/>
    <w:rsid w:val="00FD2230"/>
    <w:rPr>
      <w:color w:val="0563C1" w:themeColor="hyperlink"/>
      <w:u w:val="single"/>
    </w:rPr>
  </w:style>
  <w:style w:type="character" w:styleId="UnresolvedMention">
    <w:name w:val="Unresolved Mention"/>
    <w:basedOn w:val="DefaultParagraphFont"/>
    <w:uiPriority w:val="99"/>
    <w:semiHidden/>
    <w:unhideWhenUsed/>
    <w:rsid w:val="00FD2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8945">
      <w:bodyDiv w:val="1"/>
      <w:marLeft w:val="0"/>
      <w:marRight w:val="0"/>
      <w:marTop w:val="0"/>
      <w:marBottom w:val="0"/>
      <w:divBdr>
        <w:top w:val="none" w:sz="0" w:space="0" w:color="auto"/>
        <w:left w:val="none" w:sz="0" w:space="0" w:color="auto"/>
        <w:bottom w:val="none" w:sz="0" w:space="0" w:color="auto"/>
        <w:right w:val="none" w:sz="0" w:space="0" w:color="auto"/>
      </w:divBdr>
      <w:divsChild>
        <w:div w:id="543059307">
          <w:marLeft w:val="0"/>
          <w:marRight w:val="0"/>
          <w:marTop w:val="0"/>
          <w:marBottom w:val="0"/>
          <w:divBdr>
            <w:top w:val="none" w:sz="0" w:space="0" w:color="auto"/>
            <w:left w:val="none" w:sz="0" w:space="0" w:color="auto"/>
            <w:bottom w:val="none" w:sz="0" w:space="0" w:color="auto"/>
            <w:right w:val="none" w:sz="0" w:space="0" w:color="auto"/>
          </w:divBdr>
          <w:divsChild>
            <w:div w:id="611015140">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4085">
      <w:bodyDiv w:val="1"/>
      <w:marLeft w:val="0"/>
      <w:marRight w:val="0"/>
      <w:marTop w:val="0"/>
      <w:marBottom w:val="0"/>
      <w:divBdr>
        <w:top w:val="none" w:sz="0" w:space="0" w:color="auto"/>
        <w:left w:val="none" w:sz="0" w:space="0" w:color="auto"/>
        <w:bottom w:val="none" w:sz="0" w:space="0" w:color="auto"/>
        <w:right w:val="none" w:sz="0" w:space="0" w:color="auto"/>
      </w:divBdr>
      <w:divsChild>
        <w:div w:id="67851169">
          <w:marLeft w:val="0"/>
          <w:marRight w:val="0"/>
          <w:marTop w:val="0"/>
          <w:marBottom w:val="0"/>
          <w:divBdr>
            <w:top w:val="none" w:sz="0" w:space="0" w:color="auto"/>
            <w:left w:val="none" w:sz="0" w:space="0" w:color="auto"/>
            <w:bottom w:val="none" w:sz="0" w:space="0" w:color="auto"/>
            <w:right w:val="none" w:sz="0" w:space="0" w:color="auto"/>
          </w:divBdr>
          <w:divsChild>
            <w:div w:id="1682706059">
              <w:marLeft w:val="0"/>
              <w:marRight w:val="0"/>
              <w:marTop w:val="0"/>
              <w:marBottom w:val="0"/>
              <w:divBdr>
                <w:top w:val="none" w:sz="0" w:space="0" w:color="auto"/>
                <w:left w:val="none" w:sz="0" w:space="0" w:color="auto"/>
                <w:bottom w:val="none" w:sz="0" w:space="0" w:color="auto"/>
                <w:right w:val="none" w:sz="0" w:space="0" w:color="auto"/>
              </w:divBdr>
              <w:divsChild>
                <w:div w:id="20958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iicl.org/people/christine-bak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5668</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Bakker</dc:creator>
  <cp:keywords/>
  <dc:description/>
  <cp:lastModifiedBy>Christine Bakker</cp:lastModifiedBy>
  <cp:revision>2</cp:revision>
  <dcterms:created xsi:type="dcterms:W3CDTF">2023-02-15T13:11:00Z</dcterms:created>
  <dcterms:modified xsi:type="dcterms:W3CDTF">2023-02-15T13:11:00Z</dcterms:modified>
</cp:coreProperties>
</file>