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CEEBB" w14:textId="353FFEBF" w:rsidR="002D6E3C" w:rsidRPr="00C604FF" w:rsidRDefault="001E60C3" w:rsidP="00FF695F">
      <w:pPr>
        <w:jc w:val="center"/>
        <w:rPr>
          <w:rFonts w:ascii="Times New Roman" w:hAnsi="Times New Roman"/>
          <w:b/>
          <w:sz w:val="28"/>
          <w:szCs w:val="28"/>
          <w:lang w:val="en-US"/>
        </w:rPr>
      </w:pPr>
      <w:r w:rsidRPr="00C604FF">
        <w:rPr>
          <w:rFonts w:ascii="Times New Roman" w:hAnsi="Times New Roman"/>
          <w:b/>
          <w:sz w:val="28"/>
          <w:szCs w:val="28"/>
          <w:lang w:val="en-US"/>
        </w:rPr>
        <w:t xml:space="preserve">Joint </w:t>
      </w:r>
      <w:r w:rsidR="00AE51DB">
        <w:rPr>
          <w:rFonts w:ascii="Times New Roman" w:hAnsi="Times New Roman"/>
          <w:b/>
          <w:sz w:val="28"/>
          <w:szCs w:val="28"/>
          <w:lang w:val="en-US"/>
        </w:rPr>
        <w:t>s</w:t>
      </w:r>
      <w:r w:rsidR="002D6E3C" w:rsidRPr="00C604FF">
        <w:rPr>
          <w:rFonts w:ascii="Times New Roman" w:hAnsi="Times New Roman"/>
          <w:b/>
          <w:sz w:val="28"/>
          <w:szCs w:val="28"/>
          <w:lang w:val="en-US"/>
        </w:rPr>
        <w:t>ubmission to the</w:t>
      </w:r>
      <w:r w:rsidR="0052019D" w:rsidRPr="00C604FF">
        <w:rPr>
          <w:rFonts w:ascii="Times New Roman" w:hAnsi="Times New Roman"/>
          <w:b/>
          <w:sz w:val="28"/>
          <w:szCs w:val="28"/>
          <w:lang w:val="en-US"/>
        </w:rPr>
        <w:t xml:space="preserve"> </w:t>
      </w:r>
      <w:r w:rsidR="00AE51DB">
        <w:rPr>
          <w:rFonts w:ascii="Times New Roman" w:hAnsi="Times New Roman"/>
          <w:b/>
          <w:sz w:val="28"/>
          <w:szCs w:val="28"/>
          <w:lang w:val="en-US"/>
        </w:rPr>
        <w:t>d</w:t>
      </w:r>
      <w:r w:rsidR="0052019D" w:rsidRPr="00C604FF">
        <w:rPr>
          <w:rFonts w:ascii="Times New Roman" w:hAnsi="Times New Roman"/>
          <w:b/>
          <w:sz w:val="28"/>
          <w:szCs w:val="28"/>
          <w:lang w:val="en-US"/>
        </w:rPr>
        <w:t>raft of the</w:t>
      </w:r>
      <w:r w:rsidR="002D6E3C" w:rsidRPr="00C604FF">
        <w:rPr>
          <w:rFonts w:ascii="Times New Roman" w:hAnsi="Times New Roman"/>
          <w:b/>
          <w:sz w:val="28"/>
          <w:szCs w:val="28"/>
          <w:lang w:val="en-US"/>
        </w:rPr>
        <w:t xml:space="preserve"> </w:t>
      </w:r>
      <w:r w:rsidR="007C22AB">
        <w:rPr>
          <w:rFonts w:ascii="Times New Roman" w:hAnsi="Times New Roman"/>
          <w:b/>
          <w:sz w:val="28"/>
          <w:szCs w:val="28"/>
          <w:lang w:val="en-US"/>
        </w:rPr>
        <w:t>G</w:t>
      </w:r>
      <w:r w:rsidR="002D6E3C" w:rsidRPr="00C604FF">
        <w:rPr>
          <w:rFonts w:ascii="Times New Roman" w:hAnsi="Times New Roman"/>
          <w:b/>
          <w:sz w:val="28"/>
          <w:szCs w:val="28"/>
          <w:lang w:val="en-US"/>
        </w:rPr>
        <w:t xml:space="preserve">eneral </w:t>
      </w:r>
      <w:r w:rsidR="007C22AB">
        <w:rPr>
          <w:rFonts w:ascii="Times New Roman" w:hAnsi="Times New Roman"/>
          <w:b/>
          <w:sz w:val="28"/>
          <w:szCs w:val="28"/>
          <w:lang w:val="en-US"/>
        </w:rPr>
        <w:t>C</w:t>
      </w:r>
      <w:r w:rsidR="002D6E3C" w:rsidRPr="00C604FF">
        <w:rPr>
          <w:rFonts w:ascii="Times New Roman" w:hAnsi="Times New Roman"/>
          <w:b/>
          <w:sz w:val="28"/>
          <w:szCs w:val="28"/>
          <w:lang w:val="en-US"/>
        </w:rPr>
        <w:t xml:space="preserve">omment 26 on </w:t>
      </w:r>
      <w:r w:rsidR="00B7631B">
        <w:rPr>
          <w:rFonts w:ascii="Times New Roman" w:hAnsi="Times New Roman"/>
          <w:b/>
          <w:sz w:val="28"/>
          <w:szCs w:val="28"/>
          <w:lang w:val="en-US"/>
        </w:rPr>
        <w:t>c</w:t>
      </w:r>
      <w:r w:rsidR="002D6E3C" w:rsidRPr="00C604FF">
        <w:rPr>
          <w:rFonts w:ascii="Times New Roman" w:hAnsi="Times New Roman"/>
          <w:b/>
          <w:sz w:val="28"/>
          <w:szCs w:val="28"/>
          <w:lang w:val="en-US"/>
        </w:rPr>
        <w:t xml:space="preserve">hildren’s </w:t>
      </w:r>
      <w:r w:rsidR="00B7631B">
        <w:rPr>
          <w:rFonts w:ascii="Times New Roman" w:hAnsi="Times New Roman"/>
          <w:b/>
          <w:sz w:val="28"/>
          <w:szCs w:val="28"/>
          <w:lang w:val="en-US"/>
        </w:rPr>
        <w:t>r</w:t>
      </w:r>
      <w:r w:rsidR="002D6E3C" w:rsidRPr="00C604FF">
        <w:rPr>
          <w:rFonts w:ascii="Times New Roman" w:hAnsi="Times New Roman"/>
          <w:b/>
          <w:sz w:val="28"/>
          <w:szCs w:val="28"/>
          <w:lang w:val="en-US"/>
        </w:rPr>
        <w:t>ights and the environment with a special focus on climate</w:t>
      </w:r>
      <w:r w:rsidR="00812544">
        <w:rPr>
          <w:rFonts w:ascii="Times New Roman" w:hAnsi="Times New Roman"/>
          <w:b/>
          <w:sz w:val="28"/>
          <w:szCs w:val="28"/>
          <w:lang w:val="en-US"/>
        </w:rPr>
        <w:t xml:space="preserve"> change </w:t>
      </w:r>
    </w:p>
    <w:p w14:paraId="54CF2D16" w14:textId="77777777" w:rsidR="002D6E3C" w:rsidRPr="00640D6B" w:rsidRDefault="002D6E3C" w:rsidP="00CC62A7">
      <w:pPr>
        <w:jc w:val="center"/>
        <w:rPr>
          <w:rFonts w:ascii="Times New Roman" w:hAnsi="Times New Roman"/>
          <w:b/>
          <w:sz w:val="22"/>
          <w:szCs w:val="22"/>
          <w:lang w:val="en-US"/>
        </w:rPr>
      </w:pPr>
    </w:p>
    <w:p w14:paraId="2B0184D4" w14:textId="5A988508" w:rsidR="0089445C" w:rsidRDefault="00C604FF" w:rsidP="00CC62A7">
      <w:pPr>
        <w:jc w:val="center"/>
        <w:rPr>
          <w:rFonts w:ascii="Times New Roman" w:hAnsi="Times New Roman"/>
          <w:b/>
          <w:sz w:val="22"/>
          <w:szCs w:val="22"/>
          <w:lang w:val="en-US"/>
        </w:rPr>
      </w:pPr>
      <w:r>
        <w:rPr>
          <w:rFonts w:ascii="Times New Roman" w:hAnsi="Times New Roman"/>
          <w:b/>
          <w:sz w:val="22"/>
          <w:szCs w:val="22"/>
          <w:lang w:val="en-US"/>
        </w:rPr>
        <w:t>1</w:t>
      </w:r>
      <w:r w:rsidR="003513C9">
        <w:rPr>
          <w:rFonts w:ascii="Times New Roman" w:hAnsi="Times New Roman"/>
          <w:b/>
          <w:sz w:val="22"/>
          <w:szCs w:val="22"/>
          <w:lang w:val="en-US"/>
        </w:rPr>
        <w:t>5</w:t>
      </w:r>
      <w:r w:rsidR="0089445C" w:rsidRPr="00640D6B">
        <w:rPr>
          <w:rFonts w:ascii="Times New Roman" w:hAnsi="Times New Roman"/>
          <w:b/>
          <w:sz w:val="22"/>
          <w:szCs w:val="22"/>
          <w:lang w:val="en-US"/>
        </w:rPr>
        <w:t>.02.2023</w:t>
      </w:r>
    </w:p>
    <w:p w14:paraId="745178B4" w14:textId="77777777" w:rsidR="00C604FF" w:rsidRDefault="00C604FF" w:rsidP="00CC62A7">
      <w:pPr>
        <w:jc w:val="center"/>
        <w:rPr>
          <w:rFonts w:ascii="Times New Roman" w:hAnsi="Times New Roman"/>
          <w:b/>
          <w:sz w:val="22"/>
          <w:szCs w:val="22"/>
          <w:lang w:val="en-US"/>
        </w:rPr>
      </w:pPr>
    </w:p>
    <w:p w14:paraId="74907A5D" w14:textId="77777777" w:rsidR="00C604FF" w:rsidRDefault="00C604FF" w:rsidP="00CC62A7">
      <w:pPr>
        <w:jc w:val="center"/>
        <w:rPr>
          <w:rFonts w:ascii="Times New Roman" w:hAnsi="Times New Roman"/>
          <w:b/>
          <w:sz w:val="22"/>
          <w:szCs w:val="22"/>
          <w:lang w:val="en-US"/>
        </w:rPr>
      </w:pPr>
      <w:r>
        <w:rPr>
          <w:rFonts w:ascii="Times New Roman" w:hAnsi="Times New Roman"/>
          <w:b/>
          <w:sz w:val="22"/>
          <w:szCs w:val="22"/>
          <w:lang w:val="en-US"/>
        </w:rPr>
        <w:t>On behalf of</w:t>
      </w:r>
    </w:p>
    <w:p w14:paraId="65B32E0E" w14:textId="4D88481C" w:rsidR="00C604FF" w:rsidRDefault="00C604FF" w:rsidP="00CC62A7">
      <w:pPr>
        <w:jc w:val="center"/>
        <w:rPr>
          <w:rFonts w:ascii="Times New Roman" w:hAnsi="Times New Roman"/>
          <w:b/>
          <w:sz w:val="22"/>
          <w:szCs w:val="22"/>
          <w:lang w:val="en-US"/>
        </w:rPr>
      </w:pPr>
    </w:p>
    <w:p w14:paraId="25FABB0F" w14:textId="210DBABB" w:rsidR="00C604FF" w:rsidRDefault="008C60E1" w:rsidP="00C604FF">
      <w:pPr>
        <w:rPr>
          <w:rFonts w:ascii="Times New Roman" w:hAnsi="Times New Roman"/>
          <w:b/>
          <w:sz w:val="22"/>
          <w:szCs w:val="22"/>
          <w:lang w:val="en-US"/>
        </w:rPr>
      </w:pPr>
      <w:r>
        <w:rPr>
          <w:noProof/>
        </w:rPr>
        <w:drawing>
          <wp:inline distT="0" distB="0" distL="0" distR="0" wp14:anchorId="37A1E07B" wp14:editId="08390440">
            <wp:extent cx="1888958" cy="72619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8958" cy="726199"/>
                    </a:xfrm>
                    <a:prstGeom prst="rect">
                      <a:avLst/>
                    </a:prstGeom>
                    <a:noFill/>
                    <a:ln>
                      <a:noFill/>
                    </a:ln>
                  </pic:spPr>
                </pic:pic>
              </a:graphicData>
            </a:graphic>
          </wp:inline>
        </w:drawing>
      </w:r>
      <w:r w:rsidR="00EC17DD">
        <w:rPr>
          <w:noProof/>
        </w:rPr>
        <w:drawing>
          <wp:anchor distT="114300" distB="114300" distL="114300" distR="114300" simplePos="0" relativeHeight="251659264" behindDoc="0" locked="0" layoutInCell="1" hidden="0" allowOverlap="1" wp14:anchorId="7724CC2B" wp14:editId="67BA7FE9">
            <wp:simplePos x="0" y="0"/>
            <wp:positionH relativeFrom="margin">
              <wp:align>right</wp:align>
            </wp:positionH>
            <wp:positionV relativeFrom="paragraph">
              <wp:posOffset>152400</wp:posOffset>
            </wp:positionV>
            <wp:extent cx="1022350" cy="976630"/>
            <wp:effectExtent l="0" t="0" r="0" b="0"/>
            <wp:wrapNone/>
            <wp:docPr id="4" name="image1.png" descr="Uma imagem contendo Círculo&#10;&#10;Descrição gerada automaticamente"/>
            <wp:cNvGraphicFramePr/>
            <a:graphic xmlns:a="http://schemas.openxmlformats.org/drawingml/2006/main">
              <a:graphicData uri="http://schemas.openxmlformats.org/drawingml/2006/picture">
                <pic:pic xmlns:pic="http://schemas.openxmlformats.org/drawingml/2006/picture">
                  <pic:nvPicPr>
                    <pic:cNvPr id="4" name="image1.png" descr="Uma imagem contendo Círculo&#10;&#10;Descrição gerada automaticamente"/>
                    <pic:cNvPicPr preferRelativeResize="0"/>
                  </pic:nvPicPr>
                  <pic:blipFill>
                    <a:blip r:embed="rId9"/>
                    <a:srcRect/>
                    <a:stretch>
                      <a:fillRect/>
                    </a:stretch>
                  </pic:blipFill>
                  <pic:spPr>
                    <a:xfrm>
                      <a:off x="0" y="0"/>
                      <a:ext cx="1022350" cy="976630"/>
                    </a:xfrm>
                    <a:prstGeom prst="rect">
                      <a:avLst/>
                    </a:prstGeom>
                    <a:ln/>
                  </pic:spPr>
                </pic:pic>
              </a:graphicData>
            </a:graphic>
            <wp14:sizeRelH relativeFrom="margin">
              <wp14:pctWidth>0</wp14:pctWidth>
            </wp14:sizeRelH>
            <wp14:sizeRelV relativeFrom="margin">
              <wp14:pctHeight>0</wp14:pctHeight>
            </wp14:sizeRelV>
          </wp:anchor>
        </w:drawing>
      </w:r>
      <w:r w:rsidR="00C604FF">
        <w:rPr>
          <w:noProof/>
        </w:rPr>
        <w:drawing>
          <wp:inline distT="0" distB="0" distL="0" distR="0" wp14:anchorId="16665A2A" wp14:editId="7A00B552">
            <wp:extent cx="1919037" cy="843327"/>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9037" cy="843327"/>
                    </a:xfrm>
                    <a:prstGeom prst="rect">
                      <a:avLst/>
                    </a:prstGeom>
                    <a:noFill/>
                    <a:ln>
                      <a:noFill/>
                    </a:ln>
                  </pic:spPr>
                </pic:pic>
              </a:graphicData>
            </a:graphic>
          </wp:inline>
        </w:drawing>
      </w:r>
      <w:r w:rsidR="00C604FF">
        <w:rPr>
          <w:noProof/>
        </w:rPr>
        <w:drawing>
          <wp:inline distT="0" distB="0" distL="0" distR="0" wp14:anchorId="1243CEEF" wp14:editId="013DF7EE">
            <wp:extent cx="836195" cy="1189058"/>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889" cy="1217062"/>
                    </a:xfrm>
                    <a:prstGeom prst="rect">
                      <a:avLst/>
                    </a:prstGeom>
                    <a:noFill/>
                    <a:ln>
                      <a:noFill/>
                    </a:ln>
                  </pic:spPr>
                </pic:pic>
              </a:graphicData>
            </a:graphic>
          </wp:inline>
        </w:drawing>
      </w:r>
    </w:p>
    <w:p w14:paraId="1EE6FE7A" w14:textId="77777777" w:rsidR="00C604FF" w:rsidRDefault="00C604FF" w:rsidP="00C604FF">
      <w:pPr>
        <w:rPr>
          <w:rFonts w:ascii="Times New Roman" w:hAnsi="Times New Roman"/>
          <w:b/>
          <w:sz w:val="22"/>
          <w:szCs w:val="22"/>
          <w:lang w:val="en-US"/>
        </w:rPr>
      </w:pPr>
    </w:p>
    <w:p w14:paraId="034CBCC6" w14:textId="51CF53F4" w:rsidR="00674B1C" w:rsidRDefault="008C60E1" w:rsidP="00B278C2">
      <w:pPr>
        <w:rPr>
          <w:rFonts w:ascii="Times New Roman" w:hAnsi="Times New Roman"/>
          <w:b/>
          <w:sz w:val="22"/>
          <w:szCs w:val="22"/>
          <w:lang w:val="en-US"/>
        </w:rPr>
      </w:pPr>
      <w:r>
        <w:rPr>
          <w:rFonts w:eastAsia="Times New Roman"/>
          <w:noProof/>
          <w:color w:val="000000"/>
          <w:sz w:val="27"/>
          <w:szCs w:val="27"/>
        </w:rPr>
        <w:drawing>
          <wp:inline distT="0" distB="0" distL="0" distR="0" wp14:anchorId="49B2DEC9" wp14:editId="4C7F5A04">
            <wp:extent cx="1682750" cy="897720"/>
            <wp:effectExtent l="0" t="0" r="0" b="0"/>
            <wp:docPr id="5" name="Grafik 5" descr="cid:55698C15-FAAF-46BF-AE10-39BE36A70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55698C15-FAAF-46BF-AE10-39BE36A70C2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82750" cy="897720"/>
                    </a:xfrm>
                    <a:prstGeom prst="rect">
                      <a:avLst/>
                    </a:prstGeom>
                    <a:noFill/>
                    <a:ln>
                      <a:noFill/>
                    </a:ln>
                  </pic:spPr>
                </pic:pic>
              </a:graphicData>
            </a:graphic>
          </wp:inline>
        </w:drawing>
      </w:r>
    </w:p>
    <w:p w14:paraId="31F2A33D" w14:textId="77777777" w:rsidR="00674B1C" w:rsidRDefault="00674B1C" w:rsidP="00CC62A7">
      <w:pPr>
        <w:jc w:val="center"/>
        <w:rPr>
          <w:rFonts w:ascii="Times New Roman" w:hAnsi="Times New Roman"/>
          <w:b/>
          <w:sz w:val="22"/>
          <w:szCs w:val="22"/>
          <w:lang w:val="en-US"/>
        </w:rPr>
      </w:pPr>
    </w:p>
    <w:p w14:paraId="446D348D" w14:textId="77777777" w:rsidR="00674B1C" w:rsidRDefault="00674B1C" w:rsidP="00CC62A7">
      <w:pPr>
        <w:jc w:val="center"/>
        <w:rPr>
          <w:rFonts w:ascii="Times New Roman" w:hAnsi="Times New Roman"/>
          <w:b/>
          <w:sz w:val="22"/>
          <w:szCs w:val="22"/>
          <w:lang w:val="en-US"/>
        </w:rPr>
      </w:pPr>
    </w:p>
    <w:p w14:paraId="2C85EA74" w14:textId="77777777" w:rsidR="00674B1C" w:rsidRPr="00640D6B" w:rsidRDefault="00674B1C" w:rsidP="00CC62A7">
      <w:pPr>
        <w:jc w:val="center"/>
        <w:rPr>
          <w:rFonts w:ascii="Times New Roman" w:hAnsi="Times New Roman"/>
          <w:b/>
          <w:sz w:val="22"/>
          <w:szCs w:val="22"/>
          <w:lang w:val="en-US"/>
        </w:rPr>
      </w:pPr>
    </w:p>
    <w:p w14:paraId="288026D4" w14:textId="77777777" w:rsidR="00C46048" w:rsidRPr="00640D6B" w:rsidRDefault="00C46048" w:rsidP="00CC62A7">
      <w:pPr>
        <w:jc w:val="center"/>
        <w:rPr>
          <w:rFonts w:ascii="Times New Roman" w:hAnsi="Times New Roman"/>
          <w:b/>
          <w:sz w:val="22"/>
          <w:szCs w:val="22"/>
          <w:lang w:val="en-US"/>
        </w:rPr>
      </w:pPr>
    </w:p>
    <w:p w14:paraId="575E5FD1" w14:textId="77777777" w:rsidR="00C46048" w:rsidRDefault="00C46048" w:rsidP="00C604FF">
      <w:pPr>
        <w:spacing w:after="160" w:line="360" w:lineRule="auto"/>
        <w:jc w:val="both"/>
        <w:rPr>
          <w:rFonts w:ascii="Times New Roman" w:hAnsi="Times New Roman"/>
          <w:color w:val="000000" w:themeColor="text1"/>
          <w:sz w:val="22"/>
          <w:szCs w:val="22"/>
          <w:lang w:val="en-US"/>
        </w:rPr>
      </w:pPr>
      <w:r w:rsidRPr="00640D6B">
        <w:rPr>
          <w:rFonts w:ascii="Times New Roman" w:hAnsi="Times New Roman"/>
          <w:color w:val="000000" w:themeColor="text1"/>
          <w:sz w:val="22"/>
          <w:szCs w:val="22"/>
          <w:lang w:val="en-US"/>
        </w:rPr>
        <w:t>The present signatories welcome the Committee's decision to publish and submit the draft of the GC26 for public scrutiny, which demonstrates its commitment to transparency and participation. We especially welcome the latter, strong feature of this GC, with the participation of so many children around the world.</w:t>
      </w:r>
    </w:p>
    <w:p w14:paraId="5A8EB5BB" w14:textId="77777777" w:rsidR="00D05C94" w:rsidRPr="00C604FF" w:rsidRDefault="00D05C94" w:rsidP="00C604FF">
      <w:pPr>
        <w:spacing w:after="160" w:line="360" w:lineRule="auto"/>
        <w:jc w:val="both"/>
        <w:rPr>
          <w:rFonts w:ascii="Times New Roman" w:hAnsi="Times New Roman"/>
          <w:color w:val="000000" w:themeColor="text1"/>
          <w:sz w:val="22"/>
          <w:szCs w:val="22"/>
          <w:lang w:val="en-US"/>
        </w:rPr>
      </w:pPr>
    </w:p>
    <w:p w14:paraId="2FDEBAD9" w14:textId="77777777" w:rsidR="002D6E3C" w:rsidRPr="00640D6B" w:rsidRDefault="002D6E3C" w:rsidP="0089445C">
      <w:pPr>
        <w:pStyle w:val="Listenabsatz"/>
        <w:numPr>
          <w:ilvl w:val="0"/>
          <w:numId w:val="15"/>
        </w:numPr>
        <w:jc w:val="center"/>
        <w:rPr>
          <w:rFonts w:ascii="Times New Roman" w:hAnsi="Times New Roman"/>
          <w:b/>
          <w:sz w:val="22"/>
          <w:szCs w:val="22"/>
          <w:u w:val="single"/>
          <w:lang w:val="en-US"/>
        </w:rPr>
      </w:pPr>
      <w:r w:rsidRPr="00640D6B">
        <w:rPr>
          <w:rFonts w:ascii="Times New Roman" w:hAnsi="Times New Roman"/>
          <w:b/>
          <w:sz w:val="22"/>
          <w:szCs w:val="22"/>
          <w:u w:val="single"/>
          <w:lang w:val="en-US"/>
        </w:rPr>
        <w:t>Structure and format of the GC 26:</w:t>
      </w:r>
    </w:p>
    <w:p w14:paraId="0EB2F099" w14:textId="77777777" w:rsidR="002D6E3C" w:rsidRPr="00640D6B" w:rsidRDefault="002D6E3C" w:rsidP="002D6E3C">
      <w:pPr>
        <w:rPr>
          <w:rFonts w:ascii="Times New Roman" w:hAnsi="Times New Roman"/>
          <w:b/>
          <w:sz w:val="22"/>
          <w:szCs w:val="22"/>
          <w:lang w:val="en-US"/>
        </w:rPr>
      </w:pPr>
    </w:p>
    <w:p w14:paraId="01C4E84A" w14:textId="77777777" w:rsidR="002D6E3C" w:rsidRPr="00CC520B" w:rsidRDefault="00585E0E" w:rsidP="00605AA6">
      <w:pPr>
        <w:numPr>
          <w:ilvl w:val="0"/>
          <w:numId w:val="17"/>
        </w:numPr>
        <w:rPr>
          <w:rFonts w:ascii="Times New Roman" w:hAnsi="Times New Roman"/>
          <w:b/>
          <w:sz w:val="22"/>
          <w:szCs w:val="22"/>
          <w:lang w:val="en-US"/>
        </w:rPr>
      </w:pPr>
      <w:r w:rsidRPr="00CC520B">
        <w:rPr>
          <w:rFonts w:ascii="Times New Roman" w:hAnsi="Times New Roman"/>
          <w:b/>
          <w:sz w:val="22"/>
          <w:szCs w:val="22"/>
          <w:lang w:val="en-US"/>
        </w:rPr>
        <w:t xml:space="preserve">To add a section </w:t>
      </w:r>
      <w:r w:rsidR="00605AA6" w:rsidRPr="00CC520B">
        <w:rPr>
          <w:rFonts w:ascii="Times New Roman" w:hAnsi="Times New Roman"/>
          <w:b/>
          <w:sz w:val="22"/>
          <w:szCs w:val="22"/>
          <w:lang w:val="en-US"/>
        </w:rPr>
        <w:t xml:space="preserve">General Measures of Implementation (similar to section on Framework for Implementation </w:t>
      </w:r>
      <w:r w:rsidR="00605AA6" w:rsidRPr="00CC520B">
        <w:rPr>
          <w:rFonts w:ascii="Times New Roman" w:hAnsi="Times New Roman"/>
          <w:b/>
          <w:spacing w:val="0"/>
          <w:kern w:val="0"/>
          <w:lang w:val="en-US"/>
        </w:rPr>
        <w:t>VI in the GC 16)</w:t>
      </w:r>
      <w:r w:rsidR="00605AA6" w:rsidRPr="00CC520B">
        <w:rPr>
          <w:rFonts w:ascii="Times New Roman" w:hAnsi="Times New Roman"/>
          <w:b/>
          <w:sz w:val="22"/>
          <w:szCs w:val="22"/>
          <w:lang w:val="en-US"/>
        </w:rPr>
        <w:t xml:space="preserve"> </w:t>
      </w:r>
      <w:r w:rsidR="002D6E3C" w:rsidRPr="00CC520B">
        <w:rPr>
          <w:rFonts w:ascii="Times New Roman" w:hAnsi="Times New Roman"/>
          <w:b/>
          <w:sz w:val="22"/>
          <w:szCs w:val="22"/>
          <w:lang w:val="en-US"/>
        </w:rPr>
        <w:t>to list the legislative, regulatory and enforcement measures of States under the GC 26</w:t>
      </w:r>
    </w:p>
    <w:p w14:paraId="7A101607" w14:textId="77777777" w:rsidR="002D6E3C" w:rsidRPr="00640D6B" w:rsidRDefault="002D6E3C" w:rsidP="002D6E3C">
      <w:pPr>
        <w:rPr>
          <w:rFonts w:ascii="Times New Roman" w:hAnsi="Times New Roman"/>
          <w:b/>
          <w:sz w:val="22"/>
          <w:szCs w:val="22"/>
          <w:lang w:val="en-US"/>
        </w:rPr>
      </w:pPr>
    </w:p>
    <w:p w14:paraId="5629FEC2" w14:textId="77777777" w:rsidR="007B7A33" w:rsidRDefault="007B7A33" w:rsidP="00CC520B">
      <w:pPr>
        <w:rPr>
          <w:rFonts w:ascii="Times New Roman" w:hAnsi="Times New Roman"/>
          <w:b/>
          <w:sz w:val="22"/>
          <w:szCs w:val="22"/>
          <w:lang w:val="en-US"/>
        </w:rPr>
      </w:pPr>
    </w:p>
    <w:p w14:paraId="241F3EC1" w14:textId="71A63FFF" w:rsidR="002D6E3C" w:rsidRPr="00640D6B" w:rsidRDefault="00D05C94" w:rsidP="00CC520B">
      <w:pPr>
        <w:rPr>
          <w:rFonts w:ascii="Times New Roman" w:hAnsi="Times New Roman"/>
          <w:sz w:val="22"/>
          <w:szCs w:val="22"/>
          <w:lang w:val="en-US"/>
        </w:rPr>
      </w:pPr>
      <w:r w:rsidRPr="00D05C94">
        <w:rPr>
          <w:rFonts w:ascii="Times New Roman" w:hAnsi="Times New Roman"/>
          <w:b/>
          <w:sz w:val="22"/>
          <w:szCs w:val="22"/>
          <w:lang w:val="en-US"/>
        </w:rPr>
        <w:t>Recommendation</w:t>
      </w:r>
      <w:r>
        <w:rPr>
          <w:rFonts w:ascii="Times New Roman" w:hAnsi="Times New Roman"/>
          <w:sz w:val="22"/>
          <w:szCs w:val="22"/>
          <w:lang w:val="en-US"/>
        </w:rPr>
        <w:t xml:space="preserve">: </w:t>
      </w:r>
      <w:r w:rsidR="002D6E3C" w:rsidRPr="00640D6B">
        <w:rPr>
          <w:rFonts w:ascii="Times New Roman" w:hAnsi="Times New Roman"/>
          <w:sz w:val="22"/>
          <w:szCs w:val="22"/>
          <w:lang w:val="en-US"/>
        </w:rPr>
        <w:t>For Instance, Section D. on precautionary principle</w:t>
      </w:r>
      <w:r w:rsidR="00585E0E">
        <w:rPr>
          <w:rFonts w:ascii="Times New Roman" w:hAnsi="Times New Roman"/>
          <w:sz w:val="22"/>
          <w:szCs w:val="22"/>
          <w:lang w:val="en-US"/>
        </w:rPr>
        <w:t xml:space="preserve"> and other legislative, regulatory and enforcement measures</w:t>
      </w:r>
      <w:r w:rsidR="002D6E3C" w:rsidRPr="00640D6B">
        <w:rPr>
          <w:rFonts w:ascii="Times New Roman" w:hAnsi="Times New Roman"/>
          <w:sz w:val="22"/>
          <w:szCs w:val="22"/>
          <w:lang w:val="en-US"/>
        </w:rPr>
        <w:t xml:space="preserve"> could be listed under the section</w:t>
      </w:r>
      <w:r w:rsidR="00F35612">
        <w:rPr>
          <w:rFonts w:ascii="Times New Roman" w:hAnsi="Times New Roman"/>
          <w:sz w:val="22"/>
          <w:szCs w:val="22"/>
          <w:lang w:val="en-US"/>
        </w:rPr>
        <w:t xml:space="preserve"> General Measures for implementation/</w:t>
      </w:r>
      <w:r w:rsidR="002D6E3C" w:rsidRPr="00640D6B">
        <w:rPr>
          <w:rFonts w:ascii="Times New Roman" w:hAnsi="Times New Roman"/>
          <w:sz w:val="22"/>
          <w:szCs w:val="22"/>
          <w:lang w:val="en-US"/>
        </w:rPr>
        <w:t>Framework for implementation</w:t>
      </w:r>
      <w:r w:rsidR="00EC17DD">
        <w:rPr>
          <w:rFonts w:ascii="Times New Roman" w:hAnsi="Times New Roman"/>
          <w:sz w:val="22"/>
          <w:szCs w:val="22"/>
          <w:lang w:val="en-US"/>
        </w:rPr>
        <w:t>.</w:t>
      </w:r>
      <w:r w:rsidR="002D6E3C" w:rsidRPr="00640D6B">
        <w:rPr>
          <w:rFonts w:ascii="Times New Roman" w:hAnsi="Times New Roman"/>
          <w:sz w:val="22"/>
          <w:szCs w:val="22"/>
          <w:lang w:val="en-US"/>
        </w:rPr>
        <w:t xml:space="preserve"> </w:t>
      </w:r>
    </w:p>
    <w:p w14:paraId="5DB749A1" w14:textId="77777777" w:rsidR="001573BB" w:rsidRPr="00640D6B" w:rsidRDefault="001573BB" w:rsidP="001573BB">
      <w:pPr>
        <w:ind w:left="1440"/>
        <w:rPr>
          <w:rFonts w:ascii="Times New Roman" w:hAnsi="Times New Roman"/>
          <w:sz w:val="22"/>
          <w:szCs w:val="22"/>
          <w:lang w:val="en-US"/>
        </w:rPr>
      </w:pPr>
    </w:p>
    <w:p w14:paraId="5B908552" w14:textId="77777777" w:rsidR="002D6E3C" w:rsidRPr="00640D6B" w:rsidRDefault="002D6E3C" w:rsidP="002D6E3C">
      <w:pPr>
        <w:rPr>
          <w:rFonts w:ascii="Times New Roman" w:hAnsi="Times New Roman"/>
          <w:b/>
          <w:sz w:val="22"/>
          <w:szCs w:val="22"/>
          <w:lang w:val="en-US"/>
        </w:rPr>
      </w:pPr>
    </w:p>
    <w:p w14:paraId="525780D7" w14:textId="77777777" w:rsidR="002D6E3C" w:rsidRPr="00640D6B" w:rsidRDefault="002D6E3C" w:rsidP="001573BB">
      <w:pPr>
        <w:numPr>
          <w:ilvl w:val="0"/>
          <w:numId w:val="17"/>
        </w:numPr>
        <w:rPr>
          <w:rFonts w:ascii="Times New Roman" w:hAnsi="Times New Roman"/>
          <w:b/>
          <w:sz w:val="22"/>
          <w:szCs w:val="22"/>
          <w:lang w:val="en-US"/>
        </w:rPr>
      </w:pPr>
      <w:r w:rsidRPr="00640D6B">
        <w:rPr>
          <w:rFonts w:ascii="Times New Roman" w:hAnsi="Times New Roman"/>
          <w:b/>
          <w:sz w:val="22"/>
          <w:szCs w:val="22"/>
          <w:lang w:val="en-US"/>
        </w:rPr>
        <w:t>Children’s rights and the business sector (</w:t>
      </w:r>
      <w:r w:rsidR="007B0BA9" w:rsidRPr="00640D6B">
        <w:rPr>
          <w:rFonts w:ascii="Times New Roman" w:hAnsi="Times New Roman"/>
          <w:b/>
          <w:sz w:val="22"/>
          <w:szCs w:val="22"/>
          <w:lang w:val="en-US"/>
        </w:rPr>
        <w:t>para.</w:t>
      </w:r>
      <w:r w:rsidRPr="00640D6B">
        <w:rPr>
          <w:rFonts w:ascii="Times New Roman" w:hAnsi="Times New Roman"/>
          <w:b/>
          <w:sz w:val="22"/>
          <w:szCs w:val="22"/>
          <w:lang w:val="en-US"/>
        </w:rPr>
        <w:t xml:space="preserve"> 90-93) and business and climate change sections (</w:t>
      </w:r>
      <w:r w:rsidR="007B0BA9" w:rsidRPr="00640D6B">
        <w:rPr>
          <w:rFonts w:ascii="Times New Roman" w:hAnsi="Times New Roman"/>
          <w:b/>
          <w:sz w:val="22"/>
          <w:szCs w:val="22"/>
          <w:lang w:val="en-US"/>
        </w:rPr>
        <w:t>para.</w:t>
      </w:r>
      <w:r w:rsidRPr="00640D6B">
        <w:rPr>
          <w:rFonts w:ascii="Times New Roman" w:hAnsi="Times New Roman"/>
          <w:b/>
          <w:sz w:val="22"/>
          <w:szCs w:val="22"/>
          <w:lang w:val="en-US"/>
        </w:rPr>
        <w:t xml:space="preserve"> 114-118)</w:t>
      </w:r>
    </w:p>
    <w:p w14:paraId="01F6A116" w14:textId="77777777" w:rsidR="002D6E3C" w:rsidRPr="00640D6B" w:rsidRDefault="002D6E3C" w:rsidP="002D6E3C">
      <w:pPr>
        <w:rPr>
          <w:rFonts w:ascii="Times New Roman" w:hAnsi="Times New Roman"/>
          <w:sz w:val="22"/>
          <w:szCs w:val="22"/>
          <w:lang w:val="en-US"/>
        </w:rPr>
      </w:pPr>
    </w:p>
    <w:p w14:paraId="6D8E6876" w14:textId="77777777" w:rsidR="002D6E3C" w:rsidRPr="00640D6B" w:rsidRDefault="002D6E3C" w:rsidP="002D6E3C">
      <w:pPr>
        <w:rPr>
          <w:rFonts w:ascii="Times New Roman" w:hAnsi="Times New Roman"/>
          <w:sz w:val="22"/>
          <w:szCs w:val="22"/>
          <w:lang w:val="en-US"/>
        </w:rPr>
      </w:pPr>
      <w:r w:rsidRPr="00640D6B">
        <w:rPr>
          <w:rFonts w:ascii="Times New Roman" w:hAnsi="Times New Roman"/>
          <w:sz w:val="22"/>
          <w:szCs w:val="22"/>
          <w:lang w:val="en-US"/>
        </w:rPr>
        <w:t xml:space="preserve">These two sections of the GC 26 cover very crucial responsibilities of businesses to protect and respect children’s rights, the environment and the climate throughout their activities (supply and value chains). Transnational activities of businesses also trigger extraterritorial responsibilities and obligations as mentioned in </w:t>
      </w:r>
      <w:r w:rsidR="007B0BA9" w:rsidRPr="00640D6B">
        <w:rPr>
          <w:rFonts w:ascii="Times New Roman" w:hAnsi="Times New Roman"/>
          <w:sz w:val="22"/>
          <w:szCs w:val="22"/>
          <w:lang w:val="en-US"/>
        </w:rPr>
        <w:t>para.</w:t>
      </w:r>
      <w:r w:rsidRPr="00640D6B">
        <w:rPr>
          <w:rFonts w:ascii="Times New Roman" w:hAnsi="Times New Roman"/>
          <w:sz w:val="22"/>
          <w:szCs w:val="22"/>
          <w:lang w:val="en-US"/>
        </w:rPr>
        <w:t xml:space="preserve"> 68. </w:t>
      </w:r>
    </w:p>
    <w:p w14:paraId="0B4A5BCD" w14:textId="7212223B" w:rsidR="002D6E3C" w:rsidRPr="00640D6B" w:rsidRDefault="002D6E3C" w:rsidP="002D6E3C">
      <w:pPr>
        <w:rPr>
          <w:rFonts w:ascii="Times New Roman" w:hAnsi="Times New Roman"/>
          <w:sz w:val="22"/>
          <w:szCs w:val="22"/>
          <w:lang w:val="en-US"/>
        </w:rPr>
      </w:pPr>
      <w:r w:rsidRPr="00640D6B">
        <w:rPr>
          <w:rFonts w:ascii="Times New Roman" w:hAnsi="Times New Roman"/>
          <w:sz w:val="22"/>
          <w:szCs w:val="22"/>
          <w:lang w:val="en-US"/>
        </w:rPr>
        <w:t xml:space="preserve">Considering that the GC 26 should be read in conjunction with the GC 16, we would like to make the following </w:t>
      </w:r>
      <w:r w:rsidR="00C46048" w:rsidRPr="00640D6B">
        <w:rPr>
          <w:rFonts w:ascii="Times New Roman" w:hAnsi="Times New Roman"/>
          <w:b/>
          <w:sz w:val="22"/>
          <w:szCs w:val="22"/>
          <w:lang w:val="en-US"/>
        </w:rPr>
        <w:t>Recommendation</w:t>
      </w:r>
      <w:r w:rsidRPr="00640D6B">
        <w:rPr>
          <w:rFonts w:ascii="Times New Roman" w:hAnsi="Times New Roman"/>
          <w:b/>
          <w:sz w:val="22"/>
          <w:szCs w:val="22"/>
          <w:lang w:val="en-US"/>
        </w:rPr>
        <w:t>s:</w:t>
      </w:r>
      <w:r w:rsidRPr="00640D6B">
        <w:rPr>
          <w:rFonts w:ascii="Times New Roman" w:hAnsi="Times New Roman"/>
          <w:sz w:val="22"/>
          <w:szCs w:val="22"/>
          <w:lang w:val="en-US"/>
        </w:rPr>
        <w:t xml:space="preserve"> </w:t>
      </w:r>
    </w:p>
    <w:p w14:paraId="3EB0854A" w14:textId="77777777" w:rsidR="002D6E3C" w:rsidRPr="00640D6B" w:rsidRDefault="002D6E3C" w:rsidP="002D6E3C">
      <w:pPr>
        <w:rPr>
          <w:rFonts w:ascii="Times New Roman" w:hAnsi="Times New Roman"/>
          <w:sz w:val="22"/>
          <w:szCs w:val="22"/>
          <w:lang w:val="en-US"/>
        </w:rPr>
      </w:pPr>
    </w:p>
    <w:p w14:paraId="14F63C1B" w14:textId="3CB830E3" w:rsidR="002D6E3C" w:rsidRPr="00640D6B" w:rsidRDefault="002D6E3C" w:rsidP="002D6E3C">
      <w:pPr>
        <w:numPr>
          <w:ilvl w:val="0"/>
          <w:numId w:val="13"/>
        </w:numPr>
        <w:rPr>
          <w:rFonts w:ascii="Times New Roman" w:hAnsi="Times New Roman"/>
          <w:sz w:val="22"/>
          <w:szCs w:val="22"/>
          <w:lang w:val="en-US"/>
        </w:rPr>
      </w:pPr>
      <w:r w:rsidRPr="00640D6B">
        <w:rPr>
          <w:rFonts w:ascii="Times New Roman" w:hAnsi="Times New Roman"/>
          <w:sz w:val="22"/>
          <w:szCs w:val="22"/>
          <w:lang w:val="en-US"/>
        </w:rPr>
        <w:lastRenderedPageBreak/>
        <w:t>to merge the sections on children’s Rights and the business sector with the section on business and climate change</w:t>
      </w:r>
      <w:r w:rsidR="00EC17DD">
        <w:rPr>
          <w:rFonts w:ascii="Times New Roman" w:hAnsi="Times New Roman"/>
          <w:sz w:val="22"/>
          <w:szCs w:val="22"/>
          <w:lang w:val="en-US"/>
        </w:rPr>
        <w:t>,</w:t>
      </w:r>
      <w:r w:rsidRPr="00640D6B">
        <w:rPr>
          <w:rFonts w:ascii="Times New Roman" w:hAnsi="Times New Roman"/>
          <w:sz w:val="22"/>
          <w:szCs w:val="22"/>
          <w:lang w:val="en-US"/>
        </w:rPr>
        <w:t xml:space="preserve"> in order to create a clear and specific section </w:t>
      </w:r>
      <w:r w:rsidR="007B7A33">
        <w:rPr>
          <w:rFonts w:ascii="Times New Roman" w:hAnsi="Times New Roman"/>
          <w:sz w:val="22"/>
          <w:szCs w:val="22"/>
          <w:lang w:val="en-US"/>
        </w:rPr>
        <w:t xml:space="preserve">States obligation and </w:t>
      </w:r>
      <w:r w:rsidRPr="00640D6B">
        <w:rPr>
          <w:rFonts w:ascii="Times New Roman" w:hAnsi="Times New Roman"/>
          <w:sz w:val="22"/>
          <w:szCs w:val="22"/>
          <w:lang w:val="en-US"/>
        </w:rPr>
        <w:t xml:space="preserve">business responsibilities with regard to the environment and to climate. </w:t>
      </w:r>
    </w:p>
    <w:p w14:paraId="456C9194" w14:textId="77777777" w:rsidR="002D6E3C" w:rsidRPr="00640D6B" w:rsidRDefault="002D6E3C" w:rsidP="002D6E3C">
      <w:pPr>
        <w:numPr>
          <w:ilvl w:val="0"/>
          <w:numId w:val="13"/>
        </w:numPr>
        <w:rPr>
          <w:rFonts w:ascii="Times New Roman" w:hAnsi="Times New Roman"/>
          <w:sz w:val="22"/>
          <w:szCs w:val="22"/>
          <w:lang w:val="en-US"/>
        </w:rPr>
      </w:pPr>
      <w:r w:rsidRPr="00640D6B">
        <w:rPr>
          <w:rFonts w:ascii="Times New Roman" w:hAnsi="Times New Roman"/>
          <w:sz w:val="22"/>
          <w:szCs w:val="22"/>
          <w:lang w:val="en-US"/>
        </w:rPr>
        <w:t xml:space="preserve">to mention the term “extraterritorial responsibilities of businesses” to respect children’s rights (also </w:t>
      </w:r>
      <w:r w:rsidR="008E52C1" w:rsidRPr="00640D6B">
        <w:rPr>
          <w:rFonts w:ascii="Times New Roman" w:hAnsi="Times New Roman"/>
          <w:sz w:val="22"/>
          <w:szCs w:val="22"/>
          <w:lang w:val="en-US"/>
        </w:rPr>
        <w:t>in line</w:t>
      </w:r>
      <w:r w:rsidRPr="00640D6B">
        <w:rPr>
          <w:rFonts w:ascii="Times New Roman" w:hAnsi="Times New Roman"/>
          <w:sz w:val="22"/>
          <w:szCs w:val="22"/>
          <w:lang w:val="en-US"/>
        </w:rPr>
        <w:t xml:space="preserve"> with the UNGPs and the GC 16)</w:t>
      </w:r>
    </w:p>
    <w:p w14:paraId="7119B653" w14:textId="77777777" w:rsidR="002D6E3C" w:rsidRPr="00640D6B" w:rsidRDefault="00585E0E" w:rsidP="002D6E3C">
      <w:pPr>
        <w:numPr>
          <w:ilvl w:val="0"/>
          <w:numId w:val="13"/>
        </w:numPr>
        <w:rPr>
          <w:rFonts w:ascii="Times New Roman" w:hAnsi="Times New Roman"/>
          <w:sz w:val="22"/>
          <w:szCs w:val="22"/>
          <w:lang w:val="en-US"/>
        </w:rPr>
      </w:pPr>
      <w:r w:rsidRPr="00585E0E">
        <w:rPr>
          <w:rFonts w:ascii="Times New Roman" w:hAnsi="Times New Roman"/>
          <w:sz w:val="22"/>
          <w:szCs w:val="22"/>
          <w:lang w:val="en-US"/>
        </w:rPr>
        <w:t>References to “supply chains” should be changed by “value chain”. The UNGPs take a 'value chain' approach, which includes upstream risks/impacts (for instance from sourcing) and downstream risks/impacts (for instance disposal / use).</w:t>
      </w:r>
      <w:r>
        <w:rPr>
          <w:rFonts w:ascii="Times New Roman" w:hAnsi="Times New Roman"/>
          <w:sz w:val="22"/>
          <w:szCs w:val="22"/>
          <w:lang w:val="en-US"/>
        </w:rPr>
        <w:t xml:space="preserve"> The GC 26 should refer to value chain (upstream/downstream) throughout the document. </w:t>
      </w:r>
    </w:p>
    <w:p w14:paraId="02748D03" w14:textId="77777777" w:rsidR="002D6E3C" w:rsidRPr="00640D6B" w:rsidRDefault="002D6E3C" w:rsidP="002D6E3C">
      <w:pPr>
        <w:rPr>
          <w:rFonts w:ascii="Times New Roman" w:hAnsi="Times New Roman"/>
          <w:sz w:val="22"/>
          <w:szCs w:val="22"/>
          <w:lang w:val="en-US"/>
        </w:rPr>
      </w:pPr>
    </w:p>
    <w:p w14:paraId="4C524D22" w14:textId="77777777" w:rsidR="002D6E3C" w:rsidRPr="00640D6B" w:rsidRDefault="002D6E3C" w:rsidP="002D6E3C">
      <w:pPr>
        <w:rPr>
          <w:rFonts w:ascii="Times New Roman" w:hAnsi="Times New Roman"/>
          <w:b/>
          <w:sz w:val="22"/>
          <w:szCs w:val="22"/>
          <w:u w:val="single"/>
          <w:lang w:val="en-US"/>
        </w:rPr>
      </w:pPr>
    </w:p>
    <w:p w14:paraId="0C65EF2B" w14:textId="77777777" w:rsidR="002D6E3C" w:rsidRPr="00640D6B" w:rsidRDefault="002D6E3C" w:rsidP="0089445C">
      <w:pPr>
        <w:pStyle w:val="Listenabsatz"/>
        <w:numPr>
          <w:ilvl w:val="0"/>
          <w:numId w:val="15"/>
        </w:numPr>
        <w:jc w:val="center"/>
        <w:rPr>
          <w:rFonts w:ascii="Times New Roman" w:hAnsi="Times New Roman"/>
          <w:b/>
          <w:sz w:val="22"/>
          <w:szCs w:val="22"/>
          <w:u w:val="single"/>
          <w:lang w:val="en-US"/>
        </w:rPr>
      </w:pPr>
      <w:r w:rsidRPr="00640D6B">
        <w:rPr>
          <w:rFonts w:ascii="Times New Roman" w:hAnsi="Times New Roman"/>
          <w:b/>
          <w:sz w:val="22"/>
          <w:szCs w:val="22"/>
          <w:u w:val="single"/>
          <w:lang w:val="en-US"/>
        </w:rPr>
        <w:t xml:space="preserve">Content of the GC 26: </w:t>
      </w:r>
    </w:p>
    <w:p w14:paraId="3D94F89F" w14:textId="77777777" w:rsidR="002D6E3C" w:rsidRPr="00640D6B" w:rsidRDefault="002D6E3C" w:rsidP="002D6E3C">
      <w:pPr>
        <w:rPr>
          <w:rFonts w:ascii="Times New Roman" w:hAnsi="Times New Roman"/>
          <w:b/>
          <w:sz w:val="22"/>
          <w:szCs w:val="22"/>
          <w:lang w:val="en-US"/>
        </w:rPr>
      </w:pPr>
    </w:p>
    <w:p w14:paraId="1712C7DA" w14:textId="77777777" w:rsidR="002D6E3C" w:rsidRPr="00640D6B" w:rsidRDefault="002D6E3C" w:rsidP="002D6E3C">
      <w:pPr>
        <w:rPr>
          <w:rFonts w:ascii="Times New Roman" w:hAnsi="Times New Roman"/>
          <w:b/>
          <w:sz w:val="22"/>
          <w:szCs w:val="22"/>
          <w:lang w:val="en-US"/>
        </w:rPr>
      </w:pPr>
    </w:p>
    <w:p w14:paraId="4689B2BD" w14:textId="77777777" w:rsidR="002D6E3C" w:rsidRPr="00640D6B" w:rsidRDefault="007B0BA9" w:rsidP="001573BB">
      <w:pPr>
        <w:numPr>
          <w:ilvl w:val="0"/>
          <w:numId w:val="17"/>
        </w:numPr>
        <w:rPr>
          <w:rFonts w:ascii="Times New Roman" w:hAnsi="Times New Roman"/>
          <w:b/>
          <w:sz w:val="22"/>
          <w:szCs w:val="22"/>
          <w:lang w:val="en-US"/>
        </w:rPr>
      </w:pPr>
      <w:r w:rsidRPr="00640D6B">
        <w:rPr>
          <w:rFonts w:ascii="Times New Roman" w:hAnsi="Times New Roman"/>
          <w:b/>
          <w:sz w:val="22"/>
          <w:szCs w:val="22"/>
          <w:lang w:val="en-US"/>
        </w:rPr>
        <w:t>Para.</w:t>
      </w:r>
      <w:r w:rsidR="002D6E3C" w:rsidRPr="00640D6B">
        <w:rPr>
          <w:rFonts w:ascii="Times New Roman" w:hAnsi="Times New Roman"/>
          <w:b/>
          <w:sz w:val="22"/>
          <w:szCs w:val="22"/>
          <w:lang w:val="en-US"/>
        </w:rPr>
        <w:t xml:space="preserve"> 50. – Children of peasants </w:t>
      </w:r>
      <w:r w:rsidR="00A30D53" w:rsidRPr="00640D6B">
        <w:rPr>
          <w:rFonts w:ascii="Times New Roman" w:hAnsi="Times New Roman"/>
          <w:b/>
          <w:sz w:val="22"/>
          <w:szCs w:val="22"/>
          <w:lang w:val="en-US"/>
        </w:rPr>
        <w:t>and children in rural areas</w:t>
      </w:r>
    </w:p>
    <w:p w14:paraId="2B9ACD82" w14:textId="77777777" w:rsidR="002D6E3C" w:rsidRPr="00640D6B" w:rsidRDefault="002D6E3C" w:rsidP="002D6E3C">
      <w:pPr>
        <w:rPr>
          <w:rFonts w:ascii="Times New Roman" w:hAnsi="Times New Roman"/>
          <w:sz w:val="22"/>
          <w:szCs w:val="22"/>
          <w:lang w:val="en-US"/>
        </w:rPr>
      </w:pPr>
    </w:p>
    <w:p w14:paraId="6CCACDB0" w14:textId="77777777" w:rsidR="002D6E3C" w:rsidRPr="00640D6B" w:rsidRDefault="002D6E3C" w:rsidP="00C20098">
      <w:pPr>
        <w:rPr>
          <w:rFonts w:ascii="Times New Roman" w:hAnsi="Times New Roman"/>
          <w:sz w:val="22"/>
          <w:szCs w:val="22"/>
          <w:lang w:val="en-US"/>
        </w:rPr>
      </w:pPr>
      <w:r w:rsidRPr="00640D6B">
        <w:rPr>
          <w:rFonts w:ascii="Times New Roman" w:hAnsi="Times New Roman"/>
          <w:sz w:val="22"/>
          <w:szCs w:val="22"/>
          <w:lang w:val="en-US"/>
        </w:rPr>
        <w:t xml:space="preserve">We welcome the recognition of the rights of indigenous children, children of peasants and children in rural communities: By mentioning the right of children of peasants and children in rural communities, the GC 26 is also supporting the implementation of the </w:t>
      </w:r>
      <w:hyperlink r:id="rId14" w:history="1">
        <w:r w:rsidRPr="00640D6B">
          <w:rPr>
            <w:rStyle w:val="Hyperlink"/>
            <w:rFonts w:ascii="Times New Roman" w:hAnsi="Times New Roman"/>
            <w:sz w:val="22"/>
            <w:szCs w:val="22"/>
            <w:lang w:val="en-US"/>
          </w:rPr>
          <w:t>UN Declaration on the rights of peasants and other people working in rural areas (UNDROP).</w:t>
        </w:r>
      </w:hyperlink>
    </w:p>
    <w:p w14:paraId="3B41D47F" w14:textId="77777777" w:rsidR="00C73593" w:rsidRDefault="00C73593" w:rsidP="002D6E3C">
      <w:pPr>
        <w:rPr>
          <w:rFonts w:ascii="Times New Roman" w:hAnsi="Times New Roman"/>
          <w:b/>
          <w:sz w:val="22"/>
          <w:szCs w:val="22"/>
          <w:lang w:val="en-US"/>
        </w:rPr>
      </w:pPr>
    </w:p>
    <w:p w14:paraId="6781D3D7" w14:textId="77777777" w:rsidR="002D6E3C" w:rsidRPr="00C73593" w:rsidRDefault="00C46048" w:rsidP="002D6E3C">
      <w:pPr>
        <w:rPr>
          <w:rFonts w:ascii="Times New Roman" w:hAnsi="Times New Roman"/>
          <w:sz w:val="22"/>
          <w:szCs w:val="22"/>
          <w:lang w:val="en-US"/>
        </w:rPr>
      </w:pPr>
      <w:r w:rsidRPr="00640D6B">
        <w:rPr>
          <w:rFonts w:ascii="Times New Roman" w:hAnsi="Times New Roman"/>
          <w:b/>
          <w:sz w:val="22"/>
          <w:szCs w:val="22"/>
          <w:lang w:val="en-US"/>
        </w:rPr>
        <w:t>Recommendation</w:t>
      </w:r>
      <w:r w:rsidR="002D6E3C" w:rsidRPr="00640D6B">
        <w:rPr>
          <w:rFonts w:ascii="Times New Roman" w:hAnsi="Times New Roman"/>
          <w:sz w:val="22"/>
          <w:szCs w:val="22"/>
          <w:lang w:val="en-US"/>
        </w:rPr>
        <w:t xml:space="preserve">: to keep the wording of </w:t>
      </w:r>
      <w:r w:rsidR="007B0BA9" w:rsidRPr="00640D6B">
        <w:rPr>
          <w:rFonts w:ascii="Times New Roman" w:hAnsi="Times New Roman"/>
          <w:sz w:val="22"/>
          <w:szCs w:val="22"/>
          <w:lang w:val="en-US"/>
        </w:rPr>
        <w:t>Para.</w:t>
      </w:r>
      <w:r w:rsidR="002D6E3C" w:rsidRPr="00640D6B">
        <w:rPr>
          <w:rFonts w:ascii="Times New Roman" w:hAnsi="Times New Roman"/>
          <w:sz w:val="22"/>
          <w:szCs w:val="22"/>
          <w:lang w:val="en-US"/>
        </w:rPr>
        <w:t xml:space="preserve"> 50 on the right of children of peasants and children in rural areas and to include the reference to the UNDROP </w:t>
      </w:r>
      <w:r w:rsidR="002D6E3C" w:rsidRPr="00C73593">
        <w:rPr>
          <w:rFonts w:ascii="Times New Roman" w:hAnsi="Times New Roman"/>
          <w:sz w:val="22"/>
          <w:szCs w:val="22"/>
          <w:lang w:val="en-US"/>
        </w:rPr>
        <w:t xml:space="preserve">as a footnote for definition purposes. </w:t>
      </w:r>
    </w:p>
    <w:p w14:paraId="7AA8D8C9" w14:textId="77777777" w:rsidR="001573BB" w:rsidRPr="00640D6B" w:rsidRDefault="001573BB" w:rsidP="002D6E3C">
      <w:pPr>
        <w:rPr>
          <w:rFonts w:ascii="Times New Roman" w:hAnsi="Times New Roman"/>
          <w:sz w:val="22"/>
          <w:szCs w:val="22"/>
          <w:u w:val="single"/>
          <w:lang w:val="en-US"/>
        </w:rPr>
      </w:pPr>
    </w:p>
    <w:p w14:paraId="3A9196A0" w14:textId="77777777" w:rsidR="001573BB" w:rsidRPr="00640D6B" w:rsidRDefault="001573BB" w:rsidP="002D6E3C">
      <w:pPr>
        <w:rPr>
          <w:rFonts w:ascii="Times New Roman" w:hAnsi="Times New Roman"/>
          <w:sz w:val="22"/>
          <w:szCs w:val="22"/>
          <w:u w:val="single"/>
          <w:lang w:val="en-US"/>
        </w:rPr>
      </w:pPr>
    </w:p>
    <w:p w14:paraId="7E4C387C" w14:textId="77777777" w:rsidR="002D6E3C" w:rsidRPr="00640D6B" w:rsidRDefault="002D6E3C" w:rsidP="002D6E3C">
      <w:pPr>
        <w:rPr>
          <w:rFonts w:ascii="Times New Roman" w:hAnsi="Times New Roman"/>
          <w:sz w:val="22"/>
          <w:szCs w:val="22"/>
          <w:u w:val="single"/>
          <w:lang w:val="en-US"/>
        </w:rPr>
      </w:pPr>
    </w:p>
    <w:p w14:paraId="4D1FEE5F" w14:textId="77777777" w:rsidR="002D6E3C" w:rsidRPr="00640D6B" w:rsidRDefault="002D6E3C" w:rsidP="001573BB">
      <w:pPr>
        <w:numPr>
          <w:ilvl w:val="0"/>
          <w:numId w:val="17"/>
        </w:numPr>
        <w:rPr>
          <w:rFonts w:ascii="Times New Roman" w:hAnsi="Times New Roman"/>
          <w:b/>
          <w:sz w:val="22"/>
          <w:szCs w:val="22"/>
          <w:lang w:val="en-US"/>
        </w:rPr>
      </w:pPr>
      <w:r w:rsidRPr="00640D6B">
        <w:rPr>
          <w:rFonts w:ascii="Times New Roman" w:hAnsi="Times New Roman"/>
          <w:b/>
          <w:sz w:val="22"/>
          <w:szCs w:val="22"/>
          <w:lang w:val="en-US"/>
        </w:rPr>
        <w:t>Access to justice (Art 4.)</w:t>
      </w:r>
    </w:p>
    <w:p w14:paraId="5D08A021" w14:textId="77777777" w:rsidR="002D6E3C" w:rsidRPr="00640D6B" w:rsidRDefault="002D6E3C" w:rsidP="002D6E3C">
      <w:pPr>
        <w:rPr>
          <w:rFonts w:ascii="Times New Roman" w:hAnsi="Times New Roman"/>
          <w:b/>
          <w:sz w:val="22"/>
          <w:szCs w:val="22"/>
          <w:lang w:val="en-US"/>
        </w:rPr>
      </w:pPr>
    </w:p>
    <w:p w14:paraId="2EF4083A" w14:textId="77777777" w:rsidR="002D6E3C" w:rsidRPr="00640D6B" w:rsidRDefault="007B0BA9" w:rsidP="002D6E3C">
      <w:pPr>
        <w:rPr>
          <w:rFonts w:ascii="Times New Roman" w:hAnsi="Times New Roman"/>
          <w:b/>
          <w:sz w:val="22"/>
          <w:szCs w:val="22"/>
          <w:lang w:val="en-US"/>
        </w:rPr>
      </w:pPr>
      <w:r w:rsidRPr="00640D6B">
        <w:rPr>
          <w:rFonts w:ascii="Times New Roman" w:hAnsi="Times New Roman"/>
          <w:b/>
          <w:sz w:val="22"/>
          <w:szCs w:val="22"/>
          <w:lang w:val="en-US"/>
        </w:rPr>
        <w:t>Para.</w:t>
      </w:r>
      <w:r w:rsidR="002D6E3C" w:rsidRPr="00640D6B">
        <w:rPr>
          <w:rFonts w:ascii="Times New Roman" w:hAnsi="Times New Roman"/>
          <w:b/>
          <w:sz w:val="22"/>
          <w:szCs w:val="22"/>
          <w:lang w:val="en-US"/>
        </w:rPr>
        <w:t xml:space="preserve"> 66. </w:t>
      </w:r>
    </w:p>
    <w:p w14:paraId="62EC64AC" w14:textId="77777777" w:rsidR="002D6E3C" w:rsidRPr="00640D6B" w:rsidRDefault="002D6E3C" w:rsidP="002D6E3C">
      <w:pPr>
        <w:rPr>
          <w:rFonts w:ascii="Times New Roman" w:hAnsi="Times New Roman"/>
          <w:b/>
          <w:sz w:val="22"/>
          <w:szCs w:val="22"/>
          <w:lang w:val="en-US"/>
        </w:rPr>
      </w:pPr>
    </w:p>
    <w:p w14:paraId="21DEFEE4" w14:textId="77777777" w:rsidR="002D6E3C" w:rsidRPr="00640D6B" w:rsidRDefault="002D6E3C" w:rsidP="00C20098">
      <w:pPr>
        <w:rPr>
          <w:rFonts w:ascii="Times New Roman" w:hAnsi="Times New Roman"/>
          <w:sz w:val="22"/>
          <w:szCs w:val="22"/>
          <w:lang w:val="en-US"/>
        </w:rPr>
      </w:pPr>
      <w:r w:rsidRPr="00640D6B">
        <w:rPr>
          <w:rFonts w:ascii="Times New Roman" w:hAnsi="Times New Roman"/>
          <w:sz w:val="22"/>
          <w:szCs w:val="22"/>
          <w:lang w:val="en-US"/>
        </w:rPr>
        <w:t xml:space="preserve">We support the wording of </w:t>
      </w:r>
      <w:r w:rsidR="007B0BA9" w:rsidRPr="00640D6B">
        <w:rPr>
          <w:rFonts w:ascii="Times New Roman" w:hAnsi="Times New Roman"/>
          <w:sz w:val="22"/>
          <w:szCs w:val="22"/>
          <w:lang w:val="en-US"/>
        </w:rPr>
        <w:t>para.</w:t>
      </w:r>
      <w:r w:rsidRPr="00640D6B">
        <w:rPr>
          <w:rFonts w:ascii="Times New Roman" w:hAnsi="Times New Roman"/>
          <w:sz w:val="22"/>
          <w:szCs w:val="22"/>
          <w:lang w:val="en-US"/>
        </w:rPr>
        <w:t xml:space="preserve"> 66 on financial support for children seeking remedies. Court proceedings related to the right to</w:t>
      </w:r>
      <w:r w:rsidR="00D52642" w:rsidRPr="00D52642">
        <w:rPr>
          <w:rFonts w:ascii="Times New Roman" w:hAnsi="Times New Roman"/>
          <w:sz w:val="22"/>
          <w:szCs w:val="22"/>
          <w:lang w:val="en-US"/>
        </w:rPr>
        <w:t xml:space="preserve"> clean, healthy, and sustainable </w:t>
      </w:r>
      <w:r w:rsidRPr="00640D6B">
        <w:rPr>
          <w:rFonts w:ascii="Times New Roman" w:hAnsi="Times New Roman"/>
          <w:sz w:val="22"/>
          <w:szCs w:val="22"/>
          <w:lang w:val="en-US"/>
        </w:rPr>
        <w:t xml:space="preserve">environment by child plaintiffs will become more frequent in the future. </w:t>
      </w:r>
    </w:p>
    <w:p w14:paraId="02E53398" w14:textId="77777777" w:rsidR="008F069E" w:rsidRPr="00640D6B" w:rsidRDefault="008F069E" w:rsidP="002D6E3C">
      <w:pPr>
        <w:rPr>
          <w:rFonts w:ascii="Times New Roman" w:hAnsi="Times New Roman"/>
          <w:b/>
          <w:sz w:val="22"/>
          <w:szCs w:val="22"/>
          <w:lang w:val="en-US"/>
        </w:rPr>
      </w:pPr>
    </w:p>
    <w:p w14:paraId="2DF8FBA0" w14:textId="77777777" w:rsidR="002D6E3C" w:rsidRPr="00640D6B" w:rsidRDefault="00C46048" w:rsidP="002D6E3C">
      <w:pPr>
        <w:rPr>
          <w:rFonts w:ascii="Times New Roman" w:hAnsi="Times New Roman"/>
          <w:sz w:val="22"/>
          <w:szCs w:val="22"/>
          <w:lang w:val="en-US"/>
        </w:rPr>
      </w:pPr>
      <w:r w:rsidRPr="00640D6B">
        <w:rPr>
          <w:rFonts w:ascii="Times New Roman" w:hAnsi="Times New Roman"/>
          <w:b/>
          <w:sz w:val="22"/>
          <w:szCs w:val="22"/>
          <w:lang w:val="en-US"/>
        </w:rPr>
        <w:t>Recommendation</w:t>
      </w:r>
      <w:r w:rsidR="002D6E3C" w:rsidRPr="00640D6B">
        <w:rPr>
          <w:rFonts w:ascii="Times New Roman" w:hAnsi="Times New Roman"/>
          <w:sz w:val="22"/>
          <w:szCs w:val="22"/>
          <w:lang w:val="en-US"/>
        </w:rPr>
        <w:t xml:space="preserve">: </w:t>
      </w:r>
    </w:p>
    <w:p w14:paraId="43DA05D0" w14:textId="77777777" w:rsidR="002D6E3C" w:rsidRPr="00640D6B" w:rsidRDefault="002D6E3C" w:rsidP="002D6E3C">
      <w:pPr>
        <w:rPr>
          <w:rFonts w:ascii="Times New Roman" w:hAnsi="Times New Roman"/>
          <w:sz w:val="22"/>
          <w:szCs w:val="22"/>
          <w:lang w:val="en-US"/>
        </w:rPr>
      </w:pPr>
    </w:p>
    <w:p w14:paraId="1E1DE17E" w14:textId="46EEEDFA" w:rsidR="002D6E3C" w:rsidRPr="00640D6B" w:rsidRDefault="00EC17DD" w:rsidP="002D6E3C">
      <w:pPr>
        <w:numPr>
          <w:ilvl w:val="0"/>
          <w:numId w:val="14"/>
        </w:numPr>
        <w:rPr>
          <w:rFonts w:ascii="Times New Roman" w:hAnsi="Times New Roman"/>
          <w:sz w:val="22"/>
          <w:szCs w:val="22"/>
          <w:lang w:val="en-US"/>
        </w:rPr>
      </w:pPr>
      <w:r>
        <w:rPr>
          <w:rFonts w:ascii="Times New Roman" w:hAnsi="Times New Roman"/>
          <w:sz w:val="22"/>
          <w:szCs w:val="22"/>
          <w:lang w:val="en-US"/>
        </w:rPr>
        <w:t>T</w:t>
      </w:r>
      <w:r w:rsidR="002D6E3C" w:rsidRPr="00640D6B">
        <w:rPr>
          <w:rFonts w:ascii="Times New Roman" w:hAnsi="Times New Roman"/>
          <w:sz w:val="22"/>
          <w:szCs w:val="22"/>
          <w:lang w:val="en-US"/>
        </w:rPr>
        <w:t>o consider the option for States to establish – at national, regional or international level - a fund to cover the costs of children seeking remedies.</w:t>
      </w:r>
    </w:p>
    <w:p w14:paraId="7B606BF2" w14:textId="4FAD3EFF" w:rsidR="002D6E3C" w:rsidRPr="00640D6B" w:rsidRDefault="00EC17DD" w:rsidP="002D6E3C">
      <w:pPr>
        <w:numPr>
          <w:ilvl w:val="0"/>
          <w:numId w:val="14"/>
        </w:numPr>
        <w:rPr>
          <w:rFonts w:ascii="Times New Roman" w:hAnsi="Times New Roman"/>
          <w:sz w:val="22"/>
          <w:szCs w:val="22"/>
          <w:lang w:val="en-US"/>
        </w:rPr>
      </w:pPr>
      <w:r w:rsidRPr="00640D6B">
        <w:rPr>
          <w:rFonts w:ascii="Times New Roman" w:hAnsi="Times New Roman"/>
          <w:sz w:val="22"/>
          <w:szCs w:val="22"/>
          <w:lang w:val="en-US"/>
        </w:rPr>
        <w:t>Regarding</w:t>
      </w:r>
      <w:r w:rsidR="002D6E3C" w:rsidRPr="00640D6B">
        <w:rPr>
          <w:rFonts w:ascii="Times New Roman" w:hAnsi="Times New Roman"/>
          <w:sz w:val="22"/>
          <w:szCs w:val="22"/>
          <w:lang w:val="en-US"/>
        </w:rPr>
        <w:t xml:space="preserve"> grievance mechanism - to highlight that the granting of effective grievance mechanism by businesses should never exclude the right to access judicial mechanism.</w:t>
      </w:r>
    </w:p>
    <w:p w14:paraId="3D1A2690" w14:textId="77777777" w:rsidR="002D6E3C" w:rsidRPr="00640D6B" w:rsidRDefault="002D6E3C" w:rsidP="002D6E3C">
      <w:pPr>
        <w:rPr>
          <w:rFonts w:ascii="Times New Roman" w:hAnsi="Times New Roman"/>
          <w:sz w:val="22"/>
          <w:szCs w:val="22"/>
          <w:lang w:val="en-US"/>
        </w:rPr>
      </w:pPr>
    </w:p>
    <w:p w14:paraId="2F4641B3" w14:textId="77777777" w:rsidR="002D6E3C" w:rsidRPr="00640D6B" w:rsidRDefault="007B0BA9" w:rsidP="002D6E3C">
      <w:pPr>
        <w:rPr>
          <w:rFonts w:ascii="Times New Roman" w:hAnsi="Times New Roman"/>
          <w:b/>
          <w:sz w:val="22"/>
          <w:szCs w:val="22"/>
          <w:lang w:val="en-US"/>
        </w:rPr>
      </w:pPr>
      <w:r w:rsidRPr="00640D6B">
        <w:rPr>
          <w:rFonts w:ascii="Times New Roman" w:hAnsi="Times New Roman"/>
          <w:b/>
          <w:sz w:val="22"/>
          <w:szCs w:val="22"/>
          <w:lang w:val="en-US"/>
        </w:rPr>
        <w:t>Para.</w:t>
      </w:r>
      <w:r w:rsidR="002D6E3C" w:rsidRPr="00640D6B">
        <w:rPr>
          <w:rFonts w:ascii="Times New Roman" w:hAnsi="Times New Roman"/>
          <w:b/>
          <w:sz w:val="22"/>
          <w:szCs w:val="22"/>
          <w:lang w:val="en-US"/>
        </w:rPr>
        <w:t xml:space="preserve"> 67.</w:t>
      </w:r>
    </w:p>
    <w:p w14:paraId="35532C45" w14:textId="77777777" w:rsidR="002D6E3C" w:rsidRPr="00640D6B" w:rsidRDefault="002D6E3C" w:rsidP="002D6E3C">
      <w:pPr>
        <w:rPr>
          <w:rFonts w:ascii="Times New Roman" w:hAnsi="Times New Roman"/>
          <w:sz w:val="22"/>
          <w:szCs w:val="22"/>
          <w:lang w:val="en-US"/>
        </w:rPr>
      </w:pPr>
    </w:p>
    <w:p w14:paraId="52D62E67" w14:textId="77777777" w:rsidR="002D6E3C" w:rsidRDefault="002D6E3C" w:rsidP="00C20098">
      <w:pPr>
        <w:rPr>
          <w:rFonts w:ascii="Times New Roman" w:hAnsi="Times New Roman"/>
          <w:sz w:val="22"/>
          <w:szCs w:val="22"/>
          <w:lang w:val="en-US"/>
        </w:rPr>
      </w:pPr>
      <w:r w:rsidRPr="00640D6B">
        <w:rPr>
          <w:rFonts w:ascii="Times New Roman" w:hAnsi="Times New Roman"/>
          <w:sz w:val="22"/>
          <w:szCs w:val="22"/>
          <w:lang w:val="en-US"/>
        </w:rPr>
        <w:t xml:space="preserve">Collecting proofs in environmental and climate matters can be very difficult, especially in cross border cases. </w:t>
      </w:r>
    </w:p>
    <w:p w14:paraId="7DBF0F5D" w14:textId="77777777" w:rsidR="00C73593" w:rsidRPr="00640D6B" w:rsidRDefault="00C73593" w:rsidP="00EC17DD">
      <w:pPr>
        <w:ind w:left="720"/>
        <w:rPr>
          <w:rFonts w:ascii="Times New Roman" w:hAnsi="Times New Roman"/>
          <w:sz w:val="22"/>
          <w:szCs w:val="22"/>
          <w:lang w:val="en-US"/>
        </w:rPr>
      </w:pPr>
    </w:p>
    <w:p w14:paraId="25BD5CD8" w14:textId="77777777" w:rsidR="002D6E3C" w:rsidRPr="00640D6B" w:rsidRDefault="00C46048" w:rsidP="002D6E3C">
      <w:pPr>
        <w:rPr>
          <w:rFonts w:ascii="Times New Roman" w:hAnsi="Times New Roman"/>
          <w:sz w:val="22"/>
          <w:szCs w:val="22"/>
          <w:lang w:val="en-US"/>
        </w:rPr>
      </w:pPr>
      <w:r w:rsidRPr="00640D6B">
        <w:rPr>
          <w:rFonts w:ascii="Times New Roman" w:hAnsi="Times New Roman"/>
          <w:b/>
          <w:sz w:val="22"/>
          <w:szCs w:val="22"/>
          <w:lang w:val="en-US"/>
        </w:rPr>
        <w:t>Recommendation</w:t>
      </w:r>
      <w:r w:rsidR="002D6E3C" w:rsidRPr="00640D6B">
        <w:rPr>
          <w:rFonts w:ascii="Times New Roman" w:hAnsi="Times New Roman"/>
          <w:b/>
          <w:sz w:val="22"/>
          <w:szCs w:val="22"/>
          <w:lang w:val="en-US"/>
        </w:rPr>
        <w:t>:</w:t>
      </w:r>
      <w:r w:rsidR="002D6E3C" w:rsidRPr="00640D6B">
        <w:rPr>
          <w:rFonts w:ascii="Times New Roman" w:hAnsi="Times New Roman"/>
          <w:sz w:val="22"/>
          <w:szCs w:val="22"/>
          <w:lang w:val="en-US"/>
        </w:rPr>
        <w:t xml:space="preserve"> the wording of </w:t>
      </w:r>
      <w:r w:rsidR="007B0BA9" w:rsidRPr="00640D6B">
        <w:rPr>
          <w:rFonts w:ascii="Times New Roman" w:hAnsi="Times New Roman"/>
          <w:sz w:val="22"/>
          <w:szCs w:val="22"/>
          <w:lang w:val="en-US"/>
        </w:rPr>
        <w:t>para.</w:t>
      </w:r>
      <w:r w:rsidR="002D6E3C" w:rsidRPr="00640D6B">
        <w:rPr>
          <w:rFonts w:ascii="Times New Roman" w:hAnsi="Times New Roman"/>
          <w:sz w:val="22"/>
          <w:szCs w:val="22"/>
          <w:lang w:val="en-US"/>
        </w:rPr>
        <w:t xml:space="preserve"> 67 should address the option of a reversal of burden of proof and not only the </w:t>
      </w:r>
      <w:r w:rsidR="002D6E3C" w:rsidRPr="00640D6B">
        <w:rPr>
          <w:rFonts w:ascii="Times New Roman" w:hAnsi="Times New Roman"/>
          <w:i/>
          <w:sz w:val="22"/>
          <w:szCs w:val="22"/>
          <w:lang w:val="en-US"/>
        </w:rPr>
        <w:t xml:space="preserve">options to reduce the onerous burden of proof on child plaintiffs. </w:t>
      </w:r>
    </w:p>
    <w:p w14:paraId="6C9FA042" w14:textId="77777777" w:rsidR="002D6E3C" w:rsidRPr="00640D6B" w:rsidRDefault="002D6E3C" w:rsidP="002D6E3C">
      <w:pPr>
        <w:rPr>
          <w:rFonts w:ascii="Times New Roman" w:hAnsi="Times New Roman"/>
          <w:sz w:val="22"/>
          <w:szCs w:val="22"/>
          <w:u w:val="single"/>
          <w:lang w:val="en-US"/>
        </w:rPr>
      </w:pPr>
    </w:p>
    <w:p w14:paraId="42D4035B" w14:textId="77777777" w:rsidR="002D6E3C" w:rsidRPr="00640D6B" w:rsidRDefault="005A1805" w:rsidP="005A1805">
      <w:pPr>
        <w:numPr>
          <w:ilvl w:val="0"/>
          <w:numId w:val="17"/>
        </w:numPr>
        <w:rPr>
          <w:rFonts w:ascii="Times New Roman" w:hAnsi="Times New Roman"/>
          <w:b/>
          <w:sz w:val="22"/>
          <w:szCs w:val="22"/>
          <w:lang w:val="en-US"/>
        </w:rPr>
      </w:pPr>
      <w:r w:rsidRPr="00640D6B">
        <w:rPr>
          <w:rFonts w:ascii="Times New Roman" w:hAnsi="Times New Roman"/>
          <w:b/>
          <w:sz w:val="22"/>
          <w:szCs w:val="22"/>
          <w:lang w:val="en-US"/>
        </w:rPr>
        <w:t>Promoting a sustainable food system in the context of climate change in the GC 26</w:t>
      </w:r>
    </w:p>
    <w:p w14:paraId="5A918BCE" w14:textId="77777777" w:rsidR="00F130FE" w:rsidRPr="00640D6B" w:rsidRDefault="00F130FE" w:rsidP="002D6E3C">
      <w:pPr>
        <w:rPr>
          <w:rFonts w:ascii="Times New Roman" w:hAnsi="Times New Roman"/>
          <w:sz w:val="22"/>
          <w:szCs w:val="22"/>
          <w:u w:val="single"/>
          <w:lang w:val="en-US"/>
        </w:rPr>
      </w:pPr>
    </w:p>
    <w:p w14:paraId="1CAD3E32" w14:textId="77777777" w:rsidR="00F130FE" w:rsidRPr="00640D6B" w:rsidRDefault="00F130FE" w:rsidP="002D6E3C">
      <w:pPr>
        <w:rPr>
          <w:rFonts w:ascii="Times New Roman" w:hAnsi="Times New Roman"/>
          <w:sz w:val="22"/>
          <w:szCs w:val="22"/>
          <w:u w:val="single"/>
          <w:lang w:val="en-US"/>
        </w:rPr>
      </w:pPr>
      <w:r w:rsidRPr="00640D6B">
        <w:rPr>
          <w:rFonts w:ascii="Times New Roman" w:hAnsi="Times New Roman"/>
          <w:i/>
          <w:sz w:val="22"/>
          <w:szCs w:val="22"/>
          <w:lang w:val="en-US"/>
        </w:rPr>
        <w:t>“Without lowering emissions coming from the entire food chain, we cannot keep 1.5°C alive. Equally, unless we address the ongoing climate crisis, our food system will be at risk.”</w:t>
      </w:r>
      <w:r w:rsidRPr="00640D6B">
        <w:rPr>
          <w:rFonts w:ascii="Times New Roman" w:hAnsi="Times New Roman"/>
          <w:sz w:val="22"/>
          <w:szCs w:val="22"/>
          <w:lang w:val="en-US"/>
        </w:rPr>
        <w:t xml:space="preserve"> UN Climate Change Executive Secretary Simon </w:t>
      </w:r>
      <w:proofErr w:type="spellStart"/>
      <w:r w:rsidRPr="00640D6B">
        <w:rPr>
          <w:rFonts w:ascii="Times New Roman" w:hAnsi="Times New Roman"/>
          <w:sz w:val="22"/>
          <w:szCs w:val="22"/>
          <w:lang w:val="en-US"/>
        </w:rPr>
        <w:t>Stiell</w:t>
      </w:r>
      <w:proofErr w:type="spellEnd"/>
      <w:r w:rsidRPr="00640D6B">
        <w:rPr>
          <w:rFonts w:ascii="Times New Roman" w:hAnsi="Times New Roman"/>
          <w:sz w:val="22"/>
          <w:szCs w:val="22"/>
          <w:lang w:val="en-US"/>
        </w:rPr>
        <w:t xml:space="preserve"> during the COP 27.</w:t>
      </w:r>
      <w:r w:rsidRPr="00640D6B">
        <w:rPr>
          <w:rStyle w:val="Funotenzeichen"/>
          <w:rFonts w:ascii="Times New Roman" w:hAnsi="Times New Roman"/>
          <w:sz w:val="22"/>
          <w:szCs w:val="22"/>
          <w:lang w:val="en-US"/>
        </w:rPr>
        <w:footnoteReference w:id="1"/>
      </w:r>
    </w:p>
    <w:p w14:paraId="3D37CE45" w14:textId="77777777" w:rsidR="00F130FE" w:rsidRPr="00640D6B" w:rsidRDefault="00F130FE" w:rsidP="002D6E3C">
      <w:pPr>
        <w:rPr>
          <w:rFonts w:ascii="Times New Roman" w:hAnsi="Times New Roman"/>
          <w:sz w:val="22"/>
          <w:szCs w:val="22"/>
          <w:u w:val="single"/>
          <w:lang w:val="en-US"/>
        </w:rPr>
      </w:pPr>
    </w:p>
    <w:p w14:paraId="20F0F932" w14:textId="77777777" w:rsidR="002D6E3C" w:rsidRPr="00640D6B" w:rsidRDefault="008F069E" w:rsidP="00C20098">
      <w:pPr>
        <w:rPr>
          <w:rFonts w:ascii="Times New Roman" w:hAnsi="Times New Roman"/>
          <w:sz w:val="22"/>
          <w:szCs w:val="22"/>
          <w:lang w:val="en-US"/>
        </w:rPr>
      </w:pPr>
      <w:r w:rsidRPr="00640D6B">
        <w:rPr>
          <w:rFonts w:ascii="Times New Roman" w:hAnsi="Times New Roman"/>
          <w:sz w:val="22"/>
          <w:szCs w:val="22"/>
          <w:lang w:val="en-US"/>
        </w:rPr>
        <w:t>Regarding para. 72</w:t>
      </w:r>
      <w:r w:rsidR="00E74A41" w:rsidRPr="00640D6B">
        <w:rPr>
          <w:rFonts w:ascii="Times New Roman" w:hAnsi="Times New Roman"/>
          <w:sz w:val="22"/>
          <w:szCs w:val="22"/>
          <w:lang w:val="en-US"/>
        </w:rPr>
        <w:t xml:space="preserve"> and para. 73</w:t>
      </w:r>
      <w:r w:rsidRPr="00640D6B">
        <w:rPr>
          <w:rFonts w:ascii="Times New Roman" w:hAnsi="Times New Roman"/>
          <w:sz w:val="22"/>
          <w:szCs w:val="22"/>
          <w:lang w:val="en-US"/>
        </w:rPr>
        <w:t xml:space="preserve"> </w:t>
      </w:r>
      <w:r w:rsidR="002D6E3C" w:rsidRPr="00640D6B">
        <w:rPr>
          <w:rFonts w:ascii="Times New Roman" w:hAnsi="Times New Roman"/>
          <w:sz w:val="22"/>
          <w:szCs w:val="22"/>
          <w:lang w:val="en-US"/>
        </w:rPr>
        <w:t xml:space="preserve">c) Transform industrial agriculture </w:t>
      </w:r>
      <w:r w:rsidRPr="00640D6B">
        <w:rPr>
          <w:rFonts w:ascii="Times New Roman" w:hAnsi="Times New Roman"/>
          <w:sz w:val="22"/>
          <w:szCs w:val="22"/>
          <w:lang w:val="en-US"/>
        </w:rPr>
        <w:t xml:space="preserve">- </w:t>
      </w:r>
    </w:p>
    <w:p w14:paraId="5794BB9E" w14:textId="77777777" w:rsidR="00393148" w:rsidRPr="00640D6B" w:rsidRDefault="00393148" w:rsidP="002D6E3C">
      <w:pPr>
        <w:rPr>
          <w:rFonts w:ascii="Times New Roman" w:hAnsi="Times New Roman"/>
          <w:b/>
          <w:sz w:val="22"/>
          <w:szCs w:val="22"/>
          <w:lang w:val="en-US"/>
        </w:rPr>
      </w:pPr>
    </w:p>
    <w:p w14:paraId="7FEE8F09" w14:textId="5F4E3983" w:rsidR="002D6E3C" w:rsidRPr="00640D6B" w:rsidRDefault="00C46048" w:rsidP="00111920">
      <w:pPr>
        <w:jc w:val="both"/>
        <w:rPr>
          <w:rFonts w:ascii="Times New Roman" w:hAnsi="Times New Roman"/>
          <w:sz w:val="22"/>
          <w:szCs w:val="22"/>
          <w:lang w:val="en-US"/>
        </w:rPr>
      </w:pPr>
      <w:r w:rsidRPr="00640D6B">
        <w:rPr>
          <w:rFonts w:ascii="Times New Roman" w:hAnsi="Times New Roman"/>
          <w:b/>
          <w:sz w:val="22"/>
          <w:szCs w:val="22"/>
          <w:lang w:val="en-US"/>
        </w:rPr>
        <w:lastRenderedPageBreak/>
        <w:t>Recommendation</w:t>
      </w:r>
      <w:r w:rsidR="002D6E3C" w:rsidRPr="00640D6B">
        <w:rPr>
          <w:rFonts w:ascii="Times New Roman" w:hAnsi="Times New Roman"/>
          <w:b/>
          <w:sz w:val="22"/>
          <w:szCs w:val="22"/>
          <w:lang w:val="en-US"/>
        </w:rPr>
        <w:t xml:space="preserve">: </w:t>
      </w:r>
      <w:r w:rsidR="00393148" w:rsidRPr="00640D6B">
        <w:rPr>
          <w:rFonts w:ascii="Times New Roman" w:hAnsi="Times New Roman"/>
          <w:sz w:val="22"/>
          <w:szCs w:val="22"/>
          <w:lang w:val="en-US"/>
        </w:rPr>
        <w:t>The GC 26 could</w:t>
      </w:r>
      <w:r w:rsidR="00C73593">
        <w:rPr>
          <w:rFonts w:ascii="Times New Roman" w:hAnsi="Times New Roman"/>
          <w:sz w:val="22"/>
          <w:szCs w:val="22"/>
          <w:lang w:val="en-US"/>
        </w:rPr>
        <w:t>, not only mention</w:t>
      </w:r>
      <w:r w:rsidR="00EC17DD">
        <w:rPr>
          <w:rFonts w:ascii="Times New Roman" w:hAnsi="Times New Roman"/>
          <w:sz w:val="22"/>
          <w:szCs w:val="22"/>
          <w:lang w:val="en-US"/>
        </w:rPr>
        <w:t>,</w:t>
      </w:r>
      <w:r w:rsidR="00C73593">
        <w:rPr>
          <w:rFonts w:ascii="Times New Roman" w:hAnsi="Times New Roman"/>
          <w:sz w:val="22"/>
          <w:szCs w:val="22"/>
          <w:lang w:val="en-US"/>
        </w:rPr>
        <w:t xml:space="preserve"> but also</w:t>
      </w:r>
      <w:r w:rsidR="00393148" w:rsidRPr="00640D6B">
        <w:rPr>
          <w:rFonts w:ascii="Times New Roman" w:hAnsi="Times New Roman"/>
          <w:sz w:val="22"/>
          <w:szCs w:val="22"/>
          <w:lang w:val="en-US"/>
        </w:rPr>
        <w:t xml:space="preserve"> elaborate more on the </w:t>
      </w:r>
      <w:r w:rsidR="00111920" w:rsidRPr="00640D6B">
        <w:rPr>
          <w:rFonts w:ascii="Times New Roman" w:hAnsi="Times New Roman"/>
          <w:sz w:val="22"/>
          <w:szCs w:val="22"/>
          <w:lang w:val="en-US"/>
        </w:rPr>
        <w:t>form</w:t>
      </w:r>
      <w:r w:rsidR="00393148" w:rsidRPr="00640D6B">
        <w:rPr>
          <w:rFonts w:ascii="Times New Roman" w:hAnsi="Times New Roman"/>
          <w:sz w:val="22"/>
          <w:szCs w:val="22"/>
          <w:lang w:val="en-US"/>
        </w:rPr>
        <w:t xml:space="preserve"> of agriculture and food system that would be more</w:t>
      </w:r>
      <w:r w:rsidR="00111920" w:rsidRPr="00640D6B">
        <w:rPr>
          <w:rFonts w:ascii="Times New Roman" w:hAnsi="Times New Roman"/>
          <w:sz w:val="22"/>
          <w:szCs w:val="22"/>
          <w:lang w:val="en-US"/>
        </w:rPr>
        <w:t xml:space="preserve"> biodiversity -, environmentally -,</w:t>
      </w:r>
      <w:r w:rsidR="00393148" w:rsidRPr="00640D6B">
        <w:rPr>
          <w:rFonts w:ascii="Times New Roman" w:hAnsi="Times New Roman"/>
          <w:sz w:val="22"/>
          <w:szCs w:val="22"/>
          <w:lang w:val="en-US"/>
        </w:rPr>
        <w:t xml:space="preserve"> climate friendly. In the report A/HRC/34/48</w:t>
      </w:r>
      <w:r w:rsidR="003C626B" w:rsidRPr="00640D6B">
        <w:rPr>
          <w:rFonts w:ascii="Times New Roman" w:hAnsi="Times New Roman"/>
          <w:sz w:val="22"/>
          <w:szCs w:val="22"/>
          <w:lang w:val="en-US"/>
        </w:rPr>
        <w:t xml:space="preserve">, </w:t>
      </w:r>
      <w:r w:rsidR="00393148" w:rsidRPr="00640D6B">
        <w:rPr>
          <w:rFonts w:ascii="Times New Roman" w:hAnsi="Times New Roman"/>
          <w:sz w:val="22"/>
          <w:szCs w:val="22"/>
          <w:lang w:val="en-US"/>
        </w:rPr>
        <w:t xml:space="preserve">the Special Rapporteur on the right to food </w:t>
      </w:r>
      <w:r w:rsidR="00111920" w:rsidRPr="00640D6B">
        <w:rPr>
          <w:rFonts w:ascii="Times New Roman" w:hAnsi="Times New Roman"/>
          <w:sz w:val="22"/>
          <w:szCs w:val="22"/>
          <w:lang w:val="en-US"/>
        </w:rPr>
        <w:t>presented Agroecology and agroecological farming as an important alternative</w:t>
      </w:r>
      <w:r w:rsidR="003C626B" w:rsidRPr="00640D6B">
        <w:rPr>
          <w:rFonts w:ascii="Times New Roman" w:hAnsi="Times New Roman"/>
          <w:sz w:val="22"/>
          <w:szCs w:val="22"/>
          <w:lang w:val="en-US"/>
        </w:rPr>
        <w:t xml:space="preserve"> to industrial agriculture.</w:t>
      </w:r>
      <w:r w:rsidR="00111920" w:rsidRPr="00640D6B">
        <w:rPr>
          <w:rFonts w:ascii="Times New Roman" w:hAnsi="Times New Roman"/>
          <w:sz w:val="22"/>
          <w:szCs w:val="22"/>
          <w:lang w:val="en-US"/>
        </w:rPr>
        <w:t xml:space="preserve"> (see para 92. and para 95. in A/HRC/34/48)</w:t>
      </w:r>
      <w:r w:rsidR="005F1763" w:rsidRPr="00640D6B">
        <w:rPr>
          <w:rStyle w:val="Funotenzeichen"/>
          <w:rFonts w:ascii="Times New Roman" w:hAnsi="Times New Roman"/>
          <w:sz w:val="22"/>
          <w:szCs w:val="22"/>
          <w:lang w:val="en-US"/>
        </w:rPr>
        <w:footnoteReference w:id="2"/>
      </w:r>
      <w:r w:rsidR="00111920" w:rsidRPr="00640D6B">
        <w:rPr>
          <w:rFonts w:ascii="Times New Roman" w:hAnsi="Times New Roman"/>
          <w:sz w:val="22"/>
          <w:szCs w:val="22"/>
          <w:lang w:val="en-US"/>
        </w:rPr>
        <w:t>.</w:t>
      </w:r>
    </w:p>
    <w:p w14:paraId="7DF24906" w14:textId="77777777" w:rsidR="002D6E3C" w:rsidRPr="00640D6B" w:rsidRDefault="002D6E3C" w:rsidP="002D6E3C">
      <w:pPr>
        <w:rPr>
          <w:rFonts w:ascii="Times New Roman" w:hAnsi="Times New Roman"/>
          <w:sz w:val="22"/>
          <w:szCs w:val="22"/>
          <w:u w:val="single"/>
          <w:lang w:val="en-US"/>
        </w:rPr>
      </w:pPr>
    </w:p>
    <w:p w14:paraId="52E855A7" w14:textId="77777777" w:rsidR="00116360" w:rsidRPr="00640D6B" w:rsidRDefault="00814F4C" w:rsidP="00116360">
      <w:pPr>
        <w:rPr>
          <w:rFonts w:ascii="Times New Roman" w:hAnsi="Times New Roman"/>
          <w:sz w:val="22"/>
          <w:szCs w:val="22"/>
          <w:u w:val="single"/>
          <w:lang w:val="en-US"/>
        </w:rPr>
      </w:pPr>
      <w:r w:rsidRPr="00640D6B">
        <w:rPr>
          <w:rFonts w:ascii="Times New Roman" w:hAnsi="Times New Roman"/>
          <w:sz w:val="22"/>
          <w:szCs w:val="22"/>
          <w:lang w:val="en-US"/>
        </w:rPr>
        <w:t xml:space="preserve">A/HRC/34/48 </w:t>
      </w:r>
      <w:r w:rsidR="00116360" w:rsidRPr="00640D6B">
        <w:rPr>
          <w:rFonts w:ascii="Times New Roman" w:hAnsi="Times New Roman"/>
          <w:sz w:val="22"/>
          <w:szCs w:val="22"/>
          <w:u w:val="single"/>
          <w:lang w:val="en-US"/>
        </w:rPr>
        <w:t>Para. 95:</w:t>
      </w:r>
    </w:p>
    <w:p w14:paraId="362AC5DB" w14:textId="77777777" w:rsidR="00116360" w:rsidRPr="00640D6B" w:rsidRDefault="00116360" w:rsidP="00116360">
      <w:pPr>
        <w:rPr>
          <w:rFonts w:ascii="Times New Roman" w:hAnsi="Times New Roman"/>
          <w:i/>
          <w:sz w:val="22"/>
          <w:szCs w:val="22"/>
          <w:lang w:val="en-US"/>
        </w:rPr>
      </w:pPr>
      <w:r w:rsidRPr="00640D6B">
        <w:rPr>
          <w:rFonts w:ascii="Times New Roman" w:hAnsi="Times New Roman"/>
          <w:i/>
          <w:sz w:val="22"/>
          <w:szCs w:val="22"/>
          <w:lang w:val="en-US"/>
        </w:rPr>
        <w:t>Agroecological farming can help secure livelihoods for smallholder farmers and</w:t>
      </w:r>
      <w:r w:rsidR="001E2394" w:rsidRPr="00640D6B">
        <w:rPr>
          <w:rFonts w:ascii="Times New Roman" w:hAnsi="Times New Roman"/>
          <w:i/>
          <w:sz w:val="22"/>
          <w:szCs w:val="22"/>
          <w:lang w:val="en-US"/>
        </w:rPr>
        <w:t xml:space="preserve"> </w:t>
      </w:r>
      <w:r w:rsidRPr="00640D6B">
        <w:rPr>
          <w:rFonts w:ascii="Times New Roman" w:hAnsi="Times New Roman"/>
          <w:i/>
          <w:sz w:val="22"/>
          <w:szCs w:val="22"/>
          <w:lang w:val="en-US"/>
        </w:rPr>
        <w:t>those living in poverty, including women, because there is no heavy reliance on expensive</w:t>
      </w:r>
      <w:r w:rsidR="001E2394" w:rsidRPr="00640D6B">
        <w:rPr>
          <w:rFonts w:ascii="Times New Roman" w:hAnsi="Times New Roman"/>
          <w:i/>
          <w:sz w:val="22"/>
          <w:szCs w:val="22"/>
          <w:lang w:val="en-US"/>
        </w:rPr>
        <w:t xml:space="preserve"> </w:t>
      </w:r>
      <w:r w:rsidRPr="00640D6B">
        <w:rPr>
          <w:rFonts w:ascii="Times New Roman" w:hAnsi="Times New Roman"/>
          <w:i/>
          <w:sz w:val="22"/>
          <w:szCs w:val="22"/>
          <w:lang w:val="en-US"/>
        </w:rPr>
        <w:t>external inputs. If properly managed, biodiversity and efficient use of resources can enable</w:t>
      </w:r>
      <w:r w:rsidR="001E2394" w:rsidRPr="00640D6B">
        <w:rPr>
          <w:rFonts w:ascii="Times New Roman" w:hAnsi="Times New Roman"/>
          <w:i/>
          <w:sz w:val="22"/>
          <w:szCs w:val="22"/>
          <w:lang w:val="en-US"/>
        </w:rPr>
        <w:t xml:space="preserve"> </w:t>
      </w:r>
      <w:r w:rsidRPr="00640D6B">
        <w:rPr>
          <w:rFonts w:ascii="Times New Roman" w:hAnsi="Times New Roman"/>
          <w:i/>
          <w:sz w:val="22"/>
          <w:szCs w:val="22"/>
          <w:lang w:val="en-US"/>
        </w:rPr>
        <w:t>smallholder</w:t>
      </w:r>
      <w:r w:rsidR="001E2394" w:rsidRPr="00640D6B">
        <w:rPr>
          <w:rFonts w:ascii="Times New Roman" w:hAnsi="Times New Roman"/>
          <w:i/>
          <w:sz w:val="22"/>
          <w:szCs w:val="22"/>
          <w:lang w:val="en-US"/>
        </w:rPr>
        <w:t xml:space="preserve"> </w:t>
      </w:r>
      <w:r w:rsidRPr="00640D6B">
        <w:rPr>
          <w:rFonts w:ascii="Times New Roman" w:hAnsi="Times New Roman"/>
          <w:i/>
          <w:sz w:val="22"/>
          <w:szCs w:val="22"/>
          <w:lang w:val="en-US"/>
        </w:rPr>
        <w:t>farms to be more productive per hectare than large industrial farms (A/HRC/16/49).</w:t>
      </w:r>
    </w:p>
    <w:p w14:paraId="21F52266" w14:textId="77777777" w:rsidR="001E2394" w:rsidRPr="00640D6B" w:rsidRDefault="001E2394" w:rsidP="00116360">
      <w:pPr>
        <w:rPr>
          <w:rFonts w:ascii="Times New Roman" w:hAnsi="Times New Roman"/>
          <w:sz w:val="22"/>
          <w:szCs w:val="22"/>
          <w:lang w:val="en-US"/>
        </w:rPr>
      </w:pPr>
    </w:p>
    <w:p w14:paraId="5435739A" w14:textId="77777777" w:rsidR="001E2394" w:rsidRPr="00640D6B" w:rsidRDefault="001E2394" w:rsidP="00116360">
      <w:pPr>
        <w:rPr>
          <w:rFonts w:ascii="Times New Roman" w:hAnsi="Times New Roman"/>
          <w:sz w:val="22"/>
          <w:szCs w:val="22"/>
          <w:lang w:val="en-US"/>
        </w:rPr>
      </w:pPr>
    </w:p>
    <w:p w14:paraId="21A0BEE7" w14:textId="650A6DDA" w:rsidR="002D6E3C" w:rsidRPr="00640D6B" w:rsidRDefault="002D6E3C" w:rsidP="001573BB">
      <w:pPr>
        <w:numPr>
          <w:ilvl w:val="0"/>
          <w:numId w:val="17"/>
        </w:numPr>
        <w:rPr>
          <w:rFonts w:ascii="Times New Roman" w:hAnsi="Times New Roman"/>
          <w:b/>
          <w:sz w:val="22"/>
          <w:szCs w:val="22"/>
          <w:lang w:val="en-US"/>
        </w:rPr>
      </w:pPr>
      <w:r w:rsidRPr="00640D6B">
        <w:rPr>
          <w:rFonts w:ascii="Times New Roman" w:hAnsi="Times New Roman"/>
          <w:b/>
          <w:sz w:val="22"/>
          <w:szCs w:val="22"/>
          <w:lang w:val="en-US"/>
        </w:rPr>
        <w:t xml:space="preserve">Extraterritorial responsibilities of States </w:t>
      </w:r>
      <w:r w:rsidR="00EC17DD" w:rsidRPr="00640D6B">
        <w:rPr>
          <w:rFonts w:ascii="Times New Roman" w:hAnsi="Times New Roman"/>
          <w:b/>
          <w:sz w:val="22"/>
          <w:szCs w:val="22"/>
          <w:lang w:val="en-US"/>
        </w:rPr>
        <w:t>regarding</w:t>
      </w:r>
      <w:r w:rsidRPr="00640D6B">
        <w:rPr>
          <w:rFonts w:ascii="Times New Roman" w:hAnsi="Times New Roman"/>
          <w:b/>
          <w:sz w:val="22"/>
          <w:szCs w:val="22"/>
          <w:lang w:val="en-US"/>
        </w:rPr>
        <w:t xml:space="preserve"> international trade in chemicals</w:t>
      </w:r>
    </w:p>
    <w:p w14:paraId="2EC8633C" w14:textId="77777777" w:rsidR="002D6E3C" w:rsidRPr="00640D6B" w:rsidRDefault="002D6E3C" w:rsidP="002D6E3C">
      <w:pPr>
        <w:rPr>
          <w:rFonts w:ascii="Times New Roman" w:hAnsi="Times New Roman"/>
          <w:sz w:val="22"/>
          <w:szCs w:val="22"/>
          <w:lang w:val="en-US"/>
        </w:rPr>
      </w:pPr>
    </w:p>
    <w:p w14:paraId="5893BAEE" w14:textId="77777777" w:rsidR="002D6E3C" w:rsidRPr="00640D6B" w:rsidRDefault="002D6E3C" w:rsidP="002D6E3C">
      <w:pPr>
        <w:rPr>
          <w:rFonts w:ascii="Times New Roman" w:hAnsi="Times New Roman"/>
          <w:i/>
          <w:sz w:val="22"/>
          <w:szCs w:val="22"/>
          <w:lang w:val="en-US"/>
        </w:rPr>
      </w:pPr>
      <w:r w:rsidRPr="00640D6B">
        <w:rPr>
          <w:rFonts w:ascii="Times New Roman" w:hAnsi="Times New Roman"/>
          <w:sz w:val="22"/>
          <w:szCs w:val="22"/>
          <w:lang w:val="en-US"/>
        </w:rPr>
        <w:t xml:space="preserve">According to the </w:t>
      </w:r>
      <w:hyperlink r:id="rId15" w:history="1">
        <w:r w:rsidRPr="00640D6B">
          <w:rPr>
            <w:rStyle w:val="Hyperlink"/>
            <w:rFonts w:ascii="Times New Roman" w:hAnsi="Times New Roman"/>
            <w:sz w:val="22"/>
            <w:szCs w:val="22"/>
            <w:lang w:val="en-US"/>
          </w:rPr>
          <w:t>A/HRC/37/58</w:t>
        </w:r>
      </w:hyperlink>
      <w:r w:rsidRPr="00640D6B">
        <w:rPr>
          <w:rFonts w:ascii="Times New Roman" w:hAnsi="Times New Roman"/>
          <w:sz w:val="22"/>
          <w:szCs w:val="22"/>
          <w:lang w:val="en-US"/>
        </w:rPr>
        <w:t xml:space="preserve"> </w:t>
      </w:r>
      <w:r w:rsidR="007B0BA9" w:rsidRPr="00640D6B">
        <w:rPr>
          <w:rFonts w:ascii="Times New Roman" w:hAnsi="Times New Roman"/>
          <w:sz w:val="22"/>
          <w:szCs w:val="22"/>
          <w:lang w:val="en-US"/>
        </w:rPr>
        <w:t>para.</w:t>
      </w:r>
      <w:r w:rsidRPr="00640D6B">
        <w:rPr>
          <w:rFonts w:ascii="Times New Roman" w:hAnsi="Times New Roman"/>
          <w:sz w:val="22"/>
          <w:szCs w:val="22"/>
          <w:lang w:val="en-US"/>
        </w:rPr>
        <w:t xml:space="preserve"> 74. </w:t>
      </w:r>
      <w:r w:rsidRPr="00640D6B">
        <w:rPr>
          <w:rFonts w:ascii="Times New Roman" w:hAnsi="Times New Roman"/>
          <w:i/>
          <w:sz w:val="22"/>
          <w:szCs w:val="22"/>
          <w:lang w:val="en-US"/>
        </w:rPr>
        <w:t>States should cooperate to address the effects of environmental harm on the rights of children, including by sharing information on the toxicity and other characteristics of chemicals and other products and ensuring that international trade in chemicals and waste is in full compliance with the relevant environmental treaties.</w:t>
      </w:r>
    </w:p>
    <w:p w14:paraId="367716E6" w14:textId="77777777" w:rsidR="002D6E3C" w:rsidRPr="00640D6B" w:rsidRDefault="002D6E3C" w:rsidP="002D6E3C">
      <w:pPr>
        <w:rPr>
          <w:rFonts w:ascii="Times New Roman" w:hAnsi="Times New Roman"/>
          <w:sz w:val="22"/>
          <w:szCs w:val="22"/>
          <w:lang w:val="en-US"/>
        </w:rPr>
      </w:pPr>
    </w:p>
    <w:p w14:paraId="11B6589D" w14:textId="77777777" w:rsidR="002D6E3C" w:rsidRPr="00640D6B" w:rsidRDefault="002D6E3C" w:rsidP="002D6E3C">
      <w:pPr>
        <w:rPr>
          <w:rFonts w:ascii="Times New Roman" w:hAnsi="Times New Roman"/>
          <w:sz w:val="22"/>
          <w:szCs w:val="22"/>
          <w:lang w:val="en-US"/>
        </w:rPr>
      </w:pPr>
      <w:r w:rsidRPr="00640D6B">
        <w:rPr>
          <w:rFonts w:ascii="Times New Roman" w:hAnsi="Times New Roman"/>
          <w:sz w:val="22"/>
          <w:szCs w:val="22"/>
          <w:lang w:val="en-US"/>
        </w:rPr>
        <w:t xml:space="preserve">The current draft of the GC 26 underlines the issue of </w:t>
      </w:r>
      <w:r w:rsidRPr="00640D6B">
        <w:rPr>
          <w:rFonts w:ascii="Times New Roman" w:hAnsi="Times New Roman"/>
          <w:i/>
          <w:sz w:val="22"/>
          <w:szCs w:val="22"/>
          <w:lang w:val="en-US"/>
        </w:rPr>
        <w:t>pollution associated with industrialization including exposure to toxic substances</w:t>
      </w:r>
      <w:r w:rsidRPr="00640D6B">
        <w:rPr>
          <w:rFonts w:ascii="Times New Roman" w:hAnsi="Times New Roman"/>
          <w:sz w:val="22"/>
          <w:szCs w:val="22"/>
          <w:lang w:val="en-US"/>
        </w:rPr>
        <w:t xml:space="preserve"> in </w:t>
      </w:r>
      <w:r w:rsidR="007B0BA9" w:rsidRPr="00640D6B">
        <w:rPr>
          <w:rFonts w:ascii="Times New Roman" w:hAnsi="Times New Roman"/>
          <w:sz w:val="22"/>
          <w:szCs w:val="22"/>
          <w:lang w:val="en-US"/>
        </w:rPr>
        <w:t>para.</w:t>
      </w:r>
      <w:r w:rsidRPr="00640D6B">
        <w:rPr>
          <w:rFonts w:ascii="Times New Roman" w:hAnsi="Times New Roman"/>
          <w:sz w:val="22"/>
          <w:szCs w:val="22"/>
          <w:lang w:val="en-US"/>
        </w:rPr>
        <w:t xml:space="preserve"> 24 in the context of the right to the highest attainable standard of health (Art. 24) and indirectly in </w:t>
      </w:r>
      <w:r w:rsidR="007B0BA9" w:rsidRPr="00640D6B">
        <w:rPr>
          <w:rFonts w:ascii="Times New Roman" w:hAnsi="Times New Roman"/>
          <w:sz w:val="22"/>
          <w:szCs w:val="22"/>
          <w:lang w:val="en-US"/>
        </w:rPr>
        <w:t>para.</w:t>
      </w:r>
      <w:r w:rsidRPr="00640D6B">
        <w:rPr>
          <w:rFonts w:ascii="Times New Roman" w:hAnsi="Times New Roman"/>
          <w:sz w:val="22"/>
          <w:szCs w:val="22"/>
          <w:lang w:val="en-US"/>
        </w:rPr>
        <w:t xml:space="preserve"> 73 (c) on the transformation of agriculture to produce healthy and sustainable food. </w:t>
      </w:r>
    </w:p>
    <w:p w14:paraId="1B723775" w14:textId="77777777" w:rsidR="002D6E3C" w:rsidRPr="00640D6B" w:rsidRDefault="002D6E3C" w:rsidP="002D6E3C">
      <w:pPr>
        <w:rPr>
          <w:rFonts w:ascii="Times New Roman" w:hAnsi="Times New Roman"/>
          <w:sz w:val="22"/>
          <w:szCs w:val="22"/>
          <w:lang w:val="en-US"/>
        </w:rPr>
      </w:pPr>
    </w:p>
    <w:p w14:paraId="07C654BB" w14:textId="6B2A8CF0" w:rsidR="002D6E3C" w:rsidRPr="00640D6B" w:rsidRDefault="002D6E3C" w:rsidP="002D6E3C">
      <w:pPr>
        <w:rPr>
          <w:rFonts w:ascii="Times New Roman" w:hAnsi="Times New Roman"/>
          <w:sz w:val="22"/>
          <w:szCs w:val="22"/>
          <w:lang w:val="en-US"/>
        </w:rPr>
      </w:pPr>
      <w:r w:rsidRPr="00640D6B">
        <w:rPr>
          <w:rFonts w:ascii="Times New Roman" w:hAnsi="Times New Roman"/>
          <w:sz w:val="22"/>
          <w:szCs w:val="22"/>
          <w:lang w:val="en-US"/>
        </w:rPr>
        <w:t xml:space="preserve">According to the </w:t>
      </w:r>
      <w:r w:rsidRPr="00640D6B">
        <w:rPr>
          <w:rFonts w:ascii="Times New Roman" w:hAnsi="Times New Roman"/>
          <w:i/>
          <w:sz w:val="22"/>
          <w:szCs w:val="22"/>
          <w:lang w:val="en-US"/>
        </w:rPr>
        <w:t>pesticide atlas</w:t>
      </w:r>
      <w:r w:rsidRPr="00640D6B">
        <w:rPr>
          <w:rFonts w:ascii="Times New Roman" w:hAnsi="Times New Roman"/>
          <w:sz w:val="22"/>
          <w:szCs w:val="22"/>
          <w:lang w:val="en-US"/>
        </w:rPr>
        <w:t xml:space="preserve"> by the Heinrich </w:t>
      </w:r>
      <w:proofErr w:type="spellStart"/>
      <w:r w:rsidRPr="00640D6B">
        <w:rPr>
          <w:rFonts w:ascii="Times New Roman" w:hAnsi="Times New Roman"/>
          <w:sz w:val="22"/>
          <w:szCs w:val="22"/>
          <w:lang w:val="en-US"/>
        </w:rPr>
        <w:t>Böll</w:t>
      </w:r>
      <w:proofErr w:type="spellEnd"/>
      <w:r w:rsidRPr="00640D6B">
        <w:rPr>
          <w:rFonts w:ascii="Times New Roman" w:hAnsi="Times New Roman"/>
          <w:sz w:val="22"/>
          <w:szCs w:val="22"/>
          <w:lang w:val="en-US"/>
        </w:rPr>
        <w:t>-Stiftung and others</w:t>
      </w:r>
      <w:r w:rsidR="00EC17DD">
        <w:rPr>
          <w:rFonts w:ascii="Times New Roman" w:hAnsi="Times New Roman"/>
          <w:sz w:val="22"/>
          <w:szCs w:val="22"/>
          <w:lang w:val="en-US"/>
        </w:rPr>
        <w:t xml:space="preserve"> </w:t>
      </w:r>
      <w:r w:rsidRPr="00640D6B">
        <w:rPr>
          <w:rFonts w:ascii="Times New Roman" w:hAnsi="Times New Roman"/>
          <w:sz w:val="22"/>
          <w:szCs w:val="22"/>
          <w:lang w:val="en-US"/>
        </w:rPr>
        <w:t>(2022)</w:t>
      </w:r>
      <w:r w:rsidRPr="00640D6B">
        <w:rPr>
          <w:rFonts w:ascii="Times New Roman" w:hAnsi="Times New Roman"/>
          <w:i/>
          <w:sz w:val="22"/>
          <w:szCs w:val="22"/>
          <w:lang w:val="en-US"/>
        </w:rPr>
        <w:t xml:space="preserve">, the global pesticide market has almost doubled in the last 20 years. By 2023, the total value of all pesticides used is expected to reach nearly 130.7 billion US dollars. The EU is also the top exporting region, increasingly selling to countries of the Global South where pesticides actually banned in the EU can be exported. In 2018, European agrochemical companies planned to export 81.000 </w:t>
      </w:r>
      <w:r w:rsidR="00EC17DD" w:rsidRPr="00640D6B">
        <w:rPr>
          <w:rFonts w:ascii="Times New Roman" w:hAnsi="Times New Roman"/>
          <w:i/>
          <w:sz w:val="22"/>
          <w:szCs w:val="22"/>
          <w:lang w:val="en-US"/>
        </w:rPr>
        <w:t>tons of</w:t>
      </w:r>
      <w:r w:rsidRPr="00640D6B">
        <w:rPr>
          <w:rFonts w:ascii="Times New Roman" w:hAnsi="Times New Roman"/>
          <w:i/>
          <w:sz w:val="22"/>
          <w:szCs w:val="22"/>
          <w:lang w:val="en-US"/>
        </w:rPr>
        <w:t xml:space="preserve"> pesticides prohibited on their own fields</w:t>
      </w:r>
      <w:r w:rsidRPr="00640D6B">
        <w:rPr>
          <w:rFonts w:ascii="Times New Roman" w:hAnsi="Times New Roman"/>
          <w:i/>
          <w:sz w:val="22"/>
          <w:szCs w:val="22"/>
          <w:vertAlign w:val="superscript"/>
          <w:lang w:val="en-US"/>
        </w:rPr>
        <w:footnoteReference w:id="3"/>
      </w:r>
      <w:r w:rsidRPr="00640D6B">
        <w:rPr>
          <w:rFonts w:ascii="Times New Roman" w:hAnsi="Times New Roman"/>
          <w:i/>
          <w:sz w:val="22"/>
          <w:szCs w:val="22"/>
          <w:lang w:val="en-US"/>
        </w:rPr>
        <w:t>.</w:t>
      </w:r>
      <w:r w:rsidRPr="00640D6B">
        <w:rPr>
          <w:rFonts w:ascii="Times New Roman" w:hAnsi="Times New Roman"/>
          <w:sz w:val="22"/>
          <w:szCs w:val="22"/>
          <w:lang w:val="en-US"/>
        </w:rPr>
        <w:t xml:space="preserve"> </w:t>
      </w:r>
    </w:p>
    <w:p w14:paraId="5EAD3983" w14:textId="77777777" w:rsidR="007D2FFB" w:rsidRPr="00640D6B" w:rsidRDefault="007D2FFB" w:rsidP="002D6E3C">
      <w:pPr>
        <w:rPr>
          <w:rFonts w:ascii="Times New Roman" w:hAnsi="Times New Roman"/>
          <w:b/>
          <w:sz w:val="22"/>
          <w:szCs w:val="22"/>
          <w:lang w:val="en-US"/>
        </w:rPr>
      </w:pPr>
    </w:p>
    <w:p w14:paraId="36843D8B" w14:textId="3EE3DCA6" w:rsidR="007D2FFB" w:rsidRPr="00640D6B" w:rsidRDefault="007D2FFB" w:rsidP="002D6E3C">
      <w:pPr>
        <w:rPr>
          <w:rFonts w:ascii="Times New Roman" w:hAnsi="Times New Roman"/>
          <w:sz w:val="22"/>
          <w:szCs w:val="22"/>
          <w:lang w:val="en-US"/>
        </w:rPr>
      </w:pPr>
      <w:r w:rsidRPr="00640D6B">
        <w:rPr>
          <w:rFonts w:ascii="Times New Roman" w:hAnsi="Times New Roman"/>
          <w:sz w:val="22"/>
          <w:szCs w:val="22"/>
          <w:lang w:val="en-US"/>
        </w:rPr>
        <w:t xml:space="preserve">The impact of pesticides on children have also been highlighted in the </w:t>
      </w:r>
      <w:r w:rsidR="002172F4" w:rsidRPr="00640D6B">
        <w:rPr>
          <w:rFonts w:ascii="Times New Roman" w:hAnsi="Times New Roman"/>
          <w:sz w:val="22"/>
          <w:szCs w:val="22"/>
          <w:lang w:val="en-US"/>
        </w:rPr>
        <w:t>r</w:t>
      </w:r>
      <w:r w:rsidRPr="00640D6B">
        <w:rPr>
          <w:rFonts w:ascii="Times New Roman" w:hAnsi="Times New Roman"/>
          <w:sz w:val="22"/>
          <w:szCs w:val="22"/>
          <w:lang w:val="en-US"/>
        </w:rPr>
        <w:t>eport A/HRC/37/58</w:t>
      </w:r>
      <w:r w:rsidR="002172F4" w:rsidRPr="00640D6B">
        <w:rPr>
          <w:rStyle w:val="Funotenzeichen"/>
          <w:rFonts w:ascii="Times New Roman" w:hAnsi="Times New Roman"/>
          <w:sz w:val="22"/>
          <w:szCs w:val="22"/>
          <w:lang w:val="en-US"/>
        </w:rPr>
        <w:footnoteReference w:id="4"/>
      </w:r>
      <w:r w:rsidR="002172F4" w:rsidRPr="00640D6B">
        <w:rPr>
          <w:rFonts w:ascii="Times New Roman" w:hAnsi="Times New Roman"/>
          <w:sz w:val="22"/>
          <w:szCs w:val="22"/>
          <w:lang w:val="en-US"/>
        </w:rPr>
        <w:t xml:space="preserve"> in para. 29 and in the report A/HRC/34/48</w:t>
      </w:r>
      <w:r w:rsidR="002172F4" w:rsidRPr="00640D6B">
        <w:rPr>
          <w:rStyle w:val="Funotenzeichen"/>
          <w:rFonts w:ascii="Times New Roman" w:hAnsi="Times New Roman"/>
          <w:sz w:val="22"/>
          <w:szCs w:val="22"/>
          <w:lang w:val="en-US"/>
        </w:rPr>
        <w:footnoteReference w:id="5"/>
      </w:r>
      <w:r w:rsidR="00EC17DD">
        <w:rPr>
          <w:rFonts w:ascii="Times New Roman" w:hAnsi="Times New Roman"/>
          <w:sz w:val="22"/>
          <w:szCs w:val="22"/>
          <w:lang w:val="en-US"/>
        </w:rPr>
        <w:t xml:space="preserve"> </w:t>
      </w:r>
      <w:r w:rsidR="002172F4" w:rsidRPr="00640D6B">
        <w:rPr>
          <w:rFonts w:ascii="Times New Roman" w:hAnsi="Times New Roman"/>
          <w:sz w:val="22"/>
          <w:szCs w:val="22"/>
          <w:lang w:val="en-US"/>
        </w:rPr>
        <w:t xml:space="preserve">in para 24. </w:t>
      </w:r>
    </w:p>
    <w:p w14:paraId="0A39C701" w14:textId="77777777" w:rsidR="007D2FFB" w:rsidRPr="00640D6B" w:rsidRDefault="007D2FFB" w:rsidP="002D6E3C">
      <w:pPr>
        <w:rPr>
          <w:rFonts w:ascii="Times New Roman" w:hAnsi="Times New Roman"/>
          <w:b/>
          <w:sz w:val="22"/>
          <w:szCs w:val="22"/>
          <w:lang w:val="en-US"/>
        </w:rPr>
      </w:pPr>
    </w:p>
    <w:p w14:paraId="65942C1B" w14:textId="77777777" w:rsidR="002D6E3C" w:rsidRPr="00640D6B" w:rsidRDefault="00C46048" w:rsidP="002D6E3C">
      <w:pPr>
        <w:rPr>
          <w:rFonts w:ascii="Times New Roman" w:hAnsi="Times New Roman"/>
          <w:sz w:val="22"/>
          <w:szCs w:val="22"/>
          <w:lang w:val="en-US"/>
        </w:rPr>
      </w:pPr>
      <w:r w:rsidRPr="00640D6B">
        <w:rPr>
          <w:rFonts w:ascii="Times New Roman" w:hAnsi="Times New Roman"/>
          <w:b/>
          <w:sz w:val="22"/>
          <w:szCs w:val="22"/>
          <w:lang w:val="en-US"/>
        </w:rPr>
        <w:t>Recommendation</w:t>
      </w:r>
      <w:r w:rsidR="002D6E3C" w:rsidRPr="00640D6B">
        <w:rPr>
          <w:rFonts w:ascii="Times New Roman" w:hAnsi="Times New Roman"/>
          <w:sz w:val="22"/>
          <w:szCs w:val="22"/>
          <w:lang w:val="en-US"/>
        </w:rPr>
        <w:t>: The GC 26 should stress the issue of toxic pesticides and its impact on the right to health, the right to food and water and the right to of future generations in the context of</w:t>
      </w:r>
      <w:r w:rsidR="00C73593">
        <w:rPr>
          <w:rFonts w:ascii="Times New Roman" w:hAnsi="Times New Roman"/>
          <w:sz w:val="22"/>
          <w:szCs w:val="22"/>
          <w:lang w:val="en-US"/>
        </w:rPr>
        <w:t xml:space="preserve"> </w:t>
      </w:r>
      <w:r w:rsidR="002D6E3C" w:rsidRPr="00640D6B">
        <w:rPr>
          <w:rFonts w:ascii="Times New Roman" w:hAnsi="Times New Roman"/>
          <w:sz w:val="22"/>
          <w:szCs w:val="22"/>
          <w:lang w:val="en-US"/>
        </w:rPr>
        <w:t xml:space="preserve">biodiversity loss. Businesses should have the extra territorial responsibility to respect these rights and to refrain from exporting toxic pesticides, </w:t>
      </w:r>
      <w:r w:rsidR="007B0BA9" w:rsidRPr="00640D6B">
        <w:rPr>
          <w:rFonts w:ascii="Times New Roman" w:hAnsi="Times New Roman"/>
          <w:sz w:val="22"/>
          <w:szCs w:val="22"/>
          <w:lang w:val="en-US"/>
        </w:rPr>
        <w:t>especially</w:t>
      </w:r>
      <w:r w:rsidR="002D6E3C" w:rsidRPr="00640D6B">
        <w:rPr>
          <w:rFonts w:ascii="Times New Roman" w:hAnsi="Times New Roman"/>
          <w:sz w:val="22"/>
          <w:szCs w:val="22"/>
          <w:lang w:val="en-US"/>
        </w:rPr>
        <w:t xml:space="preserve"> the ones that are prohibited on their home market. </w:t>
      </w:r>
    </w:p>
    <w:p w14:paraId="006CF13D" w14:textId="77777777" w:rsidR="002D6E3C" w:rsidRPr="00640D6B" w:rsidRDefault="002D6E3C" w:rsidP="002D6E3C">
      <w:pPr>
        <w:rPr>
          <w:rFonts w:ascii="Times New Roman" w:hAnsi="Times New Roman"/>
          <w:sz w:val="22"/>
          <w:szCs w:val="22"/>
          <w:lang w:val="en-US"/>
        </w:rPr>
      </w:pPr>
    </w:p>
    <w:p w14:paraId="6E6F5413" w14:textId="77777777" w:rsidR="002D6E3C" w:rsidRPr="00640D6B" w:rsidRDefault="002D6E3C" w:rsidP="002D6E3C">
      <w:pPr>
        <w:rPr>
          <w:rFonts w:ascii="Times New Roman" w:hAnsi="Times New Roman"/>
          <w:b/>
          <w:sz w:val="22"/>
          <w:szCs w:val="22"/>
          <w:lang w:val="en-US"/>
        </w:rPr>
      </w:pPr>
    </w:p>
    <w:p w14:paraId="3FF94F78" w14:textId="77777777" w:rsidR="002D6E3C" w:rsidRPr="00640D6B" w:rsidRDefault="002D6E3C" w:rsidP="002D6E3C">
      <w:pPr>
        <w:rPr>
          <w:rFonts w:ascii="Times New Roman" w:hAnsi="Times New Roman"/>
          <w:b/>
          <w:sz w:val="22"/>
          <w:szCs w:val="22"/>
          <w:lang w:val="en-US"/>
        </w:rPr>
      </w:pPr>
    </w:p>
    <w:p w14:paraId="5A6A89A1" w14:textId="77777777" w:rsidR="002D6E3C" w:rsidRPr="00640D6B" w:rsidRDefault="002D6E3C" w:rsidP="001573BB">
      <w:pPr>
        <w:numPr>
          <w:ilvl w:val="0"/>
          <w:numId w:val="17"/>
        </w:numPr>
        <w:rPr>
          <w:rFonts w:ascii="Times New Roman" w:hAnsi="Times New Roman"/>
          <w:b/>
          <w:sz w:val="22"/>
          <w:szCs w:val="22"/>
          <w:lang w:val="en-US"/>
        </w:rPr>
      </w:pPr>
      <w:r w:rsidRPr="00640D6B">
        <w:rPr>
          <w:rFonts w:ascii="Times New Roman" w:hAnsi="Times New Roman"/>
          <w:b/>
          <w:sz w:val="22"/>
          <w:szCs w:val="22"/>
          <w:lang w:val="en-US"/>
        </w:rPr>
        <w:t xml:space="preserve">Section F. Children’s rights and the business sector </w:t>
      </w:r>
    </w:p>
    <w:p w14:paraId="442ED9ED" w14:textId="77777777" w:rsidR="002D6E3C" w:rsidRPr="00640D6B" w:rsidRDefault="002D6E3C" w:rsidP="002D6E3C">
      <w:pPr>
        <w:rPr>
          <w:rFonts w:ascii="Times New Roman" w:hAnsi="Times New Roman"/>
          <w:sz w:val="22"/>
          <w:szCs w:val="22"/>
          <w:lang w:val="en-US"/>
        </w:rPr>
      </w:pPr>
    </w:p>
    <w:p w14:paraId="546B3D47" w14:textId="77777777" w:rsidR="001573BB" w:rsidRPr="00640D6B" w:rsidRDefault="001573BB" w:rsidP="002D6E3C">
      <w:pPr>
        <w:rPr>
          <w:rFonts w:ascii="Times New Roman" w:hAnsi="Times New Roman"/>
          <w:sz w:val="22"/>
          <w:szCs w:val="22"/>
          <w:lang w:val="en-US"/>
        </w:rPr>
      </w:pPr>
    </w:p>
    <w:p w14:paraId="311AA103" w14:textId="565992F9" w:rsidR="002D6E3C" w:rsidRPr="00640D6B" w:rsidRDefault="007B0BA9" w:rsidP="002D6E3C">
      <w:pPr>
        <w:rPr>
          <w:rFonts w:ascii="Times New Roman" w:hAnsi="Times New Roman"/>
          <w:b/>
          <w:sz w:val="22"/>
          <w:szCs w:val="22"/>
          <w:lang w:val="en-US"/>
        </w:rPr>
      </w:pPr>
      <w:r w:rsidRPr="00640D6B">
        <w:rPr>
          <w:rFonts w:ascii="Times New Roman" w:hAnsi="Times New Roman"/>
          <w:b/>
          <w:sz w:val="22"/>
          <w:szCs w:val="22"/>
          <w:lang w:val="en-US"/>
        </w:rPr>
        <w:t>Para.</w:t>
      </w:r>
      <w:r w:rsidR="002D6E3C" w:rsidRPr="00640D6B">
        <w:rPr>
          <w:rFonts w:ascii="Times New Roman" w:hAnsi="Times New Roman"/>
          <w:b/>
          <w:sz w:val="22"/>
          <w:szCs w:val="22"/>
          <w:lang w:val="en-US"/>
        </w:rPr>
        <w:t xml:space="preserve"> 92. </w:t>
      </w:r>
    </w:p>
    <w:p w14:paraId="659FD039" w14:textId="77777777" w:rsidR="002D6E3C" w:rsidRPr="00640D6B" w:rsidRDefault="002D6E3C" w:rsidP="002D6E3C">
      <w:pPr>
        <w:rPr>
          <w:rFonts w:ascii="Times New Roman" w:hAnsi="Times New Roman"/>
          <w:sz w:val="22"/>
          <w:szCs w:val="22"/>
          <w:lang w:val="en-US"/>
        </w:rPr>
      </w:pPr>
    </w:p>
    <w:p w14:paraId="3F03F645" w14:textId="77777777" w:rsidR="002D6E3C" w:rsidRPr="00640D6B" w:rsidRDefault="002D6E3C" w:rsidP="002D6E3C">
      <w:pPr>
        <w:rPr>
          <w:rFonts w:ascii="Times New Roman" w:hAnsi="Times New Roman"/>
          <w:i/>
          <w:sz w:val="22"/>
          <w:szCs w:val="22"/>
          <w:lang w:val="en-US"/>
        </w:rPr>
      </w:pPr>
      <w:r w:rsidRPr="00640D6B">
        <w:rPr>
          <w:rFonts w:ascii="Times New Roman" w:hAnsi="Times New Roman"/>
          <w:b/>
          <w:sz w:val="22"/>
          <w:szCs w:val="22"/>
          <w:lang w:val="en-US"/>
        </w:rPr>
        <w:t>Request for clarification</w:t>
      </w:r>
      <w:r w:rsidRPr="00640D6B">
        <w:rPr>
          <w:rFonts w:ascii="Times New Roman" w:hAnsi="Times New Roman"/>
          <w:sz w:val="22"/>
          <w:szCs w:val="22"/>
          <w:lang w:val="en-US"/>
        </w:rPr>
        <w:t xml:space="preserve"> – the following wording in </w:t>
      </w:r>
      <w:r w:rsidR="007B0BA9" w:rsidRPr="00640D6B">
        <w:rPr>
          <w:rFonts w:ascii="Times New Roman" w:hAnsi="Times New Roman"/>
          <w:sz w:val="22"/>
          <w:szCs w:val="22"/>
          <w:lang w:val="en-US"/>
        </w:rPr>
        <w:t>para.</w:t>
      </w:r>
      <w:r w:rsidRPr="00640D6B">
        <w:rPr>
          <w:rFonts w:ascii="Times New Roman" w:hAnsi="Times New Roman"/>
          <w:sz w:val="22"/>
          <w:szCs w:val="22"/>
          <w:lang w:val="en-US"/>
        </w:rPr>
        <w:t xml:space="preserve"> 92 should precise clearly what person/state body/international body… has the responsibility/legal capacity to identify children as victims:  </w:t>
      </w:r>
      <w:r w:rsidRPr="00640D6B">
        <w:rPr>
          <w:rFonts w:ascii="Times New Roman" w:hAnsi="Times New Roman"/>
          <w:i/>
          <w:sz w:val="22"/>
          <w:szCs w:val="22"/>
          <w:lang w:val="en-US"/>
        </w:rPr>
        <w:t xml:space="preserve">Immediate steps should be taken </w:t>
      </w:r>
      <w:r w:rsidRPr="00640D6B">
        <w:rPr>
          <w:rFonts w:ascii="Times New Roman" w:hAnsi="Times New Roman"/>
          <w:i/>
          <w:sz w:val="22"/>
          <w:szCs w:val="22"/>
          <w:u w:val="single"/>
          <w:lang w:val="en-US"/>
        </w:rPr>
        <w:t>in the</w:t>
      </w:r>
      <w:r w:rsidRPr="00640D6B">
        <w:rPr>
          <w:rFonts w:ascii="Times New Roman" w:hAnsi="Times New Roman"/>
          <w:i/>
          <w:sz w:val="22"/>
          <w:szCs w:val="22"/>
          <w:lang w:val="en-US"/>
        </w:rPr>
        <w:t xml:space="preserve"> </w:t>
      </w:r>
      <w:r w:rsidRPr="00640D6B">
        <w:rPr>
          <w:rFonts w:ascii="Times New Roman" w:hAnsi="Times New Roman"/>
          <w:i/>
          <w:sz w:val="22"/>
          <w:szCs w:val="22"/>
          <w:u w:val="single"/>
          <w:lang w:val="en-US"/>
        </w:rPr>
        <w:t>event that children are identified as victims</w:t>
      </w:r>
      <w:r w:rsidRPr="00640D6B">
        <w:rPr>
          <w:rFonts w:ascii="Times New Roman" w:hAnsi="Times New Roman"/>
          <w:i/>
          <w:sz w:val="22"/>
          <w:szCs w:val="22"/>
          <w:lang w:val="en-US"/>
        </w:rPr>
        <w:t xml:space="preserve"> of </w:t>
      </w:r>
      <w:r w:rsidRPr="00640D6B">
        <w:rPr>
          <w:rFonts w:ascii="Times New Roman" w:hAnsi="Times New Roman"/>
          <w:i/>
          <w:sz w:val="22"/>
          <w:szCs w:val="22"/>
          <w:lang w:val="en-US"/>
        </w:rPr>
        <w:lastRenderedPageBreak/>
        <w:t>environmental impacts to prevent further harm to their health and development, and to repair damage done in a timely manner.</w:t>
      </w:r>
    </w:p>
    <w:p w14:paraId="160B8D8F" w14:textId="21866E4C" w:rsidR="002D6E3C" w:rsidRPr="00640D6B" w:rsidRDefault="002D6E3C" w:rsidP="002D6E3C">
      <w:pPr>
        <w:rPr>
          <w:rFonts w:ascii="Times New Roman" w:hAnsi="Times New Roman"/>
          <w:sz w:val="22"/>
          <w:szCs w:val="22"/>
          <w:lang w:val="en-US"/>
        </w:rPr>
      </w:pPr>
      <w:r w:rsidRPr="00640D6B">
        <w:rPr>
          <w:rFonts w:ascii="Times New Roman" w:hAnsi="Times New Roman"/>
          <w:sz w:val="22"/>
          <w:szCs w:val="22"/>
          <w:lang w:val="en-US"/>
        </w:rPr>
        <w:t xml:space="preserve">Based on the </w:t>
      </w:r>
      <w:r w:rsidR="007B0BA9" w:rsidRPr="00640D6B">
        <w:rPr>
          <w:rFonts w:ascii="Times New Roman" w:hAnsi="Times New Roman"/>
          <w:sz w:val="22"/>
          <w:szCs w:val="22"/>
          <w:lang w:val="en-US"/>
        </w:rPr>
        <w:t>para.</w:t>
      </w:r>
      <w:r w:rsidRPr="00640D6B">
        <w:rPr>
          <w:rFonts w:ascii="Times New Roman" w:hAnsi="Times New Roman"/>
          <w:sz w:val="22"/>
          <w:szCs w:val="22"/>
          <w:lang w:val="en-US"/>
        </w:rPr>
        <w:t xml:space="preserve"> 92 one could derive that children might be identified as victims of environmental impact during the due diligence process of a business. However, due to the burden of proof on child plaintiffs and the potentially lengthy court proceedings in environmental matters it might take some time for children to be identified as “victim” by a judicial court. It would be helpful to clarify </w:t>
      </w:r>
      <w:r w:rsidR="00C73593">
        <w:rPr>
          <w:rFonts w:ascii="Times New Roman" w:hAnsi="Times New Roman"/>
          <w:sz w:val="22"/>
          <w:szCs w:val="22"/>
          <w:lang w:val="en-US"/>
        </w:rPr>
        <w:t>or specify as such</w:t>
      </w:r>
      <w:r w:rsidRPr="00640D6B">
        <w:rPr>
          <w:rFonts w:ascii="Times New Roman" w:hAnsi="Times New Roman"/>
          <w:sz w:val="22"/>
          <w:szCs w:val="22"/>
          <w:lang w:val="en-US"/>
        </w:rPr>
        <w:t xml:space="preserve">: </w:t>
      </w:r>
      <w:r w:rsidR="00EC17DD" w:rsidRPr="00C73593">
        <w:rPr>
          <w:rFonts w:ascii="Times New Roman" w:hAnsi="Times New Roman"/>
          <w:i/>
          <w:sz w:val="22"/>
          <w:szCs w:val="22"/>
          <w:lang w:val="en-US"/>
        </w:rPr>
        <w:t>“are</w:t>
      </w:r>
      <w:r w:rsidRPr="00C73593">
        <w:rPr>
          <w:rFonts w:ascii="Times New Roman" w:hAnsi="Times New Roman"/>
          <w:i/>
          <w:sz w:val="22"/>
          <w:szCs w:val="22"/>
          <w:lang w:val="en-US"/>
        </w:rPr>
        <w:t xml:space="preserve"> identified as victims or potential victims during the due diligence </w:t>
      </w:r>
      <w:r w:rsidR="00EC17DD" w:rsidRPr="00C73593">
        <w:rPr>
          <w:rFonts w:ascii="Times New Roman" w:hAnsi="Times New Roman"/>
          <w:i/>
          <w:sz w:val="22"/>
          <w:szCs w:val="22"/>
          <w:lang w:val="en-US"/>
        </w:rPr>
        <w:t>process.</w:t>
      </w:r>
      <w:r w:rsidRPr="00C73593">
        <w:rPr>
          <w:rFonts w:ascii="Times New Roman" w:hAnsi="Times New Roman"/>
          <w:i/>
          <w:sz w:val="22"/>
          <w:szCs w:val="22"/>
          <w:lang w:val="en-US"/>
        </w:rPr>
        <w:t>”</w:t>
      </w:r>
      <w:r w:rsidRPr="00640D6B">
        <w:rPr>
          <w:rFonts w:ascii="Times New Roman" w:hAnsi="Times New Roman"/>
          <w:sz w:val="22"/>
          <w:szCs w:val="22"/>
          <w:lang w:val="en-US"/>
        </w:rPr>
        <w:t xml:space="preserve"> </w:t>
      </w:r>
    </w:p>
    <w:p w14:paraId="54426E48" w14:textId="77777777" w:rsidR="001573BB" w:rsidRDefault="001573BB" w:rsidP="002D6E3C">
      <w:pPr>
        <w:rPr>
          <w:rFonts w:ascii="Times New Roman" w:hAnsi="Times New Roman"/>
          <w:sz w:val="22"/>
          <w:szCs w:val="22"/>
          <w:lang w:val="en-US"/>
        </w:rPr>
      </w:pPr>
    </w:p>
    <w:p w14:paraId="138D9700" w14:textId="77777777" w:rsidR="00140394" w:rsidRPr="00140394" w:rsidRDefault="00140394" w:rsidP="00140394">
      <w:pPr>
        <w:rPr>
          <w:rFonts w:ascii="Times New Roman" w:hAnsi="Times New Roman"/>
          <w:lang w:val="en-US"/>
        </w:rPr>
      </w:pPr>
      <w:r w:rsidRPr="00140394">
        <w:rPr>
          <w:rFonts w:ascii="Times New Roman" w:eastAsia="Calibri" w:hAnsi="Times New Roman"/>
          <w:lang w:val="en-US"/>
        </w:rPr>
        <w:t>References to “supply chains” should be changed by “value chain”. The UNGPs take a 'value chain' approach, which includes upstream risks/impacts (for instance from sourcing) and downstream risks/impacts (for instance disposal / use). Conservative business in the OECD are currently trying to argue that their standards apply only to 'supply chains', which is highly problematic, so would be very careful to refer to 'value chains' throughout this document.</w:t>
      </w:r>
    </w:p>
    <w:p w14:paraId="39E6A27B" w14:textId="77777777" w:rsidR="00140394" w:rsidRPr="00640D6B" w:rsidRDefault="00140394" w:rsidP="002D6E3C">
      <w:pPr>
        <w:rPr>
          <w:rFonts w:ascii="Times New Roman" w:hAnsi="Times New Roman"/>
          <w:sz w:val="22"/>
          <w:szCs w:val="22"/>
          <w:lang w:val="en-US"/>
        </w:rPr>
      </w:pPr>
    </w:p>
    <w:p w14:paraId="5FF42D76" w14:textId="77777777" w:rsidR="001573BB" w:rsidRPr="00640D6B" w:rsidRDefault="001573BB" w:rsidP="001573BB">
      <w:pPr>
        <w:ind w:left="720"/>
        <w:rPr>
          <w:rFonts w:ascii="Times New Roman" w:hAnsi="Times New Roman"/>
          <w:b/>
          <w:sz w:val="22"/>
          <w:szCs w:val="22"/>
          <w:lang w:val="en-US"/>
        </w:rPr>
      </w:pPr>
    </w:p>
    <w:p w14:paraId="3580ED79" w14:textId="77777777" w:rsidR="002D6E3C" w:rsidRPr="00640D6B" w:rsidRDefault="002D6E3C" w:rsidP="001573BB">
      <w:pPr>
        <w:numPr>
          <w:ilvl w:val="0"/>
          <w:numId w:val="17"/>
        </w:numPr>
        <w:rPr>
          <w:rFonts w:ascii="Times New Roman" w:hAnsi="Times New Roman"/>
          <w:b/>
          <w:sz w:val="22"/>
          <w:szCs w:val="22"/>
          <w:lang w:val="en-US"/>
        </w:rPr>
      </w:pPr>
      <w:r w:rsidRPr="00640D6B">
        <w:rPr>
          <w:rFonts w:ascii="Times New Roman" w:hAnsi="Times New Roman"/>
          <w:b/>
          <w:sz w:val="22"/>
          <w:szCs w:val="22"/>
          <w:lang w:val="en-US"/>
        </w:rPr>
        <w:t xml:space="preserve">Free prior and informed consent (FPIC) for indigenous children </w:t>
      </w:r>
    </w:p>
    <w:p w14:paraId="2E22FA1F" w14:textId="77777777" w:rsidR="002D6E3C" w:rsidRPr="00640D6B" w:rsidRDefault="002D6E3C" w:rsidP="002D6E3C">
      <w:pPr>
        <w:rPr>
          <w:rFonts w:ascii="Times New Roman" w:hAnsi="Times New Roman"/>
          <w:sz w:val="22"/>
          <w:szCs w:val="22"/>
          <w:lang w:val="en-US"/>
        </w:rPr>
      </w:pPr>
    </w:p>
    <w:p w14:paraId="0EE255D3" w14:textId="77777777" w:rsidR="002D6E3C" w:rsidRPr="00640D6B" w:rsidRDefault="002D6E3C" w:rsidP="00857DC4">
      <w:pPr>
        <w:rPr>
          <w:rFonts w:ascii="Times New Roman" w:hAnsi="Times New Roman"/>
          <w:sz w:val="22"/>
          <w:szCs w:val="22"/>
          <w:lang w:val="en-US"/>
        </w:rPr>
      </w:pPr>
      <w:r w:rsidRPr="00640D6B">
        <w:rPr>
          <w:rFonts w:ascii="Times New Roman" w:hAnsi="Times New Roman"/>
          <w:sz w:val="22"/>
          <w:szCs w:val="22"/>
          <w:lang w:val="en-US"/>
        </w:rPr>
        <w:t xml:space="preserve">The FPIC is a very central right for indigenous communities. It is a tool that guarantees the right to </w:t>
      </w:r>
      <w:r w:rsidR="001573BB" w:rsidRPr="00640D6B">
        <w:rPr>
          <w:rFonts w:ascii="Times New Roman" w:hAnsi="Times New Roman"/>
          <w:sz w:val="22"/>
          <w:szCs w:val="22"/>
          <w:lang w:val="en-US"/>
        </w:rPr>
        <w:t>self-determination</w:t>
      </w:r>
      <w:r w:rsidRPr="00640D6B">
        <w:rPr>
          <w:rFonts w:ascii="Times New Roman" w:hAnsi="Times New Roman"/>
          <w:sz w:val="22"/>
          <w:szCs w:val="22"/>
          <w:lang w:val="en-US"/>
        </w:rPr>
        <w:t xml:space="preserve"> of indigenous communities. </w:t>
      </w:r>
    </w:p>
    <w:p w14:paraId="1C033BF9" w14:textId="77777777" w:rsidR="002D6E3C" w:rsidRPr="00640D6B" w:rsidRDefault="002D6E3C" w:rsidP="00857DC4">
      <w:pPr>
        <w:ind w:left="360"/>
        <w:rPr>
          <w:rFonts w:ascii="Times New Roman" w:hAnsi="Times New Roman"/>
          <w:b/>
          <w:sz w:val="22"/>
          <w:szCs w:val="22"/>
          <w:lang w:val="en-US"/>
        </w:rPr>
      </w:pPr>
    </w:p>
    <w:p w14:paraId="43207B66" w14:textId="77777777" w:rsidR="002D6E3C" w:rsidRPr="00640D6B" w:rsidRDefault="00C46048" w:rsidP="00857DC4">
      <w:pPr>
        <w:rPr>
          <w:rFonts w:ascii="Times New Roman" w:hAnsi="Times New Roman"/>
          <w:sz w:val="22"/>
          <w:szCs w:val="22"/>
          <w:lang w:val="en-US"/>
        </w:rPr>
      </w:pPr>
      <w:r w:rsidRPr="00640D6B">
        <w:rPr>
          <w:rFonts w:ascii="Times New Roman" w:hAnsi="Times New Roman"/>
          <w:b/>
          <w:sz w:val="22"/>
          <w:szCs w:val="22"/>
          <w:lang w:val="en-US"/>
        </w:rPr>
        <w:t>Recommendation</w:t>
      </w:r>
      <w:r w:rsidR="002D6E3C" w:rsidRPr="00640D6B">
        <w:rPr>
          <w:rFonts w:ascii="Times New Roman" w:hAnsi="Times New Roman"/>
          <w:b/>
          <w:sz w:val="22"/>
          <w:szCs w:val="22"/>
          <w:lang w:val="en-US"/>
        </w:rPr>
        <w:t>:</w:t>
      </w:r>
      <w:r w:rsidR="002D6E3C" w:rsidRPr="00640D6B">
        <w:rPr>
          <w:rFonts w:ascii="Times New Roman" w:hAnsi="Times New Roman"/>
          <w:sz w:val="22"/>
          <w:szCs w:val="22"/>
          <w:lang w:val="en-US"/>
        </w:rPr>
        <w:t xml:space="preserve"> The GC 26 could explore </w:t>
      </w:r>
      <w:r w:rsidR="007A3E41">
        <w:rPr>
          <w:rFonts w:ascii="Times New Roman" w:hAnsi="Times New Roman"/>
          <w:sz w:val="22"/>
          <w:szCs w:val="22"/>
          <w:lang w:val="en-US"/>
        </w:rPr>
        <w:t xml:space="preserve">and mention </w:t>
      </w:r>
      <w:r w:rsidR="002D6E3C" w:rsidRPr="00640D6B">
        <w:rPr>
          <w:rFonts w:ascii="Times New Roman" w:hAnsi="Times New Roman"/>
          <w:sz w:val="22"/>
          <w:szCs w:val="22"/>
          <w:lang w:val="en-US"/>
        </w:rPr>
        <w:t xml:space="preserve">this very crucial right and its meaning for indigenous children. For instance, under </w:t>
      </w:r>
      <w:r w:rsidR="007B0BA9" w:rsidRPr="00640D6B">
        <w:rPr>
          <w:rFonts w:ascii="Times New Roman" w:hAnsi="Times New Roman"/>
          <w:sz w:val="22"/>
          <w:szCs w:val="22"/>
          <w:lang w:val="en-US"/>
        </w:rPr>
        <w:t>Para.</w:t>
      </w:r>
      <w:r w:rsidR="002D6E3C" w:rsidRPr="00640D6B">
        <w:rPr>
          <w:rFonts w:ascii="Times New Roman" w:hAnsi="Times New Roman"/>
          <w:sz w:val="22"/>
          <w:szCs w:val="22"/>
          <w:lang w:val="en-US"/>
        </w:rPr>
        <w:t xml:space="preserve"> 49, </w:t>
      </w:r>
      <w:r w:rsidR="007B0BA9" w:rsidRPr="00640D6B">
        <w:rPr>
          <w:rFonts w:ascii="Times New Roman" w:hAnsi="Times New Roman"/>
          <w:sz w:val="22"/>
          <w:szCs w:val="22"/>
          <w:lang w:val="en-US"/>
        </w:rPr>
        <w:t>Para.</w:t>
      </w:r>
      <w:r w:rsidR="002D6E3C" w:rsidRPr="00640D6B">
        <w:rPr>
          <w:rFonts w:ascii="Times New Roman" w:hAnsi="Times New Roman"/>
          <w:sz w:val="22"/>
          <w:szCs w:val="22"/>
          <w:lang w:val="en-US"/>
        </w:rPr>
        <w:t xml:space="preserve"> 50, </w:t>
      </w:r>
      <w:r w:rsidR="007B0BA9" w:rsidRPr="00640D6B">
        <w:rPr>
          <w:rFonts w:ascii="Times New Roman" w:hAnsi="Times New Roman"/>
          <w:sz w:val="22"/>
          <w:szCs w:val="22"/>
          <w:lang w:val="en-US"/>
        </w:rPr>
        <w:t>Para.</w:t>
      </w:r>
      <w:r w:rsidR="002D6E3C" w:rsidRPr="00640D6B">
        <w:rPr>
          <w:rFonts w:ascii="Times New Roman" w:hAnsi="Times New Roman"/>
          <w:sz w:val="22"/>
          <w:szCs w:val="22"/>
          <w:lang w:val="en-US"/>
        </w:rPr>
        <w:t xml:space="preserve"> 56, </w:t>
      </w:r>
      <w:r w:rsidR="007B0BA9" w:rsidRPr="00640D6B">
        <w:rPr>
          <w:rFonts w:ascii="Times New Roman" w:hAnsi="Times New Roman"/>
          <w:sz w:val="22"/>
          <w:szCs w:val="22"/>
          <w:lang w:val="en-US"/>
        </w:rPr>
        <w:t>para.</w:t>
      </w:r>
      <w:r w:rsidR="002D6E3C" w:rsidRPr="00640D6B">
        <w:rPr>
          <w:rFonts w:ascii="Times New Roman" w:hAnsi="Times New Roman"/>
          <w:sz w:val="22"/>
          <w:szCs w:val="22"/>
          <w:lang w:val="en-US"/>
        </w:rPr>
        <w:t xml:space="preserve"> 87…</w:t>
      </w:r>
    </w:p>
    <w:p w14:paraId="502ADDE2" w14:textId="77777777" w:rsidR="002D6E3C" w:rsidRPr="00640D6B" w:rsidRDefault="002D6E3C" w:rsidP="002D6E3C">
      <w:pPr>
        <w:rPr>
          <w:rFonts w:ascii="Times New Roman" w:hAnsi="Times New Roman"/>
          <w:sz w:val="22"/>
          <w:szCs w:val="22"/>
          <w:lang w:val="en-US"/>
        </w:rPr>
      </w:pPr>
    </w:p>
    <w:p w14:paraId="178EFB2D" w14:textId="77777777" w:rsidR="002D6E3C" w:rsidRPr="00640D6B" w:rsidRDefault="002D6E3C" w:rsidP="002D6E3C">
      <w:pPr>
        <w:rPr>
          <w:rFonts w:ascii="Times New Roman" w:hAnsi="Times New Roman"/>
          <w:b/>
          <w:sz w:val="22"/>
          <w:szCs w:val="22"/>
          <w:lang w:val="en-US"/>
        </w:rPr>
      </w:pPr>
    </w:p>
    <w:p w14:paraId="6346992E" w14:textId="77777777" w:rsidR="002D6E3C" w:rsidRPr="00640D6B" w:rsidRDefault="002D6E3C" w:rsidP="001573BB">
      <w:pPr>
        <w:numPr>
          <w:ilvl w:val="0"/>
          <w:numId w:val="17"/>
        </w:numPr>
        <w:rPr>
          <w:rFonts w:ascii="Times New Roman" w:hAnsi="Times New Roman"/>
          <w:b/>
          <w:sz w:val="22"/>
          <w:szCs w:val="22"/>
          <w:lang w:val="en-US"/>
        </w:rPr>
      </w:pPr>
      <w:r w:rsidRPr="00640D6B">
        <w:rPr>
          <w:rFonts w:ascii="Times New Roman" w:hAnsi="Times New Roman"/>
          <w:b/>
          <w:sz w:val="22"/>
          <w:szCs w:val="22"/>
          <w:lang w:val="en-US"/>
        </w:rPr>
        <w:t xml:space="preserve">The </w:t>
      </w:r>
      <w:r w:rsidR="00B200E3" w:rsidRPr="00640D6B">
        <w:rPr>
          <w:rFonts w:ascii="Times New Roman" w:hAnsi="Times New Roman"/>
          <w:b/>
          <w:sz w:val="22"/>
          <w:szCs w:val="22"/>
          <w:lang w:val="en-US"/>
        </w:rPr>
        <w:t>primacy</w:t>
      </w:r>
      <w:r w:rsidRPr="00640D6B">
        <w:rPr>
          <w:rFonts w:ascii="Times New Roman" w:hAnsi="Times New Roman"/>
          <w:b/>
          <w:sz w:val="22"/>
          <w:szCs w:val="22"/>
          <w:lang w:val="en-US"/>
        </w:rPr>
        <w:t xml:space="preserve"> of international children’s rights in the light of international trade agreements </w:t>
      </w:r>
    </w:p>
    <w:p w14:paraId="266F5D84" w14:textId="77777777" w:rsidR="00B200E3" w:rsidRPr="00640D6B" w:rsidRDefault="00B200E3" w:rsidP="002D6E3C">
      <w:pPr>
        <w:rPr>
          <w:rFonts w:ascii="Times New Roman" w:hAnsi="Times New Roman"/>
          <w:sz w:val="22"/>
          <w:szCs w:val="22"/>
          <w:lang w:val="en-US"/>
        </w:rPr>
      </w:pPr>
    </w:p>
    <w:p w14:paraId="196368B2" w14:textId="77777777" w:rsidR="002D6E3C" w:rsidRPr="00640D6B" w:rsidRDefault="00CD3CDD" w:rsidP="00857DC4">
      <w:pPr>
        <w:rPr>
          <w:rFonts w:ascii="Times New Roman" w:hAnsi="Times New Roman"/>
          <w:sz w:val="22"/>
          <w:szCs w:val="22"/>
          <w:lang w:val="en-US"/>
        </w:rPr>
      </w:pPr>
      <w:r w:rsidRPr="00640D6B">
        <w:rPr>
          <w:rFonts w:ascii="Times New Roman" w:hAnsi="Times New Roman"/>
          <w:sz w:val="22"/>
          <w:szCs w:val="22"/>
          <w:lang w:val="en-US"/>
        </w:rPr>
        <w:t xml:space="preserve">We support that </w:t>
      </w:r>
      <w:r w:rsidR="007B0BA9" w:rsidRPr="00640D6B">
        <w:rPr>
          <w:rFonts w:ascii="Times New Roman" w:hAnsi="Times New Roman"/>
          <w:sz w:val="22"/>
          <w:szCs w:val="22"/>
          <w:lang w:val="en-US"/>
        </w:rPr>
        <w:t>Para.</w:t>
      </w:r>
      <w:r w:rsidR="002D6E3C" w:rsidRPr="00640D6B">
        <w:rPr>
          <w:rFonts w:ascii="Times New Roman" w:hAnsi="Times New Roman"/>
          <w:sz w:val="22"/>
          <w:szCs w:val="22"/>
          <w:lang w:val="en-US"/>
        </w:rPr>
        <w:t xml:space="preserve"> 118</w:t>
      </w:r>
      <w:r w:rsidR="00B200E3" w:rsidRPr="00640D6B">
        <w:rPr>
          <w:rFonts w:ascii="Times New Roman" w:hAnsi="Times New Roman"/>
          <w:sz w:val="22"/>
          <w:szCs w:val="22"/>
          <w:lang w:val="en-US"/>
        </w:rPr>
        <w:t xml:space="preserve"> addresses the obligation of States under trade agreements. </w:t>
      </w:r>
    </w:p>
    <w:p w14:paraId="15B4430B" w14:textId="77777777" w:rsidR="0055176E" w:rsidRPr="00640D6B" w:rsidRDefault="0055176E" w:rsidP="002D6E3C">
      <w:pPr>
        <w:rPr>
          <w:rFonts w:ascii="Times New Roman" w:hAnsi="Times New Roman"/>
          <w:sz w:val="22"/>
          <w:szCs w:val="22"/>
          <w:lang w:val="en-US"/>
        </w:rPr>
      </w:pPr>
    </w:p>
    <w:p w14:paraId="3F7CB053" w14:textId="77777777" w:rsidR="0055176E" w:rsidRPr="00640D6B" w:rsidRDefault="00C46048" w:rsidP="00857DC4">
      <w:pPr>
        <w:rPr>
          <w:rFonts w:ascii="Times New Roman" w:hAnsi="Times New Roman"/>
          <w:b/>
          <w:sz w:val="22"/>
          <w:szCs w:val="22"/>
          <w:lang w:val="en-US"/>
        </w:rPr>
      </w:pPr>
      <w:r w:rsidRPr="00640D6B">
        <w:rPr>
          <w:rFonts w:ascii="Times New Roman" w:hAnsi="Times New Roman"/>
          <w:b/>
          <w:sz w:val="22"/>
          <w:szCs w:val="22"/>
          <w:lang w:val="en-US"/>
        </w:rPr>
        <w:t>Recommendation</w:t>
      </w:r>
      <w:r w:rsidR="0055176E" w:rsidRPr="00640D6B">
        <w:rPr>
          <w:rFonts w:ascii="Times New Roman" w:hAnsi="Times New Roman"/>
          <w:b/>
          <w:sz w:val="22"/>
          <w:szCs w:val="22"/>
          <w:lang w:val="en-US"/>
        </w:rPr>
        <w:t xml:space="preserve">: </w:t>
      </w:r>
      <w:r w:rsidR="0055176E" w:rsidRPr="00640D6B">
        <w:rPr>
          <w:rFonts w:ascii="Times New Roman" w:hAnsi="Times New Roman"/>
          <w:sz w:val="22"/>
          <w:szCs w:val="22"/>
          <w:lang w:val="en-US"/>
        </w:rPr>
        <w:t xml:space="preserve">The GC 26 could </w:t>
      </w:r>
      <w:r w:rsidR="00702D29" w:rsidRPr="00640D6B">
        <w:rPr>
          <w:rFonts w:ascii="Times New Roman" w:hAnsi="Times New Roman"/>
          <w:sz w:val="22"/>
          <w:szCs w:val="22"/>
          <w:lang w:val="en-US"/>
        </w:rPr>
        <w:t>b</w:t>
      </w:r>
      <w:r w:rsidR="0055176E" w:rsidRPr="00640D6B">
        <w:rPr>
          <w:rFonts w:ascii="Times New Roman" w:hAnsi="Times New Roman"/>
          <w:sz w:val="22"/>
          <w:szCs w:val="22"/>
          <w:lang w:val="en-US"/>
        </w:rPr>
        <w:t>e</w:t>
      </w:r>
      <w:r w:rsidR="00702D29" w:rsidRPr="00640D6B">
        <w:rPr>
          <w:rFonts w:ascii="Times New Roman" w:hAnsi="Times New Roman"/>
          <w:sz w:val="22"/>
          <w:szCs w:val="22"/>
          <w:lang w:val="en-US"/>
        </w:rPr>
        <w:t xml:space="preserve"> used to underline the primacy and the binding nature of the CRC towards existing and new trade agreements.</w:t>
      </w:r>
      <w:r w:rsidR="00B60C06" w:rsidRPr="00640D6B">
        <w:rPr>
          <w:rStyle w:val="Funotenzeichen"/>
          <w:rFonts w:ascii="Times New Roman" w:hAnsi="Times New Roman"/>
          <w:sz w:val="22"/>
          <w:szCs w:val="22"/>
          <w:lang w:val="en-US"/>
        </w:rPr>
        <w:footnoteReference w:id="6"/>
      </w:r>
    </w:p>
    <w:p w14:paraId="2D8523E4" w14:textId="77777777" w:rsidR="002D6E3C" w:rsidRDefault="002D6E3C" w:rsidP="00CE6435">
      <w:pPr>
        <w:rPr>
          <w:rFonts w:ascii="Times New Roman" w:hAnsi="Times New Roman"/>
          <w:b/>
          <w:sz w:val="22"/>
          <w:szCs w:val="22"/>
          <w:lang w:val="en-US"/>
        </w:rPr>
      </w:pPr>
    </w:p>
    <w:p w14:paraId="67BE9D18" w14:textId="77777777" w:rsidR="00034CE4" w:rsidRPr="00640D6B" w:rsidRDefault="00034CE4" w:rsidP="00CE6435">
      <w:pPr>
        <w:rPr>
          <w:rFonts w:ascii="Times New Roman" w:hAnsi="Times New Roman"/>
          <w:b/>
          <w:sz w:val="22"/>
          <w:szCs w:val="22"/>
          <w:lang w:val="en-US"/>
        </w:rPr>
      </w:pPr>
    </w:p>
    <w:p w14:paraId="169D9590" w14:textId="77777777" w:rsidR="002D6E3C" w:rsidRPr="00640D6B" w:rsidRDefault="002D6E3C" w:rsidP="001573BB">
      <w:pPr>
        <w:numPr>
          <w:ilvl w:val="0"/>
          <w:numId w:val="17"/>
        </w:numPr>
        <w:rPr>
          <w:rFonts w:ascii="Times New Roman" w:hAnsi="Times New Roman"/>
          <w:b/>
          <w:sz w:val="22"/>
          <w:szCs w:val="22"/>
          <w:lang w:val="en-US"/>
        </w:rPr>
      </w:pPr>
      <w:r w:rsidRPr="00640D6B">
        <w:rPr>
          <w:rFonts w:ascii="Times New Roman" w:hAnsi="Times New Roman"/>
          <w:b/>
          <w:sz w:val="22"/>
          <w:szCs w:val="22"/>
          <w:lang w:val="en-US"/>
        </w:rPr>
        <w:t xml:space="preserve">Environmental Human Rights Defenders </w:t>
      </w:r>
    </w:p>
    <w:p w14:paraId="367F61BF" w14:textId="77777777" w:rsidR="00A012F1" w:rsidRPr="00640D6B" w:rsidRDefault="00A012F1" w:rsidP="00A012F1">
      <w:pPr>
        <w:ind w:left="360"/>
        <w:rPr>
          <w:rFonts w:ascii="Times New Roman" w:hAnsi="Times New Roman"/>
          <w:sz w:val="22"/>
          <w:szCs w:val="22"/>
          <w:lang w:val="en-US"/>
        </w:rPr>
      </w:pPr>
    </w:p>
    <w:p w14:paraId="4FD5AB36" w14:textId="77777777" w:rsidR="002D6E3C" w:rsidRPr="00640D6B" w:rsidRDefault="00A012F1" w:rsidP="00857DC4">
      <w:pPr>
        <w:rPr>
          <w:rFonts w:ascii="Times New Roman" w:hAnsi="Times New Roman"/>
          <w:sz w:val="22"/>
          <w:szCs w:val="22"/>
          <w:lang w:val="en-US"/>
        </w:rPr>
      </w:pPr>
      <w:r w:rsidRPr="00640D6B">
        <w:rPr>
          <w:rFonts w:ascii="Times New Roman" w:hAnsi="Times New Roman"/>
          <w:sz w:val="22"/>
          <w:szCs w:val="22"/>
          <w:lang w:val="en-US"/>
        </w:rPr>
        <w:t xml:space="preserve">The </w:t>
      </w:r>
      <w:r w:rsidR="00D96EA2">
        <w:rPr>
          <w:rFonts w:ascii="Times New Roman" w:hAnsi="Times New Roman"/>
          <w:sz w:val="22"/>
          <w:szCs w:val="22"/>
          <w:lang w:val="en-US"/>
        </w:rPr>
        <w:t xml:space="preserve">idea </w:t>
      </w:r>
      <w:r w:rsidRPr="00640D6B">
        <w:rPr>
          <w:rFonts w:ascii="Times New Roman" w:hAnsi="Times New Roman"/>
          <w:sz w:val="22"/>
          <w:szCs w:val="22"/>
          <w:lang w:val="en-US"/>
        </w:rPr>
        <w:t xml:space="preserve">of criminalization of environmental human rights defenders have been under discussion in some EU </w:t>
      </w:r>
      <w:r w:rsidR="0001612F" w:rsidRPr="00640D6B">
        <w:rPr>
          <w:rFonts w:ascii="Times New Roman" w:hAnsi="Times New Roman"/>
          <w:sz w:val="22"/>
          <w:szCs w:val="22"/>
          <w:lang w:val="en-US"/>
        </w:rPr>
        <w:t>c</w:t>
      </w:r>
      <w:r w:rsidRPr="00640D6B">
        <w:rPr>
          <w:rFonts w:ascii="Times New Roman" w:hAnsi="Times New Roman"/>
          <w:sz w:val="22"/>
          <w:szCs w:val="22"/>
          <w:lang w:val="en-US"/>
        </w:rPr>
        <w:t xml:space="preserve">ountries </w:t>
      </w:r>
      <w:r w:rsidR="00857DC4">
        <w:rPr>
          <w:rFonts w:ascii="Times New Roman" w:hAnsi="Times New Roman"/>
          <w:sz w:val="22"/>
          <w:szCs w:val="22"/>
          <w:lang w:val="en-US"/>
        </w:rPr>
        <w:t>during the past months</w:t>
      </w:r>
      <w:r w:rsidRPr="00640D6B">
        <w:rPr>
          <w:rFonts w:ascii="Times New Roman" w:hAnsi="Times New Roman"/>
          <w:sz w:val="22"/>
          <w:szCs w:val="22"/>
          <w:lang w:val="en-US"/>
        </w:rPr>
        <w:t xml:space="preserve">. </w:t>
      </w:r>
      <w:r w:rsidR="0001612F" w:rsidRPr="00640D6B">
        <w:rPr>
          <w:rFonts w:ascii="Times New Roman" w:hAnsi="Times New Roman"/>
          <w:sz w:val="22"/>
          <w:szCs w:val="22"/>
          <w:lang w:val="en-US"/>
        </w:rPr>
        <w:t xml:space="preserve">Children and youth fall under the criminal law at the age of 14, in some other countries, the age of criminal responsibility is even lower. </w:t>
      </w:r>
    </w:p>
    <w:p w14:paraId="531613C1" w14:textId="77777777" w:rsidR="0001612F" w:rsidRPr="00640D6B" w:rsidRDefault="0001612F" w:rsidP="00A012F1">
      <w:pPr>
        <w:ind w:left="360"/>
        <w:rPr>
          <w:rFonts w:ascii="Times New Roman" w:hAnsi="Times New Roman"/>
          <w:sz w:val="22"/>
          <w:szCs w:val="22"/>
          <w:lang w:val="en-US"/>
        </w:rPr>
      </w:pPr>
    </w:p>
    <w:p w14:paraId="1100A47D" w14:textId="77777777" w:rsidR="0001612F" w:rsidRPr="00640D6B" w:rsidRDefault="00C46048" w:rsidP="00D96EA2">
      <w:pPr>
        <w:rPr>
          <w:rFonts w:ascii="Times New Roman" w:hAnsi="Times New Roman"/>
          <w:sz w:val="22"/>
          <w:szCs w:val="22"/>
          <w:lang w:val="en-US"/>
        </w:rPr>
      </w:pPr>
      <w:r w:rsidRPr="00640D6B">
        <w:rPr>
          <w:rFonts w:ascii="Times New Roman" w:hAnsi="Times New Roman"/>
          <w:b/>
          <w:sz w:val="22"/>
          <w:szCs w:val="22"/>
          <w:lang w:val="en-US"/>
        </w:rPr>
        <w:t>Recommendation</w:t>
      </w:r>
      <w:r w:rsidR="0001612F" w:rsidRPr="00640D6B">
        <w:rPr>
          <w:rFonts w:ascii="Times New Roman" w:hAnsi="Times New Roman"/>
          <w:b/>
          <w:sz w:val="22"/>
          <w:szCs w:val="22"/>
          <w:lang w:val="en-US"/>
        </w:rPr>
        <w:t xml:space="preserve">:  </w:t>
      </w:r>
      <w:r w:rsidR="0001612F" w:rsidRPr="00640D6B">
        <w:rPr>
          <w:rFonts w:ascii="Times New Roman" w:hAnsi="Times New Roman"/>
          <w:sz w:val="22"/>
          <w:szCs w:val="22"/>
          <w:lang w:val="en-US"/>
        </w:rPr>
        <w:t xml:space="preserve">the issue of criminalization </w:t>
      </w:r>
      <w:r w:rsidR="00002E5D">
        <w:rPr>
          <w:rFonts w:ascii="Times New Roman" w:hAnsi="Times New Roman"/>
          <w:sz w:val="22"/>
          <w:szCs w:val="22"/>
          <w:lang w:val="en-US"/>
        </w:rPr>
        <w:t>of child</w:t>
      </w:r>
      <w:r w:rsidR="0001612F" w:rsidRPr="00640D6B">
        <w:rPr>
          <w:rFonts w:ascii="Times New Roman" w:hAnsi="Times New Roman"/>
          <w:sz w:val="22"/>
          <w:szCs w:val="22"/>
          <w:lang w:val="en-US"/>
        </w:rPr>
        <w:t xml:space="preserve"> environmental human rights defenders as an infringement to their rights according to Article 13 and 15 could be addressed under para. 59-61 or under a specific section on </w:t>
      </w:r>
      <w:r w:rsidR="00D4463E" w:rsidRPr="00640D6B">
        <w:rPr>
          <w:rFonts w:ascii="Times New Roman" w:hAnsi="Times New Roman"/>
          <w:sz w:val="22"/>
          <w:szCs w:val="22"/>
          <w:lang w:val="en-US"/>
        </w:rPr>
        <w:t xml:space="preserve">human rights defenders. </w:t>
      </w:r>
    </w:p>
    <w:p w14:paraId="60B30CED" w14:textId="77777777" w:rsidR="00A64447" w:rsidRPr="00640D6B" w:rsidRDefault="00A64447" w:rsidP="00A64447">
      <w:pPr>
        <w:rPr>
          <w:rFonts w:ascii="Times New Roman" w:hAnsi="Times New Roman"/>
          <w:sz w:val="22"/>
          <w:szCs w:val="22"/>
          <w:lang w:val="en-US"/>
        </w:rPr>
      </w:pPr>
    </w:p>
    <w:p w14:paraId="5003BECE" w14:textId="77777777" w:rsidR="00C46048" w:rsidRPr="00640D6B" w:rsidRDefault="00C46048" w:rsidP="00A64447">
      <w:pPr>
        <w:rPr>
          <w:rFonts w:ascii="Times New Roman" w:hAnsi="Times New Roman"/>
          <w:sz w:val="22"/>
          <w:szCs w:val="22"/>
          <w:lang w:val="en-US"/>
        </w:rPr>
      </w:pPr>
    </w:p>
    <w:p w14:paraId="3ABBD574" w14:textId="77777777" w:rsidR="00C46048" w:rsidRPr="00640D6B" w:rsidRDefault="00C46048" w:rsidP="00C46048">
      <w:pPr>
        <w:numPr>
          <w:ilvl w:val="0"/>
          <w:numId w:val="17"/>
        </w:numPr>
        <w:rPr>
          <w:rFonts w:ascii="Times New Roman" w:hAnsi="Times New Roman"/>
          <w:b/>
          <w:sz w:val="22"/>
          <w:szCs w:val="22"/>
          <w:lang w:val="en-US"/>
        </w:rPr>
      </w:pPr>
      <w:r w:rsidRPr="00640D6B">
        <w:rPr>
          <w:rFonts w:ascii="Times New Roman" w:hAnsi="Times New Roman"/>
          <w:b/>
          <w:sz w:val="22"/>
          <w:szCs w:val="22"/>
          <w:lang w:val="en-US"/>
        </w:rPr>
        <w:t>Impact of environmental degradation, climate change and the sexual exploitation of children</w:t>
      </w:r>
    </w:p>
    <w:p w14:paraId="52F89D34" w14:textId="77777777" w:rsidR="00C46048" w:rsidRPr="00640D6B" w:rsidRDefault="00C46048" w:rsidP="00C46048">
      <w:pPr>
        <w:ind w:left="360"/>
        <w:rPr>
          <w:rFonts w:ascii="Times New Roman" w:hAnsi="Times New Roman"/>
          <w:b/>
          <w:sz w:val="22"/>
          <w:szCs w:val="22"/>
          <w:lang w:val="en-US"/>
        </w:rPr>
      </w:pPr>
    </w:p>
    <w:p w14:paraId="26B3BA78" w14:textId="77777777" w:rsidR="00C46048" w:rsidRPr="00640D6B" w:rsidRDefault="00C46048" w:rsidP="00D96EA2">
      <w:pPr>
        <w:rPr>
          <w:rFonts w:ascii="Times New Roman" w:hAnsi="Times New Roman"/>
          <w:sz w:val="22"/>
          <w:szCs w:val="22"/>
          <w:lang w:val="en-US"/>
        </w:rPr>
      </w:pPr>
      <w:r w:rsidRPr="00640D6B">
        <w:rPr>
          <w:rFonts w:ascii="Times New Roman" w:hAnsi="Times New Roman"/>
          <w:b/>
          <w:sz w:val="22"/>
          <w:szCs w:val="22"/>
          <w:lang w:val="en-US"/>
        </w:rPr>
        <w:t>Recommendation:</w:t>
      </w:r>
      <w:r w:rsidRPr="00640D6B">
        <w:rPr>
          <w:rFonts w:ascii="Times New Roman" w:hAnsi="Times New Roman"/>
          <w:sz w:val="22"/>
          <w:szCs w:val="22"/>
          <w:lang w:val="en-US"/>
        </w:rPr>
        <w:t xml:space="preserve"> The GC 26 should draw attention to the link between climate change that leads to displacement, loss of livelihoods </w:t>
      </w:r>
      <w:r w:rsidR="00D96EA2">
        <w:rPr>
          <w:rFonts w:ascii="Times New Roman" w:hAnsi="Times New Roman"/>
          <w:sz w:val="22"/>
          <w:szCs w:val="22"/>
          <w:lang w:val="en-US"/>
        </w:rPr>
        <w:t>and forced migration</w:t>
      </w:r>
      <w:r w:rsidRPr="00640D6B">
        <w:rPr>
          <w:rFonts w:ascii="Times New Roman" w:hAnsi="Times New Roman"/>
          <w:sz w:val="22"/>
          <w:szCs w:val="22"/>
          <w:lang w:val="en-US"/>
        </w:rPr>
        <w:t xml:space="preserve"> and</w:t>
      </w:r>
      <w:r w:rsidR="00D96EA2">
        <w:rPr>
          <w:rFonts w:ascii="Times New Roman" w:hAnsi="Times New Roman"/>
          <w:sz w:val="22"/>
          <w:szCs w:val="22"/>
          <w:lang w:val="en-US"/>
        </w:rPr>
        <w:t xml:space="preserve"> its</w:t>
      </w:r>
      <w:r w:rsidRPr="00640D6B">
        <w:rPr>
          <w:rFonts w:ascii="Times New Roman" w:hAnsi="Times New Roman"/>
          <w:sz w:val="22"/>
          <w:szCs w:val="22"/>
          <w:lang w:val="en-US"/>
        </w:rPr>
        <w:t xml:space="preserve"> resulting consequences </w:t>
      </w:r>
      <w:r w:rsidR="00D96EA2">
        <w:rPr>
          <w:rFonts w:ascii="Times New Roman" w:hAnsi="Times New Roman"/>
          <w:sz w:val="22"/>
          <w:szCs w:val="22"/>
          <w:lang w:val="en-US"/>
        </w:rPr>
        <w:t>such as</w:t>
      </w:r>
      <w:r w:rsidRPr="00640D6B">
        <w:rPr>
          <w:rFonts w:ascii="Times New Roman" w:hAnsi="Times New Roman"/>
          <w:sz w:val="22"/>
          <w:szCs w:val="22"/>
          <w:lang w:val="en-US"/>
        </w:rPr>
        <w:t xml:space="preserve"> increased violence and exploitation, including sexual exploitation of children.</w:t>
      </w:r>
    </w:p>
    <w:p w14:paraId="58055A9E" w14:textId="77777777" w:rsidR="00CC62A7" w:rsidRPr="00640D6B" w:rsidRDefault="00CC62A7" w:rsidP="00A64447">
      <w:pPr>
        <w:rPr>
          <w:rFonts w:ascii="Times New Roman" w:hAnsi="Times New Roman"/>
          <w:sz w:val="22"/>
          <w:szCs w:val="22"/>
          <w:lang w:val="en-US"/>
        </w:rPr>
      </w:pPr>
    </w:p>
    <w:p w14:paraId="6072551C" w14:textId="7D8D7387" w:rsidR="00C46048" w:rsidRDefault="00C46048" w:rsidP="00A64447">
      <w:pPr>
        <w:rPr>
          <w:rFonts w:ascii="Times New Roman" w:hAnsi="Times New Roman"/>
          <w:sz w:val="22"/>
          <w:szCs w:val="22"/>
          <w:lang w:val="en-US"/>
        </w:rPr>
      </w:pPr>
    </w:p>
    <w:p w14:paraId="3695FB94" w14:textId="77777777" w:rsidR="00C20098" w:rsidRDefault="00C20098" w:rsidP="00A64447">
      <w:pPr>
        <w:rPr>
          <w:rFonts w:ascii="Times New Roman" w:hAnsi="Times New Roman"/>
          <w:sz w:val="22"/>
          <w:szCs w:val="22"/>
          <w:lang w:val="en-US"/>
        </w:rPr>
      </w:pPr>
    </w:p>
    <w:p w14:paraId="331C33DD" w14:textId="5BFE620D" w:rsidR="003E12E5" w:rsidRDefault="003E12E5" w:rsidP="00A64447">
      <w:pPr>
        <w:rPr>
          <w:rFonts w:ascii="Times New Roman" w:hAnsi="Times New Roman"/>
          <w:sz w:val="22"/>
          <w:szCs w:val="22"/>
          <w:lang w:val="en-US"/>
        </w:rPr>
      </w:pPr>
    </w:p>
    <w:p w14:paraId="4904727A" w14:textId="4AA87F6C" w:rsidR="003E12E5" w:rsidRDefault="003E12E5" w:rsidP="00A64447">
      <w:pPr>
        <w:rPr>
          <w:rFonts w:ascii="Times New Roman" w:hAnsi="Times New Roman"/>
          <w:sz w:val="22"/>
          <w:szCs w:val="22"/>
          <w:lang w:val="en-US"/>
        </w:rPr>
      </w:pPr>
    </w:p>
    <w:p w14:paraId="3D2D288D" w14:textId="08798CA8" w:rsidR="003E12E5" w:rsidRDefault="003E12E5" w:rsidP="00A64447">
      <w:pPr>
        <w:rPr>
          <w:rFonts w:ascii="Times New Roman" w:hAnsi="Times New Roman"/>
          <w:sz w:val="22"/>
          <w:szCs w:val="22"/>
          <w:lang w:val="en-US"/>
        </w:rPr>
      </w:pPr>
    </w:p>
    <w:p w14:paraId="3A15BDEE" w14:textId="77777777" w:rsidR="003E12E5" w:rsidRPr="00640D6B" w:rsidRDefault="003E12E5" w:rsidP="00A64447">
      <w:pPr>
        <w:rPr>
          <w:rFonts w:ascii="Times New Roman" w:hAnsi="Times New Roman"/>
          <w:sz w:val="22"/>
          <w:szCs w:val="22"/>
          <w:lang w:val="en-US"/>
        </w:rPr>
      </w:pPr>
    </w:p>
    <w:p w14:paraId="1D37FABA" w14:textId="77777777" w:rsidR="00C46048" w:rsidRPr="00640D6B" w:rsidRDefault="00C46048" w:rsidP="00C46048">
      <w:pPr>
        <w:pStyle w:val="Listenabsatz"/>
        <w:numPr>
          <w:ilvl w:val="0"/>
          <w:numId w:val="15"/>
        </w:numPr>
        <w:jc w:val="center"/>
        <w:rPr>
          <w:rFonts w:ascii="Times New Roman" w:hAnsi="Times New Roman"/>
          <w:b/>
          <w:sz w:val="22"/>
          <w:szCs w:val="22"/>
          <w:u w:val="single"/>
          <w:lang w:val="en-US"/>
        </w:rPr>
      </w:pPr>
      <w:r w:rsidRPr="00640D6B">
        <w:rPr>
          <w:rFonts w:ascii="Times New Roman" w:hAnsi="Times New Roman"/>
          <w:b/>
          <w:sz w:val="22"/>
          <w:szCs w:val="22"/>
          <w:u w:val="single"/>
          <w:lang w:val="en-US"/>
        </w:rPr>
        <w:lastRenderedPageBreak/>
        <w:t>Concrete wording proposals</w:t>
      </w:r>
    </w:p>
    <w:p w14:paraId="079A6619" w14:textId="77777777" w:rsidR="00C3368A" w:rsidRPr="00640D6B" w:rsidRDefault="00C3368A" w:rsidP="00A64447">
      <w:pPr>
        <w:rPr>
          <w:rFonts w:ascii="Times New Roman" w:hAnsi="Times New Roman"/>
          <w:b/>
          <w:sz w:val="22"/>
          <w:szCs w:val="22"/>
          <w:lang w:val="es-ES"/>
        </w:rPr>
      </w:pPr>
    </w:p>
    <w:p w14:paraId="494B8D38" w14:textId="77777777" w:rsidR="00C46048" w:rsidRPr="00640D6B" w:rsidRDefault="00C46048" w:rsidP="00A64447">
      <w:pPr>
        <w:rPr>
          <w:rFonts w:ascii="Times New Roman" w:hAnsi="Times New Roman"/>
          <w:b/>
          <w:sz w:val="22"/>
          <w:szCs w:val="22"/>
          <w:lang w:val="es-ES"/>
        </w:rPr>
      </w:pPr>
    </w:p>
    <w:p w14:paraId="727589C3" w14:textId="77777777" w:rsidR="00FC7894" w:rsidRPr="00640D6B" w:rsidRDefault="00FC7894" w:rsidP="00FC7894">
      <w:pPr>
        <w:spacing w:after="160" w:line="360" w:lineRule="auto"/>
        <w:jc w:val="both"/>
        <w:rPr>
          <w:rFonts w:ascii="Times New Roman" w:hAnsi="Times New Roman"/>
          <w:color w:val="000000" w:themeColor="text1"/>
          <w:sz w:val="22"/>
          <w:szCs w:val="22"/>
          <w:lang w:val="en-US"/>
        </w:rPr>
      </w:pPr>
      <w:r w:rsidRPr="00640D6B">
        <w:rPr>
          <w:rFonts w:ascii="Times New Roman" w:hAnsi="Times New Roman"/>
          <w:color w:val="000000" w:themeColor="text1"/>
          <w:sz w:val="22"/>
          <w:szCs w:val="22"/>
          <w:lang w:val="en-US"/>
        </w:rPr>
        <w:t xml:space="preserve">After ¶ </w:t>
      </w:r>
      <w:r w:rsidR="005005E5">
        <w:rPr>
          <w:rFonts w:ascii="Times New Roman" w:hAnsi="Times New Roman"/>
          <w:color w:val="000000" w:themeColor="text1"/>
          <w:sz w:val="22"/>
          <w:szCs w:val="22"/>
          <w:lang w:val="en-US"/>
        </w:rPr>
        <w:t xml:space="preserve">para. </w:t>
      </w:r>
      <w:r w:rsidRPr="00640D6B">
        <w:rPr>
          <w:rFonts w:ascii="Times New Roman" w:hAnsi="Times New Roman"/>
          <w:color w:val="000000" w:themeColor="text1"/>
          <w:sz w:val="22"/>
          <w:szCs w:val="22"/>
          <w:lang w:val="en-US"/>
        </w:rPr>
        <w:t>9 we suggest adding the following text</w:t>
      </w:r>
      <w:r w:rsidRPr="00640D6B">
        <w:rPr>
          <w:rFonts w:ascii="Times New Roman" w:hAnsi="Times New Roman"/>
          <w:color w:val="FF0000"/>
          <w:sz w:val="22"/>
          <w:szCs w:val="22"/>
          <w:lang w:val="en-US"/>
        </w:rPr>
        <w:t xml:space="preserve">: </w:t>
      </w:r>
      <w:r w:rsidRPr="00640D6B">
        <w:rPr>
          <w:rFonts w:ascii="Times New Roman" w:hAnsi="Times New Roman"/>
          <w:color w:val="000000" w:themeColor="text1"/>
          <w:sz w:val="22"/>
          <w:szCs w:val="22"/>
          <w:lang w:val="en-US"/>
        </w:rPr>
        <w:t>“</w:t>
      </w:r>
      <w:r w:rsidRPr="00640D6B">
        <w:rPr>
          <w:rFonts w:ascii="Times New Roman" w:hAnsi="Times New Roman"/>
          <w:b/>
          <w:bCs/>
          <w:color w:val="000000" w:themeColor="text1"/>
          <w:sz w:val="22"/>
          <w:szCs w:val="22"/>
          <w:u w:val="single"/>
          <w:lang w:val="en-US"/>
        </w:rPr>
        <w:t>The Intergovernmental Panel on Climate Change (IPCC) indicates that businesses are the great responsible for anthropogenic Greenhouse Gas Emissions. Therefore, they have contributed and continue to contribute to the climate emergency that we are currently facing.  Children, especially those from marginalized communities in less developed countries, suffer most severely and disproportionately from the adverse impacts of climate crisis. The Guiding Principles on Business and Human Rights provide a comprehensive framework for preventing and addressing human rights impacts related to business activities, including impacts linked to climate change</w:t>
      </w:r>
      <w:r w:rsidRPr="00640D6B">
        <w:rPr>
          <w:rFonts w:ascii="Times New Roman" w:hAnsi="Times New Roman"/>
          <w:color w:val="000000" w:themeColor="text1"/>
          <w:sz w:val="22"/>
          <w:szCs w:val="22"/>
          <w:lang w:val="en-US"/>
        </w:rPr>
        <w:t>”.</w:t>
      </w:r>
    </w:p>
    <w:p w14:paraId="2232F7AD" w14:textId="77777777" w:rsidR="00FC7894" w:rsidRPr="00640D6B" w:rsidRDefault="00FC7894" w:rsidP="00FC7894">
      <w:pPr>
        <w:spacing w:after="160" w:line="360" w:lineRule="auto"/>
        <w:jc w:val="both"/>
        <w:rPr>
          <w:rFonts w:ascii="Times New Roman" w:hAnsi="Times New Roman"/>
          <w:color w:val="000000" w:themeColor="text1"/>
          <w:sz w:val="22"/>
          <w:szCs w:val="22"/>
          <w:lang w:val="en-US"/>
        </w:rPr>
      </w:pPr>
      <w:r w:rsidRPr="00640D6B">
        <w:rPr>
          <w:rFonts w:ascii="Times New Roman" w:hAnsi="Times New Roman"/>
          <w:color w:val="000000" w:themeColor="text1"/>
          <w:sz w:val="22"/>
          <w:szCs w:val="22"/>
          <w:lang w:val="en-US"/>
        </w:rPr>
        <w:t>On ¶</w:t>
      </w:r>
      <w:r w:rsidR="005005E5">
        <w:rPr>
          <w:rFonts w:ascii="Times New Roman" w:hAnsi="Times New Roman"/>
          <w:color w:val="000000" w:themeColor="text1"/>
          <w:sz w:val="22"/>
          <w:szCs w:val="22"/>
          <w:lang w:val="en-US"/>
        </w:rPr>
        <w:t xml:space="preserve"> para.</w:t>
      </w:r>
      <w:r w:rsidRPr="00640D6B">
        <w:rPr>
          <w:rFonts w:ascii="Times New Roman" w:hAnsi="Times New Roman"/>
          <w:color w:val="000000" w:themeColor="text1"/>
          <w:sz w:val="22"/>
          <w:szCs w:val="22"/>
          <w:lang w:val="en-US"/>
        </w:rPr>
        <w:t xml:space="preserve"> 11(c) we suggest the addition of “and the role of the business activities”. It will then read: </w:t>
      </w:r>
      <w:r w:rsidRPr="00640D6B">
        <w:rPr>
          <w:rFonts w:ascii="Times New Roman" w:hAnsi="Times New Roman"/>
          <w:b/>
          <w:bCs/>
          <w:color w:val="000000" w:themeColor="text1"/>
          <w:sz w:val="22"/>
          <w:szCs w:val="22"/>
          <w:lang w:val="en-US"/>
        </w:rPr>
        <w:t xml:space="preserve">(c) Clarify the obligations of States parties to the Convention </w:t>
      </w:r>
      <w:r w:rsidRPr="00640D6B">
        <w:rPr>
          <w:rFonts w:ascii="Times New Roman" w:hAnsi="Times New Roman"/>
          <w:b/>
          <w:bCs/>
          <w:color w:val="000000" w:themeColor="text1"/>
          <w:sz w:val="22"/>
          <w:szCs w:val="22"/>
          <w:u w:val="single"/>
          <w:lang w:val="en-US"/>
        </w:rPr>
        <w:t>and the role of the business activities</w:t>
      </w:r>
      <w:r w:rsidRPr="00640D6B">
        <w:rPr>
          <w:rFonts w:ascii="Times New Roman" w:hAnsi="Times New Roman"/>
          <w:b/>
          <w:bCs/>
          <w:color w:val="000000" w:themeColor="text1"/>
          <w:sz w:val="22"/>
          <w:szCs w:val="22"/>
          <w:lang w:val="en-US"/>
        </w:rPr>
        <w:t xml:space="preserve"> (…) and provide authoritative guidance on legislative, administrative and other appropriate measures to be undertaken with respect to environmental issues, with a special focus on climate change</w:t>
      </w:r>
      <w:r w:rsidRPr="00640D6B">
        <w:rPr>
          <w:rFonts w:ascii="Times New Roman" w:hAnsi="Times New Roman"/>
          <w:color w:val="000000" w:themeColor="text1"/>
          <w:sz w:val="22"/>
          <w:szCs w:val="22"/>
          <w:lang w:val="en-US"/>
        </w:rPr>
        <w:t xml:space="preserve">. </w:t>
      </w:r>
    </w:p>
    <w:p w14:paraId="185468D0" w14:textId="77777777" w:rsidR="00FC7894" w:rsidRPr="00640D6B" w:rsidRDefault="00FC7894" w:rsidP="00FC7894">
      <w:pPr>
        <w:pStyle w:val="StandardWeb"/>
        <w:spacing w:before="0" w:beforeAutospacing="0" w:after="160" w:afterAutospacing="0" w:line="360" w:lineRule="auto"/>
        <w:jc w:val="both"/>
        <w:rPr>
          <w:color w:val="FF0000"/>
          <w:sz w:val="22"/>
          <w:szCs w:val="22"/>
        </w:rPr>
      </w:pPr>
      <w:r w:rsidRPr="00640D6B">
        <w:rPr>
          <w:color w:val="000000" w:themeColor="text1"/>
          <w:sz w:val="22"/>
          <w:szCs w:val="22"/>
        </w:rPr>
        <w:t xml:space="preserve">Since the Guiding Principles on Business and Human Rights (UNGPs) are the UN authoritative framework, we find that the aftermath of this GC would be enhanced if it also mentions, </w:t>
      </w:r>
      <w:r w:rsidR="005005E5">
        <w:rPr>
          <w:color w:val="000000" w:themeColor="text1"/>
          <w:sz w:val="22"/>
          <w:szCs w:val="22"/>
        </w:rPr>
        <w:t xml:space="preserve">in para. </w:t>
      </w:r>
      <w:r w:rsidRPr="00640D6B">
        <w:rPr>
          <w:color w:val="000000" w:themeColor="text1"/>
          <w:sz w:val="22"/>
          <w:szCs w:val="22"/>
        </w:rPr>
        <w:t>10. We suggest adding, at the end: “</w:t>
      </w:r>
      <w:r w:rsidRPr="00640D6B">
        <w:rPr>
          <w:b/>
          <w:bCs/>
          <w:color w:val="000000" w:themeColor="text1"/>
          <w:sz w:val="22"/>
          <w:szCs w:val="22"/>
          <w:u w:val="single"/>
        </w:rPr>
        <w:t>e) the Guiding Principles on Business and Human Rights, which outlines the responsibility of business enterprises to respect human rights refers to internationally recognized human rights</w:t>
      </w:r>
      <w:r w:rsidRPr="00640D6B">
        <w:rPr>
          <w:b/>
          <w:bCs/>
          <w:color w:val="000000" w:themeColor="text1"/>
          <w:sz w:val="22"/>
          <w:szCs w:val="22"/>
        </w:rPr>
        <w:t>”.</w:t>
      </w:r>
    </w:p>
    <w:p w14:paraId="7945B98B" w14:textId="24CF5CF2" w:rsidR="00FC7894" w:rsidRPr="00640D6B" w:rsidRDefault="00FC7894" w:rsidP="00FC7894">
      <w:pPr>
        <w:pStyle w:val="StandardWeb"/>
        <w:spacing w:before="0" w:beforeAutospacing="0" w:after="160" w:afterAutospacing="0" w:line="360" w:lineRule="auto"/>
        <w:jc w:val="both"/>
        <w:rPr>
          <w:color w:val="000000" w:themeColor="text1"/>
          <w:sz w:val="22"/>
          <w:szCs w:val="22"/>
        </w:rPr>
      </w:pPr>
      <w:r w:rsidRPr="00640D6B">
        <w:rPr>
          <w:color w:val="000000" w:themeColor="text1"/>
          <w:sz w:val="22"/>
          <w:szCs w:val="22"/>
        </w:rPr>
        <w:t xml:space="preserve">The same goal will be achieved if </w:t>
      </w:r>
      <w:r w:rsidRPr="00A74B05">
        <w:rPr>
          <w:color w:val="000000" w:themeColor="text1"/>
          <w:sz w:val="22"/>
          <w:szCs w:val="22"/>
        </w:rPr>
        <w:t xml:space="preserve">after </w:t>
      </w:r>
      <w:r w:rsidR="005005E5" w:rsidRPr="00A74B05">
        <w:rPr>
          <w:color w:val="000000" w:themeColor="text1"/>
          <w:sz w:val="22"/>
          <w:szCs w:val="22"/>
        </w:rPr>
        <w:t xml:space="preserve">para. </w:t>
      </w:r>
      <w:r w:rsidRPr="00A74B05">
        <w:rPr>
          <w:color w:val="000000" w:themeColor="text1"/>
          <w:sz w:val="22"/>
          <w:szCs w:val="22"/>
        </w:rPr>
        <w:t>21 a</w:t>
      </w:r>
      <w:r w:rsidRPr="00640D6B">
        <w:rPr>
          <w:color w:val="000000" w:themeColor="text1"/>
          <w:sz w:val="22"/>
          <w:szCs w:val="22"/>
        </w:rPr>
        <w:t xml:space="preserve"> new </w:t>
      </w:r>
      <w:r w:rsidR="00A74B05">
        <w:rPr>
          <w:color w:val="000000" w:themeColor="text1"/>
          <w:sz w:val="22"/>
          <w:szCs w:val="22"/>
        </w:rPr>
        <w:t>para.</w:t>
      </w:r>
      <w:r w:rsidRPr="00640D6B">
        <w:rPr>
          <w:color w:val="000000" w:themeColor="text1"/>
          <w:sz w:val="22"/>
          <w:szCs w:val="22"/>
        </w:rPr>
        <w:t xml:space="preserve"> is added to refine the message that businesses also have responsibilities towards children. We suggest:</w:t>
      </w:r>
    </w:p>
    <w:p w14:paraId="02EBFC5D" w14:textId="77777777" w:rsidR="00FC7894" w:rsidRPr="00640D6B" w:rsidRDefault="00FC7894" w:rsidP="00FC7894">
      <w:pPr>
        <w:pStyle w:val="StandardWeb"/>
        <w:spacing w:before="0" w:beforeAutospacing="0" w:after="160" w:afterAutospacing="0" w:line="360" w:lineRule="auto"/>
        <w:jc w:val="both"/>
        <w:rPr>
          <w:b/>
          <w:bCs/>
          <w:color w:val="000000" w:themeColor="text1"/>
          <w:sz w:val="22"/>
          <w:szCs w:val="22"/>
        </w:rPr>
      </w:pPr>
      <w:r w:rsidRPr="00640D6B">
        <w:rPr>
          <w:b/>
          <w:bCs/>
          <w:color w:val="000000" w:themeColor="text1"/>
          <w:sz w:val="22"/>
          <w:szCs w:val="22"/>
        </w:rPr>
        <w:t>“</w:t>
      </w:r>
      <w:r w:rsidRPr="00640D6B">
        <w:rPr>
          <w:b/>
          <w:bCs/>
          <w:color w:val="000000" w:themeColor="text1"/>
          <w:sz w:val="22"/>
          <w:szCs w:val="22"/>
          <w:u w:val="single"/>
        </w:rPr>
        <w:t>Businesses may cause environmental degradation or contamination of a certain area and compromise the health, food security, and access to drinking water and sanitation for the population. Consequently, States must guarantee the physical, mental, spiritual, moral, psychological, and social development of children by adopting precautionary measures, such as effective regulation and monitoring, as well as conduct aimed at effective remediation if damage has occurred</w:t>
      </w:r>
      <w:r w:rsidRPr="00640D6B">
        <w:rPr>
          <w:b/>
          <w:bCs/>
          <w:color w:val="000000" w:themeColor="text1"/>
          <w:sz w:val="22"/>
          <w:szCs w:val="22"/>
        </w:rPr>
        <w:t>”.</w:t>
      </w:r>
    </w:p>
    <w:p w14:paraId="323D40CC" w14:textId="77777777" w:rsidR="00FC7894" w:rsidRPr="00640D6B" w:rsidRDefault="00FC7894" w:rsidP="00FC7894">
      <w:pPr>
        <w:pStyle w:val="StandardWeb"/>
        <w:spacing w:before="0" w:beforeAutospacing="0" w:after="160" w:afterAutospacing="0" w:line="360" w:lineRule="auto"/>
        <w:jc w:val="both"/>
        <w:rPr>
          <w:b/>
          <w:bCs/>
          <w:color w:val="000000"/>
          <w:sz w:val="22"/>
          <w:szCs w:val="22"/>
        </w:rPr>
      </w:pPr>
      <w:r w:rsidRPr="00640D6B">
        <w:rPr>
          <w:color w:val="000000" w:themeColor="text1"/>
          <w:sz w:val="22"/>
          <w:szCs w:val="22"/>
        </w:rPr>
        <w:t xml:space="preserve">Regarding the more specific suggestions, the recognition that States have obligations and corporations have responsibilities goes hand in hand with the UNGPs, that is why we suggest that ¶ </w:t>
      </w:r>
      <w:r w:rsidR="002F3F25">
        <w:rPr>
          <w:color w:val="000000" w:themeColor="text1"/>
          <w:sz w:val="22"/>
          <w:szCs w:val="22"/>
        </w:rPr>
        <w:t>para.</w:t>
      </w:r>
      <w:r w:rsidRPr="00640D6B">
        <w:rPr>
          <w:color w:val="000000" w:themeColor="text1"/>
          <w:sz w:val="22"/>
          <w:szCs w:val="22"/>
        </w:rPr>
        <w:t xml:space="preserve">13 reads </w:t>
      </w:r>
      <w:r w:rsidRPr="00640D6B">
        <w:rPr>
          <w:b/>
          <w:bCs/>
          <w:color w:val="000000" w:themeColor="text1"/>
          <w:sz w:val="22"/>
          <w:szCs w:val="22"/>
        </w:rPr>
        <w:t>“…</w:t>
      </w:r>
      <w:r w:rsidRPr="00640D6B">
        <w:rPr>
          <w:b/>
          <w:bCs/>
          <w:color w:val="FF0000"/>
          <w:sz w:val="22"/>
          <w:szCs w:val="22"/>
        </w:rPr>
        <w:t xml:space="preserve"> </w:t>
      </w:r>
      <w:r w:rsidRPr="00640D6B">
        <w:rPr>
          <w:b/>
          <w:bCs/>
          <w:color w:val="000000"/>
          <w:sz w:val="22"/>
          <w:szCs w:val="22"/>
        </w:rPr>
        <w:t xml:space="preserve">Securing the realization of the right of each child to development to the maximum extent in the optimal environment necessarily requires States to implement their obligations under the Convention, </w:t>
      </w:r>
      <w:r w:rsidRPr="00640D6B">
        <w:rPr>
          <w:b/>
          <w:bCs/>
          <w:color w:val="000000"/>
          <w:sz w:val="22"/>
          <w:szCs w:val="22"/>
          <w:u w:val="single"/>
        </w:rPr>
        <w:t>and businesses to respect the rights it enshrines</w:t>
      </w:r>
      <w:r w:rsidRPr="00640D6B">
        <w:rPr>
          <w:b/>
          <w:bCs/>
          <w:color w:val="000000"/>
          <w:sz w:val="22"/>
          <w:szCs w:val="22"/>
        </w:rPr>
        <w:t>,….”</w:t>
      </w:r>
    </w:p>
    <w:p w14:paraId="72EB90C0" w14:textId="77777777" w:rsidR="00FC7894" w:rsidRPr="00640D6B" w:rsidRDefault="00FC7894" w:rsidP="00FC7894">
      <w:pPr>
        <w:pStyle w:val="StandardWeb"/>
        <w:spacing w:before="0" w:beforeAutospacing="0" w:after="160" w:afterAutospacing="0" w:line="360" w:lineRule="auto"/>
        <w:jc w:val="both"/>
        <w:rPr>
          <w:color w:val="000000" w:themeColor="text1"/>
          <w:sz w:val="22"/>
          <w:szCs w:val="22"/>
        </w:rPr>
      </w:pPr>
      <w:r w:rsidRPr="00640D6B">
        <w:rPr>
          <w:color w:val="000000" w:themeColor="text1"/>
          <w:sz w:val="22"/>
          <w:szCs w:val="22"/>
        </w:rPr>
        <w:t xml:space="preserve">When tackling precautionary measures, we suggest adding </w:t>
      </w:r>
      <w:r w:rsidR="002F3F25">
        <w:rPr>
          <w:color w:val="000000" w:themeColor="text1"/>
          <w:sz w:val="22"/>
          <w:szCs w:val="22"/>
        </w:rPr>
        <w:t xml:space="preserve">in para. </w:t>
      </w:r>
      <w:r w:rsidRPr="00640D6B">
        <w:rPr>
          <w:color w:val="000000" w:themeColor="text1"/>
          <w:sz w:val="22"/>
          <w:szCs w:val="22"/>
        </w:rPr>
        <w:t xml:space="preserve">15: </w:t>
      </w:r>
      <w:r w:rsidRPr="00640D6B">
        <w:rPr>
          <w:b/>
          <w:bCs/>
          <w:color w:val="000000" w:themeColor="text1"/>
          <w:sz w:val="22"/>
          <w:szCs w:val="22"/>
        </w:rPr>
        <w:t>“</w:t>
      </w:r>
      <w:r w:rsidRPr="00640D6B">
        <w:rPr>
          <w:b/>
          <w:bCs/>
          <w:color w:val="000000" w:themeColor="text1"/>
          <w:sz w:val="22"/>
          <w:szCs w:val="22"/>
          <w:u w:val="single"/>
        </w:rPr>
        <w:t>Businesses shall mitigate and prevent greater future climate damage and ensure climate justice, using instruments such as Child-rights Impact Assessments and Human Rights Due Diligence, as provided for in the UNGPs, in order to be part of the solution</w:t>
      </w:r>
      <w:r w:rsidRPr="00640D6B">
        <w:rPr>
          <w:color w:val="000000" w:themeColor="text1"/>
          <w:sz w:val="22"/>
          <w:szCs w:val="22"/>
        </w:rPr>
        <w:t>”.</w:t>
      </w:r>
    </w:p>
    <w:p w14:paraId="521D00E6" w14:textId="16AC3BC8" w:rsidR="00FC7894" w:rsidRPr="00640D6B" w:rsidRDefault="00FC7894" w:rsidP="00FC7894">
      <w:pPr>
        <w:spacing w:after="240" w:line="360" w:lineRule="auto"/>
        <w:jc w:val="both"/>
        <w:rPr>
          <w:rFonts w:ascii="Times New Roman" w:hAnsi="Times New Roman"/>
          <w:b/>
          <w:bCs/>
          <w:color w:val="000000" w:themeColor="text1"/>
          <w:sz w:val="22"/>
          <w:szCs w:val="22"/>
          <w:lang w:val="en-US"/>
        </w:rPr>
      </w:pPr>
      <w:r w:rsidRPr="00640D6B">
        <w:rPr>
          <w:rFonts w:ascii="Times New Roman" w:hAnsi="Times New Roman"/>
          <w:color w:val="000000" w:themeColor="text1"/>
          <w:sz w:val="22"/>
          <w:szCs w:val="22"/>
          <w:lang w:val="en-US"/>
        </w:rPr>
        <w:lastRenderedPageBreak/>
        <w:t>At the end of ¶</w:t>
      </w:r>
      <w:r w:rsidR="007802F8">
        <w:rPr>
          <w:rFonts w:ascii="Times New Roman" w:hAnsi="Times New Roman"/>
          <w:color w:val="000000" w:themeColor="text1"/>
          <w:sz w:val="22"/>
          <w:szCs w:val="22"/>
          <w:lang w:val="en-US"/>
        </w:rPr>
        <w:t xml:space="preserve"> </w:t>
      </w:r>
      <w:r w:rsidR="002F3F25">
        <w:rPr>
          <w:rFonts w:ascii="Times New Roman" w:hAnsi="Times New Roman"/>
          <w:color w:val="000000" w:themeColor="text1"/>
          <w:sz w:val="22"/>
          <w:szCs w:val="22"/>
          <w:lang w:val="en-US"/>
        </w:rPr>
        <w:t>para:</w:t>
      </w:r>
      <w:r w:rsidRPr="00640D6B">
        <w:rPr>
          <w:rFonts w:ascii="Times New Roman" w:hAnsi="Times New Roman"/>
          <w:color w:val="000000" w:themeColor="text1"/>
          <w:sz w:val="22"/>
          <w:szCs w:val="22"/>
          <w:lang w:val="en-US"/>
        </w:rPr>
        <w:t xml:space="preserve"> 22 we suggest adding “as well as space and opportunity to voice their opinion”, that will read:</w:t>
      </w:r>
      <w:r w:rsidRPr="00640D6B">
        <w:rPr>
          <w:rFonts w:ascii="Times New Roman" w:hAnsi="Times New Roman"/>
          <w:b/>
          <w:bCs/>
          <w:color w:val="000000" w:themeColor="text1"/>
          <w:sz w:val="22"/>
          <w:szCs w:val="22"/>
          <w:lang w:val="en-US"/>
        </w:rPr>
        <w:t xml:space="preserve"> As </w:t>
      </w:r>
      <w:r w:rsidRPr="00640D6B">
        <w:rPr>
          <w:rFonts w:ascii="Times New Roman" w:hAnsi="Times New Roman"/>
          <w:b/>
          <w:bCs/>
          <w:color w:val="000000"/>
          <w:sz w:val="22"/>
          <w:szCs w:val="22"/>
          <w:lang w:val="en-US"/>
        </w:rPr>
        <w:t xml:space="preserve">children mature, they increasingly act as agents of change with the potential to contribute positively to their families, communities and countries. Globally, children make significant contributions towards environmental sustainability and climate justice. They should have access to adequate environmental information and education focusing on respect for the natural environment, sustainable lifestyles, </w:t>
      </w:r>
      <w:r w:rsidRPr="00640D6B">
        <w:rPr>
          <w:rFonts w:ascii="Times New Roman" w:hAnsi="Times New Roman"/>
          <w:b/>
          <w:bCs/>
          <w:color w:val="000000" w:themeColor="text1"/>
          <w:sz w:val="22"/>
          <w:szCs w:val="22"/>
          <w:u w:val="single"/>
          <w:lang w:val="en-US"/>
        </w:rPr>
        <w:t>as well as space and opportunity to voice their opinion</w:t>
      </w:r>
      <w:r w:rsidRPr="00640D6B">
        <w:rPr>
          <w:rFonts w:ascii="Times New Roman" w:hAnsi="Times New Roman"/>
          <w:b/>
          <w:bCs/>
          <w:color w:val="000000" w:themeColor="text1"/>
          <w:sz w:val="22"/>
          <w:szCs w:val="22"/>
          <w:lang w:val="en-US"/>
        </w:rPr>
        <w:t xml:space="preserve"> </w:t>
      </w:r>
      <w:r w:rsidRPr="00640D6B">
        <w:rPr>
          <w:rFonts w:ascii="Times New Roman" w:hAnsi="Times New Roman"/>
          <w:b/>
          <w:bCs/>
          <w:color w:val="000000"/>
          <w:sz w:val="22"/>
          <w:szCs w:val="22"/>
          <w:lang w:val="en-US"/>
        </w:rPr>
        <w:t>leading a responsible life in a free society.</w:t>
      </w:r>
    </w:p>
    <w:p w14:paraId="3DB847CE" w14:textId="78B64A02" w:rsidR="00FC7894" w:rsidRPr="00640D6B" w:rsidRDefault="00FC7894" w:rsidP="00FC7894">
      <w:pPr>
        <w:spacing w:after="160" w:line="360" w:lineRule="auto"/>
        <w:jc w:val="both"/>
        <w:rPr>
          <w:rFonts w:ascii="Times New Roman" w:hAnsi="Times New Roman"/>
          <w:b/>
          <w:bCs/>
          <w:color w:val="000000" w:themeColor="text1"/>
          <w:sz w:val="22"/>
          <w:szCs w:val="22"/>
          <w:lang w:val="en-US"/>
        </w:rPr>
      </w:pPr>
      <w:r w:rsidRPr="00640D6B">
        <w:rPr>
          <w:rFonts w:ascii="Times New Roman" w:hAnsi="Times New Roman"/>
          <w:color w:val="000000" w:themeColor="text1"/>
          <w:sz w:val="22"/>
          <w:szCs w:val="22"/>
          <w:lang w:val="en-US"/>
        </w:rPr>
        <w:t xml:space="preserve">After ¶ </w:t>
      </w:r>
      <w:r w:rsidR="002F3F25">
        <w:rPr>
          <w:rFonts w:ascii="Times New Roman" w:hAnsi="Times New Roman"/>
          <w:color w:val="000000" w:themeColor="text1"/>
          <w:sz w:val="22"/>
          <w:szCs w:val="22"/>
          <w:lang w:val="en-US"/>
        </w:rPr>
        <w:t xml:space="preserve">para. </w:t>
      </w:r>
      <w:r w:rsidRPr="00640D6B">
        <w:rPr>
          <w:rFonts w:ascii="Times New Roman" w:hAnsi="Times New Roman"/>
          <w:color w:val="000000" w:themeColor="text1"/>
          <w:sz w:val="22"/>
          <w:szCs w:val="22"/>
          <w:lang w:val="en-US"/>
        </w:rPr>
        <w:t xml:space="preserve">49 we suggest adding a </w:t>
      </w:r>
      <w:r w:rsidR="00A74B05">
        <w:rPr>
          <w:rFonts w:ascii="Times New Roman" w:hAnsi="Times New Roman"/>
          <w:color w:val="000000" w:themeColor="text1"/>
          <w:sz w:val="22"/>
          <w:szCs w:val="22"/>
          <w:lang w:val="en-US"/>
        </w:rPr>
        <w:t>para.</w:t>
      </w:r>
      <w:r w:rsidRPr="00640D6B">
        <w:rPr>
          <w:rFonts w:ascii="Times New Roman" w:hAnsi="Times New Roman"/>
          <w:color w:val="000000" w:themeColor="text1"/>
          <w:sz w:val="22"/>
          <w:szCs w:val="22"/>
          <w:lang w:val="en-US"/>
        </w:rPr>
        <w:t xml:space="preserve"> that reads: </w:t>
      </w:r>
      <w:r w:rsidRPr="00640D6B">
        <w:rPr>
          <w:rFonts w:ascii="Times New Roman" w:hAnsi="Times New Roman"/>
          <w:b/>
          <w:bCs/>
          <w:color w:val="000000" w:themeColor="text1"/>
          <w:sz w:val="22"/>
          <w:szCs w:val="22"/>
          <w:lang w:val="en-US"/>
        </w:rPr>
        <w:t>“</w:t>
      </w:r>
      <w:r w:rsidRPr="00640D6B">
        <w:rPr>
          <w:rFonts w:ascii="Times New Roman" w:hAnsi="Times New Roman"/>
          <w:b/>
          <w:bCs/>
          <w:color w:val="000000" w:themeColor="text1"/>
          <w:sz w:val="22"/>
          <w:szCs w:val="22"/>
          <w:u w:val="single"/>
          <w:lang w:val="en-US"/>
        </w:rPr>
        <w:t xml:space="preserve">The extensive cutting or burning of trees and forest, primarily for timber and fuel, or to clear land for other uses, such as agriculture, livestock mining, or construction, is the largest contributor to Greenhouse Gas Emissions, and is considered a threat to sustainable development. Healthy forests are essential for food security and livelihoods of approximately 1.6 billion people globally, including some 60 million indigenous who are almost entirely dependent on forests. In this sense, the States have the obligation to protect, and must use all the instruments, such as public policies, laws, administrative acts, and judicial decisions, in order to mitigate the negative consequences of their and third </w:t>
      </w:r>
      <w:r w:rsidR="00431A37" w:rsidRPr="00640D6B">
        <w:rPr>
          <w:rFonts w:ascii="Times New Roman" w:hAnsi="Times New Roman"/>
          <w:b/>
          <w:bCs/>
          <w:color w:val="000000" w:themeColor="text1"/>
          <w:sz w:val="22"/>
          <w:szCs w:val="22"/>
          <w:u w:val="single"/>
          <w:lang w:val="en-US"/>
        </w:rPr>
        <w:t>parties’</w:t>
      </w:r>
      <w:r w:rsidRPr="00640D6B">
        <w:rPr>
          <w:rFonts w:ascii="Times New Roman" w:hAnsi="Times New Roman"/>
          <w:b/>
          <w:bCs/>
          <w:color w:val="000000" w:themeColor="text1"/>
          <w:sz w:val="22"/>
          <w:szCs w:val="22"/>
          <w:u w:val="single"/>
          <w:lang w:val="en-US"/>
        </w:rPr>
        <w:t xml:space="preserve"> activities and to promote production models that avoid climate change</w:t>
      </w:r>
      <w:r w:rsidRPr="00640D6B">
        <w:rPr>
          <w:rFonts w:ascii="Times New Roman" w:hAnsi="Times New Roman"/>
          <w:b/>
          <w:bCs/>
          <w:color w:val="000000" w:themeColor="text1"/>
          <w:sz w:val="22"/>
          <w:szCs w:val="22"/>
          <w:lang w:val="en-US"/>
        </w:rPr>
        <w:t>”.</w:t>
      </w:r>
      <w:bookmarkStart w:id="0" w:name="_GoBack"/>
      <w:bookmarkEnd w:id="0"/>
    </w:p>
    <w:p w14:paraId="61A771EA" w14:textId="77777777" w:rsidR="00FC7894" w:rsidRPr="00640D6B" w:rsidRDefault="00FC7894" w:rsidP="00FC7894">
      <w:pPr>
        <w:spacing w:after="160" w:line="360" w:lineRule="auto"/>
        <w:jc w:val="both"/>
        <w:rPr>
          <w:rFonts w:ascii="Times New Roman" w:hAnsi="Times New Roman"/>
          <w:color w:val="000000" w:themeColor="text1"/>
          <w:sz w:val="22"/>
          <w:szCs w:val="22"/>
          <w:lang w:val="en-US"/>
        </w:rPr>
      </w:pPr>
      <w:r w:rsidRPr="00640D6B">
        <w:rPr>
          <w:rFonts w:ascii="Times New Roman" w:hAnsi="Times New Roman"/>
          <w:color w:val="000000" w:themeColor="text1"/>
          <w:sz w:val="22"/>
          <w:szCs w:val="22"/>
          <w:lang w:val="en-US"/>
        </w:rPr>
        <w:t>We also suggest adding</w:t>
      </w:r>
      <w:r w:rsidR="002F3F25">
        <w:rPr>
          <w:rFonts w:ascii="Times New Roman" w:hAnsi="Times New Roman"/>
          <w:color w:val="000000" w:themeColor="text1"/>
          <w:sz w:val="22"/>
          <w:szCs w:val="22"/>
          <w:lang w:val="en-US"/>
        </w:rPr>
        <w:t xml:space="preserve"> para. </w:t>
      </w:r>
      <w:r w:rsidRPr="00640D6B">
        <w:rPr>
          <w:rFonts w:ascii="Times New Roman" w:hAnsi="Times New Roman"/>
          <w:color w:val="000000" w:themeColor="text1"/>
          <w:sz w:val="22"/>
          <w:szCs w:val="22"/>
          <w:lang w:val="en-US"/>
        </w:rPr>
        <w:t xml:space="preserve">51: </w:t>
      </w:r>
      <w:r w:rsidRPr="00640D6B">
        <w:rPr>
          <w:rFonts w:ascii="Times New Roman" w:hAnsi="Times New Roman"/>
          <w:b/>
          <w:bCs/>
          <w:color w:val="000000" w:themeColor="text1"/>
          <w:sz w:val="22"/>
          <w:szCs w:val="22"/>
          <w:lang w:val="en-US"/>
        </w:rPr>
        <w:t>“</w:t>
      </w:r>
      <w:r w:rsidRPr="00640D6B">
        <w:rPr>
          <w:rFonts w:ascii="Times New Roman" w:hAnsi="Times New Roman"/>
          <w:b/>
          <w:bCs/>
          <w:color w:val="000000" w:themeColor="text1"/>
          <w:sz w:val="22"/>
          <w:szCs w:val="22"/>
          <w:u w:val="single"/>
          <w:lang w:val="en-US"/>
        </w:rPr>
        <w:t>States should ensure that business activities share the best practices and use appropriate tools, including Human Rights Due Diligence, when tackling the challenges faced by children</w:t>
      </w:r>
      <w:r w:rsidRPr="00640D6B">
        <w:rPr>
          <w:rFonts w:ascii="Times New Roman" w:hAnsi="Times New Roman"/>
          <w:b/>
          <w:bCs/>
          <w:color w:val="000000" w:themeColor="text1"/>
          <w:sz w:val="22"/>
          <w:szCs w:val="22"/>
          <w:lang w:val="en-US"/>
        </w:rPr>
        <w:t>”.</w:t>
      </w:r>
    </w:p>
    <w:p w14:paraId="0485AF28" w14:textId="77777777" w:rsidR="00C20098" w:rsidRDefault="00C20098" w:rsidP="00A64447">
      <w:pPr>
        <w:rPr>
          <w:rFonts w:ascii="Times New Roman" w:hAnsi="Times New Roman"/>
          <w:b/>
          <w:sz w:val="22"/>
          <w:szCs w:val="22"/>
          <w:lang w:val="en-US"/>
        </w:rPr>
      </w:pPr>
    </w:p>
    <w:p w14:paraId="0910DC85" w14:textId="77777777" w:rsidR="00C20098" w:rsidRDefault="00C20098" w:rsidP="00A64447">
      <w:pPr>
        <w:rPr>
          <w:rFonts w:ascii="Times New Roman" w:hAnsi="Times New Roman"/>
          <w:b/>
          <w:sz w:val="22"/>
          <w:szCs w:val="22"/>
          <w:lang w:val="en-US"/>
        </w:rPr>
      </w:pPr>
    </w:p>
    <w:p w14:paraId="0454E23F" w14:textId="77777777" w:rsidR="00C20098" w:rsidRDefault="00C20098" w:rsidP="00A64447">
      <w:pPr>
        <w:rPr>
          <w:rFonts w:ascii="Times New Roman" w:hAnsi="Times New Roman"/>
          <w:b/>
          <w:sz w:val="22"/>
          <w:szCs w:val="22"/>
          <w:lang w:val="en-US"/>
        </w:rPr>
      </w:pPr>
    </w:p>
    <w:p w14:paraId="6C507832" w14:textId="77777777" w:rsidR="00C20098" w:rsidRDefault="00C20098" w:rsidP="00A64447">
      <w:pPr>
        <w:rPr>
          <w:rFonts w:ascii="Times New Roman" w:hAnsi="Times New Roman"/>
          <w:b/>
          <w:sz w:val="22"/>
          <w:szCs w:val="22"/>
          <w:lang w:val="en-US"/>
        </w:rPr>
      </w:pPr>
    </w:p>
    <w:p w14:paraId="7413136A" w14:textId="77777777" w:rsidR="00C20098" w:rsidRDefault="00C20098" w:rsidP="00A64447">
      <w:pPr>
        <w:rPr>
          <w:rFonts w:ascii="Times New Roman" w:hAnsi="Times New Roman"/>
          <w:b/>
          <w:sz w:val="22"/>
          <w:szCs w:val="22"/>
          <w:lang w:val="en-US"/>
        </w:rPr>
      </w:pPr>
    </w:p>
    <w:p w14:paraId="23193E1B" w14:textId="77777777" w:rsidR="00C20098" w:rsidRDefault="00C20098" w:rsidP="00A64447">
      <w:pPr>
        <w:rPr>
          <w:rFonts w:ascii="Times New Roman" w:hAnsi="Times New Roman"/>
          <w:b/>
          <w:sz w:val="22"/>
          <w:szCs w:val="22"/>
          <w:lang w:val="en-US"/>
        </w:rPr>
      </w:pPr>
    </w:p>
    <w:p w14:paraId="61F35E1C" w14:textId="77777777" w:rsidR="00C20098" w:rsidRDefault="00C20098" w:rsidP="00A64447">
      <w:pPr>
        <w:rPr>
          <w:rFonts w:ascii="Times New Roman" w:hAnsi="Times New Roman"/>
          <w:b/>
          <w:sz w:val="22"/>
          <w:szCs w:val="22"/>
          <w:lang w:val="en-US"/>
        </w:rPr>
      </w:pPr>
    </w:p>
    <w:p w14:paraId="3141AF14" w14:textId="77777777" w:rsidR="00C20098" w:rsidRDefault="00C20098" w:rsidP="00A64447">
      <w:pPr>
        <w:rPr>
          <w:rFonts w:ascii="Times New Roman" w:hAnsi="Times New Roman"/>
          <w:b/>
          <w:sz w:val="22"/>
          <w:szCs w:val="22"/>
          <w:lang w:val="en-US"/>
        </w:rPr>
      </w:pPr>
    </w:p>
    <w:p w14:paraId="6FCA142B" w14:textId="506E445E" w:rsidR="00CC62A7" w:rsidRDefault="005049ED" w:rsidP="00A64447">
      <w:pPr>
        <w:rPr>
          <w:rFonts w:ascii="Times New Roman" w:hAnsi="Times New Roman"/>
          <w:b/>
          <w:sz w:val="22"/>
          <w:szCs w:val="22"/>
          <w:lang w:val="en-US"/>
        </w:rPr>
      </w:pPr>
      <w:r w:rsidRPr="005049ED">
        <w:rPr>
          <w:rFonts w:ascii="Times New Roman" w:hAnsi="Times New Roman"/>
          <w:b/>
          <w:sz w:val="22"/>
          <w:szCs w:val="22"/>
          <w:lang w:val="en-US"/>
        </w:rPr>
        <w:t>For questions</w:t>
      </w:r>
      <w:r w:rsidR="00F508FF">
        <w:rPr>
          <w:rFonts w:ascii="Times New Roman" w:hAnsi="Times New Roman"/>
          <w:b/>
          <w:sz w:val="22"/>
          <w:szCs w:val="22"/>
          <w:lang w:val="en-US"/>
        </w:rPr>
        <w:t xml:space="preserve"> or</w:t>
      </w:r>
      <w:r w:rsidR="00481269">
        <w:rPr>
          <w:rFonts w:ascii="Times New Roman" w:hAnsi="Times New Roman"/>
          <w:b/>
          <w:sz w:val="22"/>
          <w:szCs w:val="22"/>
          <w:lang w:val="en-US"/>
        </w:rPr>
        <w:t xml:space="preserve"> request for</w:t>
      </w:r>
      <w:r w:rsidRPr="005049ED">
        <w:rPr>
          <w:rFonts w:ascii="Times New Roman" w:hAnsi="Times New Roman"/>
          <w:b/>
          <w:sz w:val="22"/>
          <w:szCs w:val="22"/>
          <w:lang w:val="en-US"/>
        </w:rPr>
        <w:t xml:space="preserve"> clarification of the content p</w:t>
      </w:r>
      <w:r>
        <w:rPr>
          <w:rFonts w:ascii="Times New Roman" w:hAnsi="Times New Roman"/>
          <w:b/>
          <w:sz w:val="22"/>
          <w:szCs w:val="22"/>
          <w:lang w:val="en-US"/>
        </w:rPr>
        <w:t>lease contact:</w:t>
      </w:r>
    </w:p>
    <w:p w14:paraId="7B2FD947" w14:textId="77777777" w:rsidR="00D224EF" w:rsidRDefault="00D224EF" w:rsidP="00A64447">
      <w:pPr>
        <w:rPr>
          <w:rFonts w:ascii="Times New Roman" w:hAnsi="Times New Roman"/>
          <w:b/>
          <w:sz w:val="22"/>
          <w:szCs w:val="22"/>
          <w:lang w:val="en-US"/>
        </w:rPr>
      </w:pPr>
    </w:p>
    <w:p w14:paraId="686858E1" w14:textId="77777777" w:rsidR="00D224EF" w:rsidRDefault="00D224EF" w:rsidP="00A64447">
      <w:pPr>
        <w:rPr>
          <w:rFonts w:ascii="Times New Roman" w:hAnsi="Times New Roman"/>
          <w:b/>
          <w:sz w:val="22"/>
          <w:szCs w:val="22"/>
          <w:lang w:val="en-US"/>
        </w:rPr>
      </w:pPr>
    </w:p>
    <w:p w14:paraId="14E2461B" w14:textId="0EC212BD" w:rsidR="00D224EF" w:rsidRPr="00C22E3F" w:rsidRDefault="005B6BE8" w:rsidP="00D224EF">
      <w:pPr>
        <w:rPr>
          <w:rFonts w:ascii="Times New Roman" w:hAnsi="Times New Roman"/>
          <w:b/>
          <w:sz w:val="22"/>
          <w:szCs w:val="22"/>
          <w:lang w:val="pt-BR"/>
        </w:rPr>
      </w:pPr>
      <w:r w:rsidRPr="00C22E3F">
        <w:rPr>
          <w:rFonts w:ascii="Times New Roman" w:hAnsi="Times New Roman"/>
          <w:b/>
          <w:sz w:val="22"/>
          <w:szCs w:val="22"/>
          <w:lang w:val="pt-BR"/>
        </w:rPr>
        <w:t xml:space="preserve">DKA </w:t>
      </w:r>
      <w:proofErr w:type="spellStart"/>
      <w:r w:rsidRPr="00C22E3F">
        <w:rPr>
          <w:rFonts w:ascii="Times New Roman" w:hAnsi="Times New Roman"/>
          <w:b/>
          <w:sz w:val="22"/>
          <w:szCs w:val="22"/>
          <w:lang w:val="pt-BR"/>
        </w:rPr>
        <w:t>Austria</w:t>
      </w:r>
      <w:proofErr w:type="spellEnd"/>
      <w:r w:rsidRPr="00C22E3F">
        <w:rPr>
          <w:rFonts w:ascii="Times New Roman" w:hAnsi="Times New Roman"/>
          <w:b/>
          <w:sz w:val="22"/>
          <w:szCs w:val="22"/>
          <w:lang w:val="pt-BR"/>
        </w:rPr>
        <w:t>:</w:t>
      </w:r>
      <w:r w:rsidR="00D224EF" w:rsidRPr="00C22E3F">
        <w:rPr>
          <w:rFonts w:ascii="Times New Roman" w:hAnsi="Times New Roman"/>
          <w:b/>
          <w:sz w:val="22"/>
          <w:szCs w:val="22"/>
          <w:lang w:val="pt-BR"/>
        </w:rPr>
        <w:t xml:space="preserve"> </w:t>
      </w:r>
      <w:r w:rsidR="00D224EF" w:rsidRPr="00C22E3F">
        <w:rPr>
          <w:rFonts w:ascii="Times New Roman" w:hAnsi="Times New Roman"/>
          <w:b/>
          <w:sz w:val="22"/>
          <w:szCs w:val="22"/>
          <w:lang w:val="pt-BR"/>
        </w:rPr>
        <w:tab/>
      </w:r>
      <w:r w:rsidR="00D224EF" w:rsidRPr="00C22E3F">
        <w:rPr>
          <w:rFonts w:ascii="Times New Roman" w:hAnsi="Times New Roman"/>
          <w:b/>
          <w:sz w:val="22"/>
          <w:szCs w:val="22"/>
          <w:lang w:val="pt-BR"/>
        </w:rPr>
        <w:tab/>
      </w:r>
      <w:r w:rsidR="00D224EF" w:rsidRPr="00C22E3F">
        <w:rPr>
          <w:rFonts w:ascii="Times New Roman" w:hAnsi="Times New Roman"/>
          <w:b/>
          <w:sz w:val="22"/>
          <w:szCs w:val="22"/>
          <w:lang w:val="pt-BR"/>
        </w:rPr>
        <w:tab/>
      </w:r>
      <w:r w:rsidR="00D224EF" w:rsidRPr="00C22E3F">
        <w:rPr>
          <w:rFonts w:ascii="Times New Roman" w:hAnsi="Times New Roman"/>
          <w:b/>
          <w:sz w:val="22"/>
          <w:szCs w:val="22"/>
          <w:lang w:val="pt-BR"/>
        </w:rPr>
        <w:tab/>
      </w:r>
      <w:r w:rsidR="00C22E3F" w:rsidRPr="00C22E3F">
        <w:rPr>
          <w:rFonts w:ascii="Times New Roman" w:hAnsi="Times New Roman"/>
          <w:b/>
          <w:sz w:val="22"/>
          <w:szCs w:val="22"/>
          <w:lang w:val="pt-BR"/>
        </w:rPr>
        <w:t>Clínica de Direitos Humanos PPGD/PUCPR</w:t>
      </w:r>
    </w:p>
    <w:p w14:paraId="7E7AAC61" w14:textId="28885D84" w:rsidR="00D224EF" w:rsidRDefault="00C3368A" w:rsidP="00D224EF">
      <w:pPr>
        <w:shd w:val="clear" w:color="auto" w:fill="FFFFFF"/>
        <w:rPr>
          <w:rFonts w:eastAsia="Times New Roman"/>
          <w:color w:val="000000"/>
          <w:sz w:val="24"/>
          <w:szCs w:val="24"/>
        </w:rPr>
      </w:pPr>
      <w:r w:rsidRPr="00D224EF">
        <w:rPr>
          <w:rFonts w:ascii="Times New Roman" w:hAnsi="Times New Roman"/>
          <w:sz w:val="22"/>
          <w:szCs w:val="22"/>
        </w:rPr>
        <w:t>Ingrid Pintaritsch</w:t>
      </w:r>
      <w:r w:rsidR="005B6BE8" w:rsidRPr="00D224EF">
        <w:rPr>
          <w:rFonts w:ascii="Times New Roman" w:hAnsi="Times New Roman"/>
          <w:sz w:val="22"/>
          <w:szCs w:val="22"/>
        </w:rPr>
        <w:t xml:space="preserve"> </w:t>
      </w:r>
      <w:r w:rsidR="005B6BE8" w:rsidRPr="00D224EF">
        <w:rPr>
          <w:rFonts w:ascii="Times New Roman" w:hAnsi="Times New Roman"/>
          <w:sz w:val="22"/>
          <w:szCs w:val="22"/>
        </w:rPr>
        <w:tab/>
      </w:r>
      <w:r w:rsidR="00D224EF">
        <w:rPr>
          <w:rFonts w:ascii="Times New Roman" w:hAnsi="Times New Roman"/>
          <w:sz w:val="22"/>
          <w:szCs w:val="22"/>
        </w:rPr>
        <w:tab/>
      </w:r>
      <w:r w:rsidR="006C2E29">
        <w:rPr>
          <w:rFonts w:ascii="Times New Roman" w:hAnsi="Times New Roman"/>
          <w:sz w:val="22"/>
          <w:szCs w:val="22"/>
        </w:rPr>
        <w:tab/>
      </w:r>
      <w:r w:rsidR="00D224EF" w:rsidRPr="00D224EF">
        <w:rPr>
          <w:rFonts w:ascii="Times New Roman" w:hAnsi="Times New Roman"/>
          <w:sz w:val="22"/>
          <w:szCs w:val="22"/>
        </w:rPr>
        <w:t>Danielle A. Pamplona</w:t>
      </w:r>
      <w:r w:rsidR="00D224EF">
        <w:rPr>
          <w:rFonts w:eastAsia="Times New Roman"/>
          <w:color w:val="000000"/>
          <w:sz w:val="24"/>
          <w:szCs w:val="24"/>
        </w:rPr>
        <w:t xml:space="preserve"> </w:t>
      </w:r>
    </w:p>
    <w:p w14:paraId="4196C980" w14:textId="38B2E2CC" w:rsidR="00D224EF" w:rsidRPr="00D224EF" w:rsidRDefault="00431A37" w:rsidP="00D224EF">
      <w:pPr>
        <w:rPr>
          <w:rFonts w:ascii="Times New Roman" w:hAnsi="Times New Roman"/>
          <w:sz w:val="22"/>
          <w:szCs w:val="22"/>
        </w:rPr>
      </w:pPr>
      <w:hyperlink r:id="rId16" w:history="1">
        <w:r w:rsidR="00D224EF" w:rsidRPr="00615D4E">
          <w:rPr>
            <w:rStyle w:val="Hyperlink"/>
            <w:rFonts w:ascii="Times New Roman" w:hAnsi="Times New Roman"/>
            <w:sz w:val="22"/>
            <w:szCs w:val="22"/>
          </w:rPr>
          <w:t>Ingrid.pintaritsch@dka.at</w:t>
        </w:r>
      </w:hyperlink>
      <w:r w:rsidR="00D224EF" w:rsidRPr="00D224EF">
        <w:rPr>
          <w:rStyle w:val="Hyperlink"/>
          <w:rFonts w:ascii="Times New Roman" w:hAnsi="Times New Roman"/>
          <w:sz w:val="22"/>
          <w:szCs w:val="22"/>
          <w:u w:val="none"/>
        </w:rPr>
        <w:t xml:space="preserve">  </w:t>
      </w:r>
      <w:r w:rsidR="00D224EF" w:rsidRPr="00D224EF">
        <w:rPr>
          <w:rStyle w:val="Hyperlink"/>
          <w:rFonts w:ascii="Times New Roman" w:hAnsi="Times New Roman"/>
          <w:sz w:val="22"/>
          <w:szCs w:val="22"/>
          <w:u w:val="none"/>
        </w:rPr>
        <w:tab/>
      </w:r>
      <w:r w:rsidR="00D224EF" w:rsidRPr="00D224EF">
        <w:rPr>
          <w:rStyle w:val="Hyperlink"/>
          <w:rFonts w:ascii="Times New Roman" w:hAnsi="Times New Roman"/>
          <w:sz w:val="22"/>
          <w:szCs w:val="22"/>
          <w:u w:val="none"/>
        </w:rPr>
        <w:tab/>
      </w:r>
      <w:hyperlink r:id="rId17" w:history="1">
        <w:r w:rsidR="00D224EF" w:rsidRPr="00A246E9">
          <w:rPr>
            <w:rStyle w:val="Hyperlink"/>
            <w:rFonts w:ascii="Times New Roman" w:hAnsi="Times New Roman"/>
            <w:sz w:val="22"/>
            <w:szCs w:val="22"/>
          </w:rPr>
          <w:t>danielle.pamplona@pucpr.br</w:t>
        </w:r>
      </w:hyperlink>
    </w:p>
    <w:p w14:paraId="214A077C" w14:textId="6FB8D50E" w:rsidR="00C3368A" w:rsidRPr="00D224EF" w:rsidRDefault="00C3368A" w:rsidP="00D224EF">
      <w:pPr>
        <w:rPr>
          <w:rFonts w:ascii="Times New Roman" w:hAnsi="Times New Roman"/>
          <w:sz w:val="22"/>
          <w:szCs w:val="22"/>
        </w:rPr>
      </w:pPr>
    </w:p>
    <w:p w14:paraId="300DF757" w14:textId="77777777" w:rsidR="00034CE4" w:rsidRPr="00D224EF" w:rsidRDefault="00034CE4" w:rsidP="00D224EF">
      <w:pPr>
        <w:rPr>
          <w:rFonts w:ascii="Times New Roman" w:hAnsi="Times New Roman"/>
          <w:sz w:val="22"/>
          <w:szCs w:val="22"/>
        </w:rPr>
      </w:pPr>
    </w:p>
    <w:p w14:paraId="5BA2CE23" w14:textId="71F72797" w:rsidR="00034CE4" w:rsidRPr="00D224EF" w:rsidRDefault="00034CE4" w:rsidP="00A64447">
      <w:pPr>
        <w:rPr>
          <w:rFonts w:ascii="Times New Roman" w:hAnsi="Times New Roman"/>
          <w:sz w:val="22"/>
          <w:szCs w:val="22"/>
        </w:rPr>
      </w:pPr>
    </w:p>
    <w:sectPr w:rsidR="00034CE4" w:rsidRPr="00D224EF" w:rsidSect="007C22AB">
      <w:footerReference w:type="default" r:id="rId18"/>
      <w:pgSz w:w="11906" w:h="16838" w:code="9"/>
      <w:pgMar w:top="851" w:right="1418" w:bottom="992" w:left="1332"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178CD" w14:textId="77777777" w:rsidR="003E12E5" w:rsidRDefault="003E12E5" w:rsidP="00A64447">
      <w:r>
        <w:separator/>
      </w:r>
    </w:p>
  </w:endnote>
  <w:endnote w:type="continuationSeparator" w:id="0">
    <w:p w14:paraId="624126A6" w14:textId="77777777" w:rsidR="003E12E5" w:rsidRDefault="003E12E5" w:rsidP="00A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HerosCn">
    <w:panose1 w:val="00000506000000000000"/>
    <w:charset w:val="00"/>
    <w:family w:val="modern"/>
    <w:notTrueType/>
    <w:pitch w:val="variable"/>
    <w:sig w:usb0="20000087" w:usb1="00000000" w:usb2="00000000" w:usb3="00000000" w:csb0="00000193" w:csb1="00000000"/>
  </w:font>
  <w:font w:name="NimbusSanLCon">
    <w:panose1 w:val="00000000000000000000"/>
    <w:charset w:val="00"/>
    <w:family w:val="auto"/>
    <w:pitch w:val="variable"/>
    <w:sig w:usb0="800000AF" w:usb1="000078E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238667"/>
      <w:docPartObj>
        <w:docPartGallery w:val="Page Numbers (Bottom of Page)"/>
        <w:docPartUnique/>
      </w:docPartObj>
    </w:sdtPr>
    <w:sdtEndPr/>
    <w:sdtContent>
      <w:p w14:paraId="1C7F679F" w14:textId="77777777" w:rsidR="003E12E5" w:rsidRDefault="003E12E5">
        <w:pPr>
          <w:pStyle w:val="Fuzeile"/>
          <w:jc w:val="right"/>
        </w:pPr>
        <w:r>
          <w:fldChar w:fldCharType="begin"/>
        </w:r>
        <w:r>
          <w:instrText>PAGE   \* MERGEFORMAT</w:instrText>
        </w:r>
        <w:r>
          <w:fldChar w:fldCharType="separate"/>
        </w:r>
        <w:r>
          <w:rPr>
            <w:lang w:val="de-DE"/>
          </w:rPr>
          <w:t>2</w:t>
        </w:r>
        <w:r>
          <w:fldChar w:fldCharType="end"/>
        </w:r>
      </w:p>
    </w:sdtContent>
  </w:sdt>
  <w:p w14:paraId="5EB6F815" w14:textId="77777777" w:rsidR="003E12E5" w:rsidRDefault="003E12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81882" w14:textId="77777777" w:rsidR="003E12E5" w:rsidRDefault="003E12E5" w:rsidP="00A64447">
      <w:r>
        <w:separator/>
      </w:r>
    </w:p>
  </w:footnote>
  <w:footnote w:type="continuationSeparator" w:id="0">
    <w:p w14:paraId="1718CA2D" w14:textId="77777777" w:rsidR="003E12E5" w:rsidRDefault="003E12E5" w:rsidP="00A64447">
      <w:r>
        <w:continuationSeparator/>
      </w:r>
    </w:p>
  </w:footnote>
  <w:footnote w:id="1">
    <w:p w14:paraId="22870E9C" w14:textId="77777777" w:rsidR="003E12E5" w:rsidRDefault="003E12E5">
      <w:pPr>
        <w:pStyle w:val="Funotentext"/>
      </w:pPr>
      <w:r>
        <w:rPr>
          <w:rStyle w:val="Funotenzeichen"/>
        </w:rPr>
        <w:footnoteRef/>
      </w:r>
      <w:r>
        <w:t xml:space="preserve"> </w:t>
      </w:r>
      <w:hyperlink r:id="rId1" w:history="1">
        <w:r w:rsidRPr="004A7125">
          <w:rPr>
            <w:rStyle w:val="Hyperlink"/>
          </w:rPr>
          <w:t>https://unfccc.int/news/governments-step-up-action-on-agriculture-and-food-security-at-cop27</w:t>
        </w:r>
      </w:hyperlink>
      <w:r>
        <w:t xml:space="preserve"> </w:t>
      </w:r>
    </w:p>
  </w:footnote>
  <w:footnote w:id="2">
    <w:p w14:paraId="32483C48" w14:textId="77777777" w:rsidR="003E12E5" w:rsidRPr="005F1763" w:rsidRDefault="003E12E5">
      <w:pPr>
        <w:pStyle w:val="Funotentext"/>
      </w:pPr>
      <w:r>
        <w:rPr>
          <w:rStyle w:val="Funotenzeichen"/>
        </w:rPr>
        <w:footnoteRef/>
      </w:r>
      <w:r>
        <w:t xml:space="preserve"> </w:t>
      </w:r>
      <w:r w:rsidRPr="005F1763">
        <w:t xml:space="preserve">A/HRC/34/48 Para. 92 and </w:t>
      </w:r>
      <w:proofErr w:type="spellStart"/>
      <w:r w:rsidRPr="005F1763">
        <w:t>para</w:t>
      </w:r>
      <w:proofErr w:type="spellEnd"/>
      <w:r w:rsidRPr="005F1763">
        <w:t xml:space="preserve">. 95: </w:t>
      </w:r>
      <w:hyperlink r:id="rId2" w:history="1">
        <w:r w:rsidRPr="004A7125">
          <w:rPr>
            <w:rStyle w:val="Hyperlink"/>
          </w:rPr>
          <w:t>https://undocs.org/Home/Mobile?FinalSymbol=A%2FHRC%2F34%2F48&amp;Language=E&amp;DeviceType=Desktop&amp;LangRequested=False</w:t>
        </w:r>
      </w:hyperlink>
      <w:r>
        <w:t xml:space="preserve"> </w:t>
      </w:r>
    </w:p>
  </w:footnote>
  <w:footnote w:id="3">
    <w:p w14:paraId="183D662F" w14:textId="77777777" w:rsidR="003E12E5" w:rsidRDefault="003E12E5" w:rsidP="002D6E3C">
      <w:pPr>
        <w:pStyle w:val="Funotentext"/>
      </w:pPr>
      <w:r>
        <w:rPr>
          <w:rStyle w:val="Funotenzeichen"/>
        </w:rPr>
        <w:footnoteRef/>
      </w:r>
      <w:r>
        <w:t xml:space="preserve"> </w:t>
      </w:r>
      <w:hyperlink r:id="rId3" w:history="1">
        <w:r w:rsidRPr="00D116E5">
          <w:rPr>
            <w:rStyle w:val="Hyperlink"/>
          </w:rPr>
          <w:t>https://eu.boell.org/en/2022/10/18/europe-must-slash-pesticide-use-protect-peoples-and-planets-health</w:t>
        </w:r>
      </w:hyperlink>
      <w:r>
        <w:t xml:space="preserve"> </w:t>
      </w:r>
    </w:p>
  </w:footnote>
  <w:footnote w:id="4">
    <w:p w14:paraId="0685CC41" w14:textId="77777777" w:rsidR="003E12E5" w:rsidRPr="002172F4" w:rsidRDefault="003E12E5">
      <w:pPr>
        <w:pStyle w:val="Funotentext"/>
        <w:rPr>
          <w:lang w:val="en-US"/>
        </w:rPr>
      </w:pPr>
      <w:r>
        <w:rPr>
          <w:rStyle w:val="Funotenzeichen"/>
        </w:rPr>
        <w:footnoteRef/>
      </w:r>
      <w:r w:rsidRPr="002172F4">
        <w:rPr>
          <w:lang w:val="en-US"/>
        </w:rPr>
        <w:t xml:space="preserve"> Report of the Special Rapporteur o</w:t>
      </w:r>
      <w:r>
        <w:rPr>
          <w:lang w:val="en-US"/>
        </w:rPr>
        <w:t>n the issue of human rights obligations relating to the enjoyment of a safe, clean, healthy and sustainable environment (2018).</w:t>
      </w:r>
    </w:p>
  </w:footnote>
  <w:footnote w:id="5">
    <w:p w14:paraId="55F98F69" w14:textId="77777777" w:rsidR="003E12E5" w:rsidRPr="002172F4" w:rsidRDefault="003E12E5">
      <w:pPr>
        <w:pStyle w:val="Funotentext"/>
        <w:rPr>
          <w:lang w:val="en-US"/>
        </w:rPr>
      </w:pPr>
      <w:r>
        <w:rPr>
          <w:rStyle w:val="Funotenzeichen"/>
        </w:rPr>
        <w:footnoteRef/>
      </w:r>
      <w:r w:rsidRPr="002172F4">
        <w:rPr>
          <w:lang w:val="en-US"/>
        </w:rPr>
        <w:t xml:space="preserve"> Report of the Special Rapporteur o</w:t>
      </w:r>
      <w:r>
        <w:rPr>
          <w:lang w:val="en-US"/>
        </w:rPr>
        <w:t>n the right to food (2017).</w:t>
      </w:r>
    </w:p>
  </w:footnote>
  <w:footnote w:id="6">
    <w:p w14:paraId="61FF9904" w14:textId="77777777" w:rsidR="003E12E5" w:rsidRPr="00B60C06" w:rsidRDefault="003E12E5">
      <w:pPr>
        <w:pStyle w:val="Funotentext"/>
        <w:rPr>
          <w:lang w:val="en-US"/>
        </w:rPr>
      </w:pPr>
      <w:r>
        <w:rPr>
          <w:rStyle w:val="Funotenzeichen"/>
        </w:rPr>
        <w:footnoteRef/>
      </w:r>
      <w:r w:rsidRPr="00B60C06">
        <w:rPr>
          <w:lang w:val="en-US"/>
        </w:rPr>
        <w:t xml:space="preserve"> See also UN Guiding Principles 9</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2pt;height:532pt" o:bullet="t">
        <v:imagedata r:id="rId1" o:title="DKA_Kachel_farbe_transparent"/>
      </v:shape>
    </w:pict>
  </w:numPicBullet>
  <w:abstractNum w:abstractNumId="0" w15:restartNumberingAfterBreak="0">
    <w:nsid w:val="0B0B53DE"/>
    <w:multiLevelType w:val="multilevel"/>
    <w:tmpl w:val="FB6875DE"/>
    <w:styleLink w:val="DKA-Bullets"/>
    <w:lvl w:ilvl="0">
      <w:start w:val="1"/>
      <w:numFmt w:val="bullet"/>
      <w:lvlText w:val=""/>
      <w:lvlJc w:val="left"/>
      <w:pPr>
        <w:ind w:left="360" w:hanging="360"/>
      </w:pPr>
      <w:rPr>
        <w:rFonts w:ascii="Wingdings" w:hAnsi="Wingdings" w:hint="default"/>
      </w:rPr>
    </w:lvl>
    <w:lvl w:ilvl="1">
      <w:start w:val="1"/>
      <w:numFmt w:val="bullet"/>
      <w:lvlText w:val=""/>
      <w:lvlJc w:val="left"/>
      <w:pPr>
        <w:ind w:left="1068" w:hanging="360"/>
      </w:pPr>
      <w:rPr>
        <w:rFonts w:ascii="Symbol" w:hAnsi="Symbol" w:cs="Courier New" w:hint="default"/>
        <w:color w:val="auto"/>
      </w:rPr>
    </w:lvl>
    <w:lvl w:ilvl="2">
      <w:start w:val="1"/>
      <w:numFmt w:val="bullet"/>
      <w:lvlText w:val=""/>
      <w:lvlJc w:val="left"/>
      <w:pPr>
        <w:ind w:left="1776" w:hanging="360"/>
      </w:pPr>
      <w:rPr>
        <w:rFonts w:ascii="Symbol" w:hAnsi="Symbol" w:hint="default"/>
        <w:color w:val="auto"/>
      </w:rPr>
    </w:lvl>
    <w:lvl w:ilvl="3">
      <w:start w:val="1"/>
      <w:numFmt w:val="bullet"/>
      <w:lvlText w:val="­"/>
      <w:lvlJc w:val="left"/>
      <w:pPr>
        <w:ind w:left="2484" w:hanging="360"/>
      </w:pPr>
      <w:rPr>
        <w:rFonts w:ascii="TeXGyreHerosCn" w:hAnsi="TeXGyreHerosC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6A603F"/>
    <w:multiLevelType w:val="multilevel"/>
    <w:tmpl w:val="FB6875DE"/>
    <w:numStyleLink w:val="DKA-Bullets"/>
  </w:abstractNum>
  <w:abstractNum w:abstractNumId="2" w15:restartNumberingAfterBreak="0">
    <w:nsid w:val="1640443E"/>
    <w:multiLevelType w:val="hybridMultilevel"/>
    <w:tmpl w:val="7222E79E"/>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03413E2"/>
    <w:multiLevelType w:val="hybridMultilevel"/>
    <w:tmpl w:val="00368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586646"/>
    <w:multiLevelType w:val="hybridMultilevel"/>
    <w:tmpl w:val="0124206A"/>
    <w:lvl w:ilvl="0" w:tplc="394C8984">
      <w:numFmt w:val="bullet"/>
      <w:lvlText w:val="-"/>
      <w:lvlJc w:val="left"/>
      <w:pPr>
        <w:ind w:left="720" w:hanging="360"/>
      </w:pPr>
      <w:rPr>
        <w:rFonts w:ascii="NimbusSanLCon" w:eastAsiaTheme="minorHAnsi" w:hAnsi="NimbusSanLCon"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152515B"/>
    <w:multiLevelType w:val="hybridMultilevel"/>
    <w:tmpl w:val="950C6FBC"/>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F863AAB"/>
    <w:multiLevelType w:val="hybridMultilevel"/>
    <w:tmpl w:val="FB6875DE"/>
    <w:lvl w:ilvl="0" w:tplc="BB506EE4">
      <w:start w:val="1"/>
      <w:numFmt w:val="bullet"/>
      <w:pStyle w:val="Listenabsatz"/>
      <w:lvlText w:val=""/>
      <w:lvlPicBulletId w:val="0"/>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2B67AB9"/>
    <w:multiLevelType w:val="hybridMultilevel"/>
    <w:tmpl w:val="CF22C1B8"/>
    <w:lvl w:ilvl="0" w:tplc="7DDE21A2">
      <w:numFmt w:val="bullet"/>
      <w:lvlText w:val="-"/>
      <w:lvlJc w:val="left"/>
      <w:pPr>
        <w:ind w:left="720" w:hanging="360"/>
      </w:pPr>
      <w:rPr>
        <w:rFonts w:ascii="NimbusSanLCon" w:eastAsiaTheme="minorHAnsi" w:hAnsi="NimbusSanLCo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AED1977"/>
    <w:multiLevelType w:val="hybridMultilevel"/>
    <w:tmpl w:val="9D428AE4"/>
    <w:lvl w:ilvl="0" w:tplc="AE6036C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4D324CF4"/>
    <w:multiLevelType w:val="hybridMultilevel"/>
    <w:tmpl w:val="6B66A996"/>
    <w:lvl w:ilvl="0" w:tplc="BB506EE4">
      <w:start w:val="1"/>
      <w:numFmt w:val="bullet"/>
      <w:lvlText w:val=""/>
      <w:lvlPicBulletId w:val="0"/>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548E0868"/>
    <w:multiLevelType w:val="hybridMultilevel"/>
    <w:tmpl w:val="38AED8F6"/>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687343A"/>
    <w:multiLevelType w:val="multilevel"/>
    <w:tmpl w:val="FB6875DE"/>
    <w:numStyleLink w:val="DKA-Bullets"/>
  </w:abstractNum>
  <w:abstractNum w:abstractNumId="12" w15:restartNumberingAfterBreak="0">
    <w:nsid w:val="65F95DB4"/>
    <w:multiLevelType w:val="hybridMultilevel"/>
    <w:tmpl w:val="AFCCAF5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7E34116"/>
    <w:multiLevelType w:val="hybridMultilevel"/>
    <w:tmpl w:val="6012EE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C034BC8"/>
    <w:multiLevelType w:val="hybridMultilevel"/>
    <w:tmpl w:val="0E7AA1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9"/>
  </w:num>
  <w:num w:numId="4">
    <w:abstractNumId w:val="5"/>
  </w:num>
  <w:num w:numId="5">
    <w:abstractNumId w:val="3"/>
  </w:num>
  <w:num w:numId="6">
    <w:abstractNumId w:val="6"/>
  </w:num>
  <w:num w:numId="7">
    <w:abstractNumId w:val="0"/>
  </w:num>
  <w:num w:numId="8">
    <w:abstractNumId w:val="1"/>
  </w:num>
  <w:num w:numId="9">
    <w:abstractNumId w:val="11"/>
  </w:num>
  <w:num w:numId="10">
    <w:abstractNumId w:val="0"/>
  </w:num>
  <w:num w:numId="11">
    <w:abstractNumId w:val="4"/>
  </w:num>
  <w:num w:numId="12">
    <w:abstractNumId w:val="7"/>
  </w:num>
  <w:num w:numId="13">
    <w:abstractNumId w:val="12"/>
  </w:num>
  <w:num w:numId="14">
    <w:abstractNumId w:val="13"/>
  </w:num>
  <w:num w:numId="15">
    <w:abstractNumId w:val="2"/>
  </w:num>
  <w:num w:numId="16">
    <w:abstractNumId w:val="6"/>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3C"/>
    <w:rsid w:val="00002E5D"/>
    <w:rsid w:val="0001612F"/>
    <w:rsid w:val="00024BC0"/>
    <w:rsid w:val="00034CE4"/>
    <w:rsid w:val="00051794"/>
    <w:rsid w:val="00080259"/>
    <w:rsid w:val="000910E3"/>
    <w:rsid w:val="00097016"/>
    <w:rsid w:val="000D7E1B"/>
    <w:rsid w:val="000F3B8B"/>
    <w:rsid w:val="001105F8"/>
    <w:rsid w:val="00111920"/>
    <w:rsid w:val="00116360"/>
    <w:rsid w:val="00124812"/>
    <w:rsid w:val="00140394"/>
    <w:rsid w:val="00156215"/>
    <w:rsid w:val="001572C8"/>
    <w:rsid w:val="001573BB"/>
    <w:rsid w:val="00167A98"/>
    <w:rsid w:val="001903D6"/>
    <w:rsid w:val="001A1B10"/>
    <w:rsid w:val="001E2394"/>
    <w:rsid w:val="001E60C3"/>
    <w:rsid w:val="001E6318"/>
    <w:rsid w:val="001F65F5"/>
    <w:rsid w:val="002172F4"/>
    <w:rsid w:val="00221508"/>
    <w:rsid w:val="002348B7"/>
    <w:rsid w:val="00236905"/>
    <w:rsid w:val="002A2144"/>
    <w:rsid w:val="002D534C"/>
    <w:rsid w:val="002D6E3C"/>
    <w:rsid w:val="002E686C"/>
    <w:rsid w:val="002F3F25"/>
    <w:rsid w:val="002F63AF"/>
    <w:rsid w:val="00342A5B"/>
    <w:rsid w:val="003513C9"/>
    <w:rsid w:val="003520DB"/>
    <w:rsid w:val="00352807"/>
    <w:rsid w:val="00362498"/>
    <w:rsid w:val="00384B01"/>
    <w:rsid w:val="00393148"/>
    <w:rsid w:val="003A0388"/>
    <w:rsid w:val="003A1353"/>
    <w:rsid w:val="003B265D"/>
    <w:rsid w:val="003C626B"/>
    <w:rsid w:val="003E12E5"/>
    <w:rsid w:val="00431A37"/>
    <w:rsid w:val="00471166"/>
    <w:rsid w:val="00481269"/>
    <w:rsid w:val="00492725"/>
    <w:rsid w:val="004B34D8"/>
    <w:rsid w:val="004C6B86"/>
    <w:rsid w:val="004E7654"/>
    <w:rsid w:val="005005E5"/>
    <w:rsid w:val="005049ED"/>
    <w:rsid w:val="005144AC"/>
    <w:rsid w:val="00516489"/>
    <w:rsid w:val="0052019D"/>
    <w:rsid w:val="00522219"/>
    <w:rsid w:val="0055176E"/>
    <w:rsid w:val="00585E0E"/>
    <w:rsid w:val="005A1805"/>
    <w:rsid w:val="005B6BE8"/>
    <w:rsid w:val="005F1763"/>
    <w:rsid w:val="00605AA6"/>
    <w:rsid w:val="0061457A"/>
    <w:rsid w:val="00625278"/>
    <w:rsid w:val="00640D6B"/>
    <w:rsid w:val="00674B1C"/>
    <w:rsid w:val="006961D2"/>
    <w:rsid w:val="006C2E29"/>
    <w:rsid w:val="00702D29"/>
    <w:rsid w:val="00750025"/>
    <w:rsid w:val="00756093"/>
    <w:rsid w:val="00777E9A"/>
    <w:rsid w:val="007802F8"/>
    <w:rsid w:val="007A3E41"/>
    <w:rsid w:val="007B0BA9"/>
    <w:rsid w:val="007B7A33"/>
    <w:rsid w:val="007C22AB"/>
    <w:rsid w:val="007D2FFB"/>
    <w:rsid w:val="0081240E"/>
    <w:rsid w:val="00812544"/>
    <w:rsid w:val="00814E87"/>
    <w:rsid w:val="00814F4C"/>
    <w:rsid w:val="00831D79"/>
    <w:rsid w:val="00857DC4"/>
    <w:rsid w:val="0086445C"/>
    <w:rsid w:val="00871A80"/>
    <w:rsid w:val="00872D4E"/>
    <w:rsid w:val="0089445C"/>
    <w:rsid w:val="008C60E1"/>
    <w:rsid w:val="008E52C1"/>
    <w:rsid w:val="008F069E"/>
    <w:rsid w:val="008F7BBA"/>
    <w:rsid w:val="00932B67"/>
    <w:rsid w:val="00A012F1"/>
    <w:rsid w:val="00A246E9"/>
    <w:rsid w:val="00A30D53"/>
    <w:rsid w:val="00A64447"/>
    <w:rsid w:val="00A738E6"/>
    <w:rsid w:val="00A74B05"/>
    <w:rsid w:val="00AE51DB"/>
    <w:rsid w:val="00B126D6"/>
    <w:rsid w:val="00B200E3"/>
    <w:rsid w:val="00B26266"/>
    <w:rsid w:val="00B278C2"/>
    <w:rsid w:val="00B40E2E"/>
    <w:rsid w:val="00B57870"/>
    <w:rsid w:val="00B60C06"/>
    <w:rsid w:val="00B7631B"/>
    <w:rsid w:val="00BC6E6C"/>
    <w:rsid w:val="00C03F6A"/>
    <w:rsid w:val="00C0736F"/>
    <w:rsid w:val="00C20098"/>
    <w:rsid w:val="00C22E3F"/>
    <w:rsid w:val="00C24F31"/>
    <w:rsid w:val="00C3368A"/>
    <w:rsid w:val="00C46048"/>
    <w:rsid w:val="00C529B2"/>
    <w:rsid w:val="00C604FF"/>
    <w:rsid w:val="00C67B9F"/>
    <w:rsid w:val="00C73593"/>
    <w:rsid w:val="00CA70EE"/>
    <w:rsid w:val="00CC520B"/>
    <w:rsid w:val="00CC62A7"/>
    <w:rsid w:val="00CD3CDD"/>
    <w:rsid w:val="00CE5978"/>
    <w:rsid w:val="00CE6435"/>
    <w:rsid w:val="00D045F2"/>
    <w:rsid w:val="00D05C94"/>
    <w:rsid w:val="00D06E1D"/>
    <w:rsid w:val="00D104BB"/>
    <w:rsid w:val="00D224EF"/>
    <w:rsid w:val="00D4463E"/>
    <w:rsid w:val="00D52642"/>
    <w:rsid w:val="00D56389"/>
    <w:rsid w:val="00D96EA2"/>
    <w:rsid w:val="00DA4F69"/>
    <w:rsid w:val="00E2172B"/>
    <w:rsid w:val="00E74A41"/>
    <w:rsid w:val="00E777B8"/>
    <w:rsid w:val="00EB1112"/>
    <w:rsid w:val="00EC17DD"/>
    <w:rsid w:val="00EC7461"/>
    <w:rsid w:val="00EF28D5"/>
    <w:rsid w:val="00F03096"/>
    <w:rsid w:val="00F130FE"/>
    <w:rsid w:val="00F1584C"/>
    <w:rsid w:val="00F35612"/>
    <w:rsid w:val="00F3783D"/>
    <w:rsid w:val="00F429C4"/>
    <w:rsid w:val="00F508FF"/>
    <w:rsid w:val="00F64E21"/>
    <w:rsid w:val="00FC7894"/>
    <w:rsid w:val="00FF69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CAED3EA"/>
  <w15:chartTrackingRefBased/>
  <w15:docId w15:val="{5C43AE3F-48FD-473B-B8AB-D928A8B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LCon" w:eastAsiaTheme="minorHAnsi" w:hAnsi="NimbusSanLCon" w:cs="Times New Roman"/>
        <w:spacing w:val="2"/>
        <w:kern w:val="21"/>
        <w:sz w:val="21"/>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64447"/>
    <w:pPr>
      <w:spacing w:after="0" w:line="240" w:lineRule="auto"/>
    </w:pPr>
  </w:style>
  <w:style w:type="paragraph" w:styleId="berschrift1">
    <w:name w:val="heading 1"/>
    <w:basedOn w:val="Standard"/>
    <w:next w:val="Standard"/>
    <w:link w:val="berschrift1Zchn"/>
    <w:uiPriority w:val="9"/>
    <w:qFormat/>
    <w:rsid w:val="00A64447"/>
    <w:pPr>
      <w:spacing w:line="460" w:lineRule="exact"/>
      <w:outlineLvl w:val="0"/>
    </w:pPr>
    <w:rPr>
      <w:b/>
      <w:sz w:val="42"/>
      <w:szCs w:val="42"/>
    </w:rPr>
  </w:style>
  <w:style w:type="paragraph" w:styleId="berschrift2">
    <w:name w:val="heading 2"/>
    <w:basedOn w:val="Standard"/>
    <w:next w:val="Standard"/>
    <w:link w:val="berschrift2Zchn"/>
    <w:uiPriority w:val="9"/>
    <w:unhideWhenUsed/>
    <w:qFormat/>
    <w:rsid w:val="00F429C4"/>
    <w:pPr>
      <w:keepNext/>
      <w:keepLines/>
      <w:spacing w:before="200"/>
      <w:outlineLvl w:val="1"/>
    </w:pPr>
    <w:rPr>
      <w:rFonts w:eastAsiaTheme="majorEastAsia" w:cstheme="majorBidi"/>
      <w:b/>
      <w:bCs/>
      <w:sz w:val="28"/>
      <w:szCs w:val="26"/>
      <w:lang w:val="de-DE"/>
    </w:rPr>
  </w:style>
  <w:style w:type="paragraph" w:styleId="berschrift3">
    <w:name w:val="heading 3"/>
    <w:basedOn w:val="Standard"/>
    <w:next w:val="Standard"/>
    <w:link w:val="berschrift3Zchn"/>
    <w:uiPriority w:val="9"/>
    <w:unhideWhenUsed/>
    <w:qFormat/>
    <w:rsid w:val="0081240E"/>
    <w:pPr>
      <w:outlineLvl w:val="2"/>
    </w:pPr>
    <w:rPr>
      <w:b/>
    </w:rPr>
  </w:style>
  <w:style w:type="paragraph" w:styleId="berschrift4">
    <w:name w:val="heading 4"/>
    <w:basedOn w:val="Standard"/>
    <w:next w:val="Standard"/>
    <w:link w:val="berschrift4Zchn"/>
    <w:uiPriority w:val="9"/>
    <w:unhideWhenUsed/>
    <w:qFormat/>
    <w:rsid w:val="00E2172B"/>
    <w:pPr>
      <w:outlineLvl w:val="3"/>
    </w:pPr>
    <w:rPr>
      <w:b/>
      <w:i/>
      <w:lang w:val="de-DE"/>
    </w:rPr>
  </w:style>
  <w:style w:type="paragraph" w:styleId="berschrift5">
    <w:name w:val="heading 5"/>
    <w:basedOn w:val="Standard"/>
    <w:next w:val="Standard"/>
    <w:link w:val="berschrift5Zchn"/>
    <w:uiPriority w:val="9"/>
    <w:semiHidden/>
    <w:unhideWhenUsed/>
    <w:qFormat/>
    <w:rsid w:val="001A1B10"/>
    <w:pPr>
      <w:keepNext/>
      <w:keepLines/>
      <w:spacing w:before="200"/>
      <w:outlineLvl w:val="4"/>
    </w:pPr>
    <w:rPr>
      <w:rFonts w:eastAsiaTheme="majorEastAsia" w:cstheme="majorBidi"/>
      <w:color w:val="202F6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447"/>
    <w:rPr>
      <w:b/>
      <w:sz w:val="42"/>
      <w:szCs w:val="42"/>
    </w:rPr>
  </w:style>
  <w:style w:type="character" w:customStyle="1" w:styleId="berschrift2Zchn">
    <w:name w:val="Überschrift 2 Zchn"/>
    <w:basedOn w:val="Absatz-Standardschriftart"/>
    <w:link w:val="berschrift2"/>
    <w:uiPriority w:val="9"/>
    <w:rsid w:val="00F429C4"/>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1240E"/>
    <w:rPr>
      <w:b/>
      <w:spacing w:val="4"/>
    </w:rPr>
  </w:style>
  <w:style w:type="character" w:customStyle="1" w:styleId="berschrift4Zchn">
    <w:name w:val="Überschrift 4 Zchn"/>
    <w:basedOn w:val="Absatz-Standardschriftart"/>
    <w:link w:val="berschrift4"/>
    <w:uiPriority w:val="9"/>
    <w:rsid w:val="00E2172B"/>
    <w:rPr>
      <w:b/>
      <w:i/>
      <w:lang w:val="de-DE"/>
    </w:rPr>
  </w:style>
  <w:style w:type="paragraph" w:styleId="Titel">
    <w:name w:val="Title"/>
    <w:basedOn w:val="Standard"/>
    <w:next w:val="Standard"/>
    <w:link w:val="TitelZchn"/>
    <w:uiPriority w:val="10"/>
    <w:qFormat/>
    <w:rsid w:val="00CA70EE"/>
    <w:pPr>
      <w:spacing w:line="700" w:lineRule="exact"/>
    </w:pPr>
    <w:rPr>
      <w:b/>
      <w:sz w:val="62"/>
      <w:szCs w:val="62"/>
    </w:rPr>
  </w:style>
  <w:style w:type="character" w:customStyle="1" w:styleId="TitelZchn">
    <w:name w:val="Titel Zchn"/>
    <w:basedOn w:val="Absatz-Standardschriftart"/>
    <w:link w:val="Titel"/>
    <w:uiPriority w:val="10"/>
    <w:rsid w:val="00CA70EE"/>
    <w:rPr>
      <w:b/>
      <w:spacing w:val="4"/>
      <w:sz w:val="62"/>
      <w:szCs w:val="62"/>
    </w:rPr>
  </w:style>
  <w:style w:type="paragraph" w:styleId="Untertitel">
    <w:name w:val="Subtitle"/>
    <w:basedOn w:val="Standard"/>
    <w:next w:val="Standard"/>
    <w:link w:val="UntertitelZchn"/>
    <w:uiPriority w:val="11"/>
    <w:qFormat/>
    <w:rsid w:val="0081240E"/>
    <w:rPr>
      <w:b/>
      <w:sz w:val="29"/>
      <w:szCs w:val="29"/>
    </w:rPr>
  </w:style>
  <w:style w:type="character" w:customStyle="1" w:styleId="UntertitelZchn">
    <w:name w:val="Untertitel Zchn"/>
    <w:basedOn w:val="Absatz-Standardschriftart"/>
    <w:link w:val="Untertitel"/>
    <w:uiPriority w:val="11"/>
    <w:rsid w:val="0081240E"/>
    <w:rPr>
      <w:b/>
      <w:spacing w:val="4"/>
      <w:sz w:val="29"/>
      <w:szCs w:val="29"/>
    </w:rPr>
  </w:style>
  <w:style w:type="character" w:customStyle="1" w:styleId="berschrift5Zchn">
    <w:name w:val="Überschrift 5 Zchn"/>
    <w:basedOn w:val="Absatz-Standardschriftart"/>
    <w:link w:val="berschrift5"/>
    <w:uiPriority w:val="9"/>
    <w:semiHidden/>
    <w:rsid w:val="001A1B10"/>
    <w:rPr>
      <w:rFonts w:eastAsiaTheme="majorEastAsia" w:cstheme="majorBidi"/>
      <w:color w:val="202F69" w:themeColor="accent1" w:themeShade="7F"/>
    </w:rPr>
  </w:style>
  <w:style w:type="paragraph" w:styleId="Listenabsatz">
    <w:name w:val="List Paragraph"/>
    <w:basedOn w:val="Standard"/>
    <w:uiPriority w:val="34"/>
    <w:qFormat/>
    <w:rsid w:val="00C24F31"/>
    <w:pPr>
      <w:numPr>
        <w:numId w:val="6"/>
      </w:numPr>
      <w:contextualSpacing/>
    </w:pPr>
    <w:rPr>
      <w:lang w:val="de-DE"/>
    </w:rPr>
  </w:style>
  <w:style w:type="paragraph" w:styleId="Kopfzeile">
    <w:name w:val="header"/>
    <w:basedOn w:val="Standard"/>
    <w:link w:val="KopfzeileZchn"/>
    <w:uiPriority w:val="99"/>
    <w:unhideWhenUsed/>
    <w:rsid w:val="00DA4F69"/>
    <w:pPr>
      <w:tabs>
        <w:tab w:val="center" w:pos="4536"/>
        <w:tab w:val="right" w:pos="9072"/>
      </w:tabs>
    </w:pPr>
  </w:style>
  <w:style w:type="character" w:customStyle="1" w:styleId="KopfzeileZchn">
    <w:name w:val="Kopfzeile Zchn"/>
    <w:basedOn w:val="Absatz-Standardschriftart"/>
    <w:link w:val="Kopfzeile"/>
    <w:uiPriority w:val="99"/>
    <w:rsid w:val="00DA4F69"/>
  </w:style>
  <w:style w:type="paragraph" w:styleId="Fuzeile">
    <w:name w:val="footer"/>
    <w:basedOn w:val="Standard"/>
    <w:link w:val="FuzeileZchn"/>
    <w:uiPriority w:val="99"/>
    <w:unhideWhenUsed/>
    <w:rsid w:val="00DA4F69"/>
    <w:pPr>
      <w:tabs>
        <w:tab w:val="center" w:pos="4536"/>
        <w:tab w:val="right" w:pos="9072"/>
      </w:tabs>
    </w:pPr>
  </w:style>
  <w:style w:type="character" w:customStyle="1" w:styleId="FuzeileZchn">
    <w:name w:val="Fußzeile Zchn"/>
    <w:basedOn w:val="Absatz-Standardschriftart"/>
    <w:link w:val="Fuzeile"/>
    <w:uiPriority w:val="99"/>
    <w:rsid w:val="00DA4F69"/>
  </w:style>
  <w:style w:type="numbering" w:customStyle="1" w:styleId="DKA-Bullets">
    <w:name w:val="DKA-Bullets"/>
    <w:uiPriority w:val="99"/>
    <w:rsid w:val="004E7654"/>
    <w:pPr>
      <w:numPr>
        <w:numId w:val="7"/>
      </w:numPr>
    </w:pPr>
  </w:style>
  <w:style w:type="paragraph" w:styleId="Sprechblasentext">
    <w:name w:val="Balloon Text"/>
    <w:basedOn w:val="Standard"/>
    <w:link w:val="SprechblasentextZchn"/>
    <w:uiPriority w:val="99"/>
    <w:semiHidden/>
    <w:unhideWhenUsed/>
    <w:rsid w:val="00F158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84C"/>
    <w:rPr>
      <w:rFonts w:ascii="Tahoma" w:hAnsi="Tahoma" w:cs="Tahoma"/>
      <w:spacing w:val="6"/>
      <w:sz w:val="16"/>
      <w:szCs w:val="16"/>
    </w:rPr>
  </w:style>
  <w:style w:type="character" w:styleId="Hyperlink">
    <w:name w:val="Hyperlink"/>
    <w:basedOn w:val="Absatz-Standardschriftart"/>
    <w:uiPriority w:val="99"/>
    <w:unhideWhenUsed/>
    <w:rsid w:val="002D6E3C"/>
    <w:rPr>
      <w:color w:val="009DA5"/>
      <w:u w:val="single"/>
    </w:rPr>
  </w:style>
  <w:style w:type="paragraph" w:styleId="Funotentext">
    <w:name w:val="footnote text"/>
    <w:basedOn w:val="Standard"/>
    <w:link w:val="FunotentextZchn"/>
    <w:uiPriority w:val="99"/>
    <w:semiHidden/>
    <w:unhideWhenUsed/>
    <w:rsid w:val="002D6E3C"/>
    <w:rPr>
      <w:sz w:val="20"/>
    </w:rPr>
  </w:style>
  <w:style w:type="character" w:customStyle="1" w:styleId="FunotentextZchn">
    <w:name w:val="Fußnotentext Zchn"/>
    <w:basedOn w:val="Absatz-Standardschriftart"/>
    <w:link w:val="Funotentext"/>
    <w:uiPriority w:val="99"/>
    <w:semiHidden/>
    <w:rsid w:val="002D6E3C"/>
    <w:rPr>
      <w:sz w:val="20"/>
    </w:rPr>
  </w:style>
  <w:style w:type="character" w:styleId="Funotenzeichen">
    <w:name w:val="footnote reference"/>
    <w:basedOn w:val="Absatz-Standardschriftart"/>
    <w:uiPriority w:val="99"/>
    <w:semiHidden/>
    <w:unhideWhenUsed/>
    <w:rsid w:val="002D6E3C"/>
    <w:rPr>
      <w:vertAlign w:val="superscript"/>
    </w:rPr>
  </w:style>
  <w:style w:type="character" w:styleId="NichtaufgelsteErwhnung">
    <w:name w:val="Unresolved Mention"/>
    <w:basedOn w:val="Absatz-Standardschriftart"/>
    <w:uiPriority w:val="99"/>
    <w:semiHidden/>
    <w:unhideWhenUsed/>
    <w:rsid w:val="002D6E3C"/>
    <w:rPr>
      <w:color w:val="605E5C"/>
      <w:shd w:val="clear" w:color="auto" w:fill="E1DFDD"/>
    </w:rPr>
  </w:style>
  <w:style w:type="paragraph" w:styleId="StandardWeb">
    <w:name w:val="Normal (Web)"/>
    <w:basedOn w:val="Standard"/>
    <w:uiPriority w:val="99"/>
    <w:semiHidden/>
    <w:unhideWhenUsed/>
    <w:rsid w:val="00FC7894"/>
    <w:pPr>
      <w:spacing w:before="100" w:beforeAutospacing="1" w:after="100" w:afterAutospacing="1"/>
    </w:pPr>
    <w:rPr>
      <w:rFonts w:ascii="Times New Roman" w:eastAsia="Times New Roman" w:hAnsi="Times New Roman"/>
      <w:spacing w:val="0"/>
      <w:kern w:val="0"/>
      <w:sz w:val="24"/>
      <w:szCs w:val="24"/>
      <w:lang w:val="en-US"/>
    </w:rPr>
  </w:style>
  <w:style w:type="paragraph" w:styleId="berarbeitung">
    <w:name w:val="Revision"/>
    <w:hidden/>
    <w:uiPriority w:val="99"/>
    <w:semiHidden/>
    <w:rsid w:val="00EC17DD"/>
    <w:pPr>
      <w:spacing w:after="0" w:line="240" w:lineRule="auto"/>
    </w:pPr>
  </w:style>
  <w:style w:type="character" w:styleId="Kommentarzeichen">
    <w:name w:val="annotation reference"/>
    <w:basedOn w:val="Absatz-Standardschriftart"/>
    <w:uiPriority w:val="99"/>
    <w:semiHidden/>
    <w:unhideWhenUsed/>
    <w:rsid w:val="00D224EF"/>
    <w:rPr>
      <w:sz w:val="16"/>
      <w:szCs w:val="16"/>
    </w:rPr>
  </w:style>
  <w:style w:type="paragraph" w:styleId="Kommentartext">
    <w:name w:val="annotation text"/>
    <w:basedOn w:val="Standard"/>
    <w:link w:val="KommentartextZchn"/>
    <w:uiPriority w:val="99"/>
    <w:semiHidden/>
    <w:unhideWhenUsed/>
    <w:rsid w:val="00D224EF"/>
    <w:rPr>
      <w:sz w:val="20"/>
    </w:rPr>
  </w:style>
  <w:style w:type="character" w:customStyle="1" w:styleId="KommentartextZchn">
    <w:name w:val="Kommentartext Zchn"/>
    <w:basedOn w:val="Absatz-Standardschriftart"/>
    <w:link w:val="Kommentartext"/>
    <w:uiPriority w:val="99"/>
    <w:semiHidden/>
    <w:rsid w:val="00D224EF"/>
    <w:rPr>
      <w:sz w:val="20"/>
    </w:rPr>
  </w:style>
  <w:style w:type="paragraph" w:styleId="Kommentarthema">
    <w:name w:val="annotation subject"/>
    <w:basedOn w:val="Kommentartext"/>
    <w:next w:val="Kommentartext"/>
    <w:link w:val="KommentarthemaZchn"/>
    <w:uiPriority w:val="99"/>
    <w:semiHidden/>
    <w:unhideWhenUsed/>
    <w:rsid w:val="00D224EF"/>
    <w:rPr>
      <w:b/>
      <w:bCs/>
    </w:rPr>
  </w:style>
  <w:style w:type="character" w:customStyle="1" w:styleId="KommentarthemaZchn">
    <w:name w:val="Kommentarthema Zchn"/>
    <w:basedOn w:val="KommentartextZchn"/>
    <w:link w:val="Kommentarthema"/>
    <w:uiPriority w:val="99"/>
    <w:semiHidden/>
    <w:rsid w:val="00D224E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02679">
      <w:bodyDiv w:val="1"/>
      <w:marLeft w:val="0"/>
      <w:marRight w:val="0"/>
      <w:marTop w:val="0"/>
      <w:marBottom w:val="0"/>
      <w:divBdr>
        <w:top w:val="none" w:sz="0" w:space="0" w:color="auto"/>
        <w:left w:val="none" w:sz="0" w:space="0" w:color="auto"/>
        <w:bottom w:val="none" w:sz="0" w:space="0" w:color="auto"/>
        <w:right w:val="none" w:sz="0" w:space="0" w:color="auto"/>
      </w:divBdr>
    </w:div>
    <w:div w:id="727992529">
      <w:bodyDiv w:val="1"/>
      <w:marLeft w:val="0"/>
      <w:marRight w:val="0"/>
      <w:marTop w:val="0"/>
      <w:marBottom w:val="0"/>
      <w:divBdr>
        <w:top w:val="none" w:sz="0" w:space="0" w:color="auto"/>
        <w:left w:val="none" w:sz="0" w:space="0" w:color="auto"/>
        <w:bottom w:val="none" w:sz="0" w:space="0" w:color="auto"/>
        <w:right w:val="none" w:sz="0" w:space="0" w:color="auto"/>
      </w:divBdr>
      <w:divsChild>
        <w:div w:id="911624083">
          <w:marLeft w:val="0"/>
          <w:marRight w:val="0"/>
          <w:marTop w:val="0"/>
          <w:marBottom w:val="0"/>
          <w:divBdr>
            <w:top w:val="none" w:sz="0" w:space="0" w:color="auto"/>
            <w:left w:val="none" w:sz="0" w:space="0" w:color="auto"/>
            <w:bottom w:val="none" w:sz="0" w:space="0" w:color="auto"/>
            <w:right w:val="none" w:sz="0" w:space="0" w:color="auto"/>
          </w:divBdr>
        </w:div>
        <w:div w:id="1600017550">
          <w:marLeft w:val="0"/>
          <w:marRight w:val="0"/>
          <w:marTop w:val="0"/>
          <w:marBottom w:val="0"/>
          <w:divBdr>
            <w:top w:val="none" w:sz="0" w:space="0" w:color="auto"/>
            <w:left w:val="none" w:sz="0" w:space="0" w:color="auto"/>
            <w:bottom w:val="none" w:sz="0" w:space="0" w:color="auto"/>
            <w:right w:val="none" w:sz="0" w:space="0" w:color="auto"/>
          </w:divBdr>
        </w:div>
        <w:div w:id="1623027124">
          <w:marLeft w:val="0"/>
          <w:marRight w:val="0"/>
          <w:marTop w:val="0"/>
          <w:marBottom w:val="0"/>
          <w:divBdr>
            <w:top w:val="none" w:sz="0" w:space="0" w:color="auto"/>
            <w:left w:val="none" w:sz="0" w:space="0" w:color="auto"/>
            <w:bottom w:val="none" w:sz="0" w:space="0" w:color="auto"/>
            <w:right w:val="none" w:sz="0" w:space="0" w:color="auto"/>
          </w:divBdr>
        </w:div>
        <w:div w:id="715009894">
          <w:marLeft w:val="0"/>
          <w:marRight w:val="0"/>
          <w:marTop w:val="0"/>
          <w:marBottom w:val="0"/>
          <w:divBdr>
            <w:top w:val="none" w:sz="0" w:space="0" w:color="auto"/>
            <w:left w:val="none" w:sz="0" w:space="0" w:color="auto"/>
            <w:bottom w:val="none" w:sz="0" w:space="0" w:color="auto"/>
            <w:right w:val="none" w:sz="0" w:space="0" w:color="auto"/>
          </w:divBdr>
        </w:div>
        <w:div w:id="2059619477">
          <w:marLeft w:val="0"/>
          <w:marRight w:val="0"/>
          <w:marTop w:val="0"/>
          <w:marBottom w:val="0"/>
          <w:divBdr>
            <w:top w:val="none" w:sz="0" w:space="0" w:color="auto"/>
            <w:left w:val="none" w:sz="0" w:space="0" w:color="auto"/>
            <w:bottom w:val="none" w:sz="0" w:space="0" w:color="auto"/>
            <w:right w:val="none" w:sz="0" w:space="0" w:color="auto"/>
          </w:divBdr>
        </w:div>
        <w:div w:id="4481935">
          <w:marLeft w:val="0"/>
          <w:marRight w:val="0"/>
          <w:marTop w:val="0"/>
          <w:marBottom w:val="0"/>
          <w:divBdr>
            <w:top w:val="none" w:sz="0" w:space="0" w:color="auto"/>
            <w:left w:val="none" w:sz="0" w:space="0" w:color="auto"/>
            <w:bottom w:val="none" w:sz="0" w:space="0" w:color="auto"/>
            <w:right w:val="none" w:sz="0" w:space="0" w:color="auto"/>
          </w:divBdr>
        </w:div>
        <w:div w:id="2129926839">
          <w:marLeft w:val="0"/>
          <w:marRight w:val="0"/>
          <w:marTop w:val="0"/>
          <w:marBottom w:val="0"/>
          <w:divBdr>
            <w:top w:val="none" w:sz="0" w:space="0" w:color="auto"/>
            <w:left w:val="none" w:sz="0" w:space="0" w:color="auto"/>
            <w:bottom w:val="none" w:sz="0" w:space="0" w:color="auto"/>
            <w:right w:val="none" w:sz="0" w:space="0" w:color="auto"/>
          </w:divBdr>
        </w:div>
        <w:div w:id="2129080960">
          <w:marLeft w:val="0"/>
          <w:marRight w:val="0"/>
          <w:marTop w:val="0"/>
          <w:marBottom w:val="0"/>
          <w:divBdr>
            <w:top w:val="none" w:sz="0" w:space="0" w:color="auto"/>
            <w:left w:val="none" w:sz="0" w:space="0" w:color="auto"/>
            <w:bottom w:val="none" w:sz="0" w:space="0" w:color="auto"/>
            <w:right w:val="none" w:sz="0" w:space="0" w:color="auto"/>
          </w:divBdr>
        </w:div>
        <w:div w:id="1649552444">
          <w:marLeft w:val="0"/>
          <w:marRight w:val="0"/>
          <w:marTop w:val="0"/>
          <w:marBottom w:val="0"/>
          <w:divBdr>
            <w:top w:val="none" w:sz="0" w:space="0" w:color="auto"/>
            <w:left w:val="none" w:sz="0" w:space="0" w:color="auto"/>
            <w:bottom w:val="none" w:sz="0" w:space="0" w:color="auto"/>
            <w:right w:val="none" w:sz="0" w:space="0" w:color="auto"/>
          </w:divBdr>
        </w:div>
        <w:div w:id="308482146">
          <w:marLeft w:val="0"/>
          <w:marRight w:val="0"/>
          <w:marTop w:val="0"/>
          <w:marBottom w:val="0"/>
          <w:divBdr>
            <w:top w:val="none" w:sz="0" w:space="0" w:color="auto"/>
            <w:left w:val="none" w:sz="0" w:space="0" w:color="auto"/>
            <w:bottom w:val="none" w:sz="0" w:space="0" w:color="auto"/>
            <w:right w:val="none" w:sz="0" w:space="0" w:color="auto"/>
          </w:divBdr>
        </w:div>
        <w:div w:id="304697518">
          <w:marLeft w:val="0"/>
          <w:marRight w:val="0"/>
          <w:marTop w:val="0"/>
          <w:marBottom w:val="0"/>
          <w:divBdr>
            <w:top w:val="none" w:sz="0" w:space="0" w:color="auto"/>
            <w:left w:val="none" w:sz="0" w:space="0" w:color="auto"/>
            <w:bottom w:val="none" w:sz="0" w:space="0" w:color="auto"/>
            <w:right w:val="none" w:sz="0" w:space="0" w:color="auto"/>
          </w:divBdr>
        </w:div>
        <w:div w:id="1124154180">
          <w:marLeft w:val="0"/>
          <w:marRight w:val="0"/>
          <w:marTop w:val="0"/>
          <w:marBottom w:val="0"/>
          <w:divBdr>
            <w:top w:val="none" w:sz="0" w:space="0" w:color="auto"/>
            <w:left w:val="none" w:sz="0" w:space="0" w:color="auto"/>
            <w:bottom w:val="none" w:sz="0" w:space="0" w:color="auto"/>
            <w:right w:val="none" w:sz="0" w:space="0" w:color="auto"/>
          </w:divBdr>
        </w:div>
        <w:div w:id="944850710">
          <w:marLeft w:val="0"/>
          <w:marRight w:val="0"/>
          <w:marTop w:val="0"/>
          <w:marBottom w:val="0"/>
          <w:divBdr>
            <w:top w:val="none" w:sz="0" w:space="0" w:color="auto"/>
            <w:left w:val="none" w:sz="0" w:space="0" w:color="auto"/>
            <w:bottom w:val="none" w:sz="0" w:space="0" w:color="auto"/>
            <w:right w:val="none" w:sz="0" w:space="0" w:color="auto"/>
          </w:divBdr>
        </w:div>
        <w:div w:id="1127164525">
          <w:marLeft w:val="0"/>
          <w:marRight w:val="0"/>
          <w:marTop w:val="0"/>
          <w:marBottom w:val="0"/>
          <w:divBdr>
            <w:top w:val="none" w:sz="0" w:space="0" w:color="auto"/>
            <w:left w:val="none" w:sz="0" w:space="0" w:color="auto"/>
            <w:bottom w:val="none" w:sz="0" w:space="0" w:color="auto"/>
            <w:right w:val="none" w:sz="0" w:space="0" w:color="auto"/>
          </w:divBdr>
        </w:div>
        <w:div w:id="629172487">
          <w:marLeft w:val="0"/>
          <w:marRight w:val="0"/>
          <w:marTop w:val="0"/>
          <w:marBottom w:val="0"/>
          <w:divBdr>
            <w:top w:val="none" w:sz="0" w:space="0" w:color="auto"/>
            <w:left w:val="none" w:sz="0" w:space="0" w:color="auto"/>
            <w:bottom w:val="none" w:sz="0" w:space="0" w:color="auto"/>
            <w:right w:val="none" w:sz="0" w:space="0" w:color="auto"/>
          </w:divBdr>
        </w:div>
        <w:div w:id="1749618927">
          <w:marLeft w:val="0"/>
          <w:marRight w:val="0"/>
          <w:marTop w:val="0"/>
          <w:marBottom w:val="0"/>
          <w:divBdr>
            <w:top w:val="none" w:sz="0" w:space="0" w:color="auto"/>
            <w:left w:val="none" w:sz="0" w:space="0" w:color="auto"/>
            <w:bottom w:val="none" w:sz="0" w:space="0" w:color="auto"/>
            <w:right w:val="none" w:sz="0" w:space="0" w:color="auto"/>
          </w:divBdr>
        </w:div>
        <w:div w:id="696466102">
          <w:marLeft w:val="0"/>
          <w:marRight w:val="0"/>
          <w:marTop w:val="0"/>
          <w:marBottom w:val="0"/>
          <w:divBdr>
            <w:top w:val="none" w:sz="0" w:space="0" w:color="auto"/>
            <w:left w:val="none" w:sz="0" w:space="0" w:color="auto"/>
            <w:bottom w:val="none" w:sz="0" w:space="0" w:color="auto"/>
            <w:right w:val="none" w:sz="0" w:space="0" w:color="auto"/>
          </w:divBdr>
        </w:div>
        <w:div w:id="35005948">
          <w:marLeft w:val="0"/>
          <w:marRight w:val="0"/>
          <w:marTop w:val="0"/>
          <w:marBottom w:val="0"/>
          <w:divBdr>
            <w:top w:val="none" w:sz="0" w:space="0" w:color="auto"/>
            <w:left w:val="none" w:sz="0" w:space="0" w:color="auto"/>
            <w:bottom w:val="none" w:sz="0" w:space="0" w:color="auto"/>
            <w:right w:val="none" w:sz="0" w:space="0" w:color="auto"/>
          </w:divBdr>
        </w:div>
        <w:div w:id="1055086979">
          <w:marLeft w:val="0"/>
          <w:marRight w:val="0"/>
          <w:marTop w:val="0"/>
          <w:marBottom w:val="0"/>
          <w:divBdr>
            <w:top w:val="none" w:sz="0" w:space="0" w:color="auto"/>
            <w:left w:val="none" w:sz="0" w:space="0" w:color="auto"/>
            <w:bottom w:val="none" w:sz="0" w:space="0" w:color="auto"/>
            <w:right w:val="none" w:sz="0" w:space="0" w:color="auto"/>
          </w:divBdr>
        </w:div>
      </w:divsChild>
    </w:div>
    <w:div w:id="732310227">
      <w:bodyDiv w:val="1"/>
      <w:marLeft w:val="0"/>
      <w:marRight w:val="0"/>
      <w:marTop w:val="0"/>
      <w:marBottom w:val="0"/>
      <w:divBdr>
        <w:top w:val="none" w:sz="0" w:space="0" w:color="auto"/>
        <w:left w:val="none" w:sz="0" w:space="0" w:color="auto"/>
        <w:bottom w:val="none" w:sz="0" w:space="0" w:color="auto"/>
        <w:right w:val="none" w:sz="0" w:space="0" w:color="auto"/>
      </w:divBdr>
    </w:div>
    <w:div w:id="1128014513">
      <w:bodyDiv w:val="1"/>
      <w:marLeft w:val="0"/>
      <w:marRight w:val="0"/>
      <w:marTop w:val="0"/>
      <w:marBottom w:val="0"/>
      <w:divBdr>
        <w:top w:val="none" w:sz="0" w:space="0" w:color="auto"/>
        <w:left w:val="none" w:sz="0" w:space="0" w:color="auto"/>
        <w:bottom w:val="none" w:sz="0" w:space="0" w:color="auto"/>
        <w:right w:val="none" w:sz="0" w:space="0" w:color="auto"/>
      </w:divBdr>
    </w:div>
    <w:div w:id="1146052611">
      <w:bodyDiv w:val="1"/>
      <w:marLeft w:val="0"/>
      <w:marRight w:val="0"/>
      <w:marTop w:val="0"/>
      <w:marBottom w:val="0"/>
      <w:divBdr>
        <w:top w:val="none" w:sz="0" w:space="0" w:color="auto"/>
        <w:left w:val="none" w:sz="0" w:space="0" w:color="auto"/>
        <w:bottom w:val="none" w:sz="0" w:space="0" w:color="auto"/>
        <w:right w:val="none" w:sz="0" w:space="0" w:color="auto"/>
      </w:divBdr>
    </w:div>
    <w:div w:id="121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24336416">
          <w:marLeft w:val="0"/>
          <w:marRight w:val="0"/>
          <w:marTop w:val="0"/>
          <w:marBottom w:val="0"/>
          <w:divBdr>
            <w:top w:val="none" w:sz="0" w:space="0" w:color="auto"/>
            <w:left w:val="none" w:sz="0" w:space="0" w:color="auto"/>
            <w:bottom w:val="none" w:sz="0" w:space="0" w:color="auto"/>
            <w:right w:val="none" w:sz="0" w:space="0" w:color="auto"/>
          </w:divBdr>
        </w:div>
        <w:div w:id="1555120280">
          <w:marLeft w:val="0"/>
          <w:marRight w:val="0"/>
          <w:marTop w:val="0"/>
          <w:marBottom w:val="0"/>
          <w:divBdr>
            <w:top w:val="none" w:sz="0" w:space="0" w:color="auto"/>
            <w:left w:val="none" w:sz="0" w:space="0" w:color="auto"/>
            <w:bottom w:val="none" w:sz="0" w:space="0" w:color="auto"/>
            <w:right w:val="none" w:sz="0" w:space="0" w:color="auto"/>
          </w:divBdr>
        </w:div>
        <w:div w:id="315381478">
          <w:marLeft w:val="0"/>
          <w:marRight w:val="0"/>
          <w:marTop w:val="0"/>
          <w:marBottom w:val="0"/>
          <w:divBdr>
            <w:top w:val="none" w:sz="0" w:space="0" w:color="auto"/>
            <w:left w:val="none" w:sz="0" w:space="0" w:color="auto"/>
            <w:bottom w:val="none" w:sz="0" w:space="0" w:color="auto"/>
            <w:right w:val="none" w:sz="0" w:space="0" w:color="auto"/>
          </w:divBdr>
        </w:div>
        <w:div w:id="1418139506">
          <w:marLeft w:val="0"/>
          <w:marRight w:val="0"/>
          <w:marTop w:val="0"/>
          <w:marBottom w:val="0"/>
          <w:divBdr>
            <w:top w:val="none" w:sz="0" w:space="0" w:color="auto"/>
            <w:left w:val="none" w:sz="0" w:space="0" w:color="auto"/>
            <w:bottom w:val="none" w:sz="0" w:space="0" w:color="auto"/>
            <w:right w:val="none" w:sz="0" w:space="0" w:color="auto"/>
          </w:divBdr>
        </w:div>
        <w:div w:id="162285211">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343779687">
          <w:marLeft w:val="0"/>
          <w:marRight w:val="0"/>
          <w:marTop w:val="0"/>
          <w:marBottom w:val="0"/>
          <w:divBdr>
            <w:top w:val="none" w:sz="0" w:space="0" w:color="auto"/>
            <w:left w:val="none" w:sz="0" w:space="0" w:color="auto"/>
            <w:bottom w:val="none" w:sz="0" w:space="0" w:color="auto"/>
            <w:right w:val="none" w:sz="0" w:space="0" w:color="auto"/>
          </w:divBdr>
        </w:div>
        <w:div w:id="1873687739">
          <w:marLeft w:val="0"/>
          <w:marRight w:val="0"/>
          <w:marTop w:val="0"/>
          <w:marBottom w:val="0"/>
          <w:divBdr>
            <w:top w:val="none" w:sz="0" w:space="0" w:color="auto"/>
            <w:left w:val="none" w:sz="0" w:space="0" w:color="auto"/>
            <w:bottom w:val="none" w:sz="0" w:space="0" w:color="auto"/>
            <w:right w:val="none" w:sz="0" w:space="0" w:color="auto"/>
          </w:divBdr>
        </w:div>
        <w:div w:id="1876964136">
          <w:marLeft w:val="0"/>
          <w:marRight w:val="0"/>
          <w:marTop w:val="0"/>
          <w:marBottom w:val="0"/>
          <w:divBdr>
            <w:top w:val="none" w:sz="0" w:space="0" w:color="auto"/>
            <w:left w:val="none" w:sz="0" w:space="0" w:color="auto"/>
            <w:bottom w:val="none" w:sz="0" w:space="0" w:color="auto"/>
            <w:right w:val="none" w:sz="0" w:space="0" w:color="auto"/>
          </w:divBdr>
        </w:div>
        <w:div w:id="266159278">
          <w:marLeft w:val="0"/>
          <w:marRight w:val="0"/>
          <w:marTop w:val="0"/>
          <w:marBottom w:val="0"/>
          <w:divBdr>
            <w:top w:val="none" w:sz="0" w:space="0" w:color="auto"/>
            <w:left w:val="none" w:sz="0" w:space="0" w:color="auto"/>
            <w:bottom w:val="none" w:sz="0" w:space="0" w:color="auto"/>
            <w:right w:val="none" w:sz="0" w:space="0" w:color="auto"/>
          </w:divBdr>
        </w:div>
        <w:div w:id="1827159084">
          <w:marLeft w:val="0"/>
          <w:marRight w:val="0"/>
          <w:marTop w:val="0"/>
          <w:marBottom w:val="0"/>
          <w:divBdr>
            <w:top w:val="none" w:sz="0" w:space="0" w:color="auto"/>
            <w:left w:val="none" w:sz="0" w:space="0" w:color="auto"/>
            <w:bottom w:val="none" w:sz="0" w:space="0" w:color="auto"/>
            <w:right w:val="none" w:sz="0" w:space="0" w:color="auto"/>
          </w:divBdr>
        </w:div>
        <w:div w:id="14776243">
          <w:marLeft w:val="0"/>
          <w:marRight w:val="0"/>
          <w:marTop w:val="0"/>
          <w:marBottom w:val="0"/>
          <w:divBdr>
            <w:top w:val="none" w:sz="0" w:space="0" w:color="auto"/>
            <w:left w:val="none" w:sz="0" w:space="0" w:color="auto"/>
            <w:bottom w:val="none" w:sz="0" w:space="0" w:color="auto"/>
            <w:right w:val="none" w:sz="0" w:space="0" w:color="auto"/>
          </w:divBdr>
        </w:div>
        <w:div w:id="870919214">
          <w:marLeft w:val="0"/>
          <w:marRight w:val="0"/>
          <w:marTop w:val="0"/>
          <w:marBottom w:val="0"/>
          <w:divBdr>
            <w:top w:val="none" w:sz="0" w:space="0" w:color="auto"/>
            <w:left w:val="none" w:sz="0" w:space="0" w:color="auto"/>
            <w:bottom w:val="none" w:sz="0" w:space="0" w:color="auto"/>
            <w:right w:val="none" w:sz="0" w:space="0" w:color="auto"/>
          </w:divBdr>
        </w:div>
        <w:div w:id="1951933864">
          <w:marLeft w:val="0"/>
          <w:marRight w:val="0"/>
          <w:marTop w:val="0"/>
          <w:marBottom w:val="0"/>
          <w:divBdr>
            <w:top w:val="none" w:sz="0" w:space="0" w:color="auto"/>
            <w:left w:val="none" w:sz="0" w:space="0" w:color="auto"/>
            <w:bottom w:val="none" w:sz="0" w:space="0" w:color="auto"/>
            <w:right w:val="none" w:sz="0" w:space="0" w:color="auto"/>
          </w:divBdr>
        </w:div>
        <w:div w:id="600379574">
          <w:marLeft w:val="0"/>
          <w:marRight w:val="0"/>
          <w:marTop w:val="0"/>
          <w:marBottom w:val="0"/>
          <w:divBdr>
            <w:top w:val="none" w:sz="0" w:space="0" w:color="auto"/>
            <w:left w:val="none" w:sz="0" w:space="0" w:color="auto"/>
            <w:bottom w:val="none" w:sz="0" w:space="0" w:color="auto"/>
            <w:right w:val="none" w:sz="0" w:space="0" w:color="auto"/>
          </w:divBdr>
        </w:div>
        <w:div w:id="545486474">
          <w:marLeft w:val="0"/>
          <w:marRight w:val="0"/>
          <w:marTop w:val="0"/>
          <w:marBottom w:val="0"/>
          <w:divBdr>
            <w:top w:val="none" w:sz="0" w:space="0" w:color="auto"/>
            <w:left w:val="none" w:sz="0" w:space="0" w:color="auto"/>
            <w:bottom w:val="none" w:sz="0" w:space="0" w:color="auto"/>
            <w:right w:val="none" w:sz="0" w:space="0" w:color="auto"/>
          </w:divBdr>
        </w:div>
        <w:div w:id="716393500">
          <w:marLeft w:val="0"/>
          <w:marRight w:val="0"/>
          <w:marTop w:val="0"/>
          <w:marBottom w:val="0"/>
          <w:divBdr>
            <w:top w:val="none" w:sz="0" w:space="0" w:color="auto"/>
            <w:left w:val="none" w:sz="0" w:space="0" w:color="auto"/>
            <w:bottom w:val="none" w:sz="0" w:space="0" w:color="auto"/>
            <w:right w:val="none" w:sz="0" w:space="0" w:color="auto"/>
          </w:divBdr>
        </w:div>
        <w:div w:id="1576209603">
          <w:marLeft w:val="0"/>
          <w:marRight w:val="0"/>
          <w:marTop w:val="0"/>
          <w:marBottom w:val="0"/>
          <w:divBdr>
            <w:top w:val="none" w:sz="0" w:space="0" w:color="auto"/>
            <w:left w:val="none" w:sz="0" w:space="0" w:color="auto"/>
            <w:bottom w:val="none" w:sz="0" w:space="0" w:color="auto"/>
            <w:right w:val="none" w:sz="0" w:space="0" w:color="auto"/>
          </w:divBdr>
        </w:div>
        <w:div w:id="739987684">
          <w:marLeft w:val="0"/>
          <w:marRight w:val="0"/>
          <w:marTop w:val="0"/>
          <w:marBottom w:val="0"/>
          <w:divBdr>
            <w:top w:val="none" w:sz="0" w:space="0" w:color="auto"/>
            <w:left w:val="none" w:sz="0" w:space="0" w:color="auto"/>
            <w:bottom w:val="none" w:sz="0" w:space="0" w:color="auto"/>
            <w:right w:val="none" w:sz="0" w:space="0" w:color="auto"/>
          </w:divBdr>
        </w:div>
      </w:divsChild>
    </w:div>
    <w:div w:id="1348219329">
      <w:bodyDiv w:val="1"/>
      <w:marLeft w:val="0"/>
      <w:marRight w:val="0"/>
      <w:marTop w:val="0"/>
      <w:marBottom w:val="0"/>
      <w:divBdr>
        <w:top w:val="none" w:sz="0" w:space="0" w:color="auto"/>
        <w:left w:val="none" w:sz="0" w:space="0" w:color="auto"/>
        <w:bottom w:val="none" w:sz="0" w:space="0" w:color="auto"/>
        <w:right w:val="none" w:sz="0" w:space="0" w:color="auto"/>
      </w:divBdr>
    </w:div>
    <w:div w:id="18352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55698C15-FAAF-46BF-AE10-39BE36A70C2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mailto:danielle.pamplona@pucpr.br" TargetMode="External"/><Relationship Id="rId2" Type="http://schemas.openxmlformats.org/officeDocument/2006/relationships/numbering" Target="numbering.xml"/><Relationship Id="rId16" Type="http://schemas.openxmlformats.org/officeDocument/2006/relationships/hyperlink" Target="mailto:Ingrid.pintaritsch@dka.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documents-dds-ny.un.org/doc/UNDOC/GEN/G18/017/29/PDF/G1801729.pdf?OpenElement"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igitallibrary.un.org/record/165069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boell.org/en/2022/10/18/europe-must-slash-pesticide-use-protect-peoples-and-planets-health" TargetMode="External"/><Relationship Id="rId2" Type="http://schemas.openxmlformats.org/officeDocument/2006/relationships/hyperlink" Target="https://undocs.org/Home/Mobile?FinalSymbol=A%2FHRC%2F34%2F48&amp;Language=E&amp;DeviceType=Desktop&amp;LangRequested=False" TargetMode="External"/><Relationship Id="rId1" Type="http://schemas.openxmlformats.org/officeDocument/2006/relationships/hyperlink" Target="https://unfccc.int/news/governments-step-up-action-on-agriculture-and-food-security-at-cop2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DKA">
      <a:majorFont>
        <a:latin typeface="NimbusSanLCon"/>
        <a:ea typeface=""/>
        <a:cs typeface=""/>
      </a:majorFont>
      <a:minorFont>
        <a:latin typeface="NimbusSanLCo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9C765-044B-4311-B17C-74C73F52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2084</Words>
  <Characters>13131</Characters>
  <Application>Microsoft Office Word</Application>
  <DocSecurity>0</DocSecurity>
  <Lines>109</Lines>
  <Paragraphs>30</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Pintaritsch</dc:creator>
  <cp:keywords/>
  <dc:description/>
  <cp:lastModifiedBy>Ingrid Pintaritsch</cp:lastModifiedBy>
  <cp:revision>31</cp:revision>
  <cp:lastPrinted>2018-04-25T13:51:00Z</cp:lastPrinted>
  <dcterms:created xsi:type="dcterms:W3CDTF">2023-02-15T08:18:00Z</dcterms:created>
  <dcterms:modified xsi:type="dcterms:W3CDTF">2023-02-15T15:52:00Z</dcterms:modified>
</cp:coreProperties>
</file>