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AC89" w14:textId="3AD97BCF" w:rsidR="008D472F" w:rsidRPr="008D472F" w:rsidRDefault="008D472F" w:rsidP="008D472F">
      <w:pPr>
        <w:rPr>
          <w:sz w:val="24"/>
          <w:szCs w:val="28"/>
        </w:rPr>
      </w:pPr>
      <w:r w:rsidRPr="008D472F">
        <w:rPr>
          <w:b/>
          <w:bCs/>
          <w:color w:val="ED7D31" w:themeColor="accent2"/>
          <w:sz w:val="28"/>
          <w:szCs w:val="32"/>
        </w:rPr>
        <w:t xml:space="preserve">Open submission of the Dutch NGO Coalition for Children’s Rights </w:t>
      </w:r>
      <w:r w:rsidR="00681932">
        <w:rPr>
          <w:b/>
          <w:bCs/>
          <w:color w:val="ED7D31" w:themeColor="accent2"/>
          <w:sz w:val="28"/>
          <w:szCs w:val="32"/>
        </w:rPr>
        <w:br/>
      </w:r>
      <w:r w:rsidRPr="008D472F">
        <w:rPr>
          <w:b/>
          <w:bCs/>
          <w:color w:val="ED7D31" w:themeColor="accent2"/>
          <w:sz w:val="28"/>
          <w:szCs w:val="32"/>
        </w:rPr>
        <w:t>to the UN Committee of the Rights of the Child</w:t>
      </w:r>
      <w:r w:rsidRPr="008D472F">
        <w:rPr>
          <w:color w:val="ED7D31" w:themeColor="accent2"/>
          <w:sz w:val="28"/>
          <w:szCs w:val="32"/>
        </w:rPr>
        <w:t xml:space="preserve"> </w:t>
      </w:r>
      <w:r w:rsidRPr="008D472F">
        <w:rPr>
          <w:sz w:val="24"/>
          <w:szCs w:val="28"/>
        </w:rPr>
        <w:br/>
      </w:r>
      <w:r w:rsidRPr="008D472F">
        <w:rPr>
          <w:i/>
          <w:iCs/>
          <w:szCs w:val="21"/>
        </w:rPr>
        <w:t xml:space="preserve">for the second round of consultations for General Comment no. 26 to the </w:t>
      </w:r>
      <w:r w:rsidR="00681932">
        <w:rPr>
          <w:i/>
          <w:iCs/>
          <w:szCs w:val="21"/>
        </w:rPr>
        <w:br/>
      </w:r>
      <w:r w:rsidRPr="008D472F">
        <w:rPr>
          <w:i/>
          <w:iCs/>
          <w:szCs w:val="21"/>
        </w:rPr>
        <w:t>Convention on the Rights of the Child</w:t>
      </w:r>
      <w:r>
        <w:rPr>
          <w:i/>
          <w:iCs/>
          <w:szCs w:val="21"/>
        </w:rPr>
        <w:t xml:space="preserve">, </w:t>
      </w:r>
      <w:r w:rsidR="00EC6D0E">
        <w:rPr>
          <w:i/>
          <w:iCs/>
          <w:szCs w:val="21"/>
        </w:rPr>
        <w:t xml:space="preserve">submitted </w:t>
      </w:r>
      <w:r>
        <w:rPr>
          <w:i/>
          <w:iCs/>
          <w:szCs w:val="21"/>
        </w:rPr>
        <w:t>14 February 2023</w:t>
      </w:r>
    </w:p>
    <w:p w14:paraId="7EC96909" w14:textId="77777777" w:rsidR="008D472F" w:rsidRDefault="008D472F" w:rsidP="009E0A40"/>
    <w:sdt>
      <w:sdtPr>
        <w:rPr>
          <w:noProof/>
        </w:rPr>
        <w:id w:val="-2142409527"/>
        <w:docPartObj>
          <w:docPartGallery w:val="Table of Contents"/>
          <w:docPartUnique/>
        </w:docPartObj>
      </w:sdtPr>
      <w:sdtEndPr>
        <w:rPr>
          <w:b/>
          <w:bCs/>
        </w:rPr>
      </w:sdtEndPr>
      <w:sdtContent>
        <w:p w14:paraId="7ED3D6AB" w14:textId="77777777" w:rsidR="0090016E" w:rsidRDefault="003143D8" w:rsidP="009E0A40">
          <w:pPr>
            <w:rPr>
              <w:noProof/>
            </w:rPr>
          </w:pPr>
          <w:r w:rsidRPr="00FB0E68">
            <w:rPr>
              <w:b/>
              <w:bCs/>
              <w:color w:val="ED7D31" w:themeColor="accent2"/>
              <w:sz w:val="26"/>
              <w:szCs w:val="26"/>
              <w:lang w:eastAsia="nl-NL"/>
            </w:rPr>
            <w:t>Content</w:t>
          </w:r>
          <w:r w:rsidR="00E57AE6">
            <w:rPr>
              <w:b/>
              <w:bCs/>
              <w:color w:val="ED7D31" w:themeColor="accent2"/>
              <w:sz w:val="26"/>
              <w:szCs w:val="26"/>
              <w:lang w:eastAsia="nl-NL"/>
            </w:rPr>
            <w:t>s</w:t>
          </w:r>
          <w:r w:rsidRPr="00FB0E68">
            <w:rPr>
              <w:b/>
              <w:bCs/>
              <w:color w:val="ED7D31" w:themeColor="accent2"/>
              <w:sz w:val="26"/>
              <w:szCs w:val="26"/>
              <w:lang w:eastAsia="nl-NL"/>
            </w:rPr>
            <w:br/>
          </w:r>
          <w:r w:rsidRPr="006E7F1A">
            <w:rPr>
              <w:noProof/>
              <w:lang w:eastAsia="nl-NL"/>
            </w:rPr>
            <w:fldChar w:fldCharType="begin"/>
          </w:r>
          <w:r w:rsidRPr="006E7F1A">
            <w:rPr>
              <w:lang w:eastAsia="nl-NL"/>
            </w:rPr>
            <w:instrText xml:space="preserve"> TOC \o "1-3" \h \z \u </w:instrText>
          </w:r>
          <w:r w:rsidRPr="006E7F1A">
            <w:rPr>
              <w:noProof/>
              <w:lang w:eastAsia="nl-NL"/>
            </w:rPr>
            <w:fldChar w:fldCharType="separate"/>
          </w:r>
        </w:p>
        <w:p w14:paraId="1FDF4F1E" w14:textId="4C1E7A42" w:rsidR="0090016E" w:rsidRDefault="00681932">
          <w:pPr>
            <w:pStyle w:val="Inhopg2"/>
            <w:rPr>
              <w:rFonts w:asciiTheme="minorHAnsi" w:eastAsiaTheme="minorEastAsia" w:hAnsiTheme="minorHAnsi"/>
              <w:sz w:val="22"/>
              <w:lang w:val="nl-NL" w:eastAsia="nl-NL"/>
            </w:rPr>
          </w:pPr>
          <w:hyperlink w:anchor="_Toc126753458" w:history="1">
            <w:r w:rsidR="0090016E" w:rsidRPr="007651F4">
              <w:rPr>
                <w:rStyle w:val="Hyperlink"/>
              </w:rPr>
              <w:t>1.</w:t>
            </w:r>
            <w:r w:rsidR="0090016E">
              <w:rPr>
                <w:rFonts w:asciiTheme="minorHAnsi" w:eastAsiaTheme="minorEastAsia" w:hAnsiTheme="minorHAnsi"/>
                <w:sz w:val="22"/>
                <w:lang w:val="nl-NL" w:eastAsia="nl-NL"/>
              </w:rPr>
              <w:tab/>
            </w:r>
            <w:r w:rsidR="0090016E" w:rsidRPr="007651F4">
              <w:rPr>
                <w:rStyle w:val="Hyperlink"/>
              </w:rPr>
              <w:t>Introduction</w:t>
            </w:r>
            <w:r w:rsidR="0090016E">
              <w:rPr>
                <w:webHidden/>
              </w:rPr>
              <w:tab/>
            </w:r>
            <w:r w:rsidR="0090016E">
              <w:rPr>
                <w:webHidden/>
              </w:rPr>
              <w:fldChar w:fldCharType="begin"/>
            </w:r>
            <w:r w:rsidR="0090016E">
              <w:rPr>
                <w:webHidden/>
              </w:rPr>
              <w:instrText xml:space="preserve"> PAGEREF _Toc126753458 \h </w:instrText>
            </w:r>
            <w:r w:rsidR="0090016E">
              <w:rPr>
                <w:webHidden/>
              </w:rPr>
            </w:r>
            <w:r w:rsidR="0090016E">
              <w:rPr>
                <w:webHidden/>
              </w:rPr>
              <w:fldChar w:fldCharType="separate"/>
            </w:r>
            <w:r w:rsidR="00E82A18">
              <w:rPr>
                <w:webHidden/>
              </w:rPr>
              <w:t>1</w:t>
            </w:r>
            <w:r w:rsidR="0090016E">
              <w:rPr>
                <w:webHidden/>
              </w:rPr>
              <w:fldChar w:fldCharType="end"/>
            </w:r>
          </w:hyperlink>
        </w:p>
        <w:p w14:paraId="54EAE214" w14:textId="48E3FDB0" w:rsidR="0090016E" w:rsidRDefault="00681932">
          <w:pPr>
            <w:pStyle w:val="Inhopg2"/>
            <w:rPr>
              <w:rFonts w:asciiTheme="minorHAnsi" w:eastAsiaTheme="minorEastAsia" w:hAnsiTheme="minorHAnsi"/>
              <w:sz w:val="22"/>
              <w:lang w:val="nl-NL" w:eastAsia="nl-NL"/>
            </w:rPr>
          </w:pPr>
          <w:hyperlink w:anchor="_Toc126753459" w:history="1">
            <w:r w:rsidR="0090016E" w:rsidRPr="007651F4">
              <w:rPr>
                <w:rStyle w:val="Hyperlink"/>
              </w:rPr>
              <w:t>2.</w:t>
            </w:r>
            <w:r w:rsidR="0090016E">
              <w:rPr>
                <w:rFonts w:asciiTheme="minorHAnsi" w:eastAsiaTheme="minorEastAsia" w:hAnsiTheme="minorHAnsi"/>
                <w:sz w:val="22"/>
                <w:lang w:val="nl-NL" w:eastAsia="nl-NL"/>
              </w:rPr>
              <w:tab/>
            </w:r>
            <w:r w:rsidR="0090016E" w:rsidRPr="007651F4">
              <w:rPr>
                <w:rStyle w:val="Hyperlink"/>
              </w:rPr>
              <w:t>Mental wellbeing in light of environmental issues</w:t>
            </w:r>
            <w:r w:rsidR="0090016E">
              <w:rPr>
                <w:webHidden/>
              </w:rPr>
              <w:tab/>
            </w:r>
            <w:r w:rsidR="0090016E">
              <w:rPr>
                <w:webHidden/>
              </w:rPr>
              <w:fldChar w:fldCharType="begin"/>
            </w:r>
            <w:r w:rsidR="0090016E">
              <w:rPr>
                <w:webHidden/>
              </w:rPr>
              <w:instrText xml:space="preserve"> PAGEREF _Toc126753459 \h </w:instrText>
            </w:r>
            <w:r w:rsidR="0090016E">
              <w:rPr>
                <w:webHidden/>
              </w:rPr>
            </w:r>
            <w:r w:rsidR="0090016E">
              <w:rPr>
                <w:webHidden/>
              </w:rPr>
              <w:fldChar w:fldCharType="separate"/>
            </w:r>
            <w:r w:rsidR="00E82A18">
              <w:rPr>
                <w:webHidden/>
              </w:rPr>
              <w:t>2</w:t>
            </w:r>
            <w:r w:rsidR="0090016E">
              <w:rPr>
                <w:webHidden/>
              </w:rPr>
              <w:fldChar w:fldCharType="end"/>
            </w:r>
          </w:hyperlink>
        </w:p>
        <w:p w14:paraId="51EFEB3D" w14:textId="4BD0690B"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0" w:history="1">
            <w:r w:rsidR="0090016E" w:rsidRPr="007651F4">
              <w:rPr>
                <w:rStyle w:val="Hyperlink"/>
                <w:noProof/>
              </w:rPr>
              <w:t>2.1 Mental health as a key aspect of the right to health</w:t>
            </w:r>
            <w:r w:rsidR="0090016E">
              <w:rPr>
                <w:noProof/>
                <w:webHidden/>
              </w:rPr>
              <w:tab/>
            </w:r>
            <w:r w:rsidR="0090016E">
              <w:rPr>
                <w:noProof/>
                <w:webHidden/>
              </w:rPr>
              <w:fldChar w:fldCharType="begin"/>
            </w:r>
            <w:r w:rsidR="0090016E">
              <w:rPr>
                <w:noProof/>
                <w:webHidden/>
              </w:rPr>
              <w:instrText xml:space="preserve"> PAGEREF _Toc126753460 \h </w:instrText>
            </w:r>
            <w:r w:rsidR="0090016E">
              <w:rPr>
                <w:noProof/>
                <w:webHidden/>
              </w:rPr>
            </w:r>
            <w:r w:rsidR="0090016E">
              <w:rPr>
                <w:noProof/>
                <w:webHidden/>
              </w:rPr>
              <w:fldChar w:fldCharType="separate"/>
            </w:r>
            <w:r w:rsidR="00E82A18">
              <w:rPr>
                <w:noProof/>
                <w:webHidden/>
              </w:rPr>
              <w:t>2</w:t>
            </w:r>
            <w:r w:rsidR="0090016E">
              <w:rPr>
                <w:noProof/>
                <w:webHidden/>
              </w:rPr>
              <w:fldChar w:fldCharType="end"/>
            </w:r>
          </w:hyperlink>
        </w:p>
        <w:p w14:paraId="7C20520E" w14:textId="5E3A01CA"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1" w:history="1">
            <w:r w:rsidR="0090016E" w:rsidRPr="007651F4">
              <w:rPr>
                <w:rStyle w:val="Hyperlink"/>
                <w:noProof/>
                <w:lang w:val="en-US"/>
              </w:rPr>
              <w:t>2.2 Preventing harm</w:t>
            </w:r>
            <w:r w:rsidR="0090016E">
              <w:rPr>
                <w:noProof/>
                <w:webHidden/>
              </w:rPr>
              <w:tab/>
            </w:r>
            <w:r w:rsidR="0090016E">
              <w:rPr>
                <w:noProof/>
                <w:webHidden/>
              </w:rPr>
              <w:fldChar w:fldCharType="begin"/>
            </w:r>
            <w:r w:rsidR="0090016E">
              <w:rPr>
                <w:noProof/>
                <w:webHidden/>
              </w:rPr>
              <w:instrText xml:space="preserve"> PAGEREF _Toc126753461 \h </w:instrText>
            </w:r>
            <w:r w:rsidR="0090016E">
              <w:rPr>
                <w:noProof/>
                <w:webHidden/>
              </w:rPr>
            </w:r>
            <w:r w:rsidR="0090016E">
              <w:rPr>
                <w:noProof/>
                <w:webHidden/>
              </w:rPr>
              <w:fldChar w:fldCharType="separate"/>
            </w:r>
            <w:r w:rsidR="00E82A18">
              <w:rPr>
                <w:noProof/>
                <w:webHidden/>
              </w:rPr>
              <w:t>2</w:t>
            </w:r>
            <w:r w:rsidR="0090016E">
              <w:rPr>
                <w:noProof/>
                <w:webHidden/>
              </w:rPr>
              <w:fldChar w:fldCharType="end"/>
            </w:r>
          </w:hyperlink>
        </w:p>
        <w:p w14:paraId="7EF8ED8D" w14:textId="29537566" w:rsidR="0090016E" w:rsidRDefault="00681932">
          <w:pPr>
            <w:pStyle w:val="Inhopg2"/>
            <w:rPr>
              <w:rFonts w:asciiTheme="minorHAnsi" w:eastAsiaTheme="minorEastAsia" w:hAnsiTheme="minorHAnsi"/>
              <w:sz w:val="22"/>
              <w:lang w:val="nl-NL" w:eastAsia="nl-NL"/>
            </w:rPr>
          </w:pPr>
          <w:hyperlink w:anchor="_Toc126753462" w:history="1">
            <w:r w:rsidR="0090016E" w:rsidRPr="007651F4">
              <w:rPr>
                <w:rStyle w:val="Hyperlink"/>
              </w:rPr>
              <w:t>3.</w:t>
            </w:r>
            <w:r w:rsidR="0090016E">
              <w:rPr>
                <w:rFonts w:asciiTheme="minorHAnsi" w:eastAsiaTheme="minorEastAsia" w:hAnsiTheme="minorHAnsi"/>
                <w:sz w:val="22"/>
                <w:lang w:val="nl-NL" w:eastAsia="nl-NL"/>
              </w:rPr>
              <w:tab/>
            </w:r>
            <w:r w:rsidR="0090016E" w:rsidRPr="007651F4">
              <w:rPr>
                <w:rStyle w:val="Hyperlink"/>
              </w:rPr>
              <w:t>Responsibilities of governments and businesses</w:t>
            </w:r>
            <w:r w:rsidR="0090016E">
              <w:rPr>
                <w:webHidden/>
              </w:rPr>
              <w:tab/>
            </w:r>
            <w:r w:rsidR="0090016E">
              <w:rPr>
                <w:webHidden/>
              </w:rPr>
              <w:fldChar w:fldCharType="begin"/>
            </w:r>
            <w:r w:rsidR="0090016E">
              <w:rPr>
                <w:webHidden/>
              </w:rPr>
              <w:instrText xml:space="preserve"> PAGEREF _Toc126753462 \h </w:instrText>
            </w:r>
            <w:r w:rsidR="0090016E">
              <w:rPr>
                <w:webHidden/>
              </w:rPr>
            </w:r>
            <w:r w:rsidR="0090016E">
              <w:rPr>
                <w:webHidden/>
              </w:rPr>
              <w:fldChar w:fldCharType="separate"/>
            </w:r>
            <w:r w:rsidR="00E82A18">
              <w:rPr>
                <w:webHidden/>
              </w:rPr>
              <w:t>3</w:t>
            </w:r>
            <w:r w:rsidR="0090016E">
              <w:rPr>
                <w:webHidden/>
              </w:rPr>
              <w:fldChar w:fldCharType="end"/>
            </w:r>
          </w:hyperlink>
        </w:p>
        <w:p w14:paraId="2EBE2DD7" w14:textId="4DD49F7F"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3" w:history="1">
            <w:r w:rsidR="0090016E" w:rsidRPr="007651F4">
              <w:rPr>
                <w:rStyle w:val="Hyperlink"/>
                <w:noProof/>
              </w:rPr>
              <w:t>3.1 Responsibilities of the state</w:t>
            </w:r>
            <w:r w:rsidR="0090016E">
              <w:rPr>
                <w:noProof/>
                <w:webHidden/>
              </w:rPr>
              <w:tab/>
            </w:r>
            <w:r w:rsidR="0090016E">
              <w:rPr>
                <w:noProof/>
                <w:webHidden/>
              </w:rPr>
              <w:fldChar w:fldCharType="begin"/>
            </w:r>
            <w:r w:rsidR="0090016E">
              <w:rPr>
                <w:noProof/>
                <w:webHidden/>
              </w:rPr>
              <w:instrText xml:space="preserve"> PAGEREF _Toc126753463 \h </w:instrText>
            </w:r>
            <w:r w:rsidR="0090016E">
              <w:rPr>
                <w:noProof/>
                <w:webHidden/>
              </w:rPr>
            </w:r>
            <w:r w:rsidR="0090016E">
              <w:rPr>
                <w:noProof/>
                <w:webHidden/>
              </w:rPr>
              <w:fldChar w:fldCharType="separate"/>
            </w:r>
            <w:r w:rsidR="00E82A18">
              <w:rPr>
                <w:noProof/>
                <w:webHidden/>
              </w:rPr>
              <w:t>3</w:t>
            </w:r>
            <w:r w:rsidR="0090016E">
              <w:rPr>
                <w:noProof/>
                <w:webHidden/>
              </w:rPr>
              <w:fldChar w:fldCharType="end"/>
            </w:r>
          </w:hyperlink>
        </w:p>
        <w:p w14:paraId="50F14F12" w14:textId="56528E79"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4" w:history="1">
            <w:r w:rsidR="0090016E" w:rsidRPr="007651F4">
              <w:rPr>
                <w:rStyle w:val="Hyperlink"/>
                <w:noProof/>
              </w:rPr>
              <w:t>3.2 State responsibilities regarding the business sector</w:t>
            </w:r>
            <w:r w:rsidR="0090016E">
              <w:rPr>
                <w:noProof/>
                <w:webHidden/>
              </w:rPr>
              <w:tab/>
            </w:r>
            <w:r w:rsidR="0090016E">
              <w:rPr>
                <w:noProof/>
                <w:webHidden/>
              </w:rPr>
              <w:fldChar w:fldCharType="begin"/>
            </w:r>
            <w:r w:rsidR="0090016E">
              <w:rPr>
                <w:noProof/>
                <w:webHidden/>
              </w:rPr>
              <w:instrText xml:space="preserve"> PAGEREF _Toc126753464 \h </w:instrText>
            </w:r>
            <w:r w:rsidR="0090016E">
              <w:rPr>
                <w:noProof/>
                <w:webHidden/>
              </w:rPr>
            </w:r>
            <w:r w:rsidR="0090016E">
              <w:rPr>
                <w:noProof/>
                <w:webHidden/>
              </w:rPr>
              <w:fldChar w:fldCharType="separate"/>
            </w:r>
            <w:r w:rsidR="00E82A18">
              <w:rPr>
                <w:noProof/>
                <w:webHidden/>
              </w:rPr>
              <w:t>3</w:t>
            </w:r>
            <w:r w:rsidR="0090016E">
              <w:rPr>
                <w:noProof/>
                <w:webHidden/>
              </w:rPr>
              <w:fldChar w:fldCharType="end"/>
            </w:r>
          </w:hyperlink>
        </w:p>
        <w:p w14:paraId="547347B2" w14:textId="58C9880D"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5" w:history="1">
            <w:r w:rsidR="0090016E" w:rsidRPr="007651F4">
              <w:rPr>
                <w:rStyle w:val="Hyperlink"/>
                <w:noProof/>
              </w:rPr>
              <w:t>3.3 Responsibilities of the business sector</w:t>
            </w:r>
            <w:r w:rsidR="0090016E">
              <w:rPr>
                <w:noProof/>
                <w:webHidden/>
              </w:rPr>
              <w:tab/>
            </w:r>
            <w:r w:rsidR="0090016E">
              <w:rPr>
                <w:noProof/>
                <w:webHidden/>
              </w:rPr>
              <w:fldChar w:fldCharType="begin"/>
            </w:r>
            <w:r w:rsidR="0090016E">
              <w:rPr>
                <w:noProof/>
                <w:webHidden/>
              </w:rPr>
              <w:instrText xml:space="preserve"> PAGEREF _Toc126753465 \h </w:instrText>
            </w:r>
            <w:r w:rsidR="0090016E">
              <w:rPr>
                <w:noProof/>
                <w:webHidden/>
              </w:rPr>
            </w:r>
            <w:r w:rsidR="0090016E">
              <w:rPr>
                <w:noProof/>
                <w:webHidden/>
              </w:rPr>
              <w:fldChar w:fldCharType="separate"/>
            </w:r>
            <w:r w:rsidR="00E82A18">
              <w:rPr>
                <w:noProof/>
                <w:webHidden/>
              </w:rPr>
              <w:t>4</w:t>
            </w:r>
            <w:r w:rsidR="0090016E">
              <w:rPr>
                <w:noProof/>
                <w:webHidden/>
              </w:rPr>
              <w:fldChar w:fldCharType="end"/>
            </w:r>
          </w:hyperlink>
        </w:p>
        <w:p w14:paraId="65924F8E" w14:textId="2ACAEFC2" w:rsidR="0090016E" w:rsidRDefault="00681932">
          <w:pPr>
            <w:pStyle w:val="Inhopg2"/>
            <w:rPr>
              <w:rFonts w:asciiTheme="minorHAnsi" w:eastAsiaTheme="minorEastAsia" w:hAnsiTheme="minorHAnsi"/>
              <w:sz w:val="22"/>
              <w:lang w:val="nl-NL" w:eastAsia="nl-NL"/>
            </w:rPr>
          </w:pPr>
          <w:hyperlink w:anchor="_Toc126753466" w:history="1">
            <w:r w:rsidR="0090016E" w:rsidRPr="007651F4">
              <w:rPr>
                <w:rStyle w:val="Hyperlink"/>
              </w:rPr>
              <w:t>4.</w:t>
            </w:r>
            <w:r w:rsidR="0090016E">
              <w:rPr>
                <w:rFonts w:asciiTheme="minorHAnsi" w:eastAsiaTheme="minorEastAsia" w:hAnsiTheme="minorHAnsi"/>
                <w:sz w:val="22"/>
                <w:lang w:val="nl-NL" w:eastAsia="nl-NL"/>
              </w:rPr>
              <w:tab/>
            </w:r>
            <w:r w:rsidR="0090016E" w:rsidRPr="007651F4">
              <w:rPr>
                <w:rStyle w:val="Hyperlink"/>
              </w:rPr>
              <w:t>Child and youth participation in environmental issues</w:t>
            </w:r>
            <w:r w:rsidR="0090016E">
              <w:rPr>
                <w:webHidden/>
              </w:rPr>
              <w:tab/>
            </w:r>
            <w:r w:rsidR="0090016E">
              <w:rPr>
                <w:webHidden/>
              </w:rPr>
              <w:fldChar w:fldCharType="begin"/>
            </w:r>
            <w:r w:rsidR="0090016E">
              <w:rPr>
                <w:webHidden/>
              </w:rPr>
              <w:instrText xml:space="preserve"> PAGEREF _Toc126753466 \h </w:instrText>
            </w:r>
            <w:r w:rsidR="0090016E">
              <w:rPr>
                <w:webHidden/>
              </w:rPr>
            </w:r>
            <w:r w:rsidR="0090016E">
              <w:rPr>
                <w:webHidden/>
              </w:rPr>
              <w:fldChar w:fldCharType="separate"/>
            </w:r>
            <w:r w:rsidR="00E82A18">
              <w:rPr>
                <w:webHidden/>
              </w:rPr>
              <w:t>4</w:t>
            </w:r>
            <w:r w:rsidR="0090016E">
              <w:rPr>
                <w:webHidden/>
              </w:rPr>
              <w:fldChar w:fldCharType="end"/>
            </w:r>
          </w:hyperlink>
        </w:p>
        <w:p w14:paraId="3902D6E6" w14:textId="2B23C85F"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7" w:history="1">
            <w:r w:rsidR="0090016E" w:rsidRPr="007651F4">
              <w:rPr>
                <w:rStyle w:val="Hyperlink"/>
                <w:noProof/>
              </w:rPr>
              <w:t>4.1 Child and youth participation</w:t>
            </w:r>
            <w:r w:rsidR="0090016E">
              <w:rPr>
                <w:noProof/>
                <w:webHidden/>
              </w:rPr>
              <w:tab/>
            </w:r>
            <w:r w:rsidR="0090016E">
              <w:rPr>
                <w:noProof/>
                <w:webHidden/>
              </w:rPr>
              <w:fldChar w:fldCharType="begin"/>
            </w:r>
            <w:r w:rsidR="0090016E">
              <w:rPr>
                <w:noProof/>
                <w:webHidden/>
              </w:rPr>
              <w:instrText xml:space="preserve"> PAGEREF _Toc126753467 \h </w:instrText>
            </w:r>
            <w:r w:rsidR="0090016E">
              <w:rPr>
                <w:noProof/>
                <w:webHidden/>
              </w:rPr>
            </w:r>
            <w:r w:rsidR="0090016E">
              <w:rPr>
                <w:noProof/>
                <w:webHidden/>
              </w:rPr>
              <w:fldChar w:fldCharType="separate"/>
            </w:r>
            <w:r w:rsidR="00E82A18">
              <w:rPr>
                <w:noProof/>
                <w:webHidden/>
              </w:rPr>
              <w:t>4</w:t>
            </w:r>
            <w:r w:rsidR="0090016E">
              <w:rPr>
                <w:noProof/>
                <w:webHidden/>
              </w:rPr>
              <w:fldChar w:fldCharType="end"/>
            </w:r>
          </w:hyperlink>
        </w:p>
        <w:p w14:paraId="3CFB0701" w14:textId="2129BA7F" w:rsidR="0090016E" w:rsidRDefault="00681932">
          <w:pPr>
            <w:pStyle w:val="Inhopg3"/>
            <w:tabs>
              <w:tab w:val="right" w:leader="dot" w:pos="9062"/>
            </w:tabs>
            <w:rPr>
              <w:rFonts w:asciiTheme="minorHAnsi" w:eastAsiaTheme="minorEastAsia" w:hAnsiTheme="minorHAnsi"/>
              <w:noProof/>
              <w:sz w:val="22"/>
              <w:lang w:val="nl-NL" w:eastAsia="nl-NL"/>
            </w:rPr>
          </w:pPr>
          <w:hyperlink w:anchor="_Toc126753468" w:history="1">
            <w:r w:rsidR="0090016E" w:rsidRPr="007651F4">
              <w:rPr>
                <w:rStyle w:val="Hyperlink"/>
                <w:noProof/>
                <w:lang w:val="en-US"/>
              </w:rPr>
              <w:t>4.2 Effective remedies</w:t>
            </w:r>
            <w:r w:rsidR="0090016E">
              <w:rPr>
                <w:noProof/>
                <w:webHidden/>
              </w:rPr>
              <w:tab/>
            </w:r>
            <w:r w:rsidR="0090016E">
              <w:rPr>
                <w:noProof/>
                <w:webHidden/>
              </w:rPr>
              <w:fldChar w:fldCharType="begin"/>
            </w:r>
            <w:r w:rsidR="0090016E">
              <w:rPr>
                <w:noProof/>
                <w:webHidden/>
              </w:rPr>
              <w:instrText xml:space="preserve"> PAGEREF _Toc126753468 \h </w:instrText>
            </w:r>
            <w:r w:rsidR="0090016E">
              <w:rPr>
                <w:noProof/>
                <w:webHidden/>
              </w:rPr>
            </w:r>
            <w:r w:rsidR="0090016E">
              <w:rPr>
                <w:noProof/>
                <w:webHidden/>
              </w:rPr>
              <w:fldChar w:fldCharType="separate"/>
            </w:r>
            <w:r w:rsidR="00E82A18">
              <w:rPr>
                <w:noProof/>
                <w:webHidden/>
              </w:rPr>
              <w:t>5</w:t>
            </w:r>
            <w:r w:rsidR="0090016E">
              <w:rPr>
                <w:noProof/>
                <w:webHidden/>
              </w:rPr>
              <w:fldChar w:fldCharType="end"/>
            </w:r>
          </w:hyperlink>
        </w:p>
        <w:p w14:paraId="054875DA" w14:textId="35AFB649" w:rsidR="0090016E" w:rsidRDefault="00681932">
          <w:pPr>
            <w:pStyle w:val="Inhopg2"/>
            <w:rPr>
              <w:rFonts w:asciiTheme="minorHAnsi" w:eastAsiaTheme="minorEastAsia" w:hAnsiTheme="minorHAnsi"/>
              <w:sz w:val="22"/>
              <w:lang w:val="nl-NL" w:eastAsia="nl-NL"/>
            </w:rPr>
          </w:pPr>
          <w:hyperlink w:anchor="_Toc126753469" w:history="1">
            <w:r w:rsidR="0090016E" w:rsidRPr="007651F4">
              <w:rPr>
                <w:rStyle w:val="Hyperlink"/>
              </w:rPr>
              <w:t>5.</w:t>
            </w:r>
            <w:r w:rsidR="0090016E">
              <w:rPr>
                <w:rFonts w:asciiTheme="minorHAnsi" w:eastAsiaTheme="minorEastAsia" w:hAnsiTheme="minorHAnsi"/>
                <w:sz w:val="22"/>
                <w:lang w:val="nl-NL" w:eastAsia="nl-NL"/>
              </w:rPr>
              <w:tab/>
            </w:r>
            <w:r w:rsidR="0090016E" w:rsidRPr="007651F4">
              <w:rPr>
                <w:rStyle w:val="Hyperlink"/>
              </w:rPr>
              <w:t>Terminology and phrasing</w:t>
            </w:r>
            <w:r w:rsidR="0090016E">
              <w:rPr>
                <w:webHidden/>
              </w:rPr>
              <w:tab/>
            </w:r>
            <w:r w:rsidR="0090016E">
              <w:rPr>
                <w:webHidden/>
              </w:rPr>
              <w:fldChar w:fldCharType="begin"/>
            </w:r>
            <w:r w:rsidR="0090016E">
              <w:rPr>
                <w:webHidden/>
              </w:rPr>
              <w:instrText xml:space="preserve"> PAGEREF _Toc126753469 \h </w:instrText>
            </w:r>
            <w:r w:rsidR="0090016E">
              <w:rPr>
                <w:webHidden/>
              </w:rPr>
            </w:r>
            <w:r w:rsidR="0090016E">
              <w:rPr>
                <w:webHidden/>
              </w:rPr>
              <w:fldChar w:fldCharType="separate"/>
            </w:r>
            <w:r w:rsidR="00E82A18">
              <w:rPr>
                <w:webHidden/>
              </w:rPr>
              <w:t>6</w:t>
            </w:r>
            <w:r w:rsidR="0090016E">
              <w:rPr>
                <w:webHidden/>
              </w:rPr>
              <w:fldChar w:fldCharType="end"/>
            </w:r>
          </w:hyperlink>
        </w:p>
        <w:p w14:paraId="47DDE06C" w14:textId="525CFDAC" w:rsidR="0090016E" w:rsidRDefault="00681932">
          <w:pPr>
            <w:pStyle w:val="Inhopg2"/>
            <w:rPr>
              <w:rFonts w:asciiTheme="minorHAnsi" w:eastAsiaTheme="minorEastAsia" w:hAnsiTheme="minorHAnsi"/>
              <w:sz w:val="22"/>
              <w:lang w:val="nl-NL" w:eastAsia="nl-NL"/>
            </w:rPr>
          </w:pPr>
          <w:hyperlink w:anchor="_Toc126753470" w:history="1">
            <w:r w:rsidR="0090016E" w:rsidRPr="007651F4">
              <w:rPr>
                <w:rStyle w:val="Hyperlink"/>
              </w:rPr>
              <w:t>6.</w:t>
            </w:r>
            <w:r w:rsidR="0090016E">
              <w:rPr>
                <w:rFonts w:asciiTheme="minorHAnsi" w:eastAsiaTheme="minorEastAsia" w:hAnsiTheme="minorHAnsi"/>
                <w:sz w:val="22"/>
                <w:lang w:val="nl-NL" w:eastAsia="nl-NL"/>
              </w:rPr>
              <w:tab/>
            </w:r>
            <w:r w:rsidR="0090016E" w:rsidRPr="007651F4">
              <w:rPr>
                <w:rStyle w:val="Hyperlink"/>
              </w:rPr>
              <w:t>General points of feedback</w:t>
            </w:r>
            <w:r w:rsidR="0090016E">
              <w:rPr>
                <w:webHidden/>
              </w:rPr>
              <w:tab/>
            </w:r>
            <w:r w:rsidR="0090016E">
              <w:rPr>
                <w:webHidden/>
              </w:rPr>
              <w:fldChar w:fldCharType="begin"/>
            </w:r>
            <w:r w:rsidR="0090016E">
              <w:rPr>
                <w:webHidden/>
              </w:rPr>
              <w:instrText xml:space="preserve"> PAGEREF _Toc126753470 \h </w:instrText>
            </w:r>
            <w:r w:rsidR="0090016E">
              <w:rPr>
                <w:webHidden/>
              </w:rPr>
            </w:r>
            <w:r w:rsidR="0090016E">
              <w:rPr>
                <w:webHidden/>
              </w:rPr>
              <w:fldChar w:fldCharType="separate"/>
            </w:r>
            <w:r w:rsidR="00E82A18">
              <w:rPr>
                <w:webHidden/>
              </w:rPr>
              <w:t>6</w:t>
            </w:r>
            <w:r w:rsidR="0090016E">
              <w:rPr>
                <w:webHidden/>
              </w:rPr>
              <w:fldChar w:fldCharType="end"/>
            </w:r>
          </w:hyperlink>
        </w:p>
        <w:p w14:paraId="25F759DD" w14:textId="513D98F3" w:rsidR="0090016E" w:rsidRDefault="00681932">
          <w:pPr>
            <w:pStyle w:val="Inhopg2"/>
            <w:rPr>
              <w:rFonts w:asciiTheme="minorHAnsi" w:eastAsiaTheme="minorEastAsia" w:hAnsiTheme="minorHAnsi"/>
              <w:sz w:val="22"/>
              <w:lang w:val="nl-NL" w:eastAsia="nl-NL"/>
            </w:rPr>
          </w:pPr>
          <w:hyperlink w:anchor="_Toc126753471" w:history="1">
            <w:r w:rsidR="0090016E" w:rsidRPr="007651F4">
              <w:rPr>
                <w:rStyle w:val="Hyperlink"/>
              </w:rPr>
              <w:t>7.</w:t>
            </w:r>
            <w:r w:rsidR="0090016E">
              <w:rPr>
                <w:rFonts w:asciiTheme="minorHAnsi" w:eastAsiaTheme="minorEastAsia" w:hAnsiTheme="minorHAnsi"/>
                <w:sz w:val="22"/>
                <w:lang w:val="nl-NL" w:eastAsia="nl-NL"/>
              </w:rPr>
              <w:tab/>
            </w:r>
            <w:r w:rsidR="0090016E" w:rsidRPr="007651F4">
              <w:rPr>
                <w:rStyle w:val="Hyperlink"/>
              </w:rPr>
              <w:t>Annex: Authors and consulted experts</w:t>
            </w:r>
            <w:r w:rsidR="0090016E">
              <w:rPr>
                <w:webHidden/>
              </w:rPr>
              <w:tab/>
            </w:r>
            <w:r w:rsidR="0090016E">
              <w:rPr>
                <w:webHidden/>
              </w:rPr>
              <w:fldChar w:fldCharType="begin"/>
            </w:r>
            <w:r w:rsidR="0090016E">
              <w:rPr>
                <w:webHidden/>
              </w:rPr>
              <w:instrText xml:space="preserve"> PAGEREF _Toc126753471 \h </w:instrText>
            </w:r>
            <w:r w:rsidR="0090016E">
              <w:rPr>
                <w:webHidden/>
              </w:rPr>
            </w:r>
            <w:r w:rsidR="0090016E">
              <w:rPr>
                <w:webHidden/>
              </w:rPr>
              <w:fldChar w:fldCharType="separate"/>
            </w:r>
            <w:r w:rsidR="00E82A18">
              <w:rPr>
                <w:webHidden/>
              </w:rPr>
              <w:t>8</w:t>
            </w:r>
            <w:r w:rsidR="0090016E">
              <w:rPr>
                <w:webHidden/>
              </w:rPr>
              <w:fldChar w:fldCharType="end"/>
            </w:r>
          </w:hyperlink>
        </w:p>
        <w:p w14:paraId="339EA612" w14:textId="2D6D7D97" w:rsidR="003143D8" w:rsidRPr="00F925E8" w:rsidRDefault="003143D8" w:rsidP="009E0A40">
          <w:pPr>
            <w:pStyle w:val="Inhopg2"/>
            <w:rPr>
              <w:rFonts w:asciiTheme="minorHAnsi" w:eastAsiaTheme="minorEastAsia" w:hAnsiTheme="minorHAnsi"/>
              <w:sz w:val="22"/>
              <w:lang w:val="nl-NL" w:eastAsia="nl-NL"/>
            </w:rPr>
          </w:pPr>
          <w:r w:rsidRPr="006E7F1A">
            <w:fldChar w:fldCharType="end"/>
          </w:r>
        </w:p>
      </w:sdtContent>
    </w:sdt>
    <w:p w14:paraId="0583D658" w14:textId="77777777" w:rsidR="003143D8" w:rsidRDefault="003143D8" w:rsidP="009E0A40"/>
    <w:p w14:paraId="45B01B61" w14:textId="77777777" w:rsidR="003143D8" w:rsidRPr="00770935" w:rsidRDefault="003143D8" w:rsidP="009E0A40">
      <w:pPr>
        <w:pStyle w:val="Kop2"/>
      </w:pPr>
      <w:bookmarkStart w:id="0" w:name="_Toc126753458"/>
      <w:r>
        <w:t>Introduction</w:t>
      </w:r>
      <w:bookmarkEnd w:id="0"/>
      <w:r>
        <w:br/>
      </w:r>
    </w:p>
    <w:p w14:paraId="5F91EE68" w14:textId="37C6F58F" w:rsidR="00D37EE0" w:rsidRDefault="008E5CF3" w:rsidP="009E0A40">
      <w:r>
        <w:t>T</w:t>
      </w:r>
      <w:r w:rsidR="003143D8" w:rsidRPr="00BA4268">
        <w:t xml:space="preserve">he Dutch NGO Coalition for Children’s Rights </w:t>
      </w:r>
      <w:r w:rsidR="00E40765">
        <w:t>(the Coalition)</w:t>
      </w:r>
      <w:r w:rsidR="002A650C">
        <w:t xml:space="preserve"> </w:t>
      </w:r>
      <w:r w:rsidR="003143D8" w:rsidRPr="00BA4268">
        <w:t xml:space="preserve">makes this </w:t>
      </w:r>
      <w:r w:rsidR="00846FCF">
        <w:t>open submission to the second round of consultations on General Comment no. 26 to the</w:t>
      </w:r>
      <w:r w:rsidR="00E40765">
        <w:t xml:space="preserve"> UN Committee of the Rights of the Child</w:t>
      </w:r>
      <w:r w:rsidR="003143D8" w:rsidRPr="00BA4268">
        <w:t xml:space="preserve">. </w:t>
      </w:r>
      <w:r w:rsidR="00D37EE0" w:rsidRPr="00D37EE0">
        <w:t xml:space="preserve">Through the Coalition, organisations join forces to protect the interests of the child and supervise the safeguarding of children’s rights in Dutch law, policy and practice. </w:t>
      </w:r>
      <w:r>
        <w:t>We write this submission from the Dutch perspective</w:t>
      </w:r>
      <w:r w:rsidR="00534BD9">
        <w:t>.</w:t>
      </w:r>
    </w:p>
    <w:p w14:paraId="277F772C" w14:textId="2978B080" w:rsidR="009409E7" w:rsidRDefault="009409E7" w:rsidP="009E0A40">
      <w:r w:rsidRPr="009409E7">
        <w:t xml:space="preserve">The submission engages with three main themes: mental wellbeing </w:t>
      </w:r>
      <w:r w:rsidRPr="0046616B">
        <w:t xml:space="preserve">in light </w:t>
      </w:r>
      <w:r w:rsidR="0046616B" w:rsidRPr="0046616B">
        <w:t>of environmental issues</w:t>
      </w:r>
      <w:r w:rsidRPr="0046616B">
        <w:t>, the responsibilities of governments and businesses (especially in high-income states</w:t>
      </w:r>
      <w:r w:rsidRPr="009409E7">
        <w:t>), and child and youth participation in environmental issues. Many topics discussed in this submission are relevant to children’s rights in general, but even more so in light of environmental challenges and climate change. The topics discussed are highly interlinked, and we ask you to consider them as such.</w:t>
      </w:r>
    </w:p>
    <w:p w14:paraId="088CA511" w14:textId="1C1E8F0C" w:rsidR="0098554F" w:rsidRPr="006E306F" w:rsidRDefault="00D37EE0">
      <w:r w:rsidRPr="00D37EE0">
        <w:t>A consultative meeting with organisations concerned with children’s rights and/or the environment was held</w:t>
      </w:r>
      <w:r w:rsidR="002A650C">
        <w:t xml:space="preserve"> in Leiden</w:t>
      </w:r>
      <w:r w:rsidRPr="00D37EE0">
        <w:t xml:space="preserve"> on 20 January 2023. Over 20 organisations participated, including a range of NGOs, youth organisations, the Children’s Ombudsman and National Committee UNICEF the Netherlands. Input was collected on the three main themes of this open submission. Please find the list of experts consulted </w:t>
      </w:r>
      <w:r w:rsidR="00D86176">
        <w:t>in the annex</w:t>
      </w:r>
      <w:r w:rsidRPr="00D37EE0">
        <w:t xml:space="preserve">. </w:t>
      </w:r>
      <w:r w:rsidR="00D96111">
        <w:t xml:space="preserve">The Coalition has also translated and disseminated the youth questionnaire in the Netherlands. </w:t>
      </w:r>
      <w:r w:rsidR="00883549">
        <w:t>The responses partially inspired the discussion at the expert meeting</w:t>
      </w:r>
      <w:r w:rsidR="00DE398A">
        <w:t>.</w:t>
      </w:r>
      <w:r w:rsidR="0098554F">
        <w:br w:type="page"/>
      </w:r>
    </w:p>
    <w:p w14:paraId="01965603" w14:textId="3C003157" w:rsidR="003143D8" w:rsidRDefault="000A0D77" w:rsidP="009E0A40">
      <w:pPr>
        <w:pStyle w:val="Kop2"/>
      </w:pPr>
      <w:bookmarkStart w:id="1" w:name="_Toc126753459"/>
      <w:r w:rsidRPr="00E052AF">
        <w:lastRenderedPageBreak/>
        <w:t>Mental wellbeing in light of</w:t>
      </w:r>
      <w:r>
        <w:t xml:space="preserve"> </w:t>
      </w:r>
      <w:r w:rsidR="00813BAA">
        <w:t>environmental issues</w:t>
      </w:r>
      <w:bookmarkEnd w:id="1"/>
    </w:p>
    <w:p w14:paraId="14B891AE" w14:textId="3390B1C0" w:rsidR="00807E09" w:rsidRDefault="00807E09" w:rsidP="009E0A40"/>
    <w:p w14:paraId="50FFF38F" w14:textId="26543BDF" w:rsidR="00807E09" w:rsidRPr="009E0A40" w:rsidRDefault="004A2DC1" w:rsidP="009E0A40">
      <w:pPr>
        <w:pStyle w:val="Kop3"/>
      </w:pPr>
      <w:bookmarkStart w:id="2" w:name="_Toc126753460"/>
      <w:r>
        <w:t xml:space="preserve">2.1 </w:t>
      </w:r>
      <w:r w:rsidR="003E3779">
        <w:t>Mental health as a</w:t>
      </w:r>
      <w:r w:rsidR="00805CD6">
        <w:t xml:space="preserve"> key</w:t>
      </w:r>
      <w:r w:rsidR="003E3779">
        <w:t xml:space="preserve"> aspect of t</w:t>
      </w:r>
      <w:r w:rsidR="009E0A40">
        <w:t>he right to health</w:t>
      </w:r>
      <w:bookmarkEnd w:id="2"/>
    </w:p>
    <w:p w14:paraId="62DF1DDE" w14:textId="25403678" w:rsidR="001C473A" w:rsidRDefault="00807E09" w:rsidP="009E0A40">
      <w:r w:rsidRPr="009E0A40">
        <w:t>We appreciate the attention to the relationship between the right to the highest attainable standard of health</w:t>
      </w:r>
      <w:r w:rsidR="00210098" w:rsidRPr="009E0A40">
        <w:t xml:space="preserve"> and environmental issues</w:t>
      </w:r>
      <w:r w:rsidR="009409E7">
        <w:t xml:space="preserve"> in the draft General Comment</w:t>
      </w:r>
      <w:r w:rsidRPr="009E0A40">
        <w:t xml:space="preserve">. </w:t>
      </w:r>
      <w:r w:rsidR="00554D4A" w:rsidRPr="009E0A40">
        <w:t xml:space="preserve">This right relates not only to physical health, but also to mental wellbeing. </w:t>
      </w:r>
      <w:r w:rsidR="008C709D" w:rsidRPr="009E0A40">
        <w:t>The mental wellbeing of children is threatened by concern</w:t>
      </w:r>
      <w:r w:rsidR="002A2833" w:rsidRPr="009E0A40">
        <w:t>, stress</w:t>
      </w:r>
      <w:r w:rsidR="008928AB" w:rsidRPr="009E0A40">
        <w:t>,</w:t>
      </w:r>
      <w:r w:rsidR="002A2833" w:rsidRPr="009E0A40">
        <w:t xml:space="preserve"> and </w:t>
      </w:r>
      <w:r w:rsidR="00F62546" w:rsidRPr="009E0A40">
        <w:t>anxiety</w:t>
      </w:r>
      <w:r w:rsidR="008C709D" w:rsidRPr="009E0A40">
        <w:t xml:space="preserve"> about </w:t>
      </w:r>
      <w:r w:rsidR="008C709D" w:rsidRPr="00993518">
        <w:t xml:space="preserve">the environment and </w:t>
      </w:r>
      <w:r w:rsidR="008C709D" w:rsidRPr="009E0A40">
        <w:t>climate</w:t>
      </w:r>
      <w:r w:rsidR="007360C0" w:rsidRPr="009E0A40">
        <w:t xml:space="preserve"> change</w:t>
      </w:r>
      <w:r w:rsidR="008C709D" w:rsidRPr="009E0A40">
        <w:t>.</w:t>
      </w:r>
      <w:r w:rsidR="00043BB4">
        <w:rPr>
          <w:rStyle w:val="Voetnootmarkering"/>
        </w:rPr>
        <w:footnoteReference w:id="1"/>
      </w:r>
      <w:r w:rsidR="008C709D" w:rsidRPr="009E0A40">
        <w:t xml:space="preserve"> </w:t>
      </w:r>
      <w:r w:rsidR="00010FCF" w:rsidRPr="009E0A40">
        <w:t>Therefore,</w:t>
      </w:r>
      <w:r w:rsidR="001E1C99" w:rsidRPr="009E0A40">
        <w:t xml:space="preserve"> we </w:t>
      </w:r>
      <w:r w:rsidR="00E74F8F" w:rsidRPr="009E0A40">
        <w:t>propose</w:t>
      </w:r>
      <w:r w:rsidR="001E1C99" w:rsidRPr="009E0A40">
        <w:t xml:space="preserve"> </w:t>
      </w:r>
      <w:r w:rsidR="00993518">
        <w:t xml:space="preserve">expanding </w:t>
      </w:r>
      <w:r w:rsidR="001E1C99" w:rsidRPr="009E0A40">
        <w:t xml:space="preserve">on the mental wellbeing of children in light of </w:t>
      </w:r>
      <w:r w:rsidR="009D1431">
        <w:t>environmental issues</w:t>
      </w:r>
      <w:r w:rsidR="00F8743D">
        <w:t>, already briefly discussed in paragraph 27,</w:t>
      </w:r>
      <w:r w:rsidR="003B4C03" w:rsidRPr="009E0A40">
        <w:t xml:space="preserve"> </w:t>
      </w:r>
      <w:r w:rsidR="00F8743D">
        <w:t>in</w:t>
      </w:r>
      <w:r w:rsidR="003B4C03" w:rsidRPr="009E0A40">
        <w:t xml:space="preserve"> the final General Comment</w:t>
      </w:r>
      <w:r w:rsidR="001E1C99" w:rsidRPr="009E0A40">
        <w:t xml:space="preserve">. </w:t>
      </w:r>
      <w:r w:rsidR="001C473A" w:rsidRPr="009E0A40">
        <w:t>In addition to the right to health, t</w:t>
      </w:r>
      <w:r w:rsidR="001E1C99" w:rsidRPr="009E0A40">
        <w:t>his topic is linked to</w:t>
      </w:r>
      <w:r w:rsidR="00E074A6" w:rsidRPr="009E0A40">
        <w:t xml:space="preserve"> </w:t>
      </w:r>
      <w:r w:rsidR="001E1C99" w:rsidRPr="009E0A40">
        <w:t>the right to information, the right to education</w:t>
      </w:r>
      <w:r w:rsidR="00CD7B14" w:rsidRPr="009E0A40">
        <w:t>, and the right to</w:t>
      </w:r>
      <w:r w:rsidR="003C7ECD" w:rsidRPr="009E0A40">
        <w:t xml:space="preserve"> participation</w:t>
      </w:r>
      <w:r w:rsidR="001E1C99" w:rsidRPr="009E0A40">
        <w:t xml:space="preserve">. </w:t>
      </w:r>
    </w:p>
    <w:p w14:paraId="0E3A76C3" w14:textId="01B85A86" w:rsidR="00092DED" w:rsidRPr="0098708A" w:rsidRDefault="00380D31" w:rsidP="009E0A40">
      <w:pPr>
        <w:rPr>
          <w:lang w:val="en-US"/>
        </w:rPr>
      </w:pPr>
      <w:r>
        <w:rPr>
          <w:lang w:val="en-US"/>
        </w:rPr>
        <w:t>Alt</w:t>
      </w:r>
      <w:r w:rsidR="009A669A">
        <w:rPr>
          <w:lang w:val="en-US"/>
        </w:rPr>
        <w:t xml:space="preserve">hough it is </w:t>
      </w:r>
      <w:r w:rsidR="00440DE6">
        <w:rPr>
          <w:lang w:val="en-US"/>
        </w:rPr>
        <w:t>clear</w:t>
      </w:r>
      <w:r w:rsidR="009A669A">
        <w:rPr>
          <w:lang w:val="en-US"/>
        </w:rPr>
        <w:t xml:space="preserve"> that </w:t>
      </w:r>
      <w:r w:rsidR="00256C03">
        <w:rPr>
          <w:lang w:val="en-US"/>
        </w:rPr>
        <w:t xml:space="preserve">environmental issues and </w:t>
      </w:r>
      <w:r w:rsidR="009A669A">
        <w:rPr>
          <w:lang w:val="en-US"/>
        </w:rPr>
        <w:t>climate chan</w:t>
      </w:r>
      <w:r w:rsidR="00CC2CC1">
        <w:rPr>
          <w:lang w:val="en-US"/>
        </w:rPr>
        <w:t>ge</w:t>
      </w:r>
      <w:r w:rsidR="009A669A">
        <w:rPr>
          <w:lang w:val="en-US"/>
        </w:rPr>
        <w:t xml:space="preserve"> can have detrimental effects on children’s mental health, t</w:t>
      </w:r>
      <w:r w:rsidR="009A669A" w:rsidRPr="009A669A">
        <w:rPr>
          <w:lang w:val="en-US"/>
        </w:rPr>
        <w:t xml:space="preserve">he precise effects </w:t>
      </w:r>
      <w:r w:rsidR="009A669A">
        <w:rPr>
          <w:lang w:val="en-US"/>
        </w:rPr>
        <w:t xml:space="preserve">and the best ways to counter them </w:t>
      </w:r>
      <w:r w:rsidR="009A669A" w:rsidRPr="004C0D3C">
        <w:rPr>
          <w:lang w:val="en-US"/>
        </w:rPr>
        <w:t xml:space="preserve">are not fully </w:t>
      </w:r>
      <w:r w:rsidR="002C569B" w:rsidRPr="004C0D3C">
        <w:rPr>
          <w:lang w:val="en-US"/>
        </w:rPr>
        <w:t>known</w:t>
      </w:r>
      <w:r w:rsidR="009A669A" w:rsidRPr="004C0D3C">
        <w:rPr>
          <w:lang w:val="en-US"/>
        </w:rPr>
        <w:t>.</w:t>
      </w:r>
      <w:r w:rsidR="00D86432" w:rsidRPr="004C0D3C">
        <w:rPr>
          <w:lang w:val="en-US"/>
        </w:rPr>
        <w:t xml:space="preserve"> </w:t>
      </w:r>
      <w:r w:rsidR="00814067" w:rsidRPr="004C0D3C">
        <w:rPr>
          <w:lang w:val="en-US"/>
        </w:rPr>
        <w:t xml:space="preserve">In </w:t>
      </w:r>
      <w:r w:rsidR="00814067">
        <w:rPr>
          <w:lang w:val="en-US"/>
        </w:rPr>
        <w:t>the Netherlands, and likely more countries, there is</w:t>
      </w:r>
      <w:r w:rsidR="0092599E">
        <w:rPr>
          <w:lang w:val="en-US"/>
        </w:rPr>
        <w:t xml:space="preserve"> currently insufficient knowledge on which (groups of) children are especially vulnerable to the mental health effects of </w:t>
      </w:r>
      <w:r w:rsidR="00256C03">
        <w:rPr>
          <w:lang w:val="en-US"/>
        </w:rPr>
        <w:t xml:space="preserve">environmental issues and </w:t>
      </w:r>
      <w:r w:rsidR="0092599E">
        <w:rPr>
          <w:lang w:val="en-US"/>
        </w:rPr>
        <w:t>climate chang</w:t>
      </w:r>
      <w:r w:rsidR="00C422F7">
        <w:rPr>
          <w:lang w:val="en-US"/>
        </w:rPr>
        <w:t>e</w:t>
      </w:r>
      <w:r w:rsidR="004C0D3C">
        <w:rPr>
          <w:lang w:val="en-US"/>
        </w:rPr>
        <w:t xml:space="preserve"> (see also</w:t>
      </w:r>
      <w:r w:rsidR="0001736A">
        <w:rPr>
          <w:lang w:val="en-US"/>
        </w:rPr>
        <w:t xml:space="preserve"> section 3.1</w:t>
      </w:r>
      <w:r w:rsidR="004C0D3C">
        <w:rPr>
          <w:lang w:val="en-US"/>
        </w:rPr>
        <w:t xml:space="preserve"> on differences within countries)</w:t>
      </w:r>
      <w:r w:rsidR="00C422F7">
        <w:rPr>
          <w:lang w:val="en-US"/>
        </w:rPr>
        <w:t xml:space="preserve">. </w:t>
      </w:r>
      <w:r w:rsidR="006419FA">
        <w:rPr>
          <w:lang w:val="en-US"/>
        </w:rPr>
        <w:t>Vulnerable children should receive</w:t>
      </w:r>
      <w:r w:rsidR="004C0D3C">
        <w:rPr>
          <w:lang w:val="en-US"/>
        </w:rPr>
        <w:t xml:space="preserve"> extra and specialised</w:t>
      </w:r>
      <w:r w:rsidR="006419FA" w:rsidRPr="00EC3CEB">
        <w:rPr>
          <w:color w:val="FF0000"/>
          <w:lang w:val="en-US"/>
        </w:rPr>
        <w:t xml:space="preserve"> </w:t>
      </w:r>
      <w:r w:rsidR="006419FA">
        <w:rPr>
          <w:lang w:val="en-US"/>
        </w:rPr>
        <w:t xml:space="preserve">protection. </w:t>
      </w:r>
      <w:r w:rsidR="001026A7" w:rsidRPr="003939F8">
        <w:rPr>
          <w:lang w:val="en-US"/>
        </w:rPr>
        <w:t xml:space="preserve">Governments should facilitate (country-specific) </w:t>
      </w:r>
      <w:r w:rsidR="003939F8" w:rsidRPr="003939F8">
        <w:rPr>
          <w:lang w:val="en-US"/>
        </w:rPr>
        <w:t>research to identify which groups of children are especially vulnerable and how their vulnerabilities can be addressed.</w:t>
      </w:r>
      <w:r w:rsidR="001026A7" w:rsidRPr="003939F8">
        <w:rPr>
          <w:lang w:val="en-US"/>
        </w:rPr>
        <w:t xml:space="preserve"> </w:t>
      </w:r>
      <w:r w:rsidR="00F615FA" w:rsidRPr="003939F8">
        <w:rPr>
          <w:lang w:val="en-US"/>
        </w:rPr>
        <w:t>Governmen</w:t>
      </w:r>
      <w:r w:rsidR="00F615FA">
        <w:rPr>
          <w:lang w:val="en-US"/>
        </w:rPr>
        <w:t>ts can benefit from this knowledge by applying it in their law- and policymaking</w:t>
      </w:r>
      <w:r w:rsidR="006419FA">
        <w:rPr>
          <w:lang w:val="en-US"/>
        </w:rPr>
        <w:t>.</w:t>
      </w:r>
      <w:r w:rsidR="004844BE">
        <w:rPr>
          <w:lang w:val="en-US"/>
        </w:rPr>
        <w:t xml:space="preserve"> We propose that a similar text to the above is added to paragraph 27 or 81.</w:t>
      </w:r>
    </w:p>
    <w:p w14:paraId="33B7C01A" w14:textId="77777777" w:rsidR="00C561FD" w:rsidRPr="0092599E" w:rsidRDefault="00C561FD" w:rsidP="009E0A40">
      <w:pPr>
        <w:rPr>
          <w:lang w:val="en-US"/>
        </w:rPr>
      </w:pPr>
    </w:p>
    <w:p w14:paraId="3D6DBCA6" w14:textId="6A7E954F" w:rsidR="0098708A" w:rsidRPr="003E3779" w:rsidRDefault="004A2DC1" w:rsidP="003E3779">
      <w:pPr>
        <w:pStyle w:val="Kop3"/>
        <w:rPr>
          <w:lang w:val="en-US"/>
        </w:rPr>
      </w:pPr>
      <w:bookmarkStart w:id="3" w:name="_Toc126753461"/>
      <w:r>
        <w:rPr>
          <w:lang w:val="en-US"/>
        </w:rPr>
        <w:t xml:space="preserve">2.2 </w:t>
      </w:r>
      <w:r w:rsidR="004844BE">
        <w:rPr>
          <w:lang w:val="en-US"/>
        </w:rPr>
        <w:t>Preventing harm</w:t>
      </w:r>
      <w:bookmarkEnd w:id="3"/>
    </w:p>
    <w:p w14:paraId="0C109A5F" w14:textId="067B2F4B" w:rsidR="000E51F0" w:rsidRDefault="00B57697" w:rsidP="009E0A40">
      <w:r>
        <w:t xml:space="preserve">In our opinion, the </w:t>
      </w:r>
      <w:r w:rsidR="00AE3D94">
        <w:t>General Comment should focus</w:t>
      </w:r>
      <w:r>
        <w:t xml:space="preserve"> on empowering children to </w:t>
      </w:r>
      <w:r w:rsidR="00A804FB">
        <w:t xml:space="preserve">adequately </w:t>
      </w:r>
      <w:r w:rsidR="00492817">
        <w:t>cope</w:t>
      </w:r>
      <w:r>
        <w:t xml:space="preserve"> with </w:t>
      </w:r>
      <w:r w:rsidRPr="00993518">
        <w:t xml:space="preserve">environmental issues and </w:t>
      </w:r>
      <w:r>
        <w:t>climate change to prevent harm to their mental wellbeing.</w:t>
      </w:r>
      <w:r w:rsidR="00286AE1">
        <w:t xml:space="preserve"> </w:t>
      </w:r>
      <w:r w:rsidR="000E51F0" w:rsidRPr="000E51F0">
        <w:t>We suggest to integrate the needs of children in relation to their mental wellbeing in paragraphs 33 and 86.</w:t>
      </w:r>
    </w:p>
    <w:p w14:paraId="1264F49B" w14:textId="7632A549" w:rsidR="00E35C89" w:rsidRDefault="00C82662" w:rsidP="009E0A40">
      <w:r>
        <w:t xml:space="preserve">The </w:t>
      </w:r>
      <w:r w:rsidR="00452804">
        <w:t>draft General Comment already</w:t>
      </w:r>
      <w:r>
        <w:t xml:space="preserve"> recommends that information and education be tailored to the age and capacities of children. We would like to add that it should also be tailored to</w:t>
      </w:r>
      <w:r w:rsidR="00385F02">
        <w:t xml:space="preserve"> the</w:t>
      </w:r>
      <w:r>
        <w:t xml:space="preserve"> developmental needs</w:t>
      </w:r>
      <w:r w:rsidR="00385F02">
        <w:t xml:space="preserve"> of </w:t>
      </w:r>
      <w:r w:rsidR="005D7C31">
        <w:t>each</w:t>
      </w:r>
      <w:r w:rsidR="00385F02">
        <w:t xml:space="preserve"> child. </w:t>
      </w:r>
      <w:r w:rsidR="00534E1F">
        <w:t>Similarly, w</w:t>
      </w:r>
      <w:r w:rsidR="00E35C89">
        <w:t xml:space="preserve">e propose to add to paragraph 33 that </w:t>
      </w:r>
      <w:r w:rsidR="001E5CAB">
        <w:t xml:space="preserve">school curricula should </w:t>
      </w:r>
      <w:r w:rsidR="00134B3F">
        <w:t xml:space="preserve">also </w:t>
      </w:r>
      <w:r w:rsidR="001E5CAB">
        <w:t>be tailored</w:t>
      </w:r>
      <w:r w:rsidR="00E35C89">
        <w:t xml:space="preserve"> to the </w:t>
      </w:r>
      <w:r w:rsidR="00951B29">
        <w:t xml:space="preserve">specific </w:t>
      </w:r>
      <w:r w:rsidR="00E35C89">
        <w:t>emotional context</w:t>
      </w:r>
      <w:r w:rsidR="005D7C31">
        <w:t xml:space="preserve">. </w:t>
      </w:r>
      <w:r w:rsidR="00E56723">
        <w:t>They</w:t>
      </w:r>
      <w:r w:rsidR="005D7C31">
        <w:t xml:space="preserve"> should facilitate and encourage social emotional learning</w:t>
      </w:r>
      <w:r w:rsidR="00A66968">
        <w:t>.</w:t>
      </w:r>
      <w:r w:rsidR="001B7820">
        <w:t xml:space="preserve"> </w:t>
      </w:r>
    </w:p>
    <w:p w14:paraId="0F69CB59" w14:textId="04BEA8A6" w:rsidR="000E51F0" w:rsidRDefault="000E51F0" w:rsidP="009E0A40">
      <w:r w:rsidRPr="000E51F0">
        <w:t>Environmental education</w:t>
      </w:r>
      <w:r w:rsidR="00AC086C">
        <w:t>, as discussed in paragraph 33,</w:t>
      </w:r>
      <w:r w:rsidRPr="000E51F0">
        <w:t xml:space="preserve"> should focus on giving children a toolkit for engaging with these issues, including</w:t>
      </w:r>
      <w:r w:rsidR="00305512">
        <w:t>,</w:t>
      </w:r>
      <w:r w:rsidRPr="000E51F0">
        <w:t xml:space="preserve"> but not limited to</w:t>
      </w:r>
      <w:r w:rsidR="00305512">
        <w:t>,</w:t>
      </w:r>
      <w:r w:rsidRPr="000E51F0">
        <w:t xml:space="preserve"> knowledge on modes of participation in environmental decision-making, dealing with polarising topics, remedies in case of rights violations, how to remain hopeful, and access to (psychological) health care. </w:t>
      </w:r>
    </w:p>
    <w:p w14:paraId="3353FF15" w14:textId="2C3142FD" w:rsidR="00795F8F" w:rsidRDefault="00F26F59" w:rsidP="009E0A40">
      <w:r w:rsidRPr="00F26F59">
        <w:t>The issue of mental wellbeing is related to the right to participation</w:t>
      </w:r>
      <w:r w:rsidR="00795F8F">
        <w:t>. E</w:t>
      </w:r>
      <w:r w:rsidRPr="00F26F59">
        <w:t xml:space="preserve">ffective participation can </w:t>
      </w:r>
      <w:r w:rsidR="00795F8F">
        <w:t xml:space="preserve">be a valuable tool for children’s empowerment and contribute to their mental wellbeing. </w:t>
      </w:r>
      <w:r w:rsidR="00A36049">
        <w:t>I</w:t>
      </w:r>
      <w:r w:rsidR="00795F8F">
        <w:t>neffective participation</w:t>
      </w:r>
      <w:r w:rsidR="00A36049">
        <w:t>, on the other hand,</w:t>
      </w:r>
      <w:r w:rsidR="00795F8F">
        <w:t xml:space="preserve"> poses a threat to mental wellbeing</w:t>
      </w:r>
      <w:r w:rsidR="00EA7A12">
        <w:t xml:space="preserve">. </w:t>
      </w:r>
      <w:r w:rsidR="00092DED" w:rsidRPr="00EA7A12">
        <w:t xml:space="preserve">In the Netherlands, children </w:t>
      </w:r>
      <w:r w:rsidR="00EA7A12" w:rsidRPr="00EA7A12">
        <w:t>report a sense of powerlessness</w:t>
      </w:r>
      <w:r w:rsidR="00E26948">
        <w:t xml:space="preserve"> due to a lack of or ineffective participation</w:t>
      </w:r>
      <w:r w:rsidR="00092DED" w:rsidRPr="00EA7A12">
        <w:t>, because governments and businesses have much more power than children</w:t>
      </w:r>
      <w:r w:rsidR="00EA7A12" w:rsidRPr="00EA7A12">
        <w:t xml:space="preserve"> in environmental decision-making</w:t>
      </w:r>
      <w:r w:rsidR="00092DED" w:rsidRPr="00EA7A12">
        <w:t>.</w:t>
      </w:r>
      <w:r w:rsidR="006860CE">
        <w:t xml:space="preserve"> </w:t>
      </w:r>
      <w:r w:rsidR="00092DED" w:rsidRPr="00EA7A12">
        <w:t xml:space="preserve">We suggest that the danger that this dynamic poses to the mental health of children, is recognised in the General Comment. </w:t>
      </w:r>
      <w:r w:rsidR="00526928">
        <w:t xml:space="preserve">We </w:t>
      </w:r>
      <w:r w:rsidR="006860CE">
        <w:t xml:space="preserve">further </w:t>
      </w:r>
      <w:r w:rsidR="00526928">
        <w:t>suggest a cross-reference</w:t>
      </w:r>
      <w:r w:rsidR="00F27ED7">
        <w:t xml:space="preserve"> to mental wellbeing</w:t>
      </w:r>
      <w:r w:rsidR="00526928">
        <w:t xml:space="preserve"> is made in paragraph 56 </w:t>
      </w:r>
      <w:r w:rsidR="00005219">
        <w:t>(</w:t>
      </w:r>
      <w:r w:rsidR="00526928">
        <w:t>right to be heard</w:t>
      </w:r>
      <w:r w:rsidR="00005219">
        <w:t>)</w:t>
      </w:r>
      <w:r w:rsidR="00526928">
        <w:t xml:space="preserve">. </w:t>
      </w:r>
      <w:r w:rsidR="00795F8F">
        <w:t xml:space="preserve">On the topic of (effective) participation, we further refer you to </w:t>
      </w:r>
      <w:r w:rsidR="00795F8F" w:rsidRPr="00F41088">
        <w:t xml:space="preserve">chapter </w:t>
      </w:r>
      <w:r w:rsidR="00F41088" w:rsidRPr="00F41088">
        <w:t>4</w:t>
      </w:r>
      <w:r w:rsidR="00795F8F" w:rsidRPr="00F41088">
        <w:t xml:space="preserve">. </w:t>
      </w:r>
    </w:p>
    <w:p w14:paraId="5887A27E" w14:textId="79DE1ED9" w:rsidR="0090016E" w:rsidRDefault="00B57697">
      <w:r>
        <w:lastRenderedPageBreak/>
        <w:t xml:space="preserve">For those children </w:t>
      </w:r>
      <w:r w:rsidR="009B1031">
        <w:t>who need it</w:t>
      </w:r>
      <w:r>
        <w:t>, s</w:t>
      </w:r>
      <w:r w:rsidR="006D7398">
        <w:t xml:space="preserve">tates (especially high-income states) have a responsibility to facilitate access to psychological </w:t>
      </w:r>
      <w:r w:rsidR="00ED4F56">
        <w:t xml:space="preserve">support </w:t>
      </w:r>
      <w:r w:rsidR="00ED2B11">
        <w:t>under article 24 of the CRC</w:t>
      </w:r>
      <w:r w:rsidR="006D7398">
        <w:t xml:space="preserve">. </w:t>
      </w:r>
      <w:r w:rsidR="004E02CF">
        <w:t xml:space="preserve">We suggest to </w:t>
      </w:r>
      <w:r w:rsidR="005D7C31">
        <w:t>explicitly mention empowerment and self-efficacy as key concepts to help children cope long-term</w:t>
      </w:r>
      <w:r w:rsidR="00EB6D01">
        <w:t xml:space="preserve"> in paragraph 69. </w:t>
      </w:r>
    </w:p>
    <w:p w14:paraId="58894A92" w14:textId="77777777" w:rsidR="0090016E" w:rsidRPr="0090016E" w:rsidRDefault="0090016E"/>
    <w:p w14:paraId="6ACC99D4" w14:textId="5245D013" w:rsidR="003143D8" w:rsidRDefault="00E052AF" w:rsidP="009E0A40">
      <w:pPr>
        <w:pStyle w:val="Kop2"/>
      </w:pPr>
      <w:bookmarkStart w:id="4" w:name="_Toc126753462"/>
      <w:r>
        <w:t>Responsibilities of governments and businesses</w:t>
      </w:r>
      <w:bookmarkEnd w:id="4"/>
    </w:p>
    <w:p w14:paraId="43DB3278" w14:textId="2298A02E" w:rsidR="00E57AE6" w:rsidRDefault="00E052AF" w:rsidP="009E0A40">
      <w:pPr>
        <w:rPr>
          <w:i/>
          <w:iCs/>
        </w:rPr>
      </w:pPr>
      <w:r w:rsidRPr="001E4CDE">
        <w:rPr>
          <w:i/>
          <w:iCs/>
        </w:rPr>
        <w:t xml:space="preserve">With a focus on </w:t>
      </w:r>
      <w:r w:rsidR="007278F3">
        <w:rPr>
          <w:i/>
          <w:iCs/>
        </w:rPr>
        <w:t xml:space="preserve">the additional accountability </w:t>
      </w:r>
      <w:r w:rsidRPr="001E4CDE">
        <w:rPr>
          <w:i/>
          <w:iCs/>
        </w:rPr>
        <w:t>of high-income states</w:t>
      </w:r>
      <w:r w:rsidR="007278F3">
        <w:rPr>
          <w:i/>
          <w:iCs/>
        </w:rPr>
        <w:t xml:space="preserve"> and businesses</w:t>
      </w:r>
      <w:r w:rsidR="00BF0272">
        <w:rPr>
          <w:i/>
          <w:iCs/>
        </w:rPr>
        <w:t xml:space="preserve"> </w:t>
      </w:r>
    </w:p>
    <w:p w14:paraId="5445D9C1" w14:textId="77777777" w:rsidR="0090016E" w:rsidRPr="006727B4" w:rsidRDefault="0090016E" w:rsidP="009E0A40">
      <w:pPr>
        <w:rPr>
          <w:i/>
          <w:iCs/>
        </w:rPr>
      </w:pPr>
    </w:p>
    <w:p w14:paraId="5756581C" w14:textId="710517FA" w:rsidR="002041D8" w:rsidRPr="002041D8" w:rsidRDefault="004A2DC1" w:rsidP="001E4CDE">
      <w:pPr>
        <w:pStyle w:val="Kop3"/>
      </w:pPr>
      <w:bookmarkStart w:id="5" w:name="_Toc126753463"/>
      <w:r>
        <w:t xml:space="preserve">3.1 </w:t>
      </w:r>
      <w:r w:rsidR="009277EA">
        <w:t>Responsibilities of the state</w:t>
      </w:r>
      <w:bookmarkEnd w:id="5"/>
    </w:p>
    <w:p w14:paraId="6BDB2151" w14:textId="0C823CEC" w:rsidR="00582B9F" w:rsidRDefault="00201184" w:rsidP="009E0A40">
      <w:r>
        <w:t>The draft General Comment accurately sets out the responsibilities of state parties in light of the CRC.</w:t>
      </w:r>
      <w:r w:rsidR="007711D9">
        <w:t xml:space="preserve"> We note with appreciation the attention paid to Child Rights Impact Assessments.</w:t>
      </w:r>
      <w:r>
        <w:t xml:space="preserve"> </w:t>
      </w:r>
      <w:r w:rsidR="002041D8">
        <w:t xml:space="preserve">However, we </w:t>
      </w:r>
      <w:r w:rsidR="0078724E">
        <w:t>propose</w:t>
      </w:r>
      <w:r w:rsidR="002041D8">
        <w:t xml:space="preserve"> to add a more precise description of the</w:t>
      </w:r>
      <w:r w:rsidR="00371A29">
        <w:t xml:space="preserve"> relevant</w:t>
      </w:r>
      <w:r w:rsidR="002041D8">
        <w:t xml:space="preserve"> accountability mechanisms</w:t>
      </w:r>
      <w:r w:rsidR="00CD4E62">
        <w:t xml:space="preserve">, </w:t>
      </w:r>
      <w:r w:rsidR="002041D8">
        <w:t>describ</w:t>
      </w:r>
      <w:r w:rsidR="00CD4E62">
        <w:t>ing</w:t>
      </w:r>
      <w:r w:rsidR="002041D8">
        <w:t xml:space="preserve"> how states should report on their responsibilities </w:t>
      </w:r>
      <w:r w:rsidR="007A3B3E">
        <w:t>relating</w:t>
      </w:r>
      <w:r w:rsidR="002041D8">
        <w:t xml:space="preserve"> to existing international law regarding the environment and climate change. </w:t>
      </w:r>
    </w:p>
    <w:p w14:paraId="46205311" w14:textId="37040129" w:rsidR="004404C1" w:rsidRDefault="00406EC9" w:rsidP="009E0A40">
      <w:r>
        <w:t xml:space="preserve">Writing from the perspective of a high-income state, we </w:t>
      </w:r>
      <w:r w:rsidR="004B034C">
        <w:t>propose to add</w:t>
      </w:r>
      <w:r>
        <w:t xml:space="preserve"> to chapter V-B (heightened obligations), the principle of differentiated responsibilities (as formulated in paragraph 94). </w:t>
      </w:r>
      <w:r w:rsidR="008808F2">
        <w:t>H</w:t>
      </w:r>
      <w:r>
        <w:t xml:space="preserve">igh-income states </w:t>
      </w:r>
      <w:r w:rsidR="00195DC2">
        <w:t xml:space="preserve">should </w:t>
      </w:r>
      <w:r>
        <w:t>have a heightened responsibility due to their historical responsibility for damage to the environment an</w:t>
      </w:r>
      <w:r w:rsidR="00486616">
        <w:t>d</w:t>
      </w:r>
      <w:r>
        <w:t xml:space="preserve"> climate</w:t>
      </w:r>
      <w:r w:rsidR="001E3D92">
        <w:t>. This responsibility consists of dedicating means to mitigation of climate change and to assist low- and middle income countries.</w:t>
      </w:r>
    </w:p>
    <w:p w14:paraId="3746CBD5" w14:textId="615717E3" w:rsidR="003557E5" w:rsidRDefault="004D1EC5" w:rsidP="009E0A40">
      <w:r>
        <w:t xml:space="preserve">In addition to differences between states, we propose to discuss inequalities </w:t>
      </w:r>
      <w:r w:rsidRPr="007E5034">
        <w:rPr>
          <w:i/>
          <w:iCs/>
        </w:rPr>
        <w:t>within</w:t>
      </w:r>
      <w:r>
        <w:t xml:space="preserve"> states in</w:t>
      </w:r>
      <w:r w:rsidR="006A30A1">
        <w:t xml:space="preserve"> paragraph 94-95</w:t>
      </w:r>
      <w:r>
        <w:t xml:space="preserve">. </w:t>
      </w:r>
      <w:r w:rsidR="004B05C9">
        <w:t>For example</w:t>
      </w:r>
      <w:r w:rsidR="00B265EA">
        <w:t>, there are significant differences in the standard of living between the European and Caribbean parts of the Netherlands</w:t>
      </w:r>
      <w:r w:rsidR="00A6624C">
        <w:t xml:space="preserve">, and some groups of </w:t>
      </w:r>
      <w:r w:rsidR="00A6624C" w:rsidRPr="009B1031">
        <w:t xml:space="preserve">children are more significantly </w:t>
      </w:r>
      <w:r w:rsidR="00A6624C">
        <w:t xml:space="preserve">impacted by the effects of environmental harm and climate change. </w:t>
      </w:r>
      <w:r w:rsidR="008414DE">
        <w:t xml:space="preserve">In our opinion, internal inequalities such as these bring about heightened obligations for the state to protect the more vulnerable groups. </w:t>
      </w:r>
      <w:r w:rsidR="009C24A3">
        <w:t xml:space="preserve">Moreover, </w:t>
      </w:r>
      <w:r w:rsidR="00256C03">
        <w:t xml:space="preserve">we </w:t>
      </w:r>
      <w:r w:rsidR="003557E5">
        <w:t xml:space="preserve">propose to refer specifically to </w:t>
      </w:r>
      <w:r w:rsidR="003557E5" w:rsidRPr="003557E5">
        <w:t>loss and damages</w:t>
      </w:r>
      <w:r w:rsidR="009C24A3">
        <w:t xml:space="preserve"> in paragraph 95</w:t>
      </w:r>
      <w:r w:rsidR="003557E5" w:rsidRPr="003557E5">
        <w:t>, reflecting the recent agreements of COP27.</w:t>
      </w:r>
    </w:p>
    <w:p w14:paraId="66949828" w14:textId="772B4FDE" w:rsidR="00E20A6A" w:rsidRDefault="0090443A" w:rsidP="009E0A40">
      <w:r>
        <w:t>More generally, w</w:t>
      </w:r>
      <w:r w:rsidR="00B166AD" w:rsidRPr="00B166AD">
        <w:t xml:space="preserve">e propose to broaden chapter V-G (International cooperation) to include international environmental challenges, such as the preservation and recovery of biodiversity, forests, water and maritime life, rather than only climate change. Recovery is important in addition to preservation, as it helps (future) children to re-establish their relationship with nature and reap the benefits of a healthy environment. </w:t>
      </w:r>
    </w:p>
    <w:p w14:paraId="7397BF17" w14:textId="3A257E35" w:rsidR="00586C83" w:rsidRDefault="006D5FEC" w:rsidP="009E0A40">
      <w:r w:rsidRPr="006D5FEC">
        <w:t>To strengthen and clarify the obligations of states set out in the General Comment, we</w:t>
      </w:r>
      <w:r w:rsidR="007B2273">
        <w:t xml:space="preserve"> further</w:t>
      </w:r>
      <w:r w:rsidRPr="006D5FEC">
        <w:t xml:space="preserve"> propose to</w:t>
      </w:r>
      <w:r w:rsidR="00586C83">
        <w:t>:</w:t>
      </w:r>
    </w:p>
    <w:p w14:paraId="0947F9F2" w14:textId="4C34E043" w:rsidR="00586C83" w:rsidRDefault="00586C83" w:rsidP="00586C83">
      <w:pPr>
        <w:pStyle w:val="Lijstalinea"/>
        <w:numPr>
          <w:ilvl w:val="0"/>
          <w:numId w:val="35"/>
        </w:numPr>
      </w:pPr>
      <w:r>
        <w:t>C</w:t>
      </w:r>
      <w:r w:rsidR="006D5FEC" w:rsidRPr="006D5FEC">
        <w:t>hange the wording of paragraph 100 to more specifically refer to the need for a just transition</w:t>
      </w:r>
      <w:r w:rsidR="00EB3C0D">
        <w:t>.</w:t>
      </w:r>
    </w:p>
    <w:p w14:paraId="04D7631D" w14:textId="75A938D0" w:rsidR="00127AA4" w:rsidRDefault="00586C83" w:rsidP="00586C83">
      <w:pPr>
        <w:pStyle w:val="Lijstalinea"/>
        <w:numPr>
          <w:ilvl w:val="0"/>
          <w:numId w:val="35"/>
        </w:numPr>
      </w:pPr>
      <w:r>
        <w:t xml:space="preserve">Describe </w:t>
      </w:r>
      <w:r w:rsidR="00C962FD">
        <w:t>in more detail the</w:t>
      </w:r>
      <w:r>
        <w:t xml:space="preserve"> obligations relating to ground pollution and the issuance of toxic materials in chapter IV</w:t>
      </w:r>
      <w:r w:rsidR="00EB3C0D">
        <w:t>.</w:t>
      </w:r>
    </w:p>
    <w:p w14:paraId="27E49046" w14:textId="5601FC1E" w:rsidR="006D5FEC" w:rsidRDefault="00127AA4" w:rsidP="00586C83">
      <w:pPr>
        <w:pStyle w:val="Lijstalinea"/>
        <w:numPr>
          <w:ilvl w:val="0"/>
          <w:numId w:val="35"/>
        </w:numPr>
      </w:pPr>
      <w:r>
        <w:t>U</w:t>
      </w:r>
      <w:r w:rsidR="006D5FEC" w:rsidRPr="006D5FEC">
        <w:t xml:space="preserve">se a stronger wording in paragraph 118, such as: </w:t>
      </w:r>
      <w:r w:rsidR="006D5FEC" w:rsidRPr="00586C83">
        <w:rPr>
          <w:lang w:val="en-US"/>
        </w:rPr>
        <w:t>“States should ensure that their obligations under trade and investment agreements do no contradict their obligations under the Convention.”</w:t>
      </w:r>
    </w:p>
    <w:p w14:paraId="19817F91" w14:textId="77777777" w:rsidR="006727B4" w:rsidRDefault="006727B4" w:rsidP="006727B4"/>
    <w:p w14:paraId="74C89D4E" w14:textId="01E5C40E" w:rsidR="006727B4" w:rsidRPr="006727B4" w:rsidRDefault="004A2DC1" w:rsidP="0098554F">
      <w:pPr>
        <w:pStyle w:val="Kop3"/>
      </w:pPr>
      <w:bookmarkStart w:id="6" w:name="_Toc126753464"/>
      <w:r>
        <w:t xml:space="preserve">3.2 </w:t>
      </w:r>
      <w:r w:rsidR="006727B4">
        <w:t>State responsibilities regarding the business sector</w:t>
      </w:r>
      <w:bookmarkEnd w:id="6"/>
    </w:p>
    <w:p w14:paraId="11F25CAC" w14:textId="771A87E1" w:rsidR="00B3683B" w:rsidRDefault="007D1545" w:rsidP="006727B4">
      <w:r w:rsidRPr="000A7968">
        <w:t xml:space="preserve">Although businesses have their own independent responsibilities with respect to the environment (see </w:t>
      </w:r>
      <w:r w:rsidR="002919CC" w:rsidRPr="000A7968">
        <w:t>sect</w:t>
      </w:r>
      <w:r w:rsidR="000A7968" w:rsidRPr="000A7968">
        <w:t>i</w:t>
      </w:r>
      <w:r w:rsidR="002919CC" w:rsidRPr="000A7968">
        <w:t>o</w:t>
      </w:r>
      <w:r w:rsidR="000A7968" w:rsidRPr="000A7968">
        <w:t>n 3.3</w:t>
      </w:r>
      <w:r w:rsidRPr="000A7968">
        <w:t>)</w:t>
      </w:r>
      <w:r w:rsidR="006126EF" w:rsidRPr="000A7968">
        <w:t>, states</w:t>
      </w:r>
      <w:r w:rsidR="006126EF">
        <w:t xml:space="preserve"> should also play a role in holding businesses accountable. </w:t>
      </w:r>
      <w:r w:rsidR="00C24D0B">
        <w:t>I</w:t>
      </w:r>
      <w:r w:rsidR="00B166AD">
        <w:t>n paragraph 81, we propose to add reference to the responsibility of states to collect data on, monitor, and provide insight into the activities of businesses that harm the environment.</w:t>
      </w:r>
      <w:r w:rsidR="00B3683B">
        <w:t xml:space="preserve"> </w:t>
      </w:r>
    </w:p>
    <w:p w14:paraId="09CFB35B" w14:textId="2D3E8281" w:rsidR="006727B4" w:rsidRPr="006727B4" w:rsidRDefault="006727B4" w:rsidP="006727B4">
      <w:r w:rsidRPr="006727B4">
        <w:lastRenderedPageBreak/>
        <w:t xml:space="preserve">Moreover, we suggest to mention that states should </w:t>
      </w:r>
      <w:r w:rsidR="00E91874">
        <w:t>consider making</w:t>
      </w:r>
      <w:r w:rsidRPr="006727B4">
        <w:t xml:space="preserve"> sustainable choices more financially attractive for companies and consumers. As an example, the Netherlands </w:t>
      </w:r>
      <w:r w:rsidR="00C83A2A">
        <w:t xml:space="preserve">currently has the undesirable situation that the </w:t>
      </w:r>
      <w:r w:rsidRPr="006727B4">
        <w:t xml:space="preserve">use of gas and energy becomes cheaper </w:t>
      </w:r>
      <w:r w:rsidR="00577C34">
        <w:t>as</w:t>
      </w:r>
      <w:r w:rsidRPr="006727B4">
        <w:t xml:space="preserve"> </w:t>
      </w:r>
      <w:r w:rsidR="00EC5C7C">
        <w:t>more is used</w:t>
      </w:r>
      <w:r w:rsidRPr="006727B4">
        <w:t xml:space="preserve">. </w:t>
      </w:r>
    </w:p>
    <w:p w14:paraId="1FCABEFC" w14:textId="400D9F31" w:rsidR="002041D8" w:rsidRDefault="002041D8" w:rsidP="009E0A40"/>
    <w:p w14:paraId="65A0E5E1" w14:textId="33907603" w:rsidR="002041D8" w:rsidRDefault="004A2DC1" w:rsidP="001E4CDE">
      <w:pPr>
        <w:pStyle w:val="Kop3"/>
      </w:pPr>
      <w:bookmarkStart w:id="7" w:name="_Toc126753465"/>
      <w:r>
        <w:t xml:space="preserve">3.3 </w:t>
      </w:r>
      <w:r w:rsidR="006727B4">
        <w:t>Responsibilities of the business sector</w:t>
      </w:r>
      <w:bookmarkEnd w:id="7"/>
    </w:p>
    <w:p w14:paraId="53147668" w14:textId="471817DA" w:rsidR="00607248" w:rsidRDefault="00607248" w:rsidP="009E0A40">
      <w:pPr>
        <w:rPr>
          <w:lang w:val="en-US"/>
        </w:rPr>
      </w:pPr>
      <w:r>
        <w:t xml:space="preserve">We suggest that </w:t>
      </w:r>
      <w:r w:rsidR="00BA434C">
        <w:t xml:space="preserve">the </w:t>
      </w:r>
      <w:r>
        <w:t xml:space="preserve">final </w:t>
      </w:r>
      <w:r w:rsidR="00BA434C">
        <w:t xml:space="preserve">General Comment should </w:t>
      </w:r>
      <w:r>
        <w:t xml:space="preserve">more explicitly </w:t>
      </w:r>
      <w:r w:rsidR="00BA434C">
        <w:t xml:space="preserve">assert accountability for the business sector. We propose to add the following sentence: </w:t>
      </w:r>
      <w:r w:rsidR="001A433E" w:rsidRPr="00201184">
        <w:rPr>
          <w:lang w:val="en-US"/>
        </w:rPr>
        <w:t>“States should hold business sectors accountable for their responsibilities in line with the Convention.”</w:t>
      </w:r>
      <w:r w:rsidR="001A433E">
        <w:rPr>
          <w:lang w:val="en-US"/>
        </w:rPr>
        <w:t xml:space="preserve"> </w:t>
      </w:r>
      <w:r>
        <w:rPr>
          <w:lang w:val="en-US"/>
        </w:rPr>
        <w:t xml:space="preserve">To ensure that states and businesses are given concrete tools, we </w:t>
      </w:r>
      <w:r w:rsidR="00BE08F9">
        <w:rPr>
          <w:lang w:val="en-US"/>
        </w:rPr>
        <w:t>suggest</w:t>
      </w:r>
      <w:r>
        <w:rPr>
          <w:lang w:val="en-US"/>
        </w:rPr>
        <w:t xml:space="preserve"> that a non-exhaustive description of means available for establishing accountability should follow. </w:t>
      </w:r>
      <w:r w:rsidR="009969FE">
        <w:rPr>
          <w:lang w:val="en-US"/>
        </w:rPr>
        <w:t xml:space="preserve">This can aid states and businesses alike to translate the General Comment into concrete policies and national law. </w:t>
      </w:r>
    </w:p>
    <w:p w14:paraId="6A26D03E" w14:textId="1DBC5898" w:rsidR="00E3065D" w:rsidRDefault="00607248" w:rsidP="009E0A40">
      <w:pPr>
        <w:rPr>
          <w:lang w:val="en-US"/>
        </w:rPr>
      </w:pPr>
      <w:r>
        <w:rPr>
          <w:lang w:val="en-US"/>
        </w:rPr>
        <w:t>As a good example of a business being held accountable for its impact on the environment</w:t>
      </w:r>
      <w:r w:rsidR="00E8458C">
        <w:rPr>
          <w:lang w:val="en-US"/>
        </w:rPr>
        <w:t>, we refer to the Dutch case Milieudefensie v. Shell</w:t>
      </w:r>
      <w:r>
        <w:rPr>
          <w:lang w:val="en-US"/>
        </w:rPr>
        <w:t>.</w:t>
      </w:r>
      <w:r w:rsidR="002C569B">
        <w:rPr>
          <w:rStyle w:val="Voetnootmarkering"/>
          <w:lang w:val="en-US"/>
        </w:rPr>
        <w:footnoteReference w:id="2"/>
      </w:r>
      <w:r>
        <w:rPr>
          <w:lang w:val="en-US"/>
        </w:rPr>
        <w:t xml:space="preserve"> </w:t>
      </w:r>
      <w:r w:rsidR="00E3065D">
        <w:rPr>
          <w:lang w:val="en-US"/>
        </w:rPr>
        <w:t xml:space="preserve">In this case, argued inter alia on the basis of international human rights obligations, a duty of care for businesses to comply with international environmental standards is confirmed, existing independently from the obligations of the state to hold businesses accountable. </w:t>
      </w:r>
      <w:r w:rsidR="00AB7DF8">
        <w:rPr>
          <w:lang w:val="en-US"/>
        </w:rPr>
        <w:t xml:space="preserve">In our opinion, this case provides a good example </w:t>
      </w:r>
      <w:r w:rsidR="007A2726">
        <w:rPr>
          <w:lang w:val="en-US"/>
        </w:rPr>
        <w:t>of</w:t>
      </w:r>
      <w:r w:rsidR="00AB7DF8">
        <w:rPr>
          <w:lang w:val="en-US"/>
        </w:rPr>
        <w:t xml:space="preserve"> how human rights documents, such as the upcoming General Comment, can contribute to reali</w:t>
      </w:r>
      <w:r w:rsidR="003C7143">
        <w:rPr>
          <w:lang w:val="en-US"/>
        </w:rPr>
        <w:t>s</w:t>
      </w:r>
      <w:r w:rsidR="00AB7DF8">
        <w:rPr>
          <w:lang w:val="en-US"/>
        </w:rPr>
        <w:t>ing</w:t>
      </w:r>
      <w:r w:rsidR="001913AD">
        <w:rPr>
          <w:lang w:val="en-US"/>
        </w:rPr>
        <w:t xml:space="preserve"> business</w:t>
      </w:r>
      <w:r w:rsidR="00AB7DF8">
        <w:rPr>
          <w:lang w:val="en-US"/>
        </w:rPr>
        <w:t xml:space="preserve"> accountability. </w:t>
      </w:r>
    </w:p>
    <w:p w14:paraId="1D14E4CB" w14:textId="2E381692" w:rsidR="00512A49" w:rsidRDefault="00124A8F" w:rsidP="009E0A40">
      <w:pPr>
        <w:rPr>
          <w:lang w:val="en-US"/>
        </w:rPr>
      </w:pPr>
      <w:r>
        <w:rPr>
          <w:lang w:val="en-US"/>
        </w:rPr>
        <w:t>As mentioned in paragraph 92 of the draft General Comment</w:t>
      </w:r>
      <w:r w:rsidR="00BB5D40">
        <w:rPr>
          <w:lang w:val="en-US"/>
        </w:rPr>
        <w:t>,</w:t>
      </w:r>
      <w:r w:rsidR="00512A49">
        <w:rPr>
          <w:lang w:val="en-US"/>
        </w:rPr>
        <w:t xml:space="preserve"> these responsibilities should apply broadly to the entire </w:t>
      </w:r>
      <w:r w:rsidR="00115ACC">
        <w:rPr>
          <w:lang w:val="en-US"/>
        </w:rPr>
        <w:t>supply</w:t>
      </w:r>
      <w:r w:rsidR="00512A49">
        <w:rPr>
          <w:lang w:val="en-US"/>
        </w:rPr>
        <w:t xml:space="preserve"> chain</w:t>
      </w:r>
      <w:r w:rsidR="00115ACC">
        <w:rPr>
          <w:lang w:val="en-US"/>
        </w:rPr>
        <w:t xml:space="preserve">. We suggest </w:t>
      </w:r>
      <w:r>
        <w:rPr>
          <w:lang w:val="en-US"/>
        </w:rPr>
        <w:t>to make more explicit that this includes international activities.</w:t>
      </w:r>
    </w:p>
    <w:p w14:paraId="4ABEAA3B" w14:textId="7DE28A02" w:rsidR="00201184" w:rsidRPr="00950011" w:rsidRDefault="00C66846" w:rsidP="009E0A40">
      <w:pPr>
        <w:rPr>
          <w:lang w:val="en-US"/>
        </w:rPr>
      </w:pPr>
      <w:r>
        <w:rPr>
          <w:lang w:val="en-US"/>
        </w:rPr>
        <w:t>Under General Comment no. 16 to the CRC, businesses also have a</w:t>
      </w:r>
      <w:r w:rsidR="00931B9B">
        <w:rPr>
          <w:lang w:val="en-US"/>
        </w:rPr>
        <w:t xml:space="preserve">n obligation </w:t>
      </w:r>
      <w:r>
        <w:rPr>
          <w:lang w:val="en-US"/>
        </w:rPr>
        <w:t>to “seek the views of children and consider them in decisions that affect them”</w:t>
      </w:r>
      <w:r w:rsidR="0029460F">
        <w:rPr>
          <w:lang w:val="en-US"/>
        </w:rPr>
        <w:t xml:space="preserve"> (paragraph 23).</w:t>
      </w:r>
      <w:r>
        <w:rPr>
          <w:lang w:val="en-US"/>
        </w:rPr>
        <w:t xml:space="preserve"> We propose to add this reference to General Comment no. 26. On child and youth participation, we further refer you to </w:t>
      </w:r>
      <w:r w:rsidRPr="00625579">
        <w:rPr>
          <w:lang w:val="en-US"/>
        </w:rPr>
        <w:t xml:space="preserve">chapter </w:t>
      </w:r>
      <w:r w:rsidR="00F41088" w:rsidRPr="00625579">
        <w:rPr>
          <w:lang w:val="en-US"/>
        </w:rPr>
        <w:t>4</w:t>
      </w:r>
      <w:r w:rsidRPr="00625579">
        <w:rPr>
          <w:lang w:val="en-US"/>
        </w:rPr>
        <w:t xml:space="preserve"> of th</w:t>
      </w:r>
      <w:r>
        <w:rPr>
          <w:lang w:val="en-US"/>
        </w:rPr>
        <w:t xml:space="preserve">is submission. </w:t>
      </w:r>
    </w:p>
    <w:p w14:paraId="7502BF10" w14:textId="66719DDA" w:rsidR="00315E77" w:rsidRPr="00950011" w:rsidRDefault="00315E77" w:rsidP="009E0A40">
      <w:pPr>
        <w:rPr>
          <w:lang w:val="en-US"/>
        </w:rPr>
      </w:pPr>
    </w:p>
    <w:p w14:paraId="77732B32" w14:textId="45BF21BF" w:rsidR="00315E77" w:rsidRDefault="00315E77" w:rsidP="009E0A40">
      <w:pPr>
        <w:pStyle w:val="Kop2"/>
      </w:pPr>
      <w:bookmarkStart w:id="8" w:name="_Toc126753466"/>
      <w:r>
        <w:t>Child and youth participation in environmental issues</w:t>
      </w:r>
      <w:bookmarkEnd w:id="8"/>
    </w:p>
    <w:p w14:paraId="3009C800" w14:textId="67EAA243" w:rsidR="00322486" w:rsidRDefault="00ED7CC3" w:rsidP="0068077A">
      <w:pPr>
        <w:rPr>
          <w:i/>
          <w:iCs/>
        </w:rPr>
      </w:pPr>
      <w:r w:rsidRPr="00887771">
        <w:rPr>
          <w:i/>
          <w:iCs/>
        </w:rPr>
        <w:t>With a focus on effective remedies</w:t>
      </w:r>
    </w:p>
    <w:p w14:paraId="2F5FDBDA" w14:textId="77777777" w:rsidR="0068077A" w:rsidRPr="0068077A" w:rsidRDefault="0068077A" w:rsidP="0068077A">
      <w:pPr>
        <w:rPr>
          <w:i/>
          <w:iCs/>
        </w:rPr>
      </w:pPr>
    </w:p>
    <w:p w14:paraId="3CACE675" w14:textId="1AA92C5E" w:rsidR="008F0BD0" w:rsidRPr="009B0017" w:rsidRDefault="005D2122" w:rsidP="009B0017">
      <w:pPr>
        <w:pStyle w:val="Kop3"/>
      </w:pPr>
      <w:bookmarkStart w:id="9" w:name="_Toc126753467"/>
      <w:r>
        <w:t xml:space="preserve">4.1 </w:t>
      </w:r>
      <w:r w:rsidR="008F0BD0" w:rsidRPr="009B0017">
        <w:t>Child and youth participation</w:t>
      </w:r>
      <w:bookmarkEnd w:id="9"/>
    </w:p>
    <w:p w14:paraId="00CBB074" w14:textId="04D92955" w:rsidR="00534BD9" w:rsidRDefault="008F0BD0" w:rsidP="009E0A40">
      <w:r>
        <w:t xml:space="preserve">We appreciate that the draft General Comment </w:t>
      </w:r>
      <w:r w:rsidR="00882162">
        <w:t xml:space="preserve">emphasises the right of children to </w:t>
      </w:r>
      <w:r w:rsidR="00534BD9">
        <w:t>be heard</w:t>
      </w:r>
      <w:r>
        <w:t xml:space="preserve"> in environmental issues. </w:t>
      </w:r>
      <w:r w:rsidR="00387A04">
        <w:t xml:space="preserve">Due to the grave importance of this topic and its many links with other </w:t>
      </w:r>
      <w:r w:rsidR="00534BD9">
        <w:t xml:space="preserve">children’s </w:t>
      </w:r>
      <w:r w:rsidR="00387A04">
        <w:t xml:space="preserve">rights, we </w:t>
      </w:r>
      <w:r w:rsidR="00877059">
        <w:t>ask</w:t>
      </w:r>
      <w:r w:rsidR="00387A04">
        <w:t xml:space="preserve"> you to consider the following points relating to clarifications of the </w:t>
      </w:r>
      <w:r w:rsidR="00052836">
        <w:t>content and scope of the right</w:t>
      </w:r>
      <w:r w:rsidR="00387A04">
        <w:t xml:space="preserve">. </w:t>
      </w:r>
    </w:p>
    <w:p w14:paraId="4649EB50" w14:textId="7B052F25" w:rsidR="00534BD9" w:rsidRDefault="00CF4345" w:rsidP="009E0A40">
      <w:r>
        <w:t>In c</w:t>
      </w:r>
      <w:r w:rsidR="00534BD9">
        <w:t>hapter III-I:</w:t>
      </w:r>
    </w:p>
    <w:p w14:paraId="020F4BBC" w14:textId="63E151C4" w:rsidR="00534BD9" w:rsidRDefault="00534BD9" w:rsidP="00534BD9">
      <w:pPr>
        <w:pStyle w:val="Lijstalinea"/>
        <w:numPr>
          <w:ilvl w:val="0"/>
          <w:numId w:val="41"/>
        </w:numPr>
        <w:spacing w:after="0" w:line="240" w:lineRule="auto"/>
        <w:rPr>
          <w:lang w:val="en-US"/>
        </w:rPr>
      </w:pPr>
      <w:r w:rsidRPr="002858BF">
        <w:rPr>
          <w:lang w:val="en-US"/>
        </w:rPr>
        <w:t xml:space="preserve">We suggest expressing more explicitly that the right to be heard applies in the context of </w:t>
      </w:r>
      <w:r>
        <w:rPr>
          <w:lang w:val="en-US"/>
        </w:rPr>
        <w:t xml:space="preserve">both </w:t>
      </w:r>
      <w:r w:rsidRPr="002858BF">
        <w:rPr>
          <w:lang w:val="en-US"/>
        </w:rPr>
        <w:t xml:space="preserve">the right to a clean, healthy and sustainable environment (IV) and climate change (VI). </w:t>
      </w:r>
    </w:p>
    <w:p w14:paraId="34B8CF14" w14:textId="54FE9DA7" w:rsidR="0010495C" w:rsidRPr="002858BF" w:rsidRDefault="0090016E" w:rsidP="0010495C">
      <w:pPr>
        <w:pStyle w:val="Lijstalinea"/>
        <w:numPr>
          <w:ilvl w:val="0"/>
          <w:numId w:val="41"/>
        </w:numPr>
        <w:spacing w:after="0" w:line="240" w:lineRule="auto"/>
        <w:rPr>
          <w:lang w:val="en-US"/>
        </w:rPr>
      </w:pPr>
      <w:r>
        <w:rPr>
          <w:lang w:val="en-US"/>
        </w:rPr>
        <w:t>W</w:t>
      </w:r>
      <w:r w:rsidR="0010495C" w:rsidRPr="002858BF">
        <w:rPr>
          <w:lang w:val="en-US"/>
        </w:rPr>
        <w:t xml:space="preserve">e </w:t>
      </w:r>
      <w:r w:rsidR="00987DEB">
        <w:rPr>
          <w:lang w:val="en-US"/>
        </w:rPr>
        <w:t xml:space="preserve">moreover </w:t>
      </w:r>
      <w:r w:rsidR="0010495C" w:rsidRPr="002858BF">
        <w:rPr>
          <w:lang w:val="en-US"/>
        </w:rPr>
        <w:t xml:space="preserve">suggest expressing more explicitly that the right to be heard applies in the context </w:t>
      </w:r>
      <w:r w:rsidR="0010495C">
        <w:rPr>
          <w:lang w:val="en-US"/>
        </w:rPr>
        <w:t>of C</w:t>
      </w:r>
      <w:r w:rsidR="0010495C" w:rsidRPr="00706D6E">
        <w:rPr>
          <w:lang w:val="en-US"/>
        </w:rPr>
        <w:t xml:space="preserve">hapter VI-C (Mitigation), VI-D (Business) and when referring to </w:t>
      </w:r>
      <w:r w:rsidR="0010495C">
        <w:rPr>
          <w:lang w:val="en-US"/>
        </w:rPr>
        <w:t>‘</w:t>
      </w:r>
      <w:r w:rsidR="0010495C" w:rsidRPr="00706D6E">
        <w:rPr>
          <w:lang w:val="en-US"/>
        </w:rPr>
        <w:t>loss and damage</w:t>
      </w:r>
      <w:r w:rsidR="0010495C">
        <w:rPr>
          <w:lang w:val="en-US"/>
        </w:rPr>
        <w:t xml:space="preserve">’. </w:t>
      </w:r>
    </w:p>
    <w:p w14:paraId="71FE04E3" w14:textId="423ECEB6" w:rsidR="00526928" w:rsidRPr="001538C9" w:rsidRDefault="00BD4726" w:rsidP="001538C9">
      <w:pPr>
        <w:pStyle w:val="Lijstalinea"/>
        <w:numPr>
          <w:ilvl w:val="0"/>
          <w:numId w:val="41"/>
        </w:numPr>
      </w:pPr>
      <w:r w:rsidRPr="001538C9">
        <w:rPr>
          <w:lang w:val="en-US"/>
        </w:rPr>
        <w:t>Consider addressing that, if participation is to be effective and meaningful, children need to be supported and adequately prepared. Children should be provided with the necessary knowledge and tools enabling them to participate in environmental decision-making</w:t>
      </w:r>
      <w:r w:rsidR="0010495C">
        <w:t>, if that suits the child’s developmental wishes and needs (see section 2.2)</w:t>
      </w:r>
      <w:r w:rsidR="002E085F">
        <w:t>.</w:t>
      </w:r>
      <w:r w:rsidR="00027245">
        <w:t xml:space="preserve"> </w:t>
      </w:r>
    </w:p>
    <w:p w14:paraId="2F876FBD" w14:textId="0291DB4A" w:rsidR="001538C9" w:rsidRPr="001538C9" w:rsidRDefault="001538C9" w:rsidP="001538C9">
      <w:pPr>
        <w:pStyle w:val="Lijstalinea"/>
        <w:numPr>
          <w:ilvl w:val="0"/>
          <w:numId w:val="41"/>
        </w:numPr>
        <w:rPr>
          <w:lang w:val="en-US"/>
        </w:rPr>
      </w:pPr>
      <w:r w:rsidRPr="001538C9">
        <w:rPr>
          <w:lang w:val="en-US"/>
        </w:rPr>
        <w:lastRenderedPageBreak/>
        <w:t xml:space="preserve">We recommend adding the need </w:t>
      </w:r>
      <w:r w:rsidR="00193496">
        <w:rPr>
          <w:lang w:val="en-US"/>
        </w:rPr>
        <w:t xml:space="preserve">to connect </w:t>
      </w:r>
      <w:r w:rsidRPr="001538C9">
        <w:rPr>
          <w:lang w:val="en-US"/>
        </w:rPr>
        <w:t>children, especially in cities, to nature as a prerequisite for meaningful and effective participation.</w:t>
      </w:r>
    </w:p>
    <w:p w14:paraId="3E99377C" w14:textId="1A1C58F3" w:rsidR="00BD4726" w:rsidRPr="00603E62" w:rsidRDefault="001538C9" w:rsidP="001538C9">
      <w:pPr>
        <w:pStyle w:val="Lijstalinea"/>
        <w:numPr>
          <w:ilvl w:val="0"/>
          <w:numId w:val="41"/>
        </w:numPr>
        <w:spacing w:after="0" w:line="240" w:lineRule="auto"/>
        <w:rPr>
          <w:lang w:val="en-US"/>
        </w:rPr>
      </w:pPr>
      <w:r>
        <w:rPr>
          <w:lang w:val="en-US"/>
        </w:rPr>
        <w:t>A</w:t>
      </w:r>
      <w:r w:rsidRPr="00A20D8C">
        <w:rPr>
          <w:lang w:val="en-US"/>
        </w:rPr>
        <w:t>wareness and knowledge of children’s rights is specifically important in reali</w:t>
      </w:r>
      <w:r w:rsidR="00FA5755">
        <w:rPr>
          <w:lang w:val="en-US"/>
        </w:rPr>
        <w:t>si</w:t>
      </w:r>
      <w:r w:rsidRPr="00A20D8C">
        <w:rPr>
          <w:lang w:val="en-US"/>
        </w:rPr>
        <w:t>ng meaningful and effective participation, not in the least for environmental human rights defenders. We recommend referring specifically to children’s rights education, rather than human rights education in general</w:t>
      </w:r>
      <w:r>
        <w:rPr>
          <w:lang w:val="en-US"/>
        </w:rPr>
        <w:t xml:space="preserve"> in chapter </w:t>
      </w:r>
      <w:r w:rsidRPr="00706D6E">
        <w:rPr>
          <w:lang w:val="en-US"/>
        </w:rPr>
        <w:t>III-C</w:t>
      </w:r>
      <w:r>
        <w:rPr>
          <w:lang w:val="en-US"/>
        </w:rPr>
        <w:t xml:space="preserve"> </w:t>
      </w:r>
      <w:r w:rsidRPr="00706D6E">
        <w:rPr>
          <w:lang w:val="en-US"/>
        </w:rPr>
        <w:t>and III-J</w:t>
      </w:r>
      <w:r>
        <w:rPr>
          <w:lang w:val="en-US"/>
        </w:rPr>
        <w:t xml:space="preserve">. </w:t>
      </w:r>
    </w:p>
    <w:p w14:paraId="7606708A" w14:textId="77777777" w:rsidR="00E91024" w:rsidRDefault="00E91024" w:rsidP="001538C9">
      <w:pPr>
        <w:spacing w:after="0" w:line="240" w:lineRule="auto"/>
        <w:rPr>
          <w:lang w:val="en-US"/>
        </w:rPr>
      </w:pPr>
    </w:p>
    <w:p w14:paraId="69F063FC" w14:textId="33BD08C6" w:rsidR="001538C9" w:rsidRDefault="001538C9" w:rsidP="001538C9">
      <w:pPr>
        <w:spacing w:after="0" w:line="240" w:lineRule="auto"/>
        <w:rPr>
          <w:lang w:val="en-US"/>
        </w:rPr>
      </w:pPr>
      <w:r>
        <w:rPr>
          <w:lang w:val="en-US"/>
        </w:rPr>
        <w:t>Concerning the right to be heard:</w:t>
      </w:r>
    </w:p>
    <w:p w14:paraId="2D8F09C8" w14:textId="77777777" w:rsidR="001538C9" w:rsidRPr="001538C9" w:rsidRDefault="001538C9" w:rsidP="001538C9">
      <w:pPr>
        <w:spacing w:after="0" w:line="240" w:lineRule="auto"/>
        <w:rPr>
          <w:lang w:val="en-US"/>
        </w:rPr>
      </w:pPr>
    </w:p>
    <w:p w14:paraId="062B0E6A" w14:textId="445FCB72" w:rsidR="001538C9" w:rsidRDefault="00E91024" w:rsidP="001538C9">
      <w:pPr>
        <w:pStyle w:val="Lijstalinea"/>
        <w:numPr>
          <w:ilvl w:val="0"/>
          <w:numId w:val="44"/>
        </w:numPr>
        <w:rPr>
          <w:lang w:val="en-US"/>
        </w:rPr>
      </w:pPr>
      <w:r>
        <w:t>In</w:t>
      </w:r>
      <w:r w:rsidR="001538C9">
        <w:t xml:space="preserve"> paragraph 56</w:t>
      </w:r>
      <w:r>
        <w:t xml:space="preserve">, </w:t>
      </w:r>
      <w:r w:rsidR="00DF1D25">
        <w:t xml:space="preserve">we suggest to </w:t>
      </w:r>
      <w:r>
        <w:t xml:space="preserve">emphasise </w:t>
      </w:r>
      <w:r w:rsidR="001538C9">
        <w:t xml:space="preserve">that </w:t>
      </w:r>
      <w:r w:rsidR="001538C9" w:rsidRPr="001538C9">
        <w:rPr>
          <w:lang w:val="en-US"/>
        </w:rPr>
        <w:t>caution is needed in facilitating child and youth participation, as children should not feel any responsibility for trying to resolve environmental or climate issues. Neither should they feel obliged to sacrifice (much of) their free time in the context of participation, rather than during school hours (see also chapter 2 on mental wellbeing).</w:t>
      </w:r>
    </w:p>
    <w:p w14:paraId="18B304BF" w14:textId="4FD7C007" w:rsidR="001538C9" w:rsidRPr="00B508CE" w:rsidRDefault="001538C9" w:rsidP="001538C9">
      <w:pPr>
        <w:pStyle w:val="Lijstalinea"/>
        <w:numPr>
          <w:ilvl w:val="0"/>
          <w:numId w:val="44"/>
        </w:numPr>
      </w:pPr>
      <w:r>
        <w:t>In the last sentence of paragraph 56,</w:t>
      </w:r>
      <w:r w:rsidR="00853939">
        <w:t xml:space="preserve"> we propose to</w:t>
      </w:r>
      <w:r>
        <w:t xml:space="preserve"> mention the physical environment in addition to the digital environment.</w:t>
      </w:r>
    </w:p>
    <w:p w14:paraId="4EC45B06" w14:textId="19DE1448" w:rsidR="001538C9" w:rsidRPr="0067710B" w:rsidRDefault="001538C9" w:rsidP="001538C9">
      <w:pPr>
        <w:pStyle w:val="Lijstalinea"/>
        <w:numPr>
          <w:ilvl w:val="0"/>
          <w:numId w:val="44"/>
        </w:numPr>
        <w:spacing w:after="0" w:line="240" w:lineRule="auto"/>
        <w:rPr>
          <w:lang w:val="en-US"/>
        </w:rPr>
      </w:pPr>
      <w:r>
        <w:rPr>
          <w:lang w:val="en-US"/>
        </w:rPr>
        <w:t>In p</w:t>
      </w:r>
      <w:r w:rsidRPr="0067710B">
        <w:rPr>
          <w:lang w:val="en-US"/>
        </w:rPr>
        <w:t>aragraph 57</w:t>
      </w:r>
      <w:r>
        <w:rPr>
          <w:lang w:val="en-US"/>
        </w:rPr>
        <w:t>, w</w:t>
      </w:r>
      <w:r w:rsidRPr="0067710B">
        <w:rPr>
          <w:lang w:val="en-US"/>
        </w:rPr>
        <w:t>e</w:t>
      </w:r>
      <w:r>
        <w:rPr>
          <w:lang w:val="en-US"/>
        </w:rPr>
        <w:t xml:space="preserve"> suggest</w:t>
      </w:r>
      <w:r w:rsidRPr="0067710B">
        <w:rPr>
          <w:lang w:val="en-US"/>
        </w:rPr>
        <w:t xml:space="preserve"> making more explicit that the right to information also refers to available remedies in case of a rights violation, both regarding the right to participation itself and the right to a clean, healthy and sustainable environment. </w:t>
      </w:r>
    </w:p>
    <w:p w14:paraId="57F8C3D6" w14:textId="473D9B3F" w:rsidR="001538C9" w:rsidRDefault="001538C9" w:rsidP="001538C9">
      <w:pPr>
        <w:pStyle w:val="Lijstalinea"/>
        <w:numPr>
          <w:ilvl w:val="0"/>
          <w:numId w:val="44"/>
        </w:numPr>
        <w:spacing w:after="0" w:line="240" w:lineRule="auto"/>
        <w:rPr>
          <w:lang w:val="en-US"/>
        </w:rPr>
      </w:pPr>
      <w:r>
        <w:rPr>
          <w:lang w:val="en-US"/>
        </w:rPr>
        <w:t>In p</w:t>
      </w:r>
      <w:r w:rsidRPr="006E61F5">
        <w:rPr>
          <w:lang w:val="en-US"/>
        </w:rPr>
        <w:t>aragraph 60</w:t>
      </w:r>
      <w:r>
        <w:rPr>
          <w:lang w:val="en-US"/>
        </w:rPr>
        <w:t>,</w:t>
      </w:r>
      <w:r w:rsidRPr="006E61F5">
        <w:rPr>
          <w:lang w:val="en-US"/>
        </w:rPr>
        <w:t xml:space="preserve"> we </w:t>
      </w:r>
      <w:r w:rsidRPr="001538C9">
        <w:rPr>
          <w:lang w:val="en-US"/>
        </w:rPr>
        <w:t>propose calling on States to minimize (the effects of) criminal records for young environmental human rights</w:t>
      </w:r>
      <w:r w:rsidRPr="006E61F5">
        <w:rPr>
          <w:lang w:val="en-US"/>
        </w:rPr>
        <w:t xml:space="preserve"> defenders</w:t>
      </w:r>
      <w:r>
        <w:rPr>
          <w:lang w:val="en-US"/>
        </w:rPr>
        <w:t xml:space="preserve">, to </w:t>
      </w:r>
      <w:r w:rsidRPr="006E61F5">
        <w:rPr>
          <w:lang w:val="en-US"/>
        </w:rPr>
        <w:t>protect</w:t>
      </w:r>
      <w:r>
        <w:rPr>
          <w:lang w:val="en-US"/>
        </w:rPr>
        <w:t xml:space="preserve"> them against the impact thereof on their futures. </w:t>
      </w:r>
    </w:p>
    <w:p w14:paraId="68D24E3D" w14:textId="02B9A15E" w:rsidR="00FF7894" w:rsidRPr="00BF71CE" w:rsidRDefault="00BF71CE" w:rsidP="0001584A">
      <w:pPr>
        <w:pStyle w:val="Lijstalinea"/>
        <w:numPr>
          <w:ilvl w:val="0"/>
          <w:numId w:val="44"/>
        </w:numPr>
        <w:spacing w:after="0" w:line="240" w:lineRule="auto"/>
        <w:rPr>
          <w:lang w:val="en-US"/>
        </w:rPr>
      </w:pPr>
      <w:r w:rsidRPr="00BF71CE">
        <w:rPr>
          <w:lang w:val="en-US"/>
        </w:rPr>
        <w:t>In p</w:t>
      </w:r>
      <w:r w:rsidR="00FF7894" w:rsidRPr="00BF71CE">
        <w:rPr>
          <w:lang w:val="en-US"/>
        </w:rPr>
        <w:t>aragraph 84-86 (Chapter V-C)</w:t>
      </w:r>
      <w:r w:rsidRPr="00BF71CE">
        <w:rPr>
          <w:lang w:val="en-US"/>
        </w:rPr>
        <w:t>, we propose referring to General Comment no. 12</w:t>
      </w:r>
      <w:r w:rsidR="00713093">
        <w:rPr>
          <w:lang w:val="en-US"/>
        </w:rPr>
        <w:t xml:space="preserve"> to the CRC</w:t>
      </w:r>
      <w:r w:rsidRPr="00BF71CE">
        <w:rPr>
          <w:lang w:val="en-US"/>
        </w:rPr>
        <w:t>, paragraph 82 and 134a and to emphasize the role of schools in this regard, as</w:t>
      </w:r>
      <w:r>
        <w:rPr>
          <w:lang w:val="en-US"/>
        </w:rPr>
        <w:t xml:space="preserve"> e</w:t>
      </w:r>
      <w:r w:rsidR="00FF7894" w:rsidRPr="00BF71CE">
        <w:rPr>
          <w:lang w:val="en-US"/>
        </w:rPr>
        <w:t xml:space="preserve">ffective participation depends on access to complete and correct information. </w:t>
      </w:r>
    </w:p>
    <w:p w14:paraId="006E6490" w14:textId="14754226" w:rsidR="00FF7894" w:rsidRDefault="00067A0F" w:rsidP="00FF7894">
      <w:pPr>
        <w:pStyle w:val="Lijstalinea"/>
        <w:numPr>
          <w:ilvl w:val="0"/>
          <w:numId w:val="44"/>
        </w:numPr>
        <w:spacing w:after="0" w:line="240" w:lineRule="auto"/>
        <w:rPr>
          <w:lang w:val="en-US"/>
        </w:rPr>
      </w:pPr>
      <w:r>
        <w:rPr>
          <w:lang w:val="en-US"/>
        </w:rPr>
        <w:t>P</w:t>
      </w:r>
      <w:r w:rsidR="00FF7894" w:rsidRPr="0067710B">
        <w:rPr>
          <w:lang w:val="en-US"/>
        </w:rPr>
        <w:t>aragraph 84</w:t>
      </w:r>
      <w:r w:rsidR="00FF7894">
        <w:rPr>
          <w:lang w:val="en-US"/>
        </w:rPr>
        <w:t>-86 (Chapter V-C)</w:t>
      </w:r>
      <w:r w:rsidR="00FF7894" w:rsidRPr="0067710B">
        <w:rPr>
          <w:lang w:val="en-US"/>
        </w:rPr>
        <w:t>:</w:t>
      </w:r>
      <w:r>
        <w:rPr>
          <w:lang w:val="en-US"/>
        </w:rPr>
        <w:t xml:space="preserve"> f</w:t>
      </w:r>
      <w:r w:rsidR="00FF7894">
        <w:rPr>
          <w:lang w:val="en-US"/>
        </w:rPr>
        <w:t>or systemic reasons, w</w:t>
      </w:r>
      <w:r w:rsidR="00FF7894" w:rsidRPr="0067710B">
        <w:rPr>
          <w:lang w:val="en-US"/>
        </w:rPr>
        <w:t xml:space="preserve">e recommend moving </w:t>
      </w:r>
      <w:r w:rsidR="00FF7894">
        <w:rPr>
          <w:lang w:val="en-US"/>
        </w:rPr>
        <w:t xml:space="preserve">this </w:t>
      </w:r>
      <w:r w:rsidR="007A7EE5">
        <w:rPr>
          <w:lang w:val="en-US"/>
        </w:rPr>
        <w:t>section</w:t>
      </w:r>
      <w:r w:rsidR="00FF7894">
        <w:rPr>
          <w:lang w:val="en-US"/>
        </w:rPr>
        <w:t xml:space="preserve"> </w:t>
      </w:r>
      <w:r w:rsidR="00FF7894" w:rsidRPr="0067710B">
        <w:rPr>
          <w:lang w:val="en-US"/>
        </w:rPr>
        <w:t xml:space="preserve">to </w:t>
      </w:r>
      <w:r w:rsidR="00FF7894">
        <w:rPr>
          <w:lang w:val="en-US"/>
        </w:rPr>
        <w:t xml:space="preserve">Chapter </w:t>
      </w:r>
      <w:r w:rsidR="00FF7894" w:rsidRPr="0067710B">
        <w:rPr>
          <w:lang w:val="en-US"/>
        </w:rPr>
        <w:t>III</w:t>
      </w:r>
      <w:r w:rsidR="00FF7894">
        <w:rPr>
          <w:lang w:val="en-US"/>
        </w:rPr>
        <w:t>, after Freedom of expression (III-J</w:t>
      </w:r>
      <w:r w:rsidR="00FF7894" w:rsidRPr="00F24AC5">
        <w:rPr>
          <w:lang w:val="en-US"/>
        </w:rPr>
        <w:t xml:space="preserve">). Children cannot effectively participate </w:t>
      </w:r>
      <w:r w:rsidR="00FF7894">
        <w:rPr>
          <w:lang w:val="en-US"/>
        </w:rPr>
        <w:t>or act as environmental child rights defender</w:t>
      </w:r>
      <w:r w:rsidR="00FA6A28">
        <w:rPr>
          <w:lang w:val="en-US"/>
        </w:rPr>
        <w:t>s</w:t>
      </w:r>
      <w:r w:rsidR="00FF7894">
        <w:rPr>
          <w:lang w:val="en-US"/>
        </w:rPr>
        <w:t xml:space="preserve"> </w:t>
      </w:r>
      <w:r w:rsidR="00FF7894" w:rsidRPr="00F24AC5">
        <w:rPr>
          <w:lang w:val="en-US"/>
        </w:rPr>
        <w:t>when they</w:t>
      </w:r>
      <w:r w:rsidR="00FF7894" w:rsidRPr="00706D6E">
        <w:rPr>
          <w:lang w:val="en-US"/>
        </w:rPr>
        <w:t xml:space="preserve"> are not adequately informed</w:t>
      </w:r>
      <w:r w:rsidR="00FF7894">
        <w:rPr>
          <w:lang w:val="en-US"/>
        </w:rPr>
        <w:t xml:space="preserve">, see also paragraph 77. </w:t>
      </w:r>
      <w:r w:rsidR="00FF7894" w:rsidRPr="00706D6E">
        <w:rPr>
          <w:lang w:val="en-US"/>
        </w:rPr>
        <w:t>The</w:t>
      </w:r>
      <w:r w:rsidR="00FF7894">
        <w:rPr>
          <w:lang w:val="en-US"/>
        </w:rPr>
        <w:t xml:space="preserve"> </w:t>
      </w:r>
      <w:r w:rsidR="00FF7894" w:rsidRPr="00706D6E">
        <w:rPr>
          <w:lang w:val="en-US"/>
        </w:rPr>
        <w:t xml:space="preserve">right </w:t>
      </w:r>
      <w:r w:rsidR="00FF7894">
        <w:rPr>
          <w:lang w:val="en-US"/>
        </w:rPr>
        <w:t xml:space="preserve">of the child </w:t>
      </w:r>
      <w:r w:rsidR="00FF7894" w:rsidRPr="00706D6E">
        <w:rPr>
          <w:lang w:val="en-US"/>
        </w:rPr>
        <w:t xml:space="preserve">to information </w:t>
      </w:r>
      <w:r w:rsidR="00FF7894">
        <w:rPr>
          <w:lang w:val="en-US"/>
        </w:rPr>
        <w:t xml:space="preserve">concerns information </w:t>
      </w:r>
      <w:r w:rsidR="00EC1B46">
        <w:rPr>
          <w:lang w:val="en-US"/>
        </w:rPr>
        <w:t>about</w:t>
      </w:r>
      <w:r w:rsidR="00FF7894">
        <w:rPr>
          <w:lang w:val="en-US"/>
        </w:rPr>
        <w:t xml:space="preserve"> </w:t>
      </w:r>
      <w:r w:rsidR="00FF7894" w:rsidRPr="00706D6E">
        <w:rPr>
          <w:lang w:val="en-US"/>
        </w:rPr>
        <w:t>their rights</w:t>
      </w:r>
      <w:r w:rsidR="00FF7894">
        <w:rPr>
          <w:lang w:val="en-US"/>
        </w:rPr>
        <w:t>, including their right to participate;</w:t>
      </w:r>
      <w:r w:rsidR="00FF7894" w:rsidRPr="00706D6E">
        <w:rPr>
          <w:lang w:val="en-US"/>
        </w:rPr>
        <w:t xml:space="preserve"> </w:t>
      </w:r>
      <w:r w:rsidR="00FF7894">
        <w:rPr>
          <w:lang w:val="en-US"/>
        </w:rPr>
        <w:t xml:space="preserve">the </w:t>
      </w:r>
      <w:r w:rsidR="00FF7894" w:rsidRPr="00706D6E">
        <w:rPr>
          <w:lang w:val="en-US"/>
        </w:rPr>
        <w:t>environment</w:t>
      </w:r>
      <w:r w:rsidR="00FF7894">
        <w:rPr>
          <w:lang w:val="en-US"/>
        </w:rPr>
        <w:t xml:space="preserve"> and environmental harm; </w:t>
      </w:r>
      <w:r w:rsidR="00FF7894" w:rsidRPr="00706D6E">
        <w:rPr>
          <w:lang w:val="en-US"/>
        </w:rPr>
        <w:t>climate change, including its impact on the daily lives of children</w:t>
      </w:r>
      <w:r w:rsidR="00FF7894">
        <w:rPr>
          <w:lang w:val="en-US"/>
        </w:rPr>
        <w:t xml:space="preserve">; </w:t>
      </w:r>
      <w:r w:rsidR="00FF7894" w:rsidRPr="00706D6E">
        <w:rPr>
          <w:lang w:val="en-US"/>
        </w:rPr>
        <w:t>a sustainable lifestyle</w:t>
      </w:r>
      <w:r w:rsidR="00FF7894">
        <w:rPr>
          <w:lang w:val="en-US"/>
        </w:rPr>
        <w:t xml:space="preserve">; </w:t>
      </w:r>
      <w:r w:rsidR="00FF7894" w:rsidRPr="00706D6E">
        <w:rPr>
          <w:lang w:val="en-US"/>
        </w:rPr>
        <w:t>obligations of the State and business sector</w:t>
      </w:r>
      <w:r w:rsidR="00FF7894">
        <w:rPr>
          <w:lang w:val="en-US"/>
        </w:rPr>
        <w:t xml:space="preserve"> </w:t>
      </w:r>
      <w:r w:rsidR="00FF7894" w:rsidRPr="00706D6E">
        <w:rPr>
          <w:lang w:val="en-US"/>
        </w:rPr>
        <w:t xml:space="preserve">and climate finance. </w:t>
      </w:r>
      <w:r w:rsidR="00FF7894">
        <w:rPr>
          <w:lang w:val="en-US"/>
        </w:rPr>
        <w:t xml:space="preserve">For the right to information regarding remedies, see </w:t>
      </w:r>
      <w:r w:rsidR="00F84901">
        <w:rPr>
          <w:lang w:val="en-US"/>
        </w:rPr>
        <w:t xml:space="preserve">section 4.2 </w:t>
      </w:r>
      <w:r w:rsidR="00FF7894">
        <w:rPr>
          <w:lang w:val="en-US"/>
        </w:rPr>
        <w:t>below.</w:t>
      </w:r>
    </w:p>
    <w:p w14:paraId="530F5BD9" w14:textId="26F2E28B" w:rsidR="00603E62" w:rsidRPr="00603E62" w:rsidRDefault="00FF7894" w:rsidP="00603E62">
      <w:pPr>
        <w:pStyle w:val="Lijstalinea"/>
        <w:numPr>
          <w:ilvl w:val="0"/>
          <w:numId w:val="44"/>
        </w:numPr>
        <w:spacing w:after="0" w:line="240" w:lineRule="auto"/>
        <w:rPr>
          <w:lang w:val="en-US"/>
        </w:rPr>
      </w:pPr>
      <w:r>
        <w:rPr>
          <w:lang w:val="en-US"/>
        </w:rPr>
        <w:t>In p</w:t>
      </w:r>
      <w:r w:rsidRPr="00F24AC5">
        <w:rPr>
          <w:lang w:val="en-US"/>
        </w:rPr>
        <w:t>aragraph 87</w:t>
      </w:r>
      <w:r>
        <w:rPr>
          <w:lang w:val="en-US"/>
        </w:rPr>
        <w:t>, w</w:t>
      </w:r>
      <w:r w:rsidRPr="00F24AC5">
        <w:rPr>
          <w:lang w:val="en-US"/>
        </w:rPr>
        <w:t xml:space="preserve">e suggest adding the right of the child to </w:t>
      </w:r>
      <w:r>
        <w:rPr>
          <w:lang w:val="en-US"/>
        </w:rPr>
        <w:t xml:space="preserve">be heard to </w:t>
      </w:r>
      <w:r w:rsidRPr="00F24AC5">
        <w:rPr>
          <w:lang w:val="en-US"/>
        </w:rPr>
        <w:t xml:space="preserve">ensure the involvement of children in child rights impact assessments. </w:t>
      </w:r>
    </w:p>
    <w:p w14:paraId="75678E92" w14:textId="77777777" w:rsidR="00603E62" w:rsidRDefault="00603E62" w:rsidP="009B0017">
      <w:pPr>
        <w:pStyle w:val="Kop3"/>
        <w:rPr>
          <w:lang w:val="en-US"/>
        </w:rPr>
      </w:pPr>
    </w:p>
    <w:p w14:paraId="79CC055A" w14:textId="4EE9AB90" w:rsidR="00EF2135" w:rsidRDefault="0068077A" w:rsidP="009B0017">
      <w:pPr>
        <w:pStyle w:val="Kop3"/>
        <w:rPr>
          <w:lang w:val="en-US"/>
        </w:rPr>
      </w:pPr>
      <w:bookmarkStart w:id="10" w:name="_Toc126753468"/>
      <w:r>
        <w:rPr>
          <w:lang w:val="en-US"/>
        </w:rPr>
        <w:t xml:space="preserve">4.2 </w:t>
      </w:r>
      <w:r w:rsidR="005829E3">
        <w:rPr>
          <w:lang w:val="en-US"/>
        </w:rPr>
        <w:t>Effective remedies</w:t>
      </w:r>
      <w:bookmarkEnd w:id="10"/>
    </w:p>
    <w:p w14:paraId="4BA66621" w14:textId="16FA0429" w:rsidR="00DC3942" w:rsidRDefault="00B01A4F" w:rsidP="009E0A40">
      <w:pPr>
        <w:rPr>
          <w:lang w:val="en-US"/>
        </w:rPr>
      </w:pPr>
      <w:r>
        <w:rPr>
          <w:lang w:val="en-US"/>
        </w:rPr>
        <w:t>It is key that children have access to effective remedies in case of rights violations</w:t>
      </w:r>
      <w:r w:rsidR="005C025E">
        <w:rPr>
          <w:lang w:val="en-US"/>
        </w:rPr>
        <w:t>.</w:t>
      </w:r>
      <w:r w:rsidR="00CF15D0">
        <w:rPr>
          <w:lang w:val="en-US"/>
        </w:rPr>
        <w:t xml:space="preserve"> </w:t>
      </w:r>
      <w:r w:rsidR="00B97916">
        <w:rPr>
          <w:lang w:val="en-US"/>
        </w:rPr>
        <w:t xml:space="preserve">Some </w:t>
      </w:r>
      <w:r w:rsidR="00807426">
        <w:rPr>
          <w:lang w:val="en-US"/>
        </w:rPr>
        <w:t xml:space="preserve">participants of the </w:t>
      </w:r>
      <w:r w:rsidR="00DC3942">
        <w:rPr>
          <w:lang w:val="en-US"/>
        </w:rPr>
        <w:t xml:space="preserve">Dutch </w:t>
      </w:r>
      <w:r w:rsidR="00807426">
        <w:rPr>
          <w:lang w:val="en-US"/>
        </w:rPr>
        <w:t xml:space="preserve">youth questionnaire in this round of consultations report </w:t>
      </w:r>
      <w:r w:rsidR="00CF15D0">
        <w:rPr>
          <w:lang w:val="en-US"/>
        </w:rPr>
        <w:t xml:space="preserve">that they have little </w:t>
      </w:r>
      <w:r w:rsidR="003C1115">
        <w:rPr>
          <w:lang w:val="en-US"/>
        </w:rPr>
        <w:t xml:space="preserve">awareness and </w:t>
      </w:r>
      <w:r w:rsidR="00CF15D0">
        <w:rPr>
          <w:lang w:val="en-US"/>
        </w:rPr>
        <w:t>knowledge about</w:t>
      </w:r>
      <w:r w:rsidR="003C1115">
        <w:rPr>
          <w:lang w:val="en-US"/>
        </w:rPr>
        <w:t xml:space="preserve"> remedies in case of rights violations</w:t>
      </w:r>
      <w:r w:rsidR="00CF15D0">
        <w:rPr>
          <w:lang w:val="en-US"/>
        </w:rPr>
        <w:t>.</w:t>
      </w:r>
      <w:r w:rsidR="00FA5755">
        <w:rPr>
          <w:lang w:val="en-US"/>
        </w:rPr>
        <w:t xml:space="preserve"> C</w:t>
      </w:r>
      <w:r w:rsidR="00DC3942" w:rsidRPr="00DC3942">
        <w:rPr>
          <w:lang w:val="en-US"/>
        </w:rPr>
        <w:t xml:space="preserve">hildren must be provided with full, accessible, diversity-sensitive and age-appropriate information in the context of rights that might be violated as well as remedies. Moreover, children in the Netherlands </w:t>
      </w:r>
      <w:r w:rsidR="00B10F08" w:rsidRPr="00B10F08">
        <w:rPr>
          <w:lang w:val="en-US"/>
        </w:rPr>
        <w:t xml:space="preserve">(as a group) </w:t>
      </w:r>
      <w:r w:rsidR="00DC3942" w:rsidRPr="00DC3942">
        <w:rPr>
          <w:lang w:val="en-US"/>
        </w:rPr>
        <w:t>experience barriers to access remedies due to age-discrimination (see also III-G) and a lack of agency, having no legal standing.</w:t>
      </w:r>
      <w:r w:rsidR="00DC3942">
        <w:rPr>
          <w:lang w:val="en-US"/>
        </w:rPr>
        <w:t xml:space="preserve"> </w:t>
      </w:r>
      <w:r w:rsidR="005C025E">
        <w:rPr>
          <w:lang w:val="en-US"/>
        </w:rPr>
        <w:t xml:space="preserve">The General Comment can play an important role in setting out state responsibilities in this regard. </w:t>
      </w:r>
    </w:p>
    <w:p w14:paraId="0CD62F66" w14:textId="7C39F48C" w:rsidR="0013078B" w:rsidRDefault="0013078B" w:rsidP="009E0A40">
      <w:pPr>
        <w:rPr>
          <w:lang w:val="en-US"/>
        </w:rPr>
      </w:pPr>
      <w:r>
        <w:rPr>
          <w:lang w:val="en-US"/>
        </w:rPr>
        <w:t>In chapter III-K:</w:t>
      </w:r>
    </w:p>
    <w:p w14:paraId="19274AD7" w14:textId="77777777" w:rsidR="00DC3942" w:rsidRPr="00DC3942" w:rsidRDefault="00DC3942" w:rsidP="00DC3942">
      <w:pPr>
        <w:pStyle w:val="Lijstalinea"/>
        <w:numPr>
          <w:ilvl w:val="0"/>
          <w:numId w:val="43"/>
        </w:numPr>
        <w:rPr>
          <w:lang w:val="en-US"/>
        </w:rPr>
      </w:pPr>
      <w:r w:rsidRPr="00DC3942">
        <w:rPr>
          <w:lang w:val="en-US"/>
        </w:rPr>
        <w:t>We suggest to refer to and use the terminology set out in the Basic Principles and Guidelines on the Right to a Remedy and Reparation for Victims of Gross Violations of International Human Rights Law and Serious Violations of International Humanitarian Law.</w:t>
      </w:r>
      <w:r>
        <w:rPr>
          <w:rStyle w:val="Voetnootmarkering"/>
          <w:lang w:val="en-US"/>
        </w:rPr>
        <w:footnoteReference w:id="3"/>
      </w:r>
    </w:p>
    <w:p w14:paraId="646B6B6B" w14:textId="2226190A" w:rsidR="00DC3942" w:rsidRDefault="00E91024" w:rsidP="00E91024">
      <w:pPr>
        <w:pStyle w:val="Lijstalinea"/>
        <w:numPr>
          <w:ilvl w:val="0"/>
          <w:numId w:val="43"/>
        </w:numPr>
        <w:rPr>
          <w:lang w:val="en-US"/>
        </w:rPr>
      </w:pPr>
      <w:r w:rsidRPr="00E91024">
        <w:rPr>
          <w:lang w:val="en-US"/>
        </w:rPr>
        <w:lastRenderedPageBreak/>
        <w:t>We suggest to more explicitly address both procedural and substantive elements of</w:t>
      </w:r>
      <w:r w:rsidR="00B10F08">
        <w:rPr>
          <w:lang w:val="en-US"/>
        </w:rPr>
        <w:t xml:space="preserve"> remedies</w:t>
      </w:r>
      <w:r w:rsidRPr="00E91024">
        <w:rPr>
          <w:lang w:val="en-US"/>
        </w:rPr>
        <w:t xml:space="preserve">, as well as access to relevant and ‘child-friendly’ information concerning rights violations and reparations (see also section 2.2 on appropriate information). </w:t>
      </w:r>
    </w:p>
    <w:p w14:paraId="06E35E62" w14:textId="267CE06B" w:rsidR="006C200D" w:rsidRDefault="00E91024" w:rsidP="00E91024">
      <w:pPr>
        <w:pStyle w:val="Lijstalinea"/>
        <w:numPr>
          <w:ilvl w:val="0"/>
          <w:numId w:val="43"/>
        </w:numPr>
        <w:rPr>
          <w:lang w:val="en-US"/>
        </w:rPr>
      </w:pPr>
      <w:r w:rsidRPr="00E91024">
        <w:rPr>
          <w:lang w:val="en-US"/>
        </w:rPr>
        <w:t xml:space="preserve">We </w:t>
      </w:r>
      <w:r w:rsidR="007328FF">
        <w:rPr>
          <w:lang w:val="en-US"/>
        </w:rPr>
        <w:t>propose</w:t>
      </w:r>
      <w:r w:rsidRPr="00E91024">
        <w:rPr>
          <w:lang w:val="en-US"/>
        </w:rPr>
        <w:t xml:space="preserve"> </w:t>
      </w:r>
      <w:r>
        <w:rPr>
          <w:lang w:val="en-US"/>
        </w:rPr>
        <w:t>to further clarify the</w:t>
      </w:r>
      <w:r w:rsidRPr="00E91024">
        <w:rPr>
          <w:lang w:val="en-US"/>
        </w:rPr>
        <w:t xml:space="preserve"> importance of</w:t>
      </w:r>
      <w:r w:rsidR="00AA7664">
        <w:rPr>
          <w:lang w:val="en-US"/>
        </w:rPr>
        <w:t xml:space="preserve"> having</w:t>
      </w:r>
      <w:r w:rsidRPr="00E91024">
        <w:rPr>
          <w:lang w:val="en-US"/>
        </w:rPr>
        <w:t xml:space="preserve"> effective remedies </w:t>
      </w:r>
      <w:r w:rsidR="00AA7664">
        <w:rPr>
          <w:lang w:val="en-US"/>
        </w:rPr>
        <w:t xml:space="preserve">in place </w:t>
      </w:r>
      <w:r w:rsidRPr="00E91024">
        <w:rPr>
          <w:lang w:val="en-US"/>
        </w:rPr>
        <w:t>for children.</w:t>
      </w:r>
    </w:p>
    <w:p w14:paraId="03CE3891" w14:textId="2B5D822B" w:rsidR="006C200D" w:rsidRPr="006C200D" w:rsidRDefault="006C200D" w:rsidP="006C200D">
      <w:pPr>
        <w:pStyle w:val="Lijstalinea"/>
        <w:numPr>
          <w:ilvl w:val="0"/>
          <w:numId w:val="43"/>
        </w:numPr>
        <w:rPr>
          <w:lang w:val="en-US"/>
        </w:rPr>
      </w:pPr>
      <w:r>
        <w:rPr>
          <w:lang w:val="en-US"/>
        </w:rPr>
        <w:t>W</w:t>
      </w:r>
      <w:r w:rsidRPr="006C200D">
        <w:rPr>
          <w:lang w:val="en-US"/>
        </w:rPr>
        <w:t xml:space="preserve">e suggest to refer to the heightened duty of care on the state </w:t>
      </w:r>
      <w:r>
        <w:rPr>
          <w:lang w:val="en-US"/>
        </w:rPr>
        <w:t>in paragraph 82 regarding remedies, given the impact of violations on the de</w:t>
      </w:r>
      <w:r w:rsidR="00DF1D25">
        <w:rPr>
          <w:lang w:val="en-US"/>
        </w:rPr>
        <w:t>v</w:t>
      </w:r>
      <w:r>
        <w:rPr>
          <w:lang w:val="en-US"/>
        </w:rPr>
        <w:t xml:space="preserve">elopment of children </w:t>
      </w:r>
      <w:r w:rsidRPr="006C200D">
        <w:rPr>
          <w:lang w:val="en-US"/>
        </w:rPr>
        <w:t>(see also chapter 3 of this submission).</w:t>
      </w:r>
    </w:p>
    <w:p w14:paraId="7F41F8F3" w14:textId="1FCD2CB8" w:rsidR="00E91024" w:rsidRPr="00E91024" w:rsidRDefault="00DF1D25" w:rsidP="00E91024">
      <w:pPr>
        <w:pStyle w:val="Lijstalinea"/>
        <w:numPr>
          <w:ilvl w:val="0"/>
          <w:numId w:val="43"/>
        </w:numPr>
        <w:rPr>
          <w:lang w:val="en-US"/>
        </w:rPr>
      </w:pPr>
      <w:r>
        <w:rPr>
          <w:lang w:val="en-US"/>
        </w:rPr>
        <w:t xml:space="preserve">In paragraph 68, </w:t>
      </w:r>
      <w:r w:rsidR="00767217">
        <w:rPr>
          <w:lang w:val="en-US"/>
        </w:rPr>
        <w:t>we propose to</w:t>
      </w:r>
      <w:r>
        <w:rPr>
          <w:lang w:val="en-US"/>
        </w:rPr>
        <w:t xml:space="preserve"> </w:t>
      </w:r>
      <w:r w:rsidR="00767217">
        <w:rPr>
          <w:lang w:val="en-US"/>
        </w:rPr>
        <w:t>refer</w:t>
      </w:r>
      <w:r>
        <w:rPr>
          <w:lang w:val="en-US"/>
        </w:rPr>
        <w:t xml:space="preserve"> to the cross-border responsibility of states.</w:t>
      </w:r>
      <w:r>
        <w:rPr>
          <w:rStyle w:val="Voetnootmarkering"/>
          <w:lang w:val="en-US"/>
        </w:rPr>
        <w:footnoteReference w:id="4"/>
      </w:r>
    </w:p>
    <w:p w14:paraId="70460555" w14:textId="7B6C2956" w:rsidR="00DC3942" w:rsidRDefault="00DC3942" w:rsidP="00037D2C">
      <w:pPr>
        <w:pStyle w:val="Lijstalinea"/>
        <w:numPr>
          <w:ilvl w:val="0"/>
          <w:numId w:val="43"/>
        </w:numPr>
        <w:rPr>
          <w:lang w:val="en-US"/>
        </w:rPr>
      </w:pPr>
      <w:r w:rsidRPr="00DF1D25">
        <w:rPr>
          <w:lang w:val="en-US"/>
        </w:rPr>
        <w:t xml:space="preserve">In paragraph 69, we propose </w:t>
      </w:r>
      <w:r w:rsidR="00DF1D25" w:rsidRPr="00DF1D25">
        <w:rPr>
          <w:lang w:val="en-US"/>
        </w:rPr>
        <w:t>referring to mitigation, adaptation, and damage and (non-) economic loss, with a specific reference to the recent developments of COP27.</w:t>
      </w:r>
    </w:p>
    <w:p w14:paraId="0DE4339B" w14:textId="481E4972" w:rsidR="00315E77" w:rsidRPr="00DF1D25" w:rsidRDefault="00DF1D25" w:rsidP="009E0A40">
      <w:pPr>
        <w:pStyle w:val="Lijstalinea"/>
        <w:numPr>
          <w:ilvl w:val="0"/>
          <w:numId w:val="43"/>
        </w:numPr>
        <w:spacing w:after="0" w:line="240" w:lineRule="auto"/>
        <w:rPr>
          <w:lang w:val="en-US"/>
        </w:rPr>
      </w:pPr>
      <w:r>
        <w:rPr>
          <w:lang w:val="en-US"/>
        </w:rPr>
        <w:t>In paragraph 69, w</w:t>
      </w:r>
      <w:r w:rsidRPr="007F1F6D">
        <w:rPr>
          <w:lang w:val="en-US"/>
        </w:rPr>
        <w:t xml:space="preserve">e suggest adding ‘guarantees of non-repetition’ as a substantive element and ‘including access to medical and psychological assistance’ to the element of rehabilitation. </w:t>
      </w:r>
    </w:p>
    <w:p w14:paraId="1409512C" w14:textId="097E2977" w:rsidR="00503F63" w:rsidRDefault="00503F63">
      <w:pPr>
        <w:rPr>
          <w:rFonts w:asciiTheme="majorHAnsi" w:eastAsiaTheme="majorEastAsia" w:hAnsiTheme="majorHAnsi" w:cstheme="majorBidi"/>
          <w:b/>
          <w:bCs/>
          <w:color w:val="ED7D31" w:themeColor="accent2"/>
          <w:sz w:val="26"/>
          <w:szCs w:val="26"/>
        </w:rPr>
      </w:pPr>
    </w:p>
    <w:p w14:paraId="2B271426" w14:textId="6B5AC375" w:rsidR="003753C3" w:rsidRDefault="003753C3" w:rsidP="009E0A40">
      <w:pPr>
        <w:pStyle w:val="Kop2"/>
      </w:pPr>
      <w:bookmarkStart w:id="11" w:name="_Toc126753469"/>
      <w:r>
        <w:t>Terminology</w:t>
      </w:r>
      <w:r w:rsidR="00372CD6">
        <w:t xml:space="preserve"> and phrasing</w:t>
      </w:r>
      <w:bookmarkEnd w:id="11"/>
    </w:p>
    <w:p w14:paraId="303611ED" w14:textId="77777777" w:rsidR="0090016E" w:rsidRDefault="0090016E" w:rsidP="007A12D7">
      <w:pPr>
        <w:rPr>
          <w:lang w:val="en-US"/>
        </w:rPr>
      </w:pPr>
    </w:p>
    <w:p w14:paraId="7B26F7D0" w14:textId="02A933D5" w:rsidR="00023C9A" w:rsidRPr="00023C9A" w:rsidRDefault="00023C9A" w:rsidP="007A12D7">
      <w:pPr>
        <w:rPr>
          <w:lang w:val="en-US"/>
        </w:rPr>
      </w:pPr>
      <w:r>
        <w:rPr>
          <w:lang w:val="en-US"/>
        </w:rPr>
        <w:t xml:space="preserve">We make the following suggestions regarding the terminology and phrasing used: </w:t>
      </w:r>
    </w:p>
    <w:p w14:paraId="25EDF12A" w14:textId="281476D9" w:rsidR="00F803AE" w:rsidRPr="007A12D7" w:rsidRDefault="00F803AE" w:rsidP="007A12D7">
      <w:pPr>
        <w:pStyle w:val="Lijstalinea"/>
        <w:numPr>
          <w:ilvl w:val="0"/>
          <w:numId w:val="39"/>
        </w:numPr>
        <w:rPr>
          <w:lang w:val="en-US"/>
        </w:rPr>
      </w:pPr>
      <w:r w:rsidRPr="007A12D7">
        <w:rPr>
          <w:lang w:val="en-US"/>
        </w:rPr>
        <w:t>Throughout the text, consistently use the terms “high income states” and “low- and middle income states,” rather than “developed and developing states.”</w:t>
      </w:r>
    </w:p>
    <w:p w14:paraId="7C309BB3" w14:textId="4295DC6C" w:rsidR="00023C9A" w:rsidRPr="007A12D7" w:rsidRDefault="00023C9A" w:rsidP="007A12D7">
      <w:pPr>
        <w:pStyle w:val="Lijstalinea"/>
        <w:numPr>
          <w:ilvl w:val="0"/>
          <w:numId w:val="39"/>
        </w:numPr>
        <w:rPr>
          <w:lang w:val="en-US"/>
        </w:rPr>
      </w:pPr>
      <w:r w:rsidRPr="007A12D7">
        <w:rPr>
          <w:lang w:val="en-US"/>
        </w:rPr>
        <w:t>In paragraph 19, replace “environmental actions” with “</w:t>
      </w:r>
      <w:r w:rsidRPr="00E550AE">
        <w:rPr>
          <w:lang w:val="en-US"/>
        </w:rPr>
        <w:t>environmental actions that harm the environment” to clarify that this paragraph does not refer to positive environmental</w:t>
      </w:r>
      <w:r w:rsidRPr="007A12D7">
        <w:rPr>
          <w:lang w:val="en-US"/>
        </w:rPr>
        <w:t xml:space="preserve"> actions. </w:t>
      </w:r>
    </w:p>
    <w:p w14:paraId="0A35FAEC" w14:textId="0DE19F84" w:rsidR="00372CD6" w:rsidRPr="007A12D7" w:rsidRDefault="00372CD6" w:rsidP="007A12D7">
      <w:pPr>
        <w:pStyle w:val="Lijstalinea"/>
        <w:numPr>
          <w:ilvl w:val="0"/>
          <w:numId w:val="39"/>
        </w:numPr>
        <w:rPr>
          <w:lang w:val="en-US"/>
        </w:rPr>
      </w:pPr>
      <w:r w:rsidRPr="007A12D7">
        <w:rPr>
          <w:lang w:val="en-US"/>
        </w:rPr>
        <w:t>In paragraph 52, replace “appropriate” with a more strongly worded commitment (e.g. “mandatory”)</w:t>
      </w:r>
      <w:r w:rsidR="00074DE9" w:rsidRPr="007A12D7">
        <w:rPr>
          <w:lang w:val="en-US"/>
        </w:rPr>
        <w:t xml:space="preserve"> to clarify its importance. </w:t>
      </w:r>
    </w:p>
    <w:p w14:paraId="2D82BA7A" w14:textId="070FD0D3" w:rsidR="002E28FC" w:rsidRPr="007A12D7" w:rsidRDefault="00F803AE" w:rsidP="007A12D7">
      <w:pPr>
        <w:pStyle w:val="Lijstalinea"/>
        <w:numPr>
          <w:ilvl w:val="0"/>
          <w:numId w:val="39"/>
        </w:numPr>
        <w:rPr>
          <w:lang w:val="en-US"/>
        </w:rPr>
      </w:pPr>
      <w:r w:rsidRPr="007A12D7">
        <w:rPr>
          <w:lang w:val="en-US"/>
        </w:rPr>
        <w:t>In paragraph 65, replace “complaint mechanisms” with “judicial and non-judicial mechanisms”</w:t>
      </w:r>
      <w:r w:rsidR="000123EA" w:rsidRPr="007A12D7">
        <w:rPr>
          <w:lang w:val="en-US"/>
        </w:rPr>
        <w:t xml:space="preserve"> to clarify the range of relevant mechanisms</w:t>
      </w:r>
      <w:r w:rsidR="007B11F7">
        <w:rPr>
          <w:lang w:val="en-US"/>
        </w:rPr>
        <w:t xml:space="preserve"> and add that they have to be child-friendly</w:t>
      </w:r>
      <w:r w:rsidR="000123EA" w:rsidRPr="007A12D7">
        <w:rPr>
          <w:lang w:val="en-US"/>
        </w:rPr>
        <w:t xml:space="preserve">. </w:t>
      </w:r>
    </w:p>
    <w:p w14:paraId="3E3FFD0A" w14:textId="5E502A4A" w:rsidR="0064083E" w:rsidRPr="007A12D7" w:rsidRDefault="0064083E" w:rsidP="007A12D7">
      <w:pPr>
        <w:pStyle w:val="Lijstalinea"/>
        <w:numPr>
          <w:ilvl w:val="0"/>
          <w:numId w:val="39"/>
        </w:numPr>
        <w:rPr>
          <w:lang w:val="en-US"/>
        </w:rPr>
      </w:pPr>
      <w:r w:rsidRPr="007A12D7">
        <w:rPr>
          <w:lang w:val="en-US"/>
        </w:rPr>
        <w:t xml:space="preserve">In paragraph 95, update the </w:t>
      </w:r>
      <w:r w:rsidR="00C07E2A" w:rsidRPr="007A12D7">
        <w:rPr>
          <w:lang w:val="en-US"/>
        </w:rPr>
        <w:t>phrasing</w:t>
      </w:r>
      <w:r w:rsidRPr="007A12D7">
        <w:rPr>
          <w:lang w:val="en-US"/>
        </w:rPr>
        <w:t xml:space="preserve"> of “by facilitating the transfer of green technologies” to reflect that green technologies are not only developed in high-income countries and that a transfer should consider local and regional circumstances. </w:t>
      </w:r>
    </w:p>
    <w:p w14:paraId="11690431" w14:textId="44735125" w:rsidR="00355DDC" w:rsidRPr="007A12D7" w:rsidRDefault="00355DDC" w:rsidP="007A12D7">
      <w:pPr>
        <w:pStyle w:val="Lijstalinea"/>
        <w:numPr>
          <w:ilvl w:val="0"/>
          <w:numId w:val="39"/>
        </w:numPr>
        <w:rPr>
          <w:lang w:val="en-US"/>
        </w:rPr>
      </w:pPr>
      <w:r w:rsidRPr="007A12D7">
        <w:rPr>
          <w:lang w:val="en-US"/>
        </w:rPr>
        <w:t>In paragraph 112, strengthen the wording by replacing “should consider discontinuing” with “should discontinue.”</w:t>
      </w:r>
    </w:p>
    <w:p w14:paraId="4105DA12" w14:textId="25A1BF7A" w:rsidR="002E28FC" w:rsidRPr="007A12D7" w:rsidRDefault="004A4939" w:rsidP="007A12D7">
      <w:pPr>
        <w:pStyle w:val="Lijstalinea"/>
        <w:numPr>
          <w:ilvl w:val="0"/>
          <w:numId w:val="39"/>
        </w:numPr>
        <w:rPr>
          <w:lang w:val="en-US"/>
        </w:rPr>
      </w:pPr>
      <w:r w:rsidRPr="007A12D7">
        <w:rPr>
          <w:lang w:val="en-US"/>
        </w:rPr>
        <w:t xml:space="preserve">In paragraph 116, make explicit </w:t>
      </w:r>
      <w:r w:rsidR="007D74A1" w:rsidRPr="007A12D7">
        <w:rPr>
          <w:lang w:val="en-US"/>
        </w:rPr>
        <w:t xml:space="preserve">to </w:t>
      </w:r>
      <w:r w:rsidRPr="007A12D7">
        <w:rPr>
          <w:lang w:val="en-US"/>
        </w:rPr>
        <w:t xml:space="preserve">which “applicable environmental standards” the text refers. </w:t>
      </w:r>
    </w:p>
    <w:p w14:paraId="493B81DD" w14:textId="77777777" w:rsidR="00052836" w:rsidRPr="00052836" w:rsidRDefault="00052836" w:rsidP="009E0A40">
      <w:pPr>
        <w:pStyle w:val="Lijstalinea"/>
        <w:rPr>
          <w:lang w:val="en-US"/>
        </w:rPr>
      </w:pPr>
    </w:p>
    <w:p w14:paraId="46363C52" w14:textId="38E2105C" w:rsidR="003143D8" w:rsidRDefault="00315E77" w:rsidP="009E0A40">
      <w:pPr>
        <w:pStyle w:val="Kop2"/>
      </w:pPr>
      <w:bookmarkStart w:id="12" w:name="_Toc126753470"/>
      <w:r>
        <w:t xml:space="preserve">General </w:t>
      </w:r>
      <w:r w:rsidR="006D3405">
        <w:t>points of feedback</w:t>
      </w:r>
      <w:bookmarkEnd w:id="12"/>
    </w:p>
    <w:p w14:paraId="2FF5C592" w14:textId="77777777" w:rsidR="0090016E" w:rsidRDefault="0090016E" w:rsidP="004D1BE4"/>
    <w:p w14:paraId="539A77D5" w14:textId="48098310" w:rsidR="004D1BE4" w:rsidRPr="004D1BE4" w:rsidRDefault="004D1BE4" w:rsidP="004D1BE4">
      <w:r>
        <w:t xml:space="preserve">Finally, we ask you to consider the following suggestions that are not specific to one of the three main topics of this submission: </w:t>
      </w:r>
    </w:p>
    <w:p w14:paraId="43E3F62B" w14:textId="052A0273" w:rsidR="00F356FD" w:rsidRPr="007A12D7" w:rsidRDefault="00F356FD" w:rsidP="007A12D7">
      <w:pPr>
        <w:pStyle w:val="Lijstalinea"/>
        <w:numPr>
          <w:ilvl w:val="0"/>
          <w:numId w:val="40"/>
        </w:numPr>
        <w:rPr>
          <w:b/>
          <w:bCs/>
        </w:rPr>
      </w:pPr>
      <w:r>
        <w:t>Where relevant, consider referring to the Sustainable Development Goals.</w:t>
      </w:r>
    </w:p>
    <w:p w14:paraId="37AC9E9D" w14:textId="349C1E25" w:rsidR="00F356FD" w:rsidRPr="007A12D7" w:rsidRDefault="00A83B66" w:rsidP="007A12D7">
      <w:pPr>
        <w:pStyle w:val="Lijstalinea"/>
        <w:numPr>
          <w:ilvl w:val="0"/>
          <w:numId w:val="40"/>
        </w:numPr>
        <w:rPr>
          <w:b/>
          <w:bCs/>
        </w:rPr>
      </w:pPr>
      <w:r>
        <w:t>A</w:t>
      </w:r>
      <w:r w:rsidR="00F356FD">
        <w:t>cknowledge that the independent legal rights of nature are increasingly recognised by states, while keeping the children’s rights perspective front and center</w:t>
      </w:r>
      <w:r>
        <w:t xml:space="preserve"> </w:t>
      </w:r>
      <w:r w:rsidRPr="00A83B66">
        <w:t>(e.g. in paragraph 10(b), 69 or chapter VI)</w:t>
      </w:r>
      <w:r w:rsidR="00F356FD">
        <w:t xml:space="preserve">. </w:t>
      </w:r>
    </w:p>
    <w:p w14:paraId="63BC4FB0" w14:textId="63BA0C03" w:rsidR="00E66A6E" w:rsidRPr="007A12D7" w:rsidRDefault="00E66A6E" w:rsidP="007A12D7">
      <w:pPr>
        <w:pStyle w:val="Lijstalinea"/>
        <w:numPr>
          <w:ilvl w:val="0"/>
          <w:numId w:val="40"/>
        </w:numPr>
        <w:rPr>
          <w:b/>
          <w:bCs/>
        </w:rPr>
      </w:pPr>
      <w:r>
        <w:lastRenderedPageBreak/>
        <w:t>Consider</w:t>
      </w:r>
      <w:r w:rsidR="001D15F2">
        <w:t xml:space="preserve"> to</w:t>
      </w:r>
      <w:r>
        <w:t xml:space="preserve"> </w:t>
      </w:r>
      <w:r w:rsidR="00C47E76">
        <w:t>acknowledg</w:t>
      </w:r>
      <w:r w:rsidR="001D15F2">
        <w:t>e</w:t>
      </w:r>
      <w:r>
        <w:t xml:space="preserve"> that</w:t>
      </w:r>
      <w:r w:rsidR="00721374">
        <w:t>, according to the preamble of the CRC,</w:t>
      </w:r>
      <w:r>
        <w:t xml:space="preserve"> the right to health</w:t>
      </w:r>
      <w:r w:rsidR="005F0C4C">
        <w:t xml:space="preserve"> can</w:t>
      </w:r>
      <w:r>
        <w:t xml:space="preserve"> also appl</w:t>
      </w:r>
      <w:r w:rsidR="005F0C4C">
        <w:t>y</w:t>
      </w:r>
      <w:r>
        <w:t xml:space="preserve"> to children who have not yet been born, </w:t>
      </w:r>
      <w:r w:rsidR="00D77C4B">
        <w:t xml:space="preserve">and </w:t>
      </w:r>
      <w:r w:rsidR="001D15F2">
        <w:t xml:space="preserve">to acknowledge </w:t>
      </w:r>
      <w:r>
        <w:t xml:space="preserve">the heightened importance of the first 1000 days of </w:t>
      </w:r>
      <w:r w:rsidR="009B73BC">
        <w:t>the</w:t>
      </w:r>
      <w:r>
        <w:t xml:space="preserve"> development</w:t>
      </w:r>
      <w:r w:rsidR="009B73BC">
        <w:t xml:space="preserve"> of a child</w:t>
      </w:r>
      <w:r>
        <w:t xml:space="preserve">. </w:t>
      </w:r>
      <w:r w:rsidR="00534BD9">
        <w:rPr>
          <w:rStyle w:val="Voetnootmarkering"/>
        </w:rPr>
        <w:footnoteReference w:id="5"/>
      </w:r>
    </w:p>
    <w:p w14:paraId="6679E1F8" w14:textId="18BB3AC6" w:rsidR="00EB13A1" w:rsidRPr="007A12D7" w:rsidRDefault="00EB13A1" w:rsidP="007A12D7">
      <w:pPr>
        <w:pStyle w:val="Lijstalinea"/>
        <w:numPr>
          <w:ilvl w:val="0"/>
          <w:numId w:val="40"/>
        </w:numPr>
        <w:rPr>
          <w:b/>
          <w:bCs/>
        </w:rPr>
      </w:pPr>
      <w:r>
        <w:t xml:space="preserve">Consider dedicating a separate paragraph to protecting children in light of domestic and international migration due to climate change. </w:t>
      </w:r>
    </w:p>
    <w:p w14:paraId="6AA923B0" w14:textId="061DF3D5" w:rsidR="003143D8" w:rsidRPr="007A12D7" w:rsidRDefault="005F7739" w:rsidP="007A12D7">
      <w:pPr>
        <w:pStyle w:val="Lijstalinea"/>
        <w:numPr>
          <w:ilvl w:val="0"/>
          <w:numId w:val="40"/>
        </w:numPr>
        <w:rPr>
          <w:b/>
          <w:bCs/>
        </w:rPr>
      </w:pPr>
      <w:r>
        <w:t>Acknowledge</w:t>
      </w:r>
      <w:r w:rsidR="000F09F6">
        <w:t xml:space="preserve"> that children are at</w:t>
      </w:r>
      <w:r>
        <w:t xml:space="preserve"> </w:t>
      </w:r>
      <w:r w:rsidR="0028636B">
        <w:t xml:space="preserve">increased </w:t>
      </w:r>
      <w:r>
        <w:t>odds of experiencing a natural disaster relating to climate change</w:t>
      </w:r>
      <w:r w:rsidR="00C8521E">
        <w:t xml:space="preserve"> and </w:t>
      </w:r>
      <w:r>
        <w:t>their detrimental effects.</w:t>
      </w:r>
    </w:p>
    <w:p w14:paraId="75CB023B" w14:textId="77777777" w:rsidR="003143D8" w:rsidRPr="0028636B" w:rsidRDefault="003143D8" w:rsidP="009E0A40">
      <w:pPr>
        <w:rPr>
          <w:lang w:val="en-US"/>
        </w:rPr>
      </w:pPr>
    </w:p>
    <w:p w14:paraId="082195D6" w14:textId="77777777" w:rsidR="003143D8" w:rsidRPr="0028636B" w:rsidRDefault="003143D8" w:rsidP="009E0A40">
      <w:pPr>
        <w:rPr>
          <w:lang w:val="en-US"/>
        </w:rPr>
      </w:pPr>
    </w:p>
    <w:p w14:paraId="0B7DE4B9" w14:textId="77777777" w:rsidR="003143D8" w:rsidRPr="0028636B" w:rsidRDefault="003143D8" w:rsidP="009E0A40">
      <w:pPr>
        <w:rPr>
          <w:lang w:val="en-US"/>
        </w:rPr>
      </w:pPr>
    </w:p>
    <w:p w14:paraId="77BC4699" w14:textId="77777777" w:rsidR="003143D8" w:rsidRPr="0028636B" w:rsidRDefault="003143D8" w:rsidP="009E0A40">
      <w:pPr>
        <w:rPr>
          <w:lang w:val="en-US"/>
        </w:rPr>
      </w:pPr>
    </w:p>
    <w:p w14:paraId="0CED6108" w14:textId="77777777" w:rsidR="003143D8" w:rsidRPr="0028636B" w:rsidRDefault="003143D8" w:rsidP="009E0A40">
      <w:pPr>
        <w:rPr>
          <w:lang w:val="en-US"/>
        </w:rPr>
      </w:pPr>
    </w:p>
    <w:p w14:paraId="01B8D78C" w14:textId="2FC1AB7C" w:rsidR="00AC5B44" w:rsidRPr="0028636B" w:rsidRDefault="00AC5B44" w:rsidP="009E0A40">
      <w:pPr>
        <w:rPr>
          <w:rFonts w:asciiTheme="majorHAnsi" w:eastAsiaTheme="majorEastAsia" w:hAnsiTheme="majorHAnsi" w:cstheme="majorBidi"/>
          <w:sz w:val="26"/>
          <w:szCs w:val="26"/>
          <w:lang w:val="en-US"/>
        </w:rPr>
      </w:pPr>
    </w:p>
    <w:p w14:paraId="2A7945F9" w14:textId="77777777" w:rsidR="0090016E" w:rsidRDefault="0090016E">
      <w:pPr>
        <w:rPr>
          <w:rFonts w:asciiTheme="majorHAnsi" w:eastAsiaTheme="majorEastAsia" w:hAnsiTheme="majorHAnsi" w:cstheme="majorBidi"/>
          <w:b/>
          <w:bCs/>
          <w:color w:val="ED7D31" w:themeColor="accent2"/>
          <w:sz w:val="26"/>
          <w:szCs w:val="26"/>
        </w:rPr>
      </w:pPr>
      <w:r>
        <w:br w:type="page"/>
      </w:r>
    </w:p>
    <w:p w14:paraId="1C269873" w14:textId="33DC6E1E" w:rsidR="003143D8" w:rsidRDefault="004452E9" w:rsidP="009E0A40">
      <w:pPr>
        <w:pStyle w:val="Kop2"/>
      </w:pPr>
      <w:bookmarkStart w:id="13" w:name="_Toc126753471"/>
      <w:r>
        <w:lastRenderedPageBreak/>
        <w:t xml:space="preserve">Annex: </w:t>
      </w:r>
      <w:r w:rsidR="00883582">
        <w:t>Authors and consulted experts</w:t>
      </w:r>
      <w:bookmarkEnd w:id="13"/>
    </w:p>
    <w:p w14:paraId="5AD35CAF" w14:textId="77777777" w:rsidR="0033595D" w:rsidRPr="0033595D" w:rsidRDefault="0033595D" w:rsidP="0033595D"/>
    <w:p w14:paraId="0FB33904" w14:textId="105D748A" w:rsidR="003143D8" w:rsidRPr="00432613" w:rsidRDefault="003143D8" w:rsidP="001167A0">
      <w:pPr>
        <w:spacing w:after="0"/>
      </w:pPr>
      <w:r w:rsidRPr="00432613">
        <w:t xml:space="preserve">Through the Coalition for Children’s Rights, organisations join forces to protect the interests of the child and supervise the safeguarding of children’s rights in Dutch law, policy and practice. The Coalition consists of key members Defence for Children, Kinderpostzegels, the National Youth Council, Save the Children, </w:t>
      </w:r>
      <w:r w:rsidR="00B3705E">
        <w:t xml:space="preserve">and </w:t>
      </w:r>
      <w:r w:rsidRPr="00432613">
        <w:t xml:space="preserve">Terre des Hommes Netherlands, and has the Netherlands Youth Institute as </w:t>
      </w:r>
      <w:r w:rsidR="00204155">
        <w:t>its</w:t>
      </w:r>
      <w:r w:rsidRPr="00432613">
        <w:t xml:space="preserve"> advisor. Besides its key members, the Coalition has many other partners.</w:t>
      </w:r>
    </w:p>
    <w:p w14:paraId="699EFBA2" w14:textId="77777777" w:rsidR="003143D8" w:rsidRPr="00432613" w:rsidRDefault="003143D8" w:rsidP="001167A0">
      <w:pPr>
        <w:spacing w:after="0"/>
      </w:pPr>
    </w:p>
    <w:p w14:paraId="0F9107EE" w14:textId="77777777" w:rsidR="003143D8" w:rsidRPr="00432613" w:rsidRDefault="003143D8" w:rsidP="001167A0">
      <w:pPr>
        <w:spacing w:after="0"/>
      </w:pPr>
    </w:p>
    <w:p w14:paraId="49E9E437" w14:textId="77777777" w:rsidR="003143D8" w:rsidRPr="000E3EB4" w:rsidRDefault="003143D8" w:rsidP="001167A0">
      <w:pPr>
        <w:spacing w:after="0"/>
        <w:rPr>
          <w:i/>
          <w:iCs/>
          <w:u w:val="single"/>
        </w:rPr>
      </w:pPr>
      <w:r w:rsidRPr="000E3EB4">
        <w:rPr>
          <w:i/>
          <w:iCs/>
          <w:u w:val="single"/>
        </w:rPr>
        <w:t>Coordination and editing</w:t>
      </w:r>
    </w:p>
    <w:p w14:paraId="2CE4F902" w14:textId="77777777" w:rsidR="003143D8" w:rsidRPr="00432613" w:rsidRDefault="003143D8" w:rsidP="001167A0">
      <w:pPr>
        <w:spacing w:after="0"/>
      </w:pPr>
    </w:p>
    <w:p w14:paraId="67319233" w14:textId="77777777" w:rsidR="003143D8" w:rsidRPr="00432613" w:rsidRDefault="003143D8" w:rsidP="001167A0">
      <w:pPr>
        <w:spacing w:after="0"/>
      </w:pPr>
      <w:r w:rsidRPr="00432613">
        <w:t>Brigitte Boswinkel</w:t>
      </w:r>
      <w:r w:rsidRPr="00432613">
        <w:tab/>
      </w:r>
      <w:r w:rsidRPr="00432613">
        <w:tab/>
        <w:t>Dutch NGO Coalition for Children’s Rights</w:t>
      </w:r>
    </w:p>
    <w:p w14:paraId="73C28B83" w14:textId="0230A25D" w:rsidR="003143D8" w:rsidRPr="00432613" w:rsidRDefault="009B0964" w:rsidP="001167A0">
      <w:pPr>
        <w:spacing w:after="0"/>
        <w:rPr>
          <w:highlight w:val="yellow"/>
        </w:rPr>
      </w:pPr>
      <w:r>
        <w:t>Hester van Wessel</w:t>
      </w:r>
      <w:r w:rsidR="003143D8" w:rsidRPr="00432613">
        <w:tab/>
      </w:r>
      <w:r w:rsidR="003143D8" w:rsidRPr="00432613">
        <w:tab/>
        <w:t>Dutch NGO Coalition for Children’s Rights</w:t>
      </w:r>
      <w:r w:rsidR="003143D8" w:rsidRPr="00432613">
        <w:br/>
      </w:r>
    </w:p>
    <w:p w14:paraId="159F41F3" w14:textId="77777777" w:rsidR="001E2E36" w:rsidRDefault="009B0964" w:rsidP="001167A0">
      <w:pPr>
        <w:spacing w:after="0"/>
        <w:rPr>
          <w:i/>
          <w:iCs/>
          <w:u w:val="single"/>
        </w:rPr>
      </w:pPr>
      <w:bookmarkStart w:id="14" w:name="_Toc99530598"/>
      <w:r w:rsidRPr="000E3EB4">
        <w:rPr>
          <w:i/>
          <w:iCs/>
          <w:u w:val="single"/>
        </w:rPr>
        <w:t>Mental wellbeing in light of climate change</w:t>
      </w:r>
    </w:p>
    <w:p w14:paraId="7C4697B4" w14:textId="1FB0ED7B" w:rsidR="00C268FF" w:rsidRDefault="00C268FF" w:rsidP="001167A0">
      <w:pPr>
        <w:spacing w:after="0"/>
        <w:rPr>
          <w:i/>
          <w:iCs/>
          <w:u w:val="single"/>
        </w:rPr>
      </w:pPr>
    </w:p>
    <w:p w14:paraId="64C66FE0" w14:textId="7E577D6F" w:rsidR="001A464B" w:rsidRPr="001A464B" w:rsidRDefault="001A464B" w:rsidP="001A464B">
      <w:pPr>
        <w:spacing w:after="0"/>
        <w:rPr>
          <w:lang w:val="en-US"/>
        </w:rPr>
      </w:pPr>
      <w:r w:rsidRPr="001A464B">
        <w:rPr>
          <w:lang w:val="en-US"/>
        </w:rPr>
        <w:t xml:space="preserve">Marthe </w:t>
      </w:r>
      <w:r w:rsidR="006632DB">
        <w:rPr>
          <w:lang w:val="en-US"/>
        </w:rPr>
        <w:t xml:space="preserve">van </w:t>
      </w:r>
      <w:r w:rsidRPr="001A464B">
        <w:rPr>
          <w:lang w:val="en-US"/>
        </w:rPr>
        <w:t>Voorst van Beest</w:t>
      </w:r>
      <w:r w:rsidRPr="001A464B">
        <w:rPr>
          <w:lang w:val="en-US"/>
        </w:rPr>
        <w:tab/>
        <w:t>Netherlands Youth Institute</w:t>
      </w:r>
      <w:r w:rsidRPr="001A464B">
        <w:rPr>
          <w:lang w:val="en-US"/>
        </w:rPr>
        <w:tab/>
      </w:r>
      <w:r w:rsidRPr="001A464B">
        <w:rPr>
          <w:lang w:val="en-US"/>
        </w:rPr>
        <w:tab/>
      </w:r>
      <w:r w:rsidRPr="001A464B">
        <w:rPr>
          <w:lang w:val="en-US"/>
        </w:rPr>
        <w:tab/>
        <w:t>Lead expert</w:t>
      </w:r>
    </w:p>
    <w:p w14:paraId="1C33C361" w14:textId="73DC33B4" w:rsidR="001A464B" w:rsidRPr="001E2E36" w:rsidRDefault="001A464B" w:rsidP="001A464B">
      <w:pPr>
        <w:spacing w:after="0"/>
        <w:rPr>
          <w:lang w:val="en-US"/>
        </w:rPr>
      </w:pPr>
      <w:r w:rsidRPr="001A464B">
        <w:rPr>
          <w:lang w:val="en-US"/>
        </w:rPr>
        <w:t>Amber Prinsze</w:t>
      </w:r>
      <w:r w:rsidRPr="001A464B">
        <w:rPr>
          <w:lang w:val="en-US"/>
        </w:rPr>
        <w:tab/>
      </w:r>
      <w:r w:rsidRPr="001A464B">
        <w:rPr>
          <w:lang w:val="en-US"/>
        </w:rPr>
        <w:tab/>
      </w:r>
      <w:r w:rsidRPr="001A464B">
        <w:rPr>
          <w:lang w:val="en-US"/>
        </w:rPr>
        <w:tab/>
        <w:t>Netherlands Youth Institute</w:t>
      </w:r>
      <w:r w:rsidRPr="001A464B">
        <w:rPr>
          <w:lang w:val="en-US"/>
        </w:rPr>
        <w:tab/>
      </w:r>
      <w:r w:rsidRPr="001A464B">
        <w:rPr>
          <w:lang w:val="en-US"/>
        </w:rPr>
        <w:tab/>
      </w:r>
      <w:r w:rsidRPr="001A464B">
        <w:rPr>
          <w:lang w:val="en-US"/>
        </w:rPr>
        <w:tab/>
        <w:t>Reporter</w:t>
      </w:r>
    </w:p>
    <w:p w14:paraId="3BC709BC" w14:textId="071A5F75" w:rsidR="00C268FF" w:rsidRDefault="00C268FF" w:rsidP="001167A0">
      <w:pPr>
        <w:spacing w:after="0"/>
        <w:rPr>
          <w:lang w:val="en-US"/>
        </w:rPr>
      </w:pPr>
      <w:r w:rsidRPr="00C268FF">
        <w:rPr>
          <w:lang w:val="en-US"/>
        </w:rPr>
        <w:t>Harm Haverman</w:t>
      </w:r>
      <w:r w:rsidRPr="00C268FF">
        <w:rPr>
          <w:lang w:val="en-US"/>
        </w:rPr>
        <w:tab/>
      </w:r>
      <w:r w:rsidRPr="00C268FF">
        <w:rPr>
          <w:lang w:val="en-US"/>
        </w:rPr>
        <w:tab/>
        <w:t>Save the C</w:t>
      </w:r>
      <w:r>
        <w:rPr>
          <w:lang w:val="en-US"/>
        </w:rPr>
        <w:t>hildren</w:t>
      </w:r>
      <w:r w:rsidR="00201996">
        <w:rPr>
          <w:lang w:val="en-US"/>
        </w:rPr>
        <w:t xml:space="preserve"> Netherlands</w:t>
      </w:r>
    </w:p>
    <w:p w14:paraId="08C1B41C" w14:textId="0479F3C1" w:rsidR="00C268FF" w:rsidRPr="00C56D13" w:rsidRDefault="00C268FF" w:rsidP="001167A0">
      <w:pPr>
        <w:spacing w:after="0"/>
        <w:rPr>
          <w:lang w:val="nl-NL"/>
        </w:rPr>
      </w:pPr>
      <w:r w:rsidRPr="00C56D13">
        <w:rPr>
          <w:lang w:val="nl-NL"/>
        </w:rPr>
        <w:t>Marit Hopman</w:t>
      </w:r>
      <w:r w:rsidRPr="00C56D13">
        <w:rPr>
          <w:lang w:val="nl-NL"/>
        </w:rPr>
        <w:tab/>
      </w:r>
      <w:r w:rsidRPr="00C56D13">
        <w:rPr>
          <w:lang w:val="nl-NL"/>
        </w:rPr>
        <w:tab/>
      </w:r>
      <w:r w:rsidRPr="00C56D13">
        <w:rPr>
          <w:lang w:val="nl-NL"/>
        </w:rPr>
        <w:tab/>
        <w:t>Children</w:t>
      </w:r>
      <w:r w:rsidR="00987072" w:rsidRPr="00C56D13">
        <w:rPr>
          <w:lang w:val="nl-NL"/>
        </w:rPr>
        <w:t>’s Ombudsman</w:t>
      </w:r>
    </w:p>
    <w:p w14:paraId="5588E790" w14:textId="01A9F6BE" w:rsidR="00987072" w:rsidRPr="00C56D13" w:rsidRDefault="00987072" w:rsidP="001167A0">
      <w:pPr>
        <w:spacing w:after="0"/>
        <w:rPr>
          <w:lang w:val="nl-NL"/>
        </w:rPr>
      </w:pPr>
      <w:r w:rsidRPr="00C56D13">
        <w:rPr>
          <w:lang w:val="nl-NL"/>
        </w:rPr>
        <w:t>Peter van Klaveren</w:t>
      </w:r>
      <w:r w:rsidRPr="00C56D13">
        <w:rPr>
          <w:lang w:val="nl-NL"/>
        </w:rPr>
        <w:tab/>
      </w:r>
      <w:r w:rsidRPr="00C56D13">
        <w:rPr>
          <w:lang w:val="nl-NL"/>
        </w:rPr>
        <w:tab/>
        <w:t>Kindvriendelijk.nu</w:t>
      </w:r>
    </w:p>
    <w:p w14:paraId="5214589F" w14:textId="7FCADD5A" w:rsidR="00987072" w:rsidRDefault="00987072" w:rsidP="001167A0">
      <w:pPr>
        <w:spacing w:after="0"/>
        <w:rPr>
          <w:lang w:val="en-US"/>
        </w:rPr>
      </w:pPr>
      <w:r>
        <w:rPr>
          <w:lang w:val="en-US"/>
        </w:rPr>
        <w:t>Johan Kruip</w:t>
      </w:r>
      <w:r>
        <w:rPr>
          <w:lang w:val="en-US"/>
        </w:rPr>
        <w:tab/>
      </w:r>
      <w:r>
        <w:rPr>
          <w:lang w:val="en-US"/>
        </w:rPr>
        <w:tab/>
      </w:r>
      <w:r>
        <w:rPr>
          <w:lang w:val="en-US"/>
        </w:rPr>
        <w:tab/>
        <w:t>National Committee UNICEF the Netherlands</w:t>
      </w:r>
    </w:p>
    <w:p w14:paraId="249AD3FC" w14:textId="134D340F" w:rsidR="00197E63" w:rsidRPr="001E2E36" w:rsidRDefault="00197E63" w:rsidP="001167A0">
      <w:pPr>
        <w:spacing w:after="0"/>
        <w:rPr>
          <w:lang w:val="en-US"/>
        </w:rPr>
      </w:pPr>
      <w:r w:rsidRPr="001E2E36">
        <w:rPr>
          <w:lang w:val="en-US"/>
        </w:rPr>
        <w:t>Hilde Neels</w:t>
      </w:r>
      <w:r w:rsidRPr="001E2E36">
        <w:rPr>
          <w:lang w:val="en-US"/>
        </w:rPr>
        <w:tab/>
      </w:r>
      <w:r w:rsidRPr="001E2E36">
        <w:rPr>
          <w:lang w:val="en-US"/>
        </w:rPr>
        <w:tab/>
      </w:r>
      <w:r w:rsidRPr="001E2E36">
        <w:rPr>
          <w:lang w:val="en-US"/>
        </w:rPr>
        <w:tab/>
        <w:t>Terre des Hommes</w:t>
      </w:r>
    </w:p>
    <w:p w14:paraId="039106F8" w14:textId="58D250EC" w:rsidR="001E2E36" w:rsidRDefault="00987072" w:rsidP="001167A0">
      <w:pPr>
        <w:spacing w:after="0"/>
        <w:rPr>
          <w:lang w:val="en-US"/>
        </w:rPr>
      </w:pPr>
      <w:r>
        <w:rPr>
          <w:lang w:val="en-US"/>
        </w:rPr>
        <w:t>Caroline Vink</w:t>
      </w:r>
      <w:r>
        <w:rPr>
          <w:lang w:val="en-US"/>
        </w:rPr>
        <w:tab/>
      </w:r>
      <w:r>
        <w:rPr>
          <w:lang w:val="en-US"/>
        </w:rPr>
        <w:tab/>
      </w:r>
      <w:r>
        <w:rPr>
          <w:lang w:val="en-US"/>
        </w:rPr>
        <w:tab/>
        <w:t>Netherlands Youth Institute</w:t>
      </w:r>
    </w:p>
    <w:p w14:paraId="17774F38" w14:textId="09E5C0FB" w:rsidR="00995D7F" w:rsidRDefault="00995D7F" w:rsidP="001167A0">
      <w:pPr>
        <w:spacing w:after="0"/>
        <w:rPr>
          <w:lang w:val="en-US"/>
        </w:rPr>
      </w:pPr>
      <w:r>
        <w:rPr>
          <w:lang w:val="en-US"/>
        </w:rPr>
        <w:t>Jantine Walst</w:t>
      </w:r>
      <w:r>
        <w:rPr>
          <w:lang w:val="en-US"/>
        </w:rPr>
        <w:tab/>
      </w:r>
      <w:r>
        <w:rPr>
          <w:lang w:val="en-US"/>
        </w:rPr>
        <w:tab/>
      </w:r>
      <w:r>
        <w:rPr>
          <w:lang w:val="en-US"/>
        </w:rPr>
        <w:tab/>
        <w:t>Defence for Children</w:t>
      </w:r>
    </w:p>
    <w:p w14:paraId="0F417F84" w14:textId="77777777" w:rsidR="001E2E36" w:rsidRDefault="001E2E36" w:rsidP="001167A0">
      <w:pPr>
        <w:spacing w:after="0"/>
        <w:rPr>
          <w:lang w:val="en-US"/>
        </w:rPr>
      </w:pPr>
    </w:p>
    <w:p w14:paraId="690D5DA7" w14:textId="2CBDFA8B" w:rsidR="009B0964" w:rsidRPr="000E3EB4" w:rsidRDefault="009B0964" w:rsidP="001167A0">
      <w:pPr>
        <w:spacing w:after="0"/>
        <w:rPr>
          <w:i/>
          <w:iCs/>
          <w:u w:val="single"/>
        </w:rPr>
      </w:pPr>
      <w:r w:rsidRPr="000E3EB4">
        <w:rPr>
          <w:i/>
          <w:iCs/>
          <w:u w:val="single"/>
        </w:rPr>
        <w:t>Responsibilities of governments and businesses</w:t>
      </w:r>
    </w:p>
    <w:p w14:paraId="291CD633" w14:textId="77777777" w:rsidR="00874D93" w:rsidRDefault="00874D93" w:rsidP="001167A0">
      <w:pPr>
        <w:spacing w:after="0"/>
      </w:pPr>
    </w:p>
    <w:p w14:paraId="3B1E5511" w14:textId="03B74DE8" w:rsidR="001F4A57" w:rsidRDefault="001F4A57" w:rsidP="001167A0">
      <w:pPr>
        <w:spacing w:after="0"/>
      </w:pPr>
      <w:r>
        <w:t>Josje Beukema</w:t>
      </w:r>
      <w:r>
        <w:tab/>
      </w:r>
      <w:r>
        <w:tab/>
      </w:r>
      <w:r>
        <w:tab/>
        <w:t>Save the Children</w:t>
      </w:r>
      <w:r w:rsidR="00201996">
        <w:t xml:space="preserve"> Netherlands</w:t>
      </w:r>
      <w:r w:rsidR="00523029">
        <w:tab/>
      </w:r>
      <w:r w:rsidR="00523029">
        <w:tab/>
      </w:r>
      <w:r w:rsidR="00523029">
        <w:tab/>
        <w:t>Lead expert</w:t>
      </w:r>
    </w:p>
    <w:p w14:paraId="646BC605" w14:textId="16373662" w:rsidR="001F4A57" w:rsidRDefault="001F4A57" w:rsidP="001167A0">
      <w:pPr>
        <w:spacing w:after="0"/>
        <w:rPr>
          <w:lang w:val="en-US"/>
        </w:rPr>
      </w:pPr>
      <w:r w:rsidRPr="001F4A57">
        <w:rPr>
          <w:lang w:val="en-US"/>
        </w:rPr>
        <w:t>Eefje van Esch</w:t>
      </w:r>
      <w:r w:rsidRPr="001F4A57">
        <w:rPr>
          <w:lang w:val="en-US"/>
        </w:rPr>
        <w:tab/>
      </w:r>
      <w:r w:rsidRPr="001F4A57">
        <w:rPr>
          <w:lang w:val="en-US"/>
        </w:rPr>
        <w:tab/>
      </w:r>
      <w:r w:rsidRPr="001F4A57">
        <w:rPr>
          <w:lang w:val="en-US"/>
        </w:rPr>
        <w:tab/>
        <w:t>Save the Child</w:t>
      </w:r>
      <w:r>
        <w:rPr>
          <w:lang w:val="en-US"/>
        </w:rPr>
        <w:t>ren</w:t>
      </w:r>
      <w:r w:rsidR="00201996">
        <w:rPr>
          <w:lang w:val="en-US"/>
        </w:rPr>
        <w:t xml:space="preserve"> Netherlands</w:t>
      </w:r>
      <w:r w:rsidR="00523029">
        <w:rPr>
          <w:lang w:val="en-US"/>
        </w:rPr>
        <w:tab/>
      </w:r>
      <w:r w:rsidR="00523029">
        <w:rPr>
          <w:lang w:val="en-US"/>
        </w:rPr>
        <w:tab/>
      </w:r>
      <w:r w:rsidR="00523029">
        <w:rPr>
          <w:lang w:val="en-US"/>
        </w:rPr>
        <w:tab/>
        <w:t>Lead expert</w:t>
      </w:r>
    </w:p>
    <w:p w14:paraId="41D747C4" w14:textId="4EFDA628" w:rsidR="00D84DF2" w:rsidRPr="00523029" w:rsidRDefault="001F4A57" w:rsidP="001167A0">
      <w:pPr>
        <w:spacing w:after="0"/>
        <w:rPr>
          <w:lang w:val="en-US"/>
        </w:rPr>
      </w:pPr>
      <w:r>
        <w:rPr>
          <w:lang w:val="en-US"/>
        </w:rPr>
        <w:t>Lotte ter Horst</w:t>
      </w:r>
      <w:r>
        <w:rPr>
          <w:lang w:val="en-US"/>
        </w:rPr>
        <w:tab/>
      </w:r>
      <w:r>
        <w:rPr>
          <w:lang w:val="en-US"/>
        </w:rPr>
        <w:tab/>
      </w:r>
      <w:r>
        <w:rPr>
          <w:lang w:val="en-US"/>
        </w:rPr>
        <w:tab/>
        <w:t>Defence for Children</w:t>
      </w:r>
      <w:r w:rsidR="00523029">
        <w:rPr>
          <w:lang w:val="en-US"/>
        </w:rPr>
        <w:tab/>
      </w:r>
      <w:r w:rsidR="00523029">
        <w:rPr>
          <w:lang w:val="en-US"/>
        </w:rPr>
        <w:tab/>
      </w:r>
      <w:r w:rsidR="00523029">
        <w:rPr>
          <w:lang w:val="en-US"/>
        </w:rPr>
        <w:tab/>
      </w:r>
      <w:r w:rsidR="00523029">
        <w:rPr>
          <w:lang w:val="en-US"/>
        </w:rPr>
        <w:tab/>
        <w:t>Reporter</w:t>
      </w:r>
    </w:p>
    <w:p w14:paraId="3C7FD8F8" w14:textId="1B2E6C09" w:rsidR="00D84DF2" w:rsidRPr="00C00B97" w:rsidRDefault="00D84DF2" w:rsidP="001167A0">
      <w:pPr>
        <w:spacing w:after="0"/>
        <w:rPr>
          <w:lang w:val="en-US"/>
        </w:rPr>
      </w:pPr>
      <w:r w:rsidRPr="00C00B97">
        <w:rPr>
          <w:lang w:val="en-US"/>
        </w:rPr>
        <w:t>Marc Dullaert</w:t>
      </w:r>
      <w:r w:rsidRPr="00C00B97">
        <w:rPr>
          <w:lang w:val="en-US"/>
        </w:rPr>
        <w:tab/>
      </w:r>
      <w:r w:rsidRPr="00C00B97">
        <w:rPr>
          <w:lang w:val="en-US"/>
        </w:rPr>
        <w:tab/>
      </w:r>
      <w:r w:rsidRPr="00C00B97">
        <w:rPr>
          <w:lang w:val="en-US"/>
        </w:rPr>
        <w:tab/>
        <w:t>KidsRights</w:t>
      </w:r>
    </w:p>
    <w:p w14:paraId="5EF36285" w14:textId="7F838E2C" w:rsidR="00D84DF2" w:rsidRDefault="00D84DF2" w:rsidP="001167A0">
      <w:pPr>
        <w:spacing w:after="0"/>
        <w:rPr>
          <w:lang w:val="en-US"/>
        </w:rPr>
      </w:pPr>
      <w:r w:rsidRPr="00D84DF2">
        <w:rPr>
          <w:lang w:val="en-US"/>
        </w:rPr>
        <w:t>Tim Peute</w:t>
      </w:r>
      <w:r w:rsidRPr="00D84DF2">
        <w:rPr>
          <w:lang w:val="en-US"/>
        </w:rPr>
        <w:tab/>
      </w:r>
      <w:r w:rsidRPr="00D84DF2">
        <w:rPr>
          <w:lang w:val="en-US"/>
        </w:rPr>
        <w:tab/>
      </w:r>
      <w:r w:rsidRPr="00D84DF2">
        <w:rPr>
          <w:lang w:val="en-US"/>
        </w:rPr>
        <w:tab/>
        <w:t>The Netherlands I</w:t>
      </w:r>
      <w:r>
        <w:rPr>
          <w:lang w:val="en-US"/>
        </w:rPr>
        <w:t>nstitute for Human Rights</w:t>
      </w:r>
    </w:p>
    <w:p w14:paraId="74F223D8" w14:textId="2D467105" w:rsidR="00D84DF2" w:rsidRDefault="00D84DF2" w:rsidP="001167A0">
      <w:pPr>
        <w:spacing w:after="0"/>
        <w:rPr>
          <w:lang w:val="en-US"/>
        </w:rPr>
      </w:pPr>
      <w:r>
        <w:rPr>
          <w:lang w:val="en-US"/>
        </w:rPr>
        <w:t>Huri Sahin</w:t>
      </w:r>
      <w:r>
        <w:rPr>
          <w:lang w:val="en-US"/>
        </w:rPr>
        <w:tab/>
      </w:r>
      <w:r>
        <w:rPr>
          <w:lang w:val="en-US"/>
        </w:rPr>
        <w:tab/>
      </w:r>
      <w:r>
        <w:rPr>
          <w:lang w:val="en-US"/>
        </w:rPr>
        <w:tab/>
        <w:t>Municipality of Rijswijk</w:t>
      </w:r>
    </w:p>
    <w:p w14:paraId="026A8E15" w14:textId="196ED957" w:rsidR="00D84DF2" w:rsidRPr="00C00B97" w:rsidRDefault="00D84DF2" w:rsidP="001167A0">
      <w:pPr>
        <w:spacing w:after="0"/>
        <w:rPr>
          <w:lang w:val="en-US"/>
        </w:rPr>
      </w:pPr>
      <w:r w:rsidRPr="00C00B97">
        <w:rPr>
          <w:lang w:val="en-US"/>
        </w:rPr>
        <w:t>Jan van de Venis</w:t>
      </w:r>
      <w:r w:rsidRPr="00C00B97">
        <w:rPr>
          <w:lang w:val="en-US"/>
        </w:rPr>
        <w:tab/>
      </w:r>
      <w:r w:rsidRPr="00C00B97">
        <w:rPr>
          <w:lang w:val="en-US"/>
        </w:rPr>
        <w:tab/>
        <w:t>JustLaw</w:t>
      </w:r>
    </w:p>
    <w:p w14:paraId="2D6AC3A8" w14:textId="77777777" w:rsidR="00D84DF2" w:rsidRPr="00D84DF2" w:rsidRDefault="00D84DF2" w:rsidP="001167A0">
      <w:pPr>
        <w:spacing w:after="0"/>
        <w:rPr>
          <w:lang w:val="en-US"/>
        </w:rPr>
      </w:pPr>
    </w:p>
    <w:p w14:paraId="24ED2017" w14:textId="77777777" w:rsidR="00874D93" w:rsidRPr="00D84DF2" w:rsidRDefault="00874D93" w:rsidP="001167A0">
      <w:pPr>
        <w:spacing w:after="0"/>
        <w:rPr>
          <w:lang w:val="en-US"/>
        </w:rPr>
      </w:pPr>
    </w:p>
    <w:p w14:paraId="0D83418D" w14:textId="3AAA1480" w:rsidR="001F4A57" w:rsidRPr="000E3EB4" w:rsidRDefault="009B0964" w:rsidP="001167A0">
      <w:pPr>
        <w:spacing w:after="0"/>
        <w:rPr>
          <w:i/>
          <w:iCs/>
          <w:u w:val="single"/>
        </w:rPr>
      </w:pPr>
      <w:r w:rsidRPr="000E3EB4">
        <w:rPr>
          <w:i/>
          <w:iCs/>
          <w:u w:val="single"/>
        </w:rPr>
        <w:t>Child and youth participation in environmental issues</w:t>
      </w:r>
    </w:p>
    <w:p w14:paraId="6F521011" w14:textId="77777777" w:rsidR="00E5252D" w:rsidRDefault="00E5252D" w:rsidP="001167A0">
      <w:pPr>
        <w:spacing w:after="0"/>
      </w:pPr>
    </w:p>
    <w:p w14:paraId="7835DAAA" w14:textId="70F492A0" w:rsidR="001F4A57" w:rsidRDefault="001F4A57" w:rsidP="001167A0">
      <w:pPr>
        <w:spacing w:after="0"/>
      </w:pPr>
      <w:r>
        <w:t>Mieke Breedijk</w:t>
      </w:r>
      <w:r>
        <w:tab/>
      </w:r>
      <w:r>
        <w:tab/>
      </w:r>
      <w:r>
        <w:tab/>
        <w:t>Defence for Children</w:t>
      </w:r>
      <w:r w:rsidR="00523029">
        <w:tab/>
      </w:r>
      <w:r w:rsidR="00523029">
        <w:tab/>
      </w:r>
      <w:r w:rsidR="00523029">
        <w:tab/>
      </w:r>
      <w:r w:rsidR="00523029">
        <w:tab/>
        <w:t>Lead expert</w:t>
      </w:r>
    </w:p>
    <w:p w14:paraId="17667782" w14:textId="3A75366D" w:rsidR="00CF626C" w:rsidRDefault="001F4A57" w:rsidP="001167A0">
      <w:pPr>
        <w:spacing w:after="0"/>
      </w:pPr>
      <w:r>
        <w:t>Lotte Kallio</w:t>
      </w:r>
      <w:r>
        <w:tab/>
      </w:r>
      <w:r>
        <w:tab/>
      </w:r>
      <w:r>
        <w:tab/>
        <w:t>Save the Childr</w:t>
      </w:r>
      <w:r w:rsidR="00201996">
        <w:t>en Netherlands</w:t>
      </w:r>
      <w:r w:rsidR="00523029">
        <w:tab/>
      </w:r>
      <w:r w:rsidR="00523029">
        <w:tab/>
      </w:r>
      <w:r w:rsidR="00523029">
        <w:tab/>
        <w:t>Reporter</w:t>
      </w:r>
    </w:p>
    <w:p w14:paraId="6B39646E" w14:textId="7AD5C67C" w:rsidR="00CF626C" w:rsidRDefault="00CF626C" w:rsidP="001167A0">
      <w:pPr>
        <w:spacing w:after="0"/>
        <w:rPr>
          <w:lang w:val="nl-NL"/>
        </w:rPr>
      </w:pPr>
      <w:r w:rsidRPr="00CF626C">
        <w:rPr>
          <w:lang w:val="nl-NL"/>
        </w:rPr>
        <w:t>Nina von der Assen</w:t>
      </w:r>
      <w:r w:rsidRPr="00CF626C">
        <w:rPr>
          <w:lang w:val="nl-NL"/>
        </w:rPr>
        <w:tab/>
      </w:r>
      <w:r w:rsidRPr="00CF626C">
        <w:rPr>
          <w:lang w:val="nl-NL"/>
        </w:rPr>
        <w:tab/>
        <w:t>Jan</w:t>
      </w:r>
      <w:r>
        <w:rPr>
          <w:lang w:val="nl-NL"/>
        </w:rPr>
        <w:t>usz Korczak Stichting</w:t>
      </w:r>
    </w:p>
    <w:p w14:paraId="762C7263" w14:textId="184C9925" w:rsidR="00CF626C" w:rsidRDefault="00CF626C" w:rsidP="001167A0">
      <w:pPr>
        <w:spacing w:after="0"/>
        <w:rPr>
          <w:lang w:val="nl-NL"/>
        </w:rPr>
      </w:pPr>
      <w:r>
        <w:rPr>
          <w:lang w:val="nl-NL"/>
        </w:rPr>
        <w:t>Willemijn Dupuis</w:t>
      </w:r>
      <w:r>
        <w:rPr>
          <w:lang w:val="nl-NL"/>
        </w:rPr>
        <w:tab/>
      </w:r>
      <w:r>
        <w:rPr>
          <w:lang w:val="nl-NL"/>
        </w:rPr>
        <w:tab/>
        <w:t>KinderrechtenNU</w:t>
      </w:r>
    </w:p>
    <w:p w14:paraId="4D9BD9E9" w14:textId="746B2891" w:rsidR="00CF626C" w:rsidRPr="00C00B97" w:rsidRDefault="00CF626C" w:rsidP="001167A0">
      <w:pPr>
        <w:spacing w:after="0"/>
        <w:rPr>
          <w:lang w:val="nl-NL"/>
        </w:rPr>
      </w:pPr>
      <w:r w:rsidRPr="00C00B97">
        <w:rPr>
          <w:lang w:val="nl-NL"/>
        </w:rPr>
        <w:t>Max Doedens</w:t>
      </w:r>
      <w:r w:rsidRPr="00C00B97">
        <w:rPr>
          <w:lang w:val="nl-NL"/>
        </w:rPr>
        <w:tab/>
      </w:r>
      <w:r w:rsidRPr="00C00B97">
        <w:rPr>
          <w:lang w:val="nl-NL"/>
        </w:rPr>
        <w:tab/>
      </w:r>
      <w:r w:rsidRPr="00C00B97">
        <w:rPr>
          <w:lang w:val="nl-NL"/>
        </w:rPr>
        <w:tab/>
        <w:t>Jonge Klimaatbeweging</w:t>
      </w:r>
    </w:p>
    <w:p w14:paraId="4E0038FD" w14:textId="339F904F" w:rsidR="00CF626C" w:rsidRPr="00CF626C" w:rsidRDefault="00CF626C" w:rsidP="001167A0">
      <w:pPr>
        <w:spacing w:after="0"/>
        <w:rPr>
          <w:lang w:val="en-US"/>
        </w:rPr>
      </w:pPr>
      <w:r>
        <w:rPr>
          <w:lang w:val="en-US"/>
        </w:rPr>
        <w:t>Fahima Elmi</w:t>
      </w:r>
      <w:r>
        <w:rPr>
          <w:lang w:val="en-US"/>
        </w:rPr>
        <w:tab/>
      </w:r>
      <w:r>
        <w:rPr>
          <w:lang w:val="en-US"/>
        </w:rPr>
        <w:tab/>
      </w:r>
      <w:r>
        <w:rPr>
          <w:lang w:val="en-US"/>
        </w:rPr>
        <w:tab/>
        <w:t>National Youth Council</w:t>
      </w:r>
    </w:p>
    <w:p w14:paraId="7FA072B5" w14:textId="4F18E640" w:rsidR="00CF626C" w:rsidRDefault="00CF626C" w:rsidP="001167A0">
      <w:pPr>
        <w:spacing w:after="0"/>
        <w:rPr>
          <w:lang w:val="en-US"/>
        </w:rPr>
      </w:pPr>
      <w:r w:rsidRPr="00CF626C">
        <w:rPr>
          <w:lang w:val="en-US"/>
        </w:rPr>
        <w:t>Sander Hehanussa</w:t>
      </w:r>
      <w:r w:rsidRPr="00CF626C">
        <w:rPr>
          <w:lang w:val="en-US"/>
        </w:rPr>
        <w:tab/>
      </w:r>
      <w:r w:rsidRPr="00CF626C">
        <w:rPr>
          <w:lang w:val="en-US"/>
        </w:rPr>
        <w:tab/>
        <w:t>Save the C</w:t>
      </w:r>
      <w:r>
        <w:rPr>
          <w:lang w:val="en-US"/>
        </w:rPr>
        <w:t>hildren</w:t>
      </w:r>
      <w:r w:rsidR="00201996">
        <w:rPr>
          <w:lang w:val="en-US"/>
        </w:rPr>
        <w:t xml:space="preserve"> Netherlands</w:t>
      </w:r>
    </w:p>
    <w:p w14:paraId="12A1D875" w14:textId="050A9D4F" w:rsidR="0075529F" w:rsidRPr="0075529F" w:rsidRDefault="0075529F" w:rsidP="001167A0">
      <w:pPr>
        <w:spacing w:after="0"/>
        <w:rPr>
          <w:lang w:val="nl-NL"/>
        </w:rPr>
      </w:pPr>
      <w:r w:rsidRPr="0075529F">
        <w:rPr>
          <w:lang w:val="nl-NL"/>
        </w:rPr>
        <w:t>Elske Oost-Mulder</w:t>
      </w:r>
      <w:r w:rsidRPr="0075529F">
        <w:rPr>
          <w:lang w:val="nl-NL"/>
        </w:rPr>
        <w:tab/>
      </w:r>
      <w:r w:rsidRPr="0075529F">
        <w:rPr>
          <w:lang w:val="nl-NL"/>
        </w:rPr>
        <w:tab/>
      </w:r>
      <w:r w:rsidR="00EC166D">
        <w:rPr>
          <w:lang w:val="nl-NL"/>
        </w:rPr>
        <w:t>Platform</w:t>
      </w:r>
      <w:r w:rsidR="00E40765">
        <w:rPr>
          <w:lang w:val="nl-NL"/>
        </w:rPr>
        <w:t xml:space="preserve"> Ruimte voor de </w:t>
      </w:r>
      <w:r w:rsidR="007966F7">
        <w:rPr>
          <w:lang w:val="nl-NL"/>
        </w:rPr>
        <w:t>J</w:t>
      </w:r>
      <w:r w:rsidR="00E40765">
        <w:rPr>
          <w:lang w:val="nl-NL"/>
        </w:rPr>
        <w:t>eugd</w:t>
      </w:r>
    </w:p>
    <w:p w14:paraId="602A6AAC" w14:textId="77777777" w:rsidR="002D73BC" w:rsidRPr="002A650C" w:rsidRDefault="00CF626C" w:rsidP="00D84DF2">
      <w:pPr>
        <w:spacing w:after="0"/>
        <w:rPr>
          <w:lang w:val="en-US"/>
        </w:rPr>
      </w:pPr>
      <w:r w:rsidRPr="002A650C">
        <w:rPr>
          <w:lang w:val="en-US"/>
        </w:rPr>
        <w:t>Ivet Pieper</w:t>
      </w:r>
      <w:r w:rsidRPr="002A650C">
        <w:rPr>
          <w:lang w:val="en-US"/>
        </w:rPr>
        <w:tab/>
      </w:r>
      <w:r w:rsidRPr="002A650C">
        <w:rPr>
          <w:lang w:val="en-US"/>
        </w:rPr>
        <w:tab/>
      </w:r>
      <w:r w:rsidRPr="002A650C">
        <w:rPr>
          <w:lang w:val="en-US"/>
        </w:rPr>
        <w:tab/>
        <w:t>Stichting Alexander</w:t>
      </w:r>
    </w:p>
    <w:p w14:paraId="7ED97100" w14:textId="77777777" w:rsidR="00C625D5" w:rsidRDefault="002D73BC" w:rsidP="00D84DF2">
      <w:pPr>
        <w:spacing w:after="0"/>
        <w:rPr>
          <w:lang w:val="en-US"/>
        </w:rPr>
      </w:pPr>
      <w:r w:rsidRPr="00C24453">
        <w:rPr>
          <w:lang w:val="en-US"/>
        </w:rPr>
        <w:t>Olivier Roekens</w:t>
      </w:r>
      <w:r w:rsidRPr="00C24453">
        <w:rPr>
          <w:lang w:val="en-US"/>
        </w:rPr>
        <w:tab/>
      </w:r>
      <w:r w:rsidRPr="00C24453">
        <w:rPr>
          <w:lang w:val="en-US"/>
        </w:rPr>
        <w:tab/>
      </w:r>
      <w:r w:rsidRPr="00C24453">
        <w:rPr>
          <w:lang w:val="en-US"/>
        </w:rPr>
        <w:tab/>
        <w:t xml:space="preserve">Environmental Youth Council </w:t>
      </w:r>
    </w:p>
    <w:p w14:paraId="49B59B16" w14:textId="77777777" w:rsidR="00C625D5" w:rsidRDefault="00C625D5" w:rsidP="00D84DF2">
      <w:pPr>
        <w:spacing w:after="0"/>
        <w:rPr>
          <w:lang w:val="en-US"/>
        </w:rPr>
      </w:pPr>
    </w:p>
    <w:p w14:paraId="6C348681" w14:textId="3811EAB0" w:rsidR="00C625D5" w:rsidRDefault="00C625D5" w:rsidP="00D84DF2">
      <w:pPr>
        <w:spacing w:after="0"/>
        <w:rPr>
          <w:i/>
          <w:iCs/>
          <w:u w:val="single"/>
          <w:lang w:val="en-US"/>
        </w:rPr>
      </w:pPr>
      <w:r>
        <w:rPr>
          <w:i/>
          <w:iCs/>
          <w:u w:val="single"/>
          <w:lang w:val="en-US"/>
        </w:rPr>
        <w:t>General points of feedback</w:t>
      </w:r>
    </w:p>
    <w:p w14:paraId="22652DEB" w14:textId="77777777" w:rsidR="00F15EA9" w:rsidRDefault="00F15EA9" w:rsidP="00D84DF2">
      <w:pPr>
        <w:spacing w:after="0"/>
        <w:rPr>
          <w:i/>
          <w:iCs/>
          <w:u w:val="single"/>
          <w:lang w:val="en-US"/>
        </w:rPr>
      </w:pPr>
    </w:p>
    <w:p w14:paraId="30F65777" w14:textId="2B56F815" w:rsidR="006055AE" w:rsidRDefault="00C625D5" w:rsidP="000A2AEE">
      <w:pPr>
        <w:spacing w:after="0"/>
        <w:rPr>
          <w:lang w:val="en-US"/>
        </w:rPr>
      </w:pPr>
      <w:r>
        <w:rPr>
          <w:lang w:val="en-US"/>
        </w:rPr>
        <w:t>Tessa Roseboom</w:t>
      </w:r>
      <w:r>
        <w:rPr>
          <w:lang w:val="en-US"/>
        </w:rPr>
        <w:tab/>
      </w:r>
      <w:r>
        <w:rPr>
          <w:lang w:val="en-US"/>
        </w:rPr>
        <w:tab/>
        <w:t>University of Amsterdam</w:t>
      </w:r>
      <w:bookmarkEnd w:id="14"/>
    </w:p>
    <w:p w14:paraId="42780ACE" w14:textId="22E58ED7" w:rsidR="006E306F" w:rsidRDefault="006E306F" w:rsidP="00E82A18">
      <w:pPr>
        <w:pStyle w:val="Kop3"/>
        <w:rPr>
          <w:lang w:val="en-US"/>
        </w:rPr>
      </w:pPr>
      <w:r w:rsidRPr="006E306F">
        <w:rPr>
          <w:lang w:val="en-US"/>
        </w:rPr>
        <w:lastRenderedPageBreak/>
        <w:t>Contact information</w:t>
      </w:r>
    </w:p>
    <w:p w14:paraId="72EB318A" w14:textId="4AB083F5" w:rsidR="006E306F" w:rsidRPr="006E306F" w:rsidRDefault="006E306F" w:rsidP="006E306F">
      <w:pPr>
        <w:spacing w:after="0"/>
        <w:rPr>
          <w:lang w:val="en-US"/>
        </w:rPr>
      </w:pPr>
      <w:r w:rsidRPr="006E306F">
        <w:rPr>
          <w:lang w:val="en-US"/>
        </w:rPr>
        <w:t>Kinderrechtencollectief | NGO Coalition for Children’s Rights</w:t>
      </w:r>
    </w:p>
    <w:p w14:paraId="43D86708" w14:textId="77777777" w:rsidR="006E306F" w:rsidRPr="006E306F" w:rsidRDefault="006E306F" w:rsidP="006E306F">
      <w:pPr>
        <w:spacing w:after="0"/>
        <w:rPr>
          <w:lang w:val="nl-NL"/>
        </w:rPr>
      </w:pPr>
      <w:r w:rsidRPr="006E306F">
        <w:rPr>
          <w:lang w:val="nl-NL"/>
        </w:rPr>
        <w:t>Hooglandse Kerkgracht 17G</w:t>
      </w:r>
    </w:p>
    <w:p w14:paraId="5FF566F6" w14:textId="77777777" w:rsidR="006E306F" w:rsidRPr="006E306F" w:rsidRDefault="006E306F" w:rsidP="006E306F">
      <w:pPr>
        <w:spacing w:after="0"/>
        <w:rPr>
          <w:lang w:val="nl-NL"/>
        </w:rPr>
      </w:pPr>
      <w:r w:rsidRPr="006E306F">
        <w:rPr>
          <w:lang w:val="nl-NL"/>
        </w:rPr>
        <w:t>2312 HS Leiden</w:t>
      </w:r>
    </w:p>
    <w:p w14:paraId="647BC907" w14:textId="77777777" w:rsidR="006E306F" w:rsidRPr="006E306F" w:rsidRDefault="006E306F" w:rsidP="006E306F">
      <w:pPr>
        <w:spacing w:after="0"/>
        <w:rPr>
          <w:lang w:val="nl-NL"/>
        </w:rPr>
      </w:pPr>
      <w:r w:rsidRPr="006E306F">
        <w:rPr>
          <w:lang w:val="nl-NL"/>
        </w:rPr>
        <w:t>The Netherlands</w:t>
      </w:r>
    </w:p>
    <w:p w14:paraId="7BDBED54" w14:textId="77777777" w:rsidR="006E306F" w:rsidRPr="006E306F" w:rsidRDefault="00681932" w:rsidP="006E306F">
      <w:pPr>
        <w:spacing w:after="0"/>
        <w:rPr>
          <w:lang w:val="nl-NL"/>
        </w:rPr>
      </w:pPr>
      <w:hyperlink r:id="rId8" w:history="1">
        <w:r w:rsidR="006E306F" w:rsidRPr="006E306F">
          <w:rPr>
            <w:rStyle w:val="Hyperlink"/>
            <w:lang w:val="nl-NL"/>
          </w:rPr>
          <w:t>info@kinderrechten.nl</w:t>
        </w:r>
      </w:hyperlink>
      <w:r w:rsidR="006E306F" w:rsidRPr="006E306F">
        <w:rPr>
          <w:lang w:val="nl-NL"/>
        </w:rPr>
        <w:t xml:space="preserve"> </w:t>
      </w:r>
    </w:p>
    <w:p w14:paraId="3F2C9CE9" w14:textId="77777777" w:rsidR="006E306F" w:rsidRPr="006E306F" w:rsidRDefault="00681932" w:rsidP="006E306F">
      <w:pPr>
        <w:spacing w:after="0"/>
        <w:rPr>
          <w:lang w:val="nl-NL"/>
        </w:rPr>
      </w:pPr>
      <w:hyperlink r:id="rId9" w:history="1">
        <w:r w:rsidR="006E306F" w:rsidRPr="006E306F">
          <w:rPr>
            <w:rStyle w:val="Hyperlink"/>
            <w:lang w:val="nl-NL"/>
          </w:rPr>
          <w:t>www.kinderrechten.nl</w:t>
        </w:r>
      </w:hyperlink>
      <w:r w:rsidR="006E306F" w:rsidRPr="006E306F">
        <w:rPr>
          <w:lang w:val="nl-NL"/>
        </w:rPr>
        <w:t xml:space="preserve"> </w:t>
      </w:r>
    </w:p>
    <w:p w14:paraId="5BA5918A" w14:textId="77777777" w:rsidR="006E306F" w:rsidRPr="006E306F" w:rsidRDefault="006E306F" w:rsidP="000A2AEE">
      <w:pPr>
        <w:spacing w:after="0"/>
        <w:rPr>
          <w:b/>
          <w:bCs/>
          <w:lang w:val="nl-NL"/>
        </w:rPr>
      </w:pPr>
    </w:p>
    <w:sectPr w:rsidR="006E306F" w:rsidRPr="006E306F" w:rsidSect="00DA4257">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BA34" w14:textId="77777777" w:rsidR="003143D8" w:rsidRDefault="003143D8" w:rsidP="009E0A40">
      <w:r>
        <w:separator/>
      </w:r>
    </w:p>
  </w:endnote>
  <w:endnote w:type="continuationSeparator" w:id="0">
    <w:p w14:paraId="048F4235" w14:textId="77777777" w:rsidR="003143D8" w:rsidRDefault="003143D8" w:rsidP="009E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29031"/>
      <w:docPartObj>
        <w:docPartGallery w:val="Page Numbers (Bottom of Page)"/>
        <w:docPartUnique/>
      </w:docPartObj>
    </w:sdtPr>
    <w:sdtEndPr/>
    <w:sdtContent>
      <w:p w14:paraId="51623DEE" w14:textId="7D1FCE92" w:rsidR="00DA4257" w:rsidRDefault="00DA4257">
        <w:pPr>
          <w:pStyle w:val="Voettekst"/>
          <w:jc w:val="right"/>
        </w:pPr>
        <w:r>
          <w:fldChar w:fldCharType="begin"/>
        </w:r>
        <w:r>
          <w:instrText>PAGE   \* MERGEFORMAT</w:instrText>
        </w:r>
        <w:r>
          <w:fldChar w:fldCharType="separate"/>
        </w:r>
        <w:r>
          <w:rPr>
            <w:lang w:val="nl-NL"/>
          </w:rPr>
          <w:t>2</w:t>
        </w:r>
        <w:r>
          <w:fldChar w:fldCharType="end"/>
        </w:r>
      </w:p>
    </w:sdtContent>
  </w:sdt>
  <w:p w14:paraId="4C3AAB2A" w14:textId="77777777" w:rsidR="000B59A4" w:rsidRDefault="00681932" w:rsidP="009E0A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51F2" w14:textId="77777777" w:rsidR="003143D8" w:rsidRDefault="003143D8" w:rsidP="009E0A40">
      <w:r>
        <w:separator/>
      </w:r>
    </w:p>
  </w:footnote>
  <w:footnote w:type="continuationSeparator" w:id="0">
    <w:p w14:paraId="1142B370" w14:textId="77777777" w:rsidR="003143D8" w:rsidRDefault="003143D8" w:rsidP="009E0A40">
      <w:r>
        <w:continuationSeparator/>
      </w:r>
    </w:p>
  </w:footnote>
  <w:footnote w:id="1">
    <w:p w14:paraId="4050298D" w14:textId="083A80D5" w:rsidR="00043BB4" w:rsidRPr="002D2FD2" w:rsidRDefault="00043BB4">
      <w:pPr>
        <w:pStyle w:val="Voetnoottekst"/>
        <w:rPr>
          <w:sz w:val="18"/>
          <w:szCs w:val="18"/>
          <w:lang w:val="en-US"/>
        </w:rPr>
      </w:pPr>
      <w:r w:rsidRPr="002D2FD2">
        <w:rPr>
          <w:rStyle w:val="Voetnootmarkering"/>
          <w:sz w:val="18"/>
          <w:szCs w:val="18"/>
        </w:rPr>
        <w:footnoteRef/>
      </w:r>
      <w:r w:rsidRPr="002D2FD2">
        <w:rPr>
          <w:sz w:val="18"/>
          <w:szCs w:val="18"/>
        </w:rPr>
        <w:t xml:space="preserve"> </w:t>
      </w:r>
      <w:r w:rsidRPr="002D2FD2">
        <w:rPr>
          <w:sz w:val="18"/>
          <w:szCs w:val="18"/>
          <w:lang w:val="en-US"/>
        </w:rPr>
        <w:t xml:space="preserve">On this relationship, we also refer you to the policy brief </w:t>
      </w:r>
      <w:r w:rsidRPr="002D2FD2">
        <w:rPr>
          <w:i/>
          <w:iCs/>
          <w:sz w:val="18"/>
          <w:szCs w:val="18"/>
          <w:lang w:val="en-US"/>
        </w:rPr>
        <w:t xml:space="preserve">Mental Health and Climate Change </w:t>
      </w:r>
      <w:r w:rsidRPr="002D2FD2">
        <w:rPr>
          <w:sz w:val="18"/>
          <w:szCs w:val="18"/>
          <w:lang w:val="en-US"/>
        </w:rPr>
        <w:t xml:space="preserve">by the World Health Organization </w:t>
      </w:r>
      <w:r w:rsidR="00C00B97" w:rsidRPr="002D2FD2">
        <w:rPr>
          <w:sz w:val="18"/>
          <w:szCs w:val="18"/>
          <w:lang w:val="en-US"/>
        </w:rPr>
        <w:t>(</w:t>
      </w:r>
      <w:hyperlink r:id="rId1" w:history="1">
        <w:r w:rsidR="00C00B97" w:rsidRPr="002D2FD2">
          <w:rPr>
            <w:rStyle w:val="Hyperlink"/>
            <w:sz w:val="18"/>
            <w:szCs w:val="18"/>
            <w:lang w:val="en-US"/>
          </w:rPr>
          <w:t>https://www.who.int/publications/i/item/9789240045125</w:t>
        </w:r>
      </w:hyperlink>
      <w:r w:rsidR="00C00B97" w:rsidRPr="002D2FD2">
        <w:rPr>
          <w:rStyle w:val="Hyperlink"/>
          <w:sz w:val="18"/>
          <w:szCs w:val="18"/>
          <w:lang w:val="en-US"/>
        </w:rPr>
        <w:t>)</w:t>
      </w:r>
      <w:r w:rsidRPr="002D2FD2">
        <w:rPr>
          <w:sz w:val="18"/>
          <w:szCs w:val="18"/>
          <w:lang w:val="en-US"/>
        </w:rPr>
        <w:t xml:space="preserve"> </w:t>
      </w:r>
      <w:r w:rsidR="00C00B97" w:rsidRPr="002D2FD2">
        <w:rPr>
          <w:sz w:val="18"/>
          <w:szCs w:val="18"/>
          <w:lang w:val="en-US"/>
        </w:rPr>
        <w:t xml:space="preserve">and the essay </w:t>
      </w:r>
      <w:r w:rsidR="00C00B97" w:rsidRPr="002D2FD2">
        <w:rPr>
          <w:i/>
          <w:iCs/>
          <w:sz w:val="18"/>
          <w:szCs w:val="18"/>
          <w:lang w:val="en-US"/>
        </w:rPr>
        <w:t xml:space="preserve">Raising Children in a Warming Climate </w:t>
      </w:r>
      <w:r w:rsidR="00C00B97" w:rsidRPr="002D2FD2">
        <w:rPr>
          <w:sz w:val="18"/>
          <w:szCs w:val="18"/>
          <w:lang w:val="en-US"/>
        </w:rPr>
        <w:t>by the Netherlands Youth Institute (</w:t>
      </w:r>
      <w:hyperlink r:id="rId2" w:history="1">
        <w:r w:rsidR="00C00B97" w:rsidRPr="002D2FD2">
          <w:rPr>
            <w:rStyle w:val="Hyperlink"/>
            <w:sz w:val="18"/>
            <w:szCs w:val="18"/>
            <w:lang w:val="en-US"/>
          </w:rPr>
          <w:t>https://www.nji.nl/sites/default/files/2022-09/Raising%20children%20in%20a%20warming%20climate.pdf</w:t>
        </w:r>
      </w:hyperlink>
      <w:r w:rsidR="00C00B97" w:rsidRPr="002D2FD2">
        <w:rPr>
          <w:sz w:val="18"/>
          <w:szCs w:val="18"/>
          <w:lang w:val="en-US"/>
        </w:rPr>
        <w:t xml:space="preserve">) </w:t>
      </w:r>
    </w:p>
  </w:footnote>
  <w:footnote w:id="2">
    <w:p w14:paraId="544A0E97" w14:textId="297A0C2F" w:rsidR="002C569B" w:rsidRPr="002D2FD2" w:rsidRDefault="002C569B">
      <w:pPr>
        <w:pStyle w:val="Voetnoottekst"/>
        <w:rPr>
          <w:sz w:val="18"/>
          <w:szCs w:val="18"/>
          <w:lang w:val="en-US"/>
        </w:rPr>
      </w:pPr>
      <w:r w:rsidRPr="002D2FD2">
        <w:rPr>
          <w:rStyle w:val="Voetnootmarkering"/>
          <w:sz w:val="18"/>
          <w:szCs w:val="18"/>
        </w:rPr>
        <w:footnoteRef/>
      </w:r>
      <w:r w:rsidRPr="002D2FD2">
        <w:rPr>
          <w:sz w:val="18"/>
          <w:szCs w:val="18"/>
        </w:rPr>
        <w:t xml:space="preserve"> </w:t>
      </w:r>
      <w:hyperlink r:id="rId3" w:history="1">
        <w:r w:rsidR="0001736A" w:rsidRPr="00CB2A88">
          <w:rPr>
            <w:rStyle w:val="Hyperlink"/>
            <w:sz w:val="18"/>
            <w:szCs w:val="18"/>
          </w:rPr>
          <w:t>https://en.milieudefensie.nl/climate-case-shell</w:t>
        </w:r>
      </w:hyperlink>
      <w:r w:rsidR="0001736A">
        <w:rPr>
          <w:sz w:val="18"/>
          <w:szCs w:val="18"/>
        </w:rPr>
        <w:t xml:space="preserve"> </w:t>
      </w:r>
    </w:p>
  </w:footnote>
  <w:footnote w:id="3">
    <w:p w14:paraId="136EEA95" w14:textId="77777777" w:rsidR="00DC3942" w:rsidRPr="002D2FD2" w:rsidRDefault="00DC3942" w:rsidP="00DC3942">
      <w:pPr>
        <w:pStyle w:val="Voetnoottekst"/>
        <w:rPr>
          <w:sz w:val="18"/>
          <w:szCs w:val="18"/>
          <w:lang w:val="en-US"/>
        </w:rPr>
      </w:pPr>
      <w:r w:rsidRPr="002D2FD2">
        <w:rPr>
          <w:rStyle w:val="Voetnootmarkering"/>
          <w:sz w:val="18"/>
          <w:szCs w:val="18"/>
        </w:rPr>
        <w:footnoteRef/>
      </w:r>
      <w:r w:rsidRPr="002D2FD2">
        <w:rPr>
          <w:sz w:val="18"/>
          <w:szCs w:val="18"/>
        </w:rPr>
        <w:t xml:space="preserve"> </w:t>
      </w:r>
      <w:hyperlink r:id="rId4" w:history="1">
        <w:r w:rsidRPr="002D2FD2">
          <w:rPr>
            <w:rStyle w:val="Hyperlink"/>
            <w:sz w:val="18"/>
            <w:szCs w:val="18"/>
          </w:rPr>
          <w:t>https://www.ohchr.org/en/instruments-mechanisms/instruments/basic-principles-and-guidelines-right-remedy-and-reparation</w:t>
        </w:r>
      </w:hyperlink>
      <w:r w:rsidRPr="002D2FD2">
        <w:rPr>
          <w:sz w:val="18"/>
          <w:szCs w:val="18"/>
        </w:rPr>
        <w:t xml:space="preserve"> </w:t>
      </w:r>
    </w:p>
  </w:footnote>
  <w:footnote w:id="4">
    <w:p w14:paraId="45946839" w14:textId="4CC17374" w:rsidR="00DF1D25" w:rsidRPr="00DF1D25" w:rsidRDefault="00DF1D25">
      <w:pPr>
        <w:pStyle w:val="Voetnoottekst"/>
      </w:pPr>
      <w:r w:rsidRPr="00DF1D25">
        <w:rPr>
          <w:rStyle w:val="Voetnootmarkering"/>
          <w:sz w:val="18"/>
          <w:szCs w:val="18"/>
        </w:rPr>
        <w:footnoteRef/>
      </w:r>
      <w:r w:rsidRPr="00DF1D25">
        <w:rPr>
          <w:sz w:val="18"/>
          <w:szCs w:val="18"/>
        </w:rPr>
        <w:t xml:space="preserve"> </w:t>
      </w:r>
      <w:hyperlink r:id="rId5" w:history="1">
        <w:r w:rsidRPr="00DF1D25">
          <w:rPr>
            <w:rStyle w:val="Hyperlink"/>
            <w:sz w:val="18"/>
            <w:szCs w:val="18"/>
            <w:lang w:val="en-US"/>
          </w:rPr>
          <w:t>https://www.ohchr.org/en/press-releases/2021/10/un-child-rights-committee-rules-countries-bear-cross-border-responsibility</w:t>
        </w:r>
      </w:hyperlink>
    </w:p>
  </w:footnote>
  <w:footnote w:id="5">
    <w:p w14:paraId="7409FEB1" w14:textId="5A883F3C" w:rsidR="00534BD9" w:rsidRPr="00534BD9" w:rsidRDefault="00534BD9">
      <w:pPr>
        <w:pStyle w:val="Voetnoottekst"/>
        <w:rPr>
          <w:lang w:val="en-US"/>
        </w:rPr>
      </w:pPr>
      <w:r>
        <w:rPr>
          <w:rStyle w:val="Voetnootmarkering"/>
        </w:rPr>
        <w:footnoteRef/>
      </w:r>
      <w:r>
        <w:t xml:space="preserve"> </w:t>
      </w:r>
      <w:hyperlink r:id="rId6" w:history="1">
        <w:r w:rsidRPr="00DD112B">
          <w:rPr>
            <w:rStyle w:val="Hyperlink"/>
            <w:sz w:val="18"/>
            <w:szCs w:val="18"/>
          </w:rPr>
          <w:t>https://www.amsterdamumc.org/en/research/institutes/amsterdam-public-health/news/-the-first-1000-days-influence-the-whole-life-.htm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A1F"/>
    <w:multiLevelType w:val="hybridMultilevel"/>
    <w:tmpl w:val="FC4A4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F47D7"/>
    <w:multiLevelType w:val="hybridMultilevel"/>
    <w:tmpl w:val="948EA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8A50FF"/>
    <w:multiLevelType w:val="multilevel"/>
    <w:tmpl w:val="0A0605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32158"/>
    <w:multiLevelType w:val="multilevel"/>
    <w:tmpl w:val="C302A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5E30DA"/>
    <w:multiLevelType w:val="hybridMultilevel"/>
    <w:tmpl w:val="8BDAC22C"/>
    <w:lvl w:ilvl="0" w:tplc="04130001">
      <w:start w:val="1"/>
      <w:numFmt w:val="bullet"/>
      <w:lvlText w:val=""/>
      <w:lvlJc w:val="left"/>
      <w:pPr>
        <w:ind w:left="1070" w:hanging="71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B27CB0"/>
    <w:multiLevelType w:val="hybridMultilevel"/>
    <w:tmpl w:val="9B8A8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76221"/>
    <w:multiLevelType w:val="hybridMultilevel"/>
    <w:tmpl w:val="29341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4339E7"/>
    <w:multiLevelType w:val="hybridMultilevel"/>
    <w:tmpl w:val="4C74756E"/>
    <w:lvl w:ilvl="0" w:tplc="ED9E7508">
      <w:start w:val="1"/>
      <w:numFmt w:val="decimal"/>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F86BF6"/>
    <w:multiLevelType w:val="multilevel"/>
    <w:tmpl w:val="FED60D1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546F79"/>
    <w:multiLevelType w:val="hybridMultilevel"/>
    <w:tmpl w:val="5FE8E310"/>
    <w:lvl w:ilvl="0" w:tplc="ED9E7508">
      <w:start w:val="1"/>
      <w:numFmt w:val="decimal"/>
      <w:lvlText w:val="%1."/>
      <w:lvlJc w:val="left"/>
      <w:pPr>
        <w:ind w:left="720" w:hanging="360"/>
      </w:pPr>
      <w:rPr>
        <w:rFonts w:hint="default"/>
        <w:i w:val="0"/>
        <w:iCs w:val="0"/>
      </w:rPr>
    </w:lvl>
    <w:lvl w:ilvl="1" w:tplc="85F486AA">
      <w:start w:val="1"/>
      <w:numFmt w:val="lowerLetter"/>
      <w:lvlText w:val="%2."/>
      <w:lvlJc w:val="left"/>
      <w:pPr>
        <w:ind w:left="1440" w:hanging="360"/>
      </w:pPr>
      <w:rPr>
        <w:i w:val="0"/>
        <w:iCs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241710"/>
    <w:multiLevelType w:val="hybridMultilevel"/>
    <w:tmpl w:val="DC1EF60E"/>
    <w:lvl w:ilvl="0" w:tplc="0413000F">
      <w:start w:val="1"/>
      <w:numFmt w:val="decimal"/>
      <w:lvlText w:val="%1."/>
      <w:lvlJc w:val="left"/>
      <w:pPr>
        <w:ind w:left="720" w:hanging="360"/>
      </w:pPr>
      <w:rPr>
        <w:rFonts w:hint="default"/>
      </w:rPr>
    </w:lvl>
    <w:lvl w:ilvl="1" w:tplc="FFFFFFFF">
      <w:start w:val="86"/>
      <w:numFmt w:val="bullet"/>
      <w:lvlText w:val="•"/>
      <w:lvlJc w:val="left"/>
      <w:pPr>
        <w:ind w:left="1788" w:hanging="708"/>
      </w:pPr>
      <w:rPr>
        <w:rFonts w:ascii="Franklin Gothic Book" w:eastAsiaTheme="minorHAnsi" w:hAnsi="Franklin Gothic Book"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8733CC"/>
    <w:multiLevelType w:val="hybridMultilevel"/>
    <w:tmpl w:val="993AE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D84D6D"/>
    <w:multiLevelType w:val="hybridMultilevel"/>
    <w:tmpl w:val="906AB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69060E"/>
    <w:multiLevelType w:val="hybridMultilevel"/>
    <w:tmpl w:val="EB860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855327"/>
    <w:multiLevelType w:val="hybridMultilevel"/>
    <w:tmpl w:val="70BA2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2F481C"/>
    <w:multiLevelType w:val="hybridMultilevel"/>
    <w:tmpl w:val="53844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065096"/>
    <w:multiLevelType w:val="hybridMultilevel"/>
    <w:tmpl w:val="95961E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9184B"/>
    <w:multiLevelType w:val="multilevel"/>
    <w:tmpl w:val="65362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8008F8"/>
    <w:multiLevelType w:val="hybridMultilevel"/>
    <w:tmpl w:val="AA3A1DEC"/>
    <w:lvl w:ilvl="0" w:tplc="04130001">
      <w:start w:val="1"/>
      <w:numFmt w:val="bullet"/>
      <w:lvlText w:val=""/>
      <w:lvlJc w:val="left"/>
      <w:pPr>
        <w:ind w:left="1430" w:hanging="71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42A7A6D"/>
    <w:multiLevelType w:val="hybridMultilevel"/>
    <w:tmpl w:val="6B087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737A77"/>
    <w:multiLevelType w:val="hybridMultilevel"/>
    <w:tmpl w:val="7354F130"/>
    <w:lvl w:ilvl="0" w:tplc="FA32FCD8">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907981"/>
    <w:multiLevelType w:val="hybridMultilevel"/>
    <w:tmpl w:val="14346880"/>
    <w:lvl w:ilvl="0" w:tplc="5AA4E3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89685F"/>
    <w:multiLevelType w:val="hybridMultilevel"/>
    <w:tmpl w:val="54D85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CE43BF"/>
    <w:multiLevelType w:val="hybridMultilevel"/>
    <w:tmpl w:val="6910E5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FF35A9F"/>
    <w:multiLevelType w:val="multilevel"/>
    <w:tmpl w:val="FA2C371E"/>
    <w:lvl w:ilvl="0">
      <w:start w:val="1"/>
      <w:numFmt w:val="upperRoman"/>
      <w:lvlText w:val="%1."/>
      <w:lvlJc w:val="righ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B27264"/>
    <w:multiLevelType w:val="hybridMultilevel"/>
    <w:tmpl w:val="397CD9E0"/>
    <w:lvl w:ilvl="0" w:tplc="ED9E7508">
      <w:start w:val="1"/>
      <w:numFmt w:val="decimal"/>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28161F"/>
    <w:multiLevelType w:val="hybridMultilevel"/>
    <w:tmpl w:val="C0389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E5638F"/>
    <w:multiLevelType w:val="hybridMultilevel"/>
    <w:tmpl w:val="76DAEB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A971A87"/>
    <w:multiLevelType w:val="hybridMultilevel"/>
    <w:tmpl w:val="E3526ACA"/>
    <w:lvl w:ilvl="0" w:tplc="375C3616">
      <w:start w:val="1"/>
      <w:numFmt w:val="bullet"/>
      <w:lvlText w:val="-"/>
      <w:lvlJc w:val="left"/>
      <w:pPr>
        <w:ind w:left="720" w:hanging="360"/>
      </w:pPr>
      <w:rPr>
        <w:rFonts w:ascii="Franklin Gothic Book" w:eastAsiaTheme="minorHAnsi" w:hAnsi="Franklin Gothic Book" w:cstheme="minorBi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463A65"/>
    <w:multiLevelType w:val="hybridMultilevel"/>
    <w:tmpl w:val="DE7A9144"/>
    <w:lvl w:ilvl="0" w:tplc="5AA4E3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5E6C08"/>
    <w:multiLevelType w:val="multilevel"/>
    <w:tmpl w:val="55AE7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06161F"/>
    <w:multiLevelType w:val="hybridMultilevel"/>
    <w:tmpl w:val="4788C260"/>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5A32CBB0">
      <w:start w:val="1"/>
      <w:numFmt w:val="lowerLetter"/>
      <w:lvlText w:val="%3."/>
      <w:lvlJc w:val="left"/>
      <w:pPr>
        <w:ind w:left="2340" w:hanging="360"/>
      </w:pPr>
      <w:rPr>
        <w:rFonts w:ascii="Franklin Gothic Book" w:eastAsia="Times New Roman" w:hAnsi="Franklin Gothic Book" w:cstheme="minorHAnsi"/>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B441D0"/>
    <w:multiLevelType w:val="hybridMultilevel"/>
    <w:tmpl w:val="159C4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396156"/>
    <w:multiLevelType w:val="hybridMultilevel"/>
    <w:tmpl w:val="E33C143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C83313F"/>
    <w:multiLevelType w:val="hybridMultilevel"/>
    <w:tmpl w:val="81785328"/>
    <w:lvl w:ilvl="0" w:tplc="5AA4E3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692642"/>
    <w:multiLevelType w:val="multilevel"/>
    <w:tmpl w:val="BAE0ADD4"/>
    <w:lvl w:ilvl="0">
      <w:start w:val="7"/>
      <w:numFmt w:val="decimal"/>
      <w:lvlText w:val="%1"/>
      <w:lvlJc w:val="left"/>
      <w:pPr>
        <w:ind w:left="360" w:hanging="360"/>
      </w:pPr>
      <w:rPr>
        <w:rFonts w:eastAsia="Times New Roman" w:cs="Calibri" w:hint="default"/>
        <w:b/>
      </w:rPr>
    </w:lvl>
    <w:lvl w:ilvl="1">
      <w:start w:val="1"/>
      <w:numFmt w:val="decimal"/>
      <w:lvlText w:val="%1.%2"/>
      <w:lvlJc w:val="left"/>
      <w:pPr>
        <w:ind w:left="360" w:hanging="360"/>
      </w:pPr>
      <w:rPr>
        <w:rFonts w:eastAsia="Times New Roman" w:cs="Calibri" w:hint="default"/>
        <w:b/>
      </w:rPr>
    </w:lvl>
    <w:lvl w:ilvl="2">
      <w:start w:val="1"/>
      <w:numFmt w:val="decimal"/>
      <w:lvlText w:val="%1.%2.%3"/>
      <w:lvlJc w:val="left"/>
      <w:pPr>
        <w:ind w:left="720" w:hanging="720"/>
      </w:pPr>
      <w:rPr>
        <w:rFonts w:eastAsia="Times New Roman" w:cs="Calibri" w:hint="default"/>
        <w:b/>
      </w:rPr>
    </w:lvl>
    <w:lvl w:ilvl="3">
      <w:start w:val="1"/>
      <w:numFmt w:val="decimal"/>
      <w:lvlText w:val="%1.%2.%3.%4"/>
      <w:lvlJc w:val="left"/>
      <w:pPr>
        <w:ind w:left="720" w:hanging="720"/>
      </w:pPr>
      <w:rPr>
        <w:rFonts w:eastAsia="Times New Roman" w:cs="Calibri" w:hint="default"/>
        <w:b/>
      </w:rPr>
    </w:lvl>
    <w:lvl w:ilvl="4">
      <w:start w:val="1"/>
      <w:numFmt w:val="decimal"/>
      <w:lvlText w:val="%1.%2.%3.%4.%5"/>
      <w:lvlJc w:val="left"/>
      <w:pPr>
        <w:ind w:left="1080" w:hanging="1080"/>
      </w:pPr>
      <w:rPr>
        <w:rFonts w:eastAsia="Times New Roman" w:cs="Calibri" w:hint="default"/>
        <w:b/>
      </w:rPr>
    </w:lvl>
    <w:lvl w:ilvl="5">
      <w:start w:val="1"/>
      <w:numFmt w:val="decimal"/>
      <w:lvlText w:val="%1.%2.%3.%4.%5.%6"/>
      <w:lvlJc w:val="left"/>
      <w:pPr>
        <w:ind w:left="1080" w:hanging="1080"/>
      </w:pPr>
      <w:rPr>
        <w:rFonts w:eastAsia="Times New Roman" w:cs="Calibri" w:hint="default"/>
        <w:b/>
      </w:rPr>
    </w:lvl>
    <w:lvl w:ilvl="6">
      <w:start w:val="1"/>
      <w:numFmt w:val="decimal"/>
      <w:lvlText w:val="%1.%2.%3.%4.%5.%6.%7"/>
      <w:lvlJc w:val="left"/>
      <w:pPr>
        <w:ind w:left="1440" w:hanging="1440"/>
      </w:pPr>
      <w:rPr>
        <w:rFonts w:eastAsia="Times New Roman" w:cs="Calibri" w:hint="default"/>
        <w:b/>
      </w:rPr>
    </w:lvl>
    <w:lvl w:ilvl="7">
      <w:start w:val="1"/>
      <w:numFmt w:val="decimal"/>
      <w:lvlText w:val="%1.%2.%3.%4.%5.%6.%7.%8"/>
      <w:lvlJc w:val="left"/>
      <w:pPr>
        <w:ind w:left="1440" w:hanging="1440"/>
      </w:pPr>
      <w:rPr>
        <w:rFonts w:eastAsia="Times New Roman" w:cs="Calibri" w:hint="default"/>
        <w:b/>
      </w:rPr>
    </w:lvl>
    <w:lvl w:ilvl="8">
      <w:start w:val="1"/>
      <w:numFmt w:val="decimal"/>
      <w:lvlText w:val="%1.%2.%3.%4.%5.%6.%7.%8.%9"/>
      <w:lvlJc w:val="left"/>
      <w:pPr>
        <w:ind w:left="1800" w:hanging="1800"/>
      </w:pPr>
      <w:rPr>
        <w:rFonts w:eastAsia="Times New Roman" w:cs="Calibri" w:hint="default"/>
        <w:b/>
      </w:rPr>
    </w:lvl>
  </w:abstractNum>
  <w:abstractNum w:abstractNumId="36" w15:restartNumberingAfterBreak="0">
    <w:nsid w:val="6FA26D19"/>
    <w:multiLevelType w:val="hybridMultilevel"/>
    <w:tmpl w:val="5F641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E20A08"/>
    <w:multiLevelType w:val="hybridMultilevel"/>
    <w:tmpl w:val="0DC2253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1F93048"/>
    <w:multiLevelType w:val="hybridMultilevel"/>
    <w:tmpl w:val="E752DCBE"/>
    <w:lvl w:ilvl="0" w:tplc="0413000F">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2A1FA6"/>
    <w:multiLevelType w:val="hybridMultilevel"/>
    <w:tmpl w:val="A5A4F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7F344A"/>
    <w:multiLevelType w:val="hybridMultilevel"/>
    <w:tmpl w:val="5FDE51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80D6913"/>
    <w:multiLevelType w:val="hybridMultilevel"/>
    <w:tmpl w:val="96E44BB8"/>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42" w15:restartNumberingAfterBreak="0">
    <w:nsid w:val="792266FE"/>
    <w:multiLevelType w:val="hybridMultilevel"/>
    <w:tmpl w:val="084A5184"/>
    <w:lvl w:ilvl="0" w:tplc="8EEA3134">
      <w:start w:val="1"/>
      <w:numFmt w:val="decimal"/>
      <w:pStyle w:val="Kop2"/>
      <w:lvlText w:val="%1."/>
      <w:lvlJc w:val="left"/>
      <w:pPr>
        <w:ind w:left="720" w:hanging="360"/>
      </w:pPr>
      <w:rPr>
        <w:rFonts w:hint="default"/>
        <w:b/>
        <w:color w:val="ED7D31" w:themeColor="accent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3A428E"/>
    <w:multiLevelType w:val="hybridMultilevel"/>
    <w:tmpl w:val="200E1090"/>
    <w:lvl w:ilvl="0" w:tplc="DC12457A">
      <w:numFmt w:val="bullet"/>
      <w:lvlText w:val="•"/>
      <w:lvlJc w:val="left"/>
      <w:pPr>
        <w:ind w:left="1068" w:hanging="708"/>
      </w:pPr>
      <w:rPr>
        <w:rFonts w:ascii="Franklin Gothic Book" w:eastAsiaTheme="minorHAnsi" w:hAnsi="Franklin Gothic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B41A1E"/>
    <w:multiLevelType w:val="multilevel"/>
    <w:tmpl w:val="294E1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777722">
    <w:abstractNumId w:val="24"/>
  </w:num>
  <w:num w:numId="2" w16cid:durableId="742140693">
    <w:abstractNumId w:val="20"/>
  </w:num>
  <w:num w:numId="3" w16cid:durableId="313996806">
    <w:abstractNumId w:val="37"/>
  </w:num>
  <w:num w:numId="4" w16cid:durableId="824593418">
    <w:abstractNumId w:val="18"/>
  </w:num>
  <w:num w:numId="5" w16cid:durableId="1940290611">
    <w:abstractNumId w:val="4"/>
  </w:num>
  <w:num w:numId="6" w16cid:durableId="102847875">
    <w:abstractNumId w:val="5"/>
  </w:num>
  <w:num w:numId="7" w16cid:durableId="1287732473">
    <w:abstractNumId w:val="1"/>
  </w:num>
  <w:num w:numId="8" w16cid:durableId="1637294563">
    <w:abstractNumId w:val="22"/>
  </w:num>
  <w:num w:numId="9" w16cid:durableId="1280601101">
    <w:abstractNumId w:val="0"/>
  </w:num>
  <w:num w:numId="10" w16cid:durableId="12810534">
    <w:abstractNumId w:val="23"/>
  </w:num>
  <w:num w:numId="11" w16cid:durableId="1893879227">
    <w:abstractNumId w:val="16"/>
  </w:num>
  <w:num w:numId="12" w16cid:durableId="1323704989">
    <w:abstractNumId w:val="17"/>
  </w:num>
  <w:num w:numId="13" w16cid:durableId="365763793">
    <w:abstractNumId w:val="3"/>
  </w:num>
  <w:num w:numId="14" w16cid:durableId="626815932">
    <w:abstractNumId w:val="30"/>
  </w:num>
  <w:num w:numId="15" w16cid:durableId="1106968715">
    <w:abstractNumId w:val="44"/>
  </w:num>
  <w:num w:numId="16" w16cid:durableId="179903941">
    <w:abstractNumId w:val="2"/>
  </w:num>
  <w:num w:numId="17" w16cid:durableId="994722873">
    <w:abstractNumId w:val="40"/>
  </w:num>
  <w:num w:numId="18" w16cid:durableId="40444580">
    <w:abstractNumId w:val="39"/>
  </w:num>
  <w:num w:numId="19" w16cid:durableId="479229208">
    <w:abstractNumId w:val="19"/>
  </w:num>
  <w:num w:numId="20" w16cid:durableId="1957367404">
    <w:abstractNumId w:val="12"/>
  </w:num>
  <w:num w:numId="21" w16cid:durableId="1876579245">
    <w:abstractNumId w:val="42"/>
  </w:num>
  <w:num w:numId="22" w16cid:durableId="1843860419">
    <w:abstractNumId w:val="8"/>
  </w:num>
  <w:num w:numId="23" w16cid:durableId="1357578605">
    <w:abstractNumId w:val="35"/>
  </w:num>
  <w:num w:numId="24" w16cid:durableId="1503280062">
    <w:abstractNumId w:val="21"/>
  </w:num>
  <w:num w:numId="25" w16cid:durableId="856768461">
    <w:abstractNumId w:val="9"/>
  </w:num>
  <w:num w:numId="26" w16cid:durableId="1698309071">
    <w:abstractNumId w:val="31"/>
  </w:num>
  <w:num w:numId="27" w16cid:durableId="118960989">
    <w:abstractNumId w:val="43"/>
  </w:num>
  <w:num w:numId="28" w16cid:durableId="1416396753">
    <w:abstractNumId w:val="38"/>
  </w:num>
  <w:num w:numId="29" w16cid:durableId="1177189566">
    <w:abstractNumId w:val="10"/>
  </w:num>
  <w:num w:numId="30" w16cid:durableId="1566452527">
    <w:abstractNumId w:val="25"/>
  </w:num>
  <w:num w:numId="31" w16cid:durableId="313487276">
    <w:abstractNumId w:val="34"/>
  </w:num>
  <w:num w:numId="32" w16cid:durableId="619187766">
    <w:abstractNumId w:val="7"/>
  </w:num>
  <w:num w:numId="33" w16cid:durableId="916671822">
    <w:abstractNumId w:val="29"/>
  </w:num>
  <w:num w:numId="34" w16cid:durableId="251744558">
    <w:abstractNumId w:val="11"/>
  </w:num>
  <w:num w:numId="35" w16cid:durableId="1545098268">
    <w:abstractNumId w:val="41"/>
  </w:num>
  <w:num w:numId="36" w16cid:durableId="720444943">
    <w:abstractNumId w:val="33"/>
  </w:num>
  <w:num w:numId="37" w16cid:durableId="1109356626">
    <w:abstractNumId w:val="27"/>
  </w:num>
  <w:num w:numId="38" w16cid:durableId="289239653">
    <w:abstractNumId w:val="28"/>
  </w:num>
  <w:num w:numId="39" w16cid:durableId="1035693669">
    <w:abstractNumId w:val="32"/>
  </w:num>
  <w:num w:numId="40" w16cid:durableId="1305574743">
    <w:abstractNumId w:val="26"/>
  </w:num>
  <w:num w:numId="41" w16cid:durableId="404882699">
    <w:abstractNumId w:val="13"/>
  </w:num>
  <w:num w:numId="42" w16cid:durableId="1647781078">
    <w:abstractNumId w:val="14"/>
  </w:num>
  <w:num w:numId="43" w16cid:durableId="1135024352">
    <w:abstractNumId w:val="36"/>
  </w:num>
  <w:num w:numId="44" w16cid:durableId="411901100">
    <w:abstractNumId w:val="15"/>
  </w:num>
  <w:num w:numId="45" w16cid:durableId="68236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13"/>
    <w:rsid w:val="00005219"/>
    <w:rsid w:val="00006A72"/>
    <w:rsid w:val="00010FCF"/>
    <w:rsid w:val="000123EA"/>
    <w:rsid w:val="0001736A"/>
    <w:rsid w:val="00023C9A"/>
    <w:rsid w:val="00027245"/>
    <w:rsid w:val="00040C0E"/>
    <w:rsid w:val="00042F76"/>
    <w:rsid w:val="00043BB4"/>
    <w:rsid w:val="00052836"/>
    <w:rsid w:val="0005357D"/>
    <w:rsid w:val="000661FB"/>
    <w:rsid w:val="00067A0F"/>
    <w:rsid w:val="0007160F"/>
    <w:rsid w:val="000749C3"/>
    <w:rsid w:val="00074DE9"/>
    <w:rsid w:val="00075782"/>
    <w:rsid w:val="00081022"/>
    <w:rsid w:val="0008125D"/>
    <w:rsid w:val="00085CF2"/>
    <w:rsid w:val="00092DED"/>
    <w:rsid w:val="0009571A"/>
    <w:rsid w:val="000A0D77"/>
    <w:rsid w:val="000A2AEE"/>
    <w:rsid w:val="000A7968"/>
    <w:rsid w:val="000B6FAF"/>
    <w:rsid w:val="000E10BA"/>
    <w:rsid w:val="000E2303"/>
    <w:rsid w:val="000E3EB4"/>
    <w:rsid w:val="000E51F0"/>
    <w:rsid w:val="000F09F6"/>
    <w:rsid w:val="000F7081"/>
    <w:rsid w:val="00100F6F"/>
    <w:rsid w:val="001026A7"/>
    <w:rsid w:val="00104462"/>
    <w:rsid w:val="0010495C"/>
    <w:rsid w:val="00115ACC"/>
    <w:rsid w:val="001167A0"/>
    <w:rsid w:val="0012413D"/>
    <w:rsid w:val="00124A8F"/>
    <w:rsid w:val="00127AA4"/>
    <w:rsid w:val="0013078B"/>
    <w:rsid w:val="00134B3F"/>
    <w:rsid w:val="00135392"/>
    <w:rsid w:val="0014633C"/>
    <w:rsid w:val="001467FB"/>
    <w:rsid w:val="001506C0"/>
    <w:rsid w:val="001538C9"/>
    <w:rsid w:val="001653DA"/>
    <w:rsid w:val="00177C3B"/>
    <w:rsid w:val="00190E73"/>
    <w:rsid w:val="001913AD"/>
    <w:rsid w:val="00193496"/>
    <w:rsid w:val="00195AAC"/>
    <w:rsid w:val="00195DC2"/>
    <w:rsid w:val="00197E63"/>
    <w:rsid w:val="001A433E"/>
    <w:rsid w:val="001A464B"/>
    <w:rsid w:val="001B7820"/>
    <w:rsid w:val="001C473A"/>
    <w:rsid w:val="001D15F2"/>
    <w:rsid w:val="001D7BE9"/>
    <w:rsid w:val="001E1C99"/>
    <w:rsid w:val="001E2E36"/>
    <w:rsid w:val="001E3D92"/>
    <w:rsid w:val="001E4CDE"/>
    <w:rsid w:val="001E5CAB"/>
    <w:rsid w:val="001F2E3C"/>
    <w:rsid w:val="001F4A57"/>
    <w:rsid w:val="00201184"/>
    <w:rsid w:val="00201996"/>
    <w:rsid w:val="00204155"/>
    <w:rsid w:val="002041D8"/>
    <w:rsid w:val="002070EF"/>
    <w:rsid w:val="00210098"/>
    <w:rsid w:val="0023333A"/>
    <w:rsid w:val="00241D8D"/>
    <w:rsid w:val="002420F0"/>
    <w:rsid w:val="00245E43"/>
    <w:rsid w:val="00256C03"/>
    <w:rsid w:val="0028156F"/>
    <w:rsid w:val="00285873"/>
    <w:rsid w:val="0028636B"/>
    <w:rsid w:val="00286AE1"/>
    <w:rsid w:val="002919CC"/>
    <w:rsid w:val="0029460F"/>
    <w:rsid w:val="0029639F"/>
    <w:rsid w:val="002A2833"/>
    <w:rsid w:val="002A650C"/>
    <w:rsid w:val="002C569B"/>
    <w:rsid w:val="002D2FD2"/>
    <w:rsid w:val="002D6308"/>
    <w:rsid w:val="002D73BC"/>
    <w:rsid w:val="002E085F"/>
    <w:rsid w:val="002E28FC"/>
    <w:rsid w:val="002E3812"/>
    <w:rsid w:val="002F2BBD"/>
    <w:rsid w:val="00305512"/>
    <w:rsid w:val="00306852"/>
    <w:rsid w:val="00310128"/>
    <w:rsid w:val="0031406A"/>
    <w:rsid w:val="003143D8"/>
    <w:rsid w:val="00315E77"/>
    <w:rsid w:val="00316103"/>
    <w:rsid w:val="00322486"/>
    <w:rsid w:val="0033537E"/>
    <w:rsid w:val="0033595D"/>
    <w:rsid w:val="0034571D"/>
    <w:rsid w:val="003557E5"/>
    <w:rsid w:val="00355DDC"/>
    <w:rsid w:val="00371A29"/>
    <w:rsid w:val="00372CD6"/>
    <w:rsid w:val="00372DB6"/>
    <w:rsid w:val="003753C3"/>
    <w:rsid w:val="003779BE"/>
    <w:rsid w:val="00380D31"/>
    <w:rsid w:val="00385F02"/>
    <w:rsid w:val="00387A04"/>
    <w:rsid w:val="00390039"/>
    <w:rsid w:val="003939F8"/>
    <w:rsid w:val="00393B7A"/>
    <w:rsid w:val="003972A9"/>
    <w:rsid w:val="003A1F36"/>
    <w:rsid w:val="003B06DB"/>
    <w:rsid w:val="003B346A"/>
    <w:rsid w:val="003B4C03"/>
    <w:rsid w:val="003C1115"/>
    <w:rsid w:val="003C7143"/>
    <w:rsid w:val="003C7ECD"/>
    <w:rsid w:val="003D6AB3"/>
    <w:rsid w:val="003E3779"/>
    <w:rsid w:val="003F0B6D"/>
    <w:rsid w:val="003F7A70"/>
    <w:rsid w:val="00406EC9"/>
    <w:rsid w:val="0042327F"/>
    <w:rsid w:val="00431F6F"/>
    <w:rsid w:val="00435BE1"/>
    <w:rsid w:val="004404C1"/>
    <w:rsid w:val="00440DE6"/>
    <w:rsid w:val="004452E9"/>
    <w:rsid w:val="0045128F"/>
    <w:rsid w:val="00452804"/>
    <w:rsid w:val="0046616B"/>
    <w:rsid w:val="00471C63"/>
    <w:rsid w:val="00472AEA"/>
    <w:rsid w:val="004844BE"/>
    <w:rsid w:val="00484874"/>
    <w:rsid w:val="00486616"/>
    <w:rsid w:val="00492817"/>
    <w:rsid w:val="00493504"/>
    <w:rsid w:val="004A2DC1"/>
    <w:rsid w:val="004A4939"/>
    <w:rsid w:val="004B034C"/>
    <w:rsid w:val="004B05C9"/>
    <w:rsid w:val="004C0D3C"/>
    <w:rsid w:val="004C4C8F"/>
    <w:rsid w:val="004C61E3"/>
    <w:rsid w:val="004D1BE4"/>
    <w:rsid w:val="004D1EC5"/>
    <w:rsid w:val="004E02CF"/>
    <w:rsid w:val="004E1699"/>
    <w:rsid w:val="004F270D"/>
    <w:rsid w:val="004F2D8F"/>
    <w:rsid w:val="00503F63"/>
    <w:rsid w:val="00505BCB"/>
    <w:rsid w:val="00512A49"/>
    <w:rsid w:val="00515127"/>
    <w:rsid w:val="00515909"/>
    <w:rsid w:val="00523029"/>
    <w:rsid w:val="00526928"/>
    <w:rsid w:val="00534BD9"/>
    <w:rsid w:val="00534E1F"/>
    <w:rsid w:val="00554D4A"/>
    <w:rsid w:val="00577C34"/>
    <w:rsid w:val="00580912"/>
    <w:rsid w:val="005829E3"/>
    <w:rsid w:val="00582B9F"/>
    <w:rsid w:val="00586C83"/>
    <w:rsid w:val="00593874"/>
    <w:rsid w:val="005A6E0B"/>
    <w:rsid w:val="005C025E"/>
    <w:rsid w:val="005C5805"/>
    <w:rsid w:val="005D2122"/>
    <w:rsid w:val="005D6BAE"/>
    <w:rsid w:val="005D7C31"/>
    <w:rsid w:val="005E65B4"/>
    <w:rsid w:val="005F0C4C"/>
    <w:rsid w:val="005F7739"/>
    <w:rsid w:val="00603E62"/>
    <w:rsid w:val="006055AE"/>
    <w:rsid w:val="00607248"/>
    <w:rsid w:val="006126EF"/>
    <w:rsid w:val="00625579"/>
    <w:rsid w:val="006355C5"/>
    <w:rsid w:val="0064083E"/>
    <w:rsid w:val="0064154B"/>
    <w:rsid w:val="006419FA"/>
    <w:rsid w:val="00652274"/>
    <w:rsid w:val="006632DB"/>
    <w:rsid w:val="00671C4A"/>
    <w:rsid w:val="006727B4"/>
    <w:rsid w:val="00675122"/>
    <w:rsid w:val="0068077A"/>
    <w:rsid w:val="00681932"/>
    <w:rsid w:val="006860CE"/>
    <w:rsid w:val="006A199D"/>
    <w:rsid w:val="006A30A1"/>
    <w:rsid w:val="006B582A"/>
    <w:rsid w:val="006C200D"/>
    <w:rsid w:val="006D3405"/>
    <w:rsid w:val="006D45AA"/>
    <w:rsid w:val="006D5FEC"/>
    <w:rsid w:val="006D637F"/>
    <w:rsid w:val="006D7398"/>
    <w:rsid w:val="006E306F"/>
    <w:rsid w:val="006E73DA"/>
    <w:rsid w:val="006F5CB6"/>
    <w:rsid w:val="006F62F2"/>
    <w:rsid w:val="0071257D"/>
    <w:rsid w:val="00713093"/>
    <w:rsid w:val="00721374"/>
    <w:rsid w:val="007278F3"/>
    <w:rsid w:val="007328FF"/>
    <w:rsid w:val="007360C0"/>
    <w:rsid w:val="0073688C"/>
    <w:rsid w:val="00747A57"/>
    <w:rsid w:val="0075529F"/>
    <w:rsid w:val="0076498D"/>
    <w:rsid w:val="00767217"/>
    <w:rsid w:val="007711D9"/>
    <w:rsid w:val="0078724E"/>
    <w:rsid w:val="00795F8F"/>
    <w:rsid w:val="007966F7"/>
    <w:rsid w:val="007970D2"/>
    <w:rsid w:val="007A12D7"/>
    <w:rsid w:val="007A2726"/>
    <w:rsid w:val="007A327F"/>
    <w:rsid w:val="007A3B3E"/>
    <w:rsid w:val="007A543A"/>
    <w:rsid w:val="007A6BBB"/>
    <w:rsid w:val="007A7EE5"/>
    <w:rsid w:val="007B11F7"/>
    <w:rsid w:val="007B2273"/>
    <w:rsid w:val="007D1545"/>
    <w:rsid w:val="007D5B7D"/>
    <w:rsid w:val="007D74A1"/>
    <w:rsid w:val="007E0B9A"/>
    <w:rsid w:val="007E5034"/>
    <w:rsid w:val="007F752F"/>
    <w:rsid w:val="00805CD6"/>
    <w:rsid w:val="00807426"/>
    <w:rsid w:val="00807E09"/>
    <w:rsid w:val="008112AA"/>
    <w:rsid w:val="008134B3"/>
    <w:rsid w:val="00813BAA"/>
    <w:rsid w:val="00814067"/>
    <w:rsid w:val="00814D95"/>
    <w:rsid w:val="008329DE"/>
    <w:rsid w:val="008414DE"/>
    <w:rsid w:val="00846FCF"/>
    <w:rsid w:val="00853939"/>
    <w:rsid w:val="00853B13"/>
    <w:rsid w:val="00864008"/>
    <w:rsid w:val="00874D93"/>
    <w:rsid w:val="00877059"/>
    <w:rsid w:val="008808F2"/>
    <w:rsid w:val="00882162"/>
    <w:rsid w:val="00883549"/>
    <w:rsid w:val="00883582"/>
    <w:rsid w:val="008874F0"/>
    <w:rsid w:val="00887771"/>
    <w:rsid w:val="008928AB"/>
    <w:rsid w:val="00893AE0"/>
    <w:rsid w:val="008A75D0"/>
    <w:rsid w:val="008C709D"/>
    <w:rsid w:val="008D3090"/>
    <w:rsid w:val="008D472F"/>
    <w:rsid w:val="008D7248"/>
    <w:rsid w:val="008E5CF3"/>
    <w:rsid w:val="008F0BD0"/>
    <w:rsid w:val="008F605B"/>
    <w:rsid w:val="0090016E"/>
    <w:rsid w:val="0090443A"/>
    <w:rsid w:val="00921C28"/>
    <w:rsid w:val="0092599E"/>
    <w:rsid w:val="009277EA"/>
    <w:rsid w:val="00931B9B"/>
    <w:rsid w:val="009409E7"/>
    <w:rsid w:val="0094170D"/>
    <w:rsid w:val="00942C0D"/>
    <w:rsid w:val="00942C95"/>
    <w:rsid w:val="00950011"/>
    <w:rsid w:val="00951B29"/>
    <w:rsid w:val="00960AE2"/>
    <w:rsid w:val="00977729"/>
    <w:rsid w:val="0098554F"/>
    <w:rsid w:val="00987072"/>
    <w:rsid w:val="0098708A"/>
    <w:rsid w:val="00987DEB"/>
    <w:rsid w:val="0099148D"/>
    <w:rsid w:val="00993518"/>
    <w:rsid w:val="00995D7F"/>
    <w:rsid w:val="009969FE"/>
    <w:rsid w:val="009A30A0"/>
    <w:rsid w:val="009A669A"/>
    <w:rsid w:val="009B0017"/>
    <w:rsid w:val="009B0964"/>
    <w:rsid w:val="009B1031"/>
    <w:rsid w:val="009B73BC"/>
    <w:rsid w:val="009C24A3"/>
    <w:rsid w:val="009C4CE8"/>
    <w:rsid w:val="009D035A"/>
    <w:rsid w:val="009D1431"/>
    <w:rsid w:val="009E0107"/>
    <w:rsid w:val="009E0A40"/>
    <w:rsid w:val="009E3E41"/>
    <w:rsid w:val="009F450B"/>
    <w:rsid w:val="00A17DC3"/>
    <w:rsid w:val="00A250CB"/>
    <w:rsid w:val="00A25CB9"/>
    <w:rsid w:val="00A279EC"/>
    <w:rsid w:val="00A36049"/>
    <w:rsid w:val="00A62791"/>
    <w:rsid w:val="00A6624C"/>
    <w:rsid w:val="00A66968"/>
    <w:rsid w:val="00A71E73"/>
    <w:rsid w:val="00A804FB"/>
    <w:rsid w:val="00A83B66"/>
    <w:rsid w:val="00AA7376"/>
    <w:rsid w:val="00AA7664"/>
    <w:rsid w:val="00AB45E2"/>
    <w:rsid w:val="00AB7DF8"/>
    <w:rsid w:val="00AC086C"/>
    <w:rsid w:val="00AC5B44"/>
    <w:rsid w:val="00AC7456"/>
    <w:rsid w:val="00AD31BB"/>
    <w:rsid w:val="00AE3D94"/>
    <w:rsid w:val="00AF3A7C"/>
    <w:rsid w:val="00AF3C6D"/>
    <w:rsid w:val="00B01A4F"/>
    <w:rsid w:val="00B10F08"/>
    <w:rsid w:val="00B166AD"/>
    <w:rsid w:val="00B1724C"/>
    <w:rsid w:val="00B265EA"/>
    <w:rsid w:val="00B3683B"/>
    <w:rsid w:val="00B3705E"/>
    <w:rsid w:val="00B508CE"/>
    <w:rsid w:val="00B57697"/>
    <w:rsid w:val="00B612E0"/>
    <w:rsid w:val="00B76792"/>
    <w:rsid w:val="00B97916"/>
    <w:rsid w:val="00BA434C"/>
    <w:rsid w:val="00BB5D40"/>
    <w:rsid w:val="00BC4A0A"/>
    <w:rsid w:val="00BD4726"/>
    <w:rsid w:val="00BE08F9"/>
    <w:rsid w:val="00BF0272"/>
    <w:rsid w:val="00BF3B4A"/>
    <w:rsid w:val="00BF71CE"/>
    <w:rsid w:val="00C00B97"/>
    <w:rsid w:val="00C07E2A"/>
    <w:rsid w:val="00C14E21"/>
    <w:rsid w:val="00C16FBA"/>
    <w:rsid w:val="00C24453"/>
    <w:rsid w:val="00C24D0B"/>
    <w:rsid w:val="00C268FF"/>
    <w:rsid w:val="00C27239"/>
    <w:rsid w:val="00C32453"/>
    <w:rsid w:val="00C34D9F"/>
    <w:rsid w:val="00C37816"/>
    <w:rsid w:val="00C3791C"/>
    <w:rsid w:val="00C37ED3"/>
    <w:rsid w:val="00C422F7"/>
    <w:rsid w:val="00C47E76"/>
    <w:rsid w:val="00C51C3F"/>
    <w:rsid w:val="00C55B5A"/>
    <w:rsid w:val="00C561FD"/>
    <w:rsid w:val="00C56D13"/>
    <w:rsid w:val="00C625D5"/>
    <w:rsid w:val="00C66846"/>
    <w:rsid w:val="00C67E37"/>
    <w:rsid w:val="00C82662"/>
    <w:rsid w:val="00C83A2A"/>
    <w:rsid w:val="00C8521E"/>
    <w:rsid w:val="00C95851"/>
    <w:rsid w:val="00C962FD"/>
    <w:rsid w:val="00CA2F68"/>
    <w:rsid w:val="00CB0A60"/>
    <w:rsid w:val="00CC2CC1"/>
    <w:rsid w:val="00CC7423"/>
    <w:rsid w:val="00CD4E62"/>
    <w:rsid w:val="00CD7B14"/>
    <w:rsid w:val="00CE36AE"/>
    <w:rsid w:val="00CE728A"/>
    <w:rsid w:val="00CF15D0"/>
    <w:rsid w:val="00CF4345"/>
    <w:rsid w:val="00CF626C"/>
    <w:rsid w:val="00D36EEF"/>
    <w:rsid w:val="00D37EE0"/>
    <w:rsid w:val="00D47CAE"/>
    <w:rsid w:val="00D60849"/>
    <w:rsid w:val="00D77C4B"/>
    <w:rsid w:val="00D81FBE"/>
    <w:rsid w:val="00D84DF2"/>
    <w:rsid w:val="00D85F58"/>
    <w:rsid w:val="00D86176"/>
    <w:rsid w:val="00D86432"/>
    <w:rsid w:val="00D96111"/>
    <w:rsid w:val="00DA4257"/>
    <w:rsid w:val="00DA7CBF"/>
    <w:rsid w:val="00DB25A0"/>
    <w:rsid w:val="00DC3279"/>
    <w:rsid w:val="00DC3942"/>
    <w:rsid w:val="00DD112B"/>
    <w:rsid w:val="00DE2589"/>
    <w:rsid w:val="00DE2E45"/>
    <w:rsid w:val="00DE398A"/>
    <w:rsid w:val="00DE7142"/>
    <w:rsid w:val="00DF1D25"/>
    <w:rsid w:val="00E052AF"/>
    <w:rsid w:val="00E074A6"/>
    <w:rsid w:val="00E20A6A"/>
    <w:rsid w:val="00E258C8"/>
    <w:rsid w:val="00E26948"/>
    <w:rsid w:val="00E3065D"/>
    <w:rsid w:val="00E345BE"/>
    <w:rsid w:val="00E35C89"/>
    <w:rsid w:val="00E401AB"/>
    <w:rsid w:val="00E40765"/>
    <w:rsid w:val="00E5252D"/>
    <w:rsid w:val="00E550AE"/>
    <w:rsid w:val="00E56723"/>
    <w:rsid w:val="00E567A6"/>
    <w:rsid w:val="00E57AE6"/>
    <w:rsid w:val="00E61967"/>
    <w:rsid w:val="00E66A6E"/>
    <w:rsid w:val="00E74F8F"/>
    <w:rsid w:val="00E82A18"/>
    <w:rsid w:val="00E8458C"/>
    <w:rsid w:val="00E91024"/>
    <w:rsid w:val="00E91874"/>
    <w:rsid w:val="00EA7A12"/>
    <w:rsid w:val="00EB13A1"/>
    <w:rsid w:val="00EB3C0D"/>
    <w:rsid w:val="00EB6D01"/>
    <w:rsid w:val="00EC166D"/>
    <w:rsid w:val="00EC1B46"/>
    <w:rsid w:val="00EC3CEB"/>
    <w:rsid w:val="00EC5C7C"/>
    <w:rsid w:val="00EC6D0E"/>
    <w:rsid w:val="00ED2B11"/>
    <w:rsid w:val="00ED4F56"/>
    <w:rsid w:val="00ED7CC3"/>
    <w:rsid w:val="00EE56CD"/>
    <w:rsid w:val="00EF0C78"/>
    <w:rsid w:val="00EF2135"/>
    <w:rsid w:val="00EF2693"/>
    <w:rsid w:val="00F01F67"/>
    <w:rsid w:val="00F07646"/>
    <w:rsid w:val="00F15EA9"/>
    <w:rsid w:val="00F2375E"/>
    <w:rsid w:val="00F26F59"/>
    <w:rsid w:val="00F27ED7"/>
    <w:rsid w:val="00F356FD"/>
    <w:rsid w:val="00F35FB1"/>
    <w:rsid w:val="00F37E83"/>
    <w:rsid w:val="00F41088"/>
    <w:rsid w:val="00F5284D"/>
    <w:rsid w:val="00F579BD"/>
    <w:rsid w:val="00F615FA"/>
    <w:rsid w:val="00F62546"/>
    <w:rsid w:val="00F70AAB"/>
    <w:rsid w:val="00F74527"/>
    <w:rsid w:val="00F803AE"/>
    <w:rsid w:val="00F834D1"/>
    <w:rsid w:val="00F84901"/>
    <w:rsid w:val="00F8743D"/>
    <w:rsid w:val="00FA5755"/>
    <w:rsid w:val="00FA6A28"/>
    <w:rsid w:val="00FB79A3"/>
    <w:rsid w:val="00FD749D"/>
    <w:rsid w:val="00FE34D4"/>
    <w:rsid w:val="00FF7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95C0"/>
  <w15:chartTrackingRefBased/>
  <w15:docId w15:val="{27336C3D-0E1F-4866-A223-03C43DD8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0A40"/>
    <w:rPr>
      <w:rFonts w:ascii="Franklin Gothic Book" w:hAnsi="Franklin Gothic Book"/>
      <w:sz w:val="21"/>
      <w:lang w:val="en-GB"/>
    </w:rPr>
  </w:style>
  <w:style w:type="paragraph" w:styleId="Kop2">
    <w:name w:val="heading 2"/>
    <w:basedOn w:val="Standaard"/>
    <w:next w:val="Standaard"/>
    <w:link w:val="Kop2Char"/>
    <w:uiPriority w:val="9"/>
    <w:unhideWhenUsed/>
    <w:qFormat/>
    <w:rsid w:val="00E052AF"/>
    <w:pPr>
      <w:keepNext/>
      <w:keepLines/>
      <w:numPr>
        <w:numId w:val="21"/>
      </w:numPr>
      <w:tabs>
        <w:tab w:val="num" w:pos="360"/>
      </w:tabs>
      <w:spacing w:before="40" w:after="0"/>
      <w:ind w:left="0" w:firstLine="0"/>
      <w:outlineLvl w:val="1"/>
    </w:pPr>
    <w:rPr>
      <w:rFonts w:asciiTheme="majorHAnsi" w:eastAsiaTheme="majorEastAsia" w:hAnsiTheme="majorHAnsi" w:cstheme="majorBidi"/>
      <w:b/>
      <w:bCs/>
      <w:color w:val="ED7D31" w:themeColor="accent2"/>
      <w:sz w:val="26"/>
      <w:szCs w:val="26"/>
    </w:rPr>
  </w:style>
  <w:style w:type="paragraph" w:styleId="Kop3">
    <w:name w:val="heading 3"/>
    <w:basedOn w:val="Standaard"/>
    <w:next w:val="Standaard"/>
    <w:link w:val="Kop3Char"/>
    <w:uiPriority w:val="9"/>
    <w:unhideWhenUsed/>
    <w:qFormat/>
    <w:rsid w:val="009E0A40"/>
    <w:p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052AF"/>
    <w:rPr>
      <w:rFonts w:asciiTheme="majorHAnsi" w:eastAsiaTheme="majorEastAsia" w:hAnsiTheme="majorHAnsi" w:cstheme="majorBidi"/>
      <w:b/>
      <w:bCs/>
      <w:color w:val="ED7D31" w:themeColor="accent2"/>
      <w:sz w:val="26"/>
      <w:szCs w:val="26"/>
      <w:lang w:val="en-GB"/>
    </w:rPr>
  </w:style>
  <w:style w:type="character" w:customStyle="1" w:styleId="Kop3Char">
    <w:name w:val="Kop 3 Char"/>
    <w:basedOn w:val="Standaardalinea-lettertype"/>
    <w:link w:val="Kop3"/>
    <w:uiPriority w:val="9"/>
    <w:rsid w:val="009E0A40"/>
    <w:rPr>
      <w:rFonts w:ascii="Franklin Gothic Book" w:hAnsi="Franklin Gothic Book"/>
      <w:b/>
      <w:bCs/>
      <w:sz w:val="21"/>
      <w:lang w:val="en-GB"/>
    </w:rPr>
  </w:style>
  <w:style w:type="paragraph" w:styleId="Lijstalinea">
    <w:name w:val="List Paragraph"/>
    <w:basedOn w:val="Standaard"/>
    <w:uiPriority w:val="34"/>
    <w:qFormat/>
    <w:rsid w:val="003143D8"/>
    <w:pPr>
      <w:ind w:left="720"/>
      <w:contextualSpacing/>
    </w:pPr>
  </w:style>
  <w:style w:type="paragraph" w:styleId="Tekstopmerking">
    <w:name w:val="annotation text"/>
    <w:basedOn w:val="Standaard"/>
    <w:link w:val="TekstopmerkingChar"/>
    <w:uiPriority w:val="99"/>
    <w:unhideWhenUsed/>
    <w:rsid w:val="003143D8"/>
    <w:pPr>
      <w:spacing w:line="240" w:lineRule="auto"/>
    </w:pPr>
    <w:rPr>
      <w:sz w:val="20"/>
      <w:szCs w:val="20"/>
    </w:rPr>
  </w:style>
  <w:style w:type="character" w:customStyle="1" w:styleId="TekstopmerkingChar">
    <w:name w:val="Tekst opmerking Char"/>
    <w:basedOn w:val="Standaardalinea-lettertype"/>
    <w:link w:val="Tekstopmerking"/>
    <w:uiPriority w:val="99"/>
    <w:rsid w:val="003143D8"/>
    <w:rPr>
      <w:rFonts w:ascii="Franklin Gothic Book" w:hAnsi="Franklin Gothic Book"/>
      <w:sz w:val="20"/>
      <w:szCs w:val="20"/>
    </w:rPr>
  </w:style>
  <w:style w:type="paragraph" w:styleId="Voetnoottekst">
    <w:name w:val="footnote text"/>
    <w:basedOn w:val="Standaard"/>
    <w:link w:val="VoetnoottekstChar"/>
    <w:uiPriority w:val="99"/>
    <w:semiHidden/>
    <w:unhideWhenUsed/>
    <w:rsid w:val="003143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43D8"/>
    <w:rPr>
      <w:rFonts w:ascii="Franklin Gothic Book" w:hAnsi="Franklin Gothic Book"/>
      <w:sz w:val="20"/>
      <w:szCs w:val="20"/>
    </w:rPr>
  </w:style>
  <w:style w:type="character" w:styleId="Voetnootmarkering">
    <w:name w:val="footnote reference"/>
    <w:aliases w:val="4_G,Footnotes refss,Footnote text,Voetnoottekst1,Voetnoottekst11,Voetnoottekst111,4_G Char Char,Footnote Reference1 Char Char,Footnotes refss Char Char,ftref Char Char,BVI fnr Char Char,BVI fnr Car Car Char Char,BVI fnr Car Char Char"/>
    <w:basedOn w:val="Standaardalinea-lettertype"/>
    <w:link w:val="4GChar"/>
    <w:uiPriority w:val="99"/>
    <w:unhideWhenUsed/>
    <w:qFormat/>
    <w:rsid w:val="003143D8"/>
    <w:rPr>
      <w:vertAlign w:val="superscript"/>
    </w:rPr>
  </w:style>
  <w:style w:type="character" w:styleId="Hyperlink">
    <w:name w:val="Hyperlink"/>
    <w:basedOn w:val="Standaardalinea-lettertype"/>
    <w:uiPriority w:val="99"/>
    <w:unhideWhenUsed/>
    <w:rsid w:val="003143D8"/>
    <w:rPr>
      <w:color w:val="0563C1" w:themeColor="hyperlink"/>
      <w:u w:val="single"/>
    </w:rPr>
  </w:style>
  <w:style w:type="paragraph" w:customStyle="1" w:styleId="FootnoteTextChar1">
    <w:name w:val="Footnote Text Char1"/>
    <w:basedOn w:val="Standaard"/>
    <w:next w:val="Voetnoottekst"/>
    <w:uiPriority w:val="99"/>
    <w:unhideWhenUsed/>
    <w:rsid w:val="003143D8"/>
    <w:pPr>
      <w:spacing w:after="0" w:line="240" w:lineRule="auto"/>
    </w:pPr>
    <w:rPr>
      <w:rFonts w:asciiTheme="minorHAnsi" w:hAnsiTheme="minorHAnsi"/>
      <w:sz w:val="20"/>
      <w:szCs w:val="20"/>
    </w:rPr>
  </w:style>
  <w:style w:type="paragraph" w:styleId="Geenafstand">
    <w:name w:val="No Spacing"/>
    <w:link w:val="GeenafstandChar"/>
    <w:uiPriority w:val="1"/>
    <w:qFormat/>
    <w:rsid w:val="003143D8"/>
    <w:pPr>
      <w:spacing w:after="0" w:line="240" w:lineRule="auto"/>
    </w:pPr>
    <w:rPr>
      <w:rFonts w:ascii="Franklin Gothic Book" w:hAnsi="Franklin Gothic Book"/>
      <w:sz w:val="21"/>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Standaard"/>
    <w:link w:val="Voetnootmarkering"/>
    <w:uiPriority w:val="99"/>
    <w:rsid w:val="003143D8"/>
    <w:pPr>
      <w:spacing w:before="120" w:after="280" w:line="240" w:lineRule="exact"/>
    </w:pPr>
    <w:rPr>
      <w:rFonts w:asciiTheme="minorHAnsi" w:hAnsiTheme="minorHAnsi"/>
      <w:sz w:val="22"/>
      <w:vertAlign w:val="superscript"/>
    </w:rPr>
  </w:style>
  <w:style w:type="paragraph" w:styleId="Voettekst">
    <w:name w:val="footer"/>
    <w:basedOn w:val="Standaard"/>
    <w:link w:val="VoettekstChar"/>
    <w:uiPriority w:val="99"/>
    <w:unhideWhenUsed/>
    <w:rsid w:val="003143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3D8"/>
    <w:rPr>
      <w:rFonts w:ascii="Franklin Gothic Book" w:hAnsi="Franklin Gothic Book"/>
      <w:sz w:val="21"/>
    </w:rPr>
  </w:style>
  <w:style w:type="character" w:customStyle="1" w:styleId="GeenafstandChar">
    <w:name w:val="Geen afstand Char"/>
    <w:basedOn w:val="Standaardalinea-lettertype"/>
    <w:link w:val="Geenafstand"/>
    <w:uiPriority w:val="1"/>
    <w:rsid w:val="003143D8"/>
    <w:rPr>
      <w:rFonts w:ascii="Franklin Gothic Book" w:hAnsi="Franklin Gothic Book"/>
      <w:sz w:val="21"/>
    </w:rPr>
  </w:style>
  <w:style w:type="paragraph" w:styleId="Inhopg2">
    <w:name w:val="toc 2"/>
    <w:basedOn w:val="Standaard"/>
    <w:next w:val="Standaard"/>
    <w:autoRedefine/>
    <w:uiPriority w:val="39"/>
    <w:unhideWhenUsed/>
    <w:rsid w:val="003143D8"/>
    <w:pPr>
      <w:tabs>
        <w:tab w:val="left" w:pos="660"/>
        <w:tab w:val="right" w:leader="dot" w:pos="9062"/>
      </w:tabs>
      <w:spacing w:after="100"/>
      <w:ind w:left="210"/>
    </w:pPr>
    <w:rPr>
      <w:noProof/>
    </w:rPr>
  </w:style>
  <w:style w:type="character" w:styleId="Verwijzingopmerking">
    <w:name w:val="annotation reference"/>
    <w:basedOn w:val="Standaardalinea-lettertype"/>
    <w:uiPriority w:val="99"/>
    <w:semiHidden/>
    <w:unhideWhenUsed/>
    <w:rsid w:val="003143D8"/>
    <w:rPr>
      <w:sz w:val="16"/>
      <w:szCs w:val="16"/>
    </w:rPr>
  </w:style>
  <w:style w:type="paragraph" w:styleId="Onderwerpvanopmerking">
    <w:name w:val="annotation subject"/>
    <w:basedOn w:val="Tekstopmerking"/>
    <w:next w:val="Tekstopmerking"/>
    <w:link w:val="OnderwerpvanopmerkingChar"/>
    <w:uiPriority w:val="99"/>
    <w:semiHidden/>
    <w:unhideWhenUsed/>
    <w:rsid w:val="003143D8"/>
    <w:rPr>
      <w:b/>
      <w:bCs/>
    </w:rPr>
  </w:style>
  <w:style w:type="character" w:customStyle="1" w:styleId="OnderwerpvanopmerkingChar">
    <w:name w:val="Onderwerp van opmerking Char"/>
    <w:basedOn w:val="TekstopmerkingChar"/>
    <w:link w:val="Onderwerpvanopmerking"/>
    <w:uiPriority w:val="99"/>
    <w:semiHidden/>
    <w:rsid w:val="003143D8"/>
    <w:rPr>
      <w:rFonts w:ascii="Franklin Gothic Book" w:hAnsi="Franklin Gothic Book"/>
      <w:b/>
      <w:bCs/>
      <w:sz w:val="20"/>
      <w:szCs w:val="20"/>
    </w:rPr>
  </w:style>
  <w:style w:type="character" w:styleId="Onopgelostemelding">
    <w:name w:val="Unresolved Mention"/>
    <w:basedOn w:val="Standaardalinea-lettertype"/>
    <w:uiPriority w:val="99"/>
    <w:semiHidden/>
    <w:unhideWhenUsed/>
    <w:rsid w:val="0008125D"/>
    <w:rPr>
      <w:color w:val="605E5C"/>
      <w:shd w:val="clear" w:color="auto" w:fill="E1DFDD"/>
    </w:rPr>
  </w:style>
  <w:style w:type="paragraph" w:styleId="Inhopg3">
    <w:name w:val="toc 3"/>
    <w:basedOn w:val="Standaard"/>
    <w:next w:val="Standaard"/>
    <w:autoRedefine/>
    <w:uiPriority w:val="39"/>
    <w:unhideWhenUsed/>
    <w:rsid w:val="00DE7142"/>
    <w:pPr>
      <w:spacing w:after="100"/>
      <w:ind w:left="420"/>
    </w:pPr>
  </w:style>
  <w:style w:type="paragraph" w:styleId="Revisie">
    <w:name w:val="Revision"/>
    <w:hidden/>
    <w:uiPriority w:val="99"/>
    <w:semiHidden/>
    <w:rsid w:val="00CC2CC1"/>
    <w:pPr>
      <w:spacing w:after="0" w:line="240" w:lineRule="auto"/>
    </w:pPr>
    <w:rPr>
      <w:rFonts w:ascii="Franklin Gothic Book" w:hAnsi="Franklin Gothic Book"/>
      <w:sz w:val="21"/>
      <w:lang w:val="en-GB"/>
    </w:rPr>
  </w:style>
  <w:style w:type="paragraph" w:styleId="Eindnoottekst">
    <w:name w:val="endnote text"/>
    <w:basedOn w:val="Standaard"/>
    <w:link w:val="EindnoottekstChar"/>
    <w:uiPriority w:val="99"/>
    <w:semiHidden/>
    <w:unhideWhenUsed/>
    <w:rsid w:val="0073688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3688C"/>
    <w:rPr>
      <w:rFonts w:ascii="Franklin Gothic Book" w:hAnsi="Franklin Gothic Book"/>
      <w:sz w:val="20"/>
      <w:szCs w:val="20"/>
      <w:lang w:val="en-GB"/>
    </w:rPr>
  </w:style>
  <w:style w:type="character" w:styleId="Eindnootmarkering">
    <w:name w:val="endnote reference"/>
    <w:basedOn w:val="Standaardalinea-lettertype"/>
    <w:uiPriority w:val="99"/>
    <w:semiHidden/>
    <w:unhideWhenUsed/>
    <w:rsid w:val="0073688C"/>
    <w:rPr>
      <w:vertAlign w:val="superscript"/>
    </w:rPr>
  </w:style>
  <w:style w:type="paragraph" w:styleId="Koptekst">
    <w:name w:val="header"/>
    <w:basedOn w:val="Standaard"/>
    <w:link w:val="KoptekstChar"/>
    <w:uiPriority w:val="99"/>
    <w:unhideWhenUsed/>
    <w:rsid w:val="00335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95D"/>
    <w:rPr>
      <w:rFonts w:ascii="Franklin Gothic Book" w:hAnsi="Franklin Gothic Book"/>
      <w:sz w:val="21"/>
      <w:lang w:val="en-GB"/>
    </w:rPr>
  </w:style>
  <w:style w:type="character" w:styleId="GevolgdeHyperlink">
    <w:name w:val="FollowedHyperlink"/>
    <w:basedOn w:val="Standaardalinea-lettertype"/>
    <w:uiPriority w:val="99"/>
    <w:semiHidden/>
    <w:unhideWhenUsed/>
    <w:rsid w:val="002D2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recht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nderrechten.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milieudefensie.nl/climate-case-shell" TargetMode="External"/><Relationship Id="rId2" Type="http://schemas.openxmlformats.org/officeDocument/2006/relationships/hyperlink" Target="https://www.nji.nl/sites/default/files/2022-09/Raising%20children%20in%20a%20warming%20climate.pdf" TargetMode="External"/><Relationship Id="rId1" Type="http://schemas.openxmlformats.org/officeDocument/2006/relationships/hyperlink" Target="https://www.who.int/publications/i/item/9789240045125" TargetMode="External"/><Relationship Id="rId6" Type="http://schemas.openxmlformats.org/officeDocument/2006/relationships/hyperlink" Target="https://www.amsterdamumc.org/en/research/institutes/amsterdam-public-health/news/-the-first-1000-days-influence-the-whole-life-.htm" TargetMode="External"/><Relationship Id="rId5" Type="http://schemas.openxmlformats.org/officeDocument/2006/relationships/hyperlink" Target="https://www.ohchr.org/en/press-releases/2021/10/un-child-rights-committee-rules-countries-bear-cross-border-responsibility" TargetMode="External"/><Relationship Id="rId4" Type="http://schemas.openxmlformats.org/officeDocument/2006/relationships/hyperlink" Target="https://www.ohchr.org/en/instruments-mechanisms/instruments/basic-principles-and-guidelines-right-remedy-and-repara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F211-DB31-4F20-94EF-82F373AA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3444</Words>
  <Characters>18947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van Wessel</dc:creator>
  <cp:keywords/>
  <dc:description/>
  <cp:lastModifiedBy>Brigitte Boswinkel</cp:lastModifiedBy>
  <cp:revision>4</cp:revision>
  <cp:lastPrinted>2023-02-14T12:44:00Z</cp:lastPrinted>
  <dcterms:created xsi:type="dcterms:W3CDTF">2023-02-14T12:51:00Z</dcterms:created>
  <dcterms:modified xsi:type="dcterms:W3CDTF">2023-02-14T13:02:00Z</dcterms:modified>
</cp:coreProperties>
</file>