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50D0" w14:textId="77777777" w:rsidR="003453D6" w:rsidRDefault="003453D6" w:rsidP="00851795">
      <w:pPr>
        <w:spacing w:before="120"/>
        <w:ind w:left="567" w:firstLine="567"/>
        <w:rPr>
          <w:b/>
          <w:sz w:val="24"/>
        </w:rPr>
      </w:pPr>
      <w:bookmarkStart w:id="0" w:name="_Hlk127395082"/>
    </w:p>
    <w:p w14:paraId="3C1231ED" w14:textId="77777777" w:rsidR="003453D6" w:rsidRDefault="003453D6" w:rsidP="00851795">
      <w:pPr>
        <w:spacing w:before="120"/>
        <w:ind w:left="567" w:firstLine="567"/>
        <w:rPr>
          <w:b/>
          <w:sz w:val="24"/>
        </w:rPr>
      </w:pPr>
    </w:p>
    <w:p w14:paraId="4E7F47F5" w14:textId="1B392FDE" w:rsidR="003453D6" w:rsidRDefault="003453D6" w:rsidP="00851795">
      <w:pPr>
        <w:spacing w:before="120"/>
        <w:ind w:left="567" w:firstLine="567"/>
        <w:rPr>
          <w:b/>
          <w:sz w:val="24"/>
        </w:rPr>
      </w:pPr>
    </w:p>
    <w:p w14:paraId="3BEA8A75" w14:textId="77777777" w:rsidR="007729CD" w:rsidRDefault="007729CD" w:rsidP="007729CD">
      <w:pPr>
        <w:jc w:val="right"/>
      </w:pPr>
      <w:r>
        <w:t>Helena Kennedy Centre for International Justice</w:t>
      </w:r>
    </w:p>
    <w:p w14:paraId="2FCE7924" w14:textId="77777777" w:rsidR="007729CD" w:rsidRPr="00AD309A" w:rsidRDefault="007729CD" w:rsidP="007729CD">
      <w:pPr>
        <w:jc w:val="right"/>
      </w:pPr>
      <w:r w:rsidRPr="00AD309A">
        <w:t>Sheffield Hallam University</w:t>
      </w:r>
    </w:p>
    <w:p w14:paraId="1F0A38F1" w14:textId="77777777" w:rsidR="007729CD" w:rsidRPr="00AD309A" w:rsidRDefault="007729CD" w:rsidP="007729CD">
      <w:pPr>
        <w:jc w:val="right"/>
      </w:pPr>
      <w:r w:rsidRPr="00AD309A">
        <w:t>Heart of the Campus</w:t>
      </w:r>
    </w:p>
    <w:p w14:paraId="66372760" w14:textId="77777777" w:rsidR="007729CD" w:rsidRDefault="007729CD" w:rsidP="007729CD">
      <w:pPr>
        <w:jc w:val="right"/>
      </w:pPr>
      <w:r>
        <w:t xml:space="preserve">Collegiate Crescent </w:t>
      </w:r>
    </w:p>
    <w:p w14:paraId="6CEE860F" w14:textId="77777777" w:rsidR="007729CD" w:rsidRPr="00AD309A" w:rsidRDefault="007729CD" w:rsidP="007729CD">
      <w:pPr>
        <w:jc w:val="right"/>
      </w:pPr>
      <w:r w:rsidRPr="00AD309A">
        <w:t>Sheffield</w:t>
      </w:r>
      <w:r>
        <w:t xml:space="preserve"> </w:t>
      </w:r>
    </w:p>
    <w:p w14:paraId="1599D4C7" w14:textId="77777777" w:rsidR="007729CD" w:rsidRPr="00AD309A" w:rsidRDefault="007729CD" w:rsidP="007729CD">
      <w:pPr>
        <w:jc w:val="right"/>
      </w:pPr>
      <w:r w:rsidRPr="00AD309A">
        <w:t>S10 2BP</w:t>
      </w:r>
    </w:p>
    <w:p w14:paraId="49849C5A" w14:textId="77777777" w:rsidR="007729CD" w:rsidRDefault="007729CD" w:rsidP="007729CD">
      <w:pPr>
        <w:rPr>
          <w:b/>
          <w:lang w:val="en-US"/>
        </w:rPr>
      </w:pPr>
    </w:p>
    <w:p w14:paraId="7F6EFC29" w14:textId="77777777" w:rsidR="007729CD" w:rsidRDefault="007729CD" w:rsidP="007729CD">
      <w:pPr>
        <w:rPr>
          <w:b/>
          <w:lang w:val="en-US"/>
        </w:rPr>
      </w:pPr>
    </w:p>
    <w:p w14:paraId="5FCCBE6F" w14:textId="77777777" w:rsidR="007729CD" w:rsidRDefault="007729CD" w:rsidP="007729CD">
      <w:pPr>
        <w:ind w:left="142"/>
        <w:rPr>
          <w:b/>
          <w:lang w:val="en-US"/>
        </w:rPr>
      </w:pPr>
      <w:r>
        <w:rPr>
          <w:b/>
          <w:lang w:val="en-US"/>
        </w:rPr>
        <w:t>Committee on the Rights of the Child</w:t>
      </w:r>
    </w:p>
    <w:p w14:paraId="4CB286CF" w14:textId="77777777" w:rsidR="007729CD" w:rsidRDefault="007729CD" w:rsidP="007729CD">
      <w:pPr>
        <w:ind w:left="142"/>
        <w:rPr>
          <w:b/>
          <w:lang w:val="en-US"/>
        </w:rPr>
      </w:pPr>
      <w:r>
        <w:rPr>
          <w:b/>
          <w:lang w:val="en-US"/>
        </w:rPr>
        <w:t>United Nations</w:t>
      </w:r>
    </w:p>
    <w:p w14:paraId="77EA8EE9" w14:textId="77777777" w:rsidR="007729CD" w:rsidRDefault="007729CD" w:rsidP="007729CD">
      <w:pPr>
        <w:ind w:left="142"/>
        <w:rPr>
          <w:b/>
          <w:lang w:val="en-US"/>
        </w:rPr>
      </w:pPr>
      <w:r>
        <w:rPr>
          <w:b/>
          <w:lang w:val="en-US"/>
        </w:rPr>
        <w:t>Geneva</w:t>
      </w:r>
    </w:p>
    <w:p w14:paraId="7C796711" w14:textId="77777777" w:rsidR="007729CD" w:rsidRDefault="007729CD" w:rsidP="007729CD">
      <w:pPr>
        <w:ind w:left="142"/>
        <w:rPr>
          <w:b/>
          <w:lang w:val="en-US"/>
        </w:rPr>
      </w:pPr>
      <w:r>
        <w:rPr>
          <w:b/>
          <w:lang w:val="en-US"/>
        </w:rPr>
        <w:t>Switzerland</w:t>
      </w:r>
    </w:p>
    <w:p w14:paraId="58740311" w14:textId="77777777" w:rsidR="007729CD" w:rsidRDefault="007729CD" w:rsidP="007729CD">
      <w:pPr>
        <w:rPr>
          <w:b/>
          <w:lang w:val="en-US"/>
        </w:rPr>
      </w:pPr>
    </w:p>
    <w:p w14:paraId="49367AC0" w14:textId="77777777" w:rsidR="007729CD" w:rsidRDefault="007729CD" w:rsidP="007729CD">
      <w:pPr>
        <w:jc w:val="right"/>
        <w:rPr>
          <w:b/>
          <w:lang w:val="en-US"/>
        </w:rPr>
      </w:pPr>
    </w:p>
    <w:p w14:paraId="75A681CF" w14:textId="078660A6" w:rsidR="007729CD" w:rsidRDefault="007729CD" w:rsidP="007729CD">
      <w:pPr>
        <w:jc w:val="right"/>
        <w:rPr>
          <w:b/>
          <w:lang w:val="en-US"/>
        </w:rPr>
      </w:pPr>
      <w:r>
        <w:rPr>
          <w:b/>
          <w:lang w:val="en-US"/>
        </w:rPr>
        <w:t>15 February 2023</w:t>
      </w:r>
    </w:p>
    <w:p w14:paraId="7BEE08B9" w14:textId="7C602C8D" w:rsidR="007729CD" w:rsidRPr="007729CD" w:rsidRDefault="007729CD" w:rsidP="00851795">
      <w:pPr>
        <w:spacing w:before="120"/>
        <w:ind w:left="567" w:firstLine="567"/>
        <w:rPr>
          <w:b/>
          <w:sz w:val="24"/>
          <w:lang w:val="en-US"/>
        </w:rPr>
      </w:pPr>
    </w:p>
    <w:p w14:paraId="386FF13F" w14:textId="4AD238BE" w:rsidR="003C1C84" w:rsidRDefault="003C1C84" w:rsidP="00725039">
      <w:pPr>
        <w:spacing w:before="120" w:line="276" w:lineRule="auto"/>
        <w:ind w:left="567" w:firstLine="567"/>
        <w:rPr>
          <w:rFonts w:asciiTheme="minorHAnsi" w:hAnsiTheme="minorHAnsi" w:cstheme="minorHAnsi"/>
          <w:bCs/>
          <w:sz w:val="24"/>
          <w:szCs w:val="24"/>
        </w:rPr>
      </w:pPr>
      <w:r w:rsidRPr="006166B6">
        <w:rPr>
          <w:rFonts w:asciiTheme="minorHAnsi" w:hAnsiTheme="minorHAnsi" w:cstheme="minorHAnsi"/>
          <w:bCs/>
          <w:sz w:val="24"/>
          <w:szCs w:val="24"/>
        </w:rPr>
        <w:t>Dear Committee Members</w:t>
      </w:r>
      <w:r w:rsidR="007729CD">
        <w:rPr>
          <w:rFonts w:asciiTheme="minorHAnsi" w:hAnsiTheme="minorHAnsi" w:cstheme="minorHAnsi"/>
          <w:bCs/>
          <w:sz w:val="24"/>
          <w:szCs w:val="24"/>
        </w:rPr>
        <w:t>,</w:t>
      </w:r>
    </w:p>
    <w:p w14:paraId="7DD7A5D7" w14:textId="77777777" w:rsidR="007729CD" w:rsidRPr="006166B6" w:rsidRDefault="007729CD" w:rsidP="00725039">
      <w:pPr>
        <w:spacing w:before="120" w:line="276" w:lineRule="auto"/>
        <w:ind w:left="567" w:firstLine="567"/>
        <w:rPr>
          <w:rFonts w:asciiTheme="minorHAnsi" w:hAnsiTheme="minorHAnsi" w:cstheme="minorHAnsi"/>
          <w:bCs/>
          <w:sz w:val="24"/>
          <w:szCs w:val="24"/>
        </w:rPr>
      </w:pPr>
    </w:p>
    <w:p w14:paraId="5ABC40CC" w14:textId="5DBE8030" w:rsidR="003C1C84" w:rsidRPr="006166B6" w:rsidRDefault="003C1C84" w:rsidP="00725039">
      <w:pPr>
        <w:spacing w:before="120" w:line="276" w:lineRule="auto"/>
        <w:ind w:left="567" w:right="282" w:firstLine="567"/>
        <w:jc w:val="both"/>
        <w:rPr>
          <w:rFonts w:asciiTheme="minorHAnsi" w:hAnsiTheme="minorHAnsi" w:cstheme="minorHAnsi"/>
          <w:bCs/>
          <w:sz w:val="24"/>
          <w:szCs w:val="24"/>
        </w:rPr>
      </w:pPr>
      <w:r w:rsidRPr="006166B6">
        <w:rPr>
          <w:rFonts w:asciiTheme="minorHAnsi" w:hAnsiTheme="minorHAnsi" w:cstheme="minorHAnsi"/>
          <w:bCs/>
          <w:sz w:val="24"/>
          <w:szCs w:val="24"/>
        </w:rPr>
        <w:t>We welcome the opportunity to comment on draft General Comment No</w:t>
      </w:r>
      <w:r w:rsidR="0069389E">
        <w:rPr>
          <w:rFonts w:asciiTheme="minorHAnsi" w:hAnsiTheme="minorHAnsi" w:cstheme="minorHAnsi"/>
          <w:bCs/>
          <w:sz w:val="24"/>
          <w:szCs w:val="24"/>
        </w:rPr>
        <w:t>.</w:t>
      </w:r>
      <w:r w:rsidRPr="006166B6">
        <w:rPr>
          <w:rFonts w:asciiTheme="minorHAnsi" w:hAnsiTheme="minorHAnsi" w:cstheme="minorHAnsi"/>
          <w:bCs/>
          <w:sz w:val="24"/>
          <w:szCs w:val="24"/>
        </w:rPr>
        <w:t xml:space="preserve"> 26 on children’s rights and the environment with a special focus on climate change.</w:t>
      </w:r>
    </w:p>
    <w:p w14:paraId="1F38117B" w14:textId="25C3CED9" w:rsidR="00B23D9C" w:rsidRPr="00F46BA1" w:rsidRDefault="003C1C84" w:rsidP="00725039">
      <w:pPr>
        <w:spacing w:before="120" w:line="276" w:lineRule="auto"/>
        <w:ind w:left="567" w:right="282" w:firstLine="567"/>
        <w:jc w:val="both"/>
        <w:rPr>
          <w:rFonts w:asciiTheme="minorHAnsi" w:hAnsiTheme="minorHAnsi" w:cstheme="minorHAnsi"/>
          <w:bCs/>
          <w:sz w:val="24"/>
          <w:szCs w:val="24"/>
        </w:rPr>
      </w:pPr>
      <w:r w:rsidRPr="006166B6">
        <w:rPr>
          <w:rFonts w:asciiTheme="minorHAnsi" w:hAnsiTheme="minorHAnsi" w:cstheme="minorHAnsi"/>
          <w:bCs/>
          <w:sz w:val="24"/>
          <w:szCs w:val="24"/>
        </w:rPr>
        <w:t xml:space="preserve">The initiative taken by the Committee in this regard offers </w:t>
      </w:r>
      <w:r w:rsidR="00B365EF" w:rsidRPr="006166B6">
        <w:rPr>
          <w:rFonts w:asciiTheme="minorHAnsi" w:hAnsiTheme="minorHAnsi" w:cstheme="minorHAnsi"/>
          <w:bCs/>
          <w:sz w:val="24"/>
          <w:szCs w:val="24"/>
        </w:rPr>
        <w:t>an excellent</w:t>
      </w:r>
      <w:r w:rsidRPr="006166B6">
        <w:rPr>
          <w:rFonts w:asciiTheme="minorHAnsi" w:hAnsiTheme="minorHAnsi" w:cstheme="minorHAnsi"/>
          <w:bCs/>
          <w:sz w:val="24"/>
          <w:szCs w:val="24"/>
        </w:rPr>
        <w:t xml:space="preserve"> oppor</w:t>
      </w:r>
      <w:r w:rsidR="00B365EF" w:rsidRPr="006166B6">
        <w:rPr>
          <w:rFonts w:asciiTheme="minorHAnsi" w:hAnsiTheme="minorHAnsi" w:cstheme="minorHAnsi"/>
          <w:bCs/>
          <w:sz w:val="24"/>
          <w:szCs w:val="24"/>
        </w:rPr>
        <w:t>tuni</w:t>
      </w:r>
      <w:r w:rsidRPr="006166B6">
        <w:rPr>
          <w:rFonts w:asciiTheme="minorHAnsi" w:hAnsiTheme="minorHAnsi" w:cstheme="minorHAnsi"/>
          <w:bCs/>
          <w:sz w:val="24"/>
          <w:szCs w:val="24"/>
        </w:rPr>
        <w:t>ty to clarify the scope and applicability of international children’s rights in the context of the climate crisis. Children are particularly vulnerab</w:t>
      </w:r>
      <w:r w:rsidR="00B365EF" w:rsidRPr="006166B6">
        <w:rPr>
          <w:rFonts w:asciiTheme="minorHAnsi" w:hAnsiTheme="minorHAnsi" w:cstheme="minorHAnsi"/>
          <w:bCs/>
          <w:sz w:val="24"/>
          <w:szCs w:val="24"/>
        </w:rPr>
        <w:t>l</w:t>
      </w:r>
      <w:r w:rsidRPr="006166B6">
        <w:rPr>
          <w:rFonts w:asciiTheme="minorHAnsi" w:hAnsiTheme="minorHAnsi" w:cstheme="minorHAnsi"/>
          <w:bCs/>
          <w:sz w:val="24"/>
          <w:szCs w:val="24"/>
        </w:rPr>
        <w:t>e to the impact of climate change. A closer look, however, reveals that millions of children are disproportionat</w:t>
      </w:r>
      <w:r w:rsidR="00B365EF" w:rsidRPr="006166B6">
        <w:rPr>
          <w:rFonts w:asciiTheme="minorHAnsi" w:hAnsiTheme="minorHAnsi" w:cstheme="minorHAnsi"/>
          <w:bCs/>
          <w:sz w:val="24"/>
          <w:szCs w:val="24"/>
        </w:rPr>
        <w:t>e</w:t>
      </w:r>
      <w:r w:rsidRPr="006166B6">
        <w:rPr>
          <w:rFonts w:asciiTheme="minorHAnsi" w:hAnsiTheme="minorHAnsi" w:cstheme="minorHAnsi"/>
          <w:bCs/>
          <w:sz w:val="24"/>
          <w:szCs w:val="24"/>
        </w:rPr>
        <w:t xml:space="preserve">ly more </w:t>
      </w:r>
      <w:r w:rsidR="00B365EF" w:rsidRPr="006166B6">
        <w:rPr>
          <w:rFonts w:asciiTheme="minorHAnsi" w:hAnsiTheme="minorHAnsi" w:cstheme="minorHAnsi"/>
          <w:bCs/>
          <w:sz w:val="24"/>
          <w:szCs w:val="24"/>
        </w:rPr>
        <w:t>exposed to vulnerable situations</w:t>
      </w:r>
      <w:r w:rsidRPr="006166B6">
        <w:rPr>
          <w:rFonts w:asciiTheme="minorHAnsi" w:hAnsiTheme="minorHAnsi" w:cstheme="minorHAnsi"/>
          <w:bCs/>
          <w:sz w:val="24"/>
          <w:szCs w:val="24"/>
        </w:rPr>
        <w:t xml:space="preserve"> than others</w:t>
      </w:r>
      <w:r w:rsidR="00B365EF" w:rsidRPr="006166B6">
        <w:rPr>
          <w:rFonts w:asciiTheme="minorHAnsi" w:hAnsiTheme="minorHAnsi" w:cstheme="minorHAnsi"/>
          <w:bCs/>
          <w:sz w:val="24"/>
          <w:szCs w:val="24"/>
        </w:rPr>
        <w:t>, namely girls and pregnant women, indigenous children, children with disabilities and children on the move.</w:t>
      </w:r>
      <w:r w:rsidR="00F46BA1">
        <w:rPr>
          <w:rStyle w:val="FootnoteReference"/>
          <w:rFonts w:cstheme="minorHAnsi"/>
          <w:bCs/>
          <w:szCs w:val="24"/>
        </w:rPr>
        <w:footnoteReference w:id="2"/>
      </w:r>
    </w:p>
    <w:p w14:paraId="1423D7E1" w14:textId="01590465" w:rsidR="005D65A7" w:rsidRDefault="00DA7680" w:rsidP="00725039">
      <w:pPr>
        <w:spacing w:before="120" w:line="276" w:lineRule="auto"/>
        <w:ind w:left="567" w:right="282" w:firstLine="567"/>
        <w:jc w:val="both"/>
        <w:rPr>
          <w:rFonts w:ascii="Calibri" w:hAnsi="Calibri" w:cs="Calibri"/>
          <w:bCs/>
          <w:sz w:val="24"/>
          <w:szCs w:val="24"/>
        </w:rPr>
      </w:pPr>
      <w:r w:rsidRPr="00E13B3A">
        <w:rPr>
          <w:rFonts w:ascii="Calibri" w:hAnsi="Calibri" w:cs="Calibri"/>
          <w:bCs/>
          <w:sz w:val="24"/>
          <w:szCs w:val="24"/>
        </w:rPr>
        <w:t xml:space="preserve">Against this background, the </w:t>
      </w:r>
      <w:r w:rsidR="00B4177B" w:rsidRPr="00E13B3A">
        <w:rPr>
          <w:rFonts w:ascii="Calibri" w:hAnsi="Calibri" w:cs="Calibri"/>
          <w:bCs/>
          <w:sz w:val="24"/>
          <w:szCs w:val="24"/>
        </w:rPr>
        <w:t xml:space="preserve">developmental and life-course perspective </w:t>
      </w:r>
      <w:r w:rsidRPr="00E13B3A">
        <w:rPr>
          <w:rFonts w:ascii="Calibri" w:hAnsi="Calibri" w:cs="Calibri"/>
          <w:bCs/>
          <w:sz w:val="24"/>
          <w:szCs w:val="24"/>
        </w:rPr>
        <w:t>taken by the Committee</w:t>
      </w:r>
      <w:r w:rsidR="00B4177B" w:rsidRPr="00E13B3A">
        <w:rPr>
          <w:rFonts w:ascii="Calibri" w:hAnsi="Calibri" w:cs="Calibri"/>
          <w:bCs/>
          <w:sz w:val="24"/>
          <w:szCs w:val="24"/>
        </w:rPr>
        <w:t xml:space="preserve"> </w:t>
      </w:r>
      <w:r w:rsidR="00A13C6E">
        <w:rPr>
          <w:rFonts w:ascii="Calibri" w:hAnsi="Calibri" w:cs="Calibri"/>
          <w:bCs/>
          <w:sz w:val="24"/>
          <w:szCs w:val="24"/>
        </w:rPr>
        <w:t>regarding the</w:t>
      </w:r>
      <w:r w:rsidR="00B4177B" w:rsidRPr="00E13B3A">
        <w:rPr>
          <w:rFonts w:ascii="Calibri" w:hAnsi="Calibri" w:cs="Calibri"/>
          <w:bCs/>
          <w:sz w:val="24"/>
          <w:szCs w:val="24"/>
        </w:rPr>
        <w:t xml:space="preserve"> child’s right to development</w:t>
      </w:r>
      <w:r w:rsidRPr="00E13B3A">
        <w:rPr>
          <w:rFonts w:ascii="Calibri" w:hAnsi="Calibri" w:cs="Calibri"/>
          <w:bCs/>
          <w:sz w:val="24"/>
          <w:szCs w:val="24"/>
        </w:rPr>
        <w:t xml:space="preserve"> is of critical importance.</w:t>
      </w:r>
      <w:r w:rsidR="00CD1401">
        <w:rPr>
          <w:rStyle w:val="FootnoteReference"/>
          <w:rFonts w:cs="Calibri"/>
          <w:bCs/>
          <w:szCs w:val="24"/>
        </w:rPr>
        <w:footnoteReference w:id="3"/>
      </w:r>
      <w:r w:rsidRPr="00E13B3A">
        <w:rPr>
          <w:rFonts w:ascii="Calibri" w:hAnsi="Calibri" w:cs="Calibri"/>
          <w:bCs/>
          <w:sz w:val="24"/>
          <w:szCs w:val="24"/>
        </w:rPr>
        <w:t xml:space="preserve"> </w:t>
      </w:r>
    </w:p>
    <w:p w14:paraId="4701D41F" w14:textId="51CC8543" w:rsidR="008B6E6B" w:rsidRDefault="004303B4" w:rsidP="00725039">
      <w:pPr>
        <w:spacing w:before="120" w:line="276" w:lineRule="auto"/>
        <w:ind w:left="567" w:right="282" w:firstLine="567"/>
        <w:jc w:val="both"/>
        <w:rPr>
          <w:bCs/>
          <w:sz w:val="24"/>
        </w:rPr>
      </w:pPr>
      <w:r w:rsidRPr="00E13B3A">
        <w:rPr>
          <w:rFonts w:ascii="Calibri" w:hAnsi="Calibri" w:cs="Calibri"/>
          <w:bCs/>
          <w:sz w:val="24"/>
          <w:szCs w:val="24"/>
        </w:rPr>
        <w:t>E</w:t>
      </w:r>
      <w:r w:rsidR="00B4177B" w:rsidRPr="00E13B3A">
        <w:rPr>
          <w:rFonts w:ascii="Calibri" w:hAnsi="Calibri" w:cs="Calibri"/>
          <w:bCs/>
          <w:sz w:val="24"/>
          <w:szCs w:val="24"/>
        </w:rPr>
        <w:t>nvironmental harms and climate-related harms “during developmental windows of increased vulnerability can easily disrupt maturational processes” and cause permanent disease well into adulthood.</w:t>
      </w:r>
      <w:r w:rsidR="000B0841" w:rsidRPr="00E13B3A">
        <w:rPr>
          <w:rFonts w:ascii="Calibri" w:hAnsi="Calibri" w:cs="Calibri"/>
          <w:bCs/>
          <w:sz w:val="24"/>
          <w:szCs w:val="24"/>
        </w:rPr>
        <w:t xml:space="preserve"> For disabled children living in poverty are already at risk of not enjoying the nurturing care and environment they need to develop their capacities. Climate-related harms such as droughts, floods and wildfire amplify the associated risks considerably. As the </w:t>
      </w:r>
      <w:r w:rsidR="00E92738">
        <w:rPr>
          <w:rFonts w:ascii="Calibri" w:hAnsi="Calibri" w:cs="Calibri"/>
          <w:bCs/>
          <w:sz w:val="24"/>
          <w:szCs w:val="24"/>
        </w:rPr>
        <w:t>Committee on the Rights of Persons with Disabil</w:t>
      </w:r>
      <w:r w:rsidR="00CD1401">
        <w:rPr>
          <w:rFonts w:ascii="Calibri" w:hAnsi="Calibri" w:cs="Calibri"/>
          <w:bCs/>
          <w:sz w:val="24"/>
          <w:szCs w:val="24"/>
        </w:rPr>
        <w:t>i</w:t>
      </w:r>
      <w:r w:rsidR="00E92738">
        <w:rPr>
          <w:rFonts w:ascii="Calibri" w:hAnsi="Calibri" w:cs="Calibri"/>
          <w:bCs/>
          <w:sz w:val="24"/>
          <w:szCs w:val="24"/>
        </w:rPr>
        <w:t xml:space="preserve">ties </w:t>
      </w:r>
      <w:r w:rsidR="000B0841" w:rsidRPr="00E13B3A">
        <w:rPr>
          <w:rFonts w:ascii="Calibri" w:hAnsi="Calibri" w:cs="Calibri"/>
          <w:bCs/>
          <w:sz w:val="24"/>
          <w:szCs w:val="24"/>
        </w:rPr>
        <w:t xml:space="preserve">noted in its </w:t>
      </w:r>
      <w:r w:rsidR="00CD1401">
        <w:rPr>
          <w:rFonts w:ascii="Calibri" w:hAnsi="Calibri" w:cs="Calibri"/>
          <w:bCs/>
          <w:sz w:val="24"/>
          <w:szCs w:val="24"/>
        </w:rPr>
        <w:t>General C</w:t>
      </w:r>
      <w:r w:rsidR="000B0841" w:rsidRPr="00E13B3A">
        <w:rPr>
          <w:rFonts w:ascii="Calibri" w:hAnsi="Calibri" w:cs="Calibri"/>
          <w:bCs/>
          <w:sz w:val="24"/>
          <w:szCs w:val="24"/>
        </w:rPr>
        <w:t>omment</w:t>
      </w:r>
      <w:r w:rsidR="00CD1401">
        <w:rPr>
          <w:rFonts w:ascii="Calibri" w:hAnsi="Calibri" w:cs="Calibri"/>
          <w:bCs/>
          <w:sz w:val="24"/>
          <w:szCs w:val="24"/>
        </w:rPr>
        <w:t xml:space="preserve"> No. 6</w:t>
      </w:r>
      <w:r w:rsidR="000B0841" w:rsidRPr="00E13B3A">
        <w:rPr>
          <w:rFonts w:ascii="Calibri" w:hAnsi="Calibri" w:cs="Calibri"/>
          <w:bCs/>
          <w:sz w:val="24"/>
          <w:szCs w:val="24"/>
        </w:rPr>
        <w:t xml:space="preserve"> on equality</w:t>
      </w:r>
      <w:r w:rsidR="00E92738">
        <w:rPr>
          <w:rFonts w:ascii="Calibri" w:hAnsi="Calibri" w:cs="Calibri"/>
          <w:bCs/>
          <w:sz w:val="24"/>
          <w:szCs w:val="24"/>
        </w:rPr>
        <w:t xml:space="preserve"> and non-discrimination:</w:t>
      </w:r>
    </w:p>
    <w:p w14:paraId="089D0C6A" w14:textId="11EBCE61" w:rsidR="008C41DA" w:rsidRDefault="00E92738" w:rsidP="00725039">
      <w:pPr>
        <w:shd w:val="clear" w:color="auto" w:fill="FFFFFF" w:themeFill="background1"/>
        <w:spacing w:before="120" w:line="276" w:lineRule="auto"/>
        <w:ind w:left="1134" w:right="282" w:firstLine="567"/>
        <w:jc w:val="both"/>
        <w:rPr>
          <w:rStyle w:val="markedcontent"/>
          <w:rFonts w:asciiTheme="minorHAnsi" w:hAnsiTheme="minorHAnsi" w:cstheme="minorHAnsi"/>
          <w:sz w:val="24"/>
          <w:szCs w:val="24"/>
        </w:rPr>
      </w:pPr>
      <w:r>
        <w:rPr>
          <w:rStyle w:val="markedcontent"/>
          <w:rFonts w:asciiTheme="minorHAnsi" w:hAnsiTheme="minorHAnsi" w:cstheme="minorHAnsi"/>
          <w:i/>
          <w:iCs/>
          <w:sz w:val="24"/>
          <w:szCs w:val="24"/>
        </w:rPr>
        <w:lastRenderedPageBreak/>
        <w:t>“</w:t>
      </w:r>
      <w:r w:rsidR="008B6E6B" w:rsidRPr="00E92738">
        <w:rPr>
          <w:rStyle w:val="markedcontent"/>
          <w:rFonts w:asciiTheme="minorHAnsi" w:hAnsiTheme="minorHAnsi" w:cstheme="minorHAnsi"/>
          <w:i/>
          <w:iCs/>
          <w:sz w:val="24"/>
          <w:szCs w:val="24"/>
        </w:rPr>
        <w:t xml:space="preserve">As stated in paragraph 59 of the Committee’s </w:t>
      </w:r>
      <w:r w:rsidR="00CD1401">
        <w:rPr>
          <w:rStyle w:val="markedcontent"/>
          <w:rFonts w:asciiTheme="minorHAnsi" w:hAnsiTheme="minorHAnsi" w:cstheme="minorHAnsi"/>
          <w:i/>
          <w:iCs/>
          <w:sz w:val="24"/>
          <w:szCs w:val="24"/>
        </w:rPr>
        <w:t>G</w:t>
      </w:r>
      <w:r w:rsidR="008B6E6B" w:rsidRPr="00E92738">
        <w:rPr>
          <w:rStyle w:val="markedcontent"/>
          <w:rFonts w:asciiTheme="minorHAnsi" w:hAnsiTheme="minorHAnsi" w:cstheme="minorHAnsi"/>
          <w:i/>
          <w:iCs/>
          <w:sz w:val="24"/>
          <w:szCs w:val="24"/>
        </w:rPr>
        <w:t xml:space="preserve">eneral </w:t>
      </w:r>
      <w:r w:rsidR="00CD1401">
        <w:rPr>
          <w:rStyle w:val="markedcontent"/>
          <w:rFonts w:asciiTheme="minorHAnsi" w:hAnsiTheme="minorHAnsi" w:cstheme="minorHAnsi"/>
          <w:i/>
          <w:iCs/>
          <w:sz w:val="24"/>
          <w:szCs w:val="24"/>
        </w:rPr>
        <w:t>C</w:t>
      </w:r>
      <w:r w:rsidR="008B6E6B" w:rsidRPr="00E92738">
        <w:rPr>
          <w:rStyle w:val="markedcontent"/>
          <w:rFonts w:asciiTheme="minorHAnsi" w:hAnsiTheme="minorHAnsi" w:cstheme="minorHAnsi"/>
          <w:i/>
          <w:iCs/>
          <w:sz w:val="24"/>
          <w:szCs w:val="24"/>
        </w:rPr>
        <w:t>omment No. 3, poverty is</w:t>
      </w:r>
      <w:r w:rsidR="008B6E6B" w:rsidRPr="00E92738">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both a compounding factor and the result of multiple discrimination. Failure to implement</w:t>
      </w:r>
      <w:r w:rsidR="008B6E6B" w:rsidRPr="00E92738">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the right of persons with disabilities to an adequate standard of living for themselves and</w:t>
      </w:r>
      <w:r w:rsidR="008B6E6B" w:rsidRPr="00E92738">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their families is contrary to the objectives of the Convention. This failure is particularly</w:t>
      </w:r>
      <w:r w:rsidR="008B6E6B" w:rsidRPr="00E92738">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worrying with regard to persons with disabilities living in extreme poverty or destitution.</w:t>
      </w:r>
      <w:r w:rsidRPr="00E92738">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To reach an adequate standard of living comparable to others, persons with disabilities</w:t>
      </w:r>
      <w:r w:rsidR="008B6E6B" w:rsidRPr="00E92738">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typically have additional expenses. This represents a particular disadvantage for children or</w:t>
      </w:r>
      <w:r w:rsidR="008B6E6B" w:rsidRPr="00E92738">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older women with disabilities who live in extreme poverty and destitution. States parties</w:t>
      </w:r>
      <w:r w:rsidR="008B6E6B" w:rsidRPr="00E92738">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should take effective measures to enable persons with disabilities to cover the additional</w:t>
      </w:r>
      <w:r w:rsidR="008B6E6B" w:rsidRPr="00E92738">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expenses linked to disability. States parties are required to take immediate steps to provide</w:t>
      </w:r>
      <w:r w:rsidR="00CD1401">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persons with disabilities living in extreme poverty</w:t>
      </w:r>
      <w:r w:rsidR="008B6E6B" w:rsidRPr="00E92738">
        <w:rPr>
          <w:rStyle w:val="markedcontent"/>
          <w:rFonts w:asciiTheme="minorHAnsi" w:hAnsiTheme="minorHAnsi" w:cstheme="minorHAnsi"/>
          <w:i/>
          <w:iCs/>
          <w:sz w:val="22"/>
          <w:szCs w:val="22"/>
        </w:rPr>
        <w:t xml:space="preserve"> </w:t>
      </w:r>
      <w:r w:rsidR="008B6E6B" w:rsidRPr="00E92738">
        <w:rPr>
          <w:rStyle w:val="markedcontent"/>
          <w:rFonts w:asciiTheme="minorHAnsi" w:hAnsiTheme="minorHAnsi" w:cstheme="minorHAnsi"/>
          <w:i/>
          <w:iCs/>
          <w:sz w:val="24"/>
          <w:szCs w:val="24"/>
        </w:rPr>
        <w:t>and destitution with a core minimum in</w:t>
      </w:r>
      <w:r w:rsidR="008B6E6B" w:rsidRPr="00E92738">
        <w:rPr>
          <w:rStyle w:val="markedcontent"/>
          <w:rFonts w:asciiTheme="minorHAnsi" w:hAnsiTheme="minorHAnsi" w:cstheme="minorHAnsi"/>
          <w:i/>
          <w:iCs/>
          <w:sz w:val="24"/>
          <w:szCs w:val="24"/>
        </w:rPr>
        <w:t xml:space="preserve"> </w:t>
      </w:r>
      <w:r w:rsidR="008B6E6B" w:rsidRPr="00E92738">
        <w:rPr>
          <w:rStyle w:val="markedcontent"/>
          <w:rFonts w:asciiTheme="minorHAnsi" w:hAnsiTheme="minorHAnsi" w:cstheme="minorHAnsi"/>
          <w:i/>
          <w:iCs/>
          <w:sz w:val="24"/>
          <w:szCs w:val="24"/>
        </w:rPr>
        <w:t>terms of adequate food, clothing and housing</w:t>
      </w:r>
      <w:r w:rsidR="008B6E6B" w:rsidRPr="00E92738">
        <w:rPr>
          <w:rStyle w:val="markedcontent"/>
          <w:rFonts w:asciiTheme="minorHAnsi" w:hAnsiTheme="minorHAnsi" w:cstheme="minorHAnsi"/>
          <w:sz w:val="24"/>
          <w:szCs w:val="24"/>
        </w:rPr>
        <w:t>.</w:t>
      </w:r>
      <w:r>
        <w:rPr>
          <w:rStyle w:val="markedcontent"/>
          <w:rFonts w:asciiTheme="minorHAnsi" w:hAnsiTheme="minorHAnsi" w:cstheme="minorHAnsi"/>
          <w:sz w:val="24"/>
          <w:szCs w:val="24"/>
        </w:rPr>
        <w:t>”</w:t>
      </w:r>
    </w:p>
    <w:p w14:paraId="1E591AA9" w14:textId="77777777" w:rsidR="00725039" w:rsidRPr="00725039" w:rsidRDefault="00725039" w:rsidP="00725039">
      <w:pPr>
        <w:shd w:val="clear" w:color="auto" w:fill="FFFFFF" w:themeFill="background1"/>
        <w:spacing w:before="120" w:line="276" w:lineRule="auto"/>
        <w:ind w:left="1134" w:right="282" w:firstLine="567"/>
        <w:jc w:val="both"/>
        <w:rPr>
          <w:rStyle w:val="markedcontent"/>
          <w:rFonts w:ascii="Arial" w:hAnsi="Arial" w:cs="Arial"/>
          <w:sz w:val="22"/>
          <w:szCs w:val="22"/>
        </w:rPr>
      </w:pPr>
    </w:p>
    <w:p w14:paraId="491D3C1C" w14:textId="437BA195" w:rsidR="0063411B" w:rsidRDefault="00A13C6E" w:rsidP="00725039">
      <w:pPr>
        <w:spacing w:before="120" w:line="276" w:lineRule="auto"/>
        <w:ind w:left="567" w:right="282" w:firstLine="567"/>
        <w:jc w:val="both"/>
        <w:rPr>
          <w:rFonts w:asciiTheme="minorHAnsi" w:hAnsiTheme="minorHAnsi" w:cstheme="minorHAnsi"/>
          <w:bCs/>
          <w:sz w:val="24"/>
          <w:szCs w:val="24"/>
        </w:rPr>
      </w:pPr>
      <w:r>
        <w:rPr>
          <w:rStyle w:val="markedcontent"/>
          <w:rFonts w:asciiTheme="minorHAnsi" w:hAnsiTheme="minorHAnsi" w:cstheme="minorHAnsi"/>
          <w:sz w:val="24"/>
          <w:szCs w:val="24"/>
        </w:rPr>
        <w:t>Without these steps in</w:t>
      </w:r>
      <w:r w:rsidR="0063411B" w:rsidRPr="00EF53ED">
        <w:rPr>
          <w:rStyle w:val="markedcontent"/>
          <w:rFonts w:asciiTheme="minorHAnsi" w:hAnsiTheme="minorHAnsi" w:cstheme="minorHAnsi"/>
          <w:sz w:val="24"/>
          <w:szCs w:val="24"/>
        </w:rPr>
        <w:t xml:space="preserve"> a changing climate</w:t>
      </w:r>
      <w:r w:rsidR="00E92738" w:rsidRPr="00EF53ED">
        <w:rPr>
          <w:rStyle w:val="markedcontent"/>
          <w:rFonts w:asciiTheme="minorHAnsi" w:hAnsiTheme="minorHAnsi" w:cstheme="minorHAnsi"/>
          <w:sz w:val="24"/>
          <w:szCs w:val="24"/>
        </w:rPr>
        <w:t>,</w:t>
      </w:r>
      <w:r w:rsidR="008B6E6B" w:rsidRPr="00EF53ED">
        <w:rPr>
          <w:rStyle w:val="markedcontent"/>
          <w:rFonts w:asciiTheme="minorHAnsi" w:hAnsiTheme="minorHAnsi" w:cstheme="minorHAnsi"/>
          <w:sz w:val="24"/>
          <w:szCs w:val="24"/>
        </w:rPr>
        <w:t xml:space="preserve"> the </w:t>
      </w:r>
      <w:r>
        <w:rPr>
          <w:rStyle w:val="markedcontent"/>
          <w:rFonts w:asciiTheme="minorHAnsi" w:hAnsiTheme="minorHAnsi" w:cstheme="minorHAnsi"/>
          <w:sz w:val="24"/>
          <w:szCs w:val="24"/>
        </w:rPr>
        <w:t>development</w:t>
      </w:r>
      <w:r w:rsidR="008B6E6B" w:rsidRPr="00EF53ED">
        <w:rPr>
          <w:rStyle w:val="markedcontent"/>
          <w:rFonts w:asciiTheme="minorHAnsi" w:hAnsiTheme="minorHAnsi" w:cstheme="minorHAnsi"/>
          <w:sz w:val="24"/>
          <w:szCs w:val="24"/>
        </w:rPr>
        <w:t xml:space="preserve"> of poor children with d</w:t>
      </w:r>
      <w:r w:rsidR="0063411B" w:rsidRPr="00EF53ED">
        <w:rPr>
          <w:rStyle w:val="markedcontent"/>
          <w:rFonts w:asciiTheme="minorHAnsi" w:hAnsiTheme="minorHAnsi" w:cstheme="minorHAnsi"/>
          <w:sz w:val="24"/>
          <w:szCs w:val="24"/>
        </w:rPr>
        <w:t>isabilit</w:t>
      </w:r>
      <w:r w:rsidR="00E92738" w:rsidRPr="00EF53ED">
        <w:rPr>
          <w:rStyle w:val="markedcontent"/>
          <w:rFonts w:asciiTheme="minorHAnsi" w:hAnsiTheme="minorHAnsi" w:cstheme="minorHAnsi"/>
          <w:sz w:val="24"/>
          <w:szCs w:val="24"/>
        </w:rPr>
        <w:t>ies</w:t>
      </w:r>
      <w:r w:rsidR="008B6E6B" w:rsidRPr="00EF53ED">
        <w:rPr>
          <w:rStyle w:val="markedcontent"/>
          <w:rFonts w:asciiTheme="minorHAnsi" w:hAnsiTheme="minorHAnsi" w:cstheme="minorHAnsi"/>
          <w:sz w:val="24"/>
          <w:szCs w:val="24"/>
        </w:rPr>
        <w:t xml:space="preserve"> would be </w:t>
      </w:r>
      <w:r>
        <w:rPr>
          <w:rStyle w:val="markedcontent"/>
          <w:rFonts w:asciiTheme="minorHAnsi" w:hAnsiTheme="minorHAnsi" w:cstheme="minorHAnsi"/>
          <w:sz w:val="24"/>
          <w:szCs w:val="24"/>
        </w:rPr>
        <w:t xml:space="preserve">severely </w:t>
      </w:r>
      <w:r w:rsidR="008B6E6B" w:rsidRPr="00EF53ED">
        <w:rPr>
          <w:rStyle w:val="markedcontent"/>
          <w:rFonts w:asciiTheme="minorHAnsi" w:hAnsiTheme="minorHAnsi" w:cstheme="minorHAnsi"/>
          <w:sz w:val="24"/>
          <w:szCs w:val="24"/>
        </w:rPr>
        <w:t>compromised.</w:t>
      </w:r>
      <w:r w:rsidR="0063411B" w:rsidRPr="00EF53ED">
        <w:rPr>
          <w:rStyle w:val="markedcontent"/>
          <w:rFonts w:asciiTheme="minorHAnsi" w:hAnsiTheme="minorHAnsi" w:cstheme="minorHAnsi"/>
          <w:sz w:val="24"/>
          <w:szCs w:val="24"/>
        </w:rPr>
        <w:t xml:space="preserve"> </w:t>
      </w:r>
      <w:r w:rsidR="00CD52F6" w:rsidRPr="00EF53ED">
        <w:rPr>
          <w:rStyle w:val="markedcontent"/>
          <w:rFonts w:asciiTheme="minorHAnsi" w:hAnsiTheme="minorHAnsi" w:cstheme="minorHAnsi"/>
          <w:sz w:val="24"/>
          <w:szCs w:val="24"/>
        </w:rPr>
        <w:t>And a</w:t>
      </w:r>
      <w:r w:rsidR="0063411B" w:rsidRPr="00EF53ED">
        <w:rPr>
          <w:rFonts w:asciiTheme="minorHAnsi" w:hAnsiTheme="minorHAnsi" w:cstheme="minorHAnsi"/>
          <w:bCs/>
          <w:sz w:val="24"/>
          <w:szCs w:val="24"/>
        </w:rPr>
        <w:t xml:space="preserve">s the </w:t>
      </w:r>
      <w:r w:rsidR="00E92738" w:rsidRPr="00EF53ED">
        <w:rPr>
          <w:rFonts w:asciiTheme="minorHAnsi" w:hAnsiTheme="minorHAnsi" w:cstheme="minorHAnsi"/>
          <w:bCs/>
          <w:sz w:val="24"/>
          <w:szCs w:val="24"/>
        </w:rPr>
        <w:t xml:space="preserve">present </w:t>
      </w:r>
      <w:r w:rsidR="0063411B" w:rsidRPr="00EF53ED">
        <w:rPr>
          <w:rFonts w:asciiTheme="minorHAnsi" w:hAnsiTheme="minorHAnsi" w:cstheme="minorHAnsi"/>
          <w:bCs/>
          <w:sz w:val="24"/>
          <w:szCs w:val="24"/>
        </w:rPr>
        <w:t xml:space="preserve">draft General </w:t>
      </w:r>
      <w:r w:rsidR="00E92738" w:rsidRPr="00EF53ED">
        <w:rPr>
          <w:rFonts w:asciiTheme="minorHAnsi" w:hAnsiTheme="minorHAnsi" w:cstheme="minorHAnsi"/>
          <w:bCs/>
          <w:sz w:val="24"/>
          <w:szCs w:val="24"/>
        </w:rPr>
        <w:t>C</w:t>
      </w:r>
      <w:r w:rsidR="0063411B" w:rsidRPr="00EF53ED">
        <w:rPr>
          <w:rFonts w:asciiTheme="minorHAnsi" w:hAnsiTheme="minorHAnsi" w:cstheme="minorHAnsi"/>
          <w:bCs/>
          <w:sz w:val="24"/>
          <w:szCs w:val="24"/>
        </w:rPr>
        <w:t>omment</w:t>
      </w:r>
      <w:r w:rsidR="0063411B" w:rsidRPr="00EF53ED">
        <w:rPr>
          <w:rFonts w:asciiTheme="minorHAnsi" w:hAnsiTheme="minorHAnsi" w:cstheme="minorHAnsi"/>
          <w:bCs/>
          <w:sz w:val="24"/>
          <w:szCs w:val="24"/>
        </w:rPr>
        <w:t xml:space="preserve"> No. 26</w:t>
      </w:r>
      <w:r w:rsidR="0063411B" w:rsidRPr="00EF53ED">
        <w:rPr>
          <w:rFonts w:asciiTheme="minorHAnsi" w:hAnsiTheme="minorHAnsi" w:cstheme="minorHAnsi"/>
          <w:bCs/>
          <w:sz w:val="24"/>
          <w:szCs w:val="24"/>
        </w:rPr>
        <w:t xml:space="preserve"> indicates, “violations of </w:t>
      </w:r>
      <w:r w:rsidR="0063411B" w:rsidRPr="00EF53ED">
        <w:rPr>
          <w:rFonts w:asciiTheme="minorHAnsi" w:hAnsiTheme="minorHAnsi" w:cstheme="minorHAnsi"/>
          <w:bCs/>
          <w:sz w:val="24"/>
          <w:szCs w:val="24"/>
        </w:rPr>
        <w:t>[children’s]</w:t>
      </w:r>
      <w:r w:rsidR="0063411B" w:rsidRPr="00EF53ED">
        <w:rPr>
          <w:rFonts w:asciiTheme="minorHAnsi" w:hAnsiTheme="minorHAnsi" w:cstheme="minorHAnsi"/>
          <w:bCs/>
          <w:sz w:val="24"/>
          <w:szCs w:val="24"/>
        </w:rPr>
        <w:t xml:space="preserve"> rights arising from environmental harm [and from climate-related harm] may have a severe and long-lasting impact on their development.</w:t>
      </w:r>
      <w:r w:rsidR="0063411B" w:rsidRPr="00EF53ED">
        <w:rPr>
          <w:rFonts w:asciiTheme="minorHAnsi" w:hAnsiTheme="minorHAnsi" w:cstheme="minorHAnsi"/>
          <w:bCs/>
          <w:sz w:val="24"/>
          <w:szCs w:val="24"/>
        </w:rPr>
        <w:t xml:space="preserve">” </w:t>
      </w:r>
      <w:r w:rsidR="00EF53ED">
        <w:rPr>
          <w:rFonts w:asciiTheme="minorHAnsi" w:hAnsiTheme="minorHAnsi" w:cstheme="minorHAnsi"/>
          <w:bCs/>
          <w:sz w:val="24"/>
          <w:szCs w:val="24"/>
        </w:rPr>
        <w:t>(</w:t>
      </w:r>
      <w:r w:rsidRPr="00EF53ED">
        <w:rPr>
          <w:rFonts w:asciiTheme="minorHAnsi" w:hAnsiTheme="minorHAnsi" w:cstheme="minorHAnsi"/>
          <w:bCs/>
          <w:sz w:val="24"/>
          <w:szCs w:val="24"/>
        </w:rPr>
        <w:t>Para</w:t>
      </w:r>
      <w:r>
        <w:rPr>
          <w:rFonts w:asciiTheme="minorHAnsi" w:hAnsiTheme="minorHAnsi" w:cstheme="minorHAnsi"/>
          <w:bCs/>
          <w:sz w:val="24"/>
          <w:szCs w:val="24"/>
        </w:rPr>
        <w:t>.</w:t>
      </w:r>
      <w:r w:rsidR="0063411B" w:rsidRPr="00EF53ED">
        <w:rPr>
          <w:rFonts w:asciiTheme="minorHAnsi" w:hAnsiTheme="minorHAnsi" w:cstheme="minorHAnsi"/>
          <w:bCs/>
          <w:sz w:val="24"/>
          <w:szCs w:val="24"/>
        </w:rPr>
        <w:t xml:space="preserve"> 82</w:t>
      </w:r>
      <w:r w:rsidR="00EF53ED">
        <w:rPr>
          <w:rFonts w:asciiTheme="minorHAnsi" w:hAnsiTheme="minorHAnsi" w:cstheme="minorHAnsi"/>
          <w:bCs/>
          <w:sz w:val="24"/>
          <w:szCs w:val="24"/>
        </w:rPr>
        <w:t>).</w:t>
      </w:r>
    </w:p>
    <w:p w14:paraId="78F2B3E2" w14:textId="77777777" w:rsidR="00725039" w:rsidRDefault="00725039" w:rsidP="00725039">
      <w:pPr>
        <w:spacing w:before="120" w:line="276" w:lineRule="auto"/>
        <w:ind w:left="567" w:right="282" w:firstLine="567"/>
        <w:jc w:val="both"/>
        <w:rPr>
          <w:rFonts w:asciiTheme="minorHAnsi" w:hAnsiTheme="minorHAnsi" w:cstheme="minorHAnsi"/>
          <w:bCs/>
          <w:sz w:val="24"/>
          <w:szCs w:val="24"/>
        </w:rPr>
      </w:pPr>
    </w:p>
    <w:p w14:paraId="53CC8A4B" w14:textId="77777777" w:rsidR="007729CD" w:rsidRPr="00EF53ED" w:rsidRDefault="007729CD" w:rsidP="00CD1401">
      <w:pPr>
        <w:spacing w:before="120"/>
        <w:ind w:left="567" w:right="282" w:firstLine="567"/>
        <w:jc w:val="both"/>
        <w:rPr>
          <w:rFonts w:asciiTheme="minorHAnsi" w:hAnsiTheme="minorHAnsi" w:cstheme="minorHAnsi"/>
          <w:bCs/>
          <w:sz w:val="24"/>
          <w:szCs w:val="24"/>
        </w:rPr>
      </w:pPr>
    </w:p>
    <w:p w14:paraId="0D6D0093" w14:textId="31CCAC60" w:rsidR="0063411B" w:rsidRDefault="00660C0C" w:rsidP="00660C0C">
      <w:pPr>
        <w:shd w:val="clear" w:color="auto" w:fill="D9D9D9" w:themeFill="background1" w:themeFillShade="D9"/>
        <w:suppressAutoHyphens w:val="0"/>
        <w:spacing w:after="200" w:line="276" w:lineRule="auto"/>
        <w:rPr>
          <w:b/>
          <w:sz w:val="24"/>
        </w:rPr>
      </w:pPr>
      <w:r>
        <w:rPr>
          <w:b/>
          <w:sz w:val="24"/>
        </w:rPr>
        <w:t>Comments and suggestions:</w:t>
      </w:r>
    </w:p>
    <w:p w14:paraId="31986BBE" w14:textId="0FCCDC70" w:rsidR="005E2093" w:rsidRDefault="009858C5" w:rsidP="009858C5">
      <w:pPr>
        <w:suppressAutoHyphens w:val="0"/>
        <w:spacing w:after="200" w:line="276" w:lineRule="auto"/>
        <w:rPr>
          <w:b/>
          <w:color w:val="FF0000"/>
          <w:sz w:val="24"/>
        </w:rPr>
      </w:pPr>
      <w:r>
        <w:rPr>
          <w:b/>
          <w:color w:val="000000" w:themeColor="text1"/>
          <w:sz w:val="24"/>
        </w:rPr>
        <w:t>N</w:t>
      </w:r>
      <w:r w:rsidR="00A21787" w:rsidRPr="00A21787">
        <w:rPr>
          <w:b/>
          <w:color w:val="000000" w:themeColor="text1"/>
          <w:sz w:val="24"/>
        </w:rPr>
        <w:t>ote:</w:t>
      </w:r>
      <w:r>
        <w:rPr>
          <w:b/>
          <w:color w:val="000000" w:themeColor="text1"/>
          <w:sz w:val="24"/>
        </w:rPr>
        <w:t xml:space="preserve"> </w:t>
      </w:r>
      <w:r w:rsidR="00A21787" w:rsidRPr="00A21787">
        <w:rPr>
          <w:b/>
          <w:color w:val="000000" w:themeColor="text1"/>
          <w:sz w:val="24"/>
          <w:highlight w:val="yellow"/>
        </w:rPr>
        <w:t>Highlighted headings</w:t>
      </w:r>
      <w:r w:rsidR="00A21787" w:rsidRPr="00A21787">
        <w:rPr>
          <w:b/>
          <w:color w:val="000000" w:themeColor="text1"/>
          <w:sz w:val="24"/>
        </w:rPr>
        <w:t xml:space="preserve"> indicate amendments in the </w:t>
      </w:r>
      <w:r w:rsidR="00A21787">
        <w:rPr>
          <w:b/>
          <w:color w:val="000000" w:themeColor="text1"/>
          <w:sz w:val="24"/>
        </w:rPr>
        <w:t>text that follows</w:t>
      </w:r>
      <w:r w:rsidR="00A21787" w:rsidRPr="00A21787">
        <w:rPr>
          <w:b/>
          <w:color w:val="000000" w:themeColor="text1"/>
          <w:sz w:val="24"/>
        </w:rPr>
        <w:t xml:space="preserve">. </w:t>
      </w:r>
      <w:r w:rsidR="00A21787" w:rsidRPr="00A21787">
        <w:rPr>
          <w:b/>
          <w:color w:val="FF0000"/>
          <w:sz w:val="24"/>
        </w:rPr>
        <w:t xml:space="preserve">Suggested text </w:t>
      </w:r>
      <w:r w:rsidR="00DE4B44">
        <w:rPr>
          <w:b/>
          <w:color w:val="FF0000"/>
          <w:sz w:val="24"/>
        </w:rPr>
        <w:t xml:space="preserve">inserted </w:t>
      </w:r>
      <w:r w:rsidR="00A21787" w:rsidRPr="00A21787">
        <w:rPr>
          <w:b/>
          <w:color w:val="FF0000"/>
          <w:sz w:val="24"/>
        </w:rPr>
        <w:t>is in red</w:t>
      </w:r>
      <w:r w:rsidR="00A21787">
        <w:rPr>
          <w:b/>
          <w:color w:val="FF0000"/>
          <w:sz w:val="24"/>
        </w:rPr>
        <w:t>.</w:t>
      </w:r>
    </w:p>
    <w:p w14:paraId="5DC32205" w14:textId="32CA1FD7" w:rsidR="00363860" w:rsidRPr="00CC25B8" w:rsidRDefault="004160BD" w:rsidP="009858C5">
      <w:pPr>
        <w:pStyle w:val="HChG"/>
        <w:rPr>
          <w:b w:val="0"/>
        </w:rPr>
      </w:pPr>
      <w:r w:rsidRPr="00CC25B8">
        <w:tab/>
      </w:r>
      <w:r w:rsidR="0006376B" w:rsidRPr="00CC25B8">
        <w:t xml:space="preserve">Draft General comment No. 26 </w:t>
      </w:r>
      <w:r w:rsidR="005A5C5F" w:rsidRPr="00CC25B8">
        <w:t>C</w:t>
      </w:r>
      <w:r w:rsidR="0006376B" w:rsidRPr="00CC25B8">
        <w:t>hildren’s rights and the environment with a special focus on climate change</w:t>
      </w:r>
    </w:p>
    <w:p w14:paraId="65AC3ADE" w14:textId="3ECA5523" w:rsidR="00794FB8" w:rsidRPr="00CC25B8" w:rsidRDefault="004160BD" w:rsidP="009858C5">
      <w:pPr>
        <w:pStyle w:val="HChG"/>
      </w:pPr>
      <w:r w:rsidRPr="00CC25B8">
        <w:tab/>
        <w:t>I.</w:t>
      </w:r>
      <w:r w:rsidRPr="00CC25B8">
        <w:tab/>
        <w:t>Introduction</w:t>
      </w:r>
      <w:bookmarkStart w:id="1" w:name="_Toc115681950"/>
      <w:r w:rsidR="00794FB8" w:rsidRPr="00CC25B8">
        <w:tab/>
      </w:r>
      <w:bookmarkEnd w:id="1"/>
    </w:p>
    <w:p w14:paraId="24FA4D73" w14:textId="28C03C8D" w:rsidR="00794FB8" w:rsidRPr="00CC25B8" w:rsidRDefault="00794FB8" w:rsidP="009858C5">
      <w:pPr>
        <w:pStyle w:val="H1G"/>
        <w:shd w:val="clear" w:color="auto" w:fill="FFFFFF" w:themeFill="background1"/>
      </w:pPr>
      <w:bookmarkStart w:id="2" w:name="_Toc115681951"/>
      <w:r w:rsidRPr="00CC25B8">
        <w:tab/>
      </w:r>
      <w:r w:rsidRPr="00F5209E">
        <w:t>B.</w:t>
      </w:r>
      <w:r w:rsidRPr="00F5209E">
        <w:tab/>
      </w:r>
      <w:r w:rsidRPr="00F5209E">
        <w:rPr>
          <w:highlight w:val="yellow"/>
        </w:rPr>
        <w:t xml:space="preserve">The evolution of international human rights law </w:t>
      </w:r>
      <w:r w:rsidR="00A10C6B" w:rsidRPr="00F5209E">
        <w:rPr>
          <w:highlight w:val="yellow"/>
        </w:rPr>
        <w:t xml:space="preserve">as it relates to </w:t>
      </w:r>
      <w:r w:rsidRPr="00F5209E">
        <w:rPr>
          <w:highlight w:val="yellow"/>
        </w:rPr>
        <w:t>the environment</w:t>
      </w:r>
      <w:bookmarkEnd w:id="2"/>
      <w:r w:rsidR="00A10C6B">
        <w:t xml:space="preserve"> </w:t>
      </w:r>
      <w:r w:rsidR="00A10C6B" w:rsidRPr="00A10C6B">
        <w:rPr>
          <w:color w:val="FF0000"/>
        </w:rPr>
        <w:t>and climate change</w:t>
      </w:r>
    </w:p>
    <w:p w14:paraId="6582C27D" w14:textId="77777777" w:rsidR="00794FB8" w:rsidRPr="00CC25B8" w:rsidRDefault="00794FB8" w:rsidP="004160BD">
      <w:pPr>
        <w:pStyle w:val="HChG"/>
      </w:pPr>
      <w:bookmarkStart w:id="3" w:name="_Toc115681953"/>
      <w:r w:rsidRPr="00CC25B8">
        <w:tab/>
        <w:t>II.</w:t>
      </w:r>
      <w:r w:rsidRPr="00CC25B8">
        <w:tab/>
        <w:t>Key concepts</w:t>
      </w:r>
      <w:bookmarkEnd w:id="3"/>
    </w:p>
    <w:p w14:paraId="646C176A" w14:textId="77777777" w:rsidR="00794FB8" w:rsidRPr="00CC25B8" w:rsidRDefault="00794FB8" w:rsidP="004160BD">
      <w:pPr>
        <w:pStyle w:val="H1G"/>
      </w:pPr>
      <w:bookmarkStart w:id="4" w:name="_Toc115681954"/>
      <w:r w:rsidRPr="00CC25B8">
        <w:tab/>
        <w:t>A.</w:t>
      </w:r>
      <w:r w:rsidRPr="00CC25B8">
        <w:tab/>
      </w:r>
      <w:r w:rsidRPr="00A10C6B">
        <w:rPr>
          <w:highlight w:val="yellow"/>
        </w:rPr>
        <w:t>Sustainable development</w:t>
      </w:r>
      <w:bookmarkEnd w:id="4"/>
    </w:p>
    <w:p w14:paraId="2F13E39F" w14:textId="0E6A1E44" w:rsidR="003D66E9" w:rsidRPr="00CC25B8" w:rsidRDefault="00794FB8">
      <w:pPr>
        <w:pStyle w:val="SingleTxtG"/>
        <w:numPr>
          <w:ilvl w:val="0"/>
          <w:numId w:val="13"/>
        </w:numPr>
        <w:tabs>
          <w:tab w:val="clear" w:pos="1701"/>
          <w:tab w:val="clear" w:pos="2268"/>
          <w:tab w:val="clear" w:pos="2835"/>
        </w:tabs>
        <w:suppressAutoHyphens w:val="0"/>
        <w:kinsoku/>
        <w:overflowPunct/>
        <w:autoSpaceDE/>
        <w:autoSpaceDN/>
        <w:adjustRightInd/>
        <w:snapToGrid/>
      </w:pPr>
      <w:r w:rsidRPr="00CC25B8">
        <w:t>The sustainable development articulated in various international agreements as the concept premised on three interlinked pillars of economic development, social development and environmental protection is inextricably linked to the realization of children’s rights. The</w:t>
      </w:r>
      <w:r w:rsidR="00421A52" w:rsidRPr="00CC25B8">
        <w:t>se</w:t>
      </w:r>
      <w:r w:rsidRPr="00CC25B8">
        <w:t xml:space="preserve"> three pillars are understood as harmonizing the priorities of both developing and developed countries and implying both an intragenerational and intergenerational equity to meet the needs of present and future generations. </w:t>
      </w:r>
      <w:r w:rsidR="000374D3" w:rsidRPr="000374D3">
        <w:rPr>
          <w:color w:val="FF0000"/>
        </w:rPr>
        <w:lastRenderedPageBreak/>
        <w:t>I</w:t>
      </w:r>
      <w:r w:rsidR="003D66E9" w:rsidRPr="000374D3">
        <w:rPr>
          <w:color w:val="FF0000"/>
        </w:rPr>
        <w:t xml:space="preserve">mplementing the 2030 Agenda for Sustainable Development that established the 17 Sustainable Development Goals – among them SDG 13 on climate action – will contribute to transforming societies and create </w:t>
      </w:r>
      <w:r w:rsidR="00670FDA" w:rsidRPr="000374D3">
        <w:rPr>
          <w:color w:val="FF0000"/>
        </w:rPr>
        <w:t>ecosystems and social contexts that enable the realisation of children’s rights while facing the climate crisis.</w:t>
      </w:r>
      <w:r w:rsidR="000374D3">
        <w:rPr>
          <w:rStyle w:val="FootnoteReference"/>
          <w:color w:val="FF0000"/>
        </w:rPr>
        <w:footnoteReference w:id="4"/>
      </w:r>
    </w:p>
    <w:p w14:paraId="0AA9DC36" w14:textId="77777777" w:rsidR="00794FB8" w:rsidRPr="00CC25B8" w:rsidRDefault="00794FB8" w:rsidP="004160BD">
      <w:pPr>
        <w:pStyle w:val="H1G"/>
      </w:pPr>
      <w:bookmarkStart w:id="5" w:name="_Toc115681955"/>
      <w:r w:rsidRPr="00CC25B8">
        <w:tab/>
        <w:t>B.</w:t>
      </w:r>
      <w:r w:rsidRPr="00CC25B8">
        <w:tab/>
      </w:r>
      <w:r w:rsidRPr="00C11F39">
        <w:rPr>
          <w:highlight w:val="yellow"/>
        </w:rPr>
        <w:t>Intergenerational equity and future generations</w:t>
      </w:r>
      <w:bookmarkEnd w:id="5"/>
    </w:p>
    <w:p w14:paraId="3171ADF4" w14:textId="57DBDCAE" w:rsidR="00794FB8" w:rsidRPr="00C11F39" w:rsidRDefault="00946207" w:rsidP="00C11F39">
      <w:pPr>
        <w:pStyle w:val="SingleTxtG"/>
        <w:tabs>
          <w:tab w:val="clear" w:pos="1701"/>
          <w:tab w:val="clear" w:pos="2268"/>
          <w:tab w:val="clear" w:pos="2835"/>
        </w:tabs>
        <w:suppressAutoHyphens w:val="0"/>
        <w:kinsoku/>
        <w:overflowPunct/>
        <w:autoSpaceDE/>
        <w:autoSpaceDN/>
        <w:adjustRightInd/>
        <w:snapToGrid/>
        <w:rPr>
          <w:color w:val="FF0000"/>
        </w:rPr>
      </w:pPr>
      <w:r>
        <w:t xml:space="preserve">13. […]  </w:t>
      </w:r>
      <w:r w:rsidR="00794FB8" w:rsidRPr="00CC25B8">
        <w:t>Securing the realization of the right of each child to development to the maximum extent in the optimal environment necessarily requires States to implement their obligations under the Convention, taking into consideration short-, medium- and long-term effects of actions</w:t>
      </w:r>
      <w:r w:rsidR="00C11F39">
        <w:t xml:space="preserve"> </w:t>
      </w:r>
      <w:r w:rsidR="00C11F39">
        <w:rPr>
          <w:color w:val="FF0000"/>
        </w:rPr>
        <w:t>and omissions</w:t>
      </w:r>
      <w:r w:rsidR="00794FB8" w:rsidRPr="00CC25B8">
        <w:t xml:space="preserve"> related to the development of the child over time. Such effects include the foreseeable environment</w:t>
      </w:r>
      <w:r w:rsidR="00335E20" w:rsidRPr="00CC25B8">
        <w:t>-</w:t>
      </w:r>
      <w:r w:rsidR="00794FB8" w:rsidRPr="00CC25B8">
        <w:t xml:space="preserve">related </w:t>
      </w:r>
      <w:r w:rsidR="00C11F39" w:rsidRPr="00C11F39">
        <w:rPr>
          <w:color w:val="FF0000"/>
        </w:rPr>
        <w:t>and climate related harms</w:t>
      </w:r>
      <w:r w:rsidR="00794FB8" w:rsidRPr="00C11F39">
        <w:rPr>
          <w:color w:val="FF0000"/>
        </w:rPr>
        <w:t xml:space="preserve"> </w:t>
      </w:r>
      <w:r w:rsidR="00794FB8" w:rsidRPr="00CC25B8">
        <w:t>arising as a result of acts or omissions of States now</w:t>
      </w:r>
      <w:r w:rsidR="00C11F39">
        <w:t xml:space="preserve">. </w:t>
      </w:r>
      <w:r w:rsidR="00C11F39" w:rsidRPr="00C11F39">
        <w:rPr>
          <w:color w:val="FF0000"/>
        </w:rPr>
        <w:t>While</w:t>
      </w:r>
      <w:r w:rsidR="00794FB8" w:rsidRPr="00CC25B8">
        <w:t xml:space="preserve"> the full implications </w:t>
      </w:r>
      <w:r w:rsidR="00794FB8" w:rsidRPr="00C11F39">
        <w:rPr>
          <w:color w:val="FF0000"/>
        </w:rPr>
        <w:t xml:space="preserve">of </w:t>
      </w:r>
      <w:r w:rsidR="00C11F39" w:rsidRPr="00C11F39">
        <w:rPr>
          <w:color w:val="FF0000"/>
        </w:rPr>
        <w:t xml:space="preserve">the acts or omissions concerning climate change </w:t>
      </w:r>
      <w:r w:rsidR="00794FB8" w:rsidRPr="00C11F39">
        <w:rPr>
          <w:color w:val="FF0000"/>
        </w:rPr>
        <w:t xml:space="preserve">may not </w:t>
      </w:r>
      <w:r w:rsidR="00C11F39" w:rsidRPr="00C11F39">
        <w:rPr>
          <w:color w:val="FF0000"/>
        </w:rPr>
        <w:t xml:space="preserve">become </w:t>
      </w:r>
      <w:r w:rsidR="00794FB8" w:rsidRPr="00CC25B8">
        <w:t>manifest for years or even decades</w:t>
      </w:r>
      <w:r w:rsidR="00AD780E">
        <w:t xml:space="preserve"> to come</w:t>
      </w:r>
      <w:r w:rsidR="00C11F39">
        <w:t>,</w:t>
      </w:r>
      <w:r w:rsidR="00794FB8" w:rsidRPr="00CC25B8">
        <w:rPr>
          <w:rStyle w:val="FootnoteReference"/>
        </w:rPr>
        <w:footnoteReference w:id="5"/>
      </w:r>
      <w:r w:rsidR="00C11F39">
        <w:t xml:space="preserve"> </w:t>
      </w:r>
      <w:r w:rsidR="00C11F39" w:rsidRPr="00C11F39">
        <w:rPr>
          <w:color w:val="FF0000"/>
        </w:rPr>
        <w:t>children are aware now that the</w:t>
      </w:r>
      <w:r w:rsidR="00AD780E">
        <w:rPr>
          <w:color w:val="FF0000"/>
        </w:rPr>
        <w:t xml:space="preserve">y and </w:t>
      </w:r>
      <w:r w:rsidR="00C11F39" w:rsidRPr="00C11F39">
        <w:rPr>
          <w:color w:val="FF0000"/>
        </w:rPr>
        <w:t xml:space="preserve">future generations will </w:t>
      </w:r>
      <w:r w:rsidR="00AD780E">
        <w:rPr>
          <w:color w:val="FF0000"/>
        </w:rPr>
        <w:t xml:space="preserve">be </w:t>
      </w:r>
      <w:r w:rsidR="00752E51">
        <w:rPr>
          <w:color w:val="FF0000"/>
        </w:rPr>
        <w:t>having</w:t>
      </w:r>
      <w:r w:rsidR="00AD780E">
        <w:rPr>
          <w:color w:val="FF0000"/>
        </w:rPr>
        <w:t xml:space="preserve"> to bear two </w:t>
      </w:r>
      <w:r w:rsidR="00A21787">
        <w:rPr>
          <w:color w:val="FF0000"/>
        </w:rPr>
        <w:t xml:space="preserve">additional </w:t>
      </w:r>
      <w:r w:rsidR="00C11F39" w:rsidRPr="00C11F39">
        <w:rPr>
          <w:color w:val="FF0000"/>
        </w:rPr>
        <w:t>burdens, namely the physical and psychological impact of climate change as well as the financial cost</w:t>
      </w:r>
      <w:r w:rsidR="00AD780E">
        <w:rPr>
          <w:color w:val="FF0000"/>
        </w:rPr>
        <w:t>s</w:t>
      </w:r>
      <w:r w:rsidR="00C11F39" w:rsidRPr="00C11F39">
        <w:rPr>
          <w:color w:val="FF0000"/>
        </w:rPr>
        <w:t xml:space="preserve"> to repair climate</w:t>
      </w:r>
      <w:r w:rsidR="00752E51">
        <w:rPr>
          <w:color w:val="FF0000"/>
        </w:rPr>
        <w:t>-related</w:t>
      </w:r>
      <w:r w:rsidR="00C11F39" w:rsidRPr="00C11F39">
        <w:rPr>
          <w:color w:val="FF0000"/>
        </w:rPr>
        <w:t xml:space="preserve"> harm</w:t>
      </w:r>
      <w:r w:rsidR="00752E51">
        <w:rPr>
          <w:color w:val="FF0000"/>
        </w:rPr>
        <w:t>s</w:t>
      </w:r>
      <w:r w:rsidR="00C11F39" w:rsidRPr="00C11F39">
        <w:rPr>
          <w:color w:val="FF0000"/>
        </w:rPr>
        <w:t>.</w:t>
      </w:r>
      <w:r w:rsidR="00AD780E">
        <w:rPr>
          <w:color w:val="FF0000"/>
        </w:rPr>
        <w:t xml:space="preserve"> </w:t>
      </w:r>
      <w:r w:rsidR="0040625F">
        <w:rPr>
          <w:color w:val="FF0000"/>
        </w:rPr>
        <w:t>Consequently, t</w:t>
      </w:r>
      <w:r w:rsidR="00AD780E">
        <w:rPr>
          <w:color w:val="FF0000"/>
        </w:rPr>
        <w:t>hese two burdens compromise present</w:t>
      </w:r>
      <w:r w:rsidR="00A21787">
        <w:rPr>
          <w:color w:val="FF0000"/>
        </w:rPr>
        <w:t xml:space="preserve"> lives of </w:t>
      </w:r>
      <w:r w:rsidR="00AD780E">
        <w:rPr>
          <w:color w:val="FF0000"/>
        </w:rPr>
        <w:t xml:space="preserve"> children</w:t>
      </w:r>
      <w:r w:rsidR="00A21787">
        <w:rPr>
          <w:color w:val="FF0000"/>
        </w:rPr>
        <w:t xml:space="preserve">, as they </w:t>
      </w:r>
      <w:r w:rsidR="00165C92">
        <w:rPr>
          <w:color w:val="FF0000"/>
        </w:rPr>
        <w:t xml:space="preserve">affect </w:t>
      </w:r>
      <w:r w:rsidR="00A21787">
        <w:rPr>
          <w:color w:val="FF0000"/>
        </w:rPr>
        <w:t xml:space="preserve">their </w:t>
      </w:r>
      <w:r w:rsidR="00AD780E">
        <w:rPr>
          <w:color w:val="FF0000"/>
        </w:rPr>
        <w:t>life plans</w:t>
      </w:r>
      <w:r w:rsidR="00165C92">
        <w:rPr>
          <w:color w:val="FF0000"/>
        </w:rPr>
        <w:t xml:space="preserve"> and interfere with</w:t>
      </w:r>
      <w:r w:rsidR="00AD780E">
        <w:rPr>
          <w:color w:val="FF0000"/>
        </w:rPr>
        <w:t xml:space="preserve"> </w:t>
      </w:r>
      <w:r w:rsidR="00752E51">
        <w:rPr>
          <w:color w:val="FF0000"/>
        </w:rPr>
        <w:t xml:space="preserve">their </w:t>
      </w:r>
      <w:r w:rsidR="00AD780E">
        <w:rPr>
          <w:color w:val="FF0000"/>
        </w:rPr>
        <w:t>right to life. The best interest of the child and intergeneration</w:t>
      </w:r>
      <w:r w:rsidR="0040625F">
        <w:rPr>
          <w:color w:val="FF0000"/>
        </w:rPr>
        <w:t>al</w:t>
      </w:r>
      <w:r w:rsidR="00AD780E">
        <w:rPr>
          <w:color w:val="FF0000"/>
        </w:rPr>
        <w:t xml:space="preserve"> equity demand that States </w:t>
      </w:r>
      <w:r w:rsidR="0040625F">
        <w:rPr>
          <w:color w:val="FF0000"/>
        </w:rPr>
        <w:t>take climate action to avert</w:t>
      </w:r>
      <w:r w:rsidR="00AD780E">
        <w:rPr>
          <w:color w:val="FF0000"/>
        </w:rPr>
        <w:t xml:space="preserve"> these future violat</w:t>
      </w:r>
      <w:r w:rsidR="0040625F">
        <w:rPr>
          <w:color w:val="FF0000"/>
        </w:rPr>
        <w:t>i</w:t>
      </w:r>
      <w:r w:rsidR="00AD780E">
        <w:rPr>
          <w:color w:val="FF0000"/>
        </w:rPr>
        <w:t>ons</w:t>
      </w:r>
      <w:r w:rsidR="0040625F">
        <w:rPr>
          <w:color w:val="FF0000"/>
        </w:rPr>
        <w:t xml:space="preserve"> </w:t>
      </w:r>
      <w:r w:rsidR="00165C92">
        <w:rPr>
          <w:color w:val="FF0000"/>
        </w:rPr>
        <w:t>that have an interference-like advance effect in the present</w:t>
      </w:r>
      <w:r w:rsidR="0040625F">
        <w:rPr>
          <w:color w:val="FF0000"/>
        </w:rPr>
        <w:t xml:space="preserve"> by designing pathways to Carbon Zero. Thus</w:t>
      </w:r>
      <w:r w:rsidR="00752E51">
        <w:rPr>
          <w:color w:val="FF0000"/>
        </w:rPr>
        <w:t>,</w:t>
      </w:r>
      <w:r w:rsidR="0040625F">
        <w:rPr>
          <w:color w:val="FF0000"/>
        </w:rPr>
        <w:t xml:space="preserve"> children are enabled to live a life not affected by </w:t>
      </w:r>
      <w:r w:rsidR="00165C92">
        <w:rPr>
          <w:color w:val="FF0000"/>
        </w:rPr>
        <w:t>the</w:t>
      </w:r>
      <w:r w:rsidR="0040625F">
        <w:rPr>
          <w:color w:val="FF0000"/>
        </w:rPr>
        <w:t xml:space="preserve"> bleak outlook on</w:t>
      </w:r>
      <w:r w:rsidR="00165C92">
        <w:rPr>
          <w:color w:val="FF0000"/>
        </w:rPr>
        <w:t xml:space="preserve"> a future where their freedoms are bounded by the impacts of unmitigated climate change</w:t>
      </w:r>
      <w:r w:rsidR="0040625F">
        <w:rPr>
          <w:color w:val="FF0000"/>
        </w:rPr>
        <w:t>.</w:t>
      </w:r>
    </w:p>
    <w:p w14:paraId="712B352A" w14:textId="77777777" w:rsidR="00794FB8" w:rsidRPr="00CC25B8" w:rsidRDefault="00794FB8" w:rsidP="004160BD">
      <w:pPr>
        <w:pStyle w:val="H1G"/>
      </w:pPr>
      <w:bookmarkStart w:id="6" w:name="_heading=h.fejhc2jt9jz1" w:colFirst="0" w:colLast="0"/>
      <w:bookmarkStart w:id="7" w:name="_Toc115681956"/>
      <w:bookmarkEnd w:id="6"/>
      <w:r w:rsidRPr="00CC25B8">
        <w:tab/>
        <w:t>C.</w:t>
      </w:r>
      <w:r w:rsidRPr="00CC25B8">
        <w:tab/>
      </w:r>
      <w:r w:rsidRPr="00A10C6B">
        <w:rPr>
          <w:highlight w:val="yellow"/>
        </w:rPr>
        <w:t>The best available science</w:t>
      </w:r>
      <w:bookmarkEnd w:id="7"/>
    </w:p>
    <w:p w14:paraId="21A3900F" w14:textId="04982EF9" w:rsidR="00794FB8" w:rsidRPr="00CC25B8" w:rsidRDefault="00794FB8">
      <w:pPr>
        <w:pStyle w:val="SingleTxtG"/>
        <w:numPr>
          <w:ilvl w:val="0"/>
          <w:numId w:val="9"/>
        </w:numPr>
        <w:tabs>
          <w:tab w:val="clear" w:pos="1701"/>
          <w:tab w:val="clear" w:pos="2268"/>
          <w:tab w:val="clear" w:pos="2835"/>
        </w:tabs>
        <w:suppressAutoHyphens w:val="0"/>
        <w:kinsoku/>
        <w:overflowPunct/>
        <w:autoSpaceDE/>
        <w:autoSpaceDN/>
        <w:adjustRightInd/>
        <w:snapToGrid/>
      </w:pPr>
      <w:bookmarkStart w:id="8" w:name="_heading=h.lzbnvowv1bwi" w:colFirst="0" w:colLast="0"/>
      <w:bookmarkStart w:id="9" w:name="_heading=h.a563u6u5rqrm" w:colFirst="0" w:colLast="0"/>
      <w:bookmarkEnd w:id="8"/>
      <w:bookmarkEnd w:id="9"/>
      <w:r w:rsidRPr="00CC25B8">
        <w:t xml:space="preserve">The </w:t>
      </w:r>
      <w:r w:rsidR="00335E20" w:rsidRPr="00CC25B8">
        <w:t xml:space="preserve">present </w:t>
      </w:r>
      <w:r w:rsidRPr="00CC25B8">
        <w:t xml:space="preserve">general comment draws on the best available and accepted science to describe the ways in which climate-related and other environmental harm interferes with children’s rights, to </w:t>
      </w:r>
      <w:r w:rsidR="00851795">
        <w:t>set out</w:t>
      </w:r>
      <w:r w:rsidRPr="00CC25B8">
        <w:t xml:space="preserve"> environmental protection </w:t>
      </w:r>
      <w:r w:rsidR="00851795">
        <w:t xml:space="preserve">standards </w:t>
      </w:r>
      <w:r w:rsidRPr="00CC25B8">
        <w:t>required by international children’s rights law, and to assess the adequacy of response measures.</w:t>
      </w:r>
      <w:r w:rsidRPr="00CC25B8">
        <w:rPr>
          <w:rStyle w:val="FootnoteReference"/>
        </w:rPr>
        <w:footnoteReference w:id="6"/>
      </w:r>
      <w:r w:rsidRPr="00CC25B8">
        <w:t xml:space="preserve"> </w:t>
      </w:r>
      <w:r w:rsidR="00A10C6B" w:rsidRPr="00A10C6B">
        <w:rPr>
          <w:color w:val="FF0000"/>
        </w:rPr>
        <w:t xml:space="preserve">[xx] </w:t>
      </w:r>
      <w:r w:rsidR="00A10C6B" w:rsidRPr="006C44F1">
        <w:rPr>
          <w:i/>
          <w:iCs/>
          <w:color w:val="FF0000"/>
        </w:rPr>
        <w:t>[reference should be made to the most recent IPCC reports</w:t>
      </w:r>
      <w:r w:rsidR="00745CF8" w:rsidRPr="006C44F1">
        <w:rPr>
          <w:i/>
          <w:iCs/>
          <w:color w:val="FF0000"/>
        </w:rPr>
        <w:t xml:space="preserve">, namely the reports of the </w:t>
      </w:r>
      <w:r w:rsidR="00A10C6B" w:rsidRPr="006C44F1">
        <w:rPr>
          <w:i/>
          <w:iCs/>
          <w:color w:val="FF0000"/>
        </w:rPr>
        <w:t>three WG</w:t>
      </w:r>
      <w:r w:rsidR="00745CF8" w:rsidRPr="006C44F1">
        <w:rPr>
          <w:i/>
          <w:iCs/>
          <w:color w:val="FF0000"/>
        </w:rPr>
        <w:t>s</w:t>
      </w:r>
      <w:r w:rsidR="00A10C6B" w:rsidRPr="00A10C6B">
        <w:rPr>
          <w:color w:val="FF0000"/>
        </w:rPr>
        <w:t xml:space="preserve">.] </w:t>
      </w:r>
      <w:r w:rsidRPr="00CC25B8">
        <w:t xml:space="preserve">As scientific knowledge about the environment evolves, the precautionary principle is required for the most advanced risk management. </w:t>
      </w:r>
    </w:p>
    <w:p w14:paraId="1ADA5669" w14:textId="77777777" w:rsidR="00794FB8" w:rsidRPr="00CC25B8" w:rsidRDefault="00794FB8" w:rsidP="004160BD">
      <w:pPr>
        <w:pStyle w:val="H1G"/>
      </w:pPr>
      <w:bookmarkStart w:id="10" w:name="_Toc115681957"/>
      <w:r w:rsidRPr="00CC25B8">
        <w:tab/>
        <w:t>D.</w:t>
      </w:r>
      <w:r w:rsidRPr="00CC25B8">
        <w:tab/>
      </w:r>
      <w:r w:rsidRPr="00752E51">
        <w:rPr>
          <w:highlight w:val="yellow"/>
        </w:rPr>
        <w:t>Precautionary principle</w:t>
      </w:r>
      <w:bookmarkEnd w:id="10"/>
    </w:p>
    <w:p w14:paraId="4531AE25" w14:textId="091DD2D0" w:rsidR="00794FB8" w:rsidRPr="00CC25B8" w:rsidRDefault="009858C5">
      <w:pPr>
        <w:pStyle w:val="SingleTxtG"/>
        <w:numPr>
          <w:ilvl w:val="0"/>
          <w:numId w:val="9"/>
        </w:numPr>
        <w:tabs>
          <w:tab w:val="clear" w:pos="1701"/>
          <w:tab w:val="clear" w:pos="2268"/>
          <w:tab w:val="clear" w:pos="2835"/>
        </w:tabs>
        <w:suppressAutoHyphens w:val="0"/>
        <w:kinsoku/>
        <w:overflowPunct/>
        <w:autoSpaceDE/>
        <w:autoSpaceDN/>
        <w:adjustRightInd/>
        <w:snapToGrid/>
      </w:pPr>
      <w:r>
        <w:t xml:space="preserve">[…] </w:t>
      </w:r>
      <w:r w:rsidR="00794FB8" w:rsidRPr="00CC25B8">
        <w:t xml:space="preserve">The gravity and probability of environmental </w:t>
      </w:r>
      <w:r w:rsidR="003D5615" w:rsidRPr="00CC25B8">
        <w:t>harm</w:t>
      </w:r>
      <w:r w:rsidR="00794FB8" w:rsidRPr="00CC25B8">
        <w:t xml:space="preserve"> </w:t>
      </w:r>
      <w:r w:rsidR="00FC0494" w:rsidRPr="00FC0494">
        <w:rPr>
          <w:color w:val="FF0000"/>
        </w:rPr>
        <w:t xml:space="preserve">and climate harm </w:t>
      </w:r>
      <w:r w:rsidR="00794FB8" w:rsidRPr="00CC25B8">
        <w:t xml:space="preserve">to children are often complex, unpredictable and irreversible. </w:t>
      </w:r>
      <w:r>
        <w:t>[…]</w:t>
      </w:r>
      <w:r w:rsidR="00794FB8" w:rsidRPr="00CC25B8">
        <w:t>.</w:t>
      </w:r>
    </w:p>
    <w:p w14:paraId="1DF29D88" w14:textId="343FBB54" w:rsidR="00794FB8" w:rsidRPr="00CC25B8" w:rsidRDefault="00794FB8" w:rsidP="004160BD">
      <w:pPr>
        <w:pStyle w:val="HChG"/>
      </w:pPr>
      <w:bookmarkStart w:id="11" w:name="_Toc115681958"/>
      <w:r w:rsidRPr="00CC25B8">
        <w:tab/>
        <w:t>III.</w:t>
      </w:r>
      <w:r w:rsidRPr="00CC25B8">
        <w:tab/>
      </w:r>
      <w:r w:rsidRPr="00A10C6B">
        <w:rPr>
          <w:highlight w:val="yellow"/>
        </w:rPr>
        <w:t>Specific rights of the Convention as they relate to the environment</w:t>
      </w:r>
      <w:bookmarkEnd w:id="11"/>
      <w:r w:rsidR="00A10C6B">
        <w:t xml:space="preserve"> </w:t>
      </w:r>
      <w:r w:rsidR="00A10C6B" w:rsidRPr="00A10C6B">
        <w:rPr>
          <w:color w:val="FF0000"/>
        </w:rPr>
        <w:t>and climate change</w:t>
      </w:r>
    </w:p>
    <w:p w14:paraId="24ED0921" w14:textId="6854835F" w:rsidR="00794FB8" w:rsidRPr="00CC25B8" w:rsidRDefault="00794FB8" w:rsidP="009858C5">
      <w:pPr>
        <w:pStyle w:val="H1G"/>
      </w:pPr>
      <w:bookmarkStart w:id="12" w:name="_heading=h.wle9qz4i408z" w:colFirst="0" w:colLast="0"/>
      <w:bookmarkStart w:id="13" w:name="_Toc115681959"/>
      <w:bookmarkEnd w:id="12"/>
      <w:r w:rsidRPr="00CC25B8">
        <w:tab/>
        <w:t>A.</w:t>
      </w:r>
      <w:r w:rsidRPr="00CC25B8">
        <w:tab/>
        <w:t>The right to life, survival and development (art.</w:t>
      </w:r>
      <w:sdt>
        <w:sdtPr>
          <w:tag w:val="goog_rdk_5"/>
          <w:id w:val="1828784763"/>
        </w:sdtPr>
        <w:sdtContent>
          <w:r w:rsidRPr="00CC25B8">
            <w:t xml:space="preserve"> </w:t>
          </w:r>
        </w:sdtContent>
      </w:sdt>
      <w:r w:rsidRPr="00CC25B8">
        <w:t>6)</w:t>
      </w:r>
      <w:bookmarkStart w:id="14" w:name="_Toc115681960"/>
      <w:bookmarkEnd w:id="13"/>
      <w:r w:rsidRPr="00CC25B8">
        <w:tab/>
      </w:r>
      <w:bookmarkEnd w:id="14"/>
    </w:p>
    <w:p w14:paraId="6B17CB1B" w14:textId="0D40C4A8" w:rsidR="00FB55ED" w:rsidRDefault="00794FB8" w:rsidP="009858C5">
      <w:pPr>
        <w:pStyle w:val="H23G"/>
      </w:pPr>
      <w:bookmarkStart w:id="15" w:name="_Toc115681961"/>
      <w:r w:rsidRPr="00CC25B8">
        <w:tab/>
        <w:t>2.</w:t>
      </w:r>
      <w:r w:rsidRPr="00CC25B8">
        <w:tab/>
      </w:r>
      <w:r w:rsidRPr="00816C6A">
        <w:rPr>
          <w:highlight w:val="yellow"/>
        </w:rPr>
        <w:t>Right to survival and development</w:t>
      </w:r>
      <w:bookmarkEnd w:id="15"/>
    </w:p>
    <w:p w14:paraId="110907E6" w14:textId="41639863" w:rsidR="007C27AC" w:rsidRPr="00CB13EC" w:rsidRDefault="00E930B5" w:rsidP="00D6538D">
      <w:pPr>
        <w:pStyle w:val="SingleTxtG"/>
        <w:tabs>
          <w:tab w:val="clear" w:pos="1701"/>
          <w:tab w:val="clear" w:pos="2268"/>
          <w:tab w:val="clear" w:pos="2835"/>
        </w:tabs>
        <w:suppressAutoHyphens w:val="0"/>
        <w:kinsoku/>
        <w:overflowPunct/>
        <w:autoSpaceDE/>
        <w:autoSpaceDN/>
        <w:adjustRightInd/>
        <w:snapToGrid/>
      </w:pPr>
      <w:r w:rsidRPr="00E930B5">
        <w:rPr>
          <w:color w:val="FF0000"/>
        </w:rPr>
        <w:t>[</w:t>
      </w:r>
      <w:r w:rsidRPr="00CB13EC">
        <w:rPr>
          <w:color w:val="FF0000"/>
        </w:rPr>
        <w:t>xx] About 43% of all children, around 250 million children younger than five years of age in low- and middle</w:t>
      </w:r>
      <w:r w:rsidR="00CB13EC" w:rsidRPr="00CB13EC">
        <w:rPr>
          <w:color w:val="FF0000"/>
        </w:rPr>
        <w:t>-</w:t>
      </w:r>
      <w:r w:rsidRPr="00CB13EC">
        <w:rPr>
          <w:color w:val="FF0000"/>
        </w:rPr>
        <w:t xml:space="preserve">income countries are estimated to be at risk of not reaching their </w:t>
      </w:r>
      <w:r w:rsidRPr="00CB13EC">
        <w:rPr>
          <w:color w:val="FF0000"/>
        </w:rPr>
        <w:lastRenderedPageBreak/>
        <w:t>developmental potential because of poverty or stunting</w:t>
      </w:r>
      <w:r w:rsidRPr="00CB13EC">
        <w:t>.</w:t>
      </w:r>
      <w:r w:rsidR="00FB55ED" w:rsidRPr="00CB13EC">
        <w:rPr>
          <w:rStyle w:val="FootnoteReference"/>
          <w:sz w:val="20"/>
        </w:rPr>
        <w:footnoteReference w:id="7"/>
      </w:r>
      <w:r w:rsidR="007C27AC" w:rsidRPr="00CB13EC">
        <w:t xml:space="preserve"> </w:t>
      </w:r>
      <w:r w:rsidR="000C764D" w:rsidRPr="00CB13EC">
        <w:rPr>
          <w:color w:val="FF0000"/>
        </w:rPr>
        <w:t>P</w:t>
      </w:r>
      <w:r w:rsidR="000C764D" w:rsidRPr="00CB13EC">
        <w:rPr>
          <w:color w:val="FF0000"/>
        </w:rPr>
        <w:t>rojections suggest that</w:t>
      </w:r>
      <w:r w:rsidR="000C764D" w:rsidRPr="00CB13EC">
        <w:rPr>
          <w:color w:val="FF0000"/>
        </w:rPr>
        <w:t xml:space="preserve"> </w:t>
      </w:r>
      <w:r w:rsidR="000C764D" w:rsidRPr="00CB13EC">
        <w:rPr>
          <w:color w:val="FF0000"/>
        </w:rPr>
        <w:t xml:space="preserve">stunting will </w:t>
      </w:r>
      <w:r w:rsidR="000C764D" w:rsidRPr="00CB13EC">
        <w:rPr>
          <w:color w:val="FF0000"/>
        </w:rPr>
        <w:t>rise</w:t>
      </w:r>
      <w:r w:rsidR="000C764D" w:rsidRPr="00CB13EC">
        <w:rPr>
          <w:color w:val="FF0000"/>
        </w:rPr>
        <w:t xml:space="preserve"> as climate change increases with </w:t>
      </w:r>
      <w:r w:rsidR="000C764D" w:rsidRPr="00CB13EC">
        <w:rPr>
          <w:color w:val="FF0000"/>
        </w:rPr>
        <w:t xml:space="preserve">over </w:t>
      </w:r>
      <w:r w:rsidR="000C764D" w:rsidRPr="00CB13EC">
        <w:rPr>
          <w:rStyle w:val="mn"/>
          <w:rFonts w:ascii="MathJax_Main" w:hAnsi="MathJax_Main"/>
          <w:color w:val="FF0000"/>
        </w:rPr>
        <w:t>1</w:t>
      </w:r>
      <w:r w:rsidR="000C764D" w:rsidRPr="00CB13EC">
        <w:rPr>
          <w:rStyle w:val="mtext"/>
          <w:rFonts w:ascii="MathJax_Main" w:hAnsi="MathJax_Main"/>
          <w:color w:val="FF0000"/>
        </w:rPr>
        <w:t> million</w:t>
      </w:r>
      <w:r w:rsidR="000C764D" w:rsidRPr="00CB13EC">
        <w:rPr>
          <w:color w:val="FF0000"/>
        </w:rPr>
        <w:t xml:space="preserve"> additional children stunted under </w:t>
      </w:r>
      <w:r w:rsidR="00D6538D" w:rsidRPr="00CB13EC">
        <w:rPr>
          <w:color w:val="FF0000"/>
        </w:rPr>
        <w:t xml:space="preserve">a </w:t>
      </w:r>
      <w:r w:rsidR="000C764D" w:rsidRPr="00CB13EC">
        <w:rPr>
          <w:color w:val="FF0000"/>
        </w:rPr>
        <w:t>poverty/high climate change</w:t>
      </w:r>
      <w:r w:rsidR="000C764D" w:rsidRPr="00CB13EC">
        <w:rPr>
          <w:color w:val="FF0000"/>
        </w:rPr>
        <w:t xml:space="preserve"> scenario.</w:t>
      </w:r>
      <w:r w:rsidR="000C764D" w:rsidRPr="00CB13EC">
        <w:rPr>
          <w:color w:val="FF0000"/>
        </w:rPr>
        <w:t xml:space="preserve"> </w:t>
      </w:r>
      <w:r w:rsidR="000C764D" w:rsidRPr="00CB13EC">
        <w:rPr>
          <w:color w:val="FF0000"/>
        </w:rPr>
        <w:t>E</w:t>
      </w:r>
      <w:r w:rsidR="000C764D" w:rsidRPr="00CB13EC">
        <w:rPr>
          <w:color w:val="FF0000"/>
        </w:rPr>
        <w:t xml:space="preserve">stimates suggests </w:t>
      </w:r>
      <w:r w:rsidR="000C764D" w:rsidRPr="00CB13EC">
        <w:rPr>
          <w:color w:val="FF0000"/>
        </w:rPr>
        <w:t xml:space="preserve">that </w:t>
      </w:r>
      <w:r w:rsidR="000C764D" w:rsidRPr="00CB13EC">
        <w:rPr>
          <w:color w:val="FF0000"/>
        </w:rPr>
        <w:t xml:space="preserve">the potential impact of climate change on stunting would be greater in rural areas </w:t>
      </w:r>
      <w:r w:rsidR="000C764D" w:rsidRPr="00CB13EC">
        <w:rPr>
          <w:color w:val="FF0000"/>
        </w:rPr>
        <w:t xml:space="preserve">compared to </w:t>
      </w:r>
      <w:r w:rsidR="000C764D" w:rsidRPr="00CB13EC">
        <w:rPr>
          <w:color w:val="FF0000"/>
        </w:rPr>
        <w:t>urban areas</w:t>
      </w:r>
      <w:r w:rsidR="000C764D" w:rsidRPr="00CB13EC">
        <w:t>.</w:t>
      </w:r>
      <w:r w:rsidR="007C27AC" w:rsidRPr="00CB13EC">
        <w:rPr>
          <w:rStyle w:val="FootnoteReference"/>
          <w:sz w:val="20"/>
        </w:rPr>
        <w:footnoteReference w:id="8"/>
      </w:r>
    </w:p>
    <w:p w14:paraId="4DC10A13" w14:textId="77777777" w:rsidR="00794FB8" w:rsidRPr="00CC25B8" w:rsidRDefault="00794FB8" w:rsidP="00C6576C">
      <w:pPr>
        <w:pStyle w:val="H1G"/>
      </w:pPr>
      <w:bookmarkStart w:id="16" w:name="_Toc115681962"/>
      <w:r w:rsidRPr="00CC25B8">
        <w:tab/>
        <w:t>B.</w:t>
      </w:r>
      <w:r w:rsidRPr="00CC25B8">
        <w:tab/>
      </w:r>
      <w:r w:rsidRPr="009D54BC">
        <w:rPr>
          <w:highlight w:val="yellow"/>
        </w:rPr>
        <w:t xml:space="preserve">The right to </w:t>
      </w:r>
      <w:r w:rsidR="005623C6" w:rsidRPr="009D54BC">
        <w:rPr>
          <w:highlight w:val="yellow"/>
        </w:rPr>
        <w:t xml:space="preserve">the </w:t>
      </w:r>
      <w:r w:rsidRPr="009D54BC">
        <w:rPr>
          <w:highlight w:val="yellow"/>
        </w:rPr>
        <w:t>highest attainable standard of health (art. 24)</w:t>
      </w:r>
      <w:bookmarkEnd w:id="16"/>
    </w:p>
    <w:p w14:paraId="77D7BF6B" w14:textId="26E1E143" w:rsidR="00794FB8" w:rsidRPr="00BC1DE4" w:rsidRDefault="009858C5">
      <w:pPr>
        <w:pStyle w:val="SingleTxtG"/>
        <w:numPr>
          <w:ilvl w:val="0"/>
          <w:numId w:val="14"/>
        </w:numPr>
        <w:tabs>
          <w:tab w:val="clear" w:pos="1701"/>
          <w:tab w:val="clear" w:pos="2268"/>
          <w:tab w:val="clear" w:pos="2835"/>
        </w:tabs>
        <w:suppressAutoHyphens w:val="0"/>
        <w:kinsoku/>
        <w:overflowPunct/>
        <w:autoSpaceDE/>
        <w:autoSpaceDN/>
        <w:adjustRightInd/>
        <w:snapToGrid/>
        <w:rPr>
          <w:b/>
          <w:bCs/>
          <w:color w:val="FF0000"/>
        </w:rPr>
      </w:pPr>
      <w:r>
        <w:t xml:space="preserve">[…] </w:t>
      </w:r>
      <w:r w:rsidR="00794FB8" w:rsidRPr="00CC25B8">
        <w:t xml:space="preserve">In addition to data collected through routine health information systems, </w:t>
      </w:r>
      <w:r w:rsidR="00BC1DE4" w:rsidRPr="00BC1DE4">
        <w:rPr>
          <w:color w:val="FF0000"/>
        </w:rPr>
        <w:t xml:space="preserve">more </w:t>
      </w:r>
      <w:r w:rsidR="00794FB8" w:rsidRPr="00CC25B8">
        <w:t xml:space="preserve">research </w:t>
      </w:r>
      <w:r w:rsidR="009E71E4" w:rsidRPr="00CC25B8">
        <w:t>is</w:t>
      </w:r>
      <w:r w:rsidR="00794FB8" w:rsidRPr="00CC25B8">
        <w:t xml:space="preserve"> required, for example, for longitudinal cohort studies and studies of pregnant women</w:t>
      </w:r>
      <w:r w:rsidR="00794FB8" w:rsidRPr="00BC1DE4">
        <w:rPr>
          <w:color w:val="FF0000"/>
        </w:rPr>
        <w:t>,</w:t>
      </w:r>
      <w:r w:rsidR="00CB13EC">
        <w:rPr>
          <w:rStyle w:val="FootnoteReference"/>
          <w:color w:val="FF0000"/>
        </w:rPr>
        <w:footnoteReference w:id="9"/>
      </w:r>
      <w:r w:rsidR="00794FB8" w:rsidRPr="00BC1DE4">
        <w:rPr>
          <w:color w:val="FF0000"/>
        </w:rPr>
        <w:t xml:space="preserve"> </w:t>
      </w:r>
      <w:r w:rsidR="00794FB8" w:rsidRPr="00CC25B8">
        <w:t>infants and children that capture risks at critical windows and sensitive health endpoints.</w:t>
      </w:r>
    </w:p>
    <w:p w14:paraId="15863382" w14:textId="77777777" w:rsidR="00794FB8" w:rsidRPr="00CC25B8" w:rsidRDefault="00794FB8" w:rsidP="00C6576C">
      <w:pPr>
        <w:pStyle w:val="H1G"/>
      </w:pPr>
      <w:bookmarkStart w:id="17" w:name="_Toc115681964"/>
      <w:r w:rsidRPr="00CC25B8">
        <w:tab/>
        <w:t>D.</w:t>
      </w:r>
      <w:r w:rsidRPr="00CC25B8">
        <w:tab/>
      </w:r>
      <w:r w:rsidRPr="009D54BC">
        <w:rPr>
          <w:highlight w:val="yellow"/>
        </w:rPr>
        <w:t>The right to adequate standard of living (art. 27)</w:t>
      </w:r>
      <w:bookmarkEnd w:id="17"/>
    </w:p>
    <w:p w14:paraId="3640B966" w14:textId="125A0AB8" w:rsidR="00794FB8" w:rsidRDefault="00794FB8">
      <w:pPr>
        <w:pStyle w:val="SingleTxtG"/>
        <w:numPr>
          <w:ilvl w:val="0"/>
          <w:numId w:val="10"/>
        </w:numPr>
        <w:tabs>
          <w:tab w:val="clear" w:pos="1701"/>
          <w:tab w:val="clear" w:pos="2268"/>
          <w:tab w:val="clear" w:pos="2835"/>
        </w:tabs>
        <w:suppressAutoHyphens w:val="0"/>
        <w:kinsoku/>
        <w:overflowPunct/>
        <w:autoSpaceDE/>
        <w:autoSpaceDN/>
        <w:adjustRightInd/>
        <w:snapToGrid/>
      </w:pPr>
      <w:r w:rsidRPr="00CC25B8">
        <w:t>Exposure to environmental harms</w:t>
      </w:r>
      <w:r w:rsidR="00597EBE">
        <w:t xml:space="preserve"> </w:t>
      </w:r>
      <w:r w:rsidRPr="00CC25B8">
        <w:t>represent both direct and structural causes</w:t>
      </w:r>
      <w:r w:rsidR="00CB11DC" w:rsidRPr="00CC25B8">
        <w:t xml:space="preserve"> and</w:t>
      </w:r>
      <w:r w:rsidRPr="00CC25B8">
        <w:t xml:space="preserve"> effects of multi-dimensional child poverty. </w:t>
      </w:r>
      <w:r w:rsidR="00597EBE" w:rsidRPr="00061B99">
        <w:rPr>
          <w:color w:val="FF0000"/>
        </w:rPr>
        <w:t>Child poverty, socioeconomic inequalities and disability compound to increase climate risks among rural and urban poor children with health’s impacts on their development.</w:t>
      </w:r>
      <w:r w:rsidR="00061B99">
        <w:rPr>
          <w:rStyle w:val="FootnoteReference"/>
          <w:color w:val="FF0000"/>
        </w:rPr>
        <w:footnoteReference w:id="10"/>
      </w:r>
      <w:r w:rsidR="00597EBE" w:rsidRPr="00061B99">
        <w:rPr>
          <w:color w:val="FF0000"/>
        </w:rPr>
        <w:t xml:space="preserve"> </w:t>
      </w:r>
      <w:r w:rsidRPr="00CC25B8">
        <w:t xml:space="preserve">In the environmental context, social security </w:t>
      </w:r>
      <w:r w:rsidR="00CB11DC" w:rsidRPr="00CC25B8">
        <w:t xml:space="preserve">as guaranteed under </w:t>
      </w:r>
      <w:r w:rsidR="00B8198B" w:rsidRPr="00CC25B8">
        <w:t>a</w:t>
      </w:r>
      <w:r w:rsidR="00CB11DC" w:rsidRPr="00CC25B8">
        <w:t>rticle</w:t>
      </w:r>
      <w:r w:rsidRPr="00CC25B8">
        <w:t xml:space="preserve"> 26 </w:t>
      </w:r>
      <w:r w:rsidR="00CB11DC" w:rsidRPr="00CC25B8">
        <w:t xml:space="preserve">of the Convention </w:t>
      </w:r>
      <w:r w:rsidRPr="00CC25B8">
        <w:t>is particularly relevant. States parties are urged to introduce features into social security policies and social protection floors that provide children and their families with protection against climate and environmental shocks and slow-onset harm. States should strengthen child-centred poverty alleviation programmes in areas that are most vulnerable to climate and environmental risks.</w:t>
      </w:r>
    </w:p>
    <w:p w14:paraId="7F0FB5C5" w14:textId="1F94EB74" w:rsidR="002A2CD7" w:rsidRPr="00CC25B8" w:rsidRDefault="00EC6BEA" w:rsidP="003D4017">
      <w:pPr>
        <w:pStyle w:val="H1G"/>
      </w:pPr>
      <w:r w:rsidRPr="00CC25B8">
        <w:tab/>
        <w:t>F.</w:t>
      </w:r>
      <w:r w:rsidRPr="00CC25B8">
        <w:tab/>
      </w:r>
      <w:r w:rsidRPr="00AB050A">
        <w:rPr>
          <w:highlight w:val="yellow"/>
        </w:rPr>
        <w:t>The right</w:t>
      </w:r>
      <w:r w:rsidR="00BB760E">
        <w:rPr>
          <w:highlight w:val="yellow"/>
        </w:rPr>
        <w:t>s</w:t>
      </w:r>
      <w:r w:rsidRPr="00AB050A">
        <w:rPr>
          <w:highlight w:val="yellow"/>
        </w:rPr>
        <w:t xml:space="preserve"> of </w:t>
      </w:r>
      <w:r w:rsidR="00A917E3">
        <w:rPr>
          <w:highlight w:val="yellow"/>
        </w:rPr>
        <w:t>children in vulnerable situations</w:t>
      </w:r>
    </w:p>
    <w:p w14:paraId="18BD50A9" w14:textId="00490B95" w:rsidR="002A2CD7" w:rsidRPr="00CC25B8" w:rsidRDefault="002A2CD7" w:rsidP="002A2CD7">
      <w:pPr>
        <w:pStyle w:val="H23G"/>
      </w:pPr>
      <w:r w:rsidRPr="00CC25B8">
        <w:tab/>
      </w:r>
      <w:r w:rsidR="00517202">
        <w:t>1</w:t>
      </w:r>
      <w:r w:rsidRPr="00CC25B8">
        <w:t>.</w:t>
      </w:r>
      <w:r w:rsidRPr="00CC25B8">
        <w:tab/>
      </w:r>
      <w:bookmarkStart w:id="18" w:name="_Hlk127386378"/>
      <w:r w:rsidR="00517202" w:rsidRPr="00517202">
        <w:rPr>
          <w:color w:val="FF0000"/>
        </w:rPr>
        <w:t>The r</w:t>
      </w:r>
      <w:r w:rsidRPr="00517202">
        <w:rPr>
          <w:color w:val="FF0000"/>
        </w:rPr>
        <w:t>ight</w:t>
      </w:r>
      <w:r w:rsidR="00517202" w:rsidRPr="00517202">
        <w:rPr>
          <w:color w:val="FF0000"/>
        </w:rPr>
        <w:t>s</w:t>
      </w:r>
      <w:r w:rsidRPr="00517202">
        <w:rPr>
          <w:color w:val="FF0000"/>
        </w:rPr>
        <w:t xml:space="preserve"> </w:t>
      </w:r>
      <w:r w:rsidR="00517202" w:rsidRPr="00517202">
        <w:rPr>
          <w:color w:val="FF0000"/>
        </w:rPr>
        <w:t>of girls and pregnant women</w:t>
      </w:r>
      <w:bookmarkEnd w:id="18"/>
    </w:p>
    <w:p w14:paraId="47D9A622" w14:textId="29E17367" w:rsidR="00557730" w:rsidRPr="00557730" w:rsidRDefault="00557730" w:rsidP="00557730">
      <w:pPr>
        <w:suppressAutoHyphens w:val="0"/>
        <w:autoSpaceDE w:val="0"/>
        <w:autoSpaceDN w:val="0"/>
        <w:adjustRightInd w:val="0"/>
        <w:spacing w:line="240" w:lineRule="auto"/>
        <w:ind w:left="1134" w:right="1133"/>
        <w:jc w:val="both"/>
        <w:rPr>
          <w:rFonts w:eastAsia="MS Mincho"/>
          <w:color w:val="FF0000"/>
          <w:sz w:val="12"/>
          <w:szCs w:val="12"/>
        </w:rPr>
      </w:pPr>
      <w:r w:rsidRPr="00557730">
        <w:rPr>
          <w:rFonts w:eastAsia="MS Mincho"/>
          <w:color w:val="FF0000"/>
        </w:rPr>
        <w:t>[xx]</w:t>
      </w:r>
      <w:r w:rsidRPr="00557730">
        <w:rPr>
          <w:rFonts w:eastAsia="MS Mincho"/>
          <w:color w:val="FF0000"/>
        </w:rPr>
        <w:t>. Girls are more likely to be pulled from school to perform household chores, such as eldercare, fetching water and cooking, when households are affected by climate change stresses.</w:t>
      </w:r>
      <w:r w:rsidR="00F7604C" w:rsidRPr="00557730">
        <w:rPr>
          <w:rFonts w:eastAsia="MS Mincho"/>
          <w:color w:val="FF0000"/>
        </w:rPr>
        <w:t xml:space="preserve"> </w:t>
      </w:r>
      <w:r w:rsidRPr="00557730">
        <w:rPr>
          <w:rFonts w:eastAsia="MS Mincho"/>
          <w:color w:val="FF0000"/>
        </w:rPr>
        <w:t>To counteract the effects of climate change on livelihoods, girls may sometimes be sold into child marriage, trafficked or forced to work, with resulting impacts on their education, health, liberty and security. Evidence also suggests that food insecurity associated with climate change disproportionately affects girls.</w:t>
      </w:r>
      <w:r w:rsidRPr="00557730">
        <w:rPr>
          <w:rStyle w:val="FootnoteReference"/>
          <w:rFonts w:eastAsia="MS Mincho"/>
          <w:color w:val="FF0000"/>
        </w:rPr>
        <w:footnoteReference w:id="11"/>
      </w:r>
      <w:r w:rsidRPr="00557730">
        <w:rPr>
          <w:rFonts w:eastAsia="MS Mincho"/>
          <w:color w:val="FF0000"/>
        </w:rPr>
        <w:t xml:space="preserve"> </w:t>
      </w:r>
    </w:p>
    <w:p w14:paraId="56E37699" w14:textId="77777777" w:rsidR="00557730" w:rsidRPr="00557730" w:rsidRDefault="00557730" w:rsidP="00557730">
      <w:pPr>
        <w:suppressAutoHyphens w:val="0"/>
        <w:autoSpaceDE w:val="0"/>
        <w:autoSpaceDN w:val="0"/>
        <w:adjustRightInd w:val="0"/>
        <w:spacing w:line="240" w:lineRule="auto"/>
        <w:rPr>
          <w:rFonts w:eastAsia="MS Mincho"/>
          <w:color w:val="000000"/>
          <w:sz w:val="12"/>
          <w:szCs w:val="12"/>
        </w:rPr>
      </w:pPr>
    </w:p>
    <w:p w14:paraId="77ABFEA3" w14:textId="4FF5B105" w:rsidR="00517202" w:rsidRDefault="00557730" w:rsidP="003D4017">
      <w:pPr>
        <w:pStyle w:val="SingleTxtG"/>
        <w:tabs>
          <w:tab w:val="clear" w:pos="1701"/>
          <w:tab w:val="clear" w:pos="2268"/>
          <w:tab w:val="clear" w:pos="2835"/>
        </w:tabs>
        <w:suppressAutoHyphens w:val="0"/>
        <w:kinsoku/>
        <w:overflowPunct/>
        <w:autoSpaceDE/>
        <w:autoSpaceDN/>
        <w:adjustRightInd/>
        <w:snapToGrid/>
        <w:rPr>
          <w:strike/>
        </w:rPr>
      </w:pPr>
      <w:r w:rsidRPr="00557730">
        <w:rPr>
          <w:rFonts w:eastAsia="MS Mincho"/>
          <w:color w:val="FF0000"/>
        </w:rPr>
        <w:t>[xx]</w:t>
      </w:r>
      <w:r w:rsidRPr="00557730">
        <w:rPr>
          <w:rFonts w:eastAsia="MS Mincho"/>
          <w:color w:val="FF0000"/>
        </w:rPr>
        <w:t>. Situations of crisis can exacerbate gender inequalities, affecting girls more and differently. Gender inequalities have been linked to higher rates of mortality from natural disasters among women and girls.</w:t>
      </w:r>
      <w:r w:rsidRPr="00557730">
        <w:rPr>
          <w:rFonts w:eastAsia="MS Mincho"/>
          <w:color w:val="FF0000"/>
        </w:rPr>
        <w:t xml:space="preserve"> </w:t>
      </w:r>
      <w:r w:rsidRPr="00557730">
        <w:rPr>
          <w:rFonts w:eastAsia="MS Mincho"/>
          <w:color w:val="FF0000"/>
        </w:rPr>
        <w:t>In post-disaster settings, pregnant women, with their distinct needs for maternal health care, food, water, sanitation and hygiene, face unique health risks. Exposure to extreme temperatures, infection with water- and vector-borne diseases and post-disaster emotional distress during pregnancy have been associated with negative impacts on pregnancy outcomes, including miscarriage, premature birth and anaemia.</w:t>
      </w:r>
      <w:r w:rsidRPr="00557730">
        <w:rPr>
          <w:rFonts w:eastAsia="MS Mincho"/>
          <w:color w:val="FF0000"/>
          <w:sz w:val="12"/>
          <w:szCs w:val="12"/>
        </w:rPr>
        <w:t xml:space="preserve"> </w:t>
      </w:r>
      <w:r w:rsidRPr="00557730">
        <w:rPr>
          <w:rFonts w:eastAsia="MS Mincho"/>
          <w:color w:val="FF0000"/>
          <w:sz w:val="12"/>
          <w:szCs w:val="12"/>
        </w:rPr>
        <w:t xml:space="preserve"> </w:t>
      </w:r>
      <w:r w:rsidRPr="00557730">
        <w:rPr>
          <w:rFonts w:eastAsia="MS Mincho"/>
          <w:color w:val="FF0000"/>
        </w:rPr>
        <w:t xml:space="preserve">Girls’ security and bodily integrity can also be threatened by climate change-related displacement. Evacuation to shelters lacking safe facilities for girls has been documented to heighten risks </w:t>
      </w:r>
      <w:r w:rsidRPr="00557730">
        <w:rPr>
          <w:rFonts w:eastAsia="MS Mincho"/>
          <w:color w:val="FF0000"/>
        </w:rPr>
        <w:lastRenderedPageBreak/>
        <w:t>of all forms of sexual harassment and violence, including human trafficking. This can result in higher rates of forced girl pregnancies and forced marriages.</w:t>
      </w:r>
      <w:r w:rsidRPr="00557730">
        <w:rPr>
          <w:rStyle w:val="FootnoteReference"/>
          <w:rFonts w:eastAsia="MS Mincho"/>
          <w:color w:val="FF0000"/>
        </w:rPr>
        <w:footnoteReference w:id="12"/>
      </w:r>
    </w:p>
    <w:p w14:paraId="61576BBF" w14:textId="2B075921" w:rsidR="004908AD" w:rsidRPr="00CC25B8" w:rsidRDefault="004908AD" w:rsidP="004908AD">
      <w:pPr>
        <w:pStyle w:val="H23G"/>
      </w:pPr>
      <w:r w:rsidRPr="00CC25B8">
        <w:tab/>
      </w:r>
      <w:r w:rsidR="00852FB1">
        <w:t>2</w:t>
      </w:r>
      <w:r w:rsidRPr="00CC25B8">
        <w:t>.</w:t>
      </w:r>
      <w:r w:rsidRPr="00CC25B8">
        <w:tab/>
      </w:r>
      <w:r w:rsidR="004E1882" w:rsidRPr="00F7604C">
        <w:rPr>
          <w:highlight w:val="yellow"/>
        </w:rPr>
        <w:t>The r</w:t>
      </w:r>
      <w:r w:rsidRPr="00F7604C">
        <w:rPr>
          <w:highlight w:val="yellow"/>
        </w:rPr>
        <w:t>ight</w:t>
      </w:r>
      <w:r w:rsidR="004E1882" w:rsidRPr="00F7604C">
        <w:rPr>
          <w:highlight w:val="yellow"/>
        </w:rPr>
        <w:t>s of Indigenous children (art. 30)</w:t>
      </w:r>
    </w:p>
    <w:p w14:paraId="0388CC13" w14:textId="62F120D3" w:rsidR="00557730" w:rsidRPr="00F7604C" w:rsidRDefault="00557730" w:rsidP="004908AD">
      <w:pPr>
        <w:pStyle w:val="SingleTxtG"/>
        <w:tabs>
          <w:tab w:val="clear" w:pos="1701"/>
          <w:tab w:val="clear" w:pos="2268"/>
          <w:tab w:val="clear" w:pos="2835"/>
        </w:tabs>
        <w:suppressAutoHyphens w:val="0"/>
        <w:kinsoku/>
        <w:overflowPunct/>
        <w:autoSpaceDE/>
        <w:autoSpaceDN/>
        <w:adjustRightInd/>
        <w:snapToGrid/>
        <w:rPr>
          <w:color w:val="FF0000"/>
        </w:rPr>
      </w:pPr>
      <w:r w:rsidRPr="00F7604C">
        <w:rPr>
          <w:color w:val="FF0000"/>
        </w:rPr>
        <w:t>[xx]</w:t>
      </w:r>
      <w:r w:rsidR="009858C5">
        <w:rPr>
          <w:color w:val="FF0000"/>
        </w:rPr>
        <w:t>.</w:t>
      </w:r>
      <w:r w:rsidRPr="00F7604C">
        <w:rPr>
          <w:color w:val="FF0000"/>
        </w:rPr>
        <w:t xml:space="preserve"> </w:t>
      </w:r>
      <w:r w:rsidRPr="00F7604C">
        <w:rPr>
          <w:color w:val="FF0000"/>
        </w:rPr>
        <w:t>Many indigenous peoples rely upon climate-sensitive ecosystems for livelihoods as well as spiritual and cultural practices. Therefore, they are particularly threatened by the degradation of land, water and biodiversity. For example, the traditional livelihoods of indigenous peoples in the Arctic have been adversely affected by rising temperatures.</w:t>
      </w:r>
      <w:r w:rsidR="00F7604C" w:rsidRPr="00F7604C">
        <w:rPr>
          <w:color w:val="FF0000"/>
        </w:rPr>
        <w:t xml:space="preserve"> </w:t>
      </w:r>
      <w:r w:rsidRPr="00F7604C">
        <w:rPr>
          <w:color w:val="FF0000"/>
        </w:rPr>
        <w:t>Many indigenous children live in impoverished communities which affects their capacity for climate adaptation. Indigenous peoples constitute approximately 15 per cent of the world’s poor and one third of the 900 million people living in extreme poverty in rural areas.</w:t>
      </w:r>
      <w:r w:rsidRPr="00F7604C">
        <w:rPr>
          <w:color w:val="FF0000"/>
          <w:sz w:val="12"/>
          <w:szCs w:val="12"/>
        </w:rPr>
        <w:t xml:space="preserve"> </w:t>
      </w:r>
      <w:r w:rsidRPr="00F7604C">
        <w:rPr>
          <w:color w:val="FF0000"/>
        </w:rPr>
        <w:t>Indigenous children may also be negatively affected by actions taken to mitigate climate change, such as projects related to the production of biofuel or hydroelectric power, which have sometimes resulted in the displacement of entire indigenous communities without their free, prior and informed consent.</w:t>
      </w:r>
      <w:r w:rsidR="00F7604C" w:rsidRPr="00F7604C">
        <w:rPr>
          <w:rStyle w:val="FootnoteReference"/>
          <w:color w:val="FF0000"/>
        </w:rPr>
        <w:footnoteReference w:id="13"/>
      </w:r>
    </w:p>
    <w:p w14:paraId="1AF3408E" w14:textId="61A75A5B" w:rsidR="00852FB1" w:rsidRPr="00852FB1" w:rsidRDefault="00794FB8">
      <w:pPr>
        <w:pStyle w:val="SingleTxtG"/>
        <w:numPr>
          <w:ilvl w:val="0"/>
          <w:numId w:val="11"/>
        </w:numPr>
        <w:tabs>
          <w:tab w:val="clear" w:pos="1701"/>
          <w:tab w:val="clear" w:pos="2268"/>
          <w:tab w:val="clear" w:pos="2835"/>
        </w:tabs>
        <w:suppressAutoHyphens w:val="0"/>
        <w:kinsoku/>
        <w:overflowPunct/>
        <w:autoSpaceDE/>
        <w:autoSpaceDN/>
        <w:adjustRightInd/>
        <w:snapToGrid/>
        <w:spacing w:after="0"/>
        <w:rPr>
          <w:bCs/>
        </w:rPr>
      </w:pPr>
      <w:r w:rsidRPr="00852FB1">
        <w:rPr>
          <w:bCs/>
        </w:rPr>
        <w:t>Indigenous children are disproportionately affected as a result of environmental</w:t>
      </w:r>
      <w:r w:rsidR="00F7604C">
        <w:rPr>
          <w:bCs/>
        </w:rPr>
        <w:t xml:space="preserve"> </w:t>
      </w:r>
    </w:p>
    <w:p w14:paraId="2D7DFD9B" w14:textId="715E7685" w:rsidR="00A917E3" w:rsidRPr="00CC25B8" w:rsidRDefault="00794FB8" w:rsidP="00E47A3E">
      <w:pPr>
        <w:pStyle w:val="SingleTxtG"/>
        <w:tabs>
          <w:tab w:val="clear" w:pos="1701"/>
          <w:tab w:val="clear" w:pos="2268"/>
          <w:tab w:val="clear" w:pos="2835"/>
        </w:tabs>
        <w:suppressAutoHyphens w:val="0"/>
        <w:kinsoku/>
        <w:overflowPunct/>
        <w:autoSpaceDE/>
        <w:autoSpaceDN/>
        <w:adjustRightInd/>
        <w:snapToGrid/>
        <w:spacing w:after="0"/>
      </w:pPr>
      <w:r w:rsidRPr="00CC25B8">
        <w:rPr>
          <w:bCs/>
        </w:rPr>
        <w:t xml:space="preserve">degradation, pollution and climate change. States parties should closely consider the impact of environmental harm </w:t>
      </w:r>
      <w:r w:rsidR="00AB050A" w:rsidRPr="00AB050A">
        <w:rPr>
          <w:bCs/>
          <w:color w:val="FF0000"/>
        </w:rPr>
        <w:t xml:space="preserve">and climate harm </w:t>
      </w:r>
      <w:r w:rsidRPr="00CC25B8">
        <w:rPr>
          <w:bCs/>
        </w:rPr>
        <w:t xml:space="preserve">for the significance of traditional land and the quality of the natural environment while ensuring the right to life, survival and development of </w:t>
      </w:r>
      <w:r w:rsidR="00205EAD">
        <w:rPr>
          <w:bCs/>
        </w:rPr>
        <w:t>I</w:t>
      </w:r>
      <w:r w:rsidRPr="00CC25B8">
        <w:rPr>
          <w:bCs/>
        </w:rPr>
        <w:t>ndigenous children</w:t>
      </w:r>
      <w:r w:rsidRPr="00AB050A">
        <w:rPr>
          <w:bCs/>
          <w:color w:val="FF0000"/>
        </w:rPr>
        <w:t>.</w:t>
      </w:r>
      <w:r w:rsidR="00AF31EF">
        <w:rPr>
          <w:rStyle w:val="FootnoteReference"/>
          <w:bCs/>
          <w:color w:val="FF0000"/>
        </w:rPr>
        <w:footnoteReference w:id="14"/>
      </w:r>
      <w:r w:rsidR="00AB050A" w:rsidRPr="00AB050A">
        <w:rPr>
          <w:bCs/>
          <w:color w:val="FF0000"/>
        </w:rPr>
        <w:t xml:space="preserve"> </w:t>
      </w:r>
      <w:r w:rsidRPr="00AB050A">
        <w:rPr>
          <w:bCs/>
          <w:color w:val="FF0000"/>
        </w:rPr>
        <w:t xml:space="preserve"> </w:t>
      </w:r>
      <w:r w:rsidRPr="00CC25B8">
        <w:rPr>
          <w:bCs/>
        </w:rPr>
        <w:t xml:space="preserve">States should also undertake measures to engage with </w:t>
      </w:r>
      <w:r w:rsidR="00205EAD">
        <w:rPr>
          <w:bCs/>
        </w:rPr>
        <w:t>I</w:t>
      </w:r>
      <w:r w:rsidRPr="00CC25B8">
        <w:rPr>
          <w:bCs/>
        </w:rPr>
        <w:t xml:space="preserve">ndigenous children and their families in responding to climate change by integrating, as appropriate, </w:t>
      </w:r>
      <w:r w:rsidR="00FE354B">
        <w:rPr>
          <w:bCs/>
        </w:rPr>
        <w:t>I</w:t>
      </w:r>
      <w:r w:rsidRPr="00CC25B8">
        <w:rPr>
          <w:bCs/>
        </w:rPr>
        <w:t>ndigenous cultures and knowledge in mitigation and adaptation measures.</w:t>
      </w:r>
      <w:r w:rsidR="00AB050A">
        <w:rPr>
          <w:bCs/>
        </w:rPr>
        <w:t xml:space="preserve"> </w:t>
      </w:r>
      <w:r w:rsidR="00852FB1">
        <w:rPr>
          <w:bCs/>
          <w:color w:val="FF0000"/>
        </w:rPr>
        <w:t xml:space="preserve">              </w:t>
      </w:r>
    </w:p>
    <w:p w14:paraId="5576E851" w14:textId="2C999C3F" w:rsidR="00A917E3" w:rsidRPr="00CC25B8" w:rsidRDefault="00A917E3" w:rsidP="00A917E3">
      <w:pPr>
        <w:pStyle w:val="H23G"/>
      </w:pPr>
      <w:r w:rsidRPr="00CC25B8">
        <w:tab/>
      </w:r>
      <w:r w:rsidR="00852FB1">
        <w:t>3</w:t>
      </w:r>
      <w:r w:rsidRPr="00CC25B8">
        <w:t>.</w:t>
      </w:r>
      <w:r w:rsidRPr="00CC25B8">
        <w:tab/>
      </w:r>
      <w:r w:rsidRPr="00517202">
        <w:rPr>
          <w:color w:val="FF0000"/>
        </w:rPr>
        <w:t xml:space="preserve">The rights of </w:t>
      </w:r>
      <w:r>
        <w:rPr>
          <w:color w:val="FF0000"/>
        </w:rPr>
        <w:t>children with disabilities</w:t>
      </w:r>
      <w:r w:rsidR="00E47A3E">
        <w:rPr>
          <w:color w:val="FF0000"/>
        </w:rPr>
        <w:t xml:space="preserve"> (art. 23)</w:t>
      </w:r>
    </w:p>
    <w:p w14:paraId="3ACF5D66" w14:textId="24C5A190" w:rsidR="00A917E3" w:rsidRPr="0048068D" w:rsidRDefault="00A917E3" w:rsidP="00E47A3E">
      <w:pPr>
        <w:pStyle w:val="SingleTxtG"/>
        <w:tabs>
          <w:tab w:val="clear" w:pos="1701"/>
          <w:tab w:val="clear" w:pos="2268"/>
          <w:tab w:val="clear" w:pos="2835"/>
        </w:tabs>
        <w:suppressAutoHyphens w:val="0"/>
        <w:kinsoku/>
        <w:overflowPunct/>
        <w:autoSpaceDE/>
        <w:autoSpaceDN/>
        <w:adjustRightInd/>
        <w:snapToGrid/>
        <w:rPr>
          <w:color w:val="FF0000"/>
        </w:rPr>
      </w:pPr>
      <w:r>
        <w:rPr>
          <w:color w:val="FF0000"/>
        </w:rPr>
        <w:t>[xx]</w:t>
      </w:r>
      <w:r w:rsidR="00BE5152">
        <w:rPr>
          <w:color w:val="FF0000"/>
        </w:rPr>
        <w:t>.</w:t>
      </w:r>
      <w:r>
        <w:rPr>
          <w:color w:val="FF0000"/>
        </w:rPr>
        <w:t xml:space="preserve"> </w:t>
      </w:r>
      <w:r w:rsidRPr="007A7955">
        <w:rPr>
          <w:color w:val="FF0000"/>
        </w:rPr>
        <w:t>There are nearly 240 million children with disabilities around the world</w:t>
      </w:r>
      <w:r w:rsidR="00DC2EAD">
        <w:rPr>
          <w:color w:val="FF0000"/>
        </w:rPr>
        <w:t>.</w:t>
      </w:r>
      <w:r w:rsidR="00DC2EAD">
        <w:rPr>
          <w:rStyle w:val="FootnoteReference"/>
          <w:color w:val="FF0000"/>
        </w:rPr>
        <w:footnoteReference w:id="15"/>
      </w:r>
      <w:r w:rsidR="00E47A3E">
        <w:rPr>
          <w:color w:val="FF0000"/>
        </w:rPr>
        <w:t xml:space="preserve"> </w:t>
      </w:r>
      <w:r w:rsidRPr="007A7955">
        <w:rPr>
          <w:color w:val="FF0000"/>
        </w:rPr>
        <w:t xml:space="preserve">Most children </w:t>
      </w:r>
      <w:r w:rsidR="00B2623E">
        <w:rPr>
          <w:color w:val="FF0000"/>
        </w:rPr>
        <w:t xml:space="preserve">with disabilities </w:t>
      </w:r>
      <w:r w:rsidRPr="007A7955">
        <w:rPr>
          <w:color w:val="FF0000"/>
        </w:rPr>
        <w:t>live in poverty as the majority of persons with disabilities live in poverty</w:t>
      </w:r>
      <w:r>
        <w:rPr>
          <w:color w:val="FF0000"/>
        </w:rPr>
        <w:t>, a fact</w:t>
      </w:r>
      <w:r w:rsidRPr="007A7955">
        <w:rPr>
          <w:color w:val="FF0000"/>
        </w:rPr>
        <w:t xml:space="preserve"> recognised in the C</w:t>
      </w:r>
      <w:r w:rsidR="00E47A3E">
        <w:rPr>
          <w:color w:val="FF0000"/>
        </w:rPr>
        <w:t>onvention on the Rights of Persons with Disabilities</w:t>
      </w:r>
      <w:r w:rsidRPr="007A7955">
        <w:rPr>
          <w:color w:val="FF0000"/>
        </w:rPr>
        <w:t>,</w:t>
      </w:r>
      <w:r w:rsidR="00E47A3E">
        <w:rPr>
          <w:color w:val="FF0000"/>
        </w:rPr>
        <w:t xml:space="preserve"> </w:t>
      </w:r>
      <w:r w:rsidRPr="007A7955">
        <w:rPr>
          <w:color w:val="FF0000"/>
        </w:rPr>
        <w:t xml:space="preserve">Preamble (t). </w:t>
      </w:r>
      <w:r>
        <w:rPr>
          <w:color w:val="FF0000"/>
        </w:rPr>
        <w:t>C</w:t>
      </w:r>
      <w:r w:rsidRPr="007A7955">
        <w:rPr>
          <w:color w:val="FF0000"/>
        </w:rPr>
        <w:t xml:space="preserve">limate change </w:t>
      </w:r>
      <w:r>
        <w:rPr>
          <w:color w:val="FF0000"/>
        </w:rPr>
        <w:t>affects</w:t>
      </w:r>
      <w:r w:rsidRPr="007A7955">
        <w:rPr>
          <w:color w:val="FF0000"/>
        </w:rPr>
        <w:t xml:space="preserve"> the poorest disproportionately. </w:t>
      </w:r>
      <w:r>
        <w:rPr>
          <w:color w:val="FF0000"/>
        </w:rPr>
        <w:t>Being a child, being disabled and living</w:t>
      </w:r>
      <w:r w:rsidR="00E47A3E">
        <w:rPr>
          <w:color w:val="FF0000"/>
        </w:rPr>
        <w:t xml:space="preserve"> </w:t>
      </w:r>
      <w:r>
        <w:rPr>
          <w:color w:val="FF0000"/>
        </w:rPr>
        <w:t xml:space="preserve">in poverty, </w:t>
      </w:r>
      <w:r w:rsidRPr="007A7955">
        <w:rPr>
          <w:color w:val="FF0000"/>
        </w:rPr>
        <w:t>children</w:t>
      </w:r>
      <w:r w:rsidR="00B2623E">
        <w:rPr>
          <w:color w:val="FF0000"/>
        </w:rPr>
        <w:t xml:space="preserve"> with disabilities</w:t>
      </w:r>
      <w:r w:rsidRPr="007A7955">
        <w:rPr>
          <w:color w:val="FF0000"/>
        </w:rPr>
        <w:t xml:space="preserve"> experience multiple vulnerabilit</w:t>
      </w:r>
      <w:r>
        <w:rPr>
          <w:color w:val="FF0000"/>
        </w:rPr>
        <w:t>i</w:t>
      </w:r>
      <w:r w:rsidRPr="007A7955">
        <w:rPr>
          <w:color w:val="FF0000"/>
        </w:rPr>
        <w:t>es</w:t>
      </w:r>
      <w:r>
        <w:rPr>
          <w:color w:val="FF0000"/>
        </w:rPr>
        <w:t xml:space="preserve">. </w:t>
      </w:r>
      <w:r w:rsidRPr="0048068D">
        <w:rPr>
          <w:color w:val="FF0000"/>
        </w:rPr>
        <w:t>The Intergovernmental Panel on Climate Change foresees that the poorest people will continue to experience the worst effects of climate change through lost income and livelihood opportunities, displacement, hunger and adverse impacts on their health.</w:t>
      </w:r>
      <w:r w:rsidR="00DC2EAD">
        <w:rPr>
          <w:rStyle w:val="FootnoteReference"/>
          <w:color w:val="FF0000"/>
        </w:rPr>
        <w:footnoteReference w:id="16"/>
      </w:r>
      <w:r w:rsidRPr="0048068D">
        <w:rPr>
          <w:color w:val="FF0000"/>
        </w:rPr>
        <w:t xml:space="preserve"> Multiple and intersecting factors of discrimination related to gender, age, displacement, indigenous origin or minority status can further heighten the risks of persons with disabilities experiencing negative impacts of climate change.</w:t>
      </w:r>
      <w:r w:rsidR="00AF31EF">
        <w:rPr>
          <w:rStyle w:val="FootnoteReference"/>
          <w:color w:val="FF0000"/>
        </w:rPr>
        <w:footnoteReference w:id="17"/>
      </w:r>
    </w:p>
    <w:p w14:paraId="403EDDF5" w14:textId="2D2B1058" w:rsidR="00A917E3" w:rsidRPr="0048068D" w:rsidRDefault="00A917E3" w:rsidP="00A917E3">
      <w:pPr>
        <w:pStyle w:val="SingleTxtG"/>
        <w:tabs>
          <w:tab w:val="clear" w:pos="1701"/>
          <w:tab w:val="clear" w:pos="2268"/>
          <w:tab w:val="clear" w:pos="2835"/>
        </w:tabs>
        <w:suppressAutoHyphens w:val="0"/>
        <w:kinsoku/>
        <w:overflowPunct/>
        <w:autoSpaceDE/>
        <w:autoSpaceDN/>
        <w:adjustRightInd/>
        <w:snapToGrid/>
        <w:rPr>
          <w:color w:val="FF0000"/>
        </w:rPr>
      </w:pPr>
      <w:r w:rsidRPr="0048068D">
        <w:rPr>
          <w:color w:val="FF0000"/>
        </w:rPr>
        <w:t>[xx]</w:t>
      </w:r>
      <w:r w:rsidR="009858C5">
        <w:rPr>
          <w:color w:val="FF0000"/>
        </w:rPr>
        <w:t>.</w:t>
      </w:r>
      <w:r w:rsidRPr="0048068D">
        <w:rPr>
          <w:color w:val="FF0000"/>
        </w:rPr>
        <w:t xml:space="preserve"> Children with disabilities are often among those most adversely affected in an emergency, sustaining disproportionately higher rates of morbidity and mortality, and are among those least able to access emergency support. Natural disasters can seriously affect the access of children with disabilities to food and nutrition, safe drinking water and sanitation, health-care services and medicines, education and training, adequate housing and access to apprenticeship opportunities.</w:t>
      </w:r>
    </w:p>
    <w:p w14:paraId="7ADF8D05" w14:textId="57853ABC" w:rsidR="00A917E3" w:rsidRDefault="00E47A3E" w:rsidP="00E47A3E">
      <w:pPr>
        <w:pStyle w:val="SingleTxtG"/>
        <w:tabs>
          <w:tab w:val="clear" w:pos="1701"/>
          <w:tab w:val="clear" w:pos="2268"/>
          <w:tab w:val="clear" w:pos="2835"/>
        </w:tabs>
        <w:suppressAutoHyphens w:val="0"/>
        <w:kinsoku/>
        <w:overflowPunct/>
        <w:autoSpaceDE/>
        <w:autoSpaceDN/>
        <w:adjustRightInd/>
        <w:snapToGrid/>
        <w:rPr>
          <w:color w:val="FF0000"/>
          <w:shd w:val="clear" w:color="auto" w:fill="FFFFFF"/>
        </w:rPr>
      </w:pPr>
      <w:r>
        <w:rPr>
          <w:color w:val="FF0000"/>
        </w:rPr>
        <w:t>[</w:t>
      </w:r>
      <w:r w:rsidR="00A917E3" w:rsidRPr="0048068D">
        <w:rPr>
          <w:color w:val="FF0000"/>
        </w:rPr>
        <w:t>xx]</w:t>
      </w:r>
      <w:r w:rsidR="009858C5">
        <w:rPr>
          <w:color w:val="FF0000"/>
        </w:rPr>
        <w:t>.</w:t>
      </w:r>
      <w:r w:rsidR="00A917E3" w:rsidRPr="0048068D">
        <w:rPr>
          <w:color w:val="FF0000"/>
        </w:rPr>
        <w:t xml:space="preserve"> Due to these multiple vulnerabilities, disabled children are exposed to an increased risk of the violation of their rights if States fail to protect them from environmental harm and the  impact of climate change</w:t>
      </w:r>
      <w:r w:rsidR="00A917E3">
        <w:t xml:space="preserve">. </w:t>
      </w:r>
      <w:r w:rsidR="00A917E3" w:rsidRPr="00DC2EAD">
        <w:rPr>
          <w:color w:val="FF0000"/>
        </w:rPr>
        <w:t xml:space="preserve">Because they are disproportionately affected by climate change, </w:t>
      </w:r>
      <w:r w:rsidR="00A917E3" w:rsidRPr="00DC2EAD">
        <w:rPr>
          <w:color w:val="FF0000"/>
        </w:rPr>
        <w:lastRenderedPageBreak/>
        <w:t>persons with disabilities must be included in climate actio</w:t>
      </w:r>
      <w:r w:rsidR="00B2623E">
        <w:rPr>
          <w:color w:val="FF0000"/>
        </w:rPr>
        <w:t>n.</w:t>
      </w:r>
      <w:r w:rsidR="00A23C48" w:rsidRPr="00DC2EAD">
        <w:rPr>
          <w:rStyle w:val="FootnoteReference"/>
          <w:color w:val="FF0000"/>
        </w:rPr>
        <w:footnoteReference w:id="18"/>
      </w:r>
      <w:r>
        <w:t xml:space="preserve"> </w:t>
      </w:r>
      <w:r w:rsidR="00A917E3" w:rsidRPr="00ED7FF5">
        <w:rPr>
          <w:color w:val="FF0000"/>
        </w:rPr>
        <w:t>In order to meet the requirements of article 23 CRC it is necessary that States parties develop and effectively implement a comprehensive climate policy by means of a plan of action which not only aims at the full enjoyment of the rights enshrined in the Convention without discrimination but which also ensures that a child with disability and her or his parents and/or others caring for the child do receive the special care and assistance they are entitled to under the Convention.</w:t>
      </w:r>
      <w:r>
        <w:rPr>
          <w:rStyle w:val="FootnoteReference"/>
          <w:color w:val="FF0000"/>
        </w:rPr>
        <w:footnoteReference w:id="19"/>
      </w:r>
      <w:r w:rsidR="00A917E3" w:rsidRPr="00ED7FF5">
        <w:rPr>
          <w:color w:val="FF0000"/>
        </w:rPr>
        <w:t xml:space="preserve"> </w:t>
      </w:r>
      <w:r w:rsidR="00A917E3" w:rsidRPr="00E47A3E">
        <w:rPr>
          <w:color w:val="FF0000"/>
          <w:lang w:eastAsia="ja-JP"/>
        </w:rPr>
        <w:t xml:space="preserve">To that end, it will be crucial that </w:t>
      </w:r>
      <w:r w:rsidR="00B2623E">
        <w:rPr>
          <w:color w:val="FF0000"/>
          <w:shd w:val="clear" w:color="auto" w:fill="FFFFFF"/>
        </w:rPr>
        <w:t>d</w:t>
      </w:r>
      <w:r w:rsidR="00A917E3" w:rsidRPr="00E47A3E">
        <w:rPr>
          <w:color w:val="FF0000"/>
          <w:shd w:val="clear" w:color="auto" w:fill="FFFFFF"/>
        </w:rPr>
        <w:t>isability indicators and disaggregated data are collected for the development of disability-inclusive climate policies, aimed at protecting the rights of children with disabilities and at enhancing their adaptive capacity and that of their communities.</w:t>
      </w:r>
    </w:p>
    <w:p w14:paraId="3B520FE6" w14:textId="52146BB5" w:rsidR="00A917E3" w:rsidRPr="00CC25B8" w:rsidRDefault="00A917E3" w:rsidP="00A917E3">
      <w:pPr>
        <w:pStyle w:val="H23G"/>
      </w:pPr>
      <w:r w:rsidRPr="00CC25B8">
        <w:tab/>
      </w:r>
      <w:r>
        <w:t>4</w:t>
      </w:r>
      <w:r w:rsidRPr="00CC25B8">
        <w:t>.</w:t>
      </w:r>
      <w:r w:rsidRPr="00CC25B8">
        <w:tab/>
      </w:r>
      <w:r w:rsidRPr="00517202">
        <w:rPr>
          <w:color w:val="FF0000"/>
        </w:rPr>
        <w:t xml:space="preserve">The rights of </w:t>
      </w:r>
      <w:r>
        <w:rPr>
          <w:color w:val="FF0000"/>
        </w:rPr>
        <w:t>children on the move</w:t>
      </w:r>
      <w:r w:rsidR="00CD325F">
        <w:rPr>
          <w:color w:val="FF0000"/>
        </w:rPr>
        <w:t xml:space="preserve"> (art. 22)</w:t>
      </w:r>
    </w:p>
    <w:p w14:paraId="0B7BB8AF" w14:textId="6FA5C4C3" w:rsidR="0095044E" w:rsidRPr="00E96C2E" w:rsidRDefault="0095044E" w:rsidP="00E96C2E">
      <w:pPr>
        <w:suppressAutoHyphens w:val="0"/>
        <w:autoSpaceDE w:val="0"/>
        <w:autoSpaceDN w:val="0"/>
        <w:adjustRightInd w:val="0"/>
        <w:spacing w:line="240" w:lineRule="auto"/>
        <w:ind w:left="1134" w:right="1133"/>
        <w:jc w:val="both"/>
        <w:rPr>
          <w:rFonts w:eastAsia="MS Mincho"/>
          <w:color w:val="FF0000"/>
        </w:rPr>
      </w:pPr>
      <w:r w:rsidRPr="00E96C2E">
        <w:rPr>
          <w:rFonts w:eastAsia="MS Mincho"/>
          <w:color w:val="FF0000"/>
        </w:rPr>
        <w:t>[xx]</w:t>
      </w:r>
      <w:r w:rsidRPr="0095044E">
        <w:rPr>
          <w:rFonts w:eastAsia="MS Mincho"/>
          <w:color w:val="FF0000"/>
        </w:rPr>
        <w:t>. Climate change is increasingly recognized as a key driver of human movement. In the most extreme cases, all inhabitants of some small island States and low-lying coastal areas may need to be relocated. An estimated 22.5 million people per year for the seven years leading up to 2015 have already been displaced by climate- or weather-related disasters.</w:t>
      </w:r>
      <w:r w:rsidR="00E96C2E">
        <w:rPr>
          <w:rFonts w:eastAsia="MS Mincho"/>
          <w:color w:val="FF0000"/>
          <w:sz w:val="12"/>
          <w:szCs w:val="12"/>
        </w:rPr>
        <w:t xml:space="preserve"> </w:t>
      </w:r>
      <w:r w:rsidRPr="0095044E">
        <w:rPr>
          <w:rFonts w:eastAsia="MS Mincho"/>
          <w:color w:val="FF0000"/>
        </w:rPr>
        <w:t>These disasters are expected to increase in both frequency and intensity with further climate change.</w:t>
      </w:r>
      <w:r w:rsidR="00E96C2E">
        <w:rPr>
          <w:rStyle w:val="FootnoteReference"/>
          <w:rFonts w:eastAsia="MS Mincho"/>
          <w:color w:val="FF0000"/>
        </w:rPr>
        <w:footnoteReference w:id="20"/>
      </w:r>
      <w:r w:rsidRPr="0095044E">
        <w:rPr>
          <w:rFonts w:eastAsia="MS Mincho"/>
          <w:color w:val="FF0000"/>
        </w:rPr>
        <w:t xml:space="preserve"> </w:t>
      </w:r>
    </w:p>
    <w:p w14:paraId="1FF2D5E8" w14:textId="77777777" w:rsidR="0095044E" w:rsidRPr="0095044E" w:rsidRDefault="0095044E" w:rsidP="00E96C2E">
      <w:pPr>
        <w:suppressAutoHyphens w:val="0"/>
        <w:autoSpaceDE w:val="0"/>
        <w:autoSpaceDN w:val="0"/>
        <w:adjustRightInd w:val="0"/>
        <w:spacing w:line="240" w:lineRule="auto"/>
        <w:ind w:left="1134" w:right="1133"/>
        <w:jc w:val="both"/>
        <w:rPr>
          <w:rFonts w:eastAsia="MS Mincho"/>
          <w:color w:val="FF0000"/>
        </w:rPr>
      </w:pPr>
    </w:p>
    <w:p w14:paraId="5638BCAD" w14:textId="681ED5D6" w:rsidR="00A917E3" w:rsidRDefault="0095044E" w:rsidP="00E96C2E">
      <w:pPr>
        <w:pStyle w:val="SingleTxtG"/>
        <w:tabs>
          <w:tab w:val="clear" w:pos="1701"/>
          <w:tab w:val="clear" w:pos="2268"/>
          <w:tab w:val="clear" w:pos="2835"/>
        </w:tabs>
        <w:suppressAutoHyphens w:val="0"/>
        <w:kinsoku/>
        <w:overflowPunct/>
        <w:autoSpaceDE/>
        <w:autoSpaceDN/>
        <w:adjustRightInd/>
        <w:snapToGrid/>
        <w:rPr>
          <w:color w:val="FF0000"/>
          <w:sz w:val="22"/>
          <w:szCs w:val="22"/>
          <w:highlight w:val="yellow"/>
        </w:rPr>
      </w:pPr>
      <w:r w:rsidRPr="00E96C2E">
        <w:rPr>
          <w:rFonts w:eastAsia="MS Mincho"/>
          <w:color w:val="FF0000"/>
        </w:rPr>
        <w:t>[xx]</w:t>
      </w:r>
      <w:r w:rsidR="009858C5">
        <w:rPr>
          <w:rFonts w:eastAsia="MS Mincho"/>
          <w:color w:val="FF0000"/>
        </w:rPr>
        <w:t>.</w:t>
      </w:r>
      <w:r w:rsidRPr="00E96C2E">
        <w:rPr>
          <w:rFonts w:eastAsia="MS Mincho"/>
          <w:color w:val="FF0000"/>
        </w:rPr>
        <w:t xml:space="preserve"> </w:t>
      </w:r>
      <w:r w:rsidRPr="00E96C2E">
        <w:rPr>
          <w:rFonts w:eastAsia="MS Mincho"/>
          <w:color w:val="FF0000"/>
        </w:rPr>
        <w:t>When sudden or slow-onset disasters result in large-scale human movement, children may be separated from their cultural heritage and face barriers in access to schools, adequate health-care facilities and other necessary goods and services. Overcrowded shelters with inadequate sanitation and access to clean water can increase the transmission of diarrhoea and malnutrition rates, both leading causes of child mortality.</w:t>
      </w:r>
      <w:r w:rsidRPr="00E96C2E">
        <w:rPr>
          <w:rFonts w:eastAsia="MS Mincho"/>
          <w:color w:val="FF0000"/>
          <w:sz w:val="12"/>
          <w:szCs w:val="12"/>
        </w:rPr>
        <w:t xml:space="preserve">46 </w:t>
      </w:r>
      <w:r w:rsidRPr="00E96C2E">
        <w:rPr>
          <w:rFonts w:eastAsia="MS Mincho"/>
          <w:color w:val="FF0000"/>
        </w:rPr>
        <w:t xml:space="preserve">Inadequate security and </w:t>
      </w:r>
      <w:r w:rsidRPr="004A0F0E">
        <w:rPr>
          <w:rFonts w:eastAsia="MS Mincho"/>
          <w:color w:val="FF0000"/>
        </w:rPr>
        <w:t>protection in some shelters can expose children to abuse and violence. Children travelling alone or separated from their parents can be particularly at risk of emotional, physical and sexual violence.</w:t>
      </w:r>
      <w:r w:rsidR="00E96C2E" w:rsidRPr="004A0F0E">
        <w:rPr>
          <w:rStyle w:val="FootnoteReference"/>
          <w:rFonts w:eastAsia="MS Mincho"/>
          <w:color w:val="FF0000"/>
          <w:sz w:val="20"/>
        </w:rPr>
        <w:footnoteReference w:id="21"/>
      </w:r>
    </w:p>
    <w:p w14:paraId="7FC968B2" w14:textId="77777777" w:rsidR="00794FB8" w:rsidRPr="00CC25B8" w:rsidRDefault="00794FB8" w:rsidP="00C6576C">
      <w:pPr>
        <w:pStyle w:val="H1G"/>
      </w:pPr>
      <w:bookmarkStart w:id="19" w:name="_Toc115681971"/>
      <w:r w:rsidRPr="00CC25B8">
        <w:tab/>
        <w:t>K.</w:t>
      </w:r>
      <w:r w:rsidRPr="00CC25B8">
        <w:tab/>
      </w:r>
      <w:r w:rsidRPr="00235A36">
        <w:rPr>
          <w:highlight w:val="yellow"/>
        </w:rPr>
        <w:t>Access to justice and remedies (art. 4)</w:t>
      </w:r>
      <w:bookmarkEnd w:id="19"/>
    </w:p>
    <w:p w14:paraId="6CC27E9B" w14:textId="5A136CB1" w:rsidR="00794FB8" w:rsidRPr="00CC25B8" w:rsidRDefault="00794FB8">
      <w:pPr>
        <w:pStyle w:val="SingleTxtG"/>
        <w:numPr>
          <w:ilvl w:val="0"/>
          <w:numId w:val="15"/>
        </w:numPr>
        <w:tabs>
          <w:tab w:val="clear" w:pos="1701"/>
          <w:tab w:val="clear" w:pos="2268"/>
          <w:tab w:val="clear" w:pos="2835"/>
        </w:tabs>
        <w:suppressAutoHyphens w:val="0"/>
        <w:kinsoku/>
        <w:overflowPunct/>
        <w:autoSpaceDE/>
        <w:autoSpaceDN/>
        <w:adjustRightInd/>
        <w:snapToGrid/>
        <w:rPr>
          <w:bCs/>
        </w:rPr>
      </w:pPr>
      <w:r w:rsidRPr="00CC25B8">
        <w:rPr>
          <w:bCs/>
        </w:rPr>
        <w:t xml:space="preserve">Effective remedies should be available </w:t>
      </w:r>
      <w:r w:rsidRPr="00235A36">
        <w:rPr>
          <w:bCs/>
          <w:color w:val="FF0000"/>
        </w:rPr>
        <w:t>to</w:t>
      </w:r>
      <w:r w:rsidR="00235A36" w:rsidRPr="00235A36">
        <w:rPr>
          <w:bCs/>
          <w:color w:val="FF0000"/>
        </w:rPr>
        <w:t xml:space="preserve"> protect from environmental harm and climate harm and</w:t>
      </w:r>
      <w:r w:rsidR="00235A36">
        <w:rPr>
          <w:bCs/>
        </w:rPr>
        <w:t xml:space="preserve"> to</w:t>
      </w:r>
      <w:r w:rsidRPr="00CC25B8">
        <w:rPr>
          <w:bCs/>
        </w:rPr>
        <w:t xml:space="preserve"> redress violations.</w:t>
      </w:r>
      <w:r w:rsidRPr="00CC25B8">
        <w:rPr>
          <w:rStyle w:val="FootnoteReference"/>
        </w:rPr>
        <w:footnoteReference w:id="22"/>
      </w:r>
      <w:r w:rsidRPr="00CC25B8">
        <w:rPr>
          <w:bCs/>
        </w:rPr>
        <w:t xml:space="preserve"> This requires </w:t>
      </w:r>
      <w:r w:rsidR="00761273" w:rsidRPr="00CC25B8">
        <w:rPr>
          <w:bCs/>
        </w:rPr>
        <w:t>S</w:t>
      </w:r>
      <w:r w:rsidRPr="00CC25B8">
        <w:rPr>
          <w:bCs/>
        </w:rPr>
        <w:t xml:space="preserve">tates </w:t>
      </w:r>
      <w:r w:rsidR="00761273" w:rsidRPr="00CC25B8">
        <w:rPr>
          <w:bCs/>
        </w:rPr>
        <w:t xml:space="preserve">to </w:t>
      </w:r>
      <w:r w:rsidRPr="00CC25B8">
        <w:rPr>
          <w:bCs/>
        </w:rPr>
        <w:t>provid</w:t>
      </w:r>
      <w:r w:rsidR="00761273" w:rsidRPr="00CC25B8">
        <w:rPr>
          <w:bCs/>
        </w:rPr>
        <w:t>e</w:t>
      </w:r>
      <w:r w:rsidRPr="00CC25B8">
        <w:rPr>
          <w:bCs/>
        </w:rPr>
        <w:t xml:space="preserve"> pathways </w:t>
      </w:r>
      <w:r w:rsidR="00487837" w:rsidRPr="00CC25B8">
        <w:rPr>
          <w:bCs/>
        </w:rPr>
        <w:t xml:space="preserve">for children </w:t>
      </w:r>
      <w:r w:rsidRPr="00CC25B8">
        <w:rPr>
          <w:bCs/>
        </w:rPr>
        <w:t xml:space="preserve">to access justice. Although children have been at the vanguard of several environmental and climate change cases, their status creates difficulties for them </w:t>
      </w:r>
      <w:r w:rsidR="00487837" w:rsidRPr="00CC25B8">
        <w:rPr>
          <w:bCs/>
        </w:rPr>
        <w:t>to</w:t>
      </w:r>
      <w:r w:rsidRPr="00CC25B8">
        <w:rPr>
          <w:bCs/>
        </w:rPr>
        <w:t xml:space="preserve"> pursu</w:t>
      </w:r>
      <w:r w:rsidR="00487837" w:rsidRPr="00CC25B8">
        <w:rPr>
          <w:bCs/>
        </w:rPr>
        <w:t>e</w:t>
      </w:r>
      <w:r w:rsidRPr="00CC25B8">
        <w:rPr>
          <w:bCs/>
        </w:rPr>
        <w:t xml:space="preserve"> remedies. An initial barrier is </w:t>
      </w:r>
      <w:r w:rsidR="00260E73" w:rsidRPr="00CC25B8">
        <w:rPr>
          <w:bCs/>
        </w:rPr>
        <w:t xml:space="preserve">legal </w:t>
      </w:r>
      <w:r w:rsidRPr="00CC25B8">
        <w:rPr>
          <w:bCs/>
        </w:rPr>
        <w:t xml:space="preserve">standing, and restrictive requirements that individual children </w:t>
      </w:r>
      <w:r w:rsidR="00842ACA" w:rsidRPr="00CC25B8">
        <w:rPr>
          <w:bCs/>
        </w:rPr>
        <w:t>must</w:t>
      </w:r>
      <w:r w:rsidRPr="00CC25B8">
        <w:rPr>
          <w:bCs/>
        </w:rPr>
        <w:t xml:space="preserve"> be directly affected </w:t>
      </w:r>
      <w:r w:rsidR="00842ACA" w:rsidRPr="00CC25B8">
        <w:rPr>
          <w:bCs/>
        </w:rPr>
        <w:t xml:space="preserve">by </w:t>
      </w:r>
      <w:r w:rsidRPr="00CC25B8">
        <w:rPr>
          <w:bCs/>
        </w:rPr>
        <w:t>or have a sufficient interest</w:t>
      </w:r>
      <w:r w:rsidR="00842ACA" w:rsidRPr="00CC25B8">
        <w:rPr>
          <w:bCs/>
        </w:rPr>
        <w:t xml:space="preserve"> in the environmental harm</w:t>
      </w:r>
      <w:r w:rsidRPr="00CC25B8">
        <w:rPr>
          <w:bCs/>
        </w:rPr>
        <w:t>. As a result, children often have limited means of asserting their rights in the environmental context.</w:t>
      </w:r>
      <w:r w:rsidRPr="00CC25B8">
        <w:rPr>
          <w:rStyle w:val="FootnoteReference"/>
        </w:rPr>
        <w:footnoteReference w:id="23"/>
      </w:r>
    </w:p>
    <w:p w14:paraId="31EC723E" w14:textId="46D5B489" w:rsidR="00794FB8" w:rsidRPr="00CC25B8" w:rsidRDefault="00794FB8" w:rsidP="006948F5">
      <w:pPr>
        <w:pStyle w:val="HChG"/>
      </w:pPr>
      <w:bookmarkStart w:id="20" w:name="_heading=h.2p2csry" w:colFirst="0" w:colLast="0"/>
      <w:bookmarkStart w:id="21" w:name="_heading=h.fmcvsa4wkz52" w:colFirst="0" w:colLast="0"/>
      <w:bookmarkStart w:id="22" w:name="_Toc115681973"/>
      <w:bookmarkEnd w:id="20"/>
      <w:bookmarkEnd w:id="21"/>
      <w:r w:rsidRPr="00CC25B8">
        <w:tab/>
        <w:t>V.</w:t>
      </w:r>
      <w:r w:rsidRPr="00CC25B8">
        <w:tab/>
        <w:t>General obligations of States</w:t>
      </w:r>
      <w:bookmarkStart w:id="23" w:name="_Toc115681974"/>
      <w:bookmarkEnd w:id="22"/>
      <w:r w:rsidRPr="00CC25B8">
        <w:t xml:space="preserve"> </w:t>
      </w:r>
      <w:bookmarkEnd w:id="23"/>
    </w:p>
    <w:p w14:paraId="6CE7DCD9" w14:textId="7EEB2665" w:rsidR="00794FB8" w:rsidRPr="00CC25B8" w:rsidRDefault="00794FB8" w:rsidP="00C6576C">
      <w:pPr>
        <w:pStyle w:val="H1G"/>
      </w:pPr>
      <w:bookmarkStart w:id="24" w:name="_Toc115681976"/>
      <w:r w:rsidRPr="00CC25B8">
        <w:tab/>
      </w:r>
      <w:r w:rsidR="00E94CAF" w:rsidRPr="00CC25B8">
        <w:t>B</w:t>
      </w:r>
      <w:r w:rsidRPr="00CC25B8">
        <w:t>.</w:t>
      </w:r>
      <w:r w:rsidRPr="00CC25B8">
        <w:tab/>
      </w:r>
      <w:r w:rsidRPr="00235A36">
        <w:rPr>
          <w:highlight w:val="yellow"/>
        </w:rPr>
        <w:t>Heightened obligations</w:t>
      </w:r>
      <w:bookmarkEnd w:id="24"/>
    </w:p>
    <w:p w14:paraId="3BF63D37" w14:textId="40C07731" w:rsidR="00FE54CD" w:rsidRPr="00FE54CD" w:rsidRDefault="00794FB8">
      <w:pPr>
        <w:pStyle w:val="SingleTxtG"/>
        <w:numPr>
          <w:ilvl w:val="0"/>
          <w:numId w:val="12"/>
        </w:numPr>
        <w:tabs>
          <w:tab w:val="clear" w:pos="1701"/>
          <w:tab w:val="clear" w:pos="2268"/>
          <w:tab w:val="clear" w:pos="2835"/>
        </w:tabs>
        <w:suppressAutoHyphens w:val="0"/>
        <w:kinsoku/>
        <w:overflowPunct/>
        <w:autoSpaceDE/>
        <w:autoSpaceDN/>
        <w:adjustRightInd/>
        <w:snapToGrid/>
      </w:pPr>
      <w:r w:rsidRPr="006948F5">
        <w:rPr>
          <w:bCs/>
        </w:rPr>
        <w:t>There is a heightened duty of care on the State in view of the special status of children, including recognition that violations of their rights arising from environmental harm may have a severe and long-lasting impact on their development.</w:t>
      </w:r>
      <w:r w:rsidR="00FE54CD" w:rsidRPr="006948F5">
        <w:rPr>
          <w:bCs/>
        </w:rPr>
        <w:t xml:space="preserve"> </w:t>
      </w:r>
      <w:r w:rsidR="008372FC" w:rsidRPr="006948F5">
        <w:rPr>
          <w:bCs/>
          <w:color w:val="FF0000"/>
        </w:rPr>
        <w:t xml:space="preserve">Multidimensional child poverty, </w:t>
      </w:r>
      <w:r w:rsidR="008372FC" w:rsidRPr="006948F5">
        <w:rPr>
          <w:color w:val="FF0000"/>
        </w:rPr>
        <w:t xml:space="preserve">socioeconomic inequalities and disability compound to increase </w:t>
      </w:r>
      <w:r w:rsidR="004276FD" w:rsidRPr="006948F5">
        <w:rPr>
          <w:color w:val="FF0000"/>
        </w:rPr>
        <w:t xml:space="preserve">the </w:t>
      </w:r>
      <w:r w:rsidR="008372FC" w:rsidRPr="006948F5">
        <w:rPr>
          <w:color w:val="FF0000"/>
        </w:rPr>
        <w:t>risk</w:t>
      </w:r>
      <w:r w:rsidR="004276FD" w:rsidRPr="006948F5">
        <w:rPr>
          <w:color w:val="FF0000"/>
        </w:rPr>
        <w:t xml:space="preserve"> of </w:t>
      </w:r>
      <w:r w:rsidR="00EC5908" w:rsidRPr="006948F5">
        <w:rPr>
          <w:color w:val="FF0000"/>
        </w:rPr>
        <w:lastRenderedPageBreak/>
        <w:t xml:space="preserve">developmental </w:t>
      </w:r>
      <w:r w:rsidR="004276FD" w:rsidRPr="006948F5">
        <w:rPr>
          <w:color w:val="FF0000"/>
        </w:rPr>
        <w:t>climate harm</w:t>
      </w:r>
      <w:r w:rsidR="008372FC" w:rsidRPr="006948F5">
        <w:rPr>
          <w:color w:val="FF0000"/>
        </w:rPr>
        <w:t xml:space="preserve"> among </w:t>
      </w:r>
      <w:r w:rsidR="008372FC" w:rsidRPr="006948F5">
        <w:rPr>
          <w:color w:val="FF0000"/>
        </w:rPr>
        <w:t xml:space="preserve">children living in </w:t>
      </w:r>
      <w:r w:rsidR="008372FC" w:rsidRPr="006948F5">
        <w:rPr>
          <w:color w:val="FF0000"/>
        </w:rPr>
        <w:t xml:space="preserve">rural and urban poor </w:t>
      </w:r>
      <w:r w:rsidR="008372FC" w:rsidRPr="006948F5">
        <w:rPr>
          <w:color w:val="FF0000"/>
        </w:rPr>
        <w:t>areas</w:t>
      </w:r>
      <w:r w:rsidR="004276FD" w:rsidRPr="006948F5">
        <w:rPr>
          <w:color w:val="FF0000"/>
        </w:rPr>
        <w:t>, o</w:t>
      </w:r>
      <w:r w:rsidR="008372FC" w:rsidRPr="006948F5">
        <w:rPr>
          <w:color w:val="FF0000"/>
        </w:rPr>
        <w:t xml:space="preserve">n smallholder farms </w:t>
      </w:r>
      <w:r w:rsidR="004276FD" w:rsidRPr="006948F5">
        <w:rPr>
          <w:color w:val="FF0000"/>
        </w:rPr>
        <w:t>and</w:t>
      </w:r>
      <w:r w:rsidR="008372FC" w:rsidRPr="006948F5">
        <w:rPr>
          <w:color w:val="FF0000"/>
        </w:rPr>
        <w:t xml:space="preserve"> </w:t>
      </w:r>
      <w:r w:rsidR="004276FD" w:rsidRPr="006948F5">
        <w:rPr>
          <w:color w:val="FF0000"/>
        </w:rPr>
        <w:t xml:space="preserve">in </w:t>
      </w:r>
      <w:r w:rsidR="008372FC" w:rsidRPr="006948F5">
        <w:rPr>
          <w:color w:val="FF0000"/>
        </w:rPr>
        <w:t>coastal settlements.</w:t>
      </w:r>
      <w:r w:rsidR="007418C0">
        <w:rPr>
          <w:rStyle w:val="FootnoteReference"/>
          <w:color w:val="FF0000"/>
        </w:rPr>
        <w:footnoteReference w:id="24"/>
      </w:r>
      <w:r w:rsidR="008372FC" w:rsidRPr="006948F5">
        <w:rPr>
          <w:color w:val="FF0000"/>
        </w:rPr>
        <w:t xml:space="preserve"> </w:t>
      </w:r>
      <w:bookmarkStart w:id="25" w:name="_Toc115681977"/>
      <w:r w:rsidRPr="00CC25B8">
        <w:tab/>
      </w:r>
      <w:bookmarkEnd w:id="25"/>
    </w:p>
    <w:p w14:paraId="1532D1B3" w14:textId="267769BB" w:rsidR="00794FB8" w:rsidRPr="00CC25B8" w:rsidRDefault="00794FB8" w:rsidP="006948F5">
      <w:pPr>
        <w:pStyle w:val="HChG"/>
        <w:rPr>
          <w:bCs/>
        </w:rPr>
      </w:pPr>
      <w:bookmarkStart w:id="26" w:name="_Toc115681981"/>
      <w:r w:rsidRPr="00CC25B8">
        <w:tab/>
        <w:t>VI.</w:t>
      </w:r>
      <w:r w:rsidRPr="00CC25B8">
        <w:tab/>
        <w:t>Climate change</w:t>
      </w:r>
      <w:bookmarkStart w:id="27" w:name="_Toc115681982"/>
      <w:bookmarkEnd w:id="26"/>
      <w:r w:rsidRPr="00CC25B8">
        <w:tab/>
      </w:r>
      <w:bookmarkEnd w:id="27"/>
    </w:p>
    <w:p w14:paraId="59A36DCF" w14:textId="77777777" w:rsidR="00794FB8" w:rsidRPr="00CC25B8" w:rsidRDefault="00794FB8" w:rsidP="00C6576C">
      <w:pPr>
        <w:pStyle w:val="H1G"/>
      </w:pPr>
      <w:bookmarkStart w:id="28" w:name="_Toc115681983"/>
      <w:r w:rsidRPr="00CC25B8">
        <w:tab/>
        <w:t>B.</w:t>
      </w:r>
      <w:r w:rsidRPr="00CC25B8">
        <w:tab/>
      </w:r>
      <w:r w:rsidRPr="007418C0">
        <w:rPr>
          <w:highlight w:val="yellow"/>
        </w:rPr>
        <w:t>Adaptation</w:t>
      </w:r>
      <w:bookmarkEnd w:id="28"/>
    </w:p>
    <w:p w14:paraId="0AAB2342" w14:textId="65153D8E" w:rsidR="007418C0" w:rsidRPr="007418C0" w:rsidRDefault="00BE5152">
      <w:pPr>
        <w:pStyle w:val="SingleTxtG"/>
        <w:numPr>
          <w:ilvl w:val="0"/>
          <w:numId w:val="16"/>
        </w:numPr>
        <w:tabs>
          <w:tab w:val="clear" w:pos="1701"/>
          <w:tab w:val="clear" w:pos="2268"/>
          <w:tab w:val="clear" w:pos="2835"/>
        </w:tabs>
        <w:suppressAutoHyphens w:val="0"/>
        <w:kinsoku/>
        <w:overflowPunct/>
        <w:autoSpaceDE/>
        <w:autoSpaceDN/>
        <w:adjustRightInd/>
        <w:snapToGrid/>
        <w:rPr>
          <w:bCs/>
        </w:rPr>
      </w:pPr>
      <w:r>
        <w:rPr>
          <w:bCs/>
        </w:rPr>
        <w:t xml:space="preserve"> </w:t>
      </w:r>
      <w:r w:rsidR="00794FB8" w:rsidRPr="007418C0">
        <w:rPr>
          <w:bCs/>
        </w:rPr>
        <w:t>Since climate-related impacts are intensify</w:t>
      </w:r>
      <w:r w:rsidR="00352D8F" w:rsidRPr="007418C0">
        <w:rPr>
          <w:bCs/>
        </w:rPr>
        <w:t>ing</w:t>
      </w:r>
      <w:r w:rsidR="00794FB8" w:rsidRPr="007418C0">
        <w:rPr>
          <w:bCs/>
        </w:rPr>
        <w:t xml:space="preserve">, a sharp and urgent increase in the design and implementation of child-sensitive adaptation measures and associated resources is necessary. </w:t>
      </w:r>
      <w:r w:rsidR="00F01A01" w:rsidRPr="007418C0">
        <w:rPr>
          <w:bCs/>
          <w:color w:val="FF0000"/>
        </w:rPr>
        <w:t>Adaptation measures aim at adjusting to actual or expected effects of climate change in order to moderate harm or exploit beneficial opportunities.</w:t>
      </w:r>
      <w:r w:rsidR="007418C0">
        <w:rPr>
          <w:rStyle w:val="FootnoteReference"/>
          <w:bCs/>
          <w:color w:val="FF0000"/>
        </w:rPr>
        <w:footnoteReference w:id="25"/>
      </w:r>
      <w:r w:rsidR="00F01A01" w:rsidRPr="007418C0">
        <w:rPr>
          <w:bCs/>
          <w:color w:val="FF0000"/>
        </w:rPr>
        <w:t xml:space="preserve"> </w:t>
      </w:r>
    </w:p>
    <w:p w14:paraId="15192C6F" w14:textId="77777777" w:rsidR="00794FB8" w:rsidRPr="00CC25B8" w:rsidRDefault="00794FB8" w:rsidP="00C6576C">
      <w:pPr>
        <w:pStyle w:val="H1G"/>
      </w:pPr>
      <w:bookmarkStart w:id="29" w:name="_Toc115681984"/>
      <w:r w:rsidRPr="00CC25B8">
        <w:tab/>
        <w:t>C.</w:t>
      </w:r>
      <w:r w:rsidRPr="00CC25B8">
        <w:tab/>
      </w:r>
      <w:r w:rsidRPr="004732BC">
        <w:rPr>
          <w:highlight w:val="yellow"/>
        </w:rPr>
        <w:t>Mitigation</w:t>
      </w:r>
      <w:bookmarkEnd w:id="29"/>
    </w:p>
    <w:p w14:paraId="01CA6450" w14:textId="62FDE052" w:rsidR="00794FB8" w:rsidRDefault="00BE5152">
      <w:pPr>
        <w:pStyle w:val="SingleTxtG"/>
        <w:numPr>
          <w:ilvl w:val="0"/>
          <w:numId w:val="17"/>
        </w:numPr>
        <w:tabs>
          <w:tab w:val="clear" w:pos="1701"/>
          <w:tab w:val="clear" w:pos="2268"/>
          <w:tab w:val="clear" w:pos="2835"/>
        </w:tabs>
        <w:suppressAutoHyphens w:val="0"/>
        <w:kinsoku/>
        <w:overflowPunct/>
        <w:autoSpaceDE/>
        <w:autoSpaceDN/>
        <w:adjustRightInd/>
        <w:snapToGrid/>
        <w:rPr>
          <w:bCs/>
        </w:rPr>
      </w:pPr>
      <w:r>
        <w:rPr>
          <w:bCs/>
        </w:rPr>
        <w:t xml:space="preserve"> </w:t>
      </w:r>
      <w:r w:rsidR="00794FB8" w:rsidRPr="00CC25B8">
        <w:rPr>
          <w:bCs/>
        </w:rPr>
        <w:t xml:space="preserve">The Committee calls for collective accelerated actions to use the narrow </w:t>
      </w:r>
      <w:r w:rsidR="00E35B89" w:rsidRPr="00CC25B8">
        <w:rPr>
          <w:bCs/>
        </w:rPr>
        <w:t xml:space="preserve">temporal </w:t>
      </w:r>
      <w:r w:rsidR="00794FB8" w:rsidRPr="00CC25B8">
        <w:rPr>
          <w:bCs/>
        </w:rPr>
        <w:t xml:space="preserve">window </w:t>
      </w:r>
      <w:r w:rsidR="00E35B89" w:rsidRPr="00CC25B8">
        <w:rPr>
          <w:bCs/>
        </w:rPr>
        <w:t xml:space="preserve">of </w:t>
      </w:r>
      <w:r w:rsidR="00794FB8" w:rsidRPr="00CC25B8">
        <w:rPr>
          <w:bCs/>
        </w:rPr>
        <w:t xml:space="preserve">opportunities to mitigate the effects of climate change. In particular, historical and current major emitters have heightened obligations to take effective measures to contribute to mitigation efforts. </w:t>
      </w:r>
    </w:p>
    <w:p w14:paraId="5282438C" w14:textId="6799363D" w:rsidR="007418C0" w:rsidRDefault="00B74D99" w:rsidP="007418C0">
      <w:pPr>
        <w:pStyle w:val="SingleTxtG"/>
        <w:suppressAutoHyphens w:val="0"/>
        <w:rPr>
          <w:bCs/>
        </w:rPr>
      </w:pPr>
      <w:r w:rsidRPr="00B74D99">
        <w:rPr>
          <w:bCs/>
          <w:color w:val="FF0000"/>
        </w:rPr>
        <w:t>[xx]</w:t>
      </w:r>
      <w:r w:rsidR="009858C5">
        <w:rPr>
          <w:bCs/>
          <w:color w:val="FF0000"/>
        </w:rPr>
        <w:t xml:space="preserve">. </w:t>
      </w:r>
      <w:r w:rsidRPr="00B74D99">
        <w:rPr>
          <w:bCs/>
          <w:color w:val="FF0000"/>
        </w:rPr>
        <w:t>The mi</w:t>
      </w:r>
      <w:r w:rsidRPr="00B74D99">
        <w:rPr>
          <w:bCs/>
          <w:color w:val="FF0000"/>
        </w:rPr>
        <w:t>tigation of climate change</w:t>
      </w:r>
      <w:r w:rsidRPr="00B74D99">
        <w:rPr>
          <w:bCs/>
          <w:color w:val="FF0000"/>
        </w:rPr>
        <w:t xml:space="preserve"> refers to </w:t>
      </w:r>
      <w:r w:rsidRPr="00B74D99">
        <w:rPr>
          <w:bCs/>
          <w:color w:val="FF0000"/>
        </w:rPr>
        <w:t>human interventio</w:t>
      </w:r>
      <w:r w:rsidRPr="00B74D99">
        <w:rPr>
          <w:bCs/>
          <w:color w:val="FF0000"/>
        </w:rPr>
        <w:t>ns that</w:t>
      </w:r>
      <w:r w:rsidRPr="00B74D99">
        <w:rPr>
          <w:bCs/>
          <w:color w:val="FF0000"/>
        </w:rPr>
        <w:t xml:space="preserve"> reduce</w:t>
      </w:r>
      <w:r w:rsidRPr="00B74D99">
        <w:rPr>
          <w:bCs/>
          <w:color w:val="FF0000"/>
        </w:rPr>
        <w:t xml:space="preserve"> </w:t>
      </w:r>
      <w:r w:rsidRPr="00B74D99">
        <w:rPr>
          <w:bCs/>
          <w:color w:val="FF0000"/>
        </w:rPr>
        <w:t>emissions or enhance the sinks of greenhouse gases.</w:t>
      </w:r>
      <w:r w:rsidRPr="00B74D99">
        <w:rPr>
          <w:bCs/>
          <w:color w:val="FF0000"/>
        </w:rPr>
        <w:t xml:space="preserve"> </w:t>
      </w:r>
      <w:r w:rsidRPr="007418C0">
        <w:rPr>
          <w:bCs/>
          <w:color w:val="FF0000"/>
        </w:rPr>
        <w:t>Mitigation measures are</w:t>
      </w:r>
      <w:r w:rsidRPr="007418C0">
        <w:rPr>
          <w:bCs/>
          <w:color w:val="FF0000"/>
        </w:rPr>
        <w:t xml:space="preserve"> </w:t>
      </w:r>
      <w:r w:rsidRPr="007418C0">
        <w:rPr>
          <w:bCs/>
          <w:color w:val="FF0000"/>
        </w:rPr>
        <w:t>technologies, processes or practices that contribute to mitigation</w:t>
      </w:r>
      <w:r w:rsidR="007418C0" w:rsidRPr="007418C0">
        <w:rPr>
          <w:bCs/>
          <w:color w:val="FF0000"/>
        </w:rPr>
        <w:t>.</w:t>
      </w:r>
      <w:r w:rsidR="007418C0" w:rsidRPr="007418C0">
        <w:rPr>
          <w:rStyle w:val="FootnoteReference"/>
          <w:bCs/>
          <w:color w:val="FF0000"/>
        </w:rPr>
        <w:footnoteReference w:id="26"/>
      </w:r>
      <w:r w:rsidRPr="007418C0">
        <w:rPr>
          <w:bCs/>
          <w:color w:val="FF0000"/>
        </w:rPr>
        <w:t xml:space="preserve"> </w:t>
      </w:r>
    </w:p>
    <w:p w14:paraId="4C76F733" w14:textId="74A0AFF6" w:rsidR="00794FB8" w:rsidRDefault="00BE5152">
      <w:pPr>
        <w:pStyle w:val="SingleTxtG"/>
        <w:numPr>
          <w:ilvl w:val="0"/>
          <w:numId w:val="17"/>
        </w:numPr>
        <w:suppressAutoHyphens w:val="0"/>
        <w:rPr>
          <w:bCs/>
        </w:rPr>
      </w:pPr>
      <w:r>
        <w:rPr>
          <w:bCs/>
        </w:rPr>
        <w:t xml:space="preserve"> </w:t>
      </w:r>
      <w:r w:rsidR="00794FB8" w:rsidRPr="00CC25B8">
        <w:rPr>
          <w:bCs/>
        </w:rPr>
        <w:t xml:space="preserve">Insufficient progress in achieving international commitments to limit global warming to pre-industrial levels exposes children to the significant threats to their rights associated with greater concentrations of greenhouse gas emissions and correlative temperature increases. Greater risk in relation to children’s rights and climate change represents the passing through so-called </w:t>
      </w:r>
      <w:r w:rsidR="00E03E02" w:rsidRPr="00CC25B8">
        <w:rPr>
          <w:bCs/>
        </w:rPr>
        <w:t>“</w:t>
      </w:r>
      <w:r w:rsidR="00794FB8" w:rsidRPr="00CC25B8">
        <w:rPr>
          <w:bCs/>
        </w:rPr>
        <w:t>tipping points</w:t>
      </w:r>
      <w:r w:rsidR="00E03E02" w:rsidRPr="00CC25B8">
        <w:rPr>
          <w:bCs/>
        </w:rPr>
        <w:t>”</w:t>
      </w:r>
      <w:r w:rsidR="00794FB8" w:rsidRPr="00CC25B8">
        <w:rPr>
          <w:bCs/>
        </w:rPr>
        <w:t xml:space="preserve">, </w:t>
      </w:r>
      <w:r w:rsidR="00E03E02" w:rsidRPr="00CC25B8">
        <w:rPr>
          <w:bCs/>
        </w:rPr>
        <w:t>or</w:t>
      </w:r>
      <w:r w:rsidR="00794FB8" w:rsidRPr="00CC25B8">
        <w:rPr>
          <w:bCs/>
        </w:rPr>
        <w:t xml:space="preserve"> thresholds beyond which certain impacts can no longer be avoided.</w:t>
      </w:r>
      <w:r w:rsidR="00713A54">
        <w:rPr>
          <w:bCs/>
        </w:rPr>
        <w:t xml:space="preserve"> </w:t>
      </w:r>
    </w:p>
    <w:p w14:paraId="4F48ED3A" w14:textId="36CF4DDD" w:rsidR="00713A54" w:rsidRPr="00713A54" w:rsidRDefault="00713A54" w:rsidP="00713A54">
      <w:pPr>
        <w:pStyle w:val="SingleTxtG"/>
        <w:tabs>
          <w:tab w:val="clear" w:pos="1701"/>
          <w:tab w:val="clear" w:pos="2268"/>
          <w:tab w:val="clear" w:pos="2835"/>
        </w:tabs>
        <w:suppressAutoHyphens w:val="0"/>
        <w:kinsoku/>
        <w:overflowPunct/>
        <w:autoSpaceDE/>
        <w:autoSpaceDN/>
        <w:adjustRightInd/>
        <w:snapToGrid/>
        <w:rPr>
          <w:bCs/>
          <w:color w:val="FF0000"/>
        </w:rPr>
      </w:pPr>
      <w:r w:rsidRPr="00713A54">
        <w:rPr>
          <w:bCs/>
          <w:color w:val="FF0000"/>
        </w:rPr>
        <w:t>[xx]</w:t>
      </w:r>
      <w:r w:rsidR="009858C5">
        <w:rPr>
          <w:bCs/>
          <w:color w:val="FF0000"/>
        </w:rPr>
        <w:t xml:space="preserve">. </w:t>
      </w:r>
      <w:r w:rsidRPr="00713A54">
        <w:rPr>
          <w:bCs/>
          <w:color w:val="FF0000"/>
        </w:rPr>
        <w:t xml:space="preserve">States have duty to protect futures generations from climate harm. Mitigation measures reflect that </w:t>
      </w:r>
      <w:r w:rsidR="00B74D99">
        <w:rPr>
          <w:bCs/>
          <w:color w:val="FF0000"/>
        </w:rPr>
        <w:t xml:space="preserve">intertemporal </w:t>
      </w:r>
      <w:r w:rsidRPr="00713A54">
        <w:rPr>
          <w:bCs/>
          <w:color w:val="FF0000"/>
        </w:rPr>
        <w:t xml:space="preserve">duty </w:t>
      </w:r>
      <w:r w:rsidR="00B74D99">
        <w:rPr>
          <w:bCs/>
          <w:color w:val="FF0000"/>
        </w:rPr>
        <w:t>which</w:t>
      </w:r>
      <w:r w:rsidRPr="00713A54">
        <w:rPr>
          <w:bCs/>
          <w:color w:val="FF0000"/>
        </w:rPr>
        <w:t xml:space="preserve"> accords with the principle of intergenerational equity</w:t>
      </w:r>
      <w:r w:rsidR="007418C0">
        <w:rPr>
          <w:bCs/>
          <w:color w:val="FF0000"/>
        </w:rPr>
        <w:t>.</w:t>
      </w:r>
      <w:r w:rsidR="007418C0">
        <w:rPr>
          <w:rStyle w:val="FootnoteReference"/>
          <w:bCs/>
          <w:color w:val="FF0000"/>
        </w:rPr>
        <w:footnoteReference w:id="27"/>
      </w:r>
      <w:r w:rsidR="000E503D">
        <w:rPr>
          <w:bCs/>
          <w:color w:val="FF0000"/>
        </w:rPr>
        <w:t xml:space="preserve"> </w:t>
      </w:r>
    </w:p>
    <w:p w14:paraId="46BB60E4" w14:textId="001FB7D2" w:rsidR="00AF16FC" w:rsidRPr="005A5C5F" w:rsidRDefault="00794FB8" w:rsidP="006948F5">
      <w:pPr>
        <w:pStyle w:val="H1G"/>
        <w:rPr>
          <w:u w:val="single"/>
        </w:rPr>
      </w:pPr>
      <w:bookmarkStart w:id="30" w:name="_Toc115681985"/>
      <w:r w:rsidRPr="00CC25B8">
        <w:tab/>
      </w:r>
      <w:bookmarkEnd w:id="0"/>
      <w:bookmarkEnd w:id="30"/>
    </w:p>
    <w:sectPr w:rsidR="00AF16FC" w:rsidRPr="005A5C5F" w:rsidSect="00725039">
      <w:footerReference w:type="even" r:id="rId11"/>
      <w:footerReference w:type="default" r:id="rId12"/>
      <w:headerReference w:type="firs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5A63" w14:textId="77777777" w:rsidR="0047090F" w:rsidRDefault="0047090F"/>
  </w:endnote>
  <w:endnote w:type="continuationSeparator" w:id="0">
    <w:p w14:paraId="7D97AF51" w14:textId="77777777" w:rsidR="0047090F" w:rsidRDefault="0047090F">
      <w:pPr>
        <w:pStyle w:val="Footer"/>
      </w:pPr>
    </w:p>
  </w:endnote>
  <w:endnote w:type="continuationNotice" w:id="1">
    <w:p w14:paraId="54D8B1DC" w14:textId="77777777" w:rsidR="0047090F" w:rsidRDefault="00470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thJax_Ma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99410"/>
      <w:docPartObj>
        <w:docPartGallery w:val="Page Numbers (Bottom of Page)"/>
        <w:docPartUnique/>
      </w:docPartObj>
    </w:sdtPr>
    <w:sdtEndPr>
      <w:rPr>
        <w:noProof/>
      </w:rPr>
    </w:sdtEndPr>
    <w:sdtContent>
      <w:p w14:paraId="05229507" w14:textId="53DCD173" w:rsidR="007729CD" w:rsidRDefault="007729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7AE8A" w14:textId="689DB481" w:rsidR="00BD3BD9" w:rsidRDefault="00BD3BD9">
    <w:pPr>
      <w:pStyle w:val="Footer"/>
      <w:tabs>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203269"/>
      <w:docPartObj>
        <w:docPartGallery w:val="Page Numbers (Bottom of Page)"/>
        <w:docPartUnique/>
      </w:docPartObj>
    </w:sdtPr>
    <w:sdtEndPr>
      <w:rPr>
        <w:noProof/>
      </w:rPr>
    </w:sdtEndPr>
    <w:sdtContent>
      <w:p w14:paraId="1B5CE436" w14:textId="2F737013" w:rsidR="00A13C6E" w:rsidRDefault="00D16ABC" w:rsidP="00D16ABC">
        <w:pPr>
          <w:pStyle w:val="Footer"/>
          <w:jc w:val="right"/>
        </w:pPr>
        <w:r w:rsidRPr="00A0436D">
          <w:rPr>
            <w:i/>
            <w:iCs/>
          </w:rPr>
          <w:t>Helena Kennedy Centre for International Justice, Sheffield Hallam University</w:t>
        </w:r>
        <w:r>
          <w:t xml:space="preserve">     |     </w:t>
        </w:r>
        <w:r w:rsidR="00A13C6E">
          <w:fldChar w:fldCharType="begin"/>
        </w:r>
        <w:r w:rsidR="00A13C6E">
          <w:instrText xml:space="preserve"> PAGE   \* MERGEFORMAT </w:instrText>
        </w:r>
        <w:r w:rsidR="00A13C6E">
          <w:fldChar w:fldCharType="separate"/>
        </w:r>
        <w:r w:rsidR="00A13C6E">
          <w:rPr>
            <w:noProof/>
          </w:rPr>
          <w:t>2</w:t>
        </w:r>
        <w:r w:rsidR="00A13C6E">
          <w:rPr>
            <w:noProof/>
          </w:rPr>
          <w:fldChar w:fldCharType="end"/>
        </w:r>
      </w:p>
    </w:sdtContent>
  </w:sdt>
  <w:p w14:paraId="2AE914C2" w14:textId="7965D4D2" w:rsidR="00BD3BD9" w:rsidRDefault="00BD3BD9">
    <w:pPr>
      <w:pStyle w:val="Footer"/>
      <w:tabs>
        <w:tab w:val="right" w:pos="9639"/>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FD36" w14:textId="7A97B3EE" w:rsidR="005C63E7" w:rsidRPr="005C63E7" w:rsidRDefault="005C63E7" w:rsidP="0006395B">
    <w:pPr>
      <w:pStyle w:val="Footer"/>
      <w:jc w:val="right"/>
    </w:pPr>
    <w:r w:rsidRPr="00A0436D">
      <w:rPr>
        <w:i/>
        <w:iCs/>
      </w:rPr>
      <w:t>Helena Kennedy Centre for International Justice, Sheffield Hallam University</w:t>
    </w:r>
    <w:r w:rsidR="0006395B">
      <w:t xml:space="preserve">     |     1  </w:t>
    </w:r>
  </w:p>
  <w:p w14:paraId="51961D81" w14:textId="77777777" w:rsidR="00BD3BD9" w:rsidRPr="005C63E7" w:rsidRDefault="00BD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07B6" w14:textId="77777777" w:rsidR="0047090F" w:rsidRDefault="0047090F">
      <w:pPr>
        <w:pStyle w:val="Footer"/>
        <w:tabs>
          <w:tab w:val="right" w:pos="2155"/>
        </w:tabs>
        <w:spacing w:after="80" w:line="240" w:lineRule="atLeast"/>
        <w:ind w:left="680"/>
        <w:rPr>
          <w:u w:val="single"/>
        </w:rPr>
      </w:pPr>
      <w:r>
        <w:rPr>
          <w:u w:val="single"/>
        </w:rPr>
        <w:tab/>
      </w:r>
    </w:p>
  </w:footnote>
  <w:footnote w:type="continuationSeparator" w:id="0">
    <w:p w14:paraId="1DEEFAD8" w14:textId="77777777" w:rsidR="0047090F" w:rsidRDefault="0047090F">
      <w:pPr>
        <w:pStyle w:val="Footer"/>
        <w:tabs>
          <w:tab w:val="right" w:pos="2155"/>
        </w:tabs>
        <w:spacing w:after="80" w:line="240" w:lineRule="atLeast"/>
        <w:ind w:left="680"/>
        <w:rPr>
          <w:u w:val="single"/>
        </w:rPr>
      </w:pPr>
      <w:r>
        <w:rPr>
          <w:u w:val="single"/>
        </w:rPr>
        <w:tab/>
      </w:r>
    </w:p>
  </w:footnote>
  <w:footnote w:type="continuationNotice" w:id="1">
    <w:p w14:paraId="22AED10B" w14:textId="77777777" w:rsidR="0047090F" w:rsidRDefault="0047090F">
      <w:pPr>
        <w:rPr>
          <w:sz w:val="2"/>
          <w:szCs w:val="2"/>
        </w:rPr>
      </w:pPr>
    </w:p>
  </w:footnote>
  <w:footnote w:id="2">
    <w:p w14:paraId="565359F4" w14:textId="1CFC881D" w:rsidR="00F46BA1" w:rsidRDefault="00F46BA1" w:rsidP="0033063A">
      <w:pPr>
        <w:pStyle w:val="FootnoteText"/>
        <w:spacing w:after="70"/>
        <w:ind w:left="1135" w:hanging="284"/>
      </w:pPr>
      <w:r>
        <w:rPr>
          <w:rStyle w:val="FootnoteReference"/>
        </w:rPr>
        <w:footnoteRef/>
      </w:r>
      <w:r>
        <w:t xml:space="preserve"> </w:t>
      </w:r>
      <w:r w:rsidRPr="00F46BA1">
        <w:t>Analytical Study on the relationship between climate change and the full and effective enjoyment of the rights of the child (A/HRC/35/13, section F.)</w:t>
      </w:r>
    </w:p>
  </w:footnote>
  <w:footnote w:id="3">
    <w:p w14:paraId="0D167079" w14:textId="78975D77" w:rsidR="00CD1401" w:rsidRDefault="00CD1401" w:rsidP="0033063A">
      <w:pPr>
        <w:pStyle w:val="FootnoteText"/>
        <w:spacing w:after="70"/>
        <w:ind w:left="1135" w:hanging="284"/>
      </w:pPr>
      <w:r>
        <w:rPr>
          <w:rStyle w:val="FootnoteReference"/>
        </w:rPr>
        <w:footnoteRef/>
      </w:r>
      <w:r>
        <w:t xml:space="preserve"> </w:t>
      </w:r>
      <w:r w:rsidRPr="00CD1401">
        <w:t xml:space="preserve">Black, M. M., Walker, S. P., et al. (2016). Early childhood development coming of age: science through the life course. </w:t>
      </w:r>
      <w:r w:rsidRPr="00CD1401">
        <w:rPr>
          <w:i/>
          <w:iCs/>
        </w:rPr>
        <w:t>The Lancet</w:t>
      </w:r>
      <w:r w:rsidRPr="00CD1401">
        <w:t xml:space="preserve">, 389(10064), 77–90. </w:t>
      </w:r>
      <w:hyperlink r:id="rId1" w:history="1">
        <w:r w:rsidRPr="00122864">
          <w:rPr>
            <w:rStyle w:val="Hyperlink"/>
          </w:rPr>
          <w:t>https://doi.org/10.1016/S0140-6736(16)31389-7</w:t>
        </w:r>
      </w:hyperlink>
      <w:r>
        <w:t xml:space="preserve"> </w:t>
      </w:r>
    </w:p>
  </w:footnote>
  <w:footnote w:id="4">
    <w:p w14:paraId="17D88209" w14:textId="085BE50A" w:rsidR="000374D3" w:rsidRDefault="000374D3" w:rsidP="0033063A">
      <w:pPr>
        <w:pStyle w:val="FootnoteText"/>
        <w:spacing w:after="70"/>
        <w:ind w:hanging="283"/>
      </w:pPr>
      <w:r>
        <w:t xml:space="preserve">  </w:t>
      </w:r>
      <w:r>
        <w:rPr>
          <w:rStyle w:val="FootnoteReference"/>
        </w:rPr>
        <w:footnoteRef/>
      </w:r>
      <w:r>
        <w:t xml:space="preserve">   </w:t>
      </w:r>
      <w:hyperlink r:id="rId2" w:history="1">
        <w:r w:rsidRPr="00122864">
          <w:rPr>
            <w:rStyle w:val="Hyperlink"/>
          </w:rPr>
          <w:t>https://sdgs.un.org/goals</w:t>
        </w:r>
      </w:hyperlink>
      <w:r>
        <w:t xml:space="preserve"> </w:t>
      </w:r>
    </w:p>
  </w:footnote>
  <w:footnote w:id="5">
    <w:p w14:paraId="1BEC6607" w14:textId="77777777" w:rsidR="00BD3BD9" w:rsidRPr="005477AD" w:rsidRDefault="00BD3BD9" w:rsidP="0033063A">
      <w:pPr>
        <w:pStyle w:val="FootnoteText"/>
        <w:spacing w:after="70"/>
      </w:pPr>
      <w:r w:rsidRPr="005477AD">
        <w:tab/>
      </w:r>
      <w:r w:rsidRPr="00945E55">
        <w:rPr>
          <w:rStyle w:val="FootnoteReference"/>
        </w:rPr>
        <w:footnoteRef/>
      </w:r>
      <w:r w:rsidRPr="005477AD">
        <w:tab/>
      </w:r>
      <w:r w:rsidR="008D24A7" w:rsidRPr="005477AD">
        <w:t>CRC/C/GC/14</w:t>
      </w:r>
      <w:r w:rsidRPr="005477AD">
        <w:t>, paras. 16 (e)</w:t>
      </w:r>
      <w:r w:rsidR="00BD3D6D" w:rsidRPr="005477AD">
        <w:t>,</w:t>
      </w:r>
      <w:r w:rsidRPr="005477AD">
        <w:t xml:space="preserve"> 74; </w:t>
      </w:r>
      <w:r w:rsidRPr="005477AD">
        <w:rPr>
          <w:i/>
          <w:iCs/>
        </w:rPr>
        <w:t>Saachi et al v. Argentina et al</w:t>
      </w:r>
      <w:r w:rsidRPr="005477AD">
        <w:t>, CRC/C/88/D/104/2019, para. 10.13.</w:t>
      </w:r>
    </w:p>
  </w:footnote>
  <w:footnote w:id="6">
    <w:p w14:paraId="5712E46C" w14:textId="77777777" w:rsidR="00BD3BD9" w:rsidRPr="00390FB6" w:rsidRDefault="00BD3BD9" w:rsidP="0033063A">
      <w:pPr>
        <w:pStyle w:val="FootnoteText"/>
        <w:spacing w:after="70"/>
        <w:rPr>
          <w:lang w:val="es-ES"/>
        </w:rPr>
      </w:pPr>
      <w:r w:rsidRPr="005477AD">
        <w:tab/>
      </w:r>
      <w:r w:rsidRPr="00945E55">
        <w:rPr>
          <w:rStyle w:val="FootnoteReference"/>
        </w:rPr>
        <w:footnoteRef/>
      </w:r>
      <w:r w:rsidRPr="005477AD">
        <w:tab/>
      </w:r>
      <w:r w:rsidR="008D24A7" w:rsidRPr="005477AD">
        <w:t>E/C.12/GC/25</w:t>
      </w:r>
      <w:r w:rsidRPr="005477AD">
        <w:t xml:space="preserve">, para. </w:t>
      </w:r>
      <w:r w:rsidRPr="00390FB6">
        <w:rPr>
          <w:lang w:val="es-ES"/>
        </w:rPr>
        <w:t>18.</w:t>
      </w:r>
    </w:p>
  </w:footnote>
  <w:footnote w:id="7">
    <w:p w14:paraId="6DBC06E5" w14:textId="635293F5" w:rsidR="00FB55ED" w:rsidRPr="00D037A1" w:rsidRDefault="009858C5" w:rsidP="0033063A">
      <w:pPr>
        <w:pStyle w:val="SingleTxtG"/>
        <w:tabs>
          <w:tab w:val="clear" w:pos="1701"/>
          <w:tab w:val="clear" w:pos="2268"/>
          <w:tab w:val="clear" w:pos="2835"/>
        </w:tabs>
        <w:suppressAutoHyphens w:val="0"/>
        <w:kinsoku/>
        <w:overflowPunct/>
        <w:autoSpaceDE/>
        <w:autoSpaceDN/>
        <w:adjustRightInd/>
        <w:snapToGrid/>
        <w:spacing w:after="70"/>
        <w:ind w:left="993" w:hanging="142"/>
        <w:rPr>
          <w:sz w:val="18"/>
          <w:szCs w:val="18"/>
        </w:rPr>
      </w:pPr>
      <w:r>
        <w:rPr>
          <w:sz w:val="18"/>
          <w:szCs w:val="18"/>
        </w:rPr>
        <w:t xml:space="preserve">   </w:t>
      </w:r>
      <w:r w:rsidR="00FB55ED" w:rsidRPr="00D037A1">
        <w:rPr>
          <w:rStyle w:val="FootnoteReference"/>
          <w:szCs w:val="18"/>
        </w:rPr>
        <w:footnoteRef/>
      </w:r>
      <w:r w:rsidR="00FB55ED" w:rsidRPr="00D037A1">
        <w:rPr>
          <w:sz w:val="18"/>
          <w:szCs w:val="18"/>
        </w:rPr>
        <w:t xml:space="preserve"> </w:t>
      </w:r>
      <w:r>
        <w:rPr>
          <w:sz w:val="18"/>
          <w:szCs w:val="18"/>
        </w:rPr>
        <w:t xml:space="preserve"> </w:t>
      </w:r>
      <w:r w:rsidR="00FB55ED" w:rsidRPr="00D037A1">
        <w:rPr>
          <w:color w:val="FF0000"/>
          <w:sz w:val="18"/>
          <w:szCs w:val="18"/>
        </w:rPr>
        <w:t xml:space="preserve">Black, M. M., Walker, S. P., </w:t>
      </w:r>
      <w:r w:rsidR="00FB55ED" w:rsidRPr="00D037A1">
        <w:rPr>
          <w:color w:val="FF0000"/>
          <w:sz w:val="18"/>
          <w:szCs w:val="18"/>
        </w:rPr>
        <w:t xml:space="preserve">et al. </w:t>
      </w:r>
      <w:r w:rsidR="00FB55ED" w:rsidRPr="00D037A1">
        <w:rPr>
          <w:color w:val="FF0000"/>
          <w:sz w:val="18"/>
          <w:szCs w:val="18"/>
        </w:rPr>
        <w:t xml:space="preserve">(2016). Early childhood development coming of age: science through the life course. </w:t>
      </w:r>
      <w:r w:rsidR="00FB55ED" w:rsidRPr="00D037A1">
        <w:rPr>
          <w:i/>
          <w:iCs/>
          <w:color w:val="FF0000"/>
          <w:sz w:val="18"/>
          <w:szCs w:val="18"/>
        </w:rPr>
        <w:t>The Lancet (British Edition)</w:t>
      </w:r>
      <w:r w:rsidR="00FB55ED" w:rsidRPr="00D037A1">
        <w:rPr>
          <w:color w:val="FF0000"/>
          <w:sz w:val="18"/>
          <w:szCs w:val="18"/>
        </w:rPr>
        <w:t xml:space="preserve">, </w:t>
      </w:r>
      <w:r w:rsidR="00FB55ED" w:rsidRPr="00D037A1">
        <w:rPr>
          <w:i/>
          <w:iCs/>
          <w:color w:val="FF0000"/>
          <w:sz w:val="18"/>
          <w:szCs w:val="18"/>
        </w:rPr>
        <w:t>389</w:t>
      </w:r>
      <w:r w:rsidR="00FB55ED" w:rsidRPr="00D037A1">
        <w:rPr>
          <w:color w:val="FF0000"/>
          <w:sz w:val="18"/>
          <w:szCs w:val="18"/>
        </w:rPr>
        <w:t xml:space="preserve">(10064), 77–90. </w:t>
      </w:r>
      <w:hyperlink r:id="rId3" w:history="1">
        <w:r w:rsidR="00B81D82" w:rsidRPr="00122864">
          <w:rPr>
            <w:rStyle w:val="Hyperlink"/>
            <w:sz w:val="18"/>
            <w:szCs w:val="18"/>
          </w:rPr>
          <w:t>https://doi.org/10.1016/S0140-6736(16)31389-7</w:t>
        </w:r>
      </w:hyperlink>
      <w:r w:rsidR="00B81D82">
        <w:rPr>
          <w:color w:val="FF0000"/>
          <w:sz w:val="18"/>
          <w:szCs w:val="18"/>
        </w:rPr>
        <w:t xml:space="preserve"> </w:t>
      </w:r>
    </w:p>
  </w:footnote>
  <w:footnote w:id="8">
    <w:p w14:paraId="3E3609B1" w14:textId="44922083" w:rsidR="007C27AC" w:rsidRDefault="009858C5" w:rsidP="0033063A">
      <w:pPr>
        <w:pStyle w:val="FootnoteText"/>
        <w:spacing w:after="70"/>
        <w:ind w:hanging="283"/>
      </w:pPr>
      <w:r>
        <w:rPr>
          <w:lang w:val="fr-FR"/>
        </w:rPr>
        <w:t xml:space="preserve">   </w:t>
      </w:r>
      <w:r w:rsidR="007C27AC">
        <w:rPr>
          <w:rStyle w:val="FootnoteReference"/>
        </w:rPr>
        <w:footnoteRef/>
      </w:r>
      <w:r w:rsidR="007C27AC" w:rsidRPr="00D037A1">
        <w:rPr>
          <w:lang w:val="fr-FR"/>
        </w:rPr>
        <w:t xml:space="preserve"> </w:t>
      </w:r>
      <w:r>
        <w:rPr>
          <w:lang w:val="fr-FR"/>
        </w:rPr>
        <w:t xml:space="preserve"> </w:t>
      </w:r>
      <w:r w:rsidR="007C27AC" w:rsidRPr="00061B99">
        <w:rPr>
          <w:color w:val="FF0000"/>
          <w:lang w:val="fr-FR"/>
        </w:rPr>
        <w:t>Lloyd,</w:t>
      </w:r>
      <w:r w:rsidR="00D037A1" w:rsidRPr="00061B99">
        <w:rPr>
          <w:color w:val="FF0000"/>
          <w:lang w:val="fr-FR"/>
        </w:rPr>
        <w:t xml:space="preserve"> </w:t>
      </w:r>
      <w:r w:rsidR="00061B99">
        <w:rPr>
          <w:color w:val="FF0000"/>
          <w:lang w:val="fr-FR"/>
        </w:rPr>
        <w:t xml:space="preserve">S. J., </w:t>
      </w:r>
      <w:r w:rsidR="00D037A1" w:rsidRPr="00061B99">
        <w:rPr>
          <w:color w:val="FF0000"/>
          <w:lang w:val="fr-FR"/>
        </w:rPr>
        <w:t xml:space="preserve">et al. </w:t>
      </w:r>
      <w:r w:rsidR="00D037A1" w:rsidRPr="00061B99">
        <w:rPr>
          <w:color w:val="FF0000"/>
        </w:rPr>
        <w:t xml:space="preserve">(2018). </w:t>
      </w:r>
      <w:r w:rsidR="007C27AC" w:rsidRPr="00061B99">
        <w:rPr>
          <w:color w:val="FF0000"/>
        </w:rPr>
        <w:t>A Global-Level Model of the Potential Impacts of Climate Change on Child Stunting via Income and Food Price in 2030</w:t>
      </w:r>
      <w:r w:rsidR="00D037A1" w:rsidRPr="00061B99">
        <w:rPr>
          <w:color w:val="FF0000"/>
        </w:rPr>
        <w:t xml:space="preserve">, </w:t>
      </w:r>
      <w:r w:rsidR="007C27AC" w:rsidRPr="00061B99">
        <w:rPr>
          <w:i/>
          <w:iCs/>
          <w:color w:val="FF0000"/>
        </w:rPr>
        <w:t>Environmental Health Perspectives</w:t>
      </w:r>
      <w:r w:rsidR="007C27AC" w:rsidRPr="00061B99">
        <w:rPr>
          <w:color w:val="FF0000"/>
        </w:rPr>
        <w:t xml:space="preserve"> 126</w:t>
      </w:r>
      <w:r w:rsidR="00D037A1" w:rsidRPr="00061B99">
        <w:rPr>
          <w:color w:val="FF0000"/>
        </w:rPr>
        <w:t>(</w:t>
      </w:r>
      <w:r w:rsidR="007C27AC" w:rsidRPr="00061B99">
        <w:rPr>
          <w:color w:val="FF0000"/>
        </w:rPr>
        <w:t>9</w:t>
      </w:r>
      <w:r w:rsidR="00D037A1" w:rsidRPr="00061B99">
        <w:rPr>
          <w:color w:val="FF0000"/>
        </w:rPr>
        <w:t>)</w:t>
      </w:r>
      <w:r w:rsidR="007C27AC" w:rsidRPr="00061B99">
        <w:rPr>
          <w:color w:val="FF0000"/>
        </w:rPr>
        <w:t xml:space="preserve"> CID: 097007</w:t>
      </w:r>
      <w:r w:rsidR="00D037A1">
        <w:t>,</w:t>
      </w:r>
      <w:r w:rsidR="007C27AC">
        <w:t xml:space="preserve"> </w:t>
      </w:r>
      <w:hyperlink r:id="rId4" w:history="1">
        <w:r w:rsidR="00D037A1" w:rsidRPr="00122864">
          <w:rPr>
            <w:rStyle w:val="Hyperlink"/>
          </w:rPr>
          <w:t>https://doi.org/10.1289/EHP2916</w:t>
        </w:r>
      </w:hyperlink>
      <w:r w:rsidR="00D037A1">
        <w:t xml:space="preserve"> </w:t>
      </w:r>
    </w:p>
  </w:footnote>
  <w:footnote w:id="9">
    <w:p w14:paraId="4D898E80" w14:textId="34F62B8A" w:rsidR="00CB13EC" w:rsidRDefault="009858C5" w:rsidP="0033063A">
      <w:pPr>
        <w:pStyle w:val="FootnoteText"/>
        <w:spacing w:after="70"/>
        <w:ind w:hanging="283"/>
      </w:pPr>
      <w:r>
        <w:t xml:space="preserve">   </w:t>
      </w:r>
      <w:r w:rsidR="00CB13EC">
        <w:rPr>
          <w:rStyle w:val="FootnoteReference"/>
        </w:rPr>
        <w:footnoteRef/>
      </w:r>
      <w:r w:rsidR="00CB13EC">
        <w:t xml:space="preserve"> </w:t>
      </w:r>
      <w:r>
        <w:t xml:space="preserve"> </w:t>
      </w:r>
      <w:r w:rsidR="00CB13EC" w:rsidRPr="00061B99">
        <w:rPr>
          <w:color w:val="FF0000"/>
        </w:rPr>
        <w:t xml:space="preserve">Bundschuh (2022), </w:t>
      </w:r>
      <w:r w:rsidR="00CB13EC" w:rsidRPr="00061B99">
        <w:rPr>
          <w:color w:val="FF0000"/>
        </w:rPr>
        <w:t>Countering the impact of discrimination against pregnant women exposed to high temperatures with human rights</w:t>
      </w:r>
      <w:r w:rsidR="00CB13EC" w:rsidRPr="00061B99">
        <w:rPr>
          <w:color w:val="FF0000"/>
        </w:rPr>
        <w:t xml:space="preserve">, </w:t>
      </w:r>
      <w:hyperlink r:id="rId5" w:history="1">
        <w:r w:rsidR="00CB13EC" w:rsidRPr="00122864">
          <w:rPr>
            <w:rStyle w:val="Hyperlink"/>
          </w:rPr>
          <w:t>https://www.openglobalrights.org/countering-discrimination-against-pregnant-women-exposed-high-temperature/</w:t>
        </w:r>
      </w:hyperlink>
      <w:r w:rsidR="00CB13EC">
        <w:t xml:space="preserve"> </w:t>
      </w:r>
    </w:p>
  </w:footnote>
  <w:footnote w:id="10">
    <w:p w14:paraId="3ED69AAB" w14:textId="2CD00D11" w:rsidR="00061B99" w:rsidRDefault="009858C5" w:rsidP="0033063A">
      <w:pPr>
        <w:pStyle w:val="FootnoteText"/>
        <w:spacing w:after="70"/>
        <w:ind w:hanging="283"/>
      </w:pPr>
      <w:r>
        <w:t xml:space="preserve">  </w:t>
      </w:r>
      <w:r w:rsidR="00061B99">
        <w:t xml:space="preserve"> </w:t>
      </w:r>
      <w:r w:rsidR="00061B99">
        <w:rPr>
          <w:rStyle w:val="FootnoteReference"/>
        </w:rPr>
        <w:footnoteRef/>
      </w:r>
      <w:r w:rsidR="00061B99">
        <w:t xml:space="preserve"> </w:t>
      </w:r>
      <w:r w:rsidR="00061B99">
        <w:rPr>
          <w:color w:val="FF0000"/>
        </w:rPr>
        <w:t xml:space="preserve"> </w:t>
      </w:r>
      <w:r w:rsidR="00061B99" w:rsidRPr="00597EBE">
        <w:rPr>
          <w:color w:val="FF0000"/>
        </w:rPr>
        <w:t>IPCC, AR6, WG II, 8.4.5.</w:t>
      </w:r>
    </w:p>
  </w:footnote>
  <w:footnote w:id="11">
    <w:p w14:paraId="7DE36C16" w14:textId="7E6F3610" w:rsidR="00557730" w:rsidRPr="004400FE" w:rsidRDefault="00557730" w:rsidP="0033063A">
      <w:pPr>
        <w:pStyle w:val="FootnoteText"/>
        <w:tabs>
          <w:tab w:val="clear" w:pos="1021"/>
          <w:tab w:val="right" w:pos="1134"/>
        </w:tabs>
        <w:spacing w:after="70"/>
        <w:ind w:hanging="142"/>
        <w:rPr>
          <w:color w:val="FF0000"/>
        </w:rPr>
      </w:pPr>
      <w:r>
        <w:tab/>
      </w:r>
      <w:r w:rsidRPr="004400FE">
        <w:rPr>
          <w:rStyle w:val="FootnoteReference"/>
          <w:color w:val="FF0000"/>
        </w:rPr>
        <w:footnoteRef/>
      </w:r>
      <w:r w:rsidRPr="004400FE">
        <w:rPr>
          <w:color w:val="FF0000"/>
        </w:rPr>
        <w:t xml:space="preserve"> </w:t>
      </w:r>
      <w:r w:rsidR="00F7604C" w:rsidRPr="004400FE">
        <w:rPr>
          <w:color w:val="FF0000"/>
        </w:rPr>
        <w:t>A/HRC/35/13, para. 2</w:t>
      </w:r>
      <w:r w:rsidR="00F7604C" w:rsidRPr="004400FE">
        <w:rPr>
          <w:color w:val="FF0000"/>
        </w:rPr>
        <w:t>1</w:t>
      </w:r>
    </w:p>
  </w:footnote>
  <w:footnote w:id="12">
    <w:p w14:paraId="26DC5B4B" w14:textId="5F99F6D7" w:rsidR="00557730" w:rsidRPr="004400FE" w:rsidRDefault="00557730" w:rsidP="0033063A">
      <w:pPr>
        <w:pStyle w:val="FootnoteText"/>
        <w:spacing w:after="70"/>
        <w:ind w:hanging="142"/>
        <w:rPr>
          <w:color w:val="FF0000"/>
        </w:rPr>
      </w:pPr>
      <w:r w:rsidRPr="004400FE">
        <w:rPr>
          <w:rStyle w:val="FootnoteReference"/>
          <w:color w:val="FF0000"/>
        </w:rPr>
        <w:footnoteRef/>
      </w:r>
      <w:r w:rsidRPr="004400FE">
        <w:rPr>
          <w:color w:val="FF0000"/>
        </w:rPr>
        <w:t xml:space="preserve"> </w:t>
      </w:r>
      <w:r w:rsidRPr="004400FE">
        <w:rPr>
          <w:color w:val="FF0000"/>
        </w:rPr>
        <w:t>A/HRC/35/13, para. 22</w:t>
      </w:r>
    </w:p>
  </w:footnote>
  <w:footnote w:id="13">
    <w:p w14:paraId="10943397" w14:textId="07F3EF0D" w:rsidR="00F7604C" w:rsidRDefault="00F7604C" w:rsidP="0033063A">
      <w:pPr>
        <w:pStyle w:val="FootnoteText"/>
        <w:spacing w:after="70"/>
        <w:ind w:hanging="142"/>
      </w:pPr>
      <w:r w:rsidRPr="004400FE">
        <w:rPr>
          <w:rStyle w:val="FootnoteReference"/>
          <w:color w:val="FF0000"/>
        </w:rPr>
        <w:footnoteRef/>
      </w:r>
      <w:r w:rsidRPr="004400FE">
        <w:rPr>
          <w:color w:val="FF0000"/>
        </w:rPr>
        <w:t xml:space="preserve"> </w:t>
      </w:r>
      <w:r w:rsidRPr="004400FE">
        <w:rPr>
          <w:color w:val="FF0000"/>
        </w:rPr>
        <w:t>A/HRC/35/13, para. 22</w:t>
      </w:r>
      <w:r w:rsidRPr="004400FE">
        <w:rPr>
          <w:color w:val="FF0000"/>
        </w:rPr>
        <w:t xml:space="preserve"> </w:t>
      </w:r>
    </w:p>
  </w:footnote>
  <w:footnote w:id="14">
    <w:p w14:paraId="51BC344A" w14:textId="6023A160" w:rsidR="00AF31EF" w:rsidRPr="00DC2EAD" w:rsidRDefault="00AF31EF" w:rsidP="0033063A">
      <w:pPr>
        <w:pStyle w:val="FootnoteText"/>
        <w:spacing w:after="70"/>
        <w:ind w:hanging="142"/>
        <w:rPr>
          <w:b/>
          <w:bCs/>
          <w:color w:val="FF0000"/>
          <w:lang w:val="de-DE"/>
        </w:rPr>
      </w:pPr>
      <w:r w:rsidRPr="00DC2EAD">
        <w:rPr>
          <w:rStyle w:val="FootnoteReference"/>
          <w:color w:val="FF0000"/>
        </w:rPr>
        <w:footnoteRef/>
      </w:r>
      <w:r w:rsidRPr="00DC2EAD">
        <w:rPr>
          <w:color w:val="FF0000"/>
          <w:lang w:val="de-DE"/>
        </w:rPr>
        <w:t xml:space="preserve"> </w:t>
      </w:r>
      <w:r w:rsidRPr="00DC2EAD">
        <w:rPr>
          <w:i/>
          <w:iCs/>
          <w:color w:val="FF0000"/>
          <w:lang w:val="de-DE"/>
        </w:rPr>
        <w:t>Daniel Billy et al</w:t>
      </w:r>
      <w:r w:rsidRPr="00DC2EAD">
        <w:rPr>
          <w:i/>
          <w:iCs/>
          <w:color w:val="FF0000"/>
          <w:lang w:val="de-DE"/>
        </w:rPr>
        <w:t>, v. Australia</w:t>
      </w:r>
      <w:r w:rsidRPr="00DC2EAD">
        <w:rPr>
          <w:color w:val="FF0000"/>
          <w:lang w:val="de-DE"/>
        </w:rPr>
        <w:t xml:space="preserve">, </w:t>
      </w:r>
      <w:r w:rsidRPr="00DC2EAD">
        <w:rPr>
          <w:color w:val="FF0000"/>
          <w:lang w:val="de-DE"/>
        </w:rPr>
        <w:t>CCPR/C/135/D/3624/2019</w:t>
      </w:r>
    </w:p>
  </w:footnote>
  <w:footnote w:id="15">
    <w:p w14:paraId="69C73237" w14:textId="50C48A43" w:rsidR="00DC2EAD" w:rsidRPr="00DC2EAD" w:rsidRDefault="00DC2EAD" w:rsidP="0033063A">
      <w:pPr>
        <w:pStyle w:val="FootnoteText"/>
        <w:tabs>
          <w:tab w:val="clear" w:pos="1021"/>
        </w:tabs>
        <w:spacing w:after="70"/>
        <w:ind w:hanging="142"/>
        <w:rPr>
          <w:color w:val="FF0000"/>
        </w:rPr>
      </w:pPr>
      <w:r w:rsidRPr="00DC2EAD">
        <w:rPr>
          <w:rStyle w:val="FootnoteReference"/>
          <w:color w:val="FF0000"/>
        </w:rPr>
        <w:footnoteRef/>
      </w:r>
      <w:r w:rsidRPr="00DC2EAD">
        <w:rPr>
          <w:color w:val="FF0000"/>
        </w:rPr>
        <w:t xml:space="preserve"> </w:t>
      </w:r>
      <w:r w:rsidRPr="00DC2EAD">
        <w:rPr>
          <w:color w:val="FF0000"/>
        </w:rPr>
        <w:t>U</w:t>
      </w:r>
      <w:r w:rsidR="00E47A3E">
        <w:rPr>
          <w:color w:val="FF0000"/>
        </w:rPr>
        <w:t>NICEF</w:t>
      </w:r>
      <w:r w:rsidRPr="00DC2EAD">
        <w:rPr>
          <w:color w:val="FF0000"/>
        </w:rPr>
        <w:t xml:space="preserve">, </w:t>
      </w:r>
      <w:hyperlink r:id="rId6" w:history="1">
        <w:r w:rsidRPr="00DC2EAD">
          <w:rPr>
            <w:rStyle w:val="Hyperlink"/>
            <w:color w:val="FF0000"/>
          </w:rPr>
          <w:t>https://www.unicef.org/press-releases/nearly-240-million-children-disabilities-around-world</w:t>
        </w:r>
      </w:hyperlink>
      <w:r w:rsidRPr="00DC2EAD">
        <w:rPr>
          <w:color w:val="FF0000"/>
        </w:rPr>
        <w:t xml:space="preserve"> </w:t>
      </w:r>
      <w:r w:rsidRPr="00DC2EAD">
        <w:rPr>
          <w:color w:val="FF0000"/>
        </w:rPr>
        <w:t>unicefs-most-comprehensive</w:t>
      </w:r>
      <w:r w:rsidRPr="00DC2EAD">
        <w:rPr>
          <w:color w:val="FF0000"/>
        </w:rPr>
        <w:t xml:space="preserve"> </w:t>
      </w:r>
    </w:p>
  </w:footnote>
  <w:footnote w:id="16">
    <w:p w14:paraId="0B379B47" w14:textId="3887EA15" w:rsidR="00DC2EAD" w:rsidRPr="00E47A3E" w:rsidRDefault="00DC2EAD" w:rsidP="0033063A">
      <w:pPr>
        <w:pStyle w:val="FootnoteText"/>
        <w:spacing w:after="70"/>
        <w:ind w:hanging="141"/>
        <w:jc w:val="both"/>
        <w:rPr>
          <w:color w:val="FF0000"/>
        </w:rPr>
      </w:pPr>
      <w:r w:rsidRPr="00E47A3E">
        <w:rPr>
          <w:rStyle w:val="FootnoteReference"/>
          <w:color w:val="FF0000"/>
        </w:rPr>
        <w:footnoteRef/>
      </w:r>
      <w:r w:rsidRPr="00E47A3E">
        <w:rPr>
          <w:color w:val="FF0000"/>
        </w:rPr>
        <w:t xml:space="preserve"> </w:t>
      </w:r>
      <w:r w:rsidRPr="00E47A3E">
        <w:rPr>
          <w:color w:val="FF0000"/>
        </w:rPr>
        <w:t>Intergovernmental Panel on Climate Change</w:t>
      </w:r>
      <w:r w:rsidR="00E47A3E">
        <w:rPr>
          <w:color w:val="FF0000"/>
        </w:rPr>
        <w:t xml:space="preserve"> IPCC)</w:t>
      </w:r>
      <w:r w:rsidRPr="00E47A3E">
        <w:rPr>
          <w:color w:val="FF0000"/>
        </w:rPr>
        <w:t>, Global Warming of 1.5ºC.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ch. 5, p. 479 (2018).</w:t>
      </w:r>
    </w:p>
  </w:footnote>
  <w:footnote w:id="17">
    <w:p w14:paraId="4D33ED8D" w14:textId="61B030EF" w:rsidR="00AF31EF" w:rsidRPr="00E47A3E" w:rsidRDefault="00AF31EF" w:rsidP="0033063A">
      <w:pPr>
        <w:pStyle w:val="FootnoteText"/>
        <w:spacing w:after="70"/>
        <w:ind w:hanging="141"/>
        <w:rPr>
          <w:color w:val="FF0000"/>
        </w:rPr>
      </w:pPr>
      <w:r w:rsidRPr="00E47A3E">
        <w:rPr>
          <w:rStyle w:val="FootnoteReference"/>
          <w:color w:val="FF0000"/>
        </w:rPr>
        <w:footnoteRef/>
      </w:r>
      <w:r w:rsidRPr="00E47A3E">
        <w:rPr>
          <w:color w:val="FF0000"/>
        </w:rPr>
        <w:t xml:space="preserve"> </w:t>
      </w:r>
      <w:r w:rsidRPr="00E47A3E">
        <w:rPr>
          <w:color w:val="FF0000"/>
        </w:rPr>
        <w:t>A/HRC/44/30</w:t>
      </w:r>
    </w:p>
  </w:footnote>
  <w:footnote w:id="18">
    <w:p w14:paraId="58DDFA3B" w14:textId="65A63DAE" w:rsidR="00A23C48" w:rsidRPr="00E47A3E" w:rsidRDefault="00A0436D" w:rsidP="00A0436D">
      <w:pPr>
        <w:pStyle w:val="SingleTxtG"/>
        <w:tabs>
          <w:tab w:val="clear" w:pos="1701"/>
          <w:tab w:val="clear" w:pos="2268"/>
          <w:tab w:val="clear" w:pos="2835"/>
        </w:tabs>
        <w:suppressAutoHyphens w:val="0"/>
        <w:kinsoku/>
        <w:overflowPunct/>
        <w:autoSpaceDE/>
        <w:autoSpaceDN/>
        <w:adjustRightInd/>
        <w:snapToGrid/>
        <w:spacing w:after="70"/>
        <w:ind w:left="0"/>
        <w:rPr>
          <w:color w:val="FF0000"/>
          <w:sz w:val="18"/>
          <w:szCs w:val="18"/>
        </w:rPr>
      </w:pPr>
      <w:r>
        <w:rPr>
          <w:color w:val="FF0000"/>
        </w:rPr>
        <w:t xml:space="preserve">                  </w:t>
      </w:r>
      <w:r w:rsidR="00A23C48" w:rsidRPr="00E47A3E">
        <w:rPr>
          <w:rStyle w:val="FootnoteReference"/>
          <w:color w:val="FF0000"/>
        </w:rPr>
        <w:footnoteRef/>
      </w:r>
      <w:r w:rsidR="00A23C48" w:rsidRPr="00E47A3E">
        <w:rPr>
          <w:color w:val="FF0000"/>
        </w:rPr>
        <w:t xml:space="preserve"> </w:t>
      </w:r>
      <w:r w:rsidR="000C3383">
        <w:rPr>
          <w:color w:val="FF0000"/>
        </w:rPr>
        <w:t xml:space="preserve"> </w:t>
      </w:r>
      <w:r w:rsidR="00A23C48" w:rsidRPr="0095044E">
        <w:rPr>
          <w:color w:val="FF0000"/>
          <w:sz w:val="18"/>
          <w:szCs w:val="18"/>
        </w:rPr>
        <w:t>A/HRC/44/30</w:t>
      </w:r>
      <w:r w:rsidR="00E47A3E" w:rsidRPr="0095044E">
        <w:rPr>
          <w:color w:val="FF0000"/>
          <w:sz w:val="18"/>
          <w:szCs w:val="18"/>
        </w:rPr>
        <w:t xml:space="preserve"> </w:t>
      </w:r>
    </w:p>
  </w:footnote>
  <w:footnote w:id="19">
    <w:p w14:paraId="13E92174" w14:textId="05155388" w:rsidR="00E47A3E" w:rsidRDefault="00A0436D" w:rsidP="00A13C6E">
      <w:pPr>
        <w:pStyle w:val="FootnoteText"/>
        <w:spacing w:after="70"/>
        <w:ind w:hanging="283"/>
      </w:pPr>
      <w:r>
        <w:rPr>
          <w:color w:val="FF0000"/>
        </w:rPr>
        <w:t xml:space="preserve"> </w:t>
      </w:r>
      <w:r w:rsidR="00E47A3E" w:rsidRPr="00E47A3E">
        <w:rPr>
          <w:rStyle w:val="FootnoteReference"/>
          <w:color w:val="FF0000"/>
        </w:rPr>
        <w:footnoteRef/>
      </w:r>
      <w:r w:rsidR="00E47A3E" w:rsidRPr="00E47A3E">
        <w:rPr>
          <w:color w:val="FF0000"/>
        </w:rPr>
        <w:t xml:space="preserve"> </w:t>
      </w:r>
      <w:r w:rsidR="00A13C6E">
        <w:rPr>
          <w:color w:val="FF0000"/>
        </w:rPr>
        <w:t xml:space="preserve">  </w:t>
      </w:r>
      <w:r w:rsidR="00E47A3E" w:rsidRPr="00E47A3E">
        <w:rPr>
          <w:color w:val="FF0000"/>
        </w:rPr>
        <w:t>CRC/C/GC/9, para. 13</w:t>
      </w:r>
    </w:p>
  </w:footnote>
  <w:footnote w:id="20">
    <w:p w14:paraId="69B7739A" w14:textId="1E3243FA" w:rsidR="00E96C2E" w:rsidRDefault="00A0436D" w:rsidP="00A13C6E">
      <w:pPr>
        <w:pStyle w:val="FootnoteText"/>
        <w:spacing w:after="70"/>
        <w:ind w:hanging="283"/>
      </w:pPr>
      <w:r>
        <w:rPr>
          <w:color w:val="FF0000"/>
        </w:rPr>
        <w:t xml:space="preserve"> </w:t>
      </w:r>
      <w:r w:rsidR="00E96C2E" w:rsidRPr="00E96C2E">
        <w:rPr>
          <w:rStyle w:val="FootnoteReference"/>
          <w:color w:val="FF0000"/>
        </w:rPr>
        <w:footnoteRef/>
      </w:r>
      <w:r w:rsidR="00E96C2E" w:rsidRPr="00E96C2E">
        <w:rPr>
          <w:color w:val="FF0000"/>
        </w:rPr>
        <w:t xml:space="preserve"> </w:t>
      </w:r>
      <w:r w:rsidR="00A13C6E">
        <w:rPr>
          <w:color w:val="FF0000"/>
        </w:rPr>
        <w:t xml:space="preserve">  </w:t>
      </w:r>
      <w:r w:rsidR="00E96C2E" w:rsidRPr="00E96C2E">
        <w:rPr>
          <w:color w:val="FF0000"/>
        </w:rPr>
        <w:t>A/HRC/35/13, para. 2</w:t>
      </w:r>
      <w:r w:rsidR="00E96C2E">
        <w:rPr>
          <w:color w:val="FF0000"/>
        </w:rPr>
        <w:t>6</w:t>
      </w:r>
    </w:p>
  </w:footnote>
  <w:footnote w:id="21">
    <w:p w14:paraId="7F5ACAA7" w14:textId="4268C47A" w:rsidR="00E96C2E" w:rsidRDefault="0033063A" w:rsidP="0033063A">
      <w:pPr>
        <w:pStyle w:val="FootnoteText"/>
        <w:spacing w:after="70"/>
        <w:ind w:hanging="425"/>
      </w:pPr>
      <w:r>
        <w:rPr>
          <w:color w:val="FF0000"/>
        </w:rPr>
        <w:t xml:space="preserve">    </w:t>
      </w:r>
      <w:r w:rsidR="00E96C2E" w:rsidRPr="00E96C2E">
        <w:rPr>
          <w:rStyle w:val="FootnoteReference"/>
          <w:color w:val="FF0000"/>
        </w:rPr>
        <w:footnoteRef/>
      </w:r>
      <w:r w:rsidR="00E96C2E" w:rsidRPr="00E96C2E">
        <w:rPr>
          <w:color w:val="FF0000"/>
        </w:rPr>
        <w:t xml:space="preserve"> </w:t>
      </w:r>
      <w:r>
        <w:rPr>
          <w:color w:val="FF0000"/>
        </w:rPr>
        <w:t xml:space="preserve"> </w:t>
      </w:r>
      <w:r w:rsidR="00E96C2E" w:rsidRPr="00E96C2E">
        <w:rPr>
          <w:color w:val="FF0000"/>
        </w:rPr>
        <w:t>A/HRC/35/13, para. 2</w:t>
      </w:r>
      <w:r w:rsidR="00E96C2E" w:rsidRPr="00E96C2E">
        <w:rPr>
          <w:color w:val="FF0000"/>
        </w:rPr>
        <w:t>7</w:t>
      </w:r>
    </w:p>
  </w:footnote>
  <w:footnote w:id="22">
    <w:p w14:paraId="71E361F5" w14:textId="77777777" w:rsidR="00BD3BD9" w:rsidRPr="00260163" w:rsidRDefault="00BD3BD9" w:rsidP="0033063A">
      <w:pPr>
        <w:pStyle w:val="FootnoteText"/>
        <w:spacing w:after="70"/>
      </w:pPr>
      <w:r w:rsidRPr="005477AD">
        <w:tab/>
      </w:r>
      <w:r w:rsidRPr="00945E55">
        <w:rPr>
          <w:rStyle w:val="FootnoteReference"/>
        </w:rPr>
        <w:footnoteRef/>
      </w:r>
      <w:r w:rsidRPr="005477AD">
        <w:tab/>
      </w:r>
      <w:r w:rsidR="000E30EB" w:rsidRPr="005477AD">
        <w:t>CRC/C/GC/2003/5</w:t>
      </w:r>
      <w:r w:rsidRPr="005477AD">
        <w:t xml:space="preserve">, para. </w:t>
      </w:r>
      <w:r w:rsidRPr="00260163">
        <w:t>24.</w:t>
      </w:r>
    </w:p>
  </w:footnote>
  <w:footnote w:id="23">
    <w:p w14:paraId="3B31ECDE" w14:textId="77777777" w:rsidR="00BD3BD9" w:rsidRPr="00260163" w:rsidRDefault="00BD3BD9" w:rsidP="0033063A">
      <w:pPr>
        <w:pStyle w:val="FootnoteText"/>
        <w:spacing w:after="70"/>
      </w:pPr>
      <w:r w:rsidRPr="00260163">
        <w:tab/>
      </w:r>
      <w:r w:rsidRPr="00945E55">
        <w:rPr>
          <w:rStyle w:val="FootnoteReference"/>
        </w:rPr>
        <w:footnoteRef/>
      </w:r>
      <w:r w:rsidRPr="00260163">
        <w:tab/>
      </w:r>
      <w:hyperlink r:id="rId7" w:history="1">
        <w:r w:rsidR="000E30EB" w:rsidRPr="00C53DCC">
          <w:rPr>
            <w:rStyle w:val="Hyperlink"/>
          </w:rPr>
          <w:t>Report of the</w:t>
        </w:r>
        <w:r w:rsidR="00C53DCC" w:rsidRPr="00C53DCC">
          <w:rPr>
            <w:rStyle w:val="Hyperlink"/>
          </w:rPr>
          <w:t xml:space="preserve"> Committee’s</w:t>
        </w:r>
        <w:r w:rsidRPr="00C53DCC">
          <w:rPr>
            <w:rStyle w:val="Hyperlink"/>
          </w:rPr>
          <w:t xml:space="preserve"> 2016 </w:t>
        </w:r>
        <w:r w:rsidR="000E30EB" w:rsidRPr="00C53DCC">
          <w:rPr>
            <w:rStyle w:val="Hyperlink"/>
          </w:rPr>
          <w:t>Day of General Discussion</w:t>
        </w:r>
      </w:hyperlink>
      <w:r w:rsidRPr="00260163">
        <w:t>, p</w:t>
      </w:r>
      <w:r w:rsidR="00BD3D6D">
        <w:t>.</w:t>
      </w:r>
      <w:r w:rsidRPr="00260163">
        <w:t xml:space="preserve"> 21.</w:t>
      </w:r>
    </w:p>
  </w:footnote>
  <w:footnote w:id="24">
    <w:p w14:paraId="02ABD76D" w14:textId="4CD09C17" w:rsidR="007418C0" w:rsidRDefault="007418C0" w:rsidP="0033063A">
      <w:pPr>
        <w:pStyle w:val="FootnoteText"/>
        <w:spacing w:after="70"/>
        <w:ind w:hanging="283"/>
      </w:pPr>
      <w:r>
        <w:t xml:space="preserve"> </w:t>
      </w:r>
      <w:r>
        <w:rPr>
          <w:rStyle w:val="FootnoteReference"/>
        </w:rPr>
        <w:footnoteRef/>
      </w:r>
      <w:r>
        <w:t xml:space="preserve">   </w:t>
      </w:r>
      <w:r w:rsidRPr="003A294D">
        <w:rPr>
          <w:color w:val="FF0000"/>
        </w:rPr>
        <w:t>IPCC, AR6, WG II, 8.4.5.</w:t>
      </w:r>
    </w:p>
  </w:footnote>
  <w:footnote w:id="25">
    <w:p w14:paraId="48EB58DA" w14:textId="13B070F0" w:rsidR="007418C0" w:rsidRPr="00C70553" w:rsidRDefault="0033063A" w:rsidP="0033063A">
      <w:pPr>
        <w:pStyle w:val="SingleTxtG"/>
        <w:tabs>
          <w:tab w:val="clear" w:pos="1701"/>
          <w:tab w:val="clear" w:pos="2268"/>
          <w:tab w:val="clear" w:pos="2835"/>
        </w:tabs>
        <w:suppressAutoHyphens w:val="0"/>
        <w:kinsoku/>
        <w:overflowPunct/>
        <w:autoSpaceDE/>
        <w:autoSpaceDN/>
        <w:adjustRightInd/>
        <w:snapToGrid/>
        <w:spacing w:after="70"/>
        <w:ind w:left="0" w:firstLine="567"/>
        <w:rPr>
          <w:sz w:val="18"/>
          <w:szCs w:val="18"/>
        </w:rPr>
      </w:pPr>
      <w:r>
        <w:rPr>
          <w:sz w:val="18"/>
          <w:szCs w:val="18"/>
        </w:rPr>
        <w:t xml:space="preserve">       </w:t>
      </w:r>
      <w:r w:rsidR="007418C0" w:rsidRPr="00C70553">
        <w:rPr>
          <w:rStyle w:val="FootnoteReference"/>
          <w:szCs w:val="18"/>
        </w:rPr>
        <w:footnoteRef/>
      </w:r>
      <w:r w:rsidR="007418C0" w:rsidRPr="00C70553">
        <w:rPr>
          <w:sz w:val="18"/>
          <w:szCs w:val="18"/>
        </w:rPr>
        <w:t xml:space="preserve"> </w:t>
      </w:r>
      <w:r>
        <w:rPr>
          <w:sz w:val="18"/>
          <w:szCs w:val="18"/>
        </w:rPr>
        <w:t xml:space="preserve">  </w:t>
      </w:r>
      <w:r w:rsidR="007418C0" w:rsidRPr="00C70553">
        <w:rPr>
          <w:bCs/>
          <w:color w:val="FF0000"/>
          <w:sz w:val="18"/>
          <w:szCs w:val="18"/>
        </w:rPr>
        <w:t>IPCC, AR6, WG III, Glossary, Adaptation.</w:t>
      </w:r>
    </w:p>
  </w:footnote>
  <w:footnote w:id="26">
    <w:p w14:paraId="5581A3A5" w14:textId="61D46154" w:rsidR="007418C0" w:rsidRPr="0033063A" w:rsidRDefault="0033063A" w:rsidP="0033063A">
      <w:pPr>
        <w:pStyle w:val="SingleTxtG"/>
        <w:suppressAutoHyphens w:val="0"/>
        <w:spacing w:after="70"/>
        <w:ind w:left="0"/>
        <w:rPr>
          <w:sz w:val="18"/>
          <w:szCs w:val="18"/>
        </w:rPr>
      </w:pPr>
      <w:r w:rsidRPr="0033063A">
        <w:rPr>
          <w:sz w:val="18"/>
          <w:szCs w:val="18"/>
        </w:rPr>
        <w:t xml:space="preserve"> </w:t>
      </w:r>
      <w:r>
        <w:rPr>
          <w:sz w:val="18"/>
          <w:szCs w:val="18"/>
        </w:rPr>
        <w:t xml:space="preserve">                  </w:t>
      </w:r>
      <w:r w:rsidR="000C3383">
        <w:rPr>
          <w:sz w:val="18"/>
          <w:szCs w:val="18"/>
        </w:rPr>
        <w:t xml:space="preserve"> </w:t>
      </w:r>
      <w:r w:rsidR="007418C0" w:rsidRPr="00C70553">
        <w:rPr>
          <w:rStyle w:val="FootnoteReference"/>
          <w:szCs w:val="18"/>
        </w:rPr>
        <w:footnoteRef/>
      </w:r>
      <w:r w:rsidR="007418C0" w:rsidRPr="0033063A">
        <w:rPr>
          <w:sz w:val="18"/>
          <w:szCs w:val="18"/>
        </w:rPr>
        <w:t xml:space="preserve"> </w:t>
      </w:r>
      <w:r>
        <w:rPr>
          <w:sz w:val="18"/>
          <w:szCs w:val="18"/>
        </w:rPr>
        <w:t xml:space="preserve"> </w:t>
      </w:r>
      <w:r w:rsidR="0030080E">
        <w:rPr>
          <w:sz w:val="18"/>
          <w:szCs w:val="18"/>
        </w:rPr>
        <w:t xml:space="preserve"> </w:t>
      </w:r>
      <w:r w:rsidR="007418C0" w:rsidRPr="0033063A">
        <w:rPr>
          <w:bCs/>
          <w:color w:val="FF0000"/>
          <w:sz w:val="18"/>
          <w:szCs w:val="18"/>
        </w:rPr>
        <w:t>IPCC, AR6, WG III, Glossary</w:t>
      </w:r>
      <w:r w:rsidR="007418C0" w:rsidRPr="0033063A">
        <w:rPr>
          <w:bCs/>
          <w:color w:val="FF0000"/>
          <w:sz w:val="18"/>
          <w:szCs w:val="18"/>
        </w:rPr>
        <w:t>.</w:t>
      </w:r>
    </w:p>
  </w:footnote>
  <w:footnote w:id="27">
    <w:p w14:paraId="14548AC8" w14:textId="04B65480" w:rsidR="007418C0" w:rsidRPr="00C70553" w:rsidRDefault="000C3383" w:rsidP="000C3383">
      <w:pPr>
        <w:pStyle w:val="FootnoteText"/>
        <w:spacing w:after="70"/>
        <w:ind w:hanging="283"/>
        <w:rPr>
          <w:szCs w:val="18"/>
        </w:rPr>
      </w:pPr>
      <w:r>
        <w:rPr>
          <w:szCs w:val="18"/>
        </w:rPr>
        <w:t xml:space="preserve"> </w:t>
      </w:r>
      <w:r w:rsidR="007418C0" w:rsidRPr="00C70553">
        <w:rPr>
          <w:rStyle w:val="FootnoteReference"/>
          <w:szCs w:val="18"/>
        </w:rPr>
        <w:footnoteRef/>
      </w:r>
      <w:r w:rsidR="007418C0" w:rsidRPr="00C70553">
        <w:rPr>
          <w:szCs w:val="18"/>
        </w:rPr>
        <w:t xml:space="preserve"> </w:t>
      </w:r>
      <w:r w:rsidR="0030080E">
        <w:rPr>
          <w:szCs w:val="18"/>
        </w:rPr>
        <w:t xml:space="preserve">  </w:t>
      </w:r>
      <w:r w:rsidR="007418C0" w:rsidRPr="00FE54CD">
        <w:rPr>
          <w:color w:val="FF0000"/>
          <w:szCs w:val="18"/>
        </w:rPr>
        <w:t xml:space="preserve">See this General Comment, </w:t>
      </w:r>
      <w:r w:rsidR="007418C0" w:rsidRPr="00FE54CD">
        <w:rPr>
          <w:bCs/>
          <w:color w:val="FF0000"/>
          <w:szCs w:val="18"/>
        </w:rPr>
        <w:t>above, section B. para.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AC8A" w14:textId="183295D8" w:rsidR="00BD3BD9" w:rsidRDefault="003453D6">
    <w:pPr>
      <w:pStyle w:val="Header"/>
      <w:pBdr>
        <w:bottom w:val="none" w:sz="0" w:space="0" w:color="auto"/>
      </w:pBdr>
      <w:rPr>
        <w:b w:val="0"/>
      </w:rPr>
    </w:pPr>
    <w:r>
      <w:rPr>
        <w:noProof/>
        <w:lang w:eastAsia="en-GB"/>
      </w:rPr>
      <w:drawing>
        <wp:anchor distT="0" distB="0" distL="114300" distR="114300" simplePos="0" relativeHeight="251660288" behindDoc="0" locked="0" layoutInCell="1" allowOverlap="1" wp14:anchorId="67AB4C1E" wp14:editId="5E4E7229">
          <wp:simplePos x="0" y="0"/>
          <wp:positionH relativeFrom="column">
            <wp:posOffset>0</wp:posOffset>
          </wp:positionH>
          <wp:positionV relativeFrom="paragraph">
            <wp:posOffset>-635</wp:posOffset>
          </wp:positionV>
          <wp:extent cx="3395980" cy="771525"/>
          <wp:effectExtent l="0" t="0" r="0" b="952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95980"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2B362816"/>
    <w:lvl w:ilvl="0" w:tplc="8D8A7F9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3FE4E68" w:tentative="1">
      <w:start w:val="1"/>
      <w:numFmt w:val="lowerLetter"/>
      <w:lvlText w:val="%2."/>
      <w:lvlJc w:val="left"/>
      <w:pPr>
        <w:tabs>
          <w:tab w:val="num" w:pos="1440"/>
        </w:tabs>
        <w:ind w:left="1440" w:hanging="360"/>
      </w:pPr>
    </w:lvl>
    <w:lvl w:ilvl="2" w:tplc="6D8E4396" w:tentative="1">
      <w:start w:val="1"/>
      <w:numFmt w:val="lowerRoman"/>
      <w:lvlText w:val="%3."/>
      <w:lvlJc w:val="right"/>
      <w:pPr>
        <w:tabs>
          <w:tab w:val="num" w:pos="2160"/>
        </w:tabs>
        <w:ind w:left="2160" w:hanging="180"/>
      </w:pPr>
    </w:lvl>
    <w:lvl w:ilvl="3" w:tplc="5CEADB42" w:tentative="1">
      <w:start w:val="1"/>
      <w:numFmt w:val="decimal"/>
      <w:lvlText w:val="%4."/>
      <w:lvlJc w:val="left"/>
      <w:pPr>
        <w:tabs>
          <w:tab w:val="num" w:pos="2880"/>
        </w:tabs>
        <w:ind w:left="2880" w:hanging="360"/>
      </w:pPr>
    </w:lvl>
    <w:lvl w:ilvl="4" w:tplc="11C86E5C" w:tentative="1">
      <w:start w:val="1"/>
      <w:numFmt w:val="lowerLetter"/>
      <w:lvlText w:val="%5."/>
      <w:lvlJc w:val="left"/>
      <w:pPr>
        <w:tabs>
          <w:tab w:val="num" w:pos="3600"/>
        </w:tabs>
        <w:ind w:left="3600" w:hanging="360"/>
      </w:pPr>
    </w:lvl>
    <w:lvl w:ilvl="5" w:tplc="6156AA2A" w:tentative="1">
      <w:start w:val="1"/>
      <w:numFmt w:val="lowerRoman"/>
      <w:lvlText w:val="%6."/>
      <w:lvlJc w:val="right"/>
      <w:pPr>
        <w:tabs>
          <w:tab w:val="num" w:pos="4320"/>
        </w:tabs>
        <w:ind w:left="4320" w:hanging="180"/>
      </w:pPr>
    </w:lvl>
    <w:lvl w:ilvl="6" w:tplc="990A82DC" w:tentative="1">
      <w:start w:val="1"/>
      <w:numFmt w:val="decimal"/>
      <w:lvlText w:val="%7."/>
      <w:lvlJc w:val="left"/>
      <w:pPr>
        <w:tabs>
          <w:tab w:val="num" w:pos="5040"/>
        </w:tabs>
        <w:ind w:left="5040" w:hanging="360"/>
      </w:pPr>
    </w:lvl>
    <w:lvl w:ilvl="7" w:tplc="C6BC97E2" w:tentative="1">
      <w:start w:val="1"/>
      <w:numFmt w:val="lowerLetter"/>
      <w:lvlText w:val="%8."/>
      <w:lvlJc w:val="left"/>
      <w:pPr>
        <w:tabs>
          <w:tab w:val="num" w:pos="5760"/>
        </w:tabs>
        <w:ind w:left="5760" w:hanging="360"/>
      </w:pPr>
    </w:lvl>
    <w:lvl w:ilvl="8" w:tplc="59B87310" w:tentative="1">
      <w:start w:val="1"/>
      <w:numFmt w:val="lowerRoman"/>
      <w:lvlText w:val="%9."/>
      <w:lvlJc w:val="right"/>
      <w:pPr>
        <w:tabs>
          <w:tab w:val="num" w:pos="6480"/>
        </w:tabs>
        <w:ind w:left="6480" w:hanging="180"/>
      </w:pPr>
    </w:lvl>
  </w:abstractNum>
  <w:abstractNum w:abstractNumId="1" w15:restartNumberingAfterBreak="0">
    <w:nsid w:val="10CA4EE8"/>
    <w:multiLevelType w:val="hybridMultilevel"/>
    <w:tmpl w:val="EDE88644"/>
    <w:lvl w:ilvl="0" w:tplc="E87C7A4A">
      <w:start w:val="1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D921DD4"/>
    <w:multiLevelType w:val="hybridMultilevel"/>
    <w:tmpl w:val="B5FAAA90"/>
    <w:lvl w:ilvl="0" w:tplc="909E9E48">
      <w:start w:val="4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E572A54"/>
    <w:multiLevelType w:val="hybridMultilevel"/>
    <w:tmpl w:val="5D26D39C"/>
    <w:lvl w:ilvl="0" w:tplc="63A408C2">
      <w:start w:val="108"/>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21A9054B"/>
    <w:multiLevelType w:val="hybridMultilevel"/>
    <w:tmpl w:val="41443920"/>
    <w:lvl w:ilvl="0" w:tplc="B302F66C">
      <w:start w:val="4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2C881106"/>
    <w:multiLevelType w:val="hybridMultilevel"/>
    <w:tmpl w:val="8DD24E60"/>
    <w:lvl w:ilvl="0" w:tplc="B774562E">
      <w:start w:val="14"/>
      <w:numFmt w:val="decimal"/>
      <w:lvlText w:val="%1."/>
      <w:lvlJc w:val="left"/>
      <w:pPr>
        <w:ind w:left="1353"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DA55001"/>
    <w:multiLevelType w:val="hybridMultilevel"/>
    <w:tmpl w:val="57640B0A"/>
    <w:lvl w:ilvl="0" w:tplc="9F0AA902">
      <w:start w:val="30"/>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8" w15:restartNumberingAfterBreak="0">
    <w:nsid w:val="3ACF4EB2"/>
    <w:multiLevelType w:val="hybridMultilevel"/>
    <w:tmpl w:val="CB6C816A"/>
    <w:lvl w:ilvl="0" w:tplc="20D84C14">
      <w:start w:val="1"/>
      <w:numFmt w:val="bullet"/>
      <w:pStyle w:val="Bullet2G"/>
      <w:lvlText w:val="•"/>
      <w:lvlJc w:val="left"/>
      <w:pPr>
        <w:tabs>
          <w:tab w:val="num" w:pos="2268"/>
        </w:tabs>
        <w:ind w:left="2268" w:hanging="170"/>
      </w:pPr>
      <w:rPr>
        <w:rFonts w:ascii="Times New Roman" w:hAnsi="Times New Roman" w:cs="Times New Roman" w:hint="default"/>
      </w:rPr>
    </w:lvl>
    <w:lvl w:ilvl="1" w:tplc="F33A944A" w:tentative="1">
      <w:start w:val="1"/>
      <w:numFmt w:val="bullet"/>
      <w:lvlText w:val="o"/>
      <w:lvlJc w:val="left"/>
      <w:pPr>
        <w:tabs>
          <w:tab w:val="num" w:pos="3708"/>
        </w:tabs>
        <w:ind w:left="3708" w:hanging="360"/>
      </w:pPr>
      <w:rPr>
        <w:rFonts w:ascii="Courier New" w:hAnsi="Courier New" w:hint="default"/>
      </w:rPr>
    </w:lvl>
    <w:lvl w:ilvl="2" w:tplc="8248A042" w:tentative="1">
      <w:start w:val="1"/>
      <w:numFmt w:val="bullet"/>
      <w:lvlText w:val=""/>
      <w:lvlJc w:val="left"/>
      <w:pPr>
        <w:tabs>
          <w:tab w:val="num" w:pos="4428"/>
        </w:tabs>
        <w:ind w:left="4428" w:hanging="360"/>
      </w:pPr>
      <w:rPr>
        <w:rFonts w:ascii="Wingdings" w:hAnsi="Wingdings" w:hint="default"/>
      </w:rPr>
    </w:lvl>
    <w:lvl w:ilvl="3" w:tplc="94EC98FE" w:tentative="1">
      <w:start w:val="1"/>
      <w:numFmt w:val="bullet"/>
      <w:lvlText w:val=""/>
      <w:lvlJc w:val="left"/>
      <w:pPr>
        <w:tabs>
          <w:tab w:val="num" w:pos="5148"/>
        </w:tabs>
        <w:ind w:left="5148" w:hanging="360"/>
      </w:pPr>
      <w:rPr>
        <w:rFonts w:ascii="Symbol" w:hAnsi="Symbol" w:hint="default"/>
      </w:rPr>
    </w:lvl>
    <w:lvl w:ilvl="4" w:tplc="E012A7B2" w:tentative="1">
      <w:start w:val="1"/>
      <w:numFmt w:val="bullet"/>
      <w:lvlText w:val="o"/>
      <w:lvlJc w:val="left"/>
      <w:pPr>
        <w:tabs>
          <w:tab w:val="num" w:pos="5868"/>
        </w:tabs>
        <w:ind w:left="5868" w:hanging="360"/>
      </w:pPr>
      <w:rPr>
        <w:rFonts w:ascii="Courier New" w:hAnsi="Courier New" w:hint="default"/>
      </w:rPr>
    </w:lvl>
    <w:lvl w:ilvl="5" w:tplc="0C9408C2" w:tentative="1">
      <w:start w:val="1"/>
      <w:numFmt w:val="bullet"/>
      <w:lvlText w:val=""/>
      <w:lvlJc w:val="left"/>
      <w:pPr>
        <w:tabs>
          <w:tab w:val="num" w:pos="6588"/>
        </w:tabs>
        <w:ind w:left="6588" w:hanging="360"/>
      </w:pPr>
      <w:rPr>
        <w:rFonts w:ascii="Wingdings" w:hAnsi="Wingdings" w:hint="default"/>
      </w:rPr>
    </w:lvl>
    <w:lvl w:ilvl="6" w:tplc="3990CC14" w:tentative="1">
      <w:start w:val="1"/>
      <w:numFmt w:val="bullet"/>
      <w:lvlText w:val=""/>
      <w:lvlJc w:val="left"/>
      <w:pPr>
        <w:tabs>
          <w:tab w:val="num" w:pos="7308"/>
        </w:tabs>
        <w:ind w:left="7308" w:hanging="360"/>
      </w:pPr>
      <w:rPr>
        <w:rFonts w:ascii="Symbol" w:hAnsi="Symbol" w:hint="default"/>
      </w:rPr>
    </w:lvl>
    <w:lvl w:ilvl="7" w:tplc="B0C4DD80" w:tentative="1">
      <w:start w:val="1"/>
      <w:numFmt w:val="bullet"/>
      <w:lvlText w:val="o"/>
      <w:lvlJc w:val="left"/>
      <w:pPr>
        <w:tabs>
          <w:tab w:val="num" w:pos="8028"/>
        </w:tabs>
        <w:ind w:left="8028" w:hanging="360"/>
      </w:pPr>
      <w:rPr>
        <w:rFonts w:ascii="Courier New" w:hAnsi="Courier New" w:hint="default"/>
      </w:rPr>
    </w:lvl>
    <w:lvl w:ilvl="8" w:tplc="20ACE0B6" w:tentative="1">
      <w:start w:val="1"/>
      <w:numFmt w:val="bullet"/>
      <w:lvlText w:val=""/>
      <w:lvlJc w:val="left"/>
      <w:pPr>
        <w:tabs>
          <w:tab w:val="num" w:pos="8748"/>
        </w:tabs>
        <w:ind w:left="8748" w:hanging="360"/>
      </w:pPr>
      <w:rPr>
        <w:rFonts w:ascii="Wingdings" w:hAnsi="Wingdings" w:hint="default"/>
      </w:rPr>
    </w:lvl>
  </w:abstractNum>
  <w:abstractNum w:abstractNumId="9"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0" w15:restartNumberingAfterBreak="0">
    <w:nsid w:val="481C2F09"/>
    <w:multiLevelType w:val="hybridMultilevel"/>
    <w:tmpl w:val="5074EA2A"/>
    <w:lvl w:ilvl="0" w:tplc="9352286E">
      <w:start w:val="6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D775CD5"/>
    <w:multiLevelType w:val="hybridMultilevel"/>
    <w:tmpl w:val="43825FB8"/>
    <w:lvl w:ilvl="0" w:tplc="0B5AD6E2">
      <w:start w:val="82"/>
      <w:numFmt w:val="decimal"/>
      <w:lvlText w:val="%1."/>
      <w:lvlJc w:val="left"/>
      <w:pPr>
        <w:ind w:left="1353"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4" w15:restartNumberingAfterBreak="0">
    <w:nsid w:val="68AD07B2"/>
    <w:multiLevelType w:val="hybridMultilevel"/>
    <w:tmpl w:val="7FEE3222"/>
    <w:lvl w:ilvl="0" w:tplc="DC3224CA">
      <w:start w:val="1"/>
      <w:numFmt w:val="bullet"/>
      <w:pStyle w:val="Bullet1G"/>
      <w:lvlText w:val="•"/>
      <w:lvlJc w:val="left"/>
      <w:pPr>
        <w:tabs>
          <w:tab w:val="num" w:pos="1701"/>
        </w:tabs>
        <w:ind w:left="1701" w:hanging="170"/>
      </w:pPr>
      <w:rPr>
        <w:rFonts w:ascii="Times New Roman" w:hAnsi="Times New Roman" w:cs="Times New Roman" w:hint="default"/>
      </w:rPr>
    </w:lvl>
    <w:lvl w:ilvl="1" w:tplc="BED6ACEA" w:tentative="1">
      <w:start w:val="1"/>
      <w:numFmt w:val="bullet"/>
      <w:lvlText w:val="o"/>
      <w:lvlJc w:val="left"/>
      <w:pPr>
        <w:tabs>
          <w:tab w:val="num" w:pos="3141"/>
        </w:tabs>
        <w:ind w:left="3141" w:hanging="360"/>
      </w:pPr>
      <w:rPr>
        <w:rFonts w:ascii="Courier New" w:hAnsi="Courier New" w:hint="default"/>
      </w:rPr>
    </w:lvl>
    <w:lvl w:ilvl="2" w:tplc="339E830A" w:tentative="1">
      <w:start w:val="1"/>
      <w:numFmt w:val="bullet"/>
      <w:lvlText w:val=""/>
      <w:lvlJc w:val="left"/>
      <w:pPr>
        <w:tabs>
          <w:tab w:val="num" w:pos="3861"/>
        </w:tabs>
        <w:ind w:left="3861" w:hanging="360"/>
      </w:pPr>
      <w:rPr>
        <w:rFonts w:ascii="Wingdings" w:hAnsi="Wingdings" w:hint="default"/>
      </w:rPr>
    </w:lvl>
    <w:lvl w:ilvl="3" w:tplc="999ED142" w:tentative="1">
      <w:start w:val="1"/>
      <w:numFmt w:val="bullet"/>
      <w:lvlText w:val=""/>
      <w:lvlJc w:val="left"/>
      <w:pPr>
        <w:tabs>
          <w:tab w:val="num" w:pos="4581"/>
        </w:tabs>
        <w:ind w:left="4581" w:hanging="360"/>
      </w:pPr>
      <w:rPr>
        <w:rFonts w:ascii="Symbol" w:hAnsi="Symbol" w:hint="default"/>
      </w:rPr>
    </w:lvl>
    <w:lvl w:ilvl="4" w:tplc="4800840A" w:tentative="1">
      <w:start w:val="1"/>
      <w:numFmt w:val="bullet"/>
      <w:lvlText w:val="o"/>
      <w:lvlJc w:val="left"/>
      <w:pPr>
        <w:tabs>
          <w:tab w:val="num" w:pos="5301"/>
        </w:tabs>
        <w:ind w:left="5301" w:hanging="360"/>
      </w:pPr>
      <w:rPr>
        <w:rFonts w:ascii="Courier New" w:hAnsi="Courier New" w:hint="default"/>
      </w:rPr>
    </w:lvl>
    <w:lvl w:ilvl="5" w:tplc="08BC5740" w:tentative="1">
      <w:start w:val="1"/>
      <w:numFmt w:val="bullet"/>
      <w:lvlText w:val=""/>
      <w:lvlJc w:val="left"/>
      <w:pPr>
        <w:tabs>
          <w:tab w:val="num" w:pos="6021"/>
        </w:tabs>
        <w:ind w:left="6021" w:hanging="360"/>
      </w:pPr>
      <w:rPr>
        <w:rFonts w:ascii="Wingdings" w:hAnsi="Wingdings" w:hint="default"/>
      </w:rPr>
    </w:lvl>
    <w:lvl w:ilvl="6" w:tplc="8C74E0AA" w:tentative="1">
      <w:start w:val="1"/>
      <w:numFmt w:val="bullet"/>
      <w:lvlText w:val=""/>
      <w:lvlJc w:val="left"/>
      <w:pPr>
        <w:tabs>
          <w:tab w:val="num" w:pos="6741"/>
        </w:tabs>
        <w:ind w:left="6741" w:hanging="360"/>
      </w:pPr>
      <w:rPr>
        <w:rFonts w:ascii="Symbol" w:hAnsi="Symbol" w:hint="default"/>
      </w:rPr>
    </w:lvl>
    <w:lvl w:ilvl="7" w:tplc="77624A96" w:tentative="1">
      <w:start w:val="1"/>
      <w:numFmt w:val="bullet"/>
      <w:lvlText w:val="o"/>
      <w:lvlJc w:val="left"/>
      <w:pPr>
        <w:tabs>
          <w:tab w:val="num" w:pos="7461"/>
        </w:tabs>
        <w:ind w:left="7461" w:hanging="360"/>
      </w:pPr>
      <w:rPr>
        <w:rFonts w:ascii="Courier New" w:hAnsi="Courier New" w:hint="default"/>
      </w:rPr>
    </w:lvl>
    <w:lvl w:ilvl="8" w:tplc="F30493D0"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766A242F"/>
    <w:multiLevelType w:val="hybridMultilevel"/>
    <w:tmpl w:val="E04419E6"/>
    <w:lvl w:ilvl="0" w:tplc="8C38BE38">
      <w:start w:val="10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1449280">
    <w:abstractNumId w:val="12"/>
  </w:num>
  <w:num w:numId="2" w16cid:durableId="1400517825">
    <w:abstractNumId w:val="16"/>
  </w:num>
  <w:num w:numId="3" w16cid:durableId="2029715534">
    <w:abstractNumId w:val="14"/>
  </w:num>
  <w:num w:numId="4" w16cid:durableId="451242286">
    <w:abstractNumId w:val="8"/>
  </w:num>
  <w:num w:numId="5" w16cid:durableId="1684475313">
    <w:abstractNumId w:val="0"/>
  </w:num>
  <w:num w:numId="6" w16cid:durableId="393940751">
    <w:abstractNumId w:val="7"/>
  </w:num>
  <w:num w:numId="7" w16cid:durableId="2320156">
    <w:abstractNumId w:val="13"/>
  </w:num>
  <w:num w:numId="8" w16cid:durableId="1603994208">
    <w:abstractNumId w:val="9"/>
  </w:num>
  <w:num w:numId="9" w16cid:durableId="771626067">
    <w:abstractNumId w:val="5"/>
  </w:num>
  <w:num w:numId="10" w16cid:durableId="705837941">
    <w:abstractNumId w:val="2"/>
  </w:num>
  <w:num w:numId="11" w16cid:durableId="251400334">
    <w:abstractNumId w:val="4"/>
  </w:num>
  <w:num w:numId="12" w16cid:durableId="186453756">
    <w:abstractNumId w:val="11"/>
  </w:num>
  <w:num w:numId="13" w16cid:durableId="585500588">
    <w:abstractNumId w:val="1"/>
  </w:num>
  <w:num w:numId="14" w16cid:durableId="1442802363">
    <w:abstractNumId w:val="6"/>
  </w:num>
  <w:num w:numId="15" w16cid:durableId="1965040977">
    <w:abstractNumId w:val="10"/>
  </w:num>
  <w:num w:numId="16" w16cid:durableId="1553611150">
    <w:abstractNumId w:val="15"/>
  </w:num>
  <w:num w:numId="17" w16cid:durableId="95783130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activeWritingStyle w:appName="MSWord" w:lang="es-ES" w:vendorID="64" w:dllVersion="6" w:nlCheck="1" w:checkStyle="0"/>
  <w:activeWritingStyle w:appName="MSWord" w:lang="en-GB"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FC"/>
    <w:rsid w:val="00000015"/>
    <w:rsid w:val="00004944"/>
    <w:rsid w:val="000220B3"/>
    <w:rsid w:val="00027F1F"/>
    <w:rsid w:val="0003044B"/>
    <w:rsid w:val="000374D3"/>
    <w:rsid w:val="00042982"/>
    <w:rsid w:val="000455D5"/>
    <w:rsid w:val="00046049"/>
    <w:rsid w:val="00056E3B"/>
    <w:rsid w:val="00061A36"/>
    <w:rsid w:val="00061B99"/>
    <w:rsid w:val="0006376B"/>
    <w:rsid w:val="0006395B"/>
    <w:rsid w:val="00063FA7"/>
    <w:rsid w:val="000656B5"/>
    <w:rsid w:val="00067159"/>
    <w:rsid w:val="00071CE7"/>
    <w:rsid w:val="00075095"/>
    <w:rsid w:val="000779D9"/>
    <w:rsid w:val="00092641"/>
    <w:rsid w:val="00092C18"/>
    <w:rsid w:val="000938BB"/>
    <w:rsid w:val="00094C2A"/>
    <w:rsid w:val="00096B01"/>
    <w:rsid w:val="000A4AB9"/>
    <w:rsid w:val="000B0841"/>
    <w:rsid w:val="000B4A3F"/>
    <w:rsid w:val="000C3383"/>
    <w:rsid w:val="000C6888"/>
    <w:rsid w:val="000C6F85"/>
    <w:rsid w:val="000C764D"/>
    <w:rsid w:val="000D0CD0"/>
    <w:rsid w:val="000D3284"/>
    <w:rsid w:val="000D5F70"/>
    <w:rsid w:val="000E30EB"/>
    <w:rsid w:val="000E503D"/>
    <w:rsid w:val="000E6B0D"/>
    <w:rsid w:val="00104F44"/>
    <w:rsid w:val="00106074"/>
    <w:rsid w:val="00122492"/>
    <w:rsid w:val="00132054"/>
    <w:rsid w:val="001323DA"/>
    <w:rsid w:val="00134FBA"/>
    <w:rsid w:val="00136AB9"/>
    <w:rsid w:val="00140D36"/>
    <w:rsid w:val="00141DE6"/>
    <w:rsid w:val="00157B7E"/>
    <w:rsid w:val="00160888"/>
    <w:rsid w:val="00164B1C"/>
    <w:rsid w:val="00165C92"/>
    <w:rsid w:val="00170D9B"/>
    <w:rsid w:val="001764FE"/>
    <w:rsid w:val="00185843"/>
    <w:rsid w:val="0018733D"/>
    <w:rsid w:val="001956C4"/>
    <w:rsid w:val="00196C02"/>
    <w:rsid w:val="001B694E"/>
    <w:rsid w:val="001B73C7"/>
    <w:rsid w:val="001B7B91"/>
    <w:rsid w:val="001E1AFF"/>
    <w:rsid w:val="001E7584"/>
    <w:rsid w:val="001F2795"/>
    <w:rsid w:val="001F7DC5"/>
    <w:rsid w:val="002042EA"/>
    <w:rsid w:val="00205EAD"/>
    <w:rsid w:val="00211973"/>
    <w:rsid w:val="00216264"/>
    <w:rsid w:val="00217A95"/>
    <w:rsid w:val="00220F69"/>
    <w:rsid w:val="002210EF"/>
    <w:rsid w:val="00224C0B"/>
    <w:rsid w:val="00232824"/>
    <w:rsid w:val="00235A36"/>
    <w:rsid w:val="00235BAC"/>
    <w:rsid w:val="00236B1E"/>
    <w:rsid w:val="00242459"/>
    <w:rsid w:val="00245D15"/>
    <w:rsid w:val="00255CFE"/>
    <w:rsid w:val="00257558"/>
    <w:rsid w:val="00257F2E"/>
    <w:rsid w:val="00260163"/>
    <w:rsid w:val="00260E73"/>
    <w:rsid w:val="00265466"/>
    <w:rsid w:val="002703B2"/>
    <w:rsid w:val="00270646"/>
    <w:rsid w:val="002760F8"/>
    <w:rsid w:val="002776B3"/>
    <w:rsid w:val="00277731"/>
    <w:rsid w:val="002858D6"/>
    <w:rsid w:val="002A0DF2"/>
    <w:rsid w:val="002A2CD7"/>
    <w:rsid w:val="002A39A2"/>
    <w:rsid w:val="002A6CAC"/>
    <w:rsid w:val="002B07D0"/>
    <w:rsid w:val="002B372F"/>
    <w:rsid w:val="002B4919"/>
    <w:rsid w:val="002C16C7"/>
    <w:rsid w:val="002C62C4"/>
    <w:rsid w:val="002D5D9A"/>
    <w:rsid w:val="002D6E1B"/>
    <w:rsid w:val="002E1588"/>
    <w:rsid w:val="002E393E"/>
    <w:rsid w:val="002E759E"/>
    <w:rsid w:val="002F3827"/>
    <w:rsid w:val="002F5B04"/>
    <w:rsid w:val="0030080E"/>
    <w:rsid w:val="0030153F"/>
    <w:rsid w:val="00301DF0"/>
    <w:rsid w:val="00306DCB"/>
    <w:rsid w:val="0032015A"/>
    <w:rsid w:val="0032377B"/>
    <w:rsid w:val="0033063A"/>
    <w:rsid w:val="00333EE3"/>
    <w:rsid w:val="00334B10"/>
    <w:rsid w:val="00335E20"/>
    <w:rsid w:val="00341C2D"/>
    <w:rsid w:val="003453D6"/>
    <w:rsid w:val="00345ABE"/>
    <w:rsid w:val="00352D8F"/>
    <w:rsid w:val="0035546C"/>
    <w:rsid w:val="00363860"/>
    <w:rsid w:val="00363FA6"/>
    <w:rsid w:val="003651FA"/>
    <w:rsid w:val="00372F07"/>
    <w:rsid w:val="00381499"/>
    <w:rsid w:val="00384A63"/>
    <w:rsid w:val="00390FB6"/>
    <w:rsid w:val="003A294D"/>
    <w:rsid w:val="003A3495"/>
    <w:rsid w:val="003A3670"/>
    <w:rsid w:val="003B6A0A"/>
    <w:rsid w:val="003B7F7E"/>
    <w:rsid w:val="003C0E8B"/>
    <w:rsid w:val="003C17F6"/>
    <w:rsid w:val="003C1C84"/>
    <w:rsid w:val="003C4596"/>
    <w:rsid w:val="003C6537"/>
    <w:rsid w:val="003C6B91"/>
    <w:rsid w:val="003D4017"/>
    <w:rsid w:val="003D5615"/>
    <w:rsid w:val="003D66E9"/>
    <w:rsid w:val="003E01EE"/>
    <w:rsid w:val="003E03A1"/>
    <w:rsid w:val="003E1E79"/>
    <w:rsid w:val="003F2142"/>
    <w:rsid w:val="003F49DC"/>
    <w:rsid w:val="00402AB0"/>
    <w:rsid w:val="00402EEB"/>
    <w:rsid w:val="0040367D"/>
    <w:rsid w:val="00405E6B"/>
    <w:rsid w:val="0040625F"/>
    <w:rsid w:val="00413B0E"/>
    <w:rsid w:val="004160BD"/>
    <w:rsid w:val="004169A4"/>
    <w:rsid w:val="004205B0"/>
    <w:rsid w:val="00421A52"/>
    <w:rsid w:val="00423ABE"/>
    <w:rsid w:val="00426BAD"/>
    <w:rsid w:val="004276FD"/>
    <w:rsid w:val="004303B4"/>
    <w:rsid w:val="0043061E"/>
    <w:rsid w:val="00431B26"/>
    <w:rsid w:val="004353F5"/>
    <w:rsid w:val="00437992"/>
    <w:rsid w:val="004400FE"/>
    <w:rsid w:val="004415A5"/>
    <w:rsid w:val="004417E1"/>
    <w:rsid w:val="0044337B"/>
    <w:rsid w:val="004439B9"/>
    <w:rsid w:val="00450512"/>
    <w:rsid w:val="00452CBA"/>
    <w:rsid w:val="004601BC"/>
    <w:rsid w:val="0046079D"/>
    <w:rsid w:val="00462691"/>
    <w:rsid w:val="00467A0D"/>
    <w:rsid w:val="0047090F"/>
    <w:rsid w:val="00470F2A"/>
    <w:rsid w:val="004732BC"/>
    <w:rsid w:val="0048068D"/>
    <w:rsid w:val="004834C0"/>
    <w:rsid w:val="00483575"/>
    <w:rsid w:val="00487837"/>
    <w:rsid w:val="004908AD"/>
    <w:rsid w:val="00490F3D"/>
    <w:rsid w:val="00494506"/>
    <w:rsid w:val="004A0F0E"/>
    <w:rsid w:val="004A24A3"/>
    <w:rsid w:val="004A25C4"/>
    <w:rsid w:val="004A35B1"/>
    <w:rsid w:val="004C3F75"/>
    <w:rsid w:val="004C48FF"/>
    <w:rsid w:val="004D76A1"/>
    <w:rsid w:val="004E1882"/>
    <w:rsid w:val="004E48BE"/>
    <w:rsid w:val="004E6B22"/>
    <w:rsid w:val="004E7876"/>
    <w:rsid w:val="004F0749"/>
    <w:rsid w:val="00500521"/>
    <w:rsid w:val="005008D7"/>
    <w:rsid w:val="0050318D"/>
    <w:rsid w:val="00512D9D"/>
    <w:rsid w:val="00513195"/>
    <w:rsid w:val="0051703C"/>
    <w:rsid w:val="00517202"/>
    <w:rsid w:val="005477AD"/>
    <w:rsid w:val="005554DA"/>
    <w:rsid w:val="00557730"/>
    <w:rsid w:val="005608CA"/>
    <w:rsid w:val="005623C6"/>
    <w:rsid w:val="005679AC"/>
    <w:rsid w:val="005706C8"/>
    <w:rsid w:val="00592874"/>
    <w:rsid w:val="00593732"/>
    <w:rsid w:val="00597EBE"/>
    <w:rsid w:val="005A0F87"/>
    <w:rsid w:val="005A5C5F"/>
    <w:rsid w:val="005C0A53"/>
    <w:rsid w:val="005C2F2A"/>
    <w:rsid w:val="005C44B1"/>
    <w:rsid w:val="005C5ABC"/>
    <w:rsid w:val="005C63E7"/>
    <w:rsid w:val="005C7704"/>
    <w:rsid w:val="005D5651"/>
    <w:rsid w:val="005D65A7"/>
    <w:rsid w:val="005D75D2"/>
    <w:rsid w:val="005E2093"/>
    <w:rsid w:val="005E7A14"/>
    <w:rsid w:val="005F0980"/>
    <w:rsid w:val="005F2C4D"/>
    <w:rsid w:val="005F593A"/>
    <w:rsid w:val="00604E76"/>
    <w:rsid w:val="00612F8C"/>
    <w:rsid w:val="006166B6"/>
    <w:rsid w:val="0062787C"/>
    <w:rsid w:val="0063411B"/>
    <w:rsid w:val="00637757"/>
    <w:rsid w:val="00640866"/>
    <w:rsid w:val="0064111A"/>
    <w:rsid w:val="00642DFB"/>
    <w:rsid w:val="00643381"/>
    <w:rsid w:val="00643897"/>
    <w:rsid w:val="006461F3"/>
    <w:rsid w:val="006475BC"/>
    <w:rsid w:val="0065576D"/>
    <w:rsid w:val="00660C0C"/>
    <w:rsid w:val="00670C50"/>
    <w:rsid w:val="00670FDA"/>
    <w:rsid w:val="00671996"/>
    <w:rsid w:val="00673A1A"/>
    <w:rsid w:val="00674FED"/>
    <w:rsid w:val="00681051"/>
    <w:rsid w:val="00683670"/>
    <w:rsid w:val="0068381C"/>
    <w:rsid w:val="006839F1"/>
    <w:rsid w:val="00683E25"/>
    <w:rsid w:val="0068442A"/>
    <w:rsid w:val="00686365"/>
    <w:rsid w:val="00691F2D"/>
    <w:rsid w:val="00692FDE"/>
    <w:rsid w:val="0069389E"/>
    <w:rsid w:val="00693EB4"/>
    <w:rsid w:val="006948F5"/>
    <w:rsid w:val="0069714F"/>
    <w:rsid w:val="006B07A3"/>
    <w:rsid w:val="006B1130"/>
    <w:rsid w:val="006B352A"/>
    <w:rsid w:val="006C2DEF"/>
    <w:rsid w:val="006C44F1"/>
    <w:rsid w:val="006D71EB"/>
    <w:rsid w:val="006D72E2"/>
    <w:rsid w:val="006E2FAE"/>
    <w:rsid w:val="00700863"/>
    <w:rsid w:val="0071018E"/>
    <w:rsid w:val="00713A54"/>
    <w:rsid w:val="0071477A"/>
    <w:rsid w:val="0072392D"/>
    <w:rsid w:val="00724938"/>
    <w:rsid w:val="00725039"/>
    <w:rsid w:val="00725929"/>
    <w:rsid w:val="0072682C"/>
    <w:rsid w:val="00731C4D"/>
    <w:rsid w:val="007418C0"/>
    <w:rsid w:val="00745C41"/>
    <w:rsid w:val="00745CF8"/>
    <w:rsid w:val="00750AFA"/>
    <w:rsid w:val="00752E51"/>
    <w:rsid w:val="00754585"/>
    <w:rsid w:val="00755D06"/>
    <w:rsid w:val="007576B6"/>
    <w:rsid w:val="00761273"/>
    <w:rsid w:val="00762A7D"/>
    <w:rsid w:val="0076459E"/>
    <w:rsid w:val="00771546"/>
    <w:rsid w:val="007729CD"/>
    <w:rsid w:val="00773E92"/>
    <w:rsid w:val="007741EC"/>
    <w:rsid w:val="00775344"/>
    <w:rsid w:val="00777770"/>
    <w:rsid w:val="007873D5"/>
    <w:rsid w:val="00790FB3"/>
    <w:rsid w:val="00794FB8"/>
    <w:rsid w:val="007A0DB1"/>
    <w:rsid w:val="007A2820"/>
    <w:rsid w:val="007A4B0D"/>
    <w:rsid w:val="007A51D5"/>
    <w:rsid w:val="007A7955"/>
    <w:rsid w:val="007A7A50"/>
    <w:rsid w:val="007C27AC"/>
    <w:rsid w:val="007C46E5"/>
    <w:rsid w:val="007C7E85"/>
    <w:rsid w:val="007D46CB"/>
    <w:rsid w:val="007D4CAF"/>
    <w:rsid w:val="007D5FEA"/>
    <w:rsid w:val="007F271E"/>
    <w:rsid w:val="00800071"/>
    <w:rsid w:val="008012A1"/>
    <w:rsid w:val="00802229"/>
    <w:rsid w:val="00813ABE"/>
    <w:rsid w:val="00816C6A"/>
    <w:rsid w:val="008372FC"/>
    <w:rsid w:val="00842ACA"/>
    <w:rsid w:val="0084402B"/>
    <w:rsid w:val="00851795"/>
    <w:rsid w:val="00852FB1"/>
    <w:rsid w:val="008569F4"/>
    <w:rsid w:val="008734FA"/>
    <w:rsid w:val="00876FFD"/>
    <w:rsid w:val="0088188D"/>
    <w:rsid w:val="0088510C"/>
    <w:rsid w:val="0088745F"/>
    <w:rsid w:val="008A224B"/>
    <w:rsid w:val="008A3E77"/>
    <w:rsid w:val="008A521A"/>
    <w:rsid w:val="008B38AB"/>
    <w:rsid w:val="008B6E6B"/>
    <w:rsid w:val="008C1DA8"/>
    <w:rsid w:val="008C3BB1"/>
    <w:rsid w:val="008C41DA"/>
    <w:rsid w:val="008C4657"/>
    <w:rsid w:val="008D24A7"/>
    <w:rsid w:val="008D26DB"/>
    <w:rsid w:val="008D6942"/>
    <w:rsid w:val="008E2714"/>
    <w:rsid w:val="008E510C"/>
    <w:rsid w:val="008E6832"/>
    <w:rsid w:val="009029BF"/>
    <w:rsid w:val="009066E0"/>
    <w:rsid w:val="00907899"/>
    <w:rsid w:val="009078FF"/>
    <w:rsid w:val="00914746"/>
    <w:rsid w:val="009206C4"/>
    <w:rsid w:val="00927766"/>
    <w:rsid w:val="009316C3"/>
    <w:rsid w:val="00934B4B"/>
    <w:rsid w:val="009351B2"/>
    <w:rsid w:val="00945D14"/>
    <w:rsid w:val="00945E55"/>
    <w:rsid w:val="00946207"/>
    <w:rsid w:val="00946AC9"/>
    <w:rsid w:val="0095044E"/>
    <w:rsid w:val="00962650"/>
    <w:rsid w:val="00970C80"/>
    <w:rsid w:val="009721DF"/>
    <w:rsid w:val="00973095"/>
    <w:rsid w:val="00981D66"/>
    <w:rsid w:val="009858C5"/>
    <w:rsid w:val="00986851"/>
    <w:rsid w:val="009965C4"/>
    <w:rsid w:val="009A6569"/>
    <w:rsid w:val="009B5B65"/>
    <w:rsid w:val="009D54BC"/>
    <w:rsid w:val="009D5FEF"/>
    <w:rsid w:val="009D7EC0"/>
    <w:rsid w:val="009E0790"/>
    <w:rsid w:val="009E2623"/>
    <w:rsid w:val="009E6961"/>
    <w:rsid w:val="009E71E4"/>
    <w:rsid w:val="009F50CD"/>
    <w:rsid w:val="009F56AE"/>
    <w:rsid w:val="009F6333"/>
    <w:rsid w:val="00A0436D"/>
    <w:rsid w:val="00A10C6B"/>
    <w:rsid w:val="00A12914"/>
    <w:rsid w:val="00A12EF3"/>
    <w:rsid w:val="00A137EE"/>
    <w:rsid w:val="00A13C6E"/>
    <w:rsid w:val="00A21787"/>
    <w:rsid w:val="00A23C48"/>
    <w:rsid w:val="00A24462"/>
    <w:rsid w:val="00A26563"/>
    <w:rsid w:val="00A30232"/>
    <w:rsid w:val="00A33E40"/>
    <w:rsid w:val="00A35F58"/>
    <w:rsid w:val="00A44016"/>
    <w:rsid w:val="00A47247"/>
    <w:rsid w:val="00A474C9"/>
    <w:rsid w:val="00A50B27"/>
    <w:rsid w:val="00A54D88"/>
    <w:rsid w:val="00A624C0"/>
    <w:rsid w:val="00A647C7"/>
    <w:rsid w:val="00A853AE"/>
    <w:rsid w:val="00A85849"/>
    <w:rsid w:val="00A917E3"/>
    <w:rsid w:val="00A918F5"/>
    <w:rsid w:val="00A93851"/>
    <w:rsid w:val="00AA03C5"/>
    <w:rsid w:val="00AA717F"/>
    <w:rsid w:val="00AB050A"/>
    <w:rsid w:val="00AB1807"/>
    <w:rsid w:val="00AB5089"/>
    <w:rsid w:val="00AC5548"/>
    <w:rsid w:val="00AC5BAF"/>
    <w:rsid w:val="00AC6A15"/>
    <w:rsid w:val="00AD3EC6"/>
    <w:rsid w:val="00AD4E53"/>
    <w:rsid w:val="00AD655A"/>
    <w:rsid w:val="00AD6910"/>
    <w:rsid w:val="00AD780E"/>
    <w:rsid w:val="00AE0B60"/>
    <w:rsid w:val="00AE2972"/>
    <w:rsid w:val="00AE67A8"/>
    <w:rsid w:val="00AF0DEF"/>
    <w:rsid w:val="00AF16FC"/>
    <w:rsid w:val="00AF31EF"/>
    <w:rsid w:val="00AF40EA"/>
    <w:rsid w:val="00AF7949"/>
    <w:rsid w:val="00B0362C"/>
    <w:rsid w:val="00B0560A"/>
    <w:rsid w:val="00B12B68"/>
    <w:rsid w:val="00B16A83"/>
    <w:rsid w:val="00B23D9C"/>
    <w:rsid w:val="00B25035"/>
    <w:rsid w:val="00B2623E"/>
    <w:rsid w:val="00B2743F"/>
    <w:rsid w:val="00B303FE"/>
    <w:rsid w:val="00B35BC1"/>
    <w:rsid w:val="00B365EF"/>
    <w:rsid w:val="00B4177B"/>
    <w:rsid w:val="00B44DDB"/>
    <w:rsid w:val="00B54722"/>
    <w:rsid w:val="00B658FC"/>
    <w:rsid w:val="00B74D99"/>
    <w:rsid w:val="00B8170A"/>
    <w:rsid w:val="00B8198B"/>
    <w:rsid w:val="00B81D82"/>
    <w:rsid w:val="00B951D9"/>
    <w:rsid w:val="00B9527D"/>
    <w:rsid w:val="00B96B48"/>
    <w:rsid w:val="00B97528"/>
    <w:rsid w:val="00BA215A"/>
    <w:rsid w:val="00BB3DEE"/>
    <w:rsid w:val="00BB760E"/>
    <w:rsid w:val="00BC07A8"/>
    <w:rsid w:val="00BC10D5"/>
    <w:rsid w:val="00BC1DE4"/>
    <w:rsid w:val="00BC3B31"/>
    <w:rsid w:val="00BD243D"/>
    <w:rsid w:val="00BD3BD9"/>
    <w:rsid w:val="00BD3D6D"/>
    <w:rsid w:val="00BE0A02"/>
    <w:rsid w:val="00BE209D"/>
    <w:rsid w:val="00BE370B"/>
    <w:rsid w:val="00BE5152"/>
    <w:rsid w:val="00BE5D3B"/>
    <w:rsid w:val="00BF072D"/>
    <w:rsid w:val="00BF286F"/>
    <w:rsid w:val="00BF4392"/>
    <w:rsid w:val="00BF43DA"/>
    <w:rsid w:val="00BF4A76"/>
    <w:rsid w:val="00C04703"/>
    <w:rsid w:val="00C0507C"/>
    <w:rsid w:val="00C06E68"/>
    <w:rsid w:val="00C1048B"/>
    <w:rsid w:val="00C11F39"/>
    <w:rsid w:val="00C1583C"/>
    <w:rsid w:val="00C165DA"/>
    <w:rsid w:val="00C17259"/>
    <w:rsid w:val="00C25514"/>
    <w:rsid w:val="00C34674"/>
    <w:rsid w:val="00C41C00"/>
    <w:rsid w:val="00C46894"/>
    <w:rsid w:val="00C521C3"/>
    <w:rsid w:val="00C52262"/>
    <w:rsid w:val="00C53DCC"/>
    <w:rsid w:val="00C61BB6"/>
    <w:rsid w:val="00C6576C"/>
    <w:rsid w:val="00C70301"/>
    <w:rsid w:val="00C70553"/>
    <w:rsid w:val="00C740B7"/>
    <w:rsid w:val="00C77F31"/>
    <w:rsid w:val="00C97233"/>
    <w:rsid w:val="00CA239F"/>
    <w:rsid w:val="00CB11DC"/>
    <w:rsid w:val="00CB13EC"/>
    <w:rsid w:val="00CB6993"/>
    <w:rsid w:val="00CC096A"/>
    <w:rsid w:val="00CC25B8"/>
    <w:rsid w:val="00CC268A"/>
    <w:rsid w:val="00CC3AA6"/>
    <w:rsid w:val="00CD1401"/>
    <w:rsid w:val="00CD325F"/>
    <w:rsid w:val="00CD52F6"/>
    <w:rsid w:val="00CE6AC5"/>
    <w:rsid w:val="00CF0EB5"/>
    <w:rsid w:val="00CF3F7C"/>
    <w:rsid w:val="00CF3FA5"/>
    <w:rsid w:val="00D037A1"/>
    <w:rsid w:val="00D04811"/>
    <w:rsid w:val="00D04D93"/>
    <w:rsid w:val="00D06C1F"/>
    <w:rsid w:val="00D07C39"/>
    <w:rsid w:val="00D164D5"/>
    <w:rsid w:val="00D16ABC"/>
    <w:rsid w:val="00D177FC"/>
    <w:rsid w:val="00D215CC"/>
    <w:rsid w:val="00D262FA"/>
    <w:rsid w:val="00D2645D"/>
    <w:rsid w:val="00D342F3"/>
    <w:rsid w:val="00D51E11"/>
    <w:rsid w:val="00D52D8E"/>
    <w:rsid w:val="00D5401E"/>
    <w:rsid w:val="00D6538D"/>
    <w:rsid w:val="00D6687E"/>
    <w:rsid w:val="00D81B55"/>
    <w:rsid w:val="00D8357B"/>
    <w:rsid w:val="00D83889"/>
    <w:rsid w:val="00D84444"/>
    <w:rsid w:val="00D9171A"/>
    <w:rsid w:val="00D94587"/>
    <w:rsid w:val="00D96DF7"/>
    <w:rsid w:val="00DA7680"/>
    <w:rsid w:val="00DA7B28"/>
    <w:rsid w:val="00DB1C7E"/>
    <w:rsid w:val="00DB279C"/>
    <w:rsid w:val="00DC26A1"/>
    <w:rsid w:val="00DC2EAD"/>
    <w:rsid w:val="00DD4EC1"/>
    <w:rsid w:val="00DD7173"/>
    <w:rsid w:val="00DE4B44"/>
    <w:rsid w:val="00DE53AE"/>
    <w:rsid w:val="00DE7E57"/>
    <w:rsid w:val="00E02B68"/>
    <w:rsid w:val="00E03E02"/>
    <w:rsid w:val="00E05009"/>
    <w:rsid w:val="00E07EEF"/>
    <w:rsid w:val="00E13B3A"/>
    <w:rsid w:val="00E1428D"/>
    <w:rsid w:val="00E15DD8"/>
    <w:rsid w:val="00E162F8"/>
    <w:rsid w:val="00E21704"/>
    <w:rsid w:val="00E220BA"/>
    <w:rsid w:val="00E22DC7"/>
    <w:rsid w:val="00E32481"/>
    <w:rsid w:val="00E339F0"/>
    <w:rsid w:val="00E35B89"/>
    <w:rsid w:val="00E45D4E"/>
    <w:rsid w:val="00E47A3E"/>
    <w:rsid w:val="00E56536"/>
    <w:rsid w:val="00E71664"/>
    <w:rsid w:val="00E7239B"/>
    <w:rsid w:val="00E73C1C"/>
    <w:rsid w:val="00E760BD"/>
    <w:rsid w:val="00E83618"/>
    <w:rsid w:val="00E87684"/>
    <w:rsid w:val="00E87D21"/>
    <w:rsid w:val="00E91B3C"/>
    <w:rsid w:val="00E92738"/>
    <w:rsid w:val="00E930B5"/>
    <w:rsid w:val="00E94CAF"/>
    <w:rsid w:val="00E96C2E"/>
    <w:rsid w:val="00EA30EC"/>
    <w:rsid w:val="00EA7D61"/>
    <w:rsid w:val="00EB028E"/>
    <w:rsid w:val="00EB12F1"/>
    <w:rsid w:val="00EB3E2A"/>
    <w:rsid w:val="00EB4D95"/>
    <w:rsid w:val="00EB553D"/>
    <w:rsid w:val="00EC03B0"/>
    <w:rsid w:val="00EC1BFD"/>
    <w:rsid w:val="00EC5908"/>
    <w:rsid w:val="00EC6BEA"/>
    <w:rsid w:val="00EC7E73"/>
    <w:rsid w:val="00ED7FF5"/>
    <w:rsid w:val="00EE1903"/>
    <w:rsid w:val="00EE67CE"/>
    <w:rsid w:val="00EF53ED"/>
    <w:rsid w:val="00F01A01"/>
    <w:rsid w:val="00F07470"/>
    <w:rsid w:val="00F1026B"/>
    <w:rsid w:val="00F12AEF"/>
    <w:rsid w:val="00F13D43"/>
    <w:rsid w:val="00F15E9D"/>
    <w:rsid w:val="00F208D2"/>
    <w:rsid w:val="00F211BB"/>
    <w:rsid w:val="00F312DF"/>
    <w:rsid w:val="00F34A3D"/>
    <w:rsid w:val="00F42D16"/>
    <w:rsid w:val="00F46BA1"/>
    <w:rsid w:val="00F51550"/>
    <w:rsid w:val="00F5209E"/>
    <w:rsid w:val="00F53958"/>
    <w:rsid w:val="00F6084C"/>
    <w:rsid w:val="00F6674E"/>
    <w:rsid w:val="00F721EE"/>
    <w:rsid w:val="00F73566"/>
    <w:rsid w:val="00F7604C"/>
    <w:rsid w:val="00F82975"/>
    <w:rsid w:val="00F92871"/>
    <w:rsid w:val="00F97D58"/>
    <w:rsid w:val="00FB55ED"/>
    <w:rsid w:val="00FC0494"/>
    <w:rsid w:val="00FC3EF9"/>
    <w:rsid w:val="00FC65F2"/>
    <w:rsid w:val="00FD1F50"/>
    <w:rsid w:val="00FD5E21"/>
    <w:rsid w:val="00FE354B"/>
    <w:rsid w:val="00FE54CD"/>
    <w:rsid w:val="00FF0E18"/>
    <w:rsid w:val="00FF5AA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87A6"/>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2A"/>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5"/>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4_G Char Char Char Char"/>
    <w:basedOn w:val="DefaultParagraphFont"/>
    <w:link w:val="BVIfnr"/>
    <w:uiPriority w:val="99"/>
    <w:qFormat/>
    <w:rPr>
      <w:rFonts w:ascii="Times New Roman" w:hAnsi="Times New Roman"/>
      <w:sz w:val="18"/>
      <w:vertAlign w:val="superscript"/>
      <w:lang w:val="en-GB"/>
    </w:rPr>
  </w:style>
  <w:style w:type="character" w:styleId="EndnoteReference">
    <w:name w:val="endnote reference"/>
    <w:aliases w:val="1_G"/>
    <w:basedOn w:val="FootnoteReference"/>
    <w:uiPriority w:val="99"/>
    <w:qFormat/>
    <w:rPr>
      <w:rFonts w:ascii="Times New Roman" w:hAnsi="Times New Roman"/>
      <w:sz w:val="18"/>
      <w:vertAlign w:val="superscript"/>
      <w:lang w:val="en-GB"/>
    </w:rPr>
  </w:style>
  <w:style w:type="table" w:styleId="TableGrid">
    <w:name w:val="Table Grid"/>
    <w:basedOn w:val="Table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FA Fu,Char"/>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qFormat/>
    <w:rPr>
      <w:rFonts w:ascii="Times New Roman" w:hAnsi="Times New Roman" w:cs="Times New Roman"/>
      <w:sz w:val="18"/>
      <w:szCs w:val="20"/>
      <w:lang w:val="en-GB"/>
    </w:rPr>
  </w:style>
  <w:style w:type="paragraph" w:styleId="EndnoteText">
    <w:name w:val="endnote text"/>
    <w:aliases w:val="2_G"/>
    <w:basedOn w:val="FootnoteText"/>
    <w:link w:val="EndnoteTextChar"/>
    <w:uiPriority w:val="99"/>
    <w:qFormat/>
  </w:style>
  <w:style w:type="character" w:customStyle="1" w:styleId="EndnoteTextChar">
    <w:name w:val="Endnote Text Char"/>
    <w:aliases w:val="2_G Char"/>
    <w:basedOn w:val="DefaultParagraphFont"/>
    <w:link w:val="EndnoteText"/>
    <w:uiPriority w:val="99"/>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06376B"/>
    <w:rPr>
      <w:sz w:val="6"/>
    </w:rPr>
  </w:style>
  <w:style w:type="paragraph" w:styleId="CommentText">
    <w:name w:val="annotation text"/>
    <w:basedOn w:val="Normal"/>
    <w:link w:val="CommentTextChar"/>
    <w:uiPriority w:val="99"/>
    <w:rsid w:val="0006376B"/>
    <w:pPr>
      <w:spacing w:line="240" w:lineRule="auto"/>
    </w:pPr>
    <w:rPr>
      <w:rFonts w:eastAsiaTheme="minorEastAsia"/>
      <w:spacing w:val="4"/>
      <w:w w:val="103"/>
      <w:kern w:val="14"/>
      <w:lang w:eastAsia="zh-CN"/>
    </w:rPr>
  </w:style>
  <w:style w:type="character" w:customStyle="1" w:styleId="CommentTextChar">
    <w:name w:val="Comment Text Char"/>
    <w:basedOn w:val="DefaultParagraphFont"/>
    <w:link w:val="CommentText"/>
    <w:uiPriority w:val="99"/>
    <w:rsid w:val="0006376B"/>
    <w:rPr>
      <w:rFonts w:ascii="Times New Roman" w:eastAsiaTheme="minorEastAsia" w:hAnsi="Times New Roman" w:cs="Times New Roman"/>
      <w:spacing w:val="4"/>
      <w:w w:val="103"/>
      <w:kern w:val="14"/>
      <w:sz w:val="20"/>
      <w:szCs w:val="20"/>
      <w:lang w:val="en-GB" w:eastAsia="zh-CN"/>
    </w:rPr>
  </w:style>
  <w:style w:type="character" w:customStyle="1" w:styleId="SingleTxtGCar">
    <w:name w:val="_ Single Txt_G Car"/>
    <w:basedOn w:val="DefaultParagraphFont"/>
    <w:rsid w:val="0006376B"/>
    <w:rPr>
      <w:rFonts w:eastAsia="Times New Roman"/>
    </w:rPr>
  </w:style>
  <w:style w:type="paragraph" w:customStyle="1" w:styleId="H1">
    <w:name w:val="_ H_1"/>
    <w:basedOn w:val="Normal"/>
    <w:next w:val="SingleTxt"/>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06376B"/>
    <w:pPr>
      <w:spacing w:line="300" w:lineRule="exact"/>
      <w:ind w:left="0" w:right="0" w:firstLine="0"/>
    </w:pPr>
    <w:rPr>
      <w:spacing w:val="-2"/>
      <w:sz w:val="28"/>
    </w:rPr>
  </w:style>
  <w:style w:type="paragraph" w:customStyle="1" w:styleId="HM">
    <w:name w:val="_ H __M"/>
    <w:basedOn w:val="HCh"/>
    <w:next w:val="Normal"/>
    <w:rsid w:val="0006376B"/>
    <w:pPr>
      <w:spacing w:line="360" w:lineRule="exact"/>
    </w:pPr>
    <w:rPr>
      <w:spacing w:val="-3"/>
      <w:w w:val="99"/>
      <w:sz w:val="34"/>
    </w:rPr>
  </w:style>
  <w:style w:type="paragraph" w:customStyle="1" w:styleId="H23">
    <w:name w:val="_ H_2/3"/>
    <w:basedOn w:val="H1"/>
    <w:next w:val="Normal"/>
    <w:rsid w:val="0006376B"/>
    <w:pPr>
      <w:spacing w:line="240" w:lineRule="exact"/>
      <w:outlineLvl w:val="1"/>
    </w:pPr>
    <w:rPr>
      <w:spacing w:val="2"/>
      <w:sz w:val="20"/>
    </w:rPr>
  </w:style>
  <w:style w:type="paragraph" w:customStyle="1" w:styleId="H4">
    <w:name w:val="_ H_4"/>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06376B"/>
    <w:pPr>
      <w:tabs>
        <w:tab w:val="left" w:pos="480"/>
        <w:tab w:val="left" w:pos="960"/>
        <w:tab w:val="left" w:pos="1440"/>
        <w:tab w:val="left" w:pos="1915"/>
        <w:tab w:val="left" w:pos="2405"/>
        <w:tab w:val="left" w:pos="2880"/>
        <w:tab w:val="left" w:pos="3355"/>
      </w:tabs>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06376B"/>
    <w:pPr>
      <w:keepNext/>
      <w:keepLines/>
      <w:tabs>
        <w:tab w:val="right" w:leader="dot" w:pos="360"/>
      </w:tabs>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06376B"/>
    <w:pPr>
      <w:spacing w:line="540" w:lineRule="exact"/>
    </w:pPr>
    <w:rPr>
      <w:spacing w:val="-8"/>
      <w:w w:val="96"/>
      <w:sz w:val="57"/>
    </w:rPr>
  </w:style>
  <w:style w:type="paragraph" w:customStyle="1" w:styleId="SS">
    <w:name w:val="__S_S"/>
    <w:basedOn w:val="HCh"/>
    <w:next w:val="Normal"/>
    <w:rsid w:val="0006376B"/>
    <w:pPr>
      <w:ind w:left="1267" w:right="1267"/>
    </w:pPr>
  </w:style>
  <w:style w:type="paragraph" w:customStyle="1" w:styleId="SingleTxt">
    <w:name w:val="__Single Txt"/>
    <w:basedOn w:val="Normal"/>
    <w:rsid w:val="0006376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styleId="LineNumber">
    <w:name w:val="line number"/>
    <w:rsid w:val="0006376B"/>
    <w:rPr>
      <w:sz w:val="14"/>
    </w:rPr>
  </w:style>
  <w:style w:type="paragraph" w:customStyle="1" w:styleId="Small">
    <w:name w:val="Small"/>
    <w:basedOn w:val="Normal"/>
    <w:next w:val="Normal"/>
    <w:rsid w:val="0006376B"/>
    <w:pPr>
      <w:tabs>
        <w:tab w:val="right" w:pos="9965"/>
      </w:tabs>
      <w:spacing w:line="210" w:lineRule="exact"/>
    </w:pPr>
    <w:rPr>
      <w:rFonts w:eastAsiaTheme="minorEastAsia"/>
      <w:spacing w:val="5"/>
      <w:w w:val="104"/>
      <w:kern w:val="14"/>
      <w:sz w:val="17"/>
      <w:lang w:eastAsia="zh-CN"/>
    </w:rPr>
  </w:style>
  <w:style w:type="paragraph" w:customStyle="1" w:styleId="SmallX">
    <w:name w:val="SmallX"/>
    <w:basedOn w:val="Small"/>
    <w:next w:val="Normal"/>
    <w:rsid w:val="0006376B"/>
    <w:pPr>
      <w:spacing w:line="180" w:lineRule="exact"/>
      <w:jc w:val="right"/>
    </w:pPr>
    <w:rPr>
      <w:spacing w:val="6"/>
      <w:w w:val="106"/>
      <w:sz w:val="14"/>
    </w:rPr>
  </w:style>
  <w:style w:type="paragraph" w:customStyle="1" w:styleId="XLarge">
    <w:name w:val="XLarge"/>
    <w:basedOn w:val="HM"/>
    <w:rsid w:val="0006376B"/>
    <w:pPr>
      <w:spacing w:line="390" w:lineRule="exact"/>
    </w:pPr>
    <w:rPr>
      <w:spacing w:val="-4"/>
      <w:w w:val="98"/>
      <w:sz w:val="40"/>
    </w:rPr>
  </w:style>
  <w:style w:type="paragraph" w:styleId="PlainText">
    <w:name w:val="Plain Text"/>
    <w:basedOn w:val="Normal"/>
    <w:link w:val="PlainTextChar"/>
    <w:rsid w:val="0006376B"/>
    <w:pPr>
      <w:suppressAutoHyphens w:val="0"/>
      <w:spacing w:line="240" w:lineRule="auto"/>
    </w:pPr>
    <w:rPr>
      <w:rFonts w:ascii="Courier New" w:hAnsi="Courier New"/>
      <w:lang w:val="en-US" w:eastAsia="en-GB"/>
    </w:rPr>
  </w:style>
  <w:style w:type="character" w:customStyle="1" w:styleId="PlainTextChar">
    <w:name w:val="Plain Text Char"/>
    <w:basedOn w:val="DefaultParagraphFont"/>
    <w:link w:val="PlainText"/>
    <w:rsid w:val="0006376B"/>
    <w:rPr>
      <w:rFonts w:ascii="Courier New" w:eastAsia="Times New Roman" w:hAnsi="Courier New" w:cs="Times New Roman"/>
      <w:sz w:val="20"/>
      <w:szCs w:val="20"/>
      <w:lang w:val="en-US" w:eastAsia="en-GB"/>
    </w:rPr>
  </w:style>
  <w:style w:type="paragraph" w:customStyle="1" w:styleId="AgendaTitle">
    <w:name w:val="AgendaTitle"/>
    <w:basedOn w:val="Normal"/>
    <w:next w:val="Normal"/>
    <w:rsid w:val="0006376B"/>
    <w:pPr>
      <w:spacing w:line="240" w:lineRule="exact"/>
    </w:pPr>
    <w:rPr>
      <w:rFonts w:eastAsiaTheme="minorEastAsia"/>
      <w:spacing w:val="4"/>
      <w:w w:val="103"/>
      <w:kern w:val="14"/>
      <w:lang w:eastAsia="zh-CN"/>
    </w:rPr>
  </w:style>
  <w:style w:type="paragraph" w:customStyle="1" w:styleId="Committee">
    <w:name w:val="Committee"/>
    <w:basedOn w:val="H1"/>
    <w:rsid w:val="0006376B"/>
    <w:pPr>
      <w:ind w:left="0" w:firstLine="0"/>
    </w:pPr>
  </w:style>
  <w:style w:type="paragraph" w:customStyle="1" w:styleId="Session">
    <w:name w:val="Session"/>
    <w:basedOn w:val="H23"/>
    <w:rsid w:val="0006376B"/>
    <w:pPr>
      <w:ind w:left="0" w:firstLine="0"/>
    </w:pPr>
    <w:rPr>
      <w:spacing w:val="4"/>
    </w:rPr>
  </w:style>
  <w:style w:type="paragraph" w:customStyle="1" w:styleId="Sponsors">
    <w:name w:val="Sponsors"/>
    <w:basedOn w:val="H23"/>
    <w:rsid w:val="0006376B"/>
  </w:style>
  <w:style w:type="paragraph" w:customStyle="1" w:styleId="Title1">
    <w:name w:val="Title 1"/>
    <w:basedOn w:val="HCh"/>
    <w:rsid w:val="0006376B"/>
    <w:pPr>
      <w:ind w:left="1267" w:right="1267" w:hanging="1267"/>
    </w:pPr>
  </w:style>
  <w:style w:type="paragraph" w:customStyle="1" w:styleId="Title2">
    <w:name w:val="Title 2"/>
    <w:basedOn w:val="H1"/>
    <w:rsid w:val="0006376B"/>
    <w:pPr>
      <w:ind w:left="0" w:right="0" w:firstLine="0"/>
    </w:pPr>
  </w:style>
  <w:style w:type="paragraph" w:customStyle="1" w:styleId="Type">
    <w:name w:val="Type"/>
    <w:basedOn w:val="H23"/>
    <w:autoRedefine/>
    <w:rsid w:val="0006376B"/>
    <w:pPr>
      <w:ind w:left="0" w:right="576" w:firstLine="0"/>
    </w:pPr>
  </w:style>
  <w:style w:type="paragraph" w:customStyle="1" w:styleId="Distribution">
    <w:name w:val="Distribution"/>
    <w:next w:val="Normal"/>
    <w:rsid w:val="0006376B"/>
    <w:pPr>
      <w:spacing w:before="240"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Publication">
    <w:name w:val="Publication"/>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Original">
    <w:name w:val="Original"/>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ReleaseDate">
    <w:name w:val="Release Date"/>
    <w:next w:val="Footer"/>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Bullet1">
    <w:name w:val="Bullet 1"/>
    <w:basedOn w:val="Normal"/>
    <w:qFormat/>
    <w:rsid w:val="0006376B"/>
    <w:pPr>
      <w:numPr>
        <w:numId w:val="7"/>
      </w:numPr>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06376B"/>
    <w:pPr>
      <w:numPr>
        <w:numId w:val="6"/>
      </w:numPr>
      <w:spacing w:after="120" w:line="240" w:lineRule="exact"/>
      <w:ind w:left="2217" w:right="1264" w:hanging="130"/>
      <w:jc w:val="both"/>
    </w:pPr>
    <w:rPr>
      <w:rFonts w:eastAsiaTheme="minorEastAsia"/>
      <w:spacing w:val="4"/>
      <w:w w:val="103"/>
      <w:kern w:val="14"/>
      <w:lang w:eastAsia="zh-CN"/>
    </w:rPr>
  </w:style>
  <w:style w:type="paragraph" w:customStyle="1" w:styleId="Bullet3">
    <w:name w:val="Bullet 3"/>
    <w:basedOn w:val="SingleTxt"/>
    <w:qFormat/>
    <w:rsid w:val="0006376B"/>
    <w:pPr>
      <w:numPr>
        <w:numId w:val="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Subject">
    <w:name w:val="annotation subject"/>
    <w:basedOn w:val="CommentText"/>
    <w:next w:val="CommentText"/>
    <w:link w:val="CommentSubjectChar"/>
    <w:uiPriority w:val="99"/>
    <w:rsid w:val="0006376B"/>
    <w:rPr>
      <w:b/>
      <w:bCs/>
    </w:rPr>
  </w:style>
  <w:style w:type="character" w:customStyle="1" w:styleId="CommentSubjectChar">
    <w:name w:val="Comment Subject Char"/>
    <w:basedOn w:val="CommentTextChar"/>
    <w:link w:val="CommentSubject"/>
    <w:uiPriority w:val="99"/>
    <w:rsid w:val="0006376B"/>
    <w:rPr>
      <w:rFonts w:ascii="Times New Roman" w:eastAsiaTheme="minorEastAsia" w:hAnsi="Times New Roman" w:cs="Times New Roman"/>
      <w:b/>
      <w:bCs/>
      <w:spacing w:val="4"/>
      <w:w w:val="103"/>
      <w:kern w:val="14"/>
      <w:sz w:val="20"/>
      <w:szCs w:val="20"/>
      <w:lang w:val="en-GB" w:eastAsia="zh-CN"/>
    </w:rPr>
  </w:style>
  <w:style w:type="paragraph" w:styleId="Title">
    <w:name w:val="Title"/>
    <w:basedOn w:val="Normal"/>
    <w:next w:val="Normal"/>
    <w:link w:val="TitleChar"/>
    <w:uiPriority w:val="10"/>
    <w:qFormat/>
    <w:rsid w:val="0006376B"/>
    <w:pPr>
      <w:keepNext/>
      <w:keepLines/>
      <w:suppressAutoHyphens w:val="0"/>
      <w:spacing w:before="480" w:after="120" w:line="259" w:lineRule="auto"/>
    </w:pPr>
    <w:rPr>
      <w:rFonts w:ascii="Calibri" w:eastAsia="Calibri" w:hAnsi="Calibri" w:cs="Calibri"/>
      <w:b/>
      <w:sz w:val="72"/>
      <w:szCs w:val="72"/>
      <w:lang w:val="en-US" w:eastAsia="ja-JP"/>
    </w:rPr>
  </w:style>
  <w:style w:type="character" w:customStyle="1" w:styleId="TitleChar">
    <w:name w:val="Title Char"/>
    <w:basedOn w:val="DefaultParagraphFont"/>
    <w:link w:val="Title"/>
    <w:uiPriority w:val="10"/>
    <w:rsid w:val="0006376B"/>
    <w:rPr>
      <w:rFonts w:ascii="Calibri" w:eastAsia="Calibri" w:hAnsi="Calibri" w:cs="Calibri"/>
      <w:b/>
      <w:sz w:val="72"/>
      <w:szCs w:val="72"/>
      <w:lang w:val="en-US" w:eastAsia="ja-JP"/>
    </w:rPr>
  </w:style>
  <w:style w:type="paragraph" w:styleId="TOC1">
    <w:name w:val="toc 1"/>
    <w:basedOn w:val="Normal"/>
    <w:next w:val="Normal"/>
    <w:autoRedefine/>
    <w:uiPriority w:val="39"/>
    <w:unhideWhenUsed/>
    <w:rsid w:val="0006376B"/>
    <w:pPr>
      <w:tabs>
        <w:tab w:val="left" w:pos="426"/>
        <w:tab w:val="right" w:leader="dot" w:pos="9350"/>
      </w:tabs>
      <w:suppressAutoHyphens w:val="0"/>
      <w:spacing w:line="259" w:lineRule="auto"/>
    </w:pPr>
    <w:rPr>
      <w:rFonts w:asciiTheme="minorHAnsi" w:eastAsia="Calibri" w:hAnsiTheme="minorHAnsi" w:cstheme="minorHAnsi"/>
      <w:b/>
      <w:bCs/>
      <w:i/>
      <w:iCs/>
      <w:sz w:val="24"/>
      <w:szCs w:val="24"/>
      <w:lang w:val="en-US" w:eastAsia="ja-JP"/>
    </w:rPr>
  </w:style>
  <w:style w:type="paragraph" w:styleId="TOC2">
    <w:name w:val="toc 2"/>
    <w:basedOn w:val="Normal"/>
    <w:next w:val="Normal"/>
    <w:autoRedefine/>
    <w:uiPriority w:val="39"/>
    <w:unhideWhenUsed/>
    <w:rsid w:val="0006376B"/>
    <w:pPr>
      <w:tabs>
        <w:tab w:val="left" w:pos="851"/>
        <w:tab w:val="right" w:leader="dot" w:pos="9350"/>
      </w:tabs>
      <w:suppressAutoHyphens w:val="0"/>
      <w:spacing w:line="259" w:lineRule="auto"/>
      <w:ind w:left="426"/>
    </w:pPr>
    <w:rPr>
      <w:rFonts w:asciiTheme="minorHAnsi" w:eastAsia="Calibri" w:hAnsiTheme="minorHAnsi" w:cstheme="minorHAnsi"/>
      <w:b/>
      <w:bCs/>
      <w:sz w:val="22"/>
      <w:szCs w:val="22"/>
      <w:lang w:val="en-US" w:eastAsia="ja-JP"/>
    </w:rPr>
  </w:style>
  <w:style w:type="paragraph" w:styleId="TOC3">
    <w:name w:val="toc 3"/>
    <w:basedOn w:val="Normal"/>
    <w:next w:val="Normal"/>
    <w:autoRedefine/>
    <w:uiPriority w:val="39"/>
    <w:unhideWhenUsed/>
    <w:rsid w:val="0006376B"/>
    <w:pPr>
      <w:tabs>
        <w:tab w:val="right" w:leader="dot" w:pos="9350"/>
      </w:tabs>
      <w:suppressAutoHyphens w:val="0"/>
      <w:spacing w:line="259" w:lineRule="auto"/>
      <w:ind w:left="851"/>
    </w:pPr>
    <w:rPr>
      <w:rFonts w:asciiTheme="minorHAnsi" w:eastAsia="Calibri" w:hAnsiTheme="minorHAnsi" w:cstheme="minorHAnsi"/>
      <w:lang w:val="en-US" w:eastAsia="ja-JP"/>
    </w:rPr>
  </w:style>
  <w:style w:type="paragraph" w:styleId="ListParagraph">
    <w:name w:val="List Paragraph"/>
    <w:basedOn w:val="Normal"/>
    <w:uiPriority w:val="34"/>
    <w:qFormat/>
    <w:rsid w:val="0006376B"/>
    <w:pPr>
      <w:suppressAutoHyphens w:val="0"/>
      <w:spacing w:after="160" w:line="259" w:lineRule="auto"/>
      <w:ind w:left="720"/>
      <w:contextualSpacing/>
    </w:pPr>
    <w:rPr>
      <w:rFonts w:ascii="Calibri" w:eastAsia="Calibri" w:hAnsi="Calibri" w:cs="Calibri"/>
      <w:sz w:val="22"/>
      <w:szCs w:val="22"/>
      <w:lang w:val="en-US" w:eastAsia="ja-JP"/>
    </w:rPr>
  </w:style>
  <w:style w:type="paragraph" w:styleId="Subtitle">
    <w:name w:val="Subtitle"/>
    <w:basedOn w:val="Normal"/>
    <w:next w:val="Normal"/>
    <w:link w:val="SubtitleChar"/>
    <w:uiPriority w:val="11"/>
    <w:qFormat/>
    <w:rsid w:val="0006376B"/>
    <w:pPr>
      <w:keepNext/>
      <w:keepLines/>
      <w:suppressAutoHyphens w:val="0"/>
      <w:spacing w:before="360" w:after="80" w:line="259" w:lineRule="auto"/>
    </w:pPr>
    <w:rPr>
      <w:rFonts w:ascii="Georgia" w:eastAsia="Georgia" w:hAnsi="Georgia" w:cs="Georgia"/>
      <w:i/>
      <w:color w:val="666666"/>
      <w:sz w:val="48"/>
      <w:szCs w:val="48"/>
      <w:lang w:val="en-US" w:eastAsia="ja-JP"/>
    </w:rPr>
  </w:style>
  <w:style w:type="character" w:customStyle="1" w:styleId="SubtitleChar">
    <w:name w:val="Subtitle Char"/>
    <w:basedOn w:val="DefaultParagraphFont"/>
    <w:link w:val="Subtitle"/>
    <w:uiPriority w:val="11"/>
    <w:rsid w:val="0006376B"/>
    <w:rPr>
      <w:rFonts w:ascii="Georgia" w:eastAsia="Georgia" w:hAnsi="Georgia" w:cs="Georgia"/>
      <w:i/>
      <w:color w:val="666666"/>
      <w:sz w:val="48"/>
      <w:szCs w:val="48"/>
      <w:lang w:val="en-US" w:eastAsia="ja-JP"/>
    </w:rPr>
  </w:style>
  <w:style w:type="paragraph" w:styleId="TOCHeading">
    <w:name w:val="TOC Heading"/>
    <w:basedOn w:val="Heading1"/>
    <w:next w:val="Normal"/>
    <w:uiPriority w:val="39"/>
    <w:unhideWhenUsed/>
    <w:qFormat/>
    <w:rsid w:val="0006376B"/>
    <w:pPr>
      <w:tabs>
        <w:tab w:val="clear" w:pos="1701"/>
        <w:tab w:val="clear" w:pos="2268"/>
        <w:tab w:val="clear" w:pos="2835"/>
      </w:tab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4">
    <w:name w:val="toc 4"/>
    <w:basedOn w:val="Normal"/>
    <w:next w:val="Normal"/>
    <w:autoRedefine/>
    <w:uiPriority w:val="39"/>
    <w:semiHidden/>
    <w:unhideWhenUsed/>
    <w:rsid w:val="0006376B"/>
    <w:pPr>
      <w:suppressAutoHyphens w:val="0"/>
      <w:spacing w:line="259" w:lineRule="auto"/>
      <w:ind w:left="660"/>
    </w:pPr>
    <w:rPr>
      <w:rFonts w:asciiTheme="minorHAnsi" w:eastAsia="Calibri" w:hAnsiTheme="minorHAnsi" w:cstheme="minorHAnsi"/>
      <w:lang w:val="en-US" w:eastAsia="ja-JP"/>
    </w:rPr>
  </w:style>
  <w:style w:type="paragraph" w:styleId="TOC5">
    <w:name w:val="toc 5"/>
    <w:basedOn w:val="Normal"/>
    <w:next w:val="Normal"/>
    <w:autoRedefine/>
    <w:uiPriority w:val="39"/>
    <w:semiHidden/>
    <w:unhideWhenUsed/>
    <w:rsid w:val="0006376B"/>
    <w:pPr>
      <w:suppressAutoHyphens w:val="0"/>
      <w:spacing w:line="259" w:lineRule="auto"/>
      <w:ind w:left="880"/>
    </w:pPr>
    <w:rPr>
      <w:rFonts w:asciiTheme="minorHAnsi" w:eastAsia="Calibri" w:hAnsiTheme="minorHAnsi" w:cstheme="minorHAnsi"/>
      <w:lang w:val="en-US" w:eastAsia="ja-JP"/>
    </w:rPr>
  </w:style>
  <w:style w:type="paragraph" w:styleId="TOC6">
    <w:name w:val="toc 6"/>
    <w:basedOn w:val="Normal"/>
    <w:next w:val="Normal"/>
    <w:autoRedefine/>
    <w:uiPriority w:val="39"/>
    <w:semiHidden/>
    <w:unhideWhenUsed/>
    <w:rsid w:val="0006376B"/>
    <w:pPr>
      <w:suppressAutoHyphens w:val="0"/>
      <w:spacing w:line="259" w:lineRule="auto"/>
      <w:ind w:left="1100"/>
    </w:pPr>
    <w:rPr>
      <w:rFonts w:asciiTheme="minorHAnsi" w:eastAsia="Calibri" w:hAnsiTheme="minorHAnsi" w:cstheme="minorHAnsi"/>
      <w:lang w:val="en-US" w:eastAsia="ja-JP"/>
    </w:rPr>
  </w:style>
  <w:style w:type="paragraph" w:styleId="TOC7">
    <w:name w:val="toc 7"/>
    <w:basedOn w:val="Normal"/>
    <w:next w:val="Normal"/>
    <w:autoRedefine/>
    <w:uiPriority w:val="39"/>
    <w:semiHidden/>
    <w:unhideWhenUsed/>
    <w:rsid w:val="0006376B"/>
    <w:pPr>
      <w:suppressAutoHyphens w:val="0"/>
      <w:spacing w:line="259" w:lineRule="auto"/>
      <w:ind w:left="1320"/>
    </w:pPr>
    <w:rPr>
      <w:rFonts w:asciiTheme="minorHAnsi" w:eastAsia="Calibri" w:hAnsiTheme="minorHAnsi" w:cstheme="minorHAnsi"/>
      <w:lang w:val="en-US" w:eastAsia="ja-JP"/>
    </w:rPr>
  </w:style>
  <w:style w:type="paragraph" w:styleId="TOC8">
    <w:name w:val="toc 8"/>
    <w:basedOn w:val="Normal"/>
    <w:next w:val="Normal"/>
    <w:autoRedefine/>
    <w:uiPriority w:val="39"/>
    <w:semiHidden/>
    <w:unhideWhenUsed/>
    <w:rsid w:val="0006376B"/>
    <w:pPr>
      <w:suppressAutoHyphens w:val="0"/>
      <w:spacing w:line="259" w:lineRule="auto"/>
      <w:ind w:left="1540"/>
    </w:pPr>
    <w:rPr>
      <w:rFonts w:asciiTheme="minorHAnsi" w:eastAsia="Calibri" w:hAnsiTheme="minorHAnsi" w:cstheme="minorHAnsi"/>
      <w:lang w:val="en-US" w:eastAsia="ja-JP"/>
    </w:rPr>
  </w:style>
  <w:style w:type="paragraph" w:styleId="TOC9">
    <w:name w:val="toc 9"/>
    <w:basedOn w:val="Normal"/>
    <w:next w:val="Normal"/>
    <w:autoRedefine/>
    <w:uiPriority w:val="39"/>
    <w:semiHidden/>
    <w:unhideWhenUsed/>
    <w:rsid w:val="0006376B"/>
    <w:pPr>
      <w:suppressAutoHyphens w:val="0"/>
      <w:spacing w:line="259" w:lineRule="auto"/>
      <w:ind w:left="1760"/>
    </w:pPr>
    <w:rPr>
      <w:rFonts w:asciiTheme="minorHAnsi" w:eastAsia="Calibri" w:hAnsiTheme="minorHAnsi" w:cstheme="minorHAnsi"/>
      <w:lang w:val="en-US" w:eastAsia="ja-JP"/>
    </w:rPr>
  </w:style>
  <w:style w:type="paragraph" w:styleId="Revision">
    <w:name w:val="Revision"/>
    <w:hidden/>
    <w:uiPriority w:val="99"/>
    <w:semiHidden/>
    <w:rsid w:val="0006376B"/>
    <w:pPr>
      <w:spacing w:after="0" w:line="240" w:lineRule="auto"/>
    </w:pPr>
    <w:rPr>
      <w:rFonts w:ascii="Calibri" w:eastAsia="Calibri" w:hAnsi="Calibri" w:cs="Calibri"/>
      <w:lang w:val="en-US" w:eastAsia="ja-JP"/>
    </w:rPr>
  </w:style>
  <w:style w:type="paragraph" w:customStyle="1" w:styleId="Default">
    <w:name w:val="Default"/>
    <w:rsid w:val="0006376B"/>
    <w:pPr>
      <w:autoSpaceDE w:val="0"/>
      <w:autoSpaceDN w:val="0"/>
      <w:adjustRightInd w:val="0"/>
      <w:spacing w:after="0" w:line="240" w:lineRule="auto"/>
    </w:pPr>
    <w:rPr>
      <w:rFonts w:ascii="Times New Roman" w:eastAsia="Calibri" w:hAnsi="Times New Roman" w:cs="Times New Roman"/>
      <w:color w:val="000000"/>
      <w:sz w:val="24"/>
      <w:szCs w:val="24"/>
      <w:lang w:val="en-GB" w:eastAsia="ja-JP"/>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06376B"/>
    <w:pPr>
      <w:suppressAutoHyphens w:val="0"/>
      <w:spacing w:after="160" w:line="240" w:lineRule="exact"/>
      <w:jc w:val="both"/>
    </w:pPr>
    <w:rPr>
      <w:rFonts w:eastAsiaTheme="minorHAnsi" w:cstheme="minorBidi"/>
      <w:sz w:val="18"/>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06376B"/>
    <w:pPr>
      <w:suppressAutoHyphens w:val="0"/>
      <w:spacing w:after="160" w:line="240" w:lineRule="exact"/>
      <w:jc w:val="both"/>
    </w:pPr>
    <w:rPr>
      <w:rFonts w:asciiTheme="minorHAnsi" w:eastAsiaTheme="minorHAnsi" w:hAnsiTheme="minorHAnsi" w:cstheme="minorBidi"/>
      <w:sz w:val="24"/>
      <w:szCs w:val="24"/>
      <w:vertAlign w:val="superscript"/>
    </w:rPr>
  </w:style>
  <w:style w:type="paragraph" w:styleId="NoSpacing">
    <w:name w:val="No Spacing"/>
    <w:uiPriority w:val="1"/>
    <w:qFormat/>
    <w:rsid w:val="0006376B"/>
    <w:pPr>
      <w:spacing w:after="0" w:line="240" w:lineRule="auto"/>
    </w:pPr>
    <w:rPr>
      <w:rFonts w:ascii="Calibri" w:eastAsia="Calibri" w:hAnsi="Calibri" w:cs="Calibri"/>
      <w:lang w:val="en-US" w:eastAsia="ja-JP"/>
    </w:rPr>
  </w:style>
  <w:style w:type="paragraph" w:styleId="NormalWeb">
    <w:name w:val="Normal (Web)"/>
    <w:basedOn w:val="Normal"/>
    <w:uiPriority w:val="99"/>
    <w:unhideWhenUsed/>
    <w:rsid w:val="0006376B"/>
    <w:pPr>
      <w:suppressAutoHyphens w:val="0"/>
      <w:spacing w:line="240" w:lineRule="auto"/>
    </w:pPr>
    <w:rPr>
      <w:sz w:val="24"/>
      <w:szCs w:val="24"/>
      <w:lang w:val="fr-CH" w:eastAsia="fr-CH"/>
    </w:rPr>
  </w:style>
  <w:style w:type="character" w:styleId="Emphasis">
    <w:name w:val="Emphasis"/>
    <w:basedOn w:val="DefaultParagraphFont"/>
    <w:uiPriority w:val="20"/>
    <w:qFormat/>
    <w:rsid w:val="00242459"/>
    <w:rPr>
      <w:i/>
      <w:iCs/>
    </w:rPr>
  </w:style>
  <w:style w:type="character" w:customStyle="1" w:styleId="UnresolvedMention1">
    <w:name w:val="Unresolved Mention1"/>
    <w:basedOn w:val="DefaultParagraphFont"/>
    <w:uiPriority w:val="99"/>
    <w:semiHidden/>
    <w:unhideWhenUsed/>
    <w:rsid w:val="002703B2"/>
    <w:rPr>
      <w:color w:val="605E5C"/>
      <w:shd w:val="clear" w:color="auto" w:fill="E1DFDD"/>
    </w:rPr>
  </w:style>
  <w:style w:type="character" w:customStyle="1" w:styleId="UnresolvedMention2">
    <w:name w:val="Unresolved Mention2"/>
    <w:basedOn w:val="DefaultParagraphFont"/>
    <w:uiPriority w:val="99"/>
    <w:semiHidden/>
    <w:unhideWhenUsed/>
    <w:rsid w:val="0076459E"/>
    <w:rPr>
      <w:color w:val="605E5C"/>
      <w:shd w:val="clear" w:color="auto" w:fill="E1DFDD"/>
    </w:rPr>
  </w:style>
  <w:style w:type="character" w:customStyle="1" w:styleId="markedcontent">
    <w:name w:val="markedcontent"/>
    <w:basedOn w:val="DefaultParagraphFont"/>
    <w:rsid w:val="005E7A14"/>
  </w:style>
  <w:style w:type="character" w:styleId="UnresolvedMention">
    <w:name w:val="Unresolved Mention"/>
    <w:basedOn w:val="DefaultParagraphFont"/>
    <w:uiPriority w:val="99"/>
    <w:semiHidden/>
    <w:unhideWhenUsed/>
    <w:rsid w:val="005679AC"/>
    <w:rPr>
      <w:color w:val="605E5C"/>
      <w:shd w:val="clear" w:color="auto" w:fill="E1DFDD"/>
    </w:rPr>
  </w:style>
  <w:style w:type="character" w:customStyle="1" w:styleId="mo">
    <w:name w:val="mo"/>
    <w:basedOn w:val="DefaultParagraphFont"/>
    <w:rsid w:val="000C764D"/>
  </w:style>
  <w:style w:type="character" w:customStyle="1" w:styleId="mn">
    <w:name w:val="mn"/>
    <w:basedOn w:val="DefaultParagraphFont"/>
    <w:rsid w:val="000C764D"/>
  </w:style>
  <w:style w:type="character" w:customStyle="1" w:styleId="mtext">
    <w:name w:val="mtext"/>
    <w:basedOn w:val="DefaultParagraphFont"/>
    <w:rsid w:val="000C764D"/>
  </w:style>
  <w:style w:type="character" w:customStyle="1" w:styleId="authorname">
    <w:name w:val="authorname"/>
    <w:basedOn w:val="DefaultParagraphFont"/>
    <w:rsid w:val="00D6538D"/>
  </w:style>
  <w:style w:type="character" w:customStyle="1" w:styleId="separator">
    <w:name w:val="separator"/>
    <w:basedOn w:val="DefaultParagraphFont"/>
    <w:rsid w:val="00D65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0947">
      <w:bodyDiv w:val="1"/>
      <w:marLeft w:val="0"/>
      <w:marRight w:val="0"/>
      <w:marTop w:val="0"/>
      <w:marBottom w:val="0"/>
      <w:divBdr>
        <w:top w:val="none" w:sz="0" w:space="0" w:color="auto"/>
        <w:left w:val="none" w:sz="0" w:space="0" w:color="auto"/>
        <w:bottom w:val="none" w:sz="0" w:space="0" w:color="auto"/>
        <w:right w:val="none" w:sz="0" w:space="0" w:color="auto"/>
      </w:divBdr>
      <w:divsChild>
        <w:div w:id="415637572">
          <w:marLeft w:val="0"/>
          <w:marRight w:val="0"/>
          <w:marTop w:val="0"/>
          <w:marBottom w:val="0"/>
          <w:divBdr>
            <w:top w:val="none" w:sz="0" w:space="0" w:color="auto"/>
            <w:left w:val="none" w:sz="0" w:space="0" w:color="auto"/>
            <w:bottom w:val="none" w:sz="0" w:space="0" w:color="auto"/>
            <w:right w:val="none" w:sz="0" w:space="0" w:color="auto"/>
          </w:divBdr>
        </w:div>
        <w:div w:id="1448892159">
          <w:marLeft w:val="0"/>
          <w:marRight w:val="0"/>
          <w:marTop w:val="0"/>
          <w:marBottom w:val="0"/>
          <w:divBdr>
            <w:top w:val="none" w:sz="0" w:space="0" w:color="auto"/>
            <w:left w:val="none" w:sz="0" w:space="0" w:color="auto"/>
            <w:bottom w:val="none" w:sz="0" w:space="0" w:color="auto"/>
            <w:right w:val="none" w:sz="0" w:space="0" w:color="auto"/>
          </w:divBdr>
        </w:div>
        <w:div w:id="360472385">
          <w:marLeft w:val="0"/>
          <w:marRight w:val="0"/>
          <w:marTop w:val="0"/>
          <w:marBottom w:val="0"/>
          <w:divBdr>
            <w:top w:val="none" w:sz="0" w:space="0" w:color="auto"/>
            <w:left w:val="none" w:sz="0" w:space="0" w:color="auto"/>
            <w:bottom w:val="none" w:sz="0" w:space="0" w:color="auto"/>
            <w:right w:val="none" w:sz="0" w:space="0" w:color="auto"/>
          </w:divBdr>
        </w:div>
        <w:div w:id="1521044632">
          <w:marLeft w:val="0"/>
          <w:marRight w:val="0"/>
          <w:marTop w:val="0"/>
          <w:marBottom w:val="0"/>
          <w:divBdr>
            <w:top w:val="none" w:sz="0" w:space="0" w:color="auto"/>
            <w:left w:val="none" w:sz="0" w:space="0" w:color="auto"/>
            <w:bottom w:val="none" w:sz="0" w:space="0" w:color="auto"/>
            <w:right w:val="none" w:sz="0" w:space="0" w:color="auto"/>
          </w:divBdr>
        </w:div>
      </w:divsChild>
    </w:div>
    <w:div w:id="854612461">
      <w:bodyDiv w:val="1"/>
      <w:marLeft w:val="0"/>
      <w:marRight w:val="0"/>
      <w:marTop w:val="0"/>
      <w:marBottom w:val="0"/>
      <w:divBdr>
        <w:top w:val="none" w:sz="0" w:space="0" w:color="auto"/>
        <w:left w:val="none" w:sz="0" w:space="0" w:color="auto"/>
        <w:bottom w:val="none" w:sz="0" w:space="0" w:color="auto"/>
        <w:right w:val="none" w:sz="0" w:space="0" w:color="auto"/>
      </w:divBdr>
    </w:div>
    <w:div w:id="989483019">
      <w:bodyDiv w:val="1"/>
      <w:marLeft w:val="0"/>
      <w:marRight w:val="0"/>
      <w:marTop w:val="0"/>
      <w:marBottom w:val="0"/>
      <w:divBdr>
        <w:top w:val="none" w:sz="0" w:space="0" w:color="auto"/>
        <w:left w:val="none" w:sz="0" w:space="0" w:color="auto"/>
        <w:bottom w:val="none" w:sz="0" w:space="0" w:color="auto"/>
        <w:right w:val="none" w:sz="0" w:space="0" w:color="auto"/>
      </w:divBdr>
    </w:div>
    <w:div w:id="1330325627">
      <w:bodyDiv w:val="1"/>
      <w:marLeft w:val="0"/>
      <w:marRight w:val="0"/>
      <w:marTop w:val="0"/>
      <w:marBottom w:val="0"/>
      <w:divBdr>
        <w:top w:val="none" w:sz="0" w:space="0" w:color="auto"/>
        <w:left w:val="none" w:sz="0" w:space="0" w:color="auto"/>
        <w:bottom w:val="none" w:sz="0" w:space="0" w:color="auto"/>
        <w:right w:val="none" w:sz="0" w:space="0" w:color="auto"/>
      </w:divBdr>
    </w:div>
    <w:div w:id="1482504538">
      <w:bodyDiv w:val="1"/>
      <w:marLeft w:val="0"/>
      <w:marRight w:val="0"/>
      <w:marTop w:val="0"/>
      <w:marBottom w:val="0"/>
      <w:divBdr>
        <w:top w:val="none" w:sz="0" w:space="0" w:color="auto"/>
        <w:left w:val="none" w:sz="0" w:space="0" w:color="auto"/>
        <w:bottom w:val="none" w:sz="0" w:space="0" w:color="auto"/>
        <w:right w:val="none" w:sz="0" w:space="0" w:color="auto"/>
      </w:divBdr>
    </w:div>
    <w:div w:id="21273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S0140-6736(16)31389-7" TargetMode="External"/><Relationship Id="rId7" Type="http://schemas.openxmlformats.org/officeDocument/2006/relationships/hyperlink" Target="https://www.ohchr.org/sites/default/files/Documents/HRBodies/CRC/Discussions/2016/DGDoutcomereport-May2017.pdf" TargetMode="External"/><Relationship Id="rId2" Type="http://schemas.openxmlformats.org/officeDocument/2006/relationships/hyperlink" Target="https://sdgs.un.org/goals" TargetMode="External"/><Relationship Id="rId1" Type="http://schemas.openxmlformats.org/officeDocument/2006/relationships/hyperlink" Target="https://doi.org/10.1016/S0140-6736(16)31389-7" TargetMode="External"/><Relationship Id="rId6" Type="http://schemas.openxmlformats.org/officeDocument/2006/relationships/hyperlink" Target="https://www.unicef.org/press-releases/nearly-240-million-children-disabilities-around-world" TargetMode="External"/><Relationship Id="rId5" Type="http://schemas.openxmlformats.org/officeDocument/2006/relationships/hyperlink" Target="https://www.openglobalrights.org/countering-discrimination-against-pregnant-women-exposed-high-temperature/" TargetMode="External"/><Relationship Id="rId4" Type="http://schemas.openxmlformats.org/officeDocument/2006/relationships/hyperlink" Target="https://doi.org/10.1289/EHP29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7CA1B-200A-498A-A7BF-627683E629AD}">
  <ds:schemaRefs>
    <ds:schemaRef ds:uri="http://schemas.openxmlformats.org/officeDocument/2006/bibliography"/>
  </ds:schemaRefs>
</ds:datastoreItem>
</file>

<file path=customXml/itemProps2.xml><?xml version="1.0" encoding="utf-8"?>
<ds:datastoreItem xmlns:ds="http://schemas.openxmlformats.org/officeDocument/2006/customXml" ds:itemID="{49F53020-2419-4E57-A9B0-4EDD98620A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2E819-FB0C-41F2-9FB7-0F92AFF338E6}">
  <ds:schemaRefs>
    <ds:schemaRef ds:uri="http://schemas.microsoft.com/sharepoint/v3/contenttype/forms"/>
  </ds:schemaRefs>
</ds:datastoreItem>
</file>

<file path=customXml/itemProps4.xml><?xml version="1.0" encoding="utf-8"?>
<ds:datastoreItem xmlns:ds="http://schemas.openxmlformats.org/officeDocument/2006/customXml" ds:itemID="{F355400B-7B69-4363-9530-0E3DCA83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2640</Words>
  <Characters>15530</Characters>
  <Application>Microsoft Office Word</Application>
  <DocSecurity>2</DocSecurity>
  <Lines>258</Lines>
  <Paragraphs>79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CRC/C/KIR/CO/2-4</vt:lpstr>
      <vt:lpstr>CRC/C/KIR/CO/2-4</vt:lpstr>
      <vt:lpstr/>
    </vt:vector>
  </TitlesOfParts>
  <Company>DCM</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CRC/C/KIR/CO/2-4</dc:title>
  <dc:creator>Gloria</dc:creator>
  <cp:lastModifiedBy>Bundschuh, Thomas</cp:lastModifiedBy>
  <cp:revision>3</cp:revision>
  <cp:lastPrinted>2017-10-25T12:09:00Z</cp:lastPrinted>
  <dcterms:created xsi:type="dcterms:W3CDTF">2023-02-15T23:46:00Z</dcterms:created>
  <dcterms:modified xsi:type="dcterms:W3CDTF">2023-02-15T23:47:00Z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CRC</vt:lpwstr>
  </property>
  <property fmtid="{D5CDD505-2E9C-101B-9397-08002B2CF9AE}" pid="7" name="ContentTypeId">
    <vt:lpwstr>0x010100EF7F3C829DF7D944B160ED13BF208A7C</vt:lpwstr>
  </property>
  <property fmtid="{D5CDD505-2E9C-101B-9397-08002B2CF9AE}" pid="8" name="count">
    <vt:lpwstr>Kiribati</vt:lpwstr>
  </property>
  <property fmtid="{D5CDD505-2E9C-101B-9397-08002B2CF9AE}" pid="9" name="countw">
    <vt:lpwstr>Kiribati</vt:lpwstr>
  </property>
  <property fmtid="{D5CDD505-2E9C-101B-9397-08002B2CF9AE}" pid="10" name="countwd">
    <vt:lpwstr>Kiribati</vt:lpwstr>
  </property>
  <property fmtid="{D5CDD505-2E9C-101B-9397-08002B2CF9AE}" pid="11" name="date">
    <vt:lpwstr>3 October 2022</vt:lpwstr>
  </property>
  <property fmtid="{D5CDD505-2E9C-101B-9397-08002B2CF9AE}" pid="12" name="Date-Generated">
    <vt:filetime>2022-10-03T08:20:56Z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171000</vt:r8>
  </property>
  <property fmtid="{D5CDD505-2E9C-101B-9397-08002B2CF9AE}" pid="22" name="Org">
    <vt:lpwstr>OHCHR</vt:lpwstr>
  </property>
  <property fmtid="{D5CDD505-2E9C-101B-9397-08002B2CF9AE}" pid="23" name="prep">
    <vt:lpwstr> combined second to fourth reports of Kiribati</vt:lpwstr>
  </property>
  <property fmtid="{D5CDD505-2E9C-101B-9397-08002B2CF9AE}" pid="24" name="preps">
    <vt:lpwstr> combined second to fourth reports of Kiribati</vt:lpwstr>
  </property>
  <property fmtid="{D5CDD505-2E9C-101B-9397-08002B2CF9AE}" pid="25" name="prepw">
    <vt:lpwstr> combined second to fourth reports</vt:lpwstr>
  </property>
  <property fmtid="{D5CDD505-2E9C-101B-9397-08002B2CF9AE}" pid="26" name="prepwc">
    <vt:lpwstr>Combined second to fourth reports </vt:lpwstr>
  </property>
  <property fmtid="{D5CDD505-2E9C-101B-9397-08002B2CF9AE}" pid="27" name="prepws">
    <vt:lpwstr>Combined second to fourth reports </vt:lpwstr>
  </property>
  <property fmtid="{D5CDD505-2E9C-101B-9397-08002B2CF9AE}" pid="28" name="sdate">
    <vt:lpwstr>[Start-End Dates]</vt:lpwstr>
  </property>
  <property fmtid="{D5CDD505-2E9C-101B-9397-08002B2CF9AE}" pid="29" name="snum">
    <vt:lpwstr>[NUMBER]</vt:lpwstr>
  </property>
  <property fmtid="{D5CDD505-2E9C-101B-9397-08002B2CF9AE}" pid="30" name="stitle">
    <vt:lpwstr>[Title]</vt:lpwstr>
  </property>
  <property fmtid="{D5CDD505-2E9C-101B-9397-08002B2CF9AE}" pid="31" name="sym1">
    <vt:lpwstr>C/KIR/CO/2-4</vt:lpwstr>
  </property>
  <property fmtid="{D5CDD505-2E9C-101B-9397-08002B2CF9AE}" pid="32" name="symh">
    <vt:lpwstr>CRC/C/KIR/CO/2-4</vt:lpwstr>
  </property>
  <property fmtid="{D5CDD505-2E9C-101B-9397-08002B2CF9AE}" pid="33" name="Title">
    <vt:lpwstr>CRC/C/KIR/CO/2-4</vt:lpwstr>
  </property>
  <property fmtid="{D5CDD505-2E9C-101B-9397-08002B2CF9AE}" pid="34" name="tlang">
    <vt:lpwstr/>
  </property>
  <property fmtid="{D5CDD505-2E9C-101B-9397-08002B2CF9AE}" pid="35" name="virs">
    <vt:lpwstr>English only</vt:lpwstr>
  </property>
</Properties>
</file>