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8E949" w14:textId="77777777" w:rsidR="003A064A" w:rsidRPr="00E971D5" w:rsidRDefault="003A064A" w:rsidP="003A064A">
      <w:pPr>
        <w:jc w:val="center"/>
        <w:rPr>
          <w:rFonts w:ascii="MetaPro-Norm" w:hAnsi="MetaPro-Norm"/>
          <w:b/>
          <w:bCs/>
        </w:rPr>
      </w:pPr>
      <w:r w:rsidRPr="00E971D5">
        <w:rPr>
          <w:rFonts w:ascii="MetaPro-Norm" w:hAnsi="MetaPro-Norm" w:cstheme="minorHAnsi"/>
          <w:noProof/>
          <w:color w:val="2B579A"/>
          <w:shd w:val="clear" w:color="auto" w:fill="E6E6E6"/>
        </w:rPr>
        <w:drawing>
          <wp:inline distT="0" distB="0" distL="0" distR="0" wp14:anchorId="1762F01B" wp14:editId="49A1F9ED">
            <wp:extent cx="1358900" cy="1358900"/>
            <wp:effectExtent l="0" t="0" r="0" b="0"/>
            <wp:docPr id="1" name="Picture 1" descr="HR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RW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0" cy="1358900"/>
                    </a:xfrm>
                    <a:prstGeom prst="rect">
                      <a:avLst/>
                    </a:prstGeom>
                    <a:noFill/>
                    <a:ln>
                      <a:noFill/>
                    </a:ln>
                  </pic:spPr>
                </pic:pic>
              </a:graphicData>
            </a:graphic>
          </wp:inline>
        </w:drawing>
      </w:r>
    </w:p>
    <w:p w14:paraId="63CA7786" w14:textId="49E07D66" w:rsidR="003A064A" w:rsidRPr="00E971D5" w:rsidRDefault="004169AF" w:rsidP="003A064A">
      <w:pPr>
        <w:pStyle w:val="NoSpacing"/>
        <w:spacing w:line="22" w:lineRule="atLeast"/>
        <w:jc w:val="center"/>
        <w:rPr>
          <w:rFonts w:ascii="MetaPro-Norm" w:eastAsia="MetaPro-Norm" w:hAnsi="MetaPro-Norm" w:cs="MetaPro-Norm"/>
          <w:b/>
          <w:bCs/>
          <w:sz w:val="22"/>
          <w:szCs w:val="22"/>
        </w:rPr>
      </w:pPr>
      <w:r w:rsidRPr="2A0BAD4F">
        <w:rPr>
          <w:rFonts w:ascii="MetaPro-Norm" w:eastAsia="MetaPro-Norm" w:hAnsi="MetaPro-Norm" w:cs="MetaPro-Norm"/>
          <w:b/>
          <w:bCs/>
          <w:sz w:val="22"/>
          <w:szCs w:val="22"/>
        </w:rPr>
        <w:t xml:space="preserve">General Comment </w:t>
      </w:r>
      <w:r w:rsidR="00537AB4" w:rsidRPr="2A0BAD4F">
        <w:rPr>
          <w:rFonts w:ascii="MetaPro-Norm" w:eastAsia="MetaPro-Norm" w:hAnsi="MetaPro-Norm" w:cs="MetaPro-Norm"/>
          <w:b/>
          <w:bCs/>
          <w:sz w:val="22"/>
          <w:szCs w:val="22"/>
        </w:rPr>
        <w:t>on Children’s Rights and the Environment with a Special Focus on Climate Change</w:t>
      </w:r>
    </w:p>
    <w:p w14:paraId="6DD8E057" w14:textId="1D62BC5C" w:rsidR="63012293" w:rsidRDefault="63012293" w:rsidP="2A0BAD4F">
      <w:pPr>
        <w:pStyle w:val="NoSpacing"/>
        <w:spacing w:line="22" w:lineRule="atLeast"/>
        <w:jc w:val="center"/>
        <w:rPr>
          <w:rFonts w:ascii="MetaPro-Norm" w:eastAsia="MetaPro-Norm" w:hAnsi="MetaPro-Norm" w:cs="MetaPro-Norm"/>
          <w:b/>
          <w:bCs/>
          <w:sz w:val="22"/>
          <w:szCs w:val="22"/>
        </w:rPr>
      </w:pPr>
      <w:r w:rsidRPr="2A0BAD4F">
        <w:rPr>
          <w:rFonts w:ascii="MetaPro-Norm" w:eastAsia="MetaPro-Norm" w:hAnsi="MetaPro-Norm" w:cs="MetaPro-Norm"/>
          <w:b/>
          <w:bCs/>
          <w:sz w:val="22"/>
          <w:szCs w:val="22"/>
        </w:rPr>
        <w:t>Submission by Human Rights Watch</w:t>
      </w:r>
    </w:p>
    <w:p w14:paraId="69583FFF" w14:textId="70CFA4D5" w:rsidR="003A064A" w:rsidRPr="00E971D5" w:rsidRDefault="00537AB4" w:rsidP="003A064A">
      <w:pPr>
        <w:pStyle w:val="NoSpacing"/>
        <w:spacing w:line="22" w:lineRule="atLeast"/>
        <w:jc w:val="center"/>
        <w:rPr>
          <w:rFonts w:ascii="MetaPro-Norm" w:eastAsia="MetaPro-Norm" w:hAnsi="MetaPro-Norm" w:cs="MetaPro-Norm"/>
          <w:b/>
          <w:bCs/>
          <w:i/>
          <w:iCs/>
          <w:sz w:val="22"/>
          <w:szCs w:val="22"/>
        </w:rPr>
      </w:pPr>
      <w:r w:rsidRPr="00E971D5">
        <w:rPr>
          <w:rFonts w:ascii="MetaPro-Norm" w:eastAsia="MetaPro-Norm" w:hAnsi="MetaPro-Norm" w:cs="MetaPro-Norm"/>
          <w:b/>
          <w:bCs/>
          <w:i/>
          <w:iCs/>
          <w:sz w:val="22"/>
          <w:szCs w:val="22"/>
        </w:rPr>
        <w:t>February</w:t>
      </w:r>
      <w:r w:rsidR="003A064A" w:rsidRPr="00E971D5">
        <w:rPr>
          <w:rFonts w:ascii="MetaPro-Norm" w:eastAsia="MetaPro-Norm" w:hAnsi="MetaPro-Norm" w:cs="MetaPro-Norm"/>
          <w:b/>
          <w:bCs/>
          <w:i/>
          <w:iCs/>
          <w:sz w:val="22"/>
          <w:szCs w:val="22"/>
        </w:rPr>
        <w:t xml:space="preserve"> 2023</w:t>
      </w:r>
    </w:p>
    <w:p w14:paraId="799BFE30" w14:textId="77777777" w:rsidR="003A064A" w:rsidRPr="00E971D5" w:rsidRDefault="003A064A" w:rsidP="003A064A">
      <w:pPr>
        <w:pStyle w:val="NoSpacing"/>
        <w:spacing w:line="22" w:lineRule="atLeast"/>
        <w:jc w:val="center"/>
        <w:rPr>
          <w:rFonts w:ascii="MetaPro-Norm" w:eastAsia="MetaPro-Norm" w:hAnsi="MetaPro-Norm" w:cs="MetaPro-Norm"/>
          <w:b/>
          <w:bCs/>
          <w:i/>
          <w:iCs/>
          <w:sz w:val="22"/>
          <w:szCs w:val="22"/>
        </w:rPr>
      </w:pPr>
    </w:p>
    <w:p w14:paraId="720860DB" w14:textId="46ECFC17" w:rsidR="00CB15C2" w:rsidRPr="00E971D5" w:rsidRDefault="003A064A" w:rsidP="00076D64">
      <w:pPr>
        <w:spacing w:after="0"/>
        <w:rPr>
          <w:rFonts w:ascii="MetaPro-Norm" w:hAnsi="MetaPro-Norm"/>
        </w:rPr>
      </w:pPr>
      <w:r w:rsidRPr="2A0BAD4F">
        <w:rPr>
          <w:rFonts w:ascii="MetaPro-Norm" w:hAnsi="MetaPro-Norm"/>
        </w:rPr>
        <w:t xml:space="preserve">Human Rights Watch welcomes the opportunity to provide input </w:t>
      </w:r>
      <w:r w:rsidR="008238E4" w:rsidRPr="2A0BAD4F">
        <w:rPr>
          <w:rFonts w:ascii="MetaPro-Norm" w:hAnsi="MetaPro-Norm"/>
        </w:rPr>
        <w:t>regarding the draft general comment on children’s rights and the environment, with a special focus on climate change</w:t>
      </w:r>
      <w:r w:rsidR="000050F7" w:rsidRPr="2A0BAD4F">
        <w:rPr>
          <w:rFonts w:ascii="MetaPro-Norm" w:hAnsi="MetaPro-Norm"/>
        </w:rPr>
        <w:t xml:space="preserve">, issued by the </w:t>
      </w:r>
      <w:r w:rsidR="008238E4" w:rsidRPr="2A0BAD4F">
        <w:rPr>
          <w:rFonts w:ascii="MetaPro-Norm" w:hAnsi="MetaPro-Norm"/>
        </w:rPr>
        <w:t>Committee on the Rights of the Child</w:t>
      </w:r>
      <w:r w:rsidR="00076D64" w:rsidRPr="2A0BAD4F">
        <w:rPr>
          <w:rFonts w:ascii="MetaPro-Norm" w:hAnsi="MetaPro-Norm"/>
        </w:rPr>
        <w:t xml:space="preserve"> (“the Committee”)</w:t>
      </w:r>
      <w:r w:rsidRPr="2A0BAD4F">
        <w:rPr>
          <w:rFonts w:ascii="MetaPro-Norm" w:hAnsi="MetaPro-Norm"/>
        </w:rPr>
        <w:t xml:space="preserve">. </w:t>
      </w:r>
      <w:r w:rsidR="00FC7ECF" w:rsidRPr="2A0BAD4F">
        <w:rPr>
          <w:rFonts w:ascii="MetaPro-Norm" w:hAnsi="MetaPro-Norm"/>
        </w:rPr>
        <w:t xml:space="preserve">We hope this will inform the Committee as it </w:t>
      </w:r>
      <w:r w:rsidR="207AF5E2" w:rsidRPr="2A0BAD4F">
        <w:rPr>
          <w:rFonts w:ascii="MetaPro-Norm" w:hAnsi="MetaPro-Norm"/>
        </w:rPr>
        <w:t xml:space="preserve">finalizes </w:t>
      </w:r>
      <w:r w:rsidR="00FC7ECF" w:rsidRPr="2A0BAD4F">
        <w:rPr>
          <w:rFonts w:ascii="MetaPro-Norm" w:hAnsi="MetaPro-Norm"/>
        </w:rPr>
        <w:t xml:space="preserve">the </w:t>
      </w:r>
      <w:r w:rsidR="64E8E46A" w:rsidRPr="2A0BAD4F">
        <w:rPr>
          <w:rFonts w:ascii="MetaPro-Norm" w:hAnsi="MetaPro-Norm"/>
        </w:rPr>
        <w:t>G</w:t>
      </w:r>
      <w:r w:rsidR="0028335D" w:rsidRPr="2A0BAD4F">
        <w:rPr>
          <w:rFonts w:ascii="MetaPro-Norm" w:hAnsi="MetaPro-Norm"/>
        </w:rPr>
        <w:t xml:space="preserve">eneral </w:t>
      </w:r>
      <w:r w:rsidR="4E94B7FC" w:rsidRPr="2A0BAD4F">
        <w:rPr>
          <w:rFonts w:ascii="MetaPro-Norm" w:hAnsi="MetaPro-Norm"/>
        </w:rPr>
        <w:t>C</w:t>
      </w:r>
      <w:r w:rsidR="0028335D" w:rsidRPr="2A0BAD4F">
        <w:rPr>
          <w:rFonts w:ascii="MetaPro-Norm" w:hAnsi="MetaPro-Norm"/>
        </w:rPr>
        <w:t>omment</w:t>
      </w:r>
      <w:r w:rsidR="00FC7ECF" w:rsidRPr="2A0BAD4F">
        <w:rPr>
          <w:rFonts w:ascii="MetaPro-Norm" w:hAnsi="MetaPro-Norm"/>
        </w:rPr>
        <w:t>.</w:t>
      </w:r>
    </w:p>
    <w:p w14:paraId="06A1ED9E" w14:textId="0D2588F0" w:rsidR="00F36BB8" w:rsidRPr="00E971D5" w:rsidRDefault="00F36BB8" w:rsidP="00076D64">
      <w:pPr>
        <w:spacing w:after="0"/>
        <w:rPr>
          <w:rFonts w:ascii="MetaPro-Norm" w:hAnsi="MetaPro-Norm"/>
        </w:rPr>
      </w:pPr>
    </w:p>
    <w:p w14:paraId="2D685F57" w14:textId="2E4BD12D" w:rsidR="00074932" w:rsidRDefault="00F36BB8" w:rsidP="00076D64">
      <w:pPr>
        <w:spacing w:after="0"/>
        <w:rPr>
          <w:rFonts w:ascii="MetaPro-Norm" w:hAnsi="MetaPro-Norm"/>
        </w:rPr>
      </w:pPr>
      <w:r w:rsidRPr="00E971D5">
        <w:rPr>
          <w:rFonts w:ascii="MetaPro-Norm" w:hAnsi="MetaPro-Norm"/>
        </w:rPr>
        <w:t xml:space="preserve">We </w:t>
      </w:r>
      <w:r w:rsidR="004448FD" w:rsidRPr="00E971D5">
        <w:rPr>
          <w:rFonts w:ascii="MetaPro-Norm" w:hAnsi="MetaPro-Norm"/>
        </w:rPr>
        <w:t>particularly appreciate</w:t>
      </w:r>
      <w:r w:rsidR="002F020E" w:rsidRPr="00E971D5">
        <w:rPr>
          <w:rFonts w:ascii="MetaPro-Norm" w:hAnsi="MetaPro-Norm"/>
        </w:rPr>
        <w:t xml:space="preserve"> that </w:t>
      </w:r>
      <w:r w:rsidR="00E606E6" w:rsidRPr="00E971D5">
        <w:rPr>
          <w:rFonts w:ascii="MetaPro-Norm" w:hAnsi="MetaPro-Norm"/>
        </w:rPr>
        <w:t>children’s views were sought and included</w:t>
      </w:r>
      <w:r w:rsidR="002F5668" w:rsidRPr="00E971D5">
        <w:rPr>
          <w:rFonts w:ascii="MetaPro-Norm" w:hAnsi="MetaPro-Norm"/>
        </w:rPr>
        <w:t xml:space="preserve"> in the draft general comment</w:t>
      </w:r>
      <w:r w:rsidR="00E606E6" w:rsidRPr="00E971D5">
        <w:rPr>
          <w:rFonts w:ascii="MetaPro-Norm" w:hAnsi="MetaPro-Norm"/>
        </w:rPr>
        <w:t xml:space="preserve">, </w:t>
      </w:r>
      <w:r w:rsidR="00EB6AEB">
        <w:rPr>
          <w:rFonts w:ascii="MetaPro-Norm" w:hAnsi="MetaPro-Norm"/>
        </w:rPr>
        <w:t xml:space="preserve">and </w:t>
      </w:r>
      <w:r w:rsidR="002F5668" w:rsidRPr="00E971D5">
        <w:rPr>
          <w:rFonts w:ascii="MetaPro-Norm" w:hAnsi="MetaPro-Norm"/>
        </w:rPr>
        <w:t xml:space="preserve">that the right to a healthy environment </w:t>
      </w:r>
      <w:r w:rsidR="00F54927" w:rsidRPr="00E971D5">
        <w:rPr>
          <w:rFonts w:ascii="MetaPro-Norm" w:hAnsi="MetaPro-Norm"/>
        </w:rPr>
        <w:t>is</w:t>
      </w:r>
      <w:r w:rsidR="002F5668" w:rsidRPr="00E971D5">
        <w:rPr>
          <w:rFonts w:ascii="MetaPro-Norm" w:hAnsi="MetaPro-Norm"/>
        </w:rPr>
        <w:t xml:space="preserve"> </w:t>
      </w:r>
      <w:r w:rsidR="003C0C1E" w:rsidRPr="00E971D5">
        <w:rPr>
          <w:rFonts w:ascii="MetaPro-Norm" w:hAnsi="MetaPro-Norm"/>
        </w:rPr>
        <w:t xml:space="preserve">explicitly </w:t>
      </w:r>
      <w:r w:rsidR="002F5668" w:rsidRPr="00E971D5">
        <w:rPr>
          <w:rFonts w:ascii="MetaPro-Norm" w:hAnsi="MetaPro-Norm"/>
        </w:rPr>
        <w:t>recognized</w:t>
      </w:r>
      <w:r w:rsidR="009D553C" w:rsidRPr="00E971D5">
        <w:rPr>
          <w:rFonts w:ascii="MetaPro-Norm" w:hAnsi="MetaPro-Norm"/>
        </w:rPr>
        <w:t>, along with the</w:t>
      </w:r>
      <w:r w:rsidR="00E606E6" w:rsidRPr="00E971D5">
        <w:rPr>
          <w:rFonts w:ascii="MetaPro-Norm" w:hAnsi="MetaPro-Norm"/>
        </w:rPr>
        <w:t xml:space="preserve"> transboundary obligations of </w:t>
      </w:r>
      <w:r w:rsidR="006128A1">
        <w:rPr>
          <w:rFonts w:ascii="MetaPro-Norm" w:hAnsi="MetaPro-Norm"/>
        </w:rPr>
        <w:t>s</w:t>
      </w:r>
      <w:r w:rsidR="00E606E6" w:rsidRPr="00E971D5">
        <w:rPr>
          <w:rFonts w:ascii="MetaPro-Norm" w:hAnsi="MetaPro-Norm"/>
        </w:rPr>
        <w:t>tates in relation to the environment generally and climate change specifically</w:t>
      </w:r>
      <w:r w:rsidR="009D553C" w:rsidRPr="00E971D5">
        <w:rPr>
          <w:rFonts w:ascii="MetaPro-Norm" w:hAnsi="MetaPro-Norm"/>
        </w:rPr>
        <w:t xml:space="preserve">. </w:t>
      </w:r>
      <w:r w:rsidR="00EB6AEB">
        <w:rPr>
          <w:rFonts w:ascii="MetaPro-Norm" w:hAnsi="MetaPro-Norm"/>
        </w:rPr>
        <w:t xml:space="preserve">We also appreciate that a life-course approach is taken </w:t>
      </w:r>
      <w:r w:rsidR="00A3588A">
        <w:rPr>
          <w:rFonts w:ascii="MetaPro-Norm" w:hAnsi="MetaPro-Norm"/>
        </w:rPr>
        <w:t>regarding</w:t>
      </w:r>
      <w:r w:rsidR="00790AF1">
        <w:rPr>
          <w:rFonts w:ascii="MetaPro-Norm" w:hAnsi="MetaPro-Norm"/>
        </w:rPr>
        <w:t xml:space="preserve"> the right of children to survive, grow, and develop.</w:t>
      </w:r>
    </w:p>
    <w:p w14:paraId="3026F5B4" w14:textId="77777777" w:rsidR="00DD15F2" w:rsidRDefault="00DD15F2" w:rsidP="00076D64">
      <w:pPr>
        <w:spacing w:after="0"/>
        <w:rPr>
          <w:rFonts w:ascii="MetaPro-Norm" w:hAnsi="MetaPro-Norm"/>
        </w:rPr>
      </w:pPr>
    </w:p>
    <w:p w14:paraId="0DD72B41" w14:textId="63C0310F" w:rsidR="00E11B51" w:rsidRDefault="3FB830A2" w:rsidP="00694081">
      <w:pPr>
        <w:spacing w:after="0"/>
        <w:rPr>
          <w:rFonts w:ascii="MetaPro-Norm" w:hAnsi="MetaPro-Norm"/>
        </w:rPr>
      </w:pPr>
      <w:r w:rsidRPr="2A0BAD4F">
        <w:rPr>
          <w:rFonts w:ascii="MetaPro-Norm" w:hAnsi="MetaPro-Norm"/>
        </w:rPr>
        <w:t xml:space="preserve">However, Human Rights Watch finds that provisions on </w:t>
      </w:r>
      <w:r w:rsidR="201BBCC7" w:rsidRPr="03C6D0CF">
        <w:rPr>
          <w:rFonts w:ascii="MetaPro-Norm" w:hAnsi="MetaPro-Norm"/>
        </w:rPr>
        <w:t>state</w:t>
      </w:r>
      <w:r w:rsidR="00A04DE6">
        <w:rPr>
          <w:rFonts w:ascii="MetaPro-Norm" w:hAnsi="MetaPro-Norm"/>
        </w:rPr>
        <w:t xml:space="preserve"> obligations</w:t>
      </w:r>
      <w:r w:rsidR="00D123AA">
        <w:rPr>
          <w:rFonts w:ascii="MetaPro-Norm" w:hAnsi="MetaPro-Norm"/>
        </w:rPr>
        <w:t xml:space="preserve"> related to </w:t>
      </w:r>
      <w:r w:rsidRPr="2A0BAD4F">
        <w:rPr>
          <w:rFonts w:ascii="MetaPro-Norm" w:hAnsi="MetaPro-Norm"/>
        </w:rPr>
        <w:t xml:space="preserve">climate change </w:t>
      </w:r>
      <w:r w:rsidR="006128A1">
        <w:rPr>
          <w:rFonts w:ascii="MetaPro-Norm" w:hAnsi="MetaPro-Norm"/>
        </w:rPr>
        <w:t xml:space="preserve">could and </w:t>
      </w:r>
      <w:r w:rsidRPr="2A0BAD4F">
        <w:rPr>
          <w:rFonts w:ascii="MetaPro-Norm" w:hAnsi="MetaPro-Norm"/>
        </w:rPr>
        <w:t xml:space="preserve">should be strengthened, and the urgency of the global environmental crisis be expressed more clearly. </w:t>
      </w:r>
      <w:r w:rsidR="00D30BE4" w:rsidRPr="2A0BAD4F">
        <w:rPr>
          <w:rFonts w:ascii="MetaPro-Norm" w:hAnsi="MetaPro-Norm"/>
        </w:rPr>
        <w:t>Human Rights Watch</w:t>
      </w:r>
      <w:r w:rsidR="009202C8" w:rsidRPr="2A0BAD4F">
        <w:rPr>
          <w:rFonts w:ascii="MetaPro-Norm" w:hAnsi="MetaPro-Norm"/>
        </w:rPr>
        <w:t xml:space="preserve"> also</w:t>
      </w:r>
      <w:r w:rsidR="00D30BE4" w:rsidRPr="2A0BAD4F">
        <w:rPr>
          <w:rFonts w:ascii="MetaPro-Norm" w:hAnsi="MetaPro-Norm"/>
        </w:rPr>
        <w:t xml:space="preserve"> finds gaps </w:t>
      </w:r>
      <w:r w:rsidR="009202C8" w:rsidRPr="2A0BAD4F">
        <w:rPr>
          <w:rFonts w:ascii="MetaPro-Norm" w:hAnsi="MetaPro-Norm"/>
        </w:rPr>
        <w:t>on</w:t>
      </w:r>
      <w:r w:rsidR="00694081" w:rsidRPr="2A0BAD4F">
        <w:rPr>
          <w:rFonts w:ascii="MetaPro-Norm" w:hAnsi="MetaPro-Norm"/>
        </w:rPr>
        <w:t xml:space="preserve"> sexual and reproductive rights, disability rights, </w:t>
      </w:r>
      <w:r w:rsidR="00C13AC5" w:rsidRPr="2A0BAD4F">
        <w:rPr>
          <w:rFonts w:ascii="MetaPro-Norm" w:hAnsi="MetaPro-Norm"/>
        </w:rPr>
        <w:t>the right to education</w:t>
      </w:r>
      <w:r w:rsidR="53444393" w:rsidRPr="2A0BAD4F">
        <w:rPr>
          <w:rFonts w:ascii="MetaPro-Norm" w:hAnsi="MetaPro-Norm"/>
        </w:rPr>
        <w:t xml:space="preserve">, </w:t>
      </w:r>
      <w:r w:rsidR="008072BC">
        <w:rPr>
          <w:rFonts w:ascii="MetaPro-Norm" w:hAnsi="MetaPro-Norm"/>
        </w:rPr>
        <w:t xml:space="preserve">the right to a clean, healthy, and sustainable environment, </w:t>
      </w:r>
      <w:r w:rsidR="53444393" w:rsidRPr="2A0BAD4F">
        <w:rPr>
          <w:rFonts w:ascii="MetaPro-Norm" w:hAnsi="MetaPro-Norm"/>
        </w:rPr>
        <w:t xml:space="preserve">and the </w:t>
      </w:r>
      <w:r w:rsidR="006128A1">
        <w:rPr>
          <w:rFonts w:ascii="MetaPro-Norm" w:hAnsi="MetaPro-Norm"/>
        </w:rPr>
        <w:t xml:space="preserve">human rights </w:t>
      </w:r>
      <w:r w:rsidR="37BC723A" w:rsidRPr="03C6D0CF">
        <w:rPr>
          <w:rFonts w:ascii="MetaPro-Norm" w:hAnsi="MetaPro-Norm"/>
        </w:rPr>
        <w:t>r</w:t>
      </w:r>
      <w:r w:rsidR="5165C19C" w:rsidRPr="03C6D0CF">
        <w:rPr>
          <w:rFonts w:ascii="MetaPro-Norm" w:hAnsi="MetaPro-Norm"/>
        </w:rPr>
        <w:t>esponsibilit</w:t>
      </w:r>
      <w:r w:rsidR="006128A1">
        <w:rPr>
          <w:rFonts w:ascii="MetaPro-Norm" w:hAnsi="MetaPro-Norm"/>
        </w:rPr>
        <w:t>ies</w:t>
      </w:r>
      <w:r w:rsidR="53444393" w:rsidRPr="2A0BAD4F">
        <w:rPr>
          <w:rFonts w:ascii="MetaPro-Norm" w:hAnsi="MetaPro-Norm"/>
        </w:rPr>
        <w:t xml:space="preserve"> of businesses</w:t>
      </w:r>
      <w:r w:rsidR="001A32EA" w:rsidRPr="2A0BAD4F">
        <w:rPr>
          <w:rFonts w:ascii="MetaPro-Norm" w:hAnsi="MetaPro-Norm"/>
        </w:rPr>
        <w:t>.</w:t>
      </w:r>
      <w:r w:rsidR="00C13AC5" w:rsidRPr="2A0BAD4F">
        <w:rPr>
          <w:rFonts w:ascii="MetaPro-Norm" w:hAnsi="MetaPro-Norm"/>
        </w:rPr>
        <w:t xml:space="preserve"> </w:t>
      </w:r>
      <w:r w:rsidR="00343E8E" w:rsidRPr="2A0BAD4F">
        <w:rPr>
          <w:rFonts w:ascii="MetaPro-Norm" w:hAnsi="MetaPro-Norm"/>
        </w:rPr>
        <w:t>W</w:t>
      </w:r>
      <w:r w:rsidR="00066434" w:rsidRPr="2A0BAD4F">
        <w:rPr>
          <w:rFonts w:ascii="MetaPro-Norm" w:hAnsi="MetaPro-Norm"/>
        </w:rPr>
        <w:t>e</w:t>
      </w:r>
      <w:r w:rsidR="00C13AC5" w:rsidRPr="2A0BAD4F">
        <w:rPr>
          <w:rFonts w:ascii="MetaPro-Norm" w:hAnsi="MetaPro-Norm"/>
        </w:rPr>
        <w:t xml:space="preserve"> </w:t>
      </w:r>
      <w:r w:rsidR="00343E8E" w:rsidRPr="2A0BAD4F">
        <w:rPr>
          <w:rFonts w:ascii="MetaPro-Norm" w:hAnsi="MetaPro-Norm"/>
        </w:rPr>
        <w:t xml:space="preserve">therefore </w:t>
      </w:r>
      <w:r w:rsidR="00C13AC5" w:rsidRPr="2A0BAD4F">
        <w:rPr>
          <w:rFonts w:ascii="MetaPro-Norm" w:hAnsi="MetaPro-Norm"/>
        </w:rPr>
        <w:t xml:space="preserve">propose several </w:t>
      </w:r>
      <w:r w:rsidR="7D5CF15A" w:rsidRPr="2A0BAD4F">
        <w:rPr>
          <w:rFonts w:ascii="MetaPro-Norm" w:hAnsi="MetaPro-Norm"/>
        </w:rPr>
        <w:t xml:space="preserve">additions and </w:t>
      </w:r>
      <w:r w:rsidR="00C13AC5" w:rsidRPr="2A0BAD4F">
        <w:rPr>
          <w:rFonts w:ascii="MetaPro-Norm" w:hAnsi="MetaPro-Norm"/>
        </w:rPr>
        <w:t>amendments</w:t>
      </w:r>
      <w:r w:rsidR="00694081" w:rsidRPr="2A0BAD4F">
        <w:rPr>
          <w:rFonts w:ascii="MetaPro-Norm" w:hAnsi="MetaPro-Norm"/>
        </w:rPr>
        <w:t>.</w:t>
      </w:r>
    </w:p>
    <w:p w14:paraId="5FCB663D" w14:textId="11AD6B1A" w:rsidR="002C618F" w:rsidRDefault="002C618F" w:rsidP="00076D64">
      <w:pPr>
        <w:spacing w:after="0"/>
        <w:rPr>
          <w:rFonts w:ascii="MetaPro-Norm" w:hAnsi="MetaPro-Norm"/>
        </w:rPr>
      </w:pPr>
    </w:p>
    <w:p w14:paraId="0A14C4D2" w14:textId="6A02A5C6" w:rsidR="003422F0" w:rsidRPr="0015658B" w:rsidRDefault="00C13559" w:rsidP="0015658B">
      <w:pPr>
        <w:spacing w:after="0"/>
        <w:rPr>
          <w:rFonts w:ascii="MetaPro-Norm" w:hAnsi="MetaPro-Norm"/>
        </w:rPr>
      </w:pPr>
      <w:r w:rsidRPr="2A0BAD4F">
        <w:rPr>
          <w:rFonts w:ascii="MetaPro-Norm" w:hAnsi="MetaPro-Norm"/>
          <w:b/>
          <w:bCs/>
          <w:lang w:val="en-GB"/>
        </w:rPr>
        <w:t>The Right</w:t>
      </w:r>
      <w:r w:rsidR="006E5ED5">
        <w:rPr>
          <w:rFonts w:ascii="MetaPro-Norm" w:hAnsi="MetaPro-Norm"/>
          <w:b/>
          <w:bCs/>
          <w:lang w:val="en-GB"/>
        </w:rPr>
        <w:t>s</w:t>
      </w:r>
      <w:r w:rsidRPr="2A0BAD4F">
        <w:rPr>
          <w:rFonts w:ascii="MetaPro-Norm" w:hAnsi="MetaPro-Norm"/>
          <w:b/>
          <w:bCs/>
          <w:lang w:val="en-GB"/>
        </w:rPr>
        <w:t xml:space="preserve"> to </w:t>
      </w:r>
      <w:r w:rsidR="0064501C" w:rsidRPr="2A0BAD4F">
        <w:rPr>
          <w:rFonts w:ascii="MetaPro-Norm" w:hAnsi="MetaPro-Norm"/>
          <w:b/>
          <w:bCs/>
          <w:lang w:val="en-GB"/>
        </w:rPr>
        <w:t xml:space="preserve">Health, </w:t>
      </w:r>
      <w:r w:rsidRPr="2A0BAD4F">
        <w:rPr>
          <w:rFonts w:ascii="MetaPro-Norm" w:hAnsi="MetaPro-Norm"/>
          <w:b/>
          <w:bCs/>
          <w:lang w:val="en-GB"/>
        </w:rPr>
        <w:t>Survival</w:t>
      </w:r>
      <w:r w:rsidR="0064501C" w:rsidRPr="2A0BAD4F">
        <w:rPr>
          <w:rFonts w:ascii="MetaPro-Norm" w:hAnsi="MetaPro-Norm"/>
          <w:b/>
          <w:bCs/>
          <w:lang w:val="en-GB"/>
        </w:rPr>
        <w:t>,</w:t>
      </w:r>
      <w:r w:rsidRPr="2A0BAD4F">
        <w:rPr>
          <w:rFonts w:ascii="MetaPro-Norm" w:hAnsi="MetaPro-Norm"/>
          <w:b/>
          <w:bCs/>
          <w:lang w:val="en-GB"/>
        </w:rPr>
        <w:t xml:space="preserve"> and Development (Section</w:t>
      </w:r>
      <w:r w:rsidR="0064501C" w:rsidRPr="2A0BAD4F">
        <w:rPr>
          <w:rFonts w:ascii="MetaPro-Norm" w:hAnsi="MetaPro-Norm"/>
          <w:b/>
          <w:bCs/>
          <w:lang w:val="en-GB"/>
        </w:rPr>
        <w:t>s</w:t>
      </w:r>
      <w:r w:rsidRPr="2A0BAD4F">
        <w:rPr>
          <w:rFonts w:ascii="MetaPro-Norm" w:hAnsi="MetaPro-Norm"/>
          <w:b/>
          <w:bCs/>
          <w:lang w:val="en-GB"/>
        </w:rPr>
        <w:t xml:space="preserve"> III.A.</w:t>
      </w:r>
      <w:r w:rsidR="007F4D37" w:rsidRPr="2A0BAD4F">
        <w:rPr>
          <w:rFonts w:ascii="MetaPro-Norm" w:hAnsi="MetaPro-Norm"/>
          <w:b/>
          <w:bCs/>
          <w:lang w:val="en-GB"/>
        </w:rPr>
        <w:t xml:space="preserve"> and </w:t>
      </w:r>
      <w:r w:rsidR="00F0644F" w:rsidRPr="2A0BAD4F">
        <w:rPr>
          <w:rFonts w:ascii="MetaPro-Norm" w:hAnsi="MetaPro-Norm"/>
          <w:b/>
          <w:bCs/>
          <w:lang w:val="en-GB"/>
        </w:rPr>
        <w:t>III.B.</w:t>
      </w:r>
      <w:r w:rsidRPr="2A0BAD4F">
        <w:rPr>
          <w:rFonts w:ascii="MetaPro-Norm" w:hAnsi="MetaPro-Norm"/>
          <w:b/>
          <w:bCs/>
          <w:lang w:val="en-GB"/>
        </w:rPr>
        <w:t>)</w:t>
      </w:r>
    </w:p>
    <w:p w14:paraId="1553976C" w14:textId="4EAB0E06" w:rsidR="001E0CF1" w:rsidRDefault="45442B06" w:rsidP="37BCECED">
      <w:pPr>
        <w:spacing w:after="0"/>
        <w:rPr>
          <w:rFonts w:ascii="MetaPro-Norm" w:hAnsi="MetaPro-Norm"/>
        </w:rPr>
      </w:pPr>
      <w:r w:rsidRPr="05458C4A">
        <w:rPr>
          <w:rFonts w:ascii="MetaPro-Norm" w:hAnsi="MetaPro-Norm"/>
        </w:rPr>
        <w:t>In utero exposures to chemicals, extreme heat, natural disaster</w:t>
      </w:r>
      <w:r w:rsidR="15246C89" w:rsidRPr="05458C4A">
        <w:rPr>
          <w:rFonts w:ascii="MetaPro-Norm" w:hAnsi="MetaPro-Norm"/>
        </w:rPr>
        <w:t>s</w:t>
      </w:r>
      <w:r w:rsidRPr="05458C4A">
        <w:rPr>
          <w:rFonts w:ascii="MetaPro-Norm" w:hAnsi="MetaPro-Norm"/>
        </w:rPr>
        <w:t xml:space="preserve">, </w:t>
      </w:r>
      <w:r w:rsidR="15246C89" w:rsidRPr="05458C4A">
        <w:rPr>
          <w:rFonts w:ascii="MetaPro-Norm" w:hAnsi="MetaPro-Norm"/>
        </w:rPr>
        <w:t xml:space="preserve">and </w:t>
      </w:r>
      <w:r w:rsidRPr="05458C4A">
        <w:rPr>
          <w:rFonts w:ascii="MetaPro-Norm" w:hAnsi="MetaPro-Norm"/>
        </w:rPr>
        <w:t>air pollution</w:t>
      </w:r>
      <w:r w:rsidR="15246C89" w:rsidRPr="05458C4A">
        <w:rPr>
          <w:rFonts w:ascii="MetaPro-Norm" w:hAnsi="MetaPro-Norm"/>
        </w:rPr>
        <w:t>, among others,</w:t>
      </w:r>
      <w:r w:rsidRPr="05458C4A">
        <w:rPr>
          <w:rFonts w:ascii="MetaPro-Norm" w:hAnsi="MetaPro-Norm"/>
        </w:rPr>
        <w:t xml:space="preserve"> can lead to </w:t>
      </w:r>
      <w:r w:rsidR="695A4209" w:rsidRPr="05458C4A">
        <w:rPr>
          <w:rFonts w:ascii="MetaPro-Norm" w:eastAsia="MetaPro-Norm" w:hAnsi="MetaPro-Norm" w:cs="MetaPro-Norm"/>
        </w:rPr>
        <w:t xml:space="preserve">birth </w:t>
      </w:r>
      <w:r w:rsidR="709C22A7" w:rsidRPr="05458C4A">
        <w:rPr>
          <w:rFonts w:ascii="MetaPro-Norm" w:eastAsia="MetaPro-Norm" w:hAnsi="MetaPro-Norm" w:cs="MetaPro-Norm"/>
        </w:rPr>
        <w:t xml:space="preserve">conditions that may lead to </w:t>
      </w:r>
      <w:r w:rsidR="695A4209" w:rsidRPr="05458C4A">
        <w:rPr>
          <w:rFonts w:ascii="MetaPro-Norm" w:eastAsia="MetaPro-Norm" w:hAnsi="MetaPro-Norm" w:cs="MetaPro-Norm"/>
        </w:rPr>
        <w:t>disabilities</w:t>
      </w:r>
      <w:r w:rsidR="4A2929F8" w:rsidRPr="05458C4A">
        <w:rPr>
          <w:rFonts w:ascii="MetaPro-Norm" w:hAnsi="MetaPro-Norm"/>
        </w:rPr>
        <w:t>,</w:t>
      </w:r>
      <w:r w:rsidRPr="05458C4A">
        <w:rPr>
          <w:rFonts w:ascii="MetaPro-Norm" w:hAnsi="MetaPro-Norm"/>
        </w:rPr>
        <w:t xml:space="preserve"> preterm birth, low birth weight</w:t>
      </w:r>
      <w:r w:rsidR="532FE30D" w:rsidRPr="05458C4A">
        <w:rPr>
          <w:rFonts w:ascii="MetaPro-Norm" w:hAnsi="MetaPro-Norm"/>
        </w:rPr>
        <w:t>,</w:t>
      </w:r>
      <w:r w:rsidRPr="05458C4A">
        <w:rPr>
          <w:rFonts w:ascii="MetaPro-Norm" w:hAnsi="MetaPro-Norm"/>
        </w:rPr>
        <w:t xml:space="preserve"> </w:t>
      </w:r>
      <w:r w:rsidR="00C063A6">
        <w:rPr>
          <w:rFonts w:ascii="MetaPro-Norm" w:hAnsi="MetaPro-Norm"/>
        </w:rPr>
        <w:t>and</w:t>
      </w:r>
      <w:r w:rsidRPr="05458C4A">
        <w:rPr>
          <w:rFonts w:ascii="MetaPro-Norm" w:hAnsi="MetaPro-Norm"/>
        </w:rPr>
        <w:t xml:space="preserve"> other adverse birth outcomes. A newborn’s right to health could be undermined even without additional postnatal exposures to adverse environmental conditions because </w:t>
      </w:r>
      <w:r w:rsidR="665E91EB" w:rsidRPr="05458C4A">
        <w:rPr>
          <w:rFonts w:ascii="MetaPro-Norm" w:hAnsi="MetaPro-Norm"/>
        </w:rPr>
        <w:t xml:space="preserve">of </w:t>
      </w:r>
      <w:r w:rsidR="28711C30" w:rsidRPr="05458C4A">
        <w:rPr>
          <w:rFonts w:ascii="MetaPro-Norm" w:hAnsi="MetaPro-Norm"/>
        </w:rPr>
        <w:t xml:space="preserve">exposure </w:t>
      </w:r>
      <w:r w:rsidRPr="05458C4A">
        <w:rPr>
          <w:rFonts w:ascii="MetaPro-Norm" w:hAnsi="MetaPro-Norm"/>
        </w:rPr>
        <w:t>to environmental harms</w:t>
      </w:r>
      <w:r w:rsidR="340B1580" w:rsidRPr="05458C4A">
        <w:rPr>
          <w:rFonts w:ascii="MetaPro-Norm" w:hAnsi="MetaPro-Norm"/>
        </w:rPr>
        <w:t xml:space="preserve"> during pregnancy</w:t>
      </w:r>
      <w:r w:rsidRPr="05458C4A">
        <w:rPr>
          <w:rFonts w:ascii="MetaPro-Norm" w:hAnsi="MetaPro-Norm"/>
        </w:rPr>
        <w:t>. Moreover, preterm birth, low birth weight</w:t>
      </w:r>
      <w:r w:rsidR="61DA9227" w:rsidRPr="05458C4A">
        <w:rPr>
          <w:rFonts w:ascii="MetaPro-Norm" w:hAnsi="MetaPro-Norm"/>
        </w:rPr>
        <w:t>,</w:t>
      </w:r>
      <w:r w:rsidRPr="05458C4A">
        <w:rPr>
          <w:rFonts w:ascii="MetaPro-Norm" w:hAnsi="MetaPro-Norm"/>
        </w:rPr>
        <w:t xml:space="preserve"> and other adverse birth outcomes are major causes of infant deaths and can lead to poorer health outcomes</w:t>
      </w:r>
      <w:r w:rsidR="6679F39D" w:rsidRPr="05458C4A">
        <w:rPr>
          <w:rFonts w:ascii="MetaPro-Norm" w:hAnsi="MetaPro-Norm"/>
        </w:rPr>
        <w:t xml:space="preserve"> across the </w:t>
      </w:r>
      <w:r w:rsidR="6679F39D" w:rsidRPr="05458C4A">
        <w:rPr>
          <w:rFonts w:ascii="MetaPro-Norm" w:hAnsi="MetaPro-Norm"/>
        </w:rPr>
        <w:lastRenderedPageBreak/>
        <w:t>lifespan</w:t>
      </w:r>
      <w:r w:rsidRPr="05458C4A">
        <w:rPr>
          <w:rFonts w:ascii="MetaPro-Norm" w:hAnsi="MetaPro-Norm"/>
        </w:rPr>
        <w:t>, including during and</w:t>
      </w:r>
      <w:r w:rsidR="5783F475" w:rsidRPr="05458C4A">
        <w:rPr>
          <w:rFonts w:ascii="MetaPro-Norm" w:hAnsi="MetaPro-Norm"/>
        </w:rPr>
        <w:t>,</w:t>
      </w:r>
      <w:r w:rsidRPr="05458C4A">
        <w:rPr>
          <w:rFonts w:ascii="MetaPro-Norm" w:hAnsi="MetaPro-Norm"/>
        </w:rPr>
        <w:t xml:space="preserve"> in some cases</w:t>
      </w:r>
      <w:r w:rsidR="5783F475" w:rsidRPr="05458C4A">
        <w:rPr>
          <w:rFonts w:ascii="MetaPro-Norm" w:hAnsi="MetaPro-Norm"/>
        </w:rPr>
        <w:t>,</w:t>
      </w:r>
      <w:r w:rsidRPr="05458C4A">
        <w:rPr>
          <w:rFonts w:ascii="MetaPro-Norm" w:hAnsi="MetaPro-Norm"/>
        </w:rPr>
        <w:t xml:space="preserve"> especially during childhood. </w:t>
      </w:r>
      <w:r w:rsidR="3AA8EE55" w:rsidRPr="52E940AE">
        <w:rPr>
          <w:rFonts w:ascii="MetaPro-Norm" w:hAnsi="MetaPro-Norm"/>
        </w:rPr>
        <w:t>Preterm birth</w:t>
      </w:r>
      <w:r w:rsidR="20752E77" w:rsidRPr="52E940AE">
        <w:rPr>
          <w:rFonts w:ascii="MetaPro-Norm" w:hAnsi="MetaPro-Norm"/>
        </w:rPr>
        <w:t xml:space="preserve"> and</w:t>
      </w:r>
      <w:r w:rsidR="3AA8EE55" w:rsidRPr="52E940AE">
        <w:rPr>
          <w:rFonts w:ascii="MetaPro-Norm" w:hAnsi="MetaPro-Norm"/>
        </w:rPr>
        <w:t xml:space="preserve"> low birth weight</w:t>
      </w:r>
      <w:r w:rsidR="71B49736" w:rsidRPr="52E940AE">
        <w:rPr>
          <w:rFonts w:ascii="MetaPro-Norm" w:hAnsi="MetaPro-Norm"/>
        </w:rPr>
        <w:t xml:space="preserve">, for example, are especially dangerous in </w:t>
      </w:r>
      <w:r w:rsidR="0DEEF8AA" w:rsidRPr="52E940AE">
        <w:rPr>
          <w:rFonts w:ascii="MetaPro-Norm" w:hAnsi="MetaPro-Norm"/>
        </w:rPr>
        <w:t>low- and middle-income countries where many families do not have access to comprehensive neonatal care.</w:t>
      </w:r>
      <w:r w:rsidRPr="001514AF">
        <w:rPr>
          <w:rStyle w:val="FootnoteReference"/>
        </w:rPr>
        <w:footnoteReference w:id="2"/>
      </w:r>
      <w:r w:rsidR="0DEEF8AA" w:rsidRPr="52E940AE">
        <w:rPr>
          <w:rFonts w:ascii="MetaPro-Norm" w:hAnsi="MetaPro-Norm"/>
        </w:rPr>
        <w:t xml:space="preserve"> </w:t>
      </w:r>
      <w:r w:rsidR="3302B957" w:rsidRPr="52E940AE">
        <w:rPr>
          <w:rFonts w:ascii="MetaPro-Norm" w:hAnsi="MetaPro-Norm"/>
        </w:rPr>
        <w:t xml:space="preserve">Urgent action is needed to arrest rising preterm birth rates in many countries, including through improved environmental health. </w:t>
      </w:r>
    </w:p>
    <w:p w14:paraId="5C65BFC1" w14:textId="77777777" w:rsidR="001E0CF1" w:rsidRDefault="001E0CF1" w:rsidP="003422F0">
      <w:pPr>
        <w:spacing w:after="0"/>
        <w:rPr>
          <w:rFonts w:ascii="MetaPro-Norm" w:hAnsi="MetaPro-Norm"/>
        </w:rPr>
      </w:pPr>
    </w:p>
    <w:p w14:paraId="4B7B8277" w14:textId="1C4C26F2" w:rsidR="003422F0" w:rsidRDefault="003422F0" w:rsidP="003422F0">
      <w:pPr>
        <w:spacing w:after="0"/>
        <w:rPr>
          <w:rFonts w:ascii="MetaPro-Norm" w:hAnsi="MetaPro-Norm"/>
        </w:rPr>
      </w:pPr>
      <w:r w:rsidRPr="282FB6EF">
        <w:rPr>
          <w:rFonts w:ascii="MetaPro-Norm" w:hAnsi="MetaPro-Norm"/>
        </w:rPr>
        <w:t xml:space="preserve">The current draft </w:t>
      </w:r>
      <w:r w:rsidR="00A2736B">
        <w:rPr>
          <w:rFonts w:ascii="MetaPro-Norm" w:hAnsi="MetaPro-Norm"/>
        </w:rPr>
        <w:t>g</w:t>
      </w:r>
      <w:r w:rsidR="0B83C970" w:rsidRPr="282FB6EF">
        <w:rPr>
          <w:rFonts w:ascii="MetaPro-Norm" w:hAnsi="MetaPro-Norm"/>
        </w:rPr>
        <w:t xml:space="preserve">eneral </w:t>
      </w:r>
      <w:r w:rsidR="00A2736B">
        <w:rPr>
          <w:rFonts w:ascii="MetaPro-Norm" w:hAnsi="MetaPro-Norm"/>
        </w:rPr>
        <w:t>c</w:t>
      </w:r>
      <w:r w:rsidR="0B83C970" w:rsidRPr="282FB6EF">
        <w:rPr>
          <w:rFonts w:ascii="MetaPro-Norm" w:hAnsi="MetaPro-Norm"/>
        </w:rPr>
        <w:t xml:space="preserve">omment </w:t>
      </w:r>
      <w:r w:rsidRPr="282FB6EF">
        <w:rPr>
          <w:rFonts w:ascii="MetaPro-Norm" w:hAnsi="MetaPro-Norm"/>
        </w:rPr>
        <w:t>usefully takes a “life</w:t>
      </w:r>
      <w:r w:rsidR="00506029" w:rsidRPr="282FB6EF">
        <w:rPr>
          <w:rFonts w:ascii="MetaPro-Norm" w:hAnsi="MetaPro-Norm"/>
        </w:rPr>
        <w:t>-</w:t>
      </w:r>
      <w:r w:rsidRPr="282FB6EF">
        <w:rPr>
          <w:rFonts w:ascii="MetaPro-Norm" w:hAnsi="MetaPro-Norm"/>
        </w:rPr>
        <w:t xml:space="preserve">course” approach to implications of environmental crises on children’s health and wellbeing. </w:t>
      </w:r>
      <w:r w:rsidR="005B6936" w:rsidRPr="282FB6EF">
        <w:rPr>
          <w:rFonts w:ascii="MetaPro-Norm" w:hAnsi="MetaPro-Norm"/>
        </w:rPr>
        <w:t>A</w:t>
      </w:r>
      <w:r w:rsidRPr="282FB6EF">
        <w:rPr>
          <w:rFonts w:ascii="MetaPro-Norm" w:hAnsi="MetaPro-Norm"/>
        </w:rPr>
        <w:t xml:space="preserve"> stronger version would explicitly note the extensive scientific literature that shows </w:t>
      </w:r>
      <w:r w:rsidR="00704049" w:rsidRPr="282FB6EF">
        <w:rPr>
          <w:rFonts w:ascii="MetaPro-Norm" w:hAnsi="MetaPro-Norm"/>
        </w:rPr>
        <w:t xml:space="preserve">that </w:t>
      </w:r>
      <w:r w:rsidRPr="282FB6EF">
        <w:rPr>
          <w:rFonts w:ascii="MetaPro-Norm" w:hAnsi="MetaPro-Norm"/>
        </w:rPr>
        <w:t xml:space="preserve">pregnant people </w:t>
      </w:r>
      <w:r w:rsidR="00704049" w:rsidRPr="282FB6EF">
        <w:rPr>
          <w:rFonts w:ascii="MetaPro-Norm" w:hAnsi="MetaPro-Norm"/>
        </w:rPr>
        <w:t>and</w:t>
      </w:r>
      <w:r w:rsidRPr="282FB6EF">
        <w:rPr>
          <w:rFonts w:ascii="MetaPro-Norm" w:hAnsi="MetaPro-Norm"/>
        </w:rPr>
        <w:t xml:space="preserve"> the developing fetus are especially vulnerable to poor environmental health. </w:t>
      </w:r>
      <w:r w:rsidR="00341096" w:rsidRPr="282FB6EF">
        <w:rPr>
          <w:rFonts w:ascii="MetaPro-Norm" w:hAnsi="MetaPro-Norm"/>
        </w:rPr>
        <w:t>Failing to include</w:t>
      </w:r>
      <w:r w:rsidRPr="282FB6EF">
        <w:rPr>
          <w:rFonts w:ascii="MetaPro-Norm" w:hAnsi="MetaPro-Norm"/>
        </w:rPr>
        <w:t xml:space="preserve"> information about intrauterine impacts means </w:t>
      </w:r>
      <w:r w:rsidR="00D173BD" w:rsidRPr="282FB6EF">
        <w:rPr>
          <w:rFonts w:ascii="MetaPro-Norm" w:hAnsi="MetaPro-Norm"/>
        </w:rPr>
        <w:t xml:space="preserve">failing to </w:t>
      </w:r>
      <w:r w:rsidRPr="282FB6EF">
        <w:rPr>
          <w:rFonts w:ascii="MetaPro-Norm" w:hAnsi="MetaPro-Norm"/>
        </w:rPr>
        <w:t>acknowledg</w:t>
      </w:r>
      <w:r w:rsidR="00D173BD" w:rsidRPr="282FB6EF">
        <w:rPr>
          <w:rFonts w:ascii="MetaPro-Norm" w:hAnsi="MetaPro-Norm"/>
        </w:rPr>
        <w:t>e</w:t>
      </w:r>
      <w:r w:rsidRPr="282FB6EF">
        <w:rPr>
          <w:rFonts w:ascii="MetaPro-Norm" w:hAnsi="MetaPro-Norm"/>
        </w:rPr>
        <w:t xml:space="preserve"> how child health and sexual and reproductive health and rights, including the right to </w:t>
      </w:r>
      <w:r w:rsidR="00F03CA4">
        <w:rPr>
          <w:rFonts w:ascii="MetaPro-Norm" w:hAnsi="MetaPro-Norm"/>
        </w:rPr>
        <w:t xml:space="preserve">a </w:t>
      </w:r>
      <w:r w:rsidRPr="282FB6EF">
        <w:rPr>
          <w:rFonts w:ascii="MetaPro-Norm" w:hAnsi="MetaPro-Norm"/>
        </w:rPr>
        <w:t>healthy pregnancy, are intimately intertwined</w:t>
      </w:r>
      <w:r w:rsidR="00085875" w:rsidRPr="282FB6EF">
        <w:rPr>
          <w:rFonts w:ascii="MetaPro-Norm" w:hAnsi="MetaPro-Norm"/>
        </w:rPr>
        <w:t>,</w:t>
      </w:r>
      <w:r w:rsidRPr="282FB6EF">
        <w:rPr>
          <w:rFonts w:ascii="MetaPro-Norm" w:hAnsi="MetaPro-Norm"/>
        </w:rPr>
        <w:t xml:space="preserve"> and that children’s right to protection </w:t>
      </w:r>
      <w:r w:rsidR="00907A2B" w:rsidRPr="282FB6EF">
        <w:rPr>
          <w:rFonts w:ascii="MetaPro-Norm" w:hAnsi="MetaPro-Norm"/>
        </w:rPr>
        <w:t xml:space="preserve">from </w:t>
      </w:r>
      <w:r w:rsidR="006128A1">
        <w:rPr>
          <w:rFonts w:ascii="MetaPro-Norm" w:hAnsi="MetaPro-Norm"/>
        </w:rPr>
        <w:t xml:space="preserve">environmental harms, including </w:t>
      </w:r>
      <w:r w:rsidR="00907A2B" w:rsidRPr="282FB6EF">
        <w:rPr>
          <w:rFonts w:ascii="MetaPro-Norm" w:hAnsi="MetaPro-Norm"/>
        </w:rPr>
        <w:t>the climate crisis, toxics, and endocrine-disrupting chemicals</w:t>
      </w:r>
      <w:r w:rsidR="00C7284A">
        <w:rPr>
          <w:rFonts w:ascii="MetaPro-Norm" w:hAnsi="MetaPro-Norm"/>
        </w:rPr>
        <w:t>,</w:t>
      </w:r>
      <w:r w:rsidR="00120B7E" w:rsidRPr="282FB6EF">
        <w:rPr>
          <w:rFonts w:ascii="MetaPro-Norm" w:hAnsi="MetaPro-Norm"/>
        </w:rPr>
        <w:t xml:space="preserve"> to name a few,</w:t>
      </w:r>
      <w:r w:rsidRPr="282FB6EF">
        <w:rPr>
          <w:rFonts w:ascii="MetaPro-Norm" w:hAnsi="MetaPro-Norm"/>
        </w:rPr>
        <w:t xml:space="preserve"> necessitates better protections to adult health, maternal health</w:t>
      </w:r>
      <w:r w:rsidR="00120B7E" w:rsidRPr="282FB6EF">
        <w:rPr>
          <w:rFonts w:ascii="MetaPro-Norm" w:hAnsi="MetaPro-Norm"/>
        </w:rPr>
        <w:t>,</w:t>
      </w:r>
      <w:r w:rsidRPr="282FB6EF">
        <w:rPr>
          <w:rFonts w:ascii="MetaPro-Norm" w:hAnsi="MetaPro-Norm"/>
        </w:rPr>
        <w:t xml:space="preserve"> and sexual and reproductive rights more broadly. </w:t>
      </w:r>
    </w:p>
    <w:p w14:paraId="2B0D1C44" w14:textId="77777777" w:rsidR="00120B7E" w:rsidRPr="003422F0" w:rsidRDefault="00120B7E" w:rsidP="003422F0">
      <w:pPr>
        <w:spacing w:after="0"/>
        <w:rPr>
          <w:rFonts w:ascii="MetaPro-Norm" w:hAnsi="MetaPro-Norm"/>
        </w:rPr>
      </w:pPr>
    </w:p>
    <w:p w14:paraId="05B8FB70" w14:textId="2F729554" w:rsidR="003422F0" w:rsidRDefault="00923296" w:rsidP="003422F0">
      <w:pPr>
        <w:spacing w:after="0"/>
        <w:rPr>
          <w:rFonts w:ascii="MetaPro-Norm" w:hAnsi="MetaPro-Norm"/>
        </w:rPr>
      </w:pPr>
      <w:r>
        <w:rPr>
          <w:rFonts w:ascii="MetaPro-Norm" w:hAnsi="MetaPro-Norm"/>
        </w:rPr>
        <w:t xml:space="preserve">Human Rights Watch </w:t>
      </w:r>
      <w:r w:rsidR="003422F0" w:rsidRPr="003422F0">
        <w:rPr>
          <w:rFonts w:ascii="MetaPro-Norm" w:hAnsi="MetaPro-Norm"/>
        </w:rPr>
        <w:t>also suggest</w:t>
      </w:r>
      <w:r w:rsidR="005C421B">
        <w:rPr>
          <w:rFonts w:ascii="MetaPro-Norm" w:hAnsi="MetaPro-Norm"/>
        </w:rPr>
        <w:t>s</w:t>
      </w:r>
      <w:r w:rsidR="003422F0" w:rsidRPr="003422F0">
        <w:rPr>
          <w:rFonts w:ascii="MetaPro-Norm" w:hAnsi="MetaPro-Norm"/>
        </w:rPr>
        <w:t xml:space="preserve"> that </w:t>
      </w:r>
      <w:r w:rsidR="00120B7E">
        <w:rPr>
          <w:rFonts w:ascii="MetaPro-Norm" w:hAnsi="MetaPro-Norm"/>
        </w:rPr>
        <w:t xml:space="preserve">a </w:t>
      </w:r>
      <w:r w:rsidR="003422F0" w:rsidRPr="003422F0">
        <w:rPr>
          <w:rFonts w:ascii="MetaPro-Norm" w:hAnsi="MetaPro-Norm"/>
        </w:rPr>
        <w:t xml:space="preserve">more complete depiction of children’s right to health, including in a report focused on the environment, would include access to sexual and reproductive health, including safe abortion care, for children, where needed. </w:t>
      </w:r>
    </w:p>
    <w:p w14:paraId="41EC37DC" w14:textId="1E27D262" w:rsidR="009D1532" w:rsidRDefault="009D1532" w:rsidP="003422F0">
      <w:pPr>
        <w:spacing w:after="0"/>
        <w:rPr>
          <w:rFonts w:ascii="MetaPro-Norm" w:hAnsi="MetaPro-Norm"/>
        </w:rPr>
      </w:pPr>
    </w:p>
    <w:p w14:paraId="12A1E94A" w14:textId="7639BBA2" w:rsidR="009D1532" w:rsidRPr="009D1532" w:rsidRDefault="009D1532" w:rsidP="009D1532">
      <w:pPr>
        <w:spacing w:after="0"/>
        <w:rPr>
          <w:rFonts w:ascii="MetaPro-Norm" w:hAnsi="MetaPro-Norm"/>
        </w:rPr>
      </w:pPr>
      <w:r w:rsidRPr="009D1532">
        <w:rPr>
          <w:rFonts w:ascii="MetaPro-Norm" w:hAnsi="MetaPro-Norm"/>
        </w:rPr>
        <w:t xml:space="preserve">Please see suggested additions below: </w:t>
      </w:r>
    </w:p>
    <w:p w14:paraId="7AD641A8" w14:textId="7BAA71DA" w:rsidR="008014CD" w:rsidRPr="00770F6F" w:rsidRDefault="00B06E05">
      <w:pPr>
        <w:pStyle w:val="ListParagraph"/>
        <w:numPr>
          <w:ilvl w:val="0"/>
          <w:numId w:val="3"/>
        </w:numPr>
        <w:spacing w:after="0"/>
        <w:rPr>
          <w:rFonts w:ascii="MetaPro-Norm" w:hAnsi="MetaPro-Norm"/>
        </w:rPr>
      </w:pPr>
      <w:r w:rsidRPr="00770F6F">
        <w:rPr>
          <w:rFonts w:ascii="MetaPro-Norm" w:hAnsi="MetaPro-Norm"/>
        </w:rPr>
        <w:t xml:space="preserve">Para 21: </w:t>
      </w:r>
      <w:r w:rsidR="007B1DB6" w:rsidRPr="00770F6F">
        <w:rPr>
          <w:rFonts w:ascii="MetaPro-Norm" w:hAnsi="MetaPro-Norm"/>
        </w:rPr>
        <w:t>We recommend</w:t>
      </w:r>
      <w:r w:rsidR="00B358ED" w:rsidRPr="00770F6F">
        <w:rPr>
          <w:rFonts w:ascii="MetaPro-Norm" w:hAnsi="MetaPro-Norm"/>
        </w:rPr>
        <w:t xml:space="preserve"> explicitly </w:t>
      </w:r>
      <w:r w:rsidR="008A3DF8" w:rsidRPr="00770F6F">
        <w:rPr>
          <w:rFonts w:ascii="MetaPro-Norm" w:hAnsi="MetaPro-Norm"/>
        </w:rPr>
        <w:t>acknowledging the increased vulnerability</w:t>
      </w:r>
      <w:r w:rsidR="00B358ED" w:rsidRPr="00770F6F">
        <w:rPr>
          <w:rFonts w:ascii="MetaPro-Norm" w:hAnsi="MetaPro-Norm"/>
        </w:rPr>
        <w:t xml:space="preserve"> of </w:t>
      </w:r>
      <w:r w:rsidR="003E58F7" w:rsidRPr="00770F6F">
        <w:rPr>
          <w:rFonts w:ascii="MetaPro-Norm" w:hAnsi="MetaPro-Norm"/>
        </w:rPr>
        <w:t xml:space="preserve">the </w:t>
      </w:r>
      <w:r w:rsidR="00770F6F" w:rsidRPr="00770F6F">
        <w:rPr>
          <w:rFonts w:ascii="MetaPro-Norm" w:hAnsi="MetaPro-Norm"/>
        </w:rPr>
        <w:t>fetal</w:t>
      </w:r>
      <w:r w:rsidR="003E58F7" w:rsidRPr="00770F6F">
        <w:rPr>
          <w:rFonts w:ascii="MetaPro-Norm" w:hAnsi="MetaPro-Norm"/>
        </w:rPr>
        <w:t xml:space="preserve"> development period</w:t>
      </w:r>
      <w:r w:rsidR="00E35AA4" w:rsidRPr="00770F6F">
        <w:rPr>
          <w:rFonts w:ascii="MetaPro-Norm" w:hAnsi="MetaPro-Norm"/>
        </w:rPr>
        <w:t>.</w:t>
      </w:r>
      <w:r w:rsidR="00B358ED" w:rsidRPr="00770F6F">
        <w:rPr>
          <w:rStyle w:val="FootnoteReference"/>
        </w:rPr>
        <w:footnoteReference w:id="3"/>
      </w:r>
      <w:r w:rsidR="003E58F7" w:rsidRPr="00770F6F">
        <w:rPr>
          <w:rFonts w:ascii="MetaPro-Norm" w:hAnsi="MetaPro-Norm"/>
        </w:rPr>
        <w:t xml:space="preserve"> </w:t>
      </w:r>
      <w:r w:rsidR="00E35AA4" w:rsidRPr="00770F6F">
        <w:rPr>
          <w:rFonts w:ascii="MetaPro-Norm" w:hAnsi="MetaPro-Norm"/>
        </w:rPr>
        <w:t>We also suggest</w:t>
      </w:r>
      <w:r w:rsidR="003E58F7" w:rsidRPr="00770F6F">
        <w:rPr>
          <w:rFonts w:ascii="MetaPro-Norm" w:hAnsi="MetaPro-Norm"/>
        </w:rPr>
        <w:t xml:space="preserve"> saying that </w:t>
      </w:r>
      <w:r w:rsidR="16A61792" w:rsidRPr="00770F6F">
        <w:rPr>
          <w:rFonts w:ascii="MetaPro-Norm" w:hAnsi="MetaPro-Norm"/>
        </w:rPr>
        <w:t>s</w:t>
      </w:r>
      <w:r w:rsidR="003E58F7" w:rsidRPr="00770F6F">
        <w:rPr>
          <w:rFonts w:ascii="MetaPro-Norm" w:hAnsi="MetaPro-Norm"/>
        </w:rPr>
        <w:t>tates should consider the impact of exposure to toxic substances and pollution on pregnant people</w:t>
      </w:r>
      <w:r w:rsidR="00671398" w:rsidRPr="00770F6F">
        <w:rPr>
          <w:rFonts w:ascii="MetaPro-Norm" w:hAnsi="MetaPro-Norm"/>
        </w:rPr>
        <w:t>,</w:t>
      </w:r>
      <w:r w:rsidR="003E58F7" w:rsidRPr="00770F6F">
        <w:rPr>
          <w:rFonts w:ascii="MetaPro-Norm" w:hAnsi="MetaPro-Norm"/>
        </w:rPr>
        <w:t xml:space="preserve"> including the developing </w:t>
      </w:r>
      <w:r w:rsidR="00770F6F" w:rsidRPr="00770F6F">
        <w:rPr>
          <w:rFonts w:ascii="MetaPro-Norm" w:hAnsi="MetaPro-Norm"/>
        </w:rPr>
        <w:t>fetus</w:t>
      </w:r>
      <w:r w:rsidR="00671398" w:rsidRPr="00770F6F">
        <w:rPr>
          <w:rFonts w:ascii="MetaPro-Norm" w:hAnsi="MetaPro-Norm"/>
        </w:rPr>
        <w:t>,</w:t>
      </w:r>
      <w:r w:rsidR="003E58F7" w:rsidRPr="00770F6F">
        <w:rPr>
          <w:rFonts w:ascii="MetaPro-Norm" w:hAnsi="MetaPro-Norm"/>
        </w:rPr>
        <w:t xml:space="preserve"> and in early life. </w:t>
      </w:r>
    </w:p>
    <w:p w14:paraId="7AAFB9FD" w14:textId="77777777" w:rsidR="00770F6F" w:rsidRPr="00770F6F" w:rsidRDefault="00770F6F" w:rsidP="00770F6F">
      <w:pPr>
        <w:pStyle w:val="ListParagraph"/>
        <w:spacing w:after="0"/>
        <w:rPr>
          <w:rFonts w:ascii="MetaPro-Norm" w:hAnsi="MetaPro-Norm"/>
          <w:lang w:val="en-GB"/>
        </w:rPr>
      </w:pPr>
    </w:p>
    <w:p w14:paraId="1652DFEA" w14:textId="0606B72F" w:rsidR="004032EE" w:rsidRPr="00E222FB" w:rsidRDefault="771C6DE8" w:rsidP="004032EE">
      <w:pPr>
        <w:pStyle w:val="ListParagraph"/>
        <w:numPr>
          <w:ilvl w:val="0"/>
          <w:numId w:val="3"/>
        </w:numPr>
        <w:spacing w:after="0"/>
        <w:rPr>
          <w:rFonts w:ascii="MetaPro-Norm" w:hAnsi="MetaPro-Norm"/>
          <w:lang w:val="en-GB"/>
        </w:rPr>
      </w:pPr>
      <w:r>
        <w:rPr>
          <w:rFonts w:ascii="MetaPro-Norm" w:hAnsi="MetaPro-Norm"/>
          <w:lang w:val="en-GB"/>
        </w:rPr>
        <w:t xml:space="preserve">Para </w:t>
      </w:r>
      <w:r w:rsidR="75A0DDCB" w:rsidRPr="008014CD">
        <w:rPr>
          <w:rFonts w:ascii="MetaPro-Norm" w:hAnsi="MetaPro-Norm"/>
        </w:rPr>
        <w:t>25</w:t>
      </w:r>
      <w:r>
        <w:rPr>
          <w:rFonts w:ascii="MetaPro-Norm" w:hAnsi="MetaPro-Norm"/>
        </w:rPr>
        <w:t>:</w:t>
      </w:r>
      <w:r w:rsidR="75A0DDCB" w:rsidRPr="008014CD">
        <w:rPr>
          <w:rFonts w:ascii="MetaPro-Norm" w:hAnsi="MetaPro-Norm"/>
        </w:rPr>
        <w:t xml:space="preserve"> </w:t>
      </w:r>
      <w:r w:rsidR="503A777C">
        <w:rPr>
          <w:rFonts w:ascii="MetaPro-Norm" w:hAnsi="MetaPro-Norm"/>
        </w:rPr>
        <w:t xml:space="preserve">We recommend </w:t>
      </w:r>
      <w:r w:rsidR="0A802AD8">
        <w:rPr>
          <w:rFonts w:ascii="MetaPro-Norm" w:hAnsi="MetaPro-Norm"/>
        </w:rPr>
        <w:t xml:space="preserve">adding that </w:t>
      </w:r>
      <w:r w:rsidR="3FCAEB6F">
        <w:rPr>
          <w:rFonts w:ascii="MetaPro-Norm" w:hAnsi="MetaPro-Norm"/>
        </w:rPr>
        <w:t>c</w:t>
      </w:r>
      <w:r w:rsidR="0A802AD8" w:rsidRPr="00E222FB">
        <w:rPr>
          <w:rFonts w:ascii="MetaPro-Norm" w:hAnsi="MetaPro-Norm"/>
        </w:rPr>
        <w:t>limate change can worsen access to nutrition and exposure to extreme heat, wildfire</w:t>
      </w:r>
      <w:r w:rsidR="3FCAEB6F">
        <w:rPr>
          <w:rFonts w:ascii="MetaPro-Norm" w:hAnsi="MetaPro-Norm"/>
        </w:rPr>
        <w:t>,</w:t>
      </w:r>
      <w:r w:rsidR="0A802AD8" w:rsidRPr="00E222FB">
        <w:rPr>
          <w:rFonts w:ascii="MetaPro-Norm" w:hAnsi="MetaPro-Norm"/>
        </w:rPr>
        <w:t xml:space="preserve"> and </w:t>
      </w:r>
      <w:r w:rsidR="3B5448F5" w:rsidRPr="4C119870">
        <w:rPr>
          <w:rFonts w:ascii="MetaPro-Norm" w:hAnsi="MetaPro-Norm"/>
        </w:rPr>
        <w:t xml:space="preserve">other extreme weather </w:t>
      </w:r>
      <w:r w:rsidR="20957A1A" w:rsidRPr="4C119870">
        <w:rPr>
          <w:rFonts w:ascii="MetaPro-Norm" w:hAnsi="MetaPro-Norm"/>
        </w:rPr>
        <w:t>events</w:t>
      </w:r>
      <w:r w:rsidR="0A802AD8" w:rsidRPr="00E222FB">
        <w:rPr>
          <w:rFonts w:ascii="MetaPro-Norm" w:hAnsi="MetaPro-Norm"/>
        </w:rPr>
        <w:t xml:space="preserve"> for pregnant people</w:t>
      </w:r>
      <w:r w:rsidR="3FCAEB6F">
        <w:rPr>
          <w:rFonts w:ascii="MetaPro-Norm" w:hAnsi="MetaPro-Norm"/>
        </w:rPr>
        <w:t>,</w:t>
      </w:r>
      <w:r w:rsidR="0A802AD8" w:rsidRPr="00E222FB">
        <w:rPr>
          <w:rFonts w:ascii="MetaPro-Norm" w:hAnsi="MetaPro-Norm"/>
        </w:rPr>
        <w:t xml:space="preserve"> </w:t>
      </w:r>
      <w:r w:rsidR="0A802AD8" w:rsidRPr="00E222FB">
        <w:rPr>
          <w:rFonts w:ascii="MetaPro-Norm" w:hAnsi="MetaPro-Norm"/>
        </w:rPr>
        <w:lastRenderedPageBreak/>
        <w:t>which may result in poor birth outcomes such as preterm birth or low birthweight</w:t>
      </w:r>
      <w:r w:rsidR="3FCAEB6F">
        <w:rPr>
          <w:rFonts w:ascii="MetaPro-Norm" w:hAnsi="MetaPro-Norm"/>
        </w:rPr>
        <w:t>.</w:t>
      </w:r>
      <w:r w:rsidR="0A802AD8" w:rsidRPr="00E222FB">
        <w:rPr>
          <w:rFonts w:ascii="MetaPro-Norm" w:hAnsi="MetaPro-Norm"/>
        </w:rPr>
        <w:t xml:space="preserve"> </w:t>
      </w:r>
      <w:r w:rsidR="3FCAEB6F">
        <w:rPr>
          <w:rFonts w:ascii="MetaPro-Norm" w:hAnsi="MetaPro-Norm"/>
        </w:rPr>
        <w:t>The latter</w:t>
      </w:r>
      <w:r w:rsidR="0A802AD8" w:rsidRPr="00E222FB">
        <w:rPr>
          <w:rFonts w:ascii="MetaPro-Norm" w:hAnsi="MetaPro-Norm"/>
        </w:rPr>
        <w:t xml:space="preserve"> increase risk of infant death and can have lifelong health consequences.</w:t>
      </w:r>
      <w:r w:rsidR="00EF1F7B" w:rsidRPr="00E222FB">
        <w:rPr>
          <w:rFonts w:ascii="MetaPro-Medi" w:hAnsi="MetaPro-Medi"/>
          <w:vertAlign w:val="superscript"/>
          <w:lang w:val="en-GB"/>
        </w:rPr>
        <w:footnoteReference w:id="4"/>
      </w:r>
      <w:r w:rsidR="0A802AD8" w:rsidRPr="00E222FB">
        <w:rPr>
          <w:rFonts w:ascii="MetaPro-Norm" w:hAnsi="MetaPro-Norm"/>
        </w:rPr>
        <w:t xml:space="preserve"> Maternal exposure to some toxics such as heavy metals is linked to </w:t>
      </w:r>
      <w:r w:rsidR="64BDE8C6" w:rsidRPr="4C119870">
        <w:rPr>
          <w:rFonts w:ascii="MetaPro-Norm" w:hAnsi="MetaPro-Norm"/>
        </w:rPr>
        <w:t>birth conditions that can lead to disabilities that may be physical, intellectual, or developmental</w:t>
      </w:r>
      <w:r w:rsidR="7C99FEC1" w:rsidRPr="4C119870">
        <w:rPr>
          <w:rFonts w:ascii="MetaPro-Norm" w:hAnsi="MetaPro-Norm"/>
        </w:rPr>
        <w:t>.</w:t>
      </w:r>
      <w:r w:rsidR="00EF1F7B" w:rsidRPr="00E222FB">
        <w:rPr>
          <w:rFonts w:ascii="MetaPro-Medi" w:hAnsi="MetaPro-Medi"/>
          <w:vertAlign w:val="superscript"/>
          <w:lang w:val="en-GB"/>
        </w:rPr>
        <w:footnoteReference w:id="5"/>
      </w:r>
      <w:r w:rsidR="3B27BC01" w:rsidRPr="00E222FB">
        <w:rPr>
          <w:rFonts w:ascii="MetaPro-Norm" w:hAnsi="MetaPro-Norm"/>
        </w:rPr>
        <w:t xml:space="preserve"> </w:t>
      </w:r>
      <w:r w:rsidR="123C38E8" w:rsidRPr="4C119870">
        <w:rPr>
          <w:rFonts w:ascii="MetaPro-Norm" w:hAnsi="MetaPro-Norm"/>
        </w:rPr>
        <w:t>M</w:t>
      </w:r>
      <w:r w:rsidR="3B27BC01" w:rsidRPr="00E222FB">
        <w:rPr>
          <w:rFonts w:ascii="MetaPro-Norm" w:hAnsi="MetaPro-Norm"/>
        </w:rPr>
        <w:t>aternal</w:t>
      </w:r>
      <w:r w:rsidR="0A802AD8" w:rsidRPr="00E222FB">
        <w:rPr>
          <w:rFonts w:ascii="MetaPro-Norm" w:hAnsi="MetaPro-Norm"/>
        </w:rPr>
        <w:t xml:space="preserve"> exposure to air pollution is linked to neurological harms to the </w:t>
      </w:r>
      <w:r w:rsidR="5A153680" w:rsidRPr="00E222FB">
        <w:rPr>
          <w:rFonts w:ascii="MetaPro-Norm" w:hAnsi="MetaPro-Norm"/>
        </w:rPr>
        <w:t>fetal</w:t>
      </w:r>
      <w:r w:rsidR="0A802AD8" w:rsidRPr="00E222FB">
        <w:rPr>
          <w:rFonts w:ascii="MetaPro-Norm" w:hAnsi="MetaPro-Norm"/>
        </w:rPr>
        <w:t xml:space="preserve"> brain, with lifelong consequences for children.</w:t>
      </w:r>
      <w:r w:rsidR="00EF1F7B" w:rsidRPr="00E222FB">
        <w:rPr>
          <w:rFonts w:ascii="MetaPro-Medi" w:hAnsi="MetaPro-Medi"/>
          <w:vertAlign w:val="superscript"/>
          <w:lang w:val="en-GB"/>
        </w:rPr>
        <w:footnoteReference w:id="6"/>
      </w:r>
      <w:r w:rsidR="0A802AD8" w:rsidRPr="00E222FB">
        <w:rPr>
          <w:rFonts w:ascii="MetaPro-Norm" w:hAnsi="MetaPro-Norm"/>
        </w:rPr>
        <w:t xml:space="preserve"> </w:t>
      </w:r>
    </w:p>
    <w:p w14:paraId="2FEBE18B" w14:textId="77777777" w:rsidR="004032EE" w:rsidRPr="004032EE" w:rsidRDefault="004032EE" w:rsidP="004032EE">
      <w:pPr>
        <w:pStyle w:val="ListParagraph"/>
        <w:spacing w:after="0"/>
        <w:rPr>
          <w:rFonts w:ascii="MetaPro-Norm" w:hAnsi="MetaPro-Norm"/>
          <w:lang w:val="en-GB"/>
        </w:rPr>
      </w:pPr>
    </w:p>
    <w:p w14:paraId="6E19CA4C" w14:textId="3203A259" w:rsidR="004032EE" w:rsidRPr="004032EE" w:rsidRDefault="581D04C5" w:rsidP="004032EE">
      <w:pPr>
        <w:pStyle w:val="ListParagraph"/>
        <w:numPr>
          <w:ilvl w:val="0"/>
          <w:numId w:val="3"/>
        </w:numPr>
        <w:spacing w:after="0"/>
        <w:rPr>
          <w:rStyle w:val="FootnoteReference"/>
          <w:rFonts w:ascii="MetaPro-Norm" w:hAnsi="MetaPro-Norm"/>
          <w:vertAlign w:val="baseline"/>
          <w:lang w:val="en-GB"/>
        </w:rPr>
      </w:pPr>
      <w:r w:rsidRPr="004032EE">
        <w:rPr>
          <w:rFonts w:ascii="MetaPro-Norm" w:hAnsi="MetaPro-Norm"/>
        </w:rPr>
        <w:t xml:space="preserve">Para </w:t>
      </w:r>
      <w:r w:rsidR="7660E9DA" w:rsidRPr="004032EE">
        <w:rPr>
          <w:rFonts w:ascii="MetaPro-Norm" w:hAnsi="MetaPro-Norm"/>
        </w:rPr>
        <w:t>26</w:t>
      </w:r>
      <w:r w:rsidRPr="004032EE">
        <w:rPr>
          <w:rFonts w:ascii="MetaPro-Norm" w:hAnsi="MetaPro-Norm"/>
        </w:rPr>
        <w:t>:</w:t>
      </w:r>
      <w:r w:rsidR="7660E9DA" w:rsidRPr="004032EE">
        <w:rPr>
          <w:rFonts w:ascii="MetaPro-Norm" w:hAnsi="MetaPro-Norm"/>
        </w:rPr>
        <w:t xml:space="preserve"> </w:t>
      </w:r>
      <w:r w:rsidR="7F6896A5" w:rsidRPr="004032EE">
        <w:rPr>
          <w:rFonts w:ascii="MetaPro-Norm" w:hAnsi="MetaPro-Norm"/>
        </w:rPr>
        <w:t>We recommend highlighting that in utero exposure to air pollution, extreme heat, wildfire smoke, and toxics like lead, for example, are linked with preterm or low birth weight, both major contributors to infant mortality</w:t>
      </w:r>
      <w:r w:rsidR="76D02480" w:rsidRPr="004032EE">
        <w:rPr>
          <w:rFonts w:ascii="MetaPro-Norm" w:hAnsi="MetaPro-Norm"/>
        </w:rPr>
        <w:t>,</w:t>
      </w:r>
      <w:r w:rsidR="7F6896A5" w:rsidRPr="004032EE">
        <w:rPr>
          <w:rFonts w:ascii="MetaPro-Norm" w:hAnsi="MetaPro-Norm"/>
        </w:rPr>
        <w:t xml:space="preserve"> and linked with lifelong poor health, including during childhood. </w:t>
      </w:r>
      <w:r w:rsidR="5BB3B8B4" w:rsidRPr="4C119870">
        <w:rPr>
          <w:rFonts w:ascii="MetaPro-Norm" w:hAnsi="MetaPro-Norm"/>
        </w:rPr>
        <w:t>Research found a</w:t>
      </w:r>
      <w:r w:rsidR="7F6896A5" w:rsidRPr="004032EE">
        <w:rPr>
          <w:rFonts w:ascii="MetaPro-Norm" w:hAnsi="MetaPro-Norm"/>
        </w:rPr>
        <w:t>ir pollution is linked to 20 percent of newborn deaths mostly because of babies born preterm or low birth weight.</w:t>
      </w:r>
      <w:r w:rsidR="002D4700" w:rsidRPr="004032EE">
        <w:rPr>
          <w:rStyle w:val="FootnoteReference"/>
        </w:rPr>
        <w:footnoteReference w:id="7"/>
      </w:r>
      <w:r w:rsidR="7F6896A5" w:rsidRPr="00667181">
        <w:rPr>
          <w:rStyle w:val="FootnoteReference"/>
        </w:rPr>
        <w:t xml:space="preserve"> </w:t>
      </w:r>
    </w:p>
    <w:p w14:paraId="271E4D34" w14:textId="77777777" w:rsidR="00C13559" w:rsidRDefault="00C13559" w:rsidP="00C13559">
      <w:pPr>
        <w:spacing w:after="0"/>
        <w:rPr>
          <w:rFonts w:ascii="MetaPro-Norm" w:hAnsi="MetaPro-Norm"/>
          <w:b/>
          <w:bCs/>
          <w:lang w:val="en-GB"/>
        </w:rPr>
      </w:pPr>
    </w:p>
    <w:p w14:paraId="44F28C4D" w14:textId="42C2AF53" w:rsidR="00330B7E" w:rsidRDefault="003B45A9" w:rsidP="00076D64">
      <w:pPr>
        <w:spacing w:after="0"/>
        <w:rPr>
          <w:rFonts w:ascii="MetaPro-Norm" w:hAnsi="MetaPro-Norm"/>
          <w:b/>
          <w:bCs/>
        </w:rPr>
      </w:pPr>
      <w:r w:rsidRPr="008D7251">
        <w:rPr>
          <w:rFonts w:ascii="MetaPro-Norm" w:hAnsi="MetaPro-Norm"/>
          <w:b/>
          <w:bCs/>
        </w:rPr>
        <w:t>The Right to Education (Section III</w:t>
      </w:r>
      <w:r w:rsidR="008D7251" w:rsidRPr="008D7251">
        <w:rPr>
          <w:rFonts w:ascii="MetaPro-Norm" w:hAnsi="MetaPro-Norm"/>
          <w:b/>
          <w:bCs/>
        </w:rPr>
        <w:t>. C.)</w:t>
      </w:r>
    </w:p>
    <w:p w14:paraId="1D40A398" w14:textId="52E21024" w:rsidR="00B66CB2" w:rsidRDefault="00B66CB2" w:rsidP="00B66CB2">
      <w:pPr>
        <w:spacing w:after="0"/>
        <w:rPr>
          <w:rFonts w:ascii="MetaPro-Norm" w:hAnsi="MetaPro-Norm"/>
        </w:rPr>
      </w:pPr>
      <w:r w:rsidRPr="002155D2">
        <w:rPr>
          <w:rFonts w:ascii="MetaPro-Norm" w:hAnsi="MetaPro-Norm"/>
        </w:rPr>
        <w:t>We recommend includ</w:t>
      </w:r>
      <w:r>
        <w:rPr>
          <w:rFonts w:ascii="MetaPro-Norm" w:hAnsi="MetaPro-Norm"/>
        </w:rPr>
        <w:t>ing</w:t>
      </w:r>
      <w:r w:rsidRPr="002155D2">
        <w:rPr>
          <w:rFonts w:ascii="MetaPro-Norm" w:hAnsi="MetaPro-Norm"/>
        </w:rPr>
        <w:t xml:space="preserve"> reference to the growing need for better education and information on how poor environmental health adversely impacts human health, including sexual and reproductive health</w:t>
      </w:r>
      <w:r w:rsidRPr="001E7315">
        <w:rPr>
          <w:rFonts w:ascii="MetaPro-Norm" w:hAnsi="MetaPro-Norm" w:cstheme="minorHAnsi"/>
          <w:color w:val="000000" w:themeColor="text1"/>
        </w:rPr>
        <w:t>—</w:t>
      </w:r>
      <w:r w:rsidRPr="002155D2">
        <w:rPr>
          <w:rFonts w:ascii="MetaPro-Norm" w:hAnsi="MetaPro-Norm"/>
        </w:rPr>
        <w:t>for example</w:t>
      </w:r>
      <w:r>
        <w:rPr>
          <w:rFonts w:ascii="MetaPro-Norm" w:hAnsi="MetaPro-Norm"/>
        </w:rPr>
        <w:t>, the impacts of</w:t>
      </w:r>
      <w:r w:rsidRPr="002155D2">
        <w:rPr>
          <w:rFonts w:ascii="MetaPro-Norm" w:hAnsi="MetaPro-Norm"/>
        </w:rPr>
        <w:t xml:space="preserve"> endocrine</w:t>
      </w:r>
      <w:r>
        <w:rPr>
          <w:rFonts w:ascii="MetaPro-Norm" w:hAnsi="MetaPro-Norm"/>
        </w:rPr>
        <w:t>-</w:t>
      </w:r>
      <w:r w:rsidRPr="002155D2">
        <w:rPr>
          <w:rFonts w:ascii="MetaPro-Norm" w:hAnsi="MetaPro-Norm"/>
        </w:rPr>
        <w:t>disrupting chemicals on early menarche and fertility, and pregnancy health.</w:t>
      </w:r>
      <w:r w:rsidR="0066137E">
        <w:rPr>
          <w:rFonts w:ascii="MetaPro-Norm" w:hAnsi="MetaPro-Norm"/>
        </w:rPr>
        <w:t xml:space="preserve"> </w:t>
      </w:r>
      <w:proofErr w:type="gramStart"/>
      <w:r w:rsidR="0066137E">
        <w:rPr>
          <w:rFonts w:ascii="MetaPro-Norm" w:hAnsi="MetaPro-Norm"/>
        </w:rPr>
        <w:t>In particular, we</w:t>
      </w:r>
      <w:proofErr w:type="gramEnd"/>
      <w:r w:rsidR="0066137E">
        <w:rPr>
          <w:rFonts w:ascii="MetaPro-Norm" w:hAnsi="MetaPro-Norm"/>
        </w:rPr>
        <w:t xml:space="preserve"> recommend</w:t>
      </w:r>
      <w:r w:rsidR="00D40611">
        <w:rPr>
          <w:rFonts w:ascii="MetaPro-Norm" w:hAnsi="MetaPro-Norm"/>
        </w:rPr>
        <w:t xml:space="preserve"> </w:t>
      </w:r>
      <w:r w:rsidR="0066137E">
        <w:rPr>
          <w:rFonts w:ascii="MetaPro-Norm" w:hAnsi="MetaPro-Norm"/>
        </w:rPr>
        <w:t>the following:</w:t>
      </w:r>
    </w:p>
    <w:p w14:paraId="60AE13DF" w14:textId="77777777" w:rsidR="0066137E" w:rsidRDefault="0066137E" w:rsidP="00B66CB2">
      <w:pPr>
        <w:spacing w:after="0"/>
        <w:rPr>
          <w:rFonts w:ascii="MetaPro-Norm" w:hAnsi="MetaPro-Norm"/>
        </w:rPr>
      </w:pPr>
    </w:p>
    <w:p w14:paraId="5F0EC857" w14:textId="6B9E04E5" w:rsidR="00B66CB2" w:rsidRPr="004B0723" w:rsidRDefault="34FE6973" w:rsidP="004B0723">
      <w:pPr>
        <w:pStyle w:val="ListParagraph"/>
        <w:numPr>
          <w:ilvl w:val="0"/>
          <w:numId w:val="4"/>
        </w:numPr>
        <w:spacing w:after="0"/>
        <w:rPr>
          <w:rFonts w:ascii="MetaPro-Norm" w:hAnsi="MetaPro-Norm"/>
        </w:rPr>
      </w:pPr>
      <w:r w:rsidRPr="3FAB0A3F">
        <w:rPr>
          <w:rFonts w:ascii="MetaPro-Norm" w:hAnsi="MetaPro-Norm"/>
        </w:rPr>
        <w:t xml:space="preserve">Para 33: </w:t>
      </w:r>
      <w:r w:rsidR="2B76EDDF" w:rsidRPr="3FAB0A3F">
        <w:rPr>
          <w:rFonts w:ascii="MetaPro-Norm" w:hAnsi="MetaPro-Norm"/>
          <w:lang w:val="en-GB"/>
        </w:rPr>
        <w:t>Education should include comprehensive sex education that includes information about environmental harms on sexual and reproductive health</w:t>
      </w:r>
      <w:r w:rsidR="4DD00520" w:rsidRPr="3FAB0A3F">
        <w:rPr>
          <w:rFonts w:ascii="MetaPro-Norm" w:hAnsi="MetaPro-Norm"/>
          <w:lang w:val="en-GB"/>
        </w:rPr>
        <w:t>,</w:t>
      </w:r>
      <w:r w:rsidR="2B76EDDF" w:rsidRPr="3FAB0A3F">
        <w:rPr>
          <w:rFonts w:ascii="MetaPro-Norm" w:hAnsi="MetaPro-Norm"/>
          <w:lang w:val="en-GB"/>
        </w:rPr>
        <w:t xml:space="preserve"> including harms to healthy pregnancies, human fertility</w:t>
      </w:r>
      <w:r w:rsidR="330605CE" w:rsidRPr="3FAB0A3F">
        <w:rPr>
          <w:rFonts w:ascii="MetaPro-Norm" w:hAnsi="MetaPro-Norm"/>
          <w:lang w:val="en-GB"/>
        </w:rPr>
        <w:t>,</w:t>
      </w:r>
      <w:r w:rsidR="2B76EDDF" w:rsidRPr="3FAB0A3F">
        <w:rPr>
          <w:rFonts w:ascii="MetaPro-Norm" w:hAnsi="MetaPro-Norm"/>
          <w:lang w:val="en-GB"/>
        </w:rPr>
        <w:t xml:space="preserve"> and endocrine disrupting hormones’ impacts across the life course</w:t>
      </w:r>
      <w:r w:rsidR="00391041">
        <w:rPr>
          <w:rFonts w:ascii="MetaPro-Norm" w:hAnsi="MetaPro-Norm"/>
          <w:lang w:val="en-GB"/>
        </w:rPr>
        <w:t>,</w:t>
      </w:r>
      <w:r w:rsidR="2B76EDDF" w:rsidRPr="3FAB0A3F">
        <w:rPr>
          <w:rFonts w:ascii="MetaPro-Norm" w:hAnsi="MetaPro-Norm"/>
          <w:lang w:val="en-GB"/>
        </w:rPr>
        <w:t xml:space="preserve"> including on puberty and sexual development, as well as </w:t>
      </w:r>
      <w:r w:rsidR="51E364F2" w:rsidRPr="3FAB0A3F">
        <w:rPr>
          <w:rFonts w:ascii="MetaPro-Norm" w:hAnsi="MetaPro-Norm"/>
          <w:lang w:val="en-GB"/>
        </w:rPr>
        <w:t xml:space="preserve">information on </w:t>
      </w:r>
      <w:r w:rsidR="2B76EDDF" w:rsidRPr="3FAB0A3F">
        <w:rPr>
          <w:rFonts w:ascii="MetaPro-Norm" w:hAnsi="MetaPro-Norm"/>
          <w:lang w:val="en-GB"/>
        </w:rPr>
        <w:t xml:space="preserve">contraceptive choice and </w:t>
      </w:r>
      <w:r w:rsidR="7ED2632B" w:rsidRPr="3FAB0A3F">
        <w:rPr>
          <w:rFonts w:ascii="MetaPro-Norm" w:hAnsi="MetaPro-Norm"/>
          <w:lang w:val="en-GB"/>
        </w:rPr>
        <w:t xml:space="preserve">available and </w:t>
      </w:r>
      <w:r w:rsidR="2B76EDDF" w:rsidRPr="3FAB0A3F">
        <w:rPr>
          <w:rFonts w:ascii="MetaPro-Norm" w:hAnsi="MetaPro-Norm"/>
          <w:lang w:val="en-GB"/>
        </w:rPr>
        <w:t>accessible safe abortion services.</w:t>
      </w:r>
    </w:p>
    <w:p w14:paraId="38F1BDCC" w14:textId="3F7FD03D" w:rsidR="272222F9" w:rsidRDefault="272222F9" w:rsidP="4C119870">
      <w:pPr>
        <w:spacing w:after="0"/>
        <w:rPr>
          <w:rFonts w:ascii="MetaPro-Norm" w:hAnsi="MetaPro-Norm"/>
        </w:rPr>
      </w:pPr>
      <w:r w:rsidRPr="4C119870">
        <w:rPr>
          <w:rFonts w:ascii="MetaPro-Norm" w:hAnsi="MetaPro-Norm"/>
        </w:rPr>
        <w:lastRenderedPageBreak/>
        <w:t xml:space="preserve">We </w:t>
      </w:r>
      <w:r w:rsidR="065C4D86" w:rsidRPr="4C119870">
        <w:rPr>
          <w:rFonts w:ascii="MetaPro-Norm" w:hAnsi="MetaPro-Norm"/>
        </w:rPr>
        <w:t xml:space="preserve">also </w:t>
      </w:r>
      <w:r w:rsidRPr="4C119870">
        <w:rPr>
          <w:rFonts w:ascii="MetaPro-Norm" w:hAnsi="MetaPro-Norm"/>
        </w:rPr>
        <w:t xml:space="preserve">recommend </w:t>
      </w:r>
      <w:r w:rsidR="71F94D0F" w:rsidRPr="4C119870">
        <w:rPr>
          <w:rFonts w:ascii="MetaPro-Norm" w:hAnsi="MetaPro-Norm"/>
        </w:rPr>
        <w:t xml:space="preserve">adding </w:t>
      </w:r>
      <w:r w:rsidR="56EDBE3E" w:rsidRPr="4C119870">
        <w:rPr>
          <w:rFonts w:ascii="MetaPro-Norm" w:hAnsi="MetaPro-Norm"/>
        </w:rPr>
        <w:t>that</w:t>
      </w:r>
      <w:r w:rsidR="71F94D0F" w:rsidRPr="4C119870">
        <w:rPr>
          <w:rFonts w:ascii="MetaPro-Norm" w:hAnsi="MetaPro-Norm"/>
        </w:rPr>
        <w:t xml:space="preserve"> </w:t>
      </w:r>
      <w:r w:rsidR="3A887783" w:rsidRPr="4C119870">
        <w:rPr>
          <w:rFonts w:ascii="MetaPro-Norm" w:hAnsi="MetaPro-Norm"/>
        </w:rPr>
        <w:t>s</w:t>
      </w:r>
      <w:r w:rsidR="696E7981" w:rsidRPr="4C119870">
        <w:rPr>
          <w:rFonts w:ascii="MetaPro-Norm" w:hAnsi="MetaPro-Norm"/>
        </w:rPr>
        <w:t xml:space="preserve">tates should ensure </w:t>
      </w:r>
      <w:r w:rsidR="2B769276" w:rsidRPr="4C119870">
        <w:rPr>
          <w:rFonts w:ascii="MetaPro-Norm" w:hAnsi="MetaPro-Norm"/>
        </w:rPr>
        <w:t>access to high quality education</w:t>
      </w:r>
      <w:r w:rsidR="6B3640B4" w:rsidRPr="4C119870">
        <w:rPr>
          <w:rFonts w:ascii="MetaPro-Norm" w:hAnsi="MetaPro-Norm"/>
        </w:rPr>
        <w:t xml:space="preserve"> </w:t>
      </w:r>
      <w:r w:rsidR="2B769276" w:rsidRPr="4C119870">
        <w:rPr>
          <w:rFonts w:ascii="MetaPro-Norm" w:hAnsi="MetaPro-Norm"/>
        </w:rPr>
        <w:t>to</w:t>
      </w:r>
      <w:r w:rsidR="66384BD9" w:rsidRPr="4C119870">
        <w:rPr>
          <w:rFonts w:ascii="MetaPro-Norm" w:hAnsi="MetaPro-Norm"/>
        </w:rPr>
        <w:t xml:space="preserve"> children </w:t>
      </w:r>
      <w:r w:rsidR="05D1D393" w:rsidRPr="4C119870">
        <w:rPr>
          <w:rFonts w:ascii="MetaPro-Norm" w:hAnsi="MetaPro-Norm"/>
        </w:rPr>
        <w:t xml:space="preserve">who have migrated or are </w:t>
      </w:r>
      <w:r w:rsidR="66384BD9" w:rsidRPr="4C119870">
        <w:rPr>
          <w:rFonts w:ascii="MetaPro-Norm" w:hAnsi="MetaPro-Norm"/>
        </w:rPr>
        <w:t xml:space="preserve">displaced </w:t>
      </w:r>
      <w:r w:rsidR="6BA96C6C" w:rsidRPr="4C119870">
        <w:rPr>
          <w:rFonts w:ascii="MetaPro-Norm" w:hAnsi="MetaPro-Norm"/>
        </w:rPr>
        <w:t xml:space="preserve">in the context of </w:t>
      </w:r>
      <w:r w:rsidR="27251B73" w:rsidRPr="4C119870">
        <w:rPr>
          <w:rFonts w:ascii="MetaPro-Norm" w:hAnsi="MetaPro-Norm"/>
        </w:rPr>
        <w:t>climate</w:t>
      </w:r>
      <w:r w:rsidR="113918D5" w:rsidRPr="4C119870">
        <w:rPr>
          <w:rFonts w:ascii="MetaPro-Norm" w:hAnsi="MetaPro-Norm"/>
        </w:rPr>
        <w:t>-</w:t>
      </w:r>
      <w:r w:rsidR="27251B73" w:rsidRPr="4C119870">
        <w:rPr>
          <w:rFonts w:ascii="MetaPro-Norm" w:hAnsi="MetaPro-Norm"/>
        </w:rPr>
        <w:t xml:space="preserve"> or environment-related events</w:t>
      </w:r>
      <w:r w:rsidR="7A4834C1" w:rsidRPr="4C119870">
        <w:rPr>
          <w:rFonts w:ascii="MetaPro-Norm" w:hAnsi="MetaPro-Norm"/>
        </w:rPr>
        <w:t>,</w:t>
      </w:r>
      <w:r w:rsidR="6B3640B4" w:rsidRPr="4C119870">
        <w:rPr>
          <w:rFonts w:ascii="MetaPro-Norm" w:hAnsi="MetaPro-Norm"/>
        </w:rPr>
        <w:t xml:space="preserve"> without discrimination</w:t>
      </w:r>
      <w:r w:rsidR="27251B73" w:rsidRPr="4C119870">
        <w:rPr>
          <w:rFonts w:ascii="MetaPro-Norm" w:hAnsi="MetaPro-Norm"/>
        </w:rPr>
        <w:t xml:space="preserve">. </w:t>
      </w:r>
    </w:p>
    <w:p w14:paraId="479AEEA7" w14:textId="77777777" w:rsidR="00E43DC8" w:rsidRDefault="00E43DC8" w:rsidP="4C119870">
      <w:pPr>
        <w:spacing w:after="0"/>
        <w:rPr>
          <w:rFonts w:ascii="MetaPro-Norm" w:hAnsi="MetaPro-Norm"/>
        </w:rPr>
      </w:pPr>
    </w:p>
    <w:p w14:paraId="657883C5" w14:textId="7400FA93" w:rsidR="00E43DC8" w:rsidRPr="00C461E5" w:rsidRDefault="002633F8" w:rsidP="002633F8">
      <w:pPr>
        <w:spacing w:after="0"/>
        <w:rPr>
          <w:rFonts w:ascii="MetaPro-Norm" w:hAnsi="MetaPro-Norm"/>
          <w:b/>
          <w:bCs/>
        </w:rPr>
      </w:pPr>
      <w:r w:rsidRPr="00C461E5">
        <w:rPr>
          <w:rFonts w:ascii="MetaPro-Norm" w:hAnsi="MetaPro-Norm"/>
          <w:b/>
          <w:bCs/>
        </w:rPr>
        <w:t>The Right to a Clean, Healthy</w:t>
      </w:r>
      <w:r w:rsidR="001375E0" w:rsidRPr="00C461E5">
        <w:rPr>
          <w:rFonts w:ascii="MetaPro-Norm" w:hAnsi="MetaPro-Norm"/>
          <w:b/>
          <w:bCs/>
        </w:rPr>
        <w:t>,</w:t>
      </w:r>
      <w:r w:rsidRPr="00C461E5">
        <w:rPr>
          <w:rFonts w:ascii="MetaPro-Norm" w:hAnsi="MetaPro-Norm"/>
          <w:b/>
          <w:bCs/>
        </w:rPr>
        <w:t xml:space="preserve"> and Sustainable Environment (Section IV)</w:t>
      </w:r>
    </w:p>
    <w:p w14:paraId="57A98285" w14:textId="7998E35B" w:rsidR="001D1AE7" w:rsidRPr="00C461E5" w:rsidRDefault="00E03AD2" w:rsidP="00C461E5">
      <w:pPr>
        <w:pStyle w:val="ListParagraph"/>
        <w:numPr>
          <w:ilvl w:val="0"/>
          <w:numId w:val="4"/>
        </w:numPr>
        <w:spacing w:after="0"/>
        <w:rPr>
          <w:rFonts w:ascii="MetaPro-Norm" w:hAnsi="MetaPro-Norm"/>
          <w:lang w:val="en-GB"/>
        </w:rPr>
      </w:pPr>
      <w:r w:rsidRPr="00C461E5">
        <w:rPr>
          <w:rFonts w:ascii="MetaPro-Norm" w:hAnsi="MetaPro-Norm"/>
        </w:rPr>
        <w:t xml:space="preserve">Para 73 d: </w:t>
      </w:r>
      <w:r w:rsidR="000168DD" w:rsidRPr="00C461E5">
        <w:rPr>
          <w:rFonts w:ascii="MetaPro-Norm" w:hAnsi="MetaPro-Norm"/>
        </w:rPr>
        <w:t xml:space="preserve">We recommend </w:t>
      </w:r>
      <w:r w:rsidR="001D1AE7" w:rsidRPr="00C461E5">
        <w:rPr>
          <w:rFonts w:ascii="MetaPro-Norm" w:hAnsi="MetaPro-Norm"/>
        </w:rPr>
        <w:t>call</w:t>
      </w:r>
      <w:r w:rsidR="001F4F12">
        <w:rPr>
          <w:rFonts w:ascii="MetaPro-Norm" w:hAnsi="MetaPro-Norm"/>
        </w:rPr>
        <w:t>ing</w:t>
      </w:r>
      <w:r w:rsidR="001D1AE7" w:rsidRPr="00C461E5">
        <w:rPr>
          <w:rFonts w:ascii="MetaPro-Norm" w:hAnsi="MetaPro-Norm"/>
        </w:rPr>
        <w:t xml:space="preserve"> for the </w:t>
      </w:r>
      <w:r w:rsidR="001D1AE7" w:rsidRPr="00C461E5">
        <w:rPr>
          <w:rFonts w:ascii="MetaPro-Norm" w:hAnsi="MetaPro-Norm"/>
          <w:lang w:val="en-GB"/>
        </w:rPr>
        <w:t xml:space="preserve">rapid phasing out of extraction, production, and use of fossil fuels by investing in regenerative economies utilizing localized, renewable, and sustainable sources of energy, including accessible and affordable public transit, walkable and liveable cities, and increased energy efficiency to address the </w:t>
      </w:r>
      <w:r w:rsidR="6B23848C" w:rsidRPr="35F5A73D">
        <w:rPr>
          <w:rFonts w:ascii="MetaPro-Norm" w:hAnsi="MetaPro-Norm"/>
          <w:lang w:val="en-GB"/>
        </w:rPr>
        <w:t xml:space="preserve">children’s rights </w:t>
      </w:r>
      <w:r w:rsidR="001D1AE7" w:rsidRPr="00C461E5">
        <w:rPr>
          <w:rFonts w:ascii="MetaPro-Norm" w:hAnsi="MetaPro-Norm"/>
          <w:lang w:val="en-GB"/>
        </w:rPr>
        <w:t>harms associated with fossil fuel pollution and the climate crisis</w:t>
      </w:r>
      <w:r w:rsidR="00C461E5">
        <w:rPr>
          <w:rFonts w:ascii="MetaPro-Norm" w:hAnsi="MetaPro-Norm"/>
          <w:lang w:val="en-GB"/>
        </w:rPr>
        <w:t>.</w:t>
      </w:r>
    </w:p>
    <w:p w14:paraId="4A402F2F" w14:textId="77777777" w:rsidR="005411E8" w:rsidRDefault="005411E8" w:rsidP="0184A33D">
      <w:pPr>
        <w:spacing w:after="0"/>
        <w:rPr>
          <w:rFonts w:ascii="MetaPro-Norm" w:hAnsi="MetaPro-Norm"/>
        </w:rPr>
      </w:pPr>
    </w:p>
    <w:p w14:paraId="39D53D48" w14:textId="3D96CA20" w:rsidR="00E971D5" w:rsidRPr="00E971D5" w:rsidRDefault="00E971D5" w:rsidP="00E971D5">
      <w:pPr>
        <w:spacing w:after="0"/>
        <w:rPr>
          <w:rFonts w:ascii="MetaPro-Norm" w:hAnsi="MetaPro-Norm"/>
          <w:b/>
          <w:bCs/>
          <w:lang w:val="en-GB"/>
        </w:rPr>
      </w:pPr>
      <w:r w:rsidRPr="00E971D5">
        <w:rPr>
          <w:rFonts w:ascii="MetaPro-Norm" w:hAnsi="MetaPro-Norm"/>
          <w:b/>
          <w:bCs/>
          <w:lang w:val="en-GB"/>
        </w:rPr>
        <w:t xml:space="preserve">Children’s </w:t>
      </w:r>
      <w:r w:rsidR="00F57A03">
        <w:rPr>
          <w:rFonts w:ascii="MetaPro-Norm" w:hAnsi="MetaPro-Norm"/>
          <w:b/>
          <w:bCs/>
          <w:lang w:val="en-GB"/>
        </w:rPr>
        <w:t>R</w:t>
      </w:r>
      <w:r w:rsidRPr="00E971D5">
        <w:rPr>
          <w:rFonts w:ascii="MetaPro-Norm" w:hAnsi="MetaPro-Norm"/>
          <w:b/>
          <w:bCs/>
          <w:lang w:val="en-GB"/>
        </w:rPr>
        <w:t xml:space="preserve">ights and the </w:t>
      </w:r>
      <w:r w:rsidR="00F57A03">
        <w:rPr>
          <w:rFonts w:ascii="MetaPro-Norm" w:hAnsi="MetaPro-Norm"/>
          <w:b/>
          <w:bCs/>
          <w:lang w:val="en-GB"/>
        </w:rPr>
        <w:t>C</w:t>
      </w:r>
      <w:r w:rsidRPr="00E971D5">
        <w:rPr>
          <w:rFonts w:ascii="MetaPro-Norm" w:hAnsi="MetaPro-Norm"/>
          <w:b/>
          <w:bCs/>
          <w:lang w:val="en-GB"/>
        </w:rPr>
        <w:t xml:space="preserve">limate </w:t>
      </w:r>
      <w:r w:rsidR="00F57A03">
        <w:rPr>
          <w:rFonts w:ascii="MetaPro-Norm" w:hAnsi="MetaPro-Norm"/>
          <w:b/>
          <w:bCs/>
          <w:lang w:val="en-GB"/>
        </w:rPr>
        <w:t>C</w:t>
      </w:r>
      <w:r w:rsidRPr="00E971D5">
        <w:rPr>
          <w:rFonts w:ascii="MetaPro-Norm" w:hAnsi="MetaPro-Norm"/>
          <w:b/>
          <w:bCs/>
          <w:lang w:val="en-GB"/>
        </w:rPr>
        <w:t>risis</w:t>
      </w:r>
      <w:r w:rsidR="00AC4961">
        <w:rPr>
          <w:rFonts w:ascii="MetaPro-Norm" w:hAnsi="MetaPro-Norm"/>
          <w:b/>
          <w:bCs/>
          <w:lang w:val="en-GB"/>
        </w:rPr>
        <w:t xml:space="preserve"> (Section VI)</w:t>
      </w:r>
    </w:p>
    <w:p w14:paraId="449CBC96" w14:textId="4DF50C6C" w:rsidR="00E971D5" w:rsidRPr="00E971D5" w:rsidRDefault="00E971D5" w:rsidP="00E971D5">
      <w:pPr>
        <w:spacing w:after="0"/>
        <w:rPr>
          <w:rFonts w:ascii="MetaPro-Norm" w:hAnsi="MetaPro-Norm"/>
          <w:lang w:val="en-GB"/>
        </w:rPr>
      </w:pPr>
      <w:r w:rsidRPr="781AC143">
        <w:rPr>
          <w:rFonts w:ascii="MetaPro-Norm" w:hAnsi="MetaPro-Norm"/>
          <w:lang w:val="en-GB"/>
        </w:rPr>
        <w:t xml:space="preserve">The </w:t>
      </w:r>
      <w:r w:rsidR="1D883D05" w:rsidRPr="781AC143">
        <w:rPr>
          <w:rFonts w:ascii="MetaPro-Norm" w:hAnsi="MetaPro-Norm"/>
          <w:lang w:val="en-GB"/>
        </w:rPr>
        <w:t>G</w:t>
      </w:r>
      <w:r w:rsidRPr="781AC143">
        <w:rPr>
          <w:rFonts w:ascii="MetaPro-Norm" w:hAnsi="MetaPro-Norm"/>
          <w:lang w:val="en-GB"/>
        </w:rPr>
        <w:t xml:space="preserve">eneral </w:t>
      </w:r>
      <w:r w:rsidR="2FA0A72C" w:rsidRPr="781AC143">
        <w:rPr>
          <w:rFonts w:ascii="MetaPro-Norm" w:hAnsi="MetaPro-Norm"/>
          <w:lang w:val="en-GB"/>
        </w:rPr>
        <w:t>C</w:t>
      </w:r>
      <w:r w:rsidRPr="781AC143">
        <w:rPr>
          <w:rFonts w:ascii="MetaPro-Norm" w:hAnsi="MetaPro-Norm"/>
          <w:lang w:val="en-GB"/>
        </w:rPr>
        <w:t xml:space="preserve">omment should provide much-needed authoritative guidance relating to children’s rights and the climate crisis. Human Rights Watch welcomes the draft’s view that </w:t>
      </w:r>
      <w:r w:rsidR="095DEC97" w:rsidRPr="781AC143">
        <w:rPr>
          <w:rFonts w:ascii="MetaPro-Norm" w:hAnsi="MetaPro-Norm"/>
          <w:lang w:val="en-GB"/>
        </w:rPr>
        <w:t>s</w:t>
      </w:r>
      <w:r w:rsidRPr="781AC143">
        <w:rPr>
          <w:rFonts w:ascii="MetaPro-Norm" w:hAnsi="MetaPro-Norm"/>
          <w:lang w:val="en-GB"/>
        </w:rPr>
        <w:t xml:space="preserve">tates have obligations to take actions to protect children’s rights against the foreseeable effects of climate change, and to mobilize the maximum available resources for mitigation and prevention measures. It also supports the draft’s view that </w:t>
      </w:r>
      <w:r w:rsidR="68AC7861" w:rsidRPr="781AC143">
        <w:rPr>
          <w:rFonts w:ascii="MetaPro-Norm" w:hAnsi="MetaPro-Norm"/>
          <w:lang w:val="en-GB"/>
        </w:rPr>
        <w:t>h</w:t>
      </w:r>
      <w:r w:rsidRPr="781AC143">
        <w:rPr>
          <w:rFonts w:ascii="MetaPro-Norm" w:hAnsi="MetaPro-Norm"/>
          <w:lang w:val="en-GB"/>
        </w:rPr>
        <w:t xml:space="preserve">ome </w:t>
      </w:r>
      <w:r w:rsidR="17343D24" w:rsidRPr="781AC143">
        <w:rPr>
          <w:rFonts w:ascii="MetaPro-Norm" w:hAnsi="MetaPro-Norm"/>
          <w:lang w:val="en-GB"/>
        </w:rPr>
        <w:t>s</w:t>
      </w:r>
      <w:r w:rsidRPr="781AC143">
        <w:rPr>
          <w:rFonts w:ascii="MetaPro-Norm" w:hAnsi="MetaPro-Norm"/>
          <w:lang w:val="en-GB"/>
        </w:rPr>
        <w:t xml:space="preserve">tates should adopt measures to address current harm and foreseeable climate-related risks to children’s rights posed by business enterprises that have transboundary effects when there is a reasonable link between the </w:t>
      </w:r>
      <w:r w:rsidR="512F8342" w:rsidRPr="781AC143">
        <w:rPr>
          <w:rFonts w:ascii="MetaPro-Norm" w:hAnsi="MetaPro-Norm"/>
          <w:lang w:val="en-GB"/>
        </w:rPr>
        <w:t>s</w:t>
      </w:r>
      <w:r w:rsidRPr="781AC143">
        <w:rPr>
          <w:rFonts w:ascii="MetaPro-Norm" w:hAnsi="MetaPro-Norm"/>
          <w:lang w:val="en-GB"/>
        </w:rPr>
        <w:t xml:space="preserve">tate and the conduct concerned, and that </w:t>
      </w:r>
      <w:r w:rsidR="01C6900F" w:rsidRPr="781AC143">
        <w:rPr>
          <w:rFonts w:ascii="MetaPro-Norm" w:hAnsi="MetaPro-Norm"/>
          <w:lang w:val="en-GB"/>
        </w:rPr>
        <w:t>s</w:t>
      </w:r>
      <w:r w:rsidRPr="781AC143">
        <w:rPr>
          <w:rFonts w:ascii="MetaPro-Norm" w:hAnsi="MetaPro-Norm"/>
          <w:lang w:val="en-GB"/>
        </w:rPr>
        <w:t>tates should provide effective remedies for infringements.</w:t>
      </w:r>
    </w:p>
    <w:p w14:paraId="4BFBA0A1" w14:textId="77777777" w:rsidR="00E971D5" w:rsidRPr="00E971D5" w:rsidRDefault="00E971D5" w:rsidP="00E971D5">
      <w:pPr>
        <w:spacing w:after="0"/>
        <w:rPr>
          <w:rFonts w:ascii="MetaPro-Norm" w:hAnsi="MetaPro-Norm"/>
          <w:lang w:val="en-GB"/>
        </w:rPr>
      </w:pPr>
    </w:p>
    <w:p w14:paraId="0F4E2E09" w14:textId="3EC4AAB4" w:rsidR="00E971D5" w:rsidRPr="00E971D5" w:rsidRDefault="00E971D5" w:rsidP="00E971D5">
      <w:pPr>
        <w:spacing w:after="0"/>
        <w:rPr>
          <w:rFonts w:ascii="MetaPro-Norm" w:hAnsi="MetaPro-Norm"/>
          <w:lang w:val="en-GB"/>
        </w:rPr>
      </w:pPr>
      <w:r w:rsidRPr="2A0BAD4F">
        <w:rPr>
          <w:rFonts w:ascii="MetaPro-Norm" w:hAnsi="MetaPro-Norm"/>
          <w:lang w:val="en-GB"/>
        </w:rPr>
        <w:t>However, the draft could be made considerably stronger</w:t>
      </w:r>
      <w:r w:rsidR="00E75DF2" w:rsidRPr="2A0BAD4F">
        <w:rPr>
          <w:rFonts w:ascii="MetaPro-Norm" w:hAnsi="MetaPro-Norm"/>
          <w:lang w:val="en-GB"/>
        </w:rPr>
        <w:t xml:space="preserve"> in this regard</w:t>
      </w:r>
      <w:r w:rsidRPr="2A0BAD4F">
        <w:rPr>
          <w:rFonts w:ascii="MetaPro-Norm" w:hAnsi="MetaPro-Norm"/>
          <w:lang w:val="en-GB"/>
        </w:rPr>
        <w:t xml:space="preserve">. </w:t>
      </w:r>
      <w:r w:rsidR="00E75DF2" w:rsidRPr="2A0BAD4F">
        <w:rPr>
          <w:rFonts w:ascii="MetaPro-Norm" w:hAnsi="MetaPro-Norm"/>
          <w:lang w:val="en-GB"/>
        </w:rPr>
        <w:t>Human Rights Watch proposes the following:</w:t>
      </w:r>
    </w:p>
    <w:p w14:paraId="3E597C17" w14:textId="6827F23C" w:rsidR="2A0BAD4F" w:rsidRDefault="2A0BAD4F" w:rsidP="2A0BAD4F">
      <w:pPr>
        <w:spacing w:after="0"/>
        <w:rPr>
          <w:rFonts w:ascii="MetaPro-Norm" w:hAnsi="MetaPro-Norm"/>
          <w:lang w:val="en-GB"/>
        </w:rPr>
      </w:pPr>
    </w:p>
    <w:p w14:paraId="72BB708A" w14:textId="14BCD9C8" w:rsidR="0081309E" w:rsidRPr="007B1FDE" w:rsidRDefault="00CD4479" w:rsidP="007B1FDE">
      <w:pPr>
        <w:numPr>
          <w:ilvl w:val="0"/>
          <w:numId w:val="1"/>
        </w:numPr>
        <w:spacing w:after="0"/>
        <w:rPr>
          <w:rFonts w:ascii="MetaPro-Norm" w:hAnsi="MetaPro-Norm"/>
          <w:lang w:val="en-GB"/>
        </w:rPr>
      </w:pPr>
      <w:r w:rsidRPr="001D2E75">
        <w:rPr>
          <w:rFonts w:ascii="MetaPro-Norm" w:hAnsi="MetaPro-Norm"/>
          <w:lang w:val="en-GB"/>
        </w:rPr>
        <w:t xml:space="preserve">Para 102: </w:t>
      </w:r>
      <w:r w:rsidR="00E971D5" w:rsidRPr="001D2E75">
        <w:rPr>
          <w:rFonts w:ascii="MetaPro-Norm" w:hAnsi="MetaPro-Norm"/>
          <w:lang w:val="en-GB"/>
        </w:rPr>
        <w:t xml:space="preserve">We recommend </w:t>
      </w:r>
      <w:r w:rsidR="00E85D3D">
        <w:rPr>
          <w:rFonts w:ascii="MetaPro-Norm" w:hAnsi="MetaPro-Norm"/>
          <w:lang w:val="en-GB"/>
        </w:rPr>
        <w:t>focusing on</w:t>
      </w:r>
      <w:r w:rsidR="00E85D3D" w:rsidRPr="001D2E75">
        <w:rPr>
          <w:rFonts w:ascii="MetaPro-Norm" w:hAnsi="MetaPro-Norm"/>
          <w:lang w:val="en-GB"/>
        </w:rPr>
        <w:t xml:space="preserve"> </w:t>
      </w:r>
      <w:r w:rsidR="00E971D5" w:rsidRPr="001D2E75">
        <w:rPr>
          <w:rFonts w:ascii="MetaPro-Norm" w:hAnsi="MetaPro-Norm"/>
          <w:lang w:val="en-GB"/>
        </w:rPr>
        <w:t xml:space="preserve">the goal of 1.5 degrees, in line with </w:t>
      </w:r>
      <w:r w:rsidRPr="001D2E75">
        <w:rPr>
          <w:rFonts w:ascii="MetaPro-Norm" w:hAnsi="MetaPro-Norm"/>
          <w:lang w:val="en-GB"/>
        </w:rPr>
        <w:t xml:space="preserve">the </w:t>
      </w:r>
      <w:r w:rsidR="00E971D5" w:rsidRPr="001D2E75">
        <w:rPr>
          <w:rFonts w:ascii="MetaPro-Norm" w:hAnsi="MetaPro-Norm"/>
          <w:lang w:val="en-GB"/>
        </w:rPr>
        <w:t>latest available research</w:t>
      </w:r>
      <w:r w:rsidR="00E85D3D">
        <w:rPr>
          <w:rFonts w:ascii="MetaPro-Norm" w:hAnsi="MetaPro-Norm"/>
          <w:lang w:val="en-GB"/>
        </w:rPr>
        <w:t xml:space="preserve"> and the Paris Agreement</w:t>
      </w:r>
      <w:r w:rsidR="00E971D5" w:rsidRPr="001D2E75">
        <w:rPr>
          <w:rFonts w:ascii="MetaPro-Norm" w:hAnsi="MetaPro-Norm"/>
          <w:lang w:val="en-GB"/>
        </w:rPr>
        <w:t>. While the 2015 Paris Agreement sets the goal to limit warming to “well below 2 degrees Celsius</w:t>
      </w:r>
      <w:r w:rsidRPr="001D2E75">
        <w:rPr>
          <w:rFonts w:ascii="MetaPro-Norm" w:hAnsi="MetaPro-Norm"/>
          <w:lang w:val="en-GB"/>
        </w:rPr>
        <w:t>,</w:t>
      </w:r>
      <w:r w:rsidR="00E971D5" w:rsidRPr="001D2E75">
        <w:rPr>
          <w:rFonts w:ascii="MetaPro-Norm" w:hAnsi="MetaPro-Norm"/>
          <w:lang w:val="en-GB"/>
        </w:rPr>
        <w:t xml:space="preserve">” new scientific </w:t>
      </w:r>
      <w:r w:rsidR="00E971D5" w:rsidRPr="006043A7">
        <w:rPr>
          <w:rFonts w:ascii="MetaPro-Norm" w:hAnsi="MetaPro-Norm"/>
          <w:lang w:val="en-GB"/>
        </w:rPr>
        <w:t>research</w:t>
      </w:r>
      <w:r w:rsidR="00E971D5" w:rsidRPr="001D2E75">
        <w:rPr>
          <w:rFonts w:ascii="MetaPro-Norm" w:hAnsi="MetaPro-Norm"/>
          <w:lang w:val="en-GB"/>
        </w:rPr>
        <w:t xml:space="preserve"> by the I</w:t>
      </w:r>
      <w:r w:rsidR="0092267B">
        <w:rPr>
          <w:rFonts w:ascii="MetaPro-Norm" w:hAnsi="MetaPro-Norm"/>
          <w:lang w:val="en-GB"/>
        </w:rPr>
        <w:t xml:space="preserve">ntergovernmental </w:t>
      </w:r>
      <w:r w:rsidR="00E971D5" w:rsidRPr="001D2E75">
        <w:rPr>
          <w:rFonts w:ascii="MetaPro-Norm" w:hAnsi="MetaPro-Norm"/>
          <w:lang w:val="en-GB"/>
        </w:rPr>
        <w:t>P</w:t>
      </w:r>
      <w:r w:rsidR="0092267B">
        <w:rPr>
          <w:rFonts w:ascii="MetaPro-Norm" w:hAnsi="MetaPro-Norm"/>
          <w:lang w:val="en-GB"/>
        </w:rPr>
        <w:t xml:space="preserve">anel on </w:t>
      </w:r>
      <w:r w:rsidR="00E971D5" w:rsidRPr="001D2E75">
        <w:rPr>
          <w:rFonts w:ascii="MetaPro-Norm" w:hAnsi="MetaPro-Norm"/>
          <w:lang w:val="en-GB"/>
        </w:rPr>
        <w:t>C</w:t>
      </w:r>
      <w:r w:rsidR="0092267B">
        <w:rPr>
          <w:rFonts w:ascii="MetaPro-Norm" w:hAnsi="MetaPro-Norm"/>
          <w:lang w:val="en-GB"/>
        </w:rPr>
        <w:t xml:space="preserve">limate </w:t>
      </w:r>
      <w:r w:rsidR="00E971D5" w:rsidRPr="001D2E75">
        <w:rPr>
          <w:rFonts w:ascii="MetaPro-Norm" w:hAnsi="MetaPro-Norm"/>
          <w:lang w:val="en-GB"/>
        </w:rPr>
        <w:t>C</w:t>
      </w:r>
      <w:r w:rsidR="0092267B">
        <w:rPr>
          <w:rFonts w:ascii="MetaPro-Norm" w:hAnsi="MetaPro-Norm"/>
          <w:lang w:val="en-GB"/>
        </w:rPr>
        <w:t>hange (IPCC)</w:t>
      </w:r>
      <w:r w:rsidR="00E971D5" w:rsidRPr="001D2E75">
        <w:rPr>
          <w:rFonts w:ascii="MetaPro-Norm" w:hAnsi="MetaPro-Norm"/>
          <w:lang w:val="en-GB"/>
        </w:rPr>
        <w:t xml:space="preserve"> has found that a 2 degree increase in temperature would have severe and often irreversible consequences.</w:t>
      </w:r>
      <w:r w:rsidR="0092263B">
        <w:rPr>
          <w:rStyle w:val="FootnoteReference"/>
          <w:lang w:val="en-GB"/>
        </w:rPr>
        <w:footnoteReference w:id="8"/>
      </w:r>
      <w:r w:rsidR="00E971D5" w:rsidRPr="001D2E75">
        <w:rPr>
          <w:rFonts w:ascii="MetaPro-Norm" w:hAnsi="MetaPro-Norm"/>
          <w:lang w:val="en-GB"/>
        </w:rPr>
        <w:t xml:space="preserve"> </w:t>
      </w:r>
      <w:r w:rsidR="002816F0">
        <w:rPr>
          <w:rFonts w:ascii="MetaPro-Norm" w:hAnsi="MetaPro-Norm"/>
          <w:lang w:val="en-GB"/>
        </w:rPr>
        <w:t xml:space="preserve">It has also found </w:t>
      </w:r>
      <w:r w:rsidR="002816F0" w:rsidRPr="002816F0">
        <w:rPr>
          <w:rFonts w:ascii="MetaPro-Norm" w:hAnsi="MetaPro-Norm"/>
          <w:lang w:val="en-GB"/>
        </w:rPr>
        <w:t>that</w:t>
      </w:r>
      <w:r w:rsidR="002816F0" w:rsidRPr="002816F0">
        <w:rPr>
          <w:rFonts w:ascii="MetaPro-Norm" w:hAnsi="MetaPro-Norm"/>
          <w:lang w:val="en"/>
        </w:rPr>
        <w:t xml:space="preserve"> existing fossil fuel projects are already more than the climate can withstand if we are to meet this goal</w:t>
      </w:r>
      <w:r w:rsidR="00D267A7">
        <w:rPr>
          <w:rFonts w:ascii="MetaPro-Norm" w:hAnsi="MetaPro-Norm"/>
          <w:lang w:val="en"/>
        </w:rPr>
        <w:t>.</w:t>
      </w:r>
      <w:r w:rsidR="00D267A7">
        <w:rPr>
          <w:rStyle w:val="FootnoteReference"/>
          <w:lang w:val="en"/>
        </w:rPr>
        <w:footnoteReference w:id="9"/>
      </w:r>
    </w:p>
    <w:p w14:paraId="49DD7ED7" w14:textId="2C9A5960" w:rsidR="0081309E" w:rsidRPr="0081309E" w:rsidRDefault="5251996D" w:rsidP="0081309E">
      <w:pPr>
        <w:pStyle w:val="ListParagraph"/>
        <w:numPr>
          <w:ilvl w:val="0"/>
          <w:numId w:val="1"/>
        </w:numPr>
        <w:spacing w:after="0"/>
        <w:rPr>
          <w:rFonts w:ascii="MetaPro-Norm" w:hAnsi="MetaPro-Norm"/>
        </w:rPr>
      </w:pPr>
      <w:bookmarkStart w:id="0" w:name="_Hlk125361046"/>
      <w:r>
        <w:rPr>
          <w:rFonts w:ascii="MetaPro-Norm" w:hAnsi="MetaPro-Norm"/>
        </w:rPr>
        <w:lastRenderedPageBreak/>
        <w:t xml:space="preserve">Para </w:t>
      </w:r>
      <w:r w:rsidRPr="0081309E">
        <w:rPr>
          <w:rFonts w:ascii="MetaPro-Norm" w:hAnsi="MetaPro-Norm"/>
        </w:rPr>
        <w:t>10</w:t>
      </w:r>
      <w:r w:rsidR="73616185" w:rsidRPr="37BCECED">
        <w:rPr>
          <w:rFonts w:ascii="MetaPro-Norm" w:hAnsi="MetaPro-Norm"/>
        </w:rPr>
        <w:t>5</w:t>
      </w:r>
      <w:r>
        <w:rPr>
          <w:rFonts w:ascii="MetaPro-Norm" w:hAnsi="MetaPro-Norm"/>
        </w:rPr>
        <w:t>: We recommend</w:t>
      </w:r>
      <w:r w:rsidRPr="0081309E">
        <w:rPr>
          <w:rFonts w:ascii="MetaPro-Norm" w:hAnsi="MetaPro-Norm"/>
        </w:rPr>
        <w:t xml:space="preserve"> underlin</w:t>
      </w:r>
      <w:r>
        <w:rPr>
          <w:rFonts w:ascii="MetaPro-Norm" w:hAnsi="MetaPro-Norm"/>
        </w:rPr>
        <w:t>ing</w:t>
      </w:r>
      <w:r w:rsidRPr="0081309E">
        <w:rPr>
          <w:rFonts w:ascii="MetaPro-Norm" w:hAnsi="MetaPro-Norm"/>
        </w:rPr>
        <w:t xml:space="preserve"> the importance for states to include intersectional experiences into their national adaptation plans, including the situations of children with disabilities. Under the </w:t>
      </w:r>
      <w:r w:rsidRPr="00A40F29">
        <w:rPr>
          <w:rFonts w:ascii="MetaPro-Norm" w:hAnsi="MetaPro-Norm"/>
        </w:rPr>
        <w:t>Convention on the Rights of Persons with Disabilities</w:t>
      </w:r>
      <w:r w:rsidRPr="0081309E">
        <w:rPr>
          <w:rFonts w:ascii="MetaPro-Norm" w:hAnsi="MetaPro-Norm"/>
        </w:rPr>
        <w:t>, governments should ensure equal rights for children with disabilities as well as their protection and safety during extreme weather events.</w:t>
      </w:r>
      <w:r w:rsidR="002B16CE">
        <w:rPr>
          <w:rStyle w:val="FootnoteReference"/>
        </w:rPr>
        <w:footnoteReference w:id="10"/>
      </w:r>
      <w:r w:rsidRPr="0081309E">
        <w:rPr>
          <w:rFonts w:ascii="MetaPro-Norm" w:hAnsi="MetaPro-Norm"/>
        </w:rPr>
        <w:t xml:space="preserve"> </w:t>
      </w:r>
      <w:r w:rsidRPr="002B16CE">
        <w:rPr>
          <w:rFonts w:ascii="MetaPro-Norm" w:hAnsi="MetaPro-Norm"/>
        </w:rPr>
        <w:t>Studies</w:t>
      </w:r>
      <w:r w:rsidRPr="0081309E">
        <w:rPr>
          <w:rFonts w:ascii="MetaPro-Norm" w:hAnsi="MetaPro-Norm"/>
        </w:rPr>
        <w:t xml:space="preserve"> show that most countries are falling far short of including the rights of people with disabilities, including children with disabilities, in their climate adaptation plans.</w:t>
      </w:r>
      <w:r w:rsidR="00864E93">
        <w:rPr>
          <w:rStyle w:val="FootnoteReference"/>
        </w:rPr>
        <w:footnoteReference w:id="11"/>
      </w:r>
      <w:r w:rsidRPr="0081309E">
        <w:rPr>
          <w:rFonts w:ascii="MetaPro-Norm" w:hAnsi="MetaPro-Norm"/>
        </w:rPr>
        <w:t> </w:t>
      </w:r>
    </w:p>
    <w:bookmarkEnd w:id="0"/>
    <w:p w14:paraId="3C325DB4" w14:textId="77777777" w:rsidR="001D2E75" w:rsidRPr="001D2E75" w:rsidRDefault="001D2E75" w:rsidP="001D2E75">
      <w:pPr>
        <w:spacing w:after="0"/>
        <w:ind w:left="720"/>
        <w:rPr>
          <w:rFonts w:ascii="MetaPro-Norm" w:hAnsi="MetaPro-Norm"/>
          <w:lang w:val="en-GB"/>
        </w:rPr>
      </w:pPr>
    </w:p>
    <w:p w14:paraId="7A482C5D" w14:textId="66F2CF8F" w:rsidR="00401201" w:rsidRPr="0020020F" w:rsidRDefault="00401201" w:rsidP="0020020F">
      <w:pPr>
        <w:spacing w:after="0"/>
        <w:rPr>
          <w:rFonts w:ascii="MetaPro-Norm" w:hAnsi="MetaPro-Norm"/>
        </w:rPr>
      </w:pPr>
      <w:r w:rsidRPr="0020020F">
        <w:rPr>
          <w:rFonts w:ascii="MetaPro-Norm" w:hAnsi="MetaPro-Norm"/>
        </w:rPr>
        <w:t xml:space="preserve">The </w:t>
      </w:r>
      <w:r w:rsidR="00262275" w:rsidRPr="0020020F">
        <w:rPr>
          <w:rFonts w:ascii="MetaPro-Norm" w:hAnsi="MetaPro-Norm"/>
        </w:rPr>
        <w:t>G</w:t>
      </w:r>
      <w:r w:rsidRPr="0020020F">
        <w:rPr>
          <w:rFonts w:ascii="MetaPro-Norm" w:hAnsi="MetaPro-Norm"/>
        </w:rPr>
        <w:t xml:space="preserve">eneral </w:t>
      </w:r>
      <w:r w:rsidR="00262275" w:rsidRPr="0020020F">
        <w:rPr>
          <w:rFonts w:ascii="MetaPro-Norm" w:hAnsi="MetaPro-Norm"/>
        </w:rPr>
        <w:t>C</w:t>
      </w:r>
      <w:r w:rsidRPr="0020020F">
        <w:rPr>
          <w:rFonts w:ascii="MetaPro-Norm" w:hAnsi="MetaPro-Norm"/>
        </w:rPr>
        <w:t xml:space="preserve">omment should </w:t>
      </w:r>
      <w:r w:rsidR="00AF689D">
        <w:rPr>
          <w:rFonts w:ascii="MetaPro-Norm" w:hAnsi="MetaPro-Norm"/>
        </w:rPr>
        <w:t xml:space="preserve">also </w:t>
      </w:r>
      <w:r w:rsidRPr="0020020F">
        <w:rPr>
          <w:rFonts w:ascii="MetaPro-Norm" w:hAnsi="MetaPro-Norm"/>
        </w:rPr>
        <w:t xml:space="preserve">clarify that </w:t>
      </w:r>
      <w:r w:rsidR="655BA547" w:rsidRPr="0020020F">
        <w:rPr>
          <w:rFonts w:ascii="MetaPro-Norm" w:hAnsi="MetaPro-Norm"/>
        </w:rPr>
        <w:t xml:space="preserve">situations </w:t>
      </w:r>
      <w:r w:rsidRPr="0020020F">
        <w:rPr>
          <w:rFonts w:ascii="MetaPro-Norm" w:hAnsi="MetaPro-Norm"/>
        </w:rPr>
        <w:t>of poverty and marginalization can exacerbate the situation of families that have children with disabilities during climate-related disasters.</w:t>
      </w:r>
      <w:r w:rsidR="003C64B1">
        <w:rPr>
          <w:rStyle w:val="FootnoteReference"/>
        </w:rPr>
        <w:footnoteReference w:id="12"/>
      </w:r>
      <w:r w:rsidRPr="0020020F">
        <w:rPr>
          <w:rFonts w:ascii="MetaPro-Norm" w:hAnsi="MetaPro-Norm"/>
        </w:rPr>
        <w:t xml:space="preserve"> Poverty and marginalization may impact access to vital services, such as water, food, health services and shelter. At the same time, economic and social status play a significant role in the ability of families with children with disabilities to adapt to climate change and stay safe during extreme weather events. </w:t>
      </w:r>
    </w:p>
    <w:p w14:paraId="50E6EC8F" w14:textId="77777777" w:rsidR="00401201" w:rsidRPr="00401201" w:rsidRDefault="00401201" w:rsidP="00401201">
      <w:pPr>
        <w:spacing w:after="0"/>
        <w:rPr>
          <w:rFonts w:ascii="MetaPro-Norm" w:hAnsi="MetaPro-Norm"/>
        </w:rPr>
      </w:pPr>
    </w:p>
    <w:p w14:paraId="302311A1" w14:textId="0265E211" w:rsidR="00647048" w:rsidRDefault="7DD04D5A" w:rsidP="006815C8">
      <w:pPr>
        <w:numPr>
          <w:ilvl w:val="0"/>
          <w:numId w:val="1"/>
        </w:numPr>
        <w:spacing w:after="0"/>
        <w:rPr>
          <w:rFonts w:ascii="MetaPro-Norm" w:hAnsi="MetaPro-Norm"/>
          <w:lang w:val="en-GB"/>
        </w:rPr>
      </w:pPr>
      <w:r w:rsidRPr="001D2E75">
        <w:rPr>
          <w:rFonts w:ascii="MetaPro-Norm" w:hAnsi="MetaPro-Norm"/>
          <w:lang w:val="en-GB"/>
        </w:rPr>
        <w:t>Para 111</w:t>
      </w:r>
      <w:r w:rsidR="000C2E9D">
        <w:rPr>
          <w:rFonts w:ascii="MetaPro-Norm" w:hAnsi="MetaPro-Norm"/>
          <w:lang w:val="en-GB"/>
        </w:rPr>
        <w:t xml:space="preserve">: We recommend </w:t>
      </w:r>
      <w:r w:rsidR="006815C8">
        <w:rPr>
          <w:rFonts w:ascii="MetaPro-Norm" w:hAnsi="MetaPro-Norm"/>
          <w:lang w:val="en-GB"/>
        </w:rPr>
        <w:t>adding that a</w:t>
      </w:r>
      <w:r w:rsidR="006815C8" w:rsidRPr="006815C8">
        <w:rPr>
          <w:rFonts w:ascii="MetaPro-Norm" w:hAnsi="MetaPro-Norm"/>
          <w:lang w:val="en-GB"/>
        </w:rPr>
        <w:t>ll states should immediately work to achieve a phase out of fossil fuels as sources of income, energy</w:t>
      </w:r>
      <w:r w:rsidR="00877A74">
        <w:rPr>
          <w:rFonts w:ascii="MetaPro-Norm" w:hAnsi="MetaPro-Norm"/>
          <w:lang w:val="en-GB"/>
        </w:rPr>
        <w:t>,</w:t>
      </w:r>
      <w:r w:rsidR="006815C8" w:rsidRPr="006815C8">
        <w:rPr>
          <w:rFonts w:ascii="MetaPro-Norm" w:hAnsi="MetaPro-Norm"/>
          <w:lang w:val="en-GB"/>
        </w:rPr>
        <w:t xml:space="preserve"> and transportation. Wealthy nations should immediately support low-income nations in the equitable transition to localized, renewable, sustainable, and accessible sources of energy.</w:t>
      </w:r>
    </w:p>
    <w:p w14:paraId="3793FD0E" w14:textId="77777777" w:rsidR="006815C8" w:rsidRPr="006815C8" w:rsidRDefault="006815C8" w:rsidP="006815C8">
      <w:pPr>
        <w:spacing w:after="0"/>
        <w:rPr>
          <w:rFonts w:ascii="MetaPro-Norm" w:hAnsi="MetaPro-Norm"/>
          <w:lang w:val="en-GB"/>
        </w:rPr>
      </w:pPr>
    </w:p>
    <w:p w14:paraId="2F6CDB53" w14:textId="19905F6C" w:rsidR="00E971D5" w:rsidRDefault="000C2E9D" w:rsidP="006815C8">
      <w:pPr>
        <w:numPr>
          <w:ilvl w:val="1"/>
          <w:numId w:val="1"/>
        </w:numPr>
        <w:spacing w:after="0"/>
        <w:rPr>
          <w:rFonts w:ascii="MetaPro-Norm" w:hAnsi="MetaPro-Norm"/>
          <w:lang w:val="en-GB"/>
        </w:rPr>
      </w:pPr>
      <w:r>
        <w:rPr>
          <w:rFonts w:ascii="MetaPro-Norm" w:hAnsi="MetaPro-Norm"/>
          <w:lang w:val="en-GB"/>
        </w:rPr>
        <w:t>Para 111</w:t>
      </w:r>
      <w:r w:rsidR="7DD04D5A" w:rsidRPr="001D2E75">
        <w:rPr>
          <w:rFonts w:ascii="MetaPro-Norm" w:hAnsi="MetaPro-Norm"/>
          <w:lang w:val="en-GB"/>
        </w:rPr>
        <w:t xml:space="preserve">e: </w:t>
      </w:r>
      <w:r w:rsidR="00E971D5" w:rsidRPr="001D2E75">
        <w:rPr>
          <w:rFonts w:ascii="MetaPro-Norm" w:hAnsi="MetaPro-Norm"/>
          <w:lang w:val="en-GB"/>
        </w:rPr>
        <w:t xml:space="preserve">We recommend </w:t>
      </w:r>
      <w:r w:rsidR="00673A66">
        <w:rPr>
          <w:rFonts w:ascii="MetaPro-Norm" w:hAnsi="MetaPro-Norm"/>
          <w:lang w:val="en-GB"/>
        </w:rPr>
        <w:t>explicitly exclu</w:t>
      </w:r>
      <w:r w:rsidR="00F620F0">
        <w:rPr>
          <w:rFonts w:ascii="MetaPro-Norm" w:hAnsi="MetaPro-Norm"/>
          <w:lang w:val="en-GB"/>
        </w:rPr>
        <w:t>d</w:t>
      </w:r>
      <w:r w:rsidR="0013449C">
        <w:rPr>
          <w:rFonts w:ascii="MetaPro-Norm" w:hAnsi="MetaPro-Norm"/>
          <w:lang w:val="en-GB"/>
        </w:rPr>
        <w:t>ing</w:t>
      </w:r>
      <w:r w:rsidR="00673A66">
        <w:rPr>
          <w:rFonts w:ascii="MetaPro-Norm" w:hAnsi="MetaPro-Norm"/>
          <w:lang w:val="en-GB"/>
        </w:rPr>
        <w:t xml:space="preserve"> </w:t>
      </w:r>
      <w:r w:rsidR="00E971D5" w:rsidRPr="001D2E75">
        <w:rPr>
          <w:rFonts w:ascii="MetaPro-Norm" w:hAnsi="MetaPro-Norm"/>
          <w:lang w:val="en-GB"/>
        </w:rPr>
        <w:t xml:space="preserve">carbon capture and storage as viable possibilities to mitigate climate change in line with human rights. Mitigation measures should not rely on technologies that have not yet proven to be effective and carry significant risks for human rights, as outlined in </w:t>
      </w:r>
      <w:r w:rsidR="00E971D5" w:rsidRPr="005506EB">
        <w:rPr>
          <w:rFonts w:ascii="MetaPro-Norm" w:hAnsi="MetaPro-Norm"/>
          <w:lang w:val="en-GB"/>
        </w:rPr>
        <w:t>academic</w:t>
      </w:r>
      <w:r w:rsidR="00E971D5" w:rsidRPr="001D2E75">
        <w:rPr>
          <w:rFonts w:ascii="MetaPro-Norm" w:hAnsi="MetaPro-Norm"/>
          <w:lang w:val="en-GB"/>
        </w:rPr>
        <w:t xml:space="preserve"> publications</w:t>
      </w:r>
      <w:r w:rsidR="009345EB">
        <w:rPr>
          <w:rFonts w:ascii="MetaPro-Norm" w:hAnsi="MetaPro-Norm"/>
          <w:lang w:val="en-GB"/>
        </w:rPr>
        <w:t>.</w:t>
      </w:r>
      <w:r w:rsidR="009345EB" w:rsidRPr="009345EB">
        <w:rPr>
          <w:rStyle w:val="FootnoteReference"/>
          <w:lang w:val="en-GB"/>
        </w:rPr>
        <w:t xml:space="preserve"> </w:t>
      </w:r>
      <w:r w:rsidR="009345EB">
        <w:rPr>
          <w:rStyle w:val="FootnoteReference"/>
          <w:lang w:val="en-GB"/>
        </w:rPr>
        <w:footnoteReference w:id="13"/>
      </w:r>
      <w:r w:rsidR="00E971D5" w:rsidRPr="001D2E75">
        <w:rPr>
          <w:rFonts w:ascii="MetaPro-Norm" w:hAnsi="MetaPro-Norm"/>
          <w:lang w:val="en-GB"/>
        </w:rPr>
        <w:t xml:space="preserve"> </w:t>
      </w:r>
    </w:p>
    <w:p w14:paraId="7FBEF76E" w14:textId="77777777" w:rsidR="001D2E75" w:rsidRPr="001D2E75" w:rsidRDefault="001D2E75" w:rsidP="001D2E75">
      <w:pPr>
        <w:spacing w:after="0"/>
        <w:rPr>
          <w:rFonts w:ascii="MetaPro-Norm" w:hAnsi="MetaPro-Norm"/>
          <w:lang w:val="en-GB"/>
        </w:rPr>
      </w:pPr>
    </w:p>
    <w:p w14:paraId="7E26C129" w14:textId="38C14CE7" w:rsidR="00E971D5" w:rsidRPr="00E971D5" w:rsidRDefault="001D2E75" w:rsidP="00E971D5">
      <w:pPr>
        <w:numPr>
          <w:ilvl w:val="0"/>
          <w:numId w:val="1"/>
        </w:numPr>
        <w:spacing w:after="0"/>
        <w:rPr>
          <w:rFonts w:ascii="MetaPro-Norm" w:hAnsi="MetaPro-Norm"/>
          <w:lang w:val="en-GB"/>
        </w:rPr>
      </w:pPr>
      <w:r w:rsidRPr="781AC143">
        <w:rPr>
          <w:rFonts w:ascii="MetaPro-Norm" w:hAnsi="MetaPro-Norm"/>
          <w:lang w:val="en-GB"/>
        </w:rPr>
        <w:lastRenderedPageBreak/>
        <w:t xml:space="preserve">Para 112: </w:t>
      </w:r>
      <w:r w:rsidR="00E971D5" w:rsidRPr="781AC143">
        <w:rPr>
          <w:rFonts w:ascii="MetaPro-Norm" w:hAnsi="MetaPro-Norm"/>
          <w:lang w:val="en-GB"/>
        </w:rPr>
        <w:t xml:space="preserve">We recommend saying that </w:t>
      </w:r>
      <w:r w:rsidR="69AF8F84" w:rsidRPr="781AC143">
        <w:rPr>
          <w:rFonts w:ascii="MetaPro-Norm" w:hAnsi="MetaPro-Norm"/>
          <w:lang w:val="en-GB"/>
        </w:rPr>
        <w:t>s</w:t>
      </w:r>
      <w:r w:rsidR="00E971D5" w:rsidRPr="781AC143">
        <w:rPr>
          <w:rFonts w:ascii="MetaPro-Norm" w:hAnsi="MetaPro-Norm"/>
          <w:lang w:val="en-GB"/>
        </w:rPr>
        <w:t>tates should stop providing fossil fuel subsidies and other incentives, as these violate government human rights obligations related to climate change. As a minimum, we suggest deleting “consider</w:t>
      </w:r>
      <w:r w:rsidR="554AFCC3" w:rsidRPr="781AC143">
        <w:rPr>
          <w:rFonts w:ascii="MetaPro-Norm" w:hAnsi="MetaPro-Norm"/>
          <w:lang w:val="en-GB"/>
        </w:rPr>
        <w:t>.</w:t>
      </w:r>
      <w:r w:rsidR="00E971D5" w:rsidRPr="781AC143">
        <w:rPr>
          <w:rFonts w:ascii="MetaPro-Norm" w:hAnsi="MetaPro-Norm"/>
          <w:lang w:val="en-GB"/>
        </w:rPr>
        <w:t xml:space="preserve">” </w:t>
      </w:r>
    </w:p>
    <w:p w14:paraId="2FCD4312" w14:textId="77777777" w:rsidR="00E971D5" w:rsidRPr="00E971D5" w:rsidRDefault="00E971D5" w:rsidP="00E971D5">
      <w:pPr>
        <w:spacing w:after="0"/>
        <w:rPr>
          <w:rFonts w:ascii="MetaPro-Norm" w:hAnsi="MetaPro-Norm"/>
          <w:lang w:val="en-GB"/>
        </w:rPr>
      </w:pPr>
    </w:p>
    <w:p w14:paraId="5E77143A" w14:textId="5B5429C0" w:rsidR="0048732A" w:rsidRPr="00401201" w:rsidRDefault="3D8D909C" w:rsidP="00E433A9">
      <w:pPr>
        <w:spacing w:after="0"/>
        <w:rPr>
          <w:rFonts w:ascii="MetaPro-Norm" w:hAnsi="MetaPro-Norm"/>
          <w:lang w:val="en-GB"/>
        </w:rPr>
      </w:pPr>
      <w:r w:rsidRPr="6E7272A4">
        <w:rPr>
          <w:rFonts w:ascii="MetaPro-Norm" w:hAnsi="MetaPro-Norm"/>
          <w:lang w:val="en-GB"/>
        </w:rPr>
        <w:t>Finally, w</w:t>
      </w:r>
      <w:r w:rsidR="00E971D5" w:rsidRPr="6E7272A4">
        <w:rPr>
          <w:rFonts w:ascii="MetaPro-Norm" w:hAnsi="MetaPro-Norm"/>
          <w:lang w:val="en-GB"/>
        </w:rPr>
        <w:t xml:space="preserve">e recommend including clear language on the common but differentiated responsibilities of </w:t>
      </w:r>
      <w:r w:rsidR="006128A1">
        <w:rPr>
          <w:rFonts w:ascii="MetaPro-Norm" w:hAnsi="MetaPro-Norm"/>
          <w:lang w:val="en-GB"/>
        </w:rPr>
        <w:t>s</w:t>
      </w:r>
      <w:r w:rsidR="00E971D5" w:rsidRPr="6E7272A4">
        <w:rPr>
          <w:rFonts w:ascii="MetaPro-Norm" w:hAnsi="MetaPro-Norm"/>
          <w:lang w:val="en-GB"/>
        </w:rPr>
        <w:t xml:space="preserve">tates in relation to mitigation measures. It remains unclear </w:t>
      </w:r>
      <w:r w:rsidR="4EB93AAD" w:rsidRPr="6E7272A4">
        <w:rPr>
          <w:rFonts w:ascii="MetaPro-Norm" w:hAnsi="MetaPro-Norm"/>
          <w:lang w:val="en-GB"/>
        </w:rPr>
        <w:t xml:space="preserve">in the draft </w:t>
      </w:r>
      <w:r w:rsidR="00E971D5" w:rsidRPr="6E7272A4">
        <w:rPr>
          <w:rFonts w:ascii="MetaPro-Norm" w:hAnsi="MetaPro-Norm"/>
          <w:lang w:val="en-GB"/>
        </w:rPr>
        <w:t>what the minimum threshold for a “fair share” of mitigation efforts is from a child rights perspective.</w:t>
      </w:r>
    </w:p>
    <w:p w14:paraId="50D37289" w14:textId="77777777" w:rsidR="005411E8" w:rsidRDefault="005411E8" w:rsidP="005411E8">
      <w:pPr>
        <w:spacing w:after="0"/>
        <w:rPr>
          <w:rFonts w:ascii="MetaPro-Norm" w:hAnsi="MetaPro-Norm"/>
        </w:rPr>
      </w:pPr>
    </w:p>
    <w:p w14:paraId="24D84380" w14:textId="519B608A" w:rsidR="005411E8" w:rsidRPr="005411E8" w:rsidRDefault="008B2497" w:rsidP="005411E8">
      <w:pPr>
        <w:spacing w:after="0"/>
        <w:rPr>
          <w:rFonts w:ascii="MetaPro-Norm" w:hAnsi="MetaPro-Norm"/>
          <w:lang w:val="en-GB"/>
        </w:rPr>
      </w:pPr>
      <w:r w:rsidRPr="005411E8">
        <w:rPr>
          <w:rFonts w:ascii="MetaPro-Norm" w:hAnsi="MetaPro-Norm"/>
          <w:i/>
          <w:iCs/>
          <w:lang w:val="en-GB"/>
        </w:rPr>
        <w:t>Child Rights and Business (Section</w:t>
      </w:r>
      <w:r w:rsidR="00023F9E" w:rsidRPr="005411E8">
        <w:rPr>
          <w:rFonts w:ascii="MetaPro-Norm" w:hAnsi="MetaPro-Norm"/>
          <w:i/>
          <w:iCs/>
          <w:lang w:val="en-GB"/>
        </w:rPr>
        <w:t>s V</w:t>
      </w:r>
      <w:r w:rsidR="000509E8" w:rsidRPr="005411E8">
        <w:rPr>
          <w:rFonts w:ascii="MetaPro-Norm" w:hAnsi="MetaPro-Norm"/>
          <w:i/>
          <w:iCs/>
          <w:lang w:val="en-GB"/>
        </w:rPr>
        <w:t xml:space="preserve">.F. and </w:t>
      </w:r>
      <w:r w:rsidRPr="005411E8">
        <w:rPr>
          <w:rFonts w:ascii="MetaPro-Norm" w:hAnsi="MetaPro-Norm"/>
          <w:i/>
          <w:iCs/>
          <w:lang w:val="en-GB"/>
        </w:rPr>
        <w:t>VI.D.)</w:t>
      </w:r>
    </w:p>
    <w:p w14:paraId="502A41E6" w14:textId="1B5EF48B" w:rsidR="008B2497" w:rsidRPr="00484FB7" w:rsidRDefault="00B31D60" w:rsidP="00484FB7">
      <w:pPr>
        <w:pStyle w:val="ListParagraph"/>
        <w:numPr>
          <w:ilvl w:val="0"/>
          <w:numId w:val="7"/>
        </w:numPr>
        <w:spacing w:after="0"/>
        <w:rPr>
          <w:rFonts w:ascii="MetaPro-Norm" w:hAnsi="MetaPro-Norm"/>
          <w:lang w:val="en-GB"/>
        </w:rPr>
      </w:pPr>
      <w:r w:rsidRPr="00484FB7">
        <w:rPr>
          <w:rFonts w:ascii="MetaPro-Norm" w:hAnsi="MetaPro-Norm"/>
          <w:lang w:val="en-GB"/>
        </w:rPr>
        <w:t xml:space="preserve">Para 92: </w:t>
      </w:r>
      <w:r w:rsidR="008B2497" w:rsidRPr="00484FB7">
        <w:rPr>
          <w:rFonts w:ascii="MetaPro-Norm" w:hAnsi="MetaPro-Norm"/>
          <w:lang w:val="en-GB"/>
        </w:rPr>
        <w:t>We welcome the draft’s statement that “States should require business to undertake child-rights due diligence</w:t>
      </w:r>
      <w:r w:rsidR="00431866" w:rsidRPr="00484FB7">
        <w:rPr>
          <w:rFonts w:ascii="MetaPro-Norm" w:hAnsi="MetaPro-Norm"/>
          <w:lang w:val="en-GB"/>
        </w:rPr>
        <w:t>.</w:t>
      </w:r>
      <w:r w:rsidR="008B2497" w:rsidRPr="00484FB7">
        <w:rPr>
          <w:rFonts w:ascii="MetaPro-Norm" w:hAnsi="MetaPro-Norm"/>
          <w:lang w:val="en-GB"/>
        </w:rPr>
        <w:t>”</w:t>
      </w:r>
      <w:r w:rsidR="00431866" w:rsidRPr="00484FB7">
        <w:rPr>
          <w:rFonts w:ascii="MetaPro-Norm" w:hAnsi="MetaPro-Norm"/>
          <w:lang w:val="en-GB"/>
        </w:rPr>
        <w:t xml:space="preserve"> </w:t>
      </w:r>
      <w:r w:rsidR="008B2497" w:rsidRPr="00484FB7">
        <w:rPr>
          <w:rFonts w:ascii="MetaPro-Norm" w:hAnsi="MetaPro-Norm"/>
          <w:lang w:val="en-GB"/>
        </w:rPr>
        <w:t xml:space="preserve">However, the text states that businesses should conduct due diligence “across their business relationships and within global operations”; </w:t>
      </w:r>
      <w:r w:rsidR="5BB19327" w:rsidRPr="00484FB7">
        <w:rPr>
          <w:rFonts w:ascii="MetaPro-Norm" w:hAnsi="MetaPro-Norm"/>
          <w:lang w:val="en-GB"/>
        </w:rPr>
        <w:t xml:space="preserve">instead, </w:t>
      </w:r>
      <w:r w:rsidR="008B2497" w:rsidRPr="00484FB7">
        <w:rPr>
          <w:rFonts w:ascii="MetaPro-Norm" w:hAnsi="MetaPro-Norm"/>
          <w:lang w:val="en-GB"/>
        </w:rPr>
        <w:t xml:space="preserve">it would be preferable to </w:t>
      </w:r>
      <w:r w:rsidR="00783903" w:rsidRPr="00484FB7">
        <w:rPr>
          <w:rFonts w:ascii="MetaPro-Norm" w:hAnsi="MetaPro-Norm"/>
          <w:lang w:val="en-GB"/>
        </w:rPr>
        <w:t>say,</w:t>
      </w:r>
      <w:r w:rsidR="008B2497" w:rsidRPr="00484FB7">
        <w:rPr>
          <w:rFonts w:ascii="MetaPro-Norm" w:hAnsi="MetaPro-Norm"/>
          <w:lang w:val="en-GB"/>
        </w:rPr>
        <w:t xml:space="preserve"> “across businesses’ entire supply </w:t>
      </w:r>
      <w:r w:rsidR="49E69C19" w:rsidRPr="00484FB7">
        <w:rPr>
          <w:rFonts w:ascii="MetaPro-Norm" w:hAnsi="MetaPro-Norm"/>
          <w:lang w:val="en-GB"/>
        </w:rPr>
        <w:t>chain</w:t>
      </w:r>
      <w:r w:rsidR="1028C285" w:rsidRPr="00484FB7">
        <w:rPr>
          <w:rFonts w:ascii="MetaPro-Norm" w:hAnsi="MetaPro-Norm"/>
          <w:lang w:val="en-GB"/>
        </w:rPr>
        <w:t>s</w:t>
      </w:r>
      <w:r w:rsidR="474D0066" w:rsidRPr="00484FB7">
        <w:rPr>
          <w:rFonts w:ascii="MetaPro-Norm" w:hAnsi="MetaPro-Norm"/>
          <w:lang w:val="en-GB"/>
        </w:rPr>
        <w:t>,</w:t>
      </w:r>
      <w:r w:rsidR="008B2497" w:rsidRPr="00484FB7">
        <w:rPr>
          <w:rFonts w:ascii="MetaPro-Norm" w:hAnsi="MetaPro-Norm"/>
          <w:lang w:val="en-GB"/>
        </w:rPr>
        <w:t>” as the terms “business relationships” and “global operations” are ambiguous</w:t>
      </w:r>
      <w:r w:rsidR="00431866" w:rsidRPr="00484FB7">
        <w:rPr>
          <w:rFonts w:ascii="MetaPro-Norm" w:hAnsi="MetaPro-Norm"/>
          <w:lang w:val="en-GB"/>
        </w:rPr>
        <w:t>.</w:t>
      </w:r>
    </w:p>
    <w:p w14:paraId="11E18268" w14:textId="77777777" w:rsidR="00663C66" w:rsidRPr="008B2497" w:rsidRDefault="00663C66" w:rsidP="008B2497">
      <w:pPr>
        <w:spacing w:after="0"/>
        <w:rPr>
          <w:rFonts w:ascii="MetaPro-Norm" w:hAnsi="MetaPro-Norm"/>
          <w:lang w:val="en-GB"/>
        </w:rPr>
      </w:pPr>
    </w:p>
    <w:p w14:paraId="2AFE8B39" w14:textId="00D2D345" w:rsidR="007100AB" w:rsidRDefault="007100AB" w:rsidP="007100AB">
      <w:pPr>
        <w:pStyle w:val="ListParagraph"/>
        <w:numPr>
          <w:ilvl w:val="0"/>
          <w:numId w:val="4"/>
        </w:numPr>
        <w:spacing w:after="0"/>
        <w:rPr>
          <w:rFonts w:ascii="MetaPro-Norm" w:hAnsi="MetaPro-Norm"/>
          <w:lang w:val="en-GB"/>
        </w:rPr>
      </w:pPr>
      <w:r>
        <w:rPr>
          <w:rFonts w:ascii="MetaPro-Norm" w:hAnsi="MetaPro-Norm"/>
          <w:lang w:val="en-GB"/>
        </w:rPr>
        <w:t xml:space="preserve">Para 115: </w:t>
      </w:r>
      <w:r w:rsidRPr="007100AB">
        <w:rPr>
          <w:rFonts w:ascii="MetaPro-Norm" w:hAnsi="MetaPro-Norm"/>
          <w:lang w:val="en-GB"/>
        </w:rPr>
        <w:t>With regard to climate change, we recommend explicitly saying that states should require businesses to measure their total Scope 1, 2, and 3 carbon footprint; set targets for reducing all three greenhouse gas emissions in line with the 1.5 degrees goal of the Paris Agreement (excluding the use of carbon offsetting and carbon capture and storage); and steer their activities to reduce direct and indirect greenhouse gas emissions to align with the target.</w:t>
      </w:r>
    </w:p>
    <w:p w14:paraId="7F63CA29" w14:textId="77777777" w:rsidR="00290119" w:rsidRDefault="00290119" w:rsidP="008B2497">
      <w:pPr>
        <w:spacing w:after="0"/>
        <w:rPr>
          <w:rFonts w:ascii="MetaPro-Norm" w:hAnsi="MetaPro-Norm"/>
          <w:lang w:val="en-GB"/>
        </w:rPr>
      </w:pPr>
    </w:p>
    <w:p w14:paraId="002F0746" w14:textId="5F1D3AC0" w:rsidR="008B2497" w:rsidRDefault="008B2497" w:rsidP="008B2497">
      <w:pPr>
        <w:spacing w:after="0"/>
        <w:rPr>
          <w:rFonts w:ascii="MetaPro-Norm" w:hAnsi="MetaPro-Norm"/>
          <w:lang w:val="en-GB"/>
        </w:rPr>
      </w:pPr>
      <w:r w:rsidRPr="781AC143">
        <w:rPr>
          <w:rFonts w:ascii="MetaPro-Norm" w:hAnsi="MetaPro-Norm"/>
          <w:lang w:val="en-GB"/>
        </w:rPr>
        <w:t>We also recommend adding language on business</w:t>
      </w:r>
      <w:r w:rsidR="00A0014D" w:rsidRPr="781AC143">
        <w:rPr>
          <w:rFonts w:ascii="MetaPro-Norm" w:hAnsi="MetaPro-Norm"/>
          <w:lang w:val="en-GB"/>
        </w:rPr>
        <w:t>es</w:t>
      </w:r>
      <w:r w:rsidRPr="781AC143">
        <w:rPr>
          <w:rFonts w:ascii="MetaPro-Norm" w:hAnsi="MetaPro-Norm"/>
          <w:lang w:val="en-GB"/>
        </w:rPr>
        <w:t xml:space="preserve">’ responsibility to be transparent. In particular, the General Comment should explicitly state that </w:t>
      </w:r>
      <w:r w:rsidR="2E93C112" w:rsidRPr="781AC143">
        <w:rPr>
          <w:rFonts w:ascii="MetaPro-Norm" w:hAnsi="MetaPro-Norm"/>
          <w:lang w:val="en-GB"/>
        </w:rPr>
        <w:t>s</w:t>
      </w:r>
      <w:r w:rsidRPr="781AC143">
        <w:rPr>
          <w:rFonts w:ascii="MetaPro-Norm" w:hAnsi="MetaPro-Norm"/>
          <w:lang w:val="en-GB"/>
        </w:rPr>
        <w:t>tates should require business</w:t>
      </w:r>
      <w:r w:rsidR="00A0014D" w:rsidRPr="781AC143">
        <w:rPr>
          <w:rFonts w:ascii="MetaPro-Norm" w:hAnsi="MetaPro-Norm"/>
          <w:lang w:val="en-GB"/>
        </w:rPr>
        <w:t>es</w:t>
      </w:r>
      <w:r w:rsidRPr="781AC143">
        <w:rPr>
          <w:rFonts w:ascii="MetaPro-Norm" w:hAnsi="MetaPro-Norm"/>
          <w:lang w:val="en-GB"/>
        </w:rPr>
        <w:t xml:space="preserve"> to publicly disclose their child rights due diligence measures, including their policies, risks identified, steps taken to address the risks, audit summaries, non-compliances found, and grievance reports received. States should also require companies to disclose information about their supply chain, such as the names and locations of their suppliers. </w:t>
      </w:r>
    </w:p>
    <w:p w14:paraId="5790E22D" w14:textId="77777777" w:rsidR="00FB66A1" w:rsidRDefault="00FB66A1" w:rsidP="008B2497">
      <w:pPr>
        <w:spacing w:after="0"/>
        <w:rPr>
          <w:rFonts w:ascii="MetaPro-Norm" w:hAnsi="MetaPro-Norm"/>
          <w:lang w:val="en-GB"/>
        </w:rPr>
      </w:pPr>
    </w:p>
    <w:p w14:paraId="4BFC79B7" w14:textId="77777777" w:rsidR="00CC13C3" w:rsidRDefault="00FB66A1" w:rsidP="002D4ED7">
      <w:pPr>
        <w:spacing w:after="0"/>
        <w:rPr>
          <w:rFonts w:ascii="MetaPro-Norm" w:hAnsi="MetaPro-Norm"/>
          <w:lang w:val="en-GB"/>
        </w:rPr>
      </w:pPr>
      <w:r>
        <w:rPr>
          <w:rFonts w:ascii="MetaPro-Norm" w:hAnsi="MetaPro-Norm"/>
          <w:lang w:val="en-GB"/>
        </w:rPr>
        <w:t xml:space="preserve">Finally, states </w:t>
      </w:r>
      <w:r w:rsidRPr="00526C9F">
        <w:rPr>
          <w:rFonts w:ascii="MetaPro-Norm" w:hAnsi="MetaPro-Norm"/>
          <w:lang w:val="en-GB"/>
        </w:rPr>
        <w:t xml:space="preserve">should </w:t>
      </w:r>
      <w:r w:rsidRPr="35F5A73D">
        <w:rPr>
          <w:rFonts w:ascii="MetaPro-Norm" w:hAnsi="MetaPro-Norm"/>
          <w:lang w:val="en-GB"/>
        </w:rPr>
        <w:t>make</w:t>
      </w:r>
      <w:r w:rsidRPr="00526C9F">
        <w:rPr>
          <w:rFonts w:ascii="MetaPro-Norm" w:hAnsi="MetaPro-Norm"/>
          <w:lang w:val="en-GB"/>
        </w:rPr>
        <w:t xml:space="preserve"> particular </w:t>
      </w:r>
      <w:r w:rsidRPr="35F5A73D">
        <w:rPr>
          <w:rFonts w:ascii="MetaPro-Norm" w:hAnsi="MetaPro-Norm"/>
          <w:lang w:val="en-GB"/>
        </w:rPr>
        <w:t>efforts to protect the rights of</w:t>
      </w:r>
      <w:r w:rsidRPr="00526C9F">
        <w:rPr>
          <w:rFonts w:ascii="MetaPro-Norm" w:hAnsi="MetaPro-Norm"/>
          <w:lang w:val="en-GB"/>
        </w:rPr>
        <w:t xml:space="preserve"> children living in communities on the frontlines of fossil fuel and other polluting operations.</w:t>
      </w:r>
    </w:p>
    <w:p w14:paraId="4F3C81B7" w14:textId="579360FC" w:rsidR="00914FE6" w:rsidRDefault="00FB66A1" w:rsidP="002D4ED7">
      <w:pPr>
        <w:spacing w:after="0"/>
        <w:rPr>
          <w:rFonts w:ascii="MetaPro-Norm" w:hAnsi="MetaPro-Norm"/>
          <w:lang w:val="en-GB"/>
        </w:rPr>
      </w:pPr>
      <w:r w:rsidRPr="00526C9F">
        <w:rPr>
          <w:rFonts w:ascii="MetaPro-Norm" w:hAnsi="MetaPro-Norm"/>
          <w:lang w:val="en-GB"/>
        </w:rPr>
        <w:t xml:space="preserve"> </w:t>
      </w:r>
    </w:p>
    <w:p w14:paraId="1FD10A8B" w14:textId="11653D66" w:rsidR="00214F41" w:rsidRDefault="00214F41" w:rsidP="00076D64">
      <w:pPr>
        <w:spacing w:after="0"/>
        <w:rPr>
          <w:rFonts w:ascii="MetaPro-Norm" w:hAnsi="MetaPro-Norm"/>
          <w:i/>
          <w:iCs/>
          <w:lang w:val="en-GB"/>
        </w:rPr>
      </w:pPr>
      <w:r w:rsidRPr="00567CDE">
        <w:rPr>
          <w:rFonts w:ascii="MetaPro-Norm" w:hAnsi="MetaPro-Norm"/>
          <w:i/>
          <w:iCs/>
          <w:lang w:val="en-GB"/>
        </w:rPr>
        <w:t xml:space="preserve">International Cooperation (Section </w:t>
      </w:r>
      <w:r w:rsidR="00567CDE" w:rsidRPr="00567CDE">
        <w:rPr>
          <w:rFonts w:ascii="MetaPro-Norm" w:hAnsi="MetaPro-Norm"/>
          <w:i/>
          <w:iCs/>
          <w:lang w:val="en-GB"/>
        </w:rPr>
        <w:t>V.G.)</w:t>
      </w:r>
    </w:p>
    <w:p w14:paraId="6A7B1E49" w14:textId="5B7418AE" w:rsidR="007B567C" w:rsidRPr="00C01D56" w:rsidRDefault="007B567C" w:rsidP="00A31BB0">
      <w:pPr>
        <w:pStyle w:val="ListParagraph"/>
        <w:numPr>
          <w:ilvl w:val="0"/>
          <w:numId w:val="7"/>
        </w:numPr>
        <w:spacing w:after="0"/>
        <w:rPr>
          <w:rFonts w:ascii="MetaPro-Norm" w:hAnsi="MetaPro-Norm"/>
          <w:lang w:val="en-GB"/>
        </w:rPr>
      </w:pPr>
      <w:r>
        <w:rPr>
          <w:rFonts w:ascii="MetaPro-Norm" w:hAnsi="MetaPro-Norm"/>
          <w:lang w:val="en-GB"/>
        </w:rPr>
        <w:t xml:space="preserve">Para 95: We recommend specifying that high-income states </w:t>
      </w:r>
      <w:r w:rsidR="00A31BB0" w:rsidRPr="00A31BB0">
        <w:rPr>
          <w:rFonts w:ascii="MetaPro-Norm" w:hAnsi="MetaPro-Norm"/>
          <w:bCs/>
          <w:lang w:val="en-GB"/>
        </w:rPr>
        <w:t xml:space="preserve">should support adaptation and mitigation efforts in developing countries by facilitating the </w:t>
      </w:r>
      <w:r w:rsidR="00A31BB0" w:rsidRPr="00A31BB0">
        <w:rPr>
          <w:rFonts w:ascii="MetaPro-Norm" w:hAnsi="MetaPro-Norm"/>
          <w:lang w:val="en-GB"/>
        </w:rPr>
        <w:t xml:space="preserve">rapid phase out of fossil fuels via the </w:t>
      </w:r>
      <w:r w:rsidR="00A31BB0" w:rsidRPr="00A31BB0">
        <w:rPr>
          <w:rFonts w:ascii="MetaPro-Norm" w:hAnsi="MetaPro-Norm"/>
          <w:bCs/>
          <w:lang w:val="en-GB"/>
        </w:rPr>
        <w:t xml:space="preserve">transfer of green technologies, and by contributing to financing </w:t>
      </w:r>
      <w:r w:rsidR="00A31BB0" w:rsidRPr="00A31BB0">
        <w:rPr>
          <w:rFonts w:ascii="MetaPro-Norm" w:hAnsi="MetaPro-Norm"/>
          <w:lang w:val="en-GB"/>
        </w:rPr>
        <w:t xml:space="preserve">the transition </w:t>
      </w:r>
      <w:r w:rsidR="00A31BB0" w:rsidRPr="00A31BB0">
        <w:rPr>
          <w:rFonts w:ascii="MetaPro-Norm" w:hAnsi="MetaPro-Norm"/>
          <w:lang w:val="en-GB"/>
        </w:rPr>
        <w:lastRenderedPageBreak/>
        <w:t xml:space="preserve">from fossil fuel-based economies to economies based on the use and adoption of renewable, sustainable, localized sources of energy, </w:t>
      </w:r>
      <w:r w:rsidR="00A31BB0" w:rsidRPr="00A31BB0">
        <w:rPr>
          <w:rFonts w:ascii="MetaPro-Norm" w:hAnsi="MetaPro-Norm"/>
          <w:bCs/>
          <w:lang w:val="en-GB"/>
        </w:rPr>
        <w:t>climate mitigation and adaptation, in line with their internationally agreed climate finance goals.</w:t>
      </w:r>
    </w:p>
    <w:p w14:paraId="1560CCE4" w14:textId="77777777" w:rsidR="00A31BB0" w:rsidRPr="00C01D56" w:rsidRDefault="00A31BB0" w:rsidP="00C01D56">
      <w:pPr>
        <w:pStyle w:val="ListParagraph"/>
        <w:spacing w:after="0"/>
        <w:rPr>
          <w:rFonts w:ascii="MetaPro-Norm" w:hAnsi="MetaPro-Norm"/>
          <w:lang w:val="en-GB"/>
        </w:rPr>
      </w:pPr>
    </w:p>
    <w:sectPr w:rsidR="00A31BB0" w:rsidRPr="00C01D5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6DF08" w14:textId="77777777" w:rsidR="009D01DB" w:rsidRDefault="009D01DB" w:rsidP="00463E4A">
      <w:pPr>
        <w:spacing w:after="0" w:line="240" w:lineRule="auto"/>
      </w:pPr>
      <w:r>
        <w:separator/>
      </w:r>
    </w:p>
  </w:endnote>
  <w:endnote w:type="continuationSeparator" w:id="0">
    <w:p w14:paraId="4CC29A6E" w14:textId="77777777" w:rsidR="009D01DB" w:rsidRDefault="009D01DB" w:rsidP="00463E4A">
      <w:pPr>
        <w:spacing w:after="0" w:line="240" w:lineRule="auto"/>
      </w:pPr>
      <w:r>
        <w:continuationSeparator/>
      </w:r>
    </w:p>
  </w:endnote>
  <w:endnote w:type="continuationNotice" w:id="1">
    <w:p w14:paraId="293B6F20" w14:textId="77777777" w:rsidR="009D01DB" w:rsidRDefault="009D01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Pro-Medi">
    <w:panose1 w:val="020B0604030101020102"/>
    <w:charset w:val="00"/>
    <w:family w:val="swiss"/>
    <w:notTrueType/>
    <w:pitch w:val="variable"/>
    <w:sig w:usb0="A00002F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etaPro-Norm">
    <w:altName w:val="Calibri"/>
    <w:panose1 w:val="020B0504030101020102"/>
    <w:charset w:val="00"/>
    <w:family w:val="swiss"/>
    <w:notTrueType/>
    <w:pitch w:val="variable"/>
    <w:sig w:usb0="A00002FF" w:usb1="4000207B" w:usb2="00000000" w:usb3="00000000" w:csb0="0000009F" w:csb1="00000000"/>
  </w:font>
  <w:font w:name="Yu Mincho">
    <w:altName w:val="Yu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714915"/>
      <w:docPartObj>
        <w:docPartGallery w:val="Page Numbers (Bottom of Page)"/>
        <w:docPartUnique/>
      </w:docPartObj>
    </w:sdtPr>
    <w:sdtEndPr>
      <w:rPr>
        <w:rFonts w:ascii="MetaPro-Medi" w:hAnsi="MetaPro-Medi"/>
        <w:noProof/>
      </w:rPr>
    </w:sdtEndPr>
    <w:sdtContent>
      <w:p w14:paraId="719112BC" w14:textId="00F70F10" w:rsidR="00463E4A" w:rsidRPr="00463E4A" w:rsidRDefault="00463E4A">
        <w:pPr>
          <w:pStyle w:val="Footer"/>
          <w:jc w:val="center"/>
          <w:rPr>
            <w:rFonts w:ascii="MetaPro-Medi" w:hAnsi="MetaPro-Medi"/>
          </w:rPr>
        </w:pPr>
        <w:r w:rsidRPr="00463E4A">
          <w:rPr>
            <w:rFonts w:ascii="MetaPro-Medi" w:hAnsi="MetaPro-Medi"/>
          </w:rPr>
          <w:fldChar w:fldCharType="begin"/>
        </w:r>
        <w:r w:rsidRPr="00463E4A">
          <w:rPr>
            <w:rFonts w:ascii="MetaPro-Medi" w:hAnsi="MetaPro-Medi"/>
          </w:rPr>
          <w:instrText xml:space="preserve"> PAGE   \* MERGEFORMAT </w:instrText>
        </w:r>
        <w:r w:rsidRPr="00463E4A">
          <w:rPr>
            <w:rFonts w:ascii="MetaPro-Medi" w:hAnsi="MetaPro-Medi"/>
          </w:rPr>
          <w:fldChar w:fldCharType="separate"/>
        </w:r>
        <w:r w:rsidRPr="00463E4A">
          <w:rPr>
            <w:rFonts w:ascii="MetaPro-Medi" w:hAnsi="MetaPro-Medi"/>
            <w:noProof/>
          </w:rPr>
          <w:t>2</w:t>
        </w:r>
        <w:r w:rsidRPr="00463E4A">
          <w:rPr>
            <w:rFonts w:ascii="MetaPro-Medi" w:hAnsi="MetaPro-Medi"/>
            <w:noProof/>
          </w:rPr>
          <w:fldChar w:fldCharType="end"/>
        </w:r>
      </w:p>
    </w:sdtContent>
  </w:sdt>
  <w:p w14:paraId="72403BCD" w14:textId="77777777" w:rsidR="00463E4A" w:rsidRDefault="00463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5BAE" w14:textId="77777777" w:rsidR="009D01DB" w:rsidRDefault="009D01DB" w:rsidP="00463E4A">
      <w:pPr>
        <w:spacing w:after="0" w:line="240" w:lineRule="auto"/>
      </w:pPr>
      <w:r>
        <w:separator/>
      </w:r>
    </w:p>
  </w:footnote>
  <w:footnote w:type="continuationSeparator" w:id="0">
    <w:p w14:paraId="567D992C" w14:textId="77777777" w:rsidR="009D01DB" w:rsidRDefault="009D01DB" w:rsidP="00463E4A">
      <w:pPr>
        <w:spacing w:after="0" w:line="240" w:lineRule="auto"/>
      </w:pPr>
      <w:r>
        <w:continuationSeparator/>
      </w:r>
    </w:p>
  </w:footnote>
  <w:footnote w:type="continuationNotice" w:id="1">
    <w:p w14:paraId="1D35C298" w14:textId="77777777" w:rsidR="009D01DB" w:rsidRDefault="009D01DB">
      <w:pPr>
        <w:spacing w:after="0" w:line="240" w:lineRule="auto"/>
      </w:pPr>
    </w:p>
  </w:footnote>
  <w:footnote w:id="2">
    <w:p w14:paraId="0B967386" w14:textId="3724A2E5" w:rsidR="05458C4A" w:rsidRPr="00230C2D" w:rsidRDefault="05458C4A" w:rsidP="00A735EA">
      <w:pPr>
        <w:pStyle w:val="FootnoteText"/>
        <w:rPr>
          <w:rFonts w:ascii="Arial" w:eastAsia="Arial" w:hAnsi="Arial" w:cs="Arial"/>
          <w:sz w:val="24"/>
          <w:szCs w:val="24"/>
        </w:rPr>
      </w:pPr>
      <w:r w:rsidRPr="000D6FB0">
        <w:rPr>
          <w:rStyle w:val="FootnoteReference"/>
        </w:rPr>
        <w:footnoteRef/>
      </w:r>
      <w:r w:rsidR="52E940AE" w:rsidRPr="00BD032F">
        <w:t xml:space="preserve"> See for example World Health Organization</w:t>
      </w:r>
      <w:r w:rsidR="00BD032F" w:rsidRPr="00D64BB6">
        <w:t>,</w:t>
      </w:r>
      <w:r w:rsidR="52E940AE" w:rsidRPr="00BD032F">
        <w:t xml:space="preserve"> Preterm Birth</w:t>
      </w:r>
      <w:r w:rsidR="006A3067">
        <w:t>,</w:t>
      </w:r>
      <w:r w:rsidR="52E940AE" w:rsidRPr="00BD032F">
        <w:t xml:space="preserve"> November </w:t>
      </w:r>
      <w:r w:rsidR="006A3067">
        <w:t xml:space="preserve">14, </w:t>
      </w:r>
      <w:r w:rsidR="52E940AE" w:rsidRPr="00BD032F">
        <w:t>2022</w:t>
      </w:r>
      <w:r w:rsidR="00A2196B">
        <w:t xml:space="preserve">. </w:t>
      </w:r>
      <w:r w:rsidR="00230C2D">
        <w:t>“</w:t>
      </w:r>
      <w:r w:rsidR="52E940AE" w:rsidRPr="00A735EA">
        <w:t>In low-income settings, half of the babies born at or below 32 weeks (2 months early) die due to a lack of feasible, cost-effective care such as warmth, breastfeeding support and basic care for infections and breathing difficulties. In high-income countries, almost all these babies survive. Suboptimal use of technology in middle-income settings is causing an increased burden of disability among preterm babies who survive the neonatal period.”</w:t>
      </w:r>
      <w:r w:rsidR="52E940AE" w:rsidRPr="52E940AE">
        <w:t xml:space="preserve"> </w:t>
      </w:r>
      <w:r w:rsidR="00230C2D" w:rsidRPr="00230C2D">
        <w:t xml:space="preserve">https://www.who.int/news-room/fact-sheets/detail/preterm-birth#:~:text=An%20estimated%2015%20million%20babies%20are%20born%20too%20early%20every,and%20visual%20and%20hearing%20problems (accessed </w:t>
      </w:r>
      <w:r w:rsidR="00230C2D">
        <w:t>February 6, 2023)</w:t>
      </w:r>
      <w:r w:rsidR="52E940AE" w:rsidRPr="00230C2D">
        <w:t>.</w:t>
      </w:r>
    </w:p>
  </w:footnote>
  <w:footnote w:id="3">
    <w:p w14:paraId="0799C76A" w14:textId="071ADC7C" w:rsidR="00B358ED" w:rsidRDefault="00B358ED" w:rsidP="00A735EA">
      <w:pPr>
        <w:pStyle w:val="FootnoteText"/>
      </w:pPr>
      <w:r w:rsidRPr="000D6FB0">
        <w:rPr>
          <w:rStyle w:val="FootnoteReference"/>
        </w:rPr>
        <w:footnoteRef/>
      </w:r>
      <w:r w:rsidR="52E940AE" w:rsidRPr="00BD032F">
        <w:t xml:space="preserve"> Patrice Sutton et al., “Reproductive environmental health,” </w:t>
      </w:r>
      <w:r w:rsidR="52E940AE" w:rsidRPr="00BD032F">
        <w:rPr>
          <w:i/>
          <w:iCs/>
        </w:rPr>
        <w:t>Current opinion in obstetrics &amp; gynecology</w:t>
      </w:r>
      <w:r w:rsidR="52E940AE" w:rsidRPr="00BD032F">
        <w:t xml:space="preserve">, vol. 22,6 (2010): 517-24. doi:10.1097/GCO.0b013e3283404e59; see also World Health Organization, Children’s Environmental Health, https://www.who.int/health-topics/children-environmental-health#tab=tab_1. </w:t>
      </w:r>
    </w:p>
  </w:footnote>
  <w:footnote w:id="4">
    <w:p w14:paraId="7077C4A4" w14:textId="37DD4B7F" w:rsidR="00EF1F7B" w:rsidRPr="008A68C8" w:rsidRDefault="00EF1F7B" w:rsidP="52E940AE">
      <w:pPr>
        <w:spacing w:after="0"/>
        <w:rPr>
          <w:rStyle w:val="FootnoteTextChar"/>
        </w:rPr>
      </w:pPr>
      <w:r w:rsidRPr="00EC218B">
        <w:rPr>
          <w:rStyle w:val="FootnoteReference"/>
        </w:rPr>
        <w:footnoteRef/>
      </w:r>
      <w:r w:rsidR="52E940AE" w:rsidRPr="009E5C93">
        <w:rPr>
          <w:rStyle w:val="FootnoteReference"/>
        </w:rPr>
        <w:t xml:space="preserve"> </w:t>
      </w:r>
      <w:r w:rsidR="52E940AE" w:rsidRPr="009E5C93">
        <w:rPr>
          <w:rStyle w:val="FootnoteTextChar"/>
          <w:rFonts w:eastAsia="MetaPro-Norm" w:cs="MetaPro-Norm"/>
          <w:szCs w:val="16"/>
        </w:rPr>
        <w:t xml:space="preserve">Intergovernmental Panel on Climate Change (IPCC), Climate Change 2022: Impacts, Adaptation and Vulnerability, Contribution of Working Group II to the Sixth Assessment Report of the Intergovernmental Panel on Climate Change, 2022, https://www.ipcc.ch/report/ar6/wg2/; and </w:t>
      </w:r>
      <w:proofErr w:type="spellStart"/>
      <w:r w:rsidR="52E940AE" w:rsidRPr="009E5C93">
        <w:rPr>
          <w:rFonts w:ascii="MetaPro-Norm" w:eastAsia="MetaPro-Norm" w:hAnsi="MetaPro-Norm" w:cs="MetaPro-Norm"/>
          <w:sz w:val="16"/>
          <w:szCs w:val="16"/>
        </w:rPr>
        <w:t>Roos</w:t>
      </w:r>
      <w:proofErr w:type="spellEnd"/>
      <w:r w:rsidR="52E940AE" w:rsidRPr="009E5C93">
        <w:rPr>
          <w:rFonts w:ascii="MetaPro-Norm" w:eastAsia="MetaPro-Norm" w:hAnsi="MetaPro-Norm" w:cs="MetaPro-Norm"/>
          <w:sz w:val="16"/>
          <w:szCs w:val="16"/>
        </w:rPr>
        <w:t xml:space="preserve"> N, Kovats S, Hajat S, et al., “Maternal and newborn health risks of climate change: A call for awareness and global action,” </w:t>
      </w:r>
      <w:r w:rsidR="52E940AE" w:rsidRPr="009E5C93">
        <w:rPr>
          <w:rFonts w:ascii="MetaPro-Norm" w:eastAsia="MetaPro-Norm" w:hAnsi="MetaPro-Norm" w:cs="MetaPro-Norm"/>
          <w:i/>
          <w:iCs/>
          <w:sz w:val="16"/>
          <w:szCs w:val="16"/>
        </w:rPr>
        <w:t xml:space="preserve">Acta </w:t>
      </w:r>
      <w:proofErr w:type="spellStart"/>
      <w:r w:rsidR="52E940AE" w:rsidRPr="009E5C93">
        <w:rPr>
          <w:rFonts w:ascii="MetaPro-Norm" w:eastAsia="MetaPro-Norm" w:hAnsi="MetaPro-Norm" w:cs="MetaPro-Norm"/>
          <w:i/>
          <w:iCs/>
          <w:sz w:val="16"/>
          <w:szCs w:val="16"/>
        </w:rPr>
        <w:t>Obstet</w:t>
      </w:r>
      <w:proofErr w:type="spellEnd"/>
      <w:r w:rsidR="52E940AE" w:rsidRPr="009E5C93">
        <w:rPr>
          <w:rFonts w:ascii="MetaPro-Norm" w:eastAsia="MetaPro-Norm" w:hAnsi="MetaPro-Norm" w:cs="MetaPro-Norm"/>
          <w:i/>
          <w:iCs/>
          <w:sz w:val="16"/>
          <w:szCs w:val="16"/>
        </w:rPr>
        <w:t xml:space="preserve"> </w:t>
      </w:r>
      <w:proofErr w:type="spellStart"/>
      <w:r w:rsidR="52E940AE" w:rsidRPr="009E5C93">
        <w:rPr>
          <w:rFonts w:ascii="MetaPro-Norm" w:eastAsia="MetaPro-Norm" w:hAnsi="MetaPro-Norm" w:cs="MetaPro-Norm"/>
          <w:i/>
          <w:iCs/>
          <w:sz w:val="16"/>
          <w:szCs w:val="16"/>
        </w:rPr>
        <w:t>Gynecol</w:t>
      </w:r>
      <w:proofErr w:type="spellEnd"/>
      <w:r w:rsidR="52E940AE" w:rsidRPr="009E5C93">
        <w:rPr>
          <w:rFonts w:ascii="MetaPro-Norm" w:eastAsia="MetaPro-Norm" w:hAnsi="MetaPro-Norm" w:cs="MetaPro-Norm"/>
          <w:i/>
          <w:iCs/>
          <w:sz w:val="16"/>
          <w:szCs w:val="16"/>
        </w:rPr>
        <w:t xml:space="preserve"> Scand</w:t>
      </w:r>
      <w:r w:rsidR="52E940AE" w:rsidRPr="009E5C93">
        <w:rPr>
          <w:rFonts w:ascii="MetaPro-Norm" w:eastAsia="MetaPro-Norm" w:hAnsi="MetaPro-Norm" w:cs="MetaPro-Norm"/>
          <w:sz w:val="16"/>
          <w:szCs w:val="16"/>
        </w:rPr>
        <w:t xml:space="preserve">. 2021;100(4):566-570, doi:10.1111/aogs.14124. </w:t>
      </w:r>
    </w:p>
  </w:footnote>
  <w:footnote w:id="5">
    <w:p w14:paraId="3DBFAE3B" w14:textId="19FC4BB4" w:rsidR="00EF1F7B" w:rsidRPr="00CD33F1" w:rsidRDefault="00EF1F7B" w:rsidP="52E940AE">
      <w:pPr>
        <w:spacing w:after="0"/>
        <w:rPr>
          <w:sz w:val="18"/>
          <w:szCs w:val="18"/>
        </w:rPr>
      </w:pPr>
      <w:r w:rsidRPr="00EC218B">
        <w:rPr>
          <w:rStyle w:val="FootnoteReference"/>
        </w:rPr>
        <w:footnoteRef/>
      </w:r>
      <w:r w:rsidR="52E940AE" w:rsidRPr="009E5C93">
        <w:rPr>
          <w:rStyle w:val="FootnoteReference"/>
        </w:rPr>
        <w:t xml:space="preserve"> </w:t>
      </w:r>
      <w:r w:rsidR="52E940AE" w:rsidRPr="009E5C93">
        <w:rPr>
          <w:rStyle w:val="FootnoteTextChar"/>
          <w:rFonts w:eastAsia="MetaPro-Norm" w:cs="MetaPro-Norm"/>
          <w:szCs w:val="16"/>
        </w:rPr>
        <w:t xml:space="preserve">For example, Lin, </w:t>
      </w:r>
      <w:proofErr w:type="spellStart"/>
      <w:r w:rsidR="52E940AE" w:rsidRPr="009E5C93">
        <w:rPr>
          <w:rStyle w:val="FootnoteTextChar"/>
          <w:rFonts w:eastAsia="MetaPro-Norm" w:cs="MetaPro-Norm"/>
          <w:szCs w:val="16"/>
        </w:rPr>
        <w:t>Zhiqing</w:t>
      </w:r>
      <w:proofErr w:type="spellEnd"/>
      <w:r w:rsidR="52E940AE" w:rsidRPr="009E5C93">
        <w:rPr>
          <w:rStyle w:val="FootnoteTextChar"/>
          <w:rFonts w:eastAsia="MetaPro-Norm" w:cs="MetaPro-Norm"/>
          <w:szCs w:val="16"/>
        </w:rPr>
        <w:t xml:space="preserve"> et al., “Individual heavy metal exposure and birth outcomes in </w:t>
      </w:r>
      <w:proofErr w:type="spellStart"/>
      <w:r w:rsidR="52E940AE" w:rsidRPr="009E5C93">
        <w:rPr>
          <w:rStyle w:val="FootnoteTextChar"/>
          <w:rFonts w:eastAsia="MetaPro-Norm" w:cs="MetaPro-Norm"/>
          <w:szCs w:val="16"/>
        </w:rPr>
        <w:t>Shenqiu</w:t>
      </w:r>
      <w:proofErr w:type="spellEnd"/>
      <w:r w:rsidR="52E940AE" w:rsidRPr="009E5C93">
        <w:rPr>
          <w:rStyle w:val="FootnoteTextChar"/>
          <w:rFonts w:eastAsia="MetaPro-Norm" w:cs="MetaPro-Norm"/>
          <w:szCs w:val="16"/>
        </w:rPr>
        <w:t xml:space="preserve"> county along the Huai River Basin in China,” </w:t>
      </w:r>
      <w:r w:rsidR="52E940AE" w:rsidRPr="009E5C93">
        <w:rPr>
          <w:rStyle w:val="FootnoteTextChar"/>
          <w:rFonts w:eastAsia="MetaPro-Norm" w:cs="MetaPro-Norm"/>
          <w:i/>
          <w:iCs/>
          <w:szCs w:val="16"/>
        </w:rPr>
        <w:t>Toxicology research</w:t>
      </w:r>
      <w:r w:rsidR="52E940AE" w:rsidRPr="009E5C93">
        <w:rPr>
          <w:rStyle w:val="FootnoteTextChar"/>
          <w:rFonts w:eastAsia="MetaPro-Norm" w:cs="MetaPro-Norm"/>
          <w:szCs w:val="16"/>
        </w:rPr>
        <w:t xml:space="preserve"> vol. 7,3 444-453, March 7, 2018, doi:10.1039/c8tx00009c; see also World Health Organization, “Birth Defects,” February 28, 2022, https://www.who.int/news-room/fact-sheets/detail/birth-defects. </w:t>
      </w:r>
    </w:p>
  </w:footnote>
  <w:footnote w:id="6">
    <w:p w14:paraId="7D8BE193" w14:textId="6C1595B8" w:rsidR="00EF1F7B" w:rsidRPr="000E232C" w:rsidRDefault="00EF1F7B" w:rsidP="52E940AE">
      <w:pPr>
        <w:shd w:val="clear" w:color="auto" w:fill="FFFFFF" w:themeFill="background1"/>
        <w:spacing w:after="0"/>
        <w:rPr>
          <w:rFonts w:ascii="MetaPro-Norm" w:hAnsi="MetaPro-Norm"/>
          <w:sz w:val="16"/>
          <w:szCs w:val="16"/>
        </w:rPr>
      </w:pPr>
      <w:r w:rsidRPr="00EC218B">
        <w:rPr>
          <w:rStyle w:val="FootnoteReference"/>
        </w:rPr>
        <w:footnoteRef/>
      </w:r>
      <w:r w:rsidR="52E940AE" w:rsidRPr="009E5C93">
        <w:rPr>
          <w:rFonts w:ascii="MetaPro-Norm" w:eastAsia="MetaPro-Norm" w:hAnsi="MetaPro-Norm" w:cs="MetaPro-Norm"/>
          <w:sz w:val="16"/>
          <w:szCs w:val="16"/>
        </w:rPr>
        <w:t xml:space="preserve"> Nancy L. Fleischer et al., “Outdoor Air Pollution, Preterm Birth, and Low Birth Weight: Analysis of the World Health Organization Global Survey on Maternal and Perinatal Health,” </w:t>
      </w:r>
      <w:r w:rsidR="52E940AE" w:rsidRPr="009E5C93">
        <w:rPr>
          <w:rFonts w:ascii="MetaPro-Norm" w:eastAsia="MetaPro-Norm" w:hAnsi="MetaPro-Norm" w:cs="MetaPro-Norm"/>
          <w:i/>
          <w:iCs/>
          <w:sz w:val="16"/>
          <w:szCs w:val="16"/>
        </w:rPr>
        <w:t>Environmental Health Perspectives</w:t>
      </w:r>
      <w:r w:rsidR="52E940AE" w:rsidRPr="009E5C93">
        <w:rPr>
          <w:rFonts w:ascii="MetaPro-Norm" w:eastAsia="MetaPro-Norm" w:hAnsi="MetaPro-Norm" w:cs="MetaPro-Norm"/>
          <w:sz w:val="16"/>
          <w:szCs w:val="16"/>
        </w:rPr>
        <w:t xml:space="preserve"> 122, no. 4, April 2014, pp. 425–30, https://doi.org/10.1289/ehp.1306837; </w:t>
      </w:r>
      <w:r w:rsidR="52E940AE" w:rsidRPr="009E5C93">
        <w:rPr>
          <w:rStyle w:val="FootnoteTextChar"/>
          <w:rFonts w:eastAsia="MetaPro-Norm" w:cs="MetaPro-Norm"/>
          <w:szCs w:val="16"/>
        </w:rPr>
        <w:t xml:space="preserve">and Sandie Ha, “Air pollution and neurological development in children,” </w:t>
      </w:r>
      <w:r w:rsidR="52E940AE" w:rsidRPr="009E5C93">
        <w:rPr>
          <w:rStyle w:val="FootnoteTextChar"/>
          <w:rFonts w:eastAsia="MetaPro-Norm" w:cs="MetaPro-Norm"/>
          <w:i/>
          <w:iCs/>
          <w:szCs w:val="16"/>
        </w:rPr>
        <w:t>Developmental Medicine and Child Neurology</w:t>
      </w:r>
      <w:r w:rsidR="52E940AE" w:rsidRPr="009E5C93">
        <w:rPr>
          <w:rStyle w:val="FootnoteTextChar"/>
          <w:rFonts w:eastAsia="MetaPro-Norm" w:cs="MetaPro-Norm"/>
          <w:szCs w:val="16"/>
        </w:rPr>
        <w:t xml:space="preserve">, 63: 374-381, 2021, https://doi.org/10.1111/dmcn.14758. </w:t>
      </w:r>
    </w:p>
  </w:footnote>
  <w:footnote w:id="7">
    <w:p w14:paraId="78E5E9ED" w14:textId="25A6661B" w:rsidR="002D4700" w:rsidRPr="006271C5" w:rsidRDefault="002D4700" w:rsidP="52E940AE">
      <w:pPr>
        <w:rPr>
          <w:rStyle w:val="FootnoteTextChar"/>
        </w:rPr>
      </w:pPr>
      <w:r w:rsidRPr="00EC218B">
        <w:rPr>
          <w:rStyle w:val="FootnoteReference"/>
        </w:rPr>
        <w:footnoteRef/>
      </w:r>
      <w:r w:rsidR="52E940AE" w:rsidRPr="009E5C93">
        <w:rPr>
          <w:rStyle w:val="FootnoteReference"/>
        </w:rPr>
        <w:t xml:space="preserve"> </w:t>
      </w:r>
      <w:r w:rsidR="52E940AE" w:rsidRPr="009E5C93">
        <w:rPr>
          <w:rStyle w:val="FootnoteTextChar"/>
          <w:rFonts w:eastAsia="MetaPro-Norm" w:cs="MetaPro-Norm"/>
          <w:szCs w:val="16"/>
        </w:rPr>
        <w:t xml:space="preserve">State of the Global Air 2020, </w:t>
      </w:r>
      <w:r w:rsidR="52E940AE" w:rsidRPr="009E5C93">
        <w:rPr>
          <w:rStyle w:val="FootnoteTextChar"/>
          <w:rFonts w:eastAsia="MetaPro-Norm" w:cs="MetaPro-Norm"/>
          <w:i/>
          <w:iCs/>
          <w:szCs w:val="16"/>
        </w:rPr>
        <w:t>Health Effects Institute</w:t>
      </w:r>
      <w:r w:rsidR="52E940AE" w:rsidRPr="009E5C93">
        <w:rPr>
          <w:rStyle w:val="FootnoteTextChar"/>
          <w:rFonts w:eastAsia="MetaPro-Norm" w:cs="MetaPro-Norm"/>
          <w:szCs w:val="16"/>
        </w:rPr>
        <w:t>, 2020, https://www.stateofglobalair.org/sites/default/files/documents/2022-09/soga-2020-report.pdf, p.23.</w:t>
      </w:r>
    </w:p>
    <w:p w14:paraId="274C2029" w14:textId="77777777" w:rsidR="002D4700" w:rsidRPr="00B9635E" w:rsidRDefault="002D4700" w:rsidP="00A735EA">
      <w:pPr>
        <w:pStyle w:val="FootnoteText"/>
      </w:pPr>
    </w:p>
  </w:footnote>
  <w:footnote w:id="8">
    <w:p w14:paraId="02669E09" w14:textId="55E46BD1" w:rsidR="0092263B" w:rsidRPr="00A95584" w:rsidRDefault="0092263B" w:rsidP="00A735EA">
      <w:pPr>
        <w:pStyle w:val="FootnoteText"/>
      </w:pPr>
      <w:r w:rsidRPr="003C641A">
        <w:rPr>
          <w:rStyle w:val="FootnoteReference"/>
        </w:rPr>
        <w:footnoteRef/>
      </w:r>
      <w:r w:rsidR="52E940AE" w:rsidRPr="003C641A">
        <w:rPr>
          <w:rStyle w:val="FootnoteReference"/>
        </w:rPr>
        <w:t xml:space="preserve"> </w:t>
      </w:r>
      <w:r w:rsidR="52E940AE" w:rsidRPr="00BD032F">
        <w:t xml:space="preserve">IPCC, Climate Change 2022: Impacts, Adaptation and Vulnerability; see also Kelly Levin, Sophie Boehm, and Rebecca Carter, “6 Big Findings from the IPCC 2022 Report on Climate Impacts, Adaptation and Vulnerability,” </w:t>
      </w:r>
      <w:r w:rsidR="52E940AE" w:rsidRPr="00BD032F">
        <w:rPr>
          <w:i/>
          <w:iCs/>
        </w:rPr>
        <w:t>World Resources Institute</w:t>
      </w:r>
      <w:r w:rsidR="52E940AE" w:rsidRPr="00BD032F">
        <w:t xml:space="preserve">, February 27, 2022, https://www.wri.org/insights/ipcc-report-2022-climate-impacts-adaptation-vulnerability. </w:t>
      </w:r>
    </w:p>
  </w:footnote>
  <w:footnote w:id="9">
    <w:p w14:paraId="0EA194E2" w14:textId="134647D6" w:rsidR="00D267A7" w:rsidRDefault="00D267A7" w:rsidP="00A735EA">
      <w:pPr>
        <w:pStyle w:val="FootnoteText"/>
      </w:pPr>
      <w:r w:rsidRPr="003C641A">
        <w:rPr>
          <w:rStyle w:val="FootnoteReference"/>
        </w:rPr>
        <w:footnoteRef/>
      </w:r>
      <w:r w:rsidR="52E940AE" w:rsidRPr="00BD032F">
        <w:t xml:space="preserve"> IPCC, Climate Change 2022 Mitigation of Climate Change, Working Group III Contribution to the Sixth Assessment Report of the Intergovernmental Panel on Climate Change, 2022</w:t>
      </w:r>
      <w:r w:rsidR="00D4245E">
        <w:t>,</w:t>
      </w:r>
      <w:r w:rsidR="0042258B">
        <w:t xml:space="preserve"> </w:t>
      </w:r>
      <w:r w:rsidR="0042258B" w:rsidRPr="0042258B">
        <w:t>https://www.ipcc.ch/report/ar6/wg3/downloads/report/IPCC_AR6_WGIII_SPM.pdf</w:t>
      </w:r>
      <w:r w:rsidR="0042258B">
        <w:t>.</w:t>
      </w:r>
      <w:r w:rsidR="52E940AE" w:rsidRPr="00BD032F">
        <w:t xml:space="preserve"> </w:t>
      </w:r>
      <w:r w:rsidR="52E940AE" w:rsidRPr="00386B3B">
        <w:rPr>
          <w:rStyle w:val="cf01"/>
          <w:rFonts w:ascii="MetaPro-Norm" w:eastAsia="MetaPro-Norm" w:hAnsi="MetaPro-Norm" w:cs="MetaPro-Norm"/>
          <w:color w:val="auto"/>
          <w:sz w:val="16"/>
          <w:szCs w:val="16"/>
        </w:rPr>
        <w:t>In 2022, GHG emissions from fossil fuels reached an all-time high.</w:t>
      </w:r>
    </w:p>
  </w:footnote>
  <w:footnote w:id="10">
    <w:p w14:paraId="59FD1706" w14:textId="02738F0E" w:rsidR="002B16CE" w:rsidRDefault="002B16CE" w:rsidP="00A735EA">
      <w:pPr>
        <w:pStyle w:val="FootnoteText"/>
      </w:pPr>
      <w:r w:rsidRPr="003C641A">
        <w:rPr>
          <w:rStyle w:val="FootnoteReference"/>
        </w:rPr>
        <w:footnoteRef/>
      </w:r>
      <w:r w:rsidR="52E940AE" w:rsidRPr="003C641A">
        <w:rPr>
          <w:rStyle w:val="FootnoteReference"/>
        </w:rPr>
        <w:t xml:space="preserve"> </w:t>
      </w:r>
      <w:r w:rsidR="52E940AE" w:rsidRPr="00BD032F">
        <w:t xml:space="preserve">See Office of the United Nations High Commissioner for Human Rights (OHCHR), “The impact of climate change on the rights of persons with disabilities,” https://www.ohchr.org/en/climate-change/impact-climate-change-rights-persons-disabilities; and “Analytical study on the promotion and protection of the rights of persons with disabilities in the context of climate change,” Report of the OHCHR, April 2020, https://documents-dds-ny.un.org/doc/UNDOC/GEN/G20/097/56/PDF/G2009756.pdf?OpenElement. </w:t>
      </w:r>
    </w:p>
  </w:footnote>
  <w:footnote w:id="11">
    <w:p w14:paraId="6ADC30C3" w14:textId="4965EACA" w:rsidR="00864E93" w:rsidRDefault="00864E93" w:rsidP="00A735EA">
      <w:pPr>
        <w:pStyle w:val="FootnoteText"/>
      </w:pPr>
      <w:r w:rsidRPr="003C641A">
        <w:rPr>
          <w:rStyle w:val="FootnoteReference"/>
        </w:rPr>
        <w:footnoteRef/>
      </w:r>
      <w:r w:rsidR="52E940AE" w:rsidRPr="00BD032F">
        <w:t xml:space="preserve"> International Disability Alliance, Status Report on Disability Inclusion in National Climate Commitments and Policies, June 2022, https://www.internationaldisabilityalliance.org/sites/default/files/drcc_status_report_english_0.pdf. </w:t>
      </w:r>
    </w:p>
  </w:footnote>
  <w:footnote w:id="12">
    <w:p w14:paraId="6AEFEC9A" w14:textId="1763DB01" w:rsidR="003C64B1" w:rsidRPr="00E3036C" w:rsidRDefault="003C64B1" w:rsidP="00A735EA">
      <w:pPr>
        <w:pStyle w:val="FootnoteText"/>
      </w:pPr>
      <w:r w:rsidRPr="00386B3B">
        <w:rPr>
          <w:rStyle w:val="FootnoteReference"/>
        </w:rPr>
        <w:footnoteRef/>
      </w:r>
      <w:r w:rsidR="52E940AE" w:rsidRPr="00BD032F">
        <w:t xml:space="preserve"> Human Rights Watch, </w:t>
      </w:r>
      <w:r w:rsidR="52E940AE" w:rsidRPr="00BD032F">
        <w:rPr>
          <w:i/>
          <w:iCs/>
        </w:rPr>
        <w:t xml:space="preserve">Leave No One Behind: People with Disabilities and Older People in Climate-Related Disasters </w:t>
      </w:r>
      <w:r w:rsidR="52E940AE" w:rsidRPr="00BD032F">
        <w:t xml:space="preserve">(New York: Human Rights Watch, 2022), https://www.hrw.org/news/2022/11/07/leave-no-one-behind. </w:t>
      </w:r>
    </w:p>
  </w:footnote>
  <w:footnote w:id="13">
    <w:p w14:paraId="7AB8126A" w14:textId="77777777" w:rsidR="009345EB" w:rsidRDefault="009345EB" w:rsidP="00A735EA">
      <w:pPr>
        <w:pStyle w:val="FootnoteText"/>
      </w:pPr>
      <w:r w:rsidRPr="008D522A">
        <w:rPr>
          <w:rStyle w:val="FootnoteReference"/>
        </w:rPr>
        <w:footnoteRef/>
      </w:r>
      <w:r w:rsidR="52E940AE" w:rsidRPr="008D522A">
        <w:rPr>
          <w:rStyle w:val="FootnoteReference"/>
        </w:rPr>
        <w:t xml:space="preserve"> </w:t>
      </w:r>
      <w:r w:rsidR="52E940AE" w:rsidRPr="00BD032F">
        <w:t>Günther, Philipp, and Felix Ekardt, “Human Rights and Large-Scale Carbon Dioxide Removal: Potential Limits to BECCS and DACCS Deployment,” </w:t>
      </w:r>
      <w:r w:rsidR="52E940AE" w:rsidRPr="00BD032F">
        <w:rPr>
          <w:i/>
          <w:iCs/>
        </w:rPr>
        <w:t>Land</w:t>
      </w:r>
      <w:r w:rsidR="52E940AE" w:rsidRPr="00BD032F">
        <w:t xml:space="preserve"> 11, no. 12: 2153, 2022, https://doi.org/10.3390/land11122153.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4371D"/>
    <w:multiLevelType w:val="hybridMultilevel"/>
    <w:tmpl w:val="1E06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2F59FC"/>
    <w:multiLevelType w:val="hybridMultilevel"/>
    <w:tmpl w:val="AE02F7E6"/>
    <w:lvl w:ilvl="0" w:tplc="E1B2EB0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452F563A"/>
    <w:multiLevelType w:val="hybridMultilevel"/>
    <w:tmpl w:val="601EE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E2DEF"/>
    <w:multiLevelType w:val="hybridMultilevel"/>
    <w:tmpl w:val="A6745B64"/>
    <w:lvl w:ilvl="0" w:tplc="08090001">
      <w:start w:val="1"/>
      <w:numFmt w:val="bullet"/>
      <w:lvlText w:val=""/>
      <w:lvlJc w:val="left"/>
      <w:pPr>
        <w:ind w:left="720" w:hanging="360"/>
      </w:pPr>
      <w:rPr>
        <w:rFonts w:ascii="Symbol" w:hAnsi="Symbol" w:hint="default"/>
      </w:rPr>
    </w:lvl>
    <w:lvl w:ilvl="1" w:tplc="CB0402C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436FFB"/>
    <w:multiLevelType w:val="hybridMultilevel"/>
    <w:tmpl w:val="7EBEAFC0"/>
    <w:lvl w:ilvl="0" w:tplc="E1B2EB02">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EEB775B"/>
    <w:multiLevelType w:val="hybridMultilevel"/>
    <w:tmpl w:val="6B003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F3EFA"/>
    <w:multiLevelType w:val="hybridMultilevel"/>
    <w:tmpl w:val="B5B0B62E"/>
    <w:lvl w:ilvl="0" w:tplc="CB0402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999920">
    <w:abstractNumId w:val="3"/>
  </w:num>
  <w:num w:numId="2" w16cid:durableId="1140656292">
    <w:abstractNumId w:val="0"/>
  </w:num>
  <w:num w:numId="3" w16cid:durableId="1855411885">
    <w:abstractNumId w:val="5"/>
  </w:num>
  <w:num w:numId="4" w16cid:durableId="135151361">
    <w:abstractNumId w:val="2"/>
  </w:num>
  <w:num w:numId="5" w16cid:durableId="71857279">
    <w:abstractNumId w:val="4"/>
  </w:num>
  <w:num w:numId="6" w16cid:durableId="503978108">
    <w:abstractNumId w:val="1"/>
  </w:num>
  <w:num w:numId="7" w16cid:durableId="16203821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C9"/>
    <w:rsid w:val="00000EE5"/>
    <w:rsid w:val="000050F7"/>
    <w:rsid w:val="000168DD"/>
    <w:rsid w:val="00023F9E"/>
    <w:rsid w:val="000245AF"/>
    <w:rsid w:val="00036830"/>
    <w:rsid w:val="00037931"/>
    <w:rsid w:val="00044937"/>
    <w:rsid w:val="000509E8"/>
    <w:rsid w:val="00063E04"/>
    <w:rsid w:val="00066434"/>
    <w:rsid w:val="00066FCD"/>
    <w:rsid w:val="00067CF9"/>
    <w:rsid w:val="000746DE"/>
    <w:rsid w:val="00074932"/>
    <w:rsid w:val="00076D64"/>
    <w:rsid w:val="00076E01"/>
    <w:rsid w:val="00080EF7"/>
    <w:rsid w:val="00081BD1"/>
    <w:rsid w:val="00083052"/>
    <w:rsid w:val="000852BF"/>
    <w:rsid w:val="00085875"/>
    <w:rsid w:val="00090323"/>
    <w:rsid w:val="00092671"/>
    <w:rsid w:val="00092737"/>
    <w:rsid w:val="00096C2B"/>
    <w:rsid w:val="000A128C"/>
    <w:rsid w:val="000B049C"/>
    <w:rsid w:val="000B431B"/>
    <w:rsid w:val="000C2E9D"/>
    <w:rsid w:val="000C4970"/>
    <w:rsid w:val="000D04E5"/>
    <w:rsid w:val="000D26E6"/>
    <w:rsid w:val="000D3557"/>
    <w:rsid w:val="000D6FB0"/>
    <w:rsid w:val="000D7894"/>
    <w:rsid w:val="000E232C"/>
    <w:rsid w:val="000E42AE"/>
    <w:rsid w:val="000E4753"/>
    <w:rsid w:val="00100B65"/>
    <w:rsid w:val="00105176"/>
    <w:rsid w:val="0011135D"/>
    <w:rsid w:val="00115639"/>
    <w:rsid w:val="00115759"/>
    <w:rsid w:val="00120B7E"/>
    <w:rsid w:val="00120C45"/>
    <w:rsid w:val="0012258E"/>
    <w:rsid w:val="00133CA7"/>
    <w:rsid w:val="0013449C"/>
    <w:rsid w:val="001375E0"/>
    <w:rsid w:val="00137F8E"/>
    <w:rsid w:val="00143128"/>
    <w:rsid w:val="001440BC"/>
    <w:rsid w:val="001441BC"/>
    <w:rsid w:val="00145EC6"/>
    <w:rsid w:val="001464B5"/>
    <w:rsid w:val="00150238"/>
    <w:rsid w:val="001514AF"/>
    <w:rsid w:val="0015658B"/>
    <w:rsid w:val="00156CCB"/>
    <w:rsid w:val="0016153F"/>
    <w:rsid w:val="001673D0"/>
    <w:rsid w:val="00174505"/>
    <w:rsid w:val="00182FD7"/>
    <w:rsid w:val="0018655B"/>
    <w:rsid w:val="00197E53"/>
    <w:rsid w:val="001A1556"/>
    <w:rsid w:val="001A32EA"/>
    <w:rsid w:val="001B386A"/>
    <w:rsid w:val="001B6BBE"/>
    <w:rsid w:val="001B6C95"/>
    <w:rsid w:val="001B6DD3"/>
    <w:rsid w:val="001C2B33"/>
    <w:rsid w:val="001D1AE7"/>
    <w:rsid w:val="001D2133"/>
    <w:rsid w:val="001D2E75"/>
    <w:rsid w:val="001E0CF1"/>
    <w:rsid w:val="001F4F12"/>
    <w:rsid w:val="0020020F"/>
    <w:rsid w:val="0020433E"/>
    <w:rsid w:val="00214C86"/>
    <w:rsid w:val="00214F41"/>
    <w:rsid w:val="002155D2"/>
    <w:rsid w:val="00230C2D"/>
    <w:rsid w:val="00235585"/>
    <w:rsid w:val="002366BF"/>
    <w:rsid w:val="00236C38"/>
    <w:rsid w:val="00257474"/>
    <w:rsid w:val="00262275"/>
    <w:rsid w:val="002633F8"/>
    <w:rsid w:val="002740F4"/>
    <w:rsid w:val="002816F0"/>
    <w:rsid w:val="0028335D"/>
    <w:rsid w:val="00284DE5"/>
    <w:rsid w:val="00290119"/>
    <w:rsid w:val="00291C50"/>
    <w:rsid w:val="002A089F"/>
    <w:rsid w:val="002B16CE"/>
    <w:rsid w:val="002C24F6"/>
    <w:rsid w:val="002C5DCB"/>
    <w:rsid w:val="002C618F"/>
    <w:rsid w:val="002D0D30"/>
    <w:rsid w:val="002D4700"/>
    <w:rsid w:val="002D4ED7"/>
    <w:rsid w:val="002F020E"/>
    <w:rsid w:val="002F123F"/>
    <w:rsid w:val="002F3876"/>
    <w:rsid w:val="002F42FB"/>
    <w:rsid w:val="002F5668"/>
    <w:rsid w:val="002F6391"/>
    <w:rsid w:val="002F733D"/>
    <w:rsid w:val="00302BA5"/>
    <w:rsid w:val="00310495"/>
    <w:rsid w:val="003210B6"/>
    <w:rsid w:val="00330B7E"/>
    <w:rsid w:val="00330CB6"/>
    <w:rsid w:val="00333F27"/>
    <w:rsid w:val="00340973"/>
    <w:rsid w:val="00340B08"/>
    <w:rsid w:val="00341096"/>
    <w:rsid w:val="003422F0"/>
    <w:rsid w:val="00343E8E"/>
    <w:rsid w:val="003455E7"/>
    <w:rsid w:val="00345FCB"/>
    <w:rsid w:val="00346101"/>
    <w:rsid w:val="00350252"/>
    <w:rsid w:val="003572E9"/>
    <w:rsid w:val="00360702"/>
    <w:rsid w:val="00364958"/>
    <w:rsid w:val="0037395C"/>
    <w:rsid w:val="00375555"/>
    <w:rsid w:val="00380760"/>
    <w:rsid w:val="00386B3B"/>
    <w:rsid w:val="00391041"/>
    <w:rsid w:val="00394E15"/>
    <w:rsid w:val="003A0255"/>
    <w:rsid w:val="003A064A"/>
    <w:rsid w:val="003A2F35"/>
    <w:rsid w:val="003A61E6"/>
    <w:rsid w:val="003B0831"/>
    <w:rsid w:val="003B0A08"/>
    <w:rsid w:val="003B1E35"/>
    <w:rsid w:val="003B45A9"/>
    <w:rsid w:val="003C0C1E"/>
    <w:rsid w:val="003C105F"/>
    <w:rsid w:val="003C3A38"/>
    <w:rsid w:val="003C4E74"/>
    <w:rsid w:val="003C6049"/>
    <w:rsid w:val="003C641A"/>
    <w:rsid w:val="003C64B1"/>
    <w:rsid w:val="003C68C8"/>
    <w:rsid w:val="003D3971"/>
    <w:rsid w:val="003D472B"/>
    <w:rsid w:val="003D49D9"/>
    <w:rsid w:val="003E1E52"/>
    <w:rsid w:val="003E2257"/>
    <w:rsid w:val="003E48D5"/>
    <w:rsid w:val="003E52E1"/>
    <w:rsid w:val="003E58F7"/>
    <w:rsid w:val="003E5C98"/>
    <w:rsid w:val="003E62AF"/>
    <w:rsid w:val="003F11F6"/>
    <w:rsid w:val="003F62A0"/>
    <w:rsid w:val="003F6939"/>
    <w:rsid w:val="00401201"/>
    <w:rsid w:val="00401917"/>
    <w:rsid w:val="004032EE"/>
    <w:rsid w:val="00407CCE"/>
    <w:rsid w:val="004169AF"/>
    <w:rsid w:val="004178A7"/>
    <w:rsid w:val="004206CE"/>
    <w:rsid w:val="0042258B"/>
    <w:rsid w:val="00423B73"/>
    <w:rsid w:val="00426260"/>
    <w:rsid w:val="00430457"/>
    <w:rsid w:val="00431866"/>
    <w:rsid w:val="00432BB9"/>
    <w:rsid w:val="004349DD"/>
    <w:rsid w:val="00443893"/>
    <w:rsid w:val="004448FD"/>
    <w:rsid w:val="00444A86"/>
    <w:rsid w:val="00456282"/>
    <w:rsid w:val="00456DAA"/>
    <w:rsid w:val="00463B74"/>
    <w:rsid w:val="00463E4A"/>
    <w:rsid w:val="0046500F"/>
    <w:rsid w:val="004727A3"/>
    <w:rsid w:val="0048125A"/>
    <w:rsid w:val="00483902"/>
    <w:rsid w:val="00484C3A"/>
    <w:rsid w:val="00484FB7"/>
    <w:rsid w:val="0048732A"/>
    <w:rsid w:val="0049022A"/>
    <w:rsid w:val="00491CAC"/>
    <w:rsid w:val="0049762E"/>
    <w:rsid w:val="004A4D62"/>
    <w:rsid w:val="004B0723"/>
    <w:rsid w:val="004C019F"/>
    <w:rsid w:val="004C1D04"/>
    <w:rsid w:val="004C4C42"/>
    <w:rsid w:val="004C663E"/>
    <w:rsid w:val="004D139D"/>
    <w:rsid w:val="004D71A8"/>
    <w:rsid w:val="004E08BF"/>
    <w:rsid w:val="00506029"/>
    <w:rsid w:val="00506D5A"/>
    <w:rsid w:val="005163D4"/>
    <w:rsid w:val="00520935"/>
    <w:rsid w:val="00525495"/>
    <w:rsid w:val="00525E13"/>
    <w:rsid w:val="00525F5E"/>
    <w:rsid w:val="00526C9F"/>
    <w:rsid w:val="00531DBA"/>
    <w:rsid w:val="00533C35"/>
    <w:rsid w:val="00537AB4"/>
    <w:rsid w:val="005411E8"/>
    <w:rsid w:val="005506EB"/>
    <w:rsid w:val="00567CDE"/>
    <w:rsid w:val="00573916"/>
    <w:rsid w:val="00577038"/>
    <w:rsid w:val="00593856"/>
    <w:rsid w:val="005A2806"/>
    <w:rsid w:val="005B341E"/>
    <w:rsid w:val="005B6936"/>
    <w:rsid w:val="005B7E18"/>
    <w:rsid w:val="005C4113"/>
    <w:rsid w:val="005C421B"/>
    <w:rsid w:val="005C43F5"/>
    <w:rsid w:val="005D26A9"/>
    <w:rsid w:val="005D5772"/>
    <w:rsid w:val="005D5C5F"/>
    <w:rsid w:val="005E0D33"/>
    <w:rsid w:val="005E1D77"/>
    <w:rsid w:val="005E48B1"/>
    <w:rsid w:val="005E5FE1"/>
    <w:rsid w:val="005E7616"/>
    <w:rsid w:val="005F3FFB"/>
    <w:rsid w:val="005F4104"/>
    <w:rsid w:val="005F52EB"/>
    <w:rsid w:val="00603661"/>
    <w:rsid w:val="006043A7"/>
    <w:rsid w:val="0061276E"/>
    <w:rsid w:val="006128A1"/>
    <w:rsid w:val="00613C6B"/>
    <w:rsid w:val="00624B68"/>
    <w:rsid w:val="00627C22"/>
    <w:rsid w:val="00634AD9"/>
    <w:rsid w:val="00640977"/>
    <w:rsid w:val="00641B1E"/>
    <w:rsid w:val="0064501C"/>
    <w:rsid w:val="00647048"/>
    <w:rsid w:val="00655B28"/>
    <w:rsid w:val="0066137E"/>
    <w:rsid w:val="00662B12"/>
    <w:rsid w:val="00663C66"/>
    <w:rsid w:val="00667181"/>
    <w:rsid w:val="006712E5"/>
    <w:rsid w:val="00671398"/>
    <w:rsid w:val="00673A66"/>
    <w:rsid w:val="006815C8"/>
    <w:rsid w:val="00684CAA"/>
    <w:rsid w:val="0068629B"/>
    <w:rsid w:val="00691B73"/>
    <w:rsid w:val="00694081"/>
    <w:rsid w:val="006948CC"/>
    <w:rsid w:val="006A006F"/>
    <w:rsid w:val="006A3067"/>
    <w:rsid w:val="006A436A"/>
    <w:rsid w:val="006B4E1A"/>
    <w:rsid w:val="006B6E99"/>
    <w:rsid w:val="006E1039"/>
    <w:rsid w:val="006E5ED5"/>
    <w:rsid w:val="006E6350"/>
    <w:rsid w:val="00703C30"/>
    <w:rsid w:val="00704049"/>
    <w:rsid w:val="007100AB"/>
    <w:rsid w:val="00712030"/>
    <w:rsid w:val="007304FE"/>
    <w:rsid w:val="007308F7"/>
    <w:rsid w:val="00734FBF"/>
    <w:rsid w:val="00735B24"/>
    <w:rsid w:val="0073750B"/>
    <w:rsid w:val="00740BFE"/>
    <w:rsid w:val="00743405"/>
    <w:rsid w:val="00745F7E"/>
    <w:rsid w:val="007468CA"/>
    <w:rsid w:val="00755BB4"/>
    <w:rsid w:val="0076236D"/>
    <w:rsid w:val="00770F6F"/>
    <w:rsid w:val="00773A95"/>
    <w:rsid w:val="0077513C"/>
    <w:rsid w:val="00776225"/>
    <w:rsid w:val="007803A8"/>
    <w:rsid w:val="0078046F"/>
    <w:rsid w:val="00781EC9"/>
    <w:rsid w:val="00783903"/>
    <w:rsid w:val="007839FB"/>
    <w:rsid w:val="007872D9"/>
    <w:rsid w:val="00790AF1"/>
    <w:rsid w:val="007913B0"/>
    <w:rsid w:val="00792F62"/>
    <w:rsid w:val="0079A30B"/>
    <w:rsid w:val="007A1B25"/>
    <w:rsid w:val="007A6201"/>
    <w:rsid w:val="007B1DB6"/>
    <w:rsid w:val="007B1FDE"/>
    <w:rsid w:val="007B567C"/>
    <w:rsid w:val="007B5C65"/>
    <w:rsid w:val="007B6C64"/>
    <w:rsid w:val="007C46DD"/>
    <w:rsid w:val="007D1F90"/>
    <w:rsid w:val="007D72B5"/>
    <w:rsid w:val="007E5E96"/>
    <w:rsid w:val="007F4D37"/>
    <w:rsid w:val="008014CD"/>
    <w:rsid w:val="00801A67"/>
    <w:rsid w:val="00803D57"/>
    <w:rsid w:val="008072BC"/>
    <w:rsid w:val="00807701"/>
    <w:rsid w:val="0081309E"/>
    <w:rsid w:val="00813886"/>
    <w:rsid w:val="00816B4F"/>
    <w:rsid w:val="008238E4"/>
    <w:rsid w:val="0083086F"/>
    <w:rsid w:val="00832A0B"/>
    <w:rsid w:val="00833A04"/>
    <w:rsid w:val="00836444"/>
    <w:rsid w:val="0084491E"/>
    <w:rsid w:val="00845967"/>
    <w:rsid w:val="008537F1"/>
    <w:rsid w:val="0085630E"/>
    <w:rsid w:val="00864D42"/>
    <w:rsid w:val="00864E93"/>
    <w:rsid w:val="0087520B"/>
    <w:rsid w:val="00876A8E"/>
    <w:rsid w:val="00877A74"/>
    <w:rsid w:val="00882A0B"/>
    <w:rsid w:val="008834F1"/>
    <w:rsid w:val="00886B62"/>
    <w:rsid w:val="00895E3E"/>
    <w:rsid w:val="00896358"/>
    <w:rsid w:val="008A301B"/>
    <w:rsid w:val="008A3DF8"/>
    <w:rsid w:val="008A5001"/>
    <w:rsid w:val="008A68C8"/>
    <w:rsid w:val="008B2497"/>
    <w:rsid w:val="008B271D"/>
    <w:rsid w:val="008B2EA2"/>
    <w:rsid w:val="008B4020"/>
    <w:rsid w:val="008B4E64"/>
    <w:rsid w:val="008B7BB1"/>
    <w:rsid w:val="008C3C4F"/>
    <w:rsid w:val="008D522A"/>
    <w:rsid w:val="008D5267"/>
    <w:rsid w:val="008D7251"/>
    <w:rsid w:val="008E175B"/>
    <w:rsid w:val="008E37F2"/>
    <w:rsid w:val="008F048B"/>
    <w:rsid w:val="008F1CB9"/>
    <w:rsid w:val="008F31E3"/>
    <w:rsid w:val="00902483"/>
    <w:rsid w:val="00905EB5"/>
    <w:rsid w:val="00907A2B"/>
    <w:rsid w:val="00914FE6"/>
    <w:rsid w:val="009161E7"/>
    <w:rsid w:val="009202C8"/>
    <w:rsid w:val="009220B2"/>
    <w:rsid w:val="0092263B"/>
    <w:rsid w:val="0092267B"/>
    <w:rsid w:val="00922C80"/>
    <w:rsid w:val="00923296"/>
    <w:rsid w:val="00927C91"/>
    <w:rsid w:val="00927EAB"/>
    <w:rsid w:val="00933A94"/>
    <w:rsid w:val="009345EB"/>
    <w:rsid w:val="009362A9"/>
    <w:rsid w:val="009366AE"/>
    <w:rsid w:val="009413A3"/>
    <w:rsid w:val="00945FA1"/>
    <w:rsid w:val="00946B50"/>
    <w:rsid w:val="0094715B"/>
    <w:rsid w:val="00951758"/>
    <w:rsid w:val="009558DE"/>
    <w:rsid w:val="009674F2"/>
    <w:rsid w:val="00985905"/>
    <w:rsid w:val="00997699"/>
    <w:rsid w:val="009A047C"/>
    <w:rsid w:val="009B60B0"/>
    <w:rsid w:val="009C070B"/>
    <w:rsid w:val="009C6B11"/>
    <w:rsid w:val="009D01DB"/>
    <w:rsid w:val="009D04C4"/>
    <w:rsid w:val="009D1532"/>
    <w:rsid w:val="009D41FD"/>
    <w:rsid w:val="009D519A"/>
    <w:rsid w:val="009D553C"/>
    <w:rsid w:val="009E5C93"/>
    <w:rsid w:val="009E6F3A"/>
    <w:rsid w:val="009F7862"/>
    <w:rsid w:val="00A0014D"/>
    <w:rsid w:val="00A0160F"/>
    <w:rsid w:val="00A04DE6"/>
    <w:rsid w:val="00A12555"/>
    <w:rsid w:val="00A13008"/>
    <w:rsid w:val="00A134E5"/>
    <w:rsid w:val="00A13769"/>
    <w:rsid w:val="00A14804"/>
    <w:rsid w:val="00A15CA3"/>
    <w:rsid w:val="00A15F86"/>
    <w:rsid w:val="00A20867"/>
    <w:rsid w:val="00A2196B"/>
    <w:rsid w:val="00A26522"/>
    <w:rsid w:val="00A2736B"/>
    <w:rsid w:val="00A31BB0"/>
    <w:rsid w:val="00A357D4"/>
    <w:rsid w:val="00A3588A"/>
    <w:rsid w:val="00A402FC"/>
    <w:rsid w:val="00A40F29"/>
    <w:rsid w:val="00A423D7"/>
    <w:rsid w:val="00A44078"/>
    <w:rsid w:val="00A6488E"/>
    <w:rsid w:val="00A735EA"/>
    <w:rsid w:val="00A81E4E"/>
    <w:rsid w:val="00A82208"/>
    <w:rsid w:val="00A82EDD"/>
    <w:rsid w:val="00A908AD"/>
    <w:rsid w:val="00A95584"/>
    <w:rsid w:val="00AB1069"/>
    <w:rsid w:val="00AB15CE"/>
    <w:rsid w:val="00AB5DE5"/>
    <w:rsid w:val="00AC4961"/>
    <w:rsid w:val="00AE21F0"/>
    <w:rsid w:val="00AE549A"/>
    <w:rsid w:val="00AF3CAA"/>
    <w:rsid w:val="00AF689D"/>
    <w:rsid w:val="00AF728A"/>
    <w:rsid w:val="00B04C02"/>
    <w:rsid w:val="00B06E05"/>
    <w:rsid w:val="00B12405"/>
    <w:rsid w:val="00B15815"/>
    <w:rsid w:val="00B25EF4"/>
    <w:rsid w:val="00B26154"/>
    <w:rsid w:val="00B31D60"/>
    <w:rsid w:val="00B3378A"/>
    <w:rsid w:val="00B339DB"/>
    <w:rsid w:val="00B35357"/>
    <w:rsid w:val="00B35806"/>
    <w:rsid w:val="00B358ED"/>
    <w:rsid w:val="00B44025"/>
    <w:rsid w:val="00B45412"/>
    <w:rsid w:val="00B45CC1"/>
    <w:rsid w:val="00B4659F"/>
    <w:rsid w:val="00B52D2F"/>
    <w:rsid w:val="00B66CB2"/>
    <w:rsid w:val="00B750BC"/>
    <w:rsid w:val="00B768A1"/>
    <w:rsid w:val="00B86B3B"/>
    <w:rsid w:val="00B86F23"/>
    <w:rsid w:val="00B86F56"/>
    <w:rsid w:val="00B92187"/>
    <w:rsid w:val="00BA0622"/>
    <w:rsid w:val="00BA31BE"/>
    <w:rsid w:val="00BA362D"/>
    <w:rsid w:val="00BB0A9A"/>
    <w:rsid w:val="00BB6E3D"/>
    <w:rsid w:val="00BC1DA8"/>
    <w:rsid w:val="00BC3EBB"/>
    <w:rsid w:val="00BC4915"/>
    <w:rsid w:val="00BC6B5F"/>
    <w:rsid w:val="00BD032F"/>
    <w:rsid w:val="00BD0BC9"/>
    <w:rsid w:val="00BD704E"/>
    <w:rsid w:val="00BD7E8C"/>
    <w:rsid w:val="00BE7AA5"/>
    <w:rsid w:val="00BF12A9"/>
    <w:rsid w:val="00BF1CE1"/>
    <w:rsid w:val="00BF4BDE"/>
    <w:rsid w:val="00C01305"/>
    <w:rsid w:val="00C01D56"/>
    <w:rsid w:val="00C0309E"/>
    <w:rsid w:val="00C03122"/>
    <w:rsid w:val="00C051DF"/>
    <w:rsid w:val="00C063A6"/>
    <w:rsid w:val="00C103EB"/>
    <w:rsid w:val="00C10B92"/>
    <w:rsid w:val="00C13559"/>
    <w:rsid w:val="00C13AC5"/>
    <w:rsid w:val="00C22416"/>
    <w:rsid w:val="00C31B0E"/>
    <w:rsid w:val="00C32B5B"/>
    <w:rsid w:val="00C41363"/>
    <w:rsid w:val="00C41B6A"/>
    <w:rsid w:val="00C445CE"/>
    <w:rsid w:val="00C4498E"/>
    <w:rsid w:val="00C461E5"/>
    <w:rsid w:val="00C5329A"/>
    <w:rsid w:val="00C631B4"/>
    <w:rsid w:val="00C7284A"/>
    <w:rsid w:val="00C733D3"/>
    <w:rsid w:val="00C835B3"/>
    <w:rsid w:val="00C963F9"/>
    <w:rsid w:val="00CA5546"/>
    <w:rsid w:val="00CA5A76"/>
    <w:rsid w:val="00CADDC8"/>
    <w:rsid w:val="00CB15C2"/>
    <w:rsid w:val="00CB3F3A"/>
    <w:rsid w:val="00CB512F"/>
    <w:rsid w:val="00CC13C3"/>
    <w:rsid w:val="00CC2549"/>
    <w:rsid w:val="00CC3D40"/>
    <w:rsid w:val="00CD33F1"/>
    <w:rsid w:val="00CD34D0"/>
    <w:rsid w:val="00CD4479"/>
    <w:rsid w:val="00CD572A"/>
    <w:rsid w:val="00CD7108"/>
    <w:rsid w:val="00CE3105"/>
    <w:rsid w:val="00CF0E61"/>
    <w:rsid w:val="00D04FBA"/>
    <w:rsid w:val="00D123AA"/>
    <w:rsid w:val="00D152EC"/>
    <w:rsid w:val="00D173BD"/>
    <w:rsid w:val="00D21E0D"/>
    <w:rsid w:val="00D24E85"/>
    <w:rsid w:val="00D267A7"/>
    <w:rsid w:val="00D30BE4"/>
    <w:rsid w:val="00D32FE2"/>
    <w:rsid w:val="00D334E9"/>
    <w:rsid w:val="00D40611"/>
    <w:rsid w:val="00D4245E"/>
    <w:rsid w:val="00D5068E"/>
    <w:rsid w:val="00D56312"/>
    <w:rsid w:val="00D56381"/>
    <w:rsid w:val="00D64BB6"/>
    <w:rsid w:val="00D67F95"/>
    <w:rsid w:val="00D75A3D"/>
    <w:rsid w:val="00D97CF9"/>
    <w:rsid w:val="00DA2B72"/>
    <w:rsid w:val="00DA3A71"/>
    <w:rsid w:val="00DA58C6"/>
    <w:rsid w:val="00DB05D0"/>
    <w:rsid w:val="00DC1BE8"/>
    <w:rsid w:val="00DD15F2"/>
    <w:rsid w:val="00DD40E4"/>
    <w:rsid w:val="00DD7898"/>
    <w:rsid w:val="00DD7E71"/>
    <w:rsid w:val="00DDD54B"/>
    <w:rsid w:val="00DE0338"/>
    <w:rsid w:val="00DE59C0"/>
    <w:rsid w:val="00DF1BB1"/>
    <w:rsid w:val="00DF4C93"/>
    <w:rsid w:val="00DF7450"/>
    <w:rsid w:val="00E02046"/>
    <w:rsid w:val="00E02573"/>
    <w:rsid w:val="00E03AD2"/>
    <w:rsid w:val="00E05059"/>
    <w:rsid w:val="00E108E4"/>
    <w:rsid w:val="00E11B51"/>
    <w:rsid w:val="00E222FB"/>
    <w:rsid w:val="00E244D5"/>
    <w:rsid w:val="00E3036C"/>
    <w:rsid w:val="00E35AA4"/>
    <w:rsid w:val="00E36F12"/>
    <w:rsid w:val="00E433A9"/>
    <w:rsid w:val="00E43DC8"/>
    <w:rsid w:val="00E53CA0"/>
    <w:rsid w:val="00E606E6"/>
    <w:rsid w:val="00E71F2E"/>
    <w:rsid w:val="00E73AF5"/>
    <w:rsid w:val="00E75DF2"/>
    <w:rsid w:val="00E76AA7"/>
    <w:rsid w:val="00E85D3D"/>
    <w:rsid w:val="00E95222"/>
    <w:rsid w:val="00E971D5"/>
    <w:rsid w:val="00EB0B14"/>
    <w:rsid w:val="00EB6AEB"/>
    <w:rsid w:val="00EC218B"/>
    <w:rsid w:val="00ED03B2"/>
    <w:rsid w:val="00EE0031"/>
    <w:rsid w:val="00EE18F2"/>
    <w:rsid w:val="00EE410B"/>
    <w:rsid w:val="00EE4504"/>
    <w:rsid w:val="00EF1F7B"/>
    <w:rsid w:val="00EF5109"/>
    <w:rsid w:val="00F00192"/>
    <w:rsid w:val="00F03ACB"/>
    <w:rsid w:val="00F03CA4"/>
    <w:rsid w:val="00F04A00"/>
    <w:rsid w:val="00F0644F"/>
    <w:rsid w:val="00F06EA7"/>
    <w:rsid w:val="00F11295"/>
    <w:rsid w:val="00F13548"/>
    <w:rsid w:val="00F13F13"/>
    <w:rsid w:val="00F2519C"/>
    <w:rsid w:val="00F31B4C"/>
    <w:rsid w:val="00F36BB8"/>
    <w:rsid w:val="00F37F39"/>
    <w:rsid w:val="00F44988"/>
    <w:rsid w:val="00F45192"/>
    <w:rsid w:val="00F45AE7"/>
    <w:rsid w:val="00F45F2E"/>
    <w:rsid w:val="00F50A91"/>
    <w:rsid w:val="00F54927"/>
    <w:rsid w:val="00F549C2"/>
    <w:rsid w:val="00F54D69"/>
    <w:rsid w:val="00F5616B"/>
    <w:rsid w:val="00F56852"/>
    <w:rsid w:val="00F57A03"/>
    <w:rsid w:val="00F61D30"/>
    <w:rsid w:val="00F620F0"/>
    <w:rsid w:val="00F6294A"/>
    <w:rsid w:val="00F773EE"/>
    <w:rsid w:val="00F80CAD"/>
    <w:rsid w:val="00F8134C"/>
    <w:rsid w:val="00F831B0"/>
    <w:rsid w:val="00FA755F"/>
    <w:rsid w:val="00FB66A1"/>
    <w:rsid w:val="00FC3420"/>
    <w:rsid w:val="00FC7ECF"/>
    <w:rsid w:val="00FE23F9"/>
    <w:rsid w:val="00FE277E"/>
    <w:rsid w:val="00FE4AE2"/>
    <w:rsid w:val="00FE5003"/>
    <w:rsid w:val="00FE70C5"/>
    <w:rsid w:val="014B5F2D"/>
    <w:rsid w:val="0184A33D"/>
    <w:rsid w:val="01A2EA0B"/>
    <w:rsid w:val="01A9D7EF"/>
    <w:rsid w:val="01C6900F"/>
    <w:rsid w:val="02565DD0"/>
    <w:rsid w:val="02807771"/>
    <w:rsid w:val="02A73A55"/>
    <w:rsid w:val="02AD4222"/>
    <w:rsid w:val="02DA0DAE"/>
    <w:rsid w:val="0363A74C"/>
    <w:rsid w:val="036BB566"/>
    <w:rsid w:val="03C6D0CF"/>
    <w:rsid w:val="04422217"/>
    <w:rsid w:val="04E5E782"/>
    <w:rsid w:val="0530D81A"/>
    <w:rsid w:val="05458C4A"/>
    <w:rsid w:val="05D1D393"/>
    <w:rsid w:val="065C4D86"/>
    <w:rsid w:val="0688742F"/>
    <w:rsid w:val="069AA2D7"/>
    <w:rsid w:val="06E5E0AC"/>
    <w:rsid w:val="06FA1AE0"/>
    <w:rsid w:val="07357463"/>
    <w:rsid w:val="073C2AD2"/>
    <w:rsid w:val="07A07FC1"/>
    <w:rsid w:val="07A57253"/>
    <w:rsid w:val="07D1CF3F"/>
    <w:rsid w:val="082DFFBF"/>
    <w:rsid w:val="08409317"/>
    <w:rsid w:val="09530245"/>
    <w:rsid w:val="095DEC97"/>
    <w:rsid w:val="09B9369F"/>
    <w:rsid w:val="0A802AD8"/>
    <w:rsid w:val="0B3F28D2"/>
    <w:rsid w:val="0B83C970"/>
    <w:rsid w:val="0BB48C72"/>
    <w:rsid w:val="0C112927"/>
    <w:rsid w:val="0C4514A0"/>
    <w:rsid w:val="0C6C37C8"/>
    <w:rsid w:val="0D768F29"/>
    <w:rsid w:val="0DC2E9CF"/>
    <w:rsid w:val="0DD29D91"/>
    <w:rsid w:val="0DEEF8AA"/>
    <w:rsid w:val="0F2433D7"/>
    <w:rsid w:val="0F4828E2"/>
    <w:rsid w:val="0F7E06CE"/>
    <w:rsid w:val="1028C285"/>
    <w:rsid w:val="10B40D83"/>
    <w:rsid w:val="113918D5"/>
    <w:rsid w:val="116F306F"/>
    <w:rsid w:val="11B80496"/>
    <w:rsid w:val="123C38E8"/>
    <w:rsid w:val="12CCC1CD"/>
    <w:rsid w:val="13CF63AC"/>
    <w:rsid w:val="1418AAD1"/>
    <w:rsid w:val="150722A6"/>
    <w:rsid w:val="15246C89"/>
    <w:rsid w:val="15367517"/>
    <w:rsid w:val="1567DF71"/>
    <w:rsid w:val="15D9DC52"/>
    <w:rsid w:val="16A61792"/>
    <w:rsid w:val="170C3F11"/>
    <w:rsid w:val="17343D24"/>
    <w:rsid w:val="188A355B"/>
    <w:rsid w:val="18E0ED20"/>
    <w:rsid w:val="1940EDEA"/>
    <w:rsid w:val="19FD2E27"/>
    <w:rsid w:val="1AB94B9B"/>
    <w:rsid w:val="1B0389D3"/>
    <w:rsid w:val="1B0FB626"/>
    <w:rsid w:val="1B4F4A34"/>
    <w:rsid w:val="1B5F8916"/>
    <w:rsid w:val="1B610F15"/>
    <w:rsid w:val="1BD82850"/>
    <w:rsid w:val="1C25B6E5"/>
    <w:rsid w:val="1D08E903"/>
    <w:rsid w:val="1D883D05"/>
    <w:rsid w:val="1D9CC585"/>
    <w:rsid w:val="1E296322"/>
    <w:rsid w:val="1F351772"/>
    <w:rsid w:val="1F9E2713"/>
    <w:rsid w:val="1FFFFCAD"/>
    <w:rsid w:val="201BBCC7"/>
    <w:rsid w:val="20303788"/>
    <w:rsid w:val="20563AFB"/>
    <w:rsid w:val="20752E77"/>
    <w:rsid w:val="207AF5E2"/>
    <w:rsid w:val="20957A1A"/>
    <w:rsid w:val="20994753"/>
    <w:rsid w:val="20EA17AD"/>
    <w:rsid w:val="217865D9"/>
    <w:rsid w:val="2183FAF5"/>
    <w:rsid w:val="22B39553"/>
    <w:rsid w:val="2342B4AB"/>
    <w:rsid w:val="237E55DD"/>
    <w:rsid w:val="23ED2416"/>
    <w:rsid w:val="240D3AEE"/>
    <w:rsid w:val="24F50012"/>
    <w:rsid w:val="25313595"/>
    <w:rsid w:val="25555505"/>
    <w:rsid w:val="2560A5A1"/>
    <w:rsid w:val="25794602"/>
    <w:rsid w:val="25FAC5C7"/>
    <w:rsid w:val="2667CF67"/>
    <w:rsid w:val="26BDCB6D"/>
    <w:rsid w:val="26EF304F"/>
    <w:rsid w:val="2704D649"/>
    <w:rsid w:val="272222F9"/>
    <w:rsid w:val="27251B73"/>
    <w:rsid w:val="27302984"/>
    <w:rsid w:val="27361B1C"/>
    <w:rsid w:val="282FB6EF"/>
    <w:rsid w:val="286F9F85"/>
    <w:rsid w:val="28711C30"/>
    <w:rsid w:val="29756AD9"/>
    <w:rsid w:val="2987A9C5"/>
    <w:rsid w:val="2A0BAD4F"/>
    <w:rsid w:val="2A9AA1E6"/>
    <w:rsid w:val="2A9E76B7"/>
    <w:rsid w:val="2AB2459B"/>
    <w:rsid w:val="2B552209"/>
    <w:rsid w:val="2B769276"/>
    <w:rsid w:val="2B76EDDF"/>
    <w:rsid w:val="2B8BC59D"/>
    <w:rsid w:val="2BD83CB8"/>
    <w:rsid w:val="2C9FD13E"/>
    <w:rsid w:val="2CCE656F"/>
    <w:rsid w:val="2D49752F"/>
    <w:rsid w:val="2DDCE332"/>
    <w:rsid w:val="2E303441"/>
    <w:rsid w:val="2E93C112"/>
    <w:rsid w:val="2F6AC725"/>
    <w:rsid w:val="2F7FE563"/>
    <w:rsid w:val="2FA0A72C"/>
    <w:rsid w:val="2FBCC525"/>
    <w:rsid w:val="2FCF2C88"/>
    <w:rsid w:val="30E4FD36"/>
    <w:rsid w:val="30F66FCF"/>
    <w:rsid w:val="3129235F"/>
    <w:rsid w:val="31971B3B"/>
    <w:rsid w:val="3302B957"/>
    <w:rsid w:val="330605CE"/>
    <w:rsid w:val="330B6849"/>
    <w:rsid w:val="3322ACCE"/>
    <w:rsid w:val="33431DE4"/>
    <w:rsid w:val="335FD379"/>
    <w:rsid w:val="340B1580"/>
    <w:rsid w:val="34696E5A"/>
    <w:rsid w:val="34736FBF"/>
    <w:rsid w:val="349A1A77"/>
    <w:rsid w:val="34F9DE6D"/>
    <w:rsid w:val="34FE6973"/>
    <w:rsid w:val="350ED371"/>
    <w:rsid w:val="35A5F219"/>
    <w:rsid w:val="35F5A73D"/>
    <w:rsid w:val="361308D9"/>
    <w:rsid w:val="37829D69"/>
    <w:rsid w:val="37BC723A"/>
    <w:rsid w:val="37BCECED"/>
    <w:rsid w:val="37BDCC66"/>
    <w:rsid w:val="38139985"/>
    <w:rsid w:val="389538B9"/>
    <w:rsid w:val="38E9F6A8"/>
    <w:rsid w:val="38EA0B35"/>
    <w:rsid w:val="396A5DB0"/>
    <w:rsid w:val="399EA1D1"/>
    <w:rsid w:val="39D042FF"/>
    <w:rsid w:val="3A0603D6"/>
    <w:rsid w:val="3A887783"/>
    <w:rsid w:val="3AA8EE55"/>
    <w:rsid w:val="3AAB70A7"/>
    <w:rsid w:val="3B1FC5E6"/>
    <w:rsid w:val="3B27BC01"/>
    <w:rsid w:val="3B5448F5"/>
    <w:rsid w:val="3C4FB3D7"/>
    <w:rsid w:val="3D14CA63"/>
    <w:rsid w:val="3D47D25D"/>
    <w:rsid w:val="3D8D909C"/>
    <w:rsid w:val="3F2E2C5F"/>
    <w:rsid w:val="3FAB0A3F"/>
    <w:rsid w:val="3FB830A2"/>
    <w:rsid w:val="3FCAEB6F"/>
    <w:rsid w:val="4020951D"/>
    <w:rsid w:val="40210327"/>
    <w:rsid w:val="4052FD09"/>
    <w:rsid w:val="40533453"/>
    <w:rsid w:val="4122C56C"/>
    <w:rsid w:val="41449D0D"/>
    <w:rsid w:val="41C07018"/>
    <w:rsid w:val="41C7CA2A"/>
    <w:rsid w:val="430C1429"/>
    <w:rsid w:val="43424436"/>
    <w:rsid w:val="45203581"/>
    <w:rsid w:val="4543F835"/>
    <w:rsid w:val="45442B06"/>
    <w:rsid w:val="4570E001"/>
    <w:rsid w:val="45914CF0"/>
    <w:rsid w:val="45A0E891"/>
    <w:rsid w:val="45AA4285"/>
    <w:rsid w:val="4676B470"/>
    <w:rsid w:val="46D8DD29"/>
    <w:rsid w:val="474D0066"/>
    <w:rsid w:val="487AB495"/>
    <w:rsid w:val="48E026A0"/>
    <w:rsid w:val="4924A37F"/>
    <w:rsid w:val="49378130"/>
    <w:rsid w:val="4968B32F"/>
    <w:rsid w:val="49C03E70"/>
    <w:rsid w:val="49E69C19"/>
    <w:rsid w:val="4A2929F8"/>
    <w:rsid w:val="4A3A902C"/>
    <w:rsid w:val="4A69DC78"/>
    <w:rsid w:val="4AD35B01"/>
    <w:rsid w:val="4BC1B58C"/>
    <w:rsid w:val="4C119870"/>
    <w:rsid w:val="4C517F04"/>
    <w:rsid w:val="4CA360F0"/>
    <w:rsid w:val="4CCD7A92"/>
    <w:rsid w:val="4D1D2D1D"/>
    <w:rsid w:val="4D5C32E6"/>
    <w:rsid w:val="4DD00520"/>
    <w:rsid w:val="4E3C0181"/>
    <w:rsid w:val="4E744608"/>
    <w:rsid w:val="4E94B7FC"/>
    <w:rsid w:val="4EAE3AB8"/>
    <w:rsid w:val="4EB93AAD"/>
    <w:rsid w:val="4EDEE356"/>
    <w:rsid w:val="4F20C1A2"/>
    <w:rsid w:val="4F71E11C"/>
    <w:rsid w:val="4F891FC6"/>
    <w:rsid w:val="4FF72E53"/>
    <w:rsid w:val="503A777C"/>
    <w:rsid w:val="504A0B19"/>
    <w:rsid w:val="50E33AEB"/>
    <w:rsid w:val="512F8342"/>
    <w:rsid w:val="5165C19C"/>
    <w:rsid w:val="5172F406"/>
    <w:rsid w:val="517A7BEA"/>
    <w:rsid w:val="51E364F2"/>
    <w:rsid w:val="51F3B0FF"/>
    <w:rsid w:val="5251996D"/>
    <w:rsid w:val="52BCDD2C"/>
    <w:rsid w:val="52E940AE"/>
    <w:rsid w:val="52EBEC5D"/>
    <w:rsid w:val="532FE30D"/>
    <w:rsid w:val="53444393"/>
    <w:rsid w:val="5376472F"/>
    <w:rsid w:val="53800B35"/>
    <w:rsid w:val="5381ABDB"/>
    <w:rsid w:val="53DA8432"/>
    <w:rsid w:val="5488BDD6"/>
    <w:rsid w:val="54A570E3"/>
    <w:rsid w:val="554AFCC3"/>
    <w:rsid w:val="55818AD6"/>
    <w:rsid w:val="558A64F5"/>
    <w:rsid w:val="566CFB9C"/>
    <w:rsid w:val="56EDBE3E"/>
    <w:rsid w:val="577AD03A"/>
    <w:rsid w:val="5783F475"/>
    <w:rsid w:val="57853713"/>
    <w:rsid w:val="57C5C557"/>
    <w:rsid w:val="581D04C5"/>
    <w:rsid w:val="584B9A65"/>
    <w:rsid w:val="58739D31"/>
    <w:rsid w:val="58A75F95"/>
    <w:rsid w:val="59F4CC10"/>
    <w:rsid w:val="5A153680"/>
    <w:rsid w:val="5A54EAD4"/>
    <w:rsid w:val="5B51B52B"/>
    <w:rsid w:val="5BB19327"/>
    <w:rsid w:val="5BB3B8B4"/>
    <w:rsid w:val="5BDED555"/>
    <w:rsid w:val="5BE74EC0"/>
    <w:rsid w:val="5C110C6E"/>
    <w:rsid w:val="5C6919BF"/>
    <w:rsid w:val="5C7E1DD4"/>
    <w:rsid w:val="5CAE10AE"/>
    <w:rsid w:val="5CF858EC"/>
    <w:rsid w:val="5DBCE2DA"/>
    <w:rsid w:val="5DFB045C"/>
    <w:rsid w:val="5EB997E2"/>
    <w:rsid w:val="5F2E6169"/>
    <w:rsid w:val="6010F9CC"/>
    <w:rsid w:val="607BB053"/>
    <w:rsid w:val="6093048A"/>
    <w:rsid w:val="61DA9227"/>
    <w:rsid w:val="61DACC3A"/>
    <w:rsid w:val="61F37642"/>
    <w:rsid w:val="6203B524"/>
    <w:rsid w:val="623A21E6"/>
    <w:rsid w:val="62F12383"/>
    <w:rsid w:val="63012293"/>
    <w:rsid w:val="63307830"/>
    <w:rsid w:val="63E21E6A"/>
    <w:rsid w:val="6457348B"/>
    <w:rsid w:val="6478C1B3"/>
    <w:rsid w:val="6497F68A"/>
    <w:rsid w:val="64BDE8C6"/>
    <w:rsid w:val="64E5889D"/>
    <w:rsid w:val="64E8E46A"/>
    <w:rsid w:val="64FA8CB2"/>
    <w:rsid w:val="655BA547"/>
    <w:rsid w:val="66384BD9"/>
    <w:rsid w:val="66449CE8"/>
    <w:rsid w:val="665E91EB"/>
    <w:rsid w:val="66700892"/>
    <w:rsid w:val="6679A978"/>
    <w:rsid w:val="6679F39D"/>
    <w:rsid w:val="66D430C5"/>
    <w:rsid w:val="67C2C9B4"/>
    <w:rsid w:val="68170FD6"/>
    <w:rsid w:val="68382FDC"/>
    <w:rsid w:val="684E5E37"/>
    <w:rsid w:val="68AC7861"/>
    <w:rsid w:val="690A5649"/>
    <w:rsid w:val="695A4209"/>
    <w:rsid w:val="696E7981"/>
    <w:rsid w:val="69AF8F84"/>
    <w:rsid w:val="6A3069CF"/>
    <w:rsid w:val="6A82CC41"/>
    <w:rsid w:val="6AD85B0A"/>
    <w:rsid w:val="6B23848C"/>
    <w:rsid w:val="6B3640B4"/>
    <w:rsid w:val="6BA96C6C"/>
    <w:rsid w:val="6CBBB075"/>
    <w:rsid w:val="6CD0BF43"/>
    <w:rsid w:val="6DB72C11"/>
    <w:rsid w:val="6E7272A4"/>
    <w:rsid w:val="6EC18645"/>
    <w:rsid w:val="6ED773C5"/>
    <w:rsid w:val="6EF0AA0C"/>
    <w:rsid w:val="6F0E6F5B"/>
    <w:rsid w:val="6F13CB93"/>
    <w:rsid w:val="6F8071EB"/>
    <w:rsid w:val="6F816960"/>
    <w:rsid w:val="703F9FC1"/>
    <w:rsid w:val="709C22A7"/>
    <w:rsid w:val="71591138"/>
    <w:rsid w:val="71B49736"/>
    <w:rsid w:val="71D489AD"/>
    <w:rsid w:val="71F94D0F"/>
    <w:rsid w:val="72D86F53"/>
    <w:rsid w:val="73616185"/>
    <w:rsid w:val="7373F83D"/>
    <w:rsid w:val="74EE3DAD"/>
    <w:rsid w:val="75016D3D"/>
    <w:rsid w:val="750B21D1"/>
    <w:rsid w:val="758FD3C2"/>
    <w:rsid w:val="75A0DDCB"/>
    <w:rsid w:val="75A40FDE"/>
    <w:rsid w:val="75A4C3E1"/>
    <w:rsid w:val="7660E9DA"/>
    <w:rsid w:val="76D02480"/>
    <w:rsid w:val="771C6DE8"/>
    <w:rsid w:val="781AC143"/>
    <w:rsid w:val="783D7D4C"/>
    <w:rsid w:val="78584D24"/>
    <w:rsid w:val="7885F819"/>
    <w:rsid w:val="78BD4BF0"/>
    <w:rsid w:val="792CAC0D"/>
    <w:rsid w:val="7A2225C8"/>
    <w:rsid w:val="7A4834C1"/>
    <w:rsid w:val="7A976D03"/>
    <w:rsid w:val="7B4298E0"/>
    <w:rsid w:val="7C99FEC1"/>
    <w:rsid w:val="7D5CF15A"/>
    <w:rsid w:val="7DD04D5A"/>
    <w:rsid w:val="7DF858B8"/>
    <w:rsid w:val="7E9D8353"/>
    <w:rsid w:val="7ED2632B"/>
    <w:rsid w:val="7F6896A5"/>
    <w:rsid w:val="7FD033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2FDC"/>
  <w15:chartTrackingRefBased/>
  <w15:docId w15:val="{4600CB74-37EF-4FC2-9C06-1C88981C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otnote text"/>
    <w:qFormat/>
    <w:rsid w:val="003A0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BF12A9"/>
    <w:rPr>
      <w:rFonts w:ascii="MetaPro-Medi" w:hAnsi="MetaPro-Medi"/>
      <w:sz w:val="22"/>
      <w:vertAlign w:val="superscript"/>
    </w:rPr>
  </w:style>
  <w:style w:type="paragraph" w:styleId="NoSpacing">
    <w:name w:val="No Spacing"/>
    <w:uiPriority w:val="1"/>
    <w:qFormat/>
    <w:rsid w:val="003A064A"/>
    <w:pPr>
      <w:spacing w:after="0" w:line="240" w:lineRule="auto"/>
    </w:pPr>
    <w:rPr>
      <w:rFonts w:ascii="Times New Roman" w:eastAsia="SimSun" w:hAnsi="Times New Roman" w:cs="Times New Roman"/>
      <w:sz w:val="24"/>
      <w:szCs w:val="24"/>
      <w:lang w:eastAsia="zh-CN"/>
    </w:rPr>
  </w:style>
  <w:style w:type="character" w:styleId="CommentReference">
    <w:name w:val="annotation reference"/>
    <w:basedOn w:val="DefaultParagraphFont"/>
    <w:uiPriority w:val="99"/>
    <w:semiHidden/>
    <w:unhideWhenUsed/>
    <w:rsid w:val="008B2EA2"/>
    <w:rPr>
      <w:sz w:val="16"/>
      <w:szCs w:val="16"/>
    </w:rPr>
  </w:style>
  <w:style w:type="paragraph" w:styleId="CommentText">
    <w:name w:val="annotation text"/>
    <w:basedOn w:val="Normal"/>
    <w:link w:val="CommentTextChar"/>
    <w:uiPriority w:val="99"/>
    <w:unhideWhenUsed/>
    <w:rsid w:val="008B2EA2"/>
    <w:pPr>
      <w:spacing w:line="240" w:lineRule="auto"/>
    </w:pPr>
    <w:rPr>
      <w:sz w:val="20"/>
      <w:szCs w:val="20"/>
    </w:rPr>
  </w:style>
  <w:style w:type="character" w:customStyle="1" w:styleId="CommentTextChar">
    <w:name w:val="Comment Text Char"/>
    <w:basedOn w:val="DefaultParagraphFont"/>
    <w:link w:val="CommentText"/>
    <w:uiPriority w:val="99"/>
    <w:rsid w:val="008B2EA2"/>
    <w:rPr>
      <w:sz w:val="20"/>
      <w:szCs w:val="20"/>
    </w:rPr>
  </w:style>
  <w:style w:type="paragraph" w:styleId="CommentSubject">
    <w:name w:val="annotation subject"/>
    <w:basedOn w:val="CommentText"/>
    <w:next w:val="CommentText"/>
    <w:link w:val="CommentSubjectChar"/>
    <w:uiPriority w:val="99"/>
    <w:semiHidden/>
    <w:unhideWhenUsed/>
    <w:rsid w:val="008B2EA2"/>
    <w:rPr>
      <w:b/>
      <w:bCs/>
    </w:rPr>
  </w:style>
  <w:style w:type="character" w:customStyle="1" w:styleId="CommentSubjectChar">
    <w:name w:val="Comment Subject Char"/>
    <w:basedOn w:val="CommentTextChar"/>
    <w:link w:val="CommentSubject"/>
    <w:uiPriority w:val="99"/>
    <w:semiHidden/>
    <w:rsid w:val="008B2EA2"/>
    <w:rPr>
      <w:b/>
      <w:bCs/>
      <w:sz w:val="20"/>
      <w:szCs w:val="20"/>
    </w:rPr>
  </w:style>
  <w:style w:type="character" w:styleId="Hyperlink">
    <w:name w:val="Hyperlink"/>
    <w:basedOn w:val="DefaultParagraphFont"/>
    <w:uiPriority w:val="99"/>
    <w:unhideWhenUsed/>
    <w:rsid w:val="00E971D5"/>
    <w:rPr>
      <w:color w:val="0563C1" w:themeColor="hyperlink"/>
      <w:u w:val="single"/>
    </w:rPr>
  </w:style>
  <w:style w:type="character" w:styleId="UnresolvedMention">
    <w:name w:val="Unresolved Mention"/>
    <w:basedOn w:val="DefaultParagraphFont"/>
    <w:uiPriority w:val="99"/>
    <w:semiHidden/>
    <w:unhideWhenUsed/>
    <w:rsid w:val="00E971D5"/>
    <w:rPr>
      <w:color w:val="605E5C"/>
      <w:shd w:val="clear" w:color="auto" w:fill="E1DFDD"/>
    </w:rPr>
  </w:style>
  <w:style w:type="paragraph" w:styleId="Header">
    <w:name w:val="header"/>
    <w:basedOn w:val="Normal"/>
    <w:link w:val="HeaderChar"/>
    <w:uiPriority w:val="99"/>
    <w:unhideWhenUsed/>
    <w:rsid w:val="00463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E4A"/>
  </w:style>
  <w:style w:type="paragraph" w:styleId="Footer">
    <w:name w:val="footer"/>
    <w:basedOn w:val="Normal"/>
    <w:link w:val="FooterChar"/>
    <w:uiPriority w:val="99"/>
    <w:unhideWhenUsed/>
    <w:rsid w:val="00463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E4A"/>
  </w:style>
  <w:style w:type="paragraph" w:styleId="FootnoteText">
    <w:name w:val="footnote text"/>
    <w:basedOn w:val="Normal"/>
    <w:link w:val="FootnoteTextChar"/>
    <w:autoRedefine/>
    <w:uiPriority w:val="99"/>
    <w:unhideWhenUsed/>
    <w:rsid w:val="00A735EA"/>
    <w:pPr>
      <w:spacing w:after="0" w:line="240" w:lineRule="auto"/>
    </w:pPr>
    <w:rPr>
      <w:rFonts w:ascii="MetaPro-Norm" w:hAnsi="MetaPro-Norm"/>
      <w:sz w:val="16"/>
      <w:szCs w:val="20"/>
    </w:rPr>
  </w:style>
  <w:style w:type="character" w:customStyle="1" w:styleId="FootnoteTextChar">
    <w:name w:val="Footnote Text Char"/>
    <w:basedOn w:val="DefaultParagraphFont"/>
    <w:link w:val="FootnoteText"/>
    <w:uiPriority w:val="99"/>
    <w:rsid w:val="00A735EA"/>
    <w:rPr>
      <w:rFonts w:ascii="MetaPro-Norm" w:hAnsi="MetaPro-Norm"/>
      <w:sz w:val="16"/>
      <w:szCs w:val="20"/>
    </w:rPr>
  </w:style>
  <w:style w:type="paragraph" w:styleId="ListParagraph">
    <w:name w:val="List Paragraph"/>
    <w:basedOn w:val="Normal"/>
    <w:uiPriority w:val="34"/>
    <w:qFormat/>
    <w:rsid w:val="001D2E75"/>
    <w:pPr>
      <w:ind w:left="720"/>
      <w:contextualSpacing/>
    </w:pPr>
  </w:style>
  <w:style w:type="character" w:styleId="FollowedHyperlink">
    <w:name w:val="FollowedHyperlink"/>
    <w:basedOn w:val="DefaultParagraphFont"/>
    <w:uiPriority w:val="99"/>
    <w:semiHidden/>
    <w:unhideWhenUsed/>
    <w:rsid w:val="005506EB"/>
    <w:rPr>
      <w:color w:val="954F72" w:themeColor="followedHyperlink"/>
      <w:u w:val="single"/>
    </w:rPr>
  </w:style>
  <w:style w:type="paragraph" w:styleId="Revision">
    <w:name w:val="Revision"/>
    <w:hidden/>
    <w:uiPriority w:val="99"/>
    <w:semiHidden/>
    <w:rsid w:val="008F1CB9"/>
    <w:pPr>
      <w:spacing w:after="0" w:line="240" w:lineRule="auto"/>
    </w:pPr>
  </w:style>
  <w:style w:type="character" w:styleId="Mention">
    <w:name w:val="Mention"/>
    <w:basedOn w:val="DefaultParagraphFont"/>
    <w:uiPriority w:val="99"/>
    <w:unhideWhenUsed/>
    <w:rsid w:val="00C03122"/>
    <w:rPr>
      <w:color w:val="2B579A"/>
      <w:shd w:val="clear" w:color="auto" w:fill="E1DFDD"/>
    </w:rPr>
  </w:style>
  <w:style w:type="paragraph" w:customStyle="1" w:styleId="SingleTxtG">
    <w:name w:val="_ Single Txt_G"/>
    <w:basedOn w:val="Normal"/>
    <w:link w:val="SingleTxtGChar"/>
    <w:uiPriority w:val="1"/>
    <w:qFormat/>
    <w:rsid w:val="4C119870"/>
    <w:pPr>
      <w:tabs>
        <w:tab w:val="left" w:pos="1701"/>
        <w:tab w:val="left" w:pos="2268"/>
        <w:tab w:val="left" w:pos="2835"/>
      </w:tabs>
      <w:spacing w:after="120" w:line="240" w:lineRule="atLeast"/>
      <w:ind w:left="1134" w:right="1134"/>
      <w:jc w:val="both"/>
    </w:pPr>
    <w:rPr>
      <w:rFonts w:ascii="Times New Roman" w:eastAsiaTheme="minorEastAsia" w:hAnsi="Times New Roman" w:cs="Times New Roman"/>
      <w:sz w:val="20"/>
      <w:szCs w:val="20"/>
      <w:lang w:val="en-GB"/>
    </w:rPr>
  </w:style>
  <w:style w:type="character" w:customStyle="1" w:styleId="SingleTxtGChar">
    <w:name w:val="_ Single Txt_G Char"/>
    <w:basedOn w:val="DefaultParagraphFont"/>
    <w:link w:val="SingleTxtG"/>
    <w:uiPriority w:val="1"/>
    <w:rsid w:val="4C119870"/>
    <w:rPr>
      <w:rFonts w:ascii="Times New Roman" w:eastAsia="MS Mincho" w:hAnsi="Times New Roman" w:cs="Times New Roman"/>
      <w:sz w:val="20"/>
      <w:szCs w:val="20"/>
      <w:lang w:val="en-GB"/>
    </w:rPr>
  </w:style>
  <w:style w:type="character" w:customStyle="1" w:styleId="cf01">
    <w:name w:val="cf01"/>
    <w:basedOn w:val="DefaultParagraphFont"/>
    <w:rsid w:val="00105176"/>
    <w:rPr>
      <w:rFonts w:ascii="Segoe UI" w:hAnsi="Segoe UI" w:cs="Segoe UI" w:hint="default"/>
      <w:color w:val="D1343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8584">
      <w:bodyDiv w:val="1"/>
      <w:marLeft w:val="0"/>
      <w:marRight w:val="0"/>
      <w:marTop w:val="0"/>
      <w:marBottom w:val="0"/>
      <w:divBdr>
        <w:top w:val="none" w:sz="0" w:space="0" w:color="auto"/>
        <w:left w:val="none" w:sz="0" w:space="0" w:color="auto"/>
        <w:bottom w:val="none" w:sz="0" w:space="0" w:color="auto"/>
        <w:right w:val="none" w:sz="0" w:space="0" w:color="auto"/>
      </w:divBdr>
    </w:div>
    <w:div w:id="121004630">
      <w:bodyDiv w:val="1"/>
      <w:marLeft w:val="0"/>
      <w:marRight w:val="0"/>
      <w:marTop w:val="0"/>
      <w:marBottom w:val="0"/>
      <w:divBdr>
        <w:top w:val="none" w:sz="0" w:space="0" w:color="auto"/>
        <w:left w:val="none" w:sz="0" w:space="0" w:color="auto"/>
        <w:bottom w:val="none" w:sz="0" w:space="0" w:color="auto"/>
        <w:right w:val="none" w:sz="0" w:space="0" w:color="auto"/>
      </w:divBdr>
    </w:div>
    <w:div w:id="258878841">
      <w:bodyDiv w:val="1"/>
      <w:marLeft w:val="0"/>
      <w:marRight w:val="0"/>
      <w:marTop w:val="0"/>
      <w:marBottom w:val="0"/>
      <w:divBdr>
        <w:top w:val="none" w:sz="0" w:space="0" w:color="auto"/>
        <w:left w:val="none" w:sz="0" w:space="0" w:color="auto"/>
        <w:bottom w:val="none" w:sz="0" w:space="0" w:color="auto"/>
        <w:right w:val="none" w:sz="0" w:space="0" w:color="auto"/>
      </w:divBdr>
    </w:div>
    <w:div w:id="350499699">
      <w:bodyDiv w:val="1"/>
      <w:marLeft w:val="0"/>
      <w:marRight w:val="0"/>
      <w:marTop w:val="0"/>
      <w:marBottom w:val="0"/>
      <w:divBdr>
        <w:top w:val="none" w:sz="0" w:space="0" w:color="auto"/>
        <w:left w:val="none" w:sz="0" w:space="0" w:color="auto"/>
        <w:bottom w:val="none" w:sz="0" w:space="0" w:color="auto"/>
        <w:right w:val="none" w:sz="0" w:space="0" w:color="auto"/>
      </w:divBdr>
      <w:divsChild>
        <w:div w:id="73430246">
          <w:marLeft w:val="0"/>
          <w:marRight w:val="0"/>
          <w:marTop w:val="0"/>
          <w:marBottom w:val="0"/>
          <w:divBdr>
            <w:top w:val="none" w:sz="0" w:space="0" w:color="auto"/>
            <w:left w:val="none" w:sz="0" w:space="0" w:color="auto"/>
            <w:bottom w:val="none" w:sz="0" w:space="0" w:color="auto"/>
            <w:right w:val="none" w:sz="0" w:space="0" w:color="auto"/>
          </w:divBdr>
        </w:div>
        <w:div w:id="456876086">
          <w:marLeft w:val="0"/>
          <w:marRight w:val="0"/>
          <w:marTop w:val="0"/>
          <w:marBottom w:val="0"/>
          <w:divBdr>
            <w:top w:val="none" w:sz="0" w:space="0" w:color="auto"/>
            <w:left w:val="none" w:sz="0" w:space="0" w:color="auto"/>
            <w:bottom w:val="none" w:sz="0" w:space="0" w:color="auto"/>
            <w:right w:val="none" w:sz="0" w:space="0" w:color="auto"/>
          </w:divBdr>
        </w:div>
        <w:div w:id="887958685">
          <w:marLeft w:val="0"/>
          <w:marRight w:val="0"/>
          <w:marTop w:val="0"/>
          <w:marBottom w:val="0"/>
          <w:divBdr>
            <w:top w:val="none" w:sz="0" w:space="0" w:color="auto"/>
            <w:left w:val="none" w:sz="0" w:space="0" w:color="auto"/>
            <w:bottom w:val="none" w:sz="0" w:space="0" w:color="auto"/>
            <w:right w:val="none" w:sz="0" w:space="0" w:color="auto"/>
          </w:divBdr>
        </w:div>
        <w:div w:id="1565985426">
          <w:marLeft w:val="0"/>
          <w:marRight w:val="0"/>
          <w:marTop w:val="0"/>
          <w:marBottom w:val="0"/>
          <w:divBdr>
            <w:top w:val="none" w:sz="0" w:space="0" w:color="auto"/>
            <w:left w:val="none" w:sz="0" w:space="0" w:color="auto"/>
            <w:bottom w:val="none" w:sz="0" w:space="0" w:color="auto"/>
            <w:right w:val="none" w:sz="0" w:space="0" w:color="auto"/>
          </w:divBdr>
        </w:div>
        <w:div w:id="1817062522">
          <w:marLeft w:val="0"/>
          <w:marRight w:val="0"/>
          <w:marTop w:val="0"/>
          <w:marBottom w:val="0"/>
          <w:divBdr>
            <w:top w:val="none" w:sz="0" w:space="0" w:color="auto"/>
            <w:left w:val="none" w:sz="0" w:space="0" w:color="auto"/>
            <w:bottom w:val="none" w:sz="0" w:space="0" w:color="auto"/>
            <w:right w:val="none" w:sz="0" w:space="0" w:color="auto"/>
          </w:divBdr>
        </w:div>
      </w:divsChild>
    </w:div>
    <w:div w:id="642344866">
      <w:bodyDiv w:val="1"/>
      <w:marLeft w:val="0"/>
      <w:marRight w:val="0"/>
      <w:marTop w:val="0"/>
      <w:marBottom w:val="0"/>
      <w:divBdr>
        <w:top w:val="none" w:sz="0" w:space="0" w:color="auto"/>
        <w:left w:val="none" w:sz="0" w:space="0" w:color="auto"/>
        <w:bottom w:val="none" w:sz="0" w:space="0" w:color="auto"/>
        <w:right w:val="none" w:sz="0" w:space="0" w:color="auto"/>
      </w:divBdr>
    </w:div>
    <w:div w:id="976690009">
      <w:bodyDiv w:val="1"/>
      <w:marLeft w:val="0"/>
      <w:marRight w:val="0"/>
      <w:marTop w:val="0"/>
      <w:marBottom w:val="0"/>
      <w:divBdr>
        <w:top w:val="none" w:sz="0" w:space="0" w:color="auto"/>
        <w:left w:val="none" w:sz="0" w:space="0" w:color="auto"/>
        <w:bottom w:val="none" w:sz="0" w:space="0" w:color="auto"/>
        <w:right w:val="none" w:sz="0" w:space="0" w:color="auto"/>
      </w:divBdr>
      <w:divsChild>
        <w:div w:id="822890153">
          <w:marLeft w:val="480"/>
          <w:marRight w:val="0"/>
          <w:marTop w:val="0"/>
          <w:marBottom w:val="0"/>
          <w:divBdr>
            <w:top w:val="none" w:sz="0" w:space="0" w:color="auto"/>
            <w:left w:val="none" w:sz="0" w:space="0" w:color="auto"/>
            <w:bottom w:val="none" w:sz="0" w:space="0" w:color="auto"/>
            <w:right w:val="none" w:sz="0" w:space="0" w:color="auto"/>
          </w:divBdr>
          <w:divsChild>
            <w:div w:id="13083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3421">
      <w:bodyDiv w:val="1"/>
      <w:marLeft w:val="0"/>
      <w:marRight w:val="0"/>
      <w:marTop w:val="0"/>
      <w:marBottom w:val="0"/>
      <w:divBdr>
        <w:top w:val="none" w:sz="0" w:space="0" w:color="auto"/>
        <w:left w:val="none" w:sz="0" w:space="0" w:color="auto"/>
        <w:bottom w:val="none" w:sz="0" w:space="0" w:color="auto"/>
        <w:right w:val="none" w:sz="0" w:space="0" w:color="auto"/>
      </w:divBdr>
      <w:divsChild>
        <w:div w:id="73205816">
          <w:marLeft w:val="480"/>
          <w:marRight w:val="0"/>
          <w:marTop w:val="0"/>
          <w:marBottom w:val="0"/>
          <w:divBdr>
            <w:top w:val="none" w:sz="0" w:space="0" w:color="auto"/>
            <w:left w:val="none" w:sz="0" w:space="0" w:color="auto"/>
            <w:bottom w:val="none" w:sz="0" w:space="0" w:color="auto"/>
            <w:right w:val="none" w:sz="0" w:space="0" w:color="auto"/>
          </w:divBdr>
          <w:divsChild>
            <w:div w:id="8837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4959">
      <w:bodyDiv w:val="1"/>
      <w:marLeft w:val="0"/>
      <w:marRight w:val="0"/>
      <w:marTop w:val="0"/>
      <w:marBottom w:val="0"/>
      <w:divBdr>
        <w:top w:val="none" w:sz="0" w:space="0" w:color="auto"/>
        <w:left w:val="none" w:sz="0" w:space="0" w:color="auto"/>
        <w:bottom w:val="none" w:sz="0" w:space="0" w:color="auto"/>
        <w:right w:val="none" w:sz="0" w:space="0" w:color="auto"/>
      </w:divBdr>
    </w:div>
    <w:div w:id="1587107989">
      <w:bodyDiv w:val="1"/>
      <w:marLeft w:val="0"/>
      <w:marRight w:val="0"/>
      <w:marTop w:val="0"/>
      <w:marBottom w:val="0"/>
      <w:divBdr>
        <w:top w:val="none" w:sz="0" w:space="0" w:color="auto"/>
        <w:left w:val="none" w:sz="0" w:space="0" w:color="auto"/>
        <w:bottom w:val="none" w:sz="0" w:space="0" w:color="auto"/>
        <w:right w:val="none" w:sz="0" w:space="0" w:color="auto"/>
      </w:divBdr>
    </w:div>
    <w:div w:id="1838113295">
      <w:bodyDiv w:val="1"/>
      <w:marLeft w:val="0"/>
      <w:marRight w:val="0"/>
      <w:marTop w:val="0"/>
      <w:marBottom w:val="0"/>
      <w:divBdr>
        <w:top w:val="none" w:sz="0" w:space="0" w:color="auto"/>
        <w:left w:val="none" w:sz="0" w:space="0" w:color="auto"/>
        <w:bottom w:val="none" w:sz="0" w:space="0" w:color="auto"/>
        <w:right w:val="none" w:sz="0" w:space="0" w:color="auto"/>
      </w:divBdr>
      <w:divsChild>
        <w:div w:id="298338628">
          <w:marLeft w:val="0"/>
          <w:marRight w:val="0"/>
          <w:marTop w:val="0"/>
          <w:marBottom w:val="0"/>
          <w:divBdr>
            <w:top w:val="none" w:sz="0" w:space="0" w:color="auto"/>
            <w:left w:val="none" w:sz="0" w:space="0" w:color="auto"/>
            <w:bottom w:val="none" w:sz="0" w:space="0" w:color="auto"/>
            <w:right w:val="none" w:sz="0" w:space="0" w:color="auto"/>
          </w:divBdr>
        </w:div>
        <w:div w:id="554122325">
          <w:marLeft w:val="0"/>
          <w:marRight w:val="0"/>
          <w:marTop w:val="0"/>
          <w:marBottom w:val="0"/>
          <w:divBdr>
            <w:top w:val="none" w:sz="0" w:space="0" w:color="auto"/>
            <w:left w:val="none" w:sz="0" w:space="0" w:color="auto"/>
            <w:bottom w:val="none" w:sz="0" w:space="0" w:color="auto"/>
            <w:right w:val="none" w:sz="0" w:space="0" w:color="auto"/>
          </w:divBdr>
        </w:div>
        <w:div w:id="834149434">
          <w:marLeft w:val="0"/>
          <w:marRight w:val="0"/>
          <w:marTop w:val="0"/>
          <w:marBottom w:val="0"/>
          <w:divBdr>
            <w:top w:val="none" w:sz="0" w:space="0" w:color="auto"/>
            <w:left w:val="none" w:sz="0" w:space="0" w:color="auto"/>
            <w:bottom w:val="none" w:sz="0" w:space="0" w:color="auto"/>
            <w:right w:val="none" w:sz="0" w:space="0" w:color="auto"/>
          </w:divBdr>
        </w:div>
        <w:div w:id="1209220215">
          <w:marLeft w:val="0"/>
          <w:marRight w:val="0"/>
          <w:marTop w:val="0"/>
          <w:marBottom w:val="0"/>
          <w:divBdr>
            <w:top w:val="none" w:sz="0" w:space="0" w:color="auto"/>
            <w:left w:val="none" w:sz="0" w:space="0" w:color="auto"/>
            <w:bottom w:val="none" w:sz="0" w:space="0" w:color="auto"/>
            <w:right w:val="none" w:sz="0" w:space="0" w:color="auto"/>
          </w:divBdr>
        </w:div>
        <w:div w:id="1292394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ACE1C-B7D8-4C5C-8694-E0D16BDD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1845</Words>
  <Characters>10521</Characters>
  <Application>Microsoft Office Word</Application>
  <DocSecurity>0</DocSecurity>
  <Lines>87</Lines>
  <Paragraphs>24</Paragraphs>
  <ScaleCrop>false</ScaleCrop>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Joya Fadel</dc:creator>
  <cp:keywords/>
  <dc:description/>
  <cp:lastModifiedBy>Joya Fadel</cp:lastModifiedBy>
  <cp:revision>16</cp:revision>
  <dcterms:created xsi:type="dcterms:W3CDTF">2023-02-09T20:58:00Z</dcterms:created>
  <dcterms:modified xsi:type="dcterms:W3CDTF">2023-02-10T15:47:00Z</dcterms:modified>
</cp:coreProperties>
</file>